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74190"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9B3A2C">
        <w:rPr>
          <w:caps/>
          <w:color w:val="000000" w:themeColor="text1"/>
        </w:rPr>
        <w:t>XXXXXXXXXXXXX</w:t>
      </w:r>
      <w:r w:rsidR="004216DA" w:rsidRPr="00F74190">
        <w:rPr>
          <w:caps/>
          <w:color w:val="000000" w:themeColor="text1"/>
        </w:rPr>
        <w:t xml:space="preserve">             </w:t>
      </w:r>
      <w:r w:rsidR="00332DE3" w:rsidRPr="00F74190">
        <w:rPr>
          <w:caps/>
          <w:color w:val="000000" w:themeColor="text1"/>
        </w:rPr>
        <w:t xml:space="preserve"> </w:t>
      </w:r>
      <w:r w:rsidR="004216DA" w:rsidRPr="00F74190">
        <w:rPr>
          <w:caps/>
          <w:color w:val="000000" w:themeColor="text1"/>
        </w:rPr>
        <w:t xml:space="preserve">  </w:t>
      </w:r>
      <w:r w:rsidR="00F74190" w:rsidRPr="00F74190">
        <w:rPr>
          <w:caps/>
          <w:color w:val="000000" w:themeColor="text1"/>
        </w:rPr>
        <w:tab/>
      </w:r>
      <w:r w:rsidR="00F74190" w:rsidRPr="00F74190">
        <w:rPr>
          <w:caps/>
          <w:color w:val="000000" w:themeColor="text1"/>
        </w:rPr>
        <w:tab/>
        <w:t xml:space="preserve">                         </w:t>
      </w:r>
      <w:r w:rsidRPr="00F74190">
        <w:rPr>
          <w:caps/>
          <w:color w:val="000000" w:themeColor="text1"/>
        </w:rPr>
        <w:t xml:space="preserve">BRANCH OF SERVICE: </w:t>
      </w:r>
      <w:r w:rsidR="004C24C5" w:rsidRPr="00F74190">
        <w:rPr>
          <w:caps/>
          <w:color w:val="000000" w:themeColor="text1"/>
        </w:rPr>
        <w:t xml:space="preserve"> </w:t>
      </w:r>
      <w:r w:rsidR="00332DE3" w:rsidRPr="00F74190">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F74190">
        <w:rPr>
          <w:caps/>
          <w:color w:val="000000" w:themeColor="text1"/>
        </w:rPr>
        <w:t>C</w:t>
      </w:r>
      <w:r w:rsidR="00DE3AAD" w:rsidRPr="00F74190">
        <w:rPr>
          <w:caps/>
          <w:color w:val="000000" w:themeColor="text1"/>
        </w:rPr>
        <w:t>ASE NUMBER:  PD</w:t>
      </w:r>
      <w:r w:rsidR="008F58E1" w:rsidRPr="00F74190">
        <w:rPr>
          <w:caps/>
          <w:color w:val="000000" w:themeColor="text1"/>
        </w:rPr>
        <w:t>11</w:t>
      </w:r>
      <w:r w:rsidR="00DE3AAD" w:rsidRPr="00F74190">
        <w:rPr>
          <w:caps/>
          <w:color w:val="000000" w:themeColor="text1"/>
        </w:rPr>
        <w:t>00</w:t>
      </w:r>
      <w:r w:rsidR="00F74190" w:rsidRPr="00F74190">
        <w:rPr>
          <w:caps/>
          <w:color w:val="000000" w:themeColor="text1"/>
        </w:rPr>
        <w:t>439</w:t>
      </w:r>
      <w:r w:rsidR="00DE3AAD" w:rsidRPr="00F74190">
        <w:rPr>
          <w:color w:val="000000" w:themeColor="text1"/>
        </w:rPr>
        <w:t xml:space="preserve"> </w:t>
      </w:r>
      <w:r w:rsidR="00DE3AAD" w:rsidRPr="00F74190">
        <w:rPr>
          <w:color w:val="000000" w:themeColor="text1"/>
        </w:rPr>
        <w:tab/>
      </w:r>
      <w:r w:rsidR="0068098E" w:rsidRPr="00F74190">
        <w:rPr>
          <w:color w:val="000000" w:themeColor="text1"/>
        </w:rPr>
        <w:tab/>
      </w:r>
      <w:r w:rsidR="00DE3AAD" w:rsidRPr="00F74190">
        <w:rPr>
          <w:color w:val="000000" w:themeColor="text1"/>
        </w:rPr>
        <w:t xml:space="preserve">         </w:t>
      </w:r>
      <w:r w:rsidR="00E0346A" w:rsidRPr="00F74190">
        <w:rPr>
          <w:color w:val="000000" w:themeColor="text1"/>
        </w:rPr>
        <w:t xml:space="preserve">                    </w:t>
      </w:r>
      <w:r w:rsidR="00DE3AAD" w:rsidRPr="00F74190">
        <w:rPr>
          <w:color w:val="000000" w:themeColor="text1"/>
        </w:rPr>
        <w:t>SEPARATION DATE:  200</w:t>
      </w:r>
      <w:r w:rsidR="00F74190" w:rsidRPr="00F74190">
        <w:rPr>
          <w:color w:val="000000" w:themeColor="text1"/>
        </w:rPr>
        <w:t>30406</w:t>
      </w:r>
    </w:p>
    <w:p w:rsidR="00FF4C90" w:rsidRDefault="004F3639" w:rsidP="00C6326A">
      <w:pPr>
        <w:tabs>
          <w:tab w:val="left" w:pos="288"/>
          <w:tab w:val="left" w:pos="5130"/>
        </w:tabs>
        <w:jc w:val="both"/>
        <w:rPr>
          <w:color w:val="000000" w:themeColor="text1"/>
        </w:rPr>
      </w:pPr>
      <w:r w:rsidRPr="001F29F9">
        <w:rPr>
          <w:caps/>
          <w:color w:val="000000" w:themeColor="text1"/>
        </w:rPr>
        <w:t>BOARD DATE:  201</w:t>
      </w:r>
      <w:r w:rsidR="00C6326A">
        <w:rPr>
          <w:caps/>
          <w:color w:val="000000" w:themeColor="text1"/>
        </w:rPr>
        <w:t>2</w:t>
      </w:r>
      <w:r w:rsidR="00D15F85">
        <w:rPr>
          <w:caps/>
          <w:color w:val="000000" w:themeColor="text1"/>
        </w:rPr>
        <w:t>0424</w:t>
      </w:r>
    </w:p>
    <w:p w:rsidR="00C6326A" w:rsidRPr="00C6326A" w:rsidRDefault="00C6326A" w:rsidP="00B2026F">
      <w:pPr>
        <w:tabs>
          <w:tab w:val="left" w:pos="288"/>
          <w:tab w:val="left" w:pos="4752"/>
        </w:tabs>
        <w:jc w:val="both"/>
        <w:rPr>
          <w:b/>
          <w:color w:val="000000" w:themeColor="text1"/>
        </w:rPr>
      </w:pPr>
      <w:r w:rsidRPr="00C6326A">
        <w:rPr>
          <w:b/>
          <w:color w:val="000000" w:themeColor="text1"/>
        </w:rPr>
        <w:t>______________________________________________________________________________</w:t>
      </w:r>
    </w:p>
    <w:p w:rsidR="009369A6" w:rsidRPr="00516317" w:rsidRDefault="009369A6" w:rsidP="00B2026F">
      <w:pPr>
        <w:tabs>
          <w:tab w:val="left" w:pos="288"/>
          <w:tab w:val="left" w:pos="4752"/>
        </w:tabs>
        <w:jc w:val="both"/>
        <w:rPr>
          <w:color w:val="000000" w:themeColor="text1"/>
        </w:rPr>
      </w:pPr>
    </w:p>
    <w:p w:rsidR="00F63FC7" w:rsidRPr="001F29F9" w:rsidRDefault="00FB0E80" w:rsidP="00B2026F">
      <w:pPr>
        <w:autoSpaceDE w:val="0"/>
        <w:autoSpaceDN w:val="0"/>
        <w:adjustRightInd w:val="0"/>
        <w:jc w:val="both"/>
        <w:rPr>
          <w:color w:val="000000" w:themeColor="text1"/>
        </w:rPr>
      </w:pPr>
      <w:r w:rsidRPr="00516317">
        <w:rPr>
          <w:color w:val="000000" w:themeColor="text1"/>
          <w:u w:val="single"/>
        </w:rPr>
        <w:t>SUMMARY OF CASE</w:t>
      </w:r>
      <w:r w:rsidRPr="00516317">
        <w:rPr>
          <w:color w:val="000000" w:themeColor="text1"/>
        </w:rPr>
        <w:t xml:space="preserve">:  </w:t>
      </w:r>
      <w:r w:rsidR="009759C2" w:rsidRPr="00516317">
        <w:rPr>
          <w:color w:val="000000" w:themeColor="text1"/>
        </w:rPr>
        <w:t>Data extracted from the available evidence of record reflects that this covered individual (CI)</w:t>
      </w:r>
      <w:r w:rsidR="00570754" w:rsidRPr="00516317">
        <w:rPr>
          <w:color w:val="000000" w:themeColor="text1"/>
        </w:rPr>
        <w:t xml:space="preserve"> </w:t>
      </w:r>
      <w:r w:rsidR="002C6E5B" w:rsidRPr="00516317">
        <w:rPr>
          <w:color w:val="000000" w:themeColor="text1"/>
          <w:szCs w:val="24"/>
        </w:rPr>
        <w:t xml:space="preserve">was </w:t>
      </w:r>
      <w:r w:rsidR="00E322F7" w:rsidRPr="00516317">
        <w:rPr>
          <w:color w:val="000000" w:themeColor="text1"/>
          <w:szCs w:val="24"/>
        </w:rPr>
        <w:t>an active duty</w:t>
      </w:r>
      <w:r w:rsidR="006D4E0E" w:rsidRPr="00516317">
        <w:rPr>
          <w:color w:val="000000" w:themeColor="text1"/>
          <w:szCs w:val="24"/>
        </w:rPr>
        <w:t xml:space="preserve"> </w:t>
      </w:r>
      <w:r w:rsidR="00661BA2" w:rsidRPr="00516317">
        <w:rPr>
          <w:color w:val="000000" w:themeColor="text1"/>
          <w:szCs w:val="24"/>
        </w:rPr>
        <w:t>SGT/E-5</w:t>
      </w:r>
      <w:r w:rsidR="00705C40" w:rsidRPr="00516317">
        <w:rPr>
          <w:color w:val="000000" w:themeColor="text1"/>
          <w:szCs w:val="24"/>
        </w:rPr>
        <w:t xml:space="preserve"> (</w:t>
      </w:r>
      <w:r w:rsidR="00F74190" w:rsidRPr="00516317">
        <w:rPr>
          <w:color w:val="000000" w:themeColor="text1"/>
          <w:szCs w:val="24"/>
        </w:rPr>
        <w:t>31R</w:t>
      </w:r>
      <w:r w:rsidR="00C75F3D" w:rsidRPr="00516317">
        <w:rPr>
          <w:color w:val="000000" w:themeColor="text1"/>
          <w:szCs w:val="24"/>
        </w:rPr>
        <w:t xml:space="preserve"> </w:t>
      </w:r>
      <w:r w:rsidR="00F74190" w:rsidRPr="00516317">
        <w:rPr>
          <w:color w:val="000000" w:themeColor="text1"/>
          <w:szCs w:val="24"/>
        </w:rPr>
        <w:t>Multichannel Transmission Sys</w:t>
      </w:r>
      <w:r w:rsidR="005C144B">
        <w:rPr>
          <w:color w:val="000000" w:themeColor="text1"/>
          <w:szCs w:val="24"/>
        </w:rPr>
        <w:t>tem</w:t>
      </w:r>
      <w:r w:rsidR="00F74190" w:rsidRPr="00516317">
        <w:rPr>
          <w:color w:val="000000" w:themeColor="text1"/>
          <w:szCs w:val="24"/>
        </w:rPr>
        <w:t xml:space="preserve"> Op</w:t>
      </w:r>
      <w:r w:rsidR="005C144B">
        <w:rPr>
          <w:color w:val="000000" w:themeColor="text1"/>
          <w:szCs w:val="24"/>
        </w:rPr>
        <w:t>e</w:t>
      </w:r>
      <w:r w:rsidR="00F74190" w:rsidRPr="00516317">
        <w:rPr>
          <w:color w:val="000000" w:themeColor="text1"/>
          <w:szCs w:val="24"/>
        </w:rPr>
        <w:t>r</w:t>
      </w:r>
      <w:r w:rsidR="005C144B">
        <w:rPr>
          <w:color w:val="000000" w:themeColor="text1"/>
          <w:szCs w:val="24"/>
        </w:rPr>
        <w:t>ator/Maintainer</w:t>
      </w:r>
      <w:r w:rsidR="00E322F7" w:rsidRPr="00516317">
        <w:rPr>
          <w:color w:val="000000" w:themeColor="text1"/>
          <w:szCs w:val="24"/>
        </w:rPr>
        <w:t>)</w:t>
      </w:r>
      <w:r w:rsidR="00C75F3D" w:rsidRPr="00516317">
        <w:rPr>
          <w:color w:val="000000" w:themeColor="text1"/>
          <w:szCs w:val="24"/>
        </w:rPr>
        <w:t xml:space="preserve">, </w:t>
      </w:r>
      <w:r w:rsidR="002C6E5B" w:rsidRPr="00516317">
        <w:rPr>
          <w:color w:val="000000" w:themeColor="text1"/>
          <w:szCs w:val="24"/>
        </w:rPr>
        <w:t xml:space="preserve">medically separated for </w:t>
      </w:r>
      <w:r w:rsidR="005C144B" w:rsidRPr="00516317">
        <w:rPr>
          <w:color w:val="000000" w:themeColor="text1"/>
          <w:szCs w:val="24"/>
        </w:rPr>
        <w:t xml:space="preserve">chronic low back pain </w:t>
      </w:r>
      <w:r w:rsidR="00A22479">
        <w:rPr>
          <w:color w:val="000000" w:themeColor="text1"/>
          <w:szCs w:val="24"/>
        </w:rPr>
        <w:t xml:space="preserve">(LBP) </w:t>
      </w:r>
      <w:r w:rsidR="005C144B" w:rsidRPr="00516317">
        <w:rPr>
          <w:color w:val="000000" w:themeColor="text1"/>
          <w:szCs w:val="24"/>
        </w:rPr>
        <w:t>and chronic right shoulder pain</w:t>
      </w:r>
      <w:r w:rsidR="00C75F3D" w:rsidRPr="00516317">
        <w:rPr>
          <w:i/>
          <w:color w:val="000000" w:themeColor="text1"/>
          <w:szCs w:val="24"/>
        </w:rPr>
        <w:t>.</w:t>
      </w:r>
      <w:r w:rsidR="00C44710">
        <w:rPr>
          <w:color w:val="000000" w:themeColor="text1"/>
          <w:szCs w:val="24"/>
        </w:rPr>
        <w:t xml:space="preserve"> </w:t>
      </w:r>
      <w:r w:rsidR="00534E75">
        <w:rPr>
          <w:color w:val="000000" w:themeColor="text1"/>
          <w:szCs w:val="24"/>
        </w:rPr>
        <w:t xml:space="preserve"> </w:t>
      </w:r>
      <w:r w:rsidR="00C44710">
        <w:rPr>
          <w:color w:val="000000" w:themeColor="text1"/>
          <w:szCs w:val="24"/>
        </w:rPr>
        <w:t xml:space="preserve">The CI reported onset of </w:t>
      </w:r>
      <w:r w:rsidR="00A22479">
        <w:rPr>
          <w:color w:val="000000" w:themeColor="text1"/>
          <w:szCs w:val="24"/>
        </w:rPr>
        <w:t xml:space="preserve">LBP in 1999 when </w:t>
      </w:r>
      <w:r w:rsidR="00A22479">
        <w:rPr>
          <w:rFonts w:cs="Times New Roman"/>
          <w:color w:val="000000" w:themeColor="text1"/>
          <w:szCs w:val="24"/>
        </w:rPr>
        <w:t>performing</w:t>
      </w:r>
      <w:r w:rsidR="00A22479" w:rsidRPr="00A22479">
        <w:rPr>
          <w:rFonts w:cs="Times New Roman"/>
          <w:color w:val="000000" w:themeColor="text1"/>
          <w:szCs w:val="24"/>
        </w:rPr>
        <w:t xml:space="preserve"> PT with a log carry when some members of the team</w:t>
      </w:r>
      <w:r w:rsidR="00A22479">
        <w:rPr>
          <w:rFonts w:cs="Times New Roman"/>
          <w:color w:val="000000" w:themeColor="text1"/>
          <w:szCs w:val="24"/>
        </w:rPr>
        <w:t xml:space="preserve"> </w:t>
      </w:r>
      <w:r w:rsidR="00A22479" w:rsidRPr="00A22479">
        <w:rPr>
          <w:rFonts w:cs="Times New Roman"/>
          <w:color w:val="000000" w:themeColor="text1"/>
          <w:szCs w:val="24"/>
        </w:rPr>
        <w:t xml:space="preserve">dropped their end of the </w:t>
      </w:r>
      <w:r w:rsidR="00A22479">
        <w:rPr>
          <w:rFonts w:cs="Times New Roman"/>
          <w:color w:val="000000" w:themeColor="text1"/>
          <w:szCs w:val="24"/>
        </w:rPr>
        <w:t>log</w:t>
      </w:r>
      <w:r w:rsidR="00A22479" w:rsidRPr="00A22479">
        <w:rPr>
          <w:rFonts w:cs="Times New Roman"/>
          <w:color w:val="000000" w:themeColor="text1"/>
          <w:szCs w:val="24"/>
        </w:rPr>
        <w:t xml:space="preserve"> before he did and it caused him to strain his low back</w:t>
      </w:r>
      <w:r w:rsidR="00A22479">
        <w:rPr>
          <w:rFonts w:cs="Times New Roman"/>
          <w:color w:val="000000" w:themeColor="text1"/>
          <w:szCs w:val="24"/>
        </w:rPr>
        <w:t xml:space="preserve">. </w:t>
      </w:r>
      <w:r w:rsidR="00534E75">
        <w:rPr>
          <w:rFonts w:cs="Times New Roman"/>
          <w:color w:val="000000" w:themeColor="text1"/>
          <w:szCs w:val="24"/>
        </w:rPr>
        <w:t xml:space="preserve"> </w:t>
      </w:r>
      <w:r w:rsidR="00A22479">
        <w:rPr>
          <w:rFonts w:cs="Times New Roman"/>
          <w:color w:val="000000" w:themeColor="text1"/>
          <w:szCs w:val="24"/>
        </w:rPr>
        <w:t xml:space="preserve">The shoulder dislocation took place in 1996 while playing basketball, according to the CI. </w:t>
      </w:r>
      <w:r w:rsidR="00534E75">
        <w:rPr>
          <w:rFonts w:cs="Times New Roman"/>
          <w:color w:val="000000" w:themeColor="text1"/>
          <w:szCs w:val="24"/>
        </w:rPr>
        <w:t xml:space="preserve"> </w:t>
      </w:r>
      <w:r w:rsidR="00643C8F" w:rsidRPr="00516317">
        <w:rPr>
          <w:color w:val="000000" w:themeColor="text1"/>
          <w:szCs w:val="24"/>
        </w:rPr>
        <w:t>He did not respond adequately to treatment and was unable to perform within his Military Occupational Specialty (MOS) or meet physical fitness stand</w:t>
      </w:r>
      <w:r w:rsidR="00B2026F">
        <w:rPr>
          <w:color w:val="000000" w:themeColor="text1"/>
          <w:szCs w:val="24"/>
        </w:rPr>
        <w:t>ards.</w:t>
      </w:r>
      <w:r w:rsidR="00643C8F" w:rsidRPr="00516317">
        <w:rPr>
          <w:color w:val="000000" w:themeColor="text1"/>
          <w:szCs w:val="24"/>
        </w:rPr>
        <w:t xml:space="preserve"> </w:t>
      </w:r>
      <w:r w:rsidR="00534E75">
        <w:rPr>
          <w:color w:val="000000" w:themeColor="text1"/>
          <w:szCs w:val="24"/>
        </w:rPr>
        <w:t xml:space="preserve"> </w:t>
      </w:r>
      <w:r w:rsidR="00643C8F" w:rsidRPr="00516317">
        <w:rPr>
          <w:color w:val="000000" w:themeColor="text1"/>
          <w:szCs w:val="24"/>
        </w:rPr>
        <w:t xml:space="preserve">He was issued a permanent </w:t>
      </w:r>
      <w:r w:rsidR="00F74190" w:rsidRPr="00516317">
        <w:rPr>
          <w:color w:val="000000" w:themeColor="text1"/>
          <w:szCs w:val="24"/>
        </w:rPr>
        <w:t>U3/L3</w:t>
      </w:r>
      <w:r w:rsidR="00643C8F" w:rsidRPr="00516317">
        <w:rPr>
          <w:color w:val="000000" w:themeColor="text1"/>
          <w:szCs w:val="24"/>
        </w:rPr>
        <w:t xml:space="preserve"> profile and underwent a Medical Evaluation Board (MEB).</w:t>
      </w:r>
      <w:r w:rsidR="00B2026F">
        <w:rPr>
          <w:color w:val="000000" w:themeColor="text1"/>
          <w:szCs w:val="24"/>
        </w:rPr>
        <w:t xml:space="preserve"> </w:t>
      </w:r>
      <w:r w:rsidR="00534E75">
        <w:rPr>
          <w:color w:val="000000" w:themeColor="text1"/>
          <w:szCs w:val="24"/>
        </w:rPr>
        <w:t xml:space="preserve"> LBP,</w:t>
      </w:r>
      <w:r w:rsidR="005C144B" w:rsidRPr="00516317">
        <w:rPr>
          <w:color w:val="000000" w:themeColor="text1"/>
          <w:szCs w:val="24"/>
        </w:rPr>
        <w:t xml:space="preserve"> right shoulder pain and weakness </w:t>
      </w:r>
      <w:r w:rsidR="00F74190" w:rsidRPr="00516317">
        <w:rPr>
          <w:color w:val="000000" w:themeColor="text1"/>
          <w:szCs w:val="24"/>
        </w:rPr>
        <w:t>with decreased grip strength</w:t>
      </w:r>
      <w:r w:rsidR="000A33C8" w:rsidRPr="00516317">
        <w:rPr>
          <w:color w:val="000000" w:themeColor="text1"/>
          <w:szCs w:val="24"/>
        </w:rPr>
        <w:t xml:space="preserve"> were forwarded to the Physical Evaluation Board (PEB) as medically unacceptable IAW AR 40-501</w:t>
      </w:r>
      <w:r w:rsidR="00376E08" w:rsidRPr="00516317">
        <w:rPr>
          <w:color w:val="000000" w:themeColor="text1"/>
          <w:szCs w:val="24"/>
        </w:rPr>
        <w:t>.</w:t>
      </w:r>
      <w:r w:rsidR="00534E75">
        <w:rPr>
          <w:color w:val="000000" w:themeColor="text1"/>
          <w:szCs w:val="24"/>
        </w:rPr>
        <w:t xml:space="preserve"> </w:t>
      </w:r>
      <w:r w:rsidR="00A22479">
        <w:rPr>
          <w:color w:val="000000" w:themeColor="text1"/>
          <w:szCs w:val="24"/>
        </w:rPr>
        <w:t xml:space="preserve"> </w:t>
      </w:r>
      <w:r w:rsidR="001A5E62" w:rsidRPr="00516317">
        <w:rPr>
          <w:color w:val="000000" w:themeColor="text1"/>
          <w:szCs w:val="24"/>
        </w:rPr>
        <w:t>No other conditions app</w:t>
      </w:r>
      <w:r w:rsidR="00B2026F">
        <w:rPr>
          <w:color w:val="000000" w:themeColor="text1"/>
          <w:szCs w:val="24"/>
        </w:rPr>
        <w:t>eared on the MEB’s submission.</w:t>
      </w:r>
      <w:r w:rsidR="00534E75">
        <w:rPr>
          <w:color w:val="000000" w:themeColor="text1"/>
          <w:szCs w:val="24"/>
        </w:rPr>
        <w:t xml:space="preserve"> </w:t>
      </w:r>
      <w:r w:rsidR="00B2026F">
        <w:rPr>
          <w:color w:val="000000" w:themeColor="text1"/>
          <w:szCs w:val="24"/>
        </w:rPr>
        <w:t xml:space="preserve"> </w:t>
      </w:r>
      <w:r w:rsidR="001A5E62" w:rsidRPr="00516317">
        <w:rPr>
          <w:color w:val="000000" w:themeColor="text1"/>
          <w:szCs w:val="24"/>
        </w:rPr>
        <w:t>Other conditions included in the</w:t>
      </w:r>
      <w:r w:rsidR="00DC17F2" w:rsidRPr="00516317">
        <w:rPr>
          <w:color w:val="000000" w:themeColor="text1"/>
          <w:szCs w:val="24"/>
        </w:rPr>
        <w:t xml:space="preserve"> </w:t>
      </w:r>
      <w:r w:rsidR="00555C66" w:rsidRPr="00516317">
        <w:rPr>
          <w:color w:val="000000" w:themeColor="text1"/>
          <w:szCs w:val="24"/>
        </w:rPr>
        <w:t xml:space="preserve">Disability Evaluation System (DES) </w:t>
      </w:r>
      <w:r w:rsidR="001A5E62" w:rsidRPr="00516317">
        <w:rPr>
          <w:color w:val="000000" w:themeColor="text1"/>
          <w:szCs w:val="24"/>
        </w:rPr>
        <w:t>packet will be discussed below.</w:t>
      </w:r>
      <w:r w:rsidR="00A22479">
        <w:rPr>
          <w:color w:val="000000" w:themeColor="text1"/>
          <w:szCs w:val="24"/>
        </w:rPr>
        <w:t xml:space="preserve"> </w:t>
      </w:r>
      <w:r w:rsidR="00534E75">
        <w:rPr>
          <w:color w:val="000000" w:themeColor="text1"/>
          <w:szCs w:val="24"/>
        </w:rPr>
        <w:t xml:space="preserve"> </w:t>
      </w:r>
      <w:r w:rsidR="00842BAA" w:rsidRPr="00516317">
        <w:rPr>
          <w:color w:val="000000" w:themeColor="text1"/>
          <w:szCs w:val="24"/>
        </w:rPr>
        <w:t xml:space="preserve">The PEB adjudicated the </w:t>
      </w:r>
      <w:r w:rsidR="00C44710">
        <w:rPr>
          <w:color w:val="000000" w:themeColor="text1"/>
          <w:szCs w:val="24"/>
        </w:rPr>
        <w:t>b</w:t>
      </w:r>
      <w:r w:rsidR="00F74190" w:rsidRPr="00516317">
        <w:rPr>
          <w:color w:val="000000" w:themeColor="text1"/>
          <w:szCs w:val="24"/>
        </w:rPr>
        <w:t>ack</w:t>
      </w:r>
      <w:r w:rsidR="00842BAA" w:rsidRPr="00516317">
        <w:rPr>
          <w:color w:val="000000" w:themeColor="text1"/>
          <w:szCs w:val="24"/>
        </w:rPr>
        <w:t xml:space="preserve"> and </w:t>
      </w:r>
      <w:r w:rsidR="00396DA2">
        <w:rPr>
          <w:color w:val="000000" w:themeColor="text1"/>
          <w:szCs w:val="24"/>
        </w:rPr>
        <w:t xml:space="preserve">right </w:t>
      </w:r>
      <w:r w:rsidR="00C44710">
        <w:rPr>
          <w:color w:val="000000" w:themeColor="text1"/>
          <w:szCs w:val="24"/>
        </w:rPr>
        <w:t>s</w:t>
      </w:r>
      <w:r w:rsidR="00F74190" w:rsidRPr="00516317">
        <w:rPr>
          <w:color w:val="000000" w:themeColor="text1"/>
          <w:szCs w:val="24"/>
        </w:rPr>
        <w:t>houlder</w:t>
      </w:r>
      <w:r w:rsidR="00842BAA" w:rsidRPr="00516317">
        <w:rPr>
          <w:color w:val="000000" w:themeColor="text1"/>
          <w:szCs w:val="24"/>
        </w:rPr>
        <w:t xml:space="preserve"> condition</w:t>
      </w:r>
      <w:r w:rsidR="00C44710">
        <w:rPr>
          <w:color w:val="000000" w:themeColor="text1"/>
          <w:szCs w:val="24"/>
        </w:rPr>
        <w:t>s</w:t>
      </w:r>
      <w:r w:rsidR="00842BAA" w:rsidRPr="00516317">
        <w:rPr>
          <w:color w:val="000000" w:themeColor="text1"/>
          <w:szCs w:val="24"/>
        </w:rPr>
        <w:t xml:space="preserve"> as unfitting, rated </w:t>
      </w:r>
      <w:r w:rsidR="00F74190" w:rsidRPr="00516317">
        <w:rPr>
          <w:color w:val="000000" w:themeColor="text1"/>
          <w:szCs w:val="24"/>
        </w:rPr>
        <w:t>10</w:t>
      </w:r>
      <w:r w:rsidR="00842BAA" w:rsidRPr="00516317">
        <w:rPr>
          <w:color w:val="000000" w:themeColor="text1"/>
          <w:szCs w:val="24"/>
        </w:rPr>
        <w:t xml:space="preserve">% and </w:t>
      </w:r>
      <w:r w:rsidR="00F74190" w:rsidRPr="00516317">
        <w:rPr>
          <w:color w:val="000000" w:themeColor="text1"/>
          <w:szCs w:val="24"/>
        </w:rPr>
        <w:t>0% respectively</w:t>
      </w:r>
      <w:r w:rsidR="00CA4A87">
        <w:rPr>
          <w:color w:val="000000" w:themeColor="text1"/>
          <w:szCs w:val="24"/>
        </w:rPr>
        <w:t xml:space="preserve">. The back condition was adjudicated IAW DoDI 1332.39 and </w:t>
      </w:r>
      <w:r w:rsidR="00F74190" w:rsidRPr="00516317">
        <w:rPr>
          <w:color w:val="000000" w:themeColor="text1"/>
          <w:szCs w:val="24"/>
        </w:rPr>
        <w:t xml:space="preserve">the </w:t>
      </w:r>
      <w:r w:rsidR="00842BAA" w:rsidRPr="00516317">
        <w:rPr>
          <w:color w:val="000000" w:themeColor="text1"/>
          <w:szCs w:val="24"/>
        </w:rPr>
        <w:t>US Army Physical Disabil</w:t>
      </w:r>
      <w:r w:rsidR="00F74190" w:rsidRPr="00516317">
        <w:rPr>
          <w:color w:val="000000" w:themeColor="text1"/>
          <w:szCs w:val="24"/>
        </w:rPr>
        <w:t>ity Agency (USAPDA) pain policy</w:t>
      </w:r>
      <w:r w:rsidR="00383ADF">
        <w:rPr>
          <w:color w:val="000000" w:themeColor="text1"/>
          <w:szCs w:val="24"/>
        </w:rPr>
        <w:t xml:space="preserve"> </w:t>
      </w:r>
      <w:r w:rsidR="00CA4A87">
        <w:rPr>
          <w:color w:val="000000" w:themeColor="text1"/>
          <w:szCs w:val="24"/>
        </w:rPr>
        <w:t>was used to adjudicate</w:t>
      </w:r>
      <w:r w:rsidR="00383ADF">
        <w:rPr>
          <w:color w:val="000000" w:themeColor="text1"/>
          <w:szCs w:val="24"/>
        </w:rPr>
        <w:t xml:space="preserve"> the </w:t>
      </w:r>
      <w:r w:rsidR="00396DA2">
        <w:rPr>
          <w:color w:val="000000" w:themeColor="text1"/>
          <w:szCs w:val="24"/>
        </w:rPr>
        <w:t>right shoulder</w:t>
      </w:r>
      <w:r w:rsidR="00383ADF">
        <w:rPr>
          <w:color w:val="000000" w:themeColor="text1"/>
          <w:szCs w:val="24"/>
        </w:rPr>
        <w:t xml:space="preserve"> condition</w:t>
      </w:r>
      <w:r w:rsidR="00842BAA" w:rsidRPr="00516317">
        <w:rPr>
          <w:color w:val="000000" w:themeColor="text1"/>
          <w:szCs w:val="24"/>
        </w:rPr>
        <w:t>.</w:t>
      </w:r>
      <w:r w:rsidR="00B2026F">
        <w:rPr>
          <w:color w:val="000000" w:themeColor="text1"/>
          <w:szCs w:val="24"/>
        </w:rPr>
        <w:t xml:space="preserve"> </w:t>
      </w:r>
      <w:r w:rsidR="00534E75">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F74190">
        <w:rPr>
          <w:color w:val="000000" w:themeColor="text1"/>
        </w:rPr>
        <w:t>10</w:t>
      </w:r>
      <w:r w:rsidR="00B20624" w:rsidRPr="001F29F9">
        <w:rPr>
          <w:color w:val="000000" w:themeColor="text1"/>
        </w:rPr>
        <w:t>% combined disability rating.</w:t>
      </w:r>
    </w:p>
    <w:p w:rsidR="004174F0" w:rsidRPr="001F29F9" w:rsidRDefault="004174F0" w:rsidP="00B2026F">
      <w:pPr>
        <w:pBdr>
          <w:bottom w:val="single" w:sz="12" w:space="1" w:color="auto"/>
        </w:pBdr>
        <w:tabs>
          <w:tab w:val="left" w:pos="288"/>
          <w:tab w:val="left" w:pos="4752"/>
        </w:tabs>
        <w:jc w:val="both"/>
        <w:rPr>
          <w:color w:val="000000" w:themeColor="text1"/>
        </w:rPr>
      </w:pPr>
    </w:p>
    <w:p w:rsidR="004174F0" w:rsidRPr="001F29F9" w:rsidRDefault="004174F0" w:rsidP="00B2026F">
      <w:pPr>
        <w:tabs>
          <w:tab w:val="left" w:pos="288"/>
          <w:tab w:val="left" w:pos="4752"/>
        </w:tabs>
        <w:jc w:val="both"/>
        <w:rPr>
          <w:color w:val="000000" w:themeColor="text1"/>
        </w:rPr>
      </w:pPr>
    </w:p>
    <w:p w:rsidR="00ED5284" w:rsidRPr="001F29F9" w:rsidRDefault="002C6E5B" w:rsidP="00B2026F">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F74190">
        <w:rPr>
          <w:color w:val="000000" w:themeColor="text1"/>
        </w:rPr>
        <w:t xml:space="preserve">  </w:t>
      </w:r>
      <w:r w:rsidR="005C144B">
        <w:rPr>
          <w:color w:val="000000" w:themeColor="text1"/>
        </w:rPr>
        <w:t xml:space="preserve">The CI states: </w:t>
      </w:r>
      <w:r w:rsidR="00F74190">
        <w:rPr>
          <w:color w:val="000000" w:themeColor="text1"/>
        </w:rPr>
        <w:t>“All injuries rendered unfit were not correctly listed from medical records.”</w:t>
      </w:r>
      <w:r w:rsidR="005C144B">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2026F">
      <w:pPr>
        <w:pBdr>
          <w:bottom w:val="single" w:sz="12" w:space="1" w:color="auto"/>
        </w:pBdr>
        <w:tabs>
          <w:tab w:val="left" w:pos="288"/>
          <w:tab w:val="left" w:pos="4752"/>
        </w:tabs>
        <w:jc w:val="both"/>
        <w:rPr>
          <w:color w:val="000000" w:themeColor="text1"/>
        </w:rPr>
      </w:pPr>
    </w:p>
    <w:p w:rsidR="005C144B" w:rsidRDefault="005C144B" w:rsidP="00B2026F">
      <w:pPr>
        <w:jc w:val="both"/>
        <w:rPr>
          <w:color w:val="000000" w:themeColor="text1"/>
          <w:u w:val="single"/>
        </w:rPr>
      </w:pPr>
    </w:p>
    <w:p w:rsidR="001537D8" w:rsidRPr="001F29F9" w:rsidRDefault="007F0AB7" w:rsidP="00B2026F">
      <w:pPr>
        <w:jc w:val="both"/>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74190">
      <w:pPr>
        <w:jc w:val="both"/>
        <w:rPr>
          <w:color w:val="000000" w:themeColor="text1"/>
        </w:rPr>
      </w:pPr>
    </w:p>
    <w:tbl>
      <w:tblPr>
        <w:tblStyle w:val="TableGrid"/>
        <w:tblpPr w:leftFromText="187" w:rightFromText="187" w:vertAnchor="text" w:tblpXSpec="center" w:tblpY="1"/>
        <w:tblOverlap w:val="never"/>
        <w:tblW w:w="9432" w:type="dxa"/>
        <w:jc w:val="center"/>
        <w:tblLayout w:type="fixed"/>
        <w:tblLook w:val="04A0"/>
      </w:tblPr>
      <w:tblGrid>
        <w:gridCol w:w="1908"/>
        <w:gridCol w:w="1170"/>
        <w:gridCol w:w="720"/>
        <w:gridCol w:w="2736"/>
        <w:gridCol w:w="1080"/>
        <w:gridCol w:w="828"/>
        <w:gridCol w:w="990"/>
      </w:tblGrid>
      <w:tr w:rsidR="002B4E22" w:rsidRPr="00E141F4" w:rsidTr="00B2026F">
        <w:trPr>
          <w:trHeight w:val="233"/>
          <w:jc w:val="center"/>
        </w:trPr>
        <w:tc>
          <w:tcPr>
            <w:tcW w:w="3798" w:type="dxa"/>
            <w:gridSpan w:val="3"/>
            <w:tcBorders>
              <w:right w:val="thinThickThinSmallGap" w:sz="24" w:space="0" w:color="auto"/>
            </w:tcBorders>
            <w:shd w:val="clear" w:color="auto" w:fill="D9D9D9" w:themeFill="background1" w:themeFillShade="D9"/>
            <w:vAlign w:val="center"/>
          </w:tcPr>
          <w:p w:rsidR="002B4E22" w:rsidRPr="00E141F4" w:rsidRDefault="00B731E4" w:rsidP="00E141F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Service PEB – Dated 200</w:t>
            </w:r>
            <w:r w:rsidR="00E141F4" w:rsidRPr="00E141F4">
              <w:rPr>
                <w:rFonts w:ascii="Calibri" w:hAnsi="Calibri" w:cs="Calibri"/>
                <w:b/>
                <w:color w:val="000000" w:themeColor="text1"/>
                <w:sz w:val="18"/>
                <w:szCs w:val="18"/>
              </w:rPr>
              <w:t>30128</w:t>
            </w:r>
          </w:p>
        </w:tc>
        <w:tc>
          <w:tcPr>
            <w:tcW w:w="5634" w:type="dxa"/>
            <w:gridSpan w:val="4"/>
            <w:tcBorders>
              <w:left w:val="thinThickThinSmallGap" w:sz="24" w:space="0" w:color="auto"/>
            </w:tcBorders>
            <w:shd w:val="clear" w:color="auto" w:fill="D9D9D9" w:themeFill="background1" w:themeFillShade="D9"/>
            <w:vAlign w:val="center"/>
          </w:tcPr>
          <w:p w:rsidR="002B4E22" w:rsidRPr="00E141F4" w:rsidRDefault="002B4E22" w:rsidP="00E141F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VA (</w:t>
            </w:r>
            <w:r w:rsidR="00E141F4" w:rsidRPr="00E141F4">
              <w:rPr>
                <w:rFonts w:ascii="Calibri" w:hAnsi="Calibri" w:cs="Calibri"/>
                <w:b/>
                <w:color w:val="000000" w:themeColor="text1"/>
                <w:sz w:val="18"/>
                <w:szCs w:val="18"/>
              </w:rPr>
              <w:t>1</w:t>
            </w:r>
            <w:r w:rsidR="0079154B" w:rsidRPr="00E141F4">
              <w:rPr>
                <w:rFonts w:ascii="Calibri" w:hAnsi="Calibri" w:cs="Calibri"/>
                <w:b/>
                <w:color w:val="000000" w:themeColor="text1"/>
                <w:sz w:val="18"/>
                <w:szCs w:val="18"/>
              </w:rPr>
              <w:t xml:space="preserve"> </w:t>
            </w:r>
            <w:r w:rsidRPr="00E141F4">
              <w:rPr>
                <w:rFonts w:ascii="Calibri" w:hAnsi="Calibri" w:cs="Calibri"/>
                <w:b/>
                <w:color w:val="000000" w:themeColor="text1"/>
                <w:sz w:val="18"/>
                <w:szCs w:val="18"/>
              </w:rPr>
              <w:t xml:space="preserve">Mo. After Separation) – All Effective Date </w:t>
            </w:r>
            <w:r w:rsidR="002D08F3" w:rsidRPr="00E141F4">
              <w:rPr>
                <w:rFonts w:ascii="Calibri" w:hAnsi="Calibri" w:cs="Calibri"/>
                <w:b/>
                <w:color w:val="000000" w:themeColor="text1"/>
                <w:sz w:val="18"/>
                <w:szCs w:val="18"/>
              </w:rPr>
              <w:t>200</w:t>
            </w:r>
            <w:r w:rsidR="00E141F4" w:rsidRPr="00E141F4">
              <w:rPr>
                <w:rFonts w:ascii="Calibri" w:hAnsi="Calibri" w:cs="Calibri"/>
                <w:b/>
                <w:color w:val="000000" w:themeColor="text1"/>
                <w:sz w:val="18"/>
                <w:szCs w:val="18"/>
              </w:rPr>
              <w:t>30407</w:t>
            </w:r>
          </w:p>
        </w:tc>
      </w:tr>
      <w:tr w:rsidR="002B4E22" w:rsidRPr="00E141F4" w:rsidTr="00B2026F">
        <w:trPr>
          <w:trHeight w:val="278"/>
          <w:jc w:val="center"/>
        </w:trPr>
        <w:tc>
          <w:tcPr>
            <w:tcW w:w="1908" w:type="dxa"/>
            <w:tcBorders>
              <w:bottom w:val="single" w:sz="4" w:space="0" w:color="000000" w:themeColor="text1"/>
              <w:right w:val="single" w:sz="4" w:space="0" w:color="auto"/>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Rating</w:t>
            </w:r>
          </w:p>
        </w:tc>
        <w:tc>
          <w:tcPr>
            <w:tcW w:w="273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E141F4" w:rsidRDefault="002B4E22" w:rsidP="00BF0E94">
            <w:pPr>
              <w:contextualSpacing/>
              <w:rPr>
                <w:rFonts w:ascii="Calibri" w:hAnsi="Calibri" w:cs="Calibri"/>
                <w:b/>
                <w:color w:val="000000" w:themeColor="text1"/>
                <w:sz w:val="18"/>
                <w:szCs w:val="18"/>
              </w:rPr>
            </w:pPr>
            <w:r w:rsidRPr="00E141F4">
              <w:rPr>
                <w:rFonts w:ascii="Calibri" w:hAnsi="Calibri" w:cs="Calibri"/>
                <w:b/>
                <w:color w:val="000000" w:themeColor="text1"/>
                <w:sz w:val="18"/>
                <w:szCs w:val="18"/>
              </w:rPr>
              <w:t>Exam</w:t>
            </w:r>
          </w:p>
        </w:tc>
      </w:tr>
      <w:tr w:rsidR="00C03C21" w:rsidRPr="00E141F4" w:rsidTr="00002CDF">
        <w:trPr>
          <w:trHeight w:val="434"/>
          <w:jc w:val="center"/>
        </w:trPr>
        <w:tc>
          <w:tcPr>
            <w:tcW w:w="1908" w:type="dxa"/>
            <w:tcBorders>
              <w:right w:val="single" w:sz="4" w:space="0" w:color="auto"/>
            </w:tcBorders>
            <w:shd w:val="clear" w:color="auto" w:fill="FFFFFF" w:themeFill="background1"/>
            <w:vAlign w:val="center"/>
          </w:tcPr>
          <w:p w:rsidR="00BC5860" w:rsidRPr="00E141F4" w:rsidRDefault="00E141F4">
            <w:pPr>
              <w:spacing w:line="180" w:lineRule="exact"/>
              <w:contextualSpacing/>
              <w:jc w:val="left"/>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Chronic Low Back Pain</w:t>
            </w:r>
          </w:p>
        </w:tc>
        <w:tc>
          <w:tcPr>
            <w:tcW w:w="1170" w:type="dxa"/>
            <w:tcBorders>
              <w:left w:val="single" w:sz="4" w:space="0" w:color="auto"/>
            </w:tcBorders>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5299-5295</w:t>
            </w:r>
          </w:p>
        </w:tc>
        <w:tc>
          <w:tcPr>
            <w:tcW w:w="720" w:type="dxa"/>
            <w:tcBorders>
              <w:right w:val="thinThickThinSmallGap" w:sz="24" w:space="0" w:color="auto"/>
            </w:tcBorders>
            <w:shd w:val="clear" w:color="auto" w:fill="FFFFFF" w:themeFill="background1"/>
            <w:vAlign w:val="center"/>
          </w:tcPr>
          <w:p w:rsidR="00BC5860" w:rsidRPr="00E141F4" w:rsidRDefault="00E141F4">
            <w:pPr>
              <w:spacing w:line="180" w:lineRule="exact"/>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10%</w:t>
            </w:r>
          </w:p>
        </w:tc>
        <w:tc>
          <w:tcPr>
            <w:tcW w:w="2736" w:type="dxa"/>
            <w:tcBorders>
              <w:left w:val="thinThickThinSmallGap" w:sz="24" w:space="0" w:color="auto"/>
            </w:tcBorders>
            <w:shd w:val="clear" w:color="auto" w:fill="FFFFFF" w:themeFill="background1"/>
            <w:vAlign w:val="center"/>
          </w:tcPr>
          <w:p w:rsidR="00BC5860" w:rsidRPr="00E141F4" w:rsidRDefault="00E141F4" w:rsidP="00F873CC">
            <w:pPr>
              <w:spacing w:line="180" w:lineRule="exact"/>
              <w:contextualSpacing/>
              <w:jc w:val="left"/>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 xml:space="preserve">Lumbar Spondylosis </w:t>
            </w:r>
            <w:r w:rsidR="00F873CC">
              <w:rPr>
                <w:rFonts w:ascii="Calibri" w:hAnsi="Calibri" w:cs="Calibri"/>
                <w:color w:val="000000" w:themeColor="text1"/>
                <w:sz w:val="18"/>
                <w:szCs w:val="18"/>
              </w:rPr>
              <w:t>and</w:t>
            </w:r>
            <w:r w:rsidRPr="00E141F4">
              <w:rPr>
                <w:rFonts w:ascii="Calibri" w:hAnsi="Calibri" w:cs="Calibri"/>
                <w:color w:val="000000" w:themeColor="text1"/>
                <w:sz w:val="18"/>
                <w:szCs w:val="18"/>
              </w:rPr>
              <w:t xml:space="preserve"> </w:t>
            </w:r>
            <w:proofErr w:type="spellStart"/>
            <w:r w:rsidRPr="00E141F4">
              <w:rPr>
                <w:rFonts w:ascii="Calibri" w:hAnsi="Calibri" w:cs="Calibri"/>
                <w:color w:val="000000" w:themeColor="text1"/>
                <w:sz w:val="18"/>
                <w:szCs w:val="18"/>
              </w:rPr>
              <w:t>Spondylolisthesis</w:t>
            </w:r>
            <w:proofErr w:type="spellEnd"/>
          </w:p>
        </w:tc>
        <w:tc>
          <w:tcPr>
            <w:tcW w:w="1080" w:type="dxa"/>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5292</w:t>
            </w:r>
          </w:p>
        </w:tc>
        <w:tc>
          <w:tcPr>
            <w:tcW w:w="828" w:type="dxa"/>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10%</w:t>
            </w:r>
          </w:p>
        </w:tc>
        <w:tc>
          <w:tcPr>
            <w:tcW w:w="990" w:type="dxa"/>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20030522</w:t>
            </w:r>
          </w:p>
        </w:tc>
      </w:tr>
      <w:tr w:rsidR="00C03C21" w:rsidRPr="00E141F4" w:rsidTr="00002CDF">
        <w:trPr>
          <w:trHeight w:val="452"/>
          <w:jc w:val="center"/>
        </w:trPr>
        <w:tc>
          <w:tcPr>
            <w:tcW w:w="1908" w:type="dxa"/>
            <w:tcBorders>
              <w:right w:val="single" w:sz="4" w:space="0" w:color="auto"/>
            </w:tcBorders>
            <w:shd w:val="clear" w:color="auto" w:fill="FFFFFF" w:themeFill="background1"/>
            <w:vAlign w:val="center"/>
          </w:tcPr>
          <w:p w:rsidR="00BC5860" w:rsidRPr="00E141F4" w:rsidRDefault="00E141F4">
            <w:pPr>
              <w:spacing w:line="180" w:lineRule="exact"/>
              <w:contextualSpacing/>
              <w:jc w:val="left"/>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Chronic R</w:t>
            </w:r>
            <w:r w:rsidR="00F873CC">
              <w:rPr>
                <w:rFonts w:ascii="Calibri" w:hAnsi="Calibri" w:cs="Calibri"/>
                <w:color w:val="000000" w:themeColor="text1"/>
                <w:sz w:val="18"/>
                <w:szCs w:val="18"/>
              </w:rPr>
              <w:t>igh</w:t>
            </w:r>
            <w:r w:rsidRPr="00E141F4">
              <w:rPr>
                <w:rFonts w:ascii="Calibri" w:hAnsi="Calibri" w:cs="Calibri"/>
                <w:color w:val="000000" w:themeColor="text1"/>
                <w:sz w:val="18"/>
                <w:szCs w:val="18"/>
              </w:rPr>
              <w:t>t Shoulder Pain</w:t>
            </w:r>
          </w:p>
        </w:tc>
        <w:tc>
          <w:tcPr>
            <w:tcW w:w="1170" w:type="dxa"/>
            <w:tcBorders>
              <w:left w:val="single" w:sz="4" w:space="0" w:color="auto"/>
            </w:tcBorders>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5099-5003</w:t>
            </w:r>
          </w:p>
        </w:tc>
        <w:tc>
          <w:tcPr>
            <w:tcW w:w="720" w:type="dxa"/>
            <w:tcBorders>
              <w:right w:val="thinThickThinSmallGap" w:sz="24" w:space="0" w:color="auto"/>
            </w:tcBorders>
            <w:shd w:val="clear" w:color="auto" w:fill="FFFFFF" w:themeFill="background1"/>
            <w:vAlign w:val="center"/>
          </w:tcPr>
          <w:p w:rsidR="00BC5860" w:rsidRPr="00E141F4" w:rsidRDefault="00E141F4">
            <w:pPr>
              <w:spacing w:line="180" w:lineRule="exact"/>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0%</w:t>
            </w:r>
          </w:p>
        </w:tc>
        <w:tc>
          <w:tcPr>
            <w:tcW w:w="2736" w:type="dxa"/>
            <w:tcBorders>
              <w:left w:val="thinThickThinSmallGap" w:sz="24" w:space="0" w:color="auto"/>
              <w:right w:val="single" w:sz="4" w:space="0" w:color="auto"/>
            </w:tcBorders>
            <w:shd w:val="clear" w:color="auto" w:fill="FFFFFF" w:themeFill="background1"/>
            <w:vAlign w:val="center"/>
          </w:tcPr>
          <w:p w:rsidR="00BC5860" w:rsidRPr="00E141F4" w:rsidRDefault="00E141F4">
            <w:pPr>
              <w:spacing w:line="180" w:lineRule="exact"/>
              <w:contextualSpacing/>
              <w:jc w:val="left"/>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Residuals R</w:t>
            </w:r>
            <w:r w:rsidR="00F873CC">
              <w:rPr>
                <w:rFonts w:ascii="Calibri" w:hAnsi="Calibri" w:cs="Calibri"/>
                <w:color w:val="000000" w:themeColor="text1"/>
                <w:sz w:val="18"/>
                <w:szCs w:val="18"/>
              </w:rPr>
              <w:t>igh</w:t>
            </w:r>
            <w:r w:rsidRPr="00E141F4">
              <w:rPr>
                <w:rFonts w:ascii="Calibri" w:hAnsi="Calibri" w:cs="Calibri"/>
                <w:color w:val="000000" w:themeColor="text1"/>
                <w:sz w:val="18"/>
                <w:szCs w:val="18"/>
              </w:rPr>
              <w:t>t Shoulder Injury Status Post Surger</w:t>
            </w:r>
            <w:r w:rsidR="00F873CC">
              <w:rPr>
                <w:rFonts w:ascii="Calibri" w:hAnsi="Calibri" w:cs="Calibri"/>
                <w:color w:val="000000" w:themeColor="text1"/>
                <w:sz w:val="18"/>
                <w:szCs w:val="18"/>
              </w:rPr>
              <w:t>y</w:t>
            </w:r>
          </w:p>
        </w:tc>
        <w:tc>
          <w:tcPr>
            <w:tcW w:w="1080" w:type="dxa"/>
            <w:tcBorders>
              <w:left w:val="single" w:sz="4" w:space="0" w:color="auto"/>
            </w:tcBorders>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5201</w:t>
            </w:r>
          </w:p>
        </w:tc>
        <w:tc>
          <w:tcPr>
            <w:tcW w:w="828" w:type="dxa"/>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20%</w:t>
            </w:r>
          </w:p>
        </w:tc>
        <w:tc>
          <w:tcPr>
            <w:tcW w:w="990" w:type="dxa"/>
            <w:shd w:val="clear" w:color="auto" w:fill="FFFFFF" w:themeFill="background1"/>
            <w:vAlign w:val="center"/>
          </w:tcPr>
          <w:p w:rsidR="00BC5860" w:rsidRPr="00E141F4" w:rsidRDefault="00E141F4">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20030522</w:t>
            </w:r>
          </w:p>
        </w:tc>
      </w:tr>
      <w:tr w:rsidR="00E600F6" w:rsidRPr="00E141F4" w:rsidTr="00002CDF">
        <w:trPr>
          <w:trHeight w:val="335"/>
          <w:jc w:val="center"/>
        </w:trPr>
        <w:tc>
          <w:tcPr>
            <w:tcW w:w="3798" w:type="dxa"/>
            <w:gridSpan w:val="3"/>
            <w:vMerge w:val="restart"/>
            <w:tcBorders>
              <w:right w:val="thinThickThinSmallGap" w:sz="24" w:space="0" w:color="auto"/>
            </w:tcBorders>
            <w:shd w:val="clear" w:color="auto" w:fill="FFFFFF" w:themeFill="background1"/>
            <w:vAlign w:val="center"/>
          </w:tcPr>
          <w:p w:rsidR="00E600F6" w:rsidRPr="00E141F4" w:rsidRDefault="00E600F6" w:rsidP="00A22479">
            <w:pPr>
              <w:spacing w:line="180" w:lineRule="exact"/>
              <w:contextualSpacing/>
              <w:rPr>
                <w:rFonts w:ascii="Calibri" w:eastAsia="Times New Roman" w:hAnsi="Calibri" w:cs="Calibri"/>
                <w:color w:val="000000" w:themeColor="text1"/>
                <w:sz w:val="18"/>
                <w:szCs w:val="18"/>
              </w:rPr>
            </w:pPr>
            <w:r w:rsidRPr="00E141F4">
              <w:rPr>
                <w:rFonts w:ascii="Calibri" w:hAnsi="Calibri" w:cs="Calibri"/>
                <w:color w:val="000000" w:themeColor="text1"/>
                <w:sz w:val="18"/>
                <w:szCs w:val="18"/>
              </w:rPr>
              <w:t>↓No Additional MEB/PEB Entries↓</w:t>
            </w:r>
          </w:p>
        </w:tc>
        <w:tc>
          <w:tcPr>
            <w:tcW w:w="2736" w:type="dxa"/>
            <w:tcBorders>
              <w:left w:val="thinThickThinSmallGap" w:sz="24" w:space="0" w:color="auto"/>
              <w:right w:val="single" w:sz="4" w:space="0" w:color="auto"/>
            </w:tcBorders>
            <w:shd w:val="clear" w:color="auto" w:fill="FFFFFF" w:themeFill="background1"/>
            <w:vAlign w:val="center"/>
          </w:tcPr>
          <w:p w:rsidR="00E600F6" w:rsidRPr="00E141F4" w:rsidRDefault="00E600F6">
            <w:pPr>
              <w:spacing w:line="180" w:lineRule="exact"/>
              <w:contextualSpacing/>
              <w:jc w:val="left"/>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Residuals R</w:t>
            </w:r>
            <w:r w:rsidR="00F873CC">
              <w:rPr>
                <w:rFonts w:ascii="Calibri" w:eastAsia="Times New Roman" w:hAnsi="Calibri" w:cs="Calibri"/>
                <w:color w:val="000000" w:themeColor="text1"/>
                <w:sz w:val="18"/>
                <w:szCs w:val="18"/>
              </w:rPr>
              <w:t>igh</w:t>
            </w:r>
            <w:r w:rsidRPr="00E141F4">
              <w:rPr>
                <w:rFonts w:ascii="Calibri" w:eastAsia="Times New Roman" w:hAnsi="Calibri" w:cs="Calibri"/>
                <w:color w:val="000000" w:themeColor="text1"/>
                <w:sz w:val="18"/>
                <w:szCs w:val="18"/>
              </w:rPr>
              <w:t>t Knee Injury</w:t>
            </w:r>
          </w:p>
        </w:tc>
        <w:tc>
          <w:tcPr>
            <w:tcW w:w="1080" w:type="dxa"/>
            <w:tcBorders>
              <w:left w:val="single" w:sz="4" w:space="0" w:color="auto"/>
            </w:tcBorders>
            <w:shd w:val="clear" w:color="auto" w:fill="FFFFFF" w:themeFill="background1"/>
            <w:vAlign w:val="center"/>
          </w:tcPr>
          <w:p w:rsidR="00E600F6" w:rsidRPr="00E141F4" w:rsidRDefault="00E600F6">
            <w:pPr>
              <w:spacing w:line="180" w:lineRule="exact"/>
              <w:contextualSpacing/>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5299-5024</w:t>
            </w:r>
          </w:p>
        </w:tc>
        <w:tc>
          <w:tcPr>
            <w:tcW w:w="828" w:type="dxa"/>
            <w:shd w:val="clear" w:color="auto" w:fill="FFFFFF" w:themeFill="background1"/>
            <w:vAlign w:val="center"/>
          </w:tcPr>
          <w:p w:rsidR="00E600F6" w:rsidRPr="00E141F4" w:rsidRDefault="00E600F6">
            <w:pPr>
              <w:spacing w:line="180" w:lineRule="exact"/>
              <w:contextualSpacing/>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600F6" w:rsidRPr="00E141F4" w:rsidRDefault="00E600F6">
            <w:pPr>
              <w:spacing w:line="180" w:lineRule="exact"/>
              <w:contextualSpacing/>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20030522</w:t>
            </w:r>
          </w:p>
        </w:tc>
      </w:tr>
      <w:tr w:rsidR="00E600F6" w:rsidRPr="00E141F4" w:rsidTr="00002CDF">
        <w:trPr>
          <w:trHeight w:val="353"/>
          <w:jc w:val="center"/>
        </w:trPr>
        <w:tc>
          <w:tcPr>
            <w:tcW w:w="3798" w:type="dxa"/>
            <w:gridSpan w:val="3"/>
            <w:vMerge/>
            <w:tcBorders>
              <w:bottom w:val="nil"/>
              <w:right w:val="thinThickThinSmallGap" w:sz="24" w:space="0" w:color="auto"/>
            </w:tcBorders>
            <w:shd w:val="clear" w:color="auto" w:fill="FFFFFF" w:themeFill="background1"/>
            <w:vAlign w:val="center"/>
          </w:tcPr>
          <w:p w:rsidR="00E600F6" w:rsidRPr="00E141F4" w:rsidRDefault="00E600F6" w:rsidP="00A22479">
            <w:pPr>
              <w:spacing w:line="180" w:lineRule="exact"/>
              <w:contextualSpacing/>
              <w:rPr>
                <w:rFonts w:ascii="Calibri" w:eastAsia="Times New Roman" w:hAnsi="Calibri" w:cs="Calibri"/>
                <w:color w:val="000000" w:themeColor="text1"/>
                <w:sz w:val="18"/>
                <w:szCs w:val="18"/>
              </w:rPr>
            </w:pPr>
          </w:p>
        </w:tc>
        <w:tc>
          <w:tcPr>
            <w:tcW w:w="2736" w:type="dxa"/>
            <w:tcBorders>
              <w:left w:val="thinThickThinSmallGap" w:sz="24" w:space="0" w:color="auto"/>
              <w:right w:val="single" w:sz="4" w:space="0" w:color="auto"/>
            </w:tcBorders>
            <w:shd w:val="clear" w:color="auto" w:fill="FFFFFF" w:themeFill="background1"/>
            <w:vAlign w:val="center"/>
          </w:tcPr>
          <w:p w:rsidR="00E600F6" w:rsidRPr="00E141F4" w:rsidRDefault="00E600F6">
            <w:pPr>
              <w:spacing w:line="180" w:lineRule="exact"/>
              <w:contextualSpacing/>
              <w:jc w:val="left"/>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Pseudofolliculitis Barbae</w:t>
            </w:r>
          </w:p>
        </w:tc>
        <w:tc>
          <w:tcPr>
            <w:tcW w:w="1080" w:type="dxa"/>
            <w:tcBorders>
              <w:left w:val="single" w:sz="4" w:space="0" w:color="auto"/>
            </w:tcBorders>
            <w:shd w:val="clear" w:color="auto" w:fill="FFFFFF" w:themeFill="background1"/>
            <w:vAlign w:val="center"/>
          </w:tcPr>
          <w:p w:rsidR="00E600F6" w:rsidRPr="00E141F4" w:rsidRDefault="00E600F6">
            <w:pPr>
              <w:spacing w:line="180" w:lineRule="exact"/>
              <w:contextualSpacing/>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7813-7806</w:t>
            </w:r>
          </w:p>
        </w:tc>
        <w:tc>
          <w:tcPr>
            <w:tcW w:w="828" w:type="dxa"/>
            <w:shd w:val="clear" w:color="auto" w:fill="FFFFFF" w:themeFill="background1"/>
            <w:vAlign w:val="center"/>
          </w:tcPr>
          <w:p w:rsidR="00E600F6" w:rsidRPr="00E141F4" w:rsidRDefault="00E600F6">
            <w:pPr>
              <w:spacing w:line="180" w:lineRule="exact"/>
              <w:contextualSpacing/>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600F6" w:rsidRPr="00E141F4" w:rsidRDefault="00E600F6">
            <w:pPr>
              <w:spacing w:line="180" w:lineRule="exact"/>
              <w:contextualSpacing/>
              <w:rPr>
                <w:rFonts w:ascii="Calibri" w:eastAsia="Times New Roman" w:hAnsi="Calibri" w:cs="Calibri"/>
                <w:color w:val="000000" w:themeColor="text1"/>
                <w:sz w:val="18"/>
                <w:szCs w:val="18"/>
              </w:rPr>
            </w:pPr>
            <w:r w:rsidRPr="00E141F4">
              <w:rPr>
                <w:rFonts w:ascii="Calibri" w:eastAsia="Times New Roman" w:hAnsi="Calibri" w:cs="Calibri"/>
                <w:color w:val="000000" w:themeColor="text1"/>
                <w:sz w:val="18"/>
                <w:szCs w:val="18"/>
              </w:rPr>
              <w:t>20030522</w:t>
            </w:r>
          </w:p>
        </w:tc>
      </w:tr>
      <w:tr w:rsidR="007A65A9" w:rsidRPr="001F29F9" w:rsidTr="00B2026F">
        <w:trPr>
          <w:trHeight w:val="242"/>
          <w:jc w:val="center"/>
        </w:trPr>
        <w:tc>
          <w:tcPr>
            <w:tcW w:w="3798" w:type="dxa"/>
            <w:gridSpan w:val="3"/>
            <w:tcBorders>
              <w:right w:val="thinThickThinSmallGap" w:sz="24" w:space="0" w:color="auto"/>
            </w:tcBorders>
            <w:shd w:val="clear" w:color="auto" w:fill="D9D9D9" w:themeFill="background1" w:themeFillShade="D9"/>
            <w:vAlign w:val="center"/>
          </w:tcPr>
          <w:p w:rsidR="007A65A9" w:rsidRPr="001F29F9" w:rsidRDefault="007A65A9" w:rsidP="00E141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E141F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634" w:type="dxa"/>
            <w:gridSpan w:val="4"/>
            <w:tcBorders>
              <w:left w:val="thinThickThinSmallGap" w:sz="24" w:space="0" w:color="auto"/>
            </w:tcBorders>
            <w:shd w:val="clear" w:color="auto" w:fill="D9D9D9" w:themeFill="background1" w:themeFillShade="D9"/>
            <w:vAlign w:val="center"/>
          </w:tcPr>
          <w:p w:rsidR="007A65A9" w:rsidRPr="001F29F9" w:rsidRDefault="007A65A9" w:rsidP="00E141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E141F4">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22479" w:rsidRDefault="00A22479" w:rsidP="00B2026F">
      <w:pPr>
        <w:pBdr>
          <w:bottom w:val="single" w:sz="12" w:space="1" w:color="auto"/>
        </w:pBdr>
        <w:jc w:val="both"/>
        <w:rPr>
          <w:color w:val="000000" w:themeColor="text1"/>
          <w:szCs w:val="24"/>
        </w:rPr>
      </w:pPr>
    </w:p>
    <w:p w:rsidR="00B2026F" w:rsidRDefault="00B2026F" w:rsidP="00B2026F">
      <w:pPr>
        <w:jc w:val="both"/>
        <w:rPr>
          <w:color w:val="000000" w:themeColor="text1"/>
          <w:szCs w:val="24"/>
          <w:u w:val="single"/>
        </w:rPr>
      </w:pPr>
    </w:p>
    <w:p w:rsidR="004C60A3" w:rsidRPr="001F29F9" w:rsidRDefault="002C6E5B" w:rsidP="00B2026F">
      <w:pPr>
        <w:jc w:val="both"/>
        <w:rPr>
          <w:color w:val="000000" w:themeColor="text1"/>
          <w:szCs w:val="24"/>
        </w:rPr>
      </w:pPr>
      <w:r w:rsidRPr="00761AD3">
        <w:rPr>
          <w:color w:val="auto"/>
          <w:szCs w:val="24"/>
          <w:u w:val="single"/>
        </w:rPr>
        <w:t>ANALYSIS SUMMARY</w:t>
      </w:r>
      <w:r w:rsidRPr="00761AD3">
        <w:rPr>
          <w:color w:val="auto"/>
          <w:szCs w:val="24"/>
        </w:rPr>
        <w:t>:</w:t>
      </w:r>
      <w:r w:rsidR="00761AD3" w:rsidRPr="00761AD3">
        <w:rPr>
          <w:color w:val="auto"/>
          <w:szCs w:val="24"/>
        </w:rPr>
        <w:t xml:space="preserve">  </w:t>
      </w:r>
      <w:r w:rsidR="00B2026F" w:rsidRPr="00B2026F">
        <w:rPr>
          <w:color w:val="auto"/>
          <w:szCs w:val="24"/>
        </w:rPr>
        <w:t xml:space="preserve">The Board acknowledges the CI’s contention that suggests service ratings should have been conferred </w:t>
      </w:r>
      <w:r w:rsidR="00B2026F" w:rsidRPr="00D15F85">
        <w:rPr>
          <w:color w:val="auto"/>
          <w:szCs w:val="24"/>
        </w:rPr>
        <w:t>for other conditions documented</w:t>
      </w:r>
      <w:r w:rsidR="00B2026F" w:rsidRPr="00B2026F">
        <w:rPr>
          <w:color w:val="auto"/>
          <w:szCs w:val="24"/>
        </w:rPr>
        <w:t xml:space="preserve"> at the time of separation. </w:t>
      </w:r>
      <w:r w:rsidR="00534E75">
        <w:rPr>
          <w:color w:val="auto"/>
          <w:szCs w:val="24"/>
        </w:rPr>
        <w:t xml:space="preserve"> </w:t>
      </w:r>
      <w:r w:rsidR="00B2026F" w:rsidRPr="00B2026F">
        <w:rPr>
          <w:color w:val="auto"/>
          <w:szCs w:val="24"/>
        </w:rPr>
        <w:t xml:space="preserve">The Board wishes to clarify that it is subject to the same laws for service disability entitlements as those under which the DES operates. </w:t>
      </w:r>
      <w:r w:rsidR="00534E75">
        <w:rPr>
          <w:color w:val="auto"/>
          <w:szCs w:val="24"/>
        </w:rPr>
        <w:t xml:space="preserve"> </w:t>
      </w:r>
      <w:r w:rsidR="00B2026F" w:rsidRPr="00B2026F">
        <w:rPr>
          <w:color w:val="auto"/>
          <w:szCs w:val="24"/>
        </w:rPr>
        <w:t xml:space="preserve">While the DES considers all of the service member's </w:t>
      </w:r>
      <w:r w:rsidR="00B2026F" w:rsidRPr="00B2026F">
        <w:rPr>
          <w:color w:val="auto"/>
          <w:szCs w:val="24"/>
        </w:rPr>
        <w:lastRenderedPageBreak/>
        <w:t xml:space="preserve">medical conditions, compensation can only be offered for those medical conditions that cut short a service member’s career, and then only to the degree of severity present at the time of final disposition. </w:t>
      </w:r>
      <w:r w:rsidR="00534E75">
        <w:rPr>
          <w:color w:val="auto"/>
          <w:szCs w:val="24"/>
        </w:rPr>
        <w:t xml:space="preserve"> </w:t>
      </w:r>
      <w:r w:rsidR="00B2026F" w:rsidRPr="00B2026F">
        <w:rPr>
          <w:color w:val="auto"/>
          <w:szCs w:val="24"/>
        </w:rPr>
        <w:t>However the Department of Veteran</w:t>
      </w:r>
      <w:r w:rsidR="00534E75">
        <w:rPr>
          <w:color w:val="auto"/>
          <w:szCs w:val="24"/>
        </w:rPr>
        <w:t>s’</w:t>
      </w:r>
      <w:r w:rsidR="00B2026F" w:rsidRPr="00B2026F">
        <w:rPr>
          <w:color w:val="auto"/>
          <w:szCs w:val="24"/>
        </w:rPr>
        <w:t xml:space="preserve"> Affairs (DVA), operating under a different set of laws (Title 38, United States Code), is empo</w:t>
      </w:r>
      <w:r w:rsidR="00534E75">
        <w:rPr>
          <w:color w:val="auto"/>
          <w:szCs w:val="24"/>
        </w:rPr>
        <w:t>wered to compensate all service-</w:t>
      </w:r>
      <w:r w:rsidR="00B2026F" w:rsidRPr="00B2026F">
        <w:rPr>
          <w:color w:val="auto"/>
          <w:szCs w:val="24"/>
        </w:rPr>
        <w:t xml:space="preserve">connected conditions and to periodically reevaluate said conditions for the purpose of adjusting the </w:t>
      </w:r>
      <w:r w:rsidR="00534E75">
        <w:rPr>
          <w:color w:val="auto"/>
          <w:szCs w:val="24"/>
        </w:rPr>
        <w:t>V</w:t>
      </w:r>
      <w:r w:rsidR="00B2026F" w:rsidRPr="00B2026F">
        <w:rPr>
          <w:color w:val="auto"/>
          <w:szCs w:val="24"/>
        </w:rPr>
        <w:t xml:space="preserve">eteran’s disability rating should </w:t>
      </w:r>
      <w:r w:rsidR="00534E75">
        <w:rPr>
          <w:color w:val="auto"/>
          <w:szCs w:val="24"/>
        </w:rPr>
        <w:t>the</w:t>
      </w:r>
      <w:r w:rsidR="00B2026F" w:rsidRPr="00B2026F">
        <w:rPr>
          <w:color w:val="auto"/>
          <w:szCs w:val="24"/>
        </w:rPr>
        <w:t xml:space="preserve"> degree of impairment vary over time.</w:t>
      </w:r>
    </w:p>
    <w:p w:rsidR="002F6AD8" w:rsidRPr="001F29F9" w:rsidRDefault="002F6AD8" w:rsidP="00B2026F">
      <w:pPr>
        <w:jc w:val="both"/>
        <w:rPr>
          <w:color w:val="000000" w:themeColor="text1"/>
          <w:szCs w:val="24"/>
          <w:u w:val="single"/>
        </w:rPr>
      </w:pPr>
    </w:p>
    <w:p w:rsidR="00C7338B" w:rsidRDefault="00E141F4" w:rsidP="00761AD3">
      <w:pPr>
        <w:jc w:val="both"/>
        <w:rPr>
          <w:color w:val="000000" w:themeColor="text1"/>
          <w:szCs w:val="24"/>
        </w:rPr>
      </w:pPr>
      <w:r w:rsidRPr="00761AD3">
        <w:rPr>
          <w:color w:val="000000" w:themeColor="text1"/>
          <w:szCs w:val="24"/>
          <w:u w:val="single"/>
        </w:rPr>
        <w:t>Back</w:t>
      </w:r>
      <w:r w:rsidR="00761AD3">
        <w:rPr>
          <w:color w:val="000000" w:themeColor="text1"/>
          <w:szCs w:val="24"/>
          <w:u w:val="single"/>
        </w:rPr>
        <w:t xml:space="preserve"> </w:t>
      </w:r>
      <w:r w:rsidR="003F2EEE" w:rsidRPr="00761AD3">
        <w:rPr>
          <w:color w:val="000000" w:themeColor="text1"/>
          <w:szCs w:val="24"/>
          <w:u w:val="single"/>
        </w:rPr>
        <w:t>Condition</w:t>
      </w:r>
      <w:r w:rsidR="00761AD3">
        <w:rPr>
          <w:color w:val="000000" w:themeColor="text1"/>
          <w:szCs w:val="24"/>
        </w:rPr>
        <w:t>.</w:t>
      </w:r>
      <w:r w:rsidR="003F2EEE" w:rsidRPr="00761AD3">
        <w:rPr>
          <w:color w:val="000000" w:themeColor="text1"/>
          <w:szCs w:val="24"/>
        </w:rPr>
        <w:t xml:space="preserve"> </w:t>
      </w:r>
      <w:r w:rsidRPr="00761AD3">
        <w:rPr>
          <w:color w:val="000000" w:themeColor="text1"/>
          <w:szCs w:val="24"/>
        </w:rPr>
        <w:t xml:space="preserve">There were </w:t>
      </w:r>
      <w:r w:rsidR="00002CDF">
        <w:rPr>
          <w:color w:val="000000" w:themeColor="text1"/>
          <w:szCs w:val="24"/>
        </w:rPr>
        <w:t>two</w:t>
      </w:r>
      <w:r w:rsidR="00534E75">
        <w:rPr>
          <w:color w:val="000000" w:themeColor="text1"/>
          <w:szCs w:val="24"/>
        </w:rPr>
        <w:t xml:space="preserve"> range-of-</w:t>
      </w:r>
      <w:r w:rsidRPr="00761AD3">
        <w:rPr>
          <w:color w:val="000000" w:themeColor="text1"/>
          <w:szCs w:val="24"/>
        </w:rPr>
        <w:t>motion (ROM) evaluations in evidence, with documentation of additional ratable criteria, which the Board weighed in arriving at its rating recommendation</w:t>
      </w:r>
      <w:r w:rsidR="00761AD3">
        <w:rPr>
          <w:color w:val="000000" w:themeColor="text1"/>
          <w:szCs w:val="24"/>
        </w:rPr>
        <w:t>.</w:t>
      </w:r>
    </w:p>
    <w:p w:rsidR="00860A7E" w:rsidRDefault="00860A7E" w:rsidP="00761AD3">
      <w:pPr>
        <w:jc w:val="both"/>
        <w:rPr>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620"/>
        <w:gridCol w:w="2160"/>
        <w:gridCol w:w="3870"/>
      </w:tblGrid>
      <w:tr w:rsidR="00E74755" w:rsidRPr="001F29F9" w:rsidTr="00C97506">
        <w:tc>
          <w:tcPr>
            <w:tcW w:w="17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74755" w:rsidRPr="001F29F9" w:rsidRDefault="00E74755" w:rsidP="00E06839">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16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74755" w:rsidRPr="001F29F9" w:rsidRDefault="00E74755" w:rsidP="00E06839">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PT ~ </w:t>
            </w:r>
            <w:r w:rsidR="00B51A20">
              <w:rPr>
                <w:rFonts w:asciiTheme="minorHAnsi" w:eastAsia="Calibri" w:hAnsiTheme="minorHAnsi"/>
                <w:color w:val="000000" w:themeColor="text1"/>
                <w:sz w:val="18"/>
                <w:szCs w:val="18"/>
              </w:rPr>
              <w:t>8</w:t>
            </w:r>
            <w:r>
              <w:rPr>
                <w:rFonts w:asciiTheme="minorHAnsi" w:eastAsia="Calibri" w:hAnsiTheme="minorHAnsi"/>
                <w:color w:val="000000" w:themeColor="text1"/>
                <w:sz w:val="18"/>
                <w:szCs w:val="18"/>
              </w:rPr>
              <w:t xml:space="preserve"> </w:t>
            </w:r>
            <w:r w:rsidRPr="001F29F9">
              <w:rPr>
                <w:rFonts w:asciiTheme="minorHAnsi" w:eastAsia="Calibri" w:hAnsiTheme="minorHAnsi"/>
                <w:color w:val="000000" w:themeColor="text1"/>
                <w:sz w:val="18"/>
                <w:szCs w:val="18"/>
              </w:rPr>
              <w:t>Mo</w:t>
            </w:r>
            <w:r>
              <w:rPr>
                <w:rFonts w:asciiTheme="minorHAnsi" w:eastAsia="Calibri" w:hAnsiTheme="minorHAnsi"/>
                <w:color w:val="000000" w:themeColor="text1"/>
                <w:sz w:val="18"/>
                <w:szCs w:val="18"/>
              </w:rPr>
              <w:t>nths</w:t>
            </w:r>
            <w:r w:rsidRPr="001F29F9">
              <w:rPr>
                <w:rFonts w:asciiTheme="minorHAnsi" w:eastAsia="Calibri" w:hAnsiTheme="minorHAnsi"/>
                <w:color w:val="000000" w:themeColor="text1"/>
                <w:sz w:val="18"/>
                <w:szCs w:val="18"/>
              </w:rPr>
              <w:t xml:space="preserve"> Pre-Sep</w:t>
            </w:r>
            <w:r>
              <w:rPr>
                <w:rFonts w:asciiTheme="minorHAnsi" w:eastAsia="Calibri" w:hAnsiTheme="minorHAnsi"/>
                <w:color w:val="000000" w:themeColor="text1"/>
                <w:sz w:val="18"/>
                <w:szCs w:val="18"/>
              </w:rPr>
              <w:t>aration</w:t>
            </w:r>
          </w:p>
          <w:p w:rsidR="00E74755" w:rsidRPr="001F29F9" w:rsidRDefault="00E74755" w:rsidP="00B51A20">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20</w:t>
            </w:r>
            <w:r w:rsidR="00B51A20">
              <w:rPr>
                <w:rFonts w:asciiTheme="minorHAnsi" w:eastAsia="Calibri" w:hAnsiTheme="minorHAnsi"/>
                <w:color w:val="000000" w:themeColor="text1"/>
                <w:sz w:val="18"/>
                <w:szCs w:val="18"/>
              </w:rPr>
              <w:t>7</w:t>
            </w:r>
            <w:r>
              <w:rPr>
                <w:rFonts w:asciiTheme="minorHAnsi" w:eastAsia="Calibri" w:hAnsiTheme="minorHAnsi"/>
                <w:color w:val="000000" w:themeColor="text1"/>
                <w:sz w:val="18"/>
                <w:szCs w:val="18"/>
              </w:rPr>
              <w:t>26</w:t>
            </w:r>
            <w:r w:rsidRPr="001F29F9">
              <w:rPr>
                <w:rFonts w:asciiTheme="minorHAnsi" w:eastAsia="Calibri" w:hAnsiTheme="minorHAnsi"/>
                <w:color w:val="000000" w:themeColor="text1"/>
                <w:sz w:val="18"/>
                <w:szCs w:val="18"/>
              </w:rPr>
              <w:t>)</w:t>
            </w:r>
          </w:p>
        </w:tc>
        <w:tc>
          <w:tcPr>
            <w:tcW w:w="2160" w:type="dxa"/>
            <w:tcBorders>
              <w:top w:val="single" w:sz="4" w:space="0" w:color="000000"/>
              <w:left w:val="single" w:sz="4" w:space="0" w:color="000000"/>
              <w:bottom w:val="single" w:sz="4" w:space="0" w:color="000000"/>
              <w:right w:val="single" w:sz="4" w:space="0" w:color="000000"/>
            </w:tcBorders>
            <w:shd w:val="pct15" w:color="auto" w:fill="auto"/>
          </w:tcPr>
          <w:p w:rsidR="00E74755" w:rsidRDefault="00E74755"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MEB NARSUM  ~6 Months Pre-Separation</w:t>
            </w:r>
          </w:p>
          <w:p w:rsidR="00E74755" w:rsidRPr="001F29F9" w:rsidRDefault="00E74755"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(20021009)</w:t>
            </w:r>
          </w:p>
        </w:tc>
        <w:tc>
          <w:tcPr>
            <w:tcW w:w="38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74755" w:rsidRPr="001F29F9" w:rsidRDefault="00E74755" w:rsidP="00E06839">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1 Month</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Post</w:t>
            </w:r>
            <w:r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p w:rsidR="00E74755" w:rsidRPr="001F29F9" w:rsidRDefault="00E74755" w:rsidP="00AB22B8">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30522</w:t>
            </w:r>
            <w:r w:rsidRPr="001F29F9">
              <w:rPr>
                <w:rFonts w:asciiTheme="minorHAnsi" w:eastAsia="Calibri" w:hAnsiTheme="minorHAnsi"/>
                <w:color w:val="000000" w:themeColor="text1"/>
                <w:sz w:val="18"/>
                <w:szCs w:val="18"/>
              </w:rPr>
              <w:t>)</w:t>
            </w:r>
          </w:p>
        </w:tc>
      </w:tr>
      <w:tr w:rsidR="00C97506"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160" w:type="dxa"/>
            <w:vMerge w:val="restart"/>
            <w:tcBorders>
              <w:top w:val="single" w:sz="4" w:space="0" w:color="000000"/>
              <w:left w:val="single" w:sz="4" w:space="0" w:color="000000"/>
              <w:right w:val="single" w:sz="4" w:space="0" w:color="000000"/>
            </w:tcBorders>
          </w:tcPr>
          <w:p w:rsidR="00C97506"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 goniometric measurements</w:t>
            </w: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 (95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r w:rsidR="005A0C8F">
              <w:rPr>
                <w:rFonts w:asciiTheme="minorHAnsi" w:eastAsia="Calibri" w:hAnsiTheme="minorHAnsi"/>
                <w:color w:val="000000" w:themeColor="text1"/>
                <w:sz w:val="18"/>
                <w:szCs w:val="18"/>
              </w:rPr>
              <w:t xml:space="preserve"> with pain at full range</w:t>
            </w:r>
          </w:p>
        </w:tc>
      </w:tr>
      <w:tr w:rsidR="00C97506"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Pr="001F29F9">
              <w:rPr>
                <w:rFonts w:asciiTheme="minorHAnsi" w:eastAsia="Calibri" w:hAnsiTheme="minorHAnsi"/>
                <w:color w:val="000000" w:themeColor="text1"/>
                <w:sz w:val="18"/>
                <w:szCs w:val="18"/>
              </w:rPr>
              <w:t>⁰</w:t>
            </w:r>
          </w:p>
        </w:tc>
        <w:tc>
          <w:tcPr>
            <w:tcW w:w="2160" w:type="dxa"/>
            <w:vMerge/>
            <w:tcBorders>
              <w:left w:val="single" w:sz="4" w:space="0" w:color="000000"/>
              <w:right w:val="single" w:sz="4" w:space="0" w:color="000000"/>
            </w:tcBorders>
          </w:tcPr>
          <w:p w:rsidR="00C97506" w:rsidRDefault="00C97506" w:rsidP="00E06839">
            <w:pPr>
              <w:contextualSpacing/>
              <w:rPr>
                <w:rFonts w:asciiTheme="minorHAnsi" w:eastAsia="Calibr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(35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r>
      <w:tr w:rsidR="00C97506" w:rsidRPr="001F29F9" w:rsidTr="00C97506">
        <w:trPr>
          <w:trHeight w:val="188"/>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c>
          <w:tcPr>
            <w:tcW w:w="2160" w:type="dxa"/>
            <w:vMerge/>
            <w:tcBorders>
              <w:left w:val="single" w:sz="4" w:space="0" w:color="000000"/>
              <w:right w:val="single" w:sz="4" w:space="0" w:color="000000"/>
            </w:tcBorders>
          </w:tcPr>
          <w:p w:rsidR="00C97506" w:rsidRDefault="00C97506" w:rsidP="00E06839">
            <w:pPr>
              <w:contextualSpacing/>
              <w:rPr>
                <w:rFonts w:asciiTheme="minorHAnsi" w:eastAsia="Calibr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(40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r>
      <w:tr w:rsidR="00C97506"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160" w:type="dxa"/>
            <w:vMerge/>
            <w:tcBorders>
              <w:left w:val="single" w:sz="4" w:space="0" w:color="000000"/>
              <w:right w:val="single" w:sz="4" w:space="0" w:color="000000"/>
            </w:tcBorders>
          </w:tcPr>
          <w:p w:rsidR="00C97506" w:rsidRDefault="00C97506" w:rsidP="00E06839">
            <w:pPr>
              <w:contextualSpacing/>
              <w:rPr>
                <w:rFonts w:asciiTheme="minorHAnsi" w:eastAsia="Calibr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(40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r>
      <w:tr w:rsidR="00C97506"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(35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160" w:type="dxa"/>
            <w:vMerge/>
            <w:tcBorders>
              <w:left w:val="single" w:sz="4" w:space="0" w:color="000000"/>
              <w:right w:val="single" w:sz="4" w:space="0" w:color="000000"/>
            </w:tcBorders>
          </w:tcPr>
          <w:p w:rsidR="00C97506" w:rsidRDefault="00C97506" w:rsidP="00E06839">
            <w:pPr>
              <w:contextualSpacing/>
              <w:rPr>
                <w:rFonts w:asciiTheme="minorHAnsi" w:eastAsia="Calibr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(35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r>
      <w:tr w:rsidR="00C97506"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0683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160" w:type="dxa"/>
            <w:vMerge/>
            <w:tcBorders>
              <w:left w:val="single" w:sz="4" w:space="0" w:color="000000"/>
              <w:right w:val="single" w:sz="4" w:space="0" w:color="000000"/>
            </w:tcBorders>
          </w:tcPr>
          <w:p w:rsidR="00C97506" w:rsidRDefault="00C97506" w:rsidP="00AB22B8">
            <w:pPr>
              <w:contextualSpacing/>
              <w:rPr>
                <w:rFonts w:asciiTheme="minorHAnsi" w:eastAsia="Calibr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AB22B8">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(35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r>
      <w:tr w:rsidR="00C97506"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C97506" w:rsidRPr="001F29F9" w:rsidRDefault="00C97506"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62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003CC4">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135</w:t>
            </w:r>
            <w:r w:rsidRPr="001F29F9">
              <w:rPr>
                <w:rFonts w:eastAsia="Calibri" w:cstheme="minorHAnsi"/>
                <w:color w:val="000000" w:themeColor="text1"/>
                <w:sz w:val="18"/>
                <w:szCs w:val="18"/>
              </w:rPr>
              <w:t>⁰</w:t>
            </w:r>
          </w:p>
        </w:tc>
        <w:tc>
          <w:tcPr>
            <w:tcW w:w="2160" w:type="dxa"/>
            <w:vMerge/>
            <w:tcBorders>
              <w:left w:val="single" w:sz="4" w:space="0" w:color="000000"/>
              <w:bottom w:val="single" w:sz="4" w:space="0" w:color="000000"/>
              <w:right w:val="single" w:sz="4" w:space="0" w:color="000000"/>
            </w:tcBorders>
          </w:tcPr>
          <w:p w:rsidR="00C97506" w:rsidRDefault="00C97506" w:rsidP="00E74755">
            <w:pPr>
              <w:rPr>
                <w:rFonts w:asciiTheme="minorHAnsi" w:eastAsia="Calibr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C97506" w:rsidRPr="001F29F9" w:rsidRDefault="00C97506" w:rsidP="00E74755">
            <w:pPr>
              <w:rPr>
                <w:rFonts w:asciiTheme="minorHAnsi" w:hAnsiTheme="minorHAnsi"/>
                <w:color w:val="000000" w:themeColor="text1"/>
                <w:sz w:val="18"/>
                <w:szCs w:val="18"/>
              </w:rPr>
            </w:pPr>
            <w:r>
              <w:rPr>
                <w:rFonts w:asciiTheme="minorHAnsi" w:eastAsia="Calibri" w:hAnsiTheme="minorHAnsi"/>
                <w:color w:val="000000" w:themeColor="text1"/>
                <w:sz w:val="18"/>
                <w:szCs w:val="18"/>
              </w:rPr>
              <w:t>240</w:t>
            </w:r>
            <w:r w:rsidRPr="001F29F9">
              <w:rPr>
                <w:rFonts w:asciiTheme="minorHAnsi" w:eastAsia="Calibri" w:hAnsiTheme="minorHAnsi"/>
                <w:color w:val="000000" w:themeColor="text1"/>
                <w:sz w:val="18"/>
                <w:szCs w:val="18"/>
              </w:rPr>
              <w:t>⁰</w:t>
            </w:r>
          </w:p>
        </w:tc>
      </w:tr>
      <w:tr w:rsidR="00E74755"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E74755" w:rsidRPr="001F29F9" w:rsidRDefault="00E74755"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1620" w:type="dxa"/>
            <w:tcBorders>
              <w:top w:val="single" w:sz="4" w:space="0" w:color="000000"/>
              <w:left w:val="single" w:sz="4" w:space="0" w:color="000000"/>
              <w:bottom w:val="single" w:sz="4" w:space="0" w:color="000000"/>
              <w:right w:val="single" w:sz="4" w:space="0" w:color="000000"/>
            </w:tcBorders>
          </w:tcPr>
          <w:p w:rsidR="00E74755" w:rsidRDefault="00E74755" w:rsidP="002B1EB1">
            <w:pPr>
              <w:tabs>
                <w:tab w:val="left" w:pos="288"/>
                <w:tab w:val="left" w:pos="4752"/>
              </w:tabs>
              <w:spacing w:line="240" w:lineRule="auto"/>
              <w:jc w:val="left"/>
              <w:rPr>
                <w:rFonts w:asciiTheme="minorHAnsi" w:eastAsiaTheme="minorHAnsi" w:hAnsiTheme="minorHAnsi"/>
                <w:color w:val="000000" w:themeColor="text1"/>
                <w:sz w:val="18"/>
                <w:szCs w:val="18"/>
              </w:rPr>
            </w:pPr>
            <w:r w:rsidRPr="005907AB">
              <w:rPr>
                <w:rFonts w:asciiTheme="minorHAnsi" w:eastAsiaTheme="minorHAnsi" w:hAnsiTheme="minorHAnsi"/>
                <w:color w:val="auto"/>
                <w:sz w:val="18"/>
                <w:szCs w:val="18"/>
              </w:rPr>
              <w:t xml:space="preserve">Increased lumbar </w:t>
            </w:r>
            <w:proofErr w:type="spellStart"/>
            <w:r w:rsidRPr="005907AB">
              <w:rPr>
                <w:rFonts w:asciiTheme="minorHAnsi" w:eastAsiaTheme="minorHAnsi" w:hAnsiTheme="minorHAnsi"/>
                <w:color w:val="auto"/>
                <w:sz w:val="18"/>
                <w:szCs w:val="18"/>
              </w:rPr>
              <w:t>lordosis</w:t>
            </w:r>
            <w:proofErr w:type="spellEnd"/>
            <w:r w:rsidR="00B51A20">
              <w:rPr>
                <w:rFonts w:asciiTheme="minorHAnsi" w:eastAsiaTheme="minorHAnsi" w:hAnsiTheme="minorHAnsi"/>
                <w:color w:val="000000" w:themeColor="text1"/>
                <w:sz w:val="18"/>
                <w:szCs w:val="18"/>
              </w:rPr>
              <w:t>; i</w:t>
            </w:r>
            <w:r>
              <w:rPr>
                <w:rFonts w:asciiTheme="minorHAnsi" w:eastAsiaTheme="minorHAnsi" w:hAnsiTheme="minorHAnsi"/>
                <w:color w:val="000000" w:themeColor="text1"/>
                <w:sz w:val="18"/>
                <w:szCs w:val="18"/>
              </w:rPr>
              <w:t>ncreased pain with running and l</w:t>
            </w:r>
            <w:r w:rsidR="00B51A20">
              <w:rPr>
                <w:rFonts w:asciiTheme="minorHAnsi" w:eastAsiaTheme="minorHAnsi" w:hAnsiTheme="minorHAnsi"/>
                <w:color w:val="000000" w:themeColor="text1"/>
                <w:sz w:val="18"/>
                <w:szCs w:val="18"/>
              </w:rPr>
              <w:t xml:space="preserve">ong distance driving; back pain with radiculopathy to bilateral lower extremities; </w:t>
            </w:r>
            <w:r>
              <w:rPr>
                <w:rFonts w:asciiTheme="minorHAnsi" w:eastAsiaTheme="minorHAnsi" w:hAnsiTheme="minorHAnsi"/>
                <w:color w:val="000000" w:themeColor="text1"/>
                <w:sz w:val="18"/>
                <w:szCs w:val="18"/>
              </w:rPr>
              <w:t xml:space="preserve">One episode of five </w:t>
            </w:r>
            <w:r w:rsidR="003C2B5F">
              <w:rPr>
                <w:rFonts w:asciiTheme="minorHAnsi" w:eastAsiaTheme="minorHAnsi" w:hAnsiTheme="minorHAnsi"/>
                <w:color w:val="000000" w:themeColor="text1"/>
                <w:sz w:val="18"/>
                <w:szCs w:val="18"/>
              </w:rPr>
              <w:t>minutes loss of motor function</w:t>
            </w:r>
          </w:p>
          <w:p w:rsidR="00E74755" w:rsidRPr="005907AB" w:rsidRDefault="00E74755" w:rsidP="002B1EB1">
            <w:pPr>
              <w:tabs>
                <w:tab w:val="left" w:pos="288"/>
                <w:tab w:val="left" w:pos="4752"/>
              </w:tabs>
              <w:spacing w:line="240" w:lineRule="auto"/>
              <w:jc w:val="left"/>
              <w:rPr>
                <w:rFonts w:asciiTheme="minorHAnsi" w:eastAsiaTheme="minorHAnsi" w:hAnsiTheme="minorHAnsi"/>
                <w:i/>
                <w:color w:val="7030A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E74755" w:rsidRDefault="00E74755" w:rsidP="00C97506">
            <w:pPr>
              <w:autoSpaceDE w:val="0"/>
              <w:autoSpaceDN w:val="0"/>
              <w:adjustRightInd w:val="0"/>
              <w:spacing w:line="240" w:lineRule="auto"/>
              <w:jc w:val="left"/>
              <w:rPr>
                <w:rFonts w:cs="Times New Roman"/>
                <w:color w:val="000000" w:themeColor="text1"/>
                <w:sz w:val="18"/>
                <w:szCs w:val="18"/>
              </w:rPr>
            </w:pPr>
            <w:r>
              <w:rPr>
                <w:rFonts w:cs="Times New Roman"/>
                <w:color w:val="000000" w:themeColor="text1"/>
                <w:sz w:val="18"/>
                <w:szCs w:val="18"/>
              </w:rPr>
              <w:t xml:space="preserve">Normal range of motion; </w:t>
            </w:r>
            <w:r w:rsidR="00C97506">
              <w:rPr>
                <w:rFonts w:cs="Times New Roman"/>
                <w:color w:val="000000" w:themeColor="text1"/>
                <w:sz w:val="18"/>
                <w:szCs w:val="18"/>
              </w:rPr>
              <w:t xml:space="preserve">no assessment of pain with motion; </w:t>
            </w:r>
            <w:r>
              <w:rPr>
                <w:rFonts w:cs="Times New Roman"/>
                <w:color w:val="000000" w:themeColor="text1"/>
                <w:sz w:val="18"/>
                <w:szCs w:val="18"/>
              </w:rPr>
              <w:t>intermittent bilateral lower extremity radiculopathy; no muscle atrophy or neurologic compromise below the waist</w:t>
            </w:r>
            <w:r w:rsidR="00C97506">
              <w:rPr>
                <w:rFonts w:cs="Times New Roman"/>
                <w:color w:val="000000" w:themeColor="text1"/>
                <w:sz w:val="18"/>
                <w:szCs w:val="18"/>
              </w:rPr>
              <w:t>; unable to wear a fla</w:t>
            </w:r>
            <w:r w:rsidR="005A0C8F">
              <w:rPr>
                <w:rFonts w:cs="Times New Roman"/>
                <w:color w:val="000000" w:themeColor="text1"/>
                <w:sz w:val="18"/>
                <w:szCs w:val="18"/>
              </w:rPr>
              <w:t>k vest without pain; MEB DD2808</w:t>
            </w:r>
            <w:r w:rsidR="00C97506">
              <w:rPr>
                <w:rFonts w:cs="Times New Roman"/>
                <w:color w:val="000000" w:themeColor="text1"/>
                <w:sz w:val="18"/>
                <w:szCs w:val="18"/>
              </w:rPr>
              <w:t>:</w:t>
            </w:r>
            <w:r w:rsidR="005A0C8F">
              <w:rPr>
                <w:rFonts w:cs="Times New Roman"/>
                <w:color w:val="000000" w:themeColor="text1"/>
                <w:sz w:val="18"/>
                <w:szCs w:val="18"/>
              </w:rPr>
              <w:t xml:space="preserve"> </w:t>
            </w:r>
            <w:r w:rsidR="00C97506">
              <w:rPr>
                <w:rFonts w:cs="Times New Roman"/>
                <w:color w:val="000000" w:themeColor="text1"/>
                <w:sz w:val="18"/>
                <w:szCs w:val="18"/>
              </w:rPr>
              <w:t>negative SLR; motor 4/4 at knees, 3/4  at ankles</w:t>
            </w:r>
            <w:r w:rsidR="00B51A20">
              <w:rPr>
                <w:rFonts w:cs="Times New Roman"/>
                <w:color w:val="000000" w:themeColor="text1"/>
                <w:sz w:val="18"/>
                <w:szCs w:val="18"/>
              </w:rPr>
              <w:t>; IPEB stated pain on motion</w:t>
            </w:r>
          </w:p>
        </w:tc>
        <w:tc>
          <w:tcPr>
            <w:tcW w:w="3870" w:type="dxa"/>
            <w:tcBorders>
              <w:top w:val="single" w:sz="4" w:space="0" w:color="000000"/>
              <w:left w:val="single" w:sz="4" w:space="0" w:color="000000"/>
              <w:bottom w:val="single" w:sz="4" w:space="0" w:color="000000"/>
              <w:right w:val="single" w:sz="4" w:space="0" w:color="000000"/>
            </w:tcBorders>
            <w:vAlign w:val="center"/>
          </w:tcPr>
          <w:p w:rsidR="00E74755" w:rsidRPr="001F29F9" w:rsidRDefault="005A0C8F" w:rsidP="005A0C8F">
            <w:pPr>
              <w:autoSpaceDE w:val="0"/>
              <w:autoSpaceDN w:val="0"/>
              <w:adjustRightInd w:val="0"/>
              <w:spacing w:line="240" w:lineRule="auto"/>
              <w:jc w:val="left"/>
              <w:rPr>
                <w:rFonts w:asciiTheme="minorHAnsi" w:eastAsiaTheme="minorHAnsi" w:hAnsiTheme="minorHAnsi"/>
                <w:color w:val="000000" w:themeColor="text1"/>
                <w:sz w:val="18"/>
                <w:szCs w:val="18"/>
              </w:rPr>
            </w:pPr>
            <w:r>
              <w:rPr>
                <w:rFonts w:cs="Times New Roman"/>
                <w:color w:val="000000" w:themeColor="text1"/>
                <w:sz w:val="18"/>
                <w:szCs w:val="18"/>
              </w:rPr>
              <w:t>Pain with flexion; m</w:t>
            </w:r>
            <w:r w:rsidR="00CF131A">
              <w:rPr>
                <w:rFonts w:cs="Times New Roman"/>
                <w:color w:val="000000" w:themeColor="text1"/>
                <w:sz w:val="18"/>
                <w:szCs w:val="18"/>
              </w:rPr>
              <w:t>uscle</w:t>
            </w:r>
            <w:r w:rsidR="00E74755" w:rsidRPr="00AB22B8">
              <w:rPr>
                <w:rFonts w:cs="Times New Roman"/>
                <w:color w:val="000000" w:themeColor="text1"/>
                <w:sz w:val="18"/>
                <w:szCs w:val="18"/>
              </w:rPr>
              <w:t xml:space="preserve"> spasm and</w:t>
            </w:r>
            <w:r w:rsidR="00E74755">
              <w:rPr>
                <w:rFonts w:cs="Times New Roman"/>
                <w:color w:val="000000" w:themeColor="text1"/>
                <w:sz w:val="18"/>
                <w:szCs w:val="18"/>
              </w:rPr>
              <w:t xml:space="preserve"> </w:t>
            </w:r>
            <w:r w:rsidR="00E74755" w:rsidRPr="00AB22B8">
              <w:rPr>
                <w:rFonts w:cs="Times New Roman"/>
                <w:color w:val="000000" w:themeColor="text1"/>
                <w:sz w:val="18"/>
                <w:szCs w:val="18"/>
              </w:rPr>
              <w:t xml:space="preserve">tenderness around the </w:t>
            </w:r>
            <w:proofErr w:type="spellStart"/>
            <w:r w:rsidR="00E74755" w:rsidRPr="00AB22B8">
              <w:rPr>
                <w:rFonts w:cs="Times New Roman"/>
                <w:color w:val="000000" w:themeColor="text1"/>
                <w:sz w:val="18"/>
                <w:szCs w:val="18"/>
              </w:rPr>
              <w:t>paralumbar</w:t>
            </w:r>
            <w:proofErr w:type="spellEnd"/>
            <w:r w:rsidR="00E74755" w:rsidRPr="00AB22B8">
              <w:rPr>
                <w:rFonts w:cs="Times New Roman"/>
                <w:color w:val="000000" w:themeColor="text1"/>
                <w:sz w:val="18"/>
                <w:szCs w:val="18"/>
              </w:rPr>
              <w:t xml:space="preserve"> area</w:t>
            </w:r>
            <w:r w:rsidR="00CF131A">
              <w:rPr>
                <w:rFonts w:cs="Times New Roman"/>
                <w:color w:val="000000" w:themeColor="text1"/>
                <w:sz w:val="18"/>
                <w:szCs w:val="18"/>
              </w:rPr>
              <w:t xml:space="preserve">; </w:t>
            </w:r>
            <w:r w:rsidR="00E74755" w:rsidRPr="00AB22B8">
              <w:rPr>
                <w:rFonts w:cs="Times New Roman"/>
                <w:color w:val="000000" w:themeColor="text1"/>
                <w:sz w:val="18"/>
                <w:szCs w:val="18"/>
              </w:rPr>
              <w:t>radiation of pain on</w:t>
            </w:r>
            <w:r w:rsidR="00E74755">
              <w:rPr>
                <w:rFonts w:cs="Times New Roman"/>
                <w:color w:val="000000" w:themeColor="text1"/>
                <w:sz w:val="18"/>
                <w:szCs w:val="18"/>
              </w:rPr>
              <w:t xml:space="preserve"> </w:t>
            </w:r>
            <w:r w:rsidR="00CF131A">
              <w:rPr>
                <w:rFonts w:cs="Times New Roman"/>
                <w:color w:val="000000" w:themeColor="text1"/>
                <w:sz w:val="18"/>
                <w:szCs w:val="18"/>
              </w:rPr>
              <w:t xml:space="preserve">movement; </w:t>
            </w:r>
            <w:r w:rsidR="00E74755" w:rsidRPr="00AB22B8">
              <w:rPr>
                <w:rFonts w:cs="Times New Roman"/>
                <w:color w:val="000000" w:themeColor="text1"/>
                <w:sz w:val="18"/>
                <w:szCs w:val="18"/>
              </w:rPr>
              <w:t>Straight</w:t>
            </w:r>
            <w:r w:rsidR="00CF131A">
              <w:rPr>
                <w:rFonts w:cs="Times New Roman"/>
                <w:color w:val="000000" w:themeColor="text1"/>
                <w:sz w:val="18"/>
                <w:szCs w:val="18"/>
              </w:rPr>
              <w:t xml:space="preserve"> leg raising test was </w:t>
            </w:r>
            <w:r>
              <w:rPr>
                <w:rFonts w:cs="Times New Roman"/>
                <w:color w:val="000000" w:themeColor="text1"/>
                <w:sz w:val="18"/>
                <w:szCs w:val="18"/>
              </w:rPr>
              <w:t>negative;</w:t>
            </w:r>
            <w:r w:rsidR="00CF131A">
              <w:rPr>
                <w:rFonts w:cs="Times New Roman"/>
                <w:color w:val="000000" w:themeColor="text1"/>
                <w:sz w:val="18"/>
                <w:szCs w:val="18"/>
              </w:rPr>
              <w:t xml:space="preserve"> no</w:t>
            </w:r>
            <w:r>
              <w:rPr>
                <w:rFonts w:cs="Times New Roman"/>
                <w:color w:val="000000" w:themeColor="text1"/>
                <w:sz w:val="18"/>
                <w:szCs w:val="18"/>
              </w:rPr>
              <w:t xml:space="preserve"> </w:t>
            </w:r>
            <w:r w:rsidR="00E74755" w:rsidRPr="00AB22B8">
              <w:rPr>
                <w:rFonts w:cs="Times New Roman"/>
                <w:color w:val="000000" w:themeColor="text1"/>
                <w:sz w:val="18"/>
                <w:szCs w:val="18"/>
              </w:rPr>
              <w:t>sign of radiculopathy</w:t>
            </w:r>
            <w:r>
              <w:rPr>
                <w:rFonts w:cs="Times New Roman"/>
                <w:color w:val="000000" w:themeColor="text1"/>
                <w:sz w:val="18"/>
                <w:szCs w:val="18"/>
              </w:rPr>
              <w:t>; r</w:t>
            </w:r>
            <w:r w:rsidR="00E74755" w:rsidRPr="00AB22B8">
              <w:rPr>
                <w:rFonts w:cs="Times New Roman"/>
                <w:color w:val="000000" w:themeColor="text1"/>
                <w:sz w:val="18"/>
                <w:szCs w:val="18"/>
              </w:rPr>
              <w:t xml:space="preserve">ange of motion </w:t>
            </w:r>
            <w:r w:rsidR="00E74755">
              <w:rPr>
                <w:rFonts w:cs="Times New Roman"/>
                <w:color w:val="000000" w:themeColor="text1"/>
                <w:sz w:val="18"/>
                <w:szCs w:val="18"/>
              </w:rPr>
              <w:t>was</w:t>
            </w:r>
            <w:r>
              <w:rPr>
                <w:rFonts w:cs="Times New Roman"/>
                <w:color w:val="000000" w:themeColor="text1"/>
                <w:sz w:val="18"/>
                <w:szCs w:val="18"/>
              </w:rPr>
              <w:t xml:space="preserve"> normal; </w:t>
            </w:r>
            <w:r w:rsidR="00E74755" w:rsidRPr="00AB22B8">
              <w:rPr>
                <w:rFonts w:cs="Times New Roman"/>
                <w:color w:val="000000" w:themeColor="text1"/>
                <w:sz w:val="18"/>
                <w:szCs w:val="18"/>
              </w:rPr>
              <w:t xml:space="preserve">range of motion </w:t>
            </w:r>
            <w:r w:rsidR="00E74755">
              <w:rPr>
                <w:rFonts w:cs="Times New Roman"/>
                <w:color w:val="000000" w:themeColor="text1"/>
                <w:sz w:val="18"/>
                <w:szCs w:val="18"/>
              </w:rPr>
              <w:t>was</w:t>
            </w:r>
            <w:r w:rsidR="00E74755" w:rsidRPr="00AB22B8">
              <w:rPr>
                <w:rFonts w:cs="Times New Roman"/>
                <w:color w:val="000000" w:themeColor="text1"/>
                <w:sz w:val="18"/>
                <w:szCs w:val="18"/>
              </w:rPr>
              <w:t xml:space="preserve"> additionally limited by pain but not</w:t>
            </w:r>
            <w:r w:rsidR="00E74755">
              <w:rPr>
                <w:rFonts w:cs="Times New Roman"/>
                <w:color w:val="000000" w:themeColor="text1"/>
                <w:sz w:val="18"/>
                <w:szCs w:val="18"/>
              </w:rPr>
              <w:t xml:space="preserve"> </w:t>
            </w:r>
            <w:r w:rsidR="00E74755" w:rsidRPr="00AB22B8">
              <w:rPr>
                <w:rFonts w:cs="Times New Roman"/>
                <w:color w:val="000000" w:themeColor="text1"/>
                <w:sz w:val="18"/>
                <w:szCs w:val="18"/>
              </w:rPr>
              <w:t>fatigue, weakness, lack o</w:t>
            </w:r>
            <w:r>
              <w:rPr>
                <w:rFonts w:cs="Times New Roman"/>
                <w:color w:val="000000" w:themeColor="text1"/>
                <w:sz w:val="18"/>
                <w:szCs w:val="18"/>
              </w:rPr>
              <w:t xml:space="preserve">f endurance, or </w:t>
            </w:r>
            <w:proofErr w:type="spellStart"/>
            <w:r>
              <w:rPr>
                <w:rFonts w:cs="Times New Roman"/>
                <w:color w:val="000000" w:themeColor="text1"/>
                <w:sz w:val="18"/>
                <w:szCs w:val="18"/>
              </w:rPr>
              <w:t>incoordination</w:t>
            </w:r>
            <w:proofErr w:type="spellEnd"/>
            <w:r>
              <w:rPr>
                <w:rFonts w:cs="Times New Roman"/>
                <w:color w:val="000000" w:themeColor="text1"/>
                <w:sz w:val="18"/>
                <w:szCs w:val="18"/>
              </w:rPr>
              <w:t xml:space="preserve">; </w:t>
            </w:r>
            <w:r w:rsidR="00E74755" w:rsidRPr="00AB22B8">
              <w:rPr>
                <w:rFonts w:cs="Times New Roman"/>
                <w:color w:val="000000" w:themeColor="text1"/>
                <w:sz w:val="18"/>
                <w:szCs w:val="18"/>
              </w:rPr>
              <w:t>no ankylosis</w:t>
            </w:r>
            <w:r>
              <w:rPr>
                <w:rFonts w:cs="Times New Roman"/>
                <w:color w:val="000000" w:themeColor="text1"/>
                <w:sz w:val="18"/>
                <w:szCs w:val="18"/>
              </w:rPr>
              <w:t xml:space="preserve">; motor, sensory, and reflexes were normal in upper and lower extremities; X-rays show </w:t>
            </w:r>
            <w:proofErr w:type="spellStart"/>
            <w:r>
              <w:rPr>
                <w:rFonts w:cs="Times New Roman"/>
                <w:color w:val="000000" w:themeColor="text1"/>
                <w:sz w:val="18"/>
                <w:szCs w:val="18"/>
              </w:rPr>
              <w:t>spondylolisthesis</w:t>
            </w:r>
            <w:proofErr w:type="spellEnd"/>
            <w:r>
              <w:rPr>
                <w:rFonts w:cs="Times New Roman"/>
                <w:color w:val="000000" w:themeColor="text1"/>
                <w:sz w:val="18"/>
                <w:szCs w:val="18"/>
              </w:rPr>
              <w:t xml:space="preserve"> of L5-S1, grade I and </w:t>
            </w:r>
            <w:proofErr w:type="spellStart"/>
            <w:r>
              <w:rPr>
                <w:rFonts w:cs="Times New Roman"/>
                <w:color w:val="000000" w:themeColor="text1"/>
                <w:sz w:val="18"/>
                <w:szCs w:val="18"/>
              </w:rPr>
              <w:t>spondylolysis</w:t>
            </w:r>
            <w:proofErr w:type="spellEnd"/>
          </w:p>
        </w:tc>
      </w:tr>
      <w:tr w:rsidR="00E74755"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hideMark/>
          </w:tcPr>
          <w:p w:rsidR="00E74755" w:rsidRPr="001F29F9" w:rsidRDefault="00E74755" w:rsidP="00E0683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1620" w:type="dxa"/>
            <w:tcBorders>
              <w:top w:val="single" w:sz="4" w:space="0" w:color="000000"/>
              <w:left w:val="single" w:sz="4" w:space="0" w:color="000000"/>
              <w:bottom w:val="single" w:sz="4" w:space="0" w:color="000000"/>
              <w:right w:val="single" w:sz="4" w:space="0" w:color="000000"/>
            </w:tcBorders>
            <w:vAlign w:val="center"/>
          </w:tcPr>
          <w:p w:rsidR="00E74755" w:rsidRPr="001F29F9" w:rsidRDefault="00E74755" w:rsidP="00E06839">
            <w:pPr>
              <w:tabs>
                <w:tab w:val="left" w:pos="288"/>
                <w:tab w:val="left" w:pos="4752"/>
              </w:tabs>
              <w:rPr>
                <w:rFonts w:asciiTheme="minorHAnsi" w:eastAsiaTheme="minorHAnsi" w:hAnsiTheme="minorHAnsi"/>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E74755" w:rsidRDefault="00B51A20" w:rsidP="00003CC4">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 assigned</w:t>
            </w:r>
          </w:p>
        </w:tc>
        <w:tc>
          <w:tcPr>
            <w:tcW w:w="3870" w:type="dxa"/>
            <w:tcBorders>
              <w:top w:val="single" w:sz="4" w:space="0" w:color="000000"/>
              <w:left w:val="single" w:sz="4" w:space="0" w:color="000000"/>
              <w:bottom w:val="single" w:sz="4" w:space="0" w:color="000000"/>
              <w:right w:val="single" w:sz="4" w:space="0" w:color="000000"/>
            </w:tcBorders>
            <w:vAlign w:val="center"/>
          </w:tcPr>
          <w:p w:rsidR="00E74755" w:rsidRPr="001F29F9" w:rsidRDefault="00B51A20" w:rsidP="00B51A20">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 assigned</w:t>
            </w:r>
          </w:p>
        </w:tc>
      </w:tr>
      <w:tr w:rsidR="00E74755"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tcPr>
          <w:p w:rsidR="00E74755" w:rsidRPr="001F29F9" w:rsidRDefault="00E74755" w:rsidP="00E06839">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 xml:space="preserve"> 2002 VASRD 5295</w:t>
            </w:r>
          </w:p>
        </w:tc>
        <w:tc>
          <w:tcPr>
            <w:tcW w:w="1620" w:type="dxa"/>
            <w:tcBorders>
              <w:top w:val="single" w:sz="4" w:space="0" w:color="000000"/>
              <w:left w:val="single" w:sz="4" w:space="0" w:color="000000"/>
              <w:bottom w:val="single" w:sz="4" w:space="0" w:color="000000"/>
              <w:right w:val="single" w:sz="4" w:space="0" w:color="000000"/>
            </w:tcBorders>
            <w:vAlign w:val="center"/>
          </w:tcPr>
          <w:p w:rsidR="00E74755" w:rsidRDefault="00E74755" w:rsidP="00E06839">
            <w:pPr>
              <w:tabs>
                <w:tab w:val="left" w:pos="288"/>
                <w:tab w:val="left" w:pos="4752"/>
              </w:tabs>
              <w:rPr>
                <w:rFonts w:asciiTheme="minorHAnsi" w:eastAsiaTheme="minorHAnsi" w:hAnsiTheme="minorHAnsi"/>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E74755" w:rsidRDefault="00B51A20" w:rsidP="00003CC4">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3870" w:type="dxa"/>
            <w:tcBorders>
              <w:top w:val="single" w:sz="4" w:space="0" w:color="000000"/>
              <w:left w:val="single" w:sz="4" w:space="0" w:color="000000"/>
              <w:bottom w:val="single" w:sz="4" w:space="0" w:color="000000"/>
              <w:right w:val="single" w:sz="4" w:space="0" w:color="000000"/>
            </w:tcBorders>
            <w:vAlign w:val="center"/>
          </w:tcPr>
          <w:p w:rsidR="00E74755" w:rsidRDefault="005A0C8F" w:rsidP="00003CC4">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r>
      <w:tr w:rsidR="00E74755" w:rsidRPr="001F29F9" w:rsidTr="00C97506">
        <w:tc>
          <w:tcPr>
            <w:tcW w:w="1728" w:type="dxa"/>
            <w:tcBorders>
              <w:top w:val="single" w:sz="4" w:space="0" w:color="000000"/>
              <w:left w:val="single" w:sz="4" w:space="0" w:color="000000"/>
              <w:bottom w:val="single" w:sz="4" w:space="0" w:color="000000"/>
              <w:right w:val="single" w:sz="4" w:space="0" w:color="000000"/>
            </w:tcBorders>
            <w:vAlign w:val="center"/>
          </w:tcPr>
          <w:p w:rsidR="00E74755" w:rsidRDefault="00E74755" w:rsidP="00003CC4">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2002 VASRD 5292</w:t>
            </w:r>
          </w:p>
        </w:tc>
        <w:tc>
          <w:tcPr>
            <w:tcW w:w="1620" w:type="dxa"/>
            <w:tcBorders>
              <w:top w:val="single" w:sz="4" w:space="0" w:color="000000"/>
              <w:left w:val="single" w:sz="4" w:space="0" w:color="000000"/>
              <w:bottom w:val="single" w:sz="4" w:space="0" w:color="000000"/>
              <w:right w:val="single" w:sz="4" w:space="0" w:color="000000"/>
            </w:tcBorders>
            <w:vAlign w:val="center"/>
          </w:tcPr>
          <w:p w:rsidR="00E74755" w:rsidRDefault="00B51A20" w:rsidP="00E0683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40% if severe</w:t>
            </w:r>
          </w:p>
        </w:tc>
        <w:tc>
          <w:tcPr>
            <w:tcW w:w="2160" w:type="dxa"/>
            <w:tcBorders>
              <w:top w:val="single" w:sz="4" w:space="0" w:color="000000"/>
              <w:left w:val="single" w:sz="4" w:space="0" w:color="000000"/>
              <w:bottom w:val="single" w:sz="4" w:space="0" w:color="000000"/>
              <w:right w:val="single" w:sz="4" w:space="0" w:color="000000"/>
            </w:tcBorders>
          </w:tcPr>
          <w:p w:rsidR="00E74755" w:rsidRDefault="00E74755" w:rsidP="00003CC4">
            <w:pPr>
              <w:tabs>
                <w:tab w:val="left" w:pos="288"/>
                <w:tab w:val="left" w:pos="4752"/>
              </w:tabs>
              <w:rPr>
                <w:rFonts w:asciiTheme="minorHAnsi" w:eastAsiaTheme="minorHAnsi" w:hAnsiTheme="minorHAnsi"/>
                <w:color w:val="000000" w:themeColor="text1"/>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E74755" w:rsidRDefault="00E74755" w:rsidP="00003CC4">
            <w:pPr>
              <w:tabs>
                <w:tab w:val="left" w:pos="288"/>
                <w:tab w:val="left" w:pos="4752"/>
              </w:tabs>
              <w:rPr>
                <w:rFonts w:asciiTheme="minorHAnsi" w:eastAsiaTheme="minorHAnsi" w:hAnsiTheme="minorHAnsi"/>
                <w:color w:val="000000" w:themeColor="text1"/>
                <w:sz w:val="18"/>
                <w:szCs w:val="18"/>
              </w:rPr>
            </w:pPr>
          </w:p>
        </w:tc>
      </w:tr>
    </w:tbl>
    <w:p w:rsidR="00C7338B" w:rsidRDefault="00C7338B" w:rsidP="00761AD3">
      <w:pPr>
        <w:jc w:val="both"/>
        <w:rPr>
          <w:color w:val="000000" w:themeColor="text1"/>
          <w:szCs w:val="24"/>
        </w:rPr>
      </w:pPr>
    </w:p>
    <w:p w:rsidR="00C7338B" w:rsidRPr="00D15F85" w:rsidRDefault="00EC71A7" w:rsidP="00761AD3">
      <w:pPr>
        <w:jc w:val="both"/>
        <w:rPr>
          <w:color w:val="000000" w:themeColor="text1"/>
          <w:szCs w:val="24"/>
        </w:rPr>
      </w:pPr>
      <w:r w:rsidRPr="002412F1">
        <w:rPr>
          <w:color w:val="000000" w:themeColor="text1"/>
          <w:szCs w:val="24"/>
        </w:rPr>
        <w:t xml:space="preserve">The </w:t>
      </w:r>
      <w:r w:rsidRPr="00D15F85">
        <w:rPr>
          <w:color w:val="000000" w:themeColor="text1"/>
          <w:szCs w:val="24"/>
        </w:rPr>
        <w:t xml:space="preserve">MEB </w:t>
      </w:r>
      <w:r w:rsidR="00534E75">
        <w:rPr>
          <w:color w:val="000000" w:themeColor="text1"/>
          <w:szCs w:val="24"/>
        </w:rPr>
        <w:t>narrative summary (</w:t>
      </w:r>
      <w:r w:rsidRPr="00D15F85">
        <w:rPr>
          <w:color w:val="000000" w:themeColor="text1"/>
          <w:szCs w:val="24"/>
        </w:rPr>
        <w:t>NARSUM</w:t>
      </w:r>
      <w:r w:rsidR="00534E75">
        <w:rPr>
          <w:color w:val="000000" w:themeColor="text1"/>
          <w:szCs w:val="24"/>
        </w:rPr>
        <w:t>)</w:t>
      </w:r>
      <w:r w:rsidRPr="00D15F85">
        <w:rPr>
          <w:color w:val="000000" w:themeColor="text1"/>
          <w:szCs w:val="24"/>
        </w:rPr>
        <w:t xml:space="preserve"> exam was completed in October 2002, </w:t>
      </w:r>
      <w:r w:rsidR="00534E75">
        <w:rPr>
          <w:color w:val="000000" w:themeColor="text1"/>
          <w:szCs w:val="24"/>
        </w:rPr>
        <w:t>6</w:t>
      </w:r>
      <w:r w:rsidRPr="00D15F85">
        <w:rPr>
          <w:color w:val="000000" w:themeColor="text1"/>
          <w:szCs w:val="24"/>
        </w:rPr>
        <w:t xml:space="preserve"> months prior to separation. </w:t>
      </w:r>
      <w:r w:rsidR="00534E75">
        <w:rPr>
          <w:color w:val="000000" w:themeColor="text1"/>
          <w:szCs w:val="24"/>
        </w:rPr>
        <w:t xml:space="preserve"> </w:t>
      </w:r>
      <w:r w:rsidRPr="00D15F85">
        <w:rPr>
          <w:color w:val="000000" w:themeColor="text1"/>
          <w:szCs w:val="24"/>
        </w:rPr>
        <w:t xml:space="preserve">The CI’s back pain started after doing log physical training in 1999. </w:t>
      </w:r>
      <w:r w:rsidR="00534E75">
        <w:rPr>
          <w:color w:val="000000" w:themeColor="text1"/>
          <w:szCs w:val="24"/>
        </w:rPr>
        <w:t xml:space="preserve"> </w:t>
      </w:r>
      <w:r w:rsidRPr="00D15F85">
        <w:rPr>
          <w:color w:val="000000" w:themeColor="text1"/>
          <w:szCs w:val="24"/>
        </w:rPr>
        <w:t xml:space="preserve">He was treated conservatively with </w:t>
      </w:r>
      <w:proofErr w:type="spellStart"/>
      <w:r w:rsidRPr="00D15F85">
        <w:rPr>
          <w:color w:val="000000" w:themeColor="text1"/>
          <w:szCs w:val="24"/>
        </w:rPr>
        <w:t>nonsteroidal</w:t>
      </w:r>
      <w:proofErr w:type="spellEnd"/>
      <w:r w:rsidRPr="00D15F85">
        <w:rPr>
          <w:color w:val="000000" w:themeColor="text1"/>
          <w:szCs w:val="24"/>
        </w:rPr>
        <w:t xml:space="preserve"> anti-inflammatory medications and physical therapy but his pain did not resolve. </w:t>
      </w:r>
      <w:r w:rsidR="00534E75">
        <w:rPr>
          <w:color w:val="000000" w:themeColor="text1"/>
          <w:szCs w:val="24"/>
        </w:rPr>
        <w:t xml:space="preserve"> The examiner stated o</w:t>
      </w:r>
      <w:r w:rsidRPr="00D15F85">
        <w:rPr>
          <w:color w:val="000000" w:themeColor="text1"/>
          <w:szCs w:val="24"/>
        </w:rPr>
        <w:t xml:space="preserve">rthopedic consults and </w:t>
      </w:r>
      <w:r w:rsidR="00534E75">
        <w:rPr>
          <w:color w:val="000000" w:themeColor="text1"/>
          <w:szCs w:val="24"/>
        </w:rPr>
        <w:t>magnetic resonance imaging (</w:t>
      </w:r>
      <w:r w:rsidRPr="00D15F85">
        <w:rPr>
          <w:color w:val="000000" w:themeColor="text1"/>
          <w:szCs w:val="24"/>
        </w:rPr>
        <w:t>MRI</w:t>
      </w:r>
      <w:r w:rsidR="00534E75">
        <w:rPr>
          <w:color w:val="000000" w:themeColor="text1"/>
          <w:szCs w:val="24"/>
        </w:rPr>
        <w:t>)</w:t>
      </w:r>
      <w:r w:rsidRPr="00D15F85">
        <w:rPr>
          <w:color w:val="000000" w:themeColor="text1"/>
          <w:szCs w:val="24"/>
        </w:rPr>
        <w:t xml:space="preserve"> </w:t>
      </w:r>
      <w:r w:rsidR="00437BF5" w:rsidRPr="00D15F85">
        <w:rPr>
          <w:color w:val="000000" w:themeColor="text1"/>
          <w:szCs w:val="24"/>
        </w:rPr>
        <w:t xml:space="preserve">results </w:t>
      </w:r>
      <w:r w:rsidRPr="00D15F85">
        <w:rPr>
          <w:color w:val="000000" w:themeColor="text1"/>
          <w:szCs w:val="24"/>
        </w:rPr>
        <w:t xml:space="preserve">were “unrevealing.” </w:t>
      </w:r>
      <w:r w:rsidR="00534E75">
        <w:rPr>
          <w:color w:val="000000" w:themeColor="text1"/>
          <w:szCs w:val="24"/>
        </w:rPr>
        <w:t xml:space="preserve"> </w:t>
      </w:r>
      <w:r w:rsidRPr="00D15F85">
        <w:rPr>
          <w:color w:val="000000" w:themeColor="text1"/>
          <w:szCs w:val="24"/>
        </w:rPr>
        <w:t xml:space="preserve">No MRI reports are present in the record for review but </w:t>
      </w:r>
      <w:r w:rsidR="00437BF5" w:rsidRPr="00D15F85">
        <w:rPr>
          <w:color w:val="000000" w:themeColor="text1"/>
          <w:szCs w:val="24"/>
        </w:rPr>
        <w:t xml:space="preserve">a December 2004 VA </w:t>
      </w:r>
      <w:r w:rsidR="00534E75">
        <w:rPr>
          <w:color w:val="000000" w:themeColor="text1"/>
          <w:szCs w:val="24"/>
        </w:rPr>
        <w:t>Compensation and Pension (</w:t>
      </w:r>
      <w:r w:rsidR="00437BF5" w:rsidRPr="00D15F85">
        <w:rPr>
          <w:color w:val="000000" w:themeColor="text1"/>
          <w:szCs w:val="24"/>
        </w:rPr>
        <w:t>C&amp;P</w:t>
      </w:r>
      <w:r w:rsidR="00534E75">
        <w:rPr>
          <w:color w:val="000000" w:themeColor="text1"/>
          <w:szCs w:val="24"/>
        </w:rPr>
        <w:t>)</w:t>
      </w:r>
      <w:r w:rsidR="00437BF5" w:rsidRPr="00D15F85">
        <w:rPr>
          <w:color w:val="000000" w:themeColor="text1"/>
          <w:szCs w:val="24"/>
        </w:rPr>
        <w:t xml:space="preserve"> examination noted MRI results </w:t>
      </w:r>
      <w:r w:rsidRPr="00D15F85">
        <w:rPr>
          <w:color w:val="000000" w:themeColor="text1"/>
          <w:szCs w:val="24"/>
        </w:rPr>
        <w:t>show</w:t>
      </w:r>
      <w:r w:rsidR="00437BF5" w:rsidRPr="00D15F85">
        <w:rPr>
          <w:color w:val="000000" w:themeColor="text1"/>
          <w:szCs w:val="24"/>
        </w:rPr>
        <w:t>ing</w:t>
      </w:r>
      <w:r w:rsidRPr="00D15F85">
        <w:rPr>
          <w:color w:val="000000" w:themeColor="text1"/>
          <w:szCs w:val="24"/>
        </w:rPr>
        <w:t xml:space="preserve"> </w:t>
      </w:r>
      <w:proofErr w:type="spellStart"/>
      <w:r w:rsidRPr="00D15F85">
        <w:rPr>
          <w:color w:val="000000" w:themeColor="text1"/>
          <w:szCs w:val="24"/>
        </w:rPr>
        <w:t>spondylolysis</w:t>
      </w:r>
      <w:proofErr w:type="spellEnd"/>
      <w:r w:rsidRPr="00D15F85">
        <w:rPr>
          <w:color w:val="000000" w:themeColor="text1"/>
          <w:szCs w:val="24"/>
        </w:rPr>
        <w:t xml:space="preserve"> and </w:t>
      </w:r>
      <w:proofErr w:type="spellStart"/>
      <w:r w:rsidRPr="00D15F85">
        <w:rPr>
          <w:color w:val="000000" w:themeColor="text1"/>
          <w:szCs w:val="24"/>
        </w:rPr>
        <w:t>spondylolisthesis</w:t>
      </w:r>
      <w:proofErr w:type="spellEnd"/>
      <w:r w:rsidRPr="00D15F85">
        <w:rPr>
          <w:color w:val="000000" w:themeColor="text1"/>
          <w:szCs w:val="24"/>
        </w:rPr>
        <w:t>.</w:t>
      </w:r>
      <w:r w:rsidR="00437BF5" w:rsidRPr="00D15F85">
        <w:rPr>
          <w:color w:val="000000" w:themeColor="text1"/>
          <w:szCs w:val="24"/>
        </w:rPr>
        <w:t xml:space="preserve"> </w:t>
      </w:r>
      <w:r w:rsidR="00534E75">
        <w:rPr>
          <w:color w:val="000000" w:themeColor="text1"/>
          <w:szCs w:val="24"/>
        </w:rPr>
        <w:t xml:space="preserve"> </w:t>
      </w:r>
      <w:r w:rsidR="00437BF5" w:rsidRPr="00D15F85">
        <w:rPr>
          <w:color w:val="000000" w:themeColor="text1"/>
          <w:szCs w:val="24"/>
        </w:rPr>
        <w:t>An X-ray f</w:t>
      </w:r>
      <w:r w:rsidR="002F3E37" w:rsidRPr="00D15F85">
        <w:rPr>
          <w:color w:val="000000" w:themeColor="text1"/>
          <w:szCs w:val="24"/>
        </w:rPr>
        <w:t>ro</w:t>
      </w:r>
      <w:r w:rsidR="00437BF5" w:rsidRPr="00D15F85">
        <w:rPr>
          <w:color w:val="000000" w:themeColor="text1"/>
          <w:szCs w:val="24"/>
        </w:rPr>
        <w:t xml:space="preserve">m </w:t>
      </w:r>
      <w:r w:rsidR="002F3E37" w:rsidRPr="00D15F85">
        <w:rPr>
          <w:color w:val="000000" w:themeColor="text1"/>
          <w:szCs w:val="24"/>
        </w:rPr>
        <w:t>Novem</w:t>
      </w:r>
      <w:r w:rsidR="00437BF5" w:rsidRPr="00D15F85">
        <w:rPr>
          <w:color w:val="000000" w:themeColor="text1"/>
          <w:szCs w:val="24"/>
        </w:rPr>
        <w:t xml:space="preserve">ber 2000 noted a second degree </w:t>
      </w:r>
      <w:proofErr w:type="spellStart"/>
      <w:r w:rsidR="00437BF5" w:rsidRPr="00D15F85">
        <w:rPr>
          <w:color w:val="000000" w:themeColor="text1"/>
          <w:szCs w:val="24"/>
        </w:rPr>
        <w:t>spondylolisthesis</w:t>
      </w:r>
      <w:proofErr w:type="spellEnd"/>
      <w:r w:rsidR="00437BF5" w:rsidRPr="00D15F85">
        <w:rPr>
          <w:color w:val="000000" w:themeColor="text1"/>
          <w:szCs w:val="24"/>
        </w:rPr>
        <w:t xml:space="preserve"> with a very prominent neural arch defect and narrowing of the L5-S1 disc space due probably to secondary disc degeneration. </w:t>
      </w:r>
      <w:r w:rsidR="00534E75">
        <w:rPr>
          <w:color w:val="000000" w:themeColor="text1"/>
          <w:szCs w:val="24"/>
        </w:rPr>
        <w:t xml:space="preserve"> </w:t>
      </w:r>
      <w:r w:rsidR="00437BF5" w:rsidRPr="00D15F85">
        <w:rPr>
          <w:color w:val="000000" w:themeColor="text1"/>
          <w:szCs w:val="24"/>
        </w:rPr>
        <w:t>Flexion and extension views did not show instability.</w:t>
      </w:r>
      <w:r w:rsidR="00534E75">
        <w:rPr>
          <w:color w:val="000000" w:themeColor="text1"/>
          <w:szCs w:val="24"/>
        </w:rPr>
        <w:t xml:space="preserve"> </w:t>
      </w:r>
      <w:r w:rsidR="002F3E37" w:rsidRPr="00D15F85">
        <w:rPr>
          <w:color w:val="000000" w:themeColor="text1"/>
          <w:szCs w:val="24"/>
        </w:rPr>
        <w:t xml:space="preserve"> </w:t>
      </w:r>
      <w:r w:rsidR="00CF131A" w:rsidRPr="00D15F85">
        <w:rPr>
          <w:color w:val="000000" w:themeColor="text1"/>
          <w:szCs w:val="24"/>
        </w:rPr>
        <w:t xml:space="preserve">Repeat X-rays from May 2003 and December 2004 have similar findings. </w:t>
      </w:r>
      <w:r w:rsidR="00534E75">
        <w:rPr>
          <w:color w:val="000000" w:themeColor="text1"/>
          <w:szCs w:val="24"/>
        </w:rPr>
        <w:t xml:space="preserve"> </w:t>
      </w:r>
      <w:r w:rsidR="002F3E37" w:rsidRPr="00D15F85">
        <w:rPr>
          <w:color w:val="000000" w:themeColor="text1"/>
          <w:szCs w:val="24"/>
        </w:rPr>
        <w:t xml:space="preserve">Review of outpatient visit notes revealed intermittent </w:t>
      </w:r>
      <w:r w:rsidR="00003CC4" w:rsidRPr="00D15F85">
        <w:rPr>
          <w:color w:val="000000" w:themeColor="text1"/>
          <w:szCs w:val="24"/>
        </w:rPr>
        <w:t>radiation of pain down right leg and numbness down both</w:t>
      </w:r>
      <w:r w:rsidR="007235AB" w:rsidRPr="00D15F85">
        <w:rPr>
          <w:color w:val="000000" w:themeColor="text1"/>
          <w:szCs w:val="24"/>
        </w:rPr>
        <w:t xml:space="preserve"> legs into his feet. </w:t>
      </w:r>
      <w:r w:rsidR="00534E75">
        <w:rPr>
          <w:color w:val="000000" w:themeColor="text1"/>
          <w:szCs w:val="24"/>
        </w:rPr>
        <w:t xml:space="preserve"> </w:t>
      </w:r>
      <w:r w:rsidR="007235AB" w:rsidRPr="00D15F85">
        <w:rPr>
          <w:color w:val="000000" w:themeColor="text1"/>
          <w:szCs w:val="24"/>
        </w:rPr>
        <w:t>However an</w:t>
      </w:r>
      <w:r w:rsidR="00003CC4" w:rsidRPr="00D15F85">
        <w:rPr>
          <w:color w:val="000000" w:themeColor="text1"/>
          <w:szCs w:val="24"/>
        </w:rPr>
        <w:t xml:space="preserve"> EMG was normal in July 2002.</w:t>
      </w:r>
    </w:p>
    <w:p w:rsidR="00CF131A" w:rsidRPr="00D15F85" w:rsidRDefault="00CF131A" w:rsidP="00761AD3">
      <w:pPr>
        <w:jc w:val="both"/>
        <w:rPr>
          <w:color w:val="000000" w:themeColor="text1"/>
          <w:szCs w:val="24"/>
        </w:rPr>
      </w:pPr>
    </w:p>
    <w:p w:rsidR="00C06BAD" w:rsidRPr="00D15F85" w:rsidRDefault="00CF131A" w:rsidP="00841B72">
      <w:pPr>
        <w:jc w:val="both"/>
        <w:rPr>
          <w:color w:val="auto"/>
          <w:szCs w:val="24"/>
        </w:rPr>
      </w:pPr>
      <w:r w:rsidRPr="00D15F85">
        <w:rPr>
          <w:color w:val="000000" w:themeColor="text1"/>
          <w:szCs w:val="24"/>
        </w:rPr>
        <w:lastRenderedPageBreak/>
        <w:t xml:space="preserve">A VA C&amp;P examination was completed </w:t>
      </w:r>
      <w:r w:rsidR="00805F5A">
        <w:rPr>
          <w:color w:val="000000" w:themeColor="text1"/>
          <w:szCs w:val="24"/>
        </w:rPr>
        <w:t>a</w:t>
      </w:r>
      <w:r w:rsidRPr="00D15F85">
        <w:rPr>
          <w:color w:val="000000" w:themeColor="text1"/>
          <w:szCs w:val="24"/>
        </w:rPr>
        <w:t xml:space="preserve"> month after separation</w:t>
      </w:r>
      <w:r w:rsidR="00B51A20" w:rsidRPr="00D15F85">
        <w:rPr>
          <w:color w:val="000000" w:themeColor="text1"/>
          <w:szCs w:val="24"/>
        </w:rPr>
        <w:t xml:space="preserve"> noted the same history as </w:t>
      </w:r>
      <w:r w:rsidR="0037654F" w:rsidRPr="00D15F85">
        <w:rPr>
          <w:color w:val="000000" w:themeColor="text1"/>
          <w:szCs w:val="24"/>
        </w:rPr>
        <w:t>the</w:t>
      </w:r>
      <w:r w:rsidR="00B51A20" w:rsidRPr="00D15F85">
        <w:rPr>
          <w:color w:val="000000" w:themeColor="text1"/>
          <w:szCs w:val="24"/>
        </w:rPr>
        <w:t xml:space="preserve"> MEB NARSUM examination. </w:t>
      </w:r>
      <w:r w:rsidR="00534E75">
        <w:rPr>
          <w:color w:val="000000" w:themeColor="text1"/>
          <w:szCs w:val="24"/>
        </w:rPr>
        <w:t xml:space="preserve"> </w:t>
      </w:r>
      <w:r w:rsidR="00B51A20" w:rsidRPr="00D15F85">
        <w:rPr>
          <w:color w:val="000000" w:themeColor="text1"/>
          <w:szCs w:val="24"/>
        </w:rPr>
        <w:t>The CI reported low back pain shooting down both legs but more on the right side and also spasm.</w:t>
      </w:r>
      <w:r w:rsidR="00534E75">
        <w:rPr>
          <w:color w:val="000000" w:themeColor="text1"/>
          <w:szCs w:val="24"/>
        </w:rPr>
        <w:t xml:space="preserve"> </w:t>
      </w:r>
      <w:r w:rsidR="00B51A20" w:rsidRPr="00D15F85">
        <w:rPr>
          <w:color w:val="000000" w:themeColor="text1"/>
          <w:szCs w:val="24"/>
        </w:rPr>
        <w:t xml:space="preserve"> Pain was constant and he sometimes had numbness at the back of his right leg. </w:t>
      </w:r>
      <w:r w:rsidR="00534E75">
        <w:rPr>
          <w:color w:val="000000" w:themeColor="text1"/>
          <w:szCs w:val="24"/>
        </w:rPr>
        <w:t xml:space="preserve"> </w:t>
      </w:r>
      <w:r w:rsidR="00B51A20" w:rsidRPr="00D15F85">
        <w:rPr>
          <w:color w:val="000000" w:themeColor="text1"/>
          <w:szCs w:val="24"/>
        </w:rPr>
        <w:t>This occurred when</w:t>
      </w:r>
      <w:r w:rsidR="00B51A20">
        <w:rPr>
          <w:color w:val="000000" w:themeColor="text1"/>
          <w:szCs w:val="24"/>
        </w:rPr>
        <w:t xml:space="preserve"> he was sitting and then tried to straighten his leg causing a tingling sensation. The examiner noted muscle spasm and ten</w:t>
      </w:r>
      <w:r w:rsidR="0037654F">
        <w:rPr>
          <w:color w:val="000000" w:themeColor="text1"/>
          <w:szCs w:val="24"/>
        </w:rPr>
        <w:t>de</w:t>
      </w:r>
      <w:r w:rsidR="00B51A20">
        <w:rPr>
          <w:color w:val="000000" w:themeColor="text1"/>
          <w:szCs w:val="24"/>
        </w:rPr>
        <w:t xml:space="preserve">rness to palpation around the </w:t>
      </w:r>
      <w:proofErr w:type="spellStart"/>
      <w:r w:rsidR="00B51A20">
        <w:rPr>
          <w:color w:val="000000" w:themeColor="text1"/>
          <w:szCs w:val="24"/>
        </w:rPr>
        <w:t>paralumbar</w:t>
      </w:r>
      <w:proofErr w:type="spellEnd"/>
      <w:r w:rsidR="00B51A20">
        <w:rPr>
          <w:color w:val="000000" w:themeColor="text1"/>
          <w:szCs w:val="24"/>
        </w:rPr>
        <w:t xml:space="preserve"> area and radiation of pain with movement.</w:t>
      </w:r>
      <w:r w:rsidR="0037654F">
        <w:rPr>
          <w:color w:val="000000" w:themeColor="text1"/>
          <w:szCs w:val="24"/>
        </w:rPr>
        <w:t xml:space="preserve"> </w:t>
      </w:r>
      <w:r w:rsidR="00534E75">
        <w:rPr>
          <w:color w:val="000000" w:themeColor="text1"/>
          <w:szCs w:val="24"/>
        </w:rPr>
        <w:t xml:space="preserve"> </w:t>
      </w:r>
      <w:r w:rsidR="0037654F">
        <w:rPr>
          <w:color w:val="000000" w:themeColor="text1"/>
          <w:szCs w:val="24"/>
        </w:rPr>
        <w:t xml:space="preserve">Straight leg testing was negative and the examiner stated there was no sign of radiculopathy. </w:t>
      </w:r>
      <w:r w:rsidR="00534E75">
        <w:rPr>
          <w:color w:val="000000" w:themeColor="text1"/>
          <w:szCs w:val="24"/>
        </w:rPr>
        <w:t xml:space="preserve"> ROM</w:t>
      </w:r>
      <w:r w:rsidR="0037654F" w:rsidRPr="00D15F85">
        <w:rPr>
          <w:color w:val="auto"/>
          <w:szCs w:val="24"/>
        </w:rPr>
        <w:t xml:space="preserve"> was noted to be normal with pain noted at full flexion. </w:t>
      </w:r>
      <w:r w:rsidR="00534E75">
        <w:rPr>
          <w:color w:val="auto"/>
          <w:szCs w:val="24"/>
        </w:rPr>
        <w:t xml:space="preserve"> </w:t>
      </w:r>
      <w:r w:rsidR="0037654F" w:rsidRPr="00D15F85">
        <w:rPr>
          <w:color w:val="auto"/>
          <w:szCs w:val="24"/>
        </w:rPr>
        <w:t>Neurologic examination was normal.</w:t>
      </w:r>
      <w:r w:rsidR="003C2B5F" w:rsidRPr="00D15F85">
        <w:rPr>
          <w:color w:val="auto"/>
          <w:szCs w:val="24"/>
        </w:rPr>
        <w:t xml:space="preserve"> </w:t>
      </w:r>
      <w:r w:rsidR="00534E75">
        <w:rPr>
          <w:color w:val="auto"/>
          <w:szCs w:val="24"/>
        </w:rPr>
        <w:t xml:space="preserve"> </w:t>
      </w:r>
      <w:r w:rsidR="00D15F85" w:rsidRPr="00D15F85">
        <w:rPr>
          <w:color w:val="auto"/>
          <w:szCs w:val="24"/>
        </w:rPr>
        <w:t>The e</w:t>
      </w:r>
      <w:r w:rsidR="003C2B5F" w:rsidRPr="00D15F85">
        <w:rPr>
          <w:color w:val="auto"/>
          <w:szCs w:val="24"/>
        </w:rPr>
        <w:t xml:space="preserve">xamination completed by physical therapy </w:t>
      </w:r>
      <w:r w:rsidR="00534E75">
        <w:rPr>
          <w:color w:val="auto"/>
          <w:szCs w:val="24"/>
        </w:rPr>
        <w:t>2</w:t>
      </w:r>
      <w:r w:rsidR="003C2B5F" w:rsidRPr="00D15F85">
        <w:rPr>
          <w:color w:val="auto"/>
          <w:szCs w:val="24"/>
        </w:rPr>
        <w:t xml:space="preserve"> months prior to the MEB NARSUM examination noted a much greater limitation of motion. </w:t>
      </w:r>
      <w:r w:rsidR="00534E75">
        <w:rPr>
          <w:color w:val="auto"/>
          <w:szCs w:val="24"/>
        </w:rPr>
        <w:t xml:space="preserve"> </w:t>
      </w:r>
      <w:r w:rsidR="003C2B5F" w:rsidRPr="00D15F85">
        <w:rPr>
          <w:color w:val="auto"/>
          <w:szCs w:val="24"/>
        </w:rPr>
        <w:t>However this examination has less probative value because it is further away in time from the date of separation</w:t>
      </w:r>
      <w:r w:rsidR="00D15F85" w:rsidRPr="00D15F85">
        <w:rPr>
          <w:color w:val="auto"/>
          <w:szCs w:val="24"/>
        </w:rPr>
        <w:t xml:space="preserve"> and is inconsistent with the rest of the medical record</w:t>
      </w:r>
      <w:r w:rsidR="003C2B5F" w:rsidRPr="00D15F85">
        <w:rPr>
          <w:color w:val="auto"/>
          <w:szCs w:val="24"/>
        </w:rPr>
        <w:t xml:space="preserve">. </w:t>
      </w:r>
    </w:p>
    <w:p w:rsidR="003C2B5F" w:rsidRPr="00D15F85" w:rsidRDefault="003C2B5F" w:rsidP="00841B72">
      <w:pPr>
        <w:jc w:val="both"/>
        <w:rPr>
          <w:color w:val="auto"/>
          <w:szCs w:val="24"/>
        </w:rPr>
      </w:pPr>
    </w:p>
    <w:p w:rsidR="00C06BAD" w:rsidRDefault="00C06BAD" w:rsidP="00841B72">
      <w:pPr>
        <w:jc w:val="both"/>
        <w:rPr>
          <w:color w:val="000000" w:themeColor="text1"/>
          <w:szCs w:val="24"/>
        </w:rPr>
      </w:pPr>
      <w:r w:rsidRPr="00C06BAD">
        <w:rPr>
          <w:color w:val="000000" w:themeColor="text1"/>
          <w:szCs w:val="24"/>
        </w:rPr>
        <w:t>The 200</w:t>
      </w:r>
      <w:r w:rsidR="00AE7AA1">
        <w:rPr>
          <w:color w:val="000000" w:themeColor="text1"/>
          <w:szCs w:val="24"/>
        </w:rPr>
        <w:t>2</w:t>
      </w:r>
      <w:r w:rsidRPr="00C06BAD">
        <w:rPr>
          <w:color w:val="000000" w:themeColor="text1"/>
          <w:szCs w:val="24"/>
        </w:rPr>
        <w:t xml:space="preserve"> Veterans Administration Schedule for Rating Disabilities (VASRD) coding and rating standards for the spine, which were in effect at the time of separation, were modified on</w:t>
      </w:r>
      <w:r w:rsidR="00534E75">
        <w:rPr>
          <w:color w:val="000000" w:themeColor="text1"/>
          <w:szCs w:val="24"/>
        </w:rPr>
        <w:t xml:space="preserve"> </w:t>
      </w:r>
      <w:r w:rsidRPr="00C06BAD">
        <w:rPr>
          <w:color w:val="000000" w:themeColor="text1"/>
          <w:szCs w:val="24"/>
        </w:rPr>
        <w:t>23</w:t>
      </w:r>
      <w:r w:rsidR="00747789">
        <w:rPr>
          <w:color w:val="000000" w:themeColor="text1"/>
          <w:szCs w:val="24"/>
        </w:rPr>
        <w:t> </w:t>
      </w:r>
      <w:r w:rsidRPr="00C06BAD">
        <w:rPr>
          <w:color w:val="000000" w:themeColor="text1"/>
          <w:szCs w:val="24"/>
        </w:rPr>
        <w:t xml:space="preserve">September 2002 to add incapacitating episodes (5293 </w:t>
      </w:r>
      <w:proofErr w:type="spellStart"/>
      <w:r w:rsidR="00534E75">
        <w:rPr>
          <w:color w:val="000000" w:themeColor="text1"/>
          <w:szCs w:val="24"/>
        </w:rPr>
        <w:t>i</w:t>
      </w:r>
      <w:r w:rsidRPr="00C06BAD">
        <w:rPr>
          <w:color w:val="000000" w:themeColor="text1"/>
          <w:szCs w:val="24"/>
        </w:rPr>
        <w:t>ntervertebral</w:t>
      </w:r>
      <w:proofErr w:type="spellEnd"/>
      <w:r w:rsidRPr="00C06BAD">
        <w:rPr>
          <w:color w:val="000000" w:themeColor="text1"/>
          <w:szCs w:val="24"/>
        </w:rPr>
        <w:t xml:space="preserve"> disc syndrome), and then changed to the current §4.71a rating standards on 26 September 2003. </w:t>
      </w:r>
      <w:r w:rsidR="00534E75">
        <w:rPr>
          <w:color w:val="000000" w:themeColor="text1"/>
          <w:szCs w:val="24"/>
        </w:rPr>
        <w:t xml:space="preserve"> </w:t>
      </w:r>
      <w:r w:rsidRPr="00C06BAD">
        <w:rPr>
          <w:color w:val="000000" w:themeColor="text1"/>
          <w:szCs w:val="24"/>
        </w:rPr>
        <w:t>The 200</w:t>
      </w:r>
      <w:r>
        <w:rPr>
          <w:color w:val="000000" w:themeColor="text1"/>
          <w:szCs w:val="24"/>
        </w:rPr>
        <w:t>2</w:t>
      </w:r>
      <w:r w:rsidRPr="00C06BAD">
        <w:rPr>
          <w:color w:val="000000" w:themeColor="text1"/>
          <w:szCs w:val="24"/>
        </w:rPr>
        <w:t xml:space="preserve"> standards for rating based on </w:t>
      </w:r>
      <w:r w:rsidR="00534E75">
        <w:rPr>
          <w:color w:val="000000" w:themeColor="text1"/>
          <w:szCs w:val="24"/>
        </w:rPr>
        <w:t>ROM</w:t>
      </w:r>
      <w:r w:rsidRPr="00C06BAD">
        <w:rPr>
          <w:color w:val="000000" w:themeColor="text1"/>
          <w:szCs w:val="24"/>
        </w:rPr>
        <w:t xml:space="preserve"> impairment were subject to the rater’s opinion regarding degree of severity, whereas the current standards specify rating thresholds in degrees of ROM impairment.</w:t>
      </w:r>
      <w:r w:rsidR="00534E75">
        <w:rPr>
          <w:color w:val="000000" w:themeColor="text1"/>
          <w:szCs w:val="24"/>
        </w:rPr>
        <w:t xml:space="preserve"> </w:t>
      </w:r>
      <w:r w:rsidRPr="00C06BAD">
        <w:rPr>
          <w:color w:val="000000" w:themeColor="text1"/>
          <w:szCs w:val="24"/>
        </w:rPr>
        <w:t xml:space="preserve">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534E75">
        <w:rPr>
          <w:color w:val="000000" w:themeColor="text1"/>
          <w:szCs w:val="24"/>
        </w:rPr>
        <w:t xml:space="preserve"> </w:t>
      </w:r>
      <w:r w:rsidRPr="00C06BAD">
        <w:rPr>
          <w:color w:val="000000" w:themeColor="text1"/>
          <w:szCs w:val="24"/>
        </w:rPr>
        <w:t xml:space="preserve">This promotes uniformity of its recommendations for different cases from the same period and more conformity across dates of separation, without sacrificing compliance with the DoDI 6040.44 requirement for rating IAW the VASRD in effect at the time of separation. </w:t>
      </w:r>
      <w:r w:rsidR="00534E75">
        <w:rPr>
          <w:color w:val="000000" w:themeColor="text1"/>
          <w:szCs w:val="24"/>
        </w:rPr>
        <w:t xml:space="preserve"> </w:t>
      </w:r>
      <w:r w:rsidRPr="00C06BAD">
        <w:rPr>
          <w:color w:val="000000" w:themeColor="text1"/>
          <w:szCs w:val="24"/>
        </w:rPr>
        <w:t>For the reader’s convenience, the 200</w:t>
      </w:r>
      <w:r>
        <w:rPr>
          <w:color w:val="000000" w:themeColor="text1"/>
          <w:szCs w:val="24"/>
        </w:rPr>
        <w:t>2</w:t>
      </w:r>
      <w:r w:rsidRPr="00C06BAD">
        <w:rPr>
          <w:color w:val="000000" w:themeColor="text1"/>
          <w:szCs w:val="24"/>
        </w:rPr>
        <w:t xml:space="preserve"> rating codes under discussion in this case are excerpted below.</w:t>
      </w:r>
    </w:p>
    <w:p w:rsidR="00860A7E" w:rsidRDefault="00860A7E" w:rsidP="005A0C8F">
      <w:pPr>
        <w:jc w:val="both"/>
        <w:rPr>
          <w:color w:val="000000" w:themeColor="text1"/>
          <w:szCs w:val="24"/>
          <w:u w:val="single"/>
        </w:rPr>
      </w:pPr>
    </w:p>
    <w:p w:rsidR="005907AB" w:rsidRPr="005907AB" w:rsidRDefault="005907AB" w:rsidP="005A0C8F">
      <w:pPr>
        <w:autoSpaceDE w:val="0"/>
        <w:autoSpaceDN w:val="0"/>
        <w:adjustRightInd w:val="0"/>
        <w:jc w:val="both"/>
        <w:rPr>
          <w:rFonts w:cs="Courier New"/>
          <w:color w:val="000000" w:themeColor="text1"/>
          <w:szCs w:val="24"/>
        </w:rPr>
      </w:pPr>
      <w:r w:rsidRPr="005907AB">
        <w:rPr>
          <w:rFonts w:cs="Courier New"/>
          <w:color w:val="000000" w:themeColor="text1"/>
          <w:szCs w:val="24"/>
        </w:rPr>
        <w:t xml:space="preserve">5295 </w:t>
      </w:r>
      <w:proofErr w:type="spellStart"/>
      <w:r w:rsidRPr="005907AB">
        <w:rPr>
          <w:rFonts w:cs="Courier New"/>
          <w:color w:val="000000" w:themeColor="text1"/>
          <w:szCs w:val="24"/>
        </w:rPr>
        <w:t>Lumbosacral</w:t>
      </w:r>
      <w:proofErr w:type="spellEnd"/>
      <w:r w:rsidRPr="005907AB">
        <w:rPr>
          <w:rFonts w:cs="Courier New"/>
          <w:color w:val="000000" w:themeColor="text1"/>
          <w:szCs w:val="24"/>
        </w:rPr>
        <w:t xml:space="preserve"> strain:</w:t>
      </w:r>
    </w:p>
    <w:p w:rsidR="005907AB" w:rsidRPr="005907AB" w:rsidRDefault="00552697" w:rsidP="005A0C8F">
      <w:pPr>
        <w:autoSpaceDE w:val="0"/>
        <w:autoSpaceDN w:val="0"/>
        <w:adjustRightInd w:val="0"/>
        <w:jc w:val="both"/>
        <w:rPr>
          <w:rFonts w:cs="Courier New"/>
          <w:color w:val="000000" w:themeColor="text1"/>
          <w:szCs w:val="24"/>
        </w:rPr>
      </w:pPr>
      <w:r>
        <w:rPr>
          <w:rFonts w:cs="Courier New"/>
          <w:color w:val="000000" w:themeColor="text1"/>
          <w:szCs w:val="24"/>
        </w:rPr>
        <w:t xml:space="preserve">  </w:t>
      </w:r>
      <w:r w:rsidR="005907AB" w:rsidRPr="005907AB">
        <w:rPr>
          <w:rFonts w:cs="Courier New"/>
          <w:color w:val="000000" w:themeColor="text1"/>
          <w:szCs w:val="24"/>
        </w:rPr>
        <w:t>Severe; with listing of whole spine to opposite side, positive Goldthwaite's sign, marked limitation of forward bending in</w:t>
      </w:r>
      <w:r w:rsidR="00BD13E3">
        <w:rPr>
          <w:rFonts w:cs="Courier New"/>
          <w:color w:val="000000" w:themeColor="text1"/>
          <w:szCs w:val="24"/>
        </w:rPr>
        <w:t xml:space="preserve"> </w:t>
      </w:r>
      <w:r w:rsidR="005907AB" w:rsidRPr="005907AB">
        <w:rPr>
          <w:rFonts w:cs="Courier New"/>
          <w:color w:val="000000" w:themeColor="text1"/>
          <w:szCs w:val="24"/>
        </w:rPr>
        <w:t xml:space="preserve">standing position, loss of lateral motion with </w:t>
      </w:r>
      <w:proofErr w:type="spellStart"/>
      <w:r w:rsidR="005907AB" w:rsidRPr="005907AB">
        <w:rPr>
          <w:rFonts w:cs="Courier New"/>
          <w:color w:val="000000" w:themeColor="text1"/>
          <w:szCs w:val="24"/>
        </w:rPr>
        <w:t>osteoarthritic</w:t>
      </w:r>
      <w:proofErr w:type="spellEnd"/>
      <w:r w:rsidR="00BD13E3">
        <w:rPr>
          <w:rFonts w:cs="Courier New"/>
          <w:color w:val="000000" w:themeColor="text1"/>
          <w:szCs w:val="24"/>
        </w:rPr>
        <w:t xml:space="preserve"> </w:t>
      </w:r>
      <w:r w:rsidR="005907AB" w:rsidRPr="005907AB">
        <w:rPr>
          <w:rFonts w:cs="Courier New"/>
          <w:color w:val="000000" w:themeColor="text1"/>
          <w:szCs w:val="24"/>
        </w:rPr>
        <w:t>changes, or narrowing or irregularity of joint</w:t>
      </w:r>
      <w:r w:rsidR="00BD13E3">
        <w:rPr>
          <w:rFonts w:cs="Courier New"/>
          <w:color w:val="000000" w:themeColor="text1"/>
          <w:szCs w:val="24"/>
        </w:rPr>
        <w:t xml:space="preserve"> </w:t>
      </w:r>
      <w:r w:rsidR="005907AB" w:rsidRPr="005907AB">
        <w:rPr>
          <w:rFonts w:cs="Courier New"/>
          <w:color w:val="000000" w:themeColor="text1"/>
          <w:szCs w:val="24"/>
        </w:rPr>
        <w:t>space, or some of the above with abnormal mobility on forced</w:t>
      </w:r>
      <w:r w:rsidR="00BD13E3">
        <w:rPr>
          <w:rFonts w:cs="Courier New"/>
          <w:color w:val="000000" w:themeColor="text1"/>
          <w:szCs w:val="24"/>
        </w:rPr>
        <w:t xml:space="preserve"> </w:t>
      </w:r>
      <w:r w:rsidR="005907AB" w:rsidRPr="005907AB">
        <w:rPr>
          <w:rFonts w:cs="Courier New"/>
          <w:color w:val="000000" w:themeColor="text1"/>
          <w:szCs w:val="24"/>
        </w:rPr>
        <w:t>motion......................................................</w:t>
      </w:r>
      <w:r w:rsidR="00BD13E3">
        <w:rPr>
          <w:rFonts w:cs="Courier New"/>
          <w:color w:val="000000" w:themeColor="text1"/>
          <w:szCs w:val="24"/>
        </w:rPr>
        <w:t>...............</w:t>
      </w:r>
      <w:r w:rsidR="005A0C8F">
        <w:rPr>
          <w:rFonts w:cs="Courier New"/>
          <w:color w:val="000000" w:themeColor="text1"/>
          <w:szCs w:val="24"/>
        </w:rPr>
        <w:t>...............................</w:t>
      </w:r>
      <w:r w:rsidR="00BD13E3">
        <w:rPr>
          <w:rFonts w:cs="Courier New"/>
          <w:color w:val="000000" w:themeColor="text1"/>
          <w:szCs w:val="24"/>
        </w:rPr>
        <w:t>.......</w:t>
      </w:r>
      <w:r w:rsidR="005A0C8F">
        <w:rPr>
          <w:rFonts w:cs="Courier New"/>
          <w:color w:val="000000" w:themeColor="text1"/>
          <w:szCs w:val="24"/>
        </w:rPr>
        <w:t xml:space="preserve"> </w:t>
      </w:r>
      <w:r w:rsidR="005907AB" w:rsidRPr="005907AB">
        <w:rPr>
          <w:rFonts w:cs="Courier New"/>
          <w:color w:val="000000" w:themeColor="text1"/>
          <w:szCs w:val="24"/>
        </w:rPr>
        <w:t>40</w:t>
      </w:r>
    </w:p>
    <w:p w:rsidR="005907AB" w:rsidRPr="005907AB" w:rsidRDefault="00552697" w:rsidP="005A0C8F">
      <w:pPr>
        <w:autoSpaceDE w:val="0"/>
        <w:autoSpaceDN w:val="0"/>
        <w:adjustRightInd w:val="0"/>
        <w:jc w:val="both"/>
        <w:rPr>
          <w:rFonts w:cs="Courier New"/>
          <w:color w:val="000000" w:themeColor="text1"/>
          <w:szCs w:val="24"/>
        </w:rPr>
      </w:pPr>
      <w:r>
        <w:rPr>
          <w:rFonts w:cs="Courier New"/>
          <w:color w:val="000000" w:themeColor="text1"/>
          <w:szCs w:val="24"/>
        </w:rPr>
        <w:t xml:space="preserve">  </w:t>
      </w:r>
      <w:r w:rsidR="005907AB" w:rsidRPr="005907AB">
        <w:rPr>
          <w:rFonts w:cs="Courier New"/>
          <w:color w:val="000000" w:themeColor="text1"/>
          <w:szCs w:val="24"/>
        </w:rPr>
        <w:t>With muscle spasm on extreme forward bending, loss of lateral</w:t>
      </w:r>
      <w:r w:rsidR="00BD13E3">
        <w:rPr>
          <w:rFonts w:cs="Courier New"/>
          <w:color w:val="000000" w:themeColor="text1"/>
          <w:szCs w:val="24"/>
        </w:rPr>
        <w:t xml:space="preserve"> </w:t>
      </w:r>
      <w:r w:rsidR="005907AB" w:rsidRPr="005907AB">
        <w:rPr>
          <w:rFonts w:cs="Courier New"/>
          <w:color w:val="000000" w:themeColor="text1"/>
          <w:szCs w:val="24"/>
        </w:rPr>
        <w:t>spine motion, unilateral, in standing position..............</w:t>
      </w:r>
      <w:r w:rsidR="00BD13E3">
        <w:rPr>
          <w:rFonts w:cs="Courier New"/>
          <w:color w:val="000000" w:themeColor="text1"/>
          <w:szCs w:val="24"/>
        </w:rPr>
        <w:t>................................................................</w:t>
      </w:r>
      <w:r w:rsidR="005A0C8F">
        <w:rPr>
          <w:rFonts w:cs="Courier New"/>
          <w:color w:val="000000" w:themeColor="text1"/>
          <w:szCs w:val="24"/>
        </w:rPr>
        <w:t>...............................</w:t>
      </w:r>
      <w:r w:rsidR="00BD13E3">
        <w:rPr>
          <w:rFonts w:cs="Courier New"/>
          <w:color w:val="000000" w:themeColor="text1"/>
          <w:szCs w:val="24"/>
        </w:rPr>
        <w:t>...........</w:t>
      </w:r>
      <w:r w:rsidR="005907AB" w:rsidRPr="005907AB">
        <w:rPr>
          <w:rFonts w:cs="Courier New"/>
          <w:color w:val="000000" w:themeColor="text1"/>
          <w:szCs w:val="24"/>
        </w:rPr>
        <w:t>.</w:t>
      </w:r>
      <w:r w:rsidR="005A0C8F">
        <w:rPr>
          <w:rFonts w:cs="Courier New"/>
          <w:color w:val="000000" w:themeColor="text1"/>
          <w:szCs w:val="24"/>
        </w:rPr>
        <w:t xml:space="preserve"> </w:t>
      </w:r>
      <w:r w:rsidR="005907AB" w:rsidRPr="005907AB">
        <w:rPr>
          <w:rFonts w:cs="Courier New"/>
          <w:color w:val="000000" w:themeColor="text1"/>
          <w:szCs w:val="24"/>
        </w:rPr>
        <w:t>20</w:t>
      </w:r>
    </w:p>
    <w:p w:rsidR="005907AB" w:rsidRPr="005907AB" w:rsidRDefault="00552697" w:rsidP="005A0C8F">
      <w:pPr>
        <w:autoSpaceDE w:val="0"/>
        <w:autoSpaceDN w:val="0"/>
        <w:adjustRightInd w:val="0"/>
        <w:jc w:val="both"/>
        <w:rPr>
          <w:rFonts w:cs="Courier New"/>
          <w:color w:val="000000" w:themeColor="text1"/>
          <w:szCs w:val="24"/>
        </w:rPr>
      </w:pPr>
      <w:r>
        <w:rPr>
          <w:rFonts w:cs="Courier New"/>
          <w:color w:val="000000" w:themeColor="text1"/>
          <w:szCs w:val="24"/>
        </w:rPr>
        <w:t xml:space="preserve">  </w:t>
      </w:r>
      <w:r w:rsidR="005907AB" w:rsidRPr="005907AB">
        <w:rPr>
          <w:rFonts w:cs="Courier New"/>
          <w:color w:val="000000" w:themeColor="text1"/>
          <w:szCs w:val="24"/>
        </w:rPr>
        <w:t>With characteristic pain on motion............................</w:t>
      </w:r>
      <w:r w:rsidR="00BD13E3">
        <w:rPr>
          <w:rFonts w:cs="Courier New"/>
          <w:color w:val="000000" w:themeColor="text1"/>
          <w:szCs w:val="24"/>
        </w:rPr>
        <w:t>..................................</w:t>
      </w:r>
      <w:r>
        <w:rPr>
          <w:rFonts w:cs="Courier New"/>
          <w:color w:val="000000" w:themeColor="text1"/>
          <w:szCs w:val="24"/>
        </w:rPr>
        <w:t>.............</w:t>
      </w:r>
      <w:r w:rsidR="005A0C8F">
        <w:rPr>
          <w:rFonts w:cs="Courier New"/>
          <w:color w:val="000000" w:themeColor="text1"/>
          <w:szCs w:val="24"/>
        </w:rPr>
        <w:t xml:space="preserve">................ </w:t>
      </w:r>
      <w:r w:rsidR="005907AB" w:rsidRPr="005907AB">
        <w:rPr>
          <w:rFonts w:cs="Courier New"/>
          <w:color w:val="000000" w:themeColor="text1"/>
          <w:szCs w:val="24"/>
        </w:rPr>
        <w:t>10</w:t>
      </w:r>
    </w:p>
    <w:p w:rsidR="00860A7E" w:rsidRDefault="00552697" w:rsidP="005A0C8F">
      <w:pPr>
        <w:jc w:val="both"/>
        <w:rPr>
          <w:rFonts w:cs="Courier New"/>
          <w:color w:val="000000" w:themeColor="text1"/>
          <w:szCs w:val="24"/>
        </w:rPr>
      </w:pPr>
      <w:r>
        <w:rPr>
          <w:rFonts w:cs="Courier New"/>
          <w:color w:val="000000" w:themeColor="text1"/>
          <w:szCs w:val="24"/>
        </w:rPr>
        <w:t xml:space="preserve">  </w:t>
      </w:r>
      <w:r w:rsidR="005907AB" w:rsidRPr="005907AB">
        <w:rPr>
          <w:rFonts w:cs="Courier New"/>
          <w:color w:val="000000" w:themeColor="text1"/>
          <w:szCs w:val="24"/>
        </w:rPr>
        <w:t>With slight subjective symptoms only..........................</w:t>
      </w:r>
      <w:r w:rsidR="00BD13E3">
        <w:rPr>
          <w:rFonts w:cs="Courier New"/>
          <w:color w:val="000000" w:themeColor="text1"/>
          <w:szCs w:val="24"/>
        </w:rPr>
        <w:t>..................................</w:t>
      </w:r>
      <w:r>
        <w:rPr>
          <w:rFonts w:cs="Courier New"/>
          <w:color w:val="000000" w:themeColor="text1"/>
          <w:szCs w:val="24"/>
        </w:rPr>
        <w:t>..............</w:t>
      </w:r>
      <w:r w:rsidR="005A0C8F">
        <w:rPr>
          <w:rFonts w:cs="Courier New"/>
          <w:color w:val="000000" w:themeColor="text1"/>
          <w:szCs w:val="24"/>
        </w:rPr>
        <w:t xml:space="preserve">..............  </w:t>
      </w:r>
      <w:r w:rsidR="005907AB" w:rsidRPr="005907AB">
        <w:rPr>
          <w:rFonts w:cs="Courier New"/>
          <w:color w:val="000000" w:themeColor="text1"/>
          <w:szCs w:val="24"/>
        </w:rPr>
        <w:t>0</w:t>
      </w:r>
    </w:p>
    <w:p w:rsidR="005A0C8F" w:rsidRDefault="005A0C8F" w:rsidP="005A0C8F">
      <w:pPr>
        <w:jc w:val="both"/>
        <w:rPr>
          <w:rFonts w:cs="Courier New"/>
          <w:color w:val="000000" w:themeColor="text1"/>
          <w:szCs w:val="24"/>
        </w:rPr>
      </w:pPr>
    </w:p>
    <w:p w:rsidR="005A0C8F" w:rsidRPr="005A0C8F" w:rsidRDefault="005A0C8F" w:rsidP="005A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auto"/>
          <w:szCs w:val="24"/>
        </w:rPr>
      </w:pPr>
      <w:proofErr w:type="gramStart"/>
      <w:r w:rsidRPr="005A0C8F">
        <w:rPr>
          <w:rFonts w:asciiTheme="minorHAnsi" w:hAnsiTheme="minorHAnsi"/>
          <w:color w:val="auto"/>
          <w:szCs w:val="24"/>
        </w:rPr>
        <w:t>5292  Spine</w:t>
      </w:r>
      <w:proofErr w:type="gramEnd"/>
      <w:r w:rsidRPr="005A0C8F">
        <w:rPr>
          <w:rFonts w:asciiTheme="minorHAnsi" w:hAnsiTheme="minorHAnsi"/>
          <w:color w:val="auto"/>
          <w:szCs w:val="24"/>
        </w:rPr>
        <w:t>, limitation of motion of, lumbar:</w:t>
      </w:r>
    </w:p>
    <w:p w:rsidR="005A0C8F" w:rsidRPr="005A0C8F" w:rsidRDefault="005A0C8F" w:rsidP="005A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auto"/>
          <w:szCs w:val="24"/>
        </w:rPr>
      </w:pPr>
      <w:r w:rsidRPr="005A0C8F">
        <w:rPr>
          <w:rFonts w:asciiTheme="minorHAnsi" w:hAnsiTheme="minorHAnsi"/>
          <w:color w:val="auto"/>
          <w:szCs w:val="24"/>
        </w:rPr>
        <w:t xml:space="preserve">  Severe.....................................................</w:t>
      </w:r>
      <w:r>
        <w:rPr>
          <w:rFonts w:asciiTheme="minorHAnsi" w:hAnsiTheme="minorHAnsi"/>
          <w:color w:val="auto"/>
          <w:szCs w:val="24"/>
        </w:rPr>
        <w:t>....</w:t>
      </w:r>
      <w:r w:rsidRPr="005A0C8F">
        <w:rPr>
          <w:rFonts w:asciiTheme="minorHAnsi" w:hAnsiTheme="minorHAnsi"/>
          <w:color w:val="auto"/>
          <w:szCs w:val="24"/>
        </w:rPr>
        <w:t>...      40</w:t>
      </w:r>
    </w:p>
    <w:p w:rsidR="005A0C8F" w:rsidRPr="005A0C8F" w:rsidRDefault="005A0C8F" w:rsidP="005A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auto"/>
          <w:szCs w:val="24"/>
        </w:rPr>
      </w:pPr>
      <w:r w:rsidRPr="005A0C8F">
        <w:rPr>
          <w:rFonts w:asciiTheme="minorHAnsi" w:hAnsiTheme="minorHAnsi"/>
          <w:color w:val="auto"/>
          <w:szCs w:val="24"/>
        </w:rPr>
        <w:t xml:space="preserve">  Moderate.............................................</w:t>
      </w:r>
      <w:r>
        <w:rPr>
          <w:rFonts w:asciiTheme="minorHAnsi" w:hAnsiTheme="minorHAnsi"/>
          <w:color w:val="auto"/>
          <w:szCs w:val="24"/>
        </w:rPr>
        <w:t>.</w:t>
      </w:r>
      <w:r w:rsidRPr="005A0C8F">
        <w:rPr>
          <w:rFonts w:asciiTheme="minorHAnsi" w:hAnsiTheme="minorHAnsi"/>
          <w:color w:val="auto"/>
          <w:szCs w:val="24"/>
        </w:rPr>
        <w:t>.........      20</w:t>
      </w:r>
    </w:p>
    <w:p w:rsidR="005A0C8F" w:rsidRPr="005A0C8F" w:rsidRDefault="005A0C8F" w:rsidP="005A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auto"/>
          <w:szCs w:val="24"/>
        </w:rPr>
      </w:pPr>
      <w:r w:rsidRPr="005A0C8F">
        <w:rPr>
          <w:rFonts w:asciiTheme="minorHAnsi" w:hAnsiTheme="minorHAnsi"/>
          <w:color w:val="auto"/>
          <w:szCs w:val="24"/>
        </w:rPr>
        <w:t xml:space="preserve">  Slight................................................</w:t>
      </w:r>
      <w:r>
        <w:rPr>
          <w:rFonts w:asciiTheme="minorHAnsi" w:hAnsiTheme="minorHAnsi"/>
          <w:color w:val="auto"/>
          <w:szCs w:val="24"/>
        </w:rPr>
        <w:t>......</w:t>
      </w:r>
      <w:r w:rsidRPr="005A0C8F">
        <w:rPr>
          <w:rFonts w:asciiTheme="minorHAnsi" w:hAnsiTheme="minorHAnsi"/>
          <w:color w:val="auto"/>
          <w:szCs w:val="24"/>
        </w:rPr>
        <w:t>........      10</w:t>
      </w:r>
    </w:p>
    <w:p w:rsidR="005A0C8F" w:rsidRPr="005907AB" w:rsidRDefault="005A0C8F" w:rsidP="005907AB">
      <w:pPr>
        <w:jc w:val="both"/>
        <w:rPr>
          <w:color w:val="000000" w:themeColor="text1"/>
          <w:szCs w:val="24"/>
          <w:u w:val="single"/>
        </w:rPr>
      </w:pPr>
    </w:p>
    <w:p w:rsidR="00C06BAD" w:rsidRDefault="00534E75" w:rsidP="00C06BAD">
      <w:pPr>
        <w:jc w:val="both"/>
        <w:rPr>
          <w:color w:val="000000" w:themeColor="text1"/>
          <w:szCs w:val="24"/>
        </w:rPr>
      </w:pPr>
      <w:r>
        <w:rPr>
          <w:color w:val="000000" w:themeColor="text1"/>
          <w:szCs w:val="24"/>
        </w:rPr>
        <w:t xml:space="preserve">The </w:t>
      </w:r>
      <w:r w:rsidR="00C06BAD">
        <w:rPr>
          <w:color w:val="000000" w:themeColor="text1"/>
          <w:szCs w:val="24"/>
        </w:rPr>
        <w:t xml:space="preserve">PEB on </w:t>
      </w:r>
      <w:r>
        <w:rPr>
          <w:color w:val="000000" w:themeColor="text1"/>
          <w:szCs w:val="24"/>
        </w:rPr>
        <w:t>28 January 2003</w:t>
      </w:r>
      <w:r w:rsidR="00C06BAD">
        <w:rPr>
          <w:color w:val="000000" w:themeColor="text1"/>
          <w:szCs w:val="24"/>
        </w:rPr>
        <w:t xml:space="preserve"> rated the back condition: </w:t>
      </w:r>
      <w:r w:rsidR="00552697">
        <w:rPr>
          <w:color w:val="000000" w:themeColor="text1"/>
          <w:szCs w:val="24"/>
        </w:rPr>
        <w:t>“</w:t>
      </w:r>
      <w:r>
        <w:rPr>
          <w:color w:val="000000" w:themeColor="text1"/>
          <w:szCs w:val="24"/>
        </w:rPr>
        <w:t>c</w:t>
      </w:r>
      <w:r w:rsidR="00C06BAD">
        <w:rPr>
          <w:color w:val="000000" w:themeColor="text1"/>
          <w:szCs w:val="24"/>
        </w:rPr>
        <w:t xml:space="preserve">hronic </w:t>
      </w:r>
      <w:r>
        <w:rPr>
          <w:color w:val="000000" w:themeColor="text1"/>
          <w:szCs w:val="24"/>
        </w:rPr>
        <w:t>LBP</w:t>
      </w:r>
      <w:r w:rsidR="00C06BAD">
        <w:rPr>
          <w:color w:val="000000" w:themeColor="text1"/>
          <w:szCs w:val="24"/>
        </w:rPr>
        <w:t>, without neurologic or electrodiagnostic abnormality, without neurologic abnormality or documented chronic paravertebral muscle spasms on repeated examinations</w:t>
      </w:r>
      <w:r w:rsidR="00C06BAD" w:rsidRPr="00D15F85">
        <w:rPr>
          <w:color w:val="000000" w:themeColor="text1"/>
          <w:szCs w:val="24"/>
        </w:rPr>
        <w:t>, with characteristic pain on motion</w:t>
      </w:r>
      <w:r w:rsidR="00552697" w:rsidRPr="00D15F85">
        <w:rPr>
          <w:color w:val="000000" w:themeColor="text1"/>
          <w:szCs w:val="24"/>
        </w:rPr>
        <w:t>”</w:t>
      </w:r>
      <w:r w:rsidR="00C06BAD" w:rsidRPr="00D15F85">
        <w:rPr>
          <w:color w:val="000000" w:themeColor="text1"/>
          <w:szCs w:val="24"/>
        </w:rPr>
        <w:t xml:space="preserve"> at</w:t>
      </w:r>
      <w:r w:rsidR="00C06BAD">
        <w:rPr>
          <w:color w:val="000000" w:themeColor="text1"/>
          <w:szCs w:val="24"/>
        </w:rPr>
        <w:t xml:space="preserve"> 10% analogous to the 2002 VASRD code 5295 </w:t>
      </w:r>
      <w:proofErr w:type="spellStart"/>
      <w:r>
        <w:rPr>
          <w:color w:val="000000" w:themeColor="text1"/>
          <w:szCs w:val="24"/>
        </w:rPr>
        <w:t>l</w:t>
      </w:r>
      <w:r w:rsidR="00C06BAD">
        <w:rPr>
          <w:color w:val="000000" w:themeColor="text1"/>
          <w:szCs w:val="24"/>
        </w:rPr>
        <w:t>umbosacral</w:t>
      </w:r>
      <w:proofErr w:type="spellEnd"/>
      <w:r w:rsidR="00C06BAD">
        <w:rPr>
          <w:color w:val="000000" w:themeColor="text1"/>
          <w:szCs w:val="24"/>
        </w:rPr>
        <w:t xml:space="preserve"> strain. </w:t>
      </w:r>
      <w:r>
        <w:rPr>
          <w:color w:val="000000" w:themeColor="text1"/>
          <w:szCs w:val="24"/>
        </w:rPr>
        <w:t xml:space="preserve"> </w:t>
      </w:r>
      <w:r w:rsidR="00C06BAD">
        <w:rPr>
          <w:color w:val="000000" w:themeColor="text1"/>
          <w:szCs w:val="24"/>
        </w:rPr>
        <w:t xml:space="preserve">The VA applied a 10% rating under 5295 </w:t>
      </w:r>
      <w:r>
        <w:rPr>
          <w:color w:val="000000" w:themeColor="text1"/>
          <w:szCs w:val="24"/>
        </w:rPr>
        <w:t>s</w:t>
      </w:r>
      <w:r w:rsidR="00C06BAD">
        <w:rPr>
          <w:color w:val="000000" w:themeColor="text1"/>
          <w:szCs w:val="24"/>
        </w:rPr>
        <w:t xml:space="preserve">pine, limitation of motion of, lumbar for slight limitation of motion. Although not specifically mentioned this rating decision likely involved considering </w:t>
      </w:r>
      <w:r w:rsidR="00C06BAD" w:rsidRPr="00841B72">
        <w:rPr>
          <w:color w:val="000000" w:themeColor="text1"/>
          <w:szCs w:val="24"/>
        </w:rPr>
        <w:t xml:space="preserve">§ 4.59 </w:t>
      </w:r>
      <w:r>
        <w:rPr>
          <w:color w:val="000000" w:themeColor="text1"/>
          <w:szCs w:val="24"/>
        </w:rPr>
        <w:t>p</w:t>
      </w:r>
      <w:r w:rsidR="00C06BAD" w:rsidRPr="00841B72">
        <w:rPr>
          <w:color w:val="000000" w:themeColor="text1"/>
          <w:szCs w:val="24"/>
        </w:rPr>
        <w:t>ainful motion</w:t>
      </w:r>
      <w:r w:rsidR="00C06BAD">
        <w:rPr>
          <w:color w:val="000000" w:themeColor="text1"/>
          <w:szCs w:val="24"/>
        </w:rPr>
        <w:t>.</w:t>
      </w:r>
    </w:p>
    <w:p w:rsidR="00C06BAD" w:rsidRDefault="00C06BAD" w:rsidP="00C06BAD">
      <w:pPr>
        <w:jc w:val="both"/>
        <w:rPr>
          <w:color w:val="000000" w:themeColor="text1"/>
          <w:szCs w:val="24"/>
        </w:rPr>
      </w:pPr>
    </w:p>
    <w:p w:rsidR="00C06BAD" w:rsidRPr="00D15F85" w:rsidRDefault="00C06BAD" w:rsidP="00C06BAD">
      <w:pPr>
        <w:jc w:val="both"/>
        <w:rPr>
          <w:color w:val="000000" w:themeColor="text1"/>
          <w:szCs w:val="24"/>
        </w:rPr>
      </w:pPr>
      <w:r>
        <w:rPr>
          <w:color w:val="000000" w:themeColor="text1"/>
          <w:szCs w:val="24"/>
        </w:rPr>
        <w:lastRenderedPageBreak/>
        <w:t>While the MEB NARSUM examination does not specifically mention painful motion, it is document</w:t>
      </w:r>
      <w:r w:rsidR="003C2B5F">
        <w:rPr>
          <w:color w:val="000000" w:themeColor="text1"/>
          <w:szCs w:val="24"/>
        </w:rPr>
        <w:t>ed</w:t>
      </w:r>
      <w:r>
        <w:rPr>
          <w:color w:val="000000" w:themeColor="text1"/>
          <w:szCs w:val="24"/>
        </w:rPr>
        <w:t xml:space="preserve"> in the service treatment record (STR) and on the VA C&amp;P examination </w:t>
      </w:r>
      <w:r w:rsidR="00534E75">
        <w:rPr>
          <w:color w:val="000000" w:themeColor="text1"/>
          <w:szCs w:val="24"/>
        </w:rPr>
        <w:t>a</w:t>
      </w:r>
      <w:r>
        <w:rPr>
          <w:color w:val="000000" w:themeColor="text1"/>
          <w:szCs w:val="24"/>
        </w:rPr>
        <w:t xml:space="preserve"> month after separation. </w:t>
      </w:r>
      <w:r w:rsidR="00534E75">
        <w:rPr>
          <w:color w:val="000000" w:themeColor="text1"/>
          <w:szCs w:val="24"/>
        </w:rPr>
        <w:t xml:space="preserve"> </w:t>
      </w:r>
      <w:r>
        <w:rPr>
          <w:color w:val="000000" w:themeColor="text1"/>
          <w:szCs w:val="24"/>
        </w:rPr>
        <w:t xml:space="preserve">However, while there is no evidence that documents any actual decrease in </w:t>
      </w:r>
      <w:r w:rsidRPr="00D15F85">
        <w:rPr>
          <w:color w:val="auto"/>
          <w:szCs w:val="24"/>
        </w:rPr>
        <w:t>ROM</w:t>
      </w:r>
      <w:r w:rsidR="005C42D9" w:rsidRPr="00D15F85">
        <w:rPr>
          <w:color w:val="auto"/>
          <w:szCs w:val="24"/>
        </w:rPr>
        <w:t xml:space="preserve"> at the time of separation</w:t>
      </w:r>
      <w:r w:rsidRPr="00D15F85">
        <w:rPr>
          <w:color w:val="auto"/>
          <w:szCs w:val="24"/>
        </w:rPr>
        <w:t>, the intent of §4.59 is to recognize actually painful, unstable, or malaligned joints as entitled to at least</w:t>
      </w:r>
      <w:r w:rsidRPr="00D15F85">
        <w:rPr>
          <w:color w:val="000000" w:themeColor="text1"/>
          <w:szCs w:val="24"/>
        </w:rPr>
        <w:t xml:space="preserve"> the minimum compensable rating for the joint. </w:t>
      </w:r>
      <w:r w:rsidR="00534E75">
        <w:rPr>
          <w:color w:val="000000" w:themeColor="text1"/>
          <w:szCs w:val="24"/>
        </w:rPr>
        <w:t xml:space="preserve"> </w:t>
      </w:r>
      <w:r w:rsidRPr="00D15F85">
        <w:rPr>
          <w:color w:val="000000" w:themeColor="text1"/>
          <w:szCs w:val="24"/>
        </w:rPr>
        <w:t xml:space="preserve">A rating of 10% for painful motion is therefore appropriate. </w:t>
      </w:r>
      <w:r w:rsidR="00534E75">
        <w:rPr>
          <w:color w:val="000000" w:themeColor="text1"/>
          <w:szCs w:val="24"/>
        </w:rPr>
        <w:t xml:space="preserve"> </w:t>
      </w:r>
      <w:r w:rsidRPr="00D15F85">
        <w:rPr>
          <w:color w:val="000000" w:themeColor="text1"/>
          <w:szCs w:val="24"/>
        </w:rPr>
        <w:t xml:space="preserve">This same rating would </w:t>
      </w:r>
      <w:r w:rsidR="000D6841" w:rsidRPr="00D15F85">
        <w:rPr>
          <w:color w:val="000000" w:themeColor="text1"/>
          <w:szCs w:val="24"/>
        </w:rPr>
        <w:t xml:space="preserve">also </w:t>
      </w:r>
      <w:r w:rsidRPr="00D15F85">
        <w:rPr>
          <w:color w:val="000000" w:themeColor="text1"/>
          <w:szCs w:val="24"/>
        </w:rPr>
        <w:t xml:space="preserve">be applied if the current day VASRD rating criteria were applied. </w:t>
      </w:r>
      <w:r w:rsidR="00534E75">
        <w:rPr>
          <w:color w:val="000000" w:themeColor="text1"/>
          <w:szCs w:val="24"/>
        </w:rPr>
        <w:t xml:space="preserve"> </w:t>
      </w:r>
      <w:r w:rsidRPr="00D15F85">
        <w:rPr>
          <w:color w:val="000000" w:themeColor="text1"/>
          <w:szCs w:val="24"/>
        </w:rPr>
        <w:t>After due deliberation, considering all of the evidence and mindful of VASRD §4.3 (reasonable doubt), the Board concluded that there was insufficient cause to recommend a change in the PEB adjudication for the back condition.</w:t>
      </w:r>
    </w:p>
    <w:p w:rsidR="00860A7E" w:rsidRPr="00D15F85" w:rsidRDefault="00860A7E" w:rsidP="00C7338B">
      <w:pPr>
        <w:jc w:val="both"/>
        <w:rPr>
          <w:color w:val="000000" w:themeColor="text1"/>
          <w:szCs w:val="24"/>
          <w:u w:val="single"/>
        </w:rPr>
      </w:pPr>
    </w:p>
    <w:p w:rsidR="002412F1" w:rsidRPr="002412F1" w:rsidRDefault="002412F1" w:rsidP="00C7338B">
      <w:pPr>
        <w:jc w:val="both"/>
        <w:rPr>
          <w:color w:val="000000" w:themeColor="text1"/>
          <w:szCs w:val="24"/>
        </w:rPr>
      </w:pPr>
      <w:r w:rsidRPr="00D15F85">
        <w:rPr>
          <w:color w:val="000000" w:themeColor="text1"/>
          <w:szCs w:val="24"/>
        </w:rPr>
        <w:t xml:space="preserve">The </w:t>
      </w:r>
      <w:r w:rsidR="000D6841" w:rsidRPr="00D15F85">
        <w:rPr>
          <w:color w:val="000000" w:themeColor="text1"/>
          <w:szCs w:val="24"/>
        </w:rPr>
        <w:t>record indicates the CI did</w:t>
      </w:r>
      <w:r w:rsidRPr="00D15F85">
        <w:rPr>
          <w:color w:val="000000" w:themeColor="text1"/>
          <w:szCs w:val="24"/>
        </w:rPr>
        <w:t xml:space="preserve"> ha</w:t>
      </w:r>
      <w:r w:rsidR="000D6841" w:rsidRPr="00D15F85">
        <w:rPr>
          <w:color w:val="000000" w:themeColor="text1"/>
          <w:szCs w:val="24"/>
        </w:rPr>
        <w:t>ve</w:t>
      </w:r>
      <w:r w:rsidRPr="00D15F85">
        <w:rPr>
          <w:color w:val="000000" w:themeColor="text1"/>
          <w:szCs w:val="24"/>
        </w:rPr>
        <w:t xml:space="preserve"> intermittent bilateral lower extremity radiculopathy</w:t>
      </w:r>
      <w:r w:rsidR="000D6841" w:rsidRPr="00D15F85">
        <w:rPr>
          <w:color w:val="000000" w:themeColor="text1"/>
          <w:szCs w:val="24"/>
        </w:rPr>
        <w:t xml:space="preserve"> with intermittent symptoms of radiating pain and altered sensation</w:t>
      </w:r>
      <w:r w:rsidRPr="00D15F85">
        <w:rPr>
          <w:color w:val="000000" w:themeColor="text1"/>
          <w:szCs w:val="24"/>
        </w:rPr>
        <w:t>.</w:t>
      </w:r>
      <w:r w:rsidR="000D6841" w:rsidRPr="00D15F85">
        <w:rPr>
          <w:color w:val="000000" w:themeColor="text1"/>
          <w:szCs w:val="24"/>
        </w:rPr>
        <w:t xml:space="preserve"> </w:t>
      </w:r>
      <w:r w:rsidR="00534E75">
        <w:rPr>
          <w:color w:val="000000" w:themeColor="text1"/>
          <w:szCs w:val="24"/>
        </w:rPr>
        <w:t xml:space="preserve"> </w:t>
      </w:r>
      <w:r w:rsidR="000D6841" w:rsidRPr="00D15F85">
        <w:rPr>
          <w:color w:val="000000" w:themeColor="text1"/>
          <w:szCs w:val="24"/>
        </w:rPr>
        <w:t xml:space="preserve">Board precedent is that a functional impairment tied to fitness is required to support a recommendation for addition of a peripheral nerve rating at separation. </w:t>
      </w:r>
      <w:r w:rsidR="00534E75">
        <w:rPr>
          <w:color w:val="000000" w:themeColor="text1"/>
          <w:szCs w:val="24"/>
        </w:rPr>
        <w:t xml:space="preserve"> </w:t>
      </w:r>
      <w:r w:rsidR="000D6841" w:rsidRPr="00D15F85">
        <w:rPr>
          <w:color w:val="000000" w:themeColor="text1"/>
          <w:szCs w:val="24"/>
        </w:rPr>
        <w:t xml:space="preserve">While the CI had intermittent pain and numbness and tingling, no neurologic examination noted any sensory abnormalities and no motor impairment was documented. </w:t>
      </w:r>
      <w:r w:rsidR="00534E75">
        <w:rPr>
          <w:color w:val="000000" w:themeColor="text1"/>
          <w:szCs w:val="24"/>
        </w:rPr>
        <w:t xml:space="preserve"> </w:t>
      </w:r>
      <w:r w:rsidR="000D6841" w:rsidRPr="00D15F85">
        <w:rPr>
          <w:color w:val="000000" w:themeColor="text1"/>
          <w:szCs w:val="24"/>
        </w:rPr>
        <w:t xml:space="preserve">Also, EMG study was normal. </w:t>
      </w:r>
      <w:r w:rsidR="00534E75">
        <w:rPr>
          <w:color w:val="000000" w:themeColor="text1"/>
          <w:szCs w:val="24"/>
        </w:rPr>
        <w:t xml:space="preserve"> </w:t>
      </w:r>
      <w:r w:rsidR="000D6841" w:rsidRPr="00D15F85">
        <w:rPr>
          <w:color w:val="000000" w:themeColor="text1"/>
          <w:szCs w:val="24"/>
        </w:rPr>
        <w:t>As no evidence of functional impairment exists in this case, the Board cannot support a recommendation for additional rating based on peripheral nerve impairment.</w:t>
      </w:r>
    </w:p>
    <w:p w:rsidR="002412F1" w:rsidRDefault="002412F1" w:rsidP="00C7338B">
      <w:pPr>
        <w:jc w:val="both"/>
        <w:rPr>
          <w:color w:val="000000" w:themeColor="text1"/>
          <w:szCs w:val="24"/>
          <w:u w:val="single"/>
        </w:rPr>
      </w:pPr>
    </w:p>
    <w:p w:rsidR="00615A66" w:rsidRPr="001F29F9" w:rsidRDefault="007C51CB" w:rsidP="00C7338B">
      <w:pPr>
        <w:jc w:val="both"/>
        <w:rPr>
          <w:color w:val="000000" w:themeColor="text1"/>
          <w:szCs w:val="24"/>
        </w:rPr>
      </w:pPr>
      <w:proofErr w:type="gramStart"/>
      <w:r>
        <w:rPr>
          <w:color w:val="000000" w:themeColor="text1"/>
          <w:szCs w:val="24"/>
          <w:u w:val="single"/>
        </w:rPr>
        <w:t xml:space="preserve">Right </w:t>
      </w:r>
      <w:r w:rsidR="00E141F4" w:rsidRPr="00C7338B">
        <w:rPr>
          <w:color w:val="000000" w:themeColor="text1"/>
          <w:szCs w:val="24"/>
          <w:u w:val="single"/>
        </w:rPr>
        <w:t>Shoulder</w:t>
      </w:r>
      <w:r w:rsidR="0080588E" w:rsidRPr="00C7338B">
        <w:rPr>
          <w:color w:val="000000" w:themeColor="text1"/>
          <w:szCs w:val="24"/>
          <w:u w:val="single"/>
        </w:rPr>
        <w:t xml:space="preserve"> </w:t>
      </w:r>
      <w:r w:rsidR="003F2EEE" w:rsidRPr="00C7338B">
        <w:rPr>
          <w:color w:val="000000" w:themeColor="text1"/>
          <w:szCs w:val="24"/>
          <w:u w:val="single"/>
        </w:rPr>
        <w:t>Condition</w:t>
      </w:r>
      <w:r w:rsidR="003F2EEE" w:rsidRPr="00C7338B">
        <w:rPr>
          <w:color w:val="000000" w:themeColor="text1"/>
          <w:szCs w:val="24"/>
        </w:rPr>
        <w:t>.</w:t>
      </w:r>
      <w:proofErr w:type="gramEnd"/>
      <w:r w:rsidR="003F2EEE" w:rsidRPr="00C7338B">
        <w:rPr>
          <w:color w:val="000000" w:themeColor="text1"/>
          <w:szCs w:val="24"/>
        </w:rPr>
        <w:t xml:space="preserve">  </w:t>
      </w:r>
      <w:r w:rsidR="00A57C35" w:rsidRPr="00C7338B">
        <w:rPr>
          <w:color w:val="000000" w:themeColor="text1"/>
          <w:szCs w:val="24"/>
        </w:rPr>
        <w:t xml:space="preserve">There were </w:t>
      </w:r>
      <w:r w:rsidR="000D6841">
        <w:rPr>
          <w:color w:val="000000" w:themeColor="text1"/>
          <w:szCs w:val="24"/>
        </w:rPr>
        <w:t>two</w:t>
      </w:r>
      <w:r w:rsidR="00A57C35" w:rsidRPr="00C7338B">
        <w:rPr>
          <w:color w:val="000000" w:themeColor="text1"/>
          <w:szCs w:val="24"/>
        </w:rPr>
        <w:t xml:space="preserve"> </w:t>
      </w:r>
      <w:r w:rsidR="00534E75">
        <w:rPr>
          <w:color w:val="000000" w:themeColor="text1"/>
          <w:szCs w:val="24"/>
        </w:rPr>
        <w:t xml:space="preserve">ROM </w:t>
      </w:r>
      <w:r w:rsidR="00A57C35" w:rsidRPr="00C7338B">
        <w:rPr>
          <w:color w:val="000000" w:themeColor="text1"/>
          <w:szCs w:val="24"/>
        </w:rPr>
        <w:t>evaluations in evidence, with documentation of additional ratable criteria, which the Board weighed in arriving at its rating recommendation</w:t>
      </w:r>
      <w:r w:rsidR="00A57C35" w:rsidRPr="001F29F9">
        <w:rPr>
          <w:color w:val="000000" w:themeColor="text1"/>
          <w:szCs w:val="24"/>
        </w:rPr>
        <w:t>.</w:t>
      </w:r>
    </w:p>
    <w:p w:rsidR="00A02AA8" w:rsidRPr="001F29F9" w:rsidRDefault="00A02AA8" w:rsidP="00A02AA8">
      <w:pPr>
        <w:jc w:val="both"/>
        <w:rPr>
          <w:color w:val="000000" w:themeColor="text1"/>
          <w:szCs w:val="24"/>
        </w:rPr>
      </w:pPr>
    </w:p>
    <w:tbl>
      <w:tblPr>
        <w:tblpPr w:leftFromText="180" w:rightFromText="180" w:vertAnchor="text" w:tblpXSpec="center"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1980"/>
        <w:gridCol w:w="2610"/>
        <w:gridCol w:w="2700"/>
      </w:tblGrid>
      <w:tr w:rsidR="00B94622" w:rsidRPr="001F29F9" w:rsidTr="00B94622">
        <w:tc>
          <w:tcPr>
            <w:tcW w:w="1638" w:type="dxa"/>
            <w:shd w:val="clear" w:color="auto" w:fill="D9D9D9" w:themeFill="background1" w:themeFillShade="D9"/>
            <w:vAlign w:val="center"/>
          </w:tcPr>
          <w:p w:rsidR="00B94622" w:rsidRDefault="00B94622" w:rsidP="00B94622">
            <w:pPr>
              <w:contextualSpacing/>
              <w:rPr>
                <w:rFonts w:eastAsia="Calibri"/>
                <w:color w:val="000000" w:themeColor="text1"/>
                <w:sz w:val="18"/>
                <w:szCs w:val="18"/>
              </w:rPr>
            </w:pPr>
            <w:r>
              <w:rPr>
                <w:rFonts w:eastAsia="Calibri"/>
                <w:color w:val="000000" w:themeColor="text1"/>
                <w:sz w:val="18"/>
                <w:szCs w:val="18"/>
              </w:rPr>
              <w:t>Goniometric ROM –</w:t>
            </w:r>
          </w:p>
          <w:p w:rsidR="00B94622" w:rsidRPr="001F29F9" w:rsidRDefault="00B94622" w:rsidP="00B94622">
            <w:pPr>
              <w:contextualSpacing/>
              <w:rPr>
                <w:rFonts w:eastAsia="Calibri"/>
                <w:color w:val="000000" w:themeColor="text1"/>
                <w:sz w:val="18"/>
                <w:szCs w:val="18"/>
              </w:rPr>
            </w:pPr>
            <w:r w:rsidRPr="001F29F9">
              <w:rPr>
                <w:rFonts w:eastAsia="Calibri"/>
                <w:color w:val="000000" w:themeColor="text1"/>
                <w:sz w:val="18"/>
                <w:szCs w:val="18"/>
              </w:rPr>
              <w:t>R</w:t>
            </w:r>
            <w:r>
              <w:rPr>
                <w:rFonts w:eastAsia="Calibri"/>
                <w:color w:val="000000" w:themeColor="text1"/>
                <w:sz w:val="18"/>
                <w:szCs w:val="18"/>
              </w:rPr>
              <w:t>ight</w:t>
            </w:r>
            <w:r w:rsidRPr="001F29F9">
              <w:rPr>
                <w:rFonts w:eastAsia="Calibri"/>
                <w:color w:val="000000" w:themeColor="text1"/>
                <w:sz w:val="18"/>
                <w:szCs w:val="18"/>
              </w:rPr>
              <w:t xml:space="preserve"> Shoulder</w:t>
            </w:r>
          </w:p>
        </w:tc>
        <w:tc>
          <w:tcPr>
            <w:tcW w:w="1980" w:type="dxa"/>
            <w:shd w:val="clear" w:color="auto" w:fill="D9D9D9" w:themeFill="background1" w:themeFillShade="D9"/>
          </w:tcPr>
          <w:p w:rsidR="00B94622" w:rsidRDefault="00B94622" w:rsidP="00B94622">
            <w:pPr>
              <w:contextualSpacing/>
              <w:rPr>
                <w:rFonts w:asciiTheme="minorHAnsi" w:eastAsia="Calibri" w:hAnsiTheme="minorHAnsi"/>
                <w:color w:val="000000" w:themeColor="text1"/>
                <w:sz w:val="18"/>
                <w:szCs w:val="18"/>
              </w:rPr>
            </w:pPr>
            <w:r w:rsidRPr="009F61E1">
              <w:rPr>
                <w:rFonts w:asciiTheme="minorHAnsi" w:eastAsia="Calibri" w:hAnsiTheme="minorHAnsi"/>
                <w:color w:val="000000" w:themeColor="text1"/>
                <w:sz w:val="18"/>
                <w:szCs w:val="18"/>
              </w:rPr>
              <w:t>MEB NARSUM  ~6 Months Pre-Separation</w:t>
            </w:r>
          </w:p>
          <w:p w:rsidR="00B94622" w:rsidRPr="009F61E1" w:rsidRDefault="00B94622" w:rsidP="00B94622">
            <w:pPr>
              <w:contextualSpacing/>
              <w:rPr>
                <w:rFonts w:eastAsia="Calibri"/>
                <w:color w:val="000000" w:themeColor="text1"/>
                <w:sz w:val="18"/>
                <w:szCs w:val="18"/>
              </w:rPr>
            </w:pPr>
            <w:r>
              <w:rPr>
                <w:rFonts w:asciiTheme="minorHAnsi" w:eastAsia="Calibri" w:hAnsiTheme="minorHAnsi"/>
                <w:color w:val="000000" w:themeColor="text1"/>
                <w:sz w:val="18"/>
                <w:szCs w:val="18"/>
              </w:rPr>
              <w:t>(20021009)</w:t>
            </w:r>
          </w:p>
        </w:tc>
        <w:tc>
          <w:tcPr>
            <w:tcW w:w="2610" w:type="dxa"/>
            <w:shd w:val="clear" w:color="auto" w:fill="D9D9D9" w:themeFill="background1" w:themeFillShade="D9"/>
            <w:vAlign w:val="center"/>
          </w:tcPr>
          <w:p w:rsidR="00B94622" w:rsidRPr="001F29F9" w:rsidRDefault="00B94622" w:rsidP="00B94622">
            <w:pPr>
              <w:contextualSpacing/>
              <w:rPr>
                <w:rFonts w:asciiTheme="minorHAnsi" w:eastAsia="Calibri" w:hAnsiTheme="minorHAnsi"/>
                <w:color w:val="000000" w:themeColor="text1"/>
                <w:sz w:val="18"/>
                <w:szCs w:val="18"/>
              </w:rPr>
            </w:pPr>
            <w:r>
              <w:rPr>
                <w:rFonts w:eastAsia="Calibri"/>
                <w:color w:val="000000" w:themeColor="text1"/>
                <w:sz w:val="18"/>
                <w:szCs w:val="18"/>
              </w:rPr>
              <w:t>Orthopedics</w:t>
            </w:r>
            <w:r w:rsidRPr="001F29F9">
              <w:rPr>
                <w:rFonts w:eastAsia="Calibri"/>
                <w:color w:val="000000" w:themeColor="text1"/>
                <w:sz w:val="18"/>
                <w:szCs w:val="18"/>
              </w:rPr>
              <w:t xml:space="preserve"> ~ </w:t>
            </w:r>
            <w:r>
              <w:rPr>
                <w:rFonts w:eastAsia="Calibri"/>
                <w:color w:val="000000" w:themeColor="text1"/>
                <w:sz w:val="18"/>
                <w:szCs w:val="18"/>
              </w:rPr>
              <w:t>1 Month</w:t>
            </w:r>
            <w:r w:rsidRPr="001F29F9">
              <w:rPr>
                <w:rFonts w:eastAsia="Calibri"/>
                <w:color w:val="000000" w:themeColor="text1"/>
                <w:sz w:val="18"/>
                <w:szCs w:val="18"/>
              </w:rPr>
              <w:t xml:space="preserve"> Pre-Sep</w:t>
            </w:r>
          </w:p>
          <w:p w:rsidR="00B94622" w:rsidRPr="001F29F9" w:rsidRDefault="00B94622" w:rsidP="00B94622">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30307</w:t>
            </w:r>
            <w:r w:rsidRPr="001F29F9">
              <w:rPr>
                <w:rFonts w:asciiTheme="minorHAnsi" w:eastAsia="Calibri" w:hAnsiTheme="minorHAnsi"/>
                <w:color w:val="000000" w:themeColor="text1"/>
                <w:sz w:val="18"/>
                <w:szCs w:val="18"/>
              </w:rPr>
              <w:t>)</w:t>
            </w:r>
          </w:p>
        </w:tc>
        <w:tc>
          <w:tcPr>
            <w:tcW w:w="2700" w:type="dxa"/>
            <w:shd w:val="clear" w:color="auto" w:fill="D9D9D9" w:themeFill="background1" w:themeFillShade="D9"/>
            <w:vAlign w:val="center"/>
          </w:tcPr>
          <w:p w:rsidR="00B94622" w:rsidRPr="001F29F9" w:rsidRDefault="00B94622" w:rsidP="00B94622">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Pr>
                <w:rFonts w:eastAsia="Calibri"/>
                <w:color w:val="000000" w:themeColor="text1"/>
                <w:sz w:val="18"/>
                <w:szCs w:val="18"/>
              </w:rPr>
              <w:t>1</w:t>
            </w:r>
            <w:r w:rsidRPr="001F29F9">
              <w:rPr>
                <w:rFonts w:eastAsia="Calibri"/>
                <w:color w:val="000000" w:themeColor="text1"/>
                <w:sz w:val="18"/>
                <w:szCs w:val="18"/>
              </w:rPr>
              <w:t xml:space="preserve"> Mo</w:t>
            </w:r>
            <w:r>
              <w:rPr>
                <w:rFonts w:eastAsia="Calibri"/>
                <w:color w:val="000000" w:themeColor="text1"/>
                <w:sz w:val="18"/>
                <w:szCs w:val="18"/>
              </w:rPr>
              <w:t>nth</w:t>
            </w:r>
            <w:r w:rsidRPr="001F29F9">
              <w:rPr>
                <w:rFonts w:eastAsia="Calibri"/>
                <w:color w:val="000000" w:themeColor="text1"/>
                <w:sz w:val="18"/>
                <w:szCs w:val="18"/>
              </w:rPr>
              <w:t xml:space="preserve"> After-Sep</w:t>
            </w:r>
          </w:p>
          <w:p w:rsidR="00B94622" w:rsidRPr="001F29F9" w:rsidRDefault="00B94622" w:rsidP="00B94622">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30522</w:t>
            </w:r>
            <w:r w:rsidRPr="001F29F9">
              <w:rPr>
                <w:rFonts w:asciiTheme="minorHAnsi" w:eastAsia="Calibri" w:hAnsiTheme="minorHAnsi"/>
                <w:color w:val="000000" w:themeColor="text1"/>
                <w:sz w:val="18"/>
                <w:szCs w:val="18"/>
              </w:rPr>
              <w:t>)</w:t>
            </w:r>
          </w:p>
        </w:tc>
      </w:tr>
      <w:tr w:rsidR="00B94622" w:rsidRPr="001F29F9" w:rsidTr="00B94622">
        <w:tc>
          <w:tcPr>
            <w:tcW w:w="1638" w:type="dxa"/>
            <w:vAlign w:val="center"/>
          </w:tcPr>
          <w:p w:rsidR="00B94622" w:rsidRPr="001F29F9" w:rsidRDefault="00B94622" w:rsidP="00B94622">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Flexion (0-180)</w:t>
            </w:r>
          </w:p>
        </w:tc>
        <w:tc>
          <w:tcPr>
            <w:tcW w:w="1980" w:type="dxa"/>
          </w:tcPr>
          <w:p w:rsidR="00B94622" w:rsidRPr="00E7117A" w:rsidRDefault="00E7117A" w:rsidP="00B94622">
            <w:pPr>
              <w:rPr>
                <w:color w:val="auto"/>
                <w:sz w:val="18"/>
                <w:szCs w:val="18"/>
              </w:rPr>
            </w:pPr>
            <w:r w:rsidRPr="00E7117A">
              <w:rPr>
                <w:color w:val="auto"/>
                <w:sz w:val="18"/>
                <w:szCs w:val="18"/>
              </w:rPr>
              <w:t>No assessment</w:t>
            </w:r>
          </w:p>
        </w:tc>
        <w:tc>
          <w:tcPr>
            <w:tcW w:w="2610" w:type="dxa"/>
            <w:vAlign w:val="center"/>
          </w:tcPr>
          <w:p w:rsidR="00B94622" w:rsidRPr="001F29F9" w:rsidRDefault="00B94622" w:rsidP="00B94622">
            <w:pPr>
              <w:contextualSpacing/>
              <w:rPr>
                <w:rFonts w:eastAsia="Calibri"/>
                <w:color w:val="000000" w:themeColor="text1"/>
                <w:sz w:val="18"/>
                <w:szCs w:val="18"/>
              </w:rPr>
            </w:pPr>
            <w:r>
              <w:rPr>
                <w:rFonts w:eastAsia="Calibri"/>
                <w:color w:val="000000" w:themeColor="text1"/>
                <w:sz w:val="18"/>
                <w:szCs w:val="18"/>
              </w:rPr>
              <w:t>180</w:t>
            </w:r>
            <w:r w:rsidRPr="001F29F9">
              <w:rPr>
                <w:rFonts w:eastAsia="Calibri"/>
                <w:color w:val="000000" w:themeColor="text1"/>
                <w:sz w:val="18"/>
                <w:szCs w:val="18"/>
              </w:rPr>
              <w:t>⁰</w:t>
            </w:r>
          </w:p>
        </w:tc>
        <w:tc>
          <w:tcPr>
            <w:tcW w:w="2700" w:type="dxa"/>
            <w:vAlign w:val="center"/>
          </w:tcPr>
          <w:p w:rsidR="00B94622" w:rsidRPr="001F29F9" w:rsidRDefault="00B94622" w:rsidP="005B0139">
            <w:pPr>
              <w:contextualSpacing/>
              <w:rPr>
                <w:rFonts w:eastAsia="Calibri"/>
                <w:color w:val="000000" w:themeColor="text1"/>
                <w:sz w:val="18"/>
                <w:szCs w:val="18"/>
              </w:rPr>
            </w:pPr>
            <w:r>
              <w:rPr>
                <w:rFonts w:eastAsia="Calibri"/>
                <w:color w:val="000000" w:themeColor="text1"/>
                <w:sz w:val="18"/>
                <w:szCs w:val="18"/>
              </w:rPr>
              <w:t>180</w:t>
            </w:r>
            <w:r w:rsidRPr="001F29F9">
              <w:rPr>
                <w:rFonts w:eastAsia="Calibri"/>
                <w:color w:val="000000" w:themeColor="text1"/>
                <w:sz w:val="18"/>
                <w:szCs w:val="18"/>
              </w:rPr>
              <w:t>⁰</w:t>
            </w:r>
            <w:r>
              <w:rPr>
                <w:rFonts w:eastAsia="Calibri"/>
                <w:color w:val="000000" w:themeColor="text1"/>
                <w:sz w:val="18"/>
                <w:szCs w:val="18"/>
              </w:rPr>
              <w:t xml:space="preserve"> pain </w:t>
            </w:r>
            <w:r w:rsidR="005B0139">
              <w:rPr>
                <w:rFonts w:eastAsia="Calibri"/>
                <w:color w:val="000000" w:themeColor="text1"/>
                <w:sz w:val="18"/>
                <w:szCs w:val="18"/>
              </w:rPr>
              <w:t>at</w:t>
            </w:r>
            <w:r>
              <w:rPr>
                <w:rFonts w:eastAsia="Calibri"/>
                <w:color w:val="000000" w:themeColor="text1"/>
                <w:sz w:val="18"/>
                <w:szCs w:val="18"/>
              </w:rPr>
              <w:t xml:space="preserve"> 80</w:t>
            </w:r>
            <w:r w:rsidRPr="001F29F9">
              <w:rPr>
                <w:rFonts w:eastAsia="Calibri"/>
                <w:color w:val="000000" w:themeColor="text1"/>
                <w:sz w:val="18"/>
                <w:szCs w:val="18"/>
              </w:rPr>
              <w:t>⁰</w:t>
            </w:r>
          </w:p>
        </w:tc>
      </w:tr>
      <w:tr w:rsidR="00B94622" w:rsidRPr="001F29F9" w:rsidTr="00B94622">
        <w:trPr>
          <w:trHeight w:val="79"/>
        </w:trPr>
        <w:tc>
          <w:tcPr>
            <w:tcW w:w="1638" w:type="dxa"/>
            <w:vAlign w:val="center"/>
          </w:tcPr>
          <w:p w:rsidR="00B94622" w:rsidRPr="001F29F9" w:rsidRDefault="00B94622" w:rsidP="00B94622">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Abduction (0-180)</w:t>
            </w:r>
          </w:p>
        </w:tc>
        <w:tc>
          <w:tcPr>
            <w:tcW w:w="1980" w:type="dxa"/>
          </w:tcPr>
          <w:p w:rsidR="00B94622" w:rsidRPr="009F61E1" w:rsidRDefault="00E7117A" w:rsidP="00B94622">
            <w:pPr>
              <w:contextualSpacing/>
              <w:rPr>
                <w:rFonts w:eastAsia="Calibri"/>
                <w:color w:val="000000" w:themeColor="text1"/>
                <w:sz w:val="18"/>
                <w:szCs w:val="18"/>
              </w:rPr>
            </w:pPr>
            <w:r w:rsidRPr="00E7117A">
              <w:rPr>
                <w:color w:val="auto"/>
                <w:sz w:val="18"/>
                <w:szCs w:val="18"/>
              </w:rPr>
              <w:t>No assessment</w:t>
            </w:r>
          </w:p>
        </w:tc>
        <w:tc>
          <w:tcPr>
            <w:tcW w:w="2610" w:type="dxa"/>
            <w:vAlign w:val="center"/>
          </w:tcPr>
          <w:p w:rsidR="00B94622" w:rsidRPr="001F29F9" w:rsidRDefault="00B94622" w:rsidP="00B94622">
            <w:pPr>
              <w:contextualSpacing/>
              <w:rPr>
                <w:rFonts w:eastAsia="Calibri"/>
                <w:color w:val="000000" w:themeColor="text1"/>
                <w:sz w:val="18"/>
                <w:szCs w:val="18"/>
              </w:rPr>
            </w:pPr>
            <w:r>
              <w:rPr>
                <w:rFonts w:eastAsia="Calibri"/>
                <w:color w:val="000000" w:themeColor="text1"/>
                <w:sz w:val="18"/>
                <w:szCs w:val="18"/>
              </w:rPr>
              <w:t>180</w:t>
            </w:r>
            <w:r w:rsidRPr="001F29F9">
              <w:rPr>
                <w:rFonts w:eastAsia="Calibri"/>
                <w:color w:val="000000" w:themeColor="text1"/>
                <w:sz w:val="18"/>
                <w:szCs w:val="18"/>
              </w:rPr>
              <w:t>⁰</w:t>
            </w:r>
          </w:p>
        </w:tc>
        <w:tc>
          <w:tcPr>
            <w:tcW w:w="2700" w:type="dxa"/>
            <w:vAlign w:val="center"/>
          </w:tcPr>
          <w:p w:rsidR="00B94622" w:rsidRPr="001F29F9" w:rsidRDefault="00B94622" w:rsidP="00B94622">
            <w:pPr>
              <w:contextualSpacing/>
              <w:rPr>
                <w:rFonts w:eastAsia="Calibri"/>
                <w:color w:val="000000" w:themeColor="text1"/>
                <w:sz w:val="18"/>
                <w:szCs w:val="18"/>
              </w:rPr>
            </w:pPr>
            <w:r>
              <w:rPr>
                <w:rFonts w:eastAsia="Calibri"/>
                <w:color w:val="000000" w:themeColor="text1"/>
                <w:sz w:val="18"/>
                <w:szCs w:val="18"/>
              </w:rPr>
              <w:t>180</w:t>
            </w:r>
            <w:r w:rsidRPr="001F29F9">
              <w:rPr>
                <w:rFonts w:eastAsia="Calibri"/>
                <w:color w:val="000000" w:themeColor="text1"/>
                <w:sz w:val="18"/>
                <w:szCs w:val="18"/>
              </w:rPr>
              <w:t>⁰</w:t>
            </w:r>
          </w:p>
        </w:tc>
      </w:tr>
      <w:tr w:rsidR="00B94622" w:rsidRPr="001F29F9" w:rsidTr="00B94622">
        <w:trPr>
          <w:trHeight w:val="79"/>
        </w:trPr>
        <w:tc>
          <w:tcPr>
            <w:tcW w:w="1638" w:type="dxa"/>
            <w:vAlign w:val="center"/>
          </w:tcPr>
          <w:p w:rsidR="00B94622" w:rsidRPr="001F29F9" w:rsidRDefault="00B94622" w:rsidP="00B94622">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Internal Rotation (0-90)</w:t>
            </w:r>
          </w:p>
        </w:tc>
        <w:tc>
          <w:tcPr>
            <w:tcW w:w="1980" w:type="dxa"/>
          </w:tcPr>
          <w:p w:rsidR="00B94622" w:rsidRPr="009F61E1" w:rsidRDefault="00B94622" w:rsidP="00B94622">
            <w:pPr>
              <w:contextualSpacing/>
              <w:rPr>
                <w:rFonts w:eastAsia="Calibri"/>
                <w:color w:val="000000" w:themeColor="text1"/>
                <w:sz w:val="18"/>
                <w:szCs w:val="18"/>
              </w:rPr>
            </w:pPr>
            <w:r>
              <w:rPr>
                <w:rFonts w:eastAsia="Calibri"/>
                <w:color w:val="000000" w:themeColor="text1"/>
                <w:sz w:val="18"/>
                <w:szCs w:val="18"/>
              </w:rPr>
              <w:t>30</w:t>
            </w:r>
            <w:r>
              <w:rPr>
                <w:rFonts w:eastAsia="Calibri" w:cs="Calibri"/>
                <w:color w:val="000000" w:themeColor="text1"/>
                <w:sz w:val="18"/>
                <w:szCs w:val="18"/>
              </w:rPr>
              <w:t xml:space="preserve">° (No </w:t>
            </w:r>
            <w:proofErr w:type="spellStart"/>
            <w:r>
              <w:rPr>
                <w:rFonts w:eastAsia="Calibri" w:cs="Calibri"/>
                <w:color w:val="000000" w:themeColor="text1"/>
                <w:sz w:val="18"/>
                <w:szCs w:val="18"/>
              </w:rPr>
              <w:t>goniometer</w:t>
            </w:r>
            <w:proofErr w:type="spellEnd"/>
            <w:r>
              <w:rPr>
                <w:rFonts w:eastAsia="Calibri" w:cs="Calibri"/>
                <w:color w:val="000000" w:themeColor="text1"/>
                <w:sz w:val="18"/>
                <w:szCs w:val="18"/>
              </w:rPr>
              <w:t>)</w:t>
            </w:r>
          </w:p>
        </w:tc>
        <w:tc>
          <w:tcPr>
            <w:tcW w:w="2610" w:type="dxa"/>
            <w:vAlign w:val="center"/>
          </w:tcPr>
          <w:p w:rsidR="00B94622" w:rsidRDefault="00B94622" w:rsidP="00B94622">
            <w:pPr>
              <w:contextualSpacing/>
              <w:rPr>
                <w:rFonts w:eastAsia="Calibri"/>
                <w:color w:val="000000" w:themeColor="text1"/>
                <w:sz w:val="18"/>
                <w:szCs w:val="18"/>
              </w:rPr>
            </w:pPr>
            <w:r>
              <w:rPr>
                <w:rFonts w:eastAsia="Calibri"/>
                <w:color w:val="000000" w:themeColor="text1"/>
                <w:sz w:val="18"/>
                <w:szCs w:val="18"/>
              </w:rPr>
              <w:t>L-1</w:t>
            </w:r>
          </w:p>
        </w:tc>
        <w:tc>
          <w:tcPr>
            <w:tcW w:w="2700" w:type="dxa"/>
            <w:vAlign w:val="center"/>
          </w:tcPr>
          <w:p w:rsidR="00B94622" w:rsidRDefault="005B0139" w:rsidP="00B94622">
            <w:pPr>
              <w:contextualSpacing/>
              <w:rPr>
                <w:rFonts w:eastAsia="Calibri"/>
                <w:color w:val="000000" w:themeColor="text1"/>
                <w:sz w:val="18"/>
                <w:szCs w:val="18"/>
              </w:rPr>
            </w:pPr>
            <w:r>
              <w:rPr>
                <w:rFonts w:eastAsia="Calibri"/>
                <w:color w:val="000000" w:themeColor="text1"/>
                <w:sz w:val="18"/>
                <w:szCs w:val="18"/>
              </w:rPr>
              <w:t>90</w:t>
            </w:r>
            <w:r>
              <w:rPr>
                <w:rFonts w:eastAsia="Calibri" w:cs="Calibri"/>
                <w:color w:val="000000" w:themeColor="text1"/>
                <w:sz w:val="18"/>
                <w:szCs w:val="18"/>
              </w:rPr>
              <w:t>°</w:t>
            </w:r>
            <w:r>
              <w:rPr>
                <w:rFonts w:eastAsia="Calibri"/>
                <w:color w:val="000000" w:themeColor="text1"/>
                <w:sz w:val="18"/>
                <w:szCs w:val="18"/>
              </w:rPr>
              <w:t xml:space="preserve"> with pain and popping at 50</w:t>
            </w:r>
            <w:r>
              <w:rPr>
                <w:rFonts w:eastAsia="Calibri" w:cs="Calibri"/>
                <w:color w:val="000000" w:themeColor="text1"/>
                <w:sz w:val="18"/>
                <w:szCs w:val="18"/>
              </w:rPr>
              <w:t>°</w:t>
            </w:r>
          </w:p>
        </w:tc>
      </w:tr>
      <w:tr w:rsidR="00B94622" w:rsidRPr="001F29F9" w:rsidTr="00B94622">
        <w:trPr>
          <w:trHeight w:val="79"/>
        </w:trPr>
        <w:tc>
          <w:tcPr>
            <w:tcW w:w="1638" w:type="dxa"/>
            <w:vAlign w:val="center"/>
          </w:tcPr>
          <w:p w:rsidR="00B94622" w:rsidRPr="001F29F9" w:rsidRDefault="00B94622" w:rsidP="00B94622">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External Rotation (0-90)</w:t>
            </w:r>
          </w:p>
        </w:tc>
        <w:tc>
          <w:tcPr>
            <w:tcW w:w="1980" w:type="dxa"/>
          </w:tcPr>
          <w:p w:rsidR="00B94622" w:rsidRPr="009F61E1" w:rsidRDefault="00E7117A" w:rsidP="00B94622">
            <w:pPr>
              <w:contextualSpacing/>
              <w:rPr>
                <w:rFonts w:eastAsia="Calibri"/>
                <w:color w:val="000000" w:themeColor="text1"/>
                <w:sz w:val="18"/>
                <w:szCs w:val="18"/>
              </w:rPr>
            </w:pPr>
            <w:r w:rsidRPr="00E7117A">
              <w:rPr>
                <w:color w:val="auto"/>
                <w:sz w:val="18"/>
                <w:szCs w:val="18"/>
              </w:rPr>
              <w:t>No assessment</w:t>
            </w:r>
          </w:p>
        </w:tc>
        <w:tc>
          <w:tcPr>
            <w:tcW w:w="2610" w:type="dxa"/>
            <w:vAlign w:val="center"/>
          </w:tcPr>
          <w:p w:rsidR="00B94622" w:rsidRPr="00552697" w:rsidRDefault="00B94622" w:rsidP="00B94622">
            <w:pPr>
              <w:contextualSpacing/>
              <w:rPr>
                <w:rFonts w:eastAsia="Calibri"/>
                <w:color w:val="auto"/>
                <w:sz w:val="18"/>
                <w:szCs w:val="18"/>
              </w:rPr>
            </w:pPr>
            <w:r w:rsidRPr="00552697">
              <w:rPr>
                <w:rFonts w:eastAsia="Calibri"/>
                <w:color w:val="auto"/>
                <w:sz w:val="18"/>
                <w:szCs w:val="18"/>
              </w:rPr>
              <w:t>45</w:t>
            </w:r>
            <w:r w:rsidRPr="00552697">
              <w:rPr>
                <w:rFonts w:eastAsia="Calibri" w:cs="Calibri"/>
                <w:color w:val="auto"/>
                <w:sz w:val="18"/>
                <w:szCs w:val="18"/>
              </w:rPr>
              <w:t>°</w:t>
            </w:r>
          </w:p>
        </w:tc>
        <w:tc>
          <w:tcPr>
            <w:tcW w:w="2700" w:type="dxa"/>
            <w:vAlign w:val="center"/>
          </w:tcPr>
          <w:p w:rsidR="00B94622" w:rsidRPr="00552697" w:rsidRDefault="005B0139" w:rsidP="00B94622">
            <w:pPr>
              <w:contextualSpacing/>
              <w:rPr>
                <w:rFonts w:eastAsia="Calibri"/>
                <w:color w:val="auto"/>
                <w:sz w:val="18"/>
                <w:szCs w:val="18"/>
              </w:rPr>
            </w:pPr>
            <w:r w:rsidRPr="00552697">
              <w:rPr>
                <w:rFonts w:eastAsia="Calibri"/>
                <w:color w:val="auto"/>
                <w:sz w:val="18"/>
                <w:szCs w:val="18"/>
              </w:rPr>
              <w:t>90</w:t>
            </w:r>
            <w:r w:rsidRPr="00552697">
              <w:rPr>
                <w:rFonts w:eastAsia="Calibri" w:cs="Calibri"/>
                <w:color w:val="auto"/>
                <w:sz w:val="18"/>
                <w:szCs w:val="18"/>
              </w:rPr>
              <w:t>°</w:t>
            </w:r>
            <w:r w:rsidRPr="00552697">
              <w:rPr>
                <w:rFonts w:eastAsia="Calibri"/>
                <w:color w:val="auto"/>
                <w:sz w:val="18"/>
                <w:szCs w:val="18"/>
              </w:rPr>
              <w:t xml:space="preserve"> with pain and popping at 70</w:t>
            </w:r>
            <w:r w:rsidRPr="00552697">
              <w:rPr>
                <w:rFonts w:eastAsia="Calibri" w:cs="Calibri"/>
                <w:color w:val="auto"/>
                <w:sz w:val="18"/>
                <w:szCs w:val="18"/>
              </w:rPr>
              <w:t>°</w:t>
            </w:r>
          </w:p>
        </w:tc>
      </w:tr>
      <w:tr w:rsidR="00B94622" w:rsidRPr="001F29F9" w:rsidTr="00B94622">
        <w:tc>
          <w:tcPr>
            <w:tcW w:w="1638" w:type="dxa"/>
            <w:vAlign w:val="center"/>
          </w:tcPr>
          <w:p w:rsidR="00B94622" w:rsidRPr="001F29F9" w:rsidRDefault="00B94622" w:rsidP="00B94622">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1980" w:type="dxa"/>
          </w:tcPr>
          <w:p w:rsidR="00B94622" w:rsidRPr="00153C7D" w:rsidRDefault="00B94622" w:rsidP="00B94622">
            <w:pPr>
              <w:jc w:val="left"/>
              <w:rPr>
                <w:color w:val="auto"/>
                <w:sz w:val="18"/>
                <w:szCs w:val="18"/>
              </w:rPr>
            </w:pPr>
            <w:r w:rsidRPr="00153C7D">
              <w:rPr>
                <w:color w:val="auto"/>
                <w:sz w:val="18"/>
                <w:szCs w:val="18"/>
              </w:rPr>
              <w:t>Grip strength in right hand “significantly deceased compared to the left”;</w:t>
            </w:r>
            <w:r>
              <w:rPr>
                <w:color w:val="auto"/>
                <w:sz w:val="18"/>
                <w:szCs w:val="18"/>
              </w:rPr>
              <w:t xml:space="preserve"> no muscle atrophy in right upper extremity; only able to lift 20 pounds with his right arm;</w:t>
            </w:r>
          </w:p>
        </w:tc>
        <w:tc>
          <w:tcPr>
            <w:tcW w:w="2610" w:type="dxa"/>
          </w:tcPr>
          <w:p w:rsidR="00B94622" w:rsidRPr="00552697" w:rsidRDefault="00B94622" w:rsidP="00B94622">
            <w:pPr>
              <w:tabs>
                <w:tab w:val="left" w:pos="288"/>
                <w:tab w:val="left" w:pos="4752"/>
              </w:tabs>
              <w:spacing w:line="240" w:lineRule="auto"/>
              <w:jc w:val="left"/>
              <w:rPr>
                <w:rFonts w:eastAsiaTheme="minorHAnsi"/>
                <w:color w:val="auto"/>
                <w:sz w:val="18"/>
                <w:szCs w:val="18"/>
              </w:rPr>
            </w:pPr>
            <w:r w:rsidRPr="00552697">
              <w:rPr>
                <w:rFonts w:eastAsiaTheme="minorHAnsi"/>
                <w:color w:val="auto"/>
                <w:sz w:val="18"/>
                <w:szCs w:val="18"/>
              </w:rPr>
              <w:t>Pain was 7/10 when active; pain occurred twice a week and was intermittent throughout the day; normal cuff strengt</w:t>
            </w:r>
            <w:r w:rsidR="00D15F85">
              <w:rPr>
                <w:rFonts w:eastAsiaTheme="minorHAnsi"/>
                <w:color w:val="auto"/>
                <w:sz w:val="18"/>
                <w:szCs w:val="18"/>
              </w:rPr>
              <w:t xml:space="preserve">h noted, bilaterally; negative </w:t>
            </w:r>
            <w:proofErr w:type="spellStart"/>
            <w:r w:rsidR="00D15F85">
              <w:rPr>
                <w:rFonts w:eastAsiaTheme="minorHAnsi"/>
                <w:color w:val="auto"/>
                <w:sz w:val="18"/>
                <w:szCs w:val="18"/>
              </w:rPr>
              <w:t>S</w:t>
            </w:r>
            <w:r w:rsidRPr="00552697">
              <w:rPr>
                <w:rFonts w:eastAsiaTheme="minorHAnsi"/>
                <w:color w:val="auto"/>
                <w:sz w:val="18"/>
                <w:szCs w:val="18"/>
              </w:rPr>
              <w:t>purling</w:t>
            </w:r>
            <w:proofErr w:type="spellEnd"/>
            <w:r w:rsidRPr="00552697">
              <w:rPr>
                <w:rFonts w:eastAsiaTheme="minorHAnsi"/>
                <w:color w:val="auto"/>
                <w:sz w:val="18"/>
                <w:szCs w:val="18"/>
              </w:rPr>
              <w:t xml:space="preserve">, </w:t>
            </w:r>
            <w:proofErr w:type="spellStart"/>
            <w:r w:rsidRPr="00552697">
              <w:rPr>
                <w:rFonts w:eastAsiaTheme="minorHAnsi"/>
                <w:color w:val="auto"/>
                <w:sz w:val="18"/>
                <w:szCs w:val="18"/>
              </w:rPr>
              <w:t>ulnar</w:t>
            </w:r>
            <w:proofErr w:type="spellEnd"/>
            <w:r w:rsidRPr="00552697">
              <w:rPr>
                <w:rFonts w:eastAsiaTheme="minorHAnsi"/>
                <w:color w:val="auto"/>
                <w:sz w:val="18"/>
                <w:szCs w:val="18"/>
              </w:rPr>
              <w:t xml:space="preserve"> tunnel, and compression test; right upper extremity radicular pain.; motor 4/5 1</w:t>
            </w:r>
            <w:r w:rsidRPr="00552697">
              <w:rPr>
                <w:rFonts w:eastAsiaTheme="minorHAnsi"/>
                <w:color w:val="auto"/>
                <w:sz w:val="18"/>
                <w:szCs w:val="18"/>
                <w:vertAlign w:val="superscript"/>
              </w:rPr>
              <w:t>st</w:t>
            </w:r>
            <w:r w:rsidRPr="00552697">
              <w:rPr>
                <w:rFonts w:eastAsiaTheme="minorHAnsi"/>
                <w:color w:val="auto"/>
                <w:sz w:val="18"/>
                <w:szCs w:val="18"/>
              </w:rPr>
              <w:t xml:space="preserve"> </w:t>
            </w:r>
            <w:proofErr w:type="spellStart"/>
            <w:r w:rsidRPr="00552697">
              <w:rPr>
                <w:rFonts w:eastAsiaTheme="minorHAnsi"/>
                <w:color w:val="auto"/>
                <w:sz w:val="18"/>
                <w:szCs w:val="18"/>
              </w:rPr>
              <w:t>interosseus</w:t>
            </w:r>
            <w:proofErr w:type="spellEnd"/>
            <w:r w:rsidRPr="00552697">
              <w:rPr>
                <w:rFonts w:eastAsiaTheme="minorHAnsi"/>
                <w:color w:val="auto"/>
                <w:sz w:val="18"/>
                <w:szCs w:val="18"/>
              </w:rPr>
              <w:t xml:space="preserve"> right hand.</w:t>
            </w:r>
          </w:p>
        </w:tc>
        <w:tc>
          <w:tcPr>
            <w:tcW w:w="2700" w:type="dxa"/>
          </w:tcPr>
          <w:p w:rsidR="00B94622" w:rsidRPr="00552697" w:rsidRDefault="00B94622" w:rsidP="00B94622">
            <w:pPr>
              <w:tabs>
                <w:tab w:val="left" w:pos="288"/>
                <w:tab w:val="left" w:pos="4752"/>
              </w:tabs>
              <w:spacing w:line="240" w:lineRule="auto"/>
              <w:jc w:val="left"/>
              <w:rPr>
                <w:rFonts w:eastAsiaTheme="minorHAnsi"/>
                <w:color w:val="auto"/>
                <w:sz w:val="18"/>
                <w:szCs w:val="18"/>
              </w:rPr>
            </w:pPr>
            <w:r w:rsidRPr="00552697">
              <w:rPr>
                <w:rFonts w:eastAsiaTheme="minorHAnsi"/>
                <w:color w:val="auto"/>
                <w:sz w:val="18"/>
                <w:szCs w:val="18"/>
              </w:rPr>
              <w:t xml:space="preserve">General appearance was normal.  Noted pain and popping with external and internal rotations. The range of motion was additionally limited by pain, fatigue, weakness, and lack of endurance, but no </w:t>
            </w:r>
            <w:proofErr w:type="spellStart"/>
            <w:r w:rsidRPr="00552697">
              <w:rPr>
                <w:rFonts w:eastAsiaTheme="minorHAnsi"/>
                <w:color w:val="auto"/>
                <w:sz w:val="18"/>
                <w:szCs w:val="18"/>
              </w:rPr>
              <w:t>incoordination</w:t>
            </w:r>
            <w:proofErr w:type="spellEnd"/>
            <w:r w:rsidRPr="00552697">
              <w:rPr>
                <w:rFonts w:eastAsiaTheme="minorHAnsi"/>
                <w:color w:val="auto"/>
                <w:sz w:val="18"/>
                <w:szCs w:val="18"/>
              </w:rPr>
              <w:t xml:space="preserve">. </w:t>
            </w:r>
            <w:proofErr w:type="gramStart"/>
            <w:r w:rsidRPr="00552697">
              <w:rPr>
                <w:rFonts w:eastAsiaTheme="minorHAnsi"/>
                <w:color w:val="auto"/>
                <w:sz w:val="18"/>
                <w:szCs w:val="18"/>
              </w:rPr>
              <w:t>The was</w:t>
            </w:r>
            <w:proofErr w:type="gramEnd"/>
            <w:r w:rsidRPr="00552697">
              <w:rPr>
                <w:rFonts w:eastAsiaTheme="minorHAnsi"/>
                <w:color w:val="auto"/>
                <w:sz w:val="18"/>
                <w:szCs w:val="18"/>
              </w:rPr>
              <w:t xml:space="preserve"> no ankylosis of the shoulder joints.</w:t>
            </w:r>
          </w:p>
        </w:tc>
      </w:tr>
      <w:tr w:rsidR="00B94622" w:rsidRPr="001F29F9" w:rsidTr="00B94622">
        <w:tc>
          <w:tcPr>
            <w:tcW w:w="1638" w:type="dxa"/>
            <w:vAlign w:val="center"/>
          </w:tcPr>
          <w:p w:rsidR="00B94622" w:rsidRPr="001F29F9" w:rsidRDefault="00B94622" w:rsidP="00B94622">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1980" w:type="dxa"/>
          </w:tcPr>
          <w:p w:rsidR="00B94622" w:rsidRPr="009F61E1" w:rsidRDefault="00E7117A" w:rsidP="00B94622">
            <w:pPr>
              <w:contextualSpacing/>
              <w:rPr>
                <w:rFonts w:eastAsia="Calibri"/>
                <w:color w:val="000000" w:themeColor="text1"/>
                <w:sz w:val="18"/>
                <w:szCs w:val="18"/>
              </w:rPr>
            </w:pPr>
            <w:r>
              <w:rPr>
                <w:rFonts w:eastAsia="Calibri"/>
                <w:color w:val="000000" w:themeColor="text1"/>
                <w:sz w:val="18"/>
                <w:szCs w:val="18"/>
              </w:rPr>
              <w:t>10</w:t>
            </w:r>
            <w:r w:rsidRPr="00E7117A">
              <w:rPr>
                <w:rFonts w:eastAsia="Calibri"/>
                <w:color w:val="000000" w:themeColor="text1"/>
                <w:sz w:val="18"/>
                <w:szCs w:val="18"/>
              </w:rPr>
              <w:t>% (</w:t>
            </w:r>
            <w:r w:rsidRPr="00E7117A">
              <w:rPr>
                <w:color w:val="000000" w:themeColor="text1"/>
                <w:sz w:val="18"/>
                <w:szCs w:val="18"/>
              </w:rPr>
              <w:t>§4.59)</w:t>
            </w:r>
          </w:p>
        </w:tc>
        <w:tc>
          <w:tcPr>
            <w:tcW w:w="2610" w:type="dxa"/>
          </w:tcPr>
          <w:p w:rsidR="00B94622" w:rsidRDefault="00E7117A" w:rsidP="00B94622">
            <w:pPr>
              <w:tabs>
                <w:tab w:val="left" w:pos="288"/>
                <w:tab w:val="left" w:pos="4752"/>
              </w:tabs>
              <w:rPr>
                <w:rFonts w:eastAsiaTheme="minorHAnsi"/>
                <w:color w:val="000000" w:themeColor="text1"/>
                <w:sz w:val="18"/>
                <w:szCs w:val="18"/>
              </w:rPr>
            </w:pPr>
            <w:r>
              <w:rPr>
                <w:rFonts w:eastAsia="Calibri"/>
                <w:color w:val="000000" w:themeColor="text1"/>
                <w:sz w:val="18"/>
                <w:szCs w:val="18"/>
              </w:rPr>
              <w:t>10</w:t>
            </w:r>
            <w:r w:rsidRPr="00E7117A">
              <w:rPr>
                <w:rFonts w:eastAsia="Calibri"/>
                <w:color w:val="000000" w:themeColor="text1"/>
                <w:sz w:val="18"/>
                <w:szCs w:val="18"/>
              </w:rPr>
              <w:t>% (</w:t>
            </w:r>
            <w:r w:rsidRPr="00E7117A">
              <w:rPr>
                <w:color w:val="000000" w:themeColor="text1"/>
                <w:sz w:val="18"/>
                <w:szCs w:val="18"/>
              </w:rPr>
              <w:t>§4.59)</w:t>
            </w:r>
          </w:p>
        </w:tc>
        <w:tc>
          <w:tcPr>
            <w:tcW w:w="2700" w:type="dxa"/>
            <w:vAlign w:val="center"/>
          </w:tcPr>
          <w:p w:rsidR="00B94622" w:rsidRPr="001F29F9" w:rsidRDefault="00E7117A" w:rsidP="00B94622">
            <w:pPr>
              <w:tabs>
                <w:tab w:val="left" w:pos="288"/>
                <w:tab w:val="left" w:pos="4752"/>
              </w:tabs>
              <w:rPr>
                <w:rFonts w:eastAsiaTheme="minorHAnsi"/>
                <w:color w:val="000000" w:themeColor="text1"/>
                <w:sz w:val="18"/>
                <w:szCs w:val="18"/>
              </w:rPr>
            </w:pPr>
            <w:r>
              <w:rPr>
                <w:rFonts w:eastAsia="Calibri"/>
                <w:color w:val="000000" w:themeColor="text1"/>
                <w:sz w:val="18"/>
                <w:szCs w:val="18"/>
              </w:rPr>
              <w:t>10</w:t>
            </w:r>
            <w:r w:rsidRPr="00E7117A">
              <w:rPr>
                <w:rFonts w:eastAsia="Calibri"/>
                <w:color w:val="000000" w:themeColor="text1"/>
                <w:sz w:val="18"/>
                <w:szCs w:val="18"/>
              </w:rPr>
              <w:t>% (</w:t>
            </w:r>
            <w:r w:rsidRPr="00E7117A">
              <w:rPr>
                <w:color w:val="000000" w:themeColor="text1"/>
                <w:sz w:val="18"/>
                <w:szCs w:val="18"/>
              </w:rPr>
              <w:t>§4.59)</w:t>
            </w:r>
          </w:p>
        </w:tc>
      </w:tr>
    </w:tbl>
    <w:p w:rsidR="00C7338B" w:rsidRDefault="00C7338B" w:rsidP="00552697">
      <w:pPr>
        <w:jc w:val="both"/>
        <w:rPr>
          <w:color w:val="000000" w:themeColor="text1"/>
          <w:szCs w:val="24"/>
          <w:u w:val="single"/>
        </w:rPr>
      </w:pPr>
    </w:p>
    <w:p w:rsidR="00E06839" w:rsidRDefault="002412F1" w:rsidP="00552697">
      <w:pPr>
        <w:jc w:val="both"/>
        <w:rPr>
          <w:color w:val="000000" w:themeColor="text1"/>
          <w:szCs w:val="24"/>
        </w:rPr>
      </w:pPr>
      <w:r w:rsidRPr="00D15F85">
        <w:rPr>
          <w:color w:val="000000" w:themeColor="text1"/>
          <w:szCs w:val="24"/>
        </w:rPr>
        <w:t xml:space="preserve">The MEB NARSUM exam was completed in October 2002, </w:t>
      </w:r>
      <w:r w:rsidR="00534E75">
        <w:rPr>
          <w:color w:val="000000" w:themeColor="text1"/>
          <w:szCs w:val="24"/>
        </w:rPr>
        <w:t>6</w:t>
      </w:r>
      <w:r w:rsidRPr="00D15F85">
        <w:rPr>
          <w:color w:val="000000" w:themeColor="text1"/>
          <w:szCs w:val="24"/>
        </w:rPr>
        <w:t xml:space="preserve"> months prior to separation.</w:t>
      </w:r>
      <w:r w:rsidR="00747789">
        <w:rPr>
          <w:color w:val="000000" w:themeColor="text1"/>
          <w:szCs w:val="24"/>
        </w:rPr>
        <w:t xml:space="preserve"> </w:t>
      </w:r>
      <w:r w:rsidRPr="00D15F85">
        <w:rPr>
          <w:color w:val="000000" w:themeColor="text1"/>
          <w:szCs w:val="24"/>
        </w:rPr>
        <w:t xml:space="preserve"> It documents that the CI initially injured his right shoulder in 1996 while playing basketball. </w:t>
      </w:r>
      <w:r w:rsidR="00747789">
        <w:rPr>
          <w:color w:val="000000" w:themeColor="text1"/>
          <w:szCs w:val="24"/>
        </w:rPr>
        <w:t xml:space="preserve"> </w:t>
      </w:r>
      <w:r w:rsidRPr="00D15F85">
        <w:rPr>
          <w:color w:val="000000" w:themeColor="text1"/>
          <w:szCs w:val="24"/>
        </w:rPr>
        <w:t xml:space="preserve">His shoulder was dislocated and after it was reduced he continued to have clunking and instability. </w:t>
      </w:r>
      <w:r w:rsidR="00705081" w:rsidRPr="00D15F85">
        <w:rPr>
          <w:color w:val="000000" w:themeColor="text1"/>
          <w:szCs w:val="24"/>
        </w:rPr>
        <w:t>The examiner noted that d</w:t>
      </w:r>
      <w:r w:rsidRPr="00D15F85">
        <w:rPr>
          <w:color w:val="000000" w:themeColor="text1"/>
          <w:szCs w:val="24"/>
        </w:rPr>
        <w:t xml:space="preserve">espite two surgeries in 1998 and 1999, he continued to have shoulder pain and right hand </w:t>
      </w:r>
      <w:r w:rsidR="00194BFD" w:rsidRPr="00D15F85">
        <w:rPr>
          <w:color w:val="000000" w:themeColor="text1"/>
          <w:szCs w:val="24"/>
        </w:rPr>
        <w:t>weakness</w:t>
      </w:r>
      <w:r w:rsidRPr="00D15F85">
        <w:rPr>
          <w:color w:val="000000" w:themeColor="text1"/>
          <w:szCs w:val="24"/>
        </w:rPr>
        <w:t xml:space="preserve">. </w:t>
      </w:r>
      <w:r w:rsidR="00805F5A">
        <w:rPr>
          <w:color w:val="000000" w:themeColor="text1"/>
          <w:szCs w:val="24"/>
        </w:rPr>
        <w:t xml:space="preserve"> </w:t>
      </w:r>
      <w:r w:rsidR="00705081" w:rsidRPr="00D15F85">
        <w:rPr>
          <w:color w:val="000000" w:themeColor="text1"/>
          <w:szCs w:val="24"/>
        </w:rPr>
        <w:t>Review of the record reveals these surgeries were in 1997 and 1</w:t>
      </w:r>
      <w:r w:rsidR="000F5777" w:rsidRPr="00D15F85">
        <w:rPr>
          <w:color w:val="000000" w:themeColor="text1"/>
          <w:szCs w:val="24"/>
        </w:rPr>
        <w:t>998 and both were SLAP repairs.</w:t>
      </w:r>
      <w:r w:rsidR="00805F5A">
        <w:rPr>
          <w:color w:val="000000" w:themeColor="text1"/>
          <w:szCs w:val="24"/>
        </w:rPr>
        <w:t xml:space="preserve"> </w:t>
      </w:r>
      <w:r w:rsidR="00705081" w:rsidRPr="00D15F85">
        <w:rPr>
          <w:color w:val="000000" w:themeColor="text1"/>
          <w:szCs w:val="24"/>
        </w:rPr>
        <w:t xml:space="preserve"> </w:t>
      </w:r>
      <w:r w:rsidRPr="00D15F85">
        <w:rPr>
          <w:color w:val="000000" w:themeColor="text1"/>
          <w:szCs w:val="24"/>
        </w:rPr>
        <w:t>He was noted to be right hand dominant.</w:t>
      </w:r>
      <w:r w:rsidR="00194BFD" w:rsidRPr="00D15F85">
        <w:rPr>
          <w:color w:val="000000" w:themeColor="text1"/>
          <w:szCs w:val="24"/>
        </w:rPr>
        <w:t xml:space="preserve"> </w:t>
      </w:r>
      <w:r w:rsidR="00747789">
        <w:rPr>
          <w:color w:val="000000" w:themeColor="text1"/>
          <w:szCs w:val="24"/>
        </w:rPr>
        <w:t xml:space="preserve"> </w:t>
      </w:r>
      <w:r w:rsidR="00194BFD" w:rsidRPr="00D15F85">
        <w:rPr>
          <w:color w:val="000000" w:themeColor="text1"/>
          <w:szCs w:val="24"/>
        </w:rPr>
        <w:t xml:space="preserve">The physical examination noted internal rotation was limited to 30 degrees and that right hand grip strength was significantly decreased as compared to the left side. </w:t>
      </w:r>
      <w:r w:rsidR="00805F5A">
        <w:rPr>
          <w:color w:val="000000" w:themeColor="text1"/>
          <w:szCs w:val="24"/>
        </w:rPr>
        <w:t xml:space="preserve"> </w:t>
      </w:r>
      <w:r w:rsidR="00194BFD" w:rsidRPr="00D15F85">
        <w:rPr>
          <w:color w:val="000000" w:themeColor="text1"/>
          <w:szCs w:val="24"/>
        </w:rPr>
        <w:t xml:space="preserve">No muscle atrophy was noticeable. </w:t>
      </w:r>
      <w:r w:rsidR="00805F5A">
        <w:rPr>
          <w:color w:val="000000" w:themeColor="text1"/>
          <w:szCs w:val="24"/>
        </w:rPr>
        <w:t xml:space="preserve"> </w:t>
      </w:r>
      <w:r w:rsidR="00194BFD" w:rsidRPr="00D15F85">
        <w:rPr>
          <w:color w:val="000000" w:themeColor="text1"/>
          <w:szCs w:val="24"/>
        </w:rPr>
        <w:t xml:space="preserve">The NARSUM notes the restriction of lifting </w:t>
      </w:r>
      <w:r w:rsidR="00EC71A7" w:rsidRPr="00D15F85">
        <w:rPr>
          <w:color w:val="000000" w:themeColor="text1"/>
          <w:szCs w:val="24"/>
        </w:rPr>
        <w:t>only</w:t>
      </w:r>
      <w:r w:rsidR="00194BFD" w:rsidRPr="00D15F85">
        <w:rPr>
          <w:color w:val="000000" w:themeColor="text1"/>
          <w:szCs w:val="24"/>
        </w:rPr>
        <w:t xml:space="preserve"> 20 pounds was due to his </w:t>
      </w:r>
      <w:r w:rsidR="00EC71A7" w:rsidRPr="00D15F85">
        <w:rPr>
          <w:color w:val="000000" w:themeColor="text1"/>
          <w:szCs w:val="24"/>
        </w:rPr>
        <w:t xml:space="preserve">right </w:t>
      </w:r>
      <w:r w:rsidR="00EC71A7" w:rsidRPr="00D15F85">
        <w:rPr>
          <w:color w:val="000000" w:themeColor="text1"/>
          <w:szCs w:val="24"/>
        </w:rPr>
        <w:lastRenderedPageBreak/>
        <w:t>shoulder condition.</w:t>
      </w:r>
      <w:r w:rsidR="00705081" w:rsidRPr="00D15F85">
        <w:rPr>
          <w:color w:val="000000" w:themeColor="text1"/>
          <w:szCs w:val="24"/>
        </w:rPr>
        <w:t xml:space="preserve"> </w:t>
      </w:r>
      <w:r w:rsidR="00805F5A">
        <w:rPr>
          <w:color w:val="000000" w:themeColor="text1"/>
          <w:szCs w:val="24"/>
        </w:rPr>
        <w:t xml:space="preserve"> </w:t>
      </w:r>
      <w:r w:rsidR="00B94622" w:rsidRPr="00D15F85">
        <w:rPr>
          <w:color w:val="000000" w:themeColor="text1"/>
          <w:szCs w:val="24"/>
        </w:rPr>
        <w:t xml:space="preserve">The STR contains an evaluation completed by occupational therapy in July 2002. </w:t>
      </w:r>
      <w:r w:rsidR="00805F5A">
        <w:rPr>
          <w:color w:val="000000" w:themeColor="text1"/>
          <w:szCs w:val="24"/>
        </w:rPr>
        <w:t xml:space="preserve"> </w:t>
      </w:r>
      <w:r w:rsidR="00B94622" w:rsidRPr="00D15F85">
        <w:rPr>
          <w:color w:val="000000" w:themeColor="text1"/>
          <w:szCs w:val="24"/>
        </w:rPr>
        <w:t>This examination documents decreased strength of 4/5 throughout the entire right upper extremity but no difference in muscle mass circumference between the right and left upper extremities.</w:t>
      </w:r>
      <w:r w:rsidR="00805F5A">
        <w:rPr>
          <w:color w:val="000000" w:themeColor="text1"/>
          <w:szCs w:val="24"/>
        </w:rPr>
        <w:t xml:space="preserve"> </w:t>
      </w:r>
      <w:r w:rsidR="00B94622" w:rsidRPr="00D15F85">
        <w:rPr>
          <w:color w:val="000000" w:themeColor="text1"/>
          <w:szCs w:val="24"/>
        </w:rPr>
        <w:t xml:space="preserve"> It also documents internal rotation limited to 30 degrees and the examiner opined this was moderate. </w:t>
      </w:r>
      <w:r w:rsidR="00805F5A">
        <w:rPr>
          <w:color w:val="000000" w:themeColor="text1"/>
          <w:szCs w:val="24"/>
        </w:rPr>
        <w:t xml:space="preserve"> </w:t>
      </w:r>
      <w:r w:rsidR="00B94622" w:rsidRPr="00D15F85">
        <w:rPr>
          <w:color w:val="000000" w:themeColor="text1"/>
          <w:szCs w:val="24"/>
        </w:rPr>
        <w:t xml:space="preserve">The CI was also noted to have tingling in the T1 dermatome that increased with lateral neck flexion. </w:t>
      </w:r>
      <w:r w:rsidR="00805F5A">
        <w:rPr>
          <w:color w:val="000000" w:themeColor="text1"/>
          <w:szCs w:val="24"/>
        </w:rPr>
        <w:t xml:space="preserve"> </w:t>
      </w:r>
      <w:r w:rsidR="00B94622" w:rsidRPr="00D15F85">
        <w:rPr>
          <w:color w:val="000000" w:themeColor="text1"/>
          <w:szCs w:val="24"/>
        </w:rPr>
        <w:t xml:space="preserve">This tingling causes the CI to stop or avoid activities that cause this tingling. </w:t>
      </w:r>
      <w:r w:rsidR="00805F5A">
        <w:rPr>
          <w:color w:val="000000" w:themeColor="text1"/>
          <w:szCs w:val="24"/>
        </w:rPr>
        <w:t xml:space="preserve"> </w:t>
      </w:r>
      <w:r w:rsidR="00B94622" w:rsidRPr="00D15F85">
        <w:rPr>
          <w:color w:val="000000" w:themeColor="text1"/>
          <w:szCs w:val="24"/>
        </w:rPr>
        <w:t>It was felt that this was probably a result of scar adhesions from the 1997 surgery.</w:t>
      </w:r>
      <w:r w:rsidR="00E7117A" w:rsidRPr="00D15F85">
        <w:rPr>
          <w:color w:val="000000" w:themeColor="text1"/>
          <w:szCs w:val="24"/>
        </w:rPr>
        <w:t xml:space="preserve"> </w:t>
      </w:r>
      <w:r w:rsidR="00805F5A">
        <w:rPr>
          <w:color w:val="000000" w:themeColor="text1"/>
          <w:szCs w:val="24"/>
        </w:rPr>
        <w:t xml:space="preserve"> </w:t>
      </w:r>
      <w:r w:rsidR="005B0139" w:rsidRPr="00D15F85">
        <w:rPr>
          <w:color w:val="000000" w:themeColor="text1"/>
          <w:szCs w:val="24"/>
        </w:rPr>
        <w:t xml:space="preserve">The VA C&amp;P examination completed </w:t>
      </w:r>
      <w:r w:rsidR="00805F5A">
        <w:rPr>
          <w:color w:val="000000" w:themeColor="text1"/>
          <w:szCs w:val="24"/>
        </w:rPr>
        <w:t>a</w:t>
      </w:r>
      <w:r w:rsidR="005B0139" w:rsidRPr="00D15F85">
        <w:rPr>
          <w:color w:val="000000" w:themeColor="text1"/>
          <w:szCs w:val="24"/>
        </w:rPr>
        <w:t xml:space="preserve"> month after separation noted a functional impairment of very painful extension of the right arm and the inability to lift more than 20 pounds overhead. </w:t>
      </w:r>
      <w:r w:rsidR="00805F5A">
        <w:rPr>
          <w:color w:val="000000" w:themeColor="text1"/>
          <w:szCs w:val="24"/>
        </w:rPr>
        <w:t xml:space="preserve"> </w:t>
      </w:r>
      <w:r w:rsidR="005B0139" w:rsidRPr="00D15F85">
        <w:rPr>
          <w:color w:val="000000" w:themeColor="text1"/>
          <w:szCs w:val="24"/>
        </w:rPr>
        <w:t>There was no limitation in the</w:t>
      </w:r>
      <w:r w:rsidR="005B0139">
        <w:rPr>
          <w:color w:val="000000" w:themeColor="text1"/>
          <w:szCs w:val="24"/>
        </w:rPr>
        <w:t xml:space="preserve"> ROM but motion was painful. </w:t>
      </w:r>
      <w:r w:rsidR="00805F5A">
        <w:rPr>
          <w:color w:val="000000" w:themeColor="text1"/>
          <w:szCs w:val="24"/>
        </w:rPr>
        <w:t xml:space="preserve">ROM </w:t>
      </w:r>
      <w:r w:rsidR="005B0139">
        <w:rPr>
          <w:color w:val="000000" w:themeColor="text1"/>
          <w:szCs w:val="24"/>
        </w:rPr>
        <w:t>was additionally limited by pain, fatigue, weakness, and lack of endurance. Both service and V</w:t>
      </w:r>
      <w:r w:rsidR="00E7117A">
        <w:rPr>
          <w:color w:val="000000" w:themeColor="text1"/>
          <w:szCs w:val="24"/>
        </w:rPr>
        <w:t>A</w:t>
      </w:r>
      <w:r w:rsidR="005B0139">
        <w:rPr>
          <w:color w:val="000000" w:themeColor="text1"/>
          <w:szCs w:val="24"/>
        </w:rPr>
        <w:t xml:space="preserve"> </w:t>
      </w:r>
      <w:r w:rsidR="00747789">
        <w:rPr>
          <w:color w:val="000000" w:themeColor="text1"/>
          <w:szCs w:val="24"/>
        </w:rPr>
        <w:t xml:space="preserve">      </w:t>
      </w:r>
      <w:r w:rsidR="00805F5A">
        <w:rPr>
          <w:color w:val="000000" w:themeColor="text1"/>
          <w:szCs w:val="24"/>
        </w:rPr>
        <w:t>x</w:t>
      </w:r>
      <w:r w:rsidR="005B0139">
        <w:rPr>
          <w:color w:val="000000" w:themeColor="text1"/>
          <w:szCs w:val="24"/>
        </w:rPr>
        <w:t>-rays were normal.</w:t>
      </w:r>
    </w:p>
    <w:p w:rsidR="00E7117A" w:rsidRDefault="00E7117A" w:rsidP="00552697">
      <w:pPr>
        <w:jc w:val="both"/>
        <w:rPr>
          <w:color w:val="000000" w:themeColor="text1"/>
          <w:szCs w:val="24"/>
        </w:rPr>
      </w:pPr>
    </w:p>
    <w:p w:rsidR="00E7117A" w:rsidRDefault="00E7117A" w:rsidP="00552697">
      <w:pPr>
        <w:jc w:val="both"/>
        <w:rPr>
          <w:color w:val="000000" w:themeColor="text1"/>
          <w:szCs w:val="24"/>
        </w:rPr>
      </w:pPr>
      <w:r>
        <w:rPr>
          <w:color w:val="000000" w:themeColor="text1"/>
          <w:szCs w:val="24"/>
        </w:rPr>
        <w:t>The PEB stated it rated the “</w:t>
      </w:r>
      <w:r w:rsidR="00805F5A">
        <w:rPr>
          <w:color w:val="000000" w:themeColor="text1"/>
          <w:szCs w:val="24"/>
        </w:rPr>
        <w:t>c</w:t>
      </w:r>
      <w:r>
        <w:rPr>
          <w:color w:val="000000" w:themeColor="text1"/>
          <w:szCs w:val="24"/>
        </w:rPr>
        <w:t>hronic pain right shoulder, weakness and decreased grip strength post</w:t>
      </w:r>
      <w:r w:rsidR="00747789">
        <w:rPr>
          <w:color w:val="000000" w:themeColor="text1"/>
          <w:szCs w:val="24"/>
        </w:rPr>
        <w:t>-</w:t>
      </w:r>
      <w:r>
        <w:rPr>
          <w:color w:val="000000" w:themeColor="text1"/>
          <w:szCs w:val="24"/>
        </w:rPr>
        <w:t xml:space="preserve">surgical procedure” IAW the </w:t>
      </w:r>
      <w:r w:rsidRPr="00516317">
        <w:rPr>
          <w:color w:val="000000" w:themeColor="text1"/>
          <w:szCs w:val="24"/>
        </w:rPr>
        <w:t>US Army Physical Disability Agency (USAPDA) pain policy</w:t>
      </w:r>
      <w:r>
        <w:rPr>
          <w:color w:val="000000" w:themeColor="text1"/>
          <w:szCs w:val="24"/>
        </w:rPr>
        <w:t xml:space="preserve"> and assigned a 0% rating for slight intermittent pain.</w:t>
      </w:r>
      <w:r w:rsidR="00747789">
        <w:rPr>
          <w:color w:val="000000" w:themeColor="text1"/>
          <w:szCs w:val="24"/>
        </w:rPr>
        <w:t xml:space="preserve"> </w:t>
      </w:r>
      <w:r>
        <w:rPr>
          <w:color w:val="000000" w:themeColor="text1"/>
          <w:szCs w:val="24"/>
        </w:rPr>
        <w:t xml:space="preserve"> The rating was assigned analogous to 5003 </w:t>
      </w:r>
      <w:r w:rsidR="00747789">
        <w:rPr>
          <w:color w:val="000000" w:themeColor="text1"/>
          <w:szCs w:val="24"/>
        </w:rPr>
        <w:t>d</w:t>
      </w:r>
      <w:r>
        <w:rPr>
          <w:color w:val="000000" w:themeColor="text1"/>
          <w:szCs w:val="24"/>
        </w:rPr>
        <w:t xml:space="preserve">egenerative arthritis. </w:t>
      </w:r>
      <w:r w:rsidR="00805F5A">
        <w:rPr>
          <w:color w:val="000000" w:themeColor="text1"/>
          <w:szCs w:val="24"/>
        </w:rPr>
        <w:t xml:space="preserve"> </w:t>
      </w:r>
      <w:r>
        <w:rPr>
          <w:color w:val="000000" w:themeColor="text1"/>
          <w:szCs w:val="24"/>
        </w:rPr>
        <w:t xml:space="preserve">The CI had submitted a letter of appeal stating his pain should be characterized as slight frequent. </w:t>
      </w:r>
      <w:r w:rsidR="00805F5A">
        <w:rPr>
          <w:color w:val="000000" w:themeColor="text1"/>
          <w:szCs w:val="24"/>
        </w:rPr>
        <w:t xml:space="preserve"> </w:t>
      </w:r>
      <w:r>
        <w:rPr>
          <w:color w:val="000000" w:themeColor="text1"/>
          <w:szCs w:val="24"/>
        </w:rPr>
        <w:t xml:space="preserve">The VA </w:t>
      </w:r>
      <w:r w:rsidR="00561F49">
        <w:rPr>
          <w:color w:val="000000" w:themeColor="text1"/>
          <w:szCs w:val="24"/>
        </w:rPr>
        <w:t xml:space="preserve">used VASRD code 5201 </w:t>
      </w:r>
      <w:r w:rsidR="00805F5A">
        <w:rPr>
          <w:color w:val="000000" w:themeColor="text1"/>
          <w:szCs w:val="24"/>
        </w:rPr>
        <w:t>a</w:t>
      </w:r>
      <w:r w:rsidR="00561F49">
        <w:rPr>
          <w:color w:val="000000" w:themeColor="text1"/>
          <w:szCs w:val="24"/>
        </w:rPr>
        <w:t xml:space="preserve">rm, limitation of motion of and </w:t>
      </w:r>
      <w:r>
        <w:rPr>
          <w:color w:val="000000" w:themeColor="text1"/>
          <w:szCs w:val="24"/>
        </w:rPr>
        <w:t xml:space="preserve">rated the right shoulder at 20% for </w:t>
      </w:r>
      <w:r w:rsidR="00561F49">
        <w:rPr>
          <w:color w:val="000000" w:themeColor="text1"/>
          <w:szCs w:val="24"/>
        </w:rPr>
        <w:t xml:space="preserve">pain-limited range of motion. </w:t>
      </w:r>
      <w:r w:rsidR="00805F5A">
        <w:rPr>
          <w:color w:val="000000" w:themeColor="text1"/>
          <w:szCs w:val="24"/>
        </w:rPr>
        <w:t xml:space="preserve"> </w:t>
      </w:r>
      <w:r w:rsidR="00561F49">
        <w:rPr>
          <w:color w:val="000000" w:themeColor="text1"/>
          <w:szCs w:val="24"/>
        </w:rPr>
        <w:t>This rating was continued through its December 2005 rating decision, the latest rating noted in the record.</w:t>
      </w:r>
    </w:p>
    <w:p w:rsidR="00561F49" w:rsidRDefault="00561F49" w:rsidP="00552697">
      <w:pPr>
        <w:jc w:val="both"/>
        <w:rPr>
          <w:color w:val="000000" w:themeColor="text1"/>
          <w:szCs w:val="24"/>
        </w:rPr>
      </w:pPr>
    </w:p>
    <w:p w:rsidR="00561F49" w:rsidRPr="00D15F85" w:rsidRDefault="00561F49" w:rsidP="00552697">
      <w:pPr>
        <w:jc w:val="both"/>
        <w:rPr>
          <w:color w:val="000000" w:themeColor="text1"/>
          <w:szCs w:val="24"/>
        </w:rPr>
      </w:pPr>
      <w:r>
        <w:rPr>
          <w:color w:val="000000" w:themeColor="text1"/>
          <w:szCs w:val="24"/>
        </w:rPr>
        <w:t xml:space="preserve">The Board notes that VA standard practice is to rate painful motion of a joint at 10%. </w:t>
      </w:r>
      <w:r w:rsidR="00805F5A">
        <w:rPr>
          <w:color w:val="000000" w:themeColor="text1"/>
          <w:szCs w:val="24"/>
        </w:rPr>
        <w:t xml:space="preserve"> </w:t>
      </w:r>
      <w:r>
        <w:rPr>
          <w:color w:val="000000" w:themeColor="text1"/>
          <w:szCs w:val="24"/>
        </w:rPr>
        <w:t xml:space="preserve">A 20% rating for limited motion of the shoulder is normally reserved for cases where pain results in an actual limitation of ROM. </w:t>
      </w:r>
      <w:r w:rsidR="00805F5A">
        <w:rPr>
          <w:color w:val="000000" w:themeColor="text1"/>
          <w:szCs w:val="24"/>
        </w:rPr>
        <w:t xml:space="preserve"> </w:t>
      </w:r>
      <w:r>
        <w:rPr>
          <w:color w:val="000000" w:themeColor="text1"/>
          <w:szCs w:val="24"/>
        </w:rPr>
        <w:t xml:space="preserve">Full </w:t>
      </w:r>
      <w:r w:rsidR="00805F5A">
        <w:rPr>
          <w:color w:val="000000" w:themeColor="text1"/>
          <w:szCs w:val="24"/>
        </w:rPr>
        <w:t>ROM</w:t>
      </w:r>
      <w:r>
        <w:rPr>
          <w:color w:val="000000" w:themeColor="text1"/>
          <w:szCs w:val="24"/>
        </w:rPr>
        <w:t xml:space="preserve"> that is painful is generally rated at 10% for painful motion. </w:t>
      </w:r>
      <w:r w:rsidR="00805F5A">
        <w:rPr>
          <w:color w:val="000000" w:themeColor="text1"/>
          <w:szCs w:val="24"/>
        </w:rPr>
        <w:t xml:space="preserve"> </w:t>
      </w:r>
      <w:r>
        <w:rPr>
          <w:color w:val="000000" w:themeColor="text1"/>
          <w:szCs w:val="24"/>
        </w:rPr>
        <w:t xml:space="preserve">While the CI had painful motion, he was able to move his arm throughout the full range of flexion and abduction at the shoulder. </w:t>
      </w:r>
      <w:r w:rsidR="00747789">
        <w:rPr>
          <w:color w:val="000000" w:themeColor="text1"/>
          <w:szCs w:val="24"/>
        </w:rPr>
        <w:t xml:space="preserve"> </w:t>
      </w:r>
      <w:r>
        <w:rPr>
          <w:color w:val="000000" w:themeColor="text1"/>
          <w:szCs w:val="24"/>
        </w:rPr>
        <w:t>Therefore</w:t>
      </w:r>
      <w:r w:rsidR="000F5777">
        <w:rPr>
          <w:color w:val="000000" w:themeColor="text1"/>
          <w:szCs w:val="24"/>
        </w:rPr>
        <w:t>,</w:t>
      </w:r>
      <w:r>
        <w:rPr>
          <w:color w:val="000000" w:themeColor="text1"/>
          <w:szCs w:val="24"/>
        </w:rPr>
        <w:t xml:space="preserve"> a 10% rating is warranted based on painful motion. </w:t>
      </w:r>
      <w:r w:rsidR="00805F5A">
        <w:rPr>
          <w:color w:val="000000" w:themeColor="text1"/>
          <w:szCs w:val="24"/>
        </w:rPr>
        <w:t xml:space="preserve"> </w:t>
      </w:r>
      <w:r w:rsidRPr="00561F49">
        <w:rPr>
          <w:color w:val="000000" w:themeColor="text1"/>
          <w:szCs w:val="24"/>
        </w:rPr>
        <w:t xml:space="preserve">After due deliberation, considering all of the evidence </w:t>
      </w:r>
      <w:r w:rsidRPr="00D15F85">
        <w:rPr>
          <w:color w:val="000000" w:themeColor="text1"/>
          <w:szCs w:val="24"/>
        </w:rPr>
        <w:t>and mindful of VASRD §4.3 (reasonable doubt), the Board recommends a separation rating of 10% for the right shoulder condition.</w:t>
      </w:r>
    </w:p>
    <w:p w:rsidR="00E06839" w:rsidRPr="00D15F85" w:rsidRDefault="00E06839" w:rsidP="00552697">
      <w:pPr>
        <w:jc w:val="both"/>
        <w:rPr>
          <w:color w:val="000000" w:themeColor="text1"/>
          <w:szCs w:val="24"/>
          <w:u w:val="single"/>
        </w:rPr>
      </w:pPr>
    </w:p>
    <w:p w:rsidR="006573CB" w:rsidRPr="00D15F85" w:rsidRDefault="00B2026F" w:rsidP="00552697">
      <w:pPr>
        <w:jc w:val="both"/>
        <w:rPr>
          <w:color w:val="000000" w:themeColor="text1"/>
          <w:szCs w:val="24"/>
        </w:rPr>
      </w:pPr>
      <w:proofErr w:type="gramStart"/>
      <w:r w:rsidRPr="00D15F85">
        <w:rPr>
          <w:color w:val="000000" w:themeColor="text1"/>
          <w:szCs w:val="24"/>
          <w:u w:val="single"/>
        </w:rPr>
        <w:t>Contended</w:t>
      </w:r>
      <w:r w:rsidR="006573CB" w:rsidRPr="00D15F85">
        <w:rPr>
          <w:color w:val="000000" w:themeColor="text1"/>
          <w:szCs w:val="24"/>
          <w:u w:val="single"/>
        </w:rPr>
        <w:t xml:space="preserve"> Conditions.</w:t>
      </w:r>
      <w:proofErr w:type="gramEnd"/>
      <w:r w:rsidR="006573CB" w:rsidRPr="00D15F85">
        <w:rPr>
          <w:color w:val="000000" w:themeColor="text1"/>
          <w:szCs w:val="24"/>
        </w:rPr>
        <w:t xml:space="preserve">  </w:t>
      </w:r>
      <w:r w:rsidR="00002CDF" w:rsidRPr="00D15F85">
        <w:rPr>
          <w:color w:val="000000" w:themeColor="text1"/>
          <w:szCs w:val="24"/>
        </w:rPr>
        <w:t xml:space="preserve">While the CI did not specifically mention any contended conditions he stated, </w:t>
      </w:r>
      <w:r w:rsidR="00002CDF" w:rsidRPr="00D15F85">
        <w:rPr>
          <w:color w:val="000000" w:themeColor="text1"/>
        </w:rPr>
        <w:t>“</w:t>
      </w:r>
      <w:proofErr w:type="gramStart"/>
      <w:r w:rsidR="00805F5A">
        <w:rPr>
          <w:color w:val="000000" w:themeColor="text1"/>
        </w:rPr>
        <w:t>a</w:t>
      </w:r>
      <w:r w:rsidR="00002CDF" w:rsidRPr="00D15F85">
        <w:rPr>
          <w:color w:val="000000" w:themeColor="text1"/>
        </w:rPr>
        <w:t>ll</w:t>
      </w:r>
      <w:proofErr w:type="gramEnd"/>
      <w:r w:rsidR="00002CDF" w:rsidRPr="00D15F85">
        <w:rPr>
          <w:color w:val="000000" w:themeColor="text1"/>
        </w:rPr>
        <w:t xml:space="preserve"> injuries rendered unfit were not correctly listed from medical records.” </w:t>
      </w:r>
      <w:r w:rsidR="00747789">
        <w:rPr>
          <w:color w:val="000000" w:themeColor="text1"/>
        </w:rPr>
        <w:t xml:space="preserve"> </w:t>
      </w:r>
      <w:r w:rsidR="006573CB" w:rsidRPr="00D15F85">
        <w:rPr>
          <w:color w:val="000000" w:themeColor="text1"/>
          <w:szCs w:val="24"/>
        </w:rPr>
        <w:t xml:space="preserve">Other conditions identified in the DES file were </w:t>
      </w:r>
      <w:r w:rsidR="0096617A" w:rsidRPr="00D15F85">
        <w:rPr>
          <w:color w:val="000000" w:themeColor="text1"/>
          <w:szCs w:val="24"/>
        </w:rPr>
        <w:t xml:space="preserve">pseudofolliculitis barbae, right knee pain, </w:t>
      </w:r>
      <w:r w:rsidR="00F164C5" w:rsidRPr="00D15F85">
        <w:rPr>
          <w:color w:val="000000" w:themeColor="text1"/>
          <w:szCs w:val="24"/>
        </w:rPr>
        <w:t xml:space="preserve">bronchitis, chronic cough, ear infection, </w:t>
      </w:r>
      <w:r w:rsidR="0078395C" w:rsidRPr="00D15F85">
        <w:rPr>
          <w:color w:val="000000" w:themeColor="text1"/>
          <w:szCs w:val="24"/>
        </w:rPr>
        <w:t xml:space="preserve">heel pain, </w:t>
      </w:r>
      <w:r w:rsidR="008243D2" w:rsidRPr="00D15F85">
        <w:rPr>
          <w:color w:val="000000" w:themeColor="text1"/>
          <w:szCs w:val="24"/>
        </w:rPr>
        <w:t xml:space="preserve">chronic ankle sprains, left knee fracture, fractured </w:t>
      </w:r>
      <w:proofErr w:type="spellStart"/>
      <w:r w:rsidR="008243D2" w:rsidRPr="00D15F85">
        <w:rPr>
          <w:color w:val="000000" w:themeColor="text1"/>
          <w:szCs w:val="24"/>
        </w:rPr>
        <w:t>xyphoid</w:t>
      </w:r>
      <w:proofErr w:type="spellEnd"/>
      <w:r w:rsidR="008243D2" w:rsidRPr="00D15F85">
        <w:rPr>
          <w:color w:val="000000" w:themeColor="text1"/>
          <w:szCs w:val="24"/>
        </w:rPr>
        <w:t xml:space="preserve"> </w:t>
      </w:r>
      <w:r w:rsidR="003E1DBC" w:rsidRPr="00D15F85">
        <w:rPr>
          <w:color w:val="000000" w:themeColor="text1"/>
          <w:szCs w:val="24"/>
        </w:rPr>
        <w:t xml:space="preserve">process, </w:t>
      </w:r>
      <w:r w:rsidR="00DE7EE7" w:rsidRPr="00D15F85">
        <w:rPr>
          <w:color w:val="000000" w:themeColor="text1"/>
          <w:szCs w:val="24"/>
        </w:rPr>
        <w:t xml:space="preserve">severe </w:t>
      </w:r>
      <w:r w:rsidR="003E1DBC" w:rsidRPr="00D15F85">
        <w:rPr>
          <w:color w:val="000000" w:themeColor="text1"/>
          <w:szCs w:val="24"/>
        </w:rPr>
        <w:t xml:space="preserve">heartburn, sexually transmitted disease, headaches, </w:t>
      </w:r>
      <w:r w:rsidR="0094346F" w:rsidRPr="00D15F85">
        <w:rPr>
          <w:color w:val="000000" w:themeColor="text1"/>
          <w:szCs w:val="24"/>
        </w:rPr>
        <w:t>elevated blood pressure,</w:t>
      </w:r>
      <w:r w:rsidR="0029108B" w:rsidRPr="00D15F85">
        <w:rPr>
          <w:color w:val="000000" w:themeColor="text1"/>
          <w:szCs w:val="24"/>
        </w:rPr>
        <w:t xml:space="preserve"> </w:t>
      </w:r>
      <w:r w:rsidR="00F009B6" w:rsidRPr="00D15F85">
        <w:rPr>
          <w:color w:val="000000" w:themeColor="text1"/>
          <w:szCs w:val="24"/>
        </w:rPr>
        <w:t>head injury</w:t>
      </w:r>
      <w:r w:rsidR="00DE7EE7" w:rsidRPr="00D15F85">
        <w:rPr>
          <w:color w:val="000000" w:themeColor="text1"/>
          <w:szCs w:val="24"/>
        </w:rPr>
        <w:t xml:space="preserve"> requiring sutures</w:t>
      </w:r>
      <w:r w:rsidR="00F009B6" w:rsidRPr="00D15F85">
        <w:rPr>
          <w:color w:val="000000" w:themeColor="text1"/>
          <w:szCs w:val="24"/>
        </w:rPr>
        <w:t xml:space="preserve">, </w:t>
      </w:r>
      <w:r w:rsidR="00DE7EE7" w:rsidRPr="00D15F85">
        <w:rPr>
          <w:color w:val="000000" w:themeColor="text1"/>
          <w:szCs w:val="24"/>
        </w:rPr>
        <w:t xml:space="preserve">headaches, </w:t>
      </w:r>
      <w:r w:rsidR="00F009B6" w:rsidRPr="00D15F85">
        <w:rPr>
          <w:color w:val="000000" w:themeColor="text1"/>
          <w:szCs w:val="24"/>
        </w:rPr>
        <w:t>and stress/anxiety</w:t>
      </w:r>
      <w:r w:rsidR="00002CDF" w:rsidRPr="00D15F85">
        <w:rPr>
          <w:color w:val="000000" w:themeColor="text1"/>
          <w:szCs w:val="24"/>
        </w:rPr>
        <w:t xml:space="preserve">. </w:t>
      </w:r>
      <w:r w:rsidR="00805F5A">
        <w:rPr>
          <w:color w:val="000000" w:themeColor="text1"/>
          <w:szCs w:val="24"/>
        </w:rPr>
        <w:t xml:space="preserve"> </w:t>
      </w:r>
      <w:r w:rsidR="006573CB" w:rsidRPr="00D15F85">
        <w:rPr>
          <w:color w:val="000000" w:themeColor="text1"/>
          <w:szCs w:val="24"/>
        </w:rPr>
        <w:t xml:space="preserve">None of these conditions were significantly clinically or occupationally active during the MEB period, none carried attached profiles, and none were implicated in the commander’s statement.  These conditions were reviewed by the action officer and considered by the Board.  </w:t>
      </w:r>
      <w:r w:rsidR="00805F5A">
        <w:rPr>
          <w:color w:val="000000" w:themeColor="text1"/>
          <w:szCs w:val="24"/>
        </w:rPr>
        <w:t xml:space="preserve"> </w:t>
      </w:r>
      <w:r w:rsidR="006573CB" w:rsidRPr="00D15F85">
        <w:rPr>
          <w:color w:val="000000" w:themeColor="text1"/>
          <w:szCs w:val="24"/>
        </w:rPr>
        <w:t>It was determined that none could be argued as unfitting and</w:t>
      </w:r>
      <w:r w:rsidR="00552697" w:rsidRPr="00D15F85">
        <w:rPr>
          <w:color w:val="000000" w:themeColor="text1"/>
          <w:szCs w:val="24"/>
        </w:rPr>
        <w:t xml:space="preserve"> subject to separation rating. </w:t>
      </w:r>
      <w:r w:rsidR="00805F5A">
        <w:rPr>
          <w:color w:val="000000" w:themeColor="text1"/>
          <w:szCs w:val="24"/>
        </w:rPr>
        <w:t xml:space="preserve"> </w:t>
      </w:r>
      <w:r w:rsidR="006573CB" w:rsidRPr="00D15F85">
        <w:rPr>
          <w:color w:val="000000" w:themeColor="text1"/>
          <w:szCs w:val="24"/>
        </w:rPr>
        <w:t>The Board therefore has no reasonable basis for recommending any additional unfitting conditions for separation rating.</w:t>
      </w:r>
    </w:p>
    <w:p w:rsidR="001031F4" w:rsidRPr="00D15F85" w:rsidRDefault="001031F4" w:rsidP="00552697">
      <w:pPr>
        <w:pBdr>
          <w:bottom w:val="single" w:sz="12" w:space="1" w:color="auto"/>
        </w:pBdr>
        <w:tabs>
          <w:tab w:val="left" w:pos="288"/>
          <w:tab w:val="left" w:pos="4752"/>
        </w:tabs>
        <w:jc w:val="both"/>
        <w:rPr>
          <w:color w:val="000000" w:themeColor="text1"/>
        </w:rPr>
      </w:pPr>
    </w:p>
    <w:p w:rsidR="00F1737C" w:rsidRPr="00D15F85" w:rsidRDefault="00F1737C" w:rsidP="00552697">
      <w:pPr>
        <w:jc w:val="both"/>
        <w:rPr>
          <w:color w:val="000000" w:themeColor="text1"/>
          <w:szCs w:val="24"/>
        </w:rPr>
      </w:pPr>
    </w:p>
    <w:p w:rsidR="00002CDF" w:rsidRDefault="00C56FC8" w:rsidP="00552697">
      <w:pPr>
        <w:jc w:val="both"/>
        <w:rPr>
          <w:color w:val="000000" w:themeColor="text1"/>
          <w:szCs w:val="24"/>
        </w:rPr>
      </w:pPr>
      <w:r w:rsidRPr="00D15F85">
        <w:rPr>
          <w:color w:val="000000" w:themeColor="text1"/>
          <w:szCs w:val="24"/>
          <w:u w:val="single"/>
        </w:rPr>
        <w:t>BOARD FINDINGS</w:t>
      </w:r>
      <w:r w:rsidRPr="00D15F85">
        <w:rPr>
          <w:color w:val="000000" w:themeColor="text1"/>
          <w:szCs w:val="24"/>
        </w:rPr>
        <w:t>:</w:t>
      </w:r>
      <w:r w:rsidRPr="00D15F85">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C5A02" w:rsidRPr="00D15F85">
        <w:rPr>
          <w:rFonts w:eastAsiaTheme="minorHAnsi"/>
          <w:color w:val="000000" w:themeColor="text1"/>
          <w:szCs w:val="24"/>
        </w:rPr>
        <w:t xml:space="preserve"> </w:t>
      </w:r>
      <w:r w:rsidR="00805F5A">
        <w:rPr>
          <w:rFonts w:eastAsiaTheme="minorHAnsi"/>
          <w:color w:val="000000" w:themeColor="text1"/>
          <w:szCs w:val="24"/>
        </w:rPr>
        <w:t xml:space="preserve"> </w:t>
      </w:r>
      <w:r w:rsidR="00D2769C" w:rsidRPr="00D15F85">
        <w:rPr>
          <w:rFonts w:eastAsiaTheme="minorHAnsi"/>
          <w:color w:val="000000" w:themeColor="text1"/>
          <w:szCs w:val="24"/>
        </w:rPr>
        <w:t xml:space="preserve">As discussed above, PEB reliance on </w:t>
      </w:r>
      <w:r w:rsidR="00CA4A87" w:rsidRPr="00D15F85">
        <w:rPr>
          <w:color w:val="000000" w:themeColor="text1"/>
          <w:szCs w:val="24"/>
        </w:rPr>
        <w:t xml:space="preserve">DoDI 1332.39 for rating the back condition and </w:t>
      </w:r>
      <w:r w:rsidR="00D2769C" w:rsidRPr="00D15F85">
        <w:rPr>
          <w:rFonts w:eastAsiaTheme="minorHAnsi"/>
          <w:color w:val="000000" w:themeColor="text1"/>
          <w:szCs w:val="24"/>
        </w:rPr>
        <w:t>the USAPDA pain policy for rating the right shoulder condition was operant in this case and the condition was adjudicated independently of th</w:t>
      </w:r>
      <w:r w:rsidR="00CA4A87" w:rsidRPr="00D15F85">
        <w:rPr>
          <w:rFonts w:eastAsiaTheme="minorHAnsi"/>
          <w:color w:val="000000" w:themeColor="text1"/>
          <w:szCs w:val="24"/>
        </w:rPr>
        <w:t>ese</w:t>
      </w:r>
      <w:r w:rsidR="00D2769C" w:rsidRPr="00D15F85">
        <w:rPr>
          <w:rFonts w:eastAsiaTheme="minorHAnsi"/>
          <w:color w:val="000000" w:themeColor="text1"/>
          <w:szCs w:val="24"/>
        </w:rPr>
        <w:t xml:space="preserve"> policy regulation</w:t>
      </w:r>
      <w:r w:rsidR="00CA4A87" w:rsidRPr="00D15F85">
        <w:rPr>
          <w:rFonts w:eastAsiaTheme="minorHAnsi"/>
          <w:color w:val="000000" w:themeColor="text1"/>
          <w:szCs w:val="24"/>
        </w:rPr>
        <w:t>s</w:t>
      </w:r>
      <w:r w:rsidR="00D2769C" w:rsidRPr="00D15F85">
        <w:rPr>
          <w:rFonts w:eastAsiaTheme="minorHAnsi"/>
          <w:color w:val="000000" w:themeColor="text1"/>
          <w:szCs w:val="24"/>
        </w:rPr>
        <w:t xml:space="preserve"> by the Board.</w:t>
      </w:r>
      <w:r w:rsidR="00805F5A">
        <w:rPr>
          <w:rFonts w:eastAsiaTheme="minorHAnsi"/>
          <w:color w:val="000000" w:themeColor="text1"/>
          <w:szCs w:val="24"/>
        </w:rPr>
        <w:t xml:space="preserve"> </w:t>
      </w:r>
      <w:r w:rsidR="00561F49" w:rsidRPr="00D15F85">
        <w:rPr>
          <w:rFonts w:eastAsiaTheme="minorHAnsi"/>
          <w:color w:val="000000" w:themeColor="text1"/>
          <w:szCs w:val="24"/>
        </w:rPr>
        <w:t xml:space="preserve"> </w:t>
      </w:r>
      <w:r w:rsidR="00002CDF" w:rsidRPr="00D15F85">
        <w:rPr>
          <w:rFonts w:eastAsiaTheme="minorHAnsi"/>
          <w:color w:val="000000" w:themeColor="text1"/>
          <w:szCs w:val="24"/>
        </w:rPr>
        <w:t xml:space="preserve">In the matter of </w:t>
      </w:r>
      <w:r w:rsidR="00383ADF" w:rsidRPr="00D15F85">
        <w:rPr>
          <w:rFonts w:eastAsiaTheme="minorHAnsi"/>
          <w:color w:val="000000" w:themeColor="text1"/>
          <w:szCs w:val="24"/>
        </w:rPr>
        <w:t xml:space="preserve">the chronic </w:t>
      </w:r>
      <w:r w:rsidR="00805F5A">
        <w:rPr>
          <w:rFonts w:eastAsiaTheme="minorHAnsi"/>
          <w:color w:val="000000" w:themeColor="text1"/>
          <w:szCs w:val="24"/>
        </w:rPr>
        <w:t xml:space="preserve">LBP </w:t>
      </w:r>
      <w:r w:rsidR="007C51CB" w:rsidRPr="00D15F85">
        <w:rPr>
          <w:rFonts w:eastAsiaTheme="minorHAnsi"/>
          <w:color w:val="000000" w:themeColor="text1"/>
          <w:szCs w:val="24"/>
        </w:rPr>
        <w:t xml:space="preserve">and </w:t>
      </w:r>
      <w:r w:rsidR="007C51CB" w:rsidRPr="00D15F85">
        <w:rPr>
          <w:rFonts w:eastAsiaTheme="minorHAnsi"/>
          <w:color w:val="000000" w:themeColor="text1"/>
          <w:szCs w:val="24"/>
        </w:rPr>
        <w:lastRenderedPageBreak/>
        <w:t>IAW the 2002 VASRD §4.71a, the Board unanimously recommends no change in the PEB adjudication.</w:t>
      </w:r>
      <w:r w:rsidR="00552697" w:rsidRPr="00D15F85">
        <w:rPr>
          <w:rFonts w:eastAsiaTheme="minorHAnsi"/>
          <w:color w:val="000000" w:themeColor="text1"/>
          <w:szCs w:val="24"/>
        </w:rPr>
        <w:t xml:space="preserve"> </w:t>
      </w:r>
      <w:r w:rsidR="00805F5A">
        <w:rPr>
          <w:rFonts w:eastAsiaTheme="minorHAnsi"/>
          <w:color w:val="000000" w:themeColor="text1"/>
          <w:szCs w:val="24"/>
        </w:rPr>
        <w:t xml:space="preserve"> </w:t>
      </w:r>
      <w:r w:rsidR="00383ADF" w:rsidRPr="00D15F85">
        <w:rPr>
          <w:rFonts w:eastAsiaTheme="minorHAnsi"/>
          <w:color w:val="000000" w:themeColor="text1"/>
          <w:szCs w:val="24"/>
        </w:rPr>
        <w:t>In the matter of the chronic right shoulder pain condition,</w:t>
      </w:r>
      <w:r w:rsidR="00552697" w:rsidRPr="00D15F85">
        <w:rPr>
          <w:rFonts w:eastAsiaTheme="minorHAnsi"/>
          <w:color w:val="000000" w:themeColor="text1"/>
          <w:szCs w:val="24"/>
        </w:rPr>
        <w:t xml:space="preserve"> the Board unanimously recommends a permanent service disability rating of 10%, coded 5099-5003 IAW the 2002 VASRD §4.71a. </w:t>
      </w:r>
      <w:r w:rsidR="00805F5A">
        <w:rPr>
          <w:rFonts w:eastAsiaTheme="minorHAnsi"/>
          <w:color w:val="000000" w:themeColor="text1"/>
          <w:szCs w:val="24"/>
        </w:rPr>
        <w:t xml:space="preserve"> </w:t>
      </w:r>
      <w:r w:rsidR="00002CDF" w:rsidRPr="00D15F85">
        <w:rPr>
          <w:rFonts w:eastAsiaTheme="minorHAnsi"/>
          <w:color w:val="000000" w:themeColor="text1"/>
          <w:szCs w:val="24"/>
        </w:rPr>
        <w:t xml:space="preserve">In the matter of the </w:t>
      </w:r>
      <w:r w:rsidR="00DE7EE7" w:rsidRPr="00D15F85">
        <w:rPr>
          <w:color w:val="000000" w:themeColor="text1"/>
          <w:szCs w:val="24"/>
        </w:rPr>
        <w:t xml:space="preserve">pseudofolliculitis barbae, right knee pain, bronchitis, chronic cough, ear infection, heel pain, chronic ankle sprains, left knee fracture, fractured </w:t>
      </w:r>
      <w:proofErr w:type="spellStart"/>
      <w:r w:rsidR="00DE7EE7" w:rsidRPr="00D15F85">
        <w:rPr>
          <w:color w:val="000000" w:themeColor="text1"/>
          <w:szCs w:val="24"/>
        </w:rPr>
        <w:t>xyphoid</w:t>
      </w:r>
      <w:proofErr w:type="spellEnd"/>
      <w:r w:rsidR="00DE7EE7" w:rsidRPr="00D15F85">
        <w:rPr>
          <w:color w:val="000000" w:themeColor="text1"/>
          <w:szCs w:val="24"/>
        </w:rPr>
        <w:t xml:space="preserve"> process, severe heartburn, sexually transmitted disease, headaches, elevated blood pressure, head injury requiring sutures, headaches, and stress/anxiety</w:t>
      </w:r>
      <w:r w:rsidR="00002CDF" w:rsidRPr="00D15F85">
        <w:rPr>
          <w:color w:val="000000" w:themeColor="text1"/>
          <w:szCs w:val="24"/>
        </w:rPr>
        <w:t xml:space="preserve"> conditions</w:t>
      </w:r>
      <w:r w:rsidR="00002CDF" w:rsidRPr="00D15F85">
        <w:rPr>
          <w:rFonts w:eastAsiaTheme="minorHAnsi"/>
          <w:color w:val="000000" w:themeColor="text1"/>
          <w:szCs w:val="24"/>
        </w:rPr>
        <w:t xml:space="preserve">, the Board unanimously agrees that it cannot recommend </w:t>
      </w:r>
      <w:r w:rsidR="00002CDF" w:rsidRPr="00D15F85">
        <w:rPr>
          <w:color w:val="000000" w:themeColor="text1"/>
          <w:szCs w:val="24"/>
        </w:rPr>
        <w:t>any additional unfitting conditions for rating at separation.</w:t>
      </w:r>
    </w:p>
    <w:p w:rsidR="00FF2902" w:rsidRPr="0096617A" w:rsidRDefault="00FF2902" w:rsidP="00552697">
      <w:pPr>
        <w:jc w:val="both"/>
        <w:rPr>
          <w:color w:val="000000" w:themeColor="text1"/>
          <w:szCs w:val="24"/>
        </w:rPr>
      </w:pPr>
    </w:p>
    <w:p w:rsidR="00E141F4" w:rsidRDefault="00C56FC8" w:rsidP="00552697">
      <w:pPr>
        <w:jc w:val="both"/>
        <w:rPr>
          <w:color w:val="000000" w:themeColor="text1"/>
          <w:szCs w:val="24"/>
        </w:rPr>
      </w:pPr>
      <w:r w:rsidRPr="001F29F9">
        <w:rPr>
          <w:color w:val="000000" w:themeColor="text1"/>
          <w:szCs w:val="24"/>
          <w:u w:val="single"/>
        </w:rPr>
        <w:t>RECOMMENDATION</w:t>
      </w:r>
      <w:r w:rsidRPr="001F29F9">
        <w:rPr>
          <w:color w:val="000000" w:themeColor="text1"/>
          <w:szCs w:val="24"/>
        </w:rPr>
        <w:t xml:space="preserve">: </w:t>
      </w:r>
      <w:r w:rsidR="00E53460" w:rsidRPr="001F29F9">
        <w:rPr>
          <w:color w:val="000000" w:themeColor="text1"/>
          <w:szCs w:val="24"/>
        </w:rPr>
        <w:t xml:space="preserve"> </w:t>
      </w:r>
      <w:r w:rsidR="00552697" w:rsidRPr="00552697">
        <w:rPr>
          <w:color w:val="000000" w:themeColor="text1"/>
          <w:szCs w:val="24"/>
        </w:rPr>
        <w:t xml:space="preserve">The Board recommends that the CI’s prior determination be modified as follows, effective as of the date </w:t>
      </w:r>
      <w:r w:rsidR="00552697">
        <w:rPr>
          <w:color w:val="000000" w:themeColor="text1"/>
          <w:szCs w:val="24"/>
        </w:rPr>
        <w:t>of his prior medical separation</w:t>
      </w:r>
      <w:r w:rsidR="00BD2A49" w:rsidRPr="001F29F9">
        <w:rPr>
          <w:color w:val="000000" w:themeColor="text1"/>
          <w:szCs w:val="24"/>
        </w:rPr>
        <w:t>:</w:t>
      </w:r>
      <w:r w:rsidR="003604A5" w:rsidRPr="001F29F9">
        <w:rPr>
          <w:color w:val="000000" w:themeColor="text1"/>
          <w:szCs w:val="24"/>
        </w:rPr>
        <w:t xml:space="preserve"> </w:t>
      </w:r>
    </w:p>
    <w:p w:rsidR="00E141F4" w:rsidRPr="001F29F9" w:rsidRDefault="00E141F4"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E141F4" w:rsidP="00BF0E94">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A95BBA" w:rsidRPr="001F29F9" w:rsidRDefault="00516317" w:rsidP="00BF0E94">
            <w:pPr>
              <w:tabs>
                <w:tab w:val="left" w:pos="288"/>
                <w:tab w:val="left" w:pos="4752"/>
              </w:tabs>
              <w:rPr>
                <w:color w:val="000000" w:themeColor="text1"/>
                <w:szCs w:val="24"/>
              </w:rPr>
            </w:pPr>
            <w:r>
              <w:rPr>
                <w:color w:val="000000" w:themeColor="text1"/>
                <w:szCs w:val="24"/>
              </w:rPr>
              <w:t>5299-5295</w:t>
            </w:r>
          </w:p>
        </w:tc>
        <w:tc>
          <w:tcPr>
            <w:tcW w:w="1170" w:type="dxa"/>
            <w:vAlign w:val="center"/>
          </w:tcPr>
          <w:p w:rsidR="00A95BBA" w:rsidRPr="001F29F9" w:rsidRDefault="00637152" w:rsidP="00BF0E94">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516317" w:rsidRPr="001F29F9" w:rsidTr="0080588E">
        <w:trPr>
          <w:jc w:val="center"/>
        </w:trPr>
        <w:tc>
          <w:tcPr>
            <w:tcW w:w="6282" w:type="dxa"/>
            <w:vAlign w:val="center"/>
          </w:tcPr>
          <w:p w:rsidR="00516317" w:rsidRDefault="00516317" w:rsidP="00BF0E94">
            <w:pPr>
              <w:tabs>
                <w:tab w:val="left" w:pos="288"/>
                <w:tab w:val="left" w:pos="4752"/>
              </w:tabs>
              <w:jc w:val="left"/>
              <w:rPr>
                <w:color w:val="000000" w:themeColor="text1"/>
                <w:szCs w:val="24"/>
              </w:rPr>
            </w:pPr>
            <w:r>
              <w:rPr>
                <w:color w:val="000000" w:themeColor="text1"/>
                <w:szCs w:val="24"/>
              </w:rPr>
              <w:t>Chronic Right Shoulder Pain</w:t>
            </w:r>
          </w:p>
        </w:tc>
        <w:tc>
          <w:tcPr>
            <w:tcW w:w="1710" w:type="dxa"/>
            <w:vAlign w:val="center"/>
          </w:tcPr>
          <w:p w:rsidR="00516317" w:rsidRDefault="00516317" w:rsidP="00BF0E94">
            <w:pPr>
              <w:tabs>
                <w:tab w:val="left" w:pos="288"/>
                <w:tab w:val="left" w:pos="4752"/>
              </w:tabs>
              <w:rPr>
                <w:color w:val="000000" w:themeColor="text1"/>
                <w:szCs w:val="24"/>
              </w:rPr>
            </w:pPr>
            <w:r>
              <w:rPr>
                <w:color w:val="000000" w:themeColor="text1"/>
                <w:szCs w:val="24"/>
              </w:rPr>
              <w:t>5099-5003</w:t>
            </w:r>
          </w:p>
        </w:tc>
        <w:tc>
          <w:tcPr>
            <w:tcW w:w="1170" w:type="dxa"/>
            <w:vAlign w:val="center"/>
          </w:tcPr>
          <w:p w:rsidR="00516317" w:rsidRPr="001F29F9" w:rsidRDefault="00561F49" w:rsidP="00BF0E94">
            <w:pPr>
              <w:tabs>
                <w:tab w:val="left" w:pos="288"/>
                <w:tab w:val="left" w:pos="4752"/>
              </w:tabs>
              <w:rPr>
                <w:color w:val="000000" w:themeColor="text1"/>
                <w:szCs w:val="24"/>
                <w:highlight w:val="yellow"/>
              </w:rPr>
            </w:pPr>
            <w:r>
              <w:rPr>
                <w:color w:val="000000" w:themeColor="text1"/>
                <w:szCs w:val="24"/>
              </w:rPr>
              <w:t>10%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561F49" w:rsidP="00BF0E94">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61F49" w:rsidRPr="001F29F9" w:rsidRDefault="00561F49" w:rsidP="00561F49">
      <w:pPr>
        <w:pBdr>
          <w:bottom w:val="single" w:sz="12" w:space="1" w:color="auto"/>
        </w:pBdr>
        <w:tabs>
          <w:tab w:val="left" w:pos="288"/>
          <w:tab w:val="left" w:pos="4752"/>
        </w:tabs>
        <w:jc w:val="both"/>
        <w:rPr>
          <w:color w:val="000000" w:themeColor="text1"/>
        </w:rPr>
      </w:pPr>
    </w:p>
    <w:p w:rsidR="005B1D09" w:rsidRPr="001F29F9" w:rsidRDefault="005B1D09" w:rsidP="00561F49">
      <w:pPr>
        <w:jc w:val="both"/>
        <w:rPr>
          <w:color w:val="000000" w:themeColor="text1"/>
          <w:szCs w:val="24"/>
        </w:rPr>
      </w:pPr>
    </w:p>
    <w:p w:rsidR="00D91DA6" w:rsidRPr="001F29F9" w:rsidRDefault="00FB1725" w:rsidP="00561F49">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561F49">
      <w:pPr>
        <w:tabs>
          <w:tab w:val="left" w:pos="288"/>
          <w:tab w:val="left" w:pos="4752"/>
        </w:tabs>
        <w:jc w:val="both"/>
        <w:rPr>
          <w:color w:val="000000" w:themeColor="text1"/>
        </w:rPr>
      </w:pPr>
    </w:p>
    <w:p w:rsidR="00114F20" w:rsidRPr="001F29F9" w:rsidRDefault="00FB1725" w:rsidP="00561F4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16317">
        <w:rPr>
          <w:color w:val="000000" w:themeColor="text1"/>
          <w:szCs w:val="24"/>
        </w:rPr>
        <w:t>10411</w:t>
      </w:r>
      <w:r w:rsidR="00805F5A">
        <w:rPr>
          <w:color w:val="000000" w:themeColor="text1"/>
        </w:rPr>
        <w:t>, w/atchs</w:t>
      </w:r>
    </w:p>
    <w:p w:rsidR="00114F20" w:rsidRPr="001F29F9" w:rsidRDefault="00FB1725" w:rsidP="00561F49">
      <w:pPr>
        <w:tabs>
          <w:tab w:val="left" w:pos="288"/>
          <w:tab w:val="left" w:pos="4752"/>
        </w:tabs>
        <w:jc w:val="both"/>
        <w:rPr>
          <w:color w:val="000000" w:themeColor="text1"/>
        </w:rPr>
      </w:pPr>
      <w:r w:rsidRPr="001F29F9">
        <w:rPr>
          <w:color w:val="000000" w:themeColor="text1"/>
        </w:rPr>
        <w:t xml:space="preserve">Exhibit B.  </w:t>
      </w:r>
      <w:r w:rsidR="00805F5A">
        <w:rPr>
          <w:color w:val="000000" w:themeColor="text1"/>
        </w:rPr>
        <w:t>Service Treatment Record</w:t>
      </w:r>
    </w:p>
    <w:p w:rsidR="00114F20" w:rsidRPr="001F29F9" w:rsidRDefault="00FB1725" w:rsidP="00561F49">
      <w:pPr>
        <w:tabs>
          <w:tab w:val="left" w:pos="288"/>
          <w:tab w:val="left" w:pos="4752"/>
        </w:tabs>
        <w:jc w:val="both"/>
        <w:rPr>
          <w:color w:val="000000" w:themeColor="text1"/>
        </w:rPr>
      </w:pPr>
      <w:r w:rsidRPr="001F29F9">
        <w:rPr>
          <w:color w:val="000000" w:themeColor="text1"/>
        </w:rPr>
        <w:t>Exhibit C.  Department of Ve</w:t>
      </w:r>
      <w:r w:rsidR="00805F5A">
        <w:rPr>
          <w:color w:val="000000" w:themeColor="text1"/>
        </w:rPr>
        <w:t>terans Affairs Treatment Record</w:t>
      </w:r>
    </w:p>
    <w:p w:rsidR="00D91DA6" w:rsidRPr="001F29F9" w:rsidRDefault="00D91DA6" w:rsidP="00561F49">
      <w:pPr>
        <w:tabs>
          <w:tab w:val="left" w:pos="288"/>
          <w:tab w:val="left" w:pos="4752"/>
        </w:tabs>
        <w:jc w:val="both"/>
        <w:rPr>
          <w:color w:val="000000" w:themeColor="text1"/>
        </w:rPr>
      </w:pPr>
    </w:p>
    <w:p w:rsidR="00114F20" w:rsidRPr="001F29F9" w:rsidRDefault="00114F20" w:rsidP="00561F49">
      <w:pPr>
        <w:tabs>
          <w:tab w:val="left" w:pos="288"/>
          <w:tab w:val="left" w:pos="4752"/>
        </w:tabs>
        <w:jc w:val="both"/>
        <w:rPr>
          <w:color w:val="000000" w:themeColor="text1"/>
        </w:rPr>
      </w:pPr>
    </w:p>
    <w:p w:rsidR="00114F20" w:rsidRPr="001F29F9" w:rsidRDefault="00114F20" w:rsidP="00561F49">
      <w:pPr>
        <w:tabs>
          <w:tab w:val="left" w:pos="288"/>
          <w:tab w:val="left" w:pos="4752"/>
        </w:tabs>
        <w:jc w:val="both"/>
        <w:rPr>
          <w:color w:val="000000" w:themeColor="text1"/>
        </w:rPr>
      </w:pPr>
    </w:p>
    <w:p w:rsidR="00114F20" w:rsidRPr="001F29F9" w:rsidRDefault="00114F20" w:rsidP="00561F49">
      <w:pPr>
        <w:tabs>
          <w:tab w:val="left" w:pos="288"/>
          <w:tab w:val="left" w:pos="4752"/>
        </w:tabs>
        <w:jc w:val="both"/>
        <w:rPr>
          <w:color w:val="000000" w:themeColor="text1"/>
        </w:rPr>
      </w:pPr>
    </w:p>
    <w:p w:rsidR="00E3077F" w:rsidRPr="001F29F9" w:rsidRDefault="00220FA9" w:rsidP="00561F4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9B3A2C">
        <w:rPr>
          <w:color w:val="000000" w:themeColor="text1"/>
          <w:szCs w:val="24"/>
        </w:rPr>
        <w:t>XXXXXXXXX</w:t>
      </w:r>
    </w:p>
    <w:p w:rsidR="002F195B" w:rsidRPr="001F29F9" w:rsidRDefault="00220FA9" w:rsidP="00561F4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9B3A2C" w:rsidRDefault="002F195B" w:rsidP="00561F49">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9B3A2C" w:rsidRDefault="009B3A2C">
      <w:pPr>
        <w:rPr>
          <w:color w:val="000000" w:themeColor="text1"/>
          <w:szCs w:val="24"/>
        </w:rPr>
      </w:pPr>
      <w:r>
        <w:rPr>
          <w:color w:val="000000" w:themeColor="text1"/>
          <w:szCs w:val="24"/>
        </w:rPr>
        <w:br w:type="page"/>
      </w:r>
    </w:p>
    <w:p w:rsidR="009B3A2C" w:rsidRDefault="009B3A2C" w:rsidP="009B3A2C">
      <w:pPr>
        <w:pStyle w:val="Header"/>
        <w:tabs>
          <w:tab w:val="clear" w:pos="4320"/>
          <w:tab w:val="clear" w:pos="8640"/>
        </w:tabs>
        <w:sectPr w:rsidR="009B3A2C">
          <w:footerReference w:type="first" r:id="rId8"/>
          <w:pgSz w:w="12240" w:h="15840" w:code="1"/>
          <w:pgMar w:top="2160" w:right="1440" w:bottom="1440" w:left="1440" w:header="720" w:footer="720" w:gutter="0"/>
          <w:cols w:space="720"/>
          <w:titlePg/>
        </w:sectPr>
      </w:pPr>
    </w:p>
    <w:p w:rsidR="009B3A2C" w:rsidRDefault="009B3A2C" w:rsidP="009B3A2C">
      <w:pPr>
        <w:pStyle w:val="Header"/>
        <w:tabs>
          <w:tab w:val="clear" w:pos="4320"/>
          <w:tab w:val="clear" w:pos="8640"/>
        </w:tabs>
        <w:jc w:val="left"/>
      </w:pPr>
      <w:r>
        <w:lastRenderedPageBreak/>
        <w:t>SFMR-RB</w:t>
      </w:r>
      <w:r>
        <w:tab/>
      </w:r>
      <w:r>
        <w:tab/>
      </w:r>
      <w:r>
        <w:tab/>
      </w:r>
      <w:r>
        <w:tab/>
      </w:r>
      <w:r>
        <w:tab/>
      </w:r>
      <w:r>
        <w:tab/>
      </w:r>
      <w:r>
        <w:tab/>
      </w:r>
      <w:r>
        <w:tab/>
      </w:r>
      <w:r>
        <w:tab/>
      </w:r>
    </w:p>
    <w:p w:rsidR="009B3A2C" w:rsidRDefault="009B3A2C" w:rsidP="009B3A2C">
      <w:pPr>
        <w:pStyle w:val="Header"/>
        <w:tabs>
          <w:tab w:val="clear" w:pos="4320"/>
          <w:tab w:val="clear" w:pos="8640"/>
        </w:tabs>
        <w:jc w:val="left"/>
      </w:pPr>
    </w:p>
    <w:p w:rsidR="009B3A2C" w:rsidRDefault="009B3A2C" w:rsidP="009B3A2C">
      <w:pPr>
        <w:jc w:val="left"/>
      </w:pPr>
    </w:p>
    <w:p w:rsidR="009B3A2C" w:rsidRDefault="009B3A2C" w:rsidP="009B3A2C">
      <w:pPr>
        <w:jc w:val="left"/>
      </w:pPr>
      <w:r>
        <w:t xml:space="preserve">MEMORANDUM FOR Commander, US Army Physical Disability Agency </w:t>
      </w:r>
    </w:p>
    <w:p w:rsidR="009B3A2C" w:rsidRDefault="009B3A2C" w:rsidP="009B3A2C">
      <w:pPr>
        <w:jc w:val="left"/>
      </w:pPr>
      <w:r>
        <w:t>(TAPD-ZB /), 2900 Crystal Drive, Suite 300, Arlington, VA  22202</w:t>
      </w:r>
    </w:p>
    <w:p w:rsidR="009B3A2C" w:rsidRDefault="009B3A2C" w:rsidP="009B3A2C">
      <w:pPr>
        <w:jc w:val="left"/>
      </w:pPr>
    </w:p>
    <w:p w:rsidR="009B3A2C" w:rsidRDefault="009B3A2C" w:rsidP="009B3A2C">
      <w:pPr>
        <w:ind w:right="-180"/>
        <w:jc w:val="left"/>
      </w:pPr>
      <w:r>
        <w:t xml:space="preserve">SUBJECT:  Department of Defense Physical Disability Board of Review Recommendation </w:t>
      </w:r>
    </w:p>
    <w:p w:rsidR="009B3A2C" w:rsidRDefault="009B3A2C" w:rsidP="009B3A2C">
      <w:pPr>
        <w:pStyle w:val="Header"/>
        <w:tabs>
          <w:tab w:val="left" w:pos="720"/>
        </w:tabs>
        <w:jc w:val="left"/>
      </w:pPr>
      <w:proofErr w:type="gramStart"/>
      <w:r>
        <w:t>for</w:t>
      </w:r>
      <w:proofErr w:type="gramEnd"/>
      <w:r>
        <w:t xml:space="preserve"> XXXXXXXXX, AR20120008200 (PD201100439)</w:t>
      </w:r>
    </w:p>
    <w:p w:rsidR="009B3A2C" w:rsidRDefault="009B3A2C" w:rsidP="009B3A2C">
      <w:pPr>
        <w:pStyle w:val="Header"/>
        <w:tabs>
          <w:tab w:val="left" w:pos="720"/>
        </w:tabs>
        <w:jc w:val="left"/>
      </w:pPr>
    </w:p>
    <w:p w:rsidR="009B3A2C" w:rsidRDefault="009B3A2C" w:rsidP="009B3A2C">
      <w:pPr>
        <w:jc w:val="left"/>
      </w:pPr>
    </w:p>
    <w:p w:rsidR="009B3A2C" w:rsidRDefault="009B3A2C" w:rsidP="009B3A2C">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9B3A2C" w:rsidRDefault="009B3A2C" w:rsidP="009B3A2C">
      <w:pPr>
        <w:jc w:val="left"/>
      </w:pPr>
    </w:p>
    <w:p w:rsidR="009B3A2C" w:rsidRDefault="009B3A2C" w:rsidP="009B3A2C">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9B3A2C" w:rsidRDefault="009B3A2C" w:rsidP="009B3A2C">
      <w:pPr>
        <w:jc w:val="left"/>
      </w:pPr>
    </w:p>
    <w:p w:rsidR="009B3A2C" w:rsidRDefault="009B3A2C" w:rsidP="009B3A2C">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9B3A2C" w:rsidRDefault="009B3A2C" w:rsidP="009B3A2C">
      <w:pPr>
        <w:jc w:val="left"/>
      </w:pPr>
    </w:p>
    <w:p w:rsidR="009B3A2C" w:rsidRDefault="009B3A2C" w:rsidP="009B3A2C">
      <w:pPr>
        <w:jc w:val="left"/>
      </w:pPr>
      <w:r>
        <w:t xml:space="preserve"> BY ORDER OF THE SECRETARY OF THE ARMY:</w:t>
      </w:r>
    </w:p>
    <w:p w:rsidR="009B3A2C" w:rsidRDefault="009B3A2C" w:rsidP="009B3A2C">
      <w:pPr>
        <w:jc w:val="left"/>
      </w:pPr>
    </w:p>
    <w:p w:rsidR="009B3A2C" w:rsidRDefault="009B3A2C" w:rsidP="009B3A2C">
      <w:pPr>
        <w:jc w:val="left"/>
      </w:pPr>
    </w:p>
    <w:p w:rsidR="009B3A2C" w:rsidRDefault="009B3A2C" w:rsidP="009B3A2C">
      <w:pPr>
        <w:pStyle w:val="Header"/>
        <w:tabs>
          <w:tab w:val="clear" w:pos="4320"/>
          <w:tab w:val="clear" w:pos="8640"/>
        </w:tabs>
        <w:jc w:val="left"/>
      </w:pPr>
    </w:p>
    <w:p w:rsidR="009B3A2C" w:rsidRDefault="009B3A2C" w:rsidP="009B3A2C">
      <w:pPr>
        <w:jc w:val="left"/>
      </w:pPr>
    </w:p>
    <w:p w:rsidR="009B3A2C" w:rsidRDefault="009B3A2C" w:rsidP="009B3A2C">
      <w:pPr>
        <w:jc w:val="left"/>
      </w:pPr>
      <w:bookmarkStart w:id="0" w:name="OLE_LINK3"/>
      <w:bookmarkStart w:id="1" w:name="OLE_LINK4"/>
      <w:r>
        <w:t>Encl</w:t>
      </w:r>
      <w:r>
        <w:tab/>
      </w:r>
      <w:r>
        <w:tab/>
      </w:r>
      <w:r>
        <w:tab/>
      </w:r>
      <w:r>
        <w:tab/>
      </w:r>
      <w:r>
        <w:tab/>
      </w:r>
      <w:r>
        <w:tab/>
        <w:t xml:space="preserve">     XXXXXXXXX</w:t>
      </w:r>
    </w:p>
    <w:p w:rsidR="009B3A2C" w:rsidRDefault="009B3A2C" w:rsidP="009B3A2C">
      <w:pPr>
        <w:jc w:val="left"/>
      </w:pPr>
      <w:r>
        <w:tab/>
      </w:r>
      <w:r>
        <w:tab/>
      </w:r>
      <w:r>
        <w:tab/>
      </w:r>
      <w:r>
        <w:tab/>
      </w:r>
      <w:r>
        <w:tab/>
      </w:r>
      <w:r>
        <w:tab/>
        <w:t xml:space="preserve">     Deputy Assistant Secretary</w:t>
      </w:r>
    </w:p>
    <w:p w:rsidR="009B3A2C" w:rsidRDefault="009B3A2C" w:rsidP="009B3A2C">
      <w:pPr>
        <w:jc w:val="left"/>
      </w:pPr>
      <w:r>
        <w:tab/>
      </w:r>
      <w:r>
        <w:tab/>
      </w:r>
      <w:r>
        <w:tab/>
      </w:r>
      <w:r>
        <w:tab/>
      </w:r>
      <w:r>
        <w:tab/>
      </w:r>
      <w:r>
        <w:tab/>
        <w:t xml:space="preserve">         (Army Review Boards)</w:t>
      </w:r>
      <w:bookmarkEnd w:id="0"/>
      <w:bookmarkEnd w:id="1"/>
    </w:p>
    <w:p w:rsidR="009B3A2C" w:rsidRDefault="009B3A2C" w:rsidP="009B3A2C">
      <w:pPr>
        <w:jc w:val="left"/>
      </w:pPr>
    </w:p>
    <w:p w:rsidR="009B3A2C" w:rsidRDefault="009B3A2C" w:rsidP="009B3A2C">
      <w:pPr>
        <w:jc w:val="left"/>
      </w:pPr>
      <w:r>
        <w:t xml:space="preserve">CF: </w:t>
      </w:r>
    </w:p>
    <w:p w:rsidR="009B3A2C" w:rsidRDefault="009B3A2C" w:rsidP="009B3A2C">
      <w:pPr>
        <w:jc w:val="left"/>
      </w:pPr>
      <w:r>
        <w:t xml:space="preserve">(  ) </w:t>
      </w:r>
      <w:proofErr w:type="gramStart"/>
      <w:r>
        <w:t>DoD</w:t>
      </w:r>
      <w:proofErr w:type="gramEnd"/>
      <w:r>
        <w:t xml:space="preserve"> PDBR</w:t>
      </w:r>
    </w:p>
    <w:p w:rsidR="009B3A2C" w:rsidRDefault="009B3A2C" w:rsidP="009B3A2C">
      <w:pPr>
        <w:jc w:val="left"/>
      </w:pPr>
      <w:r>
        <w:t>(  ) DVA</w:t>
      </w:r>
    </w:p>
    <w:p w:rsidR="00E3077F" w:rsidRPr="001F29F9" w:rsidRDefault="00E3077F" w:rsidP="009B3A2C">
      <w:pPr>
        <w:tabs>
          <w:tab w:val="left" w:pos="0"/>
          <w:tab w:val="left" w:pos="4320"/>
        </w:tabs>
        <w:jc w:val="left"/>
        <w:rPr>
          <w:color w:val="000000" w:themeColor="text1"/>
          <w:szCs w:val="24"/>
        </w:rPr>
      </w:pPr>
    </w:p>
    <w:sectPr w:rsidR="00E3077F" w:rsidRPr="001F29F9"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2F" w:rsidRDefault="0084412F">
      <w:r>
        <w:separator/>
      </w:r>
    </w:p>
  </w:endnote>
  <w:endnote w:type="continuationSeparator" w:id="0">
    <w:p w:rsidR="0084412F" w:rsidRDefault="00844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2C" w:rsidRDefault="00642999">
    <w:pPr>
      <w:pStyle w:val="Footer"/>
      <w:tabs>
        <w:tab w:val="clear" w:pos="8640"/>
      </w:tabs>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393" type="#_x0000_t75" style="position:absolute;left:0;text-align:left;margin-left:220.7pt;margin-top:7.2pt;width:24.25pt;height:23.9pt;z-index:251660288" o:preferrelative="f" o:allowincell="f">
          <v:imagedata r:id="rId1" o:title=""/>
          <w10:anchorlock/>
        </v:shape>
      </w:pict>
    </w:r>
    <w:r w:rsidR="009B3A2C">
      <w:t>Printed on               Recycled Paper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C42D9" w:rsidRPr="00374247" w:rsidRDefault="005C42D9" w:rsidP="00374247">
        <w:pPr>
          <w:pStyle w:val="Footer"/>
          <w:ind w:firstLine="4320"/>
          <w:rPr>
            <w:color w:val="auto"/>
            <w:szCs w:val="24"/>
          </w:rPr>
        </w:pPr>
        <w:r w:rsidRPr="00374247">
          <w:rPr>
            <w:color w:val="auto"/>
            <w:szCs w:val="24"/>
          </w:rPr>
          <w:t xml:space="preserve">   </w:t>
        </w:r>
        <w:r w:rsidR="00642999" w:rsidRPr="00374247">
          <w:rPr>
            <w:color w:val="auto"/>
            <w:szCs w:val="24"/>
          </w:rPr>
          <w:fldChar w:fldCharType="begin"/>
        </w:r>
        <w:r w:rsidRPr="00374247">
          <w:rPr>
            <w:color w:val="auto"/>
            <w:szCs w:val="24"/>
          </w:rPr>
          <w:instrText xml:space="preserve"> PAGE   \* MERGEFORMAT </w:instrText>
        </w:r>
        <w:r w:rsidR="00642999" w:rsidRPr="00374247">
          <w:rPr>
            <w:color w:val="auto"/>
            <w:szCs w:val="24"/>
          </w:rPr>
          <w:fldChar w:fldCharType="separate"/>
        </w:r>
        <w:r w:rsidR="009B3A2C" w:rsidRPr="009B3A2C">
          <w:rPr>
            <w:noProof/>
            <w:color w:val="auto"/>
          </w:rPr>
          <w:t>7</w:t>
        </w:r>
        <w:r w:rsidR="00642999" w:rsidRPr="00374247">
          <w:rPr>
            <w:color w:val="auto"/>
            <w:szCs w:val="24"/>
          </w:rPr>
          <w:fldChar w:fldCharType="end"/>
        </w:r>
        <w:r w:rsidRPr="00374247">
          <w:rPr>
            <w:color w:val="auto"/>
            <w:szCs w:val="24"/>
          </w:rPr>
          <w:t xml:space="preserve">                                                           </w:t>
        </w:r>
        <w:r w:rsidRPr="00E141F4">
          <w:rPr>
            <w:color w:val="auto"/>
            <w:szCs w:val="24"/>
          </w:rPr>
          <w:t>PD1100</w:t>
        </w:r>
        <w:r>
          <w:rPr>
            <w:color w:val="auto"/>
            <w:szCs w:val="24"/>
          </w:rPr>
          <w:t>439</w:t>
        </w:r>
      </w:p>
    </w:sdtContent>
  </w:sdt>
  <w:p w:rsidR="005C42D9" w:rsidRPr="00684CE6" w:rsidRDefault="005C42D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2F" w:rsidRDefault="0084412F">
      <w:r>
        <w:separator/>
      </w:r>
    </w:p>
  </w:footnote>
  <w:footnote w:type="continuationSeparator" w:id="0">
    <w:p w:rsidR="0084412F" w:rsidRDefault="00844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rsids>
    <w:rsidRoot w:val="001C28D1"/>
    <w:rsid w:val="000024F5"/>
    <w:rsid w:val="00002CDF"/>
    <w:rsid w:val="00003CC4"/>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2E15"/>
    <w:rsid w:val="000A31E2"/>
    <w:rsid w:val="000A33C8"/>
    <w:rsid w:val="000A41E3"/>
    <w:rsid w:val="000A4BBA"/>
    <w:rsid w:val="000A5071"/>
    <w:rsid w:val="000B0AD2"/>
    <w:rsid w:val="000B1022"/>
    <w:rsid w:val="000B2FB8"/>
    <w:rsid w:val="000B3B17"/>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841"/>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777"/>
    <w:rsid w:val="000F688E"/>
    <w:rsid w:val="000F7181"/>
    <w:rsid w:val="000F7581"/>
    <w:rsid w:val="0010037C"/>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C7D"/>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4BFD"/>
    <w:rsid w:val="00195AAC"/>
    <w:rsid w:val="001A025E"/>
    <w:rsid w:val="001A08CD"/>
    <w:rsid w:val="001A0A1E"/>
    <w:rsid w:val="001A2182"/>
    <w:rsid w:val="001A323E"/>
    <w:rsid w:val="001A4DE0"/>
    <w:rsid w:val="001A5320"/>
    <w:rsid w:val="001A5E62"/>
    <w:rsid w:val="001A6848"/>
    <w:rsid w:val="001A7538"/>
    <w:rsid w:val="001B06FB"/>
    <w:rsid w:val="001B0B1A"/>
    <w:rsid w:val="001B20E6"/>
    <w:rsid w:val="001B4A75"/>
    <w:rsid w:val="001B4C0B"/>
    <w:rsid w:val="001B4D12"/>
    <w:rsid w:val="001B4EC2"/>
    <w:rsid w:val="001B5B59"/>
    <w:rsid w:val="001B60E0"/>
    <w:rsid w:val="001B67B0"/>
    <w:rsid w:val="001B755A"/>
    <w:rsid w:val="001B7BD1"/>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5D8"/>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2F1"/>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08B"/>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210"/>
    <w:rsid w:val="002B1EB1"/>
    <w:rsid w:val="002B2645"/>
    <w:rsid w:val="002B303A"/>
    <w:rsid w:val="002B32E9"/>
    <w:rsid w:val="002B4E22"/>
    <w:rsid w:val="002B6FA0"/>
    <w:rsid w:val="002B7710"/>
    <w:rsid w:val="002C0DEA"/>
    <w:rsid w:val="002C34F6"/>
    <w:rsid w:val="002C3B6D"/>
    <w:rsid w:val="002C3F59"/>
    <w:rsid w:val="002C5D9D"/>
    <w:rsid w:val="002C5EE3"/>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E37"/>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0E5A"/>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3AD"/>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54F"/>
    <w:rsid w:val="00376A07"/>
    <w:rsid w:val="00376B81"/>
    <w:rsid w:val="00376E08"/>
    <w:rsid w:val="00377BD2"/>
    <w:rsid w:val="00380FD4"/>
    <w:rsid w:val="00381E16"/>
    <w:rsid w:val="003821E1"/>
    <w:rsid w:val="00383ADF"/>
    <w:rsid w:val="003840F6"/>
    <w:rsid w:val="00384866"/>
    <w:rsid w:val="003851BA"/>
    <w:rsid w:val="003857D4"/>
    <w:rsid w:val="00385D6F"/>
    <w:rsid w:val="00386D43"/>
    <w:rsid w:val="00387095"/>
    <w:rsid w:val="00387E95"/>
    <w:rsid w:val="00390092"/>
    <w:rsid w:val="00390CFA"/>
    <w:rsid w:val="00391587"/>
    <w:rsid w:val="00391858"/>
    <w:rsid w:val="00393651"/>
    <w:rsid w:val="00394926"/>
    <w:rsid w:val="00394FF9"/>
    <w:rsid w:val="00395651"/>
    <w:rsid w:val="00395E12"/>
    <w:rsid w:val="003962A8"/>
    <w:rsid w:val="00396779"/>
    <w:rsid w:val="00396DA2"/>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2B5F"/>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DBC"/>
    <w:rsid w:val="003E31E3"/>
    <w:rsid w:val="003E3E93"/>
    <w:rsid w:val="003E46D1"/>
    <w:rsid w:val="003E6214"/>
    <w:rsid w:val="003F070E"/>
    <w:rsid w:val="003F1206"/>
    <w:rsid w:val="003F2418"/>
    <w:rsid w:val="003F28DB"/>
    <w:rsid w:val="003F2EEE"/>
    <w:rsid w:val="003F58B0"/>
    <w:rsid w:val="003F7285"/>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BF5"/>
    <w:rsid w:val="00437D18"/>
    <w:rsid w:val="00437D77"/>
    <w:rsid w:val="00441D99"/>
    <w:rsid w:val="004435BE"/>
    <w:rsid w:val="0044384F"/>
    <w:rsid w:val="0044411E"/>
    <w:rsid w:val="00444472"/>
    <w:rsid w:val="00444B93"/>
    <w:rsid w:val="00444F80"/>
    <w:rsid w:val="00445599"/>
    <w:rsid w:val="00446018"/>
    <w:rsid w:val="00447116"/>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317"/>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4E75"/>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697"/>
    <w:rsid w:val="0055288D"/>
    <w:rsid w:val="00555259"/>
    <w:rsid w:val="00555C66"/>
    <w:rsid w:val="005569EF"/>
    <w:rsid w:val="00556BDE"/>
    <w:rsid w:val="00560D57"/>
    <w:rsid w:val="00561F49"/>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07AB"/>
    <w:rsid w:val="00593043"/>
    <w:rsid w:val="00595B60"/>
    <w:rsid w:val="00595B63"/>
    <w:rsid w:val="00595BF0"/>
    <w:rsid w:val="00597E16"/>
    <w:rsid w:val="005A0B1D"/>
    <w:rsid w:val="005A0C8F"/>
    <w:rsid w:val="005A1846"/>
    <w:rsid w:val="005A258C"/>
    <w:rsid w:val="005A3560"/>
    <w:rsid w:val="005A464E"/>
    <w:rsid w:val="005A62FC"/>
    <w:rsid w:val="005A6542"/>
    <w:rsid w:val="005A6C99"/>
    <w:rsid w:val="005A7D5D"/>
    <w:rsid w:val="005B0040"/>
    <w:rsid w:val="005B011A"/>
    <w:rsid w:val="005B0139"/>
    <w:rsid w:val="005B0283"/>
    <w:rsid w:val="005B1ADA"/>
    <w:rsid w:val="005B1D09"/>
    <w:rsid w:val="005B1D8F"/>
    <w:rsid w:val="005B1E94"/>
    <w:rsid w:val="005B33E1"/>
    <w:rsid w:val="005B5B3D"/>
    <w:rsid w:val="005B5E8F"/>
    <w:rsid w:val="005B64CF"/>
    <w:rsid w:val="005B72DA"/>
    <w:rsid w:val="005C0E87"/>
    <w:rsid w:val="005C1398"/>
    <w:rsid w:val="005C144B"/>
    <w:rsid w:val="005C16F3"/>
    <w:rsid w:val="005C3758"/>
    <w:rsid w:val="005C42D9"/>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152"/>
    <w:rsid w:val="0063737C"/>
    <w:rsid w:val="00637BDC"/>
    <w:rsid w:val="00640363"/>
    <w:rsid w:val="00640622"/>
    <w:rsid w:val="006418C9"/>
    <w:rsid w:val="00642999"/>
    <w:rsid w:val="00642BD6"/>
    <w:rsid w:val="00643C8F"/>
    <w:rsid w:val="00643D9A"/>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CB"/>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5B53"/>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08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5A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789"/>
    <w:rsid w:val="00750C82"/>
    <w:rsid w:val="00750E3A"/>
    <w:rsid w:val="00752035"/>
    <w:rsid w:val="0075234B"/>
    <w:rsid w:val="0076100C"/>
    <w:rsid w:val="007612A5"/>
    <w:rsid w:val="00761AD3"/>
    <w:rsid w:val="00763CAE"/>
    <w:rsid w:val="00763F95"/>
    <w:rsid w:val="007651ED"/>
    <w:rsid w:val="00766C87"/>
    <w:rsid w:val="00771043"/>
    <w:rsid w:val="0077272B"/>
    <w:rsid w:val="00773AF7"/>
    <w:rsid w:val="00774FFD"/>
    <w:rsid w:val="00780378"/>
    <w:rsid w:val="0078085E"/>
    <w:rsid w:val="00781BD4"/>
    <w:rsid w:val="00782562"/>
    <w:rsid w:val="007828B4"/>
    <w:rsid w:val="0078395C"/>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A0D"/>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1CB"/>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5F5A"/>
    <w:rsid w:val="00806397"/>
    <w:rsid w:val="008078D8"/>
    <w:rsid w:val="0080798E"/>
    <w:rsid w:val="00811BD9"/>
    <w:rsid w:val="00811D5B"/>
    <w:rsid w:val="00813C51"/>
    <w:rsid w:val="00816CCB"/>
    <w:rsid w:val="00817572"/>
    <w:rsid w:val="00817713"/>
    <w:rsid w:val="008208C3"/>
    <w:rsid w:val="008220F1"/>
    <w:rsid w:val="0082340B"/>
    <w:rsid w:val="00823D6A"/>
    <w:rsid w:val="008243D2"/>
    <w:rsid w:val="00827B29"/>
    <w:rsid w:val="00827DB6"/>
    <w:rsid w:val="008304B2"/>
    <w:rsid w:val="00830999"/>
    <w:rsid w:val="00830D5E"/>
    <w:rsid w:val="00830F69"/>
    <w:rsid w:val="008315C1"/>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1B72"/>
    <w:rsid w:val="00842BAA"/>
    <w:rsid w:val="00842D8F"/>
    <w:rsid w:val="0084374E"/>
    <w:rsid w:val="0084412F"/>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A7E"/>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863"/>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346F"/>
    <w:rsid w:val="009461E6"/>
    <w:rsid w:val="00950A3A"/>
    <w:rsid w:val="00951E90"/>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1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21C"/>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A2C"/>
    <w:rsid w:val="009B4963"/>
    <w:rsid w:val="009B4A3B"/>
    <w:rsid w:val="009B5627"/>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479"/>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2B8"/>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AA1"/>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26F"/>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A2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53D"/>
    <w:rsid w:val="00B7793B"/>
    <w:rsid w:val="00B77EE7"/>
    <w:rsid w:val="00B80EDD"/>
    <w:rsid w:val="00B812BD"/>
    <w:rsid w:val="00B81964"/>
    <w:rsid w:val="00B82277"/>
    <w:rsid w:val="00B83F87"/>
    <w:rsid w:val="00B8478F"/>
    <w:rsid w:val="00B84F93"/>
    <w:rsid w:val="00B91676"/>
    <w:rsid w:val="00B9322B"/>
    <w:rsid w:val="00B93640"/>
    <w:rsid w:val="00B94622"/>
    <w:rsid w:val="00B955D5"/>
    <w:rsid w:val="00B95833"/>
    <w:rsid w:val="00BA1824"/>
    <w:rsid w:val="00BA2ACF"/>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3E3"/>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1D2A"/>
    <w:rsid w:val="00C0359D"/>
    <w:rsid w:val="00C038EC"/>
    <w:rsid w:val="00C03C21"/>
    <w:rsid w:val="00C05C6D"/>
    <w:rsid w:val="00C06BA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37F2E"/>
    <w:rsid w:val="00C42443"/>
    <w:rsid w:val="00C42CBA"/>
    <w:rsid w:val="00C4338C"/>
    <w:rsid w:val="00C43C2B"/>
    <w:rsid w:val="00C44710"/>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26A"/>
    <w:rsid w:val="00C63431"/>
    <w:rsid w:val="00C64C87"/>
    <w:rsid w:val="00C65414"/>
    <w:rsid w:val="00C665FE"/>
    <w:rsid w:val="00C71BEC"/>
    <w:rsid w:val="00C7338B"/>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06"/>
    <w:rsid w:val="00C975BD"/>
    <w:rsid w:val="00CA068D"/>
    <w:rsid w:val="00CA08DF"/>
    <w:rsid w:val="00CA1228"/>
    <w:rsid w:val="00CA1BDC"/>
    <w:rsid w:val="00CA1C73"/>
    <w:rsid w:val="00CA282D"/>
    <w:rsid w:val="00CA3F73"/>
    <w:rsid w:val="00CA4670"/>
    <w:rsid w:val="00CA48AB"/>
    <w:rsid w:val="00CA4A87"/>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A0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041F"/>
    <w:rsid w:val="00CF131A"/>
    <w:rsid w:val="00CF158D"/>
    <w:rsid w:val="00CF2166"/>
    <w:rsid w:val="00CF4340"/>
    <w:rsid w:val="00CF4394"/>
    <w:rsid w:val="00CF48B4"/>
    <w:rsid w:val="00CF5C12"/>
    <w:rsid w:val="00CF7B72"/>
    <w:rsid w:val="00D000A9"/>
    <w:rsid w:val="00D00384"/>
    <w:rsid w:val="00D005DB"/>
    <w:rsid w:val="00D0064E"/>
    <w:rsid w:val="00D00981"/>
    <w:rsid w:val="00D02506"/>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5F85"/>
    <w:rsid w:val="00D1648B"/>
    <w:rsid w:val="00D16819"/>
    <w:rsid w:val="00D17DD9"/>
    <w:rsid w:val="00D20AC0"/>
    <w:rsid w:val="00D229E7"/>
    <w:rsid w:val="00D2321B"/>
    <w:rsid w:val="00D23350"/>
    <w:rsid w:val="00D237E7"/>
    <w:rsid w:val="00D23DE4"/>
    <w:rsid w:val="00D25A5C"/>
    <w:rsid w:val="00D26873"/>
    <w:rsid w:val="00D2769C"/>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1BD"/>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7F6"/>
    <w:rsid w:val="00D76AB2"/>
    <w:rsid w:val="00D80490"/>
    <w:rsid w:val="00D828F9"/>
    <w:rsid w:val="00D829AD"/>
    <w:rsid w:val="00D82EE2"/>
    <w:rsid w:val="00D83D1B"/>
    <w:rsid w:val="00D84133"/>
    <w:rsid w:val="00D84B8D"/>
    <w:rsid w:val="00D8545C"/>
    <w:rsid w:val="00D85762"/>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E7EE7"/>
    <w:rsid w:val="00DF071B"/>
    <w:rsid w:val="00DF5C84"/>
    <w:rsid w:val="00DF5EC0"/>
    <w:rsid w:val="00DF6EF8"/>
    <w:rsid w:val="00DF6EFE"/>
    <w:rsid w:val="00E00A69"/>
    <w:rsid w:val="00E017BC"/>
    <w:rsid w:val="00E017F0"/>
    <w:rsid w:val="00E01A0E"/>
    <w:rsid w:val="00E025FE"/>
    <w:rsid w:val="00E0346A"/>
    <w:rsid w:val="00E041E4"/>
    <w:rsid w:val="00E04AEE"/>
    <w:rsid w:val="00E06839"/>
    <w:rsid w:val="00E06BBD"/>
    <w:rsid w:val="00E100E3"/>
    <w:rsid w:val="00E1012B"/>
    <w:rsid w:val="00E103C8"/>
    <w:rsid w:val="00E1085B"/>
    <w:rsid w:val="00E1308B"/>
    <w:rsid w:val="00E141F4"/>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0F6"/>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17A"/>
    <w:rsid w:val="00E71485"/>
    <w:rsid w:val="00E7200B"/>
    <w:rsid w:val="00E738CB"/>
    <w:rsid w:val="00E73C88"/>
    <w:rsid w:val="00E74437"/>
    <w:rsid w:val="00E7443D"/>
    <w:rsid w:val="00E74755"/>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1A7"/>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9B6"/>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4C5"/>
    <w:rsid w:val="00F171F9"/>
    <w:rsid w:val="00F1737C"/>
    <w:rsid w:val="00F173AA"/>
    <w:rsid w:val="00F17FF5"/>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5DF2"/>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4190"/>
    <w:rsid w:val="00F75C12"/>
    <w:rsid w:val="00F76D01"/>
    <w:rsid w:val="00F76D92"/>
    <w:rsid w:val="00F80B43"/>
    <w:rsid w:val="00F80C97"/>
    <w:rsid w:val="00F81C35"/>
    <w:rsid w:val="00F82981"/>
    <w:rsid w:val="00F8311F"/>
    <w:rsid w:val="00F83248"/>
    <w:rsid w:val="00F83376"/>
    <w:rsid w:val="00F853AE"/>
    <w:rsid w:val="00F873CC"/>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902"/>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9B3A2C"/>
    <w:rPr>
      <w:color w:val="008080"/>
    </w:rPr>
  </w:style>
  <w:style w:type="paragraph" w:customStyle="1" w:styleId="CompanyName">
    <w:name w:val="Company Name"/>
    <w:basedOn w:val="Subtitle"/>
    <w:uiPriority w:val="99"/>
    <w:rsid w:val="009B3A2C"/>
    <w:pPr>
      <w:spacing w:line="240" w:lineRule="auto"/>
      <w:jc w:val="left"/>
    </w:pPr>
  </w:style>
  <w:style w:type="paragraph" w:customStyle="1" w:styleId="LHDA">
    <w:name w:val="LHDA"/>
    <w:basedOn w:val="Title"/>
    <w:uiPriority w:val="99"/>
    <w:rsid w:val="009B3A2C"/>
    <w:pPr>
      <w:jc w:val="left"/>
    </w:pPr>
  </w:style>
  <w:style w:type="paragraph" w:styleId="Subtitle">
    <w:name w:val="Subtitle"/>
    <w:basedOn w:val="Normal"/>
    <w:next w:val="Normal"/>
    <w:link w:val="SubtitleChar"/>
    <w:qFormat/>
    <w:rsid w:val="009B3A2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3A2C"/>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qFormat/>
    <w:rsid w:val="009B3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3A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722B-6706-42E0-B5CD-1ACA43A1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3007</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2011-04-08T11:41:00Z</cp:lastPrinted>
  <dcterms:created xsi:type="dcterms:W3CDTF">2012-05-22T15:57:00Z</dcterms:created>
  <dcterms:modified xsi:type="dcterms:W3CDTF">2012-06-05T15:42:00Z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