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711916">
        <w:rPr>
          <w:caps/>
          <w:color w:val="000000" w:themeColor="text1"/>
        </w:rPr>
        <w:t>XXXXXXXXXXXXX</w:t>
      </w:r>
      <w:r w:rsidRPr="001F29F9">
        <w:rPr>
          <w:caps/>
          <w:color w:val="000000" w:themeColor="text1"/>
        </w:rPr>
        <w:t xml:space="preserve">                </w:t>
      </w:r>
      <w:r>
        <w:rPr>
          <w:caps/>
          <w:color w:val="000000" w:themeColor="text1"/>
        </w:rPr>
        <w:tab/>
        <w:t xml:space="preserve">                         </w:t>
      </w:r>
      <w:r w:rsidR="000355B3">
        <w:rPr>
          <w:caps/>
          <w:color w:val="000000" w:themeColor="text1"/>
        </w:rPr>
        <w:t xml:space="preserve"> </w:t>
      </w:r>
      <w:r w:rsidRPr="001F29F9">
        <w:rPr>
          <w:caps/>
          <w:color w:val="000000" w:themeColor="text1"/>
        </w:rPr>
        <w:t xml:space="preserve">BRANCH OF </w:t>
      </w:r>
      <w:r w:rsidRPr="000C3277">
        <w:rPr>
          <w:caps/>
          <w:color w:val="000000" w:themeColor="text1"/>
        </w:rPr>
        <w:t>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0C3277">
        <w:rPr>
          <w:caps/>
          <w:color w:val="000000" w:themeColor="text1"/>
        </w:rPr>
        <w:t>433</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200</w:t>
      </w:r>
      <w:r w:rsidR="000C3277">
        <w:rPr>
          <w:color w:val="000000" w:themeColor="text1"/>
        </w:rPr>
        <w:t>61013</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0E26A8">
        <w:rPr>
          <w:caps/>
          <w:color w:val="000000"/>
        </w:rPr>
        <w:t>0418</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94F76" w:rsidRPr="00680450" w:rsidRDefault="00AD2379" w:rsidP="000F4325">
      <w:pPr>
        <w:tabs>
          <w:tab w:val="left" w:pos="288"/>
          <w:tab w:val="left" w:pos="4752"/>
        </w:tabs>
        <w:jc w:val="both"/>
        <w:rPr>
          <w:color w:val="auto"/>
        </w:rPr>
      </w:pPr>
      <w:r w:rsidRPr="001F29F9">
        <w:rPr>
          <w:color w:val="000000"/>
          <w:u w:val="single"/>
        </w:rPr>
        <w:t>SUMMARY OF CASE</w:t>
      </w:r>
      <w:r w:rsidRPr="001F29F9">
        <w:rPr>
          <w:color w:val="000000"/>
        </w:rPr>
        <w:t xml:space="preserve">: </w:t>
      </w:r>
      <w:r w:rsidRPr="000F4325">
        <w:rPr>
          <w:color w:val="000000"/>
        </w:rPr>
        <w:t xml:space="preserve">Data extracted from the available evidence of record reflects that this covered individual (CI) was a </w:t>
      </w:r>
      <w:r w:rsidR="006F5E80" w:rsidRPr="000F4325">
        <w:rPr>
          <w:color w:val="000000"/>
        </w:rPr>
        <w:t xml:space="preserve">National </w:t>
      </w:r>
      <w:r w:rsidRPr="000F4325">
        <w:rPr>
          <w:color w:val="000000"/>
        </w:rPr>
        <w:t>Guard</w:t>
      </w:r>
      <w:r w:rsidR="00542022" w:rsidRPr="000F4325">
        <w:rPr>
          <w:color w:val="000000"/>
        </w:rPr>
        <w:t xml:space="preserve"> member</w:t>
      </w:r>
      <w:r w:rsidRPr="000F4325">
        <w:rPr>
          <w:color w:val="000000"/>
        </w:rPr>
        <w:t xml:space="preserve">, </w:t>
      </w:r>
      <w:r w:rsidR="006F5E80" w:rsidRPr="000F4325">
        <w:rPr>
          <w:color w:val="000000"/>
        </w:rPr>
        <w:t>SPC/E-4 (31R</w:t>
      </w:r>
      <w:r w:rsidRPr="000F4325">
        <w:rPr>
          <w:color w:val="000000"/>
        </w:rPr>
        <w:t xml:space="preserve">, </w:t>
      </w:r>
      <w:r w:rsidR="006F5E80" w:rsidRPr="000F4325">
        <w:rPr>
          <w:color w:val="000000" w:themeColor="text1"/>
          <w:szCs w:val="24"/>
        </w:rPr>
        <w:t>Multichannel Switch Operator</w:t>
      </w:r>
      <w:r w:rsidR="00A70270" w:rsidRPr="000F4325">
        <w:rPr>
          <w:color w:val="000000"/>
        </w:rPr>
        <w:t>)</w:t>
      </w:r>
      <w:r w:rsidR="00565636" w:rsidRPr="000F4325">
        <w:rPr>
          <w:color w:val="000000"/>
        </w:rPr>
        <w:t>,</w:t>
      </w:r>
      <w:r w:rsidR="00A70270" w:rsidRPr="000F4325">
        <w:rPr>
          <w:color w:val="000000"/>
        </w:rPr>
        <w:t xml:space="preserve"> </w:t>
      </w:r>
      <w:r w:rsidRPr="000F4325">
        <w:rPr>
          <w:color w:val="000000"/>
        </w:rPr>
        <w:t xml:space="preserve">medically separated for </w:t>
      </w:r>
      <w:r w:rsidR="00261B7E" w:rsidRPr="000F4325">
        <w:rPr>
          <w:color w:val="000000"/>
        </w:rPr>
        <w:t xml:space="preserve">a </w:t>
      </w:r>
      <w:r w:rsidR="006F5E80" w:rsidRPr="000F4325">
        <w:rPr>
          <w:color w:val="000000"/>
        </w:rPr>
        <w:t>lumbar spine</w:t>
      </w:r>
      <w:r w:rsidRPr="000F4325">
        <w:rPr>
          <w:color w:val="000000"/>
        </w:rPr>
        <w:t xml:space="preserve"> </w:t>
      </w:r>
      <w:r w:rsidR="00261B7E" w:rsidRPr="000F4325">
        <w:rPr>
          <w:color w:val="000000"/>
        </w:rPr>
        <w:t>condition</w:t>
      </w:r>
      <w:r w:rsidRPr="000F4325">
        <w:rPr>
          <w:color w:val="000000"/>
        </w:rPr>
        <w:t xml:space="preserve">. </w:t>
      </w:r>
      <w:r w:rsidR="00261B7E" w:rsidRPr="000F4325">
        <w:rPr>
          <w:color w:val="000000"/>
        </w:rPr>
        <w:t xml:space="preserve"> </w:t>
      </w:r>
      <w:r w:rsidR="00D5768E">
        <w:rPr>
          <w:color w:val="000000"/>
        </w:rPr>
        <w:t xml:space="preserve">The CI was mobilized in 2003 and injured his back in November 2004 participating in unit sports (football).  He manifested radicular symptoms and was diagnosed with an annular tear and disc protrusion at L4-5.  He failed a trial of conservative management and underwent a fusion and laminectomy procedure in February 2006.  His radiculopathy resolved, but pain and functional limitations persisted.  His spine </w:t>
      </w:r>
      <w:r w:rsidR="00F566B7" w:rsidRPr="000F4325">
        <w:rPr>
          <w:color w:val="000000"/>
        </w:rPr>
        <w:t>could not be adequately rehabilitated to meet the physical requirements of his Military Occupational Specialty (MOS) or satis</w:t>
      </w:r>
      <w:r w:rsidR="009C12A1" w:rsidRPr="000F4325">
        <w:rPr>
          <w:color w:val="000000"/>
        </w:rPr>
        <w:t>fy physical fitness standards.</w:t>
      </w:r>
      <w:r w:rsidR="00F566B7" w:rsidRPr="000F4325">
        <w:rPr>
          <w:color w:val="000000"/>
        </w:rPr>
        <w:t xml:space="preserve"> </w:t>
      </w:r>
      <w:r w:rsidR="009C12A1" w:rsidRPr="000F4325">
        <w:rPr>
          <w:color w:val="000000"/>
        </w:rPr>
        <w:t xml:space="preserve"> He </w:t>
      </w:r>
      <w:r w:rsidR="00F566B7" w:rsidRPr="000F4325">
        <w:rPr>
          <w:color w:val="000000"/>
        </w:rPr>
        <w:t xml:space="preserve">was </w:t>
      </w:r>
      <w:r w:rsidR="009C12A1" w:rsidRPr="000F4325">
        <w:rPr>
          <w:color w:val="000000"/>
        </w:rPr>
        <w:t xml:space="preserve">thus </w:t>
      </w:r>
      <w:r w:rsidR="00F566B7" w:rsidRPr="000F4325">
        <w:rPr>
          <w:color w:val="000000"/>
        </w:rPr>
        <w:t>issued a permanent L3 profile and</w:t>
      </w:r>
      <w:r w:rsidR="009C12A1" w:rsidRPr="000F4325">
        <w:rPr>
          <w:color w:val="000000"/>
        </w:rPr>
        <w:t xml:space="preserve"> </w:t>
      </w:r>
      <w:r w:rsidR="00F566B7" w:rsidRPr="000F4325">
        <w:rPr>
          <w:color w:val="000000"/>
        </w:rPr>
        <w:t xml:space="preserve">referred for a Medical Evaluation Board (MEB).  The </w:t>
      </w:r>
      <w:r w:rsidR="009C3E06" w:rsidRPr="000F4325">
        <w:rPr>
          <w:color w:val="000000"/>
        </w:rPr>
        <w:t xml:space="preserve">lumbar spine </w:t>
      </w:r>
      <w:r w:rsidR="00F566B7" w:rsidRPr="000F4325">
        <w:rPr>
          <w:color w:val="000000"/>
        </w:rPr>
        <w:t>condition</w:t>
      </w:r>
      <w:r w:rsidR="00DE2714">
        <w:rPr>
          <w:color w:val="000000"/>
        </w:rPr>
        <w:t>,</w:t>
      </w:r>
      <w:r w:rsidR="00F566B7" w:rsidRPr="000F4325">
        <w:rPr>
          <w:color w:val="000000"/>
        </w:rPr>
        <w:t xml:space="preserve"> characterized as “</w:t>
      </w:r>
      <w:r w:rsidR="000F4325" w:rsidRPr="000F4325">
        <w:rPr>
          <w:color w:val="000000" w:themeColor="text1"/>
          <w:szCs w:val="24"/>
        </w:rPr>
        <w:t>chronic back pain, status post L4-5 laminectomy and fusion, without significant neurologic abnormality</w:t>
      </w:r>
      <w:r w:rsidR="00F566B7" w:rsidRPr="000F4325">
        <w:rPr>
          <w:color w:val="000000"/>
        </w:rPr>
        <w:t>”</w:t>
      </w:r>
      <w:r w:rsidR="000F4325" w:rsidRPr="000F4325">
        <w:rPr>
          <w:color w:val="000000"/>
        </w:rPr>
        <w:t xml:space="preserve"> </w:t>
      </w:r>
      <w:r w:rsidR="00F566B7" w:rsidRPr="000F4325">
        <w:rPr>
          <w:color w:val="000000"/>
        </w:rPr>
        <w:t>was forwarded to the Physical Evaluation Board (PEB) as medically unacceptable IAW AR 40-501.  No other condi</w:t>
      </w:r>
      <w:r w:rsidR="006F5E80" w:rsidRPr="000F4325">
        <w:rPr>
          <w:color w:val="000000"/>
        </w:rPr>
        <w:t>tions were submitted by the MEB.</w:t>
      </w:r>
      <w:r w:rsidR="00F566B7" w:rsidRPr="000F4325">
        <w:rPr>
          <w:color w:val="000000"/>
        </w:rPr>
        <w:t xml:space="preserve"> </w:t>
      </w:r>
      <w:r w:rsidR="006F5E80" w:rsidRPr="000F4325">
        <w:rPr>
          <w:color w:val="000000"/>
        </w:rPr>
        <w:t xml:space="preserve"> </w:t>
      </w:r>
      <w:r w:rsidRPr="000F4325">
        <w:rPr>
          <w:color w:val="000000"/>
        </w:rPr>
        <w:t xml:space="preserve">The PEB adjudicated the </w:t>
      </w:r>
      <w:r w:rsidR="000F4325" w:rsidRPr="000F4325">
        <w:rPr>
          <w:color w:val="000000"/>
        </w:rPr>
        <w:t xml:space="preserve">lumbar spine </w:t>
      </w:r>
      <w:r w:rsidR="008530E3" w:rsidRPr="000F4325">
        <w:rPr>
          <w:color w:val="000000"/>
        </w:rPr>
        <w:t xml:space="preserve">condition as unfitting, rated </w:t>
      </w:r>
      <w:r w:rsidR="000F4325" w:rsidRPr="000F4325">
        <w:rPr>
          <w:color w:val="000000"/>
        </w:rPr>
        <w:t>1</w:t>
      </w:r>
      <w:r w:rsidRPr="000F4325">
        <w:rPr>
          <w:color w:val="000000"/>
        </w:rPr>
        <w:t xml:space="preserve">0%, </w:t>
      </w:r>
      <w:r w:rsidR="00261B7E" w:rsidRPr="000F4325">
        <w:rPr>
          <w:color w:val="000000"/>
        </w:rPr>
        <w:t>citing criteria of</w:t>
      </w:r>
      <w:r w:rsidRPr="000F4325">
        <w:rPr>
          <w:color w:val="000000"/>
        </w:rPr>
        <w:t xml:space="preserve"> </w:t>
      </w:r>
      <w:r w:rsidR="00F24701">
        <w:rPr>
          <w:color w:val="000000"/>
        </w:rPr>
        <w:t xml:space="preserve">the </w:t>
      </w:r>
      <w:r w:rsidR="0065689C" w:rsidRPr="000F4325">
        <w:rPr>
          <w:color w:val="000000" w:themeColor="text1"/>
          <w:szCs w:val="24"/>
        </w:rPr>
        <w:t>US Army Physical Disability Agency (USAPDA) pain policy</w:t>
      </w:r>
      <w:r w:rsidR="000F4325" w:rsidRPr="000F4325">
        <w:rPr>
          <w:color w:val="000000" w:themeColor="text1"/>
          <w:szCs w:val="24"/>
        </w:rPr>
        <w:t>.</w:t>
      </w:r>
      <w:r w:rsidR="00380601" w:rsidRPr="000F4325">
        <w:rPr>
          <w:color w:val="000000"/>
        </w:rPr>
        <w:t xml:space="preserve">  </w:t>
      </w:r>
      <w:r w:rsidR="000F4325" w:rsidRPr="000F4325">
        <w:rPr>
          <w:color w:val="000000"/>
        </w:rPr>
        <w:t xml:space="preserve">The CI appealed to a Formal </w:t>
      </w:r>
      <w:r w:rsidR="00DA7EE4">
        <w:rPr>
          <w:color w:val="000000"/>
        </w:rPr>
        <w:t xml:space="preserve">PEB (FPEB), which affirmed the </w:t>
      </w:r>
      <w:r w:rsidR="000F4325" w:rsidRPr="000F4325">
        <w:rPr>
          <w:color w:val="000000"/>
        </w:rPr>
        <w:t xml:space="preserve">PEB findings; and, was thus </w:t>
      </w:r>
      <w:r w:rsidR="00DA7EE4">
        <w:rPr>
          <w:color w:val="000000"/>
        </w:rPr>
        <w:t>medically separated with a 10% s</w:t>
      </w:r>
      <w:r w:rsidR="000F4325" w:rsidRPr="000F4325">
        <w:rPr>
          <w:color w:val="000000"/>
        </w:rPr>
        <w:t>ervice disability rating.</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773C45">
        <w:rPr>
          <w:color w:val="000000"/>
        </w:rPr>
        <w:t>“</w:t>
      </w:r>
      <w:r w:rsidR="000C3277" w:rsidRPr="000C3277">
        <w:rPr>
          <w:color w:val="000000"/>
        </w:rPr>
        <w:t xml:space="preserve">My back injury resulted in titanium rods being put in for stabilization. I feel my rating is equivalent to someone with minor back muscle spasms and not a severe injury. </w:t>
      </w:r>
      <w:r w:rsidR="000C3277">
        <w:rPr>
          <w:color w:val="000000"/>
        </w:rPr>
        <w:t xml:space="preserve">… </w:t>
      </w:r>
      <w:r w:rsidR="000C3277" w:rsidRPr="000C3277">
        <w:rPr>
          <w:color w:val="000000"/>
        </w:rPr>
        <w:t xml:space="preserve"> Subsequently, I was told to accept whatever was offered to me as a disability rating because I could be discharged with no rating even though the injury occurred during active duty hours.</w:t>
      </w:r>
      <w:r w:rsidR="000C3277">
        <w:rPr>
          <w:color w:val="000000"/>
        </w:rPr>
        <w:t xml:space="preserve"> </w:t>
      </w:r>
      <w:r w:rsidR="000F4325">
        <w:rPr>
          <w:color w:val="000000"/>
        </w:rPr>
        <w:t xml:space="preserve"> </w:t>
      </w:r>
      <w:r w:rsidR="000C3277" w:rsidRPr="000C3277">
        <w:rPr>
          <w:color w:val="000000"/>
        </w:rPr>
        <w:t xml:space="preserve">I was not given the opportunity to consult with my family or seek legal representation to determine the fairness of the rating. </w:t>
      </w:r>
      <w:r w:rsidR="000C3277">
        <w:rPr>
          <w:color w:val="000000"/>
        </w:rPr>
        <w:t>…</w:t>
      </w:r>
      <w:r w:rsidR="000C3277" w:rsidRPr="000C3277">
        <w:rPr>
          <w:color w:val="000000"/>
        </w:rPr>
        <w:t xml:space="preserve"> I am not able to do many activities that I used to be able to do with ease and my medications limit my ability to work in any occupation I choose. </w:t>
      </w:r>
      <w:r w:rsidR="000C3277">
        <w:rPr>
          <w:color w:val="000000"/>
        </w:rPr>
        <w:t>…</w:t>
      </w:r>
      <w:r w:rsidR="000C3277" w:rsidRPr="000C3277">
        <w:rPr>
          <w:color w:val="000000"/>
        </w:rPr>
        <w:t xml:space="preserve"> I feel my injury should have resulted in a medical retirement from the Army and not a 10% lump sum payout.</w:t>
      </w:r>
      <w:r w:rsidR="000F4325">
        <w:rPr>
          <w:color w:val="000000"/>
        </w:rPr>
        <w:t xml:space="preserve"> </w:t>
      </w:r>
      <w:r w:rsidR="000C3277" w:rsidRPr="000C3277">
        <w:rPr>
          <w:color w:val="000000"/>
        </w:rPr>
        <w:t xml:space="preserve"> Thank you for your consideration in my case, I am appreciative of this opportunity.</w:t>
      </w:r>
      <w:r w:rsidR="00773C45">
        <w:rPr>
          <w:color w:val="000000"/>
        </w:rPr>
        <w:t>”</w:t>
      </w:r>
      <w:r w:rsidR="000C3277">
        <w:rPr>
          <w:color w:val="000000"/>
        </w:rPr>
        <w:t xml:space="preserve"> </w:t>
      </w:r>
      <w:r w:rsidR="004A2728">
        <w:rPr>
          <w:color w:val="000000"/>
        </w:rPr>
        <w:t xml:space="preserve"> </w:t>
      </w:r>
      <w:r w:rsidR="000F4325">
        <w:rPr>
          <w:color w:val="000000"/>
        </w:rPr>
        <w:t xml:space="preserve"> </w:t>
      </w:r>
      <w:r w:rsidR="004A2728" w:rsidRPr="005B4932">
        <w:rPr>
          <w:color w:val="000000" w:themeColor="text1"/>
        </w:rPr>
        <w:t>He elaborates no specific contentions regarding rating or coding and mentions no additionally contended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3078"/>
        <w:gridCol w:w="630"/>
        <w:gridCol w:w="720"/>
        <w:gridCol w:w="2610"/>
        <w:gridCol w:w="630"/>
        <w:gridCol w:w="720"/>
        <w:gridCol w:w="960"/>
      </w:tblGrid>
      <w:tr w:rsidR="00926C0A" w:rsidRPr="000D5DBE" w:rsidTr="005B01B3">
        <w:trPr>
          <w:trHeight w:val="170"/>
        </w:trPr>
        <w:tc>
          <w:tcPr>
            <w:tcW w:w="4428" w:type="dxa"/>
            <w:gridSpan w:val="3"/>
            <w:tcBorders>
              <w:right w:val="thinThickThinSmallGap" w:sz="24" w:space="0" w:color="auto"/>
            </w:tcBorders>
            <w:shd w:val="clear" w:color="auto" w:fill="D9D9D9"/>
            <w:vAlign w:val="center"/>
          </w:tcPr>
          <w:p w:rsidR="00926C0A" w:rsidRPr="00947728" w:rsidRDefault="00F24701" w:rsidP="0072138C">
            <w:pPr>
              <w:contextualSpacing/>
              <w:rPr>
                <w:rFonts w:cs="Calibri"/>
                <w:b/>
                <w:color w:val="auto"/>
                <w:sz w:val="18"/>
              </w:rPr>
            </w:pPr>
            <w:r>
              <w:rPr>
                <w:b/>
                <w:color w:val="auto"/>
                <w:sz w:val="18"/>
              </w:rPr>
              <w:t>Service F</w:t>
            </w:r>
            <w:r w:rsidR="00926C0A" w:rsidRPr="00947728">
              <w:rPr>
                <w:b/>
                <w:color w:val="auto"/>
                <w:sz w:val="18"/>
              </w:rPr>
              <w:t>PEB – Dated 200</w:t>
            </w:r>
            <w:r w:rsidR="0072138C">
              <w:rPr>
                <w:b/>
                <w:color w:val="auto"/>
                <w:sz w:val="18"/>
              </w:rPr>
              <w:t>61013</w:t>
            </w:r>
          </w:p>
        </w:tc>
        <w:tc>
          <w:tcPr>
            <w:tcW w:w="4920" w:type="dxa"/>
            <w:gridSpan w:val="4"/>
            <w:tcBorders>
              <w:left w:val="thinThickThinSmallGap" w:sz="24" w:space="0" w:color="auto"/>
            </w:tcBorders>
            <w:shd w:val="clear" w:color="auto" w:fill="D9D9D9"/>
            <w:vAlign w:val="center"/>
          </w:tcPr>
          <w:p w:rsidR="00926C0A" w:rsidRPr="00947728" w:rsidRDefault="0072138C" w:rsidP="00926C0A">
            <w:pPr>
              <w:contextualSpacing/>
              <w:rPr>
                <w:rFonts w:cs="Calibri"/>
                <w:b/>
                <w:color w:val="auto"/>
                <w:sz w:val="18"/>
              </w:rPr>
            </w:pPr>
            <w:r>
              <w:rPr>
                <w:b/>
                <w:color w:val="auto"/>
                <w:sz w:val="18"/>
              </w:rPr>
              <w:t>VA (3</w:t>
            </w:r>
            <w:r w:rsidR="00926C0A" w:rsidRPr="00947728">
              <w:rPr>
                <w:b/>
                <w:color w:val="auto"/>
                <w:sz w:val="18"/>
              </w:rPr>
              <w:t xml:space="preserve"> Mo. Post-Separation) – All Effective Date 200</w:t>
            </w:r>
            <w:r>
              <w:rPr>
                <w:rFonts w:cs="Calibri"/>
                <w:b/>
                <w:color w:val="000000" w:themeColor="text1"/>
                <w:sz w:val="18"/>
                <w:szCs w:val="18"/>
              </w:rPr>
              <w:t>61014</w:t>
            </w:r>
          </w:p>
        </w:tc>
      </w:tr>
      <w:tr w:rsidR="00261B7E" w:rsidRPr="000D5DBE" w:rsidTr="005B01B3">
        <w:trPr>
          <w:trHeight w:val="97"/>
        </w:trPr>
        <w:tc>
          <w:tcPr>
            <w:tcW w:w="307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63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72138C" w:rsidRPr="000D5DBE" w:rsidTr="005B01B3">
        <w:trPr>
          <w:trHeight w:val="118"/>
        </w:trPr>
        <w:tc>
          <w:tcPr>
            <w:tcW w:w="3078" w:type="dxa"/>
            <w:tcBorders>
              <w:right w:val="single" w:sz="4" w:space="0" w:color="auto"/>
            </w:tcBorders>
            <w:shd w:val="clear" w:color="auto" w:fill="FFFFFF"/>
            <w:vAlign w:val="center"/>
          </w:tcPr>
          <w:p w:rsidR="0072138C" w:rsidRPr="001F29F9" w:rsidRDefault="0072138C" w:rsidP="005B01B3">
            <w:pPr>
              <w:spacing w:line="220" w:lineRule="exact"/>
              <w:contextualSpacing/>
              <w:jc w:val="left"/>
              <w:rPr>
                <w:rFonts w:cs="Calibri"/>
                <w:color w:val="000000" w:themeColor="text1"/>
                <w:sz w:val="18"/>
                <w:szCs w:val="18"/>
              </w:rPr>
            </w:pPr>
            <w:r>
              <w:rPr>
                <w:rFonts w:cs="Calibri"/>
                <w:color w:val="000000" w:themeColor="text1"/>
                <w:sz w:val="18"/>
                <w:szCs w:val="18"/>
              </w:rPr>
              <w:t xml:space="preserve">Back Pain S/P Fusion </w:t>
            </w:r>
            <w:r w:rsidR="005B01B3">
              <w:rPr>
                <w:rFonts w:cs="Calibri"/>
                <w:color w:val="000000" w:themeColor="text1"/>
                <w:sz w:val="18"/>
                <w:szCs w:val="18"/>
              </w:rPr>
              <w:t>and</w:t>
            </w:r>
            <w:r>
              <w:rPr>
                <w:rFonts w:cs="Calibri"/>
                <w:color w:val="000000" w:themeColor="text1"/>
                <w:sz w:val="18"/>
                <w:szCs w:val="18"/>
              </w:rPr>
              <w:t xml:space="preserve"> Laminectomy </w:t>
            </w:r>
          </w:p>
        </w:tc>
        <w:tc>
          <w:tcPr>
            <w:tcW w:w="630" w:type="dxa"/>
            <w:tcBorders>
              <w:left w:val="single" w:sz="4" w:space="0" w:color="auto"/>
            </w:tcBorders>
            <w:shd w:val="clear" w:color="auto" w:fill="FFFFFF"/>
            <w:vAlign w:val="center"/>
          </w:tcPr>
          <w:p w:rsidR="0072138C" w:rsidRPr="001F29F9" w:rsidRDefault="0072138C" w:rsidP="005B01B3">
            <w:pPr>
              <w:spacing w:line="220" w:lineRule="exact"/>
              <w:contextualSpacing/>
              <w:rPr>
                <w:rFonts w:cs="Calibri"/>
                <w:color w:val="000000" w:themeColor="text1"/>
                <w:sz w:val="18"/>
                <w:szCs w:val="18"/>
              </w:rPr>
            </w:pPr>
            <w:r>
              <w:rPr>
                <w:rFonts w:cs="Calibri"/>
                <w:color w:val="000000" w:themeColor="text1"/>
                <w:sz w:val="18"/>
                <w:szCs w:val="18"/>
              </w:rPr>
              <w:t>5241</w:t>
            </w:r>
          </w:p>
        </w:tc>
        <w:tc>
          <w:tcPr>
            <w:tcW w:w="720" w:type="dxa"/>
            <w:tcBorders>
              <w:right w:val="thinThickThinSmallGap" w:sz="24" w:space="0" w:color="auto"/>
            </w:tcBorders>
            <w:shd w:val="clear" w:color="auto" w:fill="FFFFFF"/>
            <w:vAlign w:val="center"/>
          </w:tcPr>
          <w:p w:rsidR="0072138C" w:rsidRPr="001F29F9" w:rsidRDefault="0072138C" w:rsidP="005B01B3">
            <w:pPr>
              <w:spacing w:line="220" w:lineRule="exact"/>
              <w:rPr>
                <w:rFonts w:cs="Calibri"/>
                <w:color w:val="000000" w:themeColor="text1"/>
                <w:sz w:val="18"/>
                <w:szCs w:val="18"/>
              </w:rPr>
            </w:pPr>
            <w:r>
              <w:rPr>
                <w:rFonts w:cs="Calibri"/>
                <w:color w:val="000000" w:themeColor="text1"/>
                <w:sz w:val="18"/>
                <w:szCs w:val="18"/>
              </w:rPr>
              <w:t>10%</w:t>
            </w:r>
          </w:p>
        </w:tc>
        <w:tc>
          <w:tcPr>
            <w:tcW w:w="2610" w:type="dxa"/>
            <w:tcBorders>
              <w:left w:val="thinThickThinSmallGap" w:sz="24" w:space="0" w:color="auto"/>
            </w:tcBorders>
            <w:shd w:val="clear" w:color="auto" w:fill="FFFFFF"/>
            <w:vAlign w:val="center"/>
          </w:tcPr>
          <w:p w:rsidR="0072138C" w:rsidRPr="001F29F9" w:rsidRDefault="0072138C" w:rsidP="005B01B3">
            <w:pPr>
              <w:spacing w:line="220" w:lineRule="exact"/>
              <w:contextualSpacing/>
              <w:jc w:val="left"/>
              <w:rPr>
                <w:rFonts w:cs="Calibri"/>
                <w:color w:val="000000" w:themeColor="text1"/>
                <w:sz w:val="18"/>
                <w:szCs w:val="18"/>
              </w:rPr>
            </w:pPr>
            <w:r>
              <w:rPr>
                <w:rFonts w:cs="Calibri"/>
                <w:color w:val="000000" w:themeColor="text1"/>
                <w:sz w:val="18"/>
                <w:szCs w:val="18"/>
              </w:rPr>
              <w:t>Laminectomy</w:t>
            </w:r>
            <w:r w:rsidR="005B01B3">
              <w:rPr>
                <w:rFonts w:cs="Calibri"/>
                <w:color w:val="000000" w:themeColor="text1"/>
                <w:sz w:val="18"/>
                <w:szCs w:val="18"/>
              </w:rPr>
              <w:t xml:space="preserve"> and </w:t>
            </w:r>
            <w:r>
              <w:rPr>
                <w:rFonts w:cs="Calibri"/>
                <w:color w:val="000000" w:themeColor="text1"/>
                <w:sz w:val="18"/>
                <w:szCs w:val="18"/>
              </w:rPr>
              <w:t>Fusion of L4-5</w:t>
            </w:r>
          </w:p>
        </w:tc>
        <w:tc>
          <w:tcPr>
            <w:tcW w:w="630" w:type="dxa"/>
            <w:shd w:val="clear" w:color="auto" w:fill="FFFFFF"/>
            <w:vAlign w:val="center"/>
          </w:tcPr>
          <w:p w:rsidR="0072138C" w:rsidRPr="001F29F9" w:rsidRDefault="0072138C" w:rsidP="005B01B3">
            <w:pPr>
              <w:spacing w:line="220" w:lineRule="exact"/>
              <w:contextualSpacing/>
              <w:rPr>
                <w:rFonts w:cs="Calibri"/>
                <w:color w:val="000000" w:themeColor="text1"/>
                <w:sz w:val="18"/>
                <w:szCs w:val="18"/>
              </w:rPr>
            </w:pPr>
            <w:r>
              <w:rPr>
                <w:rFonts w:cs="Calibri"/>
                <w:color w:val="000000" w:themeColor="text1"/>
                <w:sz w:val="18"/>
                <w:szCs w:val="18"/>
              </w:rPr>
              <w:t>5243</w:t>
            </w:r>
          </w:p>
        </w:tc>
        <w:tc>
          <w:tcPr>
            <w:tcW w:w="720" w:type="dxa"/>
            <w:shd w:val="clear" w:color="auto" w:fill="FFFFFF"/>
            <w:vAlign w:val="center"/>
          </w:tcPr>
          <w:p w:rsidR="0072138C" w:rsidRPr="001F29F9" w:rsidRDefault="0072138C" w:rsidP="005B01B3">
            <w:pPr>
              <w:spacing w:line="220" w:lineRule="exact"/>
              <w:contextualSpacing/>
              <w:rPr>
                <w:rFonts w:cs="Calibri"/>
                <w:color w:val="000000" w:themeColor="text1"/>
                <w:sz w:val="18"/>
                <w:szCs w:val="18"/>
              </w:rPr>
            </w:pPr>
            <w:r>
              <w:rPr>
                <w:rFonts w:cs="Calibri"/>
                <w:color w:val="000000" w:themeColor="text1"/>
                <w:sz w:val="18"/>
                <w:szCs w:val="18"/>
              </w:rPr>
              <w:t>20%</w:t>
            </w:r>
          </w:p>
        </w:tc>
        <w:tc>
          <w:tcPr>
            <w:tcW w:w="960" w:type="dxa"/>
            <w:shd w:val="clear" w:color="auto" w:fill="FFFFFF"/>
            <w:vAlign w:val="center"/>
          </w:tcPr>
          <w:p w:rsidR="0072138C" w:rsidRPr="001F29F9" w:rsidRDefault="0072138C" w:rsidP="005B01B3">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70111</w:t>
            </w:r>
          </w:p>
        </w:tc>
      </w:tr>
      <w:tr w:rsidR="005B01B3" w:rsidRPr="000D5DBE" w:rsidTr="005B01B3">
        <w:trPr>
          <w:trHeight w:val="97"/>
        </w:trPr>
        <w:tc>
          <w:tcPr>
            <w:tcW w:w="4428" w:type="dxa"/>
            <w:gridSpan w:val="3"/>
            <w:vMerge w:val="restart"/>
            <w:tcBorders>
              <w:right w:val="thinThickThinSmallGap" w:sz="24" w:space="0" w:color="auto"/>
            </w:tcBorders>
            <w:shd w:val="clear" w:color="auto" w:fill="FFFFFF"/>
          </w:tcPr>
          <w:p w:rsidR="005B01B3" w:rsidRPr="00D8352E" w:rsidRDefault="005B01B3" w:rsidP="005B01B3">
            <w:pPr>
              <w:spacing w:line="220" w:lineRule="exact"/>
              <w:contextualSpacing/>
              <w:rPr>
                <w:color w:val="000000"/>
                <w:sz w:val="18"/>
              </w:rPr>
            </w:pPr>
            <w:r w:rsidRPr="001F29F9">
              <w:rPr>
                <w:rFonts w:cs="Calibri"/>
                <w:color w:val="000000" w:themeColor="text1"/>
                <w:sz w:val="18"/>
                <w:szCs w:val="18"/>
              </w:rPr>
              <w:t>↓No Additional MEB/PEB Entries↓</w:t>
            </w:r>
          </w:p>
        </w:tc>
        <w:tc>
          <w:tcPr>
            <w:tcW w:w="2610" w:type="dxa"/>
            <w:tcBorders>
              <w:left w:val="thinThickThinSmallGap" w:sz="24" w:space="0" w:color="auto"/>
              <w:right w:val="single" w:sz="4" w:space="0" w:color="auto"/>
            </w:tcBorders>
            <w:shd w:val="clear" w:color="auto" w:fill="FFFFFF"/>
            <w:vAlign w:val="center"/>
          </w:tcPr>
          <w:p w:rsidR="005B01B3" w:rsidRPr="001F29F9" w:rsidRDefault="005B01B3" w:rsidP="005B01B3">
            <w:pPr>
              <w:spacing w:line="220" w:lineRule="exact"/>
              <w:contextualSpacing/>
              <w:jc w:val="left"/>
              <w:rPr>
                <w:rFonts w:cs="Calibri"/>
                <w:color w:val="000000" w:themeColor="text1"/>
                <w:sz w:val="18"/>
                <w:szCs w:val="18"/>
              </w:rPr>
            </w:pPr>
            <w:r>
              <w:rPr>
                <w:rFonts w:cs="Calibri"/>
                <w:color w:val="000000" w:themeColor="text1"/>
                <w:sz w:val="18"/>
                <w:szCs w:val="18"/>
              </w:rPr>
              <w:t>DJD, R Shoulder</w:t>
            </w:r>
          </w:p>
        </w:tc>
        <w:tc>
          <w:tcPr>
            <w:tcW w:w="630" w:type="dxa"/>
            <w:tcBorders>
              <w:left w:val="single" w:sz="4" w:space="0" w:color="auto"/>
            </w:tcBorders>
            <w:shd w:val="clear" w:color="auto" w:fill="FFFFFF"/>
            <w:vAlign w:val="center"/>
          </w:tcPr>
          <w:p w:rsidR="005B01B3" w:rsidRPr="001F29F9" w:rsidRDefault="005B01B3" w:rsidP="005B01B3">
            <w:pPr>
              <w:spacing w:line="220" w:lineRule="exact"/>
              <w:contextualSpacing/>
              <w:rPr>
                <w:rFonts w:cs="Calibri"/>
                <w:color w:val="000000" w:themeColor="text1"/>
                <w:sz w:val="18"/>
                <w:szCs w:val="18"/>
              </w:rPr>
            </w:pPr>
            <w:r>
              <w:rPr>
                <w:rFonts w:cs="Calibri"/>
                <w:color w:val="000000" w:themeColor="text1"/>
                <w:sz w:val="18"/>
                <w:szCs w:val="18"/>
              </w:rPr>
              <w:t>5010</w:t>
            </w:r>
          </w:p>
        </w:tc>
        <w:tc>
          <w:tcPr>
            <w:tcW w:w="720" w:type="dxa"/>
            <w:shd w:val="clear" w:color="auto" w:fill="FFFFFF"/>
            <w:vAlign w:val="center"/>
          </w:tcPr>
          <w:p w:rsidR="005B01B3" w:rsidRPr="001F29F9" w:rsidRDefault="005B01B3" w:rsidP="005B01B3">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5B01B3" w:rsidRPr="001F29F9" w:rsidRDefault="005B01B3" w:rsidP="005B01B3">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70111</w:t>
            </w:r>
          </w:p>
        </w:tc>
      </w:tr>
      <w:tr w:rsidR="005B01B3" w:rsidRPr="000D5DBE" w:rsidTr="005B01B3">
        <w:trPr>
          <w:trHeight w:val="97"/>
        </w:trPr>
        <w:tc>
          <w:tcPr>
            <w:tcW w:w="4428" w:type="dxa"/>
            <w:gridSpan w:val="3"/>
            <w:vMerge/>
            <w:tcBorders>
              <w:right w:val="thinThickThinSmallGap" w:sz="24" w:space="0" w:color="auto"/>
            </w:tcBorders>
            <w:shd w:val="clear" w:color="auto" w:fill="FFFFFF"/>
          </w:tcPr>
          <w:p w:rsidR="005B01B3" w:rsidRPr="00D8352E" w:rsidRDefault="005B01B3" w:rsidP="005B01B3">
            <w:pPr>
              <w:spacing w:line="220" w:lineRule="exact"/>
              <w:contextualSpacing/>
              <w:jc w:val="both"/>
              <w:rPr>
                <w:color w:val="000000"/>
                <w:sz w:val="18"/>
              </w:rPr>
            </w:pPr>
          </w:p>
        </w:tc>
        <w:tc>
          <w:tcPr>
            <w:tcW w:w="2610" w:type="dxa"/>
            <w:tcBorders>
              <w:left w:val="thinThickThinSmallGap" w:sz="24" w:space="0" w:color="auto"/>
              <w:right w:val="single" w:sz="4" w:space="0" w:color="auto"/>
            </w:tcBorders>
            <w:shd w:val="clear" w:color="auto" w:fill="FFFFFF"/>
            <w:vAlign w:val="center"/>
          </w:tcPr>
          <w:p w:rsidR="005B01B3" w:rsidRPr="001F29F9" w:rsidRDefault="005B01B3" w:rsidP="005B01B3">
            <w:pPr>
              <w:spacing w:line="220" w:lineRule="exact"/>
              <w:contextualSpacing/>
              <w:jc w:val="left"/>
              <w:rPr>
                <w:rFonts w:cs="Calibri"/>
                <w:color w:val="000000" w:themeColor="text1"/>
                <w:sz w:val="18"/>
                <w:szCs w:val="18"/>
              </w:rPr>
            </w:pPr>
            <w:r>
              <w:rPr>
                <w:rFonts w:cs="Calibri"/>
                <w:color w:val="000000" w:themeColor="text1"/>
                <w:sz w:val="18"/>
                <w:szCs w:val="18"/>
              </w:rPr>
              <w:t>Tinnitus, L Ear</w:t>
            </w:r>
          </w:p>
        </w:tc>
        <w:tc>
          <w:tcPr>
            <w:tcW w:w="630" w:type="dxa"/>
            <w:tcBorders>
              <w:left w:val="single" w:sz="4" w:space="0" w:color="auto"/>
            </w:tcBorders>
            <w:shd w:val="clear" w:color="auto" w:fill="FFFFFF"/>
            <w:vAlign w:val="center"/>
          </w:tcPr>
          <w:p w:rsidR="005B01B3" w:rsidRPr="001F29F9" w:rsidRDefault="005B01B3" w:rsidP="005B01B3">
            <w:pPr>
              <w:spacing w:line="220" w:lineRule="exact"/>
              <w:contextualSpacing/>
              <w:rPr>
                <w:rFonts w:cs="Calibri"/>
                <w:color w:val="000000" w:themeColor="text1"/>
                <w:sz w:val="18"/>
                <w:szCs w:val="18"/>
              </w:rPr>
            </w:pPr>
            <w:r>
              <w:rPr>
                <w:rFonts w:cs="Calibri"/>
                <w:color w:val="000000" w:themeColor="text1"/>
                <w:sz w:val="18"/>
                <w:szCs w:val="18"/>
              </w:rPr>
              <w:t>6260</w:t>
            </w:r>
          </w:p>
        </w:tc>
        <w:tc>
          <w:tcPr>
            <w:tcW w:w="720" w:type="dxa"/>
            <w:shd w:val="clear" w:color="auto" w:fill="FFFFFF"/>
            <w:vAlign w:val="center"/>
          </w:tcPr>
          <w:p w:rsidR="005B01B3" w:rsidRPr="001F29F9" w:rsidRDefault="005B01B3" w:rsidP="005B01B3">
            <w:pPr>
              <w:spacing w:line="220" w:lineRule="exact"/>
              <w:contextualSpacing/>
              <w:rPr>
                <w:rFonts w:cs="Calibri"/>
                <w:color w:val="000000" w:themeColor="text1"/>
                <w:sz w:val="18"/>
                <w:szCs w:val="18"/>
              </w:rPr>
            </w:pPr>
            <w:r>
              <w:rPr>
                <w:rFonts w:cs="Calibri"/>
                <w:color w:val="000000" w:themeColor="text1"/>
                <w:sz w:val="18"/>
                <w:szCs w:val="18"/>
              </w:rPr>
              <w:t>10%</w:t>
            </w:r>
          </w:p>
        </w:tc>
        <w:tc>
          <w:tcPr>
            <w:tcW w:w="960" w:type="dxa"/>
            <w:shd w:val="clear" w:color="auto" w:fill="FFFFFF"/>
            <w:vAlign w:val="center"/>
          </w:tcPr>
          <w:p w:rsidR="005B01B3" w:rsidRPr="004F2D46" w:rsidRDefault="005B01B3" w:rsidP="005B01B3">
            <w:pPr>
              <w:spacing w:line="220" w:lineRule="exact"/>
              <w:contextualSpacing/>
              <w:rPr>
                <w:rFonts w:cs="Calibri"/>
                <w:color w:val="000000" w:themeColor="text1"/>
                <w:sz w:val="18"/>
                <w:szCs w:val="18"/>
              </w:rPr>
            </w:pPr>
            <w:r w:rsidRPr="004F2D46">
              <w:rPr>
                <w:rFonts w:cs="Calibri"/>
                <w:color w:val="000000" w:themeColor="text1"/>
                <w:sz w:val="18"/>
                <w:szCs w:val="18"/>
              </w:rPr>
              <w:t>20070111</w:t>
            </w:r>
          </w:p>
        </w:tc>
      </w:tr>
      <w:tr w:rsidR="005B01B3" w:rsidRPr="000D5DBE" w:rsidTr="005B01B3">
        <w:trPr>
          <w:trHeight w:val="172"/>
        </w:trPr>
        <w:tc>
          <w:tcPr>
            <w:tcW w:w="4428" w:type="dxa"/>
            <w:gridSpan w:val="3"/>
            <w:vMerge/>
            <w:tcBorders>
              <w:right w:val="thinThickThinSmallGap" w:sz="24" w:space="0" w:color="auto"/>
            </w:tcBorders>
            <w:shd w:val="clear" w:color="auto" w:fill="FFFFFF"/>
            <w:vAlign w:val="center"/>
          </w:tcPr>
          <w:p w:rsidR="005B01B3" w:rsidRPr="001F29F9" w:rsidRDefault="005B01B3" w:rsidP="005B01B3">
            <w:pPr>
              <w:spacing w:line="220" w:lineRule="exact"/>
              <w:contextualSpacing/>
              <w:rPr>
                <w:rFonts w:cs="Calibri"/>
                <w:color w:val="000000"/>
                <w:sz w:val="18"/>
              </w:rPr>
            </w:pPr>
          </w:p>
        </w:tc>
        <w:tc>
          <w:tcPr>
            <w:tcW w:w="3960" w:type="dxa"/>
            <w:gridSpan w:val="3"/>
            <w:tcBorders>
              <w:left w:val="thinThickThinSmallGap" w:sz="24" w:space="0" w:color="auto"/>
            </w:tcBorders>
            <w:shd w:val="clear" w:color="auto" w:fill="FFFFFF"/>
            <w:vAlign w:val="center"/>
          </w:tcPr>
          <w:p w:rsidR="005B01B3" w:rsidRPr="001F29F9" w:rsidRDefault="005B01B3" w:rsidP="005B01B3">
            <w:pPr>
              <w:spacing w:line="220" w:lineRule="exact"/>
              <w:contextualSpacing/>
              <w:rPr>
                <w:rFonts w:cs="Calibri"/>
                <w:color w:val="000000"/>
                <w:sz w:val="18"/>
              </w:rPr>
            </w:pPr>
            <w:r>
              <w:rPr>
                <w:color w:val="000000"/>
                <w:sz w:val="18"/>
              </w:rPr>
              <w:t xml:space="preserve">0% X 2 </w:t>
            </w:r>
            <w:r w:rsidRPr="000D5DBE">
              <w:rPr>
                <w:color w:val="000000"/>
                <w:sz w:val="18"/>
              </w:rPr>
              <w:t>/</w:t>
            </w:r>
            <w:r>
              <w:rPr>
                <w:color w:val="000000"/>
                <w:sz w:val="18"/>
              </w:rPr>
              <w:t xml:space="preserve"> </w:t>
            </w:r>
            <w:r w:rsidR="00DA7EE4">
              <w:rPr>
                <w:color w:val="000000"/>
                <w:sz w:val="18"/>
              </w:rPr>
              <w:t>Not Service-</w:t>
            </w:r>
            <w:r w:rsidRPr="000D5DBE">
              <w:rPr>
                <w:color w:val="000000"/>
                <w:sz w:val="18"/>
              </w:rPr>
              <w:t xml:space="preserve">Connected x </w:t>
            </w:r>
            <w:r>
              <w:rPr>
                <w:color w:val="000000"/>
                <w:sz w:val="18"/>
              </w:rPr>
              <w:t>3</w:t>
            </w:r>
          </w:p>
        </w:tc>
        <w:tc>
          <w:tcPr>
            <w:tcW w:w="960" w:type="dxa"/>
            <w:shd w:val="clear" w:color="auto" w:fill="FFFFFF"/>
            <w:vAlign w:val="center"/>
          </w:tcPr>
          <w:p w:rsidR="005B01B3" w:rsidRPr="001F29F9" w:rsidRDefault="005B01B3" w:rsidP="005B01B3">
            <w:pPr>
              <w:spacing w:line="220" w:lineRule="exact"/>
              <w:contextualSpacing/>
              <w:rPr>
                <w:rFonts w:cs="Calibri"/>
                <w:color w:val="000000"/>
                <w:sz w:val="18"/>
              </w:rPr>
            </w:pPr>
            <w:r w:rsidRPr="004F2D46">
              <w:rPr>
                <w:rFonts w:cs="Calibri"/>
                <w:color w:val="000000" w:themeColor="text1"/>
                <w:sz w:val="18"/>
                <w:szCs w:val="18"/>
              </w:rPr>
              <w:t>20070111</w:t>
            </w:r>
          </w:p>
        </w:tc>
      </w:tr>
      <w:tr w:rsidR="00AD2379" w:rsidRPr="000D5DBE" w:rsidTr="005B01B3">
        <w:trPr>
          <w:trHeight w:val="124"/>
        </w:trPr>
        <w:tc>
          <w:tcPr>
            <w:tcW w:w="4428" w:type="dxa"/>
            <w:gridSpan w:val="3"/>
            <w:tcBorders>
              <w:right w:val="thinThickThinSmallGap" w:sz="24" w:space="0" w:color="auto"/>
            </w:tcBorders>
            <w:shd w:val="clear" w:color="auto" w:fill="D9D9D9"/>
          </w:tcPr>
          <w:p w:rsidR="00AD2379" w:rsidRPr="000D5DBE" w:rsidRDefault="005B01B3" w:rsidP="005B01B3">
            <w:pPr>
              <w:contextualSpacing/>
              <w:rPr>
                <w:rFonts w:cs="Calibri"/>
                <w:b/>
                <w:color w:val="000000"/>
                <w:sz w:val="18"/>
              </w:rPr>
            </w:pPr>
            <w:r>
              <w:rPr>
                <w:b/>
                <w:color w:val="000000"/>
                <w:sz w:val="18"/>
              </w:rPr>
              <w:t>Combined:  1</w:t>
            </w:r>
            <w:r w:rsidR="00AD2379" w:rsidRPr="000D5DBE">
              <w:rPr>
                <w:b/>
                <w:color w:val="000000"/>
                <w:sz w:val="18"/>
              </w:rPr>
              <w:t>0%</w:t>
            </w:r>
          </w:p>
        </w:tc>
        <w:tc>
          <w:tcPr>
            <w:tcW w:w="4920" w:type="dxa"/>
            <w:gridSpan w:val="4"/>
            <w:tcBorders>
              <w:left w:val="thinThickThinSmallGap" w:sz="24" w:space="0" w:color="auto"/>
            </w:tcBorders>
            <w:shd w:val="clear" w:color="auto" w:fill="D9D9D9"/>
          </w:tcPr>
          <w:p w:rsidR="00AD2379" w:rsidRPr="000D5DBE" w:rsidRDefault="005B01B3" w:rsidP="005B01B3">
            <w:pPr>
              <w:contextualSpacing/>
              <w:rPr>
                <w:rFonts w:cs="Calibri"/>
                <w:b/>
                <w:color w:val="000000"/>
                <w:sz w:val="18"/>
              </w:rPr>
            </w:pPr>
            <w:r>
              <w:rPr>
                <w:b/>
                <w:color w:val="000000"/>
                <w:sz w:val="18"/>
              </w:rPr>
              <w:t>Combined:  4</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726F84" w:rsidRDefault="00AD2379" w:rsidP="00726F84">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000F4325">
        <w:rPr>
          <w:color w:val="000000"/>
        </w:rPr>
        <w:t xml:space="preserve"> </w:t>
      </w:r>
      <w:r w:rsidR="000F4325" w:rsidRPr="000F4325">
        <w:rPr>
          <w:color w:val="000000"/>
        </w:rPr>
        <w:t xml:space="preserve">The Board acknowledges the sentiment expressed in the CI’s application regarding the gravity of his condition and the significant impairment with which his service-connected condition continues to burden him.  It is a fact, however, that the </w:t>
      </w:r>
      <w:r w:rsidR="00F24701">
        <w:rPr>
          <w:color w:val="000000"/>
        </w:rPr>
        <w:t>Disability Evaluation System (</w:t>
      </w:r>
      <w:r w:rsidR="000F4325" w:rsidRPr="000F4325">
        <w:rPr>
          <w:color w:val="000000"/>
        </w:rPr>
        <w:t>DES</w:t>
      </w:r>
      <w:r w:rsidR="00F24701">
        <w:rPr>
          <w:color w:val="000000"/>
        </w:rPr>
        <w:t>)</w:t>
      </w:r>
      <w:r w:rsidR="000F4325" w:rsidRPr="000F4325">
        <w:rPr>
          <w:color w:val="000000"/>
        </w:rPr>
        <w:t xml:space="preserve"> has neither the role nor the authority to compensate service members for anticipated future severity or potential complications of conditions resulting in medical separation.  This role and authority is granted by Congress to the Department of Veteran</w:t>
      </w:r>
      <w:r w:rsidR="00DA7EE4">
        <w:rPr>
          <w:color w:val="000000"/>
        </w:rPr>
        <w:t>s’</w:t>
      </w:r>
      <w:r w:rsidR="000F4325" w:rsidRPr="000F4325">
        <w:rPr>
          <w:color w:val="000000"/>
        </w:rPr>
        <w:t xml:space="preserve"> Affairs (DVA).  The DVA, operating under a different set of laws (Title 38, United States Code), is </w:t>
      </w:r>
      <w:r w:rsidR="00DA7EE4">
        <w:rPr>
          <w:color w:val="000000"/>
        </w:rPr>
        <w:t>empowered to compensate service-</w:t>
      </w:r>
      <w:r w:rsidR="000F4325" w:rsidRPr="000F4325">
        <w:rPr>
          <w:color w:val="000000"/>
        </w:rPr>
        <w:t xml:space="preserve">connected conditions and to periodically re-evaluate said conditions for the purpose of adjusting the </w:t>
      </w:r>
      <w:r w:rsidR="00DA7EE4">
        <w:rPr>
          <w:color w:val="000000"/>
        </w:rPr>
        <w:t>V</w:t>
      </w:r>
      <w:r w:rsidR="000F4325" w:rsidRPr="000F4325">
        <w:rPr>
          <w:color w:val="000000"/>
        </w:rPr>
        <w:t xml:space="preserve">eteran’s disability rating should </w:t>
      </w:r>
      <w:r w:rsidR="00DA7EE4">
        <w:rPr>
          <w:color w:val="000000"/>
        </w:rPr>
        <w:t>the</w:t>
      </w:r>
      <w:r w:rsidR="000F4325" w:rsidRPr="000F4325">
        <w:rPr>
          <w:color w:val="000000"/>
        </w:rPr>
        <w:t xml:space="preserve"> degree of impairment vary over time.  The Board utilizes </w:t>
      </w:r>
      <w:r w:rsidR="00DA7EE4">
        <w:rPr>
          <w:color w:val="000000"/>
        </w:rPr>
        <w:t>D</w:t>
      </w:r>
      <w:r w:rsidR="000F4325" w:rsidRPr="000F4325">
        <w:rPr>
          <w:color w:val="000000"/>
        </w:rPr>
        <w:t>VA evidence proximal to separation in arriving at its recommendations; and, DoDI 6040.44 defines a 12-month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  The Board further acknow</w:t>
      </w:r>
      <w:r w:rsidR="00F24701">
        <w:rPr>
          <w:color w:val="000000"/>
        </w:rPr>
        <w:t>ledges the CI’s assertions that he was denied the opportunity for</w:t>
      </w:r>
      <w:r w:rsidR="000E26A8">
        <w:rPr>
          <w:color w:val="000000"/>
        </w:rPr>
        <w:t xml:space="preserve"> outside consultation or to seek</w:t>
      </w:r>
      <w:r w:rsidR="00F24701">
        <w:rPr>
          <w:color w:val="000000"/>
        </w:rPr>
        <w:t xml:space="preserve"> legal review </w:t>
      </w:r>
      <w:r w:rsidR="000E26A8">
        <w:rPr>
          <w:color w:val="000000"/>
        </w:rPr>
        <w:t xml:space="preserve">of </w:t>
      </w:r>
      <w:r w:rsidR="00F24701">
        <w:rPr>
          <w:color w:val="000000"/>
        </w:rPr>
        <w:t xml:space="preserve">his </w:t>
      </w:r>
      <w:r w:rsidR="00DA7EE4">
        <w:rPr>
          <w:color w:val="000000"/>
        </w:rPr>
        <w:t>s</w:t>
      </w:r>
      <w:r w:rsidR="00F24701">
        <w:rPr>
          <w:color w:val="000000"/>
        </w:rPr>
        <w:t>ervice rating</w:t>
      </w:r>
      <w:r w:rsidR="000F4325" w:rsidRPr="000F4325">
        <w:rPr>
          <w:color w:val="000000"/>
        </w:rPr>
        <w:t xml:space="preserve">; but, must note for the record that it has neither the jurisdiction nor authority to scrutinize or render opinions in reference to </w:t>
      </w:r>
      <w:r w:rsidR="00F24701">
        <w:rPr>
          <w:color w:val="000000"/>
        </w:rPr>
        <w:t xml:space="preserve">alleged </w:t>
      </w:r>
      <w:r w:rsidR="00DA7EE4">
        <w:rPr>
          <w:color w:val="000000"/>
        </w:rPr>
        <w:t>s</w:t>
      </w:r>
      <w:r w:rsidR="00F24701">
        <w:rPr>
          <w:color w:val="000000"/>
        </w:rPr>
        <w:t>ervice improprieties of this nature</w:t>
      </w:r>
      <w:r w:rsidR="000F4325" w:rsidRPr="000F4325">
        <w:rPr>
          <w:color w:val="000000"/>
        </w:rPr>
        <w:t xml:space="preserve">.  The Board’s role is confined to the review of medical records and all evidence at hand to assess the fairness </w:t>
      </w:r>
      <w:r w:rsidR="00DA7EE4">
        <w:rPr>
          <w:color w:val="000000"/>
        </w:rPr>
        <w:t>of s</w:t>
      </w:r>
      <w:r w:rsidR="000F4325" w:rsidRPr="000F4325">
        <w:rPr>
          <w:color w:val="000000"/>
        </w:rPr>
        <w:t>ervice rating and fitness determinations at separation, as elaborated above.</w:t>
      </w:r>
    </w:p>
    <w:p w:rsidR="00AD2379" w:rsidRPr="001F29F9" w:rsidRDefault="00AD2379" w:rsidP="00B22D42">
      <w:pPr>
        <w:jc w:val="both"/>
        <w:rPr>
          <w:color w:val="000000"/>
          <w:highlight w:val="yellow"/>
        </w:rPr>
      </w:pPr>
    </w:p>
    <w:p w:rsidR="0069687C" w:rsidRPr="00AB5AF0" w:rsidRDefault="00F24701" w:rsidP="0069687C">
      <w:pPr>
        <w:jc w:val="both"/>
        <w:rPr>
          <w:color w:val="000000"/>
        </w:rPr>
      </w:pPr>
      <w:proofErr w:type="gramStart"/>
      <w:r>
        <w:rPr>
          <w:color w:val="000000"/>
          <w:u w:val="single"/>
        </w:rPr>
        <w:t>Lumbar Spine</w:t>
      </w:r>
      <w:r w:rsidR="00AD2379" w:rsidRPr="009A7578">
        <w:rPr>
          <w:color w:val="000000"/>
          <w:u w:val="single"/>
        </w:rPr>
        <w:t xml:space="preserve"> Condition</w:t>
      </w:r>
      <w:r w:rsidR="00AD2379" w:rsidRPr="009A7578">
        <w:rPr>
          <w:color w:val="000000"/>
        </w:rPr>
        <w:t>.</w:t>
      </w:r>
      <w:proofErr w:type="gramEnd"/>
      <w:r w:rsidR="00AD2379" w:rsidRPr="009A7578">
        <w:rPr>
          <w:color w:val="000000"/>
        </w:rPr>
        <w:t xml:space="preserve"> </w:t>
      </w:r>
      <w:r w:rsidR="00385708">
        <w:rPr>
          <w:color w:val="000000"/>
        </w:rPr>
        <w:t xml:space="preserve"> </w:t>
      </w:r>
      <w:r w:rsidR="000E26A8">
        <w:rPr>
          <w:color w:val="000000"/>
        </w:rPr>
        <w:t>After his 2004 sports injury, the CI</w:t>
      </w:r>
      <w:r w:rsidR="008B2685">
        <w:rPr>
          <w:color w:val="000000"/>
        </w:rPr>
        <w:t xml:space="preserve"> was diagnosed with an annular tear and disc protrusion at L4-5.  </w:t>
      </w:r>
      <w:r w:rsidR="000E26A8">
        <w:rPr>
          <w:color w:val="000000"/>
        </w:rPr>
        <w:t>This was followed by a protracted trial of conservative treatment which included epidural steroid injections</w:t>
      </w:r>
      <w:r w:rsidR="003A5B7A">
        <w:rPr>
          <w:color w:val="000000"/>
        </w:rPr>
        <w:t>; but, he ultimately required surgical intervention.  The 2006 laminectomy/fusion resulted in resolution of the</w:t>
      </w:r>
      <w:r w:rsidR="008B2685">
        <w:rPr>
          <w:color w:val="000000"/>
        </w:rPr>
        <w:t xml:space="preserve"> radiculopathy, but pain and functional limitations persisted.  </w:t>
      </w:r>
      <w:r w:rsidR="00385708">
        <w:rPr>
          <w:color w:val="000000"/>
        </w:rPr>
        <w:t xml:space="preserve">The narrative summary (NARSUM) </w:t>
      </w:r>
      <w:r w:rsidR="00AB5AF0">
        <w:rPr>
          <w:color w:val="000000"/>
        </w:rPr>
        <w:t>reflected the CI’s symptoms 4 months after surgery; and, re</w:t>
      </w:r>
      <w:r w:rsidR="00DA7EE4">
        <w:rPr>
          <w:color w:val="000000"/>
        </w:rPr>
        <w:t>ported constant pain rated 5/</w:t>
      </w:r>
      <w:r w:rsidR="00AB5AF0">
        <w:rPr>
          <w:color w:val="000000"/>
        </w:rPr>
        <w:t>10 with aggravations to 7</w:t>
      </w:r>
      <w:r w:rsidR="00DA7EE4">
        <w:rPr>
          <w:color w:val="000000"/>
        </w:rPr>
        <w:t>/</w:t>
      </w:r>
      <w:r w:rsidR="00AB5AF0">
        <w:rPr>
          <w:color w:val="000000"/>
        </w:rPr>
        <w:t xml:space="preserve">10 with driving, prolonged sitting or standing, bending and lifting.  </w:t>
      </w:r>
      <w:r w:rsidR="0069687C" w:rsidRPr="00B652C3">
        <w:rPr>
          <w:color w:val="000000"/>
          <w:szCs w:val="24"/>
        </w:rPr>
        <w:t xml:space="preserve">There were </w:t>
      </w:r>
      <w:r w:rsidR="00DA7EE4">
        <w:rPr>
          <w:color w:val="000000"/>
          <w:szCs w:val="24"/>
        </w:rPr>
        <w:t>two</w:t>
      </w:r>
      <w:r w:rsidR="00D42994">
        <w:rPr>
          <w:color w:val="000000"/>
          <w:szCs w:val="24"/>
        </w:rPr>
        <w:t xml:space="preserve"> </w:t>
      </w:r>
      <w:r w:rsidR="0069687C" w:rsidRPr="00B652C3">
        <w:rPr>
          <w:color w:val="000000"/>
          <w:szCs w:val="24"/>
        </w:rPr>
        <w:t>goniometric range</w:t>
      </w:r>
      <w:r w:rsidR="00DA7EE4">
        <w:rPr>
          <w:color w:val="000000"/>
          <w:szCs w:val="24"/>
        </w:rPr>
        <w:t>-of-</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CF0280" w:rsidRDefault="00CF0280" w:rsidP="0069687C">
      <w:pPr>
        <w:jc w:val="both"/>
        <w:rPr>
          <w:color w:val="000000"/>
          <w:szCs w:val="24"/>
        </w:rPr>
      </w:pPr>
    </w:p>
    <w:tbl>
      <w:tblPr>
        <w:tblW w:w="8059"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3"/>
        <w:gridCol w:w="2646"/>
        <w:gridCol w:w="3240"/>
      </w:tblGrid>
      <w:tr w:rsidR="00E85478" w:rsidRPr="006F5E80" w:rsidTr="00E85478">
        <w:trPr>
          <w:jc w:val="center"/>
        </w:trPr>
        <w:tc>
          <w:tcPr>
            <w:tcW w:w="2173" w:type="dxa"/>
            <w:shd w:val="clear" w:color="auto" w:fill="D9D9D9"/>
            <w:vAlign w:val="center"/>
          </w:tcPr>
          <w:p w:rsidR="006F5E80" w:rsidRPr="006F5E80" w:rsidRDefault="006F5E80" w:rsidP="006F5E80">
            <w:pPr>
              <w:contextualSpacing/>
              <w:rPr>
                <w:rFonts w:cs="Times New Roman"/>
                <w:color w:val="auto"/>
                <w:sz w:val="22"/>
              </w:rPr>
            </w:pPr>
            <w:r w:rsidRPr="006F5E80">
              <w:rPr>
                <w:rFonts w:cs="Times New Roman"/>
                <w:color w:val="auto"/>
                <w:sz w:val="22"/>
              </w:rPr>
              <w:t>Thoracolumbar ROM</w:t>
            </w:r>
          </w:p>
        </w:tc>
        <w:tc>
          <w:tcPr>
            <w:tcW w:w="2646" w:type="dxa"/>
            <w:shd w:val="clear" w:color="auto" w:fill="D9D9D9"/>
            <w:vAlign w:val="center"/>
          </w:tcPr>
          <w:p w:rsidR="006F5E80" w:rsidRPr="00E85478" w:rsidRDefault="006F5E80" w:rsidP="00D303B9">
            <w:pPr>
              <w:spacing w:line="220" w:lineRule="exact"/>
              <w:contextualSpacing/>
              <w:rPr>
                <w:rFonts w:cs="Times New Roman"/>
                <w:color w:val="auto"/>
                <w:sz w:val="22"/>
              </w:rPr>
            </w:pPr>
            <w:r w:rsidRPr="006F5E80">
              <w:rPr>
                <w:rFonts w:cs="Times New Roman"/>
                <w:color w:val="auto"/>
                <w:sz w:val="22"/>
              </w:rPr>
              <w:t>MEB ~4 Mo. Pre-Sep</w:t>
            </w:r>
          </w:p>
          <w:p w:rsidR="00D303B9" w:rsidRPr="006F5E80" w:rsidRDefault="00E85478" w:rsidP="00D303B9">
            <w:pPr>
              <w:spacing w:line="220" w:lineRule="exact"/>
              <w:contextualSpacing/>
              <w:rPr>
                <w:rFonts w:cs="Times New Roman"/>
                <w:color w:val="auto"/>
                <w:sz w:val="22"/>
              </w:rPr>
            </w:pPr>
            <w:r>
              <w:rPr>
                <w:color w:val="000000"/>
                <w:sz w:val="22"/>
                <w:szCs w:val="22"/>
              </w:rPr>
              <w:t>(</w:t>
            </w:r>
            <w:r w:rsidR="00D303B9" w:rsidRPr="00E85478">
              <w:rPr>
                <w:color w:val="000000"/>
                <w:sz w:val="22"/>
                <w:szCs w:val="22"/>
              </w:rPr>
              <w:t>4 Mo. Post-Op</w:t>
            </w:r>
            <w:r>
              <w:rPr>
                <w:color w:val="000000"/>
                <w:sz w:val="22"/>
                <w:szCs w:val="22"/>
              </w:rPr>
              <w:t>)</w:t>
            </w:r>
          </w:p>
        </w:tc>
        <w:tc>
          <w:tcPr>
            <w:tcW w:w="3240" w:type="dxa"/>
            <w:shd w:val="clear" w:color="auto" w:fill="D9D9D9"/>
            <w:vAlign w:val="center"/>
          </w:tcPr>
          <w:p w:rsidR="006F5E80" w:rsidRPr="00E85478" w:rsidRDefault="006F5E80" w:rsidP="00D303B9">
            <w:pPr>
              <w:spacing w:line="220" w:lineRule="exact"/>
              <w:contextualSpacing/>
              <w:rPr>
                <w:rFonts w:cs="Times New Roman"/>
                <w:color w:val="auto"/>
                <w:sz w:val="22"/>
              </w:rPr>
            </w:pPr>
            <w:r w:rsidRPr="00E85478">
              <w:rPr>
                <w:rFonts w:cs="Times New Roman"/>
                <w:color w:val="auto"/>
                <w:sz w:val="22"/>
              </w:rPr>
              <w:t>VA C&amp;P ~3</w:t>
            </w:r>
            <w:r w:rsidRPr="006F5E80">
              <w:rPr>
                <w:rFonts w:cs="Times New Roman"/>
                <w:color w:val="auto"/>
                <w:sz w:val="22"/>
              </w:rPr>
              <w:t xml:space="preserve"> Mo. Post-Sep</w:t>
            </w:r>
          </w:p>
          <w:p w:rsidR="00D303B9" w:rsidRPr="006F5E80" w:rsidRDefault="00E85478" w:rsidP="00D303B9">
            <w:pPr>
              <w:spacing w:line="220" w:lineRule="exact"/>
              <w:contextualSpacing/>
              <w:rPr>
                <w:rFonts w:cs="Times New Roman"/>
                <w:color w:val="auto"/>
                <w:sz w:val="22"/>
              </w:rPr>
            </w:pPr>
            <w:r>
              <w:rPr>
                <w:color w:val="000000"/>
                <w:sz w:val="22"/>
                <w:szCs w:val="22"/>
              </w:rPr>
              <w:t>(</w:t>
            </w:r>
            <w:r w:rsidR="00D303B9" w:rsidRPr="00E85478">
              <w:rPr>
                <w:color w:val="000000"/>
                <w:sz w:val="22"/>
                <w:szCs w:val="22"/>
              </w:rPr>
              <w:t>11 Mo. Post-Op</w:t>
            </w:r>
            <w:r>
              <w:rPr>
                <w:color w:val="000000"/>
                <w:sz w:val="22"/>
                <w:szCs w:val="22"/>
              </w:rPr>
              <w:t>)</w:t>
            </w:r>
          </w:p>
        </w:tc>
      </w:tr>
      <w:tr w:rsidR="006F5E80" w:rsidRPr="006F5E80" w:rsidTr="00E85478">
        <w:trPr>
          <w:jc w:val="center"/>
        </w:trPr>
        <w:tc>
          <w:tcPr>
            <w:tcW w:w="2173" w:type="dxa"/>
            <w:vAlign w:val="center"/>
          </w:tcPr>
          <w:p w:rsidR="006F5E80" w:rsidRPr="006F5E80" w:rsidRDefault="006F5E80" w:rsidP="006F5E80">
            <w:pPr>
              <w:contextualSpacing/>
              <w:rPr>
                <w:rFonts w:cs="Times New Roman"/>
                <w:color w:val="auto"/>
                <w:sz w:val="22"/>
              </w:rPr>
            </w:pPr>
            <w:r w:rsidRPr="006F5E80">
              <w:rPr>
                <w:rFonts w:cs="Times New Roman"/>
                <w:color w:val="auto"/>
                <w:sz w:val="22"/>
              </w:rPr>
              <w:t>Flexion (90⁰ Normal)</w:t>
            </w:r>
          </w:p>
        </w:tc>
        <w:tc>
          <w:tcPr>
            <w:tcW w:w="2646" w:type="dxa"/>
            <w:vAlign w:val="center"/>
          </w:tcPr>
          <w:p w:rsidR="006F5E80" w:rsidRPr="006F5E80" w:rsidRDefault="006F5E80" w:rsidP="006F5E80">
            <w:pPr>
              <w:contextualSpacing/>
              <w:rPr>
                <w:rFonts w:cs="Times New Roman"/>
                <w:color w:val="auto"/>
                <w:sz w:val="22"/>
              </w:rPr>
            </w:pPr>
            <w:r>
              <w:rPr>
                <w:rFonts w:cs="Times New Roman"/>
                <w:color w:val="auto"/>
                <w:sz w:val="22"/>
              </w:rPr>
              <w:t>20</w:t>
            </w:r>
            <w:r w:rsidRPr="006F5E80">
              <w:rPr>
                <w:rFonts w:cs="Times New Roman"/>
                <w:color w:val="auto"/>
                <w:sz w:val="22"/>
              </w:rPr>
              <w:t>⁰</w:t>
            </w:r>
          </w:p>
        </w:tc>
        <w:tc>
          <w:tcPr>
            <w:tcW w:w="3240" w:type="dxa"/>
            <w:vAlign w:val="center"/>
          </w:tcPr>
          <w:p w:rsidR="006F5E80" w:rsidRPr="006F5E80" w:rsidRDefault="006F5E80" w:rsidP="006F5E80">
            <w:pPr>
              <w:contextualSpacing/>
              <w:rPr>
                <w:rFonts w:cs="Times New Roman"/>
                <w:color w:val="auto"/>
                <w:sz w:val="22"/>
              </w:rPr>
            </w:pPr>
            <w:r>
              <w:rPr>
                <w:rFonts w:cs="Times New Roman"/>
                <w:color w:val="auto"/>
                <w:sz w:val="22"/>
              </w:rPr>
              <w:t>45</w:t>
            </w:r>
            <w:r w:rsidRPr="006F5E80">
              <w:rPr>
                <w:rFonts w:cs="Times New Roman"/>
                <w:color w:val="auto"/>
                <w:sz w:val="22"/>
              </w:rPr>
              <w:t>⁰</w:t>
            </w:r>
          </w:p>
        </w:tc>
      </w:tr>
      <w:tr w:rsidR="006F5E80" w:rsidRPr="006F5E80" w:rsidTr="00E85478">
        <w:trPr>
          <w:jc w:val="center"/>
        </w:trPr>
        <w:tc>
          <w:tcPr>
            <w:tcW w:w="2173" w:type="dxa"/>
            <w:vAlign w:val="center"/>
          </w:tcPr>
          <w:p w:rsidR="006F5E80" w:rsidRPr="006F5E80" w:rsidRDefault="006F5E80" w:rsidP="006F5E80">
            <w:pPr>
              <w:contextualSpacing/>
              <w:rPr>
                <w:rFonts w:cs="Times New Roman"/>
                <w:color w:val="auto"/>
                <w:sz w:val="22"/>
              </w:rPr>
            </w:pPr>
            <w:r w:rsidRPr="006F5E80">
              <w:rPr>
                <w:rFonts w:cs="Times New Roman"/>
                <w:color w:val="auto"/>
                <w:sz w:val="22"/>
              </w:rPr>
              <w:t>Combined (240⁰)</w:t>
            </w:r>
          </w:p>
        </w:tc>
        <w:tc>
          <w:tcPr>
            <w:tcW w:w="2646" w:type="dxa"/>
            <w:vAlign w:val="center"/>
          </w:tcPr>
          <w:p w:rsidR="006F5E80" w:rsidRPr="006F5E80" w:rsidRDefault="009D588A" w:rsidP="006F5E80">
            <w:pPr>
              <w:contextualSpacing/>
              <w:rPr>
                <w:rFonts w:cs="Times New Roman"/>
                <w:color w:val="auto"/>
                <w:sz w:val="22"/>
              </w:rPr>
            </w:pPr>
            <w:r>
              <w:rPr>
                <w:rFonts w:cs="Times New Roman"/>
                <w:color w:val="auto"/>
                <w:sz w:val="22"/>
              </w:rPr>
              <w:t>17</w:t>
            </w:r>
            <w:r w:rsidR="006F5E80" w:rsidRPr="006F5E80">
              <w:rPr>
                <w:rFonts w:cs="Times New Roman"/>
                <w:color w:val="auto"/>
                <w:sz w:val="22"/>
              </w:rPr>
              <w:t>5⁰</w:t>
            </w:r>
          </w:p>
        </w:tc>
        <w:tc>
          <w:tcPr>
            <w:tcW w:w="3240" w:type="dxa"/>
            <w:vAlign w:val="center"/>
          </w:tcPr>
          <w:p w:rsidR="006F5E80" w:rsidRPr="006F5E80" w:rsidRDefault="006F5E80" w:rsidP="006F5E80">
            <w:pPr>
              <w:contextualSpacing/>
              <w:rPr>
                <w:rFonts w:cs="Times New Roman"/>
                <w:color w:val="auto"/>
                <w:sz w:val="22"/>
              </w:rPr>
            </w:pPr>
            <w:r>
              <w:rPr>
                <w:rFonts w:cs="Times New Roman"/>
                <w:color w:val="auto"/>
                <w:sz w:val="22"/>
              </w:rPr>
              <w:t>175</w:t>
            </w:r>
            <w:r w:rsidRPr="006F5E80">
              <w:rPr>
                <w:rFonts w:cs="Times New Roman"/>
                <w:color w:val="auto"/>
                <w:sz w:val="22"/>
              </w:rPr>
              <w:t>⁰</w:t>
            </w:r>
          </w:p>
        </w:tc>
      </w:tr>
      <w:tr w:rsidR="006F5E80" w:rsidRPr="006F5E80" w:rsidTr="00E85478">
        <w:trPr>
          <w:trHeight w:val="58"/>
          <w:jc w:val="center"/>
        </w:trPr>
        <w:tc>
          <w:tcPr>
            <w:tcW w:w="2173" w:type="dxa"/>
            <w:vAlign w:val="center"/>
          </w:tcPr>
          <w:p w:rsidR="006F5E80" w:rsidRPr="006F5E80" w:rsidRDefault="006F5E80" w:rsidP="006F5E80">
            <w:pPr>
              <w:tabs>
                <w:tab w:val="left" w:pos="288"/>
                <w:tab w:val="left" w:pos="4752"/>
              </w:tabs>
              <w:rPr>
                <w:rFonts w:cs="Times New Roman"/>
                <w:color w:val="auto"/>
                <w:sz w:val="22"/>
              </w:rPr>
            </w:pPr>
            <w:r w:rsidRPr="006F5E80">
              <w:rPr>
                <w:rFonts w:cs="Times New Roman"/>
                <w:color w:val="auto"/>
                <w:sz w:val="22"/>
              </w:rPr>
              <w:t>Comments</w:t>
            </w:r>
          </w:p>
        </w:tc>
        <w:tc>
          <w:tcPr>
            <w:tcW w:w="2646" w:type="dxa"/>
            <w:vAlign w:val="center"/>
          </w:tcPr>
          <w:p w:rsidR="00E85478" w:rsidRPr="006F5E80" w:rsidRDefault="00E85478" w:rsidP="00E85478">
            <w:pPr>
              <w:tabs>
                <w:tab w:val="left" w:pos="288"/>
                <w:tab w:val="left" w:pos="4752"/>
              </w:tabs>
              <w:spacing w:line="220" w:lineRule="exact"/>
              <w:rPr>
                <w:rFonts w:cs="Times New Roman"/>
                <w:color w:val="auto"/>
                <w:sz w:val="22"/>
              </w:rPr>
            </w:pPr>
            <w:r>
              <w:rPr>
                <w:rFonts w:cs="Times New Roman"/>
                <w:color w:val="auto"/>
                <w:sz w:val="22"/>
              </w:rPr>
              <w:t>F</w:t>
            </w:r>
            <w:r w:rsidR="00975E7B" w:rsidRPr="00975E7B">
              <w:rPr>
                <w:rFonts w:cs="Times New Roman"/>
                <w:color w:val="auto"/>
                <w:sz w:val="22"/>
              </w:rPr>
              <w:t xml:space="preserve">lexion </w:t>
            </w:r>
            <w:r>
              <w:rPr>
                <w:rFonts w:cs="Times New Roman"/>
                <w:color w:val="auto"/>
                <w:sz w:val="22"/>
              </w:rPr>
              <w:t>stopped 2</w:t>
            </w:r>
            <w:r>
              <w:rPr>
                <w:color w:val="auto"/>
                <w:sz w:val="22"/>
              </w:rPr>
              <w:t>⁰</w:t>
            </w:r>
            <w:r>
              <w:rPr>
                <w:rFonts w:cs="Times New Roman"/>
                <w:color w:val="auto"/>
                <w:sz w:val="22"/>
              </w:rPr>
              <w:t xml:space="preserve"> to</w:t>
            </w:r>
            <w:r w:rsidR="00975E7B" w:rsidRPr="00975E7B">
              <w:rPr>
                <w:rFonts w:cs="Times New Roman"/>
                <w:color w:val="auto"/>
                <w:sz w:val="22"/>
              </w:rPr>
              <w:t xml:space="preserve"> pain</w:t>
            </w:r>
            <w:r w:rsidR="00D303B9">
              <w:rPr>
                <w:rFonts w:cs="Times New Roman"/>
                <w:color w:val="auto"/>
                <w:sz w:val="22"/>
              </w:rPr>
              <w:t>. Normal gait/contour</w:t>
            </w:r>
            <w:r w:rsidR="00D303B9" w:rsidRPr="006F5E80">
              <w:rPr>
                <w:rFonts w:cs="Times New Roman"/>
                <w:color w:val="auto"/>
                <w:sz w:val="22"/>
              </w:rPr>
              <w:t>.</w:t>
            </w:r>
          </w:p>
        </w:tc>
        <w:tc>
          <w:tcPr>
            <w:tcW w:w="3240" w:type="dxa"/>
            <w:vAlign w:val="center"/>
          </w:tcPr>
          <w:p w:rsidR="006F5E80" w:rsidRPr="006F5E80" w:rsidRDefault="006F5E80" w:rsidP="00E85478">
            <w:pPr>
              <w:tabs>
                <w:tab w:val="left" w:pos="288"/>
                <w:tab w:val="left" w:pos="4752"/>
              </w:tabs>
              <w:spacing w:line="220" w:lineRule="exact"/>
              <w:rPr>
                <w:rFonts w:cs="Times New Roman"/>
                <w:color w:val="auto"/>
                <w:sz w:val="22"/>
                <w:highlight w:val="yellow"/>
              </w:rPr>
            </w:pPr>
            <w:r w:rsidRPr="006F5E80">
              <w:rPr>
                <w:rFonts w:cs="Times New Roman"/>
                <w:color w:val="auto"/>
                <w:sz w:val="22"/>
              </w:rPr>
              <w:t xml:space="preserve">+ Tenderness; </w:t>
            </w:r>
            <w:r w:rsidR="00E85478">
              <w:rPr>
                <w:rFonts w:cs="Times New Roman"/>
                <w:color w:val="auto"/>
                <w:sz w:val="22"/>
              </w:rPr>
              <w:t>+ painful motion.</w:t>
            </w:r>
            <w:r w:rsidR="00D303B9">
              <w:rPr>
                <w:rFonts w:cs="Times New Roman"/>
                <w:color w:val="auto"/>
                <w:sz w:val="22"/>
              </w:rPr>
              <w:t xml:space="preserve"> </w:t>
            </w:r>
            <w:r w:rsidR="00E85478">
              <w:rPr>
                <w:rFonts w:cs="Times New Roman"/>
                <w:color w:val="auto"/>
                <w:sz w:val="22"/>
              </w:rPr>
              <w:t>N</w:t>
            </w:r>
            <w:r w:rsidR="00D303B9">
              <w:rPr>
                <w:rFonts w:cs="Times New Roman"/>
                <w:color w:val="auto"/>
                <w:sz w:val="22"/>
              </w:rPr>
              <w:t>o spasm; normal gait/contour</w:t>
            </w:r>
            <w:r w:rsidRPr="006F5E80">
              <w:rPr>
                <w:rFonts w:cs="Times New Roman"/>
                <w:color w:val="auto"/>
                <w:sz w:val="22"/>
              </w:rPr>
              <w:t>.</w:t>
            </w:r>
          </w:p>
        </w:tc>
      </w:tr>
      <w:tr w:rsidR="006F5E80" w:rsidRPr="006F5E80" w:rsidTr="00E85478">
        <w:trPr>
          <w:trHeight w:val="70"/>
          <w:jc w:val="center"/>
        </w:trPr>
        <w:tc>
          <w:tcPr>
            <w:tcW w:w="2173" w:type="dxa"/>
            <w:vAlign w:val="center"/>
          </w:tcPr>
          <w:p w:rsidR="006F5E80" w:rsidRPr="006F5E80" w:rsidRDefault="006F5E80" w:rsidP="006F5E80">
            <w:pPr>
              <w:tabs>
                <w:tab w:val="left" w:pos="288"/>
                <w:tab w:val="left" w:pos="4752"/>
              </w:tabs>
              <w:rPr>
                <w:rFonts w:cs="Times New Roman"/>
                <w:color w:val="auto"/>
                <w:sz w:val="22"/>
              </w:rPr>
            </w:pPr>
            <w:r w:rsidRPr="006F5E80">
              <w:rPr>
                <w:rFonts w:cs="Times New Roman"/>
                <w:color w:val="auto"/>
                <w:sz w:val="22"/>
              </w:rPr>
              <w:t>§4.71a Rating</w:t>
            </w:r>
          </w:p>
        </w:tc>
        <w:tc>
          <w:tcPr>
            <w:tcW w:w="2646" w:type="dxa"/>
            <w:vAlign w:val="center"/>
          </w:tcPr>
          <w:p w:rsidR="006F5E80" w:rsidRPr="006F5E80" w:rsidRDefault="006F5E80" w:rsidP="006F5E80">
            <w:pPr>
              <w:tabs>
                <w:tab w:val="left" w:pos="288"/>
                <w:tab w:val="left" w:pos="4752"/>
              </w:tabs>
              <w:rPr>
                <w:rFonts w:cs="Times New Roman"/>
                <w:color w:val="auto"/>
                <w:sz w:val="22"/>
              </w:rPr>
            </w:pPr>
            <w:r>
              <w:rPr>
                <w:rFonts w:cs="Times New Roman"/>
                <w:color w:val="auto"/>
                <w:sz w:val="22"/>
              </w:rPr>
              <w:t>4</w:t>
            </w:r>
            <w:r w:rsidRPr="006F5E80">
              <w:rPr>
                <w:rFonts w:cs="Times New Roman"/>
                <w:color w:val="auto"/>
                <w:sz w:val="22"/>
              </w:rPr>
              <w:t>0%</w:t>
            </w:r>
          </w:p>
        </w:tc>
        <w:tc>
          <w:tcPr>
            <w:tcW w:w="3240" w:type="dxa"/>
            <w:vAlign w:val="center"/>
          </w:tcPr>
          <w:p w:rsidR="006F5E80" w:rsidRPr="006F5E80" w:rsidRDefault="006F5E80" w:rsidP="006F5E80">
            <w:pPr>
              <w:tabs>
                <w:tab w:val="left" w:pos="288"/>
                <w:tab w:val="left" w:pos="4752"/>
              </w:tabs>
              <w:rPr>
                <w:rFonts w:cs="Times New Roman"/>
                <w:color w:val="auto"/>
                <w:sz w:val="22"/>
              </w:rPr>
            </w:pPr>
            <w:r w:rsidRPr="006F5E80">
              <w:rPr>
                <w:rFonts w:cs="Times New Roman"/>
                <w:color w:val="auto"/>
                <w:sz w:val="22"/>
              </w:rPr>
              <w:t>20%</w:t>
            </w:r>
          </w:p>
        </w:tc>
      </w:tr>
    </w:tbl>
    <w:p w:rsidR="006F5E80" w:rsidRPr="00975E7B" w:rsidRDefault="00975E7B" w:rsidP="00975E7B">
      <w:pPr>
        <w:ind w:left="2880"/>
        <w:jc w:val="both"/>
        <w:rPr>
          <w:color w:val="000000"/>
          <w:sz w:val="22"/>
          <w:szCs w:val="22"/>
        </w:rPr>
      </w:pPr>
      <w:r>
        <w:rPr>
          <w:color w:val="000000"/>
          <w:sz w:val="22"/>
          <w:szCs w:val="22"/>
        </w:rPr>
        <w:t xml:space="preserve"> </w:t>
      </w:r>
      <w:r w:rsidR="00D303B9">
        <w:rPr>
          <w:color w:val="000000"/>
          <w:sz w:val="22"/>
          <w:szCs w:val="22"/>
        </w:rPr>
        <w:t xml:space="preserve">    </w:t>
      </w:r>
      <w:r>
        <w:rPr>
          <w:color w:val="000000"/>
          <w:sz w:val="22"/>
          <w:szCs w:val="22"/>
        </w:rPr>
        <w:t xml:space="preserve">                        </w:t>
      </w:r>
      <w:r w:rsidR="00D303B9">
        <w:rPr>
          <w:color w:val="000000"/>
          <w:sz w:val="22"/>
          <w:szCs w:val="22"/>
        </w:rPr>
        <w:t xml:space="preserve">       </w:t>
      </w:r>
    </w:p>
    <w:p w:rsidR="00253C7B" w:rsidRDefault="00AB5AF0" w:rsidP="00CF0280">
      <w:pPr>
        <w:jc w:val="both"/>
        <w:rPr>
          <w:color w:val="000000"/>
          <w:szCs w:val="24"/>
        </w:rPr>
      </w:pPr>
      <w:r>
        <w:rPr>
          <w:color w:val="000000"/>
          <w:szCs w:val="24"/>
        </w:rPr>
        <w:t xml:space="preserve">The MEB examiner, who recorded the ROMs charted above </w:t>
      </w:r>
      <w:r w:rsidR="00AD7DAB">
        <w:rPr>
          <w:color w:val="000000"/>
          <w:szCs w:val="24"/>
        </w:rPr>
        <w:t>from</w:t>
      </w:r>
      <w:r>
        <w:rPr>
          <w:color w:val="000000"/>
          <w:szCs w:val="24"/>
        </w:rPr>
        <w:t xml:space="preserve"> </w:t>
      </w:r>
      <w:r w:rsidR="00DA7EE4">
        <w:rPr>
          <w:color w:val="000000"/>
          <w:szCs w:val="24"/>
        </w:rPr>
        <w:t>p</w:t>
      </w:r>
      <w:r>
        <w:rPr>
          <w:color w:val="000000"/>
          <w:szCs w:val="24"/>
        </w:rPr>
        <w:t xml:space="preserve">hysical </w:t>
      </w:r>
      <w:r w:rsidR="00DA7EE4">
        <w:rPr>
          <w:color w:val="000000"/>
          <w:szCs w:val="24"/>
        </w:rPr>
        <w:t>t</w:t>
      </w:r>
      <w:r>
        <w:rPr>
          <w:color w:val="000000"/>
          <w:szCs w:val="24"/>
        </w:rPr>
        <w:t xml:space="preserve">herapy </w:t>
      </w:r>
      <w:r w:rsidR="00AD7DAB">
        <w:rPr>
          <w:color w:val="000000"/>
          <w:szCs w:val="24"/>
        </w:rPr>
        <w:t>(PT) 9 days earlier, noted tenderness over the well-healed surgical site.  The CI had just started PT a month earlier following his surgery, and was still in a brace.  He demonstrated pain to light touch, but not with axial load, straight leg raise or “simulated rotation</w:t>
      </w:r>
      <w:r w:rsidR="00DA7EE4">
        <w:rPr>
          <w:color w:val="000000"/>
          <w:szCs w:val="24"/>
        </w:rPr>
        <w:t>.</w:t>
      </w:r>
      <w:r w:rsidR="00AD7DAB">
        <w:rPr>
          <w:color w:val="000000"/>
          <w:szCs w:val="24"/>
        </w:rPr>
        <w:t xml:space="preserve">”  </w:t>
      </w:r>
      <w:r w:rsidR="00253C7B">
        <w:rPr>
          <w:color w:val="000000"/>
          <w:szCs w:val="24"/>
        </w:rPr>
        <w:t xml:space="preserve">Neurologic testing was normal with 5/5 motor strength and symmetric reflexes.  </w:t>
      </w:r>
      <w:r w:rsidR="00CF0280">
        <w:rPr>
          <w:color w:val="000000"/>
          <w:szCs w:val="24"/>
        </w:rPr>
        <w:t xml:space="preserve">At </w:t>
      </w:r>
      <w:r w:rsidR="00CF0280" w:rsidRPr="00AD7DAB">
        <w:rPr>
          <w:color w:val="000000"/>
          <w:szCs w:val="24"/>
        </w:rPr>
        <w:t xml:space="preserve">the </w:t>
      </w:r>
      <w:r w:rsidR="00CF0280">
        <w:rPr>
          <w:color w:val="000000"/>
          <w:szCs w:val="24"/>
        </w:rPr>
        <w:t xml:space="preserve">VA </w:t>
      </w:r>
      <w:r w:rsidR="00CF0280" w:rsidRPr="00CF0280">
        <w:rPr>
          <w:color w:val="000000"/>
          <w:szCs w:val="24"/>
        </w:rPr>
        <w:t>Compensation and Pension (C&amp;P)</w:t>
      </w:r>
      <w:r w:rsidR="00253C7B">
        <w:rPr>
          <w:color w:val="000000"/>
          <w:szCs w:val="24"/>
        </w:rPr>
        <w:t xml:space="preserve"> exam</w:t>
      </w:r>
      <w:r w:rsidR="00DA7EE4">
        <w:rPr>
          <w:color w:val="000000"/>
          <w:szCs w:val="24"/>
        </w:rPr>
        <w:t xml:space="preserve"> after separation</w:t>
      </w:r>
      <w:r w:rsidR="00253C7B">
        <w:rPr>
          <w:color w:val="000000"/>
          <w:szCs w:val="24"/>
        </w:rPr>
        <w:t>, the CI reported “persistent dull pain” in the lower lumbar area.  Pain was aggravated by prolonged sitting or standing, and bending; and, he remained free of radicular symptoms (except “rare” numbness of the left shin area).  The VA examiner reported, “</w:t>
      </w:r>
      <w:proofErr w:type="gramStart"/>
      <w:r w:rsidR="00DA7EE4">
        <w:rPr>
          <w:color w:val="000000"/>
          <w:szCs w:val="24"/>
        </w:rPr>
        <w:t>h</w:t>
      </w:r>
      <w:r w:rsidR="00253C7B">
        <w:rPr>
          <w:color w:val="000000"/>
          <w:szCs w:val="24"/>
        </w:rPr>
        <w:t>e</w:t>
      </w:r>
      <w:proofErr w:type="gramEnd"/>
      <w:r w:rsidR="00253C7B">
        <w:rPr>
          <w:color w:val="000000"/>
          <w:szCs w:val="24"/>
        </w:rPr>
        <w:t xml:space="preserve"> no longer wears a back brace and walks with no assistive devices.”  At that time the CI was a full time student.  The VA </w:t>
      </w:r>
      <w:r w:rsidR="00137BC7">
        <w:rPr>
          <w:color w:val="000000"/>
          <w:szCs w:val="24"/>
        </w:rPr>
        <w:t xml:space="preserve">examiner’s ROM measurements and physical findings are charted </w:t>
      </w:r>
      <w:r w:rsidR="00137BC7">
        <w:rPr>
          <w:color w:val="000000"/>
          <w:szCs w:val="24"/>
        </w:rPr>
        <w:lastRenderedPageBreak/>
        <w:t>above, and the neurologic findings remained normal.</w:t>
      </w:r>
      <w:r w:rsidR="003A5B7A">
        <w:rPr>
          <w:color w:val="000000"/>
          <w:szCs w:val="24"/>
        </w:rPr>
        <w:t xml:space="preserve">  There was no DeLuca degradation of ROM with repetitions.</w:t>
      </w:r>
    </w:p>
    <w:p w:rsidR="00CF0280" w:rsidRPr="00137BC7" w:rsidRDefault="00CF0280" w:rsidP="0069687C">
      <w:pPr>
        <w:jc w:val="both"/>
        <w:rPr>
          <w:color w:val="000000"/>
          <w:szCs w:val="24"/>
        </w:rPr>
      </w:pPr>
    </w:p>
    <w:p w:rsidR="00FD1000" w:rsidRPr="00491733" w:rsidRDefault="00AD2379" w:rsidP="00FD1000">
      <w:pPr>
        <w:jc w:val="both"/>
        <w:rPr>
          <w:color w:val="000000"/>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137BC7">
        <w:rPr>
          <w:rFonts w:cs="Times New Roman"/>
          <w:color w:val="auto"/>
        </w:rPr>
        <w:t xml:space="preserve">All members agreed that the VA evidence was most probative since it was closest to separation; but, more importantly, was performed after a more adequate recovery period.  The MEB’s ROM </w:t>
      </w:r>
      <w:r w:rsidR="003A5B7A">
        <w:rPr>
          <w:rFonts w:cs="Times New Roman"/>
          <w:color w:val="auto"/>
        </w:rPr>
        <w:t>evaluation was fairly premature;</w:t>
      </w:r>
      <w:r w:rsidR="00137BC7">
        <w:rPr>
          <w:rFonts w:cs="Times New Roman"/>
          <w:color w:val="auto"/>
        </w:rPr>
        <w:t xml:space="preserve"> given that the CI had only recently begun PT and rehabilitation</w:t>
      </w:r>
      <w:r w:rsidR="003A5B7A">
        <w:rPr>
          <w:rFonts w:cs="Times New Roman"/>
          <w:color w:val="auto"/>
        </w:rPr>
        <w:t>,</w:t>
      </w:r>
      <w:r w:rsidR="00137BC7">
        <w:rPr>
          <w:rFonts w:cs="Times New Roman"/>
          <w:color w:val="auto"/>
        </w:rPr>
        <w:t xml:space="preserve"> and was still in a post-op brace.  Also the discontinuation of flexion at the pain threshold </w:t>
      </w:r>
      <w:r w:rsidR="003A5B7A">
        <w:rPr>
          <w:rFonts w:cs="Times New Roman"/>
          <w:color w:val="auto"/>
        </w:rPr>
        <w:t xml:space="preserve">(as noted in the ROM chart) </w:t>
      </w:r>
      <w:r w:rsidR="00681BAF">
        <w:rPr>
          <w:rFonts w:cs="Times New Roman"/>
          <w:color w:val="auto"/>
        </w:rPr>
        <w:t>does</w:t>
      </w:r>
      <w:r w:rsidR="00137BC7">
        <w:rPr>
          <w:rFonts w:cs="Times New Roman"/>
          <w:color w:val="auto"/>
        </w:rPr>
        <w:t xml:space="preserve"> not </w:t>
      </w:r>
      <w:r w:rsidR="00681BAF">
        <w:rPr>
          <w:rFonts w:cs="Times New Roman"/>
          <w:color w:val="auto"/>
        </w:rPr>
        <w:t>meet</w:t>
      </w:r>
      <w:r w:rsidR="00137BC7">
        <w:rPr>
          <w:rFonts w:cs="Times New Roman"/>
          <w:color w:val="auto"/>
        </w:rPr>
        <w:t xml:space="preserve"> </w:t>
      </w:r>
      <w:r w:rsidR="00681BAF">
        <w:rPr>
          <w:rFonts w:cs="Times New Roman"/>
          <w:color w:val="auto"/>
        </w:rPr>
        <w:t>an acceptable standard for</w:t>
      </w:r>
      <w:r w:rsidR="00137BC7">
        <w:rPr>
          <w:rFonts w:cs="Times New Roman"/>
          <w:color w:val="auto"/>
        </w:rPr>
        <w:t xml:space="preserve"> </w:t>
      </w:r>
      <w:r w:rsidR="00681BAF">
        <w:rPr>
          <w:rFonts w:cs="Times New Roman"/>
          <w:color w:val="auto"/>
        </w:rPr>
        <w:t xml:space="preserve">a </w:t>
      </w:r>
      <w:r w:rsidR="00137BC7">
        <w:rPr>
          <w:rFonts w:cs="Times New Roman"/>
          <w:color w:val="auto"/>
        </w:rPr>
        <w:t xml:space="preserve">ratable </w:t>
      </w:r>
      <w:r w:rsidR="00681BAF">
        <w:rPr>
          <w:rFonts w:cs="Times New Roman"/>
          <w:color w:val="auto"/>
        </w:rPr>
        <w:t xml:space="preserve">measurement.  </w:t>
      </w:r>
      <w:r w:rsidR="00147064">
        <w:rPr>
          <w:color w:val="000000"/>
          <w:szCs w:val="24"/>
        </w:rPr>
        <w:t>The P</w:t>
      </w:r>
      <w:r w:rsidR="00147064" w:rsidRPr="00280774">
        <w:rPr>
          <w:color w:val="000000"/>
          <w:szCs w:val="24"/>
        </w:rPr>
        <w:t>EB and VA applied different VASRD codes</w:t>
      </w:r>
      <w:r w:rsidR="00147064">
        <w:rPr>
          <w:color w:val="000000"/>
          <w:szCs w:val="24"/>
        </w:rPr>
        <w:t xml:space="preserve"> which did not affect rating</w:t>
      </w:r>
      <w:r w:rsidR="00147064" w:rsidRPr="00280774">
        <w:rPr>
          <w:color w:val="000000"/>
          <w:szCs w:val="24"/>
        </w:rPr>
        <w:t xml:space="preserve">.  </w:t>
      </w:r>
      <w:r w:rsidR="00147064">
        <w:rPr>
          <w:color w:val="000000"/>
          <w:szCs w:val="24"/>
        </w:rPr>
        <w:t xml:space="preserve">The PEB’s 10% rating was </w:t>
      </w:r>
      <w:r w:rsidR="003A5B7A">
        <w:rPr>
          <w:color w:val="000000"/>
          <w:szCs w:val="24"/>
        </w:rPr>
        <w:t>compliant with</w:t>
      </w:r>
      <w:r w:rsidR="00147064">
        <w:rPr>
          <w:color w:val="000000"/>
          <w:szCs w:val="24"/>
        </w:rPr>
        <w:t xml:space="preserve"> the USAPDA pain policy, but was not consistent with the VASRD §4.71a </w:t>
      </w:r>
      <w:r w:rsidR="00FD1000">
        <w:rPr>
          <w:color w:val="000000"/>
          <w:szCs w:val="24"/>
        </w:rPr>
        <w:t xml:space="preserve">general rating formula for the spine.  Based on the distinctly more probative ROM evaluation performed by the VA proximate to separation, the appropriate §4.71a rating is 20% as conferred by the VA.  </w:t>
      </w:r>
      <w:r w:rsidR="00FD1000" w:rsidRPr="00491733">
        <w:rPr>
          <w:color w:val="000000"/>
          <w:szCs w:val="24"/>
        </w:rPr>
        <w:t>There was no evidence of ratable peripheral nerve impairment or documentation of incapacitating episodes in this case which would provide for additional or higher rating.</w:t>
      </w:r>
      <w:r w:rsidR="00FD1000">
        <w:rPr>
          <w:color w:val="000000"/>
          <w:szCs w:val="24"/>
        </w:rPr>
        <w:t xml:space="preserve">  </w:t>
      </w:r>
      <w:r w:rsidR="00241B01" w:rsidRPr="00241B01">
        <w:rPr>
          <w:rFonts w:eastAsia="Calibri" w:cs="Times New Roman"/>
          <w:color w:val="auto"/>
          <w:szCs w:val="24"/>
        </w:rPr>
        <w:t xml:space="preserve">After due deliberation, considering all of the evidence and mindful of VASRD §4.3 (reasonable doubt), the Board recommends a </w:t>
      </w:r>
      <w:r w:rsidR="00DA7EE4">
        <w:rPr>
          <w:rFonts w:eastAsia="Calibri" w:cs="Times New Roman"/>
          <w:color w:val="auto"/>
          <w:szCs w:val="24"/>
        </w:rPr>
        <w:t>s</w:t>
      </w:r>
      <w:r w:rsidR="00241B01" w:rsidRPr="00241B01">
        <w:rPr>
          <w:rFonts w:eastAsia="Calibri" w:cs="Times New Roman"/>
          <w:color w:val="auto"/>
          <w:szCs w:val="24"/>
        </w:rPr>
        <w:t xml:space="preserve">ervice disability rating of </w:t>
      </w:r>
      <w:r w:rsidR="00FD1000">
        <w:rPr>
          <w:rFonts w:eastAsia="Calibri" w:cs="Times New Roman"/>
          <w:color w:val="auto"/>
          <w:szCs w:val="24"/>
        </w:rPr>
        <w:t>2</w:t>
      </w:r>
      <w:r w:rsidR="00241B01" w:rsidRPr="00241B01">
        <w:rPr>
          <w:rFonts w:eastAsia="Calibri" w:cs="Times New Roman"/>
          <w:color w:val="auto"/>
          <w:szCs w:val="24"/>
        </w:rPr>
        <w:t xml:space="preserve">0% for the </w:t>
      </w:r>
      <w:r w:rsidR="00FD1000">
        <w:rPr>
          <w:rFonts w:eastAsia="Calibri" w:cs="Times New Roman"/>
          <w:color w:val="auto"/>
          <w:szCs w:val="24"/>
        </w:rPr>
        <w:t>lumbar spine</w:t>
      </w:r>
      <w:r w:rsidR="00241B01" w:rsidRPr="00241B01">
        <w:rPr>
          <w:rFonts w:eastAsia="Calibri" w:cs="Times New Roman"/>
          <w:color w:val="auto"/>
          <w:szCs w:val="24"/>
        </w:rPr>
        <w:t xml:space="preserve"> condition.</w:t>
      </w:r>
      <w:r w:rsidR="00FD1000">
        <w:rPr>
          <w:rFonts w:eastAsia="Calibri" w:cs="Times New Roman"/>
          <w:color w:val="auto"/>
          <w:szCs w:val="24"/>
        </w:rPr>
        <w:t xml:space="preserve">  </w:t>
      </w:r>
      <w:r w:rsidR="00FD1000">
        <w:rPr>
          <w:color w:val="000000"/>
          <w:szCs w:val="24"/>
        </w:rPr>
        <w:t xml:space="preserve">The </w:t>
      </w:r>
      <w:r w:rsidR="007C611B">
        <w:rPr>
          <w:color w:val="000000"/>
          <w:szCs w:val="24"/>
        </w:rPr>
        <w:t>Board concurred with</w:t>
      </w:r>
      <w:r w:rsidR="00FD1000">
        <w:rPr>
          <w:color w:val="000000"/>
          <w:szCs w:val="24"/>
        </w:rPr>
        <w:t xml:space="preserve"> the </w:t>
      </w:r>
      <w:r w:rsidR="007C611B">
        <w:rPr>
          <w:color w:val="000000"/>
          <w:szCs w:val="24"/>
        </w:rPr>
        <w:t xml:space="preserve">PEB’s </w:t>
      </w:r>
      <w:r w:rsidR="00FD1000">
        <w:rPr>
          <w:color w:val="000000"/>
          <w:szCs w:val="24"/>
        </w:rPr>
        <w:t>code 5241 (spinal fusion).</w:t>
      </w:r>
    </w:p>
    <w:p w:rsidR="00241B01" w:rsidRPr="00FD1000" w:rsidRDefault="00241B01" w:rsidP="00241B01">
      <w:pPr>
        <w:jc w:val="both"/>
        <w:rPr>
          <w:color w:val="000000"/>
          <w:szCs w:val="24"/>
        </w:rPr>
      </w:pPr>
    </w:p>
    <w:p w:rsidR="00434694" w:rsidRDefault="00AD2379" w:rsidP="00F24701">
      <w:pPr>
        <w:jc w:val="both"/>
        <w:rPr>
          <w:color w:val="000000"/>
        </w:rPr>
      </w:pPr>
      <w:proofErr w:type="gramStart"/>
      <w:r w:rsidRPr="00D8352E">
        <w:rPr>
          <w:color w:val="000000"/>
          <w:u w:val="single"/>
        </w:rPr>
        <w:t>Remaining Conditions</w:t>
      </w:r>
      <w:r w:rsidRPr="00164413">
        <w:rPr>
          <w:color w:val="000000"/>
        </w:rPr>
        <w:t>.</w:t>
      </w:r>
      <w:proofErr w:type="gramEnd"/>
      <w:r w:rsidRPr="00164413">
        <w:rPr>
          <w:color w:val="000000"/>
        </w:rPr>
        <w:t xml:space="preserve"> </w:t>
      </w:r>
      <w:r w:rsidR="00680450">
        <w:rPr>
          <w:color w:val="000000"/>
        </w:rPr>
        <w:t xml:space="preserve"> </w:t>
      </w:r>
      <w:r w:rsidR="00F24701">
        <w:rPr>
          <w:color w:val="000000"/>
        </w:rPr>
        <w:t xml:space="preserve">The Board routinely screens the </w:t>
      </w:r>
      <w:r w:rsidR="00DA7EE4">
        <w:rPr>
          <w:color w:val="000000"/>
        </w:rPr>
        <w:t>s</w:t>
      </w:r>
      <w:r w:rsidR="00F24701">
        <w:rPr>
          <w:color w:val="000000"/>
        </w:rPr>
        <w:t xml:space="preserve">ervice file and VA evidence proximate to separation for all conditions present at separation.  These conditions are reviewed by the </w:t>
      </w:r>
      <w:r w:rsidR="00DA7EE4">
        <w:rPr>
          <w:color w:val="000000"/>
        </w:rPr>
        <w:t>a</w:t>
      </w:r>
      <w:r w:rsidR="00F24701">
        <w:rPr>
          <w:color w:val="000000"/>
        </w:rPr>
        <w:t xml:space="preserve">ction </w:t>
      </w:r>
      <w:r w:rsidR="00DA7EE4">
        <w:rPr>
          <w:color w:val="000000"/>
        </w:rPr>
        <w:t>o</w:t>
      </w:r>
      <w:r w:rsidR="00F24701">
        <w:rPr>
          <w:color w:val="000000"/>
        </w:rPr>
        <w:t xml:space="preserve">fficer and Board members for fitness implications and eligibility for additional </w:t>
      </w:r>
      <w:r w:rsidR="00DA7EE4">
        <w:rPr>
          <w:color w:val="000000"/>
        </w:rPr>
        <w:t>s</w:t>
      </w:r>
      <w:r w:rsidR="00F24701">
        <w:rPr>
          <w:color w:val="000000"/>
        </w:rPr>
        <w:t xml:space="preserve">ervice rating.  Particularly scrutinized are conditions which were contended in service; conditions which were clinically acute during MEB proceedings; conditions which were referenced in the commander’s statement as impairing performance; conditions which were profiled or imposed duty restrictions; or, conditions which were judged by a physician to fail retention standards.  No unaddressed condition was identified in this case which was judged by the Board to have </w:t>
      </w:r>
      <w:r w:rsidR="00F24701" w:rsidRPr="001F29F9">
        <w:rPr>
          <w:color w:val="000000"/>
        </w:rPr>
        <w:t>significantly interfered with satisfactory duty performance</w:t>
      </w:r>
      <w:r w:rsidR="00F24701">
        <w:rPr>
          <w:color w:val="000000"/>
        </w:rPr>
        <w:t>; and, therefore no additional recommendations are forthcoming.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FD1000" w:rsidRDefault="00AD2379" w:rsidP="00FD1000">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00FD1000" w:rsidRPr="00241B01">
        <w:rPr>
          <w:rFonts w:eastAsia="Calibri" w:cs="Times New Roman"/>
          <w:color w:val="auto"/>
          <w:szCs w:val="24"/>
        </w:rPr>
        <w:t xml:space="preserve">As discussed above, PEB reliance on the USAPDA pain policy for </w:t>
      </w:r>
      <w:r w:rsidR="00FD1000" w:rsidRPr="0032455D">
        <w:rPr>
          <w:rFonts w:eastAsia="Calibri" w:cs="Times New Roman"/>
          <w:color w:val="auto"/>
          <w:szCs w:val="24"/>
        </w:rPr>
        <w:t xml:space="preserve">rating the lumbar spine condition was operant in this case and the condition was adjudicated independently of that policy by the Board.  In the matter of the lumbar spine condition, the </w:t>
      </w:r>
      <w:r w:rsidR="00DA7EE4">
        <w:rPr>
          <w:rFonts w:eastAsia="Calibri" w:cs="Times New Roman"/>
          <w:color w:val="auto"/>
          <w:szCs w:val="24"/>
        </w:rPr>
        <w:t>Board unanimously recommends a s</w:t>
      </w:r>
      <w:r w:rsidR="00FD1000" w:rsidRPr="0032455D">
        <w:rPr>
          <w:rFonts w:eastAsia="Calibri" w:cs="Times New Roman"/>
          <w:color w:val="auto"/>
          <w:szCs w:val="24"/>
        </w:rPr>
        <w:t>ervice disability rating of 20%, coded 5241 IAW VASRD §4.71a.  The Board unanimously</w:t>
      </w:r>
      <w:r w:rsidR="00FD1000" w:rsidRPr="00560F12">
        <w:rPr>
          <w:rFonts w:eastAsia="Calibri" w:cs="Times New Roman"/>
          <w:color w:val="auto"/>
          <w:szCs w:val="24"/>
        </w:rPr>
        <w:t xml:space="preserve"> agrees that there were no other conditions eligible for Board consideration which could be recommend</w:t>
      </w:r>
      <w:r w:rsidR="00DA7EE4">
        <w:rPr>
          <w:rFonts w:eastAsia="Calibri" w:cs="Times New Roman"/>
          <w:color w:val="auto"/>
          <w:szCs w:val="24"/>
        </w:rPr>
        <w:t>ed as unfitting for additional s</w:t>
      </w:r>
      <w:r w:rsidR="00FD1000" w:rsidRPr="00560F12">
        <w:rPr>
          <w:rFonts w:eastAsia="Calibri" w:cs="Times New Roman"/>
          <w:color w:val="auto"/>
          <w:szCs w:val="24"/>
        </w:rPr>
        <w:t>ervice disability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FD1000" w:rsidRPr="00565636" w:rsidRDefault="00AD2379" w:rsidP="00FD1000">
      <w:pPr>
        <w:jc w:val="both"/>
        <w:rPr>
          <w:rFonts w:eastAsia="Calibri" w:cs="Times New Roman"/>
          <w:color w:val="000080"/>
          <w:szCs w:val="24"/>
        </w:rPr>
      </w:pPr>
      <w:r w:rsidRPr="009A7578">
        <w:rPr>
          <w:color w:val="000000"/>
          <w:u w:val="single"/>
        </w:rPr>
        <w:t>RECOMMENDATION</w:t>
      </w:r>
      <w:r w:rsidRPr="009A7578">
        <w:rPr>
          <w:color w:val="000000"/>
        </w:rPr>
        <w:t xml:space="preserve">: </w:t>
      </w:r>
      <w:r w:rsidR="00FD1000">
        <w:rPr>
          <w:color w:val="000000"/>
        </w:rPr>
        <w:t xml:space="preserve"> </w:t>
      </w:r>
      <w:r w:rsidR="00FD1000" w:rsidRPr="00565636">
        <w:rPr>
          <w:rFonts w:eastAsia="Calibri" w:cs="Times New Roman"/>
          <w:color w:val="auto"/>
          <w:szCs w:val="24"/>
        </w:rPr>
        <w:t>The Board recommends that the CI’s prior determination be modified as follows, effective as of the date of his prior medical separation.</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FD1000" w:rsidP="00BF0E94">
            <w:pPr>
              <w:tabs>
                <w:tab w:val="left" w:pos="288"/>
                <w:tab w:val="left" w:pos="4752"/>
              </w:tabs>
              <w:jc w:val="left"/>
              <w:rPr>
                <w:color w:val="000000"/>
              </w:rPr>
            </w:pPr>
            <w:r>
              <w:rPr>
                <w:color w:val="000000"/>
              </w:rPr>
              <w:t xml:space="preserve">Surgical Residuals, Fusion/Laminectomy </w:t>
            </w:r>
            <w:r w:rsidR="00247616">
              <w:rPr>
                <w:color w:val="000000"/>
              </w:rPr>
              <w:t>of L4-5</w:t>
            </w:r>
          </w:p>
        </w:tc>
        <w:tc>
          <w:tcPr>
            <w:tcW w:w="1530" w:type="dxa"/>
            <w:vAlign w:val="center"/>
          </w:tcPr>
          <w:p w:rsidR="00AD2379" w:rsidRPr="000D5DBE" w:rsidRDefault="00247616" w:rsidP="00BF0E94">
            <w:pPr>
              <w:tabs>
                <w:tab w:val="left" w:pos="288"/>
                <w:tab w:val="left" w:pos="4752"/>
              </w:tabs>
              <w:rPr>
                <w:color w:val="000000"/>
              </w:rPr>
            </w:pPr>
            <w:r>
              <w:rPr>
                <w:color w:val="000000"/>
              </w:rPr>
              <w:t>5241</w:t>
            </w:r>
          </w:p>
        </w:tc>
        <w:tc>
          <w:tcPr>
            <w:tcW w:w="1026" w:type="dxa"/>
            <w:vAlign w:val="center"/>
          </w:tcPr>
          <w:p w:rsidR="00AD2379" w:rsidRPr="000D5DBE" w:rsidRDefault="00247616"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247616"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DA7EE4">
      <w:pPr>
        <w:jc w:val="both"/>
        <w:rPr>
          <w:color w:val="000000"/>
        </w:rPr>
      </w:pPr>
    </w:p>
    <w:p w:rsidR="0032455D" w:rsidRDefault="0032455D">
      <w:pPr>
        <w:spacing w:line="240" w:lineRule="auto"/>
        <w:jc w:val="left"/>
        <w:rPr>
          <w:color w:val="000000"/>
        </w:rPr>
      </w:pPr>
      <w:r>
        <w:rPr>
          <w:color w:val="000000"/>
        </w:rPr>
        <w:br w:type="page"/>
      </w:r>
    </w:p>
    <w:p w:rsidR="00AD2379" w:rsidRDefault="00AD2379" w:rsidP="00247616">
      <w:pPr>
        <w:spacing w:line="240" w:lineRule="auto"/>
        <w:jc w:val="left"/>
        <w:rPr>
          <w:color w:val="000000"/>
        </w:rPr>
      </w:pPr>
      <w:r w:rsidRPr="001F29F9">
        <w:rPr>
          <w:color w:val="000000"/>
        </w:rPr>
        <w:lastRenderedPageBreak/>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0C3277" w:rsidRPr="001F29F9">
        <w:rPr>
          <w:color w:val="000000" w:themeColor="text1"/>
          <w:szCs w:val="24"/>
        </w:rPr>
        <w:t>201</w:t>
      </w:r>
      <w:r w:rsidR="000C3277">
        <w:rPr>
          <w:color w:val="000000" w:themeColor="text1"/>
          <w:szCs w:val="24"/>
        </w:rPr>
        <w:t>10512</w:t>
      </w:r>
      <w:r w:rsidRPr="001F29F9">
        <w:rPr>
          <w:color w:val="000000"/>
        </w:rPr>
        <w:t xml:space="preserve">, </w:t>
      </w:r>
      <w:r w:rsidR="00DA7EE4">
        <w:rPr>
          <w:color w:val="000000"/>
        </w:rPr>
        <w:t>w/atchs</w:t>
      </w:r>
    </w:p>
    <w:p w:rsidR="00AD2379" w:rsidRPr="001F29F9" w:rsidRDefault="00AD2379" w:rsidP="005144A7">
      <w:pPr>
        <w:tabs>
          <w:tab w:val="left" w:pos="288"/>
          <w:tab w:val="left" w:pos="4752"/>
        </w:tabs>
        <w:jc w:val="both"/>
        <w:rPr>
          <w:color w:val="000000"/>
        </w:rPr>
      </w:pPr>
      <w:r w:rsidRPr="001F29F9">
        <w:rPr>
          <w:color w:val="000000"/>
        </w:rPr>
        <w:t>Exhib</w:t>
      </w:r>
      <w:r w:rsidR="00DA7EE4">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DA7EE4">
        <w:rPr>
          <w:color w:val="000000"/>
        </w:rPr>
        <w:t>’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711916">
        <w:rPr>
          <w:color w:val="000000"/>
        </w:rPr>
        <w:t>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711916" w:rsidRDefault="00AD2379" w:rsidP="00BF0E94">
      <w:pPr>
        <w:tabs>
          <w:tab w:val="left" w:pos="0"/>
          <w:tab w:val="left" w:pos="4320"/>
        </w:tabs>
        <w:jc w:val="both"/>
        <w:rPr>
          <w:color w:val="000000"/>
        </w:rPr>
      </w:pPr>
      <w:r w:rsidRPr="001F29F9">
        <w:rPr>
          <w:color w:val="000000"/>
        </w:rPr>
        <w:tab/>
        <w:t xml:space="preserve">           Physical Disability Board of Review</w:t>
      </w:r>
    </w:p>
    <w:p w:rsidR="00711916" w:rsidRDefault="00711916">
      <w:pPr>
        <w:spacing w:line="240" w:lineRule="auto"/>
        <w:jc w:val="left"/>
        <w:rPr>
          <w:color w:val="000000"/>
        </w:rPr>
      </w:pPr>
      <w:r>
        <w:rPr>
          <w:color w:val="000000"/>
        </w:rPr>
        <w:br w:type="page"/>
      </w:r>
    </w:p>
    <w:p w:rsidR="00711916" w:rsidRDefault="00711916" w:rsidP="00711916">
      <w:pPr>
        <w:sectPr w:rsidR="00711916">
          <w:pgSz w:w="12240" w:h="15840"/>
          <w:pgMar w:top="2160" w:right="1440" w:bottom="1440" w:left="1440" w:header="720" w:footer="720" w:gutter="0"/>
          <w:cols w:space="720"/>
        </w:sectPr>
      </w:pPr>
    </w:p>
    <w:p w:rsidR="00711916" w:rsidRDefault="00711916" w:rsidP="00711916">
      <w:pPr>
        <w:pStyle w:val="Header"/>
        <w:tabs>
          <w:tab w:val="left" w:pos="720"/>
        </w:tabs>
        <w:jc w:val="left"/>
      </w:pPr>
      <w:r>
        <w:lastRenderedPageBreak/>
        <w:t>SFMR-RB</w:t>
      </w:r>
      <w:r>
        <w:tab/>
      </w:r>
      <w:r>
        <w:tab/>
      </w:r>
      <w:r>
        <w:tab/>
      </w:r>
      <w:r>
        <w:tab/>
      </w:r>
      <w:r>
        <w:tab/>
      </w:r>
      <w:r>
        <w:tab/>
      </w:r>
      <w:r>
        <w:tab/>
      </w:r>
      <w:r>
        <w:tab/>
      </w:r>
      <w:r>
        <w:tab/>
      </w:r>
    </w:p>
    <w:p w:rsidR="00711916" w:rsidRDefault="00711916" w:rsidP="00711916">
      <w:pPr>
        <w:pStyle w:val="Header"/>
        <w:tabs>
          <w:tab w:val="left" w:pos="720"/>
        </w:tabs>
        <w:jc w:val="left"/>
      </w:pPr>
    </w:p>
    <w:p w:rsidR="00711916" w:rsidRDefault="00711916" w:rsidP="00711916">
      <w:pPr>
        <w:jc w:val="left"/>
      </w:pPr>
    </w:p>
    <w:p w:rsidR="00711916" w:rsidRDefault="00711916" w:rsidP="00711916">
      <w:pPr>
        <w:jc w:val="left"/>
      </w:pPr>
      <w:r>
        <w:t xml:space="preserve">MEMORANDUM FOR Commander, US Army Physical Disability Agency </w:t>
      </w:r>
    </w:p>
    <w:p w:rsidR="00711916" w:rsidRDefault="00711916" w:rsidP="00711916">
      <w:pPr>
        <w:jc w:val="left"/>
      </w:pPr>
      <w:r>
        <w:t>(TAPD-ZB /), 2900 Crystal Drive, Suite 300, Arlington, VA  22202</w:t>
      </w:r>
    </w:p>
    <w:p w:rsidR="00711916" w:rsidRDefault="00711916" w:rsidP="00711916">
      <w:pPr>
        <w:jc w:val="left"/>
      </w:pPr>
    </w:p>
    <w:p w:rsidR="00711916" w:rsidRDefault="00711916" w:rsidP="00711916">
      <w:pPr>
        <w:ind w:right="-180"/>
        <w:jc w:val="left"/>
      </w:pPr>
      <w:r>
        <w:t xml:space="preserve">SUBJECT:  Department of Defense Physical Disability Board of Review Recommendation </w:t>
      </w:r>
    </w:p>
    <w:p w:rsidR="00711916" w:rsidRDefault="00711916" w:rsidP="00711916">
      <w:pPr>
        <w:pStyle w:val="Header"/>
        <w:tabs>
          <w:tab w:val="left" w:pos="720"/>
        </w:tabs>
        <w:jc w:val="left"/>
      </w:pPr>
      <w:r>
        <w:t>For XXXXXXXXXXX, AR20120008659 (PD201100433)</w:t>
      </w:r>
    </w:p>
    <w:p w:rsidR="00711916" w:rsidRDefault="00711916" w:rsidP="00711916">
      <w:pPr>
        <w:pStyle w:val="Header"/>
        <w:tabs>
          <w:tab w:val="left" w:pos="720"/>
        </w:tabs>
        <w:jc w:val="left"/>
      </w:pPr>
    </w:p>
    <w:p w:rsidR="00711916" w:rsidRDefault="00711916" w:rsidP="00711916">
      <w:pPr>
        <w:jc w:val="left"/>
      </w:pPr>
    </w:p>
    <w:p w:rsidR="00711916" w:rsidRDefault="00711916" w:rsidP="00711916">
      <w:pPr>
        <w:jc w:val="left"/>
      </w:pPr>
      <w:r>
        <w:t xml:space="preserve">1.  I have reviewed the enclosed Department of Defense Physical Disability Board of Review (DoD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711916" w:rsidRDefault="00711916" w:rsidP="00711916">
      <w:pPr>
        <w:jc w:val="left"/>
      </w:pPr>
    </w:p>
    <w:p w:rsidR="00711916" w:rsidRDefault="00711916" w:rsidP="00711916">
      <w:pPr>
        <w:jc w:val="left"/>
      </w:pPr>
      <w:r>
        <w:t xml:space="preserve">2.  I direct that all the Department of the Army records of the individual concerned be corrected accordingly no later than 120 days from the date of this memorandum.   </w:t>
      </w:r>
    </w:p>
    <w:p w:rsidR="00711916" w:rsidRDefault="00711916" w:rsidP="00711916">
      <w:pPr>
        <w:jc w:val="left"/>
      </w:pPr>
    </w:p>
    <w:p w:rsidR="00711916" w:rsidRDefault="00711916" w:rsidP="00711916">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11916" w:rsidRDefault="00711916" w:rsidP="00711916">
      <w:pPr>
        <w:jc w:val="left"/>
      </w:pPr>
    </w:p>
    <w:p w:rsidR="00711916" w:rsidRDefault="00711916" w:rsidP="00711916">
      <w:pPr>
        <w:jc w:val="left"/>
      </w:pPr>
      <w:r>
        <w:t xml:space="preserve"> BY ORDER OF THE SECRETARY OF THE ARMY:</w:t>
      </w:r>
    </w:p>
    <w:p w:rsidR="00711916" w:rsidRDefault="00711916" w:rsidP="00711916">
      <w:pPr>
        <w:jc w:val="left"/>
      </w:pPr>
    </w:p>
    <w:p w:rsidR="00711916" w:rsidRDefault="00711916" w:rsidP="00711916">
      <w:pPr>
        <w:jc w:val="left"/>
      </w:pPr>
    </w:p>
    <w:p w:rsidR="00711916" w:rsidRDefault="00711916" w:rsidP="00711916">
      <w:pPr>
        <w:pStyle w:val="Header"/>
        <w:tabs>
          <w:tab w:val="left" w:pos="720"/>
        </w:tabs>
        <w:jc w:val="left"/>
      </w:pPr>
    </w:p>
    <w:p w:rsidR="00711916" w:rsidRDefault="00711916" w:rsidP="00711916">
      <w:pPr>
        <w:jc w:val="left"/>
      </w:pPr>
    </w:p>
    <w:p w:rsidR="00711916" w:rsidRDefault="00711916" w:rsidP="00711916">
      <w:pPr>
        <w:jc w:val="left"/>
      </w:pPr>
      <w:bookmarkStart w:id="0" w:name="OLE_LINK4"/>
      <w:bookmarkStart w:id="1" w:name="OLE_LINK3"/>
      <w:r>
        <w:t>Encl</w:t>
      </w:r>
      <w:r>
        <w:tab/>
      </w:r>
      <w:r>
        <w:tab/>
      </w:r>
      <w:r>
        <w:tab/>
      </w:r>
      <w:r>
        <w:tab/>
      </w:r>
      <w:r>
        <w:tab/>
      </w:r>
      <w:r>
        <w:tab/>
        <w:t xml:space="preserve">     XXXXXXXXXXX</w:t>
      </w:r>
    </w:p>
    <w:p w:rsidR="00711916" w:rsidRDefault="00711916" w:rsidP="00711916">
      <w:pPr>
        <w:jc w:val="left"/>
      </w:pPr>
      <w:r>
        <w:tab/>
      </w:r>
      <w:r>
        <w:tab/>
      </w:r>
      <w:r>
        <w:tab/>
      </w:r>
      <w:r>
        <w:tab/>
      </w:r>
      <w:r>
        <w:tab/>
      </w:r>
      <w:r>
        <w:tab/>
        <w:t xml:space="preserve">     Deputy Assistant Secretary</w:t>
      </w:r>
    </w:p>
    <w:p w:rsidR="00711916" w:rsidRDefault="00711916" w:rsidP="00711916">
      <w:pPr>
        <w:jc w:val="left"/>
      </w:pPr>
      <w:r>
        <w:tab/>
      </w:r>
      <w:r>
        <w:tab/>
      </w:r>
      <w:r>
        <w:tab/>
      </w:r>
      <w:r>
        <w:tab/>
      </w:r>
      <w:r>
        <w:tab/>
      </w:r>
      <w:r>
        <w:tab/>
        <w:t xml:space="preserve">         (Army Review Boards)</w:t>
      </w:r>
      <w:bookmarkEnd w:id="0"/>
      <w:bookmarkEnd w:id="1"/>
    </w:p>
    <w:p w:rsidR="00711916" w:rsidRDefault="00711916" w:rsidP="00711916">
      <w:pPr>
        <w:jc w:val="left"/>
      </w:pPr>
    </w:p>
    <w:p w:rsidR="00711916" w:rsidRDefault="00711916" w:rsidP="00711916">
      <w:pPr>
        <w:jc w:val="left"/>
      </w:pPr>
      <w:r>
        <w:t xml:space="preserve">CF: </w:t>
      </w:r>
    </w:p>
    <w:p w:rsidR="00711916" w:rsidRDefault="00711916" w:rsidP="00711916">
      <w:pPr>
        <w:jc w:val="left"/>
      </w:pPr>
      <w:r>
        <w:t xml:space="preserve">(  ) </w:t>
      </w:r>
      <w:proofErr w:type="gramStart"/>
      <w:r>
        <w:t>DoD</w:t>
      </w:r>
      <w:proofErr w:type="gramEnd"/>
      <w:r>
        <w:t xml:space="preserve"> PDBR</w:t>
      </w:r>
    </w:p>
    <w:p w:rsidR="00711916" w:rsidRDefault="00711916" w:rsidP="00711916">
      <w:pPr>
        <w:jc w:val="left"/>
      </w:pPr>
      <w:r>
        <w:t>(  ) DVA</w:t>
      </w:r>
    </w:p>
    <w:p w:rsidR="00AD2379" w:rsidRPr="001F29F9" w:rsidRDefault="00AD2379" w:rsidP="00711916">
      <w:pPr>
        <w:tabs>
          <w:tab w:val="left" w:pos="0"/>
          <w:tab w:val="left" w:pos="4320"/>
        </w:tabs>
        <w:jc w:val="left"/>
        <w:rPr>
          <w:color w:val="000000"/>
        </w:rPr>
      </w:pPr>
    </w:p>
    <w:sectPr w:rsidR="00AD2379" w:rsidRPr="001F29F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82" w:rsidRDefault="00357E82">
      <w:r>
        <w:separator/>
      </w:r>
    </w:p>
  </w:endnote>
  <w:endnote w:type="continuationSeparator" w:id="0">
    <w:p w:rsidR="00357E82" w:rsidRDefault="00357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fldSimple w:instr=" PAGE   \* MERGEFORMAT ">
      <w:r w:rsidR="00711916" w:rsidRPr="00711916">
        <w:rPr>
          <w:noProof/>
          <w:color w:val="auto"/>
        </w:rPr>
        <w:t>5</w:t>
      </w:r>
    </w:fldSimple>
    <w:r w:rsidRPr="00374247">
      <w:rPr>
        <w:color w:val="auto"/>
      </w:rPr>
      <w:t xml:space="preserve">                                                           </w:t>
    </w:r>
    <w:r w:rsidRPr="001D64F3">
      <w:rPr>
        <w:color w:val="auto"/>
      </w:rPr>
      <w:t>PD1</w:t>
    </w:r>
    <w:r w:rsidR="00B94FF7">
      <w:rPr>
        <w:color w:val="auto"/>
      </w:rPr>
      <w:t>100433</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82" w:rsidRDefault="00357E82">
      <w:r>
        <w:separator/>
      </w:r>
    </w:p>
  </w:footnote>
  <w:footnote w:type="continuationSeparator" w:id="0">
    <w:p w:rsidR="00357E82" w:rsidRDefault="00357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30776"/>
    <w:rsid w:val="00031F4D"/>
    <w:rsid w:val="00032DCE"/>
    <w:rsid w:val="00032E07"/>
    <w:rsid w:val="00033287"/>
    <w:rsid w:val="000332CA"/>
    <w:rsid w:val="0003374E"/>
    <w:rsid w:val="000344D8"/>
    <w:rsid w:val="000344E6"/>
    <w:rsid w:val="000355B3"/>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277"/>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5DBE"/>
    <w:rsid w:val="000D6457"/>
    <w:rsid w:val="000D7D55"/>
    <w:rsid w:val="000E0993"/>
    <w:rsid w:val="000E26A8"/>
    <w:rsid w:val="000E2E50"/>
    <w:rsid w:val="000E37E0"/>
    <w:rsid w:val="000E3F20"/>
    <w:rsid w:val="000E4C25"/>
    <w:rsid w:val="000E4CBF"/>
    <w:rsid w:val="000E5577"/>
    <w:rsid w:val="000E7034"/>
    <w:rsid w:val="000F02BE"/>
    <w:rsid w:val="000F0928"/>
    <w:rsid w:val="000F0B3D"/>
    <w:rsid w:val="000F1E65"/>
    <w:rsid w:val="000F2F2B"/>
    <w:rsid w:val="000F427B"/>
    <w:rsid w:val="000F4325"/>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37BC7"/>
    <w:rsid w:val="001403BC"/>
    <w:rsid w:val="00140FA4"/>
    <w:rsid w:val="00141BC9"/>
    <w:rsid w:val="001421FD"/>
    <w:rsid w:val="001425C8"/>
    <w:rsid w:val="00142EBA"/>
    <w:rsid w:val="00143AC7"/>
    <w:rsid w:val="00143B79"/>
    <w:rsid w:val="00145965"/>
    <w:rsid w:val="00147064"/>
    <w:rsid w:val="00150B8A"/>
    <w:rsid w:val="00150DCB"/>
    <w:rsid w:val="00151912"/>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0E7"/>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47616"/>
    <w:rsid w:val="0025183C"/>
    <w:rsid w:val="00252351"/>
    <w:rsid w:val="002528EC"/>
    <w:rsid w:val="00253C7B"/>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55D"/>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4547"/>
    <w:rsid w:val="003549F5"/>
    <w:rsid w:val="00355ACB"/>
    <w:rsid w:val="003567DE"/>
    <w:rsid w:val="003574F3"/>
    <w:rsid w:val="00357831"/>
    <w:rsid w:val="00357E82"/>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B28"/>
    <w:rsid w:val="003A27B2"/>
    <w:rsid w:val="003A40B4"/>
    <w:rsid w:val="003A41BA"/>
    <w:rsid w:val="003A5491"/>
    <w:rsid w:val="003A5958"/>
    <w:rsid w:val="003A5B7A"/>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95D"/>
    <w:rsid w:val="004101B2"/>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5B1"/>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3A2B"/>
    <w:rsid w:val="00484212"/>
    <w:rsid w:val="004848C3"/>
    <w:rsid w:val="00484BA9"/>
    <w:rsid w:val="0048599A"/>
    <w:rsid w:val="00486818"/>
    <w:rsid w:val="0049255F"/>
    <w:rsid w:val="0049445D"/>
    <w:rsid w:val="004948BB"/>
    <w:rsid w:val="00494D39"/>
    <w:rsid w:val="00495350"/>
    <w:rsid w:val="00495E3C"/>
    <w:rsid w:val="00496041"/>
    <w:rsid w:val="00497156"/>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1B3"/>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16FB0"/>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1BAF"/>
    <w:rsid w:val="00682486"/>
    <w:rsid w:val="006833A7"/>
    <w:rsid w:val="00684CE6"/>
    <w:rsid w:val="00684E2B"/>
    <w:rsid w:val="006857A0"/>
    <w:rsid w:val="006870CE"/>
    <w:rsid w:val="00687C7E"/>
    <w:rsid w:val="00687D3D"/>
    <w:rsid w:val="00690569"/>
    <w:rsid w:val="00690FDA"/>
    <w:rsid w:val="00691121"/>
    <w:rsid w:val="00691E61"/>
    <w:rsid w:val="00692180"/>
    <w:rsid w:val="006937C6"/>
    <w:rsid w:val="00693C5E"/>
    <w:rsid w:val="00693CEE"/>
    <w:rsid w:val="00694EEA"/>
    <w:rsid w:val="006955B4"/>
    <w:rsid w:val="00695DEF"/>
    <w:rsid w:val="00696476"/>
    <w:rsid w:val="0069687C"/>
    <w:rsid w:val="00696C74"/>
    <w:rsid w:val="00697C9B"/>
    <w:rsid w:val="006A10FA"/>
    <w:rsid w:val="006A12E0"/>
    <w:rsid w:val="006A3D6C"/>
    <w:rsid w:val="006A40E6"/>
    <w:rsid w:val="006A516B"/>
    <w:rsid w:val="006A5362"/>
    <w:rsid w:val="006A543A"/>
    <w:rsid w:val="006A5C07"/>
    <w:rsid w:val="006A75FA"/>
    <w:rsid w:val="006B07D5"/>
    <w:rsid w:val="006B1309"/>
    <w:rsid w:val="006B2DBA"/>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F0F9C"/>
    <w:rsid w:val="006F149D"/>
    <w:rsid w:val="006F1A46"/>
    <w:rsid w:val="006F45A0"/>
    <w:rsid w:val="006F4F06"/>
    <w:rsid w:val="006F5A4E"/>
    <w:rsid w:val="006F5D37"/>
    <w:rsid w:val="006F5E80"/>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16"/>
    <w:rsid w:val="00711961"/>
    <w:rsid w:val="00711CA6"/>
    <w:rsid w:val="007165CE"/>
    <w:rsid w:val="00717CEB"/>
    <w:rsid w:val="0072035D"/>
    <w:rsid w:val="00720968"/>
    <w:rsid w:val="0072138C"/>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62D"/>
    <w:rsid w:val="0073093B"/>
    <w:rsid w:val="0073254D"/>
    <w:rsid w:val="007340F3"/>
    <w:rsid w:val="007347BB"/>
    <w:rsid w:val="00735704"/>
    <w:rsid w:val="00736A49"/>
    <w:rsid w:val="00737050"/>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23D"/>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11B"/>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373"/>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685"/>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7C6"/>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196"/>
    <w:rsid w:val="00917182"/>
    <w:rsid w:val="00920251"/>
    <w:rsid w:val="00920259"/>
    <w:rsid w:val="00921CFD"/>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4E5B"/>
    <w:rsid w:val="0097514A"/>
    <w:rsid w:val="009759C2"/>
    <w:rsid w:val="00975C72"/>
    <w:rsid w:val="00975E7B"/>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E06"/>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88A"/>
    <w:rsid w:val="009D5DE9"/>
    <w:rsid w:val="009E09D0"/>
    <w:rsid w:val="009E1181"/>
    <w:rsid w:val="009E1283"/>
    <w:rsid w:val="009E3A7F"/>
    <w:rsid w:val="009E4C9B"/>
    <w:rsid w:val="009E4DFC"/>
    <w:rsid w:val="009E5789"/>
    <w:rsid w:val="009E57B1"/>
    <w:rsid w:val="009E6379"/>
    <w:rsid w:val="009F020F"/>
    <w:rsid w:val="009F0BA1"/>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524"/>
    <w:rsid w:val="00AB062D"/>
    <w:rsid w:val="00AB0A8A"/>
    <w:rsid w:val="00AB1754"/>
    <w:rsid w:val="00AB1F8D"/>
    <w:rsid w:val="00AB27DD"/>
    <w:rsid w:val="00AB4BA4"/>
    <w:rsid w:val="00AB592E"/>
    <w:rsid w:val="00AB5AF0"/>
    <w:rsid w:val="00AC0C1C"/>
    <w:rsid w:val="00AC1305"/>
    <w:rsid w:val="00AC37BE"/>
    <w:rsid w:val="00AC439D"/>
    <w:rsid w:val="00AC4BA1"/>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DAB"/>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4FF7"/>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789"/>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780"/>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DAC"/>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3B9"/>
    <w:rsid w:val="00D31683"/>
    <w:rsid w:val="00D33452"/>
    <w:rsid w:val="00D336C8"/>
    <w:rsid w:val="00D339E8"/>
    <w:rsid w:val="00D33FDD"/>
    <w:rsid w:val="00D3654A"/>
    <w:rsid w:val="00D3662E"/>
    <w:rsid w:val="00D366FF"/>
    <w:rsid w:val="00D373F1"/>
    <w:rsid w:val="00D37567"/>
    <w:rsid w:val="00D37D36"/>
    <w:rsid w:val="00D40B1F"/>
    <w:rsid w:val="00D40D75"/>
    <w:rsid w:val="00D42994"/>
    <w:rsid w:val="00D43978"/>
    <w:rsid w:val="00D43CBD"/>
    <w:rsid w:val="00D441F1"/>
    <w:rsid w:val="00D449F0"/>
    <w:rsid w:val="00D4502B"/>
    <w:rsid w:val="00D45319"/>
    <w:rsid w:val="00D462D7"/>
    <w:rsid w:val="00D46A33"/>
    <w:rsid w:val="00D5062C"/>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5768E"/>
    <w:rsid w:val="00D60483"/>
    <w:rsid w:val="00D61ABB"/>
    <w:rsid w:val="00D62D5C"/>
    <w:rsid w:val="00D6339A"/>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5E"/>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A7997"/>
    <w:rsid w:val="00DA7EE4"/>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A3C"/>
    <w:rsid w:val="00DC4FA4"/>
    <w:rsid w:val="00DC5028"/>
    <w:rsid w:val="00DC5B37"/>
    <w:rsid w:val="00DD286D"/>
    <w:rsid w:val="00DD2CAF"/>
    <w:rsid w:val="00DD3593"/>
    <w:rsid w:val="00DD462A"/>
    <w:rsid w:val="00DD64E0"/>
    <w:rsid w:val="00DD7018"/>
    <w:rsid w:val="00DD775C"/>
    <w:rsid w:val="00DD7BE0"/>
    <w:rsid w:val="00DE0C67"/>
    <w:rsid w:val="00DE2714"/>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5478"/>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4701"/>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5FCE"/>
    <w:rsid w:val="00FA6CA9"/>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000"/>
    <w:rsid w:val="00FD1D5A"/>
    <w:rsid w:val="00FD4B85"/>
    <w:rsid w:val="00FD5059"/>
    <w:rsid w:val="00FD554D"/>
    <w:rsid w:val="00FD5BCC"/>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7297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dcterms:created xsi:type="dcterms:W3CDTF">2012-05-23T21:11:00Z</dcterms:created>
  <dcterms:modified xsi:type="dcterms:W3CDTF">2012-06-05T15:43:00Z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