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Default="00F629C0" w:rsidP="005135BE">
      <w:pPr>
        <w:tabs>
          <w:tab w:val="left" w:pos="288"/>
          <w:tab w:val="left" w:pos="4752"/>
          <w:tab w:val="left" w:pos="639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5135BE">
        <w:rPr>
          <w:rFonts w:asciiTheme="minorHAnsi" w:hAnsiTheme="minorHAnsi"/>
          <w:caps/>
          <w:color w:val="auto"/>
        </w:rPr>
        <w:t xml:space="preserve"> </w:t>
      </w:r>
      <w:r w:rsidR="004216DA">
        <w:rPr>
          <w:rFonts w:asciiTheme="minorHAnsi" w:hAnsiTheme="minorHAnsi"/>
          <w:caps/>
          <w:color w:val="auto"/>
        </w:rPr>
        <w:t xml:space="preserve">     </w:t>
      </w:r>
      <w:r w:rsidR="00332DE3">
        <w:rPr>
          <w:rFonts w:asciiTheme="minorHAnsi" w:hAnsiTheme="minorHAnsi"/>
          <w:caps/>
          <w:color w:val="auto"/>
        </w:rPr>
        <w:t xml:space="preserve"> </w:t>
      </w:r>
      <w:r w:rsidR="004216DA">
        <w:rPr>
          <w:rFonts w:asciiTheme="minorHAnsi" w:hAnsiTheme="minorHAnsi"/>
          <w:caps/>
          <w:color w:val="auto"/>
        </w:rPr>
        <w:t xml:space="preserve">  </w:t>
      </w:r>
      <w:r w:rsidR="00A46494">
        <w:rPr>
          <w:rFonts w:asciiTheme="minorHAnsi" w:hAnsiTheme="minorHAnsi"/>
          <w:caps/>
          <w:color w:val="auto"/>
        </w:rPr>
        <w:t xml:space="preserve">                 </w:t>
      </w:r>
      <w:r w:rsidR="00420DFD">
        <w:rPr>
          <w:rFonts w:asciiTheme="minorHAnsi" w:hAnsiTheme="minorHAnsi"/>
          <w:caps/>
          <w:color w:val="auto"/>
        </w:rPr>
        <w:t xml:space="preserve">                  </w:t>
      </w:r>
      <w:r w:rsidR="00C35DBE">
        <w:rPr>
          <w:rFonts w:asciiTheme="minorHAnsi" w:hAnsiTheme="minorHAnsi"/>
          <w:caps/>
          <w:color w:val="auto"/>
        </w:rPr>
        <w:t xml:space="preserve"> </w:t>
      </w:r>
      <w:r w:rsidR="00420DFD">
        <w:rPr>
          <w:rFonts w:asciiTheme="minorHAnsi" w:hAnsiTheme="minorHAnsi"/>
          <w:caps/>
          <w:color w:val="auto"/>
        </w:rPr>
        <w:t xml:space="preserve">       </w:t>
      </w:r>
      <w:r w:rsidR="00C35DBE">
        <w:rPr>
          <w:rFonts w:asciiTheme="minorHAnsi" w:hAnsiTheme="minorHAnsi"/>
          <w:caps/>
          <w:color w:val="auto"/>
        </w:rPr>
        <w:t xml:space="preserve">  </w:t>
      </w:r>
      <w:r w:rsidR="00420DFD">
        <w:rPr>
          <w:rFonts w:asciiTheme="minorHAnsi" w:hAnsiTheme="minorHAnsi"/>
          <w:caps/>
          <w:color w:val="auto"/>
        </w:rPr>
        <w:t xml:space="preserve">     </w:t>
      </w:r>
      <w:r w:rsidR="00A46494">
        <w:rPr>
          <w:rFonts w:asciiTheme="minorHAnsi" w:hAnsiTheme="minorHAnsi"/>
          <w:caps/>
          <w:color w:val="auto"/>
        </w:rPr>
        <w:t xml:space="preserve"> </w:t>
      </w:r>
      <w:r w:rsidR="007E3389">
        <w:rPr>
          <w:rFonts w:asciiTheme="minorHAnsi" w:hAnsiTheme="minorHAnsi"/>
          <w:caps/>
          <w:color w:val="auto"/>
        </w:rPr>
        <w:t xml:space="preserve"> </w:t>
      </w:r>
      <w:r w:rsidR="00710420">
        <w:rPr>
          <w:rFonts w:asciiTheme="minorHAnsi" w:hAnsiTheme="minorHAnsi"/>
          <w:caps/>
          <w:color w:val="auto"/>
        </w:rPr>
        <w:t xml:space="preserve"> </w:t>
      </w:r>
      <w:r w:rsidR="00030699">
        <w:rPr>
          <w:rFonts w:asciiTheme="minorHAnsi" w:hAnsiTheme="minorHAnsi"/>
          <w:caps/>
          <w:color w:val="auto"/>
        </w:rPr>
        <w:t xml:space="preserve">  </w:t>
      </w:r>
      <w:r w:rsidR="005135BE">
        <w:rPr>
          <w:rFonts w:asciiTheme="minorHAnsi" w:hAnsiTheme="minorHAnsi"/>
          <w:caps/>
          <w:color w:val="auto"/>
        </w:rPr>
        <w:tab/>
      </w:r>
      <w:r w:rsidR="005135BE">
        <w:rPr>
          <w:rFonts w:asciiTheme="minorHAnsi" w:hAnsiTheme="minorHAnsi"/>
          <w:caps/>
          <w:color w:val="auto"/>
        </w:rPr>
        <w:tab/>
      </w:r>
      <w:r w:rsidRPr="00FD6C41">
        <w:rPr>
          <w:rFonts w:asciiTheme="minorHAnsi" w:hAnsiTheme="minorHAnsi"/>
          <w:caps/>
          <w:color w:val="auto"/>
        </w:rPr>
        <w:t>BRANCH OF SERVICE</w:t>
      </w:r>
      <w:r w:rsidRPr="00816CCB">
        <w:rPr>
          <w:rFonts w:asciiTheme="minorHAnsi" w:hAnsiTheme="minorHAnsi"/>
          <w:caps/>
          <w:color w:val="auto"/>
        </w:rPr>
        <w:t xml:space="preserve">: </w:t>
      </w:r>
      <w:r w:rsidR="00420DFD">
        <w:rPr>
          <w:rFonts w:asciiTheme="minorHAnsi" w:hAnsiTheme="minorHAnsi"/>
          <w:caps/>
          <w:color w:val="auto"/>
        </w:rPr>
        <w:t xml:space="preserve"> </w:t>
      </w:r>
      <w:r w:rsidR="007E3389">
        <w:rPr>
          <w:rFonts w:asciiTheme="minorHAnsi" w:hAnsiTheme="minorHAnsi"/>
          <w:caps/>
          <w:color w:val="auto"/>
        </w:rPr>
        <w:t>army</w:t>
      </w:r>
    </w:p>
    <w:p w:rsidR="00DE3AAD" w:rsidRPr="00710420"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w:t>
      </w:r>
      <w:r w:rsidR="00DE3AAD" w:rsidRPr="00710420">
        <w:rPr>
          <w:rFonts w:asciiTheme="minorHAnsi" w:hAnsiTheme="minorHAnsi"/>
          <w:caps/>
          <w:color w:val="auto"/>
        </w:rPr>
        <w:t>NUMBER:  PD1</w:t>
      </w:r>
      <w:r w:rsidR="007E3389" w:rsidRPr="00710420">
        <w:rPr>
          <w:rFonts w:asciiTheme="minorHAnsi" w:hAnsiTheme="minorHAnsi"/>
          <w:caps/>
          <w:color w:val="auto"/>
        </w:rPr>
        <w:t>100427</w:t>
      </w:r>
      <w:r w:rsidR="00DE3AAD" w:rsidRPr="00710420">
        <w:rPr>
          <w:rFonts w:asciiTheme="minorHAnsi" w:hAnsiTheme="minorHAnsi"/>
          <w:color w:val="auto"/>
        </w:rPr>
        <w:t xml:space="preserve"> </w:t>
      </w:r>
      <w:r w:rsidR="00DE3AAD" w:rsidRPr="00710420">
        <w:rPr>
          <w:rFonts w:asciiTheme="minorHAnsi" w:hAnsiTheme="minorHAnsi"/>
          <w:color w:val="auto"/>
        </w:rPr>
        <w:tab/>
        <w:t xml:space="preserve">         </w:t>
      </w:r>
      <w:r w:rsidR="00E0346A" w:rsidRPr="00710420">
        <w:rPr>
          <w:rFonts w:asciiTheme="minorHAnsi" w:hAnsiTheme="minorHAnsi"/>
          <w:color w:val="auto"/>
        </w:rPr>
        <w:t xml:space="preserve">                 </w:t>
      </w:r>
      <w:r w:rsidR="00420DFD" w:rsidRPr="00710420">
        <w:rPr>
          <w:rFonts w:asciiTheme="minorHAnsi" w:hAnsiTheme="minorHAnsi"/>
          <w:color w:val="auto"/>
        </w:rPr>
        <w:t xml:space="preserve"> </w:t>
      </w:r>
      <w:r w:rsidR="00710420">
        <w:rPr>
          <w:rFonts w:asciiTheme="minorHAnsi" w:hAnsiTheme="minorHAnsi"/>
          <w:color w:val="auto"/>
        </w:rPr>
        <w:t xml:space="preserve">   </w:t>
      </w:r>
      <w:r w:rsidR="00DE3AAD" w:rsidRPr="00710420">
        <w:rPr>
          <w:rFonts w:asciiTheme="minorHAnsi" w:hAnsiTheme="minorHAnsi"/>
          <w:color w:val="auto"/>
        </w:rPr>
        <w:t>SEPARATION</w:t>
      </w:r>
      <w:r w:rsidR="00710420">
        <w:rPr>
          <w:rFonts w:asciiTheme="minorHAnsi" w:hAnsiTheme="minorHAnsi"/>
          <w:color w:val="auto"/>
        </w:rPr>
        <w:t xml:space="preserve"> </w:t>
      </w:r>
      <w:r w:rsidR="00DE3AAD" w:rsidRPr="00710420">
        <w:rPr>
          <w:rFonts w:asciiTheme="minorHAnsi" w:hAnsiTheme="minorHAnsi"/>
          <w:color w:val="auto"/>
        </w:rPr>
        <w:t xml:space="preserve">DATE:  </w:t>
      </w:r>
      <w:r w:rsidR="007E3389" w:rsidRPr="00710420">
        <w:rPr>
          <w:rFonts w:asciiTheme="minorHAnsi" w:hAnsiTheme="minorHAnsi"/>
          <w:color w:val="auto"/>
        </w:rPr>
        <w:t>20021219</w:t>
      </w:r>
    </w:p>
    <w:p w:rsidR="00827B29" w:rsidRPr="00784EA0" w:rsidRDefault="00EB57F4" w:rsidP="00DC5C2E">
      <w:pPr>
        <w:tabs>
          <w:tab w:val="left" w:pos="288"/>
          <w:tab w:val="left" w:pos="3150"/>
        </w:tabs>
        <w:spacing w:line="240" w:lineRule="exact"/>
        <w:jc w:val="both"/>
        <w:rPr>
          <w:rFonts w:asciiTheme="minorHAnsi" w:hAnsiTheme="minorHAnsi"/>
          <w:caps/>
          <w:color w:val="auto"/>
        </w:rPr>
      </w:pPr>
      <w:r>
        <w:rPr>
          <w:rFonts w:asciiTheme="minorHAnsi" w:hAnsiTheme="minorHAnsi"/>
          <w:caps/>
          <w:color w:val="auto"/>
        </w:rPr>
        <w:t>BOARD DATE:  2012</w:t>
      </w:r>
      <w:r w:rsidR="007615D6">
        <w:rPr>
          <w:rFonts w:asciiTheme="minorHAnsi" w:hAnsiTheme="minorHAnsi"/>
          <w:caps/>
          <w:color w:val="auto"/>
        </w:rPr>
        <w:t>0216</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B0E80" w:rsidRPr="00AD7F8F" w:rsidRDefault="00FB0E80" w:rsidP="00FB0E80">
      <w:pPr>
        <w:tabs>
          <w:tab w:val="left" w:pos="288"/>
          <w:tab w:val="left" w:pos="4752"/>
        </w:tabs>
        <w:spacing w:line="240" w:lineRule="exact"/>
        <w:jc w:val="both"/>
        <w:rPr>
          <w:rFonts w:asciiTheme="minorHAnsi" w:hAnsiTheme="minorHAnsi"/>
          <w:color w:val="auto"/>
        </w:rPr>
      </w:pPr>
    </w:p>
    <w:p w:rsidR="00F63FC7" w:rsidRPr="005D01FC" w:rsidRDefault="00FB0E80" w:rsidP="00510F9C">
      <w:pPr>
        <w:tabs>
          <w:tab w:val="left" w:pos="288"/>
          <w:tab w:val="left" w:pos="4752"/>
        </w:tabs>
        <w:spacing w:line="240" w:lineRule="exact"/>
        <w:jc w:val="both"/>
        <w:rPr>
          <w:rFonts w:asciiTheme="minorHAnsi" w:hAnsiTheme="minorHAnsi"/>
          <w:color w:val="auto"/>
        </w:rPr>
      </w:pPr>
      <w:r w:rsidRPr="005D01FC">
        <w:rPr>
          <w:rFonts w:asciiTheme="minorHAnsi" w:hAnsiTheme="minorHAnsi"/>
          <w:color w:val="auto"/>
          <w:u w:val="single"/>
        </w:rPr>
        <w:t>SUMMARY OF CASE</w:t>
      </w:r>
      <w:r w:rsidRPr="005D01FC">
        <w:rPr>
          <w:rFonts w:asciiTheme="minorHAnsi" w:hAnsiTheme="minorHAnsi"/>
          <w:color w:val="auto"/>
        </w:rPr>
        <w:t xml:space="preserve">:  </w:t>
      </w:r>
      <w:r w:rsidR="009759C2" w:rsidRPr="005D01FC">
        <w:rPr>
          <w:rFonts w:asciiTheme="minorHAnsi" w:hAnsiTheme="minorHAnsi"/>
          <w:color w:val="auto"/>
        </w:rPr>
        <w:t>Data extracted from the available evidence of record reflects that this covered individual (CI)</w:t>
      </w:r>
      <w:r w:rsidR="00570754" w:rsidRPr="005D01FC">
        <w:rPr>
          <w:rFonts w:asciiTheme="minorHAnsi" w:hAnsiTheme="minorHAnsi"/>
          <w:color w:val="auto"/>
        </w:rPr>
        <w:t xml:space="preserve"> </w:t>
      </w:r>
      <w:r w:rsidR="002C6E5B" w:rsidRPr="005D01FC">
        <w:rPr>
          <w:rFonts w:asciiTheme="minorHAnsi" w:hAnsiTheme="minorHAnsi"/>
          <w:color w:val="auto"/>
          <w:szCs w:val="24"/>
        </w:rPr>
        <w:t xml:space="preserve">was </w:t>
      </w:r>
      <w:r w:rsidR="00E322F7" w:rsidRPr="005D01FC">
        <w:rPr>
          <w:rFonts w:asciiTheme="minorHAnsi" w:hAnsiTheme="minorHAnsi"/>
          <w:color w:val="auto"/>
          <w:szCs w:val="24"/>
        </w:rPr>
        <w:t>an active duty</w:t>
      </w:r>
      <w:r w:rsidR="00276D56" w:rsidRPr="005D01FC">
        <w:rPr>
          <w:rFonts w:asciiTheme="minorHAnsi" w:hAnsiTheme="minorHAnsi"/>
          <w:color w:val="auto"/>
          <w:szCs w:val="24"/>
        </w:rPr>
        <w:t xml:space="preserve"> </w:t>
      </w:r>
      <w:r w:rsidR="002E65E6" w:rsidRPr="005D01FC">
        <w:rPr>
          <w:rFonts w:asciiTheme="minorHAnsi" w:hAnsiTheme="minorHAnsi"/>
          <w:color w:val="auto"/>
          <w:szCs w:val="24"/>
        </w:rPr>
        <w:t>member,</w:t>
      </w:r>
      <w:r w:rsidR="006D4E0E" w:rsidRPr="005D01FC">
        <w:rPr>
          <w:rFonts w:asciiTheme="minorHAnsi" w:hAnsiTheme="minorHAnsi"/>
          <w:color w:val="auto"/>
          <w:szCs w:val="24"/>
        </w:rPr>
        <w:t xml:space="preserve"> </w:t>
      </w:r>
      <w:r w:rsidR="00276D56" w:rsidRPr="005D01FC">
        <w:rPr>
          <w:rFonts w:asciiTheme="minorHAnsi" w:hAnsiTheme="minorHAnsi"/>
          <w:color w:val="auto"/>
          <w:szCs w:val="24"/>
        </w:rPr>
        <w:t>SPC/E-4</w:t>
      </w:r>
      <w:r w:rsidR="00705C40" w:rsidRPr="005D01FC">
        <w:rPr>
          <w:rFonts w:asciiTheme="minorHAnsi" w:hAnsiTheme="minorHAnsi"/>
          <w:color w:val="auto"/>
          <w:szCs w:val="24"/>
        </w:rPr>
        <w:t xml:space="preserve"> (</w:t>
      </w:r>
      <w:r w:rsidR="00E322E5" w:rsidRPr="005D01FC">
        <w:rPr>
          <w:rFonts w:asciiTheme="minorHAnsi" w:hAnsiTheme="minorHAnsi"/>
          <w:color w:val="auto"/>
          <w:szCs w:val="24"/>
        </w:rPr>
        <w:t>76J</w:t>
      </w:r>
      <w:r w:rsidR="00DC5C2E" w:rsidRPr="005D01FC">
        <w:rPr>
          <w:rFonts w:asciiTheme="minorHAnsi" w:hAnsiTheme="minorHAnsi"/>
          <w:color w:val="auto"/>
          <w:szCs w:val="24"/>
        </w:rPr>
        <w:t xml:space="preserve">, </w:t>
      </w:r>
      <w:r w:rsidR="00E322E5" w:rsidRPr="005D01FC">
        <w:rPr>
          <w:rFonts w:asciiTheme="minorHAnsi" w:hAnsiTheme="minorHAnsi"/>
          <w:color w:val="auto"/>
          <w:szCs w:val="24"/>
        </w:rPr>
        <w:t>Medical Supply Technician</w:t>
      </w:r>
      <w:r w:rsidR="00E322F7" w:rsidRPr="005D01FC">
        <w:rPr>
          <w:rFonts w:asciiTheme="minorHAnsi" w:hAnsiTheme="minorHAnsi"/>
          <w:color w:val="auto"/>
          <w:szCs w:val="24"/>
        </w:rPr>
        <w:t>)</w:t>
      </w:r>
      <w:r w:rsidR="00C75F3D" w:rsidRPr="005D01FC">
        <w:rPr>
          <w:rFonts w:asciiTheme="minorHAnsi" w:hAnsiTheme="minorHAnsi"/>
          <w:color w:val="auto"/>
          <w:szCs w:val="24"/>
        </w:rPr>
        <w:t xml:space="preserve"> </w:t>
      </w:r>
      <w:r w:rsidR="002C6E5B" w:rsidRPr="005D01FC">
        <w:rPr>
          <w:rFonts w:asciiTheme="minorHAnsi" w:hAnsiTheme="minorHAnsi"/>
          <w:color w:val="auto"/>
          <w:szCs w:val="24"/>
        </w:rPr>
        <w:t>medically separated for</w:t>
      </w:r>
      <w:r w:rsidR="00276D56" w:rsidRPr="005D01FC">
        <w:rPr>
          <w:rFonts w:asciiTheme="minorHAnsi" w:hAnsiTheme="minorHAnsi"/>
          <w:color w:val="auto"/>
          <w:szCs w:val="24"/>
        </w:rPr>
        <w:t xml:space="preserve"> chronic back pain</w:t>
      </w:r>
      <w:r w:rsidR="00C75F3D" w:rsidRPr="005D01FC">
        <w:rPr>
          <w:rFonts w:asciiTheme="minorHAnsi" w:hAnsiTheme="minorHAnsi"/>
          <w:i/>
          <w:color w:val="auto"/>
          <w:szCs w:val="24"/>
        </w:rPr>
        <w:t>.</w:t>
      </w:r>
      <w:r w:rsidR="00E767C8" w:rsidRPr="005D01FC">
        <w:rPr>
          <w:rFonts w:asciiTheme="minorHAnsi" w:hAnsiTheme="minorHAnsi"/>
          <w:color w:val="auto"/>
          <w:szCs w:val="24"/>
        </w:rPr>
        <w:t xml:space="preserve">  </w:t>
      </w:r>
      <w:r w:rsidR="005D01FC" w:rsidRPr="005D01FC">
        <w:rPr>
          <w:rFonts w:asciiTheme="minorHAnsi" w:hAnsiTheme="minorHAnsi"/>
          <w:color w:val="auto"/>
          <w:szCs w:val="24"/>
        </w:rPr>
        <w:t>Her back p</w:t>
      </w:r>
      <w:r w:rsidR="00E767C8" w:rsidRPr="005D01FC">
        <w:rPr>
          <w:rFonts w:asciiTheme="minorHAnsi" w:hAnsiTheme="minorHAnsi"/>
          <w:color w:val="auto"/>
          <w:szCs w:val="24"/>
        </w:rPr>
        <w:t xml:space="preserve">ain began </w:t>
      </w:r>
      <w:r w:rsidR="001C3C59" w:rsidRPr="005D01FC">
        <w:rPr>
          <w:rFonts w:asciiTheme="minorHAnsi" w:hAnsiTheme="minorHAnsi"/>
          <w:color w:val="auto"/>
          <w:szCs w:val="24"/>
        </w:rPr>
        <w:t xml:space="preserve">in October 2000 </w:t>
      </w:r>
      <w:r w:rsidR="007615D6">
        <w:rPr>
          <w:rFonts w:asciiTheme="minorHAnsi" w:hAnsiTheme="minorHAnsi"/>
          <w:color w:val="auto"/>
          <w:szCs w:val="24"/>
        </w:rPr>
        <w:t>with lifting</w:t>
      </w:r>
      <w:r w:rsidR="00616FA7">
        <w:rPr>
          <w:rFonts w:asciiTheme="minorHAnsi" w:hAnsiTheme="minorHAnsi"/>
          <w:color w:val="auto"/>
          <w:szCs w:val="24"/>
        </w:rPr>
        <w:t>,</w:t>
      </w:r>
      <w:r w:rsidR="005D01FC" w:rsidRPr="005D01FC">
        <w:rPr>
          <w:rFonts w:asciiTheme="minorHAnsi" w:hAnsiTheme="minorHAnsi"/>
          <w:color w:val="auto"/>
          <w:szCs w:val="24"/>
        </w:rPr>
        <w:t xml:space="preserve"> and was exacerbated the following year when</w:t>
      </w:r>
      <w:r w:rsidR="001C3C59" w:rsidRPr="005D01FC">
        <w:rPr>
          <w:rFonts w:asciiTheme="minorHAnsi" w:hAnsiTheme="minorHAnsi"/>
          <w:color w:val="auto"/>
          <w:szCs w:val="24"/>
        </w:rPr>
        <w:t xml:space="preserve"> she was involved in a motor vehicle accident.  </w:t>
      </w:r>
      <w:r w:rsidR="002B32E9" w:rsidRPr="005D01FC">
        <w:rPr>
          <w:rFonts w:asciiTheme="minorHAnsi" w:hAnsiTheme="minorHAnsi"/>
          <w:color w:val="auto"/>
          <w:szCs w:val="24"/>
        </w:rPr>
        <w:t>She</w:t>
      </w:r>
      <w:r w:rsidR="00E322F7" w:rsidRPr="005D01FC">
        <w:rPr>
          <w:rFonts w:asciiTheme="minorHAnsi" w:hAnsiTheme="minorHAnsi"/>
          <w:color w:val="auto"/>
          <w:szCs w:val="24"/>
        </w:rPr>
        <w:t xml:space="preserve"> did not respond adequately </w:t>
      </w:r>
      <w:r w:rsidR="00C75F3D" w:rsidRPr="005D01FC">
        <w:rPr>
          <w:rFonts w:asciiTheme="minorHAnsi" w:hAnsiTheme="minorHAnsi"/>
          <w:color w:val="auto"/>
          <w:szCs w:val="24"/>
        </w:rPr>
        <w:t xml:space="preserve">to </w:t>
      </w:r>
      <w:r w:rsidR="007D2C15">
        <w:rPr>
          <w:rFonts w:asciiTheme="minorHAnsi" w:hAnsiTheme="minorHAnsi"/>
          <w:color w:val="auto"/>
          <w:szCs w:val="24"/>
        </w:rPr>
        <w:t xml:space="preserve">treatment </w:t>
      </w:r>
      <w:r w:rsidR="00C75F3D" w:rsidRPr="005D01FC">
        <w:rPr>
          <w:rFonts w:asciiTheme="minorHAnsi" w:hAnsiTheme="minorHAnsi"/>
          <w:color w:val="auto"/>
          <w:szCs w:val="24"/>
        </w:rPr>
        <w:t>to</w:t>
      </w:r>
      <w:r w:rsidR="00DC5C2E" w:rsidRPr="005D01FC">
        <w:rPr>
          <w:rFonts w:asciiTheme="minorHAnsi" w:hAnsiTheme="minorHAnsi"/>
          <w:color w:val="auto"/>
          <w:szCs w:val="24"/>
        </w:rPr>
        <w:t xml:space="preserve"> fully</w:t>
      </w:r>
      <w:r w:rsidR="00C75F3D" w:rsidRPr="005D01FC">
        <w:rPr>
          <w:rFonts w:asciiTheme="minorHAnsi" w:hAnsiTheme="minorHAnsi"/>
          <w:color w:val="auto"/>
          <w:szCs w:val="24"/>
        </w:rPr>
        <w:t xml:space="preserve"> </w:t>
      </w:r>
      <w:r w:rsidR="00E322F7" w:rsidRPr="005D01FC">
        <w:rPr>
          <w:rFonts w:asciiTheme="minorHAnsi" w:hAnsiTheme="minorHAnsi"/>
          <w:color w:val="auto"/>
          <w:szCs w:val="24"/>
        </w:rPr>
        <w:t xml:space="preserve">perform within </w:t>
      </w:r>
      <w:r w:rsidR="0044411E" w:rsidRPr="005D01FC">
        <w:rPr>
          <w:rFonts w:asciiTheme="minorHAnsi" w:hAnsiTheme="minorHAnsi"/>
          <w:color w:val="auto"/>
          <w:szCs w:val="24"/>
        </w:rPr>
        <w:t>her</w:t>
      </w:r>
      <w:r w:rsidR="00E322F7" w:rsidRPr="005D01FC">
        <w:rPr>
          <w:rFonts w:asciiTheme="minorHAnsi" w:hAnsiTheme="minorHAnsi"/>
          <w:color w:val="auto"/>
          <w:szCs w:val="24"/>
        </w:rPr>
        <w:t xml:space="preserve"> </w:t>
      </w:r>
      <w:r w:rsidR="00C35DBE">
        <w:rPr>
          <w:rFonts w:asciiTheme="minorHAnsi" w:hAnsiTheme="minorHAnsi"/>
          <w:color w:val="auto"/>
          <w:szCs w:val="24"/>
        </w:rPr>
        <w:t>M</w:t>
      </w:r>
      <w:r w:rsidR="009020ED" w:rsidRPr="005D01FC">
        <w:rPr>
          <w:rFonts w:asciiTheme="minorHAnsi" w:hAnsiTheme="minorHAnsi"/>
          <w:color w:val="auto"/>
          <w:szCs w:val="24"/>
        </w:rPr>
        <w:t xml:space="preserve">ilitary </w:t>
      </w:r>
      <w:r w:rsidR="00C35DBE">
        <w:rPr>
          <w:rFonts w:asciiTheme="minorHAnsi" w:hAnsiTheme="minorHAnsi"/>
          <w:color w:val="auto"/>
          <w:szCs w:val="24"/>
        </w:rPr>
        <w:t>O</w:t>
      </w:r>
      <w:r w:rsidR="00705C40" w:rsidRPr="005D01FC">
        <w:rPr>
          <w:rFonts w:asciiTheme="minorHAnsi" w:hAnsiTheme="minorHAnsi"/>
          <w:color w:val="auto"/>
          <w:szCs w:val="24"/>
        </w:rPr>
        <w:t xml:space="preserve">ccupational </w:t>
      </w:r>
      <w:r w:rsidR="00C35DBE">
        <w:rPr>
          <w:rFonts w:asciiTheme="minorHAnsi" w:hAnsiTheme="minorHAnsi"/>
          <w:color w:val="auto"/>
          <w:szCs w:val="24"/>
        </w:rPr>
        <w:t>S</w:t>
      </w:r>
      <w:r w:rsidR="003A40B4" w:rsidRPr="005D01FC">
        <w:rPr>
          <w:rFonts w:asciiTheme="minorHAnsi" w:hAnsiTheme="minorHAnsi"/>
          <w:color w:val="auto"/>
          <w:szCs w:val="24"/>
        </w:rPr>
        <w:t>pecialty</w:t>
      </w:r>
      <w:r w:rsidR="002752AE" w:rsidRPr="005D01FC">
        <w:rPr>
          <w:rFonts w:asciiTheme="minorHAnsi" w:hAnsiTheme="minorHAnsi"/>
          <w:color w:val="auto"/>
          <w:szCs w:val="24"/>
        </w:rPr>
        <w:t xml:space="preserve"> (MOS) or meet </w:t>
      </w:r>
      <w:r w:rsidR="0044411E" w:rsidRPr="005D01FC">
        <w:rPr>
          <w:rFonts w:asciiTheme="minorHAnsi" w:hAnsiTheme="minorHAnsi"/>
          <w:color w:val="auto"/>
          <w:szCs w:val="24"/>
        </w:rPr>
        <w:t xml:space="preserve">physical fitness </w:t>
      </w:r>
      <w:r w:rsidR="002752AE" w:rsidRPr="005D01FC">
        <w:rPr>
          <w:rFonts w:asciiTheme="minorHAnsi" w:hAnsiTheme="minorHAnsi"/>
          <w:color w:val="auto"/>
          <w:szCs w:val="24"/>
        </w:rPr>
        <w:t>standards</w:t>
      </w:r>
      <w:r w:rsidR="00555C66" w:rsidRPr="005D01FC">
        <w:rPr>
          <w:rFonts w:asciiTheme="minorHAnsi" w:hAnsiTheme="minorHAnsi"/>
          <w:color w:val="auto"/>
          <w:szCs w:val="24"/>
        </w:rPr>
        <w:t xml:space="preserve">.  </w:t>
      </w:r>
      <w:r w:rsidR="00276D56" w:rsidRPr="005D01FC">
        <w:rPr>
          <w:rFonts w:asciiTheme="minorHAnsi" w:hAnsiTheme="minorHAnsi"/>
          <w:color w:val="auto"/>
          <w:szCs w:val="24"/>
        </w:rPr>
        <w:t>Sh</w:t>
      </w:r>
      <w:r w:rsidR="00555C66" w:rsidRPr="005D01FC">
        <w:rPr>
          <w:rFonts w:asciiTheme="minorHAnsi" w:hAnsiTheme="minorHAnsi"/>
          <w:color w:val="auto"/>
          <w:szCs w:val="24"/>
        </w:rPr>
        <w:t>e was issued</w:t>
      </w:r>
      <w:r w:rsidR="00E322F7" w:rsidRPr="005D01FC">
        <w:rPr>
          <w:rFonts w:asciiTheme="minorHAnsi" w:hAnsiTheme="minorHAnsi"/>
          <w:color w:val="auto"/>
          <w:szCs w:val="24"/>
        </w:rPr>
        <w:t xml:space="preserve"> a permanent </w:t>
      </w:r>
      <w:r w:rsidR="007F771C" w:rsidRPr="005D01FC">
        <w:rPr>
          <w:rFonts w:asciiTheme="minorHAnsi" w:hAnsiTheme="minorHAnsi"/>
          <w:color w:val="auto"/>
          <w:szCs w:val="24"/>
        </w:rPr>
        <w:t>L3</w:t>
      </w:r>
      <w:r w:rsidR="0044411E" w:rsidRPr="005D01FC">
        <w:rPr>
          <w:rFonts w:asciiTheme="minorHAnsi" w:hAnsiTheme="minorHAnsi"/>
          <w:color w:val="auto"/>
          <w:szCs w:val="24"/>
        </w:rPr>
        <w:t xml:space="preserve"> </w:t>
      </w:r>
      <w:r w:rsidR="00E322F7" w:rsidRPr="005D01FC">
        <w:rPr>
          <w:rFonts w:asciiTheme="minorHAnsi" w:hAnsiTheme="minorHAnsi"/>
          <w:color w:val="auto"/>
          <w:szCs w:val="24"/>
        </w:rPr>
        <w:t xml:space="preserve">profile and </w:t>
      </w:r>
      <w:r w:rsidR="00E57C04">
        <w:rPr>
          <w:rFonts w:asciiTheme="minorHAnsi" w:hAnsiTheme="minorHAnsi"/>
          <w:color w:val="auto"/>
          <w:szCs w:val="24"/>
        </w:rPr>
        <w:t>referred for</w:t>
      </w:r>
      <w:r w:rsidR="00E322F7" w:rsidRPr="005D01FC">
        <w:rPr>
          <w:rFonts w:asciiTheme="minorHAnsi" w:hAnsiTheme="minorHAnsi"/>
          <w:color w:val="auto"/>
          <w:szCs w:val="24"/>
        </w:rPr>
        <w:t xml:space="preserve"> a </w:t>
      </w:r>
      <w:r w:rsidR="00705C40" w:rsidRPr="005D01FC">
        <w:rPr>
          <w:rFonts w:asciiTheme="minorHAnsi" w:hAnsiTheme="minorHAnsi"/>
          <w:color w:val="auto"/>
          <w:szCs w:val="24"/>
        </w:rPr>
        <w:t>Medical Evaluation Board (</w:t>
      </w:r>
      <w:r w:rsidR="00E322F7" w:rsidRPr="005D01FC">
        <w:rPr>
          <w:rFonts w:asciiTheme="minorHAnsi" w:hAnsiTheme="minorHAnsi"/>
          <w:color w:val="auto"/>
          <w:szCs w:val="24"/>
        </w:rPr>
        <w:t>MEB</w:t>
      </w:r>
      <w:r w:rsidR="00705C40" w:rsidRPr="005D01FC">
        <w:rPr>
          <w:rFonts w:asciiTheme="minorHAnsi" w:hAnsiTheme="minorHAnsi"/>
          <w:color w:val="auto"/>
          <w:szCs w:val="24"/>
        </w:rPr>
        <w:t>)</w:t>
      </w:r>
      <w:r w:rsidR="00E322F7" w:rsidRPr="005D01FC">
        <w:rPr>
          <w:rFonts w:asciiTheme="minorHAnsi" w:hAnsiTheme="minorHAnsi"/>
          <w:color w:val="auto"/>
          <w:szCs w:val="24"/>
        </w:rPr>
        <w:t>.</w:t>
      </w:r>
      <w:r w:rsidR="007F771C" w:rsidRPr="005D01FC">
        <w:rPr>
          <w:rFonts w:asciiTheme="minorHAnsi" w:hAnsiTheme="minorHAnsi"/>
          <w:color w:val="auto"/>
          <w:szCs w:val="24"/>
        </w:rPr>
        <w:t xml:space="preserve">  </w:t>
      </w:r>
      <w:r w:rsidR="00276D56" w:rsidRPr="005D01FC">
        <w:rPr>
          <w:rFonts w:asciiTheme="minorHAnsi" w:hAnsiTheme="minorHAnsi"/>
          <w:color w:val="auto"/>
          <w:szCs w:val="24"/>
        </w:rPr>
        <w:t>Chronic back pain</w:t>
      </w:r>
      <w:r w:rsidR="00710420" w:rsidRPr="005D01FC">
        <w:rPr>
          <w:rFonts w:asciiTheme="minorHAnsi" w:hAnsiTheme="minorHAnsi"/>
          <w:color w:val="auto"/>
          <w:szCs w:val="24"/>
        </w:rPr>
        <w:t xml:space="preserve"> and scoliosis were </w:t>
      </w:r>
      <w:r w:rsidR="000A33C8" w:rsidRPr="005D01FC">
        <w:rPr>
          <w:rFonts w:asciiTheme="minorHAnsi" w:hAnsiTheme="minorHAnsi"/>
          <w:color w:val="auto"/>
          <w:szCs w:val="24"/>
        </w:rPr>
        <w:t xml:space="preserve">forwarded to the Physical Evaluation Board (PEB) as </w:t>
      </w:r>
      <w:r w:rsidR="00E57C04">
        <w:rPr>
          <w:rFonts w:asciiTheme="minorHAnsi" w:hAnsiTheme="minorHAnsi"/>
          <w:color w:val="auto"/>
          <w:szCs w:val="24"/>
        </w:rPr>
        <w:t xml:space="preserve">separate </w:t>
      </w:r>
      <w:r w:rsidR="000A33C8" w:rsidRPr="005D01FC">
        <w:rPr>
          <w:rFonts w:asciiTheme="minorHAnsi" w:hAnsiTheme="minorHAnsi"/>
          <w:color w:val="auto"/>
          <w:szCs w:val="24"/>
        </w:rPr>
        <w:t xml:space="preserve">medically unacceptable </w:t>
      </w:r>
      <w:r w:rsidR="00E57C04">
        <w:rPr>
          <w:rFonts w:asciiTheme="minorHAnsi" w:hAnsiTheme="minorHAnsi"/>
          <w:color w:val="auto"/>
          <w:szCs w:val="24"/>
        </w:rPr>
        <w:t xml:space="preserve">conditions </w:t>
      </w:r>
      <w:r w:rsidR="000A33C8" w:rsidRPr="005D01FC">
        <w:rPr>
          <w:rFonts w:asciiTheme="minorHAnsi" w:hAnsiTheme="minorHAnsi"/>
          <w:color w:val="auto"/>
          <w:szCs w:val="24"/>
        </w:rPr>
        <w:t>IAW AR 40-501</w:t>
      </w:r>
      <w:r w:rsidR="00376E08" w:rsidRPr="005D01FC">
        <w:rPr>
          <w:rFonts w:asciiTheme="minorHAnsi" w:hAnsiTheme="minorHAnsi"/>
          <w:color w:val="auto"/>
          <w:szCs w:val="24"/>
        </w:rPr>
        <w:t>.</w:t>
      </w:r>
      <w:r w:rsidR="007F771C" w:rsidRPr="005D01FC">
        <w:rPr>
          <w:rFonts w:asciiTheme="minorHAnsi" w:hAnsiTheme="minorHAnsi"/>
          <w:color w:val="auto"/>
          <w:szCs w:val="24"/>
        </w:rPr>
        <w:t xml:space="preserve">  </w:t>
      </w:r>
      <w:r w:rsidR="00710420" w:rsidRPr="005D01FC">
        <w:rPr>
          <w:rFonts w:asciiTheme="minorHAnsi" w:hAnsiTheme="minorHAnsi"/>
          <w:color w:val="auto"/>
          <w:szCs w:val="24"/>
        </w:rPr>
        <w:t xml:space="preserve">No other conditions appeared on the MEB’s submission.  Other conditions included in the Disability Evaluation System (DES) file </w:t>
      </w:r>
      <w:r w:rsidR="007D2C15">
        <w:rPr>
          <w:rFonts w:asciiTheme="minorHAnsi" w:hAnsiTheme="minorHAnsi"/>
          <w:color w:val="auto"/>
          <w:szCs w:val="24"/>
        </w:rPr>
        <w:t>are addressed</w:t>
      </w:r>
      <w:r w:rsidR="00710420" w:rsidRPr="005D01FC">
        <w:rPr>
          <w:rFonts w:asciiTheme="minorHAnsi" w:hAnsiTheme="minorHAnsi"/>
          <w:color w:val="auto"/>
          <w:szCs w:val="24"/>
        </w:rPr>
        <w:t xml:space="preserve"> below</w:t>
      </w:r>
      <w:r w:rsidR="00DC0F1D" w:rsidRPr="005D01FC">
        <w:rPr>
          <w:rFonts w:asciiTheme="minorHAnsi" w:hAnsiTheme="minorHAnsi"/>
          <w:color w:val="auto"/>
          <w:szCs w:val="24"/>
        </w:rPr>
        <w:t>.</w:t>
      </w:r>
      <w:r w:rsidR="007F771C" w:rsidRPr="005D01FC">
        <w:rPr>
          <w:rFonts w:asciiTheme="minorHAnsi" w:hAnsiTheme="minorHAnsi"/>
          <w:color w:val="auto"/>
          <w:szCs w:val="24"/>
        </w:rPr>
        <w:t xml:space="preserve">  The PEB adjudicated chronic back pain as unfitting, rated 10%, </w:t>
      </w:r>
      <w:r w:rsidR="00E57C04">
        <w:rPr>
          <w:rFonts w:asciiTheme="minorHAnsi" w:hAnsiTheme="minorHAnsi"/>
          <w:color w:val="auto"/>
          <w:szCs w:val="24"/>
        </w:rPr>
        <w:t>citing criteria from</w:t>
      </w:r>
      <w:r w:rsidR="00DC5C2E" w:rsidRPr="005D01FC">
        <w:rPr>
          <w:rFonts w:asciiTheme="minorHAnsi" w:hAnsiTheme="minorHAnsi"/>
          <w:color w:val="auto"/>
          <w:szCs w:val="24"/>
        </w:rPr>
        <w:t xml:space="preserve"> the</w:t>
      </w:r>
      <w:r w:rsidR="007F771C" w:rsidRPr="005D01FC">
        <w:rPr>
          <w:rFonts w:asciiTheme="minorHAnsi" w:hAnsiTheme="minorHAnsi"/>
          <w:color w:val="auto"/>
          <w:szCs w:val="24"/>
        </w:rPr>
        <w:t xml:space="preserve"> Veterans Administration Schedule </w:t>
      </w:r>
      <w:r w:rsidR="00DC5C2E" w:rsidRPr="005D01FC">
        <w:rPr>
          <w:rFonts w:asciiTheme="minorHAnsi" w:hAnsiTheme="minorHAnsi"/>
          <w:color w:val="auto"/>
          <w:szCs w:val="24"/>
        </w:rPr>
        <w:t>for Rating Disabilities (VASRD)</w:t>
      </w:r>
      <w:r w:rsidR="007F771C" w:rsidRPr="005D01FC">
        <w:rPr>
          <w:rFonts w:asciiTheme="minorHAnsi" w:hAnsiTheme="minorHAnsi"/>
          <w:color w:val="auto"/>
          <w:szCs w:val="24"/>
        </w:rPr>
        <w:t xml:space="preserve">.  </w:t>
      </w:r>
      <w:r w:rsidR="00E57C04">
        <w:rPr>
          <w:rFonts w:asciiTheme="minorHAnsi" w:hAnsiTheme="minorHAnsi"/>
          <w:color w:val="auto"/>
          <w:szCs w:val="24"/>
        </w:rPr>
        <w:t xml:space="preserve">The submitted scoliosis condition was separately adjudicated as existing prior to service (EPTS) without permanent </w:t>
      </w:r>
      <w:r w:rsidR="00C35DBE">
        <w:rPr>
          <w:rFonts w:asciiTheme="minorHAnsi" w:hAnsiTheme="minorHAnsi"/>
          <w:color w:val="auto"/>
          <w:szCs w:val="24"/>
        </w:rPr>
        <w:t>s</w:t>
      </w:r>
      <w:r w:rsidR="00E57C04">
        <w:rPr>
          <w:rFonts w:asciiTheme="minorHAnsi" w:hAnsiTheme="minorHAnsi"/>
          <w:color w:val="auto"/>
          <w:szCs w:val="24"/>
        </w:rPr>
        <w:t>ervice aggravation</w:t>
      </w:r>
      <w:r w:rsidR="00F0530A">
        <w:rPr>
          <w:rFonts w:asciiTheme="minorHAnsi" w:hAnsiTheme="minorHAnsi"/>
          <w:color w:val="auto"/>
          <w:szCs w:val="24"/>
        </w:rPr>
        <w:t xml:space="preserve"> and therefore not ratable.  </w:t>
      </w:r>
      <w:r w:rsidR="00B20624" w:rsidRPr="005D01FC">
        <w:rPr>
          <w:rFonts w:asciiTheme="minorHAnsi" w:hAnsiTheme="minorHAnsi"/>
          <w:color w:val="auto"/>
        </w:rPr>
        <w:t xml:space="preserve">The CI </w:t>
      </w:r>
      <w:r w:rsidR="00190E48" w:rsidRPr="005D01FC">
        <w:rPr>
          <w:rFonts w:asciiTheme="minorHAnsi" w:hAnsiTheme="minorHAnsi"/>
          <w:color w:val="auto"/>
        </w:rPr>
        <w:t xml:space="preserve">made no appeals, </w:t>
      </w:r>
      <w:r w:rsidR="00B20624" w:rsidRPr="005D01FC">
        <w:rPr>
          <w:rFonts w:asciiTheme="minorHAnsi" w:hAnsiTheme="minorHAnsi"/>
          <w:color w:val="auto"/>
        </w:rPr>
        <w:t>and was medically separated with a</w:t>
      </w:r>
      <w:r w:rsidR="00F0530A">
        <w:rPr>
          <w:rFonts w:asciiTheme="minorHAnsi" w:hAnsiTheme="minorHAnsi"/>
          <w:color w:val="auto"/>
        </w:rPr>
        <w:t xml:space="preserve"> </w:t>
      </w:r>
      <w:r w:rsidR="00276D56" w:rsidRPr="005D01FC">
        <w:rPr>
          <w:rFonts w:asciiTheme="minorHAnsi" w:hAnsiTheme="minorHAnsi"/>
          <w:color w:val="auto"/>
        </w:rPr>
        <w:t>10</w:t>
      </w:r>
      <w:r w:rsidR="00B20624" w:rsidRPr="005D01FC">
        <w:rPr>
          <w:rFonts w:asciiTheme="minorHAnsi" w:hAnsiTheme="minorHAnsi"/>
          <w:color w:val="auto"/>
        </w:rPr>
        <w:t>% disability rating.</w:t>
      </w:r>
    </w:p>
    <w:p w:rsidR="008E0D8F" w:rsidRPr="005D01FC"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Pr="005D01FC" w:rsidRDefault="00DE598A" w:rsidP="00510F9C">
      <w:pPr>
        <w:tabs>
          <w:tab w:val="left" w:pos="288"/>
          <w:tab w:val="left" w:pos="4752"/>
        </w:tabs>
        <w:spacing w:line="240" w:lineRule="exact"/>
        <w:jc w:val="both"/>
        <w:rPr>
          <w:rFonts w:asciiTheme="minorHAnsi" w:hAnsiTheme="minorHAnsi"/>
          <w:color w:val="auto"/>
          <w:u w:val="single"/>
        </w:rPr>
      </w:pPr>
    </w:p>
    <w:p w:rsidR="007F771C" w:rsidRPr="00DC5C2E" w:rsidRDefault="002C6E5B" w:rsidP="007F771C">
      <w:pPr>
        <w:tabs>
          <w:tab w:val="left" w:pos="288"/>
          <w:tab w:val="left" w:pos="4752"/>
        </w:tabs>
        <w:spacing w:line="240" w:lineRule="exact"/>
        <w:jc w:val="both"/>
        <w:rPr>
          <w:rFonts w:asciiTheme="minorHAnsi" w:hAnsiTheme="minorHAnsi"/>
          <w:color w:val="auto"/>
        </w:rPr>
      </w:pPr>
      <w:r w:rsidRPr="005D01FC">
        <w:rPr>
          <w:rFonts w:asciiTheme="minorHAnsi" w:hAnsiTheme="minorHAnsi"/>
          <w:color w:val="auto"/>
          <w:u w:val="single"/>
        </w:rPr>
        <w:t>CI CONTENTION</w:t>
      </w:r>
      <w:r w:rsidRPr="005D01FC">
        <w:rPr>
          <w:rFonts w:asciiTheme="minorHAnsi" w:hAnsiTheme="minorHAnsi"/>
          <w:color w:val="auto"/>
        </w:rPr>
        <w:t>:</w:t>
      </w:r>
      <w:r w:rsidR="007E3389" w:rsidRPr="005D01FC">
        <w:rPr>
          <w:rFonts w:asciiTheme="minorHAnsi" w:hAnsiTheme="minorHAnsi"/>
          <w:color w:val="auto"/>
        </w:rPr>
        <w:t xml:space="preserve"> “Mechanical back pain more severe &amp; limiting than </w:t>
      </w:r>
      <w:r w:rsidR="00B86674" w:rsidRPr="005D01FC">
        <w:rPr>
          <w:rFonts w:asciiTheme="minorHAnsi" w:hAnsiTheme="minorHAnsi"/>
          <w:color w:val="auto"/>
        </w:rPr>
        <w:t>10</w:t>
      </w:r>
      <w:r w:rsidR="007E3389" w:rsidRPr="005D01FC">
        <w:rPr>
          <w:rFonts w:asciiTheme="minorHAnsi" w:hAnsiTheme="minorHAnsi"/>
          <w:color w:val="auto"/>
        </w:rPr>
        <w:t>% given</w:t>
      </w:r>
      <w:r w:rsidR="003C0482">
        <w:rPr>
          <w:rFonts w:asciiTheme="minorHAnsi" w:hAnsiTheme="minorHAnsi"/>
          <w:color w:val="auto"/>
        </w:rPr>
        <w:t>.</w:t>
      </w:r>
      <w:r w:rsidR="00B86674" w:rsidRPr="005D01FC">
        <w:rPr>
          <w:rFonts w:asciiTheme="minorHAnsi" w:hAnsiTheme="minorHAnsi"/>
          <w:color w:val="auto"/>
        </w:rPr>
        <w:t>”</w:t>
      </w:r>
      <w:r w:rsidR="00DC5C2E" w:rsidRPr="005D01FC">
        <w:rPr>
          <w:rFonts w:asciiTheme="minorHAnsi" w:hAnsiTheme="minorHAnsi"/>
          <w:color w:val="auto"/>
        </w:rPr>
        <w:t xml:space="preserve">  She elaborates no specific contentions regarding rating or coding and mentions no additionally contended conditions.</w:t>
      </w:r>
    </w:p>
    <w:p w:rsidR="003E1682" w:rsidRDefault="003E1682" w:rsidP="00510F9C">
      <w:pPr>
        <w:pBdr>
          <w:bottom w:val="single" w:sz="12" w:space="1" w:color="auto"/>
        </w:pBdr>
        <w:spacing w:line="240" w:lineRule="exact"/>
        <w:rPr>
          <w:rFonts w:asciiTheme="minorHAnsi" w:hAnsiTheme="minorHAnsi"/>
          <w:color w:val="auto"/>
          <w:u w:val="single"/>
        </w:rPr>
      </w:pPr>
    </w:p>
    <w:p w:rsidR="000F0928" w:rsidRDefault="000F0928" w:rsidP="00510F9C">
      <w:pPr>
        <w:spacing w:line="240" w:lineRule="exact"/>
        <w:rPr>
          <w:rFonts w:asciiTheme="minorHAnsi" w:hAnsiTheme="minorHAnsi"/>
          <w:color w:val="auto"/>
        </w:rPr>
      </w:pPr>
    </w:p>
    <w:p w:rsidR="007F771C" w:rsidRPr="007849DD" w:rsidRDefault="007F771C" w:rsidP="00510F9C">
      <w:pPr>
        <w:spacing w:line="240" w:lineRule="exact"/>
        <w:rPr>
          <w:rFonts w:asciiTheme="minorHAnsi" w:hAnsiTheme="minorHAnsi"/>
          <w:color w:val="auto"/>
        </w:rPr>
      </w:pPr>
      <w:r w:rsidRPr="007849DD">
        <w:rPr>
          <w:rFonts w:asciiTheme="minorHAnsi" w:hAnsiTheme="minorHAnsi"/>
          <w:color w:val="auto"/>
        </w:rPr>
        <w:t>RATING COMPARISON:</w:t>
      </w:r>
    </w:p>
    <w:p w:rsidR="007F771C" w:rsidRPr="007849DD" w:rsidRDefault="007F771C" w:rsidP="00510F9C">
      <w:pPr>
        <w:spacing w:line="240" w:lineRule="exact"/>
        <w:rPr>
          <w:rFonts w:asciiTheme="minorHAnsi" w:hAnsiTheme="minorHAnsi"/>
          <w:color w:val="auto"/>
        </w:rPr>
      </w:pPr>
    </w:p>
    <w:tbl>
      <w:tblPr>
        <w:tblStyle w:val="TableGrid"/>
        <w:tblW w:w="9396" w:type="dxa"/>
        <w:jc w:val="center"/>
        <w:tblInd w:w="396" w:type="dxa"/>
        <w:tblLayout w:type="fixed"/>
        <w:tblLook w:val="04A0"/>
      </w:tblPr>
      <w:tblGrid>
        <w:gridCol w:w="1799"/>
        <w:gridCol w:w="1062"/>
        <w:gridCol w:w="794"/>
        <w:gridCol w:w="3239"/>
        <w:gridCol w:w="720"/>
        <w:gridCol w:w="810"/>
        <w:gridCol w:w="972"/>
      </w:tblGrid>
      <w:tr w:rsidR="002B4E22" w:rsidRPr="007849DD" w:rsidTr="00EB57F4">
        <w:trPr>
          <w:trHeight w:val="233"/>
          <w:jc w:val="center"/>
        </w:trPr>
        <w:tc>
          <w:tcPr>
            <w:tcW w:w="3655" w:type="dxa"/>
            <w:gridSpan w:val="3"/>
            <w:tcBorders>
              <w:right w:val="thinThickThinSmallGap" w:sz="24" w:space="0" w:color="auto"/>
            </w:tcBorders>
            <w:shd w:val="clear" w:color="auto" w:fill="D9D9D9" w:themeFill="background1" w:themeFillShade="D9"/>
            <w:vAlign w:val="center"/>
          </w:tcPr>
          <w:p w:rsidR="002B4E22" w:rsidRPr="007849DD" w:rsidRDefault="00B731E4" w:rsidP="00E57C04">
            <w:pPr>
              <w:spacing w:line="240" w:lineRule="exact"/>
              <w:contextualSpacing/>
              <w:jc w:val="center"/>
              <w:rPr>
                <w:b/>
                <w:color w:val="auto"/>
                <w:sz w:val="20"/>
                <w:szCs w:val="20"/>
              </w:rPr>
            </w:pPr>
            <w:r w:rsidRPr="007849DD">
              <w:rPr>
                <w:b/>
                <w:color w:val="auto"/>
                <w:sz w:val="20"/>
                <w:szCs w:val="20"/>
              </w:rPr>
              <w:t xml:space="preserve">Service </w:t>
            </w:r>
            <w:r w:rsidR="00276D56" w:rsidRPr="007849DD">
              <w:rPr>
                <w:b/>
                <w:color w:val="auto"/>
                <w:sz w:val="20"/>
                <w:szCs w:val="20"/>
              </w:rPr>
              <w:t>I</w:t>
            </w:r>
            <w:r w:rsidRPr="007849DD">
              <w:rPr>
                <w:b/>
                <w:color w:val="auto"/>
                <w:sz w:val="20"/>
                <w:szCs w:val="20"/>
              </w:rPr>
              <w:t>PEB – Dated 200</w:t>
            </w:r>
            <w:r w:rsidR="007849DD" w:rsidRPr="007849DD">
              <w:rPr>
                <w:b/>
                <w:color w:val="auto"/>
                <w:sz w:val="20"/>
                <w:szCs w:val="20"/>
              </w:rPr>
              <w:t>2</w:t>
            </w:r>
            <w:r w:rsidR="00276D56" w:rsidRPr="007849DD">
              <w:rPr>
                <w:b/>
                <w:color w:val="auto"/>
                <w:sz w:val="20"/>
                <w:szCs w:val="20"/>
              </w:rPr>
              <w:t>0</w:t>
            </w:r>
            <w:r w:rsidR="00D070A3" w:rsidRPr="007849DD">
              <w:rPr>
                <w:b/>
                <w:color w:val="auto"/>
                <w:sz w:val="20"/>
                <w:szCs w:val="20"/>
              </w:rPr>
              <w:t>9</w:t>
            </w:r>
            <w:r w:rsidR="00276D56" w:rsidRPr="007849DD">
              <w:rPr>
                <w:b/>
                <w:color w:val="auto"/>
                <w:sz w:val="20"/>
                <w:szCs w:val="20"/>
              </w:rPr>
              <w:t>0</w:t>
            </w:r>
            <w:r w:rsidR="00D070A3" w:rsidRPr="007849DD">
              <w:rPr>
                <w:b/>
                <w:color w:val="auto"/>
                <w:sz w:val="20"/>
                <w:szCs w:val="20"/>
              </w:rPr>
              <w:t>4</w:t>
            </w:r>
          </w:p>
        </w:tc>
        <w:tc>
          <w:tcPr>
            <w:tcW w:w="5741" w:type="dxa"/>
            <w:gridSpan w:val="4"/>
            <w:tcBorders>
              <w:left w:val="thinThickThinSmallGap" w:sz="24" w:space="0" w:color="auto"/>
            </w:tcBorders>
            <w:shd w:val="clear" w:color="auto" w:fill="D9D9D9" w:themeFill="background1" w:themeFillShade="D9"/>
            <w:vAlign w:val="center"/>
          </w:tcPr>
          <w:p w:rsidR="002B4E22" w:rsidRPr="007849DD" w:rsidRDefault="002B4E22" w:rsidP="00E57C04">
            <w:pPr>
              <w:spacing w:line="240" w:lineRule="exact"/>
              <w:contextualSpacing/>
              <w:jc w:val="center"/>
              <w:rPr>
                <w:b/>
                <w:color w:val="auto"/>
                <w:sz w:val="20"/>
                <w:szCs w:val="20"/>
              </w:rPr>
            </w:pPr>
            <w:r w:rsidRPr="007849DD">
              <w:rPr>
                <w:b/>
                <w:color w:val="auto"/>
                <w:sz w:val="20"/>
                <w:szCs w:val="20"/>
              </w:rPr>
              <w:t>VA (</w:t>
            </w:r>
            <w:r w:rsidR="008C6F36" w:rsidRPr="007849DD">
              <w:rPr>
                <w:b/>
                <w:color w:val="auto"/>
                <w:sz w:val="20"/>
                <w:szCs w:val="20"/>
              </w:rPr>
              <w:t>13</w:t>
            </w:r>
            <w:r w:rsidR="0079154B" w:rsidRPr="007849DD">
              <w:rPr>
                <w:b/>
                <w:color w:val="auto"/>
                <w:sz w:val="20"/>
                <w:szCs w:val="20"/>
              </w:rPr>
              <w:t xml:space="preserve"> </w:t>
            </w:r>
            <w:r w:rsidRPr="007849DD">
              <w:rPr>
                <w:b/>
                <w:color w:val="auto"/>
                <w:sz w:val="20"/>
                <w:szCs w:val="20"/>
              </w:rPr>
              <w:t>Mo</w:t>
            </w:r>
            <w:r w:rsidR="00AA186B" w:rsidRPr="007849DD">
              <w:rPr>
                <w:b/>
                <w:color w:val="auto"/>
                <w:sz w:val="20"/>
                <w:szCs w:val="20"/>
              </w:rPr>
              <w:t xml:space="preserve">. </w:t>
            </w:r>
            <w:r w:rsidRPr="007849DD">
              <w:rPr>
                <w:b/>
                <w:color w:val="auto"/>
                <w:sz w:val="20"/>
                <w:szCs w:val="20"/>
              </w:rPr>
              <w:t xml:space="preserve">After Separation) – All Effective </w:t>
            </w:r>
            <w:r w:rsidR="002D08F3" w:rsidRPr="007849DD">
              <w:rPr>
                <w:b/>
                <w:color w:val="auto"/>
                <w:sz w:val="20"/>
                <w:szCs w:val="20"/>
              </w:rPr>
              <w:t>200</w:t>
            </w:r>
            <w:r w:rsidR="00E322E5" w:rsidRPr="007849DD">
              <w:rPr>
                <w:b/>
                <w:color w:val="auto"/>
                <w:sz w:val="20"/>
                <w:szCs w:val="20"/>
              </w:rPr>
              <w:t>2</w:t>
            </w:r>
            <w:r w:rsidR="008C6F36" w:rsidRPr="007849DD">
              <w:rPr>
                <w:b/>
                <w:color w:val="auto"/>
                <w:sz w:val="20"/>
                <w:szCs w:val="20"/>
              </w:rPr>
              <w:t>1</w:t>
            </w:r>
            <w:r w:rsidR="00E322E5" w:rsidRPr="007849DD">
              <w:rPr>
                <w:b/>
                <w:color w:val="auto"/>
                <w:sz w:val="20"/>
                <w:szCs w:val="20"/>
              </w:rPr>
              <w:t>2</w:t>
            </w:r>
            <w:r w:rsidR="008C6F36" w:rsidRPr="007849DD">
              <w:rPr>
                <w:b/>
                <w:color w:val="auto"/>
                <w:sz w:val="20"/>
                <w:szCs w:val="20"/>
              </w:rPr>
              <w:t>20</w:t>
            </w:r>
          </w:p>
        </w:tc>
      </w:tr>
      <w:tr w:rsidR="002B4E22" w:rsidRPr="007849DD" w:rsidTr="00EB57F4">
        <w:trPr>
          <w:trHeight w:val="170"/>
          <w:jc w:val="center"/>
        </w:trPr>
        <w:tc>
          <w:tcPr>
            <w:tcW w:w="1799" w:type="dxa"/>
            <w:tcBorders>
              <w:bottom w:val="single" w:sz="4" w:space="0" w:color="000000" w:themeColor="text1"/>
              <w:right w:val="single" w:sz="4" w:space="0" w:color="auto"/>
            </w:tcBorders>
            <w:shd w:val="clear" w:color="auto" w:fill="D9D9D9" w:themeFill="background1" w:themeFillShade="D9"/>
            <w:vAlign w:val="center"/>
          </w:tcPr>
          <w:p w:rsidR="002B4E22" w:rsidRPr="007849DD" w:rsidRDefault="002B4E22" w:rsidP="00E57C04">
            <w:pPr>
              <w:spacing w:line="220" w:lineRule="exact"/>
              <w:contextualSpacing/>
              <w:jc w:val="center"/>
              <w:rPr>
                <w:b/>
                <w:color w:val="auto"/>
                <w:sz w:val="20"/>
                <w:szCs w:val="20"/>
              </w:rPr>
            </w:pPr>
            <w:r w:rsidRPr="007849DD">
              <w:rPr>
                <w:b/>
                <w:color w:val="auto"/>
                <w:sz w:val="20"/>
                <w:szCs w:val="20"/>
              </w:rPr>
              <w:t>Condition</w:t>
            </w:r>
          </w:p>
        </w:tc>
        <w:tc>
          <w:tcPr>
            <w:tcW w:w="1062" w:type="dxa"/>
            <w:tcBorders>
              <w:left w:val="single" w:sz="4" w:space="0" w:color="auto"/>
              <w:bottom w:val="single" w:sz="4" w:space="0" w:color="000000" w:themeColor="text1"/>
              <w:right w:val="single" w:sz="4" w:space="0" w:color="auto"/>
            </w:tcBorders>
            <w:shd w:val="clear" w:color="auto" w:fill="D9D9D9" w:themeFill="background1" w:themeFillShade="D9"/>
            <w:vAlign w:val="center"/>
          </w:tcPr>
          <w:p w:rsidR="002B4E22" w:rsidRPr="007849DD" w:rsidRDefault="002B4E22" w:rsidP="00E57C04">
            <w:pPr>
              <w:spacing w:line="220" w:lineRule="exact"/>
              <w:contextualSpacing/>
              <w:jc w:val="center"/>
              <w:rPr>
                <w:b/>
                <w:color w:val="auto"/>
                <w:sz w:val="20"/>
                <w:szCs w:val="20"/>
              </w:rPr>
            </w:pPr>
            <w:r w:rsidRPr="007849DD">
              <w:rPr>
                <w:b/>
                <w:color w:val="auto"/>
                <w:sz w:val="20"/>
                <w:szCs w:val="20"/>
              </w:rPr>
              <w:t>Code</w:t>
            </w:r>
          </w:p>
        </w:tc>
        <w:tc>
          <w:tcPr>
            <w:tcW w:w="794" w:type="dxa"/>
            <w:tcBorders>
              <w:left w:val="single" w:sz="4" w:space="0" w:color="auto"/>
              <w:bottom w:val="single" w:sz="4" w:space="0" w:color="000000" w:themeColor="text1"/>
              <w:right w:val="thinThickThinSmallGap" w:sz="24" w:space="0" w:color="auto"/>
            </w:tcBorders>
            <w:shd w:val="clear" w:color="auto" w:fill="D9D9D9" w:themeFill="background1" w:themeFillShade="D9"/>
            <w:vAlign w:val="center"/>
          </w:tcPr>
          <w:p w:rsidR="002B4E22" w:rsidRPr="007849DD" w:rsidRDefault="002B4E22" w:rsidP="00E57C04">
            <w:pPr>
              <w:spacing w:line="220" w:lineRule="exact"/>
              <w:contextualSpacing/>
              <w:jc w:val="center"/>
              <w:rPr>
                <w:b/>
                <w:color w:val="auto"/>
                <w:sz w:val="20"/>
                <w:szCs w:val="20"/>
              </w:rPr>
            </w:pPr>
            <w:r w:rsidRPr="007849DD">
              <w:rPr>
                <w:b/>
                <w:color w:val="auto"/>
                <w:sz w:val="20"/>
                <w:szCs w:val="20"/>
              </w:rPr>
              <w:t>Rating</w:t>
            </w:r>
          </w:p>
        </w:tc>
        <w:tc>
          <w:tcPr>
            <w:tcW w:w="3239"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7849DD" w:rsidRDefault="002B4E22" w:rsidP="00E57C04">
            <w:pPr>
              <w:spacing w:line="220" w:lineRule="exact"/>
              <w:contextualSpacing/>
              <w:jc w:val="center"/>
              <w:rPr>
                <w:b/>
                <w:color w:val="auto"/>
                <w:sz w:val="20"/>
                <w:szCs w:val="20"/>
              </w:rPr>
            </w:pPr>
            <w:r w:rsidRPr="007849DD">
              <w:rPr>
                <w:b/>
                <w:color w:val="auto"/>
                <w:sz w:val="20"/>
                <w:szCs w:val="20"/>
              </w:rPr>
              <w:t>Condition</w:t>
            </w:r>
          </w:p>
        </w:tc>
        <w:tc>
          <w:tcPr>
            <w:tcW w:w="720" w:type="dxa"/>
            <w:tcBorders>
              <w:bottom w:val="single" w:sz="4" w:space="0" w:color="000000" w:themeColor="text1"/>
            </w:tcBorders>
            <w:shd w:val="clear" w:color="auto" w:fill="D9D9D9" w:themeFill="background1" w:themeFillShade="D9"/>
            <w:vAlign w:val="center"/>
          </w:tcPr>
          <w:p w:rsidR="002B4E22" w:rsidRPr="007849DD" w:rsidRDefault="002B4E22" w:rsidP="00E57C04">
            <w:pPr>
              <w:spacing w:line="220" w:lineRule="exact"/>
              <w:contextualSpacing/>
              <w:jc w:val="center"/>
              <w:rPr>
                <w:b/>
                <w:color w:val="auto"/>
                <w:sz w:val="20"/>
                <w:szCs w:val="20"/>
              </w:rPr>
            </w:pPr>
            <w:r w:rsidRPr="007849DD">
              <w:rPr>
                <w:b/>
                <w:color w:val="auto"/>
                <w:sz w:val="20"/>
                <w:szCs w:val="20"/>
              </w:rPr>
              <w:t>Code</w:t>
            </w:r>
          </w:p>
        </w:tc>
        <w:tc>
          <w:tcPr>
            <w:tcW w:w="810" w:type="dxa"/>
            <w:tcBorders>
              <w:bottom w:val="single" w:sz="4" w:space="0" w:color="000000" w:themeColor="text1"/>
            </w:tcBorders>
            <w:shd w:val="clear" w:color="auto" w:fill="D9D9D9" w:themeFill="background1" w:themeFillShade="D9"/>
            <w:vAlign w:val="center"/>
          </w:tcPr>
          <w:p w:rsidR="002B4E22" w:rsidRPr="007849DD" w:rsidRDefault="002B4E22" w:rsidP="00E57C04">
            <w:pPr>
              <w:spacing w:line="220" w:lineRule="exact"/>
              <w:contextualSpacing/>
              <w:jc w:val="center"/>
              <w:rPr>
                <w:b/>
                <w:color w:val="auto"/>
                <w:sz w:val="20"/>
                <w:szCs w:val="20"/>
              </w:rPr>
            </w:pPr>
            <w:r w:rsidRPr="007849DD">
              <w:rPr>
                <w:b/>
                <w:color w:val="auto"/>
                <w:sz w:val="20"/>
                <w:szCs w:val="20"/>
              </w:rPr>
              <w:t>Rating</w:t>
            </w:r>
          </w:p>
        </w:tc>
        <w:tc>
          <w:tcPr>
            <w:tcW w:w="972" w:type="dxa"/>
            <w:tcBorders>
              <w:bottom w:val="single" w:sz="4" w:space="0" w:color="000000" w:themeColor="text1"/>
            </w:tcBorders>
            <w:shd w:val="clear" w:color="auto" w:fill="D9D9D9" w:themeFill="background1" w:themeFillShade="D9"/>
            <w:vAlign w:val="center"/>
          </w:tcPr>
          <w:p w:rsidR="002B4E22" w:rsidRPr="007849DD" w:rsidRDefault="002B4E22" w:rsidP="00E57C04">
            <w:pPr>
              <w:spacing w:line="220" w:lineRule="exact"/>
              <w:contextualSpacing/>
              <w:jc w:val="center"/>
              <w:rPr>
                <w:b/>
                <w:color w:val="auto"/>
                <w:sz w:val="20"/>
                <w:szCs w:val="20"/>
              </w:rPr>
            </w:pPr>
            <w:r w:rsidRPr="007849DD">
              <w:rPr>
                <w:b/>
                <w:color w:val="auto"/>
                <w:sz w:val="20"/>
                <w:szCs w:val="20"/>
              </w:rPr>
              <w:t>Exam</w:t>
            </w:r>
          </w:p>
        </w:tc>
      </w:tr>
      <w:tr w:rsidR="008C6F36" w:rsidRPr="007849DD" w:rsidTr="00EB57F4">
        <w:trPr>
          <w:trHeight w:val="206"/>
          <w:jc w:val="center"/>
        </w:trPr>
        <w:tc>
          <w:tcPr>
            <w:tcW w:w="1799" w:type="dxa"/>
            <w:tcBorders>
              <w:right w:val="single" w:sz="4" w:space="0" w:color="auto"/>
            </w:tcBorders>
            <w:shd w:val="clear" w:color="auto" w:fill="FFFFFF" w:themeFill="background1"/>
            <w:vAlign w:val="center"/>
          </w:tcPr>
          <w:p w:rsidR="008C6F36" w:rsidRPr="007849DD" w:rsidRDefault="008C6F36" w:rsidP="00E57C04">
            <w:pPr>
              <w:spacing w:line="220" w:lineRule="exact"/>
              <w:contextualSpacing/>
              <w:rPr>
                <w:color w:val="auto"/>
                <w:sz w:val="18"/>
                <w:szCs w:val="18"/>
              </w:rPr>
            </w:pPr>
            <w:r w:rsidRPr="007849DD">
              <w:rPr>
                <w:color w:val="auto"/>
                <w:sz w:val="18"/>
                <w:szCs w:val="18"/>
              </w:rPr>
              <w:t>Chronic Back Pain</w:t>
            </w:r>
          </w:p>
        </w:tc>
        <w:tc>
          <w:tcPr>
            <w:tcW w:w="1062" w:type="dxa"/>
            <w:tcBorders>
              <w:left w:val="single" w:sz="4" w:space="0" w:color="auto"/>
              <w:bottom w:val="single" w:sz="4" w:space="0" w:color="000000" w:themeColor="text1"/>
              <w:right w:val="single" w:sz="4" w:space="0" w:color="auto"/>
            </w:tcBorders>
            <w:shd w:val="clear" w:color="auto" w:fill="FFFFFF" w:themeFill="background1"/>
            <w:vAlign w:val="center"/>
          </w:tcPr>
          <w:p w:rsidR="008C6F36" w:rsidRPr="007849DD" w:rsidRDefault="008C6F36" w:rsidP="00E57C04">
            <w:pPr>
              <w:spacing w:line="220" w:lineRule="exact"/>
              <w:contextualSpacing/>
              <w:jc w:val="center"/>
              <w:rPr>
                <w:color w:val="auto"/>
                <w:sz w:val="18"/>
                <w:szCs w:val="18"/>
              </w:rPr>
            </w:pPr>
            <w:r w:rsidRPr="007849DD">
              <w:rPr>
                <w:color w:val="auto"/>
                <w:sz w:val="18"/>
                <w:szCs w:val="18"/>
              </w:rPr>
              <w:t>5295</w:t>
            </w:r>
          </w:p>
        </w:tc>
        <w:tc>
          <w:tcPr>
            <w:tcW w:w="794" w:type="dxa"/>
            <w:tcBorders>
              <w:left w:val="single" w:sz="4" w:space="0" w:color="auto"/>
              <w:bottom w:val="single" w:sz="4" w:space="0" w:color="000000" w:themeColor="text1"/>
              <w:right w:val="thinThickThinSmallGap" w:sz="24" w:space="0" w:color="auto"/>
            </w:tcBorders>
            <w:shd w:val="clear" w:color="auto" w:fill="FFFFFF" w:themeFill="background1"/>
            <w:vAlign w:val="center"/>
          </w:tcPr>
          <w:p w:rsidR="008C6F36" w:rsidRPr="007849DD" w:rsidRDefault="008C6F36" w:rsidP="00E57C04">
            <w:pPr>
              <w:spacing w:line="220" w:lineRule="exact"/>
              <w:contextualSpacing/>
              <w:jc w:val="center"/>
              <w:rPr>
                <w:color w:val="auto"/>
                <w:sz w:val="18"/>
                <w:szCs w:val="18"/>
              </w:rPr>
            </w:pPr>
            <w:r w:rsidRPr="007849DD">
              <w:rPr>
                <w:color w:val="auto"/>
                <w:sz w:val="18"/>
                <w:szCs w:val="18"/>
              </w:rPr>
              <w:t>10%</w:t>
            </w:r>
          </w:p>
        </w:tc>
        <w:tc>
          <w:tcPr>
            <w:tcW w:w="3239" w:type="dxa"/>
            <w:vMerge w:val="restart"/>
            <w:tcBorders>
              <w:left w:val="thinThickThinSmallGap" w:sz="24" w:space="0" w:color="auto"/>
            </w:tcBorders>
            <w:shd w:val="clear" w:color="auto" w:fill="FFFFFF" w:themeFill="background1"/>
            <w:vAlign w:val="center"/>
          </w:tcPr>
          <w:p w:rsidR="008C6F36" w:rsidRPr="007849DD" w:rsidRDefault="008C6F36" w:rsidP="00E57C04">
            <w:pPr>
              <w:spacing w:line="220" w:lineRule="exact"/>
              <w:contextualSpacing/>
              <w:rPr>
                <w:color w:val="auto"/>
                <w:sz w:val="18"/>
                <w:szCs w:val="18"/>
              </w:rPr>
            </w:pPr>
            <w:r w:rsidRPr="007849DD">
              <w:rPr>
                <w:color w:val="auto"/>
                <w:sz w:val="18"/>
                <w:szCs w:val="18"/>
              </w:rPr>
              <w:t>Mechanical Low Back Pain with Scoliosis</w:t>
            </w:r>
          </w:p>
        </w:tc>
        <w:tc>
          <w:tcPr>
            <w:tcW w:w="720" w:type="dxa"/>
            <w:vMerge w:val="restart"/>
            <w:shd w:val="clear" w:color="auto" w:fill="FFFFFF" w:themeFill="background1"/>
            <w:vAlign w:val="center"/>
          </w:tcPr>
          <w:p w:rsidR="008C6F36" w:rsidRPr="007849DD" w:rsidRDefault="008C6F36" w:rsidP="00E57C04">
            <w:pPr>
              <w:spacing w:line="220" w:lineRule="exact"/>
              <w:contextualSpacing/>
              <w:jc w:val="center"/>
              <w:rPr>
                <w:color w:val="auto"/>
                <w:sz w:val="18"/>
                <w:szCs w:val="18"/>
              </w:rPr>
            </w:pPr>
            <w:r w:rsidRPr="007849DD">
              <w:rPr>
                <w:color w:val="auto"/>
                <w:sz w:val="18"/>
                <w:szCs w:val="18"/>
              </w:rPr>
              <w:t>5010</w:t>
            </w:r>
          </w:p>
        </w:tc>
        <w:tc>
          <w:tcPr>
            <w:tcW w:w="810" w:type="dxa"/>
            <w:vMerge w:val="restart"/>
            <w:shd w:val="clear" w:color="auto" w:fill="FFFFFF" w:themeFill="background1"/>
            <w:vAlign w:val="center"/>
          </w:tcPr>
          <w:p w:rsidR="008C6F36" w:rsidRPr="007849DD" w:rsidRDefault="008C6F36" w:rsidP="00E57C04">
            <w:pPr>
              <w:spacing w:line="220" w:lineRule="exact"/>
              <w:contextualSpacing/>
              <w:jc w:val="center"/>
              <w:rPr>
                <w:color w:val="auto"/>
                <w:sz w:val="18"/>
                <w:szCs w:val="18"/>
              </w:rPr>
            </w:pPr>
            <w:r w:rsidRPr="007849DD">
              <w:rPr>
                <w:color w:val="auto"/>
                <w:sz w:val="18"/>
                <w:szCs w:val="18"/>
              </w:rPr>
              <w:t>10%</w:t>
            </w:r>
          </w:p>
        </w:tc>
        <w:tc>
          <w:tcPr>
            <w:tcW w:w="972" w:type="dxa"/>
            <w:vMerge w:val="restart"/>
            <w:shd w:val="clear" w:color="auto" w:fill="FFFFFF" w:themeFill="background1"/>
            <w:vAlign w:val="center"/>
          </w:tcPr>
          <w:p w:rsidR="008C6F36" w:rsidRPr="007849DD" w:rsidRDefault="008C6F36" w:rsidP="00E57C04">
            <w:pPr>
              <w:spacing w:line="220" w:lineRule="exact"/>
              <w:contextualSpacing/>
              <w:jc w:val="center"/>
              <w:rPr>
                <w:color w:val="auto"/>
                <w:sz w:val="18"/>
                <w:szCs w:val="18"/>
              </w:rPr>
            </w:pPr>
            <w:r w:rsidRPr="007849DD">
              <w:rPr>
                <w:color w:val="auto"/>
                <w:sz w:val="18"/>
                <w:szCs w:val="18"/>
              </w:rPr>
              <w:t>20040120</w:t>
            </w:r>
          </w:p>
        </w:tc>
      </w:tr>
      <w:tr w:rsidR="008C6F36" w:rsidRPr="007849DD" w:rsidTr="00EB57F4">
        <w:trPr>
          <w:trHeight w:val="180"/>
          <w:jc w:val="center"/>
        </w:trPr>
        <w:tc>
          <w:tcPr>
            <w:tcW w:w="1799" w:type="dxa"/>
            <w:tcBorders>
              <w:right w:val="single" w:sz="4" w:space="0" w:color="auto"/>
            </w:tcBorders>
            <w:shd w:val="clear" w:color="auto" w:fill="FFFFFF" w:themeFill="background1"/>
            <w:vAlign w:val="center"/>
          </w:tcPr>
          <w:p w:rsidR="008C6F36" w:rsidRPr="007849DD" w:rsidRDefault="008C6F36" w:rsidP="00E57C04">
            <w:pPr>
              <w:spacing w:line="220" w:lineRule="exact"/>
              <w:contextualSpacing/>
              <w:rPr>
                <w:color w:val="auto"/>
                <w:sz w:val="18"/>
                <w:szCs w:val="18"/>
              </w:rPr>
            </w:pPr>
            <w:r w:rsidRPr="007849DD">
              <w:rPr>
                <w:color w:val="auto"/>
                <w:sz w:val="18"/>
                <w:szCs w:val="18"/>
              </w:rPr>
              <w:t>Scoliosis</w:t>
            </w:r>
          </w:p>
        </w:tc>
        <w:tc>
          <w:tcPr>
            <w:tcW w:w="1062" w:type="dxa"/>
            <w:tcBorders>
              <w:left w:val="single" w:sz="4" w:space="0" w:color="auto"/>
              <w:right w:val="single" w:sz="4" w:space="0" w:color="auto"/>
            </w:tcBorders>
            <w:shd w:val="clear" w:color="auto" w:fill="FFFFFF" w:themeFill="background1"/>
            <w:vAlign w:val="center"/>
          </w:tcPr>
          <w:p w:rsidR="008C6F36" w:rsidRPr="007849DD" w:rsidRDefault="008C6F36" w:rsidP="00E57C04">
            <w:pPr>
              <w:spacing w:line="220" w:lineRule="exact"/>
              <w:contextualSpacing/>
              <w:jc w:val="center"/>
              <w:rPr>
                <w:color w:val="auto"/>
                <w:sz w:val="18"/>
                <w:szCs w:val="18"/>
              </w:rPr>
            </w:pPr>
            <w:r w:rsidRPr="007849DD">
              <w:rPr>
                <w:color w:val="auto"/>
                <w:sz w:val="18"/>
                <w:szCs w:val="18"/>
              </w:rPr>
              <w:t>EPTS</w:t>
            </w:r>
          </w:p>
        </w:tc>
        <w:tc>
          <w:tcPr>
            <w:tcW w:w="794" w:type="dxa"/>
            <w:tcBorders>
              <w:left w:val="single" w:sz="4" w:space="0" w:color="auto"/>
              <w:right w:val="thinThickThinSmallGap" w:sz="24" w:space="0" w:color="auto"/>
            </w:tcBorders>
            <w:shd w:val="clear" w:color="auto" w:fill="FFFFFF" w:themeFill="background1"/>
            <w:vAlign w:val="center"/>
          </w:tcPr>
          <w:p w:rsidR="008C6F36" w:rsidRPr="007849DD" w:rsidRDefault="008C6F36" w:rsidP="00E57C04">
            <w:pPr>
              <w:spacing w:line="220" w:lineRule="exact"/>
              <w:contextualSpacing/>
              <w:jc w:val="center"/>
              <w:rPr>
                <w:color w:val="auto"/>
                <w:sz w:val="18"/>
                <w:szCs w:val="18"/>
              </w:rPr>
            </w:pPr>
            <w:r w:rsidRPr="007849DD">
              <w:rPr>
                <w:color w:val="auto"/>
                <w:sz w:val="18"/>
                <w:szCs w:val="18"/>
              </w:rPr>
              <w:t>---%</w:t>
            </w:r>
          </w:p>
        </w:tc>
        <w:tc>
          <w:tcPr>
            <w:tcW w:w="3239" w:type="dxa"/>
            <w:vMerge/>
            <w:tcBorders>
              <w:left w:val="thinThickThinSmallGap" w:sz="24" w:space="0" w:color="auto"/>
            </w:tcBorders>
            <w:shd w:val="clear" w:color="auto" w:fill="FFFFFF" w:themeFill="background1"/>
            <w:vAlign w:val="center"/>
          </w:tcPr>
          <w:p w:rsidR="008C6F36" w:rsidRPr="007849DD" w:rsidRDefault="008C6F36" w:rsidP="00E57C04">
            <w:pPr>
              <w:spacing w:line="220" w:lineRule="exact"/>
              <w:contextualSpacing/>
              <w:rPr>
                <w:color w:val="auto"/>
                <w:sz w:val="18"/>
                <w:szCs w:val="18"/>
              </w:rPr>
            </w:pPr>
          </w:p>
        </w:tc>
        <w:tc>
          <w:tcPr>
            <w:tcW w:w="720" w:type="dxa"/>
            <w:vMerge/>
            <w:shd w:val="clear" w:color="auto" w:fill="FFFFFF" w:themeFill="background1"/>
            <w:vAlign w:val="center"/>
          </w:tcPr>
          <w:p w:rsidR="008C6F36" w:rsidRPr="007849DD" w:rsidRDefault="008C6F36" w:rsidP="00E57C04">
            <w:pPr>
              <w:spacing w:line="220" w:lineRule="exact"/>
              <w:contextualSpacing/>
              <w:jc w:val="center"/>
              <w:rPr>
                <w:color w:val="auto"/>
                <w:sz w:val="18"/>
                <w:szCs w:val="18"/>
              </w:rPr>
            </w:pPr>
          </w:p>
        </w:tc>
        <w:tc>
          <w:tcPr>
            <w:tcW w:w="810" w:type="dxa"/>
            <w:vMerge/>
            <w:shd w:val="clear" w:color="auto" w:fill="FFFFFF" w:themeFill="background1"/>
            <w:vAlign w:val="center"/>
          </w:tcPr>
          <w:p w:rsidR="008C6F36" w:rsidRPr="007849DD" w:rsidRDefault="008C6F36" w:rsidP="00E57C04">
            <w:pPr>
              <w:spacing w:line="220" w:lineRule="exact"/>
              <w:contextualSpacing/>
              <w:jc w:val="center"/>
              <w:rPr>
                <w:color w:val="auto"/>
                <w:sz w:val="18"/>
                <w:szCs w:val="18"/>
              </w:rPr>
            </w:pPr>
          </w:p>
        </w:tc>
        <w:tc>
          <w:tcPr>
            <w:tcW w:w="972" w:type="dxa"/>
            <w:vMerge/>
            <w:shd w:val="clear" w:color="auto" w:fill="FFFFFF" w:themeFill="background1"/>
            <w:vAlign w:val="center"/>
          </w:tcPr>
          <w:p w:rsidR="008C6F36" w:rsidRPr="007849DD" w:rsidRDefault="008C6F36" w:rsidP="00E57C04">
            <w:pPr>
              <w:spacing w:line="220" w:lineRule="exact"/>
              <w:contextualSpacing/>
              <w:jc w:val="center"/>
              <w:rPr>
                <w:color w:val="auto"/>
                <w:sz w:val="18"/>
                <w:szCs w:val="18"/>
              </w:rPr>
            </w:pPr>
          </w:p>
        </w:tc>
      </w:tr>
      <w:tr w:rsidR="007849DD" w:rsidRPr="007849DD" w:rsidTr="00E57C04">
        <w:trPr>
          <w:trHeight w:val="180"/>
          <w:jc w:val="center"/>
        </w:trPr>
        <w:tc>
          <w:tcPr>
            <w:tcW w:w="3655" w:type="dxa"/>
            <w:gridSpan w:val="3"/>
            <w:vMerge w:val="restart"/>
            <w:tcBorders>
              <w:right w:val="thinThickThinSmallGap" w:sz="24" w:space="0" w:color="auto"/>
            </w:tcBorders>
            <w:shd w:val="clear" w:color="auto" w:fill="FFFFFF" w:themeFill="background1"/>
          </w:tcPr>
          <w:p w:rsidR="007849DD" w:rsidRPr="007849DD" w:rsidRDefault="007849DD" w:rsidP="00E57C04">
            <w:pPr>
              <w:spacing w:line="220" w:lineRule="exact"/>
              <w:contextualSpacing/>
              <w:jc w:val="center"/>
              <w:rPr>
                <w:color w:val="auto"/>
                <w:sz w:val="18"/>
                <w:szCs w:val="18"/>
              </w:rPr>
            </w:pPr>
            <w:r w:rsidRPr="007849DD">
              <w:rPr>
                <w:color w:val="auto"/>
                <w:sz w:val="18"/>
                <w:szCs w:val="18"/>
              </w:rPr>
              <w:t>↓No Additional MEB/PEB Entries↓</w:t>
            </w:r>
          </w:p>
        </w:tc>
        <w:tc>
          <w:tcPr>
            <w:tcW w:w="3239" w:type="dxa"/>
            <w:tcBorders>
              <w:left w:val="thinThickThinSmallGap" w:sz="24" w:space="0" w:color="auto"/>
              <w:right w:val="single" w:sz="4" w:space="0" w:color="auto"/>
            </w:tcBorders>
            <w:shd w:val="clear" w:color="auto" w:fill="FFFFFF" w:themeFill="background1"/>
            <w:vAlign w:val="center"/>
          </w:tcPr>
          <w:p w:rsidR="007849DD" w:rsidRPr="007849DD" w:rsidRDefault="007849DD" w:rsidP="00E57C04">
            <w:pPr>
              <w:spacing w:line="220" w:lineRule="exact"/>
              <w:contextualSpacing/>
              <w:rPr>
                <w:color w:val="auto"/>
                <w:sz w:val="18"/>
                <w:szCs w:val="18"/>
              </w:rPr>
            </w:pPr>
            <w:r w:rsidRPr="007849DD">
              <w:rPr>
                <w:color w:val="auto"/>
                <w:sz w:val="18"/>
                <w:szCs w:val="18"/>
              </w:rPr>
              <w:t xml:space="preserve">Radiculopathy Right Lower Extremity </w:t>
            </w:r>
          </w:p>
        </w:tc>
        <w:tc>
          <w:tcPr>
            <w:tcW w:w="720" w:type="dxa"/>
            <w:tcBorders>
              <w:left w:val="single" w:sz="4" w:space="0" w:color="auto"/>
              <w:right w:val="single" w:sz="4" w:space="0" w:color="auto"/>
            </w:tcBorders>
            <w:shd w:val="clear" w:color="auto" w:fill="FFFFFF" w:themeFill="background1"/>
            <w:vAlign w:val="center"/>
          </w:tcPr>
          <w:p w:rsidR="007849DD" w:rsidRPr="007849DD" w:rsidRDefault="007849DD" w:rsidP="00E57C04">
            <w:pPr>
              <w:spacing w:line="220" w:lineRule="exact"/>
              <w:contextualSpacing/>
              <w:jc w:val="center"/>
              <w:rPr>
                <w:color w:val="auto"/>
                <w:sz w:val="18"/>
                <w:szCs w:val="18"/>
              </w:rPr>
            </w:pPr>
            <w:r w:rsidRPr="007849DD">
              <w:rPr>
                <w:color w:val="auto"/>
                <w:sz w:val="18"/>
                <w:szCs w:val="18"/>
              </w:rPr>
              <w:t>8526</w:t>
            </w:r>
          </w:p>
        </w:tc>
        <w:tc>
          <w:tcPr>
            <w:tcW w:w="810" w:type="dxa"/>
            <w:tcBorders>
              <w:left w:val="single" w:sz="4" w:space="0" w:color="auto"/>
            </w:tcBorders>
            <w:shd w:val="clear" w:color="auto" w:fill="FFFFFF" w:themeFill="background1"/>
            <w:vAlign w:val="center"/>
          </w:tcPr>
          <w:p w:rsidR="007849DD" w:rsidRPr="007849DD" w:rsidRDefault="007849DD" w:rsidP="00E57C04">
            <w:pPr>
              <w:spacing w:line="220" w:lineRule="exact"/>
              <w:contextualSpacing/>
              <w:jc w:val="center"/>
              <w:rPr>
                <w:color w:val="auto"/>
                <w:sz w:val="18"/>
                <w:szCs w:val="18"/>
              </w:rPr>
            </w:pPr>
            <w:r w:rsidRPr="007849DD">
              <w:rPr>
                <w:color w:val="auto"/>
                <w:sz w:val="18"/>
                <w:szCs w:val="18"/>
              </w:rPr>
              <w:t>10%</w:t>
            </w:r>
          </w:p>
        </w:tc>
        <w:tc>
          <w:tcPr>
            <w:tcW w:w="972" w:type="dxa"/>
            <w:shd w:val="clear" w:color="auto" w:fill="FFFFFF" w:themeFill="background1"/>
            <w:vAlign w:val="center"/>
          </w:tcPr>
          <w:p w:rsidR="007849DD" w:rsidRPr="007849DD" w:rsidRDefault="007849DD" w:rsidP="00E57C04">
            <w:pPr>
              <w:spacing w:line="220" w:lineRule="exact"/>
              <w:contextualSpacing/>
              <w:jc w:val="center"/>
              <w:rPr>
                <w:color w:val="auto"/>
                <w:sz w:val="18"/>
                <w:szCs w:val="18"/>
              </w:rPr>
            </w:pPr>
            <w:r w:rsidRPr="007849DD">
              <w:rPr>
                <w:color w:val="auto"/>
                <w:sz w:val="18"/>
                <w:szCs w:val="18"/>
              </w:rPr>
              <w:t>20040120</w:t>
            </w:r>
          </w:p>
        </w:tc>
      </w:tr>
      <w:tr w:rsidR="007849DD" w:rsidRPr="007849DD" w:rsidTr="00EB57F4">
        <w:trPr>
          <w:trHeight w:val="56"/>
          <w:jc w:val="center"/>
        </w:trPr>
        <w:tc>
          <w:tcPr>
            <w:tcW w:w="3655" w:type="dxa"/>
            <w:gridSpan w:val="3"/>
            <w:vMerge/>
            <w:tcBorders>
              <w:right w:val="thinThickThinSmallGap" w:sz="24" w:space="0" w:color="auto"/>
            </w:tcBorders>
            <w:shd w:val="clear" w:color="auto" w:fill="FFFFFF" w:themeFill="background1"/>
          </w:tcPr>
          <w:p w:rsidR="007849DD" w:rsidRPr="007849DD" w:rsidRDefault="007849DD" w:rsidP="00E57C04">
            <w:pPr>
              <w:spacing w:line="220" w:lineRule="exact"/>
              <w:contextualSpacing/>
              <w:jc w:val="center"/>
              <w:rPr>
                <w:color w:val="auto"/>
                <w:sz w:val="18"/>
                <w:szCs w:val="18"/>
              </w:rPr>
            </w:pPr>
          </w:p>
        </w:tc>
        <w:tc>
          <w:tcPr>
            <w:tcW w:w="4769" w:type="dxa"/>
            <w:gridSpan w:val="3"/>
            <w:tcBorders>
              <w:left w:val="thinThickThinSmallGap" w:sz="24" w:space="0" w:color="auto"/>
            </w:tcBorders>
            <w:shd w:val="clear" w:color="auto" w:fill="FFFFFF" w:themeFill="background1"/>
            <w:vAlign w:val="center"/>
          </w:tcPr>
          <w:p w:rsidR="007849DD" w:rsidRPr="007849DD" w:rsidRDefault="007849DD" w:rsidP="00E57C04">
            <w:pPr>
              <w:spacing w:line="220" w:lineRule="exact"/>
              <w:contextualSpacing/>
              <w:jc w:val="center"/>
              <w:rPr>
                <w:color w:val="auto"/>
                <w:sz w:val="18"/>
                <w:szCs w:val="18"/>
              </w:rPr>
            </w:pPr>
            <w:r w:rsidRPr="007849DD">
              <w:rPr>
                <w:rFonts w:cs="Times New Roman"/>
                <w:color w:val="auto"/>
                <w:sz w:val="18"/>
                <w:szCs w:val="18"/>
              </w:rPr>
              <w:t>0% x 2 / Not Service Connected x 7</w:t>
            </w:r>
          </w:p>
        </w:tc>
        <w:tc>
          <w:tcPr>
            <w:tcW w:w="972" w:type="dxa"/>
            <w:shd w:val="clear" w:color="auto" w:fill="FFFFFF" w:themeFill="background1"/>
            <w:vAlign w:val="center"/>
          </w:tcPr>
          <w:p w:rsidR="007849DD" w:rsidRPr="007849DD" w:rsidRDefault="007849DD" w:rsidP="00E57C04">
            <w:pPr>
              <w:spacing w:line="220" w:lineRule="exact"/>
              <w:contextualSpacing/>
              <w:jc w:val="center"/>
              <w:rPr>
                <w:color w:val="auto"/>
                <w:sz w:val="18"/>
                <w:szCs w:val="18"/>
              </w:rPr>
            </w:pPr>
            <w:r w:rsidRPr="007849DD">
              <w:rPr>
                <w:color w:val="auto"/>
                <w:sz w:val="18"/>
                <w:szCs w:val="18"/>
              </w:rPr>
              <w:t>20040120</w:t>
            </w:r>
          </w:p>
        </w:tc>
      </w:tr>
      <w:tr w:rsidR="008C6F36" w:rsidRPr="002A4119" w:rsidTr="00E57C04">
        <w:trPr>
          <w:trHeight w:val="242"/>
          <w:jc w:val="center"/>
        </w:trPr>
        <w:tc>
          <w:tcPr>
            <w:tcW w:w="3655" w:type="dxa"/>
            <w:gridSpan w:val="3"/>
            <w:tcBorders>
              <w:right w:val="thinThickThinSmallGap" w:sz="24" w:space="0" w:color="auto"/>
            </w:tcBorders>
            <w:shd w:val="clear" w:color="auto" w:fill="D9D9D9" w:themeFill="background1" w:themeFillShade="D9"/>
          </w:tcPr>
          <w:p w:rsidR="008C6F36" w:rsidRPr="007849DD" w:rsidRDefault="008C6F36" w:rsidP="00E57C04">
            <w:pPr>
              <w:spacing w:line="240" w:lineRule="exact"/>
              <w:contextualSpacing/>
              <w:jc w:val="center"/>
              <w:rPr>
                <w:b/>
                <w:color w:val="auto"/>
                <w:sz w:val="20"/>
                <w:szCs w:val="20"/>
              </w:rPr>
            </w:pPr>
            <w:r w:rsidRPr="007849DD">
              <w:rPr>
                <w:b/>
                <w:color w:val="auto"/>
                <w:sz w:val="20"/>
                <w:szCs w:val="20"/>
              </w:rPr>
              <w:t>Combined: 10%</w:t>
            </w:r>
          </w:p>
        </w:tc>
        <w:tc>
          <w:tcPr>
            <w:tcW w:w="5741" w:type="dxa"/>
            <w:gridSpan w:val="4"/>
            <w:tcBorders>
              <w:left w:val="thinThickThinSmallGap" w:sz="24" w:space="0" w:color="auto"/>
            </w:tcBorders>
            <w:shd w:val="clear" w:color="auto" w:fill="D9D9D9" w:themeFill="background1" w:themeFillShade="D9"/>
          </w:tcPr>
          <w:p w:rsidR="008C6F36" w:rsidRPr="00B06930" w:rsidRDefault="008C6F36" w:rsidP="00E57C04">
            <w:pPr>
              <w:spacing w:line="240" w:lineRule="exact"/>
              <w:contextualSpacing/>
              <w:jc w:val="center"/>
              <w:rPr>
                <w:b/>
                <w:color w:val="auto"/>
                <w:sz w:val="20"/>
                <w:szCs w:val="20"/>
              </w:rPr>
            </w:pPr>
            <w:r w:rsidRPr="007849DD">
              <w:rPr>
                <w:b/>
                <w:color w:val="auto"/>
                <w:sz w:val="20"/>
                <w:szCs w:val="20"/>
              </w:rPr>
              <w:t>Combined:  20%</w:t>
            </w:r>
          </w:p>
        </w:tc>
      </w:tr>
    </w:tbl>
    <w:p w:rsidR="00437D18" w:rsidRPr="00391858"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0F5E64" w:rsidRDefault="000F5E64" w:rsidP="00C6170B">
      <w:pPr>
        <w:rPr>
          <w:rFonts w:asciiTheme="minorHAnsi" w:hAnsiTheme="minorHAnsi"/>
          <w:color w:val="auto"/>
          <w:szCs w:val="24"/>
          <w:u w:val="single"/>
        </w:rPr>
      </w:pPr>
    </w:p>
    <w:p w:rsidR="00FC1228" w:rsidRDefault="002C6E5B" w:rsidP="007B1FF0">
      <w:pPr>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B86674">
        <w:rPr>
          <w:rFonts w:asciiTheme="minorHAnsi" w:hAnsiTheme="minorHAnsi"/>
          <w:color w:val="auto"/>
          <w:szCs w:val="24"/>
        </w:rPr>
        <w:t xml:space="preserve"> </w:t>
      </w:r>
      <w:r w:rsidR="007B1FF0">
        <w:rPr>
          <w:rFonts w:asciiTheme="minorHAnsi" w:hAnsiTheme="minorHAnsi"/>
          <w:color w:val="auto"/>
          <w:szCs w:val="24"/>
        </w:rPr>
        <w:t xml:space="preserve"> </w:t>
      </w:r>
      <w:r w:rsidR="00FC1228" w:rsidRPr="00FC1228">
        <w:rPr>
          <w:rFonts w:asciiTheme="minorHAnsi" w:hAnsiTheme="minorHAnsi"/>
          <w:color w:val="auto"/>
          <w:szCs w:val="24"/>
        </w:rPr>
        <w:t xml:space="preserve">The Board acknowledges the sentiment </w:t>
      </w:r>
      <w:r w:rsidR="00FC1228">
        <w:rPr>
          <w:rFonts w:asciiTheme="minorHAnsi" w:hAnsiTheme="minorHAnsi"/>
          <w:color w:val="auto"/>
          <w:szCs w:val="24"/>
        </w:rPr>
        <w:t>implied</w:t>
      </w:r>
      <w:r w:rsidR="00FC1228" w:rsidRPr="00FC1228">
        <w:rPr>
          <w:rFonts w:asciiTheme="minorHAnsi" w:hAnsiTheme="minorHAnsi"/>
          <w:color w:val="auto"/>
          <w:szCs w:val="24"/>
        </w:rPr>
        <w:t xml:space="preserve"> in the CI’s application regarding the significant impairment with which h</w:t>
      </w:r>
      <w:r w:rsidR="00FC1228">
        <w:rPr>
          <w:rFonts w:asciiTheme="minorHAnsi" w:hAnsiTheme="minorHAnsi"/>
          <w:color w:val="auto"/>
          <w:szCs w:val="24"/>
        </w:rPr>
        <w:t>er</w:t>
      </w:r>
      <w:r w:rsidR="00FC1228" w:rsidRPr="00FC1228">
        <w:rPr>
          <w:rFonts w:asciiTheme="minorHAnsi" w:hAnsiTheme="minorHAnsi"/>
          <w:color w:val="auto"/>
          <w:szCs w:val="24"/>
        </w:rPr>
        <w:t xml:space="preserve"> service-aggravated condition continues to burden h</w:t>
      </w:r>
      <w:r w:rsidR="00FC1228">
        <w:rPr>
          <w:rFonts w:asciiTheme="minorHAnsi" w:hAnsiTheme="minorHAnsi"/>
          <w:color w:val="auto"/>
          <w:szCs w:val="24"/>
        </w:rPr>
        <w:t>er</w:t>
      </w:r>
      <w:r w:rsidR="00FC1228" w:rsidRPr="00FC1228">
        <w:rPr>
          <w:rFonts w:asciiTheme="minorHAnsi" w:hAnsiTheme="minorHAnsi"/>
          <w:color w:val="auto"/>
          <w:szCs w:val="24"/>
        </w:rPr>
        <w:t>.  It is a fact, however, that the DES has neither the role nor the authority to compensate service members for anticipated future severity or potential complications of conditions resulting in medical separation.  This role and authority is granted by Congress to the Department of Veteran</w:t>
      </w:r>
      <w:r w:rsidR="003C0482">
        <w:rPr>
          <w:rFonts w:asciiTheme="minorHAnsi" w:hAnsiTheme="minorHAnsi"/>
          <w:color w:val="auto"/>
          <w:szCs w:val="24"/>
        </w:rPr>
        <w:t>s’</w:t>
      </w:r>
      <w:r w:rsidR="00FC1228" w:rsidRPr="00FC1228">
        <w:rPr>
          <w:rFonts w:asciiTheme="minorHAnsi" w:hAnsiTheme="minorHAnsi"/>
          <w:color w:val="auto"/>
          <w:szCs w:val="24"/>
        </w:rPr>
        <w:t xml:space="preserve"> Affairs (DVA).  The DVA, operating under a different set of laws (Title 38, United States Code), is empowered to compensate service connected conditions and to periodically re-evaluate said conditions for the purpose of adjusting the </w:t>
      </w:r>
      <w:r w:rsidR="00C35DBE">
        <w:rPr>
          <w:rFonts w:asciiTheme="minorHAnsi" w:hAnsiTheme="minorHAnsi"/>
          <w:color w:val="auto"/>
          <w:szCs w:val="24"/>
        </w:rPr>
        <w:t>V</w:t>
      </w:r>
      <w:r w:rsidR="00FC1228" w:rsidRPr="00FC1228">
        <w:rPr>
          <w:rFonts w:asciiTheme="minorHAnsi" w:hAnsiTheme="minorHAnsi"/>
          <w:color w:val="auto"/>
          <w:szCs w:val="24"/>
        </w:rPr>
        <w:t>etera</w:t>
      </w:r>
      <w:r w:rsidR="00F0530A">
        <w:rPr>
          <w:rFonts w:asciiTheme="minorHAnsi" w:hAnsiTheme="minorHAnsi"/>
          <w:color w:val="auto"/>
          <w:szCs w:val="24"/>
        </w:rPr>
        <w:t xml:space="preserve">n’s disability rating should </w:t>
      </w:r>
      <w:r w:rsidR="00C35DBE">
        <w:rPr>
          <w:rFonts w:asciiTheme="minorHAnsi" w:hAnsiTheme="minorHAnsi"/>
          <w:color w:val="auto"/>
          <w:szCs w:val="24"/>
        </w:rPr>
        <w:t>the</w:t>
      </w:r>
      <w:r w:rsidR="00FC1228" w:rsidRPr="00FC1228">
        <w:rPr>
          <w:rFonts w:asciiTheme="minorHAnsi" w:hAnsiTheme="minorHAnsi"/>
          <w:color w:val="auto"/>
          <w:szCs w:val="24"/>
        </w:rPr>
        <w:t xml:space="preserve"> degree of impairment vary over time.  The Board utilizes </w:t>
      </w:r>
      <w:r w:rsidR="00C35DBE">
        <w:rPr>
          <w:rFonts w:asciiTheme="minorHAnsi" w:hAnsiTheme="minorHAnsi"/>
          <w:color w:val="auto"/>
          <w:szCs w:val="24"/>
        </w:rPr>
        <w:t>D</w:t>
      </w:r>
      <w:r w:rsidR="00FC1228" w:rsidRPr="00FC1228">
        <w:rPr>
          <w:rFonts w:asciiTheme="minorHAnsi" w:hAnsiTheme="minorHAnsi"/>
          <w:color w:val="auto"/>
          <w:szCs w:val="24"/>
        </w:rPr>
        <w:t>VA evidence proximal to separation in arriving at its recommendations; and, DoDI 6040.44 defines a 12</w:t>
      </w:r>
      <w:r w:rsidR="00C35DBE">
        <w:rPr>
          <w:rFonts w:asciiTheme="minorHAnsi" w:hAnsiTheme="minorHAnsi"/>
          <w:color w:val="auto"/>
          <w:szCs w:val="24"/>
        </w:rPr>
        <w:t>-</w:t>
      </w:r>
      <w:r w:rsidR="00FC1228" w:rsidRPr="00FC1228">
        <w:rPr>
          <w:rFonts w:asciiTheme="minorHAnsi" w:hAnsiTheme="minorHAnsi"/>
          <w:color w:val="auto"/>
          <w:szCs w:val="24"/>
        </w:rPr>
        <w:t xml:space="preserve">month interval for special consideration to post-separation evidence. </w:t>
      </w:r>
      <w:r w:rsidR="00C35DBE">
        <w:rPr>
          <w:rFonts w:asciiTheme="minorHAnsi" w:hAnsiTheme="minorHAnsi"/>
          <w:color w:val="auto"/>
          <w:szCs w:val="24"/>
        </w:rPr>
        <w:t xml:space="preserve"> </w:t>
      </w:r>
      <w:r w:rsidR="00FC1228" w:rsidRPr="00FC1228">
        <w:rPr>
          <w:rFonts w:asciiTheme="minorHAnsi" w:hAnsiTheme="minorHAnsi"/>
          <w:color w:val="auto"/>
          <w:szCs w:val="24"/>
        </w:rPr>
        <w:t xml:space="preserve">The Board’s authority as defined in DoDI 6044.40, however, resides in evaluating the fairness of DES fitness determinations and rating decisions for disability at the time of separation. </w:t>
      </w:r>
      <w:r w:rsidR="00C35DBE">
        <w:rPr>
          <w:rFonts w:asciiTheme="minorHAnsi" w:hAnsiTheme="minorHAnsi"/>
          <w:color w:val="auto"/>
          <w:szCs w:val="24"/>
        </w:rPr>
        <w:t xml:space="preserve"> </w:t>
      </w:r>
      <w:r w:rsidR="00FC1228" w:rsidRPr="00FC1228">
        <w:rPr>
          <w:rFonts w:asciiTheme="minorHAnsi" w:hAnsiTheme="minorHAnsi"/>
          <w:color w:val="auto"/>
          <w:szCs w:val="24"/>
        </w:rPr>
        <w:t xml:space="preserve">Post-separation </w:t>
      </w:r>
      <w:r w:rsidR="00FC1228" w:rsidRPr="00FC1228">
        <w:rPr>
          <w:rFonts w:asciiTheme="minorHAnsi" w:hAnsiTheme="minorHAnsi"/>
          <w:color w:val="auto"/>
          <w:szCs w:val="24"/>
        </w:rPr>
        <w:lastRenderedPageBreak/>
        <w:t>evidence therefore is probative only to the extent that it reasonably reflects the disability and fitness implications at the time of separation.</w:t>
      </w:r>
    </w:p>
    <w:p w:rsidR="00FC1228" w:rsidRDefault="00FC1228" w:rsidP="007B1FF0">
      <w:pPr>
        <w:spacing w:line="240" w:lineRule="exact"/>
        <w:jc w:val="both"/>
        <w:rPr>
          <w:rFonts w:asciiTheme="minorHAnsi" w:hAnsiTheme="minorHAnsi"/>
          <w:color w:val="auto"/>
          <w:szCs w:val="24"/>
        </w:rPr>
      </w:pPr>
    </w:p>
    <w:p w:rsidR="007B1FF0" w:rsidRPr="007B1FF0" w:rsidRDefault="007B1FF0" w:rsidP="007B1FF0">
      <w:pPr>
        <w:spacing w:line="240" w:lineRule="exact"/>
        <w:jc w:val="both"/>
        <w:rPr>
          <w:rFonts w:asciiTheme="minorHAnsi" w:hAnsiTheme="minorHAnsi"/>
          <w:color w:val="auto"/>
          <w:szCs w:val="24"/>
        </w:rPr>
      </w:pPr>
      <w:r w:rsidRPr="00FC1228">
        <w:rPr>
          <w:rFonts w:asciiTheme="minorHAnsi" w:hAnsiTheme="minorHAnsi"/>
          <w:color w:val="auto"/>
          <w:szCs w:val="24"/>
        </w:rPr>
        <w:t>The 2002 VASRD coding and rating standards for the spine, which were in effect at the CI’s separation, were updated 23 September 2002 for code 5293 (rating based on incapacitating episodes) and changed to the current §4.71a rating standards on 26 September 2003.  The 2002 stan</w:t>
      </w:r>
      <w:r w:rsidR="003C0482">
        <w:rPr>
          <w:rFonts w:asciiTheme="minorHAnsi" w:hAnsiTheme="minorHAnsi"/>
          <w:color w:val="auto"/>
          <w:szCs w:val="24"/>
        </w:rPr>
        <w:t>dards for rating based on range-of-</w:t>
      </w:r>
      <w:r w:rsidRPr="00FC1228">
        <w:rPr>
          <w:rFonts w:asciiTheme="minorHAnsi" w:hAnsiTheme="minorHAnsi"/>
          <w:color w:val="auto"/>
          <w:szCs w:val="24"/>
        </w:rPr>
        <w:t xml:space="preserve">motion (ROM) impairment were subject to the rater’s opinion regarding degree of severity, whereas the current standards specify rating thresholds in degrees of ROM impairment.  The Board reconciles (to the extent possible) its opinion regarding degree of severity </w:t>
      </w:r>
      <w:r w:rsidR="007D2C15">
        <w:rPr>
          <w:rFonts w:asciiTheme="minorHAnsi" w:hAnsiTheme="minorHAnsi"/>
          <w:color w:val="auto"/>
          <w:szCs w:val="24"/>
        </w:rPr>
        <w:t>under</w:t>
      </w:r>
      <w:r w:rsidRPr="00FC1228">
        <w:rPr>
          <w:rFonts w:asciiTheme="minorHAnsi" w:hAnsiTheme="minorHAnsi"/>
          <w:color w:val="auto"/>
          <w:szCs w:val="24"/>
        </w:rPr>
        <w:t xml:space="preserve"> the older </w:t>
      </w:r>
      <w:r w:rsidR="007D2C15">
        <w:rPr>
          <w:rFonts w:asciiTheme="minorHAnsi" w:hAnsiTheme="minorHAnsi"/>
          <w:color w:val="auto"/>
          <w:szCs w:val="24"/>
        </w:rPr>
        <w:t>qualitative</w:t>
      </w:r>
      <w:r w:rsidRPr="00FC1228">
        <w:rPr>
          <w:rFonts w:asciiTheme="minorHAnsi" w:hAnsiTheme="minorHAnsi"/>
          <w:color w:val="auto"/>
          <w:szCs w:val="24"/>
        </w:rPr>
        <w:t xml:space="preserve"> ratings with the </w:t>
      </w:r>
      <w:r w:rsidR="007D2C15">
        <w:rPr>
          <w:rFonts w:asciiTheme="minorHAnsi" w:hAnsiTheme="minorHAnsi"/>
          <w:color w:val="auto"/>
          <w:szCs w:val="24"/>
        </w:rPr>
        <w:t>quantitative ratings</w:t>
      </w:r>
      <w:r w:rsidRPr="00FC1228">
        <w:rPr>
          <w:rFonts w:asciiTheme="minorHAnsi" w:hAnsiTheme="minorHAnsi"/>
          <w:color w:val="auto"/>
          <w:szCs w:val="24"/>
        </w:rPr>
        <w:t xml:space="preserve"> specified in the current §4.71a general rating formula for the spine.</w:t>
      </w:r>
      <w:r w:rsidRPr="007B1FF0">
        <w:rPr>
          <w:rFonts w:asciiTheme="minorHAnsi" w:hAnsiTheme="minorHAnsi"/>
          <w:color w:val="auto"/>
          <w:szCs w:val="24"/>
        </w:rPr>
        <w:t xml:space="preserve">  </w:t>
      </w:r>
    </w:p>
    <w:p w:rsidR="007B1FF0" w:rsidRDefault="007B1FF0" w:rsidP="007B1FF0">
      <w:pPr>
        <w:spacing w:line="240" w:lineRule="exact"/>
        <w:rPr>
          <w:rFonts w:asciiTheme="minorHAnsi" w:hAnsiTheme="minorHAnsi"/>
          <w:color w:val="auto"/>
          <w:szCs w:val="24"/>
        </w:rPr>
      </w:pPr>
    </w:p>
    <w:p w:rsidR="006451A9" w:rsidRDefault="00E57C04" w:rsidP="00764357">
      <w:pPr>
        <w:spacing w:line="240" w:lineRule="exact"/>
        <w:jc w:val="both"/>
        <w:rPr>
          <w:rFonts w:asciiTheme="minorHAnsi" w:hAnsiTheme="minorHAnsi"/>
          <w:color w:val="auto"/>
          <w:szCs w:val="24"/>
        </w:rPr>
      </w:pPr>
      <w:r>
        <w:rPr>
          <w:rFonts w:asciiTheme="minorHAnsi" w:hAnsiTheme="minorHAnsi"/>
          <w:color w:val="auto"/>
          <w:szCs w:val="24"/>
          <w:u w:val="single"/>
        </w:rPr>
        <w:t>Lumbar Spine</w:t>
      </w:r>
      <w:r w:rsidR="00DF7083" w:rsidRPr="00DF7083">
        <w:rPr>
          <w:rFonts w:asciiTheme="minorHAnsi" w:hAnsiTheme="minorHAnsi"/>
          <w:color w:val="auto"/>
          <w:szCs w:val="24"/>
          <w:u w:val="single"/>
        </w:rPr>
        <w:t xml:space="preserve"> </w:t>
      </w:r>
      <w:r w:rsidR="006451A9" w:rsidRPr="00DF7083">
        <w:rPr>
          <w:rFonts w:asciiTheme="minorHAnsi" w:hAnsiTheme="minorHAnsi"/>
          <w:color w:val="auto"/>
          <w:szCs w:val="24"/>
          <w:u w:val="single"/>
        </w:rPr>
        <w:t>Condition</w:t>
      </w:r>
      <w:r w:rsidR="006451A9" w:rsidRPr="006451A9">
        <w:rPr>
          <w:rFonts w:asciiTheme="minorHAnsi" w:hAnsiTheme="minorHAnsi"/>
          <w:color w:val="auto"/>
          <w:szCs w:val="24"/>
        </w:rPr>
        <w:t xml:space="preserve">.  </w:t>
      </w:r>
      <w:r w:rsidR="00FC1228">
        <w:rPr>
          <w:rFonts w:asciiTheme="minorHAnsi" w:hAnsiTheme="minorHAnsi"/>
          <w:color w:val="auto"/>
          <w:szCs w:val="24"/>
        </w:rPr>
        <w:t xml:space="preserve">There </w:t>
      </w:r>
      <w:r w:rsidR="00FC1228" w:rsidRPr="00F350C6">
        <w:rPr>
          <w:rFonts w:asciiTheme="minorHAnsi" w:hAnsiTheme="minorHAnsi"/>
          <w:color w:val="auto"/>
          <w:szCs w:val="24"/>
        </w:rPr>
        <w:t>are numerous entries in the service treatment record (STR) regarding</w:t>
      </w:r>
      <w:r w:rsidR="00DF7083" w:rsidRPr="00F350C6">
        <w:rPr>
          <w:rFonts w:asciiTheme="minorHAnsi" w:hAnsiTheme="minorHAnsi"/>
          <w:color w:val="auto"/>
          <w:szCs w:val="24"/>
        </w:rPr>
        <w:t xml:space="preserve"> the CI’s back condition </w:t>
      </w:r>
      <w:r w:rsidR="00FC1228" w:rsidRPr="00F350C6">
        <w:rPr>
          <w:rFonts w:asciiTheme="minorHAnsi" w:hAnsiTheme="minorHAnsi"/>
          <w:color w:val="auto"/>
          <w:szCs w:val="24"/>
        </w:rPr>
        <w:t>from the time of injury until her</w:t>
      </w:r>
      <w:r w:rsidR="00DF7083" w:rsidRPr="00F350C6">
        <w:rPr>
          <w:rFonts w:asciiTheme="minorHAnsi" w:hAnsiTheme="minorHAnsi"/>
          <w:color w:val="auto"/>
          <w:szCs w:val="24"/>
        </w:rPr>
        <w:t xml:space="preserve"> final separation.  There are </w:t>
      </w:r>
      <w:r w:rsidR="00F350C6">
        <w:rPr>
          <w:rFonts w:asciiTheme="minorHAnsi" w:hAnsiTheme="minorHAnsi"/>
          <w:color w:val="auto"/>
          <w:szCs w:val="24"/>
        </w:rPr>
        <w:t>no medical entries documenting</w:t>
      </w:r>
      <w:r w:rsidR="00DF7083" w:rsidRPr="00F350C6">
        <w:rPr>
          <w:rFonts w:asciiTheme="minorHAnsi" w:hAnsiTheme="minorHAnsi"/>
          <w:color w:val="auto"/>
          <w:szCs w:val="24"/>
        </w:rPr>
        <w:t xml:space="preserve"> complaint</w:t>
      </w:r>
      <w:r w:rsidR="00F350C6" w:rsidRPr="00F350C6">
        <w:rPr>
          <w:rFonts w:asciiTheme="minorHAnsi" w:hAnsiTheme="minorHAnsi"/>
          <w:color w:val="auto"/>
          <w:szCs w:val="24"/>
        </w:rPr>
        <w:t xml:space="preserve">s of bowel or bladder symptoms, weakness or paresthesia of the lower extremities, </w:t>
      </w:r>
      <w:r w:rsidR="00DF7083" w:rsidRPr="00F350C6">
        <w:rPr>
          <w:rFonts w:asciiTheme="minorHAnsi" w:hAnsiTheme="minorHAnsi"/>
          <w:color w:val="auto"/>
          <w:szCs w:val="24"/>
        </w:rPr>
        <w:t xml:space="preserve">and no documentation that the CI was ever confined to quarters for treatment.  </w:t>
      </w:r>
      <w:r w:rsidR="007615D6">
        <w:rPr>
          <w:rFonts w:asciiTheme="minorHAnsi" w:hAnsiTheme="minorHAnsi"/>
          <w:color w:val="auto"/>
          <w:szCs w:val="24"/>
        </w:rPr>
        <w:t xml:space="preserve">Radiographs were normal except for mild scoliosis and mild disc space narrowing at L5/S1.  The orthopedic consultant recommended conservative management; and, she failed a trial of physical therapy and medications.  </w:t>
      </w:r>
      <w:r w:rsidR="00DF7083" w:rsidRPr="00F350C6">
        <w:rPr>
          <w:rFonts w:asciiTheme="minorHAnsi" w:hAnsiTheme="minorHAnsi"/>
          <w:color w:val="auto"/>
          <w:szCs w:val="24"/>
        </w:rPr>
        <w:t xml:space="preserve">The narrative summary </w:t>
      </w:r>
      <w:r w:rsidR="00120920">
        <w:rPr>
          <w:rFonts w:asciiTheme="minorHAnsi" w:hAnsiTheme="minorHAnsi"/>
          <w:color w:val="auto"/>
          <w:szCs w:val="24"/>
        </w:rPr>
        <w:t xml:space="preserve">(NARSUM) </w:t>
      </w:r>
      <w:r w:rsidR="00DF7083" w:rsidRPr="00F350C6">
        <w:rPr>
          <w:rFonts w:asciiTheme="minorHAnsi" w:hAnsiTheme="minorHAnsi"/>
          <w:color w:val="auto"/>
          <w:szCs w:val="24"/>
        </w:rPr>
        <w:t>included the history that the CI had difficulty performing h</w:t>
      </w:r>
      <w:r w:rsidR="00F350C6" w:rsidRPr="00F350C6">
        <w:rPr>
          <w:rFonts w:asciiTheme="minorHAnsi" w:hAnsiTheme="minorHAnsi"/>
          <w:color w:val="auto"/>
          <w:szCs w:val="24"/>
        </w:rPr>
        <w:t>er</w:t>
      </w:r>
      <w:r w:rsidR="00DF7083" w:rsidRPr="00F350C6">
        <w:rPr>
          <w:rFonts w:asciiTheme="minorHAnsi" w:hAnsiTheme="minorHAnsi"/>
          <w:color w:val="auto"/>
          <w:szCs w:val="24"/>
        </w:rPr>
        <w:t xml:space="preserve"> duties, </w:t>
      </w:r>
      <w:r w:rsidR="00F350C6" w:rsidRPr="00F350C6">
        <w:rPr>
          <w:rFonts w:asciiTheme="minorHAnsi" w:hAnsiTheme="minorHAnsi"/>
          <w:color w:val="auto"/>
          <w:szCs w:val="24"/>
        </w:rPr>
        <w:t>and had been issued a permanent profile that was sufficiently restrictive as to preclude her from performing her duties in a deployed environment</w:t>
      </w:r>
      <w:r w:rsidR="00DF7083" w:rsidRPr="00F350C6">
        <w:rPr>
          <w:rFonts w:asciiTheme="minorHAnsi" w:hAnsiTheme="minorHAnsi"/>
          <w:color w:val="auto"/>
          <w:szCs w:val="24"/>
        </w:rPr>
        <w:t xml:space="preserve">.  </w:t>
      </w:r>
      <w:r w:rsidR="006451A9" w:rsidRPr="00F350C6">
        <w:rPr>
          <w:rFonts w:asciiTheme="minorHAnsi" w:hAnsiTheme="minorHAnsi"/>
          <w:color w:val="auto"/>
          <w:szCs w:val="24"/>
        </w:rPr>
        <w:t xml:space="preserve">There were </w:t>
      </w:r>
      <w:r w:rsidR="00002958" w:rsidRPr="00F350C6">
        <w:rPr>
          <w:rFonts w:asciiTheme="minorHAnsi" w:hAnsiTheme="minorHAnsi"/>
          <w:color w:val="auto"/>
          <w:szCs w:val="24"/>
        </w:rPr>
        <w:t>two</w:t>
      </w:r>
      <w:r w:rsidR="006451A9" w:rsidRPr="00F350C6">
        <w:rPr>
          <w:rFonts w:asciiTheme="minorHAnsi" w:hAnsiTheme="minorHAnsi"/>
          <w:color w:val="auto"/>
          <w:szCs w:val="24"/>
        </w:rPr>
        <w:t xml:space="preserve"> </w:t>
      </w:r>
      <w:r w:rsidR="00DF7083" w:rsidRPr="00F350C6">
        <w:rPr>
          <w:rFonts w:asciiTheme="minorHAnsi" w:hAnsiTheme="minorHAnsi"/>
          <w:color w:val="auto"/>
          <w:szCs w:val="24"/>
        </w:rPr>
        <w:t>goniometric RO</w:t>
      </w:r>
      <w:r w:rsidR="003C0482">
        <w:rPr>
          <w:rFonts w:asciiTheme="minorHAnsi" w:hAnsiTheme="minorHAnsi"/>
          <w:color w:val="auto"/>
          <w:szCs w:val="24"/>
        </w:rPr>
        <w:t>M</w:t>
      </w:r>
      <w:r w:rsidR="00DF7083" w:rsidRPr="00F350C6">
        <w:rPr>
          <w:rFonts w:asciiTheme="minorHAnsi" w:hAnsiTheme="minorHAnsi"/>
          <w:color w:val="auto"/>
          <w:szCs w:val="24"/>
        </w:rPr>
        <w:t xml:space="preserve"> evaluations in evidence, with documentation of additional ratable criteria, which the Board weighed in arriving at its rating recommendation.</w:t>
      </w:r>
    </w:p>
    <w:p w:rsidR="006451A9" w:rsidRDefault="006451A9" w:rsidP="00EF0529">
      <w:pPr>
        <w:spacing w:line="240" w:lineRule="exact"/>
        <w:rPr>
          <w:rFonts w:asciiTheme="minorHAnsi" w:hAnsiTheme="minorHAnsi"/>
          <w:color w:val="auto"/>
          <w:szCs w:val="24"/>
        </w:rPr>
      </w:pPr>
    </w:p>
    <w:tbl>
      <w:tblPr>
        <w:tblW w:w="0" w:type="auto"/>
        <w:jc w:val="center"/>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8"/>
        <w:gridCol w:w="2108"/>
        <w:gridCol w:w="3131"/>
      </w:tblGrid>
      <w:tr w:rsidR="006451A9" w:rsidRPr="00C10D6E" w:rsidTr="00C10D6E">
        <w:trPr>
          <w:jc w:val="center"/>
        </w:trPr>
        <w:tc>
          <w:tcPr>
            <w:tcW w:w="214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6451A9" w:rsidRPr="00C10D6E" w:rsidRDefault="007B1FF0" w:rsidP="00C10D6E">
            <w:pPr>
              <w:pStyle w:val="ListParagraph"/>
              <w:spacing w:after="0" w:line="240" w:lineRule="exact"/>
              <w:ind w:left="0"/>
              <w:jc w:val="center"/>
              <w:rPr>
                <w:rFonts w:eastAsia="Calibri" w:cs="Times New Roman"/>
                <w:b/>
              </w:rPr>
            </w:pPr>
            <w:r w:rsidRPr="00C10D6E">
              <w:rPr>
                <w:rFonts w:eastAsia="Calibri"/>
              </w:rPr>
              <w:t xml:space="preserve">Thoracolumbar </w:t>
            </w:r>
            <w:r w:rsidR="006451A9" w:rsidRPr="00C10D6E">
              <w:rPr>
                <w:rFonts w:eastAsia="Calibri"/>
              </w:rPr>
              <w:t xml:space="preserve">ROM </w:t>
            </w:r>
          </w:p>
        </w:tc>
        <w:tc>
          <w:tcPr>
            <w:tcW w:w="21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6451A9" w:rsidRPr="00C10D6E" w:rsidRDefault="00C10D6E" w:rsidP="00C10D6E">
            <w:pPr>
              <w:spacing w:line="240" w:lineRule="exact"/>
              <w:contextualSpacing/>
              <w:jc w:val="center"/>
              <w:rPr>
                <w:rFonts w:asciiTheme="minorHAnsi" w:eastAsia="Calibri" w:hAnsiTheme="minorHAnsi"/>
                <w:color w:val="auto"/>
                <w:sz w:val="22"/>
                <w:szCs w:val="22"/>
              </w:rPr>
            </w:pPr>
            <w:r>
              <w:rPr>
                <w:rFonts w:asciiTheme="minorHAnsi" w:eastAsia="Calibri" w:hAnsiTheme="minorHAnsi"/>
                <w:color w:val="auto"/>
                <w:sz w:val="22"/>
                <w:szCs w:val="22"/>
              </w:rPr>
              <w:t>MEB ~</w:t>
            </w:r>
            <w:r w:rsidR="006451A9" w:rsidRPr="00C10D6E">
              <w:rPr>
                <w:rFonts w:asciiTheme="minorHAnsi" w:eastAsia="Calibri" w:hAnsiTheme="minorHAnsi"/>
                <w:color w:val="auto"/>
                <w:sz w:val="22"/>
                <w:szCs w:val="22"/>
              </w:rPr>
              <w:t>6 Mo. Pre-Sep</w:t>
            </w:r>
          </w:p>
        </w:tc>
        <w:tc>
          <w:tcPr>
            <w:tcW w:w="313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6451A9" w:rsidRPr="00C10D6E" w:rsidRDefault="006451A9" w:rsidP="00C10D6E">
            <w:pPr>
              <w:spacing w:line="240" w:lineRule="exact"/>
              <w:contextualSpacing/>
              <w:jc w:val="center"/>
              <w:rPr>
                <w:rFonts w:asciiTheme="minorHAnsi" w:eastAsiaTheme="minorHAnsi" w:hAnsiTheme="minorHAnsi" w:cstheme="minorBidi"/>
                <w:color w:val="auto"/>
                <w:sz w:val="22"/>
                <w:szCs w:val="22"/>
              </w:rPr>
            </w:pPr>
            <w:r w:rsidRPr="00C10D6E">
              <w:rPr>
                <w:rFonts w:asciiTheme="minorHAnsi" w:eastAsia="Calibri" w:hAnsiTheme="minorHAnsi"/>
                <w:color w:val="auto"/>
                <w:sz w:val="22"/>
                <w:szCs w:val="22"/>
              </w:rPr>
              <w:t>VA</w:t>
            </w:r>
            <w:r w:rsidRPr="00C10D6E">
              <w:rPr>
                <w:rFonts w:asciiTheme="minorHAnsi" w:eastAsiaTheme="minorHAnsi" w:hAnsiTheme="minorHAnsi" w:cstheme="minorBidi"/>
                <w:color w:val="auto"/>
                <w:sz w:val="22"/>
                <w:szCs w:val="22"/>
              </w:rPr>
              <w:t xml:space="preserve"> C&amp;P </w:t>
            </w:r>
            <w:r w:rsidR="00C10D6E">
              <w:rPr>
                <w:rFonts w:asciiTheme="minorHAnsi" w:eastAsia="Calibri" w:hAnsiTheme="minorHAnsi"/>
                <w:color w:val="auto"/>
                <w:sz w:val="22"/>
                <w:szCs w:val="22"/>
              </w:rPr>
              <w:t>~</w:t>
            </w:r>
            <w:r w:rsidR="00002958" w:rsidRPr="00C10D6E">
              <w:rPr>
                <w:rFonts w:asciiTheme="minorHAnsi" w:eastAsia="Calibri" w:hAnsiTheme="minorHAnsi"/>
                <w:color w:val="auto"/>
                <w:sz w:val="22"/>
                <w:szCs w:val="22"/>
              </w:rPr>
              <w:t>13</w:t>
            </w:r>
            <w:r w:rsidRPr="00C10D6E">
              <w:rPr>
                <w:rFonts w:asciiTheme="minorHAnsi" w:eastAsia="Calibri" w:hAnsiTheme="minorHAnsi"/>
                <w:color w:val="auto"/>
                <w:sz w:val="22"/>
                <w:szCs w:val="22"/>
              </w:rPr>
              <w:t xml:space="preserve"> Mo. </w:t>
            </w:r>
            <w:r w:rsidR="00C10D6E">
              <w:rPr>
                <w:rFonts w:asciiTheme="minorHAnsi" w:eastAsia="Calibri" w:hAnsiTheme="minorHAnsi"/>
                <w:color w:val="auto"/>
                <w:sz w:val="22"/>
                <w:szCs w:val="22"/>
              </w:rPr>
              <w:t>Post</w:t>
            </w:r>
            <w:r w:rsidRPr="00C10D6E">
              <w:rPr>
                <w:rFonts w:asciiTheme="minorHAnsi" w:eastAsia="Calibri" w:hAnsiTheme="minorHAnsi"/>
                <w:color w:val="auto"/>
                <w:sz w:val="22"/>
                <w:szCs w:val="22"/>
              </w:rPr>
              <w:t>-Sep</w:t>
            </w:r>
          </w:p>
        </w:tc>
      </w:tr>
      <w:tr w:rsidR="006451A9" w:rsidRPr="00C10D6E" w:rsidTr="00C10D6E">
        <w:trPr>
          <w:jc w:val="center"/>
        </w:trPr>
        <w:tc>
          <w:tcPr>
            <w:tcW w:w="2148" w:type="dxa"/>
            <w:tcBorders>
              <w:top w:val="single" w:sz="4" w:space="0" w:color="000000"/>
              <w:left w:val="single" w:sz="4" w:space="0" w:color="000000"/>
              <w:bottom w:val="single" w:sz="4" w:space="0" w:color="000000"/>
              <w:right w:val="single" w:sz="4" w:space="0" w:color="000000"/>
            </w:tcBorders>
            <w:vAlign w:val="center"/>
            <w:hideMark/>
          </w:tcPr>
          <w:p w:rsidR="006451A9" w:rsidRPr="00C10D6E" w:rsidRDefault="00C10D6E" w:rsidP="00C10D6E">
            <w:pPr>
              <w:pStyle w:val="ListParagraph"/>
              <w:spacing w:after="0" w:line="240" w:lineRule="exact"/>
              <w:ind w:left="0"/>
              <w:jc w:val="center"/>
              <w:rPr>
                <w:rFonts w:eastAsia="Calibri" w:cs="Times New Roman"/>
              </w:rPr>
            </w:pPr>
            <w:r>
              <w:rPr>
                <w:rFonts w:eastAsia="Calibri" w:cs="Times New Roman"/>
              </w:rPr>
              <w:t>Flex (</w:t>
            </w:r>
            <w:r w:rsidR="006451A9" w:rsidRPr="00C10D6E">
              <w:rPr>
                <w:rFonts w:eastAsia="Calibri" w:cs="Times New Roman"/>
              </w:rPr>
              <w:t>90</w:t>
            </w:r>
            <w:r w:rsidR="007B1FF0" w:rsidRPr="00C10D6E">
              <w:rPr>
                <w:rFonts w:eastAsia="Calibri"/>
              </w:rPr>
              <w:t>⁰</w:t>
            </w:r>
            <w:r>
              <w:rPr>
                <w:rFonts w:eastAsia="Calibri"/>
              </w:rPr>
              <w:t xml:space="preserve"> Normal</w:t>
            </w:r>
            <w:r w:rsidR="006451A9" w:rsidRPr="00C10D6E">
              <w:rPr>
                <w:rFonts w:eastAsia="Calibri" w:cs="Times New Roman"/>
              </w:rPr>
              <w:t>)</w:t>
            </w:r>
          </w:p>
        </w:tc>
        <w:tc>
          <w:tcPr>
            <w:tcW w:w="2108" w:type="dxa"/>
            <w:tcBorders>
              <w:top w:val="single" w:sz="4" w:space="0" w:color="000000"/>
              <w:left w:val="single" w:sz="4" w:space="0" w:color="000000"/>
              <w:bottom w:val="single" w:sz="4" w:space="0" w:color="000000"/>
              <w:right w:val="single" w:sz="4" w:space="0" w:color="000000"/>
            </w:tcBorders>
            <w:vAlign w:val="center"/>
          </w:tcPr>
          <w:p w:rsidR="006451A9" w:rsidRPr="00C10D6E" w:rsidRDefault="006451A9" w:rsidP="00C10D6E">
            <w:pPr>
              <w:spacing w:line="240" w:lineRule="exact"/>
              <w:contextualSpacing/>
              <w:jc w:val="center"/>
              <w:rPr>
                <w:rFonts w:asciiTheme="minorHAnsi" w:eastAsia="Calibri" w:hAnsiTheme="minorHAnsi"/>
                <w:color w:val="auto"/>
                <w:sz w:val="22"/>
                <w:szCs w:val="22"/>
              </w:rPr>
            </w:pPr>
            <w:r w:rsidRPr="00C10D6E">
              <w:rPr>
                <w:rFonts w:asciiTheme="minorHAnsi" w:eastAsia="Calibri" w:hAnsiTheme="minorHAnsi"/>
                <w:color w:val="auto"/>
                <w:sz w:val="22"/>
                <w:szCs w:val="22"/>
              </w:rPr>
              <w:t>80⁰</w:t>
            </w:r>
          </w:p>
        </w:tc>
        <w:tc>
          <w:tcPr>
            <w:tcW w:w="3131" w:type="dxa"/>
            <w:tcBorders>
              <w:top w:val="single" w:sz="4" w:space="0" w:color="000000"/>
              <w:left w:val="single" w:sz="4" w:space="0" w:color="000000"/>
              <w:bottom w:val="single" w:sz="4" w:space="0" w:color="000000"/>
              <w:right w:val="single" w:sz="4" w:space="0" w:color="000000"/>
            </w:tcBorders>
            <w:vAlign w:val="center"/>
          </w:tcPr>
          <w:p w:rsidR="006451A9" w:rsidRPr="00C10D6E" w:rsidRDefault="007B1FF0" w:rsidP="00C10D6E">
            <w:pPr>
              <w:spacing w:line="240" w:lineRule="exact"/>
              <w:contextualSpacing/>
              <w:jc w:val="center"/>
              <w:rPr>
                <w:rFonts w:asciiTheme="minorHAnsi" w:eastAsia="Calibri" w:hAnsiTheme="minorHAnsi"/>
                <w:color w:val="auto"/>
                <w:sz w:val="22"/>
                <w:szCs w:val="22"/>
              </w:rPr>
            </w:pPr>
            <w:r w:rsidRPr="00C10D6E">
              <w:rPr>
                <w:rFonts w:asciiTheme="minorHAnsi" w:eastAsia="Calibri" w:hAnsiTheme="minorHAnsi"/>
                <w:color w:val="auto"/>
                <w:sz w:val="22"/>
                <w:szCs w:val="22"/>
              </w:rPr>
              <w:t>&gt;90</w:t>
            </w:r>
            <w:r w:rsidR="006451A9" w:rsidRPr="00C10D6E">
              <w:rPr>
                <w:rFonts w:asciiTheme="minorHAnsi" w:eastAsia="Calibri" w:hAnsiTheme="minorHAnsi"/>
                <w:color w:val="auto"/>
                <w:sz w:val="22"/>
                <w:szCs w:val="22"/>
              </w:rPr>
              <w:t>⁰</w:t>
            </w:r>
          </w:p>
        </w:tc>
      </w:tr>
      <w:tr w:rsidR="006451A9" w:rsidRPr="00C10D6E" w:rsidTr="00C10D6E">
        <w:trPr>
          <w:jc w:val="center"/>
        </w:trPr>
        <w:tc>
          <w:tcPr>
            <w:tcW w:w="2148" w:type="dxa"/>
            <w:tcBorders>
              <w:top w:val="single" w:sz="4" w:space="0" w:color="000000"/>
              <w:left w:val="single" w:sz="4" w:space="0" w:color="000000"/>
              <w:bottom w:val="single" w:sz="4" w:space="0" w:color="000000"/>
              <w:right w:val="single" w:sz="4" w:space="0" w:color="000000"/>
            </w:tcBorders>
            <w:vAlign w:val="center"/>
            <w:hideMark/>
          </w:tcPr>
          <w:p w:rsidR="006451A9" w:rsidRPr="00C10D6E" w:rsidRDefault="007B1FF0" w:rsidP="00C10D6E">
            <w:pPr>
              <w:pStyle w:val="ListParagraph"/>
              <w:spacing w:after="0" w:line="240" w:lineRule="exact"/>
              <w:ind w:left="0"/>
              <w:jc w:val="center"/>
              <w:rPr>
                <w:rFonts w:eastAsia="Calibri" w:cs="Times New Roman"/>
              </w:rPr>
            </w:pPr>
            <w:r w:rsidRPr="00C10D6E">
              <w:rPr>
                <w:rFonts w:eastAsia="Calibri" w:cs="Times New Roman"/>
              </w:rPr>
              <w:t xml:space="preserve">Combined </w:t>
            </w:r>
            <w:r w:rsidR="006451A9" w:rsidRPr="00C10D6E">
              <w:rPr>
                <w:rFonts w:eastAsia="Calibri" w:cs="Times New Roman"/>
              </w:rPr>
              <w:t>(240</w:t>
            </w:r>
            <w:r w:rsidRPr="00C10D6E">
              <w:rPr>
                <w:rFonts w:eastAsia="Calibri"/>
              </w:rPr>
              <w:t>⁰</w:t>
            </w:r>
            <w:r w:rsidR="006451A9" w:rsidRPr="00C10D6E">
              <w:rPr>
                <w:rFonts w:eastAsia="Calibri" w:cs="Times New Roman"/>
              </w:rPr>
              <w:t>)</w:t>
            </w:r>
          </w:p>
        </w:tc>
        <w:tc>
          <w:tcPr>
            <w:tcW w:w="2108" w:type="dxa"/>
            <w:tcBorders>
              <w:top w:val="single" w:sz="4" w:space="0" w:color="000000"/>
              <w:left w:val="single" w:sz="4" w:space="0" w:color="000000"/>
              <w:bottom w:val="single" w:sz="4" w:space="0" w:color="000000"/>
              <w:right w:val="single" w:sz="4" w:space="0" w:color="000000"/>
            </w:tcBorders>
            <w:vAlign w:val="center"/>
          </w:tcPr>
          <w:p w:rsidR="006451A9" w:rsidRPr="00C10D6E" w:rsidRDefault="007B1FF0" w:rsidP="00C10D6E">
            <w:pPr>
              <w:spacing w:line="240" w:lineRule="exact"/>
              <w:jc w:val="center"/>
              <w:rPr>
                <w:rFonts w:asciiTheme="minorHAnsi" w:hAnsiTheme="minorHAnsi"/>
                <w:color w:val="auto"/>
                <w:sz w:val="22"/>
                <w:szCs w:val="22"/>
              </w:rPr>
            </w:pPr>
            <w:r w:rsidRPr="00C10D6E">
              <w:rPr>
                <w:rFonts w:asciiTheme="minorHAnsi" w:eastAsia="Calibri" w:hAnsiTheme="minorHAnsi"/>
                <w:color w:val="auto"/>
                <w:sz w:val="22"/>
                <w:szCs w:val="22"/>
              </w:rPr>
              <w:t>Incomplete</w:t>
            </w:r>
          </w:p>
        </w:tc>
        <w:tc>
          <w:tcPr>
            <w:tcW w:w="3131" w:type="dxa"/>
            <w:tcBorders>
              <w:top w:val="single" w:sz="4" w:space="0" w:color="000000"/>
              <w:left w:val="single" w:sz="4" w:space="0" w:color="000000"/>
              <w:bottom w:val="single" w:sz="4" w:space="0" w:color="000000"/>
              <w:right w:val="single" w:sz="4" w:space="0" w:color="000000"/>
            </w:tcBorders>
            <w:vAlign w:val="center"/>
          </w:tcPr>
          <w:p w:rsidR="006451A9" w:rsidRPr="00C10D6E" w:rsidRDefault="00764357" w:rsidP="00C10D6E">
            <w:pPr>
              <w:spacing w:line="240" w:lineRule="exact"/>
              <w:jc w:val="center"/>
              <w:rPr>
                <w:rFonts w:asciiTheme="minorHAnsi" w:hAnsiTheme="minorHAnsi"/>
                <w:color w:val="auto"/>
                <w:sz w:val="22"/>
                <w:szCs w:val="22"/>
              </w:rPr>
            </w:pPr>
            <w:r w:rsidRPr="00C10D6E">
              <w:rPr>
                <w:rFonts w:asciiTheme="minorHAnsi" w:eastAsia="Calibri" w:hAnsiTheme="minorHAnsi"/>
                <w:color w:val="auto"/>
                <w:sz w:val="22"/>
                <w:szCs w:val="22"/>
              </w:rPr>
              <w:t>Incomplete</w:t>
            </w:r>
          </w:p>
        </w:tc>
      </w:tr>
      <w:tr w:rsidR="006451A9" w:rsidRPr="00C10D6E" w:rsidTr="00C10D6E">
        <w:trPr>
          <w:jc w:val="center"/>
        </w:trPr>
        <w:tc>
          <w:tcPr>
            <w:tcW w:w="2148" w:type="dxa"/>
            <w:tcBorders>
              <w:top w:val="single" w:sz="4" w:space="0" w:color="000000"/>
              <w:left w:val="single" w:sz="4" w:space="0" w:color="000000"/>
              <w:bottom w:val="single" w:sz="4" w:space="0" w:color="000000"/>
              <w:right w:val="single" w:sz="4" w:space="0" w:color="000000"/>
            </w:tcBorders>
            <w:vAlign w:val="center"/>
            <w:hideMark/>
          </w:tcPr>
          <w:p w:rsidR="006451A9" w:rsidRPr="00C10D6E" w:rsidRDefault="006451A9" w:rsidP="00C10D6E">
            <w:pPr>
              <w:pStyle w:val="ListParagraph"/>
              <w:spacing w:after="0" w:line="240" w:lineRule="exact"/>
              <w:ind w:left="0"/>
              <w:jc w:val="center"/>
              <w:rPr>
                <w:rFonts w:eastAsia="Calibri" w:cs="Times New Roman"/>
              </w:rPr>
            </w:pPr>
            <w:r w:rsidRPr="00C10D6E">
              <w:rPr>
                <w:rFonts w:eastAsia="Calibri" w:cs="Times New Roman"/>
              </w:rPr>
              <w:t>Comment</w:t>
            </w:r>
          </w:p>
        </w:tc>
        <w:tc>
          <w:tcPr>
            <w:tcW w:w="2108" w:type="dxa"/>
            <w:tcBorders>
              <w:top w:val="single" w:sz="4" w:space="0" w:color="000000"/>
              <w:left w:val="single" w:sz="4" w:space="0" w:color="000000"/>
              <w:bottom w:val="single" w:sz="4" w:space="0" w:color="000000"/>
              <w:right w:val="single" w:sz="4" w:space="0" w:color="000000"/>
            </w:tcBorders>
            <w:vAlign w:val="center"/>
          </w:tcPr>
          <w:p w:rsidR="006451A9" w:rsidRPr="00C10D6E" w:rsidRDefault="00002958" w:rsidP="00C10D6E">
            <w:pPr>
              <w:tabs>
                <w:tab w:val="left" w:pos="288"/>
                <w:tab w:val="left" w:pos="4752"/>
              </w:tabs>
              <w:spacing w:line="240" w:lineRule="exact"/>
              <w:jc w:val="center"/>
              <w:rPr>
                <w:rFonts w:asciiTheme="minorHAnsi" w:eastAsiaTheme="minorHAnsi" w:hAnsiTheme="minorHAnsi"/>
                <w:color w:val="auto"/>
                <w:sz w:val="22"/>
                <w:szCs w:val="22"/>
              </w:rPr>
            </w:pPr>
            <w:r w:rsidRPr="00C10D6E">
              <w:rPr>
                <w:rFonts w:asciiTheme="minorHAnsi" w:eastAsiaTheme="minorHAnsi" w:hAnsiTheme="minorHAnsi"/>
                <w:color w:val="auto"/>
                <w:sz w:val="22"/>
                <w:szCs w:val="22"/>
              </w:rPr>
              <w:t xml:space="preserve">Normal </w:t>
            </w:r>
            <w:r w:rsidR="007B1FF0" w:rsidRPr="00C10D6E">
              <w:rPr>
                <w:rFonts w:asciiTheme="minorHAnsi" w:eastAsiaTheme="minorHAnsi" w:hAnsiTheme="minorHAnsi"/>
                <w:color w:val="auto"/>
                <w:sz w:val="22"/>
                <w:szCs w:val="22"/>
              </w:rPr>
              <w:t>g</w:t>
            </w:r>
            <w:r w:rsidRPr="00C10D6E">
              <w:rPr>
                <w:rFonts w:asciiTheme="minorHAnsi" w:eastAsiaTheme="minorHAnsi" w:hAnsiTheme="minorHAnsi"/>
                <w:color w:val="auto"/>
                <w:sz w:val="22"/>
                <w:szCs w:val="22"/>
              </w:rPr>
              <w:t>ait</w:t>
            </w:r>
            <w:r w:rsidR="00C10D6E">
              <w:rPr>
                <w:rFonts w:asciiTheme="minorHAnsi" w:eastAsiaTheme="minorHAnsi" w:hAnsiTheme="minorHAnsi"/>
                <w:color w:val="auto"/>
                <w:sz w:val="22"/>
                <w:szCs w:val="22"/>
              </w:rPr>
              <w:t>.</w:t>
            </w:r>
          </w:p>
        </w:tc>
        <w:tc>
          <w:tcPr>
            <w:tcW w:w="3131" w:type="dxa"/>
            <w:tcBorders>
              <w:top w:val="single" w:sz="4" w:space="0" w:color="000000"/>
              <w:left w:val="single" w:sz="4" w:space="0" w:color="000000"/>
              <w:bottom w:val="single" w:sz="4" w:space="0" w:color="000000"/>
              <w:right w:val="single" w:sz="4" w:space="0" w:color="000000"/>
            </w:tcBorders>
            <w:vAlign w:val="center"/>
          </w:tcPr>
          <w:p w:rsidR="006451A9" w:rsidRPr="00C10D6E" w:rsidRDefault="00002958" w:rsidP="00C10D6E">
            <w:pPr>
              <w:tabs>
                <w:tab w:val="left" w:pos="288"/>
                <w:tab w:val="left" w:pos="4752"/>
              </w:tabs>
              <w:spacing w:line="240" w:lineRule="exact"/>
              <w:rPr>
                <w:rFonts w:asciiTheme="minorHAnsi" w:eastAsiaTheme="minorHAnsi" w:hAnsiTheme="minorHAnsi"/>
                <w:color w:val="auto"/>
                <w:sz w:val="22"/>
                <w:szCs w:val="22"/>
              </w:rPr>
            </w:pPr>
            <w:r w:rsidRPr="00C10D6E">
              <w:rPr>
                <w:rFonts w:asciiTheme="minorHAnsi" w:eastAsiaTheme="minorHAnsi" w:hAnsiTheme="minorHAnsi"/>
                <w:color w:val="auto"/>
                <w:sz w:val="22"/>
                <w:szCs w:val="22"/>
              </w:rPr>
              <w:t xml:space="preserve">Palpable </w:t>
            </w:r>
            <w:r w:rsidR="007B1FF0" w:rsidRPr="00C10D6E">
              <w:rPr>
                <w:rFonts w:asciiTheme="minorHAnsi" w:eastAsiaTheme="minorHAnsi" w:hAnsiTheme="minorHAnsi"/>
                <w:color w:val="auto"/>
                <w:sz w:val="22"/>
                <w:szCs w:val="22"/>
              </w:rPr>
              <w:t>s</w:t>
            </w:r>
            <w:r w:rsidRPr="00C10D6E">
              <w:rPr>
                <w:rFonts w:asciiTheme="minorHAnsi" w:eastAsiaTheme="minorHAnsi" w:hAnsiTheme="minorHAnsi"/>
                <w:color w:val="auto"/>
                <w:sz w:val="22"/>
                <w:szCs w:val="22"/>
              </w:rPr>
              <w:t>pasm</w:t>
            </w:r>
            <w:r w:rsidR="007B1FF0" w:rsidRPr="00C10D6E">
              <w:rPr>
                <w:rFonts w:asciiTheme="minorHAnsi" w:eastAsiaTheme="minorHAnsi" w:hAnsiTheme="minorHAnsi"/>
                <w:color w:val="auto"/>
                <w:sz w:val="22"/>
                <w:szCs w:val="22"/>
              </w:rPr>
              <w:t>; painful motion</w:t>
            </w:r>
            <w:r w:rsidR="00C10D6E">
              <w:rPr>
                <w:rFonts w:asciiTheme="minorHAnsi" w:eastAsiaTheme="minorHAnsi" w:hAnsiTheme="minorHAnsi"/>
                <w:color w:val="auto"/>
                <w:sz w:val="22"/>
                <w:szCs w:val="22"/>
              </w:rPr>
              <w:t>.</w:t>
            </w:r>
          </w:p>
        </w:tc>
      </w:tr>
      <w:tr w:rsidR="006451A9" w:rsidRPr="00C10D6E" w:rsidTr="00C10D6E">
        <w:trPr>
          <w:jc w:val="center"/>
        </w:trPr>
        <w:tc>
          <w:tcPr>
            <w:tcW w:w="2148" w:type="dxa"/>
            <w:tcBorders>
              <w:top w:val="single" w:sz="4" w:space="0" w:color="000000"/>
              <w:left w:val="single" w:sz="4" w:space="0" w:color="000000"/>
              <w:bottom w:val="single" w:sz="4" w:space="0" w:color="000000"/>
              <w:right w:val="single" w:sz="4" w:space="0" w:color="000000"/>
            </w:tcBorders>
            <w:vAlign w:val="center"/>
            <w:hideMark/>
          </w:tcPr>
          <w:p w:rsidR="006451A9" w:rsidRPr="00C10D6E" w:rsidRDefault="006451A9" w:rsidP="00C10D6E">
            <w:pPr>
              <w:pStyle w:val="ListParagraph"/>
              <w:spacing w:after="0" w:line="240" w:lineRule="exact"/>
              <w:ind w:left="0"/>
              <w:jc w:val="center"/>
              <w:rPr>
                <w:rFonts w:eastAsia="Calibri" w:cs="Times New Roman"/>
              </w:rPr>
            </w:pPr>
            <w:r w:rsidRPr="00C10D6E">
              <w:rPr>
                <w:rFonts w:eastAsia="Calibri" w:cs="Times New Roman"/>
              </w:rPr>
              <w:t>§4.71a Rating</w:t>
            </w:r>
          </w:p>
        </w:tc>
        <w:tc>
          <w:tcPr>
            <w:tcW w:w="2108" w:type="dxa"/>
            <w:tcBorders>
              <w:top w:val="single" w:sz="4" w:space="0" w:color="000000"/>
              <w:left w:val="single" w:sz="4" w:space="0" w:color="000000"/>
              <w:bottom w:val="single" w:sz="4" w:space="0" w:color="000000"/>
              <w:right w:val="single" w:sz="4" w:space="0" w:color="000000"/>
            </w:tcBorders>
            <w:vAlign w:val="center"/>
          </w:tcPr>
          <w:p w:rsidR="006451A9" w:rsidRPr="00C10D6E" w:rsidRDefault="006451A9" w:rsidP="00C10D6E">
            <w:pPr>
              <w:tabs>
                <w:tab w:val="left" w:pos="288"/>
                <w:tab w:val="left" w:pos="4752"/>
              </w:tabs>
              <w:spacing w:line="240" w:lineRule="exact"/>
              <w:jc w:val="center"/>
              <w:rPr>
                <w:rFonts w:asciiTheme="minorHAnsi" w:eastAsiaTheme="minorHAnsi" w:hAnsiTheme="minorHAnsi"/>
                <w:color w:val="auto"/>
                <w:sz w:val="22"/>
                <w:szCs w:val="22"/>
              </w:rPr>
            </w:pPr>
            <w:r w:rsidRPr="00C10D6E">
              <w:rPr>
                <w:rFonts w:asciiTheme="minorHAnsi" w:eastAsiaTheme="minorHAnsi" w:hAnsiTheme="minorHAnsi"/>
                <w:color w:val="auto"/>
                <w:sz w:val="22"/>
                <w:szCs w:val="22"/>
              </w:rPr>
              <w:t>10%</w:t>
            </w:r>
          </w:p>
        </w:tc>
        <w:tc>
          <w:tcPr>
            <w:tcW w:w="3131" w:type="dxa"/>
            <w:tcBorders>
              <w:top w:val="single" w:sz="4" w:space="0" w:color="000000"/>
              <w:left w:val="single" w:sz="4" w:space="0" w:color="000000"/>
              <w:bottom w:val="single" w:sz="4" w:space="0" w:color="000000"/>
              <w:right w:val="single" w:sz="4" w:space="0" w:color="000000"/>
            </w:tcBorders>
            <w:vAlign w:val="center"/>
          </w:tcPr>
          <w:p w:rsidR="006451A9" w:rsidRPr="00C10D6E" w:rsidRDefault="009A068D" w:rsidP="00C10D6E">
            <w:pPr>
              <w:tabs>
                <w:tab w:val="left" w:pos="288"/>
                <w:tab w:val="left" w:pos="4752"/>
              </w:tabs>
              <w:spacing w:line="240" w:lineRule="exact"/>
              <w:jc w:val="center"/>
              <w:rPr>
                <w:rFonts w:asciiTheme="minorHAnsi" w:eastAsiaTheme="minorHAnsi" w:hAnsiTheme="minorHAnsi"/>
                <w:color w:val="auto"/>
                <w:sz w:val="22"/>
                <w:szCs w:val="22"/>
              </w:rPr>
            </w:pPr>
            <w:r w:rsidRPr="00C10D6E">
              <w:rPr>
                <w:rFonts w:asciiTheme="minorHAnsi" w:eastAsiaTheme="minorHAnsi" w:hAnsiTheme="minorHAnsi"/>
                <w:color w:val="auto"/>
                <w:sz w:val="22"/>
                <w:szCs w:val="22"/>
              </w:rPr>
              <w:t>10</w:t>
            </w:r>
            <w:r w:rsidR="006451A9" w:rsidRPr="00C10D6E">
              <w:rPr>
                <w:rFonts w:asciiTheme="minorHAnsi" w:eastAsiaTheme="minorHAnsi" w:hAnsiTheme="minorHAnsi"/>
                <w:color w:val="auto"/>
                <w:sz w:val="22"/>
                <w:szCs w:val="22"/>
              </w:rPr>
              <w:t>%</w:t>
            </w:r>
          </w:p>
        </w:tc>
      </w:tr>
    </w:tbl>
    <w:p w:rsidR="006451A9" w:rsidRDefault="006451A9" w:rsidP="00EF0529">
      <w:pPr>
        <w:spacing w:line="240" w:lineRule="exact"/>
        <w:rPr>
          <w:rFonts w:asciiTheme="minorHAnsi" w:hAnsiTheme="minorHAnsi"/>
          <w:color w:val="auto"/>
          <w:szCs w:val="24"/>
        </w:rPr>
      </w:pPr>
    </w:p>
    <w:p w:rsidR="00F350C6" w:rsidRPr="000C1B35" w:rsidRDefault="00F350C6" w:rsidP="000C1B35">
      <w:pPr>
        <w:tabs>
          <w:tab w:val="left" w:pos="288"/>
          <w:tab w:val="left" w:pos="4752"/>
        </w:tabs>
        <w:spacing w:line="240" w:lineRule="exact"/>
        <w:jc w:val="both"/>
        <w:rPr>
          <w:color w:val="auto"/>
          <w:szCs w:val="24"/>
        </w:rPr>
      </w:pPr>
      <w:r w:rsidRPr="000C1B35">
        <w:rPr>
          <w:color w:val="auto"/>
          <w:szCs w:val="24"/>
        </w:rPr>
        <w:t xml:space="preserve">The MEB physician documented </w:t>
      </w:r>
      <w:r w:rsidR="000C1B35" w:rsidRPr="000C1B35">
        <w:rPr>
          <w:color w:val="auto"/>
          <w:szCs w:val="24"/>
        </w:rPr>
        <w:t>painful</w:t>
      </w:r>
      <w:r w:rsidR="00C10D6E">
        <w:rPr>
          <w:color w:val="auto"/>
          <w:szCs w:val="24"/>
        </w:rPr>
        <w:t>,</w:t>
      </w:r>
      <w:r w:rsidR="000C1B35" w:rsidRPr="000C1B35">
        <w:rPr>
          <w:color w:val="auto"/>
          <w:szCs w:val="24"/>
        </w:rPr>
        <w:t xml:space="preserve"> but minimally limited</w:t>
      </w:r>
      <w:r w:rsidR="00C10D6E">
        <w:rPr>
          <w:color w:val="auto"/>
          <w:szCs w:val="24"/>
        </w:rPr>
        <w:t>,</w:t>
      </w:r>
      <w:r w:rsidR="000C1B35" w:rsidRPr="000C1B35">
        <w:rPr>
          <w:color w:val="auto"/>
          <w:szCs w:val="24"/>
        </w:rPr>
        <w:t xml:space="preserve"> ROM of the lumbar spine.  The gait was noted to be normal, as </w:t>
      </w:r>
      <w:r w:rsidR="00C10D6E">
        <w:rPr>
          <w:color w:val="auto"/>
          <w:szCs w:val="24"/>
        </w:rPr>
        <w:t>were</w:t>
      </w:r>
      <w:r w:rsidR="000C1B35" w:rsidRPr="000C1B35">
        <w:rPr>
          <w:color w:val="auto"/>
          <w:szCs w:val="24"/>
        </w:rPr>
        <w:t xml:space="preserve"> the </w:t>
      </w:r>
      <w:r w:rsidR="00C10D6E">
        <w:rPr>
          <w:color w:val="auto"/>
          <w:szCs w:val="24"/>
        </w:rPr>
        <w:t>neurological</w:t>
      </w:r>
      <w:r w:rsidR="000C1B35" w:rsidRPr="000C1B35">
        <w:rPr>
          <w:color w:val="auto"/>
          <w:szCs w:val="24"/>
        </w:rPr>
        <w:t xml:space="preserve"> </w:t>
      </w:r>
      <w:r w:rsidR="00C10D6E">
        <w:rPr>
          <w:color w:val="auto"/>
          <w:szCs w:val="24"/>
        </w:rPr>
        <w:t>findings</w:t>
      </w:r>
      <w:r w:rsidR="000C1B35" w:rsidRPr="000C1B35">
        <w:rPr>
          <w:color w:val="auto"/>
          <w:szCs w:val="24"/>
        </w:rPr>
        <w:t xml:space="preserve">.  </w:t>
      </w:r>
      <w:r w:rsidR="000C1B35">
        <w:rPr>
          <w:color w:val="auto"/>
          <w:szCs w:val="24"/>
        </w:rPr>
        <w:t xml:space="preserve">At the </w:t>
      </w:r>
      <w:r w:rsidR="000C1B35" w:rsidRPr="000C1B35">
        <w:rPr>
          <w:color w:val="auto"/>
          <w:szCs w:val="24"/>
        </w:rPr>
        <w:t xml:space="preserve">VA Compensation &amp; Pension (C&amp;P) </w:t>
      </w:r>
      <w:r w:rsidR="00C10D6E">
        <w:rPr>
          <w:color w:val="auto"/>
          <w:szCs w:val="24"/>
        </w:rPr>
        <w:t>evaluation,</w:t>
      </w:r>
      <w:r w:rsidR="00764357">
        <w:rPr>
          <w:color w:val="auto"/>
          <w:szCs w:val="24"/>
        </w:rPr>
        <w:t xml:space="preserve"> the CI </w:t>
      </w:r>
      <w:r w:rsidR="00120920">
        <w:rPr>
          <w:color w:val="auto"/>
          <w:szCs w:val="24"/>
        </w:rPr>
        <w:t>related</w:t>
      </w:r>
      <w:r w:rsidR="00764357">
        <w:rPr>
          <w:color w:val="auto"/>
          <w:szCs w:val="24"/>
        </w:rPr>
        <w:t xml:space="preserve"> a hist</w:t>
      </w:r>
      <w:r w:rsidR="00120920">
        <w:rPr>
          <w:color w:val="auto"/>
          <w:szCs w:val="24"/>
        </w:rPr>
        <w:t xml:space="preserve">ory of her injury and symptoms </w:t>
      </w:r>
      <w:r w:rsidR="00764357">
        <w:rPr>
          <w:color w:val="auto"/>
          <w:szCs w:val="24"/>
        </w:rPr>
        <w:t xml:space="preserve">that </w:t>
      </w:r>
      <w:r w:rsidR="00120920">
        <w:rPr>
          <w:color w:val="auto"/>
          <w:szCs w:val="24"/>
        </w:rPr>
        <w:t>conflicted with</w:t>
      </w:r>
      <w:r w:rsidR="00764357">
        <w:rPr>
          <w:color w:val="auto"/>
          <w:szCs w:val="24"/>
        </w:rPr>
        <w:t xml:space="preserve"> those recorded in the </w:t>
      </w:r>
      <w:r w:rsidR="00120920">
        <w:rPr>
          <w:color w:val="auto"/>
          <w:szCs w:val="24"/>
        </w:rPr>
        <w:t>NARSUM</w:t>
      </w:r>
      <w:r w:rsidR="00764357">
        <w:rPr>
          <w:color w:val="auto"/>
          <w:szCs w:val="24"/>
        </w:rPr>
        <w:t xml:space="preserve"> </w:t>
      </w:r>
      <w:r w:rsidR="00120920">
        <w:rPr>
          <w:color w:val="auto"/>
          <w:szCs w:val="24"/>
        </w:rPr>
        <w:t>and</w:t>
      </w:r>
      <w:r w:rsidR="00764357">
        <w:rPr>
          <w:color w:val="auto"/>
          <w:szCs w:val="24"/>
        </w:rPr>
        <w:t xml:space="preserve"> </w:t>
      </w:r>
      <w:r w:rsidR="00120920">
        <w:rPr>
          <w:color w:val="auto"/>
          <w:szCs w:val="24"/>
        </w:rPr>
        <w:t xml:space="preserve">STR; and, included new symptoms of a radiculopathy.  </w:t>
      </w:r>
      <w:r w:rsidR="00764357">
        <w:rPr>
          <w:color w:val="auto"/>
          <w:szCs w:val="24"/>
        </w:rPr>
        <w:t xml:space="preserve">The </w:t>
      </w:r>
      <w:r w:rsidR="00120920">
        <w:rPr>
          <w:color w:val="auto"/>
          <w:szCs w:val="24"/>
        </w:rPr>
        <w:t xml:space="preserve">VA </w:t>
      </w:r>
      <w:r w:rsidR="00764357">
        <w:rPr>
          <w:color w:val="auto"/>
          <w:szCs w:val="24"/>
        </w:rPr>
        <w:t xml:space="preserve">examiner noted </w:t>
      </w:r>
      <w:r w:rsidR="00120920">
        <w:rPr>
          <w:color w:val="auto"/>
          <w:szCs w:val="24"/>
        </w:rPr>
        <w:t xml:space="preserve">a “slight axial, forward guarding” gait with “no obvious limp” and left paraspinal muscle spasm.  </w:t>
      </w:r>
      <w:r w:rsidR="00764357">
        <w:rPr>
          <w:color w:val="auto"/>
          <w:szCs w:val="24"/>
        </w:rPr>
        <w:t>ROM was ful</w:t>
      </w:r>
      <w:r w:rsidR="00120920">
        <w:rPr>
          <w:color w:val="auto"/>
          <w:szCs w:val="24"/>
        </w:rPr>
        <w:t xml:space="preserve">l, but </w:t>
      </w:r>
      <w:r w:rsidR="007D2C15">
        <w:rPr>
          <w:color w:val="auto"/>
          <w:szCs w:val="24"/>
        </w:rPr>
        <w:t>elicited</w:t>
      </w:r>
      <w:r w:rsidR="00120920">
        <w:rPr>
          <w:color w:val="auto"/>
          <w:szCs w:val="24"/>
        </w:rPr>
        <w:t xml:space="preserve"> pain.  The l</w:t>
      </w:r>
      <w:r w:rsidR="00764357">
        <w:rPr>
          <w:color w:val="auto"/>
          <w:szCs w:val="24"/>
        </w:rPr>
        <w:t>ower extremity motor exam and reflexes were normal.</w:t>
      </w:r>
      <w:r w:rsidR="001F1A8E">
        <w:rPr>
          <w:color w:val="auto"/>
          <w:szCs w:val="24"/>
        </w:rPr>
        <w:t xml:space="preserve">  The examiner diagnosed mechanical low back pain, radiculopathy of the right lower extremity, and scoliosis.  He opined that the scoliosis was likely congenital, but could not give a </w:t>
      </w:r>
      <w:r w:rsidR="0052160F">
        <w:rPr>
          <w:color w:val="auto"/>
          <w:szCs w:val="24"/>
        </w:rPr>
        <w:t>definitive</w:t>
      </w:r>
      <w:r w:rsidR="001F1A8E">
        <w:rPr>
          <w:color w:val="auto"/>
          <w:szCs w:val="24"/>
        </w:rPr>
        <w:t xml:space="preserve"> opinion </w:t>
      </w:r>
      <w:r w:rsidR="0052160F">
        <w:rPr>
          <w:color w:val="auto"/>
          <w:szCs w:val="24"/>
        </w:rPr>
        <w:t>regarding</w:t>
      </w:r>
      <w:r w:rsidR="001F1A8E">
        <w:rPr>
          <w:color w:val="auto"/>
          <w:szCs w:val="24"/>
        </w:rPr>
        <w:t xml:space="preserve"> service connect</w:t>
      </w:r>
      <w:r w:rsidR="0052160F">
        <w:rPr>
          <w:color w:val="auto"/>
          <w:szCs w:val="24"/>
        </w:rPr>
        <w:t xml:space="preserve">ion.  </w:t>
      </w:r>
    </w:p>
    <w:p w:rsidR="00F350C6" w:rsidRDefault="00F350C6" w:rsidP="00DF7083">
      <w:pPr>
        <w:tabs>
          <w:tab w:val="left" w:pos="288"/>
          <w:tab w:val="left" w:pos="4752"/>
        </w:tabs>
        <w:spacing w:line="240" w:lineRule="exact"/>
        <w:jc w:val="both"/>
        <w:rPr>
          <w:color w:val="auto"/>
          <w:szCs w:val="24"/>
          <w:highlight w:val="green"/>
        </w:rPr>
      </w:pPr>
    </w:p>
    <w:p w:rsidR="00DF7083" w:rsidRPr="000C1B35" w:rsidRDefault="00DF7083" w:rsidP="00DF7083">
      <w:pPr>
        <w:tabs>
          <w:tab w:val="left" w:pos="288"/>
          <w:tab w:val="left" w:pos="4752"/>
        </w:tabs>
        <w:spacing w:line="240" w:lineRule="exact"/>
        <w:jc w:val="both"/>
        <w:rPr>
          <w:color w:val="auto"/>
          <w:szCs w:val="24"/>
        </w:rPr>
      </w:pPr>
      <w:r w:rsidRPr="000C1B35">
        <w:rPr>
          <w:color w:val="auto"/>
          <w:szCs w:val="24"/>
        </w:rPr>
        <w:t>The Board must correlate the above clinical data with the VA rating schedule in effect at the time of the CI’s separation.  For convenience the applicable codes are excerpted below:</w:t>
      </w:r>
    </w:p>
    <w:p w:rsidR="00DF7083" w:rsidRPr="000C1B35" w:rsidRDefault="00DF7083" w:rsidP="00DF7083">
      <w:pPr>
        <w:tabs>
          <w:tab w:val="left" w:pos="288"/>
          <w:tab w:val="left" w:pos="4752"/>
        </w:tabs>
        <w:spacing w:line="240" w:lineRule="exact"/>
        <w:jc w:val="both"/>
        <w:rPr>
          <w:rFonts w:eastAsia="Calibri"/>
          <w:color w:val="auto"/>
          <w:szCs w:val="24"/>
        </w:rPr>
      </w:pPr>
    </w:p>
    <w:p w:rsidR="00DF7083" w:rsidRPr="000C1B35" w:rsidRDefault="00DF7083" w:rsidP="00DF7083">
      <w:pPr>
        <w:autoSpaceDE w:val="0"/>
        <w:autoSpaceDN w:val="0"/>
        <w:adjustRightInd w:val="0"/>
        <w:spacing w:line="200" w:lineRule="exact"/>
        <w:ind w:left="864"/>
        <w:rPr>
          <w:rFonts w:ascii="Times New Roman" w:hAnsi="Times New Roman"/>
          <w:color w:val="auto"/>
          <w:sz w:val="20"/>
        </w:rPr>
      </w:pPr>
      <w:r w:rsidRPr="000C1B35">
        <w:rPr>
          <w:rFonts w:ascii="Times New Roman" w:hAnsi="Times New Roman"/>
          <w:b/>
          <w:bCs/>
          <w:color w:val="auto"/>
          <w:sz w:val="20"/>
        </w:rPr>
        <w:t xml:space="preserve">5292 </w:t>
      </w:r>
      <w:r w:rsidRPr="000C1B35">
        <w:rPr>
          <w:rFonts w:ascii="Times New Roman" w:hAnsi="Times New Roman"/>
          <w:color w:val="auto"/>
          <w:sz w:val="20"/>
        </w:rPr>
        <w:t>Spine, limitation of motion of, lumbar:</w:t>
      </w:r>
    </w:p>
    <w:p w:rsidR="00DF7083" w:rsidRPr="000C1B35" w:rsidRDefault="00DF7083" w:rsidP="00DF7083">
      <w:pPr>
        <w:autoSpaceDE w:val="0"/>
        <w:autoSpaceDN w:val="0"/>
        <w:adjustRightInd w:val="0"/>
        <w:spacing w:line="200" w:lineRule="exact"/>
        <w:ind w:left="864" w:firstLine="720"/>
        <w:rPr>
          <w:rFonts w:ascii="Times New Roman" w:hAnsi="Times New Roman"/>
          <w:color w:val="auto"/>
          <w:sz w:val="20"/>
        </w:rPr>
      </w:pPr>
      <w:r w:rsidRPr="000C1B35">
        <w:rPr>
          <w:rFonts w:ascii="Times New Roman" w:hAnsi="Times New Roman"/>
          <w:color w:val="auto"/>
          <w:sz w:val="20"/>
        </w:rPr>
        <w:t xml:space="preserve">Severe </w:t>
      </w:r>
      <w:proofErr w:type="gramStart"/>
      <w:r w:rsidRPr="000C1B35">
        <w:rPr>
          <w:rFonts w:ascii="Times New Roman" w:hAnsi="Times New Roman"/>
          <w:color w:val="auto"/>
          <w:sz w:val="20"/>
        </w:rPr>
        <w:t>………………………………………………………..……….…………....</w:t>
      </w:r>
      <w:proofErr w:type="gramEnd"/>
      <w:r w:rsidRPr="000C1B35">
        <w:rPr>
          <w:rFonts w:ascii="Times New Roman" w:hAnsi="Times New Roman"/>
          <w:color w:val="auto"/>
          <w:sz w:val="20"/>
        </w:rPr>
        <w:t xml:space="preserve"> 40</w:t>
      </w:r>
    </w:p>
    <w:p w:rsidR="00DF7083" w:rsidRPr="000C1B35" w:rsidRDefault="00DF7083" w:rsidP="00DF7083">
      <w:pPr>
        <w:autoSpaceDE w:val="0"/>
        <w:autoSpaceDN w:val="0"/>
        <w:adjustRightInd w:val="0"/>
        <w:spacing w:line="200" w:lineRule="exact"/>
        <w:ind w:left="864" w:firstLine="720"/>
        <w:rPr>
          <w:rFonts w:ascii="Times New Roman" w:hAnsi="Times New Roman"/>
          <w:color w:val="auto"/>
          <w:sz w:val="20"/>
        </w:rPr>
      </w:pPr>
      <w:r w:rsidRPr="000C1B35">
        <w:rPr>
          <w:rFonts w:ascii="Times New Roman" w:hAnsi="Times New Roman"/>
          <w:color w:val="auto"/>
          <w:sz w:val="20"/>
        </w:rPr>
        <w:t>Moderate …………………………………….……………….…….…………...…. 20</w:t>
      </w:r>
    </w:p>
    <w:p w:rsidR="00DF7083" w:rsidRPr="000C1B35" w:rsidRDefault="00DF7083" w:rsidP="00DF7083">
      <w:pPr>
        <w:autoSpaceDE w:val="0"/>
        <w:autoSpaceDN w:val="0"/>
        <w:adjustRightInd w:val="0"/>
        <w:spacing w:line="200" w:lineRule="exact"/>
        <w:ind w:left="864" w:firstLine="720"/>
        <w:rPr>
          <w:rFonts w:ascii="Times New Roman" w:hAnsi="Times New Roman"/>
          <w:color w:val="auto"/>
          <w:sz w:val="20"/>
        </w:rPr>
      </w:pPr>
      <w:r w:rsidRPr="000C1B35">
        <w:rPr>
          <w:rFonts w:ascii="Times New Roman" w:hAnsi="Times New Roman"/>
          <w:color w:val="auto"/>
          <w:sz w:val="20"/>
        </w:rPr>
        <w:t xml:space="preserve">Slight </w:t>
      </w:r>
      <w:proofErr w:type="gramStart"/>
      <w:r w:rsidRPr="000C1B35">
        <w:rPr>
          <w:rFonts w:ascii="Times New Roman" w:hAnsi="Times New Roman"/>
          <w:color w:val="auto"/>
          <w:sz w:val="20"/>
        </w:rPr>
        <w:t>………………………………………………………..…………………...….</w:t>
      </w:r>
      <w:proofErr w:type="gramEnd"/>
      <w:r w:rsidRPr="000C1B35">
        <w:rPr>
          <w:rFonts w:ascii="Times New Roman" w:hAnsi="Times New Roman"/>
          <w:color w:val="auto"/>
          <w:sz w:val="20"/>
        </w:rPr>
        <w:t>10</w:t>
      </w:r>
    </w:p>
    <w:p w:rsidR="00DF7083" w:rsidRPr="000C1B35" w:rsidRDefault="00DF7083" w:rsidP="00DF7083">
      <w:pPr>
        <w:autoSpaceDE w:val="0"/>
        <w:autoSpaceDN w:val="0"/>
        <w:adjustRightInd w:val="0"/>
        <w:spacing w:line="200" w:lineRule="exact"/>
        <w:rPr>
          <w:rFonts w:ascii="Times New Roman" w:hAnsi="Times New Roman"/>
          <w:b/>
          <w:bCs/>
          <w:color w:val="auto"/>
          <w:sz w:val="20"/>
        </w:rPr>
      </w:pPr>
    </w:p>
    <w:p w:rsidR="00DF7083" w:rsidRPr="000C1B35" w:rsidRDefault="00DF7083" w:rsidP="00DF7083">
      <w:pPr>
        <w:autoSpaceDE w:val="0"/>
        <w:autoSpaceDN w:val="0"/>
        <w:adjustRightInd w:val="0"/>
        <w:spacing w:line="200" w:lineRule="exact"/>
        <w:ind w:left="864"/>
        <w:rPr>
          <w:rFonts w:ascii="Times New Roman" w:hAnsi="Times New Roman"/>
          <w:color w:val="auto"/>
          <w:sz w:val="20"/>
        </w:rPr>
      </w:pPr>
      <w:r w:rsidRPr="000C1B35">
        <w:rPr>
          <w:rFonts w:ascii="Times New Roman" w:hAnsi="Times New Roman"/>
          <w:b/>
          <w:bCs/>
          <w:color w:val="auto"/>
          <w:sz w:val="20"/>
        </w:rPr>
        <w:t xml:space="preserve">5293 </w:t>
      </w:r>
      <w:r w:rsidRPr="000C1B35">
        <w:rPr>
          <w:rFonts w:ascii="Times New Roman" w:hAnsi="Times New Roman"/>
          <w:color w:val="auto"/>
          <w:sz w:val="20"/>
        </w:rPr>
        <w:t>Intervertebral disc syndrome:</w:t>
      </w:r>
    </w:p>
    <w:p w:rsidR="00DF7083" w:rsidRPr="000C1B35" w:rsidRDefault="00DF7083" w:rsidP="00DF7083">
      <w:pPr>
        <w:spacing w:line="200" w:lineRule="exact"/>
        <w:ind w:left="900" w:firstLine="720"/>
        <w:rPr>
          <w:rFonts w:ascii="Times New Roman" w:hAnsi="Times New Roman"/>
          <w:color w:val="auto"/>
          <w:sz w:val="20"/>
        </w:rPr>
      </w:pPr>
      <w:r w:rsidRPr="000C1B35">
        <w:rPr>
          <w:rFonts w:ascii="Times New Roman" w:hAnsi="Times New Roman"/>
          <w:color w:val="auto"/>
          <w:sz w:val="20"/>
        </w:rPr>
        <w:t xml:space="preserve">With incapacitating episodes having a total duration of at </w:t>
      </w:r>
    </w:p>
    <w:p w:rsidR="00DF7083" w:rsidRPr="000C1B35" w:rsidRDefault="00DF7083" w:rsidP="00DF7083">
      <w:pPr>
        <w:spacing w:line="200" w:lineRule="exact"/>
        <w:ind w:left="900" w:firstLine="720"/>
        <w:rPr>
          <w:rFonts w:ascii="Times New Roman" w:hAnsi="Times New Roman"/>
          <w:color w:val="auto"/>
          <w:sz w:val="20"/>
        </w:rPr>
      </w:pPr>
      <w:proofErr w:type="gramStart"/>
      <w:r w:rsidRPr="000C1B35">
        <w:rPr>
          <w:rFonts w:ascii="Times New Roman" w:hAnsi="Times New Roman"/>
          <w:color w:val="auto"/>
          <w:sz w:val="20"/>
        </w:rPr>
        <w:t>least</w:t>
      </w:r>
      <w:proofErr w:type="gramEnd"/>
      <w:r w:rsidRPr="000C1B35">
        <w:rPr>
          <w:rFonts w:ascii="Times New Roman" w:hAnsi="Times New Roman"/>
          <w:color w:val="auto"/>
          <w:sz w:val="20"/>
        </w:rPr>
        <w:t xml:space="preserve"> six weeks during the past 12 months............................................................... 60</w:t>
      </w:r>
    </w:p>
    <w:p w:rsidR="00DF7083" w:rsidRPr="000C1B35" w:rsidRDefault="00DF7083" w:rsidP="00DF7083">
      <w:pPr>
        <w:spacing w:line="200" w:lineRule="exact"/>
        <w:ind w:left="900" w:firstLine="720"/>
        <w:rPr>
          <w:rFonts w:ascii="Times New Roman" w:hAnsi="Times New Roman"/>
          <w:color w:val="auto"/>
          <w:sz w:val="20"/>
        </w:rPr>
      </w:pPr>
      <w:r w:rsidRPr="000C1B35">
        <w:rPr>
          <w:rFonts w:ascii="Times New Roman" w:hAnsi="Times New Roman"/>
          <w:color w:val="auto"/>
          <w:sz w:val="20"/>
        </w:rPr>
        <w:t xml:space="preserve">With incapacitating episodes having a total duration of at least </w:t>
      </w:r>
    </w:p>
    <w:p w:rsidR="00DF7083" w:rsidRPr="000C1B35" w:rsidRDefault="00DF7083" w:rsidP="00DF7083">
      <w:pPr>
        <w:spacing w:line="200" w:lineRule="exact"/>
        <w:ind w:left="900" w:firstLine="720"/>
        <w:rPr>
          <w:rFonts w:ascii="Times New Roman" w:hAnsi="Times New Roman"/>
          <w:color w:val="auto"/>
          <w:sz w:val="20"/>
        </w:rPr>
      </w:pPr>
      <w:proofErr w:type="gramStart"/>
      <w:r w:rsidRPr="000C1B35">
        <w:rPr>
          <w:rFonts w:ascii="Times New Roman" w:hAnsi="Times New Roman"/>
          <w:color w:val="auto"/>
          <w:sz w:val="20"/>
        </w:rPr>
        <w:t>four</w:t>
      </w:r>
      <w:proofErr w:type="gramEnd"/>
      <w:r w:rsidRPr="000C1B35">
        <w:rPr>
          <w:rFonts w:ascii="Times New Roman" w:hAnsi="Times New Roman"/>
          <w:color w:val="auto"/>
          <w:sz w:val="20"/>
        </w:rPr>
        <w:t xml:space="preserve"> weeks but less than six weeks during the past 12 months………………...…..40</w:t>
      </w:r>
    </w:p>
    <w:p w:rsidR="00DF7083" w:rsidRPr="000C1B35" w:rsidRDefault="00DF7083" w:rsidP="00DF7083">
      <w:pPr>
        <w:spacing w:line="200" w:lineRule="exact"/>
        <w:ind w:left="900" w:firstLine="720"/>
        <w:rPr>
          <w:rFonts w:ascii="Times New Roman" w:hAnsi="Times New Roman"/>
          <w:color w:val="auto"/>
          <w:sz w:val="20"/>
        </w:rPr>
      </w:pPr>
      <w:r w:rsidRPr="000C1B35">
        <w:rPr>
          <w:rFonts w:ascii="Times New Roman" w:hAnsi="Times New Roman"/>
          <w:color w:val="auto"/>
          <w:sz w:val="20"/>
        </w:rPr>
        <w:t xml:space="preserve">With incapacitating episodes having a total duration of at least </w:t>
      </w:r>
    </w:p>
    <w:p w:rsidR="00DF7083" w:rsidRPr="000C1B35" w:rsidRDefault="00DF7083" w:rsidP="00DF7083">
      <w:pPr>
        <w:spacing w:line="200" w:lineRule="exact"/>
        <w:ind w:left="900" w:firstLine="720"/>
        <w:rPr>
          <w:rFonts w:ascii="Times New Roman" w:hAnsi="Times New Roman"/>
          <w:color w:val="auto"/>
          <w:sz w:val="20"/>
        </w:rPr>
      </w:pPr>
      <w:proofErr w:type="gramStart"/>
      <w:r w:rsidRPr="000C1B35">
        <w:rPr>
          <w:rFonts w:ascii="Times New Roman" w:hAnsi="Times New Roman"/>
          <w:color w:val="auto"/>
          <w:sz w:val="20"/>
        </w:rPr>
        <w:lastRenderedPageBreak/>
        <w:t>two</w:t>
      </w:r>
      <w:proofErr w:type="gramEnd"/>
      <w:r w:rsidRPr="000C1B35">
        <w:rPr>
          <w:rFonts w:ascii="Times New Roman" w:hAnsi="Times New Roman"/>
          <w:color w:val="auto"/>
          <w:sz w:val="20"/>
        </w:rPr>
        <w:t xml:space="preserve"> weeks but less than four weeks during the past 12 months……………………20 </w:t>
      </w:r>
    </w:p>
    <w:p w:rsidR="00DF7083" w:rsidRPr="000C1B35" w:rsidRDefault="00DF7083" w:rsidP="00DF7083">
      <w:pPr>
        <w:spacing w:line="200" w:lineRule="exact"/>
        <w:ind w:left="900" w:firstLine="720"/>
        <w:rPr>
          <w:rFonts w:ascii="Times New Roman" w:hAnsi="Times New Roman"/>
          <w:color w:val="auto"/>
          <w:sz w:val="20"/>
        </w:rPr>
      </w:pPr>
      <w:r w:rsidRPr="000C1B35">
        <w:rPr>
          <w:rFonts w:ascii="Times New Roman" w:hAnsi="Times New Roman"/>
          <w:color w:val="auto"/>
          <w:sz w:val="20"/>
        </w:rPr>
        <w:t>With incapacitating episodes having a total duration of at least</w:t>
      </w:r>
    </w:p>
    <w:p w:rsidR="00DF7083" w:rsidRPr="000C1B35" w:rsidRDefault="00DF7083" w:rsidP="00DF7083">
      <w:pPr>
        <w:spacing w:line="200" w:lineRule="exact"/>
        <w:ind w:left="900" w:firstLine="720"/>
        <w:rPr>
          <w:rFonts w:ascii="Times New Roman" w:hAnsi="Times New Roman"/>
          <w:color w:val="auto"/>
          <w:sz w:val="20"/>
        </w:rPr>
      </w:pPr>
      <w:proofErr w:type="gramStart"/>
      <w:r w:rsidRPr="000C1B35">
        <w:rPr>
          <w:rFonts w:ascii="Times New Roman" w:hAnsi="Times New Roman"/>
          <w:color w:val="auto"/>
          <w:sz w:val="20"/>
        </w:rPr>
        <w:t>one</w:t>
      </w:r>
      <w:proofErr w:type="gramEnd"/>
      <w:r w:rsidRPr="000C1B35">
        <w:rPr>
          <w:rFonts w:ascii="Times New Roman" w:hAnsi="Times New Roman"/>
          <w:color w:val="auto"/>
          <w:sz w:val="20"/>
        </w:rPr>
        <w:t xml:space="preserve"> week but less than two weeks during the past 12 months………………….….10</w:t>
      </w:r>
    </w:p>
    <w:p w:rsidR="00DF7083" w:rsidRPr="000C1B35" w:rsidRDefault="00DF7083" w:rsidP="00DF7083">
      <w:pPr>
        <w:autoSpaceDE w:val="0"/>
        <w:autoSpaceDN w:val="0"/>
        <w:adjustRightInd w:val="0"/>
        <w:spacing w:line="200" w:lineRule="exact"/>
        <w:ind w:left="864"/>
        <w:rPr>
          <w:rFonts w:ascii="Times New Roman" w:hAnsi="Times New Roman"/>
          <w:b/>
          <w:bCs/>
          <w:color w:val="auto"/>
          <w:sz w:val="20"/>
        </w:rPr>
      </w:pPr>
    </w:p>
    <w:p w:rsidR="00DF7083" w:rsidRPr="000C1B35" w:rsidRDefault="00DF7083" w:rsidP="00DF7083">
      <w:pPr>
        <w:autoSpaceDE w:val="0"/>
        <w:autoSpaceDN w:val="0"/>
        <w:adjustRightInd w:val="0"/>
        <w:spacing w:line="200" w:lineRule="exact"/>
        <w:ind w:left="864"/>
        <w:rPr>
          <w:rFonts w:ascii="Times New Roman" w:hAnsi="Times New Roman"/>
          <w:color w:val="auto"/>
          <w:sz w:val="20"/>
        </w:rPr>
      </w:pPr>
      <w:r w:rsidRPr="000C1B35">
        <w:rPr>
          <w:rFonts w:ascii="Times New Roman" w:hAnsi="Times New Roman"/>
          <w:b/>
          <w:bCs/>
          <w:color w:val="auto"/>
          <w:sz w:val="20"/>
        </w:rPr>
        <w:t xml:space="preserve">5295 </w:t>
      </w:r>
      <w:r w:rsidRPr="000C1B35">
        <w:rPr>
          <w:rFonts w:ascii="Times New Roman" w:hAnsi="Times New Roman"/>
          <w:color w:val="auto"/>
          <w:sz w:val="20"/>
        </w:rPr>
        <w:t>Lumbosacral strain:</w:t>
      </w:r>
    </w:p>
    <w:p w:rsidR="00DF7083" w:rsidRPr="000C1B35" w:rsidRDefault="00DF7083" w:rsidP="00DF7083">
      <w:pPr>
        <w:autoSpaceDE w:val="0"/>
        <w:autoSpaceDN w:val="0"/>
        <w:adjustRightInd w:val="0"/>
        <w:spacing w:line="200" w:lineRule="exact"/>
        <w:ind w:left="864" w:firstLine="720"/>
        <w:rPr>
          <w:rFonts w:ascii="Times New Roman" w:hAnsi="Times New Roman"/>
          <w:color w:val="auto"/>
          <w:sz w:val="20"/>
        </w:rPr>
      </w:pPr>
      <w:r w:rsidRPr="000C1B35">
        <w:rPr>
          <w:rFonts w:ascii="Times New Roman" w:hAnsi="Times New Roman"/>
          <w:color w:val="auto"/>
          <w:sz w:val="20"/>
        </w:rPr>
        <w:t>Severe; with listing of whole' spine to opposite side, positive</w:t>
      </w:r>
    </w:p>
    <w:p w:rsidR="00DF7083" w:rsidRPr="000C1B35" w:rsidRDefault="00DF7083" w:rsidP="00DF7083">
      <w:pPr>
        <w:autoSpaceDE w:val="0"/>
        <w:autoSpaceDN w:val="0"/>
        <w:adjustRightInd w:val="0"/>
        <w:spacing w:line="200" w:lineRule="exact"/>
        <w:ind w:left="1872"/>
        <w:rPr>
          <w:rFonts w:ascii="Times New Roman" w:hAnsi="Times New Roman"/>
          <w:color w:val="auto"/>
          <w:sz w:val="20"/>
        </w:rPr>
      </w:pPr>
      <w:r w:rsidRPr="000C1B35">
        <w:rPr>
          <w:rFonts w:ascii="Times New Roman" w:hAnsi="Times New Roman"/>
          <w:color w:val="auto"/>
          <w:sz w:val="20"/>
        </w:rPr>
        <w:t>Goldthwaite's sign, marked limitation of forward bending in</w:t>
      </w:r>
    </w:p>
    <w:p w:rsidR="00DF7083" w:rsidRPr="000C1B35" w:rsidRDefault="00DF7083" w:rsidP="00DF7083">
      <w:pPr>
        <w:autoSpaceDE w:val="0"/>
        <w:autoSpaceDN w:val="0"/>
        <w:adjustRightInd w:val="0"/>
        <w:spacing w:line="200" w:lineRule="exact"/>
        <w:ind w:left="1872"/>
        <w:rPr>
          <w:rFonts w:ascii="Times New Roman" w:hAnsi="Times New Roman"/>
          <w:color w:val="auto"/>
          <w:sz w:val="20"/>
        </w:rPr>
      </w:pPr>
      <w:r w:rsidRPr="000C1B35">
        <w:rPr>
          <w:rFonts w:ascii="Times New Roman" w:hAnsi="Times New Roman"/>
          <w:color w:val="auto"/>
          <w:sz w:val="20"/>
        </w:rPr>
        <w:t xml:space="preserve"> </w:t>
      </w:r>
      <w:proofErr w:type="gramStart"/>
      <w:r w:rsidRPr="000C1B35">
        <w:rPr>
          <w:rFonts w:ascii="Times New Roman" w:hAnsi="Times New Roman"/>
          <w:color w:val="auto"/>
          <w:sz w:val="20"/>
        </w:rPr>
        <w:t>standing</w:t>
      </w:r>
      <w:proofErr w:type="gramEnd"/>
      <w:r w:rsidRPr="000C1B35">
        <w:rPr>
          <w:rFonts w:ascii="Times New Roman" w:hAnsi="Times New Roman"/>
          <w:color w:val="auto"/>
          <w:sz w:val="20"/>
        </w:rPr>
        <w:t xml:space="preserve"> position, loss of lateral motion with osteo-arthritic</w:t>
      </w:r>
    </w:p>
    <w:p w:rsidR="00DF7083" w:rsidRPr="000C1B35" w:rsidRDefault="00DF7083" w:rsidP="00DF7083">
      <w:pPr>
        <w:autoSpaceDE w:val="0"/>
        <w:autoSpaceDN w:val="0"/>
        <w:adjustRightInd w:val="0"/>
        <w:spacing w:line="200" w:lineRule="exact"/>
        <w:ind w:left="1872"/>
        <w:rPr>
          <w:rFonts w:ascii="Times New Roman" w:hAnsi="Times New Roman"/>
          <w:color w:val="auto"/>
          <w:sz w:val="20"/>
        </w:rPr>
      </w:pPr>
      <w:r w:rsidRPr="000C1B35">
        <w:rPr>
          <w:rFonts w:ascii="Times New Roman" w:hAnsi="Times New Roman"/>
          <w:color w:val="auto"/>
          <w:sz w:val="20"/>
        </w:rPr>
        <w:t xml:space="preserve"> </w:t>
      </w:r>
      <w:proofErr w:type="gramStart"/>
      <w:r w:rsidRPr="000C1B35">
        <w:rPr>
          <w:rFonts w:ascii="Times New Roman" w:hAnsi="Times New Roman"/>
          <w:color w:val="auto"/>
          <w:sz w:val="20"/>
        </w:rPr>
        <w:t>changes</w:t>
      </w:r>
      <w:proofErr w:type="gramEnd"/>
      <w:r w:rsidRPr="000C1B35">
        <w:rPr>
          <w:rFonts w:ascii="Times New Roman" w:hAnsi="Times New Roman"/>
          <w:color w:val="auto"/>
          <w:sz w:val="20"/>
        </w:rPr>
        <w:t>, or narrowing or irregularity of joint space, or some</w:t>
      </w:r>
    </w:p>
    <w:p w:rsidR="00DF7083" w:rsidRPr="000C1B35" w:rsidRDefault="00DF7083" w:rsidP="00DF7083">
      <w:pPr>
        <w:autoSpaceDE w:val="0"/>
        <w:autoSpaceDN w:val="0"/>
        <w:adjustRightInd w:val="0"/>
        <w:spacing w:line="200" w:lineRule="exact"/>
        <w:ind w:left="1872"/>
        <w:rPr>
          <w:rFonts w:ascii="Times New Roman" w:hAnsi="Times New Roman"/>
          <w:color w:val="auto"/>
          <w:sz w:val="20"/>
        </w:rPr>
      </w:pPr>
      <w:r w:rsidRPr="000C1B35">
        <w:rPr>
          <w:rFonts w:ascii="Times New Roman" w:hAnsi="Times New Roman"/>
          <w:color w:val="auto"/>
          <w:sz w:val="20"/>
        </w:rPr>
        <w:t xml:space="preserve"> </w:t>
      </w:r>
      <w:proofErr w:type="gramStart"/>
      <w:r w:rsidRPr="000C1B35">
        <w:rPr>
          <w:rFonts w:ascii="Times New Roman" w:hAnsi="Times New Roman"/>
          <w:color w:val="auto"/>
          <w:sz w:val="20"/>
        </w:rPr>
        <w:t>of</w:t>
      </w:r>
      <w:proofErr w:type="gramEnd"/>
      <w:r w:rsidRPr="000C1B35">
        <w:rPr>
          <w:rFonts w:ascii="Times New Roman" w:hAnsi="Times New Roman"/>
          <w:color w:val="auto"/>
          <w:sz w:val="20"/>
        </w:rPr>
        <w:t xml:space="preserve"> the above with abnormal mobility on forced motion …………………..…... 40</w:t>
      </w:r>
    </w:p>
    <w:p w:rsidR="00DF7083" w:rsidRPr="000C1B35" w:rsidRDefault="00DF7083" w:rsidP="00DF7083">
      <w:pPr>
        <w:autoSpaceDE w:val="0"/>
        <w:autoSpaceDN w:val="0"/>
        <w:adjustRightInd w:val="0"/>
        <w:spacing w:line="200" w:lineRule="exact"/>
        <w:ind w:left="864" w:firstLine="720"/>
        <w:rPr>
          <w:rFonts w:ascii="Times New Roman" w:hAnsi="Times New Roman"/>
          <w:color w:val="auto"/>
          <w:sz w:val="20"/>
        </w:rPr>
      </w:pPr>
      <w:r w:rsidRPr="000C1B35">
        <w:rPr>
          <w:rFonts w:ascii="Times New Roman" w:hAnsi="Times New Roman"/>
          <w:color w:val="auto"/>
          <w:sz w:val="20"/>
        </w:rPr>
        <w:t xml:space="preserve">With muscle spasm on extreme forward bending, loss of lateral spine </w:t>
      </w:r>
    </w:p>
    <w:p w:rsidR="00DF7083" w:rsidRPr="000C1B35" w:rsidRDefault="00DF7083" w:rsidP="00DF7083">
      <w:pPr>
        <w:autoSpaceDE w:val="0"/>
        <w:autoSpaceDN w:val="0"/>
        <w:adjustRightInd w:val="0"/>
        <w:spacing w:line="200" w:lineRule="exact"/>
        <w:ind w:left="1872"/>
        <w:rPr>
          <w:rFonts w:ascii="Times New Roman" w:hAnsi="Times New Roman"/>
          <w:color w:val="auto"/>
          <w:sz w:val="20"/>
        </w:rPr>
      </w:pPr>
      <w:r w:rsidRPr="000C1B35">
        <w:rPr>
          <w:rFonts w:ascii="Courier" w:hAnsi="Courier"/>
          <w:color w:val="auto"/>
          <w:sz w:val="20"/>
        </w:rPr>
        <w:t xml:space="preserve"> </w:t>
      </w:r>
      <w:proofErr w:type="gramStart"/>
      <w:r w:rsidRPr="000C1B35">
        <w:rPr>
          <w:rFonts w:ascii="Times New Roman" w:hAnsi="Times New Roman"/>
          <w:color w:val="auto"/>
          <w:sz w:val="20"/>
        </w:rPr>
        <w:t>motion</w:t>
      </w:r>
      <w:proofErr w:type="gramEnd"/>
      <w:r w:rsidRPr="000C1B35">
        <w:rPr>
          <w:rFonts w:ascii="Times New Roman" w:hAnsi="Times New Roman"/>
          <w:color w:val="auto"/>
          <w:sz w:val="20"/>
        </w:rPr>
        <w:t>, unilateral, in standing' position ……………...…….……..…...….….. 20</w:t>
      </w:r>
    </w:p>
    <w:p w:rsidR="00DF7083" w:rsidRPr="000C1B35" w:rsidRDefault="00DF7083" w:rsidP="00DF7083">
      <w:pPr>
        <w:autoSpaceDE w:val="0"/>
        <w:autoSpaceDN w:val="0"/>
        <w:adjustRightInd w:val="0"/>
        <w:spacing w:line="200" w:lineRule="exact"/>
        <w:ind w:left="864" w:firstLine="720"/>
        <w:rPr>
          <w:rFonts w:ascii="Times New Roman" w:hAnsi="Times New Roman"/>
          <w:color w:val="auto"/>
          <w:sz w:val="20"/>
        </w:rPr>
      </w:pPr>
      <w:r w:rsidRPr="000C1B35">
        <w:rPr>
          <w:rFonts w:ascii="Times New Roman" w:hAnsi="Times New Roman"/>
          <w:color w:val="auto"/>
          <w:sz w:val="20"/>
        </w:rPr>
        <w:t xml:space="preserve">With characteristic pain on motion </w:t>
      </w:r>
      <w:proofErr w:type="gramStart"/>
      <w:r w:rsidRPr="000C1B35">
        <w:rPr>
          <w:rFonts w:ascii="Times New Roman" w:hAnsi="Times New Roman"/>
          <w:color w:val="auto"/>
          <w:sz w:val="20"/>
        </w:rPr>
        <w:t>………………………………..……...…….…</w:t>
      </w:r>
      <w:proofErr w:type="gramEnd"/>
      <w:r w:rsidRPr="000C1B35">
        <w:rPr>
          <w:rFonts w:ascii="Times New Roman" w:hAnsi="Times New Roman"/>
          <w:color w:val="auto"/>
          <w:sz w:val="20"/>
        </w:rPr>
        <w:t>. 10</w:t>
      </w:r>
    </w:p>
    <w:p w:rsidR="00DF7083" w:rsidRPr="00DF7083" w:rsidRDefault="00DF7083" w:rsidP="00DF7083">
      <w:pPr>
        <w:autoSpaceDE w:val="0"/>
        <w:autoSpaceDN w:val="0"/>
        <w:adjustRightInd w:val="0"/>
        <w:spacing w:line="200" w:lineRule="exact"/>
        <w:ind w:left="864" w:firstLine="720"/>
        <w:rPr>
          <w:rFonts w:ascii="Times New Roman" w:hAnsi="Times New Roman"/>
          <w:color w:val="auto"/>
          <w:sz w:val="20"/>
        </w:rPr>
      </w:pPr>
      <w:r w:rsidRPr="000C1B35">
        <w:rPr>
          <w:rFonts w:ascii="Times New Roman" w:hAnsi="Times New Roman"/>
          <w:color w:val="auto"/>
          <w:sz w:val="20"/>
        </w:rPr>
        <w:t xml:space="preserve">With slight subjective symptoms only </w:t>
      </w:r>
      <w:proofErr w:type="gramStart"/>
      <w:r w:rsidRPr="000C1B35">
        <w:rPr>
          <w:rFonts w:ascii="Times New Roman" w:hAnsi="Times New Roman"/>
          <w:color w:val="auto"/>
          <w:sz w:val="20"/>
        </w:rPr>
        <w:t>……………………...…….…………...……</w:t>
      </w:r>
      <w:proofErr w:type="gramEnd"/>
      <w:r w:rsidRPr="000C1B35">
        <w:rPr>
          <w:rFonts w:ascii="Times New Roman" w:hAnsi="Times New Roman"/>
          <w:color w:val="auto"/>
          <w:sz w:val="20"/>
        </w:rPr>
        <w:t>. 0</w:t>
      </w:r>
    </w:p>
    <w:p w:rsidR="00DF7083" w:rsidRPr="00DF7083" w:rsidRDefault="00DF7083" w:rsidP="00DF7083">
      <w:pPr>
        <w:autoSpaceDE w:val="0"/>
        <w:autoSpaceDN w:val="0"/>
        <w:adjustRightInd w:val="0"/>
        <w:spacing w:line="240" w:lineRule="exact"/>
        <w:rPr>
          <w:rFonts w:eastAsia="Calibri"/>
          <w:color w:val="auto"/>
          <w:szCs w:val="24"/>
        </w:rPr>
      </w:pPr>
    </w:p>
    <w:p w:rsidR="00DF7083" w:rsidRPr="00DF7083" w:rsidRDefault="00DF7083" w:rsidP="00DF7083">
      <w:pPr>
        <w:spacing w:line="240" w:lineRule="exact"/>
        <w:jc w:val="both"/>
        <w:rPr>
          <w:color w:val="auto"/>
          <w:highlight w:val="yellow"/>
        </w:rPr>
      </w:pPr>
      <w:r w:rsidRPr="001F1A8E">
        <w:rPr>
          <w:rFonts w:eastAsia="Calibri"/>
          <w:color w:val="auto"/>
          <w:szCs w:val="24"/>
        </w:rPr>
        <w:t>The Board notes that the MEB exam was sufficiently well documented in terms of ratable data for the VASRD in effect</w:t>
      </w:r>
      <w:r w:rsidR="00014659">
        <w:rPr>
          <w:rFonts w:eastAsia="Calibri"/>
          <w:color w:val="auto"/>
          <w:szCs w:val="24"/>
        </w:rPr>
        <w:t>.</w:t>
      </w:r>
      <w:r w:rsidRPr="001F1A8E">
        <w:rPr>
          <w:rFonts w:eastAsia="Calibri"/>
          <w:color w:val="auto"/>
          <w:szCs w:val="24"/>
        </w:rPr>
        <w:t xml:space="preserve"> </w:t>
      </w:r>
      <w:r w:rsidR="00014659">
        <w:rPr>
          <w:rFonts w:eastAsia="Calibri"/>
          <w:color w:val="auto"/>
          <w:szCs w:val="24"/>
        </w:rPr>
        <w:t xml:space="preserve"> The</w:t>
      </w:r>
      <w:r w:rsidRPr="001F1A8E">
        <w:rPr>
          <w:rFonts w:eastAsia="Calibri"/>
          <w:color w:val="auto"/>
          <w:szCs w:val="24"/>
        </w:rPr>
        <w:t xml:space="preserve"> VA exam</w:t>
      </w:r>
      <w:r w:rsidR="00014659">
        <w:rPr>
          <w:rFonts w:eastAsia="Calibri"/>
          <w:color w:val="auto"/>
          <w:szCs w:val="24"/>
        </w:rPr>
        <w:t xml:space="preserve"> falls outside the DoDI 6040.44 prescribed interval from separation, and thus is marginally probative; but, </w:t>
      </w:r>
      <w:r w:rsidRPr="001F1A8E">
        <w:rPr>
          <w:rFonts w:eastAsia="Calibri"/>
          <w:color w:val="auto"/>
          <w:szCs w:val="24"/>
        </w:rPr>
        <w:t xml:space="preserve">was </w:t>
      </w:r>
      <w:r w:rsidR="001F1A8E" w:rsidRPr="001F1A8E">
        <w:rPr>
          <w:rFonts w:eastAsia="Calibri"/>
          <w:color w:val="auto"/>
          <w:szCs w:val="24"/>
        </w:rPr>
        <w:t>similar to the MEB exam in terms of ratable data</w:t>
      </w:r>
      <w:r w:rsidRPr="001F1A8E">
        <w:rPr>
          <w:rFonts w:eastAsia="Calibri"/>
          <w:color w:val="auto"/>
          <w:szCs w:val="24"/>
        </w:rPr>
        <w:t xml:space="preserve">. </w:t>
      </w:r>
      <w:r w:rsidRPr="001F1A8E">
        <w:rPr>
          <w:color w:val="auto"/>
        </w:rPr>
        <w:t xml:space="preserve">The PEB and VA chose different coding options, but this did not bear on rating.  </w:t>
      </w:r>
      <w:r w:rsidR="00026BDE" w:rsidRPr="001F1A8E">
        <w:rPr>
          <w:color w:val="auto"/>
        </w:rPr>
        <w:t>T</w:t>
      </w:r>
      <w:r w:rsidRPr="001F1A8E">
        <w:rPr>
          <w:color w:val="auto"/>
        </w:rPr>
        <w:t xml:space="preserve">he PEB’s DA Form 199 </w:t>
      </w:r>
      <w:r w:rsidR="00026BDE" w:rsidRPr="001F1A8E">
        <w:rPr>
          <w:color w:val="auto"/>
        </w:rPr>
        <w:t xml:space="preserve">quoted the 10% </w:t>
      </w:r>
      <w:r w:rsidR="00014659">
        <w:rPr>
          <w:color w:val="auto"/>
        </w:rPr>
        <w:t xml:space="preserve">criteria under 5295 as cited above </w:t>
      </w:r>
      <w:r w:rsidR="00B2712B" w:rsidRPr="001F1A8E">
        <w:rPr>
          <w:color w:val="auto"/>
        </w:rPr>
        <w:t xml:space="preserve">in support of its </w:t>
      </w:r>
      <w:r w:rsidR="00014659">
        <w:rPr>
          <w:color w:val="auto"/>
        </w:rPr>
        <w:t>rating decision</w:t>
      </w:r>
      <w:r w:rsidRPr="001F1A8E">
        <w:rPr>
          <w:color w:val="auto"/>
        </w:rPr>
        <w:t xml:space="preserve">.  </w:t>
      </w:r>
      <w:r w:rsidRPr="001F1A8E">
        <w:rPr>
          <w:rFonts w:eastAsia="Calibri"/>
          <w:color w:val="auto"/>
          <w:szCs w:val="24"/>
        </w:rPr>
        <w:t xml:space="preserve">The 20% rating for 5295 is fairly specifically defined as noted above; and, neither the MEB nor the VA evidence supported criteria for a rating higher than 10% under </w:t>
      </w:r>
      <w:r w:rsidR="0052160F">
        <w:rPr>
          <w:rFonts w:eastAsia="Calibri"/>
          <w:color w:val="auto"/>
          <w:szCs w:val="24"/>
        </w:rPr>
        <w:t>this</w:t>
      </w:r>
      <w:r w:rsidRPr="001F1A8E">
        <w:rPr>
          <w:rFonts w:eastAsia="Calibri"/>
          <w:color w:val="auto"/>
          <w:szCs w:val="24"/>
        </w:rPr>
        <w:t xml:space="preserve"> code.  </w:t>
      </w:r>
      <w:r w:rsidRPr="009C118F">
        <w:rPr>
          <w:rFonts w:eastAsia="Calibri"/>
          <w:color w:val="auto"/>
          <w:szCs w:val="24"/>
        </w:rPr>
        <w:t xml:space="preserve">The Board </w:t>
      </w:r>
      <w:r w:rsidR="001F1A8E" w:rsidRPr="009C118F">
        <w:rPr>
          <w:rFonts w:eastAsia="Calibri"/>
          <w:color w:val="auto"/>
          <w:szCs w:val="24"/>
        </w:rPr>
        <w:t xml:space="preserve">readily agreed that </w:t>
      </w:r>
      <w:r w:rsidRPr="009C118F">
        <w:rPr>
          <w:rFonts w:eastAsia="Calibri"/>
          <w:color w:val="auto"/>
          <w:szCs w:val="24"/>
        </w:rPr>
        <w:t xml:space="preserve">the 5293 code (intervertebral disc syndrome) </w:t>
      </w:r>
      <w:r w:rsidR="001F1A8E" w:rsidRPr="009C118F">
        <w:rPr>
          <w:rFonts w:eastAsia="Calibri"/>
          <w:color w:val="auto"/>
          <w:szCs w:val="24"/>
        </w:rPr>
        <w:t>was not applicable in this case since n</w:t>
      </w:r>
      <w:r w:rsidRPr="009C118F">
        <w:rPr>
          <w:rFonts w:eastAsia="Calibri"/>
          <w:color w:val="auto"/>
          <w:szCs w:val="24"/>
        </w:rPr>
        <w:t>o data in evidence suggested that the CI suffered inca</w:t>
      </w:r>
      <w:r w:rsidR="00862451">
        <w:rPr>
          <w:rFonts w:eastAsia="Calibri"/>
          <w:color w:val="auto"/>
          <w:szCs w:val="24"/>
        </w:rPr>
        <w:t>pacitating episodes per the amended</w:t>
      </w:r>
      <w:r w:rsidRPr="009C118F">
        <w:rPr>
          <w:rFonts w:eastAsia="Calibri"/>
          <w:color w:val="auto"/>
          <w:szCs w:val="24"/>
        </w:rPr>
        <w:t xml:space="preserve"> VASRD definition</w:t>
      </w:r>
      <w:r w:rsidR="00862451">
        <w:rPr>
          <w:rFonts w:eastAsia="Calibri"/>
          <w:color w:val="auto"/>
          <w:szCs w:val="24"/>
        </w:rPr>
        <w:t xml:space="preserve"> in effect (as elaborated above)</w:t>
      </w:r>
      <w:r w:rsidRPr="009C118F">
        <w:rPr>
          <w:rFonts w:eastAsia="Calibri"/>
          <w:color w:val="auto"/>
          <w:szCs w:val="24"/>
        </w:rPr>
        <w:t xml:space="preserve">, “a period of acute signs and symptoms due to intervertebral disc syndrome that requires bed rest prescribed by a physician and treatment by a physician.”  Finally, the Board considered a rating under the 5292 code for limitation of spine motion; but, the minimally impaired ROM documented by both the MEB and VA examiners would only justify a </w:t>
      </w:r>
      <w:r w:rsidR="003C0482">
        <w:rPr>
          <w:rFonts w:eastAsia="Calibri"/>
          <w:color w:val="auto"/>
          <w:szCs w:val="24"/>
        </w:rPr>
        <w:t>“slight”</w:t>
      </w:r>
      <w:r w:rsidRPr="009C118F">
        <w:rPr>
          <w:rFonts w:eastAsia="Calibri"/>
          <w:color w:val="auto"/>
          <w:szCs w:val="24"/>
        </w:rPr>
        <w:t xml:space="preserve"> 10% rating via that route.  It is also noted that application of the current VASRD </w:t>
      </w:r>
      <w:r w:rsidRPr="009C118F">
        <w:rPr>
          <w:color w:val="auto"/>
          <w:szCs w:val="24"/>
        </w:rPr>
        <w:t xml:space="preserve">§4.71a criteria for rating of the spine, which went into effect </w:t>
      </w:r>
      <w:r w:rsidR="009C118F" w:rsidRPr="009C118F">
        <w:rPr>
          <w:color w:val="auto"/>
          <w:szCs w:val="24"/>
        </w:rPr>
        <w:t>nine</w:t>
      </w:r>
      <w:r w:rsidRPr="009C118F">
        <w:rPr>
          <w:color w:val="auto"/>
          <w:szCs w:val="24"/>
        </w:rPr>
        <w:t xml:space="preserve"> months</w:t>
      </w:r>
      <w:r w:rsidRPr="009C118F">
        <w:rPr>
          <w:rFonts w:eastAsia="Calibri"/>
          <w:color w:val="auto"/>
          <w:szCs w:val="24"/>
        </w:rPr>
        <w:t xml:space="preserve"> after the CI’s separation, would also yield a 10% rating based on ROM.</w:t>
      </w:r>
      <w:r w:rsidRPr="009C118F">
        <w:rPr>
          <w:color w:val="auto"/>
        </w:rPr>
        <w:t xml:space="preserve">  All evidence considered</w:t>
      </w:r>
      <w:proofErr w:type="gramStart"/>
      <w:r w:rsidRPr="009C118F">
        <w:rPr>
          <w:color w:val="auto"/>
        </w:rPr>
        <w:t>,</w:t>
      </w:r>
      <w:proofErr w:type="gramEnd"/>
      <w:r w:rsidRPr="009C118F">
        <w:rPr>
          <w:color w:val="auto"/>
        </w:rPr>
        <w:t xml:space="preserve"> there is not reasonable doubt in the CI’s favor supporting a change from the PEB’s </w:t>
      </w:r>
      <w:r w:rsidR="00014659">
        <w:rPr>
          <w:color w:val="auto"/>
        </w:rPr>
        <w:t xml:space="preserve">adjudication of </w:t>
      </w:r>
      <w:r w:rsidRPr="009C118F">
        <w:rPr>
          <w:color w:val="auto"/>
        </w:rPr>
        <w:t xml:space="preserve">the </w:t>
      </w:r>
      <w:r w:rsidR="00014659">
        <w:rPr>
          <w:color w:val="auto"/>
        </w:rPr>
        <w:t>lumbar spine</w:t>
      </w:r>
      <w:r w:rsidRPr="009C118F">
        <w:rPr>
          <w:color w:val="auto"/>
        </w:rPr>
        <w:t xml:space="preserve"> condition.</w:t>
      </w:r>
    </w:p>
    <w:p w:rsidR="00DF7083" w:rsidRPr="00DF7083" w:rsidRDefault="00DF7083" w:rsidP="00DF7083">
      <w:pPr>
        <w:spacing w:line="240" w:lineRule="exact"/>
        <w:jc w:val="both"/>
        <w:rPr>
          <w:color w:val="auto"/>
          <w:highlight w:val="yellow"/>
        </w:rPr>
      </w:pPr>
    </w:p>
    <w:p w:rsidR="00DF7083" w:rsidRPr="00DF7083" w:rsidRDefault="00DF7083" w:rsidP="00DF7083">
      <w:pPr>
        <w:spacing w:line="240" w:lineRule="exact"/>
        <w:jc w:val="both"/>
        <w:rPr>
          <w:color w:val="auto"/>
        </w:rPr>
      </w:pPr>
      <w:r w:rsidRPr="009C118F">
        <w:rPr>
          <w:color w:val="auto"/>
        </w:rPr>
        <w:t xml:space="preserve">The Board considered additional rating under a peripheral nerve code as conferred by the VA.  It is noted that there </w:t>
      </w:r>
      <w:r w:rsidR="009C118F" w:rsidRPr="009C118F">
        <w:rPr>
          <w:color w:val="auto"/>
        </w:rPr>
        <w:t>were no documented radicular symptoms in the DES file or STR, and</w:t>
      </w:r>
      <w:r w:rsidRPr="009C118F">
        <w:rPr>
          <w:color w:val="auto"/>
        </w:rPr>
        <w:t xml:space="preserve"> no objective or electrodiagnostic confirmation of peripheral nerve impairment.  The Board must establish a functional impairment linked to fitness in order to recommend </w:t>
      </w:r>
      <w:r w:rsidR="00C35DBE">
        <w:rPr>
          <w:color w:val="auto"/>
        </w:rPr>
        <w:t xml:space="preserve">a </w:t>
      </w:r>
      <w:r w:rsidRPr="009C118F">
        <w:rPr>
          <w:color w:val="auto"/>
        </w:rPr>
        <w:t xml:space="preserve">separate </w:t>
      </w:r>
      <w:r w:rsidR="00C35DBE">
        <w:rPr>
          <w:color w:val="auto"/>
        </w:rPr>
        <w:t>s</w:t>
      </w:r>
      <w:r w:rsidRPr="009C118F">
        <w:rPr>
          <w:color w:val="auto"/>
        </w:rPr>
        <w:t xml:space="preserve">ervice rating for </w:t>
      </w:r>
      <w:proofErr w:type="spellStart"/>
      <w:r w:rsidRPr="009C118F">
        <w:rPr>
          <w:color w:val="auto"/>
        </w:rPr>
        <w:t>radiculopathy</w:t>
      </w:r>
      <w:proofErr w:type="spellEnd"/>
      <w:r w:rsidRPr="009C118F">
        <w:rPr>
          <w:color w:val="auto"/>
        </w:rPr>
        <w:t xml:space="preserve"> associated with unfitting spine conditions; a threshold clearly not reached by the evidence in this case.</w:t>
      </w:r>
    </w:p>
    <w:p w:rsidR="00EF0529" w:rsidRDefault="00EF0529" w:rsidP="00510F9C">
      <w:pPr>
        <w:spacing w:line="240" w:lineRule="exact"/>
        <w:rPr>
          <w:rFonts w:asciiTheme="minorHAnsi" w:hAnsiTheme="minorHAnsi"/>
          <w:color w:val="auto"/>
          <w:szCs w:val="24"/>
        </w:rPr>
      </w:pPr>
    </w:p>
    <w:p w:rsidR="00EC337D" w:rsidRPr="00EC337D" w:rsidRDefault="004C60A3" w:rsidP="009C118F">
      <w:pPr>
        <w:spacing w:line="240" w:lineRule="exact"/>
        <w:jc w:val="both"/>
        <w:rPr>
          <w:rFonts w:asciiTheme="minorHAnsi" w:eastAsia="HiddenHorzOCR" w:hAnsiTheme="minorHAnsi"/>
          <w:color w:val="auto"/>
          <w:szCs w:val="24"/>
        </w:rPr>
      </w:pPr>
      <w:r w:rsidRPr="009C118F">
        <w:rPr>
          <w:rFonts w:asciiTheme="minorHAnsi" w:eastAsia="HiddenHorzOCR" w:hAnsiTheme="minorHAnsi"/>
          <w:color w:val="auto"/>
          <w:szCs w:val="24"/>
          <w:u w:val="single"/>
        </w:rPr>
        <w:t>Ot</w:t>
      </w:r>
      <w:r w:rsidR="003604A5" w:rsidRPr="009C118F">
        <w:rPr>
          <w:rFonts w:asciiTheme="minorHAnsi" w:eastAsia="HiddenHorzOCR" w:hAnsiTheme="minorHAnsi"/>
          <w:color w:val="auto"/>
          <w:szCs w:val="24"/>
          <w:u w:val="single"/>
        </w:rPr>
        <w:t xml:space="preserve">her </w:t>
      </w:r>
      <w:r w:rsidR="000B2FB8" w:rsidRPr="009C118F">
        <w:rPr>
          <w:rFonts w:asciiTheme="minorHAnsi" w:eastAsia="HiddenHorzOCR" w:hAnsiTheme="minorHAnsi"/>
          <w:color w:val="auto"/>
          <w:szCs w:val="24"/>
          <w:u w:val="single"/>
        </w:rPr>
        <w:t>PEB</w:t>
      </w:r>
      <w:r w:rsidR="003604A5" w:rsidRPr="009C118F">
        <w:rPr>
          <w:rFonts w:asciiTheme="minorHAnsi" w:eastAsia="HiddenHorzOCR" w:hAnsiTheme="minorHAnsi"/>
          <w:color w:val="auto"/>
          <w:szCs w:val="24"/>
          <w:u w:val="single"/>
        </w:rPr>
        <w:t xml:space="preserve"> Conditions</w:t>
      </w:r>
      <w:r w:rsidR="003604A5" w:rsidRPr="009C118F">
        <w:rPr>
          <w:rFonts w:asciiTheme="minorHAnsi" w:eastAsia="HiddenHorzOCR" w:hAnsiTheme="minorHAnsi"/>
          <w:color w:val="auto"/>
          <w:szCs w:val="24"/>
        </w:rPr>
        <w:t>.</w:t>
      </w:r>
      <w:r w:rsidR="00380892" w:rsidRPr="009C118F">
        <w:rPr>
          <w:rFonts w:asciiTheme="minorHAnsi" w:eastAsia="HiddenHorzOCR" w:hAnsiTheme="minorHAnsi"/>
          <w:color w:val="auto"/>
          <w:szCs w:val="24"/>
        </w:rPr>
        <w:t xml:space="preserve"> </w:t>
      </w:r>
      <w:r w:rsidR="00B2712B" w:rsidRPr="009C118F">
        <w:rPr>
          <w:rFonts w:asciiTheme="minorHAnsi" w:eastAsia="HiddenHorzOCR" w:hAnsiTheme="minorHAnsi"/>
          <w:color w:val="auto"/>
          <w:szCs w:val="24"/>
        </w:rPr>
        <w:t xml:space="preserve"> </w:t>
      </w:r>
      <w:r w:rsidR="00014659">
        <w:rPr>
          <w:rFonts w:asciiTheme="minorHAnsi" w:eastAsia="HiddenHorzOCR" w:hAnsiTheme="minorHAnsi"/>
          <w:color w:val="auto"/>
          <w:szCs w:val="24"/>
        </w:rPr>
        <w:t>The only</w:t>
      </w:r>
      <w:r w:rsidR="00B2712B" w:rsidRPr="009C118F">
        <w:rPr>
          <w:rFonts w:asciiTheme="minorHAnsi" w:eastAsia="HiddenHorzOCR" w:hAnsiTheme="minorHAnsi"/>
          <w:color w:val="auto"/>
          <w:szCs w:val="24"/>
        </w:rPr>
        <w:t xml:space="preserve"> </w:t>
      </w:r>
      <w:r w:rsidR="00380892" w:rsidRPr="009C118F">
        <w:rPr>
          <w:rFonts w:asciiTheme="minorHAnsi" w:eastAsia="HiddenHorzOCR" w:hAnsiTheme="minorHAnsi"/>
          <w:color w:val="auto"/>
          <w:szCs w:val="24"/>
        </w:rPr>
        <w:t>other condition</w:t>
      </w:r>
      <w:r w:rsidR="00014659">
        <w:rPr>
          <w:rFonts w:asciiTheme="minorHAnsi" w:eastAsia="HiddenHorzOCR" w:hAnsiTheme="minorHAnsi"/>
          <w:color w:val="auto"/>
          <w:szCs w:val="24"/>
        </w:rPr>
        <w:t xml:space="preserve"> adjudicated by the PEB was </w:t>
      </w:r>
      <w:r w:rsidR="005E3719">
        <w:rPr>
          <w:rFonts w:asciiTheme="minorHAnsi" w:eastAsia="HiddenHorzOCR" w:hAnsiTheme="minorHAnsi"/>
          <w:color w:val="auto"/>
          <w:szCs w:val="24"/>
        </w:rPr>
        <w:t>scoliosis, which was determined to be EPTS; although, it was specified in the DA Form 199 that the EPTS contribution was indeterminate (stated as “not clear” in the NARSUM), and therefore no rating deduction</w:t>
      </w:r>
      <w:r w:rsidR="00B2712B" w:rsidRPr="009C118F">
        <w:rPr>
          <w:rFonts w:asciiTheme="minorHAnsi" w:eastAsia="HiddenHorzOCR" w:hAnsiTheme="minorHAnsi"/>
          <w:color w:val="auto"/>
          <w:szCs w:val="24"/>
        </w:rPr>
        <w:t xml:space="preserve"> was</w:t>
      </w:r>
      <w:r w:rsidR="00EC337D" w:rsidRPr="009C118F">
        <w:rPr>
          <w:rFonts w:asciiTheme="minorHAnsi" w:eastAsia="HiddenHorzOCR" w:hAnsiTheme="minorHAnsi"/>
          <w:color w:val="auto"/>
          <w:szCs w:val="24"/>
        </w:rPr>
        <w:t xml:space="preserve"> </w:t>
      </w:r>
      <w:r w:rsidR="005E3719">
        <w:rPr>
          <w:rFonts w:asciiTheme="minorHAnsi" w:eastAsia="HiddenHorzOCR" w:hAnsiTheme="minorHAnsi"/>
          <w:color w:val="auto"/>
          <w:szCs w:val="24"/>
        </w:rPr>
        <w:t xml:space="preserve">applied.  The </w:t>
      </w:r>
      <w:r w:rsidR="00C35DBE">
        <w:rPr>
          <w:rFonts w:asciiTheme="minorHAnsi" w:eastAsia="HiddenHorzOCR" w:hAnsiTheme="minorHAnsi"/>
          <w:color w:val="auto"/>
          <w:szCs w:val="24"/>
        </w:rPr>
        <w:t>a</w:t>
      </w:r>
      <w:r w:rsidR="005E3719">
        <w:rPr>
          <w:rFonts w:asciiTheme="minorHAnsi" w:eastAsia="HiddenHorzOCR" w:hAnsiTheme="minorHAnsi"/>
          <w:color w:val="auto"/>
          <w:szCs w:val="24"/>
        </w:rPr>
        <w:t xml:space="preserve">ction </w:t>
      </w:r>
      <w:r w:rsidR="00C35DBE">
        <w:rPr>
          <w:rFonts w:asciiTheme="minorHAnsi" w:eastAsia="HiddenHorzOCR" w:hAnsiTheme="minorHAnsi"/>
          <w:color w:val="auto"/>
          <w:szCs w:val="24"/>
        </w:rPr>
        <w:t>o</w:t>
      </w:r>
      <w:r w:rsidR="005E3719">
        <w:rPr>
          <w:rFonts w:asciiTheme="minorHAnsi" w:eastAsia="HiddenHorzOCR" w:hAnsiTheme="minorHAnsi"/>
          <w:color w:val="auto"/>
          <w:szCs w:val="24"/>
        </w:rPr>
        <w:t>fficer opines that</w:t>
      </w:r>
      <w:r w:rsidR="00A95AD4">
        <w:rPr>
          <w:rFonts w:asciiTheme="minorHAnsi" w:eastAsia="HiddenHorzOCR" w:hAnsiTheme="minorHAnsi"/>
          <w:color w:val="auto"/>
          <w:szCs w:val="24"/>
        </w:rPr>
        <w:t xml:space="preserve">, to a reasonable degree of certainty, the scoliosis was neither acquired from nor affected by </w:t>
      </w:r>
      <w:r w:rsidR="00C35DBE">
        <w:rPr>
          <w:rFonts w:asciiTheme="minorHAnsi" w:eastAsia="HiddenHorzOCR" w:hAnsiTheme="minorHAnsi"/>
          <w:color w:val="auto"/>
          <w:szCs w:val="24"/>
        </w:rPr>
        <w:t>s</w:t>
      </w:r>
      <w:r w:rsidR="00A95AD4">
        <w:rPr>
          <w:rFonts w:asciiTheme="minorHAnsi" w:eastAsia="HiddenHorzOCR" w:hAnsiTheme="minorHAnsi"/>
          <w:color w:val="auto"/>
          <w:szCs w:val="24"/>
        </w:rPr>
        <w:t xml:space="preserve">ervice activities.  Furthermore it should be noted that the 2002 VASRD (unlike the current standards which permit a 20% rating for abnormal contour) makes no provision for additional rating based on scoliosis, even if eligibility for </w:t>
      </w:r>
      <w:r w:rsidR="003C0482">
        <w:rPr>
          <w:rFonts w:asciiTheme="minorHAnsi" w:eastAsia="HiddenHorzOCR" w:hAnsiTheme="minorHAnsi"/>
          <w:color w:val="auto"/>
          <w:szCs w:val="24"/>
        </w:rPr>
        <w:t>s</w:t>
      </w:r>
      <w:r w:rsidR="00A95AD4">
        <w:rPr>
          <w:rFonts w:asciiTheme="minorHAnsi" w:eastAsia="HiddenHorzOCR" w:hAnsiTheme="minorHAnsi"/>
          <w:color w:val="auto"/>
          <w:szCs w:val="24"/>
        </w:rPr>
        <w:t xml:space="preserve">ervice rating were conceded.  </w:t>
      </w:r>
      <w:r w:rsidR="00EC337D" w:rsidRPr="009C118F">
        <w:rPr>
          <w:rFonts w:asciiTheme="minorHAnsi" w:eastAsia="HiddenHorzOCR" w:hAnsiTheme="minorHAnsi"/>
          <w:color w:val="auto"/>
          <w:szCs w:val="24"/>
        </w:rPr>
        <w:t>All evidence considered</w:t>
      </w:r>
      <w:proofErr w:type="gramStart"/>
      <w:r w:rsidR="00EC337D" w:rsidRPr="009C118F">
        <w:rPr>
          <w:rFonts w:asciiTheme="minorHAnsi" w:eastAsia="HiddenHorzOCR" w:hAnsiTheme="minorHAnsi"/>
          <w:color w:val="auto"/>
          <w:szCs w:val="24"/>
        </w:rPr>
        <w:t>,</w:t>
      </w:r>
      <w:proofErr w:type="gramEnd"/>
      <w:r w:rsidR="00EC337D" w:rsidRPr="009C118F">
        <w:rPr>
          <w:rFonts w:asciiTheme="minorHAnsi" w:eastAsia="HiddenHorzOCR" w:hAnsiTheme="minorHAnsi"/>
          <w:color w:val="auto"/>
          <w:szCs w:val="24"/>
        </w:rPr>
        <w:t xml:space="preserve"> there is not reasonable doubt in the CI’s favor supporting </w:t>
      </w:r>
      <w:r w:rsidR="0021336E">
        <w:rPr>
          <w:rFonts w:asciiTheme="minorHAnsi" w:eastAsia="HiddenHorzOCR" w:hAnsiTheme="minorHAnsi"/>
          <w:color w:val="auto"/>
          <w:szCs w:val="24"/>
        </w:rPr>
        <w:t>a change in</w:t>
      </w:r>
      <w:r w:rsidR="00EC337D" w:rsidRPr="009C118F">
        <w:rPr>
          <w:rFonts w:asciiTheme="minorHAnsi" w:eastAsia="HiddenHorzOCR" w:hAnsiTheme="minorHAnsi"/>
          <w:color w:val="auto"/>
          <w:szCs w:val="24"/>
        </w:rPr>
        <w:t xml:space="preserve"> the PEB adjudication </w:t>
      </w:r>
      <w:r w:rsidR="0021336E">
        <w:rPr>
          <w:rFonts w:asciiTheme="minorHAnsi" w:eastAsia="HiddenHorzOCR" w:hAnsiTheme="minorHAnsi"/>
          <w:color w:val="auto"/>
          <w:szCs w:val="24"/>
        </w:rPr>
        <w:t>of the</w:t>
      </w:r>
      <w:r w:rsidR="00EC337D" w:rsidRPr="009C118F">
        <w:rPr>
          <w:rFonts w:asciiTheme="minorHAnsi" w:eastAsia="HiddenHorzOCR" w:hAnsiTheme="minorHAnsi"/>
          <w:color w:val="auto"/>
          <w:szCs w:val="24"/>
        </w:rPr>
        <w:t xml:space="preserve"> </w:t>
      </w:r>
      <w:r w:rsidR="009C118F" w:rsidRPr="009C118F">
        <w:rPr>
          <w:rFonts w:asciiTheme="minorHAnsi" w:eastAsia="HiddenHorzOCR" w:hAnsiTheme="minorHAnsi"/>
          <w:color w:val="auto"/>
          <w:szCs w:val="24"/>
        </w:rPr>
        <w:t xml:space="preserve">scoliosis </w:t>
      </w:r>
      <w:r w:rsidR="00EC337D" w:rsidRPr="009C118F">
        <w:rPr>
          <w:rFonts w:asciiTheme="minorHAnsi" w:eastAsia="HiddenHorzOCR" w:hAnsiTheme="minorHAnsi"/>
          <w:color w:val="auto"/>
          <w:szCs w:val="24"/>
        </w:rPr>
        <w:t>condition.</w:t>
      </w:r>
    </w:p>
    <w:p w:rsidR="00EC337D" w:rsidRPr="00EC337D" w:rsidRDefault="00EC337D" w:rsidP="00510F9C">
      <w:pPr>
        <w:spacing w:line="240" w:lineRule="exact"/>
        <w:jc w:val="both"/>
        <w:rPr>
          <w:rFonts w:asciiTheme="minorHAnsi" w:eastAsia="HiddenHorzOCR" w:hAnsiTheme="minorHAnsi"/>
          <w:color w:val="auto"/>
          <w:szCs w:val="24"/>
        </w:rPr>
      </w:pPr>
    </w:p>
    <w:p w:rsidR="00F6196E" w:rsidRDefault="00F6196E" w:rsidP="00510F9C">
      <w:pPr>
        <w:spacing w:line="240" w:lineRule="exact"/>
        <w:jc w:val="both"/>
        <w:rPr>
          <w:rFonts w:asciiTheme="minorHAnsi" w:hAnsiTheme="minorHAnsi"/>
          <w:color w:val="auto"/>
          <w:szCs w:val="24"/>
        </w:rPr>
      </w:pPr>
      <w:r w:rsidRPr="009C118F">
        <w:rPr>
          <w:rFonts w:asciiTheme="minorHAnsi" w:hAnsiTheme="minorHAnsi"/>
          <w:color w:val="auto"/>
          <w:szCs w:val="24"/>
          <w:u w:val="single"/>
        </w:rPr>
        <w:t>Remaining Conditions</w:t>
      </w:r>
      <w:r w:rsidRPr="009C118F">
        <w:rPr>
          <w:rFonts w:asciiTheme="minorHAnsi" w:hAnsiTheme="minorHAnsi"/>
          <w:color w:val="auto"/>
          <w:szCs w:val="24"/>
        </w:rPr>
        <w:t xml:space="preserve">.  Other conditions identified in the DES file were </w:t>
      </w:r>
      <w:r w:rsidR="00D80249" w:rsidRPr="009C118F">
        <w:rPr>
          <w:rFonts w:asciiTheme="minorHAnsi" w:hAnsiTheme="minorHAnsi"/>
          <w:color w:val="auto"/>
          <w:szCs w:val="24"/>
        </w:rPr>
        <w:t>sensorineural hearing loss</w:t>
      </w:r>
      <w:r w:rsidRPr="009C118F">
        <w:rPr>
          <w:rFonts w:asciiTheme="minorHAnsi" w:hAnsiTheme="minorHAnsi"/>
          <w:color w:val="auto"/>
          <w:szCs w:val="24"/>
        </w:rPr>
        <w:t xml:space="preserve">, </w:t>
      </w:r>
      <w:r w:rsidR="00D80249" w:rsidRPr="009C118F">
        <w:rPr>
          <w:rFonts w:asciiTheme="minorHAnsi" w:hAnsiTheme="minorHAnsi"/>
          <w:color w:val="auto"/>
          <w:szCs w:val="24"/>
        </w:rPr>
        <w:t>knee pain</w:t>
      </w:r>
      <w:r w:rsidR="0090642F" w:rsidRPr="009C118F">
        <w:rPr>
          <w:rFonts w:asciiTheme="minorHAnsi" w:hAnsiTheme="minorHAnsi"/>
          <w:color w:val="auto"/>
          <w:szCs w:val="24"/>
        </w:rPr>
        <w:t xml:space="preserve">, asthma and </w:t>
      </w:r>
      <w:r w:rsidR="00D80249" w:rsidRPr="009C118F">
        <w:rPr>
          <w:rFonts w:asciiTheme="minorHAnsi" w:hAnsiTheme="minorHAnsi"/>
          <w:color w:val="auto"/>
          <w:szCs w:val="24"/>
        </w:rPr>
        <w:t>frequent headaches</w:t>
      </w:r>
      <w:r w:rsidRPr="009C118F">
        <w:rPr>
          <w:rFonts w:asciiTheme="minorHAnsi" w:hAnsiTheme="minorHAnsi"/>
          <w:color w:val="auto"/>
          <w:szCs w:val="24"/>
        </w:rPr>
        <w:t>.  Several additional non-acute conditions or medical complaints were also documented.  None of these conditions were clinically active during the MEB period</w:t>
      </w:r>
      <w:r w:rsidR="0021336E">
        <w:rPr>
          <w:rFonts w:asciiTheme="minorHAnsi" w:hAnsiTheme="minorHAnsi"/>
          <w:color w:val="auto"/>
          <w:szCs w:val="24"/>
        </w:rPr>
        <w:t>;</w:t>
      </w:r>
      <w:r w:rsidRPr="009C118F">
        <w:rPr>
          <w:rFonts w:asciiTheme="minorHAnsi" w:hAnsiTheme="minorHAnsi"/>
          <w:color w:val="auto"/>
          <w:szCs w:val="24"/>
        </w:rPr>
        <w:t xml:space="preserve"> none carried attached profiles</w:t>
      </w:r>
      <w:r w:rsidR="0021336E">
        <w:rPr>
          <w:rFonts w:asciiTheme="minorHAnsi" w:hAnsiTheme="minorHAnsi"/>
          <w:color w:val="auto"/>
          <w:szCs w:val="24"/>
        </w:rPr>
        <w:t>;</w:t>
      </w:r>
      <w:r w:rsidRPr="009C118F">
        <w:rPr>
          <w:rFonts w:asciiTheme="minorHAnsi" w:hAnsiTheme="minorHAnsi"/>
          <w:color w:val="auto"/>
          <w:szCs w:val="24"/>
        </w:rPr>
        <w:t xml:space="preserve"> and</w:t>
      </w:r>
      <w:r w:rsidR="0021336E">
        <w:rPr>
          <w:rFonts w:asciiTheme="minorHAnsi" w:hAnsiTheme="minorHAnsi"/>
          <w:color w:val="auto"/>
          <w:szCs w:val="24"/>
        </w:rPr>
        <w:t>,</w:t>
      </w:r>
      <w:r w:rsidRPr="009C118F">
        <w:rPr>
          <w:rFonts w:asciiTheme="minorHAnsi" w:hAnsiTheme="minorHAnsi"/>
          <w:color w:val="auto"/>
          <w:szCs w:val="24"/>
        </w:rPr>
        <w:t xml:space="preserve"> none were implicated in the </w:t>
      </w:r>
      <w:r w:rsidR="00B5646A" w:rsidRPr="009C118F">
        <w:rPr>
          <w:rFonts w:asciiTheme="minorHAnsi" w:hAnsiTheme="minorHAnsi"/>
          <w:color w:val="auto"/>
          <w:szCs w:val="24"/>
        </w:rPr>
        <w:t>c</w:t>
      </w:r>
      <w:r w:rsidR="004C05CF" w:rsidRPr="009C118F">
        <w:rPr>
          <w:rFonts w:asciiTheme="minorHAnsi" w:hAnsiTheme="minorHAnsi"/>
          <w:color w:val="auto"/>
          <w:szCs w:val="24"/>
        </w:rPr>
        <w:t>ommander’s</w:t>
      </w:r>
      <w:r w:rsidR="00774FFD" w:rsidRPr="009C118F">
        <w:rPr>
          <w:rFonts w:asciiTheme="minorHAnsi" w:hAnsiTheme="minorHAnsi"/>
          <w:color w:val="auto"/>
          <w:szCs w:val="24"/>
        </w:rPr>
        <w:t xml:space="preserve"> statement</w:t>
      </w:r>
      <w:r w:rsidRPr="009C118F">
        <w:rPr>
          <w:rFonts w:asciiTheme="minorHAnsi" w:hAnsiTheme="minorHAnsi"/>
          <w:color w:val="auto"/>
          <w:szCs w:val="24"/>
        </w:rPr>
        <w:t xml:space="preserve">.  These conditions were reviewed by the </w:t>
      </w:r>
      <w:r w:rsidR="00C35DBE">
        <w:rPr>
          <w:rFonts w:asciiTheme="minorHAnsi" w:hAnsiTheme="minorHAnsi"/>
          <w:color w:val="auto"/>
          <w:szCs w:val="24"/>
        </w:rPr>
        <w:t>action o</w:t>
      </w:r>
      <w:r w:rsidR="0021336E" w:rsidRPr="009C118F">
        <w:rPr>
          <w:rFonts w:asciiTheme="minorHAnsi" w:hAnsiTheme="minorHAnsi"/>
          <w:color w:val="auto"/>
          <w:szCs w:val="24"/>
        </w:rPr>
        <w:t xml:space="preserve">fficer </w:t>
      </w:r>
      <w:r w:rsidRPr="009C118F">
        <w:rPr>
          <w:rFonts w:asciiTheme="minorHAnsi" w:hAnsiTheme="minorHAnsi"/>
          <w:color w:val="auto"/>
          <w:szCs w:val="24"/>
        </w:rPr>
        <w:t xml:space="preserve">and considered </w:t>
      </w:r>
      <w:r w:rsidRPr="009C118F">
        <w:rPr>
          <w:rFonts w:asciiTheme="minorHAnsi" w:hAnsiTheme="minorHAnsi"/>
          <w:color w:val="auto"/>
          <w:szCs w:val="24"/>
        </w:rPr>
        <w:lastRenderedPageBreak/>
        <w:t>by the Board.  It was determined that none could be argued as unfitting and subject to separation rating.  No other conditions were service</w:t>
      </w:r>
      <w:r w:rsidR="00C35DBE">
        <w:rPr>
          <w:rFonts w:asciiTheme="minorHAnsi" w:hAnsiTheme="minorHAnsi"/>
          <w:color w:val="auto"/>
          <w:szCs w:val="24"/>
        </w:rPr>
        <w:t>-</w:t>
      </w:r>
      <w:r w:rsidRPr="009C118F">
        <w:rPr>
          <w:rFonts w:asciiTheme="minorHAnsi" w:hAnsiTheme="minorHAnsi"/>
          <w:color w:val="auto"/>
          <w:szCs w:val="24"/>
        </w:rPr>
        <w:t>connected with a compensable rating by the VA within twelve months of separation or contended by the CI.  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0C000B" w:rsidRPr="000C000B" w:rsidRDefault="00C56FC8" w:rsidP="000C000B">
      <w:pPr>
        <w:spacing w:line="240" w:lineRule="exact"/>
        <w:jc w:val="both"/>
        <w:rPr>
          <w:rFonts w:asciiTheme="minorHAnsi" w:eastAsiaTheme="minorHAnsi" w:hAnsiTheme="minorHAnsi"/>
          <w:color w:val="auto"/>
          <w:szCs w:val="24"/>
        </w:rPr>
      </w:pPr>
      <w:r w:rsidRPr="00357B9F">
        <w:rPr>
          <w:rFonts w:asciiTheme="minorHAnsi" w:hAnsiTheme="minorHAnsi"/>
          <w:color w:val="auto"/>
          <w:szCs w:val="24"/>
          <w:u w:val="single"/>
        </w:rPr>
        <w:t>BOARD FINDINGS</w:t>
      </w:r>
      <w:r w:rsidRPr="00357B9F">
        <w:rPr>
          <w:rFonts w:asciiTheme="minorHAnsi" w:hAnsiTheme="minorHAnsi"/>
          <w:color w:val="auto"/>
          <w:szCs w:val="24"/>
        </w:rPr>
        <w:t>:</w:t>
      </w:r>
      <w:r w:rsidRPr="00357B9F">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B942C6" w:rsidRPr="00357B9F">
        <w:rPr>
          <w:rFonts w:asciiTheme="minorHAnsi" w:eastAsiaTheme="minorHAnsi" w:hAnsiTheme="minorHAnsi"/>
          <w:color w:val="auto"/>
          <w:szCs w:val="24"/>
        </w:rPr>
        <w:t xml:space="preserve">  The Board did not </w:t>
      </w:r>
      <w:r w:rsidR="00B942C6" w:rsidRPr="00862451">
        <w:rPr>
          <w:rFonts w:asciiTheme="minorHAnsi" w:eastAsiaTheme="minorHAnsi" w:hAnsiTheme="minorHAnsi"/>
          <w:color w:val="auto"/>
          <w:szCs w:val="24"/>
        </w:rPr>
        <w:t>surmise from the record or PEB ruling in this case that any prerogatives outside the VASRD were exercised.</w:t>
      </w:r>
      <w:r w:rsidR="000C000B" w:rsidRPr="00862451">
        <w:rPr>
          <w:rFonts w:asciiTheme="minorHAnsi" w:eastAsiaTheme="minorHAnsi" w:hAnsiTheme="minorHAnsi"/>
          <w:color w:val="auto"/>
          <w:szCs w:val="24"/>
        </w:rPr>
        <w:t xml:space="preserve">  In the matter of the </w:t>
      </w:r>
      <w:r w:rsidR="0021336E" w:rsidRPr="00862451">
        <w:rPr>
          <w:rFonts w:asciiTheme="minorHAnsi" w:eastAsiaTheme="minorHAnsi" w:hAnsiTheme="minorHAnsi"/>
          <w:color w:val="auto"/>
          <w:szCs w:val="24"/>
        </w:rPr>
        <w:t xml:space="preserve">chronic </w:t>
      </w:r>
      <w:r w:rsidR="000C000B" w:rsidRPr="00862451">
        <w:rPr>
          <w:rFonts w:asciiTheme="minorHAnsi" w:eastAsiaTheme="minorHAnsi" w:hAnsiTheme="minorHAnsi"/>
          <w:color w:val="auto"/>
          <w:szCs w:val="24"/>
        </w:rPr>
        <w:t>back pain condition and IAW VASRD §4.71a, the Board unanimously recommends no change in the PEB adjudication.  In the matter of the scoliosis condition, the Board</w:t>
      </w:r>
      <w:r w:rsidR="000C000B" w:rsidRPr="00357B9F">
        <w:rPr>
          <w:rFonts w:asciiTheme="minorHAnsi" w:eastAsiaTheme="minorHAnsi" w:hAnsiTheme="minorHAnsi"/>
          <w:color w:val="auto"/>
          <w:szCs w:val="24"/>
        </w:rPr>
        <w:t xml:space="preserve"> unanimously recommends no c</w:t>
      </w:r>
      <w:r w:rsidR="00357B9F" w:rsidRPr="00357B9F">
        <w:rPr>
          <w:rFonts w:asciiTheme="minorHAnsi" w:eastAsiaTheme="minorHAnsi" w:hAnsiTheme="minorHAnsi"/>
          <w:color w:val="auto"/>
          <w:szCs w:val="24"/>
        </w:rPr>
        <w:t>hange from the PEB adjudication</w:t>
      </w:r>
      <w:r w:rsidR="000C000B" w:rsidRPr="00357B9F">
        <w:rPr>
          <w:rFonts w:asciiTheme="minorHAnsi" w:eastAsiaTheme="minorHAnsi" w:hAnsiTheme="minorHAnsi"/>
          <w:color w:val="auto"/>
          <w:szCs w:val="24"/>
        </w:rPr>
        <w:t xml:space="preserve"> as </w:t>
      </w:r>
      <w:r w:rsidR="008C6F36" w:rsidRPr="00357B9F">
        <w:rPr>
          <w:rFonts w:asciiTheme="minorHAnsi" w:eastAsiaTheme="minorHAnsi" w:hAnsiTheme="minorHAnsi"/>
          <w:color w:val="auto"/>
          <w:szCs w:val="24"/>
        </w:rPr>
        <w:t>EPTS</w:t>
      </w:r>
      <w:r w:rsidR="0021336E">
        <w:rPr>
          <w:rFonts w:asciiTheme="minorHAnsi" w:eastAsiaTheme="minorHAnsi" w:hAnsiTheme="minorHAnsi"/>
          <w:color w:val="auto"/>
          <w:szCs w:val="24"/>
        </w:rPr>
        <w:t xml:space="preserve"> without </w:t>
      </w:r>
      <w:r w:rsidR="00C35DBE">
        <w:rPr>
          <w:rFonts w:asciiTheme="minorHAnsi" w:eastAsiaTheme="minorHAnsi" w:hAnsiTheme="minorHAnsi"/>
          <w:color w:val="auto"/>
          <w:szCs w:val="24"/>
        </w:rPr>
        <w:t>s</w:t>
      </w:r>
      <w:r w:rsidR="0021336E">
        <w:rPr>
          <w:rFonts w:asciiTheme="minorHAnsi" w:eastAsiaTheme="minorHAnsi" w:hAnsiTheme="minorHAnsi"/>
          <w:color w:val="auto"/>
          <w:szCs w:val="24"/>
        </w:rPr>
        <w:t>ervice aggravation</w:t>
      </w:r>
      <w:r w:rsidR="000C000B" w:rsidRPr="00357B9F">
        <w:rPr>
          <w:rFonts w:asciiTheme="minorHAnsi" w:eastAsiaTheme="minorHAnsi" w:hAnsiTheme="minorHAnsi"/>
          <w:color w:val="auto"/>
          <w:szCs w:val="24"/>
        </w:rPr>
        <w:t>.  The Board unanimously agrees that there were no other conditions eligible for Board consideration which could be recommended as additionally unfitting for rating at separation.</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FB593A" w:rsidRPr="00B427BB" w:rsidRDefault="00C56FC8" w:rsidP="00510F9C">
      <w:pPr>
        <w:spacing w:line="240" w:lineRule="exact"/>
        <w:rPr>
          <w:rFonts w:asciiTheme="minorHAnsi" w:hAnsiTheme="minorHAnsi"/>
          <w:color w:val="auto"/>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8C6F36">
        <w:rPr>
          <w:rFonts w:asciiTheme="minorHAnsi" w:hAnsiTheme="minorHAnsi"/>
          <w:color w:val="000080"/>
          <w:szCs w:val="24"/>
        </w:rPr>
        <w:t xml:space="preserve"> </w:t>
      </w:r>
      <w:r w:rsidR="008C6F36" w:rsidRPr="00396779">
        <w:rPr>
          <w:rFonts w:asciiTheme="minorHAnsi" w:hAnsiTheme="minorHAnsi"/>
          <w:color w:val="auto"/>
          <w:szCs w:val="24"/>
        </w:rPr>
        <w:t>The Board</w:t>
      </w:r>
      <w:r w:rsidR="008C6F36">
        <w:rPr>
          <w:rFonts w:asciiTheme="minorHAnsi" w:hAnsiTheme="minorHAnsi"/>
          <w:color w:val="auto"/>
          <w:szCs w:val="24"/>
        </w:rPr>
        <w:t>,</w:t>
      </w:r>
      <w:r w:rsidR="008C6F36" w:rsidRPr="00396779">
        <w:rPr>
          <w:rFonts w:asciiTheme="minorHAnsi" w:hAnsiTheme="minorHAnsi"/>
          <w:color w:val="auto"/>
          <w:szCs w:val="24"/>
        </w:rPr>
        <w:t xml:space="preserve"> therefore</w:t>
      </w:r>
      <w:r w:rsidR="008C6F36">
        <w:rPr>
          <w:rFonts w:asciiTheme="minorHAnsi" w:hAnsiTheme="minorHAnsi"/>
          <w:color w:val="auto"/>
          <w:szCs w:val="24"/>
        </w:rPr>
        <w:t>,</w:t>
      </w:r>
      <w:r w:rsidR="008C6F36" w:rsidRPr="00396779">
        <w:rPr>
          <w:rFonts w:asciiTheme="minorHAnsi" w:hAnsiTheme="minorHAnsi"/>
          <w:color w:val="auto"/>
          <w:szCs w:val="24"/>
        </w:rPr>
        <w:t xml:space="preserve"> recommends that there be no recharacterization of the CI’s </w:t>
      </w:r>
      <w:r w:rsidR="008C6F36" w:rsidRPr="00B427BB">
        <w:rPr>
          <w:rFonts w:asciiTheme="minorHAnsi" w:hAnsiTheme="minorHAnsi"/>
          <w:color w:val="auto"/>
          <w:szCs w:val="24"/>
        </w:rPr>
        <w:t>disability and separation determination</w:t>
      </w:r>
      <w:r w:rsidR="0021336E">
        <w:rPr>
          <w:rFonts w:asciiTheme="minorHAnsi" w:hAnsiTheme="minorHAnsi"/>
          <w:color w:val="auto"/>
          <w:szCs w:val="24"/>
        </w:rPr>
        <w:t>, as follows:</w:t>
      </w:r>
    </w:p>
    <w:p w:rsidR="004101B2" w:rsidRPr="00AF01B2"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0"/>
        <w:gridCol w:w="1530"/>
        <w:gridCol w:w="1080"/>
      </w:tblGrid>
      <w:tr w:rsidR="00A95BBA" w:rsidRPr="00AF01B2" w:rsidTr="0021336E">
        <w:trPr>
          <w:trHeight w:val="233"/>
          <w:jc w:val="center"/>
        </w:trPr>
        <w:tc>
          <w:tcPr>
            <w:tcW w:w="675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53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0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21336E">
        <w:trPr>
          <w:jc w:val="center"/>
        </w:trPr>
        <w:tc>
          <w:tcPr>
            <w:tcW w:w="6750" w:type="dxa"/>
            <w:vAlign w:val="center"/>
          </w:tcPr>
          <w:p w:rsidR="00A95BBA" w:rsidRPr="00AF01B2" w:rsidRDefault="00963C32" w:rsidP="00103948">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Chronic Back Pain</w:t>
            </w:r>
          </w:p>
        </w:tc>
        <w:tc>
          <w:tcPr>
            <w:tcW w:w="1530" w:type="dxa"/>
            <w:vAlign w:val="center"/>
          </w:tcPr>
          <w:p w:rsidR="00A95BBA" w:rsidRPr="00AF01B2" w:rsidRDefault="00963C32"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5295</w:t>
            </w:r>
          </w:p>
        </w:tc>
        <w:tc>
          <w:tcPr>
            <w:tcW w:w="1080" w:type="dxa"/>
            <w:vAlign w:val="center"/>
          </w:tcPr>
          <w:p w:rsidR="00A95BBA" w:rsidRPr="00AF01B2" w:rsidRDefault="00963C32"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r w:rsidR="00A95BBA" w:rsidRPr="00AF01B2">
              <w:rPr>
                <w:rFonts w:asciiTheme="minorHAnsi" w:hAnsiTheme="minorHAnsi"/>
                <w:color w:val="auto"/>
                <w:szCs w:val="24"/>
              </w:rPr>
              <w:t>%</w:t>
            </w:r>
          </w:p>
        </w:tc>
      </w:tr>
      <w:tr w:rsidR="00A95BBA" w:rsidRPr="00AF01B2" w:rsidTr="0021336E">
        <w:tblPrEx>
          <w:tblLook w:val="0000"/>
        </w:tblPrEx>
        <w:trPr>
          <w:gridBefore w:val="1"/>
          <w:wBefore w:w="6750" w:type="dxa"/>
          <w:trHeight w:val="152"/>
          <w:jc w:val="center"/>
        </w:trPr>
        <w:tc>
          <w:tcPr>
            <w:tcW w:w="153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080" w:type="dxa"/>
            <w:tcBorders>
              <w:bottom w:val="single" w:sz="4" w:space="0" w:color="000000"/>
            </w:tcBorders>
            <w:shd w:val="clear" w:color="auto" w:fill="D9D9D9" w:themeFill="background1" w:themeFillShade="D9"/>
            <w:vAlign w:val="center"/>
          </w:tcPr>
          <w:p w:rsidR="00A95BBA" w:rsidRPr="00AF01B2" w:rsidRDefault="00963C32" w:rsidP="00103948">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10</w:t>
            </w:r>
            <w:r w:rsidR="00A95BBA" w:rsidRPr="00AF01B2">
              <w:rPr>
                <w:rFonts w:asciiTheme="minorHAnsi" w:hAnsiTheme="minorHAnsi"/>
                <w:b/>
                <w:color w:val="auto"/>
                <w:szCs w:val="24"/>
              </w:rPr>
              <w:t>%</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7E3389">
        <w:rPr>
          <w:rFonts w:asciiTheme="minorHAnsi" w:hAnsiTheme="minorHAnsi"/>
          <w:color w:val="auto"/>
        </w:rPr>
        <w:t>10511</w:t>
      </w:r>
      <w:r>
        <w:rPr>
          <w:rFonts w:asciiTheme="minorHAnsi" w:hAnsiTheme="minorHAnsi"/>
          <w:color w:val="auto"/>
        </w:rPr>
        <w:t>, w/</w:t>
      </w:r>
      <w:proofErr w:type="spellStart"/>
      <w:r>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Service </w:t>
      </w:r>
      <w:r w:rsidR="003C0482">
        <w:rPr>
          <w:rFonts w:asciiTheme="minorHAnsi" w:hAnsiTheme="minorHAnsi"/>
          <w:color w:val="auto"/>
        </w:rPr>
        <w:t>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3C0482">
        <w:rPr>
          <w:rFonts w:asciiTheme="minorHAnsi" w:hAnsiTheme="minorHAnsi"/>
          <w:color w:val="auto"/>
        </w:rPr>
        <w: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963C32" w:rsidRPr="00006186" w:rsidRDefault="00963C32" w:rsidP="00963C32">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 xml:space="preserve">President </w:t>
      </w:r>
    </w:p>
    <w:p w:rsidR="005135BE" w:rsidRDefault="00963C32" w:rsidP="00963C3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5135BE" w:rsidRDefault="005135BE">
      <w:pPr>
        <w:rPr>
          <w:rFonts w:asciiTheme="minorHAnsi" w:hAnsiTheme="minorHAnsi"/>
          <w:color w:val="auto"/>
        </w:rPr>
      </w:pPr>
      <w:r>
        <w:rPr>
          <w:rFonts w:asciiTheme="minorHAnsi" w:hAnsiTheme="minorHAnsi"/>
          <w:color w:val="auto"/>
        </w:rPr>
        <w:br w:type="page"/>
      </w:r>
    </w:p>
    <w:p w:rsidR="005135BE" w:rsidRDefault="005135BE" w:rsidP="005135BE">
      <w:pPr>
        <w:pStyle w:val="Header"/>
        <w:tabs>
          <w:tab w:val="clear" w:pos="4320"/>
          <w:tab w:val="clear" w:pos="8640"/>
        </w:tabs>
      </w:pPr>
      <w:r>
        <w:lastRenderedPageBreak/>
        <w:t>SFMR-RB</w:t>
      </w:r>
      <w:r>
        <w:tab/>
      </w:r>
      <w:r>
        <w:tab/>
      </w:r>
      <w:r>
        <w:tab/>
      </w:r>
      <w:r>
        <w:tab/>
      </w:r>
      <w:r>
        <w:tab/>
      </w:r>
      <w:r>
        <w:tab/>
      </w:r>
      <w:r>
        <w:tab/>
      </w:r>
      <w:r>
        <w:tab/>
      </w:r>
      <w:r>
        <w:tab/>
      </w:r>
    </w:p>
    <w:p w:rsidR="005135BE" w:rsidRDefault="005135BE" w:rsidP="005135BE">
      <w:pPr>
        <w:pStyle w:val="Header"/>
        <w:tabs>
          <w:tab w:val="clear" w:pos="4320"/>
          <w:tab w:val="clear" w:pos="8640"/>
        </w:tabs>
      </w:pPr>
    </w:p>
    <w:p w:rsidR="005135BE" w:rsidRDefault="005135BE" w:rsidP="005135BE"/>
    <w:p w:rsidR="005135BE" w:rsidRDefault="005135BE" w:rsidP="005135BE">
      <w:r>
        <w:t xml:space="preserve">MEMORANDUM FOR Commander, US Army Physical Disability Agency </w:t>
      </w:r>
    </w:p>
    <w:p w:rsidR="005135BE" w:rsidRDefault="005135BE" w:rsidP="005135BE"/>
    <w:p w:rsidR="005135BE" w:rsidRDefault="005135BE" w:rsidP="005135BE">
      <w:pPr>
        <w:ind w:right="-180"/>
      </w:pPr>
      <w:r>
        <w:t>SUBJECT:  Department of Defense Physical Disability Board of Review Recommendation</w:t>
      </w:r>
    </w:p>
    <w:p w:rsidR="005135BE" w:rsidRDefault="005135BE" w:rsidP="005135BE">
      <w:pPr>
        <w:pStyle w:val="Header"/>
        <w:tabs>
          <w:tab w:val="clear" w:pos="4320"/>
          <w:tab w:val="clear" w:pos="8640"/>
        </w:tabs>
      </w:pPr>
    </w:p>
    <w:p w:rsidR="005135BE" w:rsidRDefault="005135BE" w:rsidP="005135BE"/>
    <w:p w:rsidR="005135BE" w:rsidRDefault="005135BE" w:rsidP="005135BE">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5135BE" w:rsidRDefault="005135BE" w:rsidP="005135BE"/>
    <w:p w:rsidR="005135BE" w:rsidRDefault="005135BE" w:rsidP="005135BE">
      <w:r>
        <w:t>This decision is final.  The individual concerned, counsel (if any), and any Members of Congress who have shown interest in this application have been notified of this decision by mail.</w:t>
      </w:r>
    </w:p>
    <w:p w:rsidR="005135BE" w:rsidRDefault="005135BE" w:rsidP="005135BE"/>
    <w:p w:rsidR="005135BE" w:rsidRDefault="005135BE" w:rsidP="005135BE">
      <w:r>
        <w:t xml:space="preserve"> BY ORDER OF THE SECRETARY OF THE ARMY:</w:t>
      </w:r>
    </w:p>
    <w:p w:rsidR="005135BE" w:rsidRDefault="005135BE" w:rsidP="005135BE"/>
    <w:p w:rsidR="005135BE" w:rsidRDefault="005135BE" w:rsidP="005135BE"/>
    <w:p w:rsidR="005135BE" w:rsidRDefault="005135BE" w:rsidP="005135BE">
      <w:pPr>
        <w:pStyle w:val="Header"/>
        <w:tabs>
          <w:tab w:val="clear" w:pos="4320"/>
          <w:tab w:val="clear" w:pos="8640"/>
        </w:tabs>
      </w:pPr>
    </w:p>
    <w:p w:rsidR="005135BE" w:rsidRDefault="005135BE" w:rsidP="005135BE"/>
    <w:p w:rsidR="005135BE" w:rsidRDefault="005135BE" w:rsidP="005135BE">
      <w:bookmarkStart w:id="0" w:name="OLE_LINK3"/>
      <w:bookmarkStart w:id="1" w:name="OLE_LINK4"/>
      <w:r>
        <w:t>Encl</w:t>
      </w:r>
      <w:r>
        <w:tab/>
      </w:r>
      <w:r>
        <w:tab/>
      </w:r>
      <w:r>
        <w:tab/>
      </w:r>
      <w:r>
        <w:tab/>
      </w:r>
      <w:r>
        <w:tab/>
      </w:r>
      <w:r>
        <w:tab/>
        <w:t xml:space="preserve">  </w:t>
      </w:r>
    </w:p>
    <w:p w:rsidR="005135BE" w:rsidRDefault="005135BE" w:rsidP="005135BE">
      <w:r>
        <w:tab/>
      </w:r>
      <w:r>
        <w:tab/>
      </w:r>
      <w:r>
        <w:tab/>
      </w:r>
      <w:r>
        <w:tab/>
      </w:r>
      <w:r>
        <w:tab/>
      </w:r>
      <w:r>
        <w:tab/>
        <w:t xml:space="preserve">     Deputy Assistant Secretary</w:t>
      </w:r>
    </w:p>
    <w:p w:rsidR="005135BE" w:rsidRDefault="005135BE" w:rsidP="005135BE">
      <w:r>
        <w:tab/>
      </w:r>
      <w:r>
        <w:tab/>
      </w:r>
      <w:r>
        <w:tab/>
      </w:r>
      <w:r>
        <w:tab/>
      </w:r>
      <w:r>
        <w:tab/>
      </w:r>
      <w:r>
        <w:tab/>
        <w:t xml:space="preserve">         (Army Review Boards)</w:t>
      </w:r>
      <w:bookmarkEnd w:id="0"/>
      <w:bookmarkEnd w:id="1"/>
    </w:p>
    <w:p w:rsidR="00963C32" w:rsidRPr="00006186" w:rsidRDefault="00963C32" w:rsidP="00963C3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44141" w:rsidRDefault="00A44141" w:rsidP="00963C32">
      <w:pPr>
        <w:tabs>
          <w:tab w:val="left" w:pos="0"/>
          <w:tab w:val="left" w:pos="4320"/>
        </w:tabs>
        <w:spacing w:line="240" w:lineRule="exact"/>
        <w:jc w:val="both"/>
        <w:rPr>
          <w:rFonts w:asciiTheme="minorHAnsi" w:hAnsiTheme="minorHAnsi"/>
          <w:color w:val="auto"/>
        </w:rPr>
      </w:pPr>
    </w:p>
    <w:sectPr w:rsidR="00A44141"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AB7" w:rsidRDefault="00AF4AB7">
      <w:r>
        <w:separator/>
      </w:r>
    </w:p>
  </w:endnote>
  <w:endnote w:type="continuationSeparator" w:id="0">
    <w:p w:rsidR="00AF4AB7" w:rsidRDefault="00AF4A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5E3719" w:rsidRPr="00684CE6" w:rsidRDefault="00361E4A" w:rsidP="00F65ED5">
        <w:pPr>
          <w:pStyle w:val="Footer"/>
          <w:jc w:val="right"/>
          <w:rPr>
            <w:color w:val="auto"/>
          </w:rPr>
        </w:pPr>
        <w:r w:rsidRPr="00684CE6">
          <w:rPr>
            <w:color w:val="auto"/>
          </w:rPr>
          <w:fldChar w:fldCharType="begin"/>
        </w:r>
        <w:r w:rsidR="005E3719" w:rsidRPr="00684CE6">
          <w:rPr>
            <w:color w:val="auto"/>
          </w:rPr>
          <w:instrText xml:space="preserve"> PAGE   \* MERGEFORMAT </w:instrText>
        </w:r>
        <w:r w:rsidRPr="00684CE6">
          <w:rPr>
            <w:color w:val="auto"/>
          </w:rPr>
          <w:fldChar w:fldCharType="separate"/>
        </w:r>
        <w:r w:rsidR="005135BE">
          <w:rPr>
            <w:noProof/>
            <w:color w:val="auto"/>
          </w:rPr>
          <w:t>5</w:t>
        </w:r>
        <w:r w:rsidRPr="00684CE6">
          <w:rPr>
            <w:color w:val="auto"/>
          </w:rPr>
          <w:fldChar w:fldCharType="end"/>
        </w:r>
        <w:r w:rsidR="005E3719" w:rsidRPr="00684CE6">
          <w:rPr>
            <w:color w:val="auto"/>
          </w:rPr>
          <w:t xml:space="preserve">                                                           PD</w:t>
        </w:r>
        <w:r w:rsidR="005E3719" w:rsidRPr="00963C32">
          <w:rPr>
            <w:color w:val="auto"/>
          </w:rPr>
          <w:t>1100427</w:t>
        </w:r>
      </w:p>
    </w:sdtContent>
  </w:sdt>
  <w:p w:rsidR="005E3719" w:rsidRPr="00684CE6" w:rsidRDefault="005E3719">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719" w:rsidRPr="00DB4A6D" w:rsidRDefault="005E3719" w:rsidP="00DB4A6D">
    <w:pPr>
      <w:pStyle w:val="Footer"/>
      <w:rPr>
        <w:color w:val="auto"/>
      </w:rPr>
    </w:pPr>
    <w:r w:rsidRPr="00DB4A6D">
      <w:rPr>
        <w:color w:val="auto"/>
      </w:rP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AB7" w:rsidRDefault="00AF4AB7">
      <w:r>
        <w:separator/>
      </w:r>
    </w:p>
  </w:footnote>
  <w:footnote w:type="continuationSeparator" w:id="0">
    <w:p w:rsidR="00AF4AB7" w:rsidRDefault="00AF4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43714"/>
  </w:hdrShapeDefaults>
  <w:footnotePr>
    <w:numRestart w:val="eachSect"/>
    <w:footnote w:id="-1"/>
    <w:footnote w:id="0"/>
  </w:footnotePr>
  <w:endnotePr>
    <w:endnote w:id="-1"/>
    <w:endnote w:id="0"/>
  </w:endnotePr>
  <w:compat/>
  <w:rsids>
    <w:rsidRoot w:val="001C28D1"/>
    <w:rsid w:val="000024F5"/>
    <w:rsid w:val="00002958"/>
    <w:rsid w:val="000059FA"/>
    <w:rsid w:val="00006186"/>
    <w:rsid w:val="00006F87"/>
    <w:rsid w:val="00007107"/>
    <w:rsid w:val="00010ABA"/>
    <w:rsid w:val="00010B0F"/>
    <w:rsid w:val="00011F19"/>
    <w:rsid w:val="00012428"/>
    <w:rsid w:val="00012733"/>
    <w:rsid w:val="00013417"/>
    <w:rsid w:val="000145C2"/>
    <w:rsid w:val="00014659"/>
    <w:rsid w:val="0001473F"/>
    <w:rsid w:val="00014A9E"/>
    <w:rsid w:val="00021361"/>
    <w:rsid w:val="00022CF3"/>
    <w:rsid w:val="00023913"/>
    <w:rsid w:val="00023D43"/>
    <w:rsid w:val="00024DE7"/>
    <w:rsid w:val="00026092"/>
    <w:rsid w:val="00026BDE"/>
    <w:rsid w:val="00030699"/>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431E"/>
    <w:rsid w:val="000652EA"/>
    <w:rsid w:val="00065E21"/>
    <w:rsid w:val="000673ED"/>
    <w:rsid w:val="00070DED"/>
    <w:rsid w:val="00072433"/>
    <w:rsid w:val="0007488B"/>
    <w:rsid w:val="00075702"/>
    <w:rsid w:val="00075A0C"/>
    <w:rsid w:val="00077364"/>
    <w:rsid w:val="000775C2"/>
    <w:rsid w:val="000806AD"/>
    <w:rsid w:val="00080BDF"/>
    <w:rsid w:val="00082482"/>
    <w:rsid w:val="00084CF2"/>
    <w:rsid w:val="00085D7B"/>
    <w:rsid w:val="0008708B"/>
    <w:rsid w:val="00092619"/>
    <w:rsid w:val="00092C66"/>
    <w:rsid w:val="000949DD"/>
    <w:rsid w:val="00094E4F"/>
    <w:rsid w:val="000A2BCE"/>
    <w:rsid w:val="000A33C8"/>
    <w:rsid w:val="000A41E3"/>
    <w:rsid w:val="000A4BBA"/>
    <w:rsid w:val="000A5071"/>
    <w:rsid w:val="000B0AD2"/>
    <w:rsid w:val="000B1022"/>
    <w:rsid w:val="000B2FB8"/>
    <w:rsid w:val="000B4C99"/>
    <w:rsid w:val="000C000B"/>
    <w:rsid w:val="000C06F6"/>
    <w:rsid w:val="000C1B35"/>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0A48"/>
    <w:rsid w:val="000E2E50"/>
    <w:rsid w:val="000E37E0"/>
    <w:rsid w:val="000E3F20"/>
    <w:rsid w:val="000E4CBF"/>
    <w:rsid w:val="000E5577"/>
    <w:rsid w:val="000E69A5"/>
    <w:rsid w:val="000E7034"/>
    <w:rsid w:val="000F02BE"/>
    <w:rsid w:val="000F0928"/>
    <w:rsid w:val="000F427B"/>
    <w:rsid w:val="000F43D0"/>
    <w:rsid w:val="000F4F18"/>
    <w:rsid w:val="000F5E64"/>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0920"/>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721"/>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3C59"/>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1F1A8E"/>
    <w:rsid w:val="00200AA0"/>
    <w:rsid w:val="00202325"/>
    <w:rsid w:val="00202736"/>
    <w:rsid w:val="00203652"/>
    <w:rsid w:val="00204562"/>
    <w:rsid w:val="00205B4F"/>
    <w:rsid w:val="002060B6"/>
    <w:rsid w:val="002066B5"/>
    <w:rsid w:val="00211612"/>
    <w:rsid w:val="002119B6"/>
    <w:rsid w:val="00212B40"/>
    <w:rsid w:val="00213344"/>
    <w:rsid w:val="0021336E"/>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D56"/>
    <w:rsid w:val="00276E4D"/>
    <w:rsid w:val="00276FD0"/>
    <w:rsid w:val="00277217"/>
    <w:rsid w:val="002810A4"/>
    <w:rsid w:val="00282DB6"/>
    <w:rsid w:val="002843BA"/>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0E6"/>
    <w:rsid w:val="002C0DEA"/>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36F8"/>
    <w:rsid w:val="002F6AD8"/>
    <w:rsid w:val="002F7F81"/>
    <w:rsid w:val="00300A36"/>
    <w:rsid w:val="00301B45"/>
    <w:rsid w:val="00302A89"/>
    <w:rsid w:val="00305856"/>
    <w:rsid w:val="0030678B"/>
    <w:rsid w:val="00306D16"/>
    <w:rsid w:val="00307595"/>
    <w:rsid w:val="00310CD7"/>
    <w:rsid w:val="00313D7A"/>
    <w:rsid w:val="0032136A"/>
    <w:rsid w:val="00323A90"/>
    <w:rsid w:val="00323E70"/>
    <w:rsid w:val="003254A6"/>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042D"/>
    <w:rsid w:val="00341A54"/>
    <w:rsid w:val="00344A4F"/>
    <w:rsid w:val="00344D17"/>
    <w:rsid w:val="0034669F"/>
    <w:rsid w:val="00347E67"/>
    <w:rsid w:val="00351498"/>
    <w:rsid w:val="00352B22"/>
    <w:rsid w:val="00352CBF"/>
    <w:rsid w:val="00354547"/>
    <w:rsid w:val="003549F5"/>
    <w:rsid w:val="003567DE"/>
    <w:rsid w:val="003574F3"/>
    <w:rsid w:val="00357831"/>
    <w:rsid w:val="00357B9F"/>
    <w:rsid w:val="003604A5"/>
    <w:rsid w:val="0036054C"/>
    <w:rsid w:val="00361E4A"/>
    <w:rsid w:val="0036319E"/>
    <w:rsid w:val="003632A4"/>
    <w:rsid w:val="00363362"/>
    <w:rsid w:val="00363C64"/>
    <w:rsid w:val="00365767"/>
    <w:rsid w:val="003659C0"/>
    <w:rsid w:val="003660DF"/>
    <w:rsid w:val="00367D4F"/>
    <w:rsid w:val="00370743"/>
    <w:rsid w:val="00370EF5"/>
    <w:rsid w:val="0037135B"/>
    <w:rsid w:val="00372251"/>
    <w:rsid w:val="00373F64"/>
    <w:rsid w:val="003743A6"/>
    <w:rsid w:val="00374EA1"/>
    <w:rsid w:val="0037520D"/>
    <w:rsid w:val="00375724"/>
    <w:rsid w:val="00375809"/>
    <w:rsid w:val="00375CF1"/>
    <w:rsid w:val="0037628C"/>
    <w:rsid w:val="00376B81"/>
    <w:rsid w:val="00376E08"/>
    <w:rsid w:val="00377BD2"/>
    <w:rsid w:val="0038089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0482"/>
    <w:rsid w:val="003C294B"/>
    <w:rsid w:val="003C5046"/>
    <w:rsid w:val="003C6068"/>
    <w:rsid w:val="003C7AEC"/>
    <w:rsid w:val="003D2BA3"/>
    <w:rsid w:val="003D316B"/>
    <w:rsid w:val="003D3C22"/>
    <w:rsid w:val="003D4257"/>
    <w:rsid w:val="003D56A0"/>
    <w:rsid w:val="003D69F5"/>
    <w:rsid w:val="003D7089"/>
    <w:rsid w:val="003D7DDB"/>
    <w:rsid w:val="003D7E28"/>
    <w:rsid w:val="003E024F"/>
    <w:rsid w:val="003E02C7"/>
    <w:rsid w:val="003E0543"/>
    <w:rsid w:val="003E061D"/>
    <w:rsid w:val="003E0B5A"/>
    <w:rsid w:val="003E1682"/>
    <w:rsid w:val="003E31E3"/>
    <w:rsid w:val="003E3E93"/>
    <w:rsid w:val="003E46D1"/>
    <w:rsid w:val="003E6214"/>
    <w:rsid w:val="003F070E"/>
    <w:rsid w:val="003F1206"/>
    <w:rsid w:val="003F2588"/>
    <w:rsid w:val="003F28DB"/>
    <w:rsid w:val="003F2EEE"/>
    <w:rsid w:val="003F3D16"/>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0DF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255F"/>
    <w:rsid w:val="0049445D"/>
    <w:rsid w:val="00495350"/>
    <w:rsid w:val="00495E3C"/>
    <w:rsid w:val="00497156"/>
    <w:rsid w:val="004A0C79"/>
    <w:rsid w:val="004A1F76"/>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35BE"/>
    <w:rsid w:val="00514449"/>
    <w:rsid w:val="00515419"/>
    <w:rsid w:val="005157BD"/>
    <w:rsid w:val="00516AC0"/>
    <w:rsid w:val="005214A3"/>
    <w:rsid w:val="0052160F"/>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01FC"/>
    <w:rsid w:val="005D2306"/>
    <w:rsid w:val="005D4A74"/>
    <w:rsid w:val="005D5E91"/>
    <w:rsid w:val="005D67EF"/>
    <w:rsid w:val="005E3064"/>
    <w:rsid w:val="005E3719"/>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20DC"/>
    <w:rsid w:val="00605AAB"/>
    <w:rsid w:val="00606BEB"/>
    <w:rsid w:val="0061014A"/>
    <w:rsid w:val="0061054B"/>
    <w:rsid w:val="00612FB0"/>
    <w:rsid w:val="0061356D"/>
    <w:rsid w:val="00613E26"/>
    <w:rsid w:val="00615641"/>
    <w:rsid w:val="00616959"/>
    <w:rsid w:val="00616FA7"/>
    <w:rsid w:val="0062036E"/>
    <w:rsid w:val="00620B3D"/>
    <w:rsid w:val="006211D0"/>
    <w:rsid w:val="00621595"/>
    <w:rsid w:val="0062359D"/>
    <w:rsid w:val="00623634"/>
    <w:rsid w:val="00624D0C"/>
    <w:rsid w:val="006274B4"/>
    <w:rsid w:val="006307BA"/>
    <w:rsid w:val="0063157F"/>
    <w:rsid w:val="006315BA"/>
    <w:rsid w:val="00634C4A"/>
    <w:rsid w:val="0063532E"/>
    <w:rsid w:val="00637063"/>
    <w:rsid w:val="0063737C"/>
    <w:rsid w:val="00637BDC"/>
    <w:rsid w:val="00640622"/>
    <w:rsid w:val="006418C9"/>
    <w:rsid w:val="00642BD6"/>
    <w:rsid w:val="00645046"/>
    <w:rsid w:val="006451A9"/>
    <w:rsid w:val="0064527A"/>
    <w:rsid w:val="006458FD"/>
    <w:rsid w:val="00645EA2"/>
    <w:rsid w:val="00651E6D"/>
    <w:rsid w:val="00653D2D"/>
    <w:rsid w:val="006555E7"/>
    <w:rsid w:val="006560B6"/>
    <w:rsid w:val="006573F2"/>
    <w:rsid w:val="00662AD0"/>
    <w:rsid w:val="00662F08"/>
    <w:rsid w:val="00663589"/>
    <w:rsid w:val="00664036"/>
    <w:rsid w:val="006649CD"/>
    <w:rsid w:val="00665D75"/>
    <w:rsid w:val="006708E3"/>
    <w:rsid w:val="00670DDC"/>
    <w:rsid w:val="00671389"/>
    <w:rsid w:val="00671EB4"/>
    <w:rsid w:val="00673CDC"/>
    <w:rsid w:val="0067443B"/>
    <w:rsid w:val="006770AA"/>
    <w:rsid w:val="00682486"/>
    <w:rsid w:val="006837D1"/>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4E5E"/>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420"/>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586B"/>
    <w:rsid w:val="007272F1"/>
    <w:rsid w:val="0073062D"/>
    <w:rsid w:val="0073093B"/>
    <w:rsid w:val="0073254D"/>
    <w:rsid w:val="007340F3"/>
    <w:rsid w:val="00735704"/>
    <w:rsid w:val="00736A49"/>
    <w:rsid w:val="00736FC4"/>
    <w:rsid w:val="0074075A"/>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15D6"/>
    <w:rsid w:val="00763CAE"/>
    <w:rsid w:val="00763F95"/>
    <w:rsid w:val="00764357"/>
    <w:rsid w:val="007651ED"/>
    <w:rsid w:val="00766C87"/>
    <w:rsid w:val="00771043"/>
    <w:rsid w:val="00773AF7"/>
    <w:rsid w:val="00774FFD"/>
    <w:rsid w:val="00780378"/>
    <w:rsid w:val="0078085E"/>
    <w:rsid w:val="00781BD4"/>
    <w:rsid w:val="00782562"/>
    <w:rsid w:val="007828B4"/>
    <w:rsid w:val="00784832"/>
    <w:rsid w:val="007849DD"/>
    <w:rsid w:val="00784EA0"/>
    <w:rsid w:val="00785D77"/>
    <w:rsid w:val="00786111"/>
    <w:rsid w:val="00790963"/>
    <w:rsid w:val="0079154B"/>
    <w:rsid w:val="00791E11"/>
    <w:rsid w:val="00791F1E"/>
    <w:rsid w:val="007927BE"/>
    <w:rsid w:val="007935B8"/>
    <w:rsid w:val="00793EDF"/>
    <w:rsid w:val="00794ADE"/>
    <w:rsid w:val="00794F3D"/>
    <w:rsid w:val="00795CE9"/>
    <w:rsid w:val="00796045"/>
    <w:rsid w:val="007968AC"/>
    <w:rsid w:val="007969AB"/>
    <w:rsid w:val="007973D8"/>
    <w:rsid w:val="00797801"/>
    <w:rsid w:val="007A0B39"/>
    <w:rsid w:val="007A14A4"/>
    <w:rsid w:val="007A168F"/>
    <w:rsid w:val="007A2346"/>
    <w:rsid w:val="007A28E4"/>
    <w:rsid w:val="007A395D"/>
    <w:rsid w:val="007A3BB3"/>
    <w:rsid w:val="007A3F91"/>
    <w:rsid w:val="007A5AD1"/>
    <w:rsid w:val="007A5B7B"/>
    <w:rsid w:val="007A65A9"/>
    <w:rsid w:val="007B0128"/>
    <w:rsid w:val="007B0A06"/>
    <w:rsid w:val="007B0B24"/>
    <w:rsid w:val="007B1C83"/>
    <w:rsid w:val="007B1FF0"/>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2C15"/>
    <w:rsid w:val="007D3882"/>
    <w:rsid w:val="007D39E4"/>
    <w:rsid w:val="007D3FE7"/>
    <w:rsid w:val="007D568A"/>
    <w:rsid w:val="007D574E"/>
    <w:rsid w:val="007D57C0"/>
    <w:rsid w:val="007D67CB"/>
    <w:rsid w:val="007D6BFE"/>
    <w:rsid w:val="007E2046"/>
    <w:rsid w:val="007E3385"/>
    <w:rsid w:val="007E3389"/>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771C"/>
    <w:rsid w:val="0080064F"/>
    <w:rsid w:val="00801B85"/>
    <w:rsid w:val="00801D1E"/>
    <w:rsid w:val="00803850"/>
    <w:rsid w:val="008039E8"/>
    <w:rsid w:val="00804385"/>
    <w:rsid w:val="00804E0E"/>
    <w:rsid w:val="00805AFD"/>
    <w:rsid w:val="008078D8"/>
    <w:rsid w:val="0080798E"/>
    <w:rsid w:val="00811D5B"/>
    <w:rsid w:val="00813C51"/>
    <w:rsid w:val="00814BF1"/>
    <w:rsid w:val="00816CCB"/>
    <w:rsid w:val="00817572"/>
    <w:rsid w:val="00817713"/>
    <w:rsid w:val="0082005C"/>
    <w:rsid w:val="008208C3"/>
    <w:rsid w:val="008220F1"/>
    <w:rsid w:val="0082340B"/>
    <w:rsid w:val="00823D6A"/>
    <w:rsid w:val="00827B29"/>
    <w:rsid w:val="00827DB6"/>
    <w:rsid w:val="008304B2"/>
    <w:rsid w:val="00830999"/>
    <w:rsid w:val="00830D5E"/>
    <w:rsid w:val="00830F69"/>
    <w:rsid w:val="008324D9"/>
    <w:rsid w:val="00833418"/>
    <w:rsid w:val="0083387F"/>
    <w:rsid w:val="00833E54"/>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2451"/>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B87"/>
    <w:rsid w:val="008C4F01"/>
    <w:rsid w:val="008C6F36"/>
    <w:rsid w:val="008D1484"/>
    <w:rsid w:val="008D29E7"/>
    <w:rsid w:val="008D5104"/>
    <w:rsid w:val="008D75F4"/>
    <w:rsid w:val="008D795D"/>
    <w:rsid w:val="008D7B07"/>
    <w:rsid w:val="008E0341"/>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42F"/>
    <w:rsid w:val="00906EB7"/>
    <w:rsid w:val="009102BF"/>
    <w:rsid w:val="00911490"/>
    <w:rsid w:val="009115F2"/>
    <w:rsid w:val="00911B11"/>
    <w:rsid w:val="00914ADB"/>
    <w:rsid w:val="00917182"/>
    <w:rsid w:val="00923B25"/>
    <w:rsid w:val="0092402E"/>
    <w:rsid w:val="009259BA"/>
    <w:rsid w:val="00926FCB"/>
    <w:rsid w:val="009303BB"/>
    <w:rsid w:val="0093108A"/>
    <w:rsid w:val="00931841"/>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3C32"/>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68D"/>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18F"/>
    <w:rsid w:val="009C15D9"/>
    <w:rsid w:val="009C22C8"/>
    <w:rsid w:val="009C3F82"/>
    <w:rsid w:val="009C582A"/>
    <w:rsid w:val="009C5C56"/>
    <w:rsid w:val="009C72DD"/>
    <w:rsid w:val="009C78FD"/>
    <w:rsid w:val="009C7DF5"/>
    <w:rsid w:val="009D056C"/>
    <w:rsid w:val="009D060F"/>
    <w:rsid w:val="009D1ADE"/>
    <w:rsid w:val="009D26E8"/>
    <w:rsid w:val="009D3652"/>
    <w:rsid w:val="009D37CA"/>
    <w:rsid w:val="009D4229"/>
    <w:rsid w:val="009D4268"/>
    <w:rsid w:val="009E09D0"/>
    <w:rsid w:val="009E1283"/>
    <w:rsid w:val="009E37B2"/>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29F4"/>
    <w:rsid w:val="00A03190"/>
    <w:rsid w:val="00A0404B"/>
    <w:rsid w:val="00A06F66"/>
    <w:rsid w:val="00A0798C"/>
    <w:rsid w:val="00A07BDD"/>
    <w:rsid w:val="00A07F12"/>
    <w:rsid w:val="00A1105B"/>
    <w:rsid w:val="00A11295"/>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9DE"/>
    <w:rsid w:val="00A40FFB"/>
    <w:rsid w:val="00A41468"/>
    <w:rsid w:val="00A414A9"/>
    <w:rsid w:val="00A44141"/>
    <w:rsid w:val="00A44CCA"/>
    <w:rsid w:val="00A44D75"/>
    <w:rsid w:val="00A46494"/>
    <w:rsid w:val="00A47CF1"/>
    <w:rsid w:val="00A50418"/>
    <w:rsid w:val="00A54A47"/>
    <w:rsid w:val="00A562E3"/>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AD4"/>
    <w:rsid w:val="00A95BBA"/>
    <w:rsid w:val="00A961EE"/>
    <w:rsid w:val="00AA04B3"/>
    <w:rsid w:val="00AA1253"/>
    <w:rsid w:val="00AA186B"/>
    <w:rsid w:val="00AA1ED0"/>
    <w:rsid w:val="00AA1F5B"/>
    <w:rsid w:val="00AA28EF"/>
    <w:rsid w:val="00AA3593"/>
    <w:rsid w:val="00AA38CA"/>
    <w:rsid w:val="00AA493E"/>
    <w:rsid w:val="00AA73AF"/>
    <w:rsid w:val="00AB0A8A"/>
    <w:rsid w:val="00AB1754"/>
    <w:rsid w:val="00AB1F8D"/>
    <w:rsid w:val="00AB27DD"/>
    <w:rsid w:val="00AB4EF5"/>
    <w:rsid w:val="00AB592E"/>
    <w:rsid w:val="00AC37BE"/>
    <w:rsid w:val="00AC439D"/>
    <w:rsid w:val="00AC62CC"/>
    <w:rsid w:val="00AC713F"/>
    <w:rsid w:val="00AC7329"/>
    <w:rsid w:val="00AC7D96"/>
    <w:rsid w:val="00AD00E4"/>
    <w:rsid w:val="00AD067E"/>
    <w:rsid w:val="00AD168B"/>
    <w:rsid w:val="00AD1B4E"/>
    <w:rsid w:val="00AD2603"/>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AB7"/>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977"/>
    <w:rsid w:val="00B24ED4"/>
    <w:rsid w:val="00B24F33"/>
    <w:rsid w:val="00B25CD2"/>
    <w:rsid w:val="00B26354"/>
    <w:rsid w:val="00B26CA0"/>
    <w:rsid w:val="00B2712B"/>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6674"/>
    <w:rsid w:val="00B91676"/>
    <w:rsid w:val="00B9322B"/>
    <w:rsid w:val="00B942C6"/>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3DD1"/>
    <w:rsid w:val="00BF421F"/>
    <w:rsid w:val="00BF4720"/>
    <w:rsid w:val="00BF4F49"/>
    <w:rsid w:val="00BF6759"/>
    <w:rsid w:val="00BF70A6"/>
    <w:rsid w:val="00BF7B4F"/>
    <w:rsid w:val="00BF7B63"/>
    <w:rsid w:val="00C0359D"/>
    <w:rsid w:val="00C038EC"/>
    <w:rsid w:val="00C05C6D"/>
    <w:rsid w:val="00C072D7"/>
    <w:rsid w:val="00C104DB"/>
    <w:rsid w:val="00C10D6E"/>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5DBE"/>
    <w:rsid w:val="00C36201"/>
    <w:rsid w:val="00C368E8"/>
    <w:rsid w:val="00C36C3D"/>
    <w:rsid w:val="00C372C7"/>
    <w:rsid w:val="00C42443"/>
    <w:rsid w:val="00C42B5F"/>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2331"/>
    <w:rsid w:val="00C74D3A"/>
    <w:rsid w:val="00C75F3D"/>
    <w:rsid w:val="00C80511"/>
    <w:rsid w:val="00C826F5"/>
    <w:rsid w:val="00C83740"/>
    <w:rsid w:val="00C84AD1"/>
    <w:rsid w:val="00C85579"/>
    <w:rsid w:val="00C862F1"/>
    <w:rsid w:val="00C863E5"/>
    <w:rsid w:val="00C87BE6"/>
    <w:rsid w:val="00C87F76"/>
    <w:rsid w:val="00C915E9"/>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4797"/>
    <w:rsid w:val="00CA5F89"/>
    <w:rsid w:val="00CA6B1A"/>
    <w:rsid w:val="00CB1B18"/>
    <w:rsid w:val="00CB20DC"/>
    <w:rsid w:val="00CB23DC"/>
    <w:rsid w:val="00CB2487"/>
    <w:rsid w:val="00CB28E2"/>
    <w:rsid w:val="00CB2F20"/>
    <w:rsid w:val="00CB3427"/>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0F1B"/>
    <w:rsid w:val="00CF158D"/>
    <w:rsid w:val="00CF2166"/>
    <w:rsid w:val="00CF4340"/>
    <w:rsid w:val="00CF4394"/>
    <w:rsid w:val="00CF48B4"/>
    <w:rsid w:val="00D000A9"/>
    <w:rsid w:val="00D00384"/>
    <w:rsid w:val="00D005DB"/>
    <w:rsid w:val="00D0064E"/>
    <w:rsid w:val="00D00981"/>
    <w:rsid w:val="00D02170"/>
    <w:rsid w:val="00D02596"/>
    <w:rsid w:val="00D0280D"/>
    <w:rsid w:val="00D02AEF"/>
    <w:rsid w:val="00D05669"/>
    <w:rsid w:val="00D05D5D"/>
    <w:rsid w:val="00D061EB"/>
    <w:rsid w:val="00D06952"/>
    <w:rsid w:val="00D070A3"/>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2696C"/>
    <w:rsid w:val="00D27DBE"/>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249"/>
    <w:rsid w:val="00D80490"/>
    <w:rsid w:val="00D829AD"/>
    <w:rsid w:val="00D82EE2"/>
    <w:rsid w:val="00D83D1B"/>
    <w:rsid w:val="00D84133"/>
    <w:rsid w:val="00D8545C"/>
    <w:rsid w:val="00D86E57"/>
    <w:rsid w:val="00D87788"/>
    <w:rsid w:val="00D877C8"/>
    <w:rsid w:val="00D90099"/>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0F1D"/>
    <w:rsid w:val="00DC17F2"/>
    <w:rsid w:val="00DC41C3"/>
    <w:rsid w:val="00DC4A3C"/>
    <w:rsid w:val="00DC4FA4"/>
    <w:rsid w:val="00DC5B37"/>
    <w:rsid w:val="00DC5C2E"/>
    <w:rsid w:val="00DD286D"/>
    <w:rsid w:val="00DD2CAF"/>
    <w:rsid w:val="00DD3593"/>
    <w:rsid w:val="00DD64E0"/>
    <w:rsid w:val="00DD7BE0"/>
    <w:rsid w:val="00DE0C67"/>
    <w:rsid w:val="00DE3AAD"/>
    <w:rsid w:val="00DE598A"/>
    <w:rsid w:val="00DE6952"/>
    <w:rsid w:val="00DE7E74"/>
    <w:rsid w:val="00DF071B"/>
    <w:rsid w:val="00DF5C84"/>
    <w:rsid w:val="00DF6EF8"/>
    <w:rsid w:val="00DF7083"/>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6D7E"/>
    <w:rsid w:val="00E17EC9"/>
    <w:rsid w:val="00E202F4"/>
    <w:rsid w:val="00E207C3"/>
    <w:rsid w:val="00E21386"/>
    <w:rsid w:val="00E242AF"/>
    <w:rsid w:val="00E24849"/>
    <w:rsid w:val="00E2536E"/>
    <w:rsid w:val="00E25B8A"/>
    <w:rsid w:val="00E25EF8"/>
    <w:rsid w:val="00E2632B"/>
    <w:rsid w:val="00E26F75"/>
    <w:rsid w:val="00E27423"/>
    <w:rsid w:val="00E322E5"/>
    <w:rsid w:val="00E322F7"/>
    <w:rsid w:val="00E3369B"/>
    <w:rsid w:val="00E362D2"/>
    <w:rsid w:val="00E367F3"/>
    <w:rsid w:val="00E36D76"/>
    <w:rsid w:val="00E40478"/>
    <w:rsid w:val="00E405EA"/>
    <w:rsid w:val="00E408B7"/>
    <w:rsid w:val="00E41637"/>
    <w:rsid w:val="00E42789"/>
    <w:rsid w:val="00E42D96"/>
    <w:rsid w:val="00E43F59"/>
    <w:rsid w:val="00E464F0"/>
    <w:rsid w:val="00E46EF3"/>
    <w:rsid w:val="00E47370"/>
    <w:rsid w:val="00E473E9"/>
    <w:rsid w:val="00E47B47"/>
    <w:rsid w:val="00E50BEB"/>
    <w:rsid w:val="00E548FA"/>
    <w:rsid w:val="00E57703"/>
    <w:rsid w:val="00E57C04"/>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67C8"/>
    <w:rsid w:val="00E771AF"/>
    <w:rsid w:val="00E80386"/>
    <w:rsid w:val="00E809C3"/>
    <w:rsid w:val="00E81A1A"/>
    <w:rsid w:val="00E81C3E"/>
    <w:rsid w:val="00E82359"/>
    <w:rsid w:val="00E82B6D"/>
    <w:rsid w:val="00E83187"/>
    <w:rsid w:val="00E831E9"/>
    <w:rsid w:val="00E8608F"/>
    <w:rsid w:val="00E86C1D"/>
    <w:rsid w:val="00E90490"/>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7F4"/>
    <w:rsid w:val="00EB5EFD"/>
    <w:rsid w:val="00EB679F"/>
    <w:rsid w:val="00EB76E4"/>
    <w:rsid w:val="00EC0E65"/>
    <w:rsid w:val="00EC1251"/>
    <w:rsid w:val="00EC2938"/>
    <w:rsid w:val="00EC2D84"/>
    <w:rsid w:val="00EC337D"/>
    <w:rsid w:val="00EC38EF"/>
    <w:rsid w:val="00EC50C9"/>
    <w:rsid w:val="00EC58B4"/>
    <w:rsid w:val="00EC5BB2"/>
    <w:rsid w:val="00ED12F0"/>
    <w:rsid w:val="00ED290C"/>
    <w:rsid w:val="00ED2A6C"/>
    <w:rsid w:val="00ED2DD6"/>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0529"/>
    <w:rsid w:val="00EF2E75"/>
    <w:rsid w:val="00EF4C74"/>
    <w:rsid w:val="00EF5268"/>
    <w:rsid w:val="00EF608E"/>
    <w:rsid w:val="00EF6C4A"/>
    <w:rsid w:val="00F0044B"/>
    <w:rsid w:val="00F03525"/>
    <w:rsid w:val="00F0424D"/>
    <w:rsid w:val="00F04957"/>
    <w:rsid w:val="00F0530A"/>
    <w:rsid w:val="00F05807"/>
    <w:rsid w:val="00F06451"/>
    <w:rsid w:val="00F07052"/>
    <w:rsid w:val="00F0706C"/>
    <w:rsid w:val="00F10D11"/>
    <w:rsid w:val="00F11EBE"/>
    <w:rsid w:val="00F12293"/>
    <w:rsid w:val="00F12BA8"/>
    <w:rsid w:val="00F130D0"/>
    <w:rsid w:val="00F14933"/>
    <w:rsid w:val="00F1516A"/>
    <w:rsid w:val="00F15EE5"/>
    <w:rsid w:val="00F171F9"/>
    <w:rsid w:val="00F1737C"/>
    <w:rsid w:val="00F22A26"/>
    <w:rsid w:val="00F24072"/>
    <w:rsid w:val="00F26432"/>
    <w:rsid w:val="00F278F2"/>
    <w:rsid w:val="00F3197A"/>
    <w:rsid w:val="00F32139"/>
    <w:rsid w:val="00F33D56"/>
    <w:rsid w:val="00F34826"/>
    <w:rsid w:val="00F34E08"/>
    <w:rsid w:val="00F350C6"/>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0A4D"/>
    <w:rsid w:val="00FC1228"/>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A48"/>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character" w:customStyle="1" w:styleId="HeaderChar">
    <w:name w:val="Header Char"/>
    <w:basedOn w:val="DefaultParagraphFont"/>
    <w:link w:val="Header"/>
    <w:uiPriority w:val="99"/>
    <w:locked/>
    <w:rsid w:val="005135BE"/>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E2599-07EF-4003-961E-8060F79A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9</cp:revision>
  <cp:lastPrinted>2011-04-08T11:41:00Z</cp:lastPrinted>
  <dcterms:created xsi:type="dcterms:W3CDTF">2012-02-16T13:52:00Z</dcterms:created>
  <dcterms:modified xsi:type="dcterms:W3CDTF">2012-03-19T22:14:00Z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