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4861B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2E0670" w:rsidRPr="002E0670" w:rsidRDefault="00540BEF" w:rsidP="004861B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2E0670" w:rsidRDefault="002E0670" w:rsidP="004861BC">
      <w:pPr>
        <w:tabs>
          <w:tab w:val="left" w:pos="288"/>
          <w:tab w:val="left" w:pos="6300"/>
          <w:tab w:val="left" w:pos="9270"/>
        </w:tabs>
        <w:spacing w:line="240" w:lineRule="exact"/>
        <w:rPr>
          <w:rFonts w:asciiTheme="minorHAnsi" w:hAnsiTheme="minorHAnsi"/>
          <w:caps/>
          <w:color w:val="auto"/>
        </w:rPr>
      </w:pPr>
    </w:p>
    <w:p w:rsidR="00E0346A" w:rsidRDefault="00F629C0" w:rsidP="004861BC">
      <w:pPr>
        <w:tabs>
          <w:tab w:val="left" w:pos="288"/>
          <w:tab w:val="left" w:pos="630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67937">
        <w:rPr>
          <w:rFonts w:asciiTheme="minorHAnsi" w:hAnsiTheme="minorHAnsi"/>
          <w:caps/>
          <w:color w:val="auto"/>
        </w:rPr>
        <w:t xml:space="preserve">XXXXXXXXX                     </w:t>
      </w:r>
      <w:r w:rsidR="00F070C4">
        <w:rPr>
          <w:rFonts w:asciiTheme="minorHAnsi" w:hAnsiTheme="minorHAnsi"/>
          <w:caps/>
          <w:color w:val="auto"/>
        </w:rPr>
        <w:t xml:space="preserve"> </w:t>
      </w:r>
      <w:r w:rsidR="004E6BD3" w:rsidRPr="004E6BD3">
        <w:rPr>
          <w:rFonts w:asciiTheme="minorHAnsi" w:hAnsiTheme="minorHAnsi"/>
          <w:caps/>
          <w:color w:val="auto"/>
        </w:rPr>
        <w:t xml:space="preserve"> </w:t>
      </w:r>
      <w:r w:rsidR="003C25C9">
        <w:rPr>
          <w:rFonts w:asciiTheme="minorHAnsi" w:hAnsiTheme="minorHAnsi"/>
          <w:caps/>
          <w:color w:val="auto"/>
        </w:rPr>
        <w:t xml:space="preserve">         </w:t>
      </w:r>
      <w:r w:rsidR="002E0670">
        <w:rPr>
          <w:rFonts w:asciiTheme="minorHAnsi" w:hAnsiTheme="minorHAnsi"/>
          <w:caps/>
          <w:color w:val="auto"/>
        </w:rPr>
        <w:t xml:space="preserve">                                </w:t>
      </w:r>
      <w:r w:rsidRPr="00FD6C41">
        <w:rPr>
          <w:rFonts w:asciiTheme="minorHAnsi" w:hAnsiTheme="minorHAnsi"/>
          <w:caps/>
          <w:color w:val="auto"/>
        </w:rPr>
        <w:t>BRANCH OF SERVICE</w:t>
      </w:r>
      <w:r w:rsidRPr="00AA64E2">
        <w:rPr>
          <w:rFonts w:asciiTheme="minorHAnsi" w:hAnsiTheme="minorHAnsi"/>
          <w:caps/>
          <w:color w:val="auto"/>
        </w:rPr>
        <w:t xml:space="preserve">: </w:t>
      </w:r>
      <w:r w:rsidR="004C24C5" w:rsidRPr="00AA64E2">
        <w:rPr>
          <w:rFonts w:asciiTheme="minorHAnsi" w:hAnsiTheme="minorHAnsi"/>
          <w:caps/>
          <w:color w:val="auto"/>
        </w:rPr>
        <w:t xml:space="preserve"> </w:t>
      </w:r>
      <w:r w:rsidR="00332DE3" w:rsidRPr="00AA64E2">
        <w:rPr>
          <w:rFonts w:asciiTheme="minorHAnsi" w:hAnsiTheme="minorHAnsi"/>
          <w:caps/>
          <w:color w:val="auto"/>
        </w:rPr>
        <w:t xml:space="preserve">Army </w:t>
      </w:r>
    </w:p>
    <w:p w:rsidR="00DE3AAD" w:rsidRDefault="00012733" w:rsidP="004861BC">
      <w:pPr>
        <w:tabs>
          <w:tab w:val="left" w:pos="288"/>
          <w:tab w:val="left" w:pos="630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4E6BD3" w:rsidRPr="00AA64E2">
        <w:rPr>
          <w:rFonts w:asciiTheme="minorHAnsi" w:hAnsiTheme="minorHAnsi"/>
          <w:caps/>
          <w:color w:val="auto"/>
        </w:rPr>
        <w:t>PD1100424</w:t>
      </w:r>
      <w:r w:rsidR="00DE3AAD" w:rsidRPr="00DE3AAD">
        <w:rPr>
          <w:rFonts w:asciiTheme="minorHAnsi" w:hAnsiTheme="minorHAnsi"/>
          <w:color w:val="auto"/>
        </w:rPr>
        <w:t xml:space="preserve"> </w:t>
      </w:r>
      <w:r w:rsidR="003C25C9">
        <w:rPr>
          <w:rFonts w:asciiTheme="minorHAnsi" w:hAnsiTheme="minorHAnsi"/>
          <w:color w:val="auto"/>
        </w:rPr>
        <w:t xml:space="preserve">                                                </w:t>
      </w:r>
      <w:r w:rsidR="00894213">
        <w:rPr>
          <w:rFonts w:asciiTheme="minorHAnsi" w:hAnsiTheme="minorHAnsi"/>
          <w:color w:val="auto"/>
        </w:rPr>
        <w:t>PLACE</w:t>
      </w:r>
      <w:r w:rsidR="003C25C9">
        <w:rPr>
          <w:rFonts w:asciiTheme="minorHAnsi" w:hAnsiTheme="minorHAnsi"/>
          <w:color w:val="auto"/>
        </w:rPr>
        <w:t xml:space="preserve">D ON </w:t>
      </w:r>
      <w:r w:rsidR="00894213">
        <w:rPr>
          <w:rFonts w:asciiTheme="minorHAnsi" w:hAnsiTheme="minorHAnsi"/>
          <w:color w:val="auto"/>
        </w:rPr>
        <w:t>TDRL</w:t>
      </w:r>
      <w:r w:rsidR="00DE3AAD" w:rsidRPr="00DE3AAD">
        <w:rPr>
          <w:rFonts w:asciiTheme="minorHAnsi" w:hAnsiTheme="minorHAnsi"/>
          <w:color w:val="auto"/>
        </w:rPr>
        <w:t xml:space="preserve">:  </w:t>
      </w:r>
      <w:r w:rsidR="00894213" w:rsidRPr="00AA64E2">
        <w:rPr>
          <w:rFonts w:asciiTheme="minorHAnsi" w:hAnsiTheme="minorHAnsi"/>
          <w:color w:val="auto"/>
        </w:rPr>
        <w:t>19980628</w:t>
      </w:r>
    </w:p>
    <w:p w:rsidR="00827B29" w:rsidRPr="00784EA0" w:rsidRDefault="004F3639" w:rsidP="004861B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F070C4">
        <w:rPr>
          <w:rFonts w:asciiTheme="minorHAnsi" w:hAnsiTheme="minorHAnsi"/>
          <w:caps/>
          <w:color w:val="auto"/>
        </w:rPr>
        <w:t>2</w:t>
      </w:r>
      <w:r w:rsidR="00486C75">
        <w:rPr>
          <w:rFonts w:asciiTheme="minorHAnsi" w:hAnsiTheme="minorHAnsi"/>
          <w:caps/>
          <w:color w:val="auto"/>
        </w:rPr>
        <w:t>0411</w:t>
      </w:r>
      <w:r w:rsidR="00894213">
        <w:rPr>
          <w:rFonts w:asciiTheme="minorHAnsi" w:hAnsiTheme="minorHAnsi"/>
          <w:caps/>
          <w:color w:val="auto"/>
        </w:rPr>
        <w:t xml:space="preserve"> </w:t>
      </w:r>
      <w:r w:rsidR="003C25C9">
        <w:rPr>
          <w:rFonts w:asciiTheme="minorHAnsi" w:hAnsiTheme="minorHAnsi"/>
          <w:caps/>
          <w:color w:val="auto"/>
        </w:rPr>
        <w:tab/>
      </w:r>
      <w:r w:rsidR="003C25C9">
        <w:rPr>
          <w:rFonts w:asciiTheme="minorHAnsi" w:hAnsiTheme="minorHAnsi"/>
          <w:caps/>
          <w:color w:val="auto"/>
        </w:rPr>
        <w:tab/>
        <w:t xml:space="preserve">     </w:t>
      </w:r>
      <w:r w:rsidR="00894213">
        <w:rPr>
          <w:rFonts w:asciiTheme="minorHAnsi" w:hAnsiTheme="minorHAnsi"/>
          <w:caps/>
          <w:color w:val="auto"/>
        </w:rPr>
        <w:t>PERMANENT</w:t>
      </w:r>
      <w:r w:rsidR="003C25C9">
        <w:rPr>
          <w:rFonts w:asciiTheme="minorHAnsi" w:hAnsiTheme="minorHAnsi"/>
          <w:caps/>
          <w:color w:val="auto"/>
        </w:rPr>
        <w:t>LY DISCHARGED</w:t>
      </w:r>
      <w:r w:rsidR="00894213">
        <w:rPr>
          <w:rFonts w:asciiTheme="minorHAnsi" w:hAnsiTheme="minorHAnsi"/>
          <w:caps/>
          <w:color w:val="auto"/>
        </w:rPr>
        <w:t>: 20030627</w:t>
      </w:r>
    </w:p>
    <w:p w:rsidR="008E0D8F" w:rsidRDefault="008E0D8F" w:rsidP="004861B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4861BC">
      <w:pPr>
        <w:tabs>
          <w:tab w:val="left" w:pos="288"/>
          <w:tab w:val="left" w:pos="4752"/>
        </w:tabs>
        <w:spacing w:line="240" w:lineRule="exact"/>
        <w:jc w:val="both"/>
        <w:rPr>
          <w:rFonts w:asciiTheme="minorHAnsi" w:hAnsiTheme="minorHAnsi"/>
          <w:color w:val="auto"/>
        </w:rPr>
      </w:pPr>
    </w:p>
    <w:p w:rsidR="002F2981" w:rsidRDefault="00FB0E80" w:rsidP="004861B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CA5862">
        <w:rPr>
          <w:rFonts w:asciiTheme="minorHAnsi" w:hAnsiTheme="minorHAnsi"/>
          <w:color w:val="auto"/>
          <w:szCs w:val="24"/>
        </w:rPr>
        <w:t xml:space="preserve"> SSG/</w:t>
      </w:r>
      <w:r w:rsidR="00434974">
        <w:rPr>
          <w:rFonts w:asciiTheme="minorHAnsi" w:hAnsiTheme="minorHAnsi"/>
          <w:color w:val="auto"/>
          <w:szCs w:val="24"/>
        </w:rPr>
        <w:t>E</w:t>
      </w:r>
      <w:r w:rsidR="00931B2C">
        <w:rPr>
          <w:rFonts w:asciiTheme="minorHAnsi" w:hAnsiTheme="minorHAnsi"/>
          <w:color w:val="auto"/>
          <w:szCs w:val="24"/>
        </w:rPr>
        <w:t>-</w:t>
      </w:r>
      <w:r w:rsidR="00434974">
        <w:rPr>
          <w:rFonts w:asciiTheme="minorHAnsi" w:hAnsiTheme="minorHAnsi"/>
          <w:color w:val="auto"/>
          <w:szCs w:val="24"/>
        </w:rPr>
        <w:t>6</w:t>
      </w:r>
      <w:r w:rsidR="00705C40" w:rsidRPr="00AD7F8F">
        <w:rPr>
          <w:rFonts w:asciiTheme="minorHAnsi" w:hAnsiTheme="minorHAnsi"/>
          <w:color w:val="auto"/>
          <w:szCs w:val="24"/>
        </w:rPr>
        <w:t xml:space="preserve"> (</w:t>
      </w:r>
      <w:r w:rsidR="00434974">
        <w:rPr>
          <w:rFonts w:asciiTheme="minorHAnsi" w:hAnsiTheme="minorHAnsi"/>
          <w:color w:val="auto"/>
          <w:szCs w:val="24"/>
        </w:rPr>
        <w:t>98J,</w:t>
      </w:r>
      <w:r w:rsidR="00434974" w:rsidRPr="00434974">
        <w:rPr>
          <w:rFonts w:asciiTheme="minorHAnsi" w:hAnsiTheme="minorHAnsi"/>
          <w:color w:val="auto"/>
          <w:szCs w:val="24"/>
        </w:rPr>
        <w:t xml:space="preserve"> Military Intelligence</w:t>
      </w:r>
      <w:r w:rsidR="00434974">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proofErr w:type="spellStart"/>
      <w:r w:rsidR="003C25C9">
        <w:rPr>
          <w:rFonts w:asciiTheme="minorHAnsi" w:hAnsiTheme="minorHAnsi"/>
          <w:color w:val="auto"/>
          <w:szCs w:val="24"/>
        </w:rPr>
        <w:t>sarcoidosis</w:t>
      </w:r>
      <w:proofErr w:type="spellEnd"/>
      <w:r w:rsidR="003C25C9">
        <w:rPr>
          <w:rFonts w:asciiTheme="minorHAnsi" w:hAnsiTheme="minorHAnsi"/>
          <w:color w:val="auto"/>
          <w:szCs w:val="24"/>
        </w:rPr>
        <w:t xml:space="preserve"> and hip</w:t>
      </w:r>
      <w:r w:rsidR="00434974">
        <w:rPr>
          <w:rFonts w:asciiTheme="minorHAnsi" w:hAnsiTheme="minorHAnsi"/>
          <w:color w:val="auto"/>
          <w:szCs w:val="24"/>
        </w:rPr>
        <w:t xml:space="preserve"> </w:t>
      </w:r>
      <w:proofErr w:type="spellStart"/>
      <w:r w:rsidR="00434974">
        <w:rPr>
          <w:rFonts w:asciiTheme="minorHAnsi" w:hAnsiTheme="minorHAnsi"/>
          <w:color w:val="auto"/>
          <w:szCs w:val="24"/>
        </w:rPr>
        <w:t>oste</w:t>
      </w:r>
      <w:r w:rsidR="009A4BAB">
        <w:rPr>
          <w:rFonts w:asciiTheme="minorHAnsi" w:hAnsiTheme="minorHAnsi"/>
          <w:color w:val="auto"/>
          <w:szCs w:val="24"/>
        </w:rPr>
        <w:t>o</w:t>
      </w:r>
      <w:r w:rsidR="00434974">
        <w:rPr>
          <w:rFonts w:asciiTheme="minorHAnsi" w:hAnsiTheme="minorHAnsi"/>
          <w:color w:val="auto"/>
          <w:szCs w:val="24"/>
        </w:rPr>
        <w:t>ne</w:t>
      </w:r>
      <w:r w:rsidR="009A4BAB">
        <w:rPr>
          <w:rFonts w:asciiTheme="minorHAnsi" w:hAnsiTheme="minorHAnsi"/>
          <w:color w:val="auto"/>
          <w:szCs w:val="24"/>
        </w:rPr>
        <w:t>crosis</w:t>
      </w:r>
      <w:proofErr w:type="spellEnd"/>
      <w:r w:rsidR="00434974">
        <w:rPr>
          <w:rFonts w:asciiTheme="minorHAnsi" w:hAnsiTheme="minorHAnsi"/>
          <w:color w:val="auto"/>
          <w:szCs w:val="24"/>
        </w:rPr>
        <w:t>.</w:t>
      </w:r>
      <w:r w:rsidR="00075AF8">
        <w:rPr>
          <w:rFonts w:asciiTheme="minorHAnsi" w:hAnsiTheme="minorHAnsi"/>
          <w:color w:val="auto"/>
          <w:szCs w:val="24"/>
        </w:rPr>
        <w:t xml:space="preserve">  T</w:t>
      </w:r>
      <w:r w:rsidR="00DC2D31">
        <w:rPr>
          <w:rFonts w:asciiTheme="minorHAnsi" w:hAnsiTheme="minorHAnsi"/>
          <w:color w:val="auto"/>
          <w:szCs w:val="24"/>
        </w:rPr>
        <w:t xml:space="preserve">he CI was diagnosed with </w:t>
      </w:r>
      <w:proofErr w:type="spellStart"/>
      <w:r w:rsidR="00DC2D31">
        <w:rPr>
          <w:rFonts w:asciiTheme="minorHAnsi" w:hAnsiTheme="minorHAnsi"/>
          <w:color w:val="auto"/>
          <w:szCs w:val="24"/>
        </w:rPr>
        <w:t>sarcoidosis</w:t>
      </w:r>
      <w:proofErr w:type="spellEnd"/>
      <w:r w:rsidR="00DC2D31">
        <w:rPr>
          <w:rFonts w:asciiTheme="minorHAnsi" w:hAnsiTheme="minorHAnsi"/>
          <w:color w:val="auto"/>
          <w:szCs w:val="24"/>
        </w:rPr>
        <w:t xml:space="preserve"> in February 1996.  </w:t>
      </w:r>
      <w:r w:rsidR="00E72D51" w:rsidRPr="00C472C7">
        <w:rPr>
          <w:rFonts w:asciiTheme="minorHAnsi" w:hAnsiTheme="minorHAnsi"/>
          <w:color w:val="auto"/>
          <w:szCs w:val="24"/>
        </w:rPr>
        <w:t>He</w:t>
      </w:r>
      <w:r w:rsidR="00E72D51">
        <w:rPr>
          <w:rFonts w:asciiTheme="minorHAnsi" w:hAnsiTheme="minorHAnsi"/>
          <w:color w:val="auto"/>
          <w:szCs w:val="24"/>
        </w:rPr>
        <w:t xml:space="preserve"> was treated, but </w:t>
      </w:r>
      <w:r w:rsidR="00E72D51" w:rsidRPr="00C472C7">
        <w:rPr>
          <w:rFonts w:asciiTheme="minorHAnsi" w:hAnsiTheme="minorHAnsi"/>
          <w:color w:val="auto"/>
          <w:szCs w:val="24"/>
        </w:rPr>
        <w:t xml:space="preserve">did not respond adequately to </w:t>
      </w:r>
      <w:r w:rsidR="00E72D51">
        <w:rPr>
          <w:rFonts w:asciiTheme="minorHAnsi" w:hAnsiTheme="minorHAnsi"/>
          <w:color w:val="auto"/>
          <w:szCs w:val="24"/>
        </w:rPr>
        <w:t xml:space="preserve">fully </w:t>
      </w:r>
      <w:r w:rsidR="00E72D51" w:rsidRPr="00C472C7">
        <w:rPr>
          <w:rFonts w:asciiTheme="minorHAnsi" w:hAnsiTheme="minorHAnsi"/>
          <w:color w:val="auto"/>
          <w:szCs w:val="24"/>
        </w:rPr>
        <w:t xml:space="preserve">perform his </w:t>
      </w:r>
      <w:r w:rsidR="00E72D51">
        <w:rPr>
          <w:rFonts w:asciiTheme="minorHAnsi" w:hAnsiTheme="minorHAnsi"/>
          <w:color w:val="auto"/>
          <w:szCs w:val="24"/>
        </w:rPr>
        <w:t>military duties</w:t>
      </w:r>
      <w:r w:rsidR="00E72D51" w:rsidRPr="00F6519C">
        <w:rPr>
          <w:rFonts w:asciiTheme="minorHAnsi" w:hAnsiTheme="minorHAnsi"/>
          <w:color w:val="auto"/>
          <w:szCs w:val="24"/>
        </w:rPr>
        <w:t xml:space="preserve"> </w:t>
      </w:r>
      <w:r w:rsidR="00E72D51">
        <w:rPr>
          <w:rFonts w:asciiTheme="minorHAnsi" w:hAnsiTheme="minorHAnsi"/>
          <w:color w:val="auto"/>
          <w:szCs w:val="24"/>
        </w:rPr>
        <w:t xml:space="preserve">or meet </w:t>
      </w:r>
      <w:r w:rsidR="00E72D51" w:rsidRPr="00C472C7">
        <w:rPr>
          <w:rFonts w:asciiTheme="minorHAnsi" w:hAnsiTheme="minorHAnsi"/>
          <w:color w:val="auto"/>
          <w:szCs w:val="24"/>
        </w:rPr>
        <w:t xml:space="preserve">physical fitness </w:t>
      </w:r>
      <w:r w:rsidR="00E72D51">
        <w:rPr>
          <w:rFonts w:asciiTheme="minorHAnsi" w:hAnsiTheme="minorHAnsi"/>
          <w:color w:val="auto"/>
          <w:szCs w:val="24"/>
        </w:rPr>
        <w:t xml:space="preserve">standards.  </w:t>
      </w:r>
      <w:r w:rsidR="00E72D51" w:rsidRPr="00555C66">
        <w:rPr>
          <w:rFonts w:asciiTheme="minorHAnsi" w:hAnsiTheme="minorHAnsi"/>
          <w:color w:val="auto"/>
          <w:szCs w:val="24"/>
        </w:rPr>
        <w:t xml:space="preserve">He </w:t>
      </w:r>
      <w:r w:rsidR="00E72D51" w:rsidRPr="00F6519C">
        <w:rPr>
          <w:rFonts w:asciiTheme="minorHAnsi" w:hAnsiTheme="minorHAnsi"/>
          <w:color w:val="auto"/>
          <w:szCs w:val="24"/>
        </w:rPr>
        <w:t>underwent a Medical Evaluation Board (MEB).</w:t>
      </w:r>
      <w:r w:rsidR="00E72D51">
        <w:rPr>
          <w:rFonts w:asciiTheme="minorHAnsi" w:hAnsiTheme="minorHAnsi"/>
          <w:color w:val="auto"/>
          <w:szCs w:val="24"/>
        </w:rPr>
        <w:t xml:space="preserve">  </w:t>
      </w:r>
      <w:r w:rsidR="009A4BAB">
        <w:rPr>
          <w:rFonts w:asciiTheme="minorHAnsi" w:hAnsiTheme="minorHAnsi"/>
          <w:color w:val="auto"/>
          <w:szCs w:val="24"/>
        </w:rPr>
        <w:t xml:space="preserve">Stage I </w:t>
      </w:r>
      <w:proofErr w:type="spellStart"/>
      <w:r w:rsidR="009A4BAB">
        <w:rPr>
          <w:rFonts w:asciiTheme="minorHAnsi" w:hAnsiTheme="minorHAnsi"/>
          <w:color w:val="auto"/>
          <w:szCs w:val="24"/>
        </w:rPr>
        <w:t>s</w:t>
      </w:r>
      <w:r w:rsidR="00695F30">
        <w:rPr>
          <w:rFonts w:asciiTheme="minorHAnsi" w:hAnsiTheme="minorHAnsi"/>
          <w:color w:val="auto"/>
          <w:szCs w:val="24"/>
        </w:rPr>
        <w:t>arcoidosis</w:t>
      </w:r>
      <w:proofErr w:type="spellEnd"/>
      <w:r w:rsidR="00695F30">
        <w:rPr>
          <w:rFonts w:asciiTheme="minorHAnsi" w:hAnsiTheme="minorHAnsi"/>
          <w:color w:val="auto"/>
          <w:szCs w:val="24"/>
        </w:rPr>
        <w:t xml:space="preserve"> and </w:t>
      </w:r>
      <w:proofErr w:type="spellStart"/>
      <w:r w:rsidR="00695F30">
        <w:rPr>
          <w:rFonts w:asciiTheme="minorHAnsi" w:hAnsiTheme="minorHAnsi"/>
          <w:color w:val="auto"/>
          <w:szCs w:val="24"/>
        </w:rPr>
        <w:t>myositis</w:t>
      </w:r>
      <w:proofErr w:type="spellEnd"/>
      <w:r w:rsidR="000A33C8" w:rsidRPr="00C472C7">
        <w:rPr>
          <w:rFonts w:asciiTheme="minorHAnsi" w:hAnsiTheme="minorHAnsi"/>
          <w:color w:val="auto"/>
          <w:szCs w:val="24"/>
        </w:rPr>
        <w:t xml:space="preserve"> </w:t>
      </w:r>
      <w:r w:rsidR="000A33C8" w:rsidRPr="00695F30">
        <w:rPr>
          <w:rFonts w:asciiTheme="minorHAnsi" w:hAnsiTheme="minorHAnsi"/>
          <w:color w:val="auto"/>
          <w:szCs w:val="24"/>
        </w:rPr>
        <w:t>were forwarded to the Physical Evaluation Board (PEB) as medically unacceptable IAW AR 40-501</w:t>
      </w:r>
      <w:r w:rsidR="00F5503F" w:rsidRPr="00695F30">
        <w:rPr>
          <w:rFonts w:asciiTheme="minorHAnsi" w:hAnsiTheme="minorHAnsi"/>
          <w:color w:val="auto"/>
          <w:szCs w:val="24"/>
        </w:rPr>
        <w:t>.</w:t>
      </w:r>
      <w:r w:rsidR="00695F30">
        <w:rPr>
          <w:rFonts w:asciiTheme="minorHAnsi" w:hAnsiTheme="minorHAnsi"/>
          <w:color w:val="auto"/>
          <w:szCs w:val="24"/>
        </w:rPr>
        <w:t xml:space="preserve">  One </w:t>
      </w:r>
      <w:r w:rsidR="00954E5B" w:rsidRPr="00C472C7">
        <w:rPr>
          <w:rFonts w:asciiTheme="minorHAnsi" w:hAnsiTheme="minorHAnsi"/>
          <w:color w:val="auto"/>
          <w:szCs w:val="24"/>
        </w:rPr>
        <w:t>other condition</w:t>
      </w:r>
      <w:r w:rsidR="00DC2D31">
        <w:rPr>
          <w:rFonts w:asciiTheme="minorHAnsi" w:hAnsiTheme="minorHAnsi"/>
          <w:color w:val="auto"/>
          <w:szCs w:val="24"/>
        </w:rPr>
        <w:t xml:space="preserve"> (degenerative joint disease) </w:t>
      </w:r>
      <w:r w:rsidR="00695F30">
        <w:rPr>
          <w:rFonts w:asciiTheme="minorHAnsi" w:hAnsiTheme="minorHAnsi"/>
          <w:color w:val="auto"/>
          <w:szCs w:val="24"/>
        </w:rPr>
        <w:t>was</w:t>
      </w:r>
      <w:r w:rsidR="00954E5B" w:rsidRPr="00C472C7">
        <w:rPr>
          <w:rFonts w:asciiTheme="minorHAnsi" w:hAnsiTheme="minorHAnsi"/>
          <w:color w:val="auto"/>
          <w:szCs w:val="24"/>
        </w:rPr>
        <w:t xml:space="preserve"> </w:t>
      </w:r>
      <w:r w:rsidR="00DC2D31">
        <w:rPr>
          <w:rFonts w:asciiTheme="minorHAnsi" w:hAnsiTheme="minorHAnsi"/>
          <w:color w:val="auto"/>
          <w:szCs w:val="24"/>
        </w:rPr>
        <w:t xml:space="preserve">listed on the DA Form 3947 as </w:t>
      </w:r>
      <w:r w:rsidR="009A4BAB">
        <w:rPr>
          <w:rFonts w:asciiTheme="minorHAnsi" w:hAnsiTheme="minorHAnsi"/>
          <w:color w:val="auto"/>
          <w:szCs w:val="24"/>
        </w:rPr>
        <w:t>medically acceptable</w:t>
      </w:r>
      <w:r w:rsidR="00B04562" w:rsidRPr="00C472C7">
        <w:rPr>
          <w:rFonts w:asciiTheme="minorHAnsi" w:hAnsiTheme="minorHAnsi"/>
          <w:color w:val="auto"/>
          <w:szCs w:val="24"/>
        </w:rPr>
        <w:t>.</w:t>
      </w:r>
      <w:r w:rsidR="00931B2C">
        <w:rPr>
          <w:rFonts w:asciiTheme="minorHAnsi" w:hAnsiTheme="minorHAnsi"/>
          <w:color w:val="auto"/>
          <w:szCs w:val="24"/>
        </w:rPr>
        <w:t xml:space="preserve">  In </w:t>
      </w:r>
      <w:r w:rsidR="00DC2D31">
        <w:rPr>
          <w:rFonts w:asciiTheme="minorHAnsi" w:hAnsiTheme="minorHAnsi"/>
          <w:color w:val="auto"/>
          <w:szCs w:val="24"/>
        </w:rPr>
        <w:t>October 1996</w:t>
      </w:r>
      <w:r w:rsidR="00F91393">
        <w:rPr>
          <w:rFonts w:asciiTheme="minorHAnsi" w:hAnsiTheme="minorHAnsi"/>
          <w:color w:val="auto"/>
          <w:szCs w:val="24"/>
        </w:rPr>
        <w:t>, the</w:t>
      </w:r>
      <w:r w:rsidR="00931B2C">
        <w:rPr>
          <w:rFonts w:asciiTheme="minorHAnsi" w:hAnsiTheme="minorHAnsi"/>
          <w:color w:val="auto"/>
          <w:szCs w:val="24"/>
        </w:rPr>
        <w:t xml:space="preserve"> </w:t>
      </w:r>
      <w:r w:rsidR="00DC2D31">
        <w:rPr>
          <w:rFonts w:asciiTheme="minorHAnsi" w:hAnsiTheme="minorHAnsi"/>
          <w:color w:val="auto"/>
          <w:szCs w:val="24"/>
        </w:rPr>
        <w:t>PEB</w:t>
      </w:r>
      <w:r w:rsidR="00931B2C">
        <w:rPr>
          <w:rFonts w:asciiTheme="minorHAnsi" w:hAnsiTheme="minorHAnsi"/>
          <w:color w:val="auto"/>
          <w:szCs w:val="24"/>
        </w:rPr>
        <w:t xml:space="preserve"> </w:t>
      </w:r>
      <w:r w:rsidR="00DC2D31">
        <w:rPr>
          <w:rFonts w:asciiTheme="minorHAnsi" w:hAnsiTheme="minorHAnsi"/>
          <w:color w:val="auto"/>
          <w:szCs w:val="24"/>
        </w:rPr>
        <w:t xml:space="preserve">found </w:t>
      </w:r>
      <w:r w:rsidR="00835604">
        <w:rPr>
          <w:rFonts w:asciiTheme="minorHAnsi" w:hAnsiTheme="minorHAnsi"/>
          <w:color w:val="auto"/>
          <w:szCs w:val="24"/>
        </w:rPr>
        <w:t>him unfit</w:t>
      </w:r>
      <w:r w:rsidR="00DC2D31">
        <w:rPr>
          <w:rFonts w:asciiTheme="minorHAnsi" w:hAnsiTheme="minorHAnsi"/>
          <w:color w:val="auto"/>
          <w:szCs w:val="24"/>
        </w:rPr>
        <w:t xml:space="preserve">, and </w:t>
      </w:r>
      <w:r w:rsidR="00931B2C">
        <w:rPr>
          <w:rFonts w:asciiTheme="minorHAnsi" w:hAnsiTheme="minorHAnsi"/>
          <w:color w:val="auto"/>
          <w:szCs w:val="24"/>
        </w:rPr>
        <w:t xml:space="preserve">recommended </w:t>
      </w:r>
      <w:r w:rsidR="007C67C8">
        <w:rPr>
          <w:rFonts w:asciiTheme="minorHAnsi" w:hAnsiTheme="minorHAnsi"/>
          <w:color w:val="auto"/>
          <w:szCs w:val="24"/>
        </w:rPr>
        <w:t xml:space="preserve">placement on </w:t>
      </w:r>
      <w:r w:rsidR="00931B2C">
        <w:rPr>
          <w:rFonts w:asciiTheme="minorHAnsi" w:hAnsiTheme="minorHAnsi"/>
          <w:color w:val="auto"/>
          <w:szCs w:val="24"/>
        </w:rPr>
        <w:t>th</w:t>
      </w:r>
      <w:r w:rsidR="00DC2D31">
        <w:rPr>
          <w:rFonts w:asciiTheme="minorHAnsi" w:hAnsiTheme="minorHAnsi"/>
          <w:color w:val="auto"/>
          <w:szCs w:val="24"/>
        </w:rPr>
        <w:t>e</w:t>
      </w:r>
      <w:r w:rsidR="00DC2564">
        <w:rPr>
          <w:rFonts w:asciiTheme="minorHAnsi" w:hAnsiTheme="minorHAnsi"/>
          <w:color w:val="auto"/>
          <w:szCs w:val="24"/>
        </w:rPr>
        <w:t xml:space="preserve"> </w:t>
      </w:r>
      <w:r w:rsidR="00DC2564" w:rsidRPr="00485C99">
        <w:rPr>
          <w:rFonts w:asciiTheme="minorHAnsi" w:hAnsiTheme="minorHAnsi"/>
          <w:color w:val="auto"/>
          <w:szCs w:val="24"/>
        </w:rPr>
        <w:t>Temporary Disability Retired List (TDRL)</w:t>
      </w:r>
      <w:r w:rsidR="00DC2564">
        <w:rPr>
          <w:rFonts w:asciiTheme="minorHAnsi" w:hAnsiTheme="minorHAnsi"/>
          <w:color w:val="auto"/>
          <w:szCs w:val="24"/>
        </w:rPr>
        <w:t>.</w:t>
      </w:r>
      <w:r w:rsidR="00835604">
        <w:rPr>
          <w:rFonts w:asciiTheme="minorHAnsi" w:hAnsiTheme="minorHAnsi"/>
          <w:color w:val="auto"/>
          <w:szCs w:val="24"/>
        </w:rPr>
        <w:t xml:space="preserve">  </w:t>
      </w:r>
      <w:r w:rsidR="00931B2C">
        <w:rPr>
          <w:rFonts w:asciiTheme="minorHAnsi" w:hAnsiTheme="minorHAnsi"/>
          <w:color w:val="auto"/>
          <w:szCs w:val="24"/>
        </w:rPr>
        <w:t xml:space="preserve">Shortly thereafter, </w:t>
      </w:r>
      <w:r w:rsidR="00835604">
        <w:rPr>
          <w:rFonts w:asciiTheme="minorHAnsi" w:hAnsiTheme="minorHAnsi"/>
          <w:color w:val="auto"/>
          <w:szCs w:val="24"/>
        </w:rPr>
        <w:t xml:space="preserve">he was diagnosed with bilateral hip </w:t>
      </w:r>
      <w:proofErr w:type="spellStart"/>
      <w:r w:rsidR="003A3324">
        <w:rPr>
          <w:rFonts w:asciiTheme="minorHAnsi" w:hAnsiTheme="minorHAnsi"/>
          <w:color w:val="auto"/>
          <w:szCs w:val="24"/>
        </w:rPr>
        <w:t>osteonecrosis</w:t>
      </w:r>
      <w:proofErr w:type="spellEnd"/>
      <w:r w:rsidR="00835604">
        <w:rPr>
          <w:rFonts w:asciiTheme="minorHAnsi" w:hAnsiTheme="minorHAnsi"/>
          <w:color w:val="auto"/>
          <w:szCs w:val="24"/>
        </w:rPr>
        <w:t xml:space="preserve">.  </w:t>
      </w:r>
      <w:proofErr w:type="gramStart"/>
      <w:r w:rsidR="00075AF8">
        <w:rPr>
          <w:rFonts w:asciiTheme="minorHAnsi" w:hAnsiTheme="minorHAnsi"/>
          <w:color w:val="auto"/>
          <w:szCs w:val="24"/>
        </w:rPr>
        <w:t>A PEB</w:t>
      </w:r>
      <w:proofErr w:type="gramEnd"/>
      <w:r w:rsidR="00551E48">
        <w:rPr>
          <w:rFonts w:asciiTheme="minorHAnsi" w:hAnsiTheme="minorHAnsi"/>
          <w:color w:val="auto"/>
          <w:szCs w:val="24"/>
        </w:rPr>
        <w:t xml:space="preserve"> </w:t>
      </w:r>
      <w:r w:rsidR="00F91393">
        <w:rPr>
          <w:rFonts w:asciiTheme="minorHAnsi" w:hAnsiTheme="minorHAnsi"/>
          <w:color w:val="auto"/>
          <w:szCs w:val="24"/>
        </w:rPr>
        <w:t>r</w:t>
      </w:r>
      <w:r w:rsidR="00551E48">
        <w:rPr>
          <w:rFonts w:asciiTheme="minorHAnsi" w:hAnsiTheme="minorHAnsi"/>
          <w:color w:val="auto"/>
          <w:szCs w:val="24"/>
        </w:rPr>
        <w:t xml:space="preserve">econsideration on 1 </w:t>
      </w:r>
      <w:r w:rsidR="00075AF8">
        <w:rPr>
          <w:rFonts w:asciiTheme="minorHAnsi" w:hAnsiTheme="minorHAnsi"/>
          <w:color w:val="auto"/>
          <w:szCs w:val="24"/>
        </w:rPr>
        <w:t xml:space="preserve">April 1998 </w:t>
      </w:r>
      <w:r w:rsidR="005316E0">
        <w:rPr>
          <w:rFonts w:asciiTheme="minorHAnsi" w:hAnsiTheme="minorHAnsi"/>
          <w:color w:val="auto"/>
          <w:szCs w:val="24"/>
        </w:rPr>
        <w:t>found</w:t>
      </w:r>
      <w:r w:rsidR="003A3324">
        <w:rPr>
          <w:rFonts w:asciiTheme="minorHAnsi" w:hAnsiTheme="minorHAnsi"/>
          <w:color w:val="auto"/>
          <w:szCs w:val="24"/>
        </w:rPr>
        <w:t xml:space="preserve"> </w:t>
      </w:r>
      <w:r w:rsidR="00760FFD">
        <w:rPr>
          <w:rFonts w:asciiTheme="minorHAnsi" w:hAnsiTheme="minorHAnsi"/>
          <w:color w:val="auto"/>
          <w:szCs w:val="24"/>
        </w:rPr>
        <w:t xml:space="preserve">both the </w:t>
      </w:r>
      <w:proofErr w:type="spellStart"/>
      <w:r w:rsidR="003A3324">
        <w:rPr>
          <w:rFonts w:asciiTheme="minorHAnsi" w:hAnsiTheme="minorHAnsi"/>
          <w:color w:val="auto"/>
          <w:szCs w:val="24"/>
        </w:rPr>
        <w:t>osteonecrosis</w:t>
      </w:r>
      <w:proofErr w:type="spellEnd"/>
      <w:r w:rsidR="003A3324">
        <w:rPr>
          <w:rFonts w:asciiTheme="minorHAnsi" w:hAnsiTheme="minorHAnsi"/>
          <w:color w:val="auto"/>
          <w:szCs w:val="24"/>
        </w:rPr>
        <w:t xml:space="preserve"> and </w:t>
      </w:r>
      <w:r w:rsidR="0012239C">
        <w:rPr>
          <w:rFonts w:asciiTheme="minorHAnsi" w:hAnsiTheme="minorHAnsi"/>
          <w:color w:val="auto"/>
          <w:szCs w:val="24"/>
        </w:rPr>
        <w:t xml:space="preserve">the </w:t>
      </w:r>
      <w:proofErr w:type="spellStart"/>
      <w:r w:rsidR="00A72170">
        <w:rPr>
          <w:rFonts w:asciiTheme="minorHAnsi" w:hAnsiTheme="minorHAnsi"/>
          <w:color w:val="auto"/>
          <w:szCs w:val="24"/>
        </w:rPr>
        <w:t>s</w:t>
      </w:r>
      <w:r w:rsidR="00075AF8">
        <w:rPr>
          <w:rFonts w:asciiTheme="minorHAnsi" w:hAnsiTheme="minorHAnsi"/>
          <w:color w:val="auto"/>
          <w:szCs w:val="24"/>
        </w:rPr>
        <w:t>arcoidosis</w:t>
      </w:r>
      <w:proofErr w:type="spellEnd"/>
      <w:r w:rsidR="00075AF8">
        <w:rPr>
          <w:rFonts w:asciiTheme="minorHAnsi" w:hAnsiTheme="minorHAnsi"/>
          <w:color w:val="auto"/>
          <w:szCs w:val="24"/>
        </w:rPr>
        <w:t xml:space="preserve"> </w:t>
      </w:r>
      <w:r w:rsidR="00485C99">
        <w:rPr>
          <w:rFonts w:asciiTheme="minorHAnsi" w:hAnsiTheme="minorHAnsi"/>
          <w:color w:val="auto"/>
          <w:szCs w:val="24"/>
        </w:rPr>
        <w:t>unfitting</w:t>
      </w:r>
      <w:r w:rsidR="00931B2C">
        <w:rPr>
          <w:rFonts w:asciiTheme="minorHAnsi" w:hAnsiTheme="minorHAnsi"/>
          <w:color w:val="auto"/>
          <w:szCs w:val="24"/>
        </w:rPr>
        <w:t>,</w:t>
      </w:r>
      <w:r w:rsidR="00DC2564">
        <w:rPr>
          <w:rFonts w:asciiTheme="minorHAnsi" w:hAnsiTheme="minorHAnsi"/>
          <w:color w:val="auto"/>
          <w:szCs w:val="24"/>
        </w:rPr>
        <w:t xml:space="preserve"> and rated them </w:t>
      </w:r>
      <w:r w:rsidR="003A3324">
        <w:rPr>
          <w:rFonts w:asciiTheme="minorHAnsi" w:hAnsiTheme="minorHAnsi"/>
          <w:color w:val="auto"/>
          <w:szCs w:val="24"/>
        </w:rPr>
        <w:t>40% and 30%</w:t>
      </w:r>
      <w:r w:rsidR="00DC2564">
        <w:rPr>
          <w:rFonts w:asciiTheme="minorHAnsi" w:hAnsiTheme="minorHAnsi"/>
          <w:color w:val="auto"/>
          <w:szCs w:val="24"/>
        </w:rPr>
        <w:t xml:space="preserve"> respectively.</w:t>
      </w:r>
      <w:r w:rsidR="00931B2C">
        <w:rPr>
          <w:rFonts w:asciiTheme="minorHAnsi" w:hAnsiTheme="minorHAnsi"/>
          <w:color w:val="auto"/>
          <w:szCs w:val="24"/>
        </w:rPr>
        <w:t xml:space="preserve">  The CI was placed on the TDRL</w:t>
      </w:r>
      <w:r w:rsidR="00D65A89">
        <w:rPr>
          <w:rFonts w:asciiTheme="minorHAnsi" w:hAnsiTheme="minorHAnsi"/>
          <w:color w:val="auto"/>
          <w:szCs w:val="24"/>
        </w:rPr>
        <w:t xml:space="preserve">, effective 28 June 1998.  </w:t>
      </w:r>
      <w:r w:rsidR="00075AF8">
        <w:rPr>
          <w:rFonts w:asciiTheme="minorHAnsi" w:hAnsiTheme="minorHAnsi"/>
          <w:color w:val="auto"/>
          <w:szCs w:val="24"/>
        </w:rPr>
        <w:t>I</w:t>
      </w:r>
      <w:r w:rsidR="00DC2564">
        <w:rPr>
          <w:rFonts w:asciiTheme="minorHAnsi" w:hAnsiTheme="minorHAnsi"/>
          <w:color w:val="auto"/>
          <w:szCs w:val="24"/>
        </w:rPr>
        <w:t>n</w:t>
      </w:r>
      <w:r w:rsidR="00760FFD">
        <w:rPr>
          <w:rFonts w:asciiTheme="minorHAnsi" w:hAnsiTheme="minorHAnsi"/>
          <w:color w:val="auto"/>
          <w:szCs w:val="24"/>
        </w:rPr>
        <w:t xml:space="preserve"> 2004, it was determined that his conditions </w:t>
      </w:r>
      <w:r w:rsidR="005316E0">
        <w:rPr>
          <w:rFonts w:asciiTheme="minorHAnsi" w:hAnsiTheme="minorHAnsi"/>
          <w:color w:val="auto"/>
          <w:szCs w:val="24"/>
        </w:rPr>
        <w:t>had</w:t>
      </w:r>
      <w:r w:rsidR="00760FFD">
        <w:rPr>
          <w:rFonts w:asciiTheme="minorHAnsi" w:hAnsiTheme="minorHAnsi"/>
          <w:color w:val="auto"/>
          <w:szCs w:val="24"/>
        </w:rPr>
        <w:t xml:space="preserve"> sufficiently stabilized for permanent rating.</w:t>
      </w:r>
      <w:r w:rsidR="00F91393">
        <w:rPr>
          <w:rFonts w:asciiTheme="minorHAnsi" w:hAnsiTheme="minorHAnsi"/>
          <w:color w:val="auto"/>
          <w:szCs w:val="24"/>
        </w:rPr>
        <w:t xml:space="preserve">  A </w:t>
      </w:r>
      <w:r w:rsidR="00931B2C">
        <w:rPr>
          <w:rFonts w:asciiTheme="minorHAnsi" w:hAnsiTheme="minorHAnsi"/>
          <w:color w:val="auto"/>
          <w:szCs w:val="24"/>
        </w:rPr>
        <w:t xml:space="preserve">PEB was convened, and found him unfit due to </w:t>
      </w:r>
      <w:proofErr w:type="spellStart"/>
      <w:r w:rsidR="009A4BAB">
        <w:rPr>
          <w:rFonts w:asciiTheme="minorHAnsi" w:hAnsiTheme="minorHAnsi"/>
          <w:color w:val="auto"/>
          <w:szCs w:val="24"/>
        </w:rPr>
        <w:t>osteonecrosi</w:t>
      </w:r>
      <w:r w:rsidR="00A56AF1">
        <w:rPr>
          <w:rFonts w:asciiTheme="minorHAnsi" w:hAnsiTheme="minorHAnsi"/>
          <w:color w:val="auto"/>
          <w:szCs w:val="24"/>
        </w:rPr>
        <w:t>s</w:t>
      </w:r>
      <w:proofErr w:type="spellEnd"/>
      <w:r w:rsidR="00A56AF1">
        <w:rPr>
          <w:rFonts w:asciiTheme="minorHAnsi" w:hAnsiTheme="minorHAnsi"/>
          <w:color w:val="auto"/>
          <w:szCs w:val="24"/>
        </w:rPr>
        <w:t xml:space="preserve"> and </w:t>
      </w:r>
      <w:proofErr w:type="spellStart"/>
      <w:r w:rsidR="00A56AF1">
        <w:rPr>
          <w:rFonts w:asciiTheme="minorHAnsi" w:hAnsiTheme="minorHAnsi"/>
          <w:color w:val="auto"/>
          <w:szCs w:val="24"/>
        </w:rPr>
        <w:t>s</w:t>
      </w:r>
      <w:r w:rsidR="009A4BAB">
        <w:rPr>
          <w:rFonts w:asciiTheme="minorHAnsi" w:hAnsiTheme="minorHAnsi"/>
          <w:color w:val="auto"/>
          <w:szCs w:val="24"/>
        </w:rPr>
        <w:t>arcoidosis</w:t>
      </w:r>
      <w:proofErr w:type="spellEnd"/>
      <w:r w:rsidR="00760FFD">
        <w:rPr>
          <w:rFonts w:asciiTheme="minorHAnsi" w:hAnsiTheme="minorHAnsi"/>
          <w:color w:val="auto"/>
          <w:szCs w:val="24"/>
        </w:rPr>
        <w:t>,</w:t>
      </w:r>
      <w:r w:rsidR="009A4BAB">
        <w:rPr>
          <w:rFonts w:asciiTheme="minorHAnsi" w:hAnsiTheme="minorHAnsi"/>
          <w:color w:val="auto"/>
          <w:szCs w:val="24"/>
        </w:rPr>
        <w:t xml:space="preserve"> </w:t>
      </w:r>
      <w:r w:rsidR="00931B2C">
        <w:rPr>
          <w:rFonts w:asciiTheme="minorHAnsi" w:hAnsiTheme="minorHAnsi"/>
          <w:color w:val="auto"/>
          <w:szCs w:val="24"/>
        </w:rPr>
        <w:t xml:space="preserve">both </w:t>
      </w:r>
      <w:r w:rsidR="009A4BAB">
        <w:rPr>
          <w:rFonts w:asciiTheme="minorHAnsi" w:hAnsiTheme="minorHAnsi"/>
          <w:color w:val="auto"/>
          <w:szCs w:val="24"/>
        </w:rPr>
        <w:t xml:space="preserve">rated </w:t>
      </w:r>
      <w:r w:rsidR="00760FFD">
        <w:rPr>
          <w:rFonts w:asciiTheme="minorHAnsi" w:hAnsiTheme="minorHAnsi"/>
          <w:color w:val="auto"/>
          <w:szCs w:val="24"/>
        </w:rPr>
        <w:t xml:space="preserve">at </w:t>
      </w:r>
      <w:r w:rsidR="009A4BAB">
        <w:rPr>
          <w:rFonts w:asciiTheme="minorHAnsi" w:hAnsiTheme="minorHAnsi"/>
          <w:color w:val="auto"/>
          <w:szCs w:val="24"/>
        </w:rPr>
        <w:t xml:space="preserve">0%.  </w:t>
      </w:r>
      <w:r w:rsidR="00437D77" w:rsidRPr="00C472C7">
        <w:rPr>
          <w:rFonts w:asciiTheme="minorHAnsi" w:hAnsiTheme="minorHAnsi"/>
          <w:color w:val="auto"/>
        </w:rPr>
        <w:t xml:space="preserve">The CI </w:t>
      </w:r>
      <w:r w:rsidR="00F91393">
        <w:rPr>
          <w:rFonts w:asciiTheme="minorHAnsi" w:hAnsiTheme="minorHAnsi"/>
          <w:color w:val="auto"/>
        </w:rPr>
        <w:t xml:space="preserve">did not accept the </w:t>
      </w:r>
      <w:r w:rsidR="005316E0">
        <w:rPr>
          <w:rFonts w:asciiTheme="minorHAnsi" w:hAnsiTheme="minorHAnsi"/>
          <w:color w:val="auto"/>
        </w:rPr>
        <w:t xml:space="preserve">PEB findings, and he </w:t>
      </w:r>
      <w:r w:rsidR="00DE2AC0">
        <w:rPr>
          <w:rFonts w:asciiTheme="minorHAnsi" w:hAnsiTheme="minorHAnsi"/>
          <w:color w:val="auto"/>
        </w:rPr>
        <w:t>demanded a formal hearing.</w:t>
      </w:r>
      <w:r w:rsidR="002E0670">
        <w:rPr>
          <w:rFonts w:asciiTheme="minorHAnsi" w:hAnsiTheme="minorHAnsi"/>
          <w:color w:val="auto"/>
        </w:rPr>
        <w:t xml:space="preserve">  The Formal PEB</w:t>
      </w:r>
      <w:r w:rsidR="002E0670" w:rsidRPr="002E0670">
        <w:rPr>
          <w:rFonts w:asciiTheme="minorHAnsi" w:hAnsiTheme="minorHAnsi"/>
          <w:color w:val="auto"/>
          <w:szCs w:val="24"/>
        </w:rPr>
        <w:t xml:space="preserve"> </w:t>
      </w:r>
      <w:r w:rsidR="005D15E4">
        <w:rPr>
          <w:rFonts w:asciiTheme="minorHAnsi" w:hAnsiTheme="minorHAnsi"/>
          <w:color w:val="auto"/>
          <w:szCs w:val="24"/>
        </w:rPr>
        <w:t xml:space="preserve">(FPEB) </w:t>
      </w:r>
      <w:r w:rsidR="002E0670">
        <w:rPr>
          <w:rFonts w:asciiTheme="minorHAnsi" w:hAnsiTheme="minorHAnsi"/>
          <w:color w:val="auto"/>
          <w:szCs w:val="24"/>
        </w:rPr>
        <w:t xml:space="preserve">found him unfit due to </w:t>
      </w:r>
      <w:proofErr w:type="spellStart"/>
      <w:r w:rsidR="002E0670">
        <w:rPr>
          <w:rFonts w:asciiTheme="minorHAnsi" w:hAnsiTheme="minorHAnsi"/>
          <w:color w:val="auto"/>
          <w:szCs w:val="24"/>
        </w:rPr>
        <w:t>osteonecrosis</w:t>
      </w:r>
      <w:proofErr w:type="spellEnd"/>
      <w:r w:rsidR="002E0670">
        <w:rPr>
          <w:rFonts w:asciiTheme="minorHAnsi" w:hAnsiTheme="minorHAnsi"/>
          <w:color w:val="auto"/>
          <w:szCs w:val="24"/>
        </w:rPr>
        <w:t xml:space="preserve"> and </w:t>
      </w:r>
      <w:proofErr w:type="spellStart"/>
      <w:r w:rsidR="002E0670">
        <w:rPr>
          <w:rFonts w:asciiTheme="minorHAnsi" w:hAnsiTheme="minorHAnsi"/>
          <w:color w:val="auto"/>
          <w:szCs w:val="24"/>
        </w:rPr>
        <w:t>sarcoidosis</w:t>
      </w:r>
      <w:proofErr w:type="spellEnd"/>
      <w:r w:rsidR="002E0670">
        <w:rPr>
          <w:rFonts w:asciiTheme="minorHAnsi" w:hAnsiTheme="minorHAnsi"/>
          <w:color w:val="auto"/>
          <w:szCs w:val="24"/>
        </w:rPr>
        <w:t>, both rated at 0%.  The case was then reviewed by the U.S. Army Physic</w:t>
      </w:r>
      <w:r w:rsidR="007C67C8">
        <w:rPr>
          <w:rFonts w:asciiTheme="minorHAnsi" w:hAnsiTheme="minorHAnsi"/>
          <w:color w:val="auto"/>
          <w:szCs w:val="24"/>
        </w:rPr>
        <w:t xml:space="preserve">al Disability Agency (USAPDA) </w:t>
      </w:r>
      <w:r w:rsidR="002E0670">
        <w:rPr>
          <w:rFonts w:asciiTheme="minorHAnsi" w:hAnsiTheme="minorHAnsi"/>
          <w:color w:val="auto"/>
          <w:szCs w:val="24"/>
        </w:rPr>
        <w:t xml:space="preserve">and the CI was medically discharged with </w:t>
      </w:r>
      <w:r w:rsidR="00DC2564" w:rsidRPr="00C472C7">
        <w:rPr>
          <w:rFonts w:asciiTheme="minorHAnsi" w:hAnsiTheme="minorHAnsi"/>
          <w:color w:val="auto"/>
        </w:rPr>
        <w:t xml:space="preserve">a </w:t>
      </w:r>
      <w:r w:rsidR="00DC2564">
        <w:rPr>
          <w:rFonts w:asciiTheme="minorHAnsi" w:hAnsiTheme="minorHAnsi"/>
          <w:color w:val="auto"/>
        </w:rPr>
        <w:t>20</w:t>
      </w:r>
      <w:r w:rsidR="00DC2564" w:rsidRPr="00C472C7">
        <w:rPr>
          <w:rFonts w:asciiTheme="minorHAnsi" w:hAnsiTheme="minorHAnsi"/>
          <w:color w:val="auto"/>
        </w:rPr>
        <w:t>% combined disability rating.</w:t>
      </w:r>
      <w:r w:rsidR="00641DE4">
        <w:rPr>
          <w:rFonts w:asciiTheme="minorHAnsi" w:hAnsiTheme="minorHAnsi"/>
          <w:color w:val="auto"/>
        </w:rPr>
        <w:t xml:space="preserve"> </w:t>
      </w:r>
    </w:p>
    <w:p w:rsidR="008E0D8F" w:rsidRDefault="008E0D8F" w:rsidP="004861B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4861BC">
      <w:pPr>
        <w:tabs>
          <w:tab w:val="left" w:pos="288"/>
          <w:tab w:val="left" w:pos="4752"/>
        </w:tabs>
        <w:spacing w:line="240" w:lineRule="exact"/>
        <w:jc w:val="both"/>
        <w:rPr>
          <w:rFonts w:asciiTheme="minorHAnsi" w:hAnsiTheme="minorHAnsi"/>
          <w:color w:val="auto"/>
          <w:u w:val="single"/>
        </w:rPr>
      </w:pPr>
    </w:p>
    <w:p w:rsidR="00085D7B" w:rsidRDefault="002C6E5B" w:rsidP="004861B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w:t>
      </w:r>
      <w:r w:rsidR="00043C09">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057019">
        <w:rPr>
          <w:rFonts w:asciiTheme="minorHAnsi" w:hAnsiTheme="minorHAnsi"/>
          <w:color w:val="auto"/>
        </w:rPr>
        <w:t xml:space="preserve">  </w:t>
      </w:r>
      <w:r w:rsidR="007B458B" w:rsidRPr="00057019">
        <w:rPr>
          <w:rFonts w:asciiTheme="minorHAnsi" w:hAnsiTheme="minorHAnsi"/>
          <w:color w:val="auto"/>
        </w:rPr>
        <w:t>“</w:t>
      </w:r>
      <w:r w:rsidR="007B458B">
        <w:rPr>
          <w:rFonts w:asciiTheme="minorHAnsi" w:hAnsiTheme="minorHAnsi"/>
          <w:color w:val="auto"/>
        </w:rPr>
        <w:t>Upon</w:t>
      </w:r>
      <w:r w:rsidR="00485C99">
        <w:rPr>
          <w:rFonts w:asciiTheme="minorHAnsi" w:hAnsiTheme="minorHAnsi"/>
          <w:color w:val="auto"/>
        </w:rPr>
        <w:t xml:space="preserve"> review of my records from </w:t>
      </w:r>
      <w:proofErr w:type="gramStart"/>
      <w:r w:rsidR="00485C99">
        <w:rPr>
          <w:rFonts w:asciiTheme="minorHAnsi" w:hAnsiTheme="minorHAnsi"/>
          <w:color w:val="auto"/>
        </w:rPr>
        <w:t>D</w:t>
      </w:r>
      <w:r w:rsidR="003353AE">
        <w:rPr>
          <w:rFonts w:asciiTheme="minorHAnsi" w:hAnsiTheme="minorHAnsi"/>
          <w:color w:val="auto"/>
        </w:rPr>
        <w:t>o</w:t>
      </w:r>
      <w:r w:rsidR="00485C99">
        <w:rPr>
          <w:rFonts w:asciiTheme="minorHAnsi" w:hAnsiTheme="minorHAnsi"/>
          <w:color w:val="auto"/>
        </w:rPr>
        <w:t>D</w:t>
      </w:r>
      <w:proofErr w:type="gramEnd"/>
      <w:r w:rsidR="00485C99">
        <w:rPr>
          <w:rFonts w:asciiTheme="minorHAnsi" w:hAnsiTheme="minorHAnsi"/>
          <w:color w:val="auto"/>
        </w:rPr>
        <w:t xml:space="preserve"> they decided to give me 20 percent disability and put me out with severance pay.  This was a sur</w:t>
      </w:r>
      <w:r w:rsidR="00641DE4">
        <w:rPr>
          <w:rFonts w:asciiTheme="minorHAnsi" w:hAnsiTheme="minorHAnsi"/>
          <w:color w:val="auto"/>
        </w:rPr>
        <w:t xml:space="preserve">prise, as I was already receiving 100 percent disability from DVA.  This after being diagnosed with PTSD, Graves’ disease, eye disorder, dental disorder, bilateral shoulder, bilateral hip, rectal bleeding, headaches, chronic lower back pain, other acute sinusitis, impotence, hemorrhoids, shortness of breath, </w:t>
      </w:r>
      <w:proofErr w:type="spellStart"/>
      <w:r w:rsidR="00641DE4">
        <w:rPr>
          <w:rFonts w:asciiTheme="minorHAnsi" w:hAnsiTheme="minorHAnsi"/>
          <w:color w:val="auto"/>
        </w:rPr>
        <w:t>rhabdomyolysis</w:t>
      </w:r>
      <w:proofErr w:type="spellEnd"/>
      <w:r w:rsidR="00641DE4">
        <w:rPr>
          <w:rFonts w:asciiTheme="minorHAnsi" w:hAnsiTheme="minorHAnsi"/>
          <w:color w:val="auto"/>
        </w:rPr>
        <w:t xml:space="preserve">, </w:t>
      </w:r>
      <w:proofErr w:type="spellStart"/>
      <w:r w:rsidR="00641DE4">
        <w:rPr>
          <w:rFonts w:asciiTheme="minorHAnsi" w:hAnsiTheme="minorHAnsi"/>
          <w:color w:val="auto"/>
        </w:rPr>
        <w:t>cellulitis</w:t>
      </w:r>
      <w:proofErr w:type="spellEnd"/>
      <w:r w:rsidR="00641DE4">
        <w:rPr>
          <w:rFonts w:asciiTheme="minorHAnsi" w:hAnsiTheme="minorHAnsi"/>
          <w:color w:val="auto"/>
        </w:rPr>
        <w:t xml:space="preserve">, and abscess, GERD, DJD-NOS, B12 and </w:t>
      </w:r>
      <w:proofErr w:type="spellStart"/>
      <w:r w:rsidR="00641DE4">
        <w:rPr>
          <w:rFonts w:asciiTheme="minorHAnsi" w:hAnsiTheme="minorHAnsi"/>
          <w:color w:val="auto"/>
        </w:rPr>
        <w:t>folate</w:t>
      </w:r>
      <w:proofErr w:type="spellEnd"/>
      <w:r w:rsidR="00E72D51">
        <w:rPr>
          <w:rFonts w:asciiTheme="minorHAnsi" w:hAnsiTheme="minorHAnsi"/>
          <w:color w:val="auto"/>
        </w:rPr>
        <w:t xml:space="preserve"> deficiency</w:t>
      </w:r>
      <w:r w:rsidR="00641DE4">
        <w:rPr>
          <w:rFonts w:asciiTheme="minorHAnsi" w:hAnsiTheme="minorHAnsi"/>
          <w:color w:val="auto"/>
        </w:rPr>
        <w:t>, B-complex defic</w:t>
      </w:r>
      <w:r w:rsidR="00E72D51">
        <w:rPr>
          <w:rFonts w:asciiTheme="minorHAnsi" w:hAnsiTheme="minorHAnsi"/>
          <w:color w:val="auto"/>
        </w:rPr>
        <w:t>iency</w:t>
      </w:r>
      <w:r w:rsidR="00641DE4">
        <w:rPr>
          <w:rFonts w:asciiTheme="minorHAnsi" w:hAnsiTheme="minorHAnsi"/>
          <w:color w:val="auto"/>
        </w:rPr>
        <w:t>, upper respiratory infections, leg, knees an</w:t>
      </w:r>
      <w:r w:rsidR="00E72D51">
        <w:rPr>
          <w:rFonts w:asciiTheme="minorHAnsi" w:hAnsiTheme="minorHAnsi"/>
          <w:color w:val="auto"/>
        </w:rPr>
        <w:t xml:space="preserve">d feet injuries, </w:t>
      </w:r>
      <w:proofErr w:type="spellStart"/>
      <w:r w:rsidR="00E72D51">
        <w:rPr>
          <w:rFonts w:asciiTheme="minorHAnsi" w:hAnsiTheme="minorHAnsi"/>
          <w:color w:val="auto"/>
        </w:rPr>
        <w:t>avascular</w:t>
      </w:r>
      <w:proofErr w:type="spellEnd"/>
      <w:r w:rsidR="00641DE4">
        <w:rPr>
          <w:rFonts w:asciiTheme="minorHAnsi" w:hAnsiTheme="minorHAnsi"/>
          <w:color w:val="auto"/>
        </w:rPr>
        <w:t xml:space="preserve"> necrosis, bilateral femoral heads, radiation po</w:t>
      </w:r>
      <w:r w:rsidR="00E72D51">
        <w:rPr>
          <w:rFonts w:asciiTheme="minorHAnsi" w:hAnsiTheme="minorHAnsi"/>
          <w:color w:val="auto"/>
        </w:rPr>
        <w:t>i</w:t>
      </w:r>
      <w:r w:rsidR="00641DE4">
        <w:rPr>
          <w:rFonts w:asciiTheme="minorHAnsi" w:hAnsiTheme="minorHAnsi"/>
          <w:color w:val="auto"/>
        </w:rPr>
        <w:t>s</w:t>
      </w:r>
      <w:r w:rsidR="00E72D51">
        <w:rPr>
          <w:rFonts w:asciiTheme="minorHAnsi" w:hAnsiTheme="minorHAnsi"/>
          <w:color w:val="auto"/>
        </w:rPr>
        <w:t>on</w:t>
      </w:r>
      <w:r w:rsidR="00641DE4">
        <w:rPr>
          <w:rFonts w:asciiTheme="minorHAnsi" w:hAnsiTheme="minorHAnsi"/>
          <w:color w:val="auto"/>
        </w:rPr>
        <w:t>ing, right h</w:t>
      </w:r>
      <w:r w:rsidR="00E72D51">
        <w:rPr>
          <w:rFonts w:asciiTheme="minorHAnsi" w:hAnsiTheme="minorHAnsi"/>
          <w:color w:val="auto"/>
        </w:rPr>
        <w:t xml:space="preserve">and condition, </w:t>
      </w:r>
      <w:proofErr w:type="spellStart"/>
      <w:r w:rsidR="00E72D51">
        <w:rPr>
          <w:rFonts w:asciiTheme="minorHAnsi" w:hAnsiTheme="minorHAnsi"/>
          <w:color w:val="auto"/>
        </w:rPr>
        <w:t>pseudofoliculitis</w:t>
      </w:r>
      <w:proofErr w:type="spellEnd"/>
      <w:r w:rsidR="007B458B">
        <w:rPr>
          <w:rFonts w:asciiTheme="minorHAnsi" w:hAnsiTheme="minorHAnsi"/>
          <w:color w:val="auto"/>
        </w:rPr>
        <w:t xml:space="preserve"> </w:t>
      </w:r>
      <w:r w:rsidR="00E72D51">
        <w:rPr>
          <w:rFonts w:asciiTheme="minorHAnsi" w:hAnsiTheme="minorHAnsi"/>
          <w:color w:val="auto"/>
        </w:rPr>
        <w:t>barba</w:t>
      </w:r>
      <w:r w:rsidR="00641DE4">
        <w:rPr>
          <w:rFonts w:asciiTheme="minorHAnsi" w:hAnsiTheme="minorHAnsi"/>
          <w:color w:val="auto"/>
        </w:rPr>
        <w:t xml:space="preserve">e, Reynaud’s disease, nightmare, restless leg syndrome, kidney disorder, liver disorder, chronic </w:t>
      </w:r>
      <w:r w:rsidR="007B458B">
        <w:rPr>
          <w:rFonts w:asciiTheme="minorHAnsi" w:hAnsiTheme="minorHAnsi"/>
          <w:color w:val="auto"/>
        </w:rPr>
        <w:t>fatigue</w:t>
      </w:r>
      <w:r w:rsidR="00641DE4">
        <w:rPr>
          <w:rFonts w:asciiTheme="minorHAnsi" w:hAnsiTheme="minorHAnsi"/>
          <w:color w:val="auto"/>
        </w:rPr>
        <w:t>, broke ribs, broken nose, head injury, exposure to DU and other element</w:t>
      </w:r>
      <w:r w:rsidR="00E72D51">
        <w:rPr>
          <w:rFonts w:asciiTheme="minorHAnsi" w:hAnsiTheme="minorHAnsi"/>
          <w:color w:val="auto"/>
        </w:rPr>
        <w:t>s</w:t>
      </w:r>
      <w:r w:rsidR="00641DE4">
        <w:rPr>
          <w:rFonts w:asciiTheme="minorHAnsi" w:hAnsiTheme="minorHAnsi"/>
          <w:color w:val="auto"/>
        </w:rPr>
        <w:t xml:space="preserve"> of the first Gulf War</w:t>
      </w:r>
      <w:r w:rsidR="00E72D51">
        <w:rPr>
          <w:rFonts w:asciiTheme="minorHAnsi" w:hAnsiTheme="minorHAnsi"/>
          <w:color w:val="auto"/>
        </w:rPr>
        <w:t>.”</w:t>
      </w:r>
      <w:r w:rsidR="00043C09">
        <w:rPr>
          <w:rFonts w:asciiTheme="minorHAnsi" w:hAnsiTheme="minorHAnsi"/>
          <w:color w:val="auto"/>
        </w:rPr>
        <w:t xml:space="preserve">  The CI </w:t>
      </w:r>
      <w:r w:rsidR="00DE2AC0">
        <w:rPr>
          <w:rFonts w:asciiTheme="minorHAnsi" w:hAnsiTheme="minorHAnsi"/>
          <w:color w:val="auto"/>
        </w:rPr>
        <w:t>has also submitted a four-page memo which was reviewed and considered by the Board.</w:t>
      </w:r>
      <w:r w:rsidR="00641DE4">
        <w:rPr>
          <w:rFonts w:asciiTheme="minorHAnsi" w:hAnsiTheme="minorHAnsi"/>
          <w:color w:val="auto"/>
        </w:rPr>
        <w:t xml:space="preserve"> </w:t>
      </w:r>
    </w:p>
    <w:p w:rsidR="003E1682" w:rsidRDefault="003E1682" w:rsidP="004861BC">
      <w:pPr>
        <w:pBdr>
          <w:bottom w:val="single" w:sz="12" w:space="1" w:color="auto"/>
        </w:pBdr>
        <w:spacing w:line="240" w:lineRule="exact"/>
        <w:rPr>
          <w:rFonts w:asciiTheme="minorHAnsi" w:hAnsiTheme="minorHAnsi"/>
          <w:color w:val="auto"/>
          <w:u w:val="single"/>
        </w:rPr>
      </w:pPr>
    </w:p>
    <w:p w:rsidR="00D2288F" w:rsidRDefault="00D2288F" w:rsidP="004861BC">
      <w:pPr>
        <w:spacing w:line="240" w:lineRule="exact"/>
        <w:rPr>
          <w:rFonts w:asciiTheme="minorHAnsi" w:hAnsiTheme="minorHAnsi"/>
          <w:color w:val="auto"/>
          <w:u w:val="single"/>
        </w:rPr>
      </w:pPr>
    </w:p>
    <w:p w:rsidR="002338CA" w:rsidRDefault="007F0AB7" w:rsidP="004861B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B458B" w:rsidRDefault="007B458B" w:rsidP="004861BC">
      <w:pPr>
        <w:spacing w:line="240" w:lineRule="exact"/>
        <w:rPr>
          <w:rFonts w:asciiTheme="minorHAnsi" w:hAnsiTheme="minorHAnsi"/>
          <w:color w:val="auto"/>
        </w:rPr>
      </w:pPr>
    </w:p>
    <w:tbl>
      <w:tblPr>
        <w:tblStyle w:val="TableGrid"/>
        <w:tblW w:w="9486" w:type="dxa"/>
        <w:jc w:val="center"/>
        <w:tblLayout w:type="fixed"/>
        <w:tblLook w:val="04A0"/>
      </w:tblPr>
      <w:tblGrid>
        <w:gridCol w:w="2250"/>
        <w:gridCol w:w="1007"/>
        <w:gridCol w:w="720"/>
        <w:gridCol w:w="791"/>
        <w:gridCol w:w="1783"/>
        <w:gridCol w:w="1080"/>
        <w:gridCol w:w="881"/>
        <w:gridCol w:w="974"/>
      </w:tblGrid>
      <w:tr w:rsidR="007B458B" w:rsidRPr="00FF1022" w:rsidTr="003353AE">
        <w:trPr>
          <w:trHeight w:val="233"/>
          <w:jc w:val="center"/>
        </w:trPr>
        <w:tc>
          <w:tcPr>
            <w:tcW w:w="4768" w:type="dxa"/>
            <w:gridSpan w:val="4"/>
            <w:tcBorders>
              <w:right w:val="thinThickThinSmallGap" w:sz="24" w:space="0" w:color="auto"/>
            </w:tcBorders>
            <w:shd w:val="clear" w:color="auto" w:fill="D9D9D9" w:themeFill="background1" w:themeFillShade="D9"/>
            <w:vAlign w:val="center"/>
          </w:tcPr>
          <w:p w:rsidR="007B458B" w:rsidRPr="00B06930" w:rsidRDefault="006745FD" w:rsidP="004861BC">
            <w:pPr>
              <w:spacing w:line="240" w:lineRule="exact"/>
              <w:contextualSpacing/>
              <w:jc w:val="center"/>
              <w:rPr>
                <w:b/>
                <w:color w:val="auto"/>
                <w:sz w:val="20"/>
                <w:szCs w:val="20"/>
              </w:rPr>
            </w:pPr>
            <w:r>
              <w:rPr>
                <w:b/>
                <w:color w:val="auto"/>
                <w:sz w:val="20"/>
                <w:szCs w:val="20"/>
              </w:rPr>
              <w:t>Admin. Correction to the Army</w:t>
            </w:r>
            <w:r w:rsidR="007B458B" w:rsidRPr="00B06930">
              <w:rPr>
                <w:b/>
                <w:color w:val="auto"/>
                <w:sz w:val="20"/>
                <w:szCs w:val="20"/>
              </w:rPr>
              <w:t xml:space="preserve"> </w:t>
            </w:r>
            <w:r w:rsidR="007B458B">
              <w:rPr>
                <w:b/>
                <w:color w:val="auto"/>
                <w:sz w:val="20"/>
                <w:szCs w:val="20"/>
              </w:rPr>
              <w:t>F</w:t>
            </w:r>
            <w:r w:rsidR="007B458B" w:rsidRPr="00B06930">
              <w:rPr>
                <w:b/>
                <w:color w:val="auto"/>
                <w:sz w:val="20"/>
                <w:szCs w:val="20"/>
              </w:rPr>
              <w:t xml:space="preserve">PEB – </w:t>
            </w:r>
            <w:r w:rsidR="006F6296">
              <w:rPr>
                <w:b/>
                <w:color w:val="auto"/>
                <w:sz w:val="20"/>
                <w:szCs w:val="20"/>
              </w:rPr>
              <w:t>d</w:t>
            </w:r>
            <w:r w:rsidR="007B458B" w:rsidRPr="00B06930">
              <w:rPr>
                <w:b/>
                <w:color w:val="auto"/>
                <w:sz w:val="20"/>
                <w:szCs w:val="20"/>
              </w:rPr>
              <w:t>ated 200</w:t>
            </w:r>
            <w:r w:rsidR="007B458B">
              <w:rPr>
                <w:b/>
                <w:color w:val="auto"/>
                <w:sz w:val="20"/>
                <w:szCs w:val="20"/>
              </w:rPr>
              <w:t>50222</w:t>
            </w:r>
          </w:p>
        </w:tc>
        <w:tc>
          <w:tcPr>
            <w:tcW w:w="4718" w:type="dxa"/>
            <w:gridSpan w:val="4"/>
            <w:tcBorders>
              <w:left w:val="thinThickThinSmallGap" w:sz="24" w:space="0" w:color="auto"/>
            </w:tcBorders>
            <w:shd w:val="clear" w:color="auto" w:fill="D9D9D9" w:themeFill="background1" w:themeFillShade="D9"/>
            <w:vAlign w:val="center"/>
          </w:tcPr>
          <w:p w:rsidR="007B458B" w:rsidRPr="00B06930" w:rsidRDefault="003353AE" w:rsidP="004861BC">
            <w:pPr>
              <w:spacing w:line="240" w:lineRule="exact"/>
              <w:contextualSpacing/>
              <w:jc w:val="center"/>
              <w:rPr>
                <w:b/>
                <w:color w:val="auto"/>
                <w:sz w:val="20"/>
                <w:szCs w:val="20"/>
              </w:rPr>
            </w:pPr>
            <w:r>
              <w:rPr>
                <w:b/>
                <w:color w:val="auto"/>
                <w:sz w:val="20"/>
                <w:szCs w:val="20"/>
              </w:rPr>
              <w:t>*</w:t>
            </w:r>
            <w:r w:rsidR="007B458B" w:rsidRPr="006937C6">
              <w:rPr>
                <w:b/>
                <w:color w:val="auto"/>
                <w:sz w:val="20"/>
                <w:szCs w:val="20"/>
              </w:rPr>
              <w:t>VA</w:t>
            </w:r>
            <w:r w:rsidR="007B458B" w:rsidRPr="00B06930">
              <w:rPr>
                <w:b/>
                <w:color w:val="auto"/>
                <w:sz w:val="20"/>
                <w:szCs w:val="20"/>
              </w:rPr>
              <w:t xml:space="preserve"> – Effective </w:t>
            </w:r>
            <w:r w:rsidR="006D6529">
              <w:rPr>
                <w:b/>
                <w:color w:val="auto"/>
                <w:sz w:val="20"/>
                <w:szCs w:val="20"/>
              </w:rPr>
              <w:t>19980628</w:t>
            </w:r>
          </w:p>
        </w:tc>
      </w:tr>
      <w:tr w:rsidR="003353AE" w:rsidRPr="00FF1022" w:rsidTr="003353AE">
        <w:trPr>
          <w:trHeight w:val="233"/>
          <w:jc w:val="center"/>
        </w:trPr>
        <w:tc>
          <w:tcPr>
            <w:tcW w:w="2250" w:type="dxa"/>
            <w:tcBorders>
              <w:bottom w:val="single" w:sz="4" w:space="0" w:color="000000" w:themeColor="text1"/>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Condition</w:t>
            </w:r>
          </w:p>
        </w:tc>
        <w:tc>
          <w:tcPr>
            <w:tcW w:w="1007" w:type="dxa"/>
            <w:tcBorders>
              <w:bottom w:val="single" w:sz="4" w:space="0" w:color="000000" w:themeColor="text1"/>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Code</w:t>
            </w:r>
          </w:p>
        </w:tc>
        <w:tc>
          <w:tcPr>
            <w:tcW w:w="151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Rating</w:t>
            </w:r>
          </w:p>
        </w:tc>
        <w:tc>
          <w:tcPr>
            <w:tcW w:w="1783" w:type="dxa"/>
            <w:vMerge w:val="restart"/>
            <w:tcBorders>
              <w:left w:val="thinThickThinSmallGap" w:sz="24" w:space="0" w:color="auto"/>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Condition</w:t>
            </w:r>
          </w:p>
        </w:tc>
        <w:tc>
          <w:tcPr>
            <w:tcW w:w="1080" w:type="dxa"/>
            <w:vMerge w:val="restart"/>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Code</w:t>
            </w:r>
          </w:p>
        </w:tc>
        <w:tc>
          <w:tcPr>
            <w:tcW w:w="881" w:type="dxa"/>
            <w:vMerge w:val="restart"/>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Rating</w:t>
            </w:r>
          </w:p>
        </w:tc>
        <w:tc>
          <w:tcPr>
            <w:tcW w:w="974" w:type="dxa"/>
            <w:vMerge w:val="restart"/>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Exam</w:t>
            </w:r>
          </w:p>
        </w:tc>
      </w:tr>
      <w:tr w:rsidR="003353AE" w:rsidRPr="00FF1022" w:rsidTr="003353AE">
        <w:trPr>
          <w:trHeight w:val="152"/>
          <w:jc w:val="center"/>
        </w:trPr>
        <w:tc>
          <w:tcPr>
            <w:tcW w:w="2250" w:type="dxa"/>
            <w:shd w:val="clear" w:color="auto" w:fill="D9D9D9" w:themeFill="background1" w:themeFillShade="D9"/>
            <w:vAlign w:val="center"/>
          </w:tcPr>
          <w:p w:rsidR="007B458B" w:rsidRPr="00B06930" w:rsidRDefault="006745FD" w:rsidP="004861BC">
            <w:pPr>
              <w:spacing w:line="240" w:lineRule="exact"/>
              <w:contextualSpacing/>
              <w:jc w:val="center"/>
              <w:rPr>
                <w:b/>
                <w:color w:val="auto"/>
                <w:sz w:val="20"/>
                <w:szCs w:val="20"/>
              </w:rPr>
            </w:pPr>
            <w:r>
              <w:rPr>
                <w:b/>
                <w:color w:val="auto"/>
                <w:sz w:val="20"/>
                <w:szCs w:val="20"/>
              </w:rPr>
              <w:t>(o</w:t>
            </w:r>
            <w:r w:rsidR="007B458B" w:rsidRPr="00B06930">
              <w:rPr>
                <w:b/>
                <w:color w:val="auto"/>
                <w:sz w:val="20"/>
                <w:szCs w:val="20"/>
              </w:rPr>
              <w:t xml:space="preserve">n TDRL </w:t>
            </w:r>
            <w:r w:rsidR="007B458B">
              <w:rPr>
                <w:b/>
                <w:color w:val="auto"/>
                <w:sz w:val="20"/>
                <w:szCs w:val="20"/>
              </w:rPr>
              <w:t>–</w:t>
            </w:r>
            <w:r w:rsidR="007B458B" w:rsidRPr="00B06930">
              <w:rPr>
                <w:b/>
                <w:color w:val="auto"/>
                <w:sz w:val="20"/>
                <w:szCs w:val="20"/>
              </w:rPr>
              <w:t xml:space="preserve"> </w:t>
            </w:r>
            <w:r w:rsidR="007B458B" w:rsidRPr="007B458B">
              <w:rPr>
                <w:b/>
                <w:color w:val="auto"/>
                <w:sz w:val="20"/>
                <w:szCs w:val="20"/>
              </w:rPr>
              <w:t>19980628</w:t>
            </w:r>
            <w:r>
              <w:rPr>
                <w:b/>
                <w:color w:val="auto"/>
                <w:sz w:val="20"/>
                <w:szCs w:val="20"/>
              </w:rPr>
              <w:t>)</w:t>
            </w:r>
          </w:p>
        </w:tc>
        <w:tc>
          <w:tcPr>
            <w:tcW w:w="1007" w:type="dxa"/>
            <w:shd w:val="clear" w:color="auto" w:fill="D9D9D9" w:themeFill="background1" w:themeFillShade="D9"/>
            <w:vAlign w:val="center"/>
          </w:tcPr>
          <w:p w:rsidR="007B458B" w:rsidRPr="00B06930" w:rsidRDefault="007B458B" w:rsidP="004861BC">
            <w:pPr>
              <w:spacing w:line="24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7B458B" w:rsidRPr="00B06930" w:rsidRDefault="007B458B" w:rsidP="004861BC">
            <w:pPr>
              <w:tabs>
                <w:tab w:val="left" w:pos="206"/>
                <w:tab w:val="center" w:pos="387"/>
              </w:tabs>
              <w:spacing w:line="240" w:lineRule="exact"/>
              <w:contextualSpacing/>
              <w:jc w:val="center"/>
              <w:rPr>
                <w:b/>
                <w:color w:val="auto"/>
                <w:sz w:val="20"/>
                <w:szCs w:val="20"/>
              </w:rPr>
            </w:pPr>
            <w:r w:rsidRPr="00B06930">
              <w:rPr>
                <w:b/>
                <w:color w:val="auto"/>
                <w:sz w:val="20"/>
                <w:szCs w:val="20"/>
              </w:rPr>
              <w:t>Sep.</w:t>
            </w:r>
          </w:p>
        </w:tc>
        <w:tc>
          <w:tcPr>
            <w:tcW w:w="1783" w:type="dxa"/>
            <w:vMerge/>
            <w:tcBorders>
              <w:left w:val="thinThickThinSmallGap" w:sz="24" w:space="0" w:color="auto"/>
            </w:tcBorders>
            <w:shd w:val="clear" w:color="auto" w:fill="D9D9D9" w:themeFill="background1" w:themeFillShade="D9"/>
            <w:vAlign w:val="center"/>
          </w:tcPr>
          <w:p w:rsidR="007B458B" w:rsidRPr="00B06930" w:rsidRDefault="007B458B" w:rsidP="004861BC">
            <w:pPr>
              <w:spacing w:line="240" w:lineRule="exact"/>
              <w:contextualSpacing/>
              <w:rPr>
                <w:b/>
                <w:color w:val="auto"/>
                <w:sz w:val="20"/>
                <w:szCs w:val="20"/>
              </w:rPr>
            </w:pPr>
          </w:p>
        </w:tc>
        <w:tc>
          <w:tcPr>
            <w:tcW w:w="1080" w:type="dxa"/>
            <w:vMerge/>
            <w:shd w:val="clear" w:color="auto" w:fill="C6D9F1" w:themeFill="text2" w:themeFillTint="33"/>
          </w:tcPr>
          <w:p w:rsidR="007B458B" w:rsidRPr="00B06930" w:rsidRDefault="007B458B" w:rsidP="004861BC">
            <w:pPr>
              <w:spacing w:line="240" w:lineRule="exact"/>
              <w:contextualSpacing/>
              <w:jc w:val="center"/>
              <w:rPr>
                <w:color w:val="auto"/>
                <w:sz w:val="20"/>
                <w:szCs w:val="20"/>
              </w:rPr>
            </w:pPr>
          </w:p>
        </w:tc>
        <w:tc>
          <w:tcPr>
            <w:tcW w:w="881" w:type="dxa"/>
            <w:vMerge/>
            <w:shd w:val="clear" w:color="auto" w:fill="C6D9F1" w:themeFill="text2" w:themeFillTint="33"/>
          </w:tcPr>
          <w:p w:rsidR="007B458B" w:rsidRPr="00B06930" w:rsidRDefault="007B458B" w:rsidP="004861BC">
            <w:pPr>
              <w:spacing w:line="240" w:lineRule="exact"/>
              <w:contextualSpacing/>
              <w:jc w:val="center"/>
              <w:rPr>
                <w:color w:val="auto"/>
                <w:sz w:val="20"/>
                <w:szCs w:val="20"/>
              </w:rPr>
            </w:pPr>
          </w:p>
        </w:tc>
        <w:tc>
          <w:tcPr>
            <w:tcW w:w="974" w:type="dxa"/>
            <w:vMerge/>
            <w:shd w:val="clear" w:color="auto" w:fill="C6D9F1" w:themeFill="text2" w:themeFillTint="33"/>
          </w:tcPr>
          <w:p w:rsidR="007B458B" w:rsidRPr="00B06930" w:rsidRDefault="007B458B" w:rsidP="004861BC">
            <w:pPr>
              <w:spacing w:line="240" w:lineRule="exact"/>
              <w:contextualSpacing/>
              <w:jc w:val="center"/>
              <w:rPr>
                <w:color w:val="auto"/>
                <w:sz w:val="20"/>
                <w:szCs w:val="20"/>
              </w:rPr>
            </w:pPr>
          </w:p>
        </w:tc>
      </w:tr>
      <w:tr w:rsidR="003353AE" w:rsidRPr="00FF1022" w:rsidTr="003353AE">
        <w:trPr>
          <w:trHeight w:val="125"/>
          <w:jc w:val="center"/>
        </w:trPr>
        <w:tc>
          <w:tcPr>
            <w:tcW w:w="2250" w:type="dxa"/>
            <w:tcBorders>
              <w:right w:val="single" w:sz="4" w:space="0" w:color="auto"/>
            </w:tcBorders>
            <w:shd w:val="clear" w:color="auto" w:fill="FFFFFF" w:themeFill="background1"/>
          </w:tcPr>
          <w:p w:rsidR="006D6529" w:rsidRPr="007B458B" w:rsidRDefault="006D6529" w:rsidP="004861BC">
            <w:pPr>
              <w:spacing w:line="240" w:lineRule="exact"/>
              <w:contextualSpacing/>
              <w:jc w:val="both"/>
              <w:rPr>
                <w:color w:val="auto"/>
                <w:sz w:val="18"/>
                <w:szCs w:val="18"/>
              </w:rPr>
            </w:pPr>
            <w:r w:rsidRPr="007B458B">
              <w:rPr>
                <w:color w:val="auto"/>
                <w:sz w:val="18"/>
                <w:szCs w:val="18"/>
              </w:rPr>
              <w:t>Bilat</w:t>
            </w:r>
            <w:r w:rsidR="00E72D51">
              <w:rPr>
                <w:color w:val="auto"/>
                <w:sz w:val="18"/>
                <w:szCs w:val="18"/>
              </w:rPr>
              <w:t>eral</w:t>
            </w:r>
            <w:r w:rsidRPr="007B458B">
              <w:rPr>
                <w:color w:val="auto"/>
                <w:sz w:val="18"/>
                <w:szCs w:val="18"/>
              </w:rPr>
              <w:t xml:space="preserve"> </w:t>
            </w:r>
            <w:r w:rsidR="00E72D51">
              <w:rPr>
                <w:color w:val="auto"/>
                <w:sz w:val="18"/>
                <w:szCs w:val="18"/>
              </w:rPr>
              <w:t xml:space="preserve">Hip </w:t>
            </w:r>
            <w:proofErr w:type="spellStart"/>
            <w:r>
              <w:rPr>
                <w:color w:val="auto"/>
                <w:sz w:val="18"/>
                <w:szCs w:val="18"/>
              </w:rPr>
              <w:t>Oste</w:t>
            </w:r>
            <w:r w:rsidR="00E72D51">
              <w:rPr>
                <w:color w:val="auto"/>
                <w:sz w:val="18"/>
                <w:szCs w:val="18"/>
              </w:rPr>
              <w:t>o</w:t>
            </w:r>
            <w:r>
              <w:rPr>
                <w:color w:val="auto"/>
                <w:sz w:val="18"/>
                <w:szCs w:val="18"/>
              </w:rPr>
              <w:t>necrosis</w:t>
            </w:r>
            <w:proofErr w:type="spellEnd"/>
          </w:p>
        </w:tc>
        <w:tc>
          <w:tcPr>
            <w:tcW w:w="1007" w:type="dxa"/>
            <w:tcBorders>
              <w:left w:val="single" w:sz="4" w:space="0" w:color="auto"/>
            </w:tcBorders>
            <w:shd w:val="clear" w:color="auto" w:fill="FFFFFF" w:themeFill="background1"/>
            <w:vAlign w:val="center"/>
          </w:tcPr>
          <w:p w:rsidR="006D6529" w:rsidRPr="0086102A" w:rsidRDefault="006D6529" w:rsidP="004861BC">
            <w:pPr>
              <w:spacing w:line="240" w:lineRule="exact"/>
              <w:contextualSpacing/>
              <w:jc w:val="center"/>
              <w:rPr>
                <w:color w:val="auto"/>
                <w:sz w:val="18"/>
                <w:szCs w:val="18"/>
              </w:rPr>
            </w:pPr>
            <w:r>
              <w:rPr>
                <w:color w:val="auto"/>
                <w:sz w:val="18"/>
                <w:szCs w:val="18"/>
              </w:rPr>
              <w:t>5099</w:t>
            </w:r>
            <w:r w:rsidR="006F6296">
              <w:rPr>
                <w:color w:val="auto"/>
                <w:sz w:val="18"/>
                <w:szCs w:val="18"/>
              </w:rPr>
              <w:t>-</w:t>
            </w:r>
            <w:r>
              <w:rPr>
                <w:color w:val="auto"/>
                <w:sz w:val="18"/>
                <w:szCs w:val="18"/>
              </w:rPr>
              <w:t>5003</w:t>
            </w:r>
          </w:p>
        </w:tc>
        <w:tc>
          <w:tcPr>
            <w:tcW w:w="720" w:type="dxa"/>
            <w:tcBorders>
              <w:right w:val="single" w:sz="4" w:space="0" w:color="auto"/>
            </w:tcBorders>
            <w:shd w:val="clear" w:color="auto" w:fill="FFFFFF" w:themeFill="background1"/>
            <w:vAlign w:val="center"/>
          </w:tcPr>
          <w:p w:rsidR="006D6529" w:rsidRPr="000D2CFD" w:rsidRDefault="006D6529" w:rsidP="004861BC">
            <w:pPr>
              <w:spacing w:line="240" w:lineRule="exact"/>
              <w:jc w:val="center"/>
              <w:rPr>
                <w:color w:val="auto"/>
              </w:rPr>
            </w:pPr>
            <w:r>
              <w:rPr>
                <w:color w:val="auto"/>
                <w:sz w:val="18"/>
                <w:szCs w:val="18"/>
              </w:rPr>
              <w:t>40</w:t>
            </w:r>
            <w:r w:rsidRPr="000D2CFD">
              <w:rPr>
                <w:color w:val="auto"/>
                <w:sz w:val="18"/>
                <w:szCs w:val="18"/>
              </w:rPr>
              <w:t>%</w:t>
            </w:r>
          </w:p>
        </w:tc>
        <w:tc>
          <w:tcPr>
            <w:tcW w:w="791" w:type="dxa"/>
            <w:tcBorders>
              <w:left w:val="single" w:sz="4" w:space="0" w:color="auto"/>
              <w:right w:val="thinThickThinSmallGap" w:sz="24" w:space="0" w:color="auto"/>
            </w:tcBorders>
            <w:shd w:val="clear" w:color="auto" w:fill="FFFFFF" w:themeFill="background1"/>
            <w:vAlign w:val="center"/>
          </w:tcPr>
          <w:p w:rsidR="006D6529" w:rsidRPr="000D2CFD" w:rsidRDefault="006D6529" w:rsidP="004861BC">
            <w:pPr>
              <w:spacing w:line="240" w:lineRule="exact"/>
              <w:jc w:val="center"/>
              <w:rPr>
                <w:color w:val="auto"/>
              </w:rPr>
            </w:pPr>
            <w:r>
              <w:rPr>
                <w:color w:val="auto"/>
                <w:sz w:val="18"/>
                <w:szCs w:val="18"/>
              </w:rPr>
              <w:t>20</w:t>
            </w:r>
            <w:r w:rsidRPr="000D2CFD">
              <w:rPr>
                <w:color w:val="auto"/>
                <w:sz w:val="18"/>
                <w:szCs w:val="18"/>
              </w:rPr>
              <w:t>%</w:t>
            </w:r>
          </w:p>
        </w:tc>
        <w:tc>
          <w:tcPr>
            <w:tcW w:w="1783" w:type="dxa"/>
            <w:vMerge w:val="restart"/>
            <w:tcBorders>
              <w:left w:val="thinThickThinSmallGap" w:sz="24" w:space="0" w:color="auto"/>
            </w:tcBorders>
            <w:shd w:val="clear" w:color="auto" w:fill="FFFFFF" w:themeFill="background1"/>
          </w:tcPr>
          <w:p w:rsidR="006D6529" w:rsidRPr="001635D6" w:rsidRDefault="001635D6" w:rsidP="004861BC">
            <w:pPr>
              <w:spacing w:line="240" w:lineRule="exact"/>
              <w:contextualSpacing/>
              <w:rPr>
                <w:color w:val="auto"/>
                <w:sz w:val="18"/>
                <w:szCs w:val="18"/>
              </w:rPr>
            </w:pPr>
            <w:r w:rsidRPr="001635D6">
              <w:rPr>
                <w:color w:val="auto"/>
                <w:sz w:val="18"/>
                <w:szCs w:val="18"/>
              </w:rPr>
              <w:t>Diffuse</w:t>
            </w:r>
            <w:r w:rsidR="006F6296">
              <w:rPr>
                <w:color w:val="auto"/>
                <w:sz w:val="18"/>
                <w:szCs w:val="18"/>
              </w:rPr>
              <w:t>,</w:t>
            </w:r>
            <w:r w:rsidRPr="001635D6">
              <w:rPr>
                <w:color w:val="auto"/>
                <w:sz w:val="18"/>
                <w:szCs w:val="18"/>
              </w:rPr>
              <w:t xml:space="preserve"> Progressive</w:t>
            </w:r>
            <w:r w:rsidR="006F6296">
              <w:rPr>
                <w:color w:val="auto"/>
                <w:sz w:val="18"/>
                <w:szCs w:val="18"/>
              </w:rPr>
              <w:t>,</w:t>
            </w:r>
            <w:r w:rsidRPr="001635D6">
              <w:rPr>
                <w:color w:val="auto"/>
                <w:sz w:val="18"/>
                <w:szCs w:val="18"/>
              </w:rPr>
              <w:t xml:space="preserve"> Connective Tissue Disease </w:t>
            </w:r>
          </w:p>
        </w:tc>
        <w:tc>
          <w:tcPr>
            <w:tcW w:w="1080" w:type="dxa"/>
            <w:vMerge w:val="restart"/>
            <w:shd w:val="clear" w:color="auto" w:fill="FFFFFF" w:themeFill="background1"/>
            <w:vAlign w:val="center"/>
          </w:tcPr>
          <w:p w:rsidR="006D6529" w:rsidRPr="001635D6" w:rsidRDefault="001635D6" w:rsidP="004861BC">
            <w:pPr>
              <w:spacing w:line="240" w:lineRule="exact"/>
              <w:contextualSpacing/>
              <w:jc w:val="center"/>
              <w:rPr>
                <w:color w:val="auto"/>
                <w:sz w:val="18"/>
                <w:szCs w:val="18"/>
              </w:rPr>
            </w:pPr>
            <w:r w:rsidRPr="001635D6">
              <w:rPr>
                <w:color w:val="auto"/>
                <w:sz w:val="18"/>
                <w:szCs w:val="18"/>
              </w:rPr>
              <w:t>6399</w:t>
            </w:r>
            <w:r w:rsidR="00931B2C">
              <w:rPr>
                <w:color w:val="auto"/>
                <w:sz w:val="18"/>
                <w:szCs w:val="18"/>
              </w:rPr>
              <w:t>-</w:t>
            </w:r>
            <w:r w:rsidRPr="001635D6">
              <w:rPr>
                <w:color w:val="auto"/>
                <w:sz w:val="18"/>
                <w:szCs w:val="18"/>
              </w:rPr>
              <w:t>6350</w:t>
            </w:r>
          </w:p>
        </w:tc>
        <w:tc>
          <w:tcPr>
            <w:tcW w:w="881" w:type="dxa"/>
            <w:vMerge w:val="restart"/>
            <w:shd w:val="clear" w:color="auto" w:fill="FFFFFF" w:themeFill="background1"/>
            <w:vAlign w:val="center"/>
          </w:tcPr>
          <w:p w:rsidR="006D6529" w:rsidRPr="001635D6" w:rsidRDefault="001635D6" w:rsidP="004861BC">
            <w:pPr>
              <w:spacing w:line="240" w:lineRule="exact"/>
              <w:contextualSpacing/>
              <w:jc w:val="center"/>
              <w:rPr>
                <w:color w:val="auto"/>
                <w:sz w:val="18"/>
                <w:szCs w:val="18"/>
              </w:rPr>
            </w:pPr>
            <w:r w:rsidRPr="001635D6">
              <w:rPr>
                <w:color w:val="auto"/>
                <w:sz w:val="18"/>
                <w:szCs w:val="18"/>
              </w:rPr>
              <w:t>100%</w:t>
            </w:r>
          </w:p>
        </w:tc>
        <w:tc>
          <w:tcPr>
            <w:tcW w:w="974" w:type="dxa"/>
            <w:vMerge w:val="restart"/>
            <w:shd w:val="clear" w:color="auto" w:fill="FFFFFF" w:themeFill="background1"/>
            <w:vAlign w:val="center"/>
          </w:tcPr>
          <w:p w:rsidR="006D6529" w:rsidRPr="001635D6" w:rsidRDefault="001635D6" w:rsidP="004861BC">
            <w:pPr>
              <w:spacing w:line="240" w:lineRule="exact"/>
              <w:contextualSpacing/>
              <w:jc w:val="center"/>
              <w:rPr>
                <w:color w:val="auto"/>
                <w:sz w:val="18"/>
                <w:szCs w:val="18"/>
              </w:rPr>
            </w:pPr>
            <w:r w:rsidRPr="001635D6">
              <w:rPr>
                <w:color w:val="auto"/>
                <w:sz w:val="18"/>
                <w:szCs w:val="18"/>
              </w:rPr>
              <w:t>19981215</w:t>
            </w:r>
          </w:p>
        </w:tc>
      </w:tr>
      <w:tr w:rsidR="003353AE" w:rsidRPr="00FF1022" w:rsidTr="003353AE">
        <w:trPr>
          <w:trHeight w:val="125"/>
          <w:jc w:val="center"/>
        </w:trPr>
        <w:tc>
          <w:tcPr>
            <w:tcW w:w="2250" w:type="dxa"/>
            <w:tcBorders>
              <w:right w:val="single" w:sz="4" w:space="0" w:color="auto"/>
            </w:tcBorders>
            <w:shd w:val="clear" w:color="auto" w:fill="FFFFFF" w:themeFill="background1"/>
          </w:tcPr>
          <w:p w:rsidR="006D6529" w:rsidRPr="007B458B" w:rsidRDefault="006D6529" w:rsidP="004861BC">
            <w:pPr>
              <w:spacing w:line="240" w:lineRule="exact"/>
              <w:contextualSpacing/>
              <w:jc w:val="both"/>
              <w:rPr>
                <w:color w:val="auto"/>
                <w:sz w:val="18"/>
                <w:szCs w:val="18"/>
              </w:rPr>
            </w:pPr>
            <w:proofErr w:type="spellStart"/>
            <w:r>
              <w:rPr>
                <w:color w:val="auto"/>
                <w:sz w:val="18"/>
                <w:szCs w:val="18"/>
              </w:rPr>
              <w:t>Sarcoidosis</w:t>
            </w:r>
            <w:proofErr w:type="spellEnd"/>
            <w:r w:rsidR="006745FD">
              <w:rPr>
                <w:color w:val="auto"/>
                <w:sz w:val="18"/>
                <w:szCs w:val="18"/>
              </w:rPr>
              <w:t>,</w:t>
            </w:r>
            <w:r>
              <w:rPr>
                <w:color w:val="auto"/>
                <w:sz w:val="18"/>
                <w:szCs w:val="18"/>
              </w:rPr>
              <w:t xml:space="preserve"> with </w:t>
            </w:r>
            <w:proofErr w:type="spellStart"/>
            <w:r w:rsidR="00B540E1">
              <w:rPr>
                <w:color w:val="auto"/>
                <w:sz w:val="18"/>
                <w:szCs w:val="18"/>
              </w:rPr>
              <w:t>M</w:t>
            </w:r>
            <w:r>
              <w:rPr>
                <w:color w:val="auto"/>
                <w:sz w:val="18"/>
                <w:szCs w:val="18"/>
              </w:rPr>
              <w:t>yopathy</w:t>
            </w:r>
            <w:proofErr w:type="spellEnd"/>
          </w:p>
        </w:tc>
        <w:tc>
          <w:tcPr>
            <w:tcW w:w="1007" w:type="dxa"/>
            <w:tcBorders>
              <w:left w:val="single" w:sz="4" w:space="0" w:color="auto"/>
            </w:tcBorders>
            <w:shd w:val="clear" w:color="auto" w:fill="FFFFFF" w:themeFill="background1"/>
            <w:vAlign w:val="center"/>
          </w:tcPr>
          <w:p w:rsidR="006D6529" w:rsidRPr="0086102A" w:rsidRDefault="006D6529" w:rsidP="004861BC">
            <w:pPr>
              <w:spacing w:line="240" w:lineRule="exact"/>
              <w:contextualSpacing/>
              <w:jc w:val="center"/>
              <w:rPr>
                <w:color w:val="auto"/>
                <w:sz w:val="18"/>
                <w:szCs w:val="18"/>
              </w:rPr>
            </w:pPr>
            <w:r>
              <w:rPr>
                <w:color w:val="auto"/>
                <w:sz w:val="18"/>
                <w:szCs w:val="18"/>
              </w:rPr>
              <w:t>6846</w:t>
            </w:r>
          </w:p>
        </w:tc>
        <w:tc>
          <w:tcPr>
            <w:tcW w:w="720" w:type="dxa"/>
            <w:tcBorders>
              <w:right w:val="single" w:sz="4" w:space="0" w:color="auto"/>
            </w:tcBorders>
            <w:shd w:val="clear" w:color="auto" w:fill="FFFFFF" w:themeFill="background1"/>
            <w:vAlign w:val="center"/>
          </w:tcPr>
          <w:p w:rsidR="006D6529" w:rsidRPr="000D2CFD" w:rsidRDefault="006D6529" w:rsidP="004861BC">
            <w:pPr>
              <w:spacing w:line="240" w:lineRule="exact"/>
              <w:jc w:val="center"/>
              <w:rPr>
                <w:color w:val="auto"/>
              </w:rPr>
            </w:pPr>
            <w:r>
              <w:rPr>
                <w:color w:val="auto"/>
                <w:sz w:val="18"/>
                <w:szCs w:val="18"/>
              </w:rPr>
              <w:t>30</w:t>
            </w:r>
            <w:r w:rsidRPr="000D2CFD">
              <w:rPr>
                <w:color w:val="auto"/>
                <w:sz w:val="18"/>
                <w:szCs w:val="18"/>
              </w:rPr>
              <w:t>%</w:t>
            </w:r>
          </w:p>
        </w:tc>
        <w:tc>
          <w:tcPr>
            <w:tcW w:w="791" w:type="dxa"/>
            <w:tcBorders>
              <w:left w:val="single" w:sz="4" w:space="0" w:color="auto"/>
              <w:right w:val="thinThickThinSmallGap" w:sz="24" w:space="0" w:color="auto"/>
            </w:tcBorders>
            <w:shd w:val="clear" w:color="auto" w:fill="FFFFFF" w:themeFill="background1"/>
            <w:vAlign w:val="center"/>
          </w:tcPr>
          <w:p w:rsidR="006D6529" w:rsidRPr="000D2CFD" w:rsidRDefault="006D6529" w:rsidP="004861BC">
            <w:pPr>
              <w:spacing w:line="240" w:lineRule="exact"/>
              <w:jc w:val="center"/>
              <w:rPr>
                <w:color w:val="auto"/>
              </w:rPr>
            </w:pPr>
            <w:r>
              <w:rPr>
                <w:color w:val="auto"/>
                <w:sz w:val="18"/>
                <w:szCs w:val="18"/>
              </w:rPr>
              <w:t>0</w:t>
            </w:r>
            <w:r w:rsidRPr="000D2CFD">
              <w:rPr>
                <w:color w:val="auto"/>
                <w:sz w:val="18"/>
                <w:szCs w:val="18"/>
              </w:rPr>
              <w:t>%</w:t>
            </w:r>
          </w:p>
        </w:tc>
        <w:tc>
          <w:tcPr>
            <w:tcW w:w="1783" w:type="dxa"/>
            <w:vMerge/>
            <w:tcBorders>
              <w:left w:val="thinThickThinSmallGap" w:sz="24" w:space="0" w:color="auto"/>
            </w:tcBorders>
            <w:shd w:val="clear" w:color="auto" w:fill="FFFFFF" w:themeFill="background1"/>
          </w:tcPr>
          <w:p w:rsidR="006D6529" w:rsidRPr="0042528C" w:rsidRDefault="006D6529" w:rsidP="004861BC">
            <w:pPr>
              <w:spacing w:line="240" w:lineRule="exact"/>
              <w:contextualSpacing/>
              <w:jc w:val="both"/>
              <w:rPr>
                <w:color w:val="auto"/>
                <w:sz w:val="18"/>
                <w:szCs w:val="18"/>
                <w:highlight w:val="yellow"/>
              </w:rPr>
            </w:pPr>
          </w:p>
        </w:tc>
        <w:tc>
          <w:tcPr>
            <w:tcW w:w="1080" w:type="dxa"/>
            <w:vMerge/>
            <w:shd w:val="clear" w:color="auto" w:fill="FFFFFF" w:themeFill="background1"/>
            <w:vAlign w:val="center"/>
          </w:tcPr>
          <w:p w:rsidR="006D6529" w:rsidRPr="0042528C" w:rsidRDefault="006D6529" w:rsidP="004861BC">
            <w:pPr>
              <w:spacing w:line="240" w:lineRule="exact"/>
              <w:contextualSpacing/>
              <w:jc w:val="center"/>
              <w:rPr>
                <w:color w:val="auto"/>
                <w:sz w:val="18"/>
                <w:szCs w:val="18"/>
                <w:highlight w:val="yellow"/>
              </w:rPr>
            </w:pPr>
          </w:p>
        </w:tc>
        <w:tc>
          <w:tcPr>
            <w:tcW w:w="881" w:type="dxa"/>
            <w:vMerge/>
            <w:shd w:val="clear" w:color="auto" w:fill="FFFFFF" w:themeFill="background1"/>
            <w:vAlign w:val="center"/>
          </w:tcPr>
          <w:p w:rsidR="006D6529" w:rsidRPr="0042528C" w:rsidRDefault="006D6529" w:rsidP="004861BC">
            <w:pPr>
              <w:spacing w:line="240" w:lineRule="exact"/>
              <w:contextualSpacing/>
              <w:jc w:val="center"/>
              <w:rPr>
                <w:color w:val="auto"/>
                <w:sz w:val="18"/>
                <w:szCs w:val="18"/>
                <w:highlight w:val="yellow"/>
              </w:rPr>
            </w:pPr>
          </w:p>
        </w:tc>
        <w:tc>
          <w:tcPr>
            <w:tcW w:w="974" w:type="dxa"/>
            <w:vMerge/>
            <w:shd w:val="clear" w:color="auto" w:fill="FFFFFF" w:themeFill="background1"/>
            <w:vAlign w:val="center"/>
          </w:tcPr>
          <w:p w:rsidR="006D6529" w:rsidRPr="0042528C" w:rsidRDefault="006D6529" w:rsidP="004861BC">
            <w:pPr>
              <w:spacing w:line="240" w:lineRule="exact"/>
              <w:contextualSpacing/>
              <w:jc w:val="center"/>
              <w:rPr>
                <w:color w:val="auto"/>
                <w:sz w:val="18"/>
                <w:szCs w:val="18"/>
                <w:highlight w:val="yellow"/>
              </w:rPr>
            </w:pPr>
          </w:p>
        </w:tc>
      </w:tr>
      <w:tr w:rsidR="003353AE" w:rsidRPr="00FF1022" w:rsidTr="003353AE">
        <w:trPr>
          <w:trHeight w:val="188"/>
          <w:jc w:val="center"/>
        </w:trPr>
        <w:tc>
          <w:tcPr>
            <w:tcW w:w="3257" w:type="dxa"/>
            <w:gridSpan w:val="2"/>
            <w:tcBorders>
              <w:right w:val="single" w:sz="4" w:space="0" w:color="auto"/>
            </w:tcBorders>
            <w:shd w:val="clear" w:color="auto" w:fill="FFFFFF" w:themeFill="background1"/>
          </w:tcPr>
          <w:p w:rsidR="006D6529" w:rsidRPr="007B458B" w:rsidRDefault="006D6529" w:rsidP="004861BC">
            <w:pPr>
              <w:spacing w:line="240" w:lineRule="exact"/>
              <w:contextualSpacing/>
              <w:jc w:val="both"/>
              <w:rPr>
                <w:color w:val="auto"/>
                <w:sz w:val="18"/>
                <w:szCs w:val="18"/>
              </w:rPr>
            </w:pPr>
            <w:r>
              <w:rPr>
                <w:color w:val="auto"/>
                <w:sz w:val="18"/>
                <w:szCs w:val="18"/>
              </w:rPr>
              <w:t>Degenerative Joint Disease</w:t>
            </w:r>
            <w:r w:rsidR="006745FD">
              <w:rPr>
                <w:color w:val="auto"/>
                <w:sz w:val="18"/>
                <w:szCs w:val="18"/>
              </w:rPr>
              <w:t xml:space="preserve"> (DJD)</w:t>
            </w:r>
          </w:p>
        </w:tc>
        <w:tc>
          <w:tcPr>
            <w:tcW w:w="1511" w:type="dxa"/>
            <w:gridSpan w:val="2"/>
            <w:tcBorders>
              <w:right w:val="thinThickThinSmallGap" w:sz="24" w:space="0" w:color="auto"/>
            </w:tcBorders>
            <w:shd w:val="clear" w:color="auto" w:fill="FFFFFF" w:themeFill="background1"/>
          </w:tcPr>
          <w:p w:rsidR="006D6529" w:rsidRPr="0042528C" w:rsidRDefault="006D6529" w:rsidP="004861BC">
            <w:pPr>
              <w:spacing w:line="240" w:lineRule="exact"/>
              <w:contextualSpacing/>
              <w:jc w:val="center"/>
              <w:rPr>
                <w:color w:val="auto"/>
                <w:sz w:val="18"/>
                <w:szCs w:val="18"/>
                <w:highlight w:val="yellow"/>
              </w:rPr>
            </w:pPr>
            <w:r w:rsidRPr="006D6529">
              <w:rPr>
                <w:color w:val="auto"/>
                <w:sz w:val="18"/>
                <w:szCs w:val="18"/>
              </w:rPr>
              <w:t>Not Unfitting</w:t>
            </w:r>
          </w:p>
        </w:tc>
        <w:tc>
          <w:tcPr>
            <w:tcW w:w="1783" w:type="dxa"/>
            <w:vMerge/>
            <w:tcBorders>
              <w:left w:val="thinThickThinSmallGap" w:sz="24" w:space="0" w:color="auto"/>
            </w:tcBorders>
            <w:shd w:val="clear" w:color="auto" w:fill="FFFFFF" w:themeFill="background1"/>
          </w:tcPr>
          <w:p w:rsidR="006D6529" w:rsidRPr="0042528C" w:rsidRDefault="006D6529" w:rsidP="004861BC">
            <w:pPr>
              <w:spacing w:line="240" w:lineRule="exact"/>
              <w:contextualSpacing/>
              <w:rPr>
                <w:color w:val="auto"/>
                <w:sz w:val="18"/>
                <w:szCs w:val="18"/>
                <w:highlight w:val="yellow"/>
              </w:rPr>
            </w:pPr>
          </w:p>
        </w:tc>
        <w:tc>
          <w:tcPr>
            <w:tcW w:w="1080" w:type="dxa"/>
            <w:vMerge/>
            <w:shd w:val="clear" w:color="auto" w:fill="FFFFFF" w:themeFill="background1"/>
          </w:tcPr>
          <w:p w:rsidR="006D6529" w:rsidRPr="0042528C" w:rsidRDefault="006D6529" w:rsidP="004861BC">
            <w:pPr>
              <w:spacing w:line="240" w:lineRule="exact"/>
              <w:contextualSpacing/>
              <w:jc w:val="center"/>
              <w:rPr>
                <w:color w:val="auto"/>
                <w:sz w:val="18"/>
                <w:szCs w:val="18"/>
              </w:rPr>
            </w:pPr>
          </w:p>
        </w:tc>
        <w:tc>
          <w:tcPr>
            <w:tcW w:w="881" w:type="dxa"/>
            <w:vMerge/>
            <w:shd w:val="clear" w:color="auto" w:fill="FFFFFF" w:themeFill="background1"/>
          </w:tcPr>
          <w:p w:rsidR="006D6529" w:rsidRPr="0042528C" w:rsidRDefault="006D6529" w:rsidP="004861BC">
            <w:pPr>
              <w:spacing w:line="240" w:lineRule="exact"/>
              <w:contextualSpacing/>
              <w:jc w:val="center"/>
              <w:rPr>
                <w:color w:val="auto"/>
                <w:sz w:val="18"/>
                <w:szCs w:val="18"/>
                <w:highlight w:val="yellow"/>
              </w:rPr>
            </w:pPr>
          </w:p>
        </w:tc>
        <w:tc>
          <w:tcPr>
            <w:tcW w:w="974" w:type="dxa"/>
            <w:vMerge/>
            <w:shd w:val="clear" w:color="auto" w:fill="FFFFFF" w:themeFill="background1"/>
            <w:vAlign w:val="center"/>
          </w:tcPr>
          <w:p w:rsidR="006D6529" w:rsidRPr="0042528C" w:rsidRDefault="006D6529" w:rsidP="004861BC">
            <w:pPr>
              <w:spacing w:line="240" w:lineRule="exact"/>
              <w:contextualSpacing/>
              <w:jc w:val="center"/>
              <w:rPr>
                <w:color w:val="auto"/>
                <w:sz w:val="18"/>
                <w:szCs w:val="18"/>
                <w:highlight w:val="yellow"/>
              </w:rPr>
            </w:pPr>
          </w:p>
        </w:tc>
      </w:tr>
      <w:tr w:rsidR="001635D6" w:rsidRPr="00FF1022" w:rsidTr="003353AE">
        <w:trPr>
          <w:trHeight w:val="188"/>
          <w:jc w:val="center"/>
        </w:trPr>
        <w:tc>
          <w:tcPr>
            <w:tcW w:w="4768" w:type="dxa"/>
            <w:gridSpan w:val="4"/>
            <w:tcBorders>
              <w:right w:val="thinThickThinSmallGap" w:sz="24" w:space="0" w:color="auto"/>
            </w:tcBorders>
            <w:shd w:val="clear" w:color="auto" w:fill="FFFFFF" w:themeFill="background1"/>
            <w:vAlign w:val="center"/>
          </w:tcPr>
          <w:p w:rsidR="001635D6" w:rsidRPr="0042528C" w:rsidRDefault="001635D6" w:rsidP="004861BC">
            <w:pPr>
              <w:spacing w:line="240" w:lineRule="exact"/>
              <w:contextualSpacing/>
              <w:jc w:val="center"/>
              <w:rPr>
                <w:color w:val="auto"/>
                <w:sz w:val="18"/>
                <w:szCs w:val="18"/>
                <w:highlight w:val="yellow"/>
              </w:rPr>
            </w:pPr>
            <w:r w:rsidRPr="00954A7E">
              <w:rPr>
                <w:color w:val="auto"/>
                <w:sz w:val="18"/>
                <w:szCs w:val="18"/>
              </w:rPr>
              <w:t>↓No Additional MEB/PEB Entries↓</w:t>
            </w:r>
          </w:p>
        </w:tc>
        <w:tc>
          <w:tcPr>
            <w:tcW w:w="3744" w:type="dxa"/>
            <w:gridSpan w:val="3"/>
            <w:tcBorders>
              <w:left w:val="thinThickThinSmallGap" w:sz="24" w:space="0" w:color="auto"/>
            </w:tcBorders>
            <w:shd w:val="clear" w:color="auto" w:fill="FFFFFF" w:themeFill="background1"/>
            <w:vAlign w:val="center"/>
          </w:tcPr>
          <w:p w:rsidR="001635D6" w:rsidRPr="0042528C" w:rsidRDefault="001635D6" w:rsidP="004861BC">
            <w:pPr>
              <w:spacing w:line="240" w:lineRule="exact"/>
              <w:contextualSpacing/>
              <w:jc w:val="center"/>
              <w:rPr>
                <w:color w:val="auto"/>
                <w:sz w:val="18"/>
                <w:szCs w:val="18"/>
                <w:highlight w:val="yellow"/>
              </w:rPr>
            </w:pPr>
          </w:p>
        </w:tc>
        <w:tc>
          <w:tcPr>
            <w:tcW w:w="974" w:type="dxa"/>
            <w:shd w:val="clear" w:color="auto" w:fill="FFFFFF" w:themeFill="background1"/>
            <w:vAlign w:val="center"/>
          </w:tcPr>
          <w:p w:rsidR="001635D6" w:rsidRPr="0042528C" w:rsidRDefault="001635D6" w:rsidP="004861BC">
            <w:pPr>
              <w:spacing w:line="240" w:lineRule="exact"/>
              <w:contextualSpacing/>
              <w:jc w:val="center"/>
              <w:rPr>
                <w:color w:val="auto"/>
                <w:sz w:val="18"/>
                <w:szCs w:val="18"/>
                <w:highlight w:val="yellow"/>
              </w:rPr>
            </w:pPr>
          </w:p>
        </w:tc>
      </w:tr>
      <w:tr w:rsidR="007B458B" w:rsidRPr="00FF1022" w:rsidTr="003353AE">
        <w:trPr>
          <w:trHeight w:val="242"/>
          <w:jc w:val="center"/>
        </w:trPr>
        <w:tc>
          <w:tcPr>
            <w:tcW w:w="4768" w:type="dxa"/>
            <w:gridSpan w:val="4"/>
            <w:tcBorders>
              <w:right w:val="thinThickThinSmallGap" w:sz="24" w:space="0" w:color="auto"/>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 xml:space="preserve">Combined:  </w:t>
            </w:r>
            <w:r w:rsidR="001635D6">
              <w:rPr>
                <w:b/>
                <w:color w:val="auto"/>
                <w:sz w:val="20"/>
                <w:szCs w:val="20"/>
              </w:rPr>
              <w:t>20</w:t>
            </w:r>
            <w:r w:rsidRPr="00B06930">
              <w:rPr>
                <w:b/>
                <w:color w:val="auto"/>
                <w:sz w:val="20"/>
                <w:szCs w:val="20"/>
              </w:rPr>
              <w:t>%</w:t>
            </w:r>
          </w:p>
        </w:tc>
        <w:tc>
          <w:tcPr>
            <w:tcW w:w="4718" w:type="dxa"/>
            <w:gridSpan w:val="4"/>
            <w:tcBorders>
              <w:left w:val="thinThickThinSmallGap" w:sz="24" w:space="0" w:color="auto"/>
            </w:tcBorders>
            <w:shd w:val="clear" w:color="auto" w:fill="D9D9D9" w:themeFill="background1" w:themeFillShade="D9"/>
            <w:vAlign w:val="center"/>
          </w:tcPr>
          <w:p w:rsidR="007B458B" w:rsidRPr="00B06930" w:rsidRDefault="007B458B" w:rsidP="004861BC">
            <w:pPr>
              <w:spacing w:line="240" w:lineRule="exact"/>
              <w:contextualSpacing/>
              <w:jc w:val="center"/>
              <w:rPr>
                <w:b/>
                <w:color w:val="auto"/>
                <w:sz w:val="20"/>
                <w:szCs w:val="20"/>
              </w:rPr>
            </w:pPr>
            <w:r w:rsidRPr="00B06930">
              <w:rPr>
                <w:b/>
                <w:color w:val="auto"/>
                <w:sz w:val="20"/>
                <w:szCs w:val="20"/>
              </w:rPr>
              <w:t xml:space="preserve">Combined:  </w:t>
            </w:r>
            <w:r w:rsidR="001635D6">
              <w:rPr>
                <w:b/>
                <w:color w:val="auto"/>
                <w:sz w:val="20"/>
                <w:szCs w:val="20"/>
              </w:rPr>
              <w:t>10</w:t>
            </w:r>
            <w:r>
              <w:rPr>
                <w:b/>
                <w:color w:val="auto"/>
                <w:sz w:val="20"/>
                <w:szCs w:val="20"/>
              </w:rPr>
              <w:t>0</w:t>
            </w:r>
            <w:r w:rsidRPr="00B06930">
              <w:rPr>
                <w:b/>
                <w:color w:val="auto"/>
                <w:sz w:val="20"/>
                <w:szCs w:val="20"/>
              </w:rPr>
              <w:t>%</w:t>
            </w:r>
          </w:p>
        </w:tc>
      </w:tr>
    </w:tbl>
    <w:p w:rsidR="00F91393" w:rsidRDefault="006745FD" w:rsidP="00F91393">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745FD">
        <w:rPr>
          <w:rFonts w:asciiTheme="minorHAnsi" w:hAnsiTheme="minorHAnsi"/>
          <w:color w:val="auto"/>
          <w:sz w:val="18"/>
          <w:szCs w:val="18"/>
        </w:rPr>
        <w:t>*VA Rating Decision (dated 19990512)</w:t>
      </w:r>
      <w:r w:rsidR="003353AE">
        <w:rPr>
          <w:rFonts w:asciiTheme="minorHAnsi" w:hAnsiTheme="minorHAnsi"/>
          <w:color w:val="auto"/>
          <w:sz w:val="18"/>
          <w:szCs w:val="18"/>
        </w:rPr>
        <w:t xml:space="preserve"> most proximal to CI’s separation from active duty status</w:t>
      </w:r>
    </w:p>
    <w:p w:rsidR="00FB26B2" w:rsidRDefault="002C6E5B" w:rsidP="00F91393">
      <w:pPr>
        <w:pBdr>
          <w:bottom w:val="single" w:sz="12" w:space="1" w:color="auto"/>
        </w:pBdr>
        <w:tabs>
          <w:tab w:val="left" w:pos="288"/>
          <w:tab w:val="left" w:pos="4752"/>
        </w:tabs>
        <w:spacing w:line="240" w:lineRule="exact"/>
        <w:jc w:val="both"/>
        <w:rPr>
          <w:rFonts w:cs="Calibri"/>
          <w:color w:val="000000"/>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954A7E" w:rsidRPr="00954A7E">
        <w:rPr>
          <w:rFonts w:asciiTheme="minorHAnsi" w:hAnsiTheme="minorHAnsi"/>
          <w:color w:val="auto"/>
          <w:szCs w:val="24"/>
        </w:rPr>
        <w:t xml:space="preserve">The </w:t>
      </w:r>
      <w:r w:rsidR="003353AE">
        <w:rPr>
          <w:rFonts w:asciiTheme="minorHAnsi" w:hAnsiTheme="minorHAnsi"/>
          <w:color w:val="auto"/>
          <w:szCs w:val="24"/>
        </w:rPr>
        <w:t xml:space="preserve">Board acknowledges the CI’s contention that </w:t>
      </w:r>
      <w:r w:rsidR="00F91393">
        <w:rPr>
          <w:rFonts w:asciiTheme="minorHAnsi" w:hAnsiTheme="minorHAnsi"/>
          <w:color w:val="auto"/>
          <w:szCs w:val="24"/>
        </w:rPr>
        <w:t>s</w:t>
      </w:r>
      <w:r w:rsidR="000D31B7">
        <w:rPr>
          <w:rFonts w:asciiTheme="minorHAnsi" w:hAnsiTheme="minorHAnsi"/>
          <w:color w:val="auto"/>
          <w:szCs w:val="24"/>
        </w:rPr>
        <w:t xml:space="preserve">ervice disability ratings should be considered for other conditions.  The </w:t>
      </w:r>
      <w:r w:rsidR="00954A7E" w:rsidRPr="00954A7E">
        <w:rPr>
          <w:rFonts w:asciiTheme="minorHAnsi" w:hAnsiTheme="minorHAnsi"/>
          <w:color w:val="auto"/>
          <w:szCs w:val="24"/>
        </w:rPr>
        <w:t>Disability Evaluation System (DES) is responsible for maintaining a fit and v</w:t>
      </w:r>
      <w:r w:rsidR="003C695E">
        <w:rPr>
          <w:rFonts w:asciiTheme="minorHAnsi" w:hAnsiTheme="minorHAnsi"/>
          <w:color w:val="auto"/>
          <w:szCs w:val="24"/>
        </w:rPr>
        <w:t xml:space="preserve">ital fighting force. While the </w:t>
      </w:r>
      <w:r w:rsidR="00954A7E" w:rsidRPr="00954A7E">
        <w:rPr>
          <w:rFonts w:asciiTheme="minorHAnsi" w:hAnsiTheme="minorHAnsi"/>
          <w:color w:val="auto"/>
          <w:szCs w:val="24"/>
        </w:rPr>
        <w:t xml:space="preserve">DES considers all of the </w:t>
      </w:r>
      <w:r w:rsidR="003353AE">
        <w:rPr>
          <w:rFonts w:asciiTheme="minorHAnsi" w:hAnsiTheme="minorHAnsi"/>
          <w:color w:val="auto"/>
          <w:szCs w:val="24"/>
        </w:rPr>
        <w:t>CI</w:t>
      </w:r>
      <w:r w:rsidR="00954A7E" w:rsidRPr="00954A7E">
        <w:rPr>
          <w:rFonts w:asciiTheme="minorHAnsi" w:hAnsiTheme="minorHAnsi"/>
          <w:color w:val="auto"/>
          <w:szCs w:val="24"/>
        </w:rPr>
        <w:t xml:space="preserve">'s medical conditions, compensation can only be offered for those conditions that cut short a service member’s career, and then only to the degree of severity present at the time of </w:t>
      </w:r>
      <w:r w:rsidR="000D31B7">
        <w:rPr>
          <w:rFonts w:asciiTheme="minorHAnsi" w:hAnsiTheme="minorHAnsi"/>
          <w:color w:val="auto"/>
          <w:szCs w:val="24"/>
        </w:rPr>
        <w:t xml:space="preserve">final </w:t>
      </w:r>
      <w:r w:rsidR="003353AE">
        <w:rPr>
          <w:rFonts w:asciiTheme="minorHAnsi" w:hAnsiTheme="minorHAnsi"/>
          <w:color w:val="auto"/>
          <w:szCs w:val="24"/>
        </w:rPr>
        <w:t xml:space="preserve">separation.  </w:t>
      </w:r>
      <w:r w:rsidR="00954A7E" w:rsidRPr="00954A7E">
        <w:rPr>
          <w:rFonts w:asciiTheme="minorHAnsi" w:hAnsiTheme="minorHAnsi"/>
          <w:color w:val="auto"/>
          <w:szCs w:val="24"/>
        </w:rPr>
        <w:t xml:space="preserve">However the </w:t>
      </w:r>
      <w:r w:rsidR="00F91393">
        <w:rPr>
          <w:rFonts w:asciiTheme="minorHAnsi" w:hAnsiTheme="minorHAnsi"/>
          <w:color w:val="auto"/>
          <w:szCs w:val="24"/>
        </w:rPr>
        <w:t xml:space="preserve">Department of </w:t>
      </w:r>
      <w:r w:rsidR="00954A7E" w:rsidRPr="00954A7E">
        <w:rPr>
          <w:rFonts w:asciiTheme="minorHAnsi" w:hAnsiTheme="minorHAnsi"/>
          <w:color w:val="auto"/>
          <w:szCs w:val="24"/>
        </w:rPr>
        <w:t>Veteran</w:t>
      </w:r>
      <w:r w:rsidR="003C695E">
        <w:rPr>
          <w:rFonts w:asciiTheme="minorHAnsi" w:hAnsiTheme="minorHAnsi"/>
          <w:color w:val="auto"/>
          <w:szCs w:val="24"/>
        </w:rPr>
        <w:t>s’ A</w:t>
      </w:r>
      <w:r w:rsidR="00F91393">
        <w:rPr>
          <w:rFonts w:asciiTheme="minorHAnsi" w:hAnsiTheme="minorHAnsi"/>
          <w:color w:val="auto"/>
          <w:szCs w:val="24"/>
        </w:rPr>
        <w:t>ffairs</w:t>
      </w:r>
      <w:r w:rsidR="00954A7E" w:rsidRPr="00954A7E">
        <w:rPr>
          <w:rFonts w:asciiTheme="minorHAnsi" w:hAnsiTheme="minorHAnsi"/>
          <w:color w:val="auto"/>
          <w:szCs w:val="24"/>
        </w:rPr>
        <w:t xml:space="preserve"> (</w:t>
      </w:r>
      <w:r w:rsidR="00F91393">
        <w:rPr>
          <w:rFonts w:asciiTheme="minorHAnsi" w:hAnsiTheme="minorHAnsi"/>
          <w:color w:val="auto"/>
          <w:szCs w:val="24"/>
        </w:rPr>
        <w:t>D</w:t>
      </w:r>
      <w:r w:rsidR="00954A7E" w:rsidRPr="00954A7E">
        <w:rPr>
          <w:rFonts w:asciiTheme="minorHAnsi" w:hAnsiTheme="minorHAnsi"/>
          <w:color w:val="auto"/>
          <w:szCs w:val="24"/>
        </w:rPr>
        <w:t>VA)</w:t>
      </w:r>
      <w:r w:rsidR="003353AE">
        <w:rPr>
          <w:rFonts w:asciiTheme="minorHAnsi" w:hAnsiTheme="minorHAnsi"/>
          <w:color w:val="auto"/>
          <w:szCs w:val="24"/>
        </w:rPr>
        <w:t xml:space="preserve"> is </w:t>
      </w:r>
      <w:r w:rsidR="00F91393">
        <w:rPr>
          <w:rFonts w:asciiTheme="minorHAnsi" w:hAnsiTheme="minorHAnsi"/>
          <w:color w:val="auto"/>
          <w:szCs w:val="24"/>
        </w:rPr>
        <w:t>empowered to compensate service-</w:t>
      </w:r>
      <w:r w:rsidR="00954A7E" w:rsidRPr="00954A7E">
        <w:rPr>
          <w:rFonts w:asciiTheme="minorHAnsi" w:hAnsiTheme="minorHAnsi"/>
          <w:color w:val="auto"/>
          <w:szCs w:val="24"/>
        </w:rPr>
        <w:t xml:space="preserve">connected conditions and to periodically re-evaluate said conditions for the purpose of adjusting the </w:t>
      </w:r>
      <w:r w:rsidR="00F91393">
        <w:rPr>
          <w:rFonts w:asciiTheme="minorHAnsi" w:hAnsiTheme="minorHAnsi"/>
          <w:color w:val="auto"/>
          <w:szCs w:val="24"/>
        </w:rPr>
        <w:t>V</w:t>
      </w:r>
      <w:r w:rsidR="00954A7E" w:rsidRPr="00954A7E">
        <w:rPr>
          <w:rFonts w:asciiTheme="minorHAnsi" w:hAnsiTheme="minorHAnsi"/>
          <w:color w:val="auto"/>
          <w:szCs w:val="24"/>
        </w:rPr>
        <w:t xml:space="preserve">eteran’s disability rating should </w:t>
      </w:r>
      <w:r w:rsidR="00F91393">
        <w:rPr>
          <w:rFonts w:asciiTheme="minorHAnsi" w:hAnsiTheme="minorHAnsi"/>
          <w:color w:val="auto"/>
          <w:szCs w:val="24"/>
        </w:rPr>
        <w:t>the</w:t>
      </w:r>
      <w:r w:rsidR="00954A7E" w:rsidRPr="00954A7E">
        <w:rPr>
          <w:rFonts w:asciiTheme="minorHAnsi" w:hAnsiTheme="minorHAnsi"/>
          <w:color w:val="auto"/>
          <w:szCs w:val="24"/>
        </w:rPr>
        <w:t xml:space="preserve"> degree of impairment vary over time.</w:t>
      </w:r>
      <w:r w:rsidR="00A22506">
        <w:rPr>
          <w:rFonts w:asciiTheme="minorHAnsi" w:hAnsiTheme="minorHAnsi"/>
          <w:color w:val="auto"/>
          <w:szCs w:val="24"/>
        </w:rPr>
        <w:t xml:space="preserve"> </w:t>
      </w:r>
      <w:r w:rsidR="000D31B7">
        <w:rPr>
          <w:color w:val="auto"/>
          <w:szCs w:val="24"/>
        </w:rPr>
        <w:t>Furthermore, t</w:t>
      </w:r>
      <w:r w:rsidR="00AA58D9" w:rsidRPr="00AA58D9">
        <w:rPr>
          <w:color w:val="auto"/>
          <w:szCs w:val="24"/>
        </w:rPr>
        <w:t xml:space="preserve">he Board’s recommendations are </w:t>
      </w:r>
      <w:r w:rsidR="00963190">
        <w:rPr>
          <w:color w:val="auto"/>
          <w:szCs w:val="24"/>
        </w:rPr>
        <w:t xml:space="preserve">made after </w:t>
      </w:r>
      <w:r w:rsidR="00AA58D9" w:rsidRPr="00AA58D9">
        <w:rPr>
          <w:color w:val="auto"/>
          <w:szCs w:val="24"/>
        </w:rPr>
        <w:t xml:space="preserve">assessment of the </w:t>
      </w:r>
      <w:r w:rsidR="00F91393">
        <w:rPr>
          <w:color w:val="auto"/>
          <w:szCs w:val="24"/>
        </w:rPr>
        <w:t>s</w:t>
      </w:r>
      <w:r w:rsidR="00AA58D9" w:rsidRPr="00AA58D9">
        <w:rPr>
          <w:color w:val="auto"/>
          <w:szCs w:val="24"/>
        </w:rPr>
        <w:t>er</w:t>
      </w:r>
      <w:r w:rsidR="005D15E4">
        <w:rPr>
          <w:color w:val="auto"/>
          <w:szCs w:val="24"/>
        </w:rPr>
        <w:t xml:space="preserve">vice’s </w:t>
      </w:r>
      <w:r w:rsidR="00AA58D9" w:rsidRPr="00AA58D9">
        <w:rPr>
          <w:color w:val="auto"/>
          <w:szCs w:val="24"/>
        </w:rPr>
        <w:t>rating determination</w:t>
      </w:r>
      <w:r w:rsidR="00963190">
        <w:rPr>
          <w:color w:val="auto"/>
          <w:szCs w:val="24"/>
        </w:rPr>
        <w:t xml:space="preserve">.  </w:t>
      </w:r>
      <w:r w:rsidR="00AA58D9" w:rsidRPr="00AA58D9">
        <w:rPr>
          <w:color w:val="auto"/>
          <w:szCs w:val="24"/>
        </w:rPr>
        <w:t>The sole basis for the Board’s permanent disability reco</w:t>
      </w:r>
      <w:r w:rsidR="00963190">
        <w:rPr>
          <w:color w:val="auto"/>
          <w:szCs w:val="24"/>
        </w:rPr>
        <w:t xml:space="preserve">mmendation is the optimal </w:t>
      </w:r>
      <w:r w:rsidR="00AA58D9" w:rsidRPr="00AA58D9">
        <w:rPr>
          <w:color w:val="auto"/>
          <w:szCs w:val="24"/>
        </w:rPr>
        <w:t xml:space="preserve">rating for disability at the time the CI is permanently separated </w:t>
      </w:r>
      <w:r w:rsidR="00963190">
        <w:rPr>
          <w:color w:val="auto"/>
          <w:szCs w:val="24"/>
        </w:rPr>
        <w:t>from service</w:t>
      </w:r>
      <w:r w:rsidR="00AA58D9" w:rsidRPr="00FB26B2">
        <w:rPr>
          <w:color w:val="auto"/>
          <w:szCs w:val="24"/>
        </w:rPr>
        <w:t>.</w:t>
      </w:r>
      <w:r w:rsidR="00FB26B2" w:rsidRPr="00FB26B2">
        <w:rPr>
          <w:color w:val="auto"/>
          <w:szCs w:val="24"/>
        </w:rPr>
        <w:t xml:space="preserve">  </w:t>
      </w:r>
      <w:r w:rsidR="00FB26B2" w:rsidRPr="00FB26B2">
        <w:rPr>
          <w:rFonts w:cs="Calibri"/>
          <w:color w:val="000000"/>
          <w:szCs w:val="24"/>
        </w:rPr>
        <w:t xml:space="preserve">In TDRL cases, the Board must also adhere to the DES standard that only those conditions which were present and unfitting at the time of temporary retirement may be considered for compensation and rating at the time of permanent </w:t>
      </w:r>
      <w:r w:rsidR="00963190">
        <w:rPr>
          <w:rFonts w:cs="Calibri"/>
          <w:color w:val="000000"/>
          <w:szCs w:val="24"/>
        </w:rPr>
        <w:t>discharge</w:t>
      </w:r>
      <w:r w:rsidR="00FB26B2" w:rsidRPr="00FB26B2">
        <w:rPr>
          <w:rFonts w:cs="Calibri"/>
          <w:color w:val="000000"/>
          <w:szCs w:val="24"/>
        </w:rPr>
        <w:t>.</w:t>
      </w:r>
    </w:p>
    <w:p w:rsidR="00F91393" w:rsidRPr="00F91393" w:rsidRDefault="00F91393" w:rsidP="00F91393">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46598F" w:rsidRDefault="0046598F" w:rsidP="004861BC">
      <w:pPr>
        <w:spacing w:line="240" w:lineRule="exact"/>
        <w:jc w:val="both"/>
        <w:rPr>
          <w:rFonts w:asciiTheme="minorHAnsi" w:hAnsiTheme="minorHAnsi"/>
          <w:color w:val="auto"/>
          <w:szCs w:val="24"/>
        </w:rPr>
      </w:pPr>
    </w:p>
    <w:p w:rsidR="00A63C6D" w:rsidRDefault="00A63C6D" w:rsidP="004861BC">
      <w:pPr>
        <w:spacing w:line="240" w:lineRule="exact"/>
        <w:jc w:val="both"/>
        <w:rPr>
          <w:rFonts w:asciiTheme="minorHAnsi" w:hAnsiTheme="minorHAnsi"/>
          <w:color w:val="auto"/>
          <w:szCs w:val="24"/>
        </w:rPr>
      </w:pPr>
      <w:proofErr w:type="spellStart"/>
      <w:proofErr w:type="gramStart"/>
      <w:r w:rsidRPr="00A63C6D">
        <w:rPr>
          <w:rFonts w:asciiTheme="minorHAnsi" w:hAnsiTheme="minorHAnsi"/>
          <w:color w:val="auto"/>
          <w:szCs w:val="24"/>
          <w:u w:val="single"/>
        </w:rPr>
        <w:t>Sarcoidosis</w:t>
      </w:r>
      <w:proofErr w:type="spellEnd"/>
      <w:r>
        <w:rPr>
          <w:rFonts w:asciiTheme="minorHAnsi" w:hAnsiTheme="minorHAnsi"/>
          <w:color w:val="auto"/>
          <w:szCs w:val="24"/>
          <w:u w:val="single"/>
        </w:rPr>
        <w:t xml:space="preserve"> with </w:t>
      </w:r>
      <w:proofErr w:type="spellStart"/>
      <w:r>
        <w:rPr>
          <w:rFonts w:asciiTheme="minorHAnsi" w:hAnsiTheme="minorHAnsi"/>
          <w:color w:val="auto"/>
          <w:szCs w:val="24"/>
          <w:u w:val="single"/>
        </w:rPr>
        <w:t>Myopathy</w:t>
      </w:r>
      <w:proofErr w:type="spellEnd"/>
      <w:r>
        <w:rPr>
          <w:rFonts w:asciiTheme="minorHAnsi" w:hAnsiTheme="minorHAnsi"/>
          <w:color w:val="auto"/>
          <w:szCs w:val="24"/>
        </w:rPr>
        <w:t>.</w:t>
      </w:r>
      <w:proofErr w:type="gramEnd"/>
      <w:r>
        <w:rPr>
          <w:rFonts w:asciiTheme="minorHAnsi" w:hAnsiTheme="minorHAnsi"/>
          <w:color w:val="auto"/>
          <w:szCs w:val="24"/>
        </w:rPr>
        <w:t xml:space="preserve">  </w:t>
      </w:r>
      <w:r w:rsidR="006046D4">
        <w:rPr>
          <w:rFonts w:asciiTheme="minorHAnsi" w:hAnsiTheme="minorHAnsi"/>
          <w:color w:val="auto"/>
          <w:szCs w:val="24"/>
        </w:rPr>
        <w:t>In 1995, t</w:t>
      </w:r>
      <w:r>
        <w:rPr>
          <w:rFonts w:asciiTheme="minorHAnsi" w:hAnsiTheme="minorHAnsi"/>
          <w:color w:val="auto"/>
          <w:szCs w:val="24"/>
        </w:rPr>
        <w:t xml:space="preserve">he CI was diagnosed with </w:t>
      </w:r>
      <w:proofErr w:type="spellStart"/>
      <w:r w:rsidR="006046D4">
        <w:rPr>
          <w:rFonts w:asciiTheme="minorHAnsi" w:hAnsiTheme="minorHAnsi"/>
          <w:color w:val="auto"/>
          <w:szCs w:val="24"/>
        </w:rPr>
        <w:t>myopathy</w:t>
      </w:r>
      <w:proofErr w:type="spellEnd"/>
      <w:r w:rsidR="006046D4">
        <w:rPr>
          <w:rFonts w:asciiTheme="minorHAnsi" w:hAnsiTheme="minorHAnsi"/>
          <w:color w:val="auto"/>
          <w:szCs w:val="24"/>
        </w:rPr>
        <w:t xml:space="preserve"> </w:t>
      </w:r>
      <w:r w:rsidR="00234408">
        <w:rPr>
          <w:rFonts w:asciiTheme="minorHAnsi" w:hAnsiTheme="minorHAnsi"/>
          <w:color w:val="auto"/>
          <w:szCs w:val="24"/>
        </w:rPr>
        <w:t xml:space="preserve">due to </w:t>
      </w:r>
      <w:r w:rsidR="006046D4">
        <w:rPr>
          <w:rFonts w:asciiTheme="minorHAnsi" w:hAnsiTheme="minorHAnsi"/>
          <w:color w:val="auto"/>
          <w:szCs w:val="24"/>
        </w:rPr>
        <w:t xml:space="preserve">muscle </w:t>
      </w:r>
      <w:r w:rsidR="00234408">
        <w:rPr>
          <w:rFonts w:asciiTheme="minorHAnsi" w:hAnsiTheme="minorHAnsi"/>
          <w:color w:val="auto"/>
          <w:szCs w:val="24"/>
        </w:rPr>
        <w:t xml:space="preserve">weakness and elevated serum levels of </w:t>
      </w:r>
      <w:proofErr w:type="spellStart"/>
      <w:r w:rsidR="002A2B15">
        <w:rPr>
          <w:rFonts w:asciiTheme="minorHAnsi" w:hAnsiTheme="minorHAnsi"/>
          <w:color w:val="auto"/>
          <w:szCs w:val="24"/>
        </w:rPr>
        <w:t>creatine</w:t>
      </w:r>
      <w:proofErr w:type="spellEnd"/>
      <w:r w:rsidR="002A2B15">
        <w:rPr>
          <w:rFonts w:asciiTheme="minorHAnsi" w:hAnsiTheme="minorHAnsi"/>
          <w:color w:val="auto"/>
          <w:szCs w:val="24"/>
        </w:rPr>
        <w:t xml:space="preserve"> </w:t>
      </w:r>
      <w:proofErr w:type="spellStart"/>
      <w:r w:rsidR="002A2B15">
        <w:rPr>
          <w:rFonts w:asciiTheme="minorHAnsi" w:hAnsiTheme="minorHAnsi"/>
          <w:color w:val="auto"/>
          <w:szCs w:val="24"/>
        </w:rPr>
        <w:t>phosphokinase</w:t>
      </w:r>
      <w:proofErr w:type="spellEnd"/>
      <w:r w:rsidR="002A2B15">
        <w:rPr>
          <w:rFonts w:asciiTheme="minorHAnsi" w:hAnsiTheme="minorHAnsi"/>
          <w:color w:val="auto"/>
          <w:szCs w:val="24"/>
        </w:rPr>
        <w:t xml:space="preserve"> (CPK)</w:t>
      </w:r>
      <w:r w:rsidR="00234408">
        <w:rPr>
          <w:rFonts w:asciiTheme="minorHAnsi" w:hAnsiTheme="minorHAnsi"/>
          <w:color w:val="auto"/>
          <w:szCs w:val="24"/>
        </w:rPr>
        <w:t>.</w:t>
      </w:r>
      <w:r>
        <w:rPr>
          <w:rFonts w:asciiTheme="minorHAnsi" w:hAnsiTheme="minorHAnsi"/>
          <w:color w:val="auto"/>
          <w:szCs w:val="24"/>
        </w:rPr>
        <w:t xml:space="preserve">  </w:t>
      </w:r>
      <w:r w:rsidR="00105588">
        <w:rPr>
          <w:rFonts w:asciiTheme="minorHAnsi" w:hAnsiTheme="minorHAnsi"/>
          <w:color w:val="auto"/>
          <w:szCs w:val="24"/>
        </w:rPr>
        <w:t>In May 1995 h</w:t>
      </w:r>
      <w:r w:rsidR="00787612">
        <w:rPr>
          <w:rFonts w:asciiTheme="minorHAnsi" w:hAnsiTheme="minorHAnsi"/>
          <w:color w:val="auto"/>
          <w:szCs w:val="24"/>
        </w:rPr>
        <w:t>e had a full evaluation</w:t>
      </w:r>
      <w:r w:rsidR="00AE6748">
        <w:rPr>
          <w:rFonts w:asciiTheme="minorHAnsi" w:hAnsiTheme="minorHAnsi"/>
          <w:color w:val="auto"/>
          <w:szCs w:val="24"/>
        </w:rPr>
        <w:t xml:space="preserve">; </w:t>
      </w:r>
      <w:r w:rsidR="00787612">
        <w:rPr>
          <w:rFonts w:asciiTheme="minorHAnsi" w:hAnsiTheme="minorHAnsi"/>
          <w:color w:val="auto"/>
          <w:szCs w:val="24"/>
        </w:rPr>
        <w:t>includ</w:t>
      </w:r>
      <w:r w:rsidR="00AE6748">
        <w:rPr>
          <w:rFonts w:asciiTheme="minorHAnsi" w:hAnsiTheme="minorHAnsi"/>
          <w:color w:val="auto"/>
          <w:szCs w:val="24"/>
        </w:rPr>
        <w:t>ing</w:t>
      </w:r>
      <w:r w:rsidR="00787612">
        <w:rPr>
          <w:rFonts w:asciiTheme="minorHAnsi" w:hAnsiTheme="minorHAnsi"/>
          <w:color w:val="auto"/>
          <w:szCs w:val="24"/>
        </w:rPr>
        <w:t xml:space="preserve"> muscle biopsy</w:t>
      </w:r>
      <w:r w:rsidR="00105588">
        <w:rPr>
          <w:rFonts w:asciiTheme="minorHAnsi" w:hAnsiTheme="minorHAnsi"/>
          <w:color w:val="auto"/>
          <w:szCs w:val="24"/>
        </w:rPr>
        <w:t xml:space="preserve">, </w:t>
      </w:r>
      <w:proofErr w:type="spellStart"/>
      <w:r w:rsidR="00AE6748">
        <w:rPr>
          <w:rFonts w:asciiTheme="minorHAnsi" w:hAnsiTheme="minorHAnsi"/>
          <w:color w:val="auto"/>
          <w:szCs w:val="24"/>
        </w:rPr>
        <w:t>electromyogram</w:t>
      </w:r>
      <w:proofErr w:type="spellEnd"/>
      <w:r w:rsidR="00AE6748">
        <w:rPr>
          <w:rFonts w:asciiTheme="minorHAnsi" w:hAnsiTheme="minorHAnsi"/>
          <w:color w:val="auto"/>
          <w:szCs w:val="24"/>
        </w:rPr>
        <w:t xml:space="preserve"> (EMG), and </w:t>
      </w:r>
      <w:r w:rsidR="006046D4">
        <w:rPr>
          <w:rFonts w:asciiTheme="minorHAnsi" w:hAnsiTheme="minorHAnsi"/>
          <w:color w:val="auto"/>
          <w:szCs w:val="24"/>
        </w:rPr>
        <w:t>m</w:t>
      </w:r>
      <w:r w:rsidR="00105588">
        <w:rPr>
          <w:rFonts w:asciiTheme="minorHAnsi" w:hAnsiTheme="minorHAnsi"/>
          <w:color w:val="auto"/>
          <w:szCs w:val="24"/>
        </w:rPr>
        <w:t xml:space="preserve">agnetic </w:t>
      </w:r>
      <w:r w:rsidR="006046D4">
        <w:rPr>
          <w:rFonts w:asciiTheme="minorHAnsi" w:hAnsiTheme="minorHAnsi"/>
          <w:color w:val="auto"/>
          <w:szCs w:val="24"/>
        </w:rPr>
        <w:t>r</w:t>
      </w:r>
      <w:r w:rsidR="00105588">
        <w:rPr>
          <w:rFonts w:asciiTheme="minorHAnsi" w:hAnsiTheme="minorHAnsi"/>
          <w:color w:val="auto"/>
          <w:szCs w:val="24"/>
        </w:rPr>
        <w:t xml:space="preserve">esonance </w:t>
      </w:r>
      <w:r w:rsidR="006046D4">
        <w:rPr>
          <w:rFonts w:asciiTheme="minorHAnsi" w:hAnsiTheme="minorHAnsi"/>
          <w:color w:val="auto"/>
          <w:szCs w:val="24"/>
        </w:rPr>
        <w:t>i</w:t>
      </w:r>
      <w:r w:rsidR="00105588">
        <w:rPr>
          <w:rFonts w:asciiTheme="minorHAnsi" w:hAnsiTheme="minorHAnsi"/>
          <w:color w:val="auto"/>
          <w:szCs w:val="24"/>
        </w:rPr>
        <w:t>maging (MRI)</w:t>
      </w:r>
      <w:r w:rsidR="00AE6748">
        <w:rPr>
          <w:rFonts w:asciiTheme="minorHAnsi" w:hAnsiTheme="minorHAnsi"/>
          <w:color w:val="auto"/>
          <w:szCs w:val="24"/>
        </w:rPr>
        <w:t xml:space="preserve">.  </w:t>
      </w:r>
      <w:r w:rsidR="00105588">
        <w:rPr>
          <w:rFonts w:asciiTheme="minorHAnsi" w:hAnsiTheme="minorHAnsi"/>
          <w:color w:val="auto"/>
          <w:szCs w:val="24"/>
        </w:rPr>
        <w:t>The CPK returned to normal and</w:t>
      </w:r>
      <w:r w:rsidR="00787612">
        <w:rPr>
          <w:rFonts w:asciiTheme="minorHAnsi" w:hAnsiTheme="minorHAnsi"/>
          <w:color w:val="auto"/>
          <w:szCs w:val="24"/>
        </w:rPr>
        <w:t xml:space="preserve"> no specific </w:t>
      </w:r>
      <w:r w:rsidR="006046D4">
        <w:rPr>
          <w:rFonts w:asciiTheme="minorHAnsi" w:hAnsiTheme="minorHAnsi"/>
          <w:color w:val="auto"/>
          <w:szCs w:val="24"/>
        </w:rPr>
        <w:t>etiology was identified</w:t>
      </w:r>
      <w:r w:rsidR="00105588">
        <w:rPr>
          <w:rFonts w:asciiTheme="minorHAnsi" w:hAnsiTheme="minorHAnsi"/>
          <w:color w:val="auto"/>
          <w:szCs w:val="24"/>
        </w:rPr>
        <w:t xml:space="preserve">.  </w:t>
      </w:r>
      <w:r>
        <w:rPr>
          <w:rFonts w:asciiTheme="minorHAnsi" w:hAnsiTheme="minorHAnsi"/>
          <w:color w:val="auto"/>
          <w:szCs w:val="24"/>
        </w:rPr>
        <w:t>Due to his symp</w:t>
      </w:r>
      <w:r w:rsidR="006046D4">
        <w:rPr>
          <w:rFonts w:asciiTheme="minorHAnsi" w:hAnsiTheme="minorHAnsi"/>
          <w:color w:val="auto"/>
          <w:szCs w:val="24"/>
        </w:rPr>
        <w:t xml:space="preserve">toms of </w:t>
      </w:r>
      <w:r>
        <w:rPr>
          <w:rFonts w:asciiTheme="minorHAnsi" w:hAnsiTheme="minorHAnsi"/>
          <w:color w:val="auto"/>
          <w:szCs w:val="24"/>
        </w:rPr>
        <w:t xml:space="preserve">fatigue </w:t>
      </w:r>
      <w:r w:rsidR="006046D4">
        <w:rPr>
          <w:rFonts w:asciiTheme="minorHAnsi" w:hAnsiTheme="minorHAnsi"/>
          <w:color w:val="auto"/>
          <w:szCs w:val="24"/>
        </w:rPr>
        <w:t xml:space="preserve">and shortness of breath (SOB), </w:t>
      </w:r>
      <w:r w:rsidR="00177941">
        <w:rPr>
          <w:rFonts w:asciiTheme="minorHAnsi" w:hAnsiTheme="minorHAnsi"/>
          <w:color w:val="auto"/>
          <w:szCs w:val="24"/>
        </w:rPr>
        <w:t>the CI underwent</w:t>
      </w:r>
      <w:r>
        <w:rPr>
          <w:rFonts w:asciiTheme="minorHAnsi" w:hAnsiTheme="minorHAnsi"/>
          <w:color w:val="auto"/>
          <w:szCs w:val="24"/>
        </w:rPr>
        <w:t xml:space="preserve"> a </w:t>
      </w:r>
      <w:r w:rsidR="00177941">
        <w:rPr>
          <w:rFonts w:asciiTheme="minorHAnsi" w:hAnsiTheme="minorHAnsi"/>
          <w:color w:val="auto"/>
          <w:szCs w:val="24"/>
        </w:rPr>
        <w:t>comprehensive clinical evaluation</w:t>
      </w:r>
      <w:r w:rsidR="003A70A7">
        <w:rPr>
          <w:rFonts w:asciiTheme="minorHAnsi" w:hAnsiTheme="minorHAnsi"/>
          <w:color w:val="auto"/>
          <w:szCs w:val="24"/>
        </w:rPr>
        <w:t xml:space="preserve"> in February 1996</w:t>
      </w:r>
      <w:r w:rsidR="006046D4">
        <w:rPr>
          <w:rFonts w:asciiTheme="minorHAnsi" w:hAnsiTheme="minorHAnsi"/>
          <w:color w:val="auto"/>
          <w:szCs w:val="24"/>
        </w:rPr>
        <w:t xml:space="preserve"> at Portsmouth Naval Medical Center.  </w:t>
      </w:r>
      <w:r w:rsidR="001E0CDD">
        <w:rPr>
          <w:rFonts w:asciiTheme="minorHAnsi" w:hAnsiTheme="minorHAnsi"/>
          <w:color w:val="auto"/>
          <w:szCs w:val="24"/>
        </w:rPr>
        <w:t xml:space="preserve">Chest x-ray showed </w:t>
      </w:r>
      <w:proofErr w:type="spellStart"/>
      <w:r w:rsidR="001E0CDD">
        <w:rPr>
          <w:rFonts w:asciiTheme="minorHAnsi" w:hAnsiTheme="minorHAnsi"/>
          <w:color w:val="auto"/>
          <w:szCs w:val="24"/>
        </w:rPr>
        <w:t>mediastinal</w:t>
      </w:r>
      <w:proofErr w:type="spellEnd"/>
      <w:r w:rsidR="001E0CDD">
        <w:rPr>
          <w:rFonts w:asciiTheme="minorHAnsi" w:hAnsiTheme="minorHAnsi"/>
          <w:color w:val="auto"/>
          <w:szCs w:val="24"/>
        </w:rPr>
        <w:t xml:space="preserve"> and </w:t>
      </w:r>
      <w:proofErr w:type="spellStart"/>
      <w:r w:rsidR="001E0CDD">
        <w:rPr>
          <w:rFonts w:asciiTheme="minorHAnsi" w:hAnsiTheme="minorHAnsi"/>
          <w:color w:val="auto"/>
          <w:szCs w:val="24"/>
        </w:rPr>
        <w:t>hilar</w:t>
      </w:r>
      <w:proofErr w:type="spellEnd"/>
      <w:r w:rsidR="001E0CDD">
        <w:rPr>
          <w:rFonts w:asciiTheme="minorHAnsi" w:hAnsiTheme="minorHAnsi"/>
          <w:color w:val="auto"/>
          <w:szCs w:val="24"/>
        </w:rPr>
        <w:t xml:space="preserve"> </w:t>
      </w:r>
      <w:proofErr w:type="spellStart"/>
      <w:r w:rsidR="001E0CDD">
        <w:rPr>
          <w:rFonts w:asciiTheme="minorHAnsi" w:hAnsiTheme="minorHAnsi"/>
          <w:color w:val="auto"/>
          <w:szCs w:val="24"/>
        </w:rPr>
        <w:t>adenopathy</w:t>
      </w:r>
      <w:proofErr w:type="spellEnd"/>
      <w:r w:rsidR="001E0CDD">
        <w:rPr>
          <w:rFonts w:asciiTheme="minorHAnsi" w:hAnsiTheme="minorHAnsi"/>
          <w:color w:val="auto"/>
          <w:szCs w:val="24"/>
        </w:rPr>
        <w:t xml:space="preserve"> compatible with </w:t>
      </w:r>
      <w:proofErr w:type="spellStart"/>
      <w:r w:rsidR="001E0CDD">
        <w:rPr>
          <w:rFonts w:asciiTheme="minorHAnsi" w:hAnsiTheme="minorHAnsi"/>
          <w:color w:val="auto"/>
          <w:szCs w:val="24"/>
        </w:rPr>
        <w:t>sarcoid</w:t>
      </w:r>
      <w:r w:rsidR="006046D4">
        <w:rPr>
          <w:rFonts w:asciiTheme="minorHAnsi" w:hAnsiTheme="minorHAnsi"/>
          <w:color w:val="auto"/>
          <w:szCs w:val="24"/>
        </w:rPr>
        <w:t>osis</w:t>
      </w:r>
      <w:proofErr w:type="spellEnd"/>
      <w:r w:rsidR="001E0CDD">
        <w:rPr>
          <w:rFonts w:asciiTheme="minorHAnsi" w:hAnsiTheme="minorHAnsi"/>
          <w:color w:val="auto"/>
          <w:szCs w:val="24"/>
        </w:rPr>
        <w:t xml:space="preserve">.  </w:t>
      </w:r>
      <w:proofErr w:type="spellStart"/>
      <w:r w:rsidR="0014180D">
        <w:rPr>
          <w:rFonts w:asciiTheme="minorHAnsi" w:hAnsiTheme="minorHAnsi"/>
          <w:color w:val="auto"/>
          <w:szCs w:val="24"/>
        </w:rPr>
        <w:t>Transb</w:t>
      </w:r>
      <w:r w:rsidR="00177941">
        <w:rPr>
          <w:rFonts w:asciiTheme="minorHAnsi" w:hAnsiTheme="minorHAnsi"/>
          <w:color w:val="auto"/>
          <w:szCs w:val="24"/>
        </w:rPr>
        <w:t>ronch</w:t>
      </w:r>
      <w:r w:rsidR="0014180D">
        <w:rPr>
          <w:rFonts w:asciiTheme="minorHAnsi" w:hAnsiTheme="minorHAnsi"/>
          <w:color w:val="auto"/>
          <w:szCs w:val="24"/>
        </w:rPr>
        <w:t>ial</w:t>
      </w:r>
      <w:proofErr w:type="spellEnd"/>
      <w:r w:rsidR="00177941">
        <w:rPr>
          <w:rFonts w:asciiTheme="minorHAnsi" w:hAnsiTheme="minorHAnsi"/>
          <w:color w:val="auto"/>
          <w:szCs w:val="24"/>
        </w:rPr>
        <w:t xml:space="preserve"> lung biopsy revealed interstitial </w:t>
      </w:r>
      <w:proofErr w:type="spellStart"/>
      <w:r w:rsidR="00177941" w:rsidRPr="00177941">
        <w:rPr>
          <w:rFonts w:asciiTheme="minorHAnsi" w:hAnsiTheme="minorHAnsi"/>
          <w:color w:val="auto"/>
          <w:szCs w:val="24"/>
        </w:rPr>
        <w:t>granuloma</w:t>
      </w:r>
      <w:proofErr w:type="spellEnd"/>
      <w:r w:rsidR="0014180D">
        <w:rPr>
          <w:rFonts w:asciiTheme="minorHAnsi" w:hAnsiTheme="minorHAnsi"/>
          <w:color w:val="auto"/>
          <w:szCs w:val="24"/>
        </w:rPr>
        <w:t>.  M</w:t>
      </w:r>
      <w:r w:rsidR="00177941">
        <w:rPr>
          <w:rFonts w:asciiTheme="minorHAnsi" w:hAnsiTheme="minorHAnsi"/>
          <w:color w:val="auto"/>
          <w:szCs w:val="24"/>
        </w:rPr>
        <w:t xml:space="preserve">uscle biopsy showed non-specific findings.  </w:t>
      </w:r>
      <w:r w:rsidR="00CE2185">
        <w:rPr>
          <w:rFonts w:asciiTheme="minorHAnsi" w:hAnsiTheme="minorHAnsi"/>
          <w:color w:val="auto"/>
          <w:szCs w:val="24"/>
        </w:rPr>
        <w:t>A n</w:t>
      </w:r>
      <w:r w:rsidR="008521D2">
        <w:rPr>
          <w:rFonts w:asciiTheme="minorHAnsi" w:hAnsiTheme="minorHAnsi"/>
          <w:color w:val="auto"/>
          <w:szCs w:val="24"/>
        </w:rPr>
        <w:t xml:space="preserve">eurology evaluation did not find a specific cause for his </w:t>
      </w:r>
      <w:r w:rsidR="00CE2185">
        <w:rPr>
          <w:rFonts w:asciiTheme="minorHAnsi" w:hAnsiTheme="minorHAnsi"/>
          <w:color w:val="auto"/>
          <w:szCs w:val="24"/>
        </w:rPr>
        <w:t xml:space="preserve">muscle </w:t>
      </w:r>
      <w:r w:rsidR="0014180D">
        <w:rPr>
          <w:rFonts w:asciiTheme="minorHAnsi" w:hAnsiTheme="minorHAnsi"/>
          <w:color w:val="auto"/>
          <w:szCs w:val="24"/>
        </w:rPr>
        <w:t>weakness</w:t>
      </w:r>
      <w:r w:rsidR="00CE2185">
        <w:rPr>
          <w:rFonts w:asciiTheme="minorHAnsi" w:hAnsiTheme="minorHAnsi"/>
          <w:color w:val="auto"/>
          <w:szCs w:val="24"/>
        </w:rPr>
        <w:t xml:space="preserve">.  </w:t>
      </w:r>
      <w:r w:rsidR="00177941">
        <w:rPr>
          <w:rFonts w:asciiTheme="minorHAnsi" w:hAnsiTheme="minorHAnsi"/>
          <w:color w:val="auto"/>
          <w:szCs w:val="24"/>
        </w:rPr>
        <w:t>H</w:t>
      </w:r>
      <w:r>
        <w:rPr>
          <w:rFonts w:asciiTheme="minorHAnsi" w:hAnsiTheme="minorHAnsi"/>
          <w:color w:val="auto"/>
          <w:szCs w:val="24"/>
        </w:rPr>
        <w:t>e was diagnosed wi</w:t>
      </w:r>
      <w:r w:rsidR="003A70A7">
        <w:rPr>
          <w:rFonts w:asciiTheme="minorHAnsi" w:hAnsiTheme="minorHAnsi"/>
          <w:color w:val="auto"/>
          <w:szCs w:val="24"/>
        </w:rPr>
        <w:t xml:space="preserve">th </w:t>
      </w:r>
      <w:proofErr w:type="spellStart"/>
      <w:r w:rsidR="003A70A7">
        <w:rPr>
          <w:rFonts w:asciiTheme="minorHAnsi" w:hAnsiTheme="minorHAnsi"/>
          <w:color w:val="auto"/>
          <w:szCs w:val="24"/>
        </w:rPr>
        <w:t>sarcoidosis</w:t>
      </w:r>
      <w:proofErr w:type="spellEnd"/>
      <w:r w:rsidR="003A70A7">
        <w:rPr>
          <w:rFonts w:asciiTheme="minorHAnsi" w:hAnsiTheme="minorHAnsi"/>
          <w:color w:val="auto"/>
          <w:szCs w:val="24"/>
        </w:rPr>
        <w:t xml:space="preserve"> and</w:t>
      </w:r>
      <w:r w:rsidR="00703E0A">
        <w:rPr>
          <w:rFonts w:asciiTheme="minorHAnsi" w:hAnsiTheme="minorHAnsi"/>
          <w:color w:val="auto"/>
          <w:szCs w:val="24"/>
        </w:rPr>
        <w:t xml:space="preserve"> </w:t>
      </w:r>
      <w:r w:rsidR="005958EC">
        <w:rPr>
          <w:rFonts w:asciiTheme="minorHAnsi" w:hAnsiTheme="minorHAnsi"/>
          <w:color w:val="auto"/>
          <w:szCs w:val="24"/>
        </w:rPr>
        <w:t xml:space="preserve">the </w:t>
      </w:r>
      <w:proofErr w:type="spellStart"/>
      <w:r w:rsidR="005958EC">
        <w:rPr>
          <w:rFonts w:asciiTheme="minorHAnsi" w:hAnsiTheme="minorHAnsi"/>
          <w:color w:val="auto"/>
          <w:szCs w:val="24"/>
        </w:rPr>
        <w:t>m</w:t>
      </w:r>
      <w:r w:rsidR="00703E0A">
        <w:rPr>
          <w:rFonts w:asciiTheme="minorHAnsi" w:hAnsiTheme="minorHAnsi"/>
          <w:color w:val="auto"/>
          <w:szCs w:val="24"/>
        </w:rPr>
        <w:t>yopathy</w:t>
      </w:r>
      <w:proofErr w:type="spellEnd"/>
      <w:r w:rsidR="00703E0A">
        <w:rPr>
          <w:rFonts w:asciiTheme="minorHAnsi" w:hAnsiTheme="minorHAnsi"/>
          <w:color w:val="auto"/>
          <w:szCs w:val="24"/>
        </w:rPr>
        <w:t xml:space="preserve"> was determined to be secondary</w:t>
      </w:r>
      <w:r w:rsidR="005958EC">
        <w:rPr>
          <w:rFonts w:asciiTheme="minorHAnsi" w:hAnsiTheme="minorHAnsi"/>
          <w:color w:val="auto"/>
          <w:szCs w:val="24"/>
        </w:rPr>
        <w:t xml:space="preserve"> to </w:t>
      </w:r>
      <w:proofErr w:type="spellStart"/>
      <w:r w:rsidR="005958EC">
        <w:rPr>
          <w:rFonts w:asciiTheme="minorHAnsi" w:hAnsiTheme="minorHAnsi"/>
          <w:color w:val="auto"/>
          <w:szCs w:val="24"/>
        </w:rPr>
        <w:t>sarcoidosis</w:t>
      </w:r>
      <w:proofErr w:type="spellEnd"/>
      <w:r w:rsidR="005958EC">
        <w:rPr>
          <w:rFonts w:asciiTheme="minorHAnsi" w:hAnsiTheme="minorHAnsi"/>
          <w:color w:val="auto"/>
          <w:szCs w:val="24"/>
        </w:rPr>
        <w:t xml:space="preserve">.  The CI was </w:t>
      </w:r>
      <w:r>
        <w:rPr>
          <w:rFonts w:asciiTheme="minorHAnsi" w:hAnsiTheme="minorHAnsi"/>
          <w:color w:val="auto"/>
          <w:szCs w:val="24"/>
        </w:rPr>
        <w:t>treat</w:t>
      </w:r>
      <w:r w:rsidR="005958EC">
        <w:rPr>
          <w:rFonts w:asciiTheme="minorHAnsi" w:hAnsiTheme="minorHAnsi"/>
          <w:color w:val="auto"/>
          <w:szCs w:val="24"/>
        </w:rPr>
        <w:t>ed</w:t>
      </w:r>
      <w:r>
        <w:rPr>
          <w:rFonts w:asciiTheme="minorHAnsi" w:hAnsiTheme="minorHAnsi"/>
          <w:color w:val="auto"/>
          <w:szCs w:val="24"/>
        </w:rPr>
        <w:t xml:space="preserve"> with </w:t>
      </w:r>
      <w:r w:rsidR="00CC463A">
        <w:rPr>
          <w:rFonts w:asciiTheme="minorHAnsi" w:hAnsiTheme="minorHAnsi"/>
          <w:color w:val="auto"/>
          <w:szCs w:val="24"/>
        </w:rPr>
        <w:t xml:space="preserve">an </w:t>
      </w:r>
      <w:r>
        <w:rPr>
          <w:rFonts w:asciiTheme="minorHAnsi" w:hAnsiTheme="minorHAnsi"/>
          <w:color w:val="auto"/>
          <w:szCs w:val="24"/>
        </w:rPr>
        <w:t xml:space="preserve">oral </w:t>
      </w:r>
      <w:r w:rsidR="0020283B">
        <w:rPr>
          <w:rFonts w:asciiTheme="minorHAnsi" w:hAnsiTheme="minorHAnsi"/>
          <w:color w:val="auto"/>
          <w:szCs w:val="24"/>
        </w:rPr>
        <w:t>cortico</w:t>
      </w:r>
      <w:r>
        <w:rPr>
          <w:rFonts w:asciiTheme="minorHAnsi" w:hAnsiTheme="minorHAnsi"/>
          <w:color w:val="auto"/>
          <w:szCs w:val="24"/>
        </w:rPr>
        <w:t>steroid</w:t>
      </w:r>
      <w:r w:rsidR="00551E48">
        <w:rPr>
          <w:rFonts w:asciiTheme="minorHAnsi" w:hAnsiTheme="minorHAnsi"/>
          <w:color w:val="auto"/>
          <w:szCs w:val="24"/>
        </w:rPr>
        <w:t xml:space="preserve"> (</w:t>
      </w:r>
      <w:r w:rsidR="00F91393">
        <w:rPr>
          <w:rFonts w:asciiTheme="minorHAnsi" w:hAnsiTheme="minorHAnsi"/>
          <w:color w:val="auto"/>
          <w:szCs w:val="24"/>
        </w:rPr>
        <w:t>P</w:t>
      </w:r>
      <w:r w:rsidR="00A56AF1">
        <w:rPr>
          <w:rFonts w:asciiTheme="minorHAnsi" w:hAnsiTheme="minorHAnsi"/>
          <w:color w:val="auto"/>
          <w:szCs w:val="24"/>
        </w:rPr>
        <w:t>rednisone</w:t>
      </w:r>
      <w:r w:rsidR="00551E48">
        <w:rPr>
          <w:rFonts w:asciiTheme="minorHAnsi" w:hAnsiTheme="minorHAnsi"/>
          <w:color w:val="auto"/>
          <w:szCs w:val="24"/>
        </w:rPr>
        <w:t>)</w:t>
      </w:r>
      <w:r w:rsidR="00CC463A">
        <w:rPr>
          <w:rFonts w:asciiTheme="minorHAnsi" w:hAnsiTheme="minorHAnsi"/>
          <w:color w:val="auto"/>
          <w:szCs w:val="24"/>
        </w:rPr>
        <w:t>.</w:t>
      </w:r>
      <w:r w:rsidR="00CF3563">
        <w:rPr>
          <w:rFonts w:asciiTheme="minorHAnsi" w:hAnsiTheme="minorHAnsi"/>
          <w:color w:val="auto"/>
          <w:szCs w:val="24"/>
        </w:rPr>
        <w:t xml:space="preserve">  Due to his c</w:t>
      </w:r>
      <w:r w:rsidR="00D54005">
        <w:rPr>
          <w:rFonts w:asciiTheme="minorHAnsi" w:hAnsiTheme="minorHAnsi"/>
          <w:color w:val="auto"/>
          <w:szCs w:val="24"/>
        </w:rPr>
        <w:t>hronic</w:t>
      </w:r>
      <w:r w:rsidR="00CF3563">
        <w:rPr>
          <w:rFonts w:asciiTheme="minorHAnsi" w:hAnsiTheme="minorHAnsi"/>
          <w:color w:val="auto"/>
          <w:szCs w:val="24"/>
        </w:rPr>
        <w:t xml:space="preserve"> symptoms, an MEB was initiated.  </w:t>
      </w:r>
      <w:r w:rsidR="005958EC">
        <w:rPr>
          <w:rFonts w:asciiTheme="minorHAnsi" w:hAnsiTheme="minorHAnsi"/>
          <w:color w:val="auto"/>
          <w:szCs w:val="24"/>
        </w:rPr>
        <w:t xml:space="preserve">At his </w:t>
      </w:r>
      <w:r w:rsidR="00CF3563">
        <w:rPr>
          <w:rFonts w:asciiTheme="minorHAnsi" w:hAnsiTheme="minorHAnsi"/>
          <w:color w:val="auto"/>
          <w:szCs w:val="24"/>
        </w:rPr>
        <w:t xml:space="preserve">September 1996 </w:t>
      </w:r>
      <w:r w:rsidR="005958EC">
        <w:rPr>
          <w:rFonts w:asciiTheme="minorHAnsi" w:hAnsiTheme="minorHAnsi"/>
          <w:color w:val="auto"/>
          <w:szCs w:val="24"/>
        </w:rPr>
        <w:t xml:space="preserve">MEB examination, the CI complained of </w:t>
      </w:r>
      <w:r w:rsidR="00CF3563">
        <w:rPr>
          <w:rFonts w:asciiTheme="minorHAnsi" w:hAnsiTheme="minorHAnsi"/>
          <w:color w:val="auto"/>
          <w:szCs w:val="24"/>
        </w:rPr>
        <w:t xml:space="preserve">SOB and </w:t>
      </w:r>
      <w:proofErr w:type="gramStart"/>
      <w:r w:rsidR="00703E0A">
        <w:rPr>
          <w:rFonts w:asciiTheme="minorHAnsi" w:hAnsiTheme="minorHAnsi"/>
          <w:color w:val="auto"/>
          <w:szCs w:val="24"/>
        </w:rPr>
        <w:t>diffuse</w:t>
      </w:r>
      <w:proofErr w:type="gramEnd"/>
      <w:r w:rsidR="00703E0A">
        <w:rPr>
          <w:rFonts w:asciiTheme="minorHAnsi" w:hAnsiTheme="minorHAnsi"/>
          <w:color w:val="auto"/>
          <w:szCs w:val="24"/>
        </w:rPr>
        <w:t xml:space="preserve"> </w:t>
      </w:r>
      <w:proofErr w:type="spellStart"/>
      <w:r w:rsidR="00703E0A">
        <w:rPr>
          <w:rFonts w:asciiTheme="minorHAnsi" w:hAnsiTheme="minorHAnsi"/>
          <w:color w:val="auto"/>
          <w:szCs w:val="24"/>
        </w:rPr>
        <w:t>myalgias</w:t>
      </w:r>
      <w:proofErr w:type="spellEnd"/>
      <w:r w:rsidR="00703E0A">
        <w:rPr>
          <w:rFonts w:asciiTheme="minorHAnsi" w:hAnsiTheme="minorHAnsi"/>
          <w:color w:val="auto"/>
          <w:szCs w:val="24"/>
        </w:rPr>
        <w:t>.  He was unable to do significant amounts of exercise or strenuous activity.  On exam</w:t>
      </w:r>
      <w:r w:rsidR="00CF3563">
        <w:rPr>
          <w:rFonts w:asciiTheme="minorHAnsi" w:hAnsiTheme="minorHAnsi"/>
          <w:color w:val="auto"/>
          <w:szCs w:val="24"/>
        </w:rPr>
        <w:t xml:space="preserve">, </w:t>
      </w:r>
      <w:r w:rsidR="00703E0A">
        <w:rPr>
          <w:rFonts w:asciiTheme="minorHAnsi" w:hAnsiTheme="minorHAnsi"/>
          <w:color w:val="auto"/>
          <w:szCs w:val="24"/>
        </w:rPr>
        <w:t xml:space="preserve">his lungs were clear to auscultation.  </w:t>
      </w:r>
      <w:r w:rsidR="00CF3563">
        <w:rPr>
          <w:rFonts w:asciiTheme="minorHAnsi" w:hAnsiTheme="minorHAnsi"/>
          <w:color w:val="auto"/>
          <w:szCs w:val="24"/>
        </w:rPr>
        <w:t>C</w:t>
      </w:r>
      <w:r w:rsidR="007C67C8">
        <w:rPr>
          <w:rFonts w:asciiTheme="minorHAnsi" w:hAnsiTheme="minorHAnsi"/>
          <w:color w:val="auto"/>
          <w:szCs w:val="24"/>
        </w:rPr>
        <w:t>hest x-ray</w:t>
      </w:r>
      <w:r w:rsidR="00CF3563">
        <w:rPr>
          <w:rFonts w:asciiTheme="minorHAnsi" w:hAnsiTheme="minorHAnsi"/>
          <w:color w:val="auto"/>
          <w:szCs w:val="24"/>
        </w:rPr>
        <w:t xml:space="preserve"> showed bilateral </w:t>
      </w:r>
      <w:proofErr w:type="spellStart"/>
      <w:r w:rsidR="00CF3563">
        <w:rPr>
          <w:rFonts w:asciiTheme="minorHAnsi" w:hAnsiTheme="minorHAnsi"/>
          <w:color w:val="auto"/>
          <w:szCs w:val="24"/>
        </w:rPr>
        <w:t>hilar</w:t>
      </w:r>
      <w:proofErr w:type="spellEnd"/>
      <w:r w:rsidR="00CF3563">
        <w:rPr>
          <w:rFonts w:asciiTheme="minorHAnsi" w:hAnsiTheme="minorHAnsi"/>
          <w:color w:val="auto"/>
          <w:szCs w:val="24"/>
        </w:rPr>
        <w:t xml:space="preserve"> </w:t>
      </w:r>
      <w:proofErr w:type="spellStart"/>
      <w:r w:rsidR="00703E0A">
        <w:rPr>
          <w:rFonts w:asciiTheme="minorHAnsi" w:hAnsiTheme="minorHAnsi"/>
          <w:color w:val="auto"/>
          <w:szCs w:val="24"/>
        </w:rPr>
        <w:t>adenopathy</w:t>
      </w:r>
      <w:proofErr w:type="spellEnd"/>
      <w:r w:rsidR="00703E0A">
        <w:rPr>
          <w:rFonts w:asciiTheme="minorHAnsi" w:hAnsiTheme="minorHAnsi"/>
          <w:color w:val="auto"/>
          <w:szCs w:val="24"/>
        </w:rPr>
        <w:t xml:space="preserve"> with normal</w:t>
      </w:r>
      <w:r w:rsidR="00AF7F53">
        <w:rPr>
          <w:rFonts w:asciiTheme="minorHAnsi" w:hAnsiTheme="minorHAnsi"/>
          <w:color w:val="auto"/>
          <w:szCs w:val="24"/>
        </w:rPr>
        <w:t xml:space="preserve"> appearing lung parenchyma, consistent with stage I </w:t>
      </w:r>
      <w:proofErr w:type="spellStart"/>
      <w:r w:rsidR="00AF7F53">
        <w:rPr>
          <w:rFonts w:asciiTheme="minorHAnsi" w:hAnsiTheme="minorHAnsi"/>
          <w:color w:val="auto"/>
          <w:szCs w:val="24"/>
        </w:rPr>
        <w:t>sarcoidosis</w:t>
      </w:r>
      <w:proofErr w:type="spellEnd"/>
      <w:r w:rsidR="00AF7F53">
        <w:rPr>
          <w:rFonts w:asciiTheme="minorHAnsi" w:hAnsiTheme="minorHAnsi"/>
          <w:color w:val="auto"/>
          <w:szCs w:val="24"/>
        </w:rPr>
        <w:t xml:space="preserve">.  </w:t>
      </w:r>
      <w:r w:rsidR="00CF3563">
        <w:rPr>
          <w:rFonts w:asciiTheme="minorHAnsi" w:hAnsiTheme="minorHAnsi"/>
          <w:color w:val="auto"/>
          <w:szCs w:val="24"/>
        </w:rPr>
        <w:t>P</w:t>
      </w:r>
      <w:r w:rsidR="00AF7F53">
        <w:rPr>
          <w:rFonts w:asciiTheme="minorHAnsi" w:hAnsiTheme="minorHAnsi"/>
          <w:color w:val="auto"/>
          <w:szCs w:val="24"/>
        </w:rPr>
        <w:t xml:space="preserve">ulmonary function tests (PFTs) were normal.  </w:t>
      </w:r>
      <w:r w:rsidR="0020283B">
        <w:rPr>
          <w:rFonts w:asciiTheme="minorHAnsi" w:hAnsiTheme="minorHAnsi"/>
          <w:color w:val="auto"/>
          <w:szCs w:val="24"/>
        </w:rPr>
        <w:t xml:space="preserve">The CPK </w:t>
      </w:r>
      <w:r w:rsidR="00CF3563">
        <w:rPr>
          <w:rFonts w:asciiTheme="minorHAnsi" w:hAnsiTheme="minorHAnsi"/>
          <w:color w:val="auto"/>
          <w:szCs w:val="24"/>
        </w:rPr>
        <w:t>was</w:t>
      </w:r>
      <w:r w:rsidR="0020283B">
        <w:rPr>
          <w:rFonts w:asciiTheme="minorHAnsi" w:hAnsiTheme="minorHAnsi"/>
          <w:color w:val="auto"/>
          <w:szCs w:val="24"/>
        </w:rPr>
        <w:t xml:space="preserve"> mildly elevated at 480</w:t>
      </w:r>
      <w:r w:rsidR="00D54005">
        <w:rPr>
          <w:rFonts w:asciiTheme="minorHAnsi" w:hAnsiTheme="minorHAnsi"/>
          <w:color w:val="auto"/>
          <w:szCs w:val="24"/>
        </w:rPr>
        <w:t xml:space="preserve">.  Another MEB evaluation was done in February 1998.  At that time, prednisone had been discontinued and the CI was using </w:t>
      </w:r>
      <w:proofErr w:type="spellStart"/>
      <w:r w:rsidR="00D54005">
        <w:rPr>
          <w:rFonts w:asciiTheme="minorHAnsi" w:hAnsiTheme="minorHAnsi"/>
          <w:color w:val="auto"/>
          <w:szCs w:val="24"/>
        </w:rPr>
        <w:t>Atrovent</w:t>
      </w:r>
      <w:proofErr w:type="spellEnd"/>
      <w:r w:rsidR="00D54005">
        <w:rPr>
          <w:rFonts w:asciiTheme="minorHAnsi" w:hAnsiTheme="minorHAnsi"/>
          <w:color w:val="auto"/>
          <w:szCs w:val="24"/>
        </w:rPr>
        <w:t xml:space="preserve"> (</w:t>
      </w:r>
      <w:proofErr w:type="spellStart"/>
      <w:r w:rsidR="00D54005">
        <w:rPr>
          <w:rFonts w:asciiTheme="minorHAnsi" w:hAnsiTheme="minorHAnsi"/>
          <w:color w:val="auto"/>
          <w:szCs w:val="24"/>
        </w:rPr>
        <w:t>ipratropium</w:t>
      </w:r>
      <w:proofErr w:type="spellEnd"/>
      <w:r w:rsidR="00D54005">
        <w:rPr>
          <w:rFonts w:asciiTheme="minorHAnsi" w:hAnsiTheme="minorHAnsi"/>
          <w:color w:val="auto"/>
          <w:szCs w:val="24"/>
        </w:rPr>
        <w:t xml:space="preserve">), an inhaled bronchodilator that is frequently used </w:t>
      </w:r>
      <w:r w:rsidR="00D63C96">
        <w:rPr>
          <w:rFonts w:asciiTheme="minorHAnsi" w:hAnsiTheme="minorHAnsi"/>
          <w:color w:val="auto"/>
          <w:szCs w:val="24"/>
        </w:rPr>
        <w:t>for</w:t>
      </w:r>
      <w:r w:rsidR="00D54005">
        <w:rPr>
          <w:rFonts w:asciiTheme="minorHAnsi" w:hAnsiTheme="minorHAnsi"/>
          <w:color w:val="auto"/>
          <w:szCs w:val="24"/>
        </w:rPr>
        <w:t xml:space="preserve"> obstructive lung disease.</w:t>
      </w:r>
      <w:r w:rsidR="00D63C96">
        <w:rPr>
          <w:rFonts w:asciiTheme="minorHAnsi" w:hAnsiTheme="minorHAnsi"/>
          <w:color w:val="auto"/>
          <w:szCs w:val="24"/>
        </w:rPr>
        <w:t xml:space="preserve">  </w:t>
      </w:r>
      <w:r w:rsidR="00CF3563">
        <w:rPr>
          <w:rFonts w:asciiTheme="minorHAnsi" w:hAnsiTheme="minorHAnsi"/>
          <w:color w:val="auto"/>
          <w:szCs w:val="24"/>
        </w:rPr>
        <w:t xml:space="preserve">As noted above, the Army PEB found </w:t>
      </w:r>
      <w:r w:rsidR="00AF7F53">
        <w:rPr>
          <w:rFonts w:asciiTheme="minorHAnsi" w:hAnsiTheme="minorHAnsi"/>
          <w:color w:val="auto"/>
          <w:szCs w:val="24"/>
        </w:rPr>
        <w:t xml:space="preserve">his stage I </w:t>
      </w:r>
      <w:proofErr w:type="spellStart"/>
      <w:r w:rsidR="00AF7F53">
        <w:rPr>
          <w:rFonts w:asciiTheme="minorHAnsi" w:hAnsiTheme="minorHAnsi"/>
          <w:color w:val="auto"/>
          <w:szCs w:val="24"/>
        </w:rPr>
        <w:t>sarcoidosis</w:t>
      </w:r>
      <w:proofErr w:type="spellEnd"/>
      <w:r w:rsidR="00AF7F53">
        <w:rPr>
          <w:rFonts w:asciiTheme="minorHAnsi" w:hAnsiTheme="minorHAnsi"/>
          <w:color w:val="auto"/>
          <w:szCs w:val="24"/>
        </w:rPr>
        <w:t xml:space="preserve"> unfitting, </w:t>
      </w:r>
      <w:r w:rsidR="005A138D">
        <w:rPr>
          <w:rFonts w:asciiTheme="minorHAnsi" w:hAnsiTheme="minorHAnsi"/>
          <w:color w:val="auto"/>
          <w:szCs w:val="24"/>
        </w:rPr>
        <w:t>and h</w:t>
      </w:r>
      <w:r w:rsidR="00CF3563">
        <w:rPr>
          <w:rFonts w:asciiTheme="minorHAnsi" w:hAnsiTheme="minorHAnsi"/>
          <w:color w:val="auto"/>
          <w:szCs w:val="24"/>
        </w:rPr>
        <w:t xml:space="preserve">e was placed on </w:t>
      </w:r>
      <w:r w:rsidR="007C67C8">
        <w:rPr>
          <w:rFonts w:asciiTheme="minorHAnsi" w:hAnsiTheme="minorHAnsi"/>
          <w:color w:val="auto"/>
          <w:szCs w:val="24"/>
        </w:rPr>
        <w:t xml:space="preserve">the </w:t>
      </w:r>
      <w:r w:rsidR="005A138D">
        <w:rPr>
          <w:rFonts w:asciiTheme="minorHAnsi" w:hAnsiTheme="minorHAnsi"/>
          <w:color w:val="auto"/>
          <w:szCs w:val="24"/>
        </w:rPr>
        <w:t>TDRL.</w:t>
      </w:r>
      <w:r w:rsidR="00535752">
        <w:rPr>
          <w:rFonts w:asciiTheme="minorHAnsi" w:hAnsiTheme="minorHAnsi"/>
          <w:color w:val="auto"/>
          <w:szCs w:val="24"/>
        </w:rPr>
        <w:t xml:space="preserve"> </w:t>
      </w:r>
      <w:r w:rsidR="00554DCC">
        <w:rPr>
          <w:rFonts w:asciiTheme="minorHAnsi" w:hAnsiTheme="minorHAnsi"/>
          <w:color w:val="auto"/>
          <w:szCs w:val="24"/>
        </w:rPr>
        <w:t xml:space="preserve">The </w:t>
      </w:r>
      <w:proofErr w:type="spellStart"/>
      <w:r w:rsidR="00D63C96">
        <w:rPr>
          <w:rFonts w:asciiTheme="minorHAnsi" w:hAnsiTheme="minorHAnsi"/>
          <w:color w:val="auto"/>
          <w:szCs w:val="24"/>
        </w:rPr>
        <w:t>sarcoidosis</w:t>
      </w:r>
      <w:proofErr w:type="spellEnd"/>
      <w:r w:rsidR="00D63C96">
        <w:rPr>
          <w:rFonts w:asciiTheme="minorHAnsi" w:hAnsiTheme="minorHAnsi"/>
          <w:color w:val="auto"/>
          <w:szCs w:val="24"/>
        </w:rPr>
        <w:t xml:space="preserve"> was re-evaluated on 25 </w:t>
      </w:r>
      <w:r w:rsidR="00554DCC">
        <w:rPr>
          <w:rFonts w:asciiTheme="minorHAnsi" w:hAnsiTheme="minorHAnsi"/>
          <w:color w:val="auto"/>
          <w:szCs w:val="24"/>
        </w:rPr>
        <w:t xml:space="preserve">November 2003.  The examiner stated that the CI’s </w:t>
      </w:r>
      <w:r w:rsidR="00535752">
        <w:rPr>
          <w:rFonts w:asciiTheme="minorHAnsi" w:hAnsiTheme="minorHAnsi"/>
          <w:color w:val="auto"/>
          <w:szCs w:val="24"/>
        </w:rPr>
        <w:t xml:space="preserve">pulmonary </w:t>
      </w:r>
      <w:r w:rsidR="00554DCC">
        <w:rPr>
          <w:rFonts w:asciiTheme="minorHAnsi" w:hAnsiTheme="minorHAnsi"/>
          <w:color w:val="auto"/>
          <w:szCs w:val="24"/>
        </w:rPr>
        <w:t xml:space="preserve">condition had not changed significantly since 1998.  </w:t>
      </w:r>
      <w:r w:rsidR="00874582">
        <w:rPr>
          <w:rFonts w:asciiTheme="minorHAnsi" w:hAnsiTheme="minorHAnsi"/>
          <w:color w:val="auto"/>
          <w:szCs w:val="24"/>
        </w:rPr>
        <w:t xml:space="preserve">The CI </w:t>
      </w:r>
      <w:r w:rsidR="00535752">
        <w:rPr>
          <w:rFonts w:asciiTheme="minorHAnsi" w:hAnsiTheme="minorHAnsi"/>
          <w:color w:val="auto"/>
          <w:szCs w:val="24"/>
        </w:rPr>
        <w:t>was</w:t>
      </w:r>
      <w:r w:rsidR="00874582">
        <w:rPr>
          <w:rFonts w:asciiTheme="minorHAnsi" w:hAnsiTheme="minorHAnsi"/>
          <w:color w:val="auto"/>
          <w:szCs w:val="24"/>
        </w:rPr>
        <w:t xml:space="preserve"> using </w:t>
      </w:r>
      <w:r w:rsidR="008E44DC">
        <w:rPr>
          <w:rFonts w:asciiTheme="minorHAnsi" w:hAnsiTheme="minorHAnsi"/>
          <w:color w:val="auto"/>
          <w:szCs w:val="24"/>
        </w:rPr>
        <w:t xml:space="preserve">an </w:t>
      </w:r>
      <w:proofErr w:type="spellStart"/>
      <w:r w:rsidR="00874582">
        <w:rPr>
          <w:rFonts w:asciiTheme="minorHAnsi" w:hAnsiTheme="minorHAnsi"/>
          <w:color w:val="auto"/>
          <w:szCs w:val="24"/>
        </w:rPr>
        <w:t>albuter</w:t>
      </w:r>
      <w:r w:rsidR="008E44DC">
        <w:rPr>
          <w:rFonts w:asciiTheme="minorHAnsi" w:hAnsiTheme="minorHAnsi"/>
          <w:color w:val="auto"/>
          <w:szCs w:val="24"/>
        </w:rPr>
        <w:t>ol</w:t>
      </w:r>
      <w:proofErr w:type="spellEnd"/>
      <w:r w:rsidR="008E44DC">
        <w:rPr>
          <w:rFonts w:asciiTheme="minorHAnsi" w:hAnsiTheme="minorHAnsi"/>
          <w:color w:val="auto"/>
          <w:szCs w:val="24"/>
        </w:rPr>
        <w:t xml:space="preserve"> inhaler three times a </w:t>
      </w:r>
      <w:proofErr w:type="gramStart"/>
      <w:r w:rsidR="008E44DC">
        <w:rPr>
          <w:rFonts w:asciiTheme="minorHAnsi" w:hAnsiTheme="minorHAnsi"/>
          <w:color w:val="auto"/>
          <w:szCs w:val="24"/>
        </w:rPr>
        <w:t>day</w:t>
      </w:r>
      <w:r w:rsidR="00535752">
        <w:rPr>
          <w:rFonts w:asciiTheme="minorHAnsi" w:hAnsiTheme="minorHAnsi"/>
          <w:color w:val="auto"/>
          <w:szCs w:val="24"/>
        </w:rPr>
        <w:t>,</w:t>
      </w:r>
      <w:proofErr w:type="gramEnd"/>
      <w:r w:rsidR="008E44DC">
        <w:rPr>
          <w:rFonts w:asciiTheme="minorHAnsi" w:hAnsiTheme="minorHAnsi"/>
          <w:color w:val="auto"/>
          <w:szCs w:val="24"/>
        </w:rPr>
        <w:t xml:space="preserve"> and </w:t>
      </w:r>
      <w:proofErr w:type="spellStart"/>
      <w:r w:rsidR="00F91393">
        <w:rPr>
          <w:rFonts w:asciiTheme="minorHAnsi" w:hAnsiTheme="minorHAnsi"/>
          <w:color w:val="auto"/>
          <w:szCs w:val="24"/>
        </w:rPr>
        <w:t>s</w:t>
      </w:r>
      <w:r w:rsidR="008E44DC">
        <w:rPr>
          <w:rFonts w:asciiTheme="minorHAnsi" w:hAnsiTheme="minorHAnsi"/>
          <w:color w:val="auto"/>
          <w:szCs w:val="24"/>
        </w:rPr>
        <w:t>everent</w:t>
      </w:r>
      <w:proofErr w:type="spellEnd"/>
      <w:r w:rsidR="008E44DC">
        <w:rPr>
          <w:rFonts w:asciiTheme="minorHAnsi" w:hAnsiTheme="minorHAnsi"/>
          <w:color w:val="auto"/>
          <w:szCs w:val="24"/>
        </w:rPr>
        <w:t xml:space="preserve"> </w:t>
      </w:r>
      <w:proofErr w:type="spellStart"/>
      <w:r w:rsidR="00F91393">
        <w:rPr>
          <w:rFonts w:asciiTheme="minorHAnsi" w:hAnsiTheme="minorHAnsi"/>
          <w:color w:val="auto"/>
          <w:szCs w:val="24"/>
        </w:rPr>
        <w:t>d</w:t>
      </w:r>
      <w:r w:rsidR="008E44DC">
        <w:rPr>
          <w:rFonts w:asciiTheme="minorHAnsi" w:hAnsiTheme="minorHAnsi"/>
          <w:color w:val="auto"/>
          <w:szCs w:val="24"/>
        </w:rPr>
        <w:t>iskus</w:t>
      </w:r>
      <w:proofErr w:type="spellEnd"/>
      <w:r w:rsidR="008E44DC">
        <w:rPr>
          <w:rFonts w:asciiTheme="minorHAnsi" w:hAnsiTheme="minorHAnsi"/>
          <w:color w:val="auto"/>
          <w:szCs w:val="24"/>
        </w:rPr>
        <w:t xml:space="preserve"> inhaler twice a day.  </w:t>
      </w:r>
      <w:r w:rsidR="00554DCC">
        <w:rPr>
          <w:rFonts w:asciiTheme="minorHAnsi" w:hAnsiTheme="minorHAnsi"/>
          <w:color w:val="auto"/>
          <w:szCs w:val="24"/>
        </w:rPr>
        <w:t>His oxygen saturation on room air was 98%</w:t>
      </w:r>
      <w:r w:rsidR="00535752">
        <w:rPr>
          <w:rFonts w:asciiTheme="minorHAnsi" w:hAnsiTheme="minorHAnsi"/>
          <w:color w:val="auto"/>
          <w:szCs w:val="24"/>
        </w:rPr>
        <w:t>,</w:t>
      </w:r>
      <w:r w:rsidR="00554DCC">
        <w:rPr>
          <w:rFonts w:asciiTheme="minorHAnsi" w:hAnsiTheme="minorHAnsi"/>
          <w:color w:val="auto"/>
          <w:szCs w:val="24"/>
        </w:rPr>
        <w:t xml:space="preserve"> and lungs were clear </w:t>
      </w:r>
      <w:r w:rsidR="00535752">
        <w:rPr>
          <w:rFonts w:asciiTheme="minorHAnsi" w:hAnsiTheme="minorHAnsi"/>
          <w:color w:val="auto"/>
          <w:szCs w:val="24"/>
        </w:rPr>
        <w:t>to auscultation</w:t>
      </w:r>
      <w:r w:rsidR="00554DCC">
        <w:rPr>
          <w:rFonts w:asciiTheme="minorHAnsi" w:hAnsiTheme="minorHAnsi"/>
          <w:color w:val="auto"/>
          <w:szCs w:val="24"/>
        </w:rPr>
        <w:t>.</w:t>
      </w:r>
      <w:r w:rsidR="00F07D23">
        <w:rPr>
          <w:rFonts w:asciiTheme="minorHAnsi" w:hAnsiTheme="minorHAnsi"/>
          <w:color w:val="auto"/>
          <w:szCs w:val="24"/>
        </w:rPr>
        <w:t xml:space="preserve">  PFTs showed a mild restrictive pattern with a mild-moderate diffusion defect</w:t>
      </w:r>
      <w:r w:rsidR="00535752">
        <w:rPr>
          <w:rFonts w:asciiTheme="minorHAnsi" w:hAnsiTheme="minorHAnsi"/>
          <w:color w:val="auto"/>
          <w:szCs w:val="24"/>
        </w:rPr>
        <w:t xml:space="preserve">.  However, </w:t>
      </w:r>
      <w:r w:rsidR="007C67C8">
        <w:rPr>
          <w:rFonts w:asciiTheme="minorHAnsi" w:hAnsiTheme="minorHAnsi"/>
          <w:color w:val="auto"/>
          <w:szCs w:val="24"/>
        </w:rPr>
        <w:t>the examiner</w:t>
      </w:r>
      <w:r w:rsidR="00535752">
        <w:rPr>
          <w:rFonts w:asciiTheme="minorHAnsi" w:hAnsiTheme="minorHAnsi"/>
          <w:color w:val="auto"/>
          <w:szCs w:val="24"/>
        </w:rPr>
        <w:t xml:space="preserve"> stated that the PFTs were suboptimal, and he opined that they reflected a lack of patient effort.  </w:t>
      </w:r>
      <w:r w:rsidR="007C67C8">
        <w:rPr>
          <w:rFonts w:asciiTheme="minorHAnsi" w:hAnsiTheme="minorHAnsi"/>
          <w:color w:val="auto"/>
          <w:szCs w:val="24"/>
        </w:rPr>
        <w:t>Chest x-ray</w:t>
      </w:r>
      <w:r w:rsidR="00535752">
        <w:rPr>
          <w:rFonts w:asciiTheme="minorHAnsi" w:hAnsiTheme="minorHAnsi"/>
          <w:color w:val="auto"/>
          <w:szCs w:val="24"/>
        </w:rPr>
        <w:t xml:space="preserve"> was </w:t>
      </w:r>
      <w:r w:rsidR="006B2BF2">
        <w:rPr>
          <w:rFonts w:asciiTheme="minorHAnsi" w:hAnsiTheme="minorHAnsi"/>
          <w:color w:val="auto"/>
          <w:szCs w:val="24"/>
        </w:rPr>
        <w:t>normal.</w:t>
      </w:r>
    </w:p>
    <w:p w:rsidR="00960164" w:rsidRDefault="00960164" w:rsidP="004861BC">
      <w:pPr>
        <w:spacing w:line="240" w:lineRule="exact"/>
        <w:jc w:val="both"/>
        <w:rPr>
          <w:rFonts w:asciiTheme="minorHAnsi" w:hAnsiTheme="minorHAnsi"/>
          <w:color w:val="auto"/>
          <w:szCs w:val="24"/>
        </w:rPr>
      </w:pPr>
    </w:p>
    <w:p w:rsidR="00AE6748" w:rsidRDefault="005636B7" w:rsidP="004861BC">
      <w:pPr>
        <w:spacing w:line="240" w:lineRule="exact"/>
        <w:jc w:val="both"/>
        <w:rPr>
          <w:rFonts w:asciiTheme="minorHAnsi" w:hAnsiTheme="minorHAnsi"/>
          <w:color w:val="auto"/>
          <w:szCs w:val="24"/>
        </w:rPr>
      </w:pPr>
      <w:r w:rsidRPr="00100601">
        <w:rPr>
          <w:rFonts w:asciiTheme="minorHAnsi" w:hAnsiTheme="minorHAnsi"/>
          <w:color w:val="auto"/>
          <w:szCs w:val="24"/>
        </w:rPr>
        <w:t xml:space="preserve">The Board </w:t>
      </w:r>
      <w:r w:rsidR="006B2BF2" w:rsidRPr="00100601">
        <w:rPr>
          <w:rFonts w:asciiTheme="minorHAnsi" w:hAnsiTheme="minorHAnsi"/>
          <w:color w:val="auto"/>
          <w:szCs w:val="24"/>
        </w:rPr>
        <w:t>carefully reviewed all available evidentiary information</w:t>
      </w:r>
      <w:r w:rsidR="00A22506" w:rsidRPr="00100601">
        <w:rPr>
          <w:rFonts w:asciiTheme="minorHAnsi" w:hAnsiTheme="minorHAnsi"/>
          <w:color w:val="auto"/>
          <w:szCs w:val="24"/>
        </w:rPr>
        <w:t xml:space="preserve">, including the PEB </w:t>
      </w:r>
      <w:r w:rsidR="00F91393">
        <w:rPr>
          <w:rFonts w:asciiTheme="minorHAnsi" w:hAnsiTheme="minorHAnsi"/>
          <w:color w:val="auto"/>
          <w:szCs w:val="24"/>
        </w:rPr>
        <w:t>r</w:t>
      </w:r>
      <w:r w:rsidR="00A22506" w:rsidRPr="00100601">
        <w:rPr>
          <w:rFonts w:asciiTheme="minorHAnsi" w:hAnsiTheme="minorHAnsi"/>
          <w:color w:val="auto"/>
          <w:szCs w:val="24"/>
        </w:rPr>
        <w:t>econsideration that was done on 1</w:t>
      </w:r>
      <w:r w:rsidR="00AA58D9" w:rsidRPr="00100601">
        <w:rPr>
          <w:rFonts w:asciiTheme="minorHAnsi" w:hAnsiTheme="minorHAnsi"/>
          <w:color w:val="auto"/>
          <w:szCs w:val="24"/>
        </w:rPr>
        <w:t xml:space="preserve"> April 1998</w:t>
      </w:r>
      <w:r w:rsidR="00A22506" w:rsidRPr="00100601">
        <w:rPr>
          <w:rFonts w:asciiTheme="minorHAnsi" w:hAnsiTheme="minorHAnsi"/>
          <w:color w:val="auto"/>
          <w:szCs w:val="24"/>
        </w:rPr>
        <w:t>.  The Board determined that the adjudication on 1 April 1998</w:t>
      </w:r>
      <w:r w:rsidR="00100601">
        <w:rPr>
          <w:rFonts w:asciiTheme="minorHAnsi" w:hAnsiTheme="minorHAnsi"/>
          <w:color w:val="auto"/>
          <w:szCs w:val="24"/>
        </w:rPr>
        <w:t xml:space="preserve">, rating </w:t>
      </w:r>
      <w:proofErr w:type="spellStart"/>
      <w:r w:rsidR="00100601">
        <w:rPr>
          <w:rFonts w:asciiTheme="minorHAnsi" w:hAnsiTheme="minorHAnsi"/>
          <w:color w:val="auto"/>
          <w:szCs w:val="24"/>
        </w:rPr>
        <w:t>sarcoidosis</w:t>
      </w:r>
      <w:proofErr w:type="spellEnd"/>
      <w:r w:rsidR="00100601">
        <w:rPr>
          <w:rFonts w:asciiTheme="minorHAnsi" w:hAnsiTheme="minorHAnsi"/>
          <w:color w:val="auto"/>
          <w:szCs w:val="24"/>
        </w:rPr>
        <w:t xml:space="preserve"> at 30%,</w:t>
      </w:r>
      <w:r w:rsidR="00A22506" w:rsidRPr="00100601">
        <w:rPr>
          <w:rFonts w:asciiTheme="minorHAnsi" w:hAnsiTheme="minorHAnsi"/>
          <w:color w:val="auto"/>
          <w:szCs w:val="24"/>
        </w:rPr>
        <w:t xml:space="preserve"> was correct and </w:t>
      </w:r>
      <w:r w:rsidR="00AA58D9" w:rsidRPr="00100601">
        <w:rPr>
          <w:rFonts w:asciiTheme="minorHAnsi" w:hAnsiTheme="minorHAnsi"/>
          <w:color w:val="auto"/>
          <w:szCs w:val="24"/>
        </w:rPr>
        <w:t>appropriate</w:t>
      </w:r>
      <w:r w:rsidR="00A22506" w:rsidRPr="00100601">
        <w:rPr>
          <w:rFonts w:asciiTheme="minorHAnsi" w:hAnsiTheme="minorHAnsi"/>
          <w:color w:val="auto"/>
          <w:szCs w:val="24"/>
        </w:rPr>
        <w:t xml:space="preserve">.  </w:t>
      </w:r>
      <w:r w:rsidR="00100601">
        <w:rPr>
          <w:rFonts w:asciiTheme="minorHAnsi" w:hAnsiTheme="minorHAnsi"/>
          <w:color w:val="auto"/>
          <w:szCs w:val="24"/>
        </w:rPr>
        <w:t xml:space="preserve">Then the Board directed its attention to </w:t>
      </w:r>
      <w:r w:rsidR="00E90F16">
        <w:rPr>
          <w:rFonts w:asciiTheme="minorHAnsi" w:hAnsiTheme="minorHAnsi"/>
          <w:color w:val="auto"/>
          <w:szCs w:val="24"/>
        </w:rPr>
        <w:t>its permanent rating recommendation, based upon the evidence described above.  I</w:t>
      </w:r>
      <w:r w:rsidR="00A22506" w:rsidRPr="00100601">
        <w:rPr>
          <w:rFonts w:asciiTheme="minorHAnsi" w:hAnsiTheme="minorHAnsi"/>
          <w:color w:val="auto"/>
          <w:szCs w:val="24"/>
        </w:rPr>
        <w:t xml:space="preserve">n 2003, at the end of the TDRL period, </w:t>
      </w:r>
      <w:r w:rsidR="007C67C8">
        <w:rPr>
          <w:rFonts w:asciiTheme="minorHAnsi" w:hAnsiTheme="minorHAnsi"/>
          <w:color w:val="auto"/>
          <w:szCs w:val="24"/>
        </w:rPr>
        <w:t>the examiner</w:t>
      </w:r>
      <w:r w:rsidR="00A22506" w:rsidRPr="00100601">
        <w:rPr>
          <w:rFonts w:asciiTheme="minorHAnsi" w:hAnsiTheme="minorHAnsi"/>
          <w:color w:val="auto"/>
          <w:szCs w:val="24"/>
        </w:rPr>
        <w:t xml:space="preserve"> stated that the CI’s condition</w:t>
      </w:r>
      <w:r w:rsidR="00100601" w:rsidRPr="00100601">
        <w:rPr>
          <w:rFonts w:asciiTheme="minorHAnsi" w:hAnsiTheme="minorHAnsi"/>
          <w:color w:val="auto"/>
          <w:szCs w:val="24"/>
        </w:rPr>
        <w:t xml:space="preserve"> had not changed significantly</w:t>
      </w:r>
      <w:r w:rsidR="00E90F16">
        <w:rPr>
          <w:rFonts w:asciiTheme="minorHAnsi" w:hAnsiTheme="minorHAnsi"/>
          <w:color w:val="auto"/>
          <w:szCs w:val="24"/>
        </w:rPr>
        <w:t xml:space="preserve"> and had </w:t>
      </w:r>
      <w:r w:rsidR="00100601" w:rsidRPr="00100601">
        <w:rPr>
          <w:rFonts w:asciiTheme="minorHAnsi" w:hAnsiTheme="minorHAnsi"/>
          <w:color w:val="auto"/>
          <w:szCs w:val="24"/>
        </w:rPr>
        <w:t xml:space="preserve">stabilized.  </w:t>
      </w:r>
      <w:r w:rsidR="00E90F16">
        <w:rPr>
          <w:rFonts w:asciiTheme="minorHAnsi" w:hAnsiTheme="minorHAnsi"/>
          <w:color w:val="auto"/>
          <w:szCs w:val="24"/>
        </w:rPr>
        <w:t>At that time, l</w:t>
      </w:r>
      <w:r w:rsidR="00100601" w:rsidRPr="00100601">
        <w:rPr>
          <w:rFonts w:asciiTheme="minorHAnsi" w:hAnsiTheme="minorHAnsi"/>
          <w:color w:val="auto"/>
          <w:szCs w:val="24"/>
        </w:rPr>
        <w:t>ung diffusion testing with carbon monoxide (DLCO) was 58% of predicted.  IAW the VA Schedule for Rating Disabilities (VASRD)</w:t>
      </w:r>
      <w:r w:rsidR="00100601" w:rsidRPr="00100601">
        <w:rPr>
          <w:rFonts w:asciiTheme="minorHAnsi" w:eastAsiaTheme="minorHAnsi" w:hAnsiTheme="minorHAnsi"/>
          <w:color w:val="auto"/>
          <w:szCs w:val="24"/>
        </w:rPr>
        <w:t xml:space="preserve"> §4.97</w:t>
      </w:r>
      <w:r w:rsidR="00100601">
        <w:rPr>
          <w:rFonts w:asciiTheme="minorHAnsi" w:eastAsiaTheme="minorHAnsi" w:hAnsiTheme="minorHAnsi"/>
          <w:color w:val="auto"/>
          <w:szCs w:val="24"/>
        </w:rPr>
        <w:t xml:space="preserve">, diagnostic code (DC) 6846, </w:t>
      </w:r>
      <w:r w:rsidR="00601022" w:rsidRPr="00100601">
        <w:rPr>
          <w:rFonts w:asciiTheme="minorHAnsi" w:hAnsiTheme="minorHAnsi"/>
          <w:color w:val="auto"/>
          <w:szCs w:val="24"/>
        </w:rPr>
        <w:t xml:space="preserve">the CI </w:t>
      </w:r>
      <w:r w:rsidR="00060E43">
        <w:rPr>
          <w:rFonts w:asciiTheme="minorHAnsi" w:hAnsiTheme="minorHAnsi"/>
          <w:color w:val="auto"/>
          <w:szCs w:val="24"/>
        </w:rPr>
        <w:t>should</w:t>
      </w:r>
      <w:r w:rsidR="00601022" w:rsidRPr="00100601">
        <w:rPr>
          <w:rFonts w:asciiTheme="minorHAnsi" w:hAnsiTheme="minorHAnsi"/>
          <w:color w:val="auto"/>
          <w:szCs w:val="24"/>
        </w:rPr>
        <w:t xml:space="preserve"> be asymptomatic </w:t>
      </w:r>
      <w:r w:rsidR="000E585E" w:rsidRPr="00100601">
        <w:rPr>
          <w:rFonts w:asciiTheme="minorHAnsi" w:hAnsiTheme="minorHAnsi"/>
          <w:color w:val="auto"/>
          <w:szCs w:val="24"/>
        </w:rPr>
        <w:t xml:space="preserve">and have no physiologic impairment </w:t>
      </w:r>
      <w:r w:rsidR="00601022" w:rsidRPr="00100601">
        <w:rPr>
          <w:rFonts w:asciiTheme="minorHAnsi" w:hAnsiTheme="minorHAnsi"/>
          <w:color w:val="auto"/>
          <w:szCs w:val="24"/>
        </w:rPr>
        <w:t>for a 0% rating.</w:t>
      </w:r>
      <w:r w:rsidR="00E90F16">
        <w:rPr>
          <w:rFonts w:asciiTheme="minorHAnsi" w:hAnsiTheme="minorHAnsi"/>
          <w:color w:val="auto"/>
          <w:szCs w:val="24"/>
        </w:rPr>
        <w:t xml:space="preserve">  Furthermore, IAW the </w:t>
      </w:r>
      <w:r w:rsidR="00E90F16" w:rsidRPr="00100601">
        <w:rPr>
          <w:rFonts w:asciiTheme="minorHAnsi" w:hAnsiTheme="minorHAnsi"/>
          <w:color w:val="auto"/>
          <w:szCs w:val="24"/>
        </w:rPr>
        <w:t>VASRD</w:t>
      </w:r>
      <w:r w:rsidR="00E90F16" w:rsidRPr="00100601">
        <w:rPr>
          <w:rFonts w:asciiTheme="minorHAnsi" w:eastAsiaTheme="minorHAnsi" w:hAnsiTheme="minorHAnsi"/>
          <w:color w:val="auto"/>
          <w:szCs w:val="24"/>
        </w:rPr>
        <w:t xml:space="preserve"> §4.97</w:t>
      </w:r>
      <w:r w:rsidR="00E90F16">
        <w:rPr>
          <w:rFonts w:asciiTheme="minorHAnsi" w:eastAsiaTheme="minorHAnsi" w:hAnsiTheme="minorHAnsi"/>
          <w:color w:val="auto"/>
          <w:szCs w:val="24"/>
        </w:rPr>
        <w:t xml:space="preserve"> </w:t>
      </w:r>
      <w:r w:rsidR="00F91393">
        <w:rPr>
          <w:rFonts w:asciiTheme="minorHAnsi" w:hAnsiTheme="minorHAnsi"/>
          <w:color w:val="auto"/>
          <w:szCs w:val="24"/>
        </w:rPr>
        <w:t>g</w:t>
      </w:r>
      <w:r w:rsidR="00E90F16">
        <w:rPr>
          <w:rFonts w:asciiTheme="minorHAnsi" w:hAnsiTheme="minorHAnsi"/>
          <w:color w:val="auto"/>
          <w:szCs w:val="24"/>
        </w:rPr>
        <w:t xml:space="preserve">eneral </w:t>
      </w:r>
      <w:r w:rsidR="00F91393">
        <w:rPr>
          <w:rFonts w:asciiTheme="minorHAnsi" w:hAnsiTheme="minorHAnsi"/>
          <w:color w:val="auto"/>
          <w:szCs w:val="24"/>
        </w:rPr>
        <w:t>r</w:t>
      </w:r>
      <w:r w:rsidR="00E90F16">
        <w:rPr>
          <w:rFonts w:asciiTheme="minorHAnsi" w:hAnsiTheme="minorHAnsi"/>
          <w:color w:val="auto"/>
          <w:szCs w:val="24"/>
        </w:rPr>
        <w:t xml:space="preserve">ating </w:t>
      </w:r>
      <w:r w:rsidR="00F91393">
        <w:rPr>
          <w:rFonts w:asciiTheme="minorHAnsi" w:hAnsiTheme="minorHAnsi"/>
          <w:color w:val="auto"/>
          <w:szCs w:val="24"/>
        </w:rPr>
        <w:t>f</w:t>
      </w:r>
      <w:r w:rsidR="00E90F16">
        <w:rPr>
          <w:rFonts w:asciiTheme="minorHAnsi" w:hAnsiTheme="minorHAnsi"/>
          <w:color w:val="auto"/>
          <w:szCs w:val="24"/>
        </w:rPr>
        <w:t xml:space="preserve">ormula for </w:t>
      </w:r>
      <w:r w:rsidR="00F91393">
        <w:rPr>
          <w:rFonts w:asciiTheme="minorHAnsi" w:hAnsiTheme="minorHAnsi"/>
          <w:color w:val="auto"/>
          <w:szCs w:val="24"/>
        </w:rPr>
        <w:t>r</w:t>
      </w:r>
      <w:r w:rsidR="00E90F16">
        <w:rPr>
          <w:rFonts w:asciiTheme="minorHAnsi" w:hAnsiTheme="minorHAnsi"/>
          <w:color w:val="auto"/>
          <w:szCs w:val="24"/>
        </w:rPr>
        <w:t xml:space="preserve">estrictive </w:t>
      </w:r>
      <w:r w:rsidR="00F91393">
        <w:rPr>
          <w:rFonts w:asciiTheme="minorHAnsi" w:hAnsiTheme="minorHAnsi"/>
          <w:color w:val="auto"/>
          <w:szCs w:val="24"/>
        </w:rPr>
        <w:t>l</w:t>
      </w:r>
      <w:r w:rsidR="00E90F16">
        <w:rPr>
          <w:rFonts w:asciiTheme="minorHAnsi" w:hAnsiTheme="minorHAnsi"/>
          <w:color w:val="auto"/>
          <w:szCs w:val="24"/>
        </w:rPr>
        <w:t xml:space="preserve">ung </w:t>
      </w:r>
      <w:r w:rsidR="00F91393">
        <w:rPr>
          <w:rFonts w:asciiTheme="minorHAnsi" w:hAnsiTheme="minorHAnsi"/>
          <w:color w:val="auto"/>
          <w:szCs w:val="24"/>
        </w:rPr>
        <w:t>d</w:t>
      </w:r>
      <w:r w:rsidR="00E90F16">
        <w:rPr>
          <w:rFonts w:asciiTheme="minorHAnsi" w:hAnsiTheme="minorHAnsi"/>
          <w:color w:val="auto"/>
          <w:szCs w:val="24"/>
        </w:rPr>
        <w:t xml:space="preserve">isease, a DLCO of 58% </w:t>
      </w:r>
      <w:r w:rsidR="00551E48">
        <w:rPr>
          <w:rFonts w:asciiTheme="minorHAnsi" w:hAnsiTheme="minorHAnsi"/>
          <w:color w:val="auto"/>
          <w:szCs w:val="24"/>
        </w:rPr>
        <w:t>warrants</w:t>
      </w:r>
      <w:r w:rsidR="00E90F16">
        <w:rPr>
          <w:rFonts w:asciiTheme="minorHAnsi" w:hAnsiTheme="minorHAnsi"/>
          <w:color w:val="auto"/>
          <w:szCs w:val="24"/>
        </w:rPr>
        <w:t xml:space="preserve"> a 30% rating.  </w:t>
      </w:r>
      <w:r w:rsidR="00601022" w:rsidRPr="00100601">
        <w:rPr>
          <w:rFonts w:eastAsia="Calibri"/>
          <w:color w:val="auto"/>
          <w:szCs w:val="24"/>
        </w:rPr>
        <w:t xml:space="preserve">After due deliberation, and </w:t>
      </w:r>
      <w:r w:rsidR="00E90F16">
        <w:rPr>
          <w:rFonts w:eastAsia="Calibri"/>
          <w:color w:val="auto"/>
          <w:szCs w:val="24"/>
        </w:rPr>
        <w:lastRenderedPageBreak/>
        <w:t xml:space="preserve">mindful of </w:t>
      </w:r>
      <w:r w:rsidR="00E90F16" w:rsidRPr="00100601">
        <w:rPr>
          <w:rFonts w:asciiTheme="minorHAnsi" w:hAnsiTheme="minorHAnsi"/>
          <w:color w:val="auto"/>
          <w:szCs w:val="24"/>
        </w:rPr>
        <w:t>VASRD</w:t>
      </w:r>
      <w:r w:rsidR="00E90F16" w:rsidRPr="00100601">
        <w:rPr>
          <w:rFonts w:asciiTheme="minorHAnsi" w:eastAsiaTheme="minorHAnsi" w:hAnsiTheme="minorHAnsi"/>
          <w:color w:val="auto"/>
          <w:szCs w:val="24"/>
        </w:rPr>
        <w:t xml:space="preserve"> §4.</w:t>
      </w:r>
      <w:r w:rsidR="00E90F16">
        <w:rPr>
          <w:rFonts w:asciiTheme="minorHAnsi" w:eastAsiaTheme="minorHAnsi" w:hAnsiTheme="minorHAnsi"/>
          <w:color w:val="auto"/>
          <w:szCs w:val="24"/>
        </w:rPr>
        <w:t>3 (</w:t>
      </w:r>
      <w:r w:rsidR="00F91393">
        <w:rPr>
          <w:rFonts w:asciiTheme="minorHAnsi" w:eastAsiaTheme="minorHAnsi" w:hAnsiTheme="minorHAnsi"/>
          <w:color w:val="auto"/>
          <w:szCs w:val="24"/>
        </w:rPr>
        <w:t>r</w:t>
      </w:r>
      <w:r w:rsidR="00E90F16">
        <w:rPr>
          <w:rFonts w:asciiTheme="minorHAnsi" w:eastAsiaTheme="minorHAnsi" w:hAnsiTheme="minorHAnsi"/>
          <w:color w:val="auto"/>
          <w:szCs w:val="24"/>
        </w:rPr>
        <w:t xml:space="preserve">easonable doubt), </w:t>
      </w:r>
      <w:r w:rsidR="00601022" w:rsidRPr="00100601">
        <w:rPr>
          <w:rFonts w:eastAsia="Calibri"/>
          <w:color w:val="auto"/>
          <w:szCs w:val="24"/>
        </w:rPr>
        <w:t xml:space="preserve">the Board unanimously </w:t>
      </w:r>
      <w:r w:rsidR="00E90F16">
        <w:rPr>
          <w:rFonts w:eastAsia="Calibri"/>
          <w:color w:val="auto"/>
          <w:szCs w:val="24"/>
        </w:rPr>
        <w:t>recommends a permanent separation d</w:t>
      </w:r>
      <w:r w:rsidR="00601022" w:rsidRPr="00100601">
        <w:rPr>
          <w:rFonts w:eastAsia="Calibri"/>
          <w:color w:val="auto"/>
          <w:szCs w:val="24"/>
        </w:rPr>
        <w:t>isability rating of 30%</w:t>
      </w:r>
      <w:r w:rsidR="00060E43">
        <w:rPr>
          <w:rFonts w:eastAsia="Calibri"/>
          <w:color w:val="auto"/>
          <w:szCs w:val="24"/>
        </w:rPr>
        <w:t xml:space="preserve"> for the </w:t>
      </w:r>
      <w:proofErr w:type="spellStart"/>
      <w:r w:rsidR="00060E43">
        <w:rPr>
          <w:rFonts w:eastAsia="Calibri"/>
          <w:color w:val="auto"/>
          <w:szCs w:val="24"/>
        </w:rPr>
        <w:t>sarcoidosis</w:t>
      </w:r>
      <w:proofErr w:type="spellEnd"/>
      <w:r w:rsidR="00060E43">
        <w:rPr>
          <w:rFonts w:eastAsia="Calibri"/>
          <w:color w:val="auto"/>
          <w:szCs w:val="24"/>
        </w:rPr>
        <w:t xml:space="preserve"> with </w:t>
      </w:r>
      <w:proofErr w:type="spellStart"/>
      <w:r w:rsidR="00060E43">
        <w:rPr>
          <w:rFonts w:eastAsia="Calibri"/>
          <w:color w:val="auto"/>
          <w:szCs w:val="24"/>
        </w:rPr>
        <w:t>myopathy</w:t>
      </w:r>
      <w:proofErr w:type="spellEnd"/>
      <w:r w:rsidR="00E90F16">
        <w:rPr>
          <w:rFonts w:eastAsia="Calibri"/>
          <w:color w:val="auto"/>
          <w:szCs w:val="24"/>
        </w:rPr>
        <w:t xml:space="preserve">.  It is appropriately coded 6846, and meets criteria for the 30% level.  </w:t>
      </w:r>
    </w:p>
    <w:p w:rsidR="00AE6748" w:rsidRDefault="00AE6748" w:rsidP="004861BC">
      <w:pPr>
        <w:spacing w:line="240" w:lineRule="exact"/>
        <w:jc w:val="both"/>
        <w:rPr>
          <w:rFonts w:asciiTheme="minorHAnsi" w:hAnsiTheme="minorHAnsi"/>
          <w:color w:val="auto"/>
          <w:szCs w:val="24"/>
        </w:rPr>
      </w:pPr>
    </w:p>
    <w:p w:rsidR="00660A9F" w:rsidRDefault="00474147" w:rsidP="004861BC">
      <w:pPr>
        <w:spacing w:line="240" w:lineRule="exact"/>
        <w:jc w:val="both"/>
        <w:rPr>
          <w:rFonts w:asciiTheme="minorHAnsi" w:hAnsiTheme="minorHAnsi"/>
          <w:color w:val="auto"/>
          <w:szCs w:val="24"/>
        </w:rPr>
      </w:pPr>
      <w:r w:rsidRPr="00474147">
        <w:rPr>
          <w:rFonts w:asciiTheme="minorHAnsi" w:hAnsiTheme="minorHAnsi"/>
          <w:color w:val="auto"/>
          <w:szCs w:val="24"/>
          <w:u w:val="single"/>
        </w:rPr>
        <w:t>Hip Condition</w:t>
      </w:r>
      <w:r>
        <w:rPr>
          <w:rFonts w:asciiTheme="minorHAnsi" w:hAnsiTheme="minorHAnsi"/>
          <w:color w:val="auto"/>
          <w:szCs w:val="24"/>
        </w:rPr>
        <w:t xml:space="preserve">.  </w:t>
      </w:r>
      <w:r w:rsidR="00060E43">
        <w:rPr>
          <w:rFonts w:asciiTheme="minorHAnsi" w:hAnsiTheme="minorHAnsi"/>
          <w:color w:val="auto"/>
          <w:szCs w:val="24"/>
        </w:rPr>
        <w:t xml:space="preserve">In April 1997, </w:t>
      </w:r>
      <w:r>
        <w:rPr>
          <w:rFonts w:asciiTheme="minorHAnsi" w:hAnsiTheme="minorHAnsi"/>
          <w:color w:val="auto"/>
          <w:szCs w:val="24"/>
        </w:rPr>
        <w:t xml:space="preserve">the CI was </w:t>
      </w:r>
      <w:r w:rsidR="00060E43">
        <w:rPr>
          <w:rFonts w:asciiTheme="minorHAnsi" w:hAnsiTheme="minorHAnsi"/>
          <w:color w:val="auto"/>
          <w:szCs w:val="24"/>
        </w:rPr>
        <w:t xml:space="preserve">evaluated for hip pain.  MRI revealed bilateral </w:t>
      </w:r>
      <w:proofErr w:type="spellStart"/>
      <w:r w:rsidR="00060E43">
        <w:rPr>
          <w:rFonts w:asciiTheme="minorHAnsi" w:hAnsiTheme="minorHAnsi"/>
          <w:color w:val="auto"/>
          <w:szCs w:val="24"/>
        </w:rPr>
        <w:t>o</w:t>
      </w:r>
      <w:r>
        <w:rPr>
          <w:rFonts w:asciiTheme="minorHAnsi" w:hAnsiTheme="minorHAnsi"/>
          <w:color w:val="auto"/>
          <w:szCs w:val="24"/>
        </w:rPr>
        <w:t>steonecrosis</w:t>
      </w:r>
      <w:proofErr w:type="spellEnd"/>
      <w:r>
        <w:rPr>
          <w:rFonts w:asciiTheme="minorHAnsi" w:hAnsiTheme="minorHAnsi"/>
          <w:color w:val="auto"/>
          <w:szCs w:val="24"/>
        </w:rPr>
        <w:t xml:space="preserve"> of </w:t>
      </w:r>
      <w:r w:rsidR="00060E43">
        <w:rPr>
          <w:rFonts w:asciiTheme="minorHAnsi" w:hAnsiTheme="minorHAnsi"/>
          <w:color w:val="auto"/>
          <w:szCs w:val="24"/>
        </w:rPr>
        <w:t>the</w:t>
      </w:r>
      <w:r>
        <w:rPr>
          <w:rFonts w:asciiTheme="minorHAnsi" w:hAnsiTheme="minorHAnsi"/>
          <w:color w:val="auto"/>
          <w:szCs w:val="24"/>
        </w:rPr>
        <w:t xml:space="preserve"> femoral heads.  He </w:t>
      </w:r>
      <w:r w:rsidR="00060E43">
        <w:rPr>
          <w:rFonts w:asciiTheme="minorHAnsi" w:hAnsiTheme="minorHAnsi"/>
          <w:color w:val="auto"/>
          <w:szCs w:val="24"/>
        </w:rPr>
        <w:t xml:space="preserve">underwent a </w:t>
      </w:r>
      <w:r>
        <w:rPr>
          <w:rFonts w:asciiTheme="minorHAnsi" w:hAnsiTheme="minorHAnsi"/>
          <w:color w:val="auto"/>
          <w:szCs w:val="24"/>
        </w:rPr>
        <w:t xml:space="preserve">core decompression </w:t>
      </w:r>
      <w:r w:rsidR="00060E43">
        <w:rPr>
          <w:rFonts w:asciiTheme="minorHAnsi" w:hAnsiTheme="minorHAnsi"/>
          <w:color w:val="auto"/>
          <w:szCs w:val="24"/>
        </w:rPr>
        <w:t xml:space="preserve">procedure on both </w:t>
      </w:r>
      <w:r>
        <w:rPr>
          <w:rFonts w:asciiTheme="minorHAnsi" w:hAnsiTheme="minorHAnsi"/>
          <w:color w:val="auto"/>
          <w:szCs w:val="24"/>
        </w:rPr>
        <w:t>of his fem</w:t>
      </w:r>
      <w:r w:rsidR="00060E43">
        <w:rPr>
          <w:rFonts w:asciiTheme="minorHAnsi" w:hAnsiTheme="minorHAnsi"/>
          <w:color w:val="auto"/>
          <w:szCs w:val="24"/>
        </w:rPr>
        <w:t xml:space="preserve">urs.  </w:t>
      </w:r>
      <w:r w:rsidR="00595102">
        <w:rPr>
          <w:rFonts w:asciiTheme="minorHAnsi" w:hAnsiTheme="minorHAnsi"/>
          <w:color w:val="auto"/>
          <w:szCs w:val="24"/>
        </w:rPr>
        <w:t>The CI did well post-operatively</w:t>
      </w:r>
      <w:r w:rsidR="00060E43">
        <w:rPr>
          <w:rFonts w:asciiTheme="minorHAnsi" w:hAnsiTheme="minorHAnsi"/>
          <w:color w:val="auto"/>
          <w:szCs w:val="24"/>
        </w:rPr>
        <w:t>,</w:t>
      </w:r>
      <w:r w:rsidR="00595102">
        <w:rPr>
          <w:rFonts w:asciiTheme="minorHAnsi" w:hAnsiTheme="minorHAnsi"/>
          <w:color w:val="auto"/>
          <w:szCs w:val="24"/>
        </w:rPr>
        <w:t xml:space="preserve"> but </w:t>
      </w:r>
      <w:r w:rsidR="00060E43">
        <w:rPr>
          <w:rFonts w:asciiTheme="minorHAnsi" w:hAnsiTheme="minorHAnsi"/>
          <w:color w:val="auto"/>
          <w:szCs w:val="24"/>
        </w:rPr>
        <w:t>he continued to have bilateral hip pain</w:t>
      </w:r>
      <w:r w:rsidR="00595102">
        <w:rPr>
          <w:rFonts w:asciiTheme="minorHAnsi" w:hAnsiTheme="minorHAnsi"/>
          <w:color w:val="auto"/>
          <w:szCs w:val="24"/>
        </w:rPr>
        <w:t>.</w:t>
      </w:r>
      <w:r w:rsidR="00060E43">
        <w:rPr>
          <w:rFonts w:asciiTheme="minorHAnsi" w:hAnsiTheme="minorHAnsi"/>
          <w:color w:val="auto"/>
          <w:szCs w:val="24"/>
        </w:rPr>
        <w:t xml:space="preserve">  It was decided to add the hip condition to his MEB.  </w:t>
      </w:r>
      <w:r w:rsidR="00595102">
        <w:rPr>
          <w:rFonts w:asciiTheme="minorHAnsi" w:hAnsiTheme="minorHAnsi"/>
          <w:color w:val="auto"/>
          <w:szCs w:val="24"/>
        </w:rPr>
        <w:t xml:space="preserve">At his </w:t>
      </w:r>
      <w:r w:rsidR="00060E43">
        <w:rPr>
          <w:rFonts w:asciiTheme="minorHAnsi" w:hAnsiTheme="minorHAnsi"/>
          <w:color w:val="auto"/>
          <w:szCs w:val="24"/>
        </w:rPr>
        <w:t xml:space="preserve">February 1998 </w:t>
      </w:r>
      <w:r w:rsidR="00595102">
        <w:rPr>
          <w:rFonts w:asciiTheme="minorHAnsi" w:hAnsiTheme="minorHAnsi"/>
          <w:color w:val="auto"/>
          <w:szCs w:val="24"/>
        </w:rPr>
        <w:t xml:space="preserve">MEB exam, </w:t>
      </w:r>
      <w:r w:rsidR="00060E43">
        <w:rPr>
          <w:rFonts w:asciiTheme="minorHAnsi" w:hAnsiTheme="minorHAnsi"/>
          <w:color w:val="auto"/>
          <w:szCs w:val="24"/>
        </w:rPr>
        <w:t xml:space="preserve">his hip </w:t>
      </w:r>
      <w:r w:rsidR="00595102">
        <w:rPr>
          <w:rFonts w:asciiTheme="minorHAnsi" w:hAnsiTheme="minorHAnsi"/>
          <w:color w:val="auto"/>
          <w:szCs w:val="24"/>
        </w:rPr>
        <w:t>scars were well healed</w:t>
      </w:r>
      <w:r w:rsidR="00060E43">
        <w:rPr>
          <w:rFonts w:asciiTheme="minorHAnsi" w:hAnsiTheme="minorHAnsi"/>
          <w:color w:val="auto"/>
          <w:szCs w:val="24"/>
        </w:rPr>
        <w:t>.</w:t>
      </w:r>
      <w:r w:rsidR="005B2E94">
        <w:rPr>
          <w:rFonts w:asciiTheme="minorHAnsi" w:hAnsiTheme="minorHAnsi"/>
          <w:color w:val="auto"/>
          <w:szCs w:val="24"/>
        </w:rPr>
        <w:t xml:space="preserve">  R</w:t>
      </w:r>
      <w:r w:rsidR="00F91393">
        <w:rPr>
          <w:rFonts w:asciiTheme="minorHAnsi" w:hAnsiTheme="minorHAnsi"/>
          <w:color w:val="auto"/>
          <w:szCs w:val="24"/>
        </w:rPr>
        <w:t>ange-of-</w:t>
      </w:r>
      <w:r w:rsidR="004F6AF5">
        <w:rPr>
          <w:rFonts w:asciiTheme="minorHAnsi" w:hAnsiTheme="minorHAnsi"/>
          <w:color w:val="auto"/>
          <w:szCs w:val="24"/>
        </w:rPr>
        <w:t xml:space="preserve">motion (ROM) is </w:t>
      </w:r>
      <w:r w:rsidR="005B2E94">
        <w:rPr>
          <w:rFonts w:asciiTheme="minorHAnsi" w:hAnsiTheme="minorHAnsi"/>
          <w:color w:val="auto"/>
          <w:szCs w:val="24"/>
        </w:rPr>
        <w:t xml:space="preserve">summarized in the chart below.  </w:t>
      </w:r>
      <w:r w:rsidR="004F6AF5">
        <w:rPr>
          <w:rFonts w:asciiTheme="minorHAnsi" w:hAnsiTheme="minorHAnsi"/>
          <w:color w:val="auto"/>
          <w:szCs w:val="24"/>
        </w:rPr>
        <w:t xml:space="preserve">Both hips had a positive </w:t>
      </w:r>
      <w:proofErr w:type="spellStart"/>
      <w:r w:rsidR="004F6AF5">
        <w:rPr>
          <w:rFonts w:asciiTheme="minorHAnsi" w:hAnsiTheme="minorHAnsi"/>
          <w:color w:val="auto"/>
          <w:szCs w:val="24"/>
        </w:rPr>
        <w:t>Stinchfield</w:t>
      </w:r>
      <w:proofErr w:type="spellEnd"/>
      <w:r w:rsidR="004F6AF5">
        <w:rPr>
          <w:rFonts w:asciiTheme="minorHAnsi" w:hAnsiTheme="minorHAnsi"/>
          <w:color w:val="auto"/>
          <w:szCs w:val="24"/>
        </w:rPr>
        <w:t xml:space="preserve"> test</w:t>
      </w:r>
      <w:r w:rsidR="000475B3">
        <w:rPr>
          <w:rFonts w:asciiTheme="minorHAnsi" w:hAnsiTheme="minorHAnsi"/>
          <w:color w:val="auto"/>
          <w:szCs w:val="24"/>
        </w:rPr>
        <w:t xml:space="preserve"> </w:t>
      </w:r>
      <w:r w:rsidR="00876431">
        <w:rPr>
          <w:rFonts w:asciiTheme="minorHAnsi" w:hAnsiTheme="minorHAnsi"/>
          <w:color w:val="auto"/>
          <w:szCs w:val="24"/>
        </w:rPr>
        <w:t>(</w:t>
      </w:r>
      <w:r w:rsidR="000475B3">
        <w:rPr>
          <w:rFonts w:asciiTheme="minorHAnsi" w:hAnsiTheme="minorHAnsi"/>
          <w:color w:val="auto"/>
          <w:szCs w:val="24"/>
        </w:rPr>
        <w:t xml:space="preserve">pain </w:t>
      </w:r>
      <w:r w:rsidR="005B2E94">
        <w:rPr>
          <w:rFonts w:asciiTheme="minorHAnsi" w:hAnsiTheme="minorHAnsi"/>
          <w:color w:val="auto"/>
          <w:szCs w:val="24"/>
        </w:rPr>
        <w:t>with</w:t>
      </w:r>
      <w:r w:rsidR="000475B3">
        <w:rPr>
          <w:rFonts w:asciiTheme="minorHAnsi" w:hAnsiTheme="minorHAnsi"/>
          <w:color w:val="auto"/>
          <w:szCs w:val="24"/>
        </w:rPr>
        <w:t xml:space="preserve"> hip flexion against resistance)</w:t>
      </w:r>
      <w:r w:rsidR="005B2E94">
        <w:rPr>
          <w:rFonts w:asciiTheme="minorHAnsi" w:hAnsiTheme="minorHAnsi"/>
          <w:color w:val="auto"/>
          <w:szCs w:val="24"/>
        </w:rPr>
        <w:t xml:space="preserve">, and both had pain at the extremes of motion.  His hips were re-evaluated in November 2003.  At that exam, he was able to </w:t>
      </w:r>
      <w:r w:rsidR="00340928">
        <w:rPr>
          <w:rFonts w:asciiTheme="minorHAnsi" w:hAnsiTheme="minorHAnsi"/>
          <w:color w:val="auto"/>
          <w:szCs w:val="24"/>
        </w:rPr>
        <w:t>stand and sit without difficulty</w:t>
      </w:r>
      <w:r w:rsidR="005B2E94">
        <w:rPr>
          <w:rFonts w:asciiTheme="minorHAnsi" w:hAnsiTheme="minorHAnsi"/>
          <w:color w:val="auto"/>
          <w:szCs w:val="24"/>
        </w:rPr>
        <w:t xml:space="preserve">.  </w:t>
      </w:r>
      <w:r w:rsidR="003D4B34">
        <w:rPr>
          <w:rFonts w:asciiTheme="minorHAnsi" w:hAnsiTheme="minorHAnsi"/>
          <w:color w:val="auto"/>
          <w:szCs w:val="24"/>
        </w:rPr>
        <w:t xml:space="preserve">He </w:t>
      </w:r>
      <w:r w:rsidR="00340928">
        <w:rPr>
          <w:rFonts w:asciiTheme="minorHAnsi" w:hAnsiTheme="minorHAnsi"/>
          <w:color w:val="auto"/>
          <w:szCs w:val="24"/>
        </w:rPr>
        <w:t>could squat to 40-45 degrees of hip flexion.  Strength testing of his lower extremities was 5</w:t>
      </w:r>
      <w:r w:rsidR="00F91393">
        <w:rPr>
          <w:rFonts w:asciiTheme="minorHAnsi" w:hAnsiTheme="minorHAnsi"/>
          <w:color w:val="auto"/>
          <w:szCs w:val="24"/>
        </w:rPr>
        <w:t>/</w:t>
      </w:r>
      <w:r w:rsidR="00340928">
        <w:rPr>
          <w:rFonts w:asciiTheme="minorHAnsi" w:hAnsiTheme="minorHAnsi"/>
          <w:color w:val="auto"/>
          <w:szCs w:val="24"/>
        </w:rPr>
        <w:t>5</w:t>
      </w:r>
      <w:r w:rsidR="003D4B34">
        <w:rPr>
          <w:rFonts w:asciiTheme="minorHAnsi" w:hAnsiTheme="minorHAnsi"/>
          <w:color w:val="auto"/>
          <w:szCs w:val="24"/>
        </w:rPr>
        <w:t>.  X</w:t>
      </w:r>
      <w:r w:rsidR="00340928">
        <w:rPr>
          <w:rFonts w:asciiTheme="minorHAnsi" w:hAnsiTheme="minorHAnsi"/>
          <w:color w:val="auto"/>
          <w:szCs w:val="24"/>
        </w:rPr>
        <w:t xml:space="preserve">-rays </w:t>
      </w:r>
      <w:r w:rsidR="003D4B34">
        <w:rPr>
          <w:rFonts w:asciiTheme="minorHAnsi" w:hAnsiTheme="minorHAnsi"/>
          <w:color w:val="auto"/>
          <w:szCs w:val="24"/>
        </w:rPr>
        <w:t xml:space="preserve">showed </w:t>
      </w:r>
      <w:r w:rsidR="00340928">
        <w:rPr>
          <w:rFonts w:asciiTheme="minorHAnsi" w:hAnsiTheme="minorHAnsi"/>
          <w:color w:val="auto"/>
          <w:szCs w:val="24"/>
        </w:rPr>
        <w:t xml:space="preserve">relatively well preserved hip joints without evidence of femoral head collapse.  There was no evidence of increasing sclerosis or </w:t>
      </w:r>
      <w:proofErr w:type="spellStart"/>
      <w:r w:rsidR="00340928">
        <w:rPr>
          <w:rFonts w:asciiTheme="minorHAnsi" w:hAnsiTheme="minorHAnsi"/>
          <w:color w:val="auto"/>
          <w:szCs w:val="24"/>
        </w:rPr>
        <w:t>subchondral</w:t>
      </w:r>
      <w:proofErr w:type="spellEnd"/>
      <w:r w:rsidR="00340928">
        <w:rPr>
          <w:rFonts w:asciiTheme="minorHAnsi" w:hAnsiTheme="minorHAnsi"/>
          <w:color w:val="auto"/>
          <w:szCs w:val="24"/>
        </w:rPr>
        <w:t xml:space="preserve"> cyst formation</w:t>
      </w:r>
      <w:r w:rsidR="003D4B34">
        <w:rPr>
          <w:rFonts w:asciiTheme="minorHAnsi" w:hAnsiTheme="minorHAnsi"/>
          <w:color w:val="auto"/>
          <w:szCs w:val="24"/>
        </w:rPr>
        <w:t>,</w:t>
      </w:r>
      <w:r w:rsidR="00340928">
        <w:rPr>
          <w:rFonts w:asciiTheme="minorHAnsi" w:hAnsiTheme="minorHAnsi"/>
          <w:color w:val="auto"/>
          <w:szCs w:val="24"/>
        </w:rPr>
        <w:t xml:space="preserve"> and joi</w:t>
      </w:r>
      <w:r w:rsidR="003D4B34">
        <w:rPr>
          <w:rFonts w:asciiTheme="minorHAnsi" w:hAnsiTheme="minorHAnsi"/>
          <w:color w:val="auto"/>
          <w:szCs w:val="24"/>
        </w:rPr>
        <w:t>nt space was well preserved.  Hip ROM is shown below.</w:t>
      </w:r>
    </w:p>
    <w:p w:rsidR="00D77E6C" w:rsidRDefault="00D77E6C" w:rsidP="004861BC">
      <w:pPr>
        <w:spacing w:line="240" w:lineRule="exact"/>
        <w:jc w:val="both"/>
        <w:rPr>
          <w:rFonts w:asciiTheme="minorHAnsi" w:hAnsiTheme="minorHAnsi"/>
          <w:color w:val="auto"/>
          <w:szCs w:val="24"/>
        </w:rPr>
      </w:pPr>
    </w:p>
    <w:tbl>
      <w:tblPr>
        <w:tblW w:w="81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2700"/>
        <w:gridCol w:w="2700"/>
      </w:tblGrid>
      <w:tr w:rsidR="00602333" w:rsidTr="00602333">
        <w:trPr>
          <w:trHeight w:val="470"/>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02333" w:rsidRDefault="00602333" w:rsidP="004861BC">
            <w:pPr>
              <w:spacing w:line="240" w:lineRule="exact"/>
              <w:jc w:val="center"/>
              <w:rPr>
                <w:rFonts w:asciiTheme="minorHAnsi" w:eastAsia="Calibri" w:hAnsiTheme="minorHAnsi"/>
                <w:color w:val="auto"/>
                <w:sz w:val="20"/>
              </w:rPr>
            </w:pPr>
            <w:r>
              <w:rPr>
                <w:rFonts w:asciiTheme="minorHAnsi" w:eastAsia="Calibri" w:hAnsiTheme="minorHAnsi"/>
                <w:color w:val="auto"/>
                <w:sz w:val="20"/>
              </w:rPr>
              <w:t xml:space="preserve">Goniometric ROM – </w:t>
            </w:r>
          </w:p>
          <w:p w:rsidR="00602333" w:rsidRDefault="00602333" w:rsidP="004861BC">
            <w:pPr>
              <w:spacing w:line="240" w:lineRule="exact"/>
              <w:jc w:val="center"/>
              <w:rPr>
                <w:rFonts w:asciiTheme="minorHAnsi" w:eastAsia="Calibri" w:hAnsiTheme="minorHAnsi"/>
                <w:color w:val="auto"/>
                <w:sz w:val="20"/>
              </w:rPr>
            </w:pPr>
            <w:r>
              <w:rPr>
                <w:rFonts w:asciiTheme="minorHAnsi" w:eastAsia="Calibri" w:hAnsiTheme="minorHAnsi"/>
                <w:color w:val="auto"/>
                <w:sz w:val="20"/>
              </w:rPr>
              <w:t>Hips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02333" w:rsidRDefault="00602333" w:rsidP="004861BC">
            <w:pPr>
              <w:spacing w:line="240" w:lineRule="exact"/>
              <w:jc w:val="center"/>
              <w:rPr>
                <w:rFonts w:asciiTheme="minorHAnsi" w:eastAsia="Calibri" w:hAnsiTheme="minorHAnsi" w:cstheme="minorHAnsi"/>
                <w:color w:val="auto"/>
                <w:sz w:val="20"/>
              </w:rPr>
            </w:pPr>
            <w:r w:rsidRPr="009B21B3">
              <w:rPr>
                <w:rFonts w:asciiTheme="minorHAnsi" w:eastAsia="Calibri" w:hAnsiTheme="minorHAnsi" w:cstheme="minorHAnsi"/>
                <w:color w:val="auto"/>
                <w:sz w:val="20"/>
              </w:rPr>
              <w:t>MEB</w:t>
            </w:r>
            <w:r>
              <w:rPr>
                <w:rFonts w:asciiTheme="minorHAnsi" w:eastAsia="Calibri" w:hAnsiTheme="minorHAnsi" w:cstheme="minorHAnsi"/>
                <w:color w:val="auto"/>
                <w:sz w:val="20"/>
              </w:rPr>
              <w:t xml:space="preserve"> </w:t>
            </w:r>
          </w:p>
          <w:p w:rsidR="00602333" w:rsidRPr="009B21B3" w:rsidRDefault="00602333"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(19980205)</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02333" w:rsidRDefault="00602333" w:rsidP="004861BC">
            <w:pPr>
              <w:spacing w:line="240" w:lineRule="exact"/>
              <w:jc w:val="center"/>
              <w:rPr>
                <w:rFonts w:asciiTheme="minorHAnsi" w:eastAsiaTheme="minorHAnsi" w:hAnsiTheme="minorHAnsi" w:cstheme="minorHAnsi"/>
                <w:color w:val="auto"/>
                <w:sz w:val="20"/>
              </w:rPr>
            </w:pPr>
            <w:r>
              <w:rPr>
                <w:rFonts w:asciiTheme="minorHAnsi" w:eastAsia="Calibri" w:hAnsiTheme="minorHAnsi" w:cstheme="minorHAnsi"/>
                <w:color w:val="auto"/>
                <w:sz w:val="20"/>
              </w:rPr>
              <w:t>TDRL Re-</w:t>
            </w:r>
            <w:proofErr w:type="spellStart"/>
            <w:r>
              <w:rPr>
                <w:rFonts w:asciiTheme="minorHAnsi" w:eastAsia="Calibri" w:hAnsiTheme="minorHAnsi" w:cstheme="minorHAnsi"/>
                <w:color w:val="auto"/>
                <w:sz w:val="20"/>
              </w:rPr>
              <w:t>eval</w:t>
            </w:r>
            <w:proofErr w:type="spellEnd"/>
          </w:p>
          <w:p w:rsidR="00602333" w:rsidRPr="004F6AF5" w:rsidRDefault="00602333" w:rsidP="004861BC">
            <w:pPr>
              <w:spacing w:line="240" w:lineRule="exact"/>
              <w:jc w:val="center"/>
              <w:rPr>
                <w:rFonts w:asciiTheme="minorHAnsi" w:eastAsia="Calibri" w:hAnsiTheme="minorHAnsi" w:cstheme="minorHAnsi"/>
                <w:color w:val="auto"/>
                <w:sz w:val="20"/>
              </w:rPr>
            </w:pPr>
            <w:r>
              <w:rPr>
                <w:rFonts w:asciiTheme="minorHAnsi" w:eastAsiaTheme="minorHAnsi" w:hAnsiTheme="minorHAnsi" w:cstheme="minorHAnsi"/>
                <w:color w:val="auto"/>
                <w:sz w:val="20"/>
              </w:rPr>
              <w:t>(</w:t>
            </w:r>
            <w:r>
              <w:rPr>
                <w:rFonts w:asciiTheme="minorHAnsi" w:eastAsia="Calibri" w:hAnsiTheme="minorHAnsi" w:cstheme="minorHAnsi"/>
                <w:color w:val="auto"/>
                <w:sz w:val="20"/>
              </w:rPr>
              <w:t>20031112)</w:t>
            </w:r>
          </w:p>
        </w:tc>
      </w:tr>
      <w:tr w:rsidR="00602333" w:rsidRPr="00722398" w:rsidTr="00602333">
        <w:trPr>
          <w:trHeight w:val="243"/>
        </w:trPr>
        <w:tc>
          <w:tcPr>
            <w:tcW w:w="2700" w:type="dxa"/>
            <w:tcBorders>
              <w:top w:val="single" w:sz="4" w:space="0" w:color="000000"/>
              <w:left w:val="single" w:sz="4" w:space="0" w:color="000000"/>
              <w:bottom w:val="single" w:sz="4" w:space="0" w:color="000000"/>
              <w:right w:val="single" w:sz="4" w:space="0" w:color="000000"/>
            </w:tcBorders>
            <w:hideMark/>
          </w:tcPr>
          <w:p w:rsidR="00602333" w:rsidRDefault="0065546D" w:rsidP="004861BC">
            <w:pPr>
              <w:spacing w:line="240" w:lineRule="exact"/>
              <w:jc w:val="center"/>
              <w:rPr>
                <w:rFonts w:asciiTheme="minorHAnsi" w:eastAsia="Calibri" w:hAnsiTheme="minorHAnsi"/>
                <w:color w:val="auto"/>
                <w:sz w:val="20"/>
              </w:rPr>
            </w:pPr>
            <w:r>
              <w:rPr>
                <w:rFonts w:asciiTheme="minorHAnsi" w:eastAsia="Calibri" w:hAnsiTheme="minorHAnsi"/>
                <w:color w:val="auto"/>
                <w:sz w:val="20"/>
              </w:rPr>
              <w:t>Flexion (</w:t>
            </w:r>
            <w:r w:rsidR="00602333">
              <w:rPr>
                <w:rFonts w:asciiTheme="minorHAnsi" w:eastAsia="Calibri" w:hAnsiTheme="minorHAnsi"/>
                <w:color w:val="auto"/>
                <w:sz w:val="20"/>
              </w:rPr>
              <w:t>125</w:t>
            </w:r>
            <w:r w:rsidR="00602333" w:rsidRPr="009B21B3">
              <w:rPr>
                <w:rFonts w:asciiTheme="minorHAnsi" w:eastAsia="Calibri" w:hAnsiTheme="minorHAnsi" w:cstheme="minorHAnsi"/>
                <w:color w:val="auto"/>
                <w:sz w:val="20"/>
              </w:rPr>
              <w:t>⁰</w:t>
            </w:r>
            <w:r>
              <w:rPr>
                <w:rFonts w:asciiTheme="minorHAnsi" w:eastAsia="Calibri" w:hAnsiTheme="minorHAnsi" w:cstheme="minorHAnsi"/>
                <w:color w:val="auto"/>
                <w:sz w:val="20"/>
              </w:rPr>
              <w:t xml:space="preserve"> is normal</w:t>
            </w:r>
            <w:r w:rsidR="00602333">
              <w:rPr>
                <w:rFonts w:asciiTheme="minorHAnsi" w:eastAsia="Calibri" w:hAnsiTheme="minorHAnsi"/>
                <w:color w:val="auto"/>
                <w:sz w:val="20"/>
              </w:rPr>
              <w:t>)</w:t>
            </w:r>
          </w:p>
        </w:tc>
        <w:tc>
          <w:tcPr>
            <w:tcW w:w="2700" w:type="dxa"/>
            <w:tcBorders>
              <w:top w:val="single" w:sz="4" w:space="0" w:color="000000"/>
              <w:left w:val="single" w:sz="4" w:space="0" w:color="000000"/>
              <w:bottom w:val="single" w:sz="4" w:space="0" w:color="000000"/>
              <w:right w:val="single" w:sz="4" w:space="0" w:color="000000"/>
            </w:tcBorders>
            <w:hideMark/>
          </w:tcPr>
          <w:p w:rsidR="00602333" w:rsidRPr="009B21B3" w:rsidRDefault="00602333"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R</w:t>
            </w:r>
            <w:r w:rsidR="0065546D">
              <w:rPr>
                <w:rFonts w:asciiTheme="minorHAnsi" w:eastAsia="Calibri" w:hAnsiTheme="minorHAnsi" w:cstheme="minorHAnsi"/>
                <w:color w:val="auto"/>
                <w:sz w:val="20"/>
              </w:rPr>
              <w:t>igh</w:t>
            </w:r>
            <w:r>
              <w:rPr>
                <w:rFonts w:asciiTheme="minorHAnsi" w:eastAsia="Calibri" w:hAnsiTheme="minorHAnsi" w:cstheme="minorHAnsi"/>
                <w:color w:val="auto"/>
                <w:sz w:val="20"/>
              </w:rPr>
              <w:t>t=90</w:t>
            </w:r>
            <w:r w:rsidRPr="009B21B3">
              <w:rPr>
                <w:rFonts w:asciiTheme="minorHAnsi" w:eastAsia="Calibri" w:hAnsiTheme="minorHAnsi" w:cstheme="minorHAnsi"/>
                <w:color w:val="auto"/>
                <w:sz w:val="20"/>
              </w:rPr>
              <w:t>⁰</w:t>
            </w:r>
            <w:r w:rsidR="0065546D">
              <w:rPr>
                <w:rFonts w:asciiTheme="minorHAnsi" w:eastAsia="Calibri" w:hAnsiTheme="minorHAnsi" w:cstheme="minorHAnsi"/>
                <w:color w:val="auto"/>
                <w:sz w:val="20"/>
              </w:rPr>
              <w:t xml:space="preserve"> / </w:t>
            </w:r>
            <w:r>
              <w:rPr>
                <w:rFonts w:asciiTheme="minorHAnsi" w:eastAsia="Calibri" w:hAnsiTheme="minorHAnsi" w:cstheme="minorHAnsi"/>
                <w:color w:val="auto"/>
                <w:sz w:val="20"/>
              </w:rPr>
              <w:t>L</w:t>
            </w:r>
            <w:r w:rsidR="0065546D">
              <w:rPr>
                <w:rFonts w:asciiTheme="minorHAnsi" w:eastAsia="Calibri" w:hAnsiTheme="minorHAnsi" w:cstheme="minorHAnsi"/>
                <w:color w:val="auto"/>
                <w:sz w:val="20"/>
              </w:rPr>
              <w:t>ef</w:t>
            </w:r>
            <w:r>
              <w:rPr>
                <w:rFonts w:asciiTheme="minorHAnsi" w:eastAsia="Calibri" w:hAnsiTheme="minorHAnsi" w:cstheme="minorHAnsi"/>
                <w:color w:val="auto"/>
                <w:sz w:val="20"/>
              </w:rPr>
              <w:t>t=100</w:t>
            </w:r>
            <w:r w:rsidRPr="009B21B3">
              <w:rPr>
                <w:rFonts w:asciiTheme="minorHAnsi" w:eastAsia="Calibri" w:hAnsiTheme="minorHAnsi" w:cstheme="minorHAnsi"/>
                <w:color w:val="auto"/>
                <w:sz w:val="20"/>
              </w:rPr>
              <w:t>⁰</w:t>
            </w:r>
          </w:p>
        </w:tc>
        <w:tc>
          <w:tcPr>
            <w:tcW w:w="2700" w:type="dxa"/>
            <w:tcBorders>
              <w:top w:val="single" w:sz="4" w:space="0" w:color="000000"/>
              <w:left w:val="single" w:sz="4" w:space="0" w:color="000000"/>
              <w:bottom w:val="single" w:sz="4" w:space="0" w:color="000000"/>
              <w:right w:val="single" w:sz="4" w:space="0" w:color="000000"/>
            </w:tcBorders>
            <w:hideMark/>
          </w:tcPr>
          <w:p w:rsidR="00602333" w:rsidRPr="009B21B3" w:rsidRDefault="00602333"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R</w:t>
            </w:r>
            <w:r w:rsidR="0065546D">
              <w:rPr>
                <w:rFonts w:asciiTheme="minorHAnsi" w:eastAsia="Calibri" w:hAnsiTheme="minorHAnsi" w:cstheme="minorHAnsi"/>
                <w:color w:val="auto"/>
                <w:sz w:val="20"/>
              </w:rPr>
              <w:t>igh</w:t>
            </w:r>
            <w:r>
              <w:rPr>
                <w:rFonts w:asciiTheme="minorHAnsi" w:eastAsia="Calibri" w:hAnsiTheme="minorHAnsi" w:cstheme="minorHAnsi"/>
                <w:color w:val="auto"/>
                <w:sz w:val="20"/>
              </w:rPr>
              <w:t>t=100⁰</w:t>
            </w:r>
            <w:r w:rsidR="0065546D">
              <w:rPr>
                <w:rFonts w:asciiTheme="minorHAnsi" w:eastAsia="Calibri" w:hAnsiTheme="minorHAnsi" w:cstheme="minorHAnsi"/>
                <w:color w:val="auto"/>
                <w:sz w:val="20"/>
              </w:rPr>
              <w:t xml:space="preserve"> / </w:t>
            </w:r>
            <w:r>
              <w:rPr>
                <w:rFonts w:asciiTheme="minorHAnsi" w:eastAsia="Calibri" w:hAnsiTheme="minorHAnsi" w:cstheme="minorHAnsi"/>
                <w:color w:val="auto"/>
                <w:sz w:val="20"/>
              </w:rPr>
              <w:t>L</w:t>
            </w:r>
            <w:r w:rsidR="0065546D">
              <w:rPr>
                <w:rFonts w:asciiTheme="minorHAnsi" w:eastAsia="Calibri" w:hAnsiTheme="minorHAnsi" w:cstheme="minorHAnsi"/>
                <w:color w:val="auto"/>
                <w:sz w:val="20"/>
              </w:rPr>
              <w:t>ef</w:t>
            </w:r>
            <w:r>
              <w:rPr>
                <w:rFonts w:asciiTheme="minorHAnsi" w:eastAsia="Calibri" w:hAnsiTheme="minorHAnsi" w:cstheme="minorHAnsi"/>
                <w:color w:val="auto"/>
                <w:sz w:val="20"/>
              </w:rPr>
              <w:t>t=10</w:t>
            </w:r>
            <w:r w:rsidRPr="009B21B3">
              <w:rPr>
                <w:rFonts w:asciiTheme="minorHAnsi" w:eastAsia="Calibri" w:hAnsiTheme="minorHAnsi" w:cstheme="minorHAnsi"/>
                <w:color w:val="auto"/>
                <w:sz w:val="20"/>
              </w:rPr>
              <w:t>0⁰</w:t>
            </w:r>
          </w:p>
        </w:tc>
      </w:tr>
      <w:tr w:rsidR="00602333" w:rsidRPr="00722398" w:rsidTr="00602333">
        <w:trPr>
          <w:trHeight w:val="235"/>
        </w:trPr>
        <w:tc>
          <w:tcPr>
            <w:tcW w:w="2700" w:type="dxa"/>
            <w:tcBorders>
              <w:top w:val="single" w:sz="4" w:space="0" w:color="000000"/>
              <w:left w:val="single" w:sz="4" w:space="0" w:color="000000"/>
              <w:bottom w:val="single" w:sz="4" w:space="0" w:color="000000"/>
              <w:right w:val="single" w:sz="4" w:space="0" w:color="000000"/>
            </w:tcBorders>
            <w:hideMark/>
          </w:tcPr>
          <w:p w:rsidR="00602333" w:rsidRDefault="0065546D" w:rsidP="004861BC">
            <w:pPr>
              <w:spacing w:line="240" w:lineRule="exact"/>
              <w:jc w:val="center"/>
              <w:rPr>
                <w:rFonts w:asciiTheme="minorHAnsi" w:eastAsia="Calibri" w:hAnsiTheme="minorHAnsi"/>
                <w:color w:val="auto"/>
                <w:sz w:val="20"/>
              </w:rPr>
            </w:pPr>
            <w:r>
              <w:rPr>
                <w:rFonts w:asciiTheme="minorHAnsi" w:eastAsia="Calibri" w:hAnsiTheme="minorHAnsi"/>
                <w:color w:val="auto"/>
                <w:sz w:val="20"/>
              </w:rPr>
              <w:t>Extension (</w:t>
            </w:r>
            <w:r w:rsidR="00602333">
              <w:rPr>
                <w:rFonts w:asciiTheme="minorHAnsi" w:eastAsia="Calibri" w:hAnsiTheme="minorHAnsi" w:cstheme="minorHAnsi"/>
                <w:color w:val="auto"/>
                <w:sz w:val="20"/>
              </w:rPr>
              <w:t>0</w:t>
            </w:r>
            <w:r w:rsidR="00602333" w:rsidRPr="009B21B3">
              <w:rPr>
                <w:rFonts w:asciiTheme="minorHAnsi" w:eastAsia="Calibri" w:hAnsiTheme="minorHAnsi" w:cstheme="minorHAnsi"/>
                <w:color w:val="auto"/>
                <w:sz w:val="20"/>
              </w:rPr>
              <w:t>⁰</w:t>
            </w:r>
            <w:r>
              <w:rPr>
                <w:rFonts w:asciiTheme="minorHAnsi" w:eastAsia="Calibri" w:hAnsiTheme="minorHAnsi" w:cstheme="minorHAnsi"/>
                <w:color w:val="auto"/>
                <w:sz w:val="20"/>
              </w:rPr>
              <w:t xml:space="preserve"> is normal</w:t>
            </w:r>
            <w:r w:rsidR="00602333">
              <w:rPr>
                <w:rFonts w:asciiTheme="minorHAnsi" w:eastAsia="Calibri" w:hAnsiTheme="minorHAnsi"/>
                <w:color w:val="auto"/>
                <w:sz w:val="20"/>
              </w:rPr>
              <w:t>)</w:t>
            </w:r>
          </w:p>
        </w:tc>
        <w:tc>
          <w:tcPr>
            <w:tcW w:w="2700" w:type="dxa"/>
            <w:tcBorders>
              <w:top w:val="single" w:sz="4" w:space="0" w:color="000000"/>
              <w:left w:val="single" w:sz="4" w:space="0" w:color="000000"/>
              <w:bottom w:val="single" w:sz="4" w:space="0" w:color="000000"/>
              <w:right w:val="single" w:sz="4" w:space="0" w:color="000000"/>
            </w:tcBorders>
            <w:hideMark/>
          </w:tcPr>
          <w:p w:rsidR="00602333" w:rsidRPr="009B21B3" w:rsidRDefault="0065546D"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(not measured)</w:t>
            </w:r>
          </w:p>
        </w:tc>
        <w:tc>
          <w:tcPr>
            <w:tcW w:w="2700" w:type="dxa"/>
            <w:tcBorders>
              <w:top w:val="single" w:sz="4" w:space="0" w:color="000000"/>
              <w:left w:val="single" w:sz="4" w:space="0" w:color="000000"/>
              <w:bottom w:val="single" w:sz="4" w:space="0" w:color="000000"/>
              <w:right w:val="single" w:sz="4" w:space="0" w:color="000000"/>
            </w:tcBorders>
            <w:hideMark/>
          </w:tcPr>
          <w:p w:rsidR="00602333" w:rsidRPr="009B21B3" w:rsidRDefault="00602333"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R</w:t>
            </w:r>
            <w:r w:rsidR="0065546D">
              <w:rPr>
                <w:rFonts w:asciiTheme="minorHAnsi" w:eastAsia="Calibri" w:hAnsiTheme="minorHAnsi" w:cstheme="minorHAnsi"/>
                <w:color w:val="auto"/>
                <w:sz w:val="20"/>
              </w:rPr>
              <w:t>igh</w:t>
            </w:r>
            <w:r>
              <w:rPr>
                <w:rFonts w:asciiTheme="minorHAnsi" w:eastAsia="Calibri" w:hAnsiTheme="minorHAnsi" w:cstheme="minorHAnsi"/>
                <w:color w:val="auto"/>
                <w:sz w:val="20"/>
              </w:rPr>
              <w:t>t=10⁰</w:t>
            </w:r>
            <w:r w:rsidR="0065546D">
              <w:rPr>
                <w:rFonts w:asciiTheme="minorHAnsi" w:eastAsia="Calibri" w:hAnsiTheme="minorHAnsi" w:cstheme="minorHAnsi"/>
                <w:color w:val="auto"/>
                <w:sz w:val="20"/>
              </w:rPr>
              <w:t xml:space="preserve"> / </w:t>
            </w:r>
            <w:r>
              <w:rPr>
                <w:rFonts w:asciiTheme="minorHAnsi" w:eastAsia="Calibri" w:hAnsiTheme="minorHAnsi" w:cstheme="minorHAnsi"/>
                <w:color w:val="auto"/>
                <w:sz w:val="20"/>
              </w:rPr>
              <w:t>L</w:t>
            </w:r>
            <w:r w:rsidR="0065546D">
              <w:rPr>
                <w:rFonts w:asciiTheme="minorHAnsi" w:eastAsia="Calibri" w:hAnsiTheme="minorHAnsi" w:cstheme="minorHAnsi"/>
                <w:color w:val="auto"/>
                <w:sz w:val="20"/>
              </w:rPr>
              <w:t>ef</w:t>
            </w:r>
            <w:r>
              <w:rPr>
                <w:rFonts w:asciiTheme="minorHAnsi" w:eastAsia="Calibri" w:hAnsiTheme="minorHAnsi" w:cstheme="minorHAnsi"/>
                <w:color w:val="auto"/>
                <w:sz w:val="20"/>
              </w:rPr>
              <w:t>t=1</w:t>
            </w:r>
            <w:r w:rsidRPr="009B21B3">
              <w:rPr>
                <w:rFonts w:asciiTheme="minorHAnsi" w:eastAsia="Calibri" w:hAnsiTheme="minorHAnsi" w:cstheme="minorHAnsi"/>
                <w:color w:val="auto"/>
                <w:sz w:val="20"/>
              </w:rPr>
              <w:t>0⁰</w:t>
            </w:r>
          </w:p>
        </w:tc>
      </w:tr>
      <w:tr w:rsidR="00602333" w:rsidRPr="00722398" w:rsidTr="00602333">
        <w:trPr>
          <w:trHeight w:val="243"/>
        </w:trPr>
        <w:tc>
          <w:tcPr>
            <w:tcW w:w="2700" w:type="dxa"/>
            <w:tcBorders>
              <w:top w:val="single" w:sz="4" w:space="0" w:color="000000"/>
              <w:left w:val="single" w:sz="4" w:space="0" w:color="000000"/>
              <w:bottom w:val="single" w:sz="4" w:space="0" w:color="000000"/>
              <w:right w:val="single" w:sz="4" w:space="0" w:color="000000"/>
            </w:tcBorders>
            <w:hideMark/>
          </w:tcPr>
          <w:p w:rsidR="00602333" w:rsidRDefault="0065546D" w:rsidP="004861BC">
            <w:pPr>
              <w:spacing w:line="240" w:lineRule="exact"/>
              <w:jc w:val="center"/>
              <w:rPr>
                <w:rFonts w:asciiTheme="minorHAnsi" w:eastAsia="Calibri" w:hAnsiTheme="minorHAnsi"/>
                <w:color w:val="auto"/>
                <w:sz w:val="20"/>
              </w:rPr>
            </w:pPr>
            <w:r>
              <w:rPr>
                <w:rFonts w:asciiTheme="minorHAnsi" w:eastAsia="Calibri" w:hAnsiTheme="minorHAnsi"/>
                <w:color w:val="auto"/>
                <w:sz w:val="20"/>
              </w:rPr>
              <w:t>Abduction (</w:t>
            </w:r>
            <w:r w:rsidR="00602333">
              <w:rPr>
                <w:rFonts w:asciiTheme="minorHAnsi" w:eastAsia="Calibri" w:hAnsiTheme="minorHAnsi"/>
                <w:color w:val="auto"/>
                <w:sz w:val="20"/>
              </w:rPr>
              <w:t>45</w:t>
            </w:r>
            <w:r w:rsidR="00602333" w:rsidRPr="009B21B3">
              <w:rPr>
                <w:rFonts w:asciiTheme="minorHAnsi" w:eastAsia="Calibri" w:hAnsiTheme="minorHAnsi" w:cstheme="minorHAnsi"/>
                <w:color w:val="auto"/>
                <w:sz w:val="20"/>
              </w:rPr>
              <w:t>⁰</w:t>
            </w:r>
            <w:r>
              <w:rPr>
                <w:rFonts w:asciiTheme="minorHAnsi" w:eastAsia="Calibri" w:hAnsiTheme="minorHAnsi" w:cstheme="minorHAnsi"/>
                <w:color w:val="auto"/>
                <w:sz w:val="20"/>
              </w:rPr>
              <w:t xml:space="preserve"> is normal</w:t>
            </w:r>
            <w:r w:rsidR="00602333">
              <w:rPr>
                <w:rFonts w:asciiTheme="minorHAnsi" w:eastAsia="Calibri" w:hAnsiTheme="minorHAnsi"/>
                <w:color w:val="auto"/>
                <w:sz w:val="20"/>
              </w:rPr>
              <w:t>)</w:t>
            </w:r>
          </w:p>
        </w:tc>
        <w:tc>
          <w:tcPr>
            <w:tcW w:w="2700" w:type="dxa"/>
            <w:tcBorders>
              <w:top w:val="single" w:sz="4" w:space="0" w:color="000000"/>
              <w:left w:val="single" w:sz="4" w:space="0" w:color="000000"/>
              <w:bottom w:val="single" w:sz="4" w:space="0" w:color="000000"/>
              <w:right w:val="single" w:sz="4" w:space="0" w:color="000000"/>
            </w:tcBorders>
            <w:hideMark/>
          </w:tcPr>
          <w:p w:rsidR="00602333" w:rsidRPr="009B21B3" w:rsidRDefault="0065546D"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(not measured)</w:t>
            </w:r>
          </w:p>
        </w:tc>
        <w:tc>
          <w:tcPr>
            <w:tcW w:w="2700" w:type="dxa"/>
            <w:tcBorders>
              <w:top w:val="single" w:sz="4" w:space="0" w:color="000000"/>
              <w:left w:val="single" w:sz="4" w:space="0" w:color="000000"/>
              <w:bottom w:val="single" w:sz="4" w:space="0" w:color="000000"/>
              <w:right w:val="single" w:sz="4" w:space="0" w:color="000000"/>
            </w:tcBorders>
            <w:hideMark/>
          </w:tcPr>
          <w:p w:rsidR="00602333" w:rsidRPr="009B21B3" w:rsidRDefault="00602333" w:rsidP="004861BC">
            <w:pPr>
              <w:spacing w:line="240" w:lineRule="exact"/>
              <w:jc w:val="center"/>
              <w:rPr>
                <w:rFonts w:asciiTheme="minorHAnsi" w:eastAsia="Calibri" w:hAnsiTheme="minorHAnsi" w:cstheme="minorHAnsi"/>
                <w:color w:val="auto"/>
                <w:sz w:val="20"/>
              </w:rPr>
            </w:pPr>
            <w:r>
              <w:rPr>
                <w:rFonts w:asciiTheme="minorHAnsi" w:eastAsia="Calibri" w:hAnsiTheme="minorHAnsi" w:cstheme="minorHAnsi"/>
                <w:color w:val="auto"/>
                <w:sz w:val="20"/>
              </w:rPr>
              <w:t>R</w:t>
            </w:r>
            <w:r w:rsidR="0065546D">
              <w:rPr>
                <w:rFonts w:asciiTheme="minorHAnsi" w:eastAsia="Calibri" w:hAnsiTheme="minorHAnsi" w:cstheme="minorHAnsi"/>
                <w:color w:val="auto"/>
                <w:sz w:val="20"/>
              </w:rPr>
              <w:t>igh</w:t>
            </w:r>
            <w:r>
              <w:rPr>
                <w:rFonts w:asciiTheme="minorHAnsi" w:eastAsia="Calibri" w:hAnsiTheme="minorHAnsi" w:cstheme="minorHAnsi"/>
                <w:color w:val="auto"/>
                <w:sz w:val="20"/>
              </w:rPr>
              <w:t>t=35</w:t>
            </w:r>
            <w:r w:rsidRPr="009B21B3">
              <w:rPr>
                <w:rFonts w:asciiTheme="minorHAnsi" w:eastAsia="Calibri" w:hAnsiTheme="minorHAnsi" w:cstheme="minorHAnsi"/>
                <w:color w:val="auto"/>
                <w:sz w:val="20"/>
              </w:rPr>
              <w:t>⁰</w:t>
            </w:r>
            <w:r w:rsidR="0065546D">
              <w:rPr>
                <w:rFonts w:asciiTheme="minorHAnsi" w:eastAsia="Calibri" w:hAnsiTheme="minorHAnsi" w:cstheme="minorHAnsi"/>
                <w:color w:val="auto"/>
                <w:sz w:val="20"/>
              </w:rPr>
              <w:t xml:space="preserve"> / </w:t>
            </w:r>
            <w:r>
              <w:rPr>
                <w:rFonts w:asciiTheme="minorHAnsi" w:eastAsia="Calibri" w:hAnsiTheme="minorHAnsi" w:cstheme="minorHAnsi"/>
                <w:color w:val="auto"/>
                <w:sz w:val="20"/>
              </w:rPr>
              <w:t>L</w:t>
            </w:r>
            <w:r w:rsidR="0065546D">
              <w:rPr>
                <w:rFonts w:asciiTheme="minorHAnsi" w:eastAsia="Calibri" w:hAnsiTheme="minorHAnsi" w:cstheme="minorHAnsi"/>
                <w:color w:val="auto"/>
                <w:sz w:val="20"/>
              </w:rPr>
              <w:t>ef</w:t>
            </w:r>
            <w:r>
              <w:rPr>
                <w:rFonts w:asciiTheme="minorHAnsi" w:eastAsia="Calibri" w:hAnsiTheme="minorHAnsi" w:cstheme="minorHAnsi"/>
                <w:color w:val="auto"/>
                <w:sz w:val="20"/>
              </w:rPr>
              <w:t>t=35</w:t>
            </w:r>
            <w:r w:rsidRPr="009B21B3">
              <w:rPr>
                <w:rFonts w:asciiTheme="minorHAnsi" w:eastAsia="Calibri" w:hAnsiTheme="minorHAnsi" w:cstheme="minorHAnsi"/>
                <w:color w:val="auto"/>
                <w:sz w:val="20"/>
              </w:rPr>
              <w:t>⁰</w:t>
            </w:r>
          </w:p>
        </w:tc>
      </w:tr>
      <w:tr w:rsidR="00602333" w:rsidRPr="00722398" w:rsidTr="00602333">
        <w:trPr>
          <w:trHeight w:val="235"/>
        </w:trPr>
        <w:tc>
          <w:tcPr>
            <w:tcW w:w="2700" w:type="dxa"/>
            <w:tcBorders>
              <w:top w:val="single" w:sz="4" w:space="0" w:color="000000"/>
              <w:left w:val="single" w:sz="4" w:space="0" w:color="000000"/>
              <w:bottom w:val="single" w:sz="4" w:space="0" w:color="000000"/>
              <w:right w:val="single" w:sz="4" w:space="0" w:color="000000"/>
            </w:tcBorders>
            <w:hideMark/>
          </w:tcPr>
          <w:p w:rsidR="00602333" w:rsidRDefault="00602333" w:rsidP="004861BC">
            <w:pPr>
              <w:tabs>
                <w:tab w:val="left" w:pos="288"/>
                <w:tab w:val="left" w:pos="4752"/>
              </w:tabs>
              <w:spacing w:line="240" w:lineRule="exact"/>
              <w:jc w:val="center"/>
              <w:rPr>
                <w:rFonts w:asciiTheme="minorHAnsi" w:eastAsiaTheme="minorHAnsi" w:hAnsiTheme="minorHAnsi"/>
                <w:color w:val="auto"/>
                <w:sz w:val="20"/>
              </w:rPr>
            </w:pPr>
            <w:r>
              <w:rPr>
                <w:rFonts w:asciiTheme="minorHAnsi" w:eastAsiaTheme="minorHAnsi" w:hAnsiTheme="minorHAnsi"/>
                <w:color w:val="auto"/>
                <w:sz w:val="20"/>
              </w:rPr>
              <w:t>Comment</w:t>
            </w:r>
          </w:p>
        </w:tc>
        <w:tc>
          <w:tcPr>
            <w:tcW w:w="2700" w:type="dxa"/>
            <w:tcBorders>
              <w:top w:val="single" w:sz="4" w:space="0" w:color="000000"/>
              <w:left w:val="single" w:sz="4" w:space="0" w:color="000000"/>
              <w:bottom w:val="single" w:sz="4" w:space="0" w:color="000000"/>
              <w:right w:val="single" w:sz="4" w:space="0" w:color="000000"/>
            </w:tcBorders>
          </w:tcPr>
          <w:p w:rsidR="00602333" w:rsidRPr="009B21B3" w:rsidRDefault="00602333" w:rsidP="004861BC">
            <w:pPr>
              <w:pStyle w:val="ListParagraph"/>
              <w:spacing w:after="0" w:line="240" w:lineRule="exact"/>
              <w:ind w:left="0"/>
              <w:jc w:val="center"/>
              <w:rPr>
                <w:rFonts w:eastAsia="Calibri" w:cstheme="minorHAnsi"/>
                <w:sz w:val="20"/>
                <w:szCs w:val="20"/>
              </w:rPr>
            </w:pPr>
            <w:r>
              <w:rPr>
                <w:rFonts w:eastAsia="Calibri" w:cstheme="minorHAnsi"/>
                <w:sz w:val="20"/>
                <w:szCs w:val="20"/>
              </w:rPr>
              <w:t xml:space="preserve">Pain with motion </w:t>
            </w:r>
          </w:p>
        </w:tc>
        <w:tc>
          <w:tcPr>
            <w:tcW w:w="2700" w:type="dxa"/>
            <w:tcBorders>
              <w:top w:val="single" w:sz="4" w:space="0" w:color="000000"/>
              <w:left w:val="single" w:sz="4" w:space="0" w:color="000000"/>
              <w:bottom w:val="single" w:sz="4" w:space="0" w:color="000000"/>
              <w:right w:val="single" w:sz="4" w:space="0" w:color="000000"/>
            </w:tcBorders>
          </w:tcPr>
          <w:p w:rsidR="00602333" w:rsidRPr="009B21B3" w:rsidRDefault="00602333" w:rsidP="004861BC">
            <w:pPr>
              <w:pStyle w:val="ListParagraph"/>
              <w:spacing w:after="0" w:line="240" w:lineRule="exact"/>
              <w:ind w:left="0"/>
              <w:jc w:val="center"/>
              <w:rPr>
                <w:rFonts w:eastAsia="Calibri" w:cstheme="minorHAnsi"/>
                <w:sz w:val="20"/>
                <w:szCs w:val="20"/>
              </w:rPr>
            </w:pPr>
            <w:r>
              <w:rPr>
                <w:rFonts w:eastAsia="Calibri" w:cstheme="minorHAnsi"/>
                <w:sz w:val="20"/>
                <w:szCs w:val="20"/>
              </w:rPr>
              <w:t>No mention of pain</w:t>
            </w:r>
          </w:p>
        </w:tc>
      </w:tr>
    </w:tbl>
    <w:p w:rsidR="00474147" w:rsidRDefault="00474147" w:rsidP="004861BC">
      <w:pPr>
        <w:spacing w:line="240" w:lineRule="exact"/>
        <w:jc w:val="both"/>
        <w:rPr>
          <w:rFonts w:asciiTheme="minorHAnsi" w:hAnsiTheme="minorHAnsi"/>
          <w:color w:val="auto"/>
          <w:szCs w:val="24"/>
        </w:rPr>
      </w:pPr>
    </w:p>
    <w:p w:rsidR="00474147" w:rsidRDefault="0065546D" w:rsidP="004861BC">
      <w:pPr>
        <w:spacing w:line="240" w:lineRule="exact"/>
        <w:jc w:val="both"/>
        <w:rPr>
          <w:rFonts w:asciiTheme="minorHAnsi" w:hAnsiTheme="minorHAnsi"/>
          <w:color w:val="auto"/>
          <w:szCs w:val="24"/>
        </w:rPr>
      </w:pPr>
      <w:r>
        <w:rPr>
          <w:rFonts w:asciiTheme="minorHAnsi" w:hAnsiTheme="minorHAnsi"/>
          <w:color w:val="auto"/>
          <w:szCs w:val="24"/>
        </w:rPr>
        <w:t>Once again, t</w:t>
      </w:r>
      <w:r w:rsidRPr="00100601">
        <w:rPr>
          <w:rFonts w:asciiTheme="minorHAnsi" w:hAnsiTheme="minorHAnsi"/>
          <w:color w:val="auto"/>
          <w:szCs w:val="24"/>
        </w:rPr>
        <w:t xml:space="preserve">he Board carefully reviewed all </w:t>
      </w:r>
      <w:r>
        <w:rPr>
          <w:rFonts w:asciiTheme="minorHAnsi" w:hAnsiTheme="minorHAnsi"/>
          <w:color w:val="auto"/>
          <w:szCs w:val="24"/>
        </w:rPr>
        <w:t xml:space="preserve">of the </w:t>
      </w:r>
      <w:r w:rsidRPr="00100601">
        <w:rPr>
          <w:rFonts w:asciiTheme="minorHAnsi" w:hAnsiTheme="minorHAnsi"/>
          <w:color w:val="auto"/>
          <w:szCs w:val="24"/>
        </w:rPr>
        <w:t>eviden</w:t>
      </w:r>
      <w:r>
        <w:rPr>
          <w:rFonts w:asciiTheme="minorHAnsi" w:hAnsiTheme="minorHAnsi"/>
          <w:color w:val="auto"/>
          <w:szCs w:val="24"/>
        </w:rPr>
        <w:t xml:space="preserve">ce.  </w:t>
      </w:r>
      <w:r w:rsidR="00EA45BF">
        <w:rPr>
          <w:color w:val="auto"/>
          <w:szCs w:val="24"/>
        </w:rPr>
        <w:t xml:space="preserve">The Army </w:t>
      </w:r>
      <w:r w:rsidR="00EA45BF" w:rsidRPr="00E95F88">
        <w:rPr>
          <w:color w:val="auto"/>
          <w:szCs w:val="24"/>
        </w:rPr>
        <w:t>PEB c</w:t>
      </w:r>
      <w:r w:rsidR="00EA45BF">
        <w:rPr>
          <w:color w:val="auto"/>
          <w:szCs w:val="24"/>
        </w:rPr>
        <w:t>ombined the CI’s bilateral hip pain into</w:t>
      </w:r>
      <w:r w:rsidR="00EA45BF" w:rsidRPr="00E95F88">
        <w:rPr>
          <w:color w:val="auto"/>
          <w:szCs w:val="24"/>
        </w:rPr>
        <w:t xml:space="preserve"> a single unfitting condition</w:t>
      </w:r>
      <w:r w:rsidR="002F5339">
        <w:rPr>
          <w:color w:val="auto"/>
          <w:szCs w:val="24"/>
        </w:rPr>
        <w:t xml:space="preserve"> called “bilateral </w:t>
      </w:r>
      <w:proofErr w:type="spellStart"/>
      <w:r w:rsidR="002F5339">
        <w:rPr>
          <w:color w:val="auto"/>
          <w:szCs w:val="24"/>
        </w:rPr>
        <w:t>osteonecrosis</w:t>
      </w:r>
      <w:proofErr w:type="spellEnd"/>
      <w:r w:rsidR="002F5339">
        <w:rPr>
          <w:color w:val="auto"/>
          <w:szCs w:val="24"/>
        </w:rPr>
        <w:t xml:space="preserve"> of the femoral heads.”</w:t>
      </w:r>
      <w:r w:rsidR="00EA45BF">
        <w:rPr>
          <w:rFonts w:asciiTheme="minorHAnsi" w:hAnsiTheme="minorHAnsi"/>
          <w:color w:val="auto"/>
          <w:szCs w:val="24"/>
        </w:rPr>
        <w:t xml:space="preserve">  </w:t>
      </w:r>
      <w:r w:rsidR="00EA45BF" w:rsidRPr="009F3644">
        <w:rPr>
          <w:rFonts w:asciiTheme="minorHAnsi" w:hAnsiTheme="minorHAnsi"/>
          <w:color w:val="auto"/>
          <w:szCs w:val="24"/>
        </w:rPr>
        <w:t>The Board</w:t>
      </w:r>
      <w:r w:rsidR="00EA45BF">
        <w:rPr>
          <w:rFonts w:asciiTheme="minorHAnsi" w:hAnsiTheme="minorHAnsi"/>
          <w:color w:val="auto"/>
          <w:szCs w:val="24"/>
        </w:rPr>
        <w:t xml:space="preserve"> evaluated whether or not it was appropriate for the two hips to be “bundled” together.  The Board must determine if the P</w:t>
      </w:r>
      <w:r w:rsidR="00EA45BF" w:rsidRPr="009F3644">
        <w:rPr>
          <w:rFonts w:asciiTheme="minorHAnsi" w:hAnsiTheme="minorHAnsi"/>
          <w:color w:val="auto"/>
          <w:szCs w:val="24"/>
        </w:rPr>
        <w:t xml:space="preserve">EB’s approach of combining </w:t>
      </w:r>
      <w:r w:rsidR="00EA45BF">
        <w:rPr>
          <w:rFonts w:asciiTheme="minorHAnsi" w:hAnsiTheme="minorHAnsi"/>
          <w:color w:val="auto"/>
          <w:szCs w:val="24"/>
        </w:rPr>
        <w:t>the hips</w:t>
      </w:r>
      <w:r w:rsidR="00EA45BF" w:rsidRPr="009F3644">
        <w:rPr>
          <w:rFonts w:asciiTheme="minorHAnsi" w:hAnsiTheme="minorHAnsi"/>
          <w:color w:val="auto"/>
          <w:szCs w:val="24"/>
        </w:rPr>
        <w:t xml:space="preserve"> under a single </w:t>
      </w:r>
      <w:r w:rsidR="00EA45BF">
        <w:rPr>
          <w:rFonts w:asciiTheme="minorHAnsi" w:hAnsiTheme="minorHAnsi"/>
          <w:color w:val="auto"/>
          <w:szCs w:val="24"/>
        </w:rPr>
        <w:t xml:space="preserve">code and </w:t>
      </w:r>
      <w:r w:rsidR="00EA45BF" w:rsidRPr="009F3644">
        <w:rPr>
          <w:rFonts w:asciiTheme="minorHAnsi" w:hAnsiTheme="minorHAnsi"/>
          <w:color w:val="auto"/>
          <w:szCs w:val="24"/>
        </w:rPr>
        <w:t xml:space="preserve">rating was justified in lieu of separate ratings. </w:t>
      </w:r>
      <w:r w:rsidR="00EA45BF">
        <w:rPr>
          <w:rFonts w:asciiTheme="minorHAnsi" w:hAnsiTheme="minorHAnsi"/>
          <w:color w:val="auto"/>
          <w:szCs w:val="24"/>
        </w:rPr>
        <w:t xml:space="preserve"> </w:t>
      </w:r>
      <w:r w:rsidR="00EA45BF" w:rsidRPr="009F3644">
        <w:rPr>
          <w:rFonts w:asciiTheme="minorHAnsi" w:hAnsiTheme="minorHAnsi"/>
          <w:color w:val="auto"/>
          <w:szCs w:val="24"/>
        </w:rPr>
        <w:t xml:space="preserve">The Board must apply separate codes and ratings in its recommendations if compensable ratings for each condition are achieved IAW </w:t>
      </w:r>
      <w:r w:rsidR="00EA45BF">
        <w:rPr>
          <w:rFonts w:asciiTheme="minorHAnsi" w:hAnsiTheme="minorHAnsi"/>
          <w:color w:val="auto"/>
          <w:szCs w:val="24"/>
        </w:rPr>
        <w:t xml:space="preserve">the </w:t>
      </w:r>
      <w:r w:rsidR="00EA45BF" w:rsidRPr="0065109B">
        <w:rPr>
          <w:color w:val="auto"/>
          <w:szCs w:val="24"/>
        </w:rPr>
        <w:t>V</w:t>
      </w:r>
      <w:r w:rsidR="00FC374F">
        <w:rPr>
          <w:color w:val="auto"/>
          <w:szCs w:val="24"/>
        </w:rPr>
        <w:t xml:space="preserve">ASRD.  </w:t>
      </w:r>
      <w:r w:rsidR="00EA45BF" w:rsidRPr="009F3644">
        <w:rPr>
          <w:rFonts w:asciiTheme="minorHAnsi" w:hAnsiTheme="minorHAnsi"/>
          <w:color w:val="auto"/>
          <w:szCs w:val="24"/>
        </w:rPr>
        <w:t>If the Board judges that two or more separate rat</w:t>
      </w:r>
      <w:r w:rsidR="00EA45BF">
        <w:rPr>
          <w:rFonts w:asciiTheme="minorHAnsi" w:hAnsiTheme="minorHAnsi"/>
          <w:color w:val="auto"/>
          <w:szCs w:val="24"/>
        </w:rPr>
        <w:t>ings are warranted</w:t>
      </w:r>
      <w:r w:rsidR="00F91393">
        <w:rPr>
          <w:rFonts w:asciiTheme="minorHAnsi" w:hAnsiTheme="minorHAnsi"/>
          <w:color w:val="auto"/>
          <w:szCs w:val="24"/>
        </w:rPr>
        <w:t>;</w:t>
      </w:r>
      <w:r w:rsidR="00EA45BF" w:rsidRPr="009F3644">
        <w:rPr>
          <w:rFonts w:asciiTheme="minorHAnsi" w:hAnsiTheme="minorHAnsi"/>
          <w:color w:val="auto"/>
          <w:szCs w:val="24"/>
        </w:rPr>
        <w:t xml:space="preserve"> however, it must satisfy the requirement that each </w:t>
      </w:r>
      <w:r w:rsidR="00F91393">
        <w:rPr>
          <w:rFonts w:asciiTheme="minorHAnsi" w:hAnsiTheme="minorHAnsi"/>
          <w:color w:val="auto"/>
          <w:szCs w:val="24"/>
        </w:rPr>
        <w:t>“</w:t>
      </w:r>
      <w:r w:rsidR="00EA45BF" w:rsidRPr="009F3644">
        <w:rPr>
          <w:rFonts w:asciiTheme="minorHAnsi" w:hAnsiTheme="minorHAnsi"/>
          <w:color w:val="auto"/>
          <w:szCs w:val="24"/>
        </w:rPr>
        <w:t>unbundled</w:t>
      </w:r>
      <w:r w:rsidR="00F91393">
        <w:rPr>
          <w:rFonts w:asciiTheme="minorHAnsi" w:hAnsiTheme="minorHAnsi"/>
          <w:color w:val="auto"/>
          <w:szCs w:val="24"/>
        </w:rPr>
        <w:t>”</w:t>
      </w:r>
      <w:r w:rsidR="00EA45BF" w:rsidRPr="009F3644">
        <w:rPr>
          <w:rFonts w:asciiTheme="minorHAnsi" w:hAnsiTheme="minorHAnsi"/>
          <w:color w:val="auto"/>
          <w:szCs w:val="24"/>
        </w:rPr>
        <w:t xml:space="preserve"> condition was </w:t>
      </w:r>
      <w:r w:rsidR="00EA45BF">
        <w:rPr>
          <w:rFonts w:asciiTheme="minorHAnsi" w:hAnsiTheme="minorHAnsi"/>
          <w:color w:val="auto"/>
          <w:szCs w:val="24"/>
        </w:rPr>
        <w:t xml:space="preserve">separately </w:t>
      </w:r>
      <w:r w:rsidR="00EA45BF" w:rsidRPr="009F3644">
        <w:rPr>
          <w:rFonts w:asciiTheme="minorHAnsi" w:hAnsiTheme="minorHAnsi"/>
          <w:color w:val="auto"/>
          <w:szCs w:val="24"/>
        </w:rPr>
        <w:t>unfitting.</w:t>
      </w:r>
      <w:r w:rsidR="00EA45BF">
        <w:rPr>
          <w:rFonts w:asciiTheme="minorHAnsi" w:hAnsiTheme="minorHAnsi"/>
          <w:color w:val="auto"/>
          <w:szCs w:val="24"/>
        </w:rPr>
        <w:t xml:space="preserve"> </w:t>
      </w:r>
      <w:r w:rsidR="00EA45BF" w:rsidRPr="009F3644">
        <w:rPr>
          <w:rFonts w:asciiTheme="minorHAnsi" w:hAnsiTheme="minorHAnsi"/>
          <w:color w:val="auto"/>
          <w:szCs w:val="24"/>
        </w:rPr>
        <w:t xml:space="preserve"> </w:t>
      </w:r>
      <w:r w:rsidR="00EA45BF" w:rsidRPr="003A6B45">
        <w:rPr>
          <w:rFonts w:asciiTheme="minorHAnsi" w:hAnsiTheme="minorHAnsi"/>
          <w:color w:val="auto"/>
          <w:szCs w:val="24"/>
        </w:rPr>
        <w:t xml:space="preserve">After due deliberation, the Board agreed that </w:t>
      </w:r>
      <w:r w:rsidR="00EA45BF">
        <w:rPr>
          <w:rFonts w:asciiTheme="minorHAnsi" w:hAnsiTheme="minorHAnsi"/>
          <w:color w:val="auto"/>
          <w:szCs w:val="24"/>
        </w:rPr>
        <w:t xml:space="preserve">the </w:t>
      </w:r>
      <w:r w:rsidR="00EA45BF" w:rsidRPr="003A6B45">
        <w:rPr>
          <w:rFonts w:asciiTheme="minorHAnsi" w:hAnsiTheme="minorHAnsi"/>
          <w:color w:val="auto"/>
          <w:szCs w:val="24"/>
        </w:rPr>
        <w:t>evidence</w:t>
      </w:r>
      <w:r w:rsidR="00EA45BF">
        <w:rPr>
          <w:rFonts w:asciiTheme="minorHAnsi" w:hAnsiTheme="minorHAnsi"/>
          <w:color w:val="auto"/>
          <w:szCs w:val="24"/>
        </w:rPr>
        <w:t xml:space="preserve"> supports a conclusion that the chronic painful condition in each </w:t>
      </w:r>
      <w:r w:rsidR="00FC374F">
        <w:rPr>
          <w:rFonts w:asciiTheme="minorHAnsi" w:hAnsiTheme="minorHAnsi"/>
          <w:color w:val="auto"/>
          <w:szCs w:val="24"/>
        </w:rPr>
        <w:t>hip</w:t>
      </w:r>
      <w:r w:rsidR="00EA45BF" w:rsidRPr="003A6B45">
        <w:rPr>
          <w:rFonts w:asciiTheme="minorHAnsi" w:hAnsiTheme="minorHAnsi"/>
          <w:color w:val="auto"/>
          <w:szCs w:val="24"/>
        </w:rPr>
        <w:t xml:space="preserve">, </w:t>
      </w:r>
      <w:r w:rsidR="00EA45BF">
        <w:rPr>
          <w:rFonts w:asciiTheme="minorHAnsi" w:hAnsiTheme="minorHAnsi"/>
          <w:color w:val="auto"/>
          <w:szCs w:val="24"/>
        </w:rPr>
        <w:t>separately</w:t>
      </w:r>
      <w:r w:rsidR="00EA45BF" w:rsidRPr="003A6B45">
        <w:rPr>
          <w:rFonts w:asciiTheme="minorHAnsi" w:hAnsiTheme="minorHAnsi"/>
          <w:color w:val="auto"/>
          <w:szCs w:val="24"/>
        </w:rPr>
        <w:t xml:space="preserve">, would have rendered the CI </w:t>
      </w:r>
      <w:r w:rsidR="00EA45BF">
        <w:rPr>
          <w:rFonts w:asciiTheme="minorHAnsi" w:hAnsiTheme="minorHAnsi"/>
          <w:color w:val="auto"/>
          <w:szCs w:val="24"/>
        </w:rPr>
        <w:t>unable to perform his required military duties.  A</w:t>
      </w:r>
      <w:r w:rsidR="00EA45BF" w:rsidRPr="003A6B45">
        <w:rPr>
          <w:rFonts w:asciiTheme="minorHAnsi" w:hAnsiTheme="minorHAnsi"/>
          <w:color w:val="auto"/>
          <w:szCs w:val="24"/>
        </w:rPr>
        <w:t>ccordingly</w:t>
      </w:r>
      <w:r w:rsidR="00EA45BF">
        <w:rPr>
          <w:rFonts w:asciiTheme="minorHAnsi" w:hAnsiTheme="minorHAnsi"/>
          <w:color w:val="auto"/>
          <w:szCs w:val="24"/>
        </w:rPr>
        <w:t xml:space="preserve">, the Board </w:t>
      </w:r>
      <w:r w:rsidR="00EA45BF" w:rsidRPr="003A6B45">
        <w:rPr>
          <w:rFonts w:asciiTheme="minorHAnsi" w:hAnsiTheme="minorHAnsi"/>
          <w:color w:val="auto"/>
          <w:szCs w:val="24"/>
        </w:rPr>
        <w:t>recommend</w:t>
      </w:r>
      <w:r w:rsidR="00EA45BF">
        <w:rPr>
          <w:rFonts w:asciiTheme="minorHAnsi" w:hAnsiTheme="minorHAnsi"/>
          <w:color w:val="auto"/>
          <w:szCs w:val="24"/>
        </w:rPr>
        <w:t>s</w:t>
      </w:r>
      <w:r w:rsidR="00EA45BF" w:rsidRPr="003A6B45">
        <w:rPr>
          <w:rFonts w:asciiTheme="minorHAnsi" w:hAnsiTheme="minorHAnsi"/>
          <w:color w:val="auto"/>
          <w:szCs w:val="24"/>
        </w:rPr>
        <w:t xml:space="preserve"> a separate </w:t>
      </w:r>
      <w:r w:rsidR="00F91393">
        <w:rPr>
          <w:rFonts w:asciiTheme="minorHAnsi" w:hAnsiTheme="minorHAnsi"/>
          <w:color w:val="auto"/>
          <w:szCs w:val="24"/>
        </w:rPr>
        <w:t>s</w:t>
      </w:r>
      <w:r w:rsidR="00EA45BF" w:rsidRPr="003A6B45">
        <w:rPr>
          <w:rFonts w:asciiTheme="minorHAnsi" w:hAnsiTheme="minorHAnsi"/>
          <w:color w:val="auto"/>
          <w:szCs w:val="24"/>
        </w:rPr>
        <w:t xml:space="preserve">ervice </w:t>
      </w:r>
      <w:r w:rsidR="00EA45BF">
        <w:rPr>
          <w:rFonts w:asciiTheme="minorHAnsi" w:hAnsiTheme="minorHAnsi"/>
          <w:color w:val="auto"/>
          <w:szCs w:val="24"/>
        </w:rPr>
        <w:t xml:space="preserve">disability </w:t>
      </w:r>
      <w:r w:rsidR="00EA45BF" w:rsidRPr="003A6B45">
        <w:rPr>
          <w:rFonts w:asciiTheme="minorHAnsi" w:hAnsiTheme="minorHAnsi"/>
          <w:color w:val="auto"/>
          <w:szCs w:val="24"/>
        </w:rPr>
        <w:t>rating for</w:t>
      </w:r>
      <w:r w:rsidR="00EA45BF">
        <w:rPr>
          <w:rFonts w:asciiTheme="minorHAnsi" w:hAnsiTheme="minorHAnsi"/>
          <w:color w:val="auto"/>
          <w:szCs w:val="24"/>
        </w:rPr>
        <w:t xml:space="preserve"> each </w:t>
      </w:r>
      <w:r w:rsidR="00FC374F">
        <w:rPr>
          <w:rFonts w:asciiTheme="minorHAnsi" w:hAnsiTheme="minorHAnsi"/>
          <w:color w:val="auto"/>
          <w:szCs w:val="24"/>
        </w:rPr>
        <w:t>hip</w:t>
      </w:r>
      <w:r w:rsidR="00EA45BF" w:rsidRPr="003A6B45">
        <w:rPr>
          <w:rFonts w:asciiTheme="minorHAnsi" w:hAnsiTheme="minorHAnsi"/>
          <w:color w:val="auto"/>
          <w:szCs w:val="24"/>
        </w:rPr>
        <w:t>.</w:t>
      </w:r>
      <w:r w:rsidR="002F5339">
        <w:rPr>
          <w:rFonts w:asciiTheme="minorHAnsi" w:hAnsiTheme="minorHAnsi"/>
          <w:color w:val="auto"/>
          <w:szCs w:val="24"/>
        </w:rPr>
        <w:t xml:space="preserve">  T</w:t>
      </w:r>
      <w:r w:rsidR="00FC374F">
        <w:rPr>
          <w:rFonts w:asciiTheme="minorHAnsi" w:hAnsiTheme="minorHAnsi"/>
          <w:color w:val="auto"/>
          <w:szCs w:val="24"/>
        </w:rPr>
        <w:t xml:space="preserve">he Board </w:t>
      </w:r>
      <w:r w:rsidR="002F5339">
        <w:rPr>
          <w:rFonts w:asciiTheme="minorHAnsi" w:hAnsiTheme="minorHAnsi"/>
          <w:color w:val="auto"/>
          <w:szCs w:val="24"/>
        </w:rPr>
        <w:t xml:space="preserve">then </w:t>
      </w:r>
      <w:r w:rsidR="00FC374F">
        <w:rPr>
          <w:rFonts w:asciiTheme="minorHAnsi" w:hAnsiTheme="minorHAnsi"/>
          <w:color w:val="auto"/>
          <w:szCs w:val="24"/>
        </w:rPr>
        <w:t xml:space="preserve">examined </w:t>
      </w:r>
      <w:r w:rsidR="00F91393">
        <w:rPr>
          <w:rFonts w:asciiTheme="minorHAnsi" w:hAnsiTheme="minorHAnsi"/>
          <w:color w:val="auto"/>
          <w:szCs w:val="24"/>
        </w:rPr>
        <w:t>the PEB r</w:t>
      </w:r>
      <w:r w:rsidRPr="00100601">
        <w:rPr>
          <w:rFonts w:asciiTheme="minorHAnsi" w:hAnsiTheme="minorHAnsi"/>
          <w:color w:val="auto"/>
          <w:szCs w:val="24"/>
        </w:rPr>
        <w:t>econsideration that was done on 1 April 1998.  The Board determined that the adjudication on 1 April 1998</w:t>
      </w:r>
      <w:r>
        <w:rPr>
          <w:rFonts w:asciiTheme="minorHAnsi" w:hAnsiTheme="minorHAnsi"/>
          <w:color w:val="auto"/>
          <w:szCs w:val="24"/>
        </w:rPr>
        <w:t xml:space="preserve">, rating </w:t>
      </w:r>
      <w:r w:rsidR="00FC374F">
        <w:rPr>
          <w:rFonts w:asciiTheme="minorHAnsi" w:hAnsiTheme="minorHAnsi"/>
          <w:color w:val="auto"/>
          <w:szCs w:val="24"/>
        </w:rPr>
        <w:t xml:space="preserve">the </w:t>
      </w:r>
      <w:proofErr w:type="spellStart"/>
      <w:r w:rsidR="00FC374F">
        <w:rPr>
          <w:rFonts w:asciiTheme="minorHAnsi" w:hAnsiTheme="minorHAnsi"/>
          <w:color w:val="auto"/>
          <w:szCs w:val="24"/>
        </w:rPr>
        <w:t>osteonecrosis</w:t>
      </w:r>
      <w:proofErr w:type="spellEnd"/>
      <w:r w:rsidR="00FC374F">
        <w:rPr>
          <w:rFonts w:asciiTheme="minorHAnsi" w:hAnsiTheme="minorHAnsi"/>
          <w:color w:val="auto"/>
          <w:szCs w:val="24"/>
        </w:rPr>
        <w:t xml:space="preserve"> at 4</w:t>
      </w:r>
      <w:r>
        <w:rPr>
          <w:rFonts w:asciiTheme="minorHAnsi" w:hAnsiTheme="minorHAnsi"/>
          <w:color w:val="auto"/>
          <w:szCs w:val="24"/>
        </w:rPr>
        <w:t>0%</w:t>
      </w:r>
      <w:r w:rsidR="002F5339">
        <w:rPr>
          <w:rFonts w:asciiTheme="minorHAnsi" w:hAnsiTheme="minorHAnsi"/>
          <w:color w:val="auto"/>
          <w:szCs w:val="24"/>
        </w:rPr>
        <w:t xml:space="preserve"> (20% for each hip)</w:t>
      </w:r>
      <w:r w:rsidRPr="00100601">
        <w:rPr>
          <w:rFonts w:asciiTheme="minorHAnsi" w:hAnsiTheme="minorHAnsi"/>
          <w:color w:val="auto"/>
          <w:szCs w:val="24"/>
        </w:rPr>
        <w:t xml:space="preserve"> was correct and appropriate.  </w:t>
      </w:r>
      <w:r>
        <w:rPr>
          <w:rFonts w:asciiTheme="minorHAnsi" w:hAnsiTheme="minorHAnsi"/>
          <w:color w:val="auto"/>
          <w:szCs w:val="24"/>
        </w:rPr>
        <w:t xml:space="preserve">The Board </w:t>
      </w:r>
      <w:r w:rsidR="002F5339">
        <w:rPr>
          <w:rFonts w:asciiTheme="minorHAnsi" w:hAnsiTheme="minorHAnsi"/>
          <w:color w:val="auto"/>
          <w:szCs w:val="24"/>
        </w:rPr>
        <w:t xml:space="preserve">then </w:t>
      </w:r>
      <w:r>
        <w:rPr>
          <w:rFonts w:asciiTheme="minorHAnsi" w:hAnsiTheme="minorHAnsi"/>
          <w:color w:val="auto"/>
          <w:szCs w:val="24"/>
        </w:rPr>
        <w:t>directed its attention to its permanent rating recommendation, based upon the evidence described above.  I</w:t>
      </w:r>
      <w:r w:rsidRPr="00100601">
        <w:rPr>
          <w:rFonts w:asciiTheme="minorHAnsi" w:hAnsiTheme="minorHAnsi"/>
          <w:color w:val="auto"/>
          <w:szCs w:val="24"/>
        </w:rPr>
        <w:t xml:space="preserve">n </w:t>
      </w:r>
      <w:r w:rsidR="00FC374F">
        <w:rPr>
          <w:rFonts w:asciiTheme="minorHAnsi" w:hAnsiTheme="minorHAnsi"/>
          <w:color w:val="auto"/>
          <w:szCs w:val="24"/>
        </w:rPr>
        <w:t xml:space="preserve">November </w:t>
      </w:r>
      <w:r w:rsidRPr="00100601">
        <w:rPr>
          <w:rFonts w:asciiTheme="minorHAnsi" w:hAnsiTheme="minorHAnsi"/>
          <w:color w:val="auto"/>
          <w:szCs w:val="24"/>
        </w:rPr>
        <w:t>2003, a</w:t>
      </w:r>
      <w:r w:rsidR="00FC374F">
        <w:rPr>
          <w:rFonts w:asciiTheme="minorHAnsi" w:hAnsiTheme="minorHAnsi"/>
          <w:color w:val="auto"/>
          <w:szCs w:val="24"/>
        </w:rPr>
        <w:t>fter</w:t>
      </w:r>
      <w:r w:rsidRPr="00100601">
        <w:rPr>
          <w:rFonts w:asciiTheme="minorHAnsi" w:hAnsiTheme="minorHAnsi"/>
          <w:color w:val="auto"/>
          <w:szCs w:val="24"/>
        </w:rPr>
        <w:t xml:space="preserve"> the TDRL period,</w:t>
      </w:r>
      <w:r w:rsidR="00417955">
        <w:rPr>
          <w:rFonts w:asciiTheme="minorHAnsi" w:hAnsiTheme="minorHAnsi"/>
          <w:color w:val="auto"/>
          <w:szCs w:val="24"/>
        </w:rPr>
        <w:t xml:space="preserve"> the CI’s hip condition was re-</w:t>
      </w:r>
      <w:r w:rsidR="00FC374F">
        <w:rPr>
          <w:rFonts w:asciiTheme="minorHAnsi" w:hAnsiTheme="minorHAnsi"/>
          <w:color w:val="auto"/>
          <w:szCs w:val="24"/>
        </w:rPr>
        <w:t>evaluated at Womack Army Medical Center, Fort Bragg, NC.</w:t>
      </w:r>
      <w:r w:rsidR="00340ED7">
        <w:rPr>
          <w:rFonts w:asciiTheme="minorHAnsi" w:hAnsiTheme="minorHAnsi"/>
          <w:color w:val="auto"/>
          <w:szCs w:val="24"/>
        </w:rPr>
        <w:t xml:space="preserve">  </w:t>
      </w:r>
      <w:r w:rsidR="006C31F1">
        <w:rPr>
          <w:rFonts w:asciiTheme="minorHAnsi" w:hAnsiTheme="minorHAnsi"/>
          <w:color w:val="auto"/>
          <w:szCs w:val="24"/>
        </w:rPr>
        <w:t>The hip condition</w:t>
      </w:r>
      <w:r w:rsidR="00340ED7">
        <w:rPr>
          <w:rFonts w:asciiTheme="minorHAnsi" w:hAnsiTheme="minorHAnsi"/>
          <w:color w:val="auto"/>
          <w:szCs w:val="24"/>
        </w:rPr>
        <w:t xml:space="preserve"> had improved from the previous evaluation in 1998.  </w:t>
      </w:r>
      <w:r w:rsidR="00340ED7" w:rsidRPr="0065109B">
        <w:rPr>
          <w:color w:val="auto"/>
          <w:szCs w:val="24"/>
        </w:rPr>
        <w:t xml:space="preserve">The limitation of </w:t>
      </w:r>
      <w:r w:rsidR="00340ED7">
        <w:rPr>
          <w:color w:val="auto"/>
          <w:szCs w:val="24"/>
        </w:rPr>
        <w:t xml:space="preserve">hip </w:t>
      </w:r>
      <w:r w:rsidR="00340ED7" w:rsidRPr="0065109B">
        <w:rPr>
          <w:color w:val="auto"/>
          <w:szCs w:val="24"/>
        </w:rPr>
        <w:t xml:space="preserve">motion was essentially non-compensable based on the VASRD </w:t>
      </w:r>
      <w:r w:rsidR="00340ED7" w:rsidRPr="0065109B">
        <w:rPr>
          <w:rFonts w:asciiTheme="minorHAnsi" w:eastAsiaTheme="minorHAnsi" w:hAnsiTheme="minorHAnsi"/>
          <w:color w:val="auto"/>
          <w:szCs w:val="24"/>
        </w:rPr>
        <w:t xml:space="preserve">§4.71a diagnostic codes for loss of </w:t>
      </w:r>
      <w:r w:rsidR="00340ED7">
        <w:rPr>
          <w:rFonts w:asciiTheme="minorHAnsi" w:eastAsiaTheme="minorHAnsi" w:hAnsiTheme="minorHAnsi"/>
          <w:color w:val="auto"/>
          <w:szCs w:val="24"/>
        </w:rPr>
        <w:t>hip</w:t>
      </w:r>
      <w:r w:rsidR="00340ED7" w:rsidRPr="0065109B">
        <w:rPr>
          <w:rFonts w:asciiTheme="minorHAnsi" w:eastAsiaTheme="minorHAnsi" w:hAnsiTheme="minorHAnsi"/>
          <w:color w:val="auto"/>
          <w:szCs w:val="24"/>
        </w:rPr>
        <w:t xml:space="preserve"> motion (52</w:t>
      </w:r>
      <w:r w:rsidR="00340ED7">
        <w:rPr>
          <w:rFonts w:asciiTheme="minorHAnsi" w:eastAsiaTheme="minorHAnsi" w:hAnsiTheme="minorHAnsi"/>
          <w:color w:val="auto"/>
          <w:szCs w:val="24"/>
        </w:rPr>
        <w:t>50 through 5253</w:t>
      </w:r>
      <w:r w:rsidR="00340ED7" w:rsidRPr="0065109B">
        <w:rPr>
          <w:rFonts w:asciiTheme="minorHAnsi" w:eastAsiaTheme="minorHAnsi" w:hAnsiTheme="minorHAnsi"/>
          <w:color w:val="auto"/>
          <w:szCs w:val="24"/>
        </w:rPr>
        <w:t xml:space="preserve">).  </w:t>
      </w:r>
      <w:r w:rsidR="00340ED7" w:rsidRPr="0065109B">
        <w:rPr>
          <w:rFonts w:eastAsia="Calibri"/>
          <w:color w:val="auto"/>
          <w:szCs w:val="24"/>
        </w:rPr>
        <w:t>However</w:t>
      </w:r>
      <w:r w:rsidR="00340ED7">
        <w:rPr>
          <w:rFonts w:eastAsia="Calibri"/>
          <w:color w:val="auto"/>
          <w:szCs w:val="24"/>
        </w:rPr>
        <w:t>;</w:t>
      </w:r>
      <w:r w:rsidR="00340ED7" w:rsidRPr="0065109B">
        <w:rPr>
          <w:rFonts w:eastAsia="Calibri"/>
          <w:color w:val="auto"/>
          <w:szCs w:val="24"/>
        </w:rPr>
        <w:t xml:space="preserve"> IAW VASRD §4.40, </w:t>
      </w:r>
      <w:r w:rsidR="00340ED7" w:rsidRPr="0065109B">
        <w:rPr>
          <w:rFonts w:asciiTheme="minorHAnsi" w:eastAsiaTheme="minorHAnsi" w:hAnsiTheme="minorHAnsi"/>
          <w:color w:val="auto"/>
          <w:szCs w:val="24"/>
        </w:rPr>
        <w:t xml:space="preserve">§4.45, and </w:t>
      </w:r>
      <w:r w:rsidR="00340ED7" w:rsidRPr="0065109B">
        <w:rPr>
          <w:rFonts w:eastAsia="Calibri"/>
          <w:color w:val="auto"/>
          <w:szCs w:val="24"/>
        </w:rPr>
        <w:t>§4.59</w:t>
      </w:r>
      <w:r w:rsidR="00340ED7" w:rsidRPr="0065109B">
        <w:rPr>
          <w:color w:val="auto"/>
          <w:szCs w:val="24"/>
        </w:rPr>
        <w:t>, a 10% rating is warranted when there is satisfactory evidence of functional limitation due to painful motion of a major joint</w:t>
      </w:r>
      <w:r w:rsidR="00E667FE">
        <w:rPr>
          <w:color w:val="auto"/>
          <w:szCs w:val="24"/>
        </w:rPr>
        <w:t xml:space="preserve">.  </w:t>
      </w:r>
      <w:r w:rsidR="00E667FE">
        <w:rPr>
          <w:rFonts w:asciiTheme="minorHAnsi" w:hAnsiTheme="minorHAnsi"/>
          <w:color w:val="auto"/>
          <w:szCs w:val="24"/>
        </w:rPr>
        <w:t>At that time</w:t>
      </w:r>
      <w:r w:rsidR="006C31F1">
        <w:rPr>
          <w:rFonts w:asciiTheme="minorHAnsi" w:hAnsiTheme="minorHAnsi"/>
          <w:color w:val="auto"/>
          <w:szCs w:val="24"/>
        </w:rPr>
        <w:t xml:space="preserve"> (November 2003)</w:t>
      </w:r>
      <w:r w:rsidR="00E667FE">
        <w:rPr>
          <w:rFonts w:asciiTheme="minorHAnsi" w:hAnsiTheme="minorHAnsi"/>
          <w:color w:val="auto"/>
          <w:szCs w:val="24"/>
        </w:rPr>
        <w:t>, t</w:t>
      </w:r>
      <w:r w:rsidR="00FB26B2">
        <w:rPr>
          <w:rFonts w:asciiTheme="minorHAnsi" w:hAnsiTheme="minorHAnsi"/>
          <w:color w:val="auto"/>
          <w:szCs w:val="24"/>
        </w:rPr>
        <w:t xml:space="preserve">he CI </w:t>
      </w:r>
      <w:r w:rsidR="00E667FE">
        <w:rPr>
          <w:rFonts w:asciiTheme="minorHAnsi" w:hAnsiTheme="minorHAnsi"/>
          <w:color w:val="auto"/>
          <w:szCs w:val="24"/>
        </w:rPr>
        <w:t>was using</w:t>
      </w:r>
      <w:r w:rsidR="00FB26B2">
        <w:rPr>
          <w:rFonts w:asciiTheme="minorHAnsi" w:hAnsiTheme="minorHAnsi"/>
          <w:color w:val="auto"/>
          <w:szCs w:val="24"/>
        </w:rPr>
        <w:t xml:space="preserve"> a cane to ambulate and complain</w:t>
      </w:r>
      <w:r w:rsidR="006C31F1">
        <w:rPr>
          <w:rFonts w:asciiTheme="minorHAnsi" w:hAnsiTheme="minorHAnsi"/>
          <w:color w:val="auto"/>
          <w:szCs w:val="24"/>
        </w:rPr>
        <w:t>ed of</w:t>
      </w:r>
      <w:r w:rsidR="00FB26B2">
        <w:rPr>
          <w:rFonts w:asciiTheme="minorHAnsi" w:hAnsiTheme="minorHAnsi"/>
          <w:color w:val="auto"/>
          <w:szCs w:val="24"/>
        </w:rPr>
        <w:t xml:space="preserve"> bilateral hip pain with motion.</w:t>
      </w:r>
      <w:r w:rsidR="00E175A0">
        <w:rPr>
          <w:rFonts w:asciiTheme="minorHAnsi" w:hAnsiTheme="minorHAnsi"/>
          <w:color w:val="auto"/>
          <w:szCs w:val="24"/>
        </w:rPr>
        <w:t xml:space="preserve"> </w:t>
      </w:r>
      <w:r w:rsidR="00FB26B2">
        <w:rPr>
          <w:rFonts w:asciiTheme="minorHAnsi" w:hAnsiTheme="minorHAnsi"/>
          <w:color w:val="auto"/>
          <w:szCs w:val="24"/>
        </w:rPr>
        <w:t xml:space="preserve"> </w:t>
      </w:r>
      <w:r w:rsidR="00FB26B2" w:rsidRPr="00601022">
        <w:rPr>
          <w:rFonts w:eastAsia="Calibri"/>
          <w:color w:val="auto"/>
          <w:szCs w:val="24"/>
        </w:rPr>
        <w:t xml:space="preserve">After due deliberation, and </w:t>
      </w:r>
      <w:r w:rsidR="00E667FE">
        <w:rPr>
          <w:rFonts w:eastAsia="Calibri"/>
          <w:color w:val="auto"/>
          <w:szCs w:val="24"/>
        </w:rPr>
        <w:t xml:space="preserve">mindful of </w:t>
      </w:r>
      <w:r w:rsidR="00E667FE" w:rsidRPr="00100601">
        <w:rPr>
          <w:rFonts w:asciiTheme="minorHAnsi" w:hAnsiTheme="minorHAnsi"/>
          <w:color w:val="auto"/>
          <w:szCs w:val="24"/>
        </w:rPr>
        <w:t>VASRD</w:t>
      </w:r>
      <w:r w:rsidR="00E667FE" w:rsidRPr="00100601">
        <w:rPr>
          <w:rFonts w:asciiTheme="minorHAnsi" w:eastAsiaTheme="minorHAnsi" w:hAnsiTheme="minorHAnsi"/>
          <w:color w:val="auto"/>
          <w:szCs w:val="24"/>
        </w:rPr>
        <w:t xml:space="preserve"> §4.</w:t>
      </w:r>
      <w:r w:rsidR="00E667FE">
        <w:rPr>
          <w:rFonts w:asciiTheme="minorHAnsi" w:eastAsiaTheme="minorHAnsi" w:hAnsiTheme="minorHAnsi"/>
          <w:color w:val="auto"/>
          <w:szCs w:val="24"/>
        </w:rPr>
        <w:t>3 (</w:t>
      </w:r>
      <w:r w:rsidR="00F91393">
        <w:rPr>
          <w:rFonts w:asciiTheme="minorHAnsi" w:eastAsiaTheme="minorHAnsi" w:hAnsiTheme="minorHAnsi"/>
          <w:color w:val="auto"/>
          <w:szCs w:val="24"/>
        </w:rPr>
        <w:t>r</w:t>
      </w:r>
      <w:r w:rsidR="00E667FE">
        <w:rPr>
          <w:rFonts w:asciiTheme="minorHAnsi" w:eastAsiaTheme="minorHAnsi" w:hAnsiTheme="minorHAnsi"/>
          <w:color w:val="auto"/>
          <w:szCs w:val="24"/>
        </w:rPr>
        <w:t xml:space="preserve">easonable doubt), </w:t>
      </w:r>
      <w:r w:rsidR="00E667FE" w:rsidRPr="00100601">
        <w:rPr>
          <w:rFonts w:eastAsia="Calibri"/>
          <w:color w:val="auto"/>
          <w:szCs w:val="24"/>
        </w:rPr>
        <w:t xml:space="preserve">the Board unanimously </w:t>
      </w:r>
      <w:r w:rsidR="00E667FE">
        <w:rPr>
          <w:rFonts w:eastAsia="Calibri"/>
          <w:color w:val="auto"/>
          <w:szCs w:val="24"/>
        </w:rPr>
        <w:t>recommends a permanent separation d</w:t>
      </w:r>
      <w:r w:rsidR="00E667FE" w:rsidRPr="00100601">
        <w:rPr>
          <w:rFonts w:eastAsia="Calibri"/>
          <w:color w:val="auto"/>
          <w:szCs w:val="24"/>
        </w:rPr>
        <w:t xml:space="preserve">isability rating of </w:t>
      </w:r>
      <w:r w:rsidR="00E667FE">
        <w:rPr>
          <w:rFonts w:eastAsia="Calibri"/>
          <w:color w:val="auto"/>
          <w:szCs w:val="24"/>
        </w:rPr>
        <w:t>1</w:t>
      </w:r>
      <w:r w:rsidR="00E667FE" w:rsidRPr="00100601">
        <w:rPr>
          <w:rFonts w:eastAsia="Calibri"/>
          <w:color w:val="auto"/>
          <w:szCs w:val="24"/>
        </w:rPr>
        <w:t>0%</w:t>
      </w:r>
      <w:r w:rsidR="00E667FE">
        <w:rPr>
          <w:rFonts w:eastAsia="Calibri"/>
          <w:color w:val="auto"/>
          <w:szCs w:val="24"/>
        </w:rPr>
        <w:t xml:space="preserve"> for each hip</w:t>
      </w:r>
      <w:r w:rsidR="00FB26B2">
        <w:rPr>
          <w:rFonts w:eastAsia="Calibri"/>
          <w:color w:val="auto"/>
          <w:szCs w:val="24"/>
        </w:rPr>
        <w:t>, appropriately coded 5</w:t>
      </w:r>
      <w:r w:rsidR="00E667FE">
        <w:rPr>
          <w:rFonts w:eastAsia="Calibri"/>
          <w:color w:val="auto"/>
          <w:szCs w:val="24"/>
        </w:rPr>
        <w:t>299-5255</w:t>
      </w:r>
      <w:r w:rsidR="00FB26B2">
        <w:rPr>
          <w:rFonts w:eastAsia="Calibri"/>
          <w:color w:val="auto"/>
          <w:szCs w:val="24"/>
        </w:rPr>
        <w:t xml:space="preserve"> </w:t>
      </w:r>
      <w:r w:rsidR="00E667FE" w:rsidRPr="0065109B">
        <w:rPr>
          <w:rFonts w:eastAsia="Calibri"/>
          <w:color w:val="auto"/>
          <w:szCs w:val="24"/>
        </w:rPr>
        <w:t xml:space="preserve">IAW VASRD §4.40, </w:t>
      </w:r>
      <w:r w:rsidR="00E667FE" w:rsidRPr="0065109B">
        <w:rPr>
          <w:rFonts w:asciiTheme="minorHAnsi" w:eastAsiaTheme="minorHAnsi" w:hAnsiTheme="minorHAnsi"/>
          <w:color w:val="auto"/>
          <w:szCs w:val="24"/>
        </w:rPr>
        <w:t xml:space="preserve">§4.45, </w:t>
      </w:r>
      <w:r w:rsidR="00E667FE" w:rsidRPr="0065109B">
        <w:rPr>
          <w:rFonts w:eastAsia="Calibri"/>
          <w:color w:val="auto"/>
          <w:szCs w:val="24"/>
        </w:rPr>
        <w:t>§4.59</w:t>
      </w:r>
      <w:r w:rsidR="00E667FE">
        <w:rPr>
          <w:rFonts w:eastAsia="Calibri"/>
          <w:color w:val="auto"/>
          <w:szCs w:val="24"/>
        </w:rPr>
        <w:t xml:space="preserve">, and </w:t>
      </w:r>
      <w:r w:rsidR="00E667FE" w:rsidRPr="0065109B">
        <w:rPr>
          <w:rFonts w:eastAsia="Calibri"/>
          <w:color w:val="auto"/>
          <w:szCs w:val="24"/>
        </w:rPr>
        <w:t>§4.</w:t>
      </w:r>
      <w:r w:rsidR="00FB26B2">
        <w:rPr>
          <w:rFonts w:eastAsia="Calibri"/>
          <w:color w:val="auto"/>
          <w:szCs w:val="24"/>
        </w:rPr>
        <w:t>71a.</w:t>
      </w:r>
      <w:r w:rsidR="000475B3">
        <w:rPr>
          <w:rFonts w:asciiTheme="minorHAnsi" w:hAnsiTheme="minorHAnsi"/>
          <w:color w:val="auto"/>
          <w:szCs w:val="24"/>
        </w:rPr>
        <w:t xml:space="preserve"> </w:t>
      </w:r>
    </w:p>
    <w:p w:rsidR="00527429" w:rsidRPr="00527429" w:rsidRDefault="00527429" w:rsidP="004861BC">
      <w:pPr>
        <w:tabs>
          <w:tab w:val="left" w:pos="288"/>
          <w:tab w:val="left" w:pos="4752"/>
        </w:tabs>
        <w:spacing w:line="240" w:lineRule="exact"/>
        <w:rPr>
          <w:rFonts w:asciiTheme="minorHAnsi" w:hAnsiTheme="minorHAnsi"/>
          <w:color w:val="FF0000"/>
          <w:szCs w:val="24"/>
        </w:rPr>
      </w:pPr>
    </w:p>
    <w:p w:rsidR="00664296" w:rsidRPr="003E2D71" w:rsidRDefault="00E667FE" w:rsidP="004861BC">
      <w:pPr>
        <w:spacing w:line="240" w:lineRule="exact"/>
        <w:jc w:val="both"/>
        <w:rPr>
          <w:rFonts w:asciiTheme="minorHAnsi" w:eastAsia="HiddenHorzOCR" w:hAnsiTheme="minorHAnsi"/>
          <w:color w:val="auto"/>
          <w:szCs w:val="24"/>
        </w:rPr>
      </w:pPr>
      <w:proofErr w:type="gramStart"/>
      <w:r>
        <w:rPr>
          <w:rFonts w:asciiTheme="minorHAnsi" w:eastAsia="HiddenHorzOCR" w:hAnsiTheme="minorHAnsi"/>
          <w:color w:val="auto"/>
          <w:szCs w:val="24"/>
          <w:u w:val="single"/>
        </w:rPr>
        <w:t xml:space="preserve">Remaining </w:t>
      </w:r>
      <w:r w:rsidR="0009310C" w:rsidRPr="00664296">
        <w:rPr>
          <w:rFonts w:asciiTheme="minorHAnsi" w:eastAsia="HiddenHorzOCR" w:hAnsiTheme="minorHAnsi"/>
          <w:color w:val="auto"/>
          <w:szCs w:val="24"/>
          <w:u w:val="single"/>
        </w:rPr>
        <w:t>Conditions</w:t>
      </w:r>
      <w:r w:rsidR="00664296" w:rsidRPr="00664296">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D</w:t>
      </w:r>
      <w:r w:rsidR="0009310C">
        <w:rPr>
          <w:rFonts w:asciiTheme="minorHAnsi" w:eastAsia="HiddenHorzOCR" w:hAnsiTheme="minorHAnsi"/>
          <w:color w:val="auto"/>
          <w:szCs w:val="24"/>
        </w:rPr>
        <w:t>egenerative joint disease</w:t>
      </w:r>
      <w:r>
        <w:rPr>
          <w:rFonts w:asciiTheme="minorHAnsi" w:eastAsia="HiddenHorzOCR" w:hAnsiTheme="minorHAnsi"/>
          <w:color w:val="auto"/>
          <w:szCs w:val="24"/>
        </w:rPr>
        <w:t xml:space="preserve"> (DJD), posttraumatic stress disorder (</w:t>
      </w:r>
      <w:r w:rsidR="0009310C" w:rsidRPr="0009310C">
        <w:rPr>
          <w:rFonts w:asciiTheme="minorHAnsi" w:eastAsia="HiddenHorzOCR" w:hAnsiTheme="minorHAnsi"/>
          <w:color w:val="auto"/>
          <w:szCs w:val="24"/>
        </w:rPr>
        <w:t>PTSD</w:t>
      </w:r>
      <w:r>
        <w:rPr>
          <w:rFonts w:asciiTheme="minorHAnsi" w:eastAsia="HiddenHorzOCR" w:hAnsiTheme="minorHAnsi"/>
          <w:color w:val="auto"/>
          <w:szCs w:val="24"/>
        </w:rPr>
        <w:t>)</w:t>
      </w:r>
      <w:r w:rsidR="0009310C" w:rsidRPr="0009310C">
        <w:rPr>
          <w:rFonts w:asciiTheme="minorHAnsi" w:eastAsia="HiddenHorzOCR" w:hAnsiTheme="minorHAnsi"/>
          <w:color w:val="auto"/>
          <w:szCs w:val="24"/>
        </w:rPr>
        <w:t xml:space="preserve">, Graves’ disease, </w:t>
      </w:r>
      <w:proofErr w:type="spellStart"/>
      <w:r>
        <w:rPr>
          <w:rFonts w:asciiTheme="minorHAnsi" w:eastAsia="HiddenHorzOCR" w:hAnsiTheme="minorHAnsi"/>
          <w:color w:val="auto"/>
          <w:szCs w:val="24"/>
        </w:rPr>
        <w:t>uveitis</w:t>
      </w:r>
      <w:proofErr w:type="spellEnd"/>
      <w:r>
        <w:rPr>
          <w:rFonts w:asciiTheme="minorHAnsi" w:eastAsia="HiddenHorzOCR" w:hAnsiTheme="minorHAnsi"/>
          <w:color w:val="auto"/>
          <w:szCs w:val="24"/>
        </w:rPr>
        <w:t xml:space="preserve">, </w:t>
      </w:r>
      <w:proofErr w:type="spellStart"/>
      <w:r>
        <w:rPr>
          <w:rFonts w:asciiTheme="minorHAnsi" w:eastAsia="HiddenHorzOCR" w:hAnsiTheme="minorHAnsi"/>
          <w:color w:val="auto"/>
          <w:szCs w:val="24"/>
        </w:rPr>
        <w:t>myositis</w:t>
      </w:r>
      <w:proofErr w:type="spellEnd"/>
      <w:r>
        <w:rPr>
          <w:rFonts w:asciiTheme="minorHAnsi" w:eastAsia="HiddenHorzOCR" w:hAnsiTheme="minorHAnsi"/>
          <w:color w:val="auto"/>
          <w:szCs w:val="24"/>
        </w:rPr>
        <w:t xml:space="preserve">, </w:t>
      </w:r>
      <w:r w:rsidR="0009310C" w:rsidRPr="0009310C">
        <w:rPr>
          <w:rFonts w:asciiTheme="minorHAnsi" w:eastAsia="HiddenHorzOCR" w:hAnsiTheme="minorHAnsi"/>
          <w:color w:val="auto"/>
          <w:szCs w:val="24"/>
        </w:rPr>
        <w:t xml:space="preserve">dental disorder, </w:t>
      </w:r>
      <w:r w:rsidR="00A20839">
        <w:rPr>
          <w:rFonts w:asciiTheme="minorHAnsi" w:eastAsia="HiddenHorzOCR" w:hAnsiTheme="minorHAnsi"/>
          <w:color w:val="auto"/>
          <w:szCs w:val="24"/>
        </w:rPr>
        <w:t>shoulder</w:t>
      </w:r>
      <w:r>
        <w:rPr>
          <w:rFonts w:asciiTheme="minorHAnsi" w:eastAsia="HiddenHorzOCR" w:hAnsiTheme="minorHAnsi"/>
          <w:color w:val="auto"/>
          <w:szCs w:val="24"/>
        </w:rPr>
        <w:t xml:space="preserve"> pain</w:t>
      </w:r>
      <w:r w:rsidR="00A20839">
        <w:rPr>
          <w:rFonts w:asciiTheme="minorHAnsi" w:eastAsia="HiddenHorzOCR" w:hAnsiTheme="minorHAnsi"/>
          <w:color w:val="auto"/>
          <w:szCs w:val="24"/>
        </w:rPr>
        <w:t>,</w:t>
      </w:r>
      <w:r w:rsidR="0009310C" w:rsidRPr="0009310C">
        <w:rPr>
          <w:rFonts w:asciiTheme="minorHAnsi" w:eastAsia="HiddenHorzOCR" w:hAnsiTheme="minorHAnsi"/>
          <w:color w:val="auto"/>
          <w:szCs w:val="24"/>
        </w:rPr>
        <w:t xml:space="preserve"> rectal bleeding, headaches,</w:t>
      </w:r>
      <w:r>
        <w:rPr>
          <w:rFonts w:asciiTheme="minorHAnsi" w:eastAsia="HiddenHorzOCR" w:hAnsiTheme="minorHAnsi"/>
          <w:color w:val="auto"/>
          <w:szCs w:val="24"/>
        </w:rPr>
        <w:t xml:space="preserve"> </w:t>
      </w:r>
      <w:r w:rsidR="00A20839">
        <w:rPr>
          <w:rFonts w:asciiTheme="minorHAnsi" w:eastAsia="HiddenHorzOCR" w:hAnsiTheme="minorHAnsi"/>
          <w:color w:val="auto"/>
          <w:szCs w:val="24"/>
        </w:rPr>
        <w:t>low back pain</w:t>
      </w:r>
      <w:r>
        <w:rPr>
          <w:rFonts w:asciiTheme="minorHAnsi" w:eastAsia="HiddenHorzOCR" w:hAnsiTheme="minorHAnsi"/>
          <w:color w:val="auto"/>
          <w:szCs w:val="24"/>
        </w:rPr>
        <w:t xml:space="preserve"> (LBP)</w:t>
      </w:r>
      <w:r w:rsidR="00A20839">
        <w:rPr>
          <w:rFonts w:asciiTheme="minorHAnsi" w:eastAsia="HiddenHorzOCR" w:hAnsiTheme="minorHAnsi"/>
          <w:color w:val="auto"/>
          <w:szCs w:val="24"/>
        </w:rPr>
        <w:t xml:space="preserve">, </w:t>
      </w:r>
      <w:r w:rsidR="0009310C" w:rsidRPr="0009310C">
        <w:rPr>
          <w:rFonts w:asciiTheme="minorHAnsi" w:eastAsia="HiddenHorzOCR" w:hAnsiTheme="minorHAnsi"/>
          <w:color w:val="auto"/>
          <w:szCs w:val="24"/>
        </w:rPr>
        <w:t xml:space="preserve">sinusitis, </w:t>
      </w:r>
      <w:r>
        <w:rPr>
          <w:rFonts w:asciiTheme="minorHAnsi" w:eastAsia="HiddenHorzOCR" w:hAnsiTheme="minorHAnsi"/>
          <w:color w:val="auto"/>
          <w:szCs w:val="24"/>
        </w:rPr>
        <w:t>erectile dysfunction (ED)</w:t>
      </w:r>
      <w:r w:rsidR="0009310C" w:rsidRPr="0009310C">
        <w:rPr>
          <w:rFonts w:asciiTheme="minorHAnsi" w:eastAsia="HiddenHorzOCR" w:hAnsiTheme="minorHAnsi"/>
          <w:color w:val="auto"/>
          <w:szCs w:val="24"/>
        </w:rPr>
        <w:t>, h</w:t>
      </w:r>
      <w:r w:rsidR="00A20839">
        <w:rPr>
          <w:rFonts w:asciiTheme="minorHAnsi" w:eastAsia="HiddenHorzOCR" w:hAnsiTheme="minorHAnsi"/>
          <w:color w:val="auto"/>
          <w:szCs w:val="24"/>
        </w:rPr>
        <w:t>emorrhoids,</w:t>
      </w:r>
      <w:r w:rsidR="0009310C" w:rsidRPr="0009310C">
        <w:rPr>
          <w:rFonts w:asciiTheme="minorHAnsi" w:eastAsia="HiddenHorzOCR" w:hAnsiTheme="minorHAnsi"/>
          <w:color w:val="auto"/>
          <w:szCs w:val="24"/>
        </w:rPr>
        <w:t xml:space="preserve"> </w:t>
      </w:r>
      <w:proofErr w:type="spellStart"/>
      <w:r w:rsidR="0009310C" w:rsidRPr="0009310C">
        <w:rPr>
          <w:rFonts w:asciiTheme="minorHAnsi" w:eastAsia="HiddenHorzOCR" w:hAnsiTheme="minorHAnsi"/>
          <w:color w:val="auto"/>
          <w:szCs w:val="24"/>
        </w:rPr>
        <w:t>rhabdomyolysis</w:t>
      </w:r>
      <w:proofErr w:type="spellEnd"/>
      <w:r w:rsidR="0009310C" w:rsidRPr="0009310C">
        <w:rPr>
          <w:rFonts w:asciiTheme="minorHAnsi" w:eastAsia="HiddenHorzOCR" w:hAnsiTheme="minorHAnsi"/>
          <w:color w:val="auto"/>
          <w:szCs w:val="24"/>
        </w:rPr>
        <w:t xml:space="preserve">, </w:t>
      </w:r>
      <w:proofErr w:type="spellStart"/>
      <w:r w:rsidR="0009310C" w:rsidRPr="0009310C">
        <w:rPr>
          <w:rFonts w:asciiTheme="minorHAnsi" w:eastAsia="HiddenHorzOCR" w:hAnsiTheme="minorHAnsi"/>
          <w:color w:val="auto"/>
          <w:szCs w:val="24"/>
        </w:rPr>
        <w:t>celluli</w:t>
      </w:r>
      <w:r w:rsidR="003E2D71">
        <w:rPr>
          <w:rFonts w:asciiTheme="minorHAnsi" w:eastAsia="HiddenHorzOCR" w:hAnsiTheme="minorHAnsi"/>
          <w:color w:val="auto"/>
          <w:szCs w:val="24"/>
        </w:rPr>
        <w:t>tis</w:t>
      </w:r>
      <w:proofErr w:type="spellEnd"/>
      <w:r w:rsidR="003E2D71">
        <w:rPr>
          <w:rFonts w:asciiTheme="minorHAnsi" w:eastAsia="HiddenHorzOCR" w:hAnsiTheme="minorHAnsi"/>
          <w:color w:val="auto"/>
          <w:szCs w:val="24"/>
        </w:rPr>
        <w:t xml:space="preserve">, </w:t>
      </w:r>
      <w:r w:rsidR="00A20839">
        <w:rPr>
          <w:rFonts w:asciiTheme="minorHAnsi" w:eastAsia="HiddenHorzOCR" w:hAnsiTheme="minorHAnsi"/>
          <w:color w:val="auto"/>
          <w:szCs w:val="24"/>
        </w:rPr>
        <w:t xml:space="preserve">abscess, </w:t>
      </w:r>
      <w:proofErr w:type="spellStart"/>
      <w:r w:rsidR="003E2D71">
        <w:rPr>
          <w:rFonts w:asciiTheme="minorHAnsi" w:eastAsia="HiddenHorzOCR" w:hAnsiTheme="minorHAnsi"/>
          <w:color w:val="auto"/>
          <w:szCs w:val="24"/>
        </w:rPr>
        <w:t>gastroesophageal</w:t>
      </w:r>
      <w:proofErr w:type="spellEnd"/>
      <w:r w:rsidR="003E2D71">
        <w:rPr>
          <w:rFonts w:asciiTheme="minorHAnsi" w:eastAsia="HiddenHorzOCR" w:hAnsiTheme="minorHAnsi"/>
          <w:color w:val="auto"/>
          <w:szCs w:val="24"/>
        </w:rPr>
        <w:t xml:space="preserve"> reflux disease (</w:t>
      </w:r>
      <w:r w:rsidR="00A20839">
        <w:rPr>
          <w:rFonts w:asciiTheme="minorHAnsi" w:eastAsia="HiddenHorzOCR" w:hAnsiTheme="minorHAnsi"/>
          <w:color w:val="auto"/>
          <w:szCs w:val="24"/>
        </w:rPr>
        <w:t>GERD</w:t>
      </w:r>
      <w:r w:rsidR="003E2D71">
        <w:rPr>
          <w:rFonts w:asciiTheme="minorHAnsi" w:eastAsia="HiddenHorzOCR" w:hAnsiTheme="minorHAnsi"/>
          <w:color w:val="auto"/>
          <w:szCs w:val="24"/>
        </w:rPr>
        <w:t>)</w:t>
      </w:r>
      <w:r w:rsidR="00A20839">
        <w:rPr>
          <w:rFonts w:asciiTheme="minorHAnsi" w:eastAsia="HiddenHorzOCR" w:hAnsiTheme="minorHAnsi"/>
          <w:color w:val="auto"/>
          <w:szCs w:val="24"/>
        </w:rPr>
        <w:t>,</w:t>
      </w:r>
      <w:r w:rsidR="0009310C" w:rsidRPr="0009310C">
        <w:rPr>
          <w:rFonts w:asciiTheme="minorHAnsi" w:eastAsia="HiddenHorzOCR" w:hAnsiTheme="minorHAnsi"/>
          <w:color w:val="auto"/>
          <w:szCs w:val="24"/>
        </w:rPr>
        <w:t xml:space="preserve"> </w:t>
      </w:r>
      <w:r w:rsidR="003E2D71">
        <w:rPr>
          <w:rFonts w:asciiTheme="minorHAnsi" w:eastAsia="HiddenHorzOCR" w:hAnsiTheme="minorHAnsi"/>
          <w:color w:val="auto"/>
          <w:szCs w:val="24"/>
        </w:rPr>
        <w:t xml:space="preserve">vitamin </w:t>
      </w:r>
      <w:r w:rsidR="0009310C" w:rsidRPr="0009310C">
        <w:rPr>
          <w:rFonts w:asciiTheme="minorHAnsi" w:eastAsia="HiddenHorzOCR" w:hAnsiTheme="minorHAnsi"/>
          <w:color w:val="auto"/>
          <w:szCs w:val="24"/>
        </w:rPr>
        <w:t>B</w:t>
      </w:r>
      <w:r w:rsidR="003E2D71">
        <w:rPr>
          <w:rFonts w:asciiTheme="minorHAnsi" w:eastAsia="HiddenHorzOCR" w:hAnsiTheme="minorHAnsi"/>
          <w:color w:val="auto"/>
          <w:szCs w:val="24"/>
        </w:rPr>
        <w:t>-</w:t>
      </w:r>
      <w:r w:rsidR="0009310C" w:rsidRPr="0009310C">
        <w:rPr>
          <w:rFonts w:asciiTheme="minorHAnsi" w:eastAsia="HiddenHorzOCR" w:hAnsiTheme="minorHAnsi"/>
          <w:color w:val="auto"/>
          <w:szCs w:val="24"/>
        </w:rPr>
        <w:t>12</w:t>
      </w:r>
      <w:r w:rsidR="003E2D71">
        <w:rPr>
          <w:rFonts w:asciiTheme="minorHAnsi" w:eastAsia="HiddenHorzOCR" w:hAnsiTheme="minorHAnsi"/>
          <w:color w:val="auto"/>
          <w:szCs w:val="24"/>
        </w:rPr>
        <w:t xml:space="preserve"> deficiency, f</w:t>
      </w:r>
      <w:r w:rsidR="0009310C">
        <w:rPr>
          <w:rFonts w:asciiTheme="minorHAnsi" w:eastAsia="HiddenHorzOCR" w:hAnsiTheme="minorHAnsi"/>
          <w:color w:val="auto"/>
          <w:szCs w:val="24"/>
        </w:rPr>
        <w:t>olic acid</w:t>
      </w:r>
      <w:r w:rsidR="0009310C" w:rsidRPr="0009310C">
        <w:rPr>
          <w:rFonts w:asciiTheme="minorHAnsi" w:eastAsia="HiddenHorzOCR" w:hAnsiTheme="minorHAnsi"/>
          <w:color w:val="auto"/>
          <w:szCs w:val="24"/>
        </w:rPr>
        <w:t xml:space="preserve"> </w:t>
      </w:r>
      <w:r w:rsidR="0009310C">
        <w:rPr>
          <w:rFonts w:asciiTheme="minorHAnsi" w:eastAsia="HiddenHorzOCR" w:hAnsiTheme="minorHAnsi"/>
          <w:color w:val="auto"/>
          <w:szCs w:val="24"/>
        </w:rPr>
        <w:t xml:space="preserve">deficiency, </w:t>
      </w:r>
      <w:r w:rsidR="0009310C" w:rsidRPr="0009310C">
        <w:rPr>
          <w:rFonts w:asciiTheme="minorHAnsi" w:eastAsia="HiddenHorzOCR" w:hAnsiTheme="minorHAnsi"/>
          <w:color w:val="auto"/>
          <w:szCs w:val="24"/>
        </w:rPr>
        <w:lastRenderedPageBreak/>
        <w:t>upper respiratory infection</w:t>
      </w:r>
      <w:r w:rsidR="00A43BF2">
        <w:rPr>
          <w:rFonts w:asciiTheme="minorHAnsi" w:eastAsia="HiddenHorzOCR" w:hAnsiTheme="minorHAnsi"/>
          <w:color w:val="auto"/>
          <w:szCs w:val="24"/>
        </w:rPr>
        <w:t xml:space="preserve"> (URI)</w:t>
      </w:r>
      <w:r w:rsidR="0009310C" w:rsidRPr="0009310C">
        <w:rPr>
          <w:rFonts w:asciiTheme="minorHAnsi" w:eastAsia="HiddenHorzOCR" w:hAnsiTheme="minorHAnsi"/>
          <w:color w:val="auto"/>
          <w:szCs w:val="24"/>
        </w:rPr>
        <w:t>,</w:t>
      </w:r>
      <w:r w:rsidR="00A20839">
        <w:rPr>
          <w:rFonts w:asciiTheme="minorHAnsi" w:eastAsia="HiddenHorzOCR" w:hAnsiTheme="minorHAnsi"/>
          <w:color w:val="auto"/>
          <w:szCs w:val="24"/>
        </w:rPr>
        <w:t xml:space="preserve"> injuries</w:t>
      </w:r>
      <w:r w:rsidR="003E2D71">
        <w:rPr>
          <w:rFonts w:asciiTheme="minorHAnsi" w:eastAsia="HiddenHorzOCR" w:hAnsiTheme="minorHAnsi"/>
          <w:color w:val="auto"/>
          <w:szCs w:val="24"/>
        </w:rPr>
        <w:t xml:space="preserve"> to both lower extremities</w:t>
      </w:r>
      <w:r w:rsidR="00A20839">
        <w:rPr>
          <w:rFonts w:asciiTheme="minorHAnsi" w:eastAsia="HiddenHorzOCR" w:hAnsiTheme="minorHAnsi"/>
          <w:color w:val="auto"/>
          <w:szCs w:val="24"/>
        </w:rPr>
        <w:t>,</w:t>
      </w:r>
      <w:r w:rsidR="0009310C" w:rsidRPr="0009310C">
        <w:rPr>
          <w:rFonts w:asciiTheme="minorHAnsi" w:eastAsia="HiddenHorzOCR" w:hAnsiTheme="minorHAnsi"/>
          <w:color w:val="auto"/>
          <w:szCs w:val="24"/>
        </w:rPr>
        <w:t xml:space="preserve"> radiation po</w:t>
      </w:r>
      <w:r w:rsidR="00A20839">
        <w:rPr>
          <w:rFonts w:asciiTheme="minorHAnsi" w:eastAsia="HiddenHorzOCR" w:hAnsiTheme="minorHAnsi"/>
          <w:color w:val="auto"/>
          <w:szCs w:val="24"/>
        </w:rPr>
        <w:t>i</w:t>
      </w:r>
      <w:r w:rsidR="0009310C" w:rsidRPr="0009310C">
        <w:rPr>
          <w:rFonts w:asciiTheme="minorHAnsi" w:eastAsia="HiddenHorzOCR" w:hAnsiTheme="minorHAnsi"/>
          <w:color w:val="auto"/>
          <w:szCs w:val="24"/>
        </w:rPr>
        <w:t>s</w:t>
      </w:r>
      <w:r w:rsidR="00A20839">
        <w:rPr>
          <w:rFonts w:asciiTheme="minorHAnsi" w:eastAsia="HiddenHorzOCR" w:hAnsiTheme="minorHAnsi"/>
          <w:color w:val="auto"/>
          <w:szCs w:val="24"/>
        </w:rPr>
        <w:t>on</w:t>
      </w:r>
      <w:r w:rsidR="0009310C" w:rsidRPr="0009310C">
        <w:rPr>
          <w:rFonts w:asciiTheme="minorHAnsi" w:eastAsia="HiddenHorzOCR" w:hAnsiTheme="minorHAnsi"/>
          <w:color w:val="auto"/>
          <w:szCs w:val="24"/>
        </w:rPr>
        <w:t>in</w:t>
      </w:r>
      <w:r w:rsidR="00A20839">
        <w:rPr>
          <w:rFonts w:asciiTheme="minorHAnsi" w:eastAsia="HiddenHorzOCR" w:hAnsiTheme="minorHAnsi"/>
          <w:color w:val="auto"/>
          <w:szCs w:val="24"/>
        </w:rPr>
        <w:t>g, right hand condition, pseudo</w:t>
      </w:r>
      <w:r w:rsidR="0009310C">
        <w:rPr>
          <w:rFonts w:asciiTheme="minorHAnsi" w:eastAsia="HiddenHorzOCR" w:hAnsiTheme="minorHAnsi"/>
          <w:color w:val="auto"/>
          <w:szCs w:val="24"/>
        </w:rPr>
        <w:t>folliculitis barbae</w:t>
      </w:r>
      <w:r w:rsidR="003E2D71">
        <w:rPr>
          <w:rFonts w:asciiTheme="minorHAnsi" w:eastAsia="HiddenHorzOCR" w:hAnsiTheme="minorHAnsi"/>
          <w:color w:val="auto"/>
          <w:szCs w:val="24"/>
        </w:rPr>
        <w:t xml:space="preserve"> (PFB)</w:t>
      </w:r>
      <w:r w:rsidR="00A20839">
        <w:rPr>
          <w:rFonts w:asciiTheme="minorHAnsi" w:eastAsia="HiddenHorzOCR" w:hAnsiTheme="minorHAnsi"/>
          <w:color w:val="auto"/>
          <w:szCs w:val="24"/>
        </w:rPr>
        <w:t xml:space="preserve">, </w:t>
      </w:r>
      <w:proofErr w:type="spellStart"/>
      <w:r w:rsidR="00A20839">
        <w:rPr>
          <w:rFonts w:asciiTheme="minorHAnsi" w:eastAsia="HiddenHorzOCR" w:hAnsiTheme="minorHAnsi"/>
          <w:color w:val="auto"/>
          <w:szCs w:val="24"/>
        </w:rPr>
        <w:t>Ra</w:t>
      </w:r>
      <w:r w:rsidR="0009310C" w:rsidRPr="0009310C">
        <w:rPr>
          <w:rFonts w:asciiTheme="minorHAnsi" w:eastAsia="HiddenHorzOCR" w:hAnsiTheme="minorHAnsi"/>
          <w:color w:val="auto"/>
          <w:szCs w:val="24"/>
        </w:rPr>
        <w:t>ynaud’s</w:t>
      </w:r>
      <w:proofErr w:type="spellEnd"/>
      <w:r w:rsidR="0009310C" w:rsidRPr="0009310C">
        <w:rPr>
          <w:rFonts w:asciiTheme="minorHAnsi" w:eastAsia="HiddenHorzOCR" w:hAnsiTheme="minorHAnsi"/>
          <w:color w:val="auto"/>
          <w:szCs w:val="24"/>
        </w:rPr>
        <w:t xml:space="preserve"> disease, nightmare</w:t>
      </w:r>
      <w:r w:rsidR="00A20839">
        <w:rPr>
          <w:rFonts w:asciiTheme="minorHAnsi" w:eastAsia="HiddenHorzOCR" w:hAnsiTheme="minorHAnsi"/>
          <w:color w:val="auto"/>
          <w:szCs w:val="24"/>
        </w:rPr>
        <w:t>s</w:t>
      </w:r>
      <w:r w:rsidR="0009310C" w:rsidRPr="0009310C">
        <w:rPr>
          <w:rFonts w:asciiTheme="minorHAnsi" w:eastAsia="HiddenHorzOCR" w:hAnsiTheme="minorHAnsi"/>
          <w:color w:val="auto"/>
          <w:szCs w:val="24"/>
        </w:rPr>
        <w:t>, restless leg syndrome</w:t>
      </w:r>
      <w:r w:rsidR="00A43BF2">
        <w:rPr>
          <w:rFonts w:asciiTheme="minorHAnsi" w:eastAsia="HiddenHorzOCR" w:hAnsiTheme="minorHAnsi"/>
          <w:color w:val="auto"/>
          <w:szCs w:val="24"/>
        </w:rPr>
        <w:t xml:space="preserve"> (RLS)</w:t>
      </w:r>
      <w:r w:rsidR="0009310C" w:rsidRPr="0009310C">
        <w:rPr>
          <w:rFonts w:asciiTheme="minorHAnsi" w:eastAsia="HiddenHorzOCR" w:hAnsiTheme="minorHAnsi"/>
          <w:color w:val="auto"/>
          <w:szCs w:val="24"/>
        </w:rPr>
        <w:t>, kidney disorder, liver disorder, chronic fatigue, broke</w:t>
      </w:r>
      <w:r w:rsidR="003E2D71">
        <w:rPr>
          <w:rFonts w:asciiTheme="minorHAnsi" w:eastAsia="HiddenHorzOCR" w:hAnsiTheme="minorHAnsi"/>
          <w:color w:val="auto"/>
          <w:szCs w:val="24"/>
        </w:rPr>
        <w:t>n</w:t>
      </w:r>
      <w:r w:rsidR="0009310C" w:rsidRPr="0009310C">
        <w:rPr>
          <w:rFonts w:asciiTheme="minorHAnsi" w:eastAsia="HiddenHorzOCR" w:hAnsiTheme="minorHAnsi"/>
          <w:color w:val="auto"/>
          <w:szCs w:val="24"/>
        </w:rPr>
        <w:t xml:space="preserve"> ribs, broken nose, head injury, exposure to DU</w:t>
      </w:r>
      <w:r w:rsidR="003E2D71">
        <w:rPr>
          <w:rFonts w:asciiTheme="minorHAnsi" w:eastAsia="HiddenHorzOCR" w:hAnsiTheme="minorHAnsi"/>
          <w:color w:val="auto"/>
          <w:szCs w:val="24"/>
        </w:rPr>
        <w:t xml:space="preserve">, </w:t>
      </w:r>
      <w:r w:rsidR="0009310C" w:rsidRPr="0009310C">
        <w:rPr>
          <w:rFonts w:asciiTheme="minorHAnsi" w:eastAsia="HiddenHorzOCR" w:hAnsiTheme="minorHAnsi"/>
          <w:color w:val="auto"/>
          <w:szCs w:val="24"/>
        </w:rPr>
        <w:t>Gulf War</w:t>
      </w:r>
      <w:r w:rsidR="003E2D71">
        <w:rPr>
          <w:rFonts w:asciiTheme="minorHAnsi" w:eastAsia="HiddenHorzOCR" w:hAnsiTheme="minorHAnsi"/>
          <w:color w:val="auto"/>
          <w:szCs w:val="24"/>
        </w:rPr>
        <w:t xml:space="preserve"> Syndrome (GWS), hypertension</w:t>
      </w:r>
      <w:r w:rsidR="00A43BF2">
        <w:rPr>
          <w:rFonts w:asciiTheme="minorHAnsi" w:eastAsia="HiddenHorzOCR" w:hAnsiTheme="minorHAnsi"/>
          <w:color w:val="auto"/>
          <w:szCs w:val="24"/>
        </w:rPr>
        <w:t xml:space="preserve"> (HTN)</w:t>
      </w:r>
      <w:r w:rsidR="003E2D71">
        <w:rPr>
          <w:rFonts w:asciiTheme="minorHAnsi" w:eastAsia="HiddenHorzOCR" w:hAnsiTheme="minorHAnsi"/>
          <w:color w:val="auto"/>
          <w:szCs w:val="24"/>
        </w:rPr>
        <w:t>, and several other conditions were also noted in the file</w:t>
      </w:r>
      <w:r w:rsidR="00664296" w:rsidRPr="00664296">
        <w:rPr>
          <w:rFonts w:asciiTheme="minorHAnsi" w:eastAsia="HiddenHorzOCR" w:hAnsiTheme="minorHAnsi"/>
          <w:color w:val="auto"/>
          <w:szCs w:val="24"/>
        </w:rPr>
        <w:t>.  All</w:t>
      </w:r>
      <w:r w:rsidR="00664296" w:rsidRPr="00664296">
        <w:t xml:space="preserve"> </w:t>
      </w:r>
      <w:r w:rsidR="00664296" w:rsidRPr="00664296">
        <w:rPr>
          <w:rFonts w:asciiTheme="minorHAnsi" w:hAnsiTheme="minorHAnsi"/>
          <w:color w:val="auto"/>
          <w:szCs w:val="24"/>
        </w:rPr>
        <w:t xml:space="preserve">of these conditions were reviewed by the action officer and considered by the Board.  There was no evidence that any of the conditions interfered with duty performance to a degree that could be argued as unfitting.  The Board determined that none of the stated conditions were subject to </w:t>
      </w:r>
      <w:r w:rsidR="00F91393">
        <w:rPr>
          <w:rFonts w:asciiTheme="minorHAnsi" w:hAnsiTheme="minorHAnsi"/>
          <w:color w:val="auto"/>
          <w:szCs w:val="24"/>
        </w:rPr>
        <w:t>s</w:t>
      </w:r>
      <w:r w:rsidR="00664296" w:rsidRPr="00664296">
        <w:rPr>
          <w:rFonts w:asciiTheme="minorHAnsi" w:hAnsiTheme="minorHAnsi"/>
          <w:color w:val="auto"/>
          <w:szCs w:val="24"/>
        </w:rPr>
        <w:t>ervice disability rating.</w:t>
      </w:r>
      <w:r w:rsidR="003E2D71">
        <w:rPr>
          <w:rFonts w:asciiTheme="minorHAnsi" w:eastAsia="HiddenHorzOCR" w:hAnsiTheme="minorHAnsi"/>
          <w:color w:val="auto"/>
          <w:szCs w:val="24"/>
        </w:rPr>
        <w:t xml:space="preserve">  </w:t>
      </w:r>
      <w:r w:rsidR="00664296" w:rsidRPr="00664296">
        <w:rPr>
          <w:rFonts w:asciiTheme="minorHAnsi" w:hAnsiTheme="minorHAnsi"/>
          <w:color w:val="auto"/>
          <w:szCs w:val="24"/>
        </w:rPr>
        <w:t>The Board does not have the authority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4861B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4861BC">
      <w:pPr>
        <w:spacing w:line="240" w:lineRule="exact"/>
        <w:rPr>
          <w:rFonts w:asciiTheme="minorHAnsi" w:hAnsiTheme="minorHAnsi"/>
          <w:b/>
          <w:color w:val="auto"/>
          <w:szCs w:val="24"/>
          <w:u w:val="single"/>
        </w:rPr>
      </w:pPr>
    </w:p>
    <w:p w:rsidR="004861BC" w:rsidRPr="00E573C7" w:rsidRDefault="00C56FC8" w:rsidP="004861B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E04BE">
        <w:rPr>
          <w:rFonts w:asciiTheme="minorHAnsi" w:eastAsiaTheme="minorHAnsi" w:hAnsiTheme="minorHAnsi"/>
          <w:color w:val="auto"/>
          <w:szCs w:val="24"/>
        </w:rPr>
        <w:t xml:space="preserve"> </w:t>
      </w:r>
      <w:r w:rsidR="00664296" w:rsidRPr="00664296">
        <w:rPr>
          <w:rFonts w:asciiTheme="minorHAnsi" w:eastAsiaTheme="minorHAnsi" w:hAnsiTheme="minorHAnsi"/>
          <w:color w:val="FF0000"/>
          <w:szCs w:val="24"/>
        </w:rPr>
        <w:t xml:space="preserve"> </w:t>
      </w:r>
      <w:r w:rsidR="00664296" w:rsidRPr="00664296">
        <w:rPr>
          <w:rFonts w:asciiTheme="minorHAnsi" w:hAnsiTheme="minorHAnsi"/>
          <w:color w:val="auto"/>
        </w:rPr>
        <w:t xml:space="preserve">In the matter of the </w:t>
      </w:r>
      <w:proofErr w:type="spellStart"/>
      <w:r w:rsidR="00F81B59">
        <w:rPr>
          <w:rFonts w:asciiTheme="minorHAnsi" w:hAnsiTheme="minorHAnsi"/>
          <w:color w:val="auto"/>
        </w:rPr>
        <w:t>sarcoidosis</w:t>
      </w:r>
      <w:proofErr w:type="spellEnd"/>
      <w:r w:rsidR="00664296" w:rsidRPr="00664296">
        <w:rPr>
          <w:rFonts w:asciiTheme="minorHAnsi" w:hAnsiTheme="minorHAnsi"/>
          <w:color w:val="auto"/>
        </w:rPr>
        <w:t xml:space="preserve">, the Board </w:t>
      </w:r>
      <w:r w:rsidR="00664296" w:rsidRPr="00F81B59">
        <w:rPr>
          <w:rFonts w:asciiTheme="minorHAnsi" w:hAnsiTheme="minorHAnsi"/>
          <w:color w:val="auto"/>
        </w:rPr>
        <w:t>unanimously</w:t>
      </w:r>
      <w:r w:rsidR="00664296" w:rsidRPr="00664296">
        <w:rPr>
          <w:rFonts w:asciiTheme="minorHAnsi" w:hAnsiTheme="minorHAnsi"/>
          <w:color w:val="auto"/>
        </w:rPr>
        <w:t xml:space="preserve"> recommends a </w:t>
      </w:r>
      <w:r w:rsidR="006C31F1">
        <w:rPr>
          <w:rFonts w:asciiTheme="minorHAnsi" w:hAnsiTheme="minorHAnsi"/>
          <w:color w:val="auto"/>
        </w:rPr>
        <w:t xml:space="preserve">permanent separation rating of </w:t>
      </w:r>
      <w:r w:rsidR="00081B96">
        <w:rPr>
          <w:rFonts w:asciiTheme="minorHAnsi" w:hAnsiTheme="minorHAnsi"/>
          <w:color w:val="auto"/>
        </w:rPr>
        <w:t>3</w:t>
      </w:r>
      <w:r w:rsidR="00664296" w:rsidRPr="00664296">
        <w:rPr>
          <w:rFonts w:asciiTheme="minorHAnsi" w:hAnsiTheme="minorHAnsi"/>
          <w:color w:val="auto"/>
        </w:rPr>
        <w:t>0%</w:t>
      </w:r>
      <w:r w:rsidR="006C31F1">
        <w:rPr>
          <w:rFonts w:asciiTheme="minorHAnsi" w:hAnsiTheme="minorHAnsi"/>
          <w:color w:val="auto"/>
        </w:rPr>
        <w:t>,</w:t>
      </w:r>
      <w:r w:rsidR="00664296" w:rsidRPr="00664296">
        <w:rPr>
          <w:rFonts w:asciiTheme="minorHAnsi" w:hAnsiTheme="minorHAnsi"/>
          <w:color w:val="auto"/>
        </w:rPr>
        <w:t xml:space="preserve"> coded </w:t>
      </w:r>
      <w:r w:rsidR="00081B96">
        <w:rPr>
          <w:rFonts w:asciiTheme="minorHAnsi" w:hAnsiTheme="minorHAnsi"/>
          <w:color w:val="auto"/>
        </w:rPr>
        <w:t>6846</w:t>
      </w:r>
      <w:r w:rsidR="00664296" w:rsidRPr="00664296">
        <w:rPr>
          <w:rFonts w:asciiTheme="minorHAnsi" w:hAnsiTheme="minorHAnsi"/>
          <w:color w:val="auto"/>
        </w:rPr>
        <w:t xml:space="preserve"> IAW VASRD §</w:t>
      </w:r>
      <w:r w:rsidR="00081B96">
        <w:rPr>
          <w:rFonts w:asciiTheme="minorHAnsi" w:hAnsiTheme="minorHAnsi"/>
          <w:color w:val="auto"/>
          <w:szCs w:val="24"/>
        </w:rPr>
        <w:t>4.97</w:t>
      </w:r>
      <w:r w:rsidR="00664296" w:rsidRPr="00664296">
        <w:rPr>
          <w:rFonts w:asciiTheme="minorHAnsi" w:hAnsiTheme="minorHAnsi"/>
          <w:color w:val="auto"/>
        </w:rPr>
        <w:t>.</w:t>
      </w:r>
      <w:r w:rsidR="004861BC">
        <w:rPr>
          <w:rFonts w:asciiTheme="minorHAnsi" w:hAnsiTheme="minorHAnsi"/>
          <w:color w:val="auto"/>
        </w:rPr>
        <w:t xml:space="preserve"> </w:t>
      </w:r>
      <w:r w:rsidR="00081B96">
        <w:rPr>
          <w:rFonts w:asciiTheme="minorHAnsi" w:hAnsiTheme="minorHAnsi"/>
          <w:color w:val="auto"/>
        </w:rPr>
        <w:t xml:space="preserve"> </w:t>
      </w:r>
      <w:r w:rsidR="00081B96" w:rsidRPr="00664296">
        <w:rPr>
          <w:rFonts w:asciiTheme="minorHAnsi" w:hAnsiTheme="minorHAnsi"/>
          <w:color w:val="auto"/>
        </w:rPr>
        <w:t xml:space="preserve">In the matter of the </w:t>
      </w:r>
      <w:r w:rsidR="00081B96">
        <w:rPr>
          <w:rFonts w:asciiTheme="minorHAnsi" w:hAnsiTheme="minorHAnsi"/>
          <w:color w:val="auto"/>
        </w:rPr>
        <w:t>hip</w:t>
      </w:r>
      <w:r w:rsidR="00081B96" w:rsidRPr="00664296">
        <w:rPr>
          <w:rFonts w:asciiTheme="minorHAnsi" w:hAnsiTheme="minorHAnsi"/>
          <w:color w:val="auto"/>
        </w:rPr>
        <w:t xml:space="preserve"> condition, the Board </w:t>
      </w:r>
      <w:r w:rsidR="00081B96" w:rsidRPr="00F81B59">
        <w:rPr>
          <w:rFonts w:asciiTheme="minorHAnsi" w:hAnsiTheme="minorHAnsi"/>
          <w:color w:val="auto"/>
        </w:rPr>
        <w:t>unanimously</w:t>
      </w:r>
      <w:r w:rsidR="00081B96" w:rsidRPr="00664296">
        <w:rPr>
          <w:rFonts w:asciiTheme="minorHAnsi" w:hAnsiTheme="minorHAnsi"/>
          <w:color w:val="auto"/>
        </w:rPr>
        <w:t xml:space="preserve"> recommends </w:t>
      </w:r>
      <w:r w:rsidR="006C31F1">
        <w:rPr>
          <w:rFonts w:asciiTheme="minorHAnsi" w:hAnsiTheme="minorHAnsi"/>
          <w:color w:val="auto"/>
        </w:rPr>
        <w:t xml:space="preserve">permanent separation rating of 10% for each hip, </w:t>
      </w:r>
      <w:r w:rsidR="00081B96" w:rsidRPr="00664296">
        <w:rPr>
          <w:rFonts w:asciiTheme="minorHAnsi" w:hAnsiTheme="minorHAnsi"/>
          <w:color w:val="auto"/>
        </w:rPr>
        <w:t xml:space="preserve">coded </w:t>
      </w:r>
      <w:r w:rsidR="00081B96">
        <w:rPr>
          <w:rFonts w:asciiTheme="minorHAnsi" w:hAnsiTheme="minorHAnsi"/>
          <w:color w:val="auto"/>
        </w:rPr>
        <w:t>5</w:t>
      </w:r>
      <w:r w:rsidR="006C31F1">
        <w:rPr>
          <w:rFonts w:asciiTheme="minorHAnsi" w:hAnsiTheme="minorHAnsi"/>
          <w:color w:val="auto"/>
        </w:rPr>
        <w:t>2</w:t>
      </w:r>
      <w:r w:rsidR="00081B96">
        <w:rPr>
          <w:rFonts w:asciiTheme="minorHAnsi" w:hAnsiTheme="minorHAnsi"/>
          <w:color w:val="auto"/>
        </w:rPr>
        <w:t>99-5</w:t>
      </w:r>
      <w:r w:rsidR="006C31F1">
        <w:rPr>
          <w:rFonts w:asciiTheme="minorHAnsi" w:hAnsiTheme="minorHAnsi"/>
          <w:color w:val="auto"/>
        </w:rPr>
        <w:t>255</w:t>
      </w:r>
      <w:r w:rsidR="00081B96" w:rsidRPr="00664296">
        <w:rPr>
          <w:rFonts w:asciiTheme="minorHAnsi" w:hAnsiTheme="minorHAnsi"/>
          <w:color w:val="auto"/>
        </w:rPr>
        <w:t xml:space="preserve"> IAW VASRD </w:t>
      </w:r>
      <w:r w:rsidR="006C31F1" w:rsidRPr="0065109B">
        <w:rPr>
          <w:rFonts w:eastAsia="Calibri"/>
          <w:color w:val="auto"/>
          <w:szCs w:val="24"/>
        </w:rPr>
        <w:t xml:space="preserve">§4.40, </w:t>
      </w:r>
      <w:r w:rsidR="006C31F1" w:rsidRPr="0065109B">
        <w:rPr>
          <w:rFonts w:asciiTheme="minorHAnsi" w:eastAsiaTheme="minorHAnsi" w:hAnsiTheme="minorHAnsi"/>
          <w:color w:val="auto"/>
          <w:szCs w:val="24"/>
        </w:rPr>
        <w:t xml:space="preserve">§4.45, </w:t>
      </w:r>
      <w:r w:rsidR="006C31F1" w:rsidRPr="0065109B">
        <w:rPr>
          <w:rFonts w:eastAsia="Calibri"/>
          <w:color w:val="auto"/>
          <w:szCs w:val="24"/>
        </w:rPr>
        <w:t>§4.59</w:t>
      </w:r>
      <w:r w:rsidR="006C31F1">
        <w:rPr>
          <w:rFonts w:eastAsia="Calibri"/>
          <w:color w:val="auto"/>
          <w:szCs w:val="24"/>
        </w:rPr>
        <w:t xml:space="preserve">, and </w:t>
      </w:r>
      <w:r w:rsidR="006C31F1" w:rsidRPr="0065109B">
        <w:rPr>
          <w:rFonts w:eastAsia="Calibri"/>
          <w:color w:val="auto"/>
          <w:szCs w:val="24"/>
        </w:rPr>
        <w:t>§4.</w:t>
      </w:r>
      <w:r w:rsidR="006C31F1">
        <w:rPr>
          <w:rFonts w:eastAsia="Calibri"/>
          <w:color w:val="auto"/>
          <w:szCs w:val="24"/>
        </w:rPr>
        <w:t>71a.</w:t>
      </w:r>
      <w:r w:rsidR="006C31F1">
        <w:rPr>
          <w:rFonts w:asciiTheme="minorHAnsi" w:hAnsiTheme="minorHAnsi"/>
          <w:color w:val="auto"/>
          <w:szCs w:val="24"/>
        </w:rPr>
        <w:t xml:space="preserve">  In the matter of the</w:t>
      </w:r>
      <w:r w:rsidR="00A43BF2">
        <w:rPr>
          <w:rFonts w:asciiTheme="minorHAnsi" w:hAnsiTheme="minorHAnsi"/>
          <w:color w:val="auto"/>
          <w:szCs w:val="24"/>
        </w:rPr>
        <w:t xml:space="preserve"> DJD, </w:t>
      </w:r>
      <w:r w:rsidR="006C31F1" w:rsidRPr="0009310C">
        <w:rPr>
          <w:rFonts w:asciiTheme="minorHAnsi" w:eastAsia="HiddenHorzOCR" w:hAnsiTheme="minorHAnsi"/>
          <w:color w:val="auto"/>
          <w:szCs w:val="24"/>
        </w:rPr>
        <w:t xml:space="preserve">PTSD, Graves’ disease, </w:t>
      </w:r>
      <w:proofErr w:type="spellStart"/>
      <w:r w:rsidR="006C31F1">
        <w:rPr>
          <w:rFonts w:asciiTheme="minorHAnsi" w:eastAsia="HiddenHorzOCR" w:hAnsiTheme="minorHAnsi"/>
          <w:color w:val="auto"/>
          <w:szCs w:val="24"/>
        </w:rPr>
        <w:t>uveitis</w:t>
      </w:r>
      <w:proofErr w:type="spellEnd"/>
      <w:r w:rsidR="006C31F1">
        <w:rPr>
          <w:rFonts w:asciiTheme="minorHAnsi" w:eastAsia="HiddenHorzOCR" w:hAnsiTheme="minorHAnsi"/>
          <w:color w:val="auto"/>
          <w:szCs w:val="24"/>
        </w:rPr>
        <w:t xml:space="preserve">, </w:t>
      </w:r>
      <w:proofErr w:type="spellStart"/>
      <w:r w:rsidR="006C31F1">
        <w:rPr>
          <w:rFonts w:asciiTheme="minorHAnsi" w:eastAsia="HiddenHorzOCR" w:hAnsiTheme="minorHAnsi"/>
          <w:color w:val="auto"/>
          <w:szCs w:val="24"/>
        </w:rPr>
        <w:t>myositis</w:t>
      </w:r>
      <w:proofErr w:type="spellEnd"/>
      <w:r w:rsidR="006C31F1">
        <w:rPr>
          <w:rFonts w:asciiTheme="minorHAnsi" w:eastAsia="HiddenHorzOCR" w:hAnsiTheme="minorHAnsi"/>
          <w:color w:val="auto"/>
          <w:szCs w:val="24"/>
        </w:rPr>
        <w:t xml:space="preserve">, </w:t>
      </w:r>
      <w:r w:rsidR="006C31F1" w:rsidRPr="0009310C">
        <w:rPr>
          <w:rFonts w:asciiTheme="minorHAnsi" w:eastAsia="HiddenHorzOCR" w:hAnsiTheme="minorHAnsi"/>
          <w:color w:val="auto"/>
          <w:szCs w:val="24"/>
        </w:rPr>
        <w:t xml:space="preserve">dental disorder, </w:t>
      </w:r>
      <w:r w:rsidR="006C31F1">
        <w:rPr>
          <w:rFonts w:asciiTheme="minorHAnsi" w:eastAsia="HiddenHorzOCR" w:hAnsiTheme="minorHAnsi"/>
          <w:color w:val="auto"/>
          <w:szCs w:val="24"/>
        </w:rPr>
        <w:t>shoulder pain,</w:t>
      </w:r>
      <w:r w:rsidR="006C31F1" w:rsidRPr="0009310C">
        <w:rPr>
          <w:rFonts w:asciiTheme="minorHAnsi" w:eastAsia="HiddenHorzOCR" w:hAnsiTheme="minorHAnsi"/>
          <w:color w:val="auto"/>
          <w:szCs w:val="24"/>
        </w:rPr>
        <w:t xml:space="preserve"> rectal bleeding, headaches,</w:t>
      </w:r>
      <w:r w:rsidR="006C31F1">
        <w:rPr>
          <w:rFonts w:asciiTheme="minorHAnsi" w:eastAsia="HiddenHorzOCR" w:hAnsiTheme="minorHAnsi"/>
          <w:color w:val="auto"/>
          <w:szCs w:val="24"/>
        </w:rPr>
        <w:t xml:space="preserve"> </w:t>
      </w:r>
      <w:r w:rsidR="00A43BF2">
        <w:rPr>
          <w:rFonts w:asciiTheme="minorHAnsi" w:eastAsia="HiddenHorzOCR" w:hAnsiTheme="minorHAnsi"/>
          <w:color w:val="auto"/>
          <w:szCs w:val="24"/>
        </w:rPr>
        <w:t>L</w:t>
      </w:r>
      <w:r w:rsidR="006C31F1">
        <w:rPr>
          <w:rFonts w:asciiTheme="minorHAnsi" w:eastAsia="HiddenHorzOCR" w:hAnsiTheme="minorHAnsi"/>
          <w:color w:val="auto"/>
          <w:szCs w:val="24"/>
        </w:rPr>
        <w:t xml:space="preserve">BP, </w:t>
      </w:r>
      <w:r w:rsidR="006C31F1" w:rsidRPr="0009310C">
        <w:rPr>
          <w:rFonts w:asciiTheme="minorHAnsi" w:eastAsia="HiddenHorzOCR" w:hAnsiTheme="minorHAnsi"/>
          <w:color w:val="auto"/>
          <w:szCs w:val="24"/>
        </w:rPr>
        <w:t xml:space="preserve">sinusitis, </w:t>
      </w:r>
      <w:r w:rsidR="00A43BF2">
        <w:rPr>
          <w:rFonts w:asciiTheme="minorHAnsi" w:eastAsia="HiddenHorzOCR" w:hAnsiTheme="minorHAnsi"/>
          <w:color w:val="auto"/>
          <w:szCs w:val="24"/>
        </w:rPr>
        <w:t>ED</w:t>
      </w:r>
      <w:r w:rsidR="006C31F1" w:rsidRPr="0009310C">
        <w:rPr>
          <w:rFonts w:asciiTheme="minorHAnsi" w:eastAsia="HiddenHorzOCR" w:hAnsiTheme="minorHAnsi"/>
          <w:color w:val="auto"/>
          <w:szCs w:val="24"/>
        </w:rPr>
        <w:t>, h</w:t>
      </w:r>
      <w:r w:rsidR="006C31F1">
        <w:rPr>
          <w:rFonts w:asciiTheme="minorHAnsi" w:eastAsia="HiddenHorzOCR" w:hAnsiTheme="minorHAnsi"/>
          <w:color w:val="auto"/>
          <w:szCs w:val="24"/>
        </w:rPr>
        <w:t>emorrhoids,</w:t>
      </w:r>
      <w:r w:rsidR="006C31F1" w:rsidRPr="0009310C">
        <w:rPr>
          <w:rFonts w:asciiTheme="minorHAnsi" w:eastAsia="HiddenHorzOCR" w:hAnsiTheme="minorHAnsi"/>
          <w:color w:val="auto"/>
          <w:szCs w:val="24"/>
        </w:rPr>
        <w:t xml:space="preserve"> </w:t>
      </w:r>
      <w:proofErr w:type="spellStart"/>
      <w:r w:rsidR="006C31F1" w:rsidRPr="0009310C">
        <w:rPr>
          <w:rFonts w:asciiTheme="minorHAnsi" w:eastAsia="HiddenHorzOCR" w:hAnsiTheme="minorHAnsi"/>
          <w:color w:val="auto"/>
          <w:szCs w:val="24"/>
        </w:rPr>
        <w:t>rhabdomyolysis</w:t>
      </w:r>
      <w:proofErr w:type="spellEnd"/>
      <w:r w:rsidR="006C31F1" w:rsidRPr="0009310C">
        <w:rPr>
          <w:rFonts w:asciiTheme="minorHAnsi" w:eastAsia="HiddenHorzOCR" w:hAnsiTheme="minorHAnsi"/>
          <w:color w:val="auto"/>
          <w:szCs w:val="24"/>
        </w:rPr>
        <w:t xml:space="preserve">, </w:t>
      </w:r>
      <w:proofErr w:type="spellStart"/>
      <w:r w:rsidR="006C31F1" w:rsidRPr="0009310C">
        <w:rPr>
          <w:rFonts w:asciiTheme="minorHAnsi" w:eastAsia="HiddenHorzOCR" w:hAnsiTheme="minorHAnsi"/>
          <w:color w:val="auto"/>
          <w:szCs w:val="24"/>
        </w:rPr>
        <w:t>celluli</w:t>
      </w:r>
      <w:r w:rsidR="006C31F1">
        <w:rPr>
          <w:rFonts w:asciiTheme="minorHAnsi" w:eastAsia="HiddenHorzOCR" w:hAnsiTheme="minorHAnsi"/>
          <w:color w:val="auto"/>
          <w:szCs w:val="24"/>
        </w:rPr>
        <w:t>tis</w:t>
      </w:r>
      <w:proofErr w:type="spellEnd"/>
      <w:r w:rsidR="006C31F1">
        <w:rPr>
          <w:rFonts w:asciiTheme="minorHAnsi" w:eastAsia="HiddenHorzOCR" w:hAnsiTheme="minorHAnsi"/>
          <w:color w:val="auto"/>
          <w:szCs w:val="24"/>
        </w:rPr>
        <w:t>, abscess, GERD,</w:t>
      </w:r>
      <w:r w:rsidR="006C31F1" w:rsidRPr="0009310C">
        <w:rPr>
          <w:rFonts w:asciiTheme="minorHAnsi" w:eastAsia="HiddenHorzOCR" w:hAnsiTheme="minorHAnsi"/>
          <w:color w:val="auto"/>
          <w:szCs w:val="24"/>
        </w:rPr>
        <w:t xml:space="preserve"> </w:t>
      </w:r>
      <w:r w:rsidR="006C31F1">
        <w:rPr>
          <w:rFonts w:asciiTheme="minorHAnsi" w:eastAsia="HiddenHorzOCR" w:hAnsiTheme="minorHAnsi"/>
          <w:color w:val="auto"/>
          <w:szCs w:val="24"/>
        </w:rPr>
        <w:t>vitamin deficienc</w:t>
      </w:r>
      <w:r w:rsidR="00A43BF2">
        <w:rPr>
          <w:rFonts w:asciiTheme="minorHAnsi" w:eastAsia="HiddenHorzOCR" w:hAnsiTheme="minorHAnsi"/>
          <w:color w:val="auto"/>
          <w:szCs w:val="24"/>
        </w:rPr>
        <w:t>ies</w:t>
      </w:r>
      <w:r w:rsidR="006C31F1">
        <w:rPr>
          <w:rFonts w:asciiTheme="minorHAnsi" w:eastAsia="HiddenHorzOCR" w:hAnsiTheme="minorHAnsi"/>
          <w:color w:val="auto"/>
          <w:szCs w:val="24"/>
        </w:rPr>
        <w:t xml:space="preserve">, </w:t>
      </w:r>
      <w:r w:rsidR="00A43BF2">
        <w:rPr>
          <w:rFonts w:asciiTheme="minorHAnsi" w:eastAsia="HiddenHorzOCR" w:hAnsiTheme="minorHAnsi"/>
          <w:color w:val="auto"/>
          <w:szCs w:val="24"/>
        </w:rPr>
        <w:t>URI</w:t>
      </w:r>
      <w:r w:rsidR="006C31F1" w:rsidRPr="0009310C">
        <w:rPr>
          <w:rFonts w:asciiTheme="minorHAnsi" w:eastAsia="HiddenHorzOCR" w:hAnsiTheme="minorHAnsi"/>
          <w:color w:val="auto"/>
          <w:szCs w:val="24"/>
        </w:rPr>
        <w:t>,</w:t>
      </w:r>
      <w:r w:rsidR="006C31F1">
        <w:rPr>
          <w:rFonts w:asciiTheme="minorHAnsi" w:eastAsia="HiddenHorzOCR" w:hAnsiTheme="minorHAnsi"/>
          <w:color w:val="auto"/>
          <w:szCs w:val="24"/>
        </w:rPr>
        <w:t xml:space="preserve"> injuries to both l</w:t>
      </w:r>
      <w:r w:rsidR="004861BC">
        <w:rPr>
          <w:rFonts w:asciiTheme="minorHAnsi" w:eastAsia="HiddenHorzOCR" w:hAnsiTheme="minorHAnsi"/>
          <w:color w:val="auto"/>
          <w:szCs w:val="24"/>
        </w:rPr>
        <w:t>egs</w:t>
      </w:r>
      <w:r w:rsidR="006C31F1">
        <w:rPr>
          <w:rFonts w:asciiTheme="minorHAnsi" w:eastAsia="HiddenHorzOCR" w:hAnsiTheme="minorHAnsi"/>
          <w:color w:val="auto"/>
          <w:szCs w:val="24"/>
        </w:rPr>
        <w:t>,</w:t>
      </w:r>
      <w:r w:rsidR="006C31F1" w:rsidRPr="0009310C">
        <w:rPr>
          <w:rFonts w:asciiTheme="minorHAnsi" w:eastAsia="HiddenHorzOCR" w:hAnsiTheme="minorHAnsi"/>
          <w:color w:val="auto"/>
          <w:szCs w:val="24"/>
        </w:rPr>
        <w:t xml:space="preserve"> radiation po</w:t>
      </w:r>
      <w:r w:rsidR="006C31F1">
        <w:rPr>
          <w:rFonts w:asciiTheme="minorHAnsi" w:eastAsia="HiddenHorzOCR" w:hAnsiTheme="minorHAnsi"/>
          <w:color w:val="auto"/>
          <w:szCs w:val="24"/>
        </w:rPr>
        <w:t>i</w:t>
      </w:r>
      <w:r w:rsidR="006C31F1" w:rsidRPr="0009310C">
        <w:rPr>
          <w:rFonts w:asciiTheme="minorHAnsi" w:eastAsia="HiddenHorzOCR" w:hAnsiTheme="minorHAnsi"/>
          <w:color w:val="auto"/>
          <w:szCs w:val="24"/>
        </w:rPr>
        <w:t>s</w:t>
      </w:r>
      <w:r w:rsidR="006C31F1">
        <w:rPr>
          <w:rFonts w:asciiTheme="minorHAnsi" w:eastAsia="HiddenHorzOCR" w:hAnsiTheme="minorHAnsi"/>
          <w:color w:val="auto"/>
          <w:szCs w:val="24"/>
        </w:rPr>
        <w:t>on</w:t>
      </w:r>
      <w:r w:rsidR="006C31F1" w:rsidRPr="0009310C">
        <w:rPr>
          <w:rFonts w:asciiTheme="minorHAnsi" w:eastAsia="HiddenHorzOCR" w:hAnsiTheme="minorHAnsi"/>
          <w:color w:val="auto"/>
          <w:szCs w:val="24"/>
        </w:rPr>
        <w:t>in</w:t>
      </w:r>
      <w:r w:rsidR="006C31F1">
        <w:rPr>
          <w:rFonts w:asciiTheme="minorHAnsi" w:eastAsia="HiddenHorzOCR" w:hAnsiTheme="minorHAnsi"/>
          <w:color w:val="auto"/>
          <w:szCs w:val="24"/>
        </w:rPr>
        <w:t xml:space="preserve">g, right hand condition, PFB, </w:t>
      </w:r>
      <w:proofErr w:type="spellStart"/>
      <w:r w:rsidR="006C31F1">
        <w:rPr>
          <w:rFonts w:asciiTheme="minorHAnsi" w:eastAsia="HiddenHorzOCR" w:hAnsiTheme="minorHAnsi"/>
          <w:color w:val="auto"/>
          <w:szCs w:val="24"/>
        </w:rPr>
        <w:t>Ra</w:t>
      </w:r>
      <w:r w:rsidR="006C31F1" w:rsidRPr="0009310C">
        <w:rPr>
          <w:rFonts w:asciiTheme="minorHAnsi" w:eastAsia="HiddenHorzOCR" w:hAnsiTheme="minorHAnsi"/>
          <w:color w:val="auto"/>
          <w:szCs w:val="24"/>
        </w:rPr>
        <w:t>ynaud’s</w:t>
      </w:r>
      <w:proofErr w:type="spellEnd"/>
      <w:r w:rsidR="006C31F1" w:rsidRPr="0009310C">
        <w:rPr>
          <w:rFonts w:asciiTheme="minorHAnsi" w:eastAsia="HiddenHorzOCR" w:hAnsiTheme="minorHAnsi"/>
          <w:color w:val="auto"/>
          <w:szCs w:val="24"/>
        </w:rPr>
        <w:t xml:space="preserve"> disease, nightmare</w:t>
      </w:r>
      <w:r w:rsidR="006C31F1">
        <w:rPr>
          <w:rFonts w:asciiTheme="minorHAnsi" w:eastAsia="HiddenHorzOCR" w:hAnsiTheme="minorHAnsi"/>
          <w:color w:val="auto"/>
          <w:szCs w:val="24"/>
        </w:rPr>
        <w:t>s</w:t>
      </w:r>
      <w:r w:rsidR="006C31F1" w:rsidRPr="0009310C">
        <w:rPr>
          <w:rFonts w:asciiTheme="minorHAnsi" w:eastAsia="HiddenHorzOCR" w:hAnsiTheme="minorHAnsi"/>
          <w:color w:val="auto"/>
          <w:szCs w:val="24"/>
        </w:rPr>
        <w:t>,</w:t>
      </w:r>
      <w:r w:rsidR="00A43BF2">
        <w:rPr>
          <w:rFonts w:asciiTheme="minorHAnsi" w:eastAsia="HiddenHorzOCR" w:hAnsiTheme="minorHAnsi"/>
          <w:color w:val="auto"/>
          <w:szCs w:val="24"/>
        </w:rPr>
        <w:t xml:space="preserve"> RLS</w:t>
      </w:r>
      <w:r w:rsidR="006C31F1" w:rsidRPr="0009310C">
        <w:rPr>
          <w:rFonts w:asciiTheme="minorHAnsi" w:eastAsia="HiddenHorzOCR" w:hAnsiTheme="minorHAnsi"/>
          <w:color w:val="auto"/>
          <w:szCs w:val="24"/>
        </w:rPr>
        <w:t>, kidney disorder, liver disorder, chronic fatigue, broke</w:t>
      </w:r>
      <w:r w:rsidR="006C31F1">
        <w:rPr>
          <w:rFonts w:asciiTheme="minorHAnsi" w:eastAsia="HiddenHorzOCR" w:hAnsiTheme="minorHAnsi"/>
          <w:color w:val="auto"/>
          <w:szCs w:val="24"/>
        </w:rPr>
        <w:t>n</w:t>
      </w:r>
      <w:r w:rsidR="006C31F1" w:rsidRPr="0009310C">
        <w:rPr>
          <w:rFonts w:asciiTheme="minorHAnsi" w:eastAsia="HiddenHorzOCR" w:hAnsiTheme="minorHAnsi"/>
          <w:color w:val="auto"/>
          <w:szCs w:val="24"/>
        </w:rPr>
        <w:t xml:space="preserve"> ribs</w:t>
      </w:r>
      <w:r w:rsidR="004861BC">
        <w:rPr>
          <w:rFonts w:asciiTheme="minorHAnsi" w:eastAsia="HiddenHorzOCR" w:hAnsiTheme="minorHAnsi"/>
          <w:color w:val="auto"/>
          <w:szCs w:val="24"/>
        </w:rPr>
        <w:t xml:space="preserve"> &amp; </w:t>
      </w:r>
      <w:r w:rsidR="006C31F1" w:rsidRPr="0009310C">
        <w:rPr>
          <w:rFonts w:asciiTheme="minorHAnsi" w:eastAsia="HiddenHorzOCR" w:hAnsiTheme="minorHAnsi"/>
          <w:color w:val="auto"/>
          <w:szCs w:val="24"/>
        </w:rPr>
        <w:t xml:space="preserve">nose, head injury, </w:t>
      </w:r>
      <w:r w:rsidR="00A43BF2">
        <w:rPr>
          <w:rFonts w:asciiTheme="minorHAnsi" w:eastAsia="HiddenHorzOCR" w:hAnsiTheme="minorHAnsi"/>
          <w:color w:val="auto"/>
          <w:szCs w:val="24"/>
        </w:rPr>
        <w:t xml:space="preserve">DU </w:t>
      </w:r>
      <w:r w:rsidR="006C31F1" w:rsidRPr="0009310C">
        <w:rPr>
          <w:rFonts w:asciiTheme="minorHAnsi" w:eastAsia="HiddenHorzOCR" w:hAnsiTheme="minorHAnsi"/>
          <w:color w:val="auto"/>
          <w:szCs w:val="24"/>
        </w:rPr>
        <w:t>exposure</w:t>
      </w:r>
      <w:r w:rsidR="006C31F1">
        <w:rPr>
          <w:rFonts w:asciiTheme="minorHAnsi" w:eastAsia="HiddenHorzOCR" w:hAnsiTheme="minorHAnsi"/>
          <w:color w:val="auto"/>
          <w:szCs w:val="24"/>
        </w:rPr>
        <w:t xml:space="preserve">, </w:t>
      </w:r>
      <w:r w:rsidR="006C31F1" w:rsidRPr="0009310C">
        <w:rPr>
          <w:rFonts w:asciiTheme="minorHAnsi" w:eastAsia="HiddenHorzOCR" w:hAnsiTheme="minorHAnsi"/>
          <w:color w:val="auto"/>
          <w:szCs w:val="24"/>
        </w:rPr>
        <w:t>G</w:t>
      </w:r>
      <w:r w:rsidR="00A43BF2">
        <w:rPr>
          <w:rFonts w:asciiTheme="minorHAnsi" w:eastAsia="HiddenHorzOCR" w:hAnsiTheme="minorHAnsi"/>
          <w:color w:val="auto"/>
          <w:szCs w:val="24"/>
        </w:rPr>
        <w:t>WS</w:t>
      </w:r>
      <w:r w:rsidR="006C31F1">
        <w:rPr>
          <w:rFonts w:asciiTheme="minorHAnsi" w:eastAsia="HiddenHorzOCR" w:hAnsiTheme="minorHAnsi"/>
          <w:color w:val="auto"/>
          <w:szCs w:val="24"/>
        </w:rPr>
        <w:t xml:space="preserve">, </w:t>
      </w:r>
      <w:r w:rsidR="00A43BF2">
        <w:rPr>
          <w:rFonts w:asciiTheme="minorHAnsi" w:eastAsia="HiddenHorzOCR" w:hAnsiTheme="minorHAnsi"/>
          <w:color w:val="auto"/>
          <w:szCs w:val="24"/>
        </w:rPr>
        <w:t>HTN</w:t>
      </w:r>
      <w:r w:rsidR="006C31F1">
        <w:rPr>
          <w:rFonts w:asciiTheme="minorHAnsi" w:eastAsia="HiddenHorzOCR" w:hAnsiTheme="minorHAnsi"/>
          <w:color w:val="auto"/>
          <w:szCs w:val="24"/>
        </w:rPr>
        <w:t>,</w:t>
      </w:r>
      <w:r w:rsidR="00081B96">
        <w:rPr>
          <w:rFonts w:asciiTheme="minorHAnsi" w:hAnsiTheme="minorHAnsi"/>
          <w:color w:val="auto"/>
        </w:rPr>
        <w:t xml:space="preserve"> </w:t>
      </w:r>
      <w:r w:rsidR="004861BC">
        <w:rPr>
          <w:rFonts w:asciiTheme="minorHAnsi" w:hAnsiTheme="minorHAnsi"/>
          <w:color w:val="auto"/>
          <w:szCs w:val="24"/>
        </w:rPr>
        <w:t>or any other</w:t>
      </w:r>
      <w:r w:rsidR="004861BC" w:rsidRPr="00AE3316">
        <w:rPr>
          <w:rFonts w:asciiTheme="minorHAnsi" w:hAnsiTheme="minorHAnsi"/>
          <w:color w:val="auto"/>
          <w:szCs w:val="24"/>
        </w:rPr>
        <w:t xml:space="preserve"> conditions</w:t>
      </w:r>
      <w:r w:rsidR="004861BC">
        <w:rPr>
          <w:rFonts w:asciiTheme="minorHAnsi" w:hAnsiTheme="minorHAnsi"/>
          <w:color w:val="auto"/>
          <w:szCs w:val="24"/>
        </w:rPr>
        <w:t xml:space="preserve"> eligible for consideration</w:t>
      </w:r>
      <w:r w:rsidR="004861BC" w:rsidRPr="00AE3316">
        <w:rPr>
          <w:rFonts w:asciiTheme="minorHAnsi" w:hAnsiTheme="minorHAnsi"/>
          <w:color w:val="auto"/>
          <w:szCs w:val="24"/>
        </w:rPr>
        <w:t xml:space="preserve">; the Board </w:t>
      </w:r>
      <w:r w:rsidR="004861BC" w:rsidRPr="003F760C">
        <w:rPr>
          <w:rFonts w:asciiTheme="minorHAnsi" w:hAnsiTheme="minorHAnsi"/>
          <w:color w:val="auto"/>
          <w:szCs w:val="24"/>
        </w:rPr>
        <w:t xml:space="preserve">unanimously </w:t>
      </w:r>
      <w:r w:rsidR="004861BC" w:rsidRPr="00AE3316">
        <w:rPr>
          <w:rFonts w:asciiTheme="minorHAnsi" w:hAnsiTheme="minorHAnsi"/>
          <w:color w:val="auto"/>
          <w:szCs w:val="24"/>
        </w:rPr>
        <w:t>agrees that it cannot</w:t>
      </w:r>
      <w:r w:rsidR="004861BC" w:rsidRPr="00AE3316">
        <w:rPr>
          <w:rFonts w:asciiTheme="minorHAnsi" w:hAnsiTheme="minorHAnsi"/>
          <w:color w:val="000080"/>
          <w:szCs w:val="24"/>
        </w:rPr>
        <w:t xml:space="preserve"> </w:t>
      </w:r>
      <w:r w:rsidR="004861BC" w:rsidRPr="00AE3316">
        <w:rPr>
          <w:rFonts w:asciiTheme="minorHAnsi" w:hAnsiTheme="minorHAnsi"/>
          <w:color w:val="auto"/>
          <w:szCs w:val="24"/>
        </w:rPr>
        <w:t>recommend a</w:t>
      </w:r>
      <w:r w:rsidR="004861BC">
        <w:rPr>
          <w:rFonts w:asciiTheme="minorHAnsi" w:hAnsiTheme="minorHAnsi"/>
          <w:color w:val="auto"/>
          <w:szCs w:val="24"/>
        </w:rPr>
        <w:t>ny</w:t>
      </w:r>
      <w:r w:rsidR="004861BC" w:rsidRPr="00AE3316">
        <w:rPr>
          <w:rFonts w:asciiTheme="minorHAnsi" w:hAnsiTheme="minorHAnsi"/>
          <w:color w:val="auto"/>
          <w:szCs w:val="24"/>
        </w:rPr>
        <w:t xml:space="preserve"> finding</w:t>
      </w:r>
      <w:r w:rsidR="004861BC">
        <w:rPr>
          <w:rFonts w:asciiTheme="minorHAnsi" w:hAnsiTheme="minorHAnsi"/>
          <w:color w:val="auto"/>
          <w:szCs w:val="24"/>
        </w:rPr>
        <w:t>s</w:t>
      </w:r>
      <w:r w:rsidR="004861BC" w:rsidRPr="00AE3316">
        <w:rPr>
          <w:rFonts w:asciiTheme="minorHAnsi" w:hAnsiTheme="minorHAnsi"/>
          <w:color w:val="auto"/>
          <w:szCs w:val="24"/>
        </w:rPr>
        <w:t xml:space="preserve"> of unfit for additional rating at separation.</w:t>
      </w:r>
    </w:p>
    <w:p w:rsidR="00664296" w:rsidRPr="00391858" w:rsidRDefault="00664296" w:rsidP="004861B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4861BC">
      <w:pPr>
        <w:spacing w:line="240" w:lineRule="exact"/>
        <w:rPr>
          <w:rFonts w:asciiTheme="minorHAnsi" w:hAnsiTheme="minorHAnsi"/>
          <w:b/>
          <w:color w:val="auto"/>
          <w:szCs w:val="24"/>
          <w:u w:val="single"/>
        </w:rPr>
      </w:pPr>
    </w:p>
    <w:p w:rsidR="00DB0015" w:rsidRPr="006D3BF2" w:rsidRDefault="00C56FC8" w:rsidP="004861BC">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81B59">
        <w:rPr>
          <w:rFonts w:asciiTheme="minorHAnsi" w:hAnsiTheme="minorHAnsi"/>
          <w:color w:val="000080"/>
          <w:szCs w:val="24"/>
        </w:rPr>
        <w:t xml:space="preserve"> </w:t>
      </w:r>
      <w:r w:rsidR="00F81B59" w:rsidRPr="00396779">
        <w:rPr>
          <w:color w:val="auto"/>
          <w:szCs w:val="24"/>
        </w:rPr>
        <w:t xml:space="preserve">The Board recommends that the CI’s prior determination be modified </w:t>
      </w:r>
      <w:r w:rsidR="007C67C8">
        <w:rPr>
          <w:color w:val="auto"/>
          <w:szCs w:val="24"/>
        </w:rPr>
        <w:t>to reflect a</w:t>
      </w:r>
      <w:r w:rsidR="00F81B59" w:rsidRPr="001A025E">
        <w:rPr>
          <w:color w:val="auto"/>
          <w:szCs w:val="24"/>
        </w:rPr>
        <w:t xml:space="preserve"> permanent </w:t>
      </w:r>
      <w:r w:rsidR="00F81B59" w:rsidRPr="00671172">
        <w:rPr>
          <w:color w:val="auto"/>
          <w:szCs w:val="24"/>
        </w:rPr>
        <w:t>combined</w:t>
      </w:r>
      <w:r w:rsidR="00F81B59" w:rsidRPr="001A025E">
        <w:rPr>
          <w:color w:val="auto"/>
          <w:szCs w:val="24"/>
        </w:rPr>
        <w:t xml:space="preserve"> </w:t>
      </w:r>
      <w:r w:rsidR="000272C1">
        <w:rPr>
          <w:color w:val="auto"/>
          <w:szCs w:val="24"/>
        </w:rPr>
        <w:t>4</w:t>
      </w:r>
      <w:r w:rsidR="00F81B59">
        <w:rPr>
          <w:color w:val="auto"/>
          <w:szCs w:val="24"/>
        </w:rPr>
        <w:t>0</w:t>
      </w:r>
      <w:r w:rsidR="00F81B59" w:rsidRPr="001A025E">
        <w:rPr>
          <w:color w:val="auto"/>
          <w:szCs w:val="24"/>
        </w:rPr>
        <w:t>% disability retirement as below.</w:t>
      </w:r>
    </w:p>
    <w:p w:rsidR="00F81B59" w:rsidRDefault="00F81B59" w:rsidP="004861BC">
      <w:pPr>
        <w:tabs>
          <w:tab w:val="left" w:pos="288"/>
          <w:tab w:val="left" w:pos="4752"/>
        </w:tabs>
        <w:spacing w:line="240" w:lineRule="exact"/>
        <w:jc w:val="both"/>
        <w:rPr>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0"/>
        <w:gridCol w:w="1706"/>
        <w:gridCol w:w="2344"/>
      </w:tblGrid>
      <w:tr w:rsidR="007C67C8" w:rsidTr="007C67C8">
        <w:tc>
          <w:tcPr>
            <w:tcW w:w="4590" w:type="dxa"/>
            <w:tcBorders>
              <w:top w:val="single" w:sz="4" w:space="0" w:color="000000"/>
              <w:left w:val="single" w:sz="4" w:space="0" w:color="000000"/>
              <w:bottom w:val="single" w:sz="4" w:space="0" w:color="000000"/>
              <w:right w:val="single" w:sz="4" w:space="0" w:color="000000"/>
            </w:tcBorders>
            <w:shd w:val="clear" w:color="auto" w:fill="D9D9D9"/>
            <w:hideMark/>
          </w:tcPr>
          <w:p w:rsidR="007C67C8" w:rsidRDefault="007C67C8" w:rsidP="004861BC">
            <w:pPr>
              <w:tabs>
                <w:tab w:val="left" w:pos="288"/>
                <w:tab w:val="left" w:pos="4752"/>
              </w:tabs>
              <w:spacing w:line="240" w:lineRule="exact"/>
              <w:jc w:val="center"/>
              <w:rPr>
                <w:b/>
                <w:color w:val="auto"/>
                <w:szCs w:val="24"/>
              </w:rPr>
            </w:pPr>
            <w:r>
              <w:rPr>
                <w:b/>
                <w:color w:val="auto"/>
                <w:szCs w:val="24"/>
              </w:rPr>
              <w:t>UNFITTING CONDITION</w:t>
            </w:r>
          </w:p>
        </w:tc>
        <w:tc>
          <w:tcPr>
            <w:tcW w:w="1706" w:type="dxa"/>
            <w:tcBorders>
              <w:top w:val="single" w:sz="4" w:space="0" w:color="000000"/>
              <w:left w:val="single" w:sz="4" w:space="0" w:color="000000"/>
              <w:bottom w:val="single" w:sz="4" w:space="0" w:color="000000"/>
              <w:right w:val="single" w:sz="4" w:space="0" w:color="000000"/>
            </w:tcBorders>
            <w:shd w:val="clear" w:color="auto" w:fill="D9D9D9"/>
            <w:hideMark/>
          </w:tcPr>
          <w:p w:rsidR="007C67C8" w:rsidRDefault="007C67C8" w:rsidP="004861BC">
            <w:pPr>
              <w:tabs>
                <w:tab w:val="left" w:pos="288"/>
                <w:tab w:val="left" w:pos="4752"/>
              </w:tabs>
              <w:spacing w:line="240" w:lineRule="exact"/>
              <w:jc w:val="center"/>
              <w:rPr>
                <w:b/>
                <w:color w:val="auto"/>
                <w:szCs w:val="24"/>
              </w:rPr>
            </w:pPr>
            <w:r>
              <w:rPr>
                <w:b/>
                <w:color w:val="auto"/>
                <w:szCs w:val="24"/>
              </w:rPr>
              <w:t>VASRD CODE</w:t>
            </w:r>
          </w:p>
        </w:tc>
        <w:tc>
          <w:tcPr>
            <w:tcW w:w="2344" w:type="dxa"/>
            <w:tcBorders>
              <w:top w:val="single" w:sz="4" w:space="0" w:color="000000"/>
              <w:left w:val="single" w:sz="4" w:space="0" w:color="000000"/>
              <w:bottom w:val="single" w:sz="4" w:space="0" w:color="000000"/>
              <w:right w:val="single" w:sz="4" w:space="0" w:color="000000"/>
            </w:tcBorders>
            <w:shd w:val="pct15" w:color="auto" w:fill="auto"/>
            <w:hideMark/>
          </w:tcPr>
          <w:p w:rsidR="007C67C8" w:rsidRDefault="007C67C8" w:rsidP="004861BC">
            <w:pPr>
              <w:tabs>
                <w:tab w:val="left" w:pos="288"/>
                <w:tab w:val="left" w:pos="4752"/>
              </w:tabs>
              <w:spacing w:line="240" w:lineRule="exact"/>
              <w:jc w:val="center"/>
              <w:rPr>
                <w:b/>
                <w:color w:val="auto"/>
                <w:szCs w:val="24"/>
              </w:rPr>
            </w:pPr>
            <w:r>
              <w:rPr>
                <w:b/>
                <w:color w:val="auto"/>
                <w:szCs w:val="24"/>
              </w:rPr>
              <w:t>PERMANENT</w:t>
            </w:r>
          </w:p>
          <w:p w:rsidR="007C67C8" w:rsidRDefault="007C67C8" w:rsidP="004861BC">
            <w:pPr>
              <w:tabs>
                <w:tab w:val="left" w:pos="288"/>
                <w:tab w:val="left" w:pos="4752"/>
              </w:tabs>
              <w:spacing w:line="240" w:lineRule="exact"/>
              <w:jc w:val="center"/>
              <w:rPr>
                <w:b/>
                <w:color w:val="auto"/>
                <w:szCs w:val="24"/>
              </w:rPr>
            </w:pPr>
            <w:r>
              <w:rPr>
                <w:b/>
                <w:color w:val="auto"/>
                <w:szCs w:val="24"/>
              </w:rPr>
              <w:t>RATING</w:t>
            </w:r>
          </w:p>
        </w:tc>
      </w:tr>
      <w:tr w:rsidR="007C67C8" w:rsidTr="007C67C8">
        <w:trPr>
          <w:trHeight w:val="305"/>
        </w:trPr>
        <w:tc>
          <w:tcPr>
            <w:tcW w:w="4590" w:type="dxa"/>
            <w:tcBorders>
              <w:top w:val="single" w:sz="4" w:space="0" w:color="000000"/>
              <w:left w:val="single" w:sz="4" w:space="0" w:color="000000"/>
              <w:bottom w:val="single" w:sz="4" w:space="0" w:color="000000"/>
              <w:right w:val="single" w:sz="4" w:space="0" w:color="000000"/>
            </w:tcBorders>
            <w:hideMark/>
          </w:tcPr>
          <w:p w:rsidR="007C67C8" w:rsidRDefault="007C67C8" w:rsidP="004861BC">
            <w:pPr>
              <w:tabs>
                <w:tab w:val="left" w:pos="288"/>
                <w:tab w:val="left" w:pos="4752"/>
              </w:tabs>
              <w:spacing w:line="240" w:lineRule="exact"/>
              <w:rPr>
                <w:color w:val="auto"/>
                <w:szCs w:val="24"/>
              </w:rPr>
            </w:pPr>
            <w:proofErr w:type="spellStart"/>
            <w:r>
              <w:rPr>
                <w:color w:val="auto"/>
                <w:szCs w:val="24"/>
              </w:rPr>
              <w:t>Sarcoidosis</w:t>
            </w:r>
            <w:proofErr w:type="spellEnd"/>
            <w:r>
              <w:rPr>
                <w:color w:val="auto"/>
                <w:szCs w:val="24"/>
              </w:rPr>
              <w:t xml:space="preserve">, with </w:t>
            </w:r>
            <w:proofErr w:type="spellStart"/>
            <w:r>
              <w:rPr>
                <w:color w:val="auto"/>
                <w:szCs w:val="24"/>
              </w:rPr>
              <w:t>Myopathy</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7C67C8" w:rsidRDefault="007C67C8" w:rsidP="004861BC">
            <w:pPr>
              <w:tabs>
                <w:tab w:val="left" w:pos="288"/>
                <w:tab w:val="left" w:pos="4752"/>
              </w:tabs>
              <w:spacing w:line="240" w:lineRule="exact"/>
              <w:jc w:val="center"/>
              <w:rPr>
                <w:color w:val="auto"/>
                <w:szCs w:val="24"/>
              </w:rPr>
            </w:pPr>
            <w:r>
              <w:rPr>
                <w:color w:val="auto"/>
                <w:szCs w:val="24"/>
              </w:rPr>
              <w:t>6846</w:t>
            </w:r>
          </w:p>
        </w:tc>
        <w:tc>
          <w:tcPr>
            <w:tcW w:w="2344" w:type="dxa"/>
            <w:tcBorders>
              <w:top w:val="single" w:sz="4" w:space="0" w:color="000000"/>
              <w:left w:val="single" w:sz="4" w:space="0" w:color="000000"/>
              <w:bottom w:val="single" w:sz="4" w:space="0" w:color="000000"/>
              <w:right w:val="single" w:sz="4" w:space="0" w:color="000000"/>
            </w:tcBorders>
            <w:hideMark/>
          </w:tcPr>
          <w:p w:rsidR="007C67C8" w:rsidRDefault="007C67C8" w:rsidP="004861BC">
            <w:pPr>
              <w:tabs>
                <w:tab w:val="left" w:pos="288"/>
                <w:tab w:val="left" w:pos="4752"/>
              </w:tabs>
              <w:spacing w:line="240" w:lineRule="exact"/>
              <w:jc w:val="center"/>
              <w:rPr>
                <w:color w:val="auto"/>
                <w:szCs w:val="24"/>
              </w:rPr>
            </w:pPr>
            <w:r>
              <w:rPr>
                <w:color w:val="auto"/>
                <w:szCs w:val="24"/>
              </w:rPr>
              <w:t>30%</w:t>
            </w:r>
          </w:p>
        </w:tc>
      </w:tr>
      <w:tr w:rsidR="007C67C8" w:rsidTr="007C67C8">
        <w:trPr>
          <w:trHeight w:val="305"/>
        </w:trPr>
        <w:tc>
          <w:tcPr>
            <w:tcW w:w="4590" w:type="dxa"/>
            <w:tcBorders>
              <w:top w:val="single" w:sz="4" w:space="0" w:color="000000"/>
              <w:left w:val="single" w:sz="4" w:space="0" w:color="000000"/>
              <w:bottom w:val="single" w:sz="4" w:space="0" w:color="000000"/>
              <w:right w:val="single" w:sz="4" w:space="0" w:color="000000"/>
            </w:tcBorders>
            <w:hideMark/>
          </w:tcPr>
          <w:p w:rsidR="007C67C8" w:rsidRPr="00072D7E" w:rsidRDefault="007C67C8" w:rsidP="004861BC">
            <w:pPr>
              <w:tabs>
                <w:tab w:val="left" w:pos="288"/>
                <w:tab w:val="left" w:pos="4752"/>
              </w:tabs>
              <w:spacing w:line="240" w:lineRule="exact"/>
              <w:rPr>
                <w:color w:val="auto"/>
                <w:szCs w:val="24"/>
              </w:rPr>
            </w:pPr>
            <w:proofErr w:type="spellStart"/>
            <w:r>
              <w:rPr>
                <w:color w:val="auto"/>
                <w:szCs w:val="24"/>
              </w:rPr>
              <w:t>Osteonecrosis</w:t>
            </w:r>
            <w:proofErr w:type="spellEnd"/>
            <w:r>
              <w:rPr>
                <w:color w:val="auto"/>
                <w:szCs w:val="24"/>
              </w:rPr>
              <w:t>, Right Femoral Head</w:t>
            </w:r>
          </w:p>
        </w:tc>
        <w:tc>
          <w:tcPr>
            <w:tcW w:w="1706" w:type="dxa"/>
            <w:tcBorders>
              <w:top w:val="single" w:sz="4" w:space="0" w:color="000000"/>
              <w:left w:val="single" w:sz="4" w:space="0" w:color="000000"/>
              <w:bottom w:val="single" w:sz="4" w:space="0" w:color="000000"/>
              <w:right w:val="single" w:sz="4" w:space="0" w:color="000000"/>
            </w:tcBorders>
            <w:hideMark/>
          </w:tcPr>
          <w:p w:rsidR="007C67C8" w:rsidRPr="00072D7E" w:rsidRDefault="007C67C8" w:rsidP="004861BC">
            <w:pPr>
              <w:tabs>
                <w:tab w:val="left" w:pos="288"/>
                <w:tab w:val="left" w:pos="4752"/>
              </w:tabs>
              <w:spacing w:line="240" w:lineRule="exact"/>
              <w:jc w:val="center"/>
              <w:rPr>
                <w:color w:val="auto"/>
                <w:szCs w:val="24"/>
              </w:rPr>
            </w:pPr>
            <w:r>
              <w:rPr>
                <w:color w:val="auto"/>
                <w:szCs w:val="24"/>
              </w:rPr>
              <w:t>5299-5255</w:t>
            </w:r>
          </w:p>
        </w:tc>
        <w:tc>
          <w:tcPr>
            <w:tcW w:w="2344" w:type="dxa"/>
            <w:tcBorders>
              <w:top w:val="single" w:sz="4" w:space="0" w:color="000000"/>
              <w:left w:val="single" w:sz="4" w:space="0" w:color="000000"/>
              <w:bottom w:val="single" w:sz="4" w:space="0" w:color="000000"/>
              <w:right w:val="single" w:sz="4" w:space="0" w:color="000000"/>
            </w:tcBorders>
            <w:hideMark/>
          </w:tcPr>
          <w:p w:rsidR="007C67C8" w:rsidRPr="00072D7E" w:rsidRDefault="007C67C8" w:rsidP="004861BC">
            <w:pPr>
              <w:tabs>
                <w:tab w:val="left" w:pos="288"/>
                <w:tab w:val="left" w:pos="4752"/>
              </w:tabs>
              <w:spacing w:line="240" w:lineRule="exact"/>
              <w:jc w:val="center"/>
              <w:rPr>
                <w:color w:val="auto"/>
                <w:szCs w:val="24"/>
              </w:rPr>
            </w:pPr>
            <w:r>
              <w:rPr>
                <w:color w:val="auto"/>
                <w:szCs w:val="24"/>
              </w:rPr>
              <w:t>10%</w:t>
            </w:r>
          </w:p>
        </w:tc>
      </w:tr>
      <w:tr w:rsidR="007C67C8" w:rsidTr="007C67C8">
        <w:trPr>
          <w:trHeight w:val="305"/>
        </w:trPr>
        <w:tc>
          <w:tcPr>
            <w:tcW w:w="4590" w:type="dxa"/>
            <w:tcBorders>
              <w:top w:val="single" w:sz="4" w:space="0" w:color="000000"/>
              <w:left w:val="single" w:sz="4" w:space="0" w:color="000000"/>
              <w:bottom w:val="single" w:sz="4" w:space="0" w:color="000000"/>
              <w:right w:val="single" w:sz="4" w:space="0" w:color="000000"/>
            </w:tcBorders>
            <w:hideMark/>
          </w:tcPr>
          <w:p w:rsidR="007C67C8" w:rsidRDefault="007C67C8" w:rsidP="004861BC">
            <w:pPr>
              <w:tabs>
                <w:tab w:val="left" w:pos="288"/>
                <w:tab w:val="left" w:pos="4752"/>
              </w:tabs>
              <w:spacing w:line="240" w:lineRule="exact"/>
              <w:rPr>
                <w:color w:val="auto"/>
                <w:szCs w:val="24"/>
              </w:rPr>
            </w:pPr>
            <w:proofErr w:type="spellStart"/>
            <w:r>
              <w:rPr>
                <w:color w:val="auto"/>
                <w:szCs w:val="24"/>
              </w:rPr>
              <w:t>Osteonecrosis</w:t>
            </w:r>
            <w:proofErr w:type="spellEnd"/>
            <w:r>
              <w:rPr>
                <w:color w:val="auto"/>
                <w:szCs w:val="24"/>
              </w:rPr>
              <w:t>, Left Femoral Head</w:t>
            </w:r>
          </w:p>
        </w:tc>
        <w:tc>
          <w:tcPr>
            <w:tcW w:w="1706" w:type="dxa"/>
            <w:tcBorders>
              <w:top w:val="single" w:sz="4" w:space="0" w:color="000000"/>
              <w:left w:val="single" w:sz="4" w:space="0" w:color="000000"/>
              <w:bottom w:val="single" w:sz="4" w:space="0" w:color="000000"/>
              <w:right w:val="single" w:sz="4" w:space="0" w:color="000000"/>
            </w:tcBorders>
            <w:hideMark/>
          </w:tcPr>
          <w:p w:rsidR="007C67C8" w:rsidRDefault="007C67C8" w:rsidP="004861BC">
            <w:pPr>
              <w:tabs>
                <w:tab w:val="left" w:pos="288"/>
                <w:tab w:val="left" w:pos="4752"/>
              </w:tabs>
              <w:spacing w:line="240" w:lineRule="exact"/>
              <w:jc w:val="center"/>
              <w:rPr>
                <w:color w:val="auto"/>
                <w:szCs w:val="24"/>
              </w:rPr>
            </w:pPr>
            <w:r>
              <w:rPr>
                <w:color w:val="auto"/>
                <w:szCs w:val="24"/>
              </w:rPr>
              <w:t>5299-5255</w:t>
            </w:r>
          </w:p>
        </w:tc>
        <w:tc>
          <w:tcPr>
            <w:tcW w:w="2344" w:type="dxa"/>
            <w:tcBorders>
              <w:top w:val="single" w:sz="4" w:space="0" w:color="000000"/>
              <w:left w:val="single" w:sz="4" w:space="0" w:color="000000"/>
              <w:bottom w:val="single" w:sz="4" w:space="0" w:color="000000"/>
              <w:right w:val="single" w:sz="4" w:space="0" w:color="000000"/>
            </w:tcBorders>
            <w:hideMark/>
          </w:tcPr>
          <w:p w:rsidR="007C67C8" w:rsidRDefault="007C67C8" w:rsidP="004861BC">
            <w:pPr>
              <w:tabs>
                <w:tab w:val="left" w:pos="288"/>
                <w:tab w:val="left" w:pos="4752"/>
              </w:tabs>
              <w:spacing w:line="240" w:lineRule="exact"/>
              <w:jc w:val="center"/>
              <w:rPr>
                <w:color w:val="auto"/>
                <w:szCs w:val="24"/>
              </w:rPr>
            </w:pPr>
            <w:r>
              <w:rPr>
                <w:color w:val="auto"/>
                <w:szCs w:val="24"/>
              </w:rPr>
              <w:t>10%</w:t>
            </w:r>
          </w:p>
        </w:tc>
      </w:tr>
      <w:tr w:rsidR="007C67C8" w:rsidTr="007C67C8">
        <w:trPr>
          <w:gridBefore w:val="1"/>
          <w:wBefore w:w="4590" w:type="dxa"/>
          <w:trHeight w:val="350"/>
        </w:trPr>
        <w:tc>
          <w:tcPr>
            <w:tcW w:w="1706" w:type="dxa"/>
            <w:tcBorders>
              <w:top w:val="single" w:sz="4" w:space="0" w:color="000000"/>
              <w:left w:val="single" w:sz="4" w:space="0" w:color="auto"/>
              <w:bottom w:val="single" w:sz="4" w:space="0" w:color="000000"/>
              <w:right w:val="single" w:sz="4" w:space="0" w:color="000000"/>
            </w:tcBorders>
            <w:shd w:val="pct15" w:color="auto" w:fill="auto"/>
            <w:hideMark/>
          </w:tcPr>
          <w:p w:rsidR="007C67C8" w:rsidRDefault="007C67C8" w:rsidP="004861BC">
            <w:pPr>
              <w:tabs>
                <w:tab w:val="left" w:pos="288"/>
                <w:tab w:val="left" w:pos="4752"/>
              </w:tabs>
              <w:spacing w:line="240" w:lineRule="exact"/>
              <w:jc w:val="center"/>
              <w:rPr>
                <w:b/>
                <w:color w:val="auto"/>
                <w:szCs w:val="24"/>
              </w:rPr>
            </w:pPr>
            <w:r w:rsidRPr="00BE2AB8">
              <w:rPr>
                <w:rFonts w:asciiTheme="minorHAnsi" w:hAnsiTheme="minorHAnsi"/>
                <w:b/>
                <w:color w:val="auto"/>
                <w:szCs w:val="24"/>
              </w:rPr>
              <w:t xml:space="preserve">COMBINED </w:t>
            </w:r>
          </w:p>
        </w:tc>
        <w:tc>
          <w:tcPr>
            <w:tcW w:w="2344" w:type="dxa"/>
            <w:tcBorders>
              <w:top w:val="single" w:sz="4" w:space="0" w:color="000000"/>
              <w:left w:val="single" w:sz="4" w:space="0" w:color="000000"/>
              <w:bottom w:val="single" w:sz="4" w:space="0" w:color="000000"/>
              <w:right w:val="single" w:sz="4" w:space="0" w:color="000000"/>
            </w:tcBorders>
            <w:shd w:val="pct15" w:color="auto" w:fill="auto"/>
            <w:hideMark/>
          </w:tcPr>
          <w:p w:rsidR="007C67C8" w:rsidRDefault="007C67C8" w:rsidP="004861BC">
            <w:pPr>
              <w:tabs>
                <w:tab w:val="left" w:pos="288"/>
                <w:tab w:val="left" w:pos="4752"/>
              </w:tabs>
              <w:spacing w:line="240" w:lineRule="exact"/>
              <w:jc w:val="center"/>
              <w:rPr>
                <w:b/>
                <w:color w:val="auto"/>
                <w:szCs w:val="24"/>
              </w:rPr>
            </w:pPr>
            <w:r>
              <w:rPr>
                <w:b/>
                <w:color w:val="auto"/>
                <w:szCs w:val="24"/>
              </w:rPr>
              <w:t>40%</w:t>
            </w:r>
          </w:p>
        </w:tc>
      </w:tr>
    </w:tbl>
    <w:p w:rsidR="00A83C15" w:rsidRPr="000B0AD2" w:rsidRDefault="00A83C15" w:rsidP="004861BC">
      <w:pPr>
        <w:pBdr>
          <w:bottom w:val="single" w:sz="12" w:space="1" w:color="auto"/>
        </w:pBdr>
        <w:tabs>
          <w:tab w:val="left" w:pos="288"/>
          <w:tab w:val="left" w:pos="1710"/>
        </w:tabs>
        <w:spacing w:line="240" w:lineRule="exact"/>
        <w:jc w:val="both"/>
        <w:rPr>
          <w:rFonts w:asciiTheme="minorHAnsi" w:hAnsiTheme="minorHAnsi"/>
          <w:color w:val="auto"/>
          <w:szCs w:val="24"/>
          <w:highlight w:val="yellow"/>
        </w:rPr>
      </w:pPr>
    </w:p>
    <w:p w:rsidR="00106AD8" w:rsidRPr="00391858" w:rsidRDefault="00106AD8" w:rsidP="004861BC">
      <w:pPr>
        <w:tabs>
          <w:tab w:val="left" w:pos="288"/>
          <w:tab w:val="left" w:pos="4752"/>
        </w:tabs>
        <w:spacing w:line="240" w:lineRule="exact"/>
        <w:rPr>
          <w:b/>
          <w:color w:val="auto"/>
          <w:szCs w:val="24"/>
        </w:rPr>
      </w:pPr>
    </w:p>
    <w:p w:rsidR="00D91DA6" w:rsidRPr="00006186" w:rsidRDefault="00FB1725" w:rsidP="004861B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4861BC">
      <w:pPr>
        <w:tabs>
          <w:tab w:val="left" w:pos="288"/>
          <w:tab w:val="left" w:pos="4752"/>
        </w:tabs>
        <w:spacing w:line="240" w:lineRule="exact"/>
        <w:jc w:val="both"/>
        <w:rPr>
          <w:rFonts w:asciiTheme="minorHAnsi" w:hAnsiTheme="minorHAnsi"/>
          <w:color w:val="auto"/>
        </w:rPr>
      </w:pPr>
    </w:p>
    <w:p w:rsidR="00114F20" w:rsidRPr="00006186" w:rsidRDefault="00FB1725" w:rsidP="004861B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034DB8">
        <w:rPr>
          <w:rFonts w:asciiTheme="minorHAnsi" w:hAnsiTheme="minorHAnsi"/>
          <w:color w:val="auto"/>
        </w:rPr>
        <w:t>294</w:t>
      </w:r>
      <w:r>
        <w:rPr>
          <w:rFonts w:asciiTheme="minorHAnsi" w:hAnsiTheme="minorHAnsi"/>
          <w:color w:val="auto"/>
        </w:rPr>
        <w:t xml:space="preserve"> dated 20</w:t>
      </w:r>
      <w:r w:rsidR="00034DB8">
        <w:rPr>
          <w:rFonts w:asciiTheme="minorHAnsi" w:hAnsiTheme="minorHAnsi"/>
          <w:color w:val="auto"/>
        </w:rPr>
        <w:t>110530</w:t>
      </w:r>
      <w:r w:rsidR="00F91393">
        <w:rPr>
          <w:rFonts w:asciiTheme="minorHAnsi" w:hAnsiTheme="minorHAnsi"/>
          <w:color w:val="auto"/>
        </w:rPr>
        <w:t xml:space="preserve"> w/atchs</w:t>
      </w:r>
    </w:p>
    <w:p w:rsidR="00114F20" w:rsidRPr="00006186" w:rsidRDefault="00FB1725" w:rsidP="004861B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F91393">
        <w:rPr>
          <w:rFonts w:asciiTheme="minorHAnsi" w:hAnsiTheme="minorHAnsi"/>
          <w:color w:val="auto"/>
        </w:rPr>
        <w:t>it B.  Service Treatment Record</w:t>
      </w:r>
    </w:p>
    <w:p w:rsidR="00114F20" w:rsidRPr="00006186" w:rsidRDefault="00FB1725" w:rsidP="004861B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F91393">
        <w:rPr>
          <w:rFonts w:asciiTheme="minorHAnsi" w:hAnsiTheme="minorHAnsi"/>
          <w:color w:val="auto"/>
        </w:rPr>
        <w:t>erans' Affairs Treatment Record</w:t>
      </w:r>
    </w:p>
    <w:p w:rsidR="00D91DA6" w:rsidRPr="00006186" w:rsidRDefault="00D91DA6" w:rsidP="004861BC">
      <w:pPr>
        <w:tabs>
          <w:tab w:val="left" w:pos="288"/>
          <w:tab w:val="left" w:pos="4752"/>
        </w:tabs>
        <w:spacing w:line="240" w:lineRule="exact"/>
        <w:jc w:val="both"/>
        <w:rPr>
          <w:rFonts w:asciiTheme="minorHAnsi" w:hAnsiTheme="minorHAnsi"/>
          <w:color w:val="auto"/>
        </w:rPr>
      </w:pPr>
    </w:p>
    <w:p w:rsidR="00114F20" w:rsidRPr="00006186" w:rsidRDefault="00114F20" w:rsidP="004861BC">
      <w:pPr>
        <w:tabs>
          <w:tab w:val="left" w:pos="288"/>
          <w:tab w:val="left" w:pos="4752"/>
        </w:tabs>
        <w:spacing w:line="240" w:lineRule="exact"/>
        <w:jc w:val="both"/>
        <w:rPr>
          <w:rFonts w:asciiTheme="minorHAnsi" w:hAnsiTheme="minorHAnsi"/>
          <w:color w:val="auto"/>
        </w:rPr>
      </w:pPr>
    </w:p>
    <w:p w:rsidR="00114F20" w:rsidRPr="00006186" w:rsidRDefault="00114F20" w:rsidP="004861BC">
      <w:pPr>
        <w:tabs>
          <w:tab w:val="left" w:pos="288"/>
          <w:tab w:val="left" w:pos="4752"/>
        </w:tabs>
        <w:spacing w:line="240" w:lineRule="exact"/>
        <w:jc w:val="both"/>
        <w:rPr>
          <w:rFonts w:asciiTheme="minorHAnsi" w:hAnsiTheme="minorHAnsi"/>
          <w:color w:val="auto"/>
        </w:rPr>
      </w:pPr>
    </w:p>
    <w:p w:rsidR="00114F20" w:rsidRPr="00006186" w:rsidRDefault="00114F20" w:rsidP="004861BC">
      <w:pPr>
        <w:tabs>
          <w:tab w:val="left" w:pos="288"/>
          <w:tab w:val="left" w:pos="4752"/>
        </w:tabs>
        <w:spacing w:line="240" w:lineRule="exact"/>
        <w:jc w:val="both"/>
        <w:rPr>
          <w:rFonts w:asciiTheme="minorHAnsi" w:hAnsiTheme="minorHAnsi"/>
          <w:color w:val="auto"/>
        </w:rPr>
      </w:pPr>
    </w:p>
    <w:p w:rsidR="00DB06C0" w:rsidRPr="00DB06C0" w:rsidRDefault="00FB1725" w:rsidP="004861B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67937">
        <w:rPr>
          <w:rFonts w:asciiTheme="minorHAnsi" w:hAnsiTheme="minorHAnsi"/>
          <w:color w:val="auto"/>
        </w:rPr>
        <w:t>XXXXXXXX</w:t>
      </w:r>
    </w:p>
    <w:p w:rsidR="0096163B" w:rsidRDefault="00DB06C0" w:rsidP="004861BC">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767937" w:rsidRDefault="0096163B" w:rsidP="00E51F94">
      <w:pPr>
        <w:pStyle w:val="Header"/>
        <w:tabs>
          <w:tab w:val="left" w:pos="720"/>
        </w:tabs>
      </w:pPr>
      <w:r>
        <w:rPr>
          <w:rFonts w:asciiTheme="minorHAnsi" w:hAnsiTheme="minorHAnsi"/>
          <w:color w:val="auto"/>
        </w:rPr>
        <w:br w:type="page"/>
      </w:r>
      <w:r w:rsidR="00767937">
        <w:lastRenderedPageBreak/>
        <w:t>SFMR-RB</w:t>
      </w:r>
      <w:r w:rsidR="00767937">
        <w:tab/>
      </w:r>
      <w:r w:rsidR="00767937">
        <w:tab/>
      </w:r>
      <w:r w:rsidR="00767937">
        <w:tab/>
      </w:r>
      <w:r w:rsidR="00767937">
        <w:tab/>
      </w:r>
      <w:r w:rsidR="00767937">
        <w:tab/>
      </w:r>
      <w:r w:rsidR="00767937">
        <w:tab/>
      </w:r>
      <w:r w:rsidR="00767937">
        <w:tab/>
      </w:r>
    </w:p>
    <w:p w:rsidR="00767937" w:rsidRDefault="00767937" w:rsidP="00767937">
      <w:r>
        <w:t xml:space="preserve">MEMORANDUM FOR Commander, US Army Physical Disability Agency </w:t>
      </w:r>
    </w:p>
    <w:p w:rsidR="00767937" w:rsidRDefault="00767937" w:rsidP="00767937">
      <w:r>
        <w:t>(TAPD-ZB /), 2900 Crystal Drive, Suite 300, Arlington, VA  22202</w:t>
      </w:r>
    </w:p>
    <w:p w:rsidR="00767937" w:rsidRDefault="00767937" w:rsidP="00767937"/>
    <w:p w:rsidR="00767937" w:rsidRDefault="00767937" w:rsidP="00767937">
      <w:pPr>
        <w:ind w:right="-180"/>
      </w:pPr>
      <w:r>
        <w:t xml:space="preserve">SUBJECT:  Department of Defense Physical Disability Board of Review Recommendation </w:t>
      </w:r>
    </w:p>
    <w:p w:rsidR="00767937" w:rsidRDefault="00767937" w:rsidP="00767937">
      <w:pPr>
        <w:pStyle w:val="Header"/>
        <w:tabs>
          <w:tab w:val="left" w:pos="720"/>
        </w:tabs>
      </w:pPr>
      <w:proofErr w:type="gramStart"/>
      <w:r>
        <w:t>for</w:t>
      </w:r>
      <w:proofErr w:type="gramEnd"/>
      <w:r>
        <w:t xml:space="preserve"> XXXXXXXX, AR20120007689 (PD201100424)</w:t>
      </w:r>
    </w:p>
    <w:p w:rsidR="00767937" w:rsidRDefault="00767937" w:rsidP="00767937"/>
    <w:p w:rsidR="00767937" w:rsidRDefault="00767937" w:rsidP="00767937">
      <w: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767937" w:rsidRDefault="00767937" w:rsidP="00767937"/>
    <w:p w:rsidR="00767937" w:rsidRDefault="00767937" w:rsidP="00767937">
      <w:r>
        <w:t>2.  I direct that all the Department of the Army records of the individual concerned be corrected accordingly no later than 120 days from the date of this memorandum:</w:t>
      </w:r>
    </w:p>
    <w:p w:rsidR="00767937" w:rsidRDefault="00767937" w:rsidP="00767937"/>
    <w:p w:rsidR="00767937" w:rsidRDefault="00767937" w:rsidP="00767937">
      <w:r>
        <w:tab/>
        <w:t>a.  Providing a correction to the individual’s separation document showing that the individual was separated by reason of permanent disability retirement effective the date of the original medical separation for disability with severance pay.</w:t>
      </w:r>
    </w:p>
    <w:p w:rsidR="00767937" w:rsidRDefault="00767937" w:rsidP="00767937"/>
    <w:p w:rsidR="00767937" w:rsidRDefault="00767937" w:rsidP="00767937">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767937" w:rsidRDefault="00767937" w:rsidP="00767937"/>
    <w:p w:rsidR="00767937" w:rsidRDefault="00767937" w:rsidP="00767937">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767937" w:rsidRDefault="00767937" w:rsidP="00767937"/>
    <w:p w:rsidR="00767937" w:rsidRDefault="00767937" w:rsidP="00767937">
      <w:r>
        <w:tab/>
      </w:r>
      <w:proofErr w:type="gramStart"/>
      <w:r>
        <w:t>d.  Affording</w:t>
      </w:r>
      <w:proofErr w:type="gramEnd"/>
      <w:r>
        <w:t xml:space="preserve"> the individual the opportunity to elect Survivor Benefit Plan (SBP) and medical TRICARE retiree options.</w:t>
      </w:r>
    </w:p>
    <w:p w:rsidR="00767937" w:rsidRDefault="00767937" w:rsidP="00767937"/>
    <w:p w:rsidR="00767937" w:rsidRDefault="00767937" w:rsidP="00767937">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67937" w:rsidRDefault="00767937" w:rsidP="00767937"/>
    <w:p w:rsidR="00767937" w:rsidRDefault="00767937" w:rsidP="00767937">
      <w:r>
        <w:t>BY ORDER OF THE SECRETARY OF THE ARMY:</w:t>
      </w:r>
    </w:p>
    <w:p w:rsidR="00767937" w:rsidRDefault="00767937" w:rsidP="00767937"/>
    <w:p w:rsidR="00767937" w:rsidRDefault="00767937" w:rsidP="00767937"/>
    <w:p w:rsidR="00767937" w:rsidRDefault="00767937" w:rsidP="00767937">
      <w:pPr>
        <w:pStyle w:val="Header"/>
        <w:tabs>
          <w:tab w:val="left" w:pos="720"/>
        </w:tabs>
      </w:pPr>
    </w:p>
    <w:p w:rsidR="00767937" w:rsidRDefault="00767937" w:rsidP="00767937"/>
    <w:p w:rsidR="00767937" w:rsidRDefault="00767937" w:rsidP="00767937">
      <w:bookmarkStart w:id="0" w:name="OLE_LINK4"/>
      <w:bookmarkStart w:id="1" w:name="OLE_LINK3"/>
      <w:r>
        <w:t>Encl</w:t>
      </w:r>
      <w:r>
        <w:tab/>
      </w:r>
      <w:r>
        <w:tab/>
      </w:r>
      <w:r>
        <w:tab/>
      </w:r>
      <w:r>
        <w:tab/>
      </w:r>
      <w:r>
        <w:tab/>
      </w:r>
      <w:r>
        <w:tab/>
        <w:t xml:space="preserve">     XXXXXXX</w:t>
      </w:r>
    </w:p>
    <w:p w:rsidR="00767937" w:rsidRDefault="00767937" w:rsidP="00767937">
      <w:r>
        <w:tab/>
      </w:r>
      <w:r>
        <w:tab/>
      </w:r>
      <w:r>
        <w:tab/>
      </w:r>
      <w:r>
        <w:tab/>
      </w:r>
      <w:r>
        <w:tab/>
      </w:r>
      <w:r>
        <w:tab/>
        <w:t xml:space="preserve">     Deputy Assistant Secretary</w:t>
      </w:r>
    </w:p>
    <w:p w:rsidR="00767937" w:rsidRDefault="00767937" w:rsidP="00767937">
      <w:r>
        <w:tab/>
      </w:r>
      <w:r>
        <w:tab/>
      </w:r>
      <w:r>
        <w:tab/>
      </w:r>
      <w:r>
        <w:tab/>
      </w:r>
      <w:r>
        <w:tab/>
      </w:r>
      <w:r>
        <w:tab/>
        <w:t xml:space="preserve">         (Army Review Boards)</w:t>
      </w:r>
      <w:bookmarkEnd w:id="0"/>
      <w:bookmarkEnd w:id="1"/>
    </w:p>
    <w:sectPr w:rsidR="00767937"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FD" w:rsidRDefault="00E20CFD">
      <w:r>
        <w:separator/>
      </w:r>
    </w:p>
  </w:endnote>
  <w:endnote w:type="continuationSeparator" w:id="0">
    <w:p w:rsidR="00E20CFD" w:rsidRDefault="00E20C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51E48" w:rsidRPr="00684CE6" w:rsidRDefault="00FE5DEA" w:rsidP="00F65ED5">
        <w:pPr>
          <w:pStyle w:val="Footer"/>
          <w:jc w:val="right"/>
          <w:rPr>
            <w:color w:val="auto"/>
          </w:rPr>
        </w:pPr>
        <w:r w:rsidRPr="00684CE6">
          <w:rPr>
            <w:color w:val="auto"/>
          </w:rPr>
          <w:fldChar w:fldCharType="begin"/>
        </w:r>
        <w:r w:rsidR="00551E48" w:rsidRPr="00684CE6">
          <w:rPr>
            <w:color w:val="auto"/>
          </w:rPr>
          <w:instrText xml:space="preserve"> PAGE   \* MERGEFORMAT </w:instrText>
        </w:r>
        <w:r w:rsidRPr="00684CE6">
          <w:rPr>
            <w:color w:val="auto"/>
          </w:rPr>
          <w:fldChar w:fldCharType="separate"/>
        </w:r>
        <w:r w:rsidR="00E51F94">
          <w:rPr>
            <w:noProof/>
            <w:color w:val="auto"/>
          </w:rPr>
          <w:t>5</w:t>
        </w:r>
        <w:r w:rsidRPr="00684CE6">
          <w:rPr>
            <w:color w:val="auto"/>
          </w:rPr>
          <w:fldChar w:fldCharType="end"/>
        </w:r>
        <w:r w:rsidR="00551E48" w:rsidRPr="00684CE6">
          <w:rPr>
            <w:color w:val="auto"/>
          </w:rPr>
          <w:t xml:space="preserve">          </w:t>
        </w:r>
        <w:r w:rsidR="00551E48">
          <w:rPr>
            <w:color w:val="auto"/>
          </w:rPr>
          <w:t xml:space="preserve">          </w:t>
        </w:r>
        <w:r w:rsidR="00551E48" w:rsidRPr="00684CE6">
          <w:rPr>
            <w:color w:val="auto"/>
          </w:rPr>
          <w:t xml:space="preserve">                                                 PD</w:t>
        </w:r>
        <w:r w:rsidR="00551E48">
          <w:rPr>
            <w:color w:val="auto"/>
          </w:rPr>
          <w:t>1100424</w:t>
        </w:r>
      </w:p>
    </w:sdtContent>
  </w:sdt>
  <w:p w:rsidR="00551E48" w:rsidRPr="00684CE6" w:rsidRDefault="00551E4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FD" w:rsidRDefault="00E20CFD">
      <w:r>
        <w:separator/>
      </w:r>
    </w:p>
  </w:footnote>
  <w:footnote w:type="continuationSeparator" w:id="0">
    <w:p w:rsidR="00E20CFD" w:rsidRDefault="00E20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3177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E9A"/>
    <w:rsid w:val="00010ABA"/>
    <w:rsid w:val="00010B0F"/>
    <w:rsid w:val="00012428"/>
    <w:rsid w:val="00012733"/>
    <w:rsid w:val="00013417"/>
    <w:rsid w:val="000145C2"/>
    <w:rsid w:val="0001473F"/>
    <w:rsid w:val="00014A9E"/>
    <w:rsid w:val="00021361"/>
    <w:rsid w:val="00022CF3"/>
    <w:rsid w:val="00023913"/>
    <w:rsid w:val="00023D43"/>
    <w:rsid w:val="000243E2"/>
    <w:rsid w:val="00024DE7"/>
    <w:rsid w:val="00026092"/>
    <w:rsid w:val="00027157"/>
    <w:rsid w:val="000272C1"/>
    <w:rsid w:val="000278D8"/>
    <w:rsid w:val="00030776"/>
    <w:rsid w:val="00032E07"/>
    <w:rsid w:val="000332CA"/>
    <w:rsid w:val="0003374E"/>
    <w:rsid w:val="000344D8"/>
    <w:rsid w:val="000344E6"/>
    <w:rsid w:val="00034DB8"/>
    <w:rsid w:val="00035C3A"/>
    <w:rsid w:val="00036E4B"/>
    <w:rsid w:val="00037929"/>
    <w:rsid w:val="000379D0"/>
    <w:rsid w:val="00040FC4"/>
    <w:rsid w:val="000416F8"/>
    <w:rsid w:val="00042C26"/>
    <w:rsid w:val="00043382"/>
    <w:rsid w:val="00043C09"/>
    <w:rsid w:val="00043D81"/>
    <w:rsid w:val="00044623"/>
    <w:rsid w:val="000452D7"/>
    <w:rsid w:val="000475B3"/>
    <w:rsid w:val="00051622"/>
    <w:rsid w:val="00051A11"/>
    <w:rsid w:val="00052234"/>
    <w:rsid w:val="00053D7C"/>
    <w:rsid w:val="00057019"/>
    <w:rsid w:val="000575C5"/>
    <w:rsid w:val="000577C9"/>
    <w:rsid w:val="000578EE"/>
    <w:rsid w:val="00060E43"/>
    <w:rsid w:val="00060FFD"/>
    <w:rsid w:val="00061A00"/>
    <w:rsid w:val="0006431E"/>
    <w:rsid w:val="000652EA"/>
    <w:rsid w:val="00065E21"/>
    <w:rsid w:val="000673ED"/>
    <w:rsid w:val="00070DED"/>
    <w:rsid w:val="00072433"/>
    <w:rsid w:val="0007488B"/>
    <w:rsid w:val="00075702"/>
    <w:rsid w:val="00075A0C"/>
    <w:rsid w:val="00075AF8"/>
    <w:rsid w:val="000775C2"/>
    <w:rsid w:val="000806AD"/>
    <w:rsid w:val="00080BDF"/>
    <w:rsid w:val="00081B96"/>
    <w:rsid w:val="00082482"/>
    <w:rsid w:val="00084CF2"/>
    <w:rsid w:val="00085D7B"/>
    <w:rsid w:val="0008708B"/>
    <w:rsid w:val="00092619"/>
    <w:rsid w:val="00092C66"/>
    <w:rsid w:val="0009310C"/>
    <w:rsid w:val="000933EC"/>
    <w:rsid w:val="000949DD"/>
    <w:rsid w:val="00094E4F"/>
    <w:rsid w:val="000A2BCE"/>
    <w:rsid w:val="000A33C8"/>
    <w:rsid w:val="000A41E3"/>
    <w:rsid w:val="000A4BBA"/>
    <w:rsid w:val="000A4E18"/>
    <w:rsid w:val="000A5071"/>
    <w:rsid w:val="000B0AD2"/>
    <w:rsid w:val="000B1022"/>
    <w:rsid w:val="000B2FB8"/>
    <w:rsid w:val="000B4C99"/>
    <w:rsid w:val="000C06F6"/>
    <w:rsid w:val="000C0BD2"/>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1B7"/>
    <w:rsid w:val="000D35D8"/>
    <w:rsid w:val="000D43F9"/>
    <w:rsid w:val="000D4717"/>
    <w:rsid w:val="000D6457"/>
    <w:rsid w:val="000D7142"/>
    <w:rsid w:val="000D7D55"/>
    <w:rsid w:val="000E0993"/>
    <w:rsid w:val="000E0A15"/>
    <w:rsid w:val="000E2E50"/>
    <w:rsid w:val="000E37E0"/>
    <w:rsid w:val="000E3F20"/>
    <w:rsid w:val="000E4CBF"/>
    <w:rsid w:val="000E5577"/>
    <w:rsid w:val="000E585E"/>
    <w:rsid w:val="000E7034"/>
    <w:rsid w:val="000E7B0F"/>
    <w:rsid w:val="000F02BE"/>
    <w:rsid w:val="000F0928"/>
    <w:rsid w:val="000F427B"/>
    <w:rsid w:val="000F43D0"/>
    <w:rsid w:val="000F4F18"/>
    <w:rsid w:val="000F688E"/>
    <w:rsid w:val="000F7181"/>
    <w:rsid w:val="00100601"/>
    <w:rsid w:val="001007CE"/>
    <w:rsid w:val="001008C1"/>
    <w:rsid w:val="001023DB"/>
    <w:rsid w:val="00102B8D"/>
    <w:rsid w:val="00103948"/>
    <w:rsid w:val="00103CCF"/>
    <w:rsid w:val="0010417F"/>
    <w:rsid w:val="001042D2"/>
    <w:rsid w:val="0010530E"/>
    <w:rsid w:val="00105588"/>
    <w:rsid w:val="00105C07"/>
    <w:rsid w:val="00106AD8"/>
    <w:rsid w:val="00107EC5"/>
    <w:rsid w:val="001103CD"/>
    <w:rsid w:val="00113D2A"/>
    <w:rsid w:val="00114F20"/>
    <w:rsid w:val="001150A4"/>
    <w:rsid w:val="0011590B"/>
    <w:rsid w:val="001211AF"/>
    <w:rsid w:val="001219DF"/>
    <w:rsid w:val="0012220B"/>
    <w:rsid w:val="0012239C"/>
    <w:rsid w:val="00122ABE"/>
    <w:rsid w:val="001231DC"/>
    <w:rsid w:val="0012489B"/>
    <w:rsid w:val="001266E7"/>
    <w:rsid w:val="001272AE"/>
    <w:rsid w:val="00130756"/>
    <w:rsid w:val="001315DD"/>
    <w:rsid w:val="0013525F"/>
    <w:rsid w:val="00135385"/>
    <w:rsid w:val="001364D1"/>
    <w:rsid w:val="001374C7"/>
    <w:rsid w:val="0014180D"/>
    <w:rsid w:val="001421FD"/>
    <w:rsid w:val="001425C8"/>
    <w:rsid w:val="00142EBA"/>
    <w:rsid w:val="00143B79"/>
    <w:rsid w:val="00145965"/>
    <w:rsid w:val="00150B8A"/>
    <w:rsid w:val="00150DCB"/>
    <w:rsid w:val="00151912"/>
    <w:rsid w:val="00153740"/>
    <w:rsid w:val="00153D88"/>
    <w:rsid w:val="001541C5"/>
    <w:rsid w:val="00154302"/>
    <w:rsid w:val="0015623F"/>
    <w:rsid w:val="00156585"/>
    <w:rsid w:val="00156BA9"/>
    <w:rsid w:val="00156FEA"/>
    <w:rsid w:val="00161642"/>
    <w:rsid w:val="00161761"/>
    <w:rsid w:val="001635D6"/>
    <w:rsid w:val="00166182"/>
    <w:rsid w:val="0017102A"/>
    <w:rsid w:val="0017139A"/>
    <w:rsid w:val="001724C8"/>
    <w:rsid w:val="001732C4"/>
    <w:rsid w:val="00173C5F"/>
    <w:rsid w:val="001745DD"/>
    <w:rsid w:val="00174FDE"/>
    <w:rsid w:val="00174FE3"/>
    <w:rsid w:val="00177659"/>
    <w:rsid w:val="00177941"/>
    <w:rsid w:val="001779E5"/>
    <w:rsid w:val="0018032B"/>
    <w:rsid w:val="00180826"/>
    <w:rsid w:val="00181240"/>
    <w:rsid w:val="00182A4C"/>
    <w:rsid w:val="00183DAE"/>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54E"/>
    <w:rsid w:val="001B4C0B"/>
    <w:rsid w:val="001B4EC2"/>
    <w:rsid w:val="001B5B59"/>
    <w:rsid w:val="001B60E0"/>
    <w:rsid w:val="001B755A"/>
    <w:rsid w:val="001B7C8C"/>
    <w:rsid w:val="001C047A"/>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0CDD"/>
    <w:rsid w:val="001E15C0"/>
    <w:rsid w:val="001E18E0"/>
    <w:rsid w:val="001E18E2"/>
    <w:rsid w:val="001E19D0"/>
    <w:rsid w:val="001E2A30"/>
    <w:rsid w:val="001E2FF1"/>
    <w:rsid w:val="001E41FE"/>
    <w:rsid w:val="001E635C"/>
    <w:rsid w:val="001F0297"/>
    <w:rsid w:val="00200AA0"/>
    <w:rsid w:val="00202325"/>
    <w:rsid w:val="00202736"/>
    <w:rsid w:val="0020283B"/>
    <w:rsid w:val="00203652"/>
    <w:rsid w:val="00204562"/>
    <w:rsid w:val="00204F3A"/>
    <w:rsid w:val="00205B4F"/>
    <w:rsid w:val="002060B6"/>
    <w:rsid w:val="00206109"/>
    <w:rsid w:val="002066B5"/>
    <w:rsid w:val="00211612"/>
    <w:rsid w:val="002119B6"/>
    <w:rsid w:val="00212B40"/>
    <w:rsid w:val="00213188"/>
    <w:rsid w:val="00213BD0"/>
    <w:rsid w:val="00214DBA"/>
    <w:rsid w:val="002151AB"/>
    <w:rsid w:val="0021548C"/>
    <w:rsid w:val="00215C4C"/>
    <w:rsid w:val="00215ED6"/>
    <w:rsid w:val="00216049"/>
    <w:rsid w:val="00216301"/>
    <w:rsid w:val="002163FA"/>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408"/>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801"/>
    <w:rsid w:val="00274E46"/>
    <w:rsid w:val="002752AE"/>
    <w:rsid w:val="002769AF"/>
    <w:rsid w:val="00276C86"/>
    <w:rsid w:val="00276FD0"/>
    <w:rsid w:val="00277217"/>
    <w:rsid w:val="002810A4"/>
    <w:rsid w:val="00281238"/>
    <w:rsid w:val="00282DB6"/>
    <w:rsid w:val="00284A26"/>
    <w:rsid w:val="00285095"/>
    <w:rsid w:val="00287006"/>
    <w:rsid w:val="00292397"/>
    <w:rsid w:val="00292AB2"/>
    <w:rsid w:val="00293DB6"/>
    <w:rsid w:val="00293FE8"/>
    <w:rsid w:val="00294437"/>
    <w:rsid w:val="00297A45"/>
    <w:rsid w:val="00297E20"/>
    <w:rsid w:val="002A233F"/>
    <w:rsid w:val="002A2B15"/>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0670"/>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339"/>
    <w:rsid w:val="002F6AD8"/>
    <w:rsid w:val="002F7F81"/>
    <w:rsid w:val="00300A36"/>
    <w:rsid w:val="00301770"/>
    <w:rsid w:val="00301B45"/>
    <w:rsid w:val="00305856"/>
    <w:rsid w:val="0030678B"/>
    <w:rsid w:val="00306D16"/>
    <w:rsid w:val="00307595"/>
    <w:rsid w:val="00310CD7"/>
    <w:rsid w:val="00313D7A"/>
    <w:rsid w:val="0031549C"/>
    <w:rsid w:val="0032136A"/>
    <w:rsid w:val="0032170E"/>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3AE"/>
    <w:rsid w:val="0033555E"/>
    <w:rsid w:val="00336805"/>
    <w:rsid w:val="00337351"/>
    <w:rsid w:val="00340928"/>
    <w:rsid w:val="00340ED7"/>
    <w:rsid w:val="00341A54"/>
    <w:rsid w:val="00344A4F"/>
    <w:rsid w:val="00344D17"/>
    <w:rsid w:val="0034669F"/>
    <w:rsid w:val="00347C64"/>
    <w:rsid w:val="00350428"/>
    <w:rsid w:val="00350495"/>
    <w:rsid w:val="00351498"/>
    <w:rsid w:val="00352B22"/>
    <w:rsid w:val="00352CBF"/>
    <w:rsid w:val="00354547"/>
    <w:rsid w:val="003549F5"/>
    <w:rsid w:val="003567DE"/>
    <w:rsid w:val="003574F3"/>
    <w:rsid w:val="00357831"/>
    <w:rsid w:val="003604A5"/>
    <w:rsid w:val="00360B19"/>
    <w:rsid w:val="00360DE3"/>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48"/>
    <w:rsid w:val="003840F6"/>
    <w:rsid w:val="00384866"/>
    <w:rsid w:val="003857D4"/>
    <w:rsid w:val="00385D6F"/>
    <w:rsid w:val="00386CB9"/>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3324"/>
    <w:rsid w:val="003A40B4"/>
    <w:rsid w:val="003A41BA"/>
    <w:rsid w:val="003A5491"/>
    <w:rsid w:val="003A5958"/>
    <w:rsid w:val="003A6A99"/>
    <w:rsid w:val="003A6E60"/>
    <w:rsid w:val="003A70A7"/>
    <w:rsid w:val="003A7FF8"/>
    <w:rsid w:val="003B17AC"/>
    <w:rsid w:val="003B227A"/>
    <w:rsid w:val="003B3A77"/>
    <w:rsid w:val="003B4319"/>
    <w:rsid w:val="003B441A"/>
    <w:rsid w:val="003B5854"/>
    <w:rsid w:val="003B6534"/>
    <w:rsid w:val="003B6764"/>
    <w:rsid w:val="003B7A8B"/>
    <w:rsid w:val="003C25C9"/>
    <w:rsid w:val="003C294B"/>
    <w:rsid w:val="003C5046"/>
    <w:rsid w:val="003C6068"/>
    <w:rsid w:val="003C695E"/>
    <w:rsid w:val="003C7AEC"/>
    <w:rsid w:val="003D2BA3"/>
    <w:rsid w:val="003D316B"/>
    <w:rsid w:val="003D3C22"/>
    <w:rsid w:val="003D4B34"/>
    <w:rsid w:val="003D56A0"/>
    <w:rsid w:val="003D69F5"/>
    <w:rsid w:val="003D7089"/>
    <w:rsid w:val="003D7DDB"/>
    <w:rsid w:val="003E024F"/>
    <w:rsid w:val="003E02C7"/>
    <w:rsid w:val="003E0543"/>
    <w:rsid w:val="003E061D"/>
    <w:rsid w:val="003E0B5A"/>
    <w:rsid w:val="003E1682"/>
    <w:rsid w:val="003E2D71"/>
    <w:rsid w:val="003E31E3"/>
    <w:rsid w:val="003E3E93"/>
    <w:rsid w:val="003E46D1"/>
    <w:rsid w:val="003E61EE"/>
    <w:rsid w:val="003E6214"/>
    <w:rsid w:val="003F070E"/>
    <w:rsid w:val="003F1206"/>
    <w:rsid w:val="003F28DB"/>
    <w:rsid w:val="003F2EEE"/>
    <w:rsid w:val="003F58B0"/>
    <w:rsid w:val="003F5CDA"/>
    <w:rsid w:val="003F776F"/>
    <w:rsid w:val="004007E9"/>
    <w:rsid w:val="00400810"/>
    <w:rsid w:val="00401825"/>
    <w:rsid w:val="00401BBC"/>
    <w:rsid w:val="00401EE0"/>
    <w:rsid w:val="00403BFB"/>
    <w:rsid w:val="0040457E"/>
    <w:rsid w:val="00404B45"/>
    <w:rsid w:val="00405BCF"/>
    <w:rsid w:val="00406CC5"/>
    <w:rsid w:val="004074A4"/>
    <w:rsid w:val="004101B2"/>
    <w:rsid w:val="004123D7"/>
    <w:rsid w:val="00412658"/>
    <w:rsid w:val="004129DA"/>
    <w:rsid w:val="00412C51"/>
    <w:rsid w:val="00415EA4"/>
    <w:rsid w:val="0041604B"/>
    <w:rsid w:val="004172DB"/>
    <w:rsid w:val="00417955"/>
    <w:rsid w:val="00417FC6"/>
    <w:rsid w:val="00420A1D"/>
    <w:rsid w:val="00421485"/>
    <w:rsid w:val="004216DA"/>
    <w:rsid w:val="00422B75"/>
    <w:rsid w:val="004239C4"/>
    <w:rsid w:val="00424612"/>
    <w:rsid w:val="0042528C"/>
    <w:rsid w:val="00425672"/>
    <w:rsid w:val="00425A6A"/>
    <w:rsid w:val="00427F54"/>
    <w:rsid w:val="004306B8"/>
    <w:rsid w:val="004316FD"/>
    <w:rsid w:val="00433F36"/>
    <w:rsid w:val="00434860"/>
    <w:rsid w:val="00434974"/>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98F"/>
    <w:rsid w:val="00466C5C"/>
    <w:rsid w:val="00466CED"/>
    <w:rsid w:val="00466EB5"/>
    <w:rsid w:val="00467592"/>
    <w:rsid w:val="00467690"/>
    <w:rsid w:val="004718E7"/>
    <w:rsid w:val="00472289"/>
    <w:rsid w:val="00472535"/>
    <w:rsid w:val="004738F5"/>
    <w:rsid w:val="00474147"/>
    <w:rsid w:val="004761CC"/>
    <w:rsid w:val="004766C9"/>
    <w:rsid w:val="004809FB"/>
    <w:rsid w:val="00480D4A"/>
    <w:rsid w:val="00481DA1"/>
    <w:rsid w:val="00483A2B"/>
    <w:rsid w:val="00484212"/>
    <w:rsid w:val="00484BA9"/>
    <w:rsid w:val="0048599A"/>
    <w:rsid w:val="00485C99"/>
    <w:rsid w:val="004861BC"/>
    <w:rsid w:val="00486818"/>
    <w:rsid w:val="00486C75"/>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8B5"/>
    <w:rsid w:val="004C6CDA"/>
    <w:rsid w:val="004D10D4"/>
    <w:rsid w:val="004D16BD"/>
    <w:rsid w:val="004D2AAB"/>
    <w:rsid w:val="004D6E90"/>
    <w:rsid w:val="004D6F2B"/>
    <w:rsid w:val="004E0248"/>
    <w:rsid w:val="004E1DF5"/>
    <w:rsid w:val="004E21A3"/>
    <w:rsid w:val="004E32EA"/>
    <w:rsid w:val="004E6866"/>
    <w:rsid w:val="004E6BD3"/>
    <w:rsid w:val="004F0C58"/>
    <w:rsid w:val="004F3222"/>
    <w:rsid w:val="004F3639"/>
    <w:rsid w:val="004F3BFA"/>
    <w:rsid w:val="004F4E3C"/>
    <w:rsid w:val="004F5A1A"/>
    <w:rsid w:val="004F6AF5"/>
    <w:rsid w:val="004F77A3"/>
    <w:rsid w:val="005000AB"/>
    <w:rsid w:val="00500F3C"/>
    <w:rsid w:val="005025EE"/>
    <w:rsid w:val="00503DDF"/>
    <w:rsid w:val="00505524"/>
    <w:rsid w:val="00506688"/>
    <w:rsid w:val="00510588"/>
    <w:rsid w:val="00510F9C"/>
    <w:rsid w:val="0051146C"/>
    <w:rsid w:val="0051220B"/>
    <w:rsid w:val="00512253"/>
    <w:rsid w:val="00512484"/>
    <w:rsid w:val="00513EFB"/>
    <w:rsid w:val="00514449"/>
    <w:rsid w:val="00515419"/>
    <w:rsid w:val="005157BD"/>
    <w:rsid w:val="005214A3"/>
    <w:rsid w:val="005222E7"/>
    <w:rsid w:val="00523A8B"/>
    <w:rsid w:val="00523E04"/>
    <w:rsid w:val="00525003"/>
    <w:rsid w:val="0052590B"/>
    <w:rsid w:val="00526591"/>
    <w:rsid w:val="00527178"/>
    <w:rsid w:val="00527429"/>
    <w:rsid w:val="005278CB"/>
    <w:rsid w:val="005316E0"/>
    <w:rsid w:val="00532BFB"/>
    <w:rsid w:val="00534464"/>
    <w:rsid w:val="00534D42"/>
    <w:rsid w:val="005350A5"/>
    <w:rsid w:val="00535752"/>
    <w:rsid w:val="00536379"/>
    <w:rsid w:val="0053689C"/>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E48"/>
    <w:rsid w:val="0055288D"/>
    <w:rsid w:val="00554DCC"/>
    <w:rsid w:val="00555259"/>
    <w:rsid w:val="00555C66"/>
    <w:rsid w:val="005569EF"/>
    <w:rsid w:val="00556BDE"/>
    <w:rsid w:val="00560D57"/>
    <w:rsid w:val="00562A94"/>
    <w:rsid w:val="005636B7"/>
    <w:rsid w:val="00563FAD"/>
    <w:rsid w:val="005646C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42F1"/>
    <w:rsid w:val="00595102"/>
    <w:rsid w:val="005958EC"/>
    <w:rsid w:val="00595B60"/>
    <w:rsid w:val="00595BF0"/>
    <w:rsid w:val="00597E16"/>
    <w:rsid w:val="005A0B1D"/>
    <w:rsid w:val="005A138D"/>
    <w:rsid w:val="005A1846"/>
    <w:rsid w:val="005A258C"/>
    <w:rsid w:val="005A3560"/>
    <w:rsid w:val="005A464E"/>
    <w:rsid w:val="005A62FC"/>
    <w:rsid w:val="005A6C99"/>
    <w:rsid w:val="005A7D5D"/>
    <w:rsid w:val="005B0040"/>
    <w:rsid w:val="005B011A"/>
    <w:rsid w:val="005B0283"/>
    <w:rsid w:val="005B1ADA"/>
    <w:rsid w:val="005B1D8F"/>
    <w:rsid w:val="005B1E94"/>
    <w:rsid w:val="005B2E94"/>
    <w:rsid w:val="005B5B3D"/>
    <w:rsid w:val="005B64CF"/>
    <w:rsid w:val="005C0E87"/>
    <w:rsid w:val="005C16F3"/>
    <w:rsid w:val="005C3758"/>
    <w:rsid w:val="005C4D72"/>
    <w:rsid w:val="005C50C1"/>
    <w:rsid w:val="005C5A81"/>
    <w:rsid w:val="005C62C2"/>
    <w:rsid w:val="005D15E4"/>
    <w:rsid w:val="005D2306"/>
    <w:rsid w:val="005D2D08"/>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DCF"/>
    <w:rsid w:val="005F5EC1"/>
    <w:rsid w:val="005F67A9"/>
    <w:rsid w:val="005F6B6D"/>
    <w:rsid w:val="006008F8"/>
    <w:rsid w:val="00601022"/>
    <w:rsid w:val="00602333"/>
    <w:rsid w:val="006046D4"/>
    <w:rsid w:val="00605AAB"/>
    <w:rsid w:val="00606BEB"/>
    <w:rsid w:val="0061014A"/>
    <w:rsid w:val="0061054B"/>
    <w:rsid w:val="00612FB0"/>
    <w:rsid w:val="0061356D"/>
    <w:rsid w:val="00613E26"/>
    <w:rsid w:val="00615641"/>
    <w:rsid w:val="00616959"/>
    <w:rsid w:val="0062036E"/>
    <w:rsid w:val="006211D0"/>
    <w:rsid w:val="00621213"/>
    <w:rsid w:val="00621595"/>
    <w:rsid w:val="0062359D"/>
    <w:rsid w:val="00623634"/>
    <w:rsid w:val="00624D0C"/>
    <w:rsid w:val="006274B4"/>
    <w:rsid w:val="006307BA"/>
    <w:rsid w:val="006315BA"/>
    <w:rsid w:val="00634227"/>
    <w:rsid w:val="00634C4A"/>
    <w:rsid w:val="0063532E"/>
    <w:rsid w:val="00637063"/>
    <w:rsid w:val="0063737C"/>
    <w:rsid w:val="00637BDC"/>
    <w:rsid w:val="00640622"/>
    <w:rsid w:val="006418C9"/>
    <w:rsid w:val="00641DE4"/>
    <w:rsid w:val="00642BD6"/>
    <w:rsid w:val="00644017"/>
    <w:rsid w:val="00645046"/>
    <w:rsid w:val="0064527A"/>
    <w:rsid w:val="006458FD"/>
    <w:rsid w:val="00645EA2"/>
    <w:rsid w:val="00651E6D"/>
    <w:rsid w:val="00653D2D"/>
    <w:rsid w:val="0065546D"/>
    <w:rsid w:val="006555E7"/>
    <w:rsid w:val="006560B6"/>
    <w:rsid w:val="006573F2"/>
    <w:rsid w:val="00660A9F"/>
    <w:rsid w:val="00662AD0"/>
    <w:rsid w:val="00662F08"/>
    <w:rsid w:val="00663589"/>
    <w:rsid w:val="00663A22"/>
    <w:rsid w:val="00664296"/>
    <w:rsid w:val="006649CD"/>
    <w:rsid w:val="00665D75"/>
    <w:rsid w:val="006708E3"/>
    <w:rsid w:val="00670DDC"/>
    <w:rsid w:val="00671389"/>
    <w:rsid w:val="00671EB4"/>
    <w:rsid w:val="00673CDC"/>
    <w:rsid w:val="0067443B"/>
    <w:rsid w:val="006745FD"/>
    <w:rsid w:val="006770AA"/>
    <w:rsid w:val="00681576"/>
    <w:rsid w:val="00682486"/>
    <w:rsid w:val="00684CE6"/>
    <w:rsid w:val="00684E2B"/>
    <w:rsid w:val="006858F5"/>
    <w:rsid w:val="00687C7E"/>
    <w:rsid w:val="00690569"/>
    <w:rsid w:val="00690FDA"/>
    <w:rsid w:val="00691E61"/>
    <w:rsid w:val="00692656"/>
    <w:rsid w:val="006937C6"/>
    <w:rsid w:val="00693C5E"/>
    <w:rsid w:val="00693CEE"/>
    <w:rsid w:val="00694EEA"/>
    <w:rsid w:val="006955B4"/>
    <w:rsid w:val="00695DEF"/>
    <w:rsid w:val="00695F30"/>
    <w:rsid w:val="00696476"/>
    <w:rsid w:val="00696C74"/>
    <w:rsid w:val="00697B67"/>
    <w:rsid w:val="006A10FA"/>
    <w:rsid w:val="006A21CE"/>
    <w:rsid w:val="006A40E6"/>
    <w:rsid w:val="006A516B"/>
    <w:rsid w:val="006A5362"/>
    <w:rsid w:val="006A543A"/>
    <w:rsid w:val="006A5C07"/>
    <w:rsid w:val="006A6DD2"/>
    <w:rsid w:val="006A75FA"/>
    <w:rsid w:val="006B07D5"/>
    <w:rsid w:val="006B1309"/>
    <w:rsid w:val="006B2BF2"/>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1F1"/>
    <w:rsid w:val="006C3A68"/>
    <w:rsid w:val="006C3B08"/>
    <w:rsid w:val="006C4B9D"/>
    <w:rsid w:val="006C6AB1"/>
    <w:rsid w:val="006C6E6B"/>
    <w:rsid w:val="006D145F"/>
    <w:rsid w:val="006D1D34"/>
    <w:rsid w:val="006D2000"/>
    <w:rsid w:val="006D2D39"/>
    <w:rsid w:val="006D2F31"/>
    <w:rsid w:val="006D3BF2"/>
    <w:rsid w:val="006D4250"/>
    <w:rsid w:val="006D4E0E"/>
    <w:rsid w:val="006D5861"/>
    <w:rsid w:val="006D5CE2"/>
    <w:rsid w:val="006D6529"/>
    <w:rsid w:val="006D6E2E"/>
    <w:rsid w:val="006D7854"/>
    <w:rsid w:val="006E06D1"/>
    <w:rsid w:val="006E1313"/>
    <w:rsid w:val="006E2DC8"/>
    <w:rsid w:val="006E7356"/>
    <w:rsid w:val="006E77C8"/>
    <w:rsid w:val="006F0F9C"/>
    <w:rsid w:val="006F149D"/>
    <w:rsid w:val="006F1A46"/>
    <w:rsid w:val="006F20A2"/>
    <w:rsid w:val="006F4F06"/>
    <w:rsid w:val="006F5A4E"/>
    <w:rsid w:val="006F5D37"/>
    <w:rsid w:val="006F6005"/>
    <w:rsid w:val="006F6296"/>
    <w:rsid w:val="007005EA"/>
    <w:rsid w:val="00702157"/>
    <w:rsid w:val="00703B6C"/>
    <w:rsid w:val="00703BB0"/>
    <w:rsid w:val="00703E0A"/>
    <w:rsid w:val="00704519"/>
    <w:rsid w:val="00704C88"/>
    <w:rsid w:val="00704EA1"/>
    <w:rsid w:val="00705C40"/>
    <w:rsid w:val="00706482"/>
    <w:rsid w:val="00706754"/>
    <w:rsid w:val="00706BEF"/>
    <w:rsid w:val="00707B73"/>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1D9"/>
    <w:rsid w:val="00736A49"/>
    <w:rsid w:val="00737450"/>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0FFD"/>
    <w:rsid w:val="0076100C"/>
    <w:rsid w:val="007612A5"/>
    <w:rsid w:val="0076158A"/>
    <w:rsid w:val="00763CAE"/>
    <w:rsid w:val="00763F95"/>
    <w:rsid w:val="007651ED"/>
    <w:rsid w:val="00766C87"/>
    <w:rsid w:val="00767937"/>
    <w:rsid w:val="00771043"/>
    <w:rsid w:val="007711E2"/>
    <w:rsid w:val="00773252"/>
    <w:rsid w:val="00773AF7"/>
    <w:rsid w:val="00773D13"/>
    <w:rsid w:val="00774FFD"/>
    <w:rsid w:val="007758A1"/>
    <w:rsid w:val="00780378"/>
    <w:rsid w:val="0078085E"/>
    <w:rsid w:val="00781BD4"/>
    <w:rsid w:val="00782562"/>
    <w:rsid w:val="007828B4"/>
    <w:rsid w:val="00784832"/>
    <w:rsid w:val="00784EA0"/>
    <w:rsid w:val="00785D77"/>
    <w:rsid w:val="00786111"/>
    <w:rsid w:val="00786856"/>
    <w:rsid w:val="00787612"/>
    <w:rsid w:val="00790963"/>
    <w:rsid w:val="0079154B"/>
    <w:rsid w:val="00791F1E"/>
    <w:rsid w:val="007927BE"/>
    <w:rsid w:val="007935B8"/>
    <w:rsid w:val="00794ADE"/>
    <w:rsid w:val="00794F3D"/>
    <w:rsid w:val="00795CE9"/>
    <w:rsid w:val="00796045"/>
    <w:rsid w:val="007968AC"/>
    <w:rsid w:val="007969AB"/>
    <w:rsid w:val="007973D8"/>
    <w:rsid w:val="00797801"/>
    <w:rsid w:val="007A08DF"/>
    <w:rsid w:val="007A0B39"/>
    <w:rsid w:val="007A14A4"/>
    <w:rsid w:val="007A168F"/>
    <w:rsid w:val="007A208A"/>
    <w:rsid w:val="007A2346"/>
    <w:rsid w:val="007A28E4"/>
    <w:rsid w:val="007A3BB3"/>
    <w:rsid w:val="007A3F91"/>
    <w:rsid w:val="007A5AD1"/>
    <w:rsid w:val="007A5B7B"/>
    <w:rsid w:val="007A65A9"/>
    <w:rsid w:val="007A7515"/>
    <w:rsid w:val="007B0128"/>
    <w:rsid w:val="007B0A06"/>
    <w:rsid w:val="007B0B24"/>
    <w:rsid w:val="007B1B18"/>
    <w:rsid w:val="007B1C83"/>
    <w:rsid w:val="007B4181"/>
    <w:rsid w:val="007B458B"/>
    <w:rsid w:val="007B5C5C"/>
    <w:rsid w:val="007B6CE0"/>
    <w:rsid w:val="007B7B37"/>
    <w:rsid w:val="007B7C41"/>
    <w:rsid w:val="007C05C5"/>
    <w:rsid w:val="007C11E9"/>
    <w:rsid w:val="007C433E"/>
    <w:rsid w:val="007C4452"/>
    <w:rsid w:val="007C4B3C"/>
    <w:rsid w:val="007C4DB1"/>
    <w:rsid w:val="007C6046"/>
    <w:rsid w:val="007C67C8"/>
    <w:rsid w:val="007C6F0C"/>
    <w:rsid w:val="007D0292"/>
    <w:rsid w:val="007D136C"/>
    <w:rsid w:val="007D21AC"/>
    <w:rsid w:val="007D24B0"/>
    <w:rsid w:val="007D3882"/>
    <w:rsid w:val="007D39E4"/>
    <w:rsid w:val="007D3FE7"/>
    <w:rsid w:val="007D568A"/>
    <w:rsid w:val="007D574E"/>
    <w:rsid w:val="007D57C0"/>
    <w:rsid w:val="007D67CB"/>
    <w:rsid w:val="007D6BFE"/>
    <w:rsid w:val="007D7E2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6F"/>
    <w:rsid w:val="007F0EFF"/>
    <w:rsid w:val="007F1375"/>
    <w:rsid w:val="007F1AFD"/>
    <w:rsid w:val="007F30E4"/>
    <w:rsid w:val="007F5528"/>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604"/>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1D2"/>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4582"/>
    <w:rsid w:val="00875471"/>
    <w:rsid w:val="0087566D"/>
    <w:rsid w:val="00875B50"/>
    <w:rsid w:val="00875B51"/>
    <w:rsid w:val="00875F2D"/>
    <w:rsid w:val="00876431"/>
    <w:rsid w:val="008764DC"/>
    <w:rsid w:val="00882CC2"/>
    <w:rsid w:val="0088325A"/>
    <w:rsid w:val="00883930"/>
    <w:rsid w:val="00884535"/>
    <w:rsid w:val="00886C91"/>
    <w:rsid w:val="008902BE"/>
    <w:rsid w:val="0089038F"/>
    <w:rsid w:val="00890CDA"/>
    <w:rsid w:val="00891BBA"/>
    <w:rsid w:val="00892079"/>
    <w:rsid w:val="008924F6"/>
    <w:rsid w:val="00892B90"/>
    <w:rsid w:val="00894213"/>
    <w:rsid w:val="00896535"/>
    <w:rsid w:val="00896683"/>
    <w:rsid w:val="00896E71"/>
    <w:rsid w:val="0089750B"/>
    <w:rsid w:val="00897589"/>
    <w:rsid w:val="008A0D4F"/>
    <w:rsid w:val="008A2D08"/>
    <w:rsid w:val="008A39D7"/>
    <w:rsid w:val="008A55DE"/>
    <w:rsid w:val="008A5C34"/>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6705"/>
    <w:rsid w:val="008B71DE"/>
    <w:rsid w:val="008C22F3"/>
    <w:rsid w:val="008C38CF"/>
    <w:rsid w:val="008C3FD0"/>
    <w:rsid w:val="008C4F01"/>
    <w:rsid w:val="008D1484"/>
    <w:rsid w:val="008D29E7"/>
    <w:rsid w:val="008D5104"/>
    <w:rsid w:val="008D74A3"/>
    <w:rsid w:val="008D75F4"/>
    <w:rsid w:val="008D795D"/>
    <w:rsid w:val="008D7B07"/>
    <w:rsid w:val="008E04BE"/>
    <w:rsid w:val="008E0D8F"/>
    <w:rsid w:val="008E0F4E"/>
    <w:rsid w:val="008E1E94"/>
    <w:rsid w:val="008E2D99"/>
    <w:rsid w:val="008E30D4"/>
    <w:rsid w:val="008E38B0"/>
    <w:rsid w:val="008E44DC"/>
    <w:rsid w:val="008E4A60"/>
    <w:rsid w:val="008E744D"/>
    <w:rsid w:val="008F1E08"/>
    <w:rsid w:val="008F4F3A"/>
    <w:rsid w:val="008F6FC8"/>
    <w:rsid w:val="0090045D"/>
    <w:rsid w:val="00900D8F"/>
    <w:rsid w:val="009014E3"/>
    <w:rsid w:val="009020ED"/>
    <w:rsid w:val="009026E8"/>
    <w:rsid w:val="00902FDD"/>
    <w:rsid w:val="00905EEF"/>
    <w:rsid w:val="00906EB7"/>
    <w:rsid w:val="009102BF"/>
    <w:rsid w:val="00911490"/>
    <w:rsid w:val="009115F2"/>
    <w:rsid w:val="00911B11"/>
    <w:rsid w:val="00911ECD"/>
    <w:rsid w:val="00914ADB"/>
    <w:rsid w:val="00917182"/>
    <w:rsid w:val="00923B25"/>
    <w:rsid w:val="0092402E"/>
    <w:rsid w:val="009259BA"/>
    <w:rsid w:val="00926FCB"/>
    <w:rsid w:val="009303BB"/>
    <w:rsid w:val="0093108A"/>
    <w:rsid w:val="00931B2C"/>
    <w:rsid w:val="0093311A"/>
    <w:rsid w:val="009346D0"/>
    <w:rsid w:val="009419B4"/>
    <w:rsid w:val="00941A4C"/>
    <w:rsid w:val="00942645"/>
    <w:rsid w:val="009461E6"/>
    <w:rsid w:val="00950A3A"/>
    <w:rsid w:val="00950B2E"/>
    <w:rsid w:val="0095340A"/>
    <w:rsid w:val="00953AF6"/>
    <w:rsid w:val="0095423E"/>
    <w:rsid w:val="00954581"/>
    <w:rsid w:val="0095466C"/>
    <w:rsid w:val="00954A7E"/>
    <w:rsid w:val="00954E5B"/>
    <w:rsid w:val="00955316"/>
    <w:rsid w:val="00955E45"/>
    <w:rsid w:val="009576BC"/>
    <w:rsid w:val="009576C1"/>
    <w:rsid w:val="00957899"/>
    <w:rsid w:val="00960164"/>
    <w:rsid w:val="00960357"/>
    <w:rsid w:val="0096163B"/>
    <w:rsid w:val="0096168C"/>
    <w:rsid w:val="00961840"/>
    <w:rsid w:val="009625E3"/>
    <w:rsid w:val="00962F2D"/>
    <w:rsid w:val="00963190"/>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873F6"/>
    <w:rsid w:val="009935C3"/>
    <w:rsid w:val="0099421F"/>
    <w:rsid w:val="00994FC8"/>
    <w:rsid w:val="009A0DE3"/>
    <w:rsid w:val="009A0E29"/>
    <w:rsid w:val="009A1643"/>
    <w:rsid w:val="009A215A"/>
    <w:rsid w:val="009A49D3"/>
    <w:rsid w:val="009A4BAB"/>
    <w:rsid w:val="009A4F1B"/>
    <w:rsid w:val="009A66C5"/>
    <w:rsid w:val="009A66E7"/>
    <w:rsid w:val="009A79BA"/>
    <w:rsid w:val="009B14D1"/>
    <w:rsid w:val="009B1534"/>
    <w:rsid w:val="009B29FB"/>
    <w:rsid w:val="009B4963"/>
    <w:rsid w:val="009B4A3B"/>
    <w:rsid w:val="009B54A1"/>
    <w:rsid w:val="009B5D41"/>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229"/>
    <w:rsid w:val="009D4268"/>
    <w:rsid w:val="009D7F4F"/>
    <w:rsid w:val="009E09D0"/>
    <w:rsid w:val="009E1283"/>
    <w:rsid w:val="009E3A7F"/>
    <w:rsid w:val="009E4C9B"/>
    <w:rsid w:val="009E4DFC"/>
    <w:rsid w:val="009E5789"/>
    <w:rsid w:val="009E57B1"/>
    <w:rsid w:val="009E6379"/>
    <w:rsid w:val="009F020F"/>
    <w:rsid w:val="009F36B3"/>
    <w:rsid w:val="009F3AFB"/>
    <w:rsid w:val="009F3B63"/>
    <w:rsid w:val="009F43E2"/>
    <w:rsid w:val="009F6292"/>
    <w:rsid w:val="009F7809"/>
    <w:rsid w:val="009F7AF5"/>
    <w:rsid w:val="00A006F1"/>
    <w:rsid w:val="00A007A7"/>
    <w:rsid w:val="00A00D14"/>
    <w:rsid w:val="00A01408"/>
    <w:rsid w:val="00A02457"/>
    <w:rsid w:val="00A02E99"/>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839"/>
    <w:rsid w:val="00A211DD"/>
    <w:rsid w:val="00A2186F"/>
    <w:rsid w:val="00A22506"/>
    <w:rsid w:val="00A2270B"/>
    <w:rsid w:val="00A231A7"/>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3BF2"/>
    <w:rsid w:val="00A44141"/>
    <w:rsid w:val="00A44CCA"/>
    <w:rsid w:val="00A44D75"/>
    <w:rsid w:val="00A47CF1"/>
    <w:rsid w:val="00A50418"/>
    <w:rsid w:val="00A54A47"/>
    <w:rsid w:val="00A56AF1"/>
    <w:rsid w:val="00A56D26"/>
    <w:rsid w:val="00A571A7"/>
    <w:rsid w:val="00A5749A"/>
    <w:rsid w:val="00A57BA8"/>
    <w:rsid w:val="00A608FB"/>
    <w:rsid w:val="00A60D83"/>
    <w:rsid w:val="00A60F68"/>
    <w:rsid w:val="00A63C6D"/>
    <w:rsid w:val="00A63DF3"/>
    <w:rsid w:val="00A65C78"/>
    <w:rsid w:val="00A660A8"/>
    <w:rsid w:val="00A66A45"/>
    <w:rsid w:val="00A67591"/>
    <w:rsid w:val="00A67CA6"/>
    <w:rsid w:val="00A70E7B"/>
    <w:rsid w:val="00A717EA"/>
    <w:rsid w:val="00A72170"/>
    <w:rsid w:val="00A73B84"/>
    <w:rsid w:val="00A7411D"/>
    <w:rsid w:val="00A756C4"/>
    <w:rsid w:val="00A7592B"/>
    <w:rsid w:val="00A76094"/>
    <w:rsid w:val="00A768E2"/>
    <w:rsid w:val="00A7727F"/>
    <w:rsid w:val="00A80745"/>
    <w:rsid w:val="00A82C52"/>
    <w:rsid w:val="00A835B5"/>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8D9"/>
    <w:rsid w:val="00AA64E2"/>
    <w:rsid w:val="00AA73AF"/>
    <w:rsid w:val="00AB0A8A"/>
    <w:rsid w:val="00AB1754"/>
    <w:rsid w:val="00AB1F8D"/>
    <w:rsid w:val="00AB27DD"/>
    <w:rsid w:val="00AB592E"/>
    <w:rsid w:val="00AC0120"/>
    <w:rsid w:val="00AC37BE"/>
    <w:rsid w:val="00AC439D"/>
    <w:rsid w:val="00AC62CC"/>
    <w:rsid w:val="00AC713F"/>
    <w:rsid w:val="00AC7329"/>
    <w:rsid w:val="00AC7D96"/>
    <w:rsid w:val="00AC7F58"/>
    <w:rsid w:val="00AD00E4"/>
    <w:rsid w:val="00AD067E"/>
    <w:rsid w:val="00AD168B"/>
    <w:rsid w:val="00AD1B4E"/>
    <w:rsid w:val="00AD1E6B"/>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E6748"/>
    <w:rsid w:val="00AF01B2"/>
    <w:rsid w:val="00AF1103"/>
    <w:rsid w:val="00AF1668"/>
    <w:rsid w:val="00AF28DE"/>
    <w:rsid w:val="00AF4FA5"/>
    <w:rsid w:val="00AF6ECC"/>
    <w:rsid w:val="00AF7F53"/>
    <w:rsid w:val="00B022DC"/>
    <w:rsid w:val="00B04562"/>
    <w:rsid w:val="00B0472F"/>
    <w:rsid w:val="00B06930"/>
    <w:rsid w:val="00B0773A"/>
    <w:rsid w:val="00B07955"/>
    <w:rsid w:val="00B10054"/>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3C8"/>
    <w:rsid w:val="00B40A05"/>
    <w:rsid w:val="00B40A3E"/>
    <w:rsid w:val="00B40ACB"/>
    <w:rsid w:val="00B427BB"/>
    <w:rsid w:val="00B43BA2"/>
    <w:rsid w:val="00B449EE"/>
    <w:rsid w:val="00B454AE"/>
    <w:rsid w:val="00B479DB"/>
    <w:rsid w:val="00B50227"/>
    <w:rsid w:val="00B50510"/>
    <w:rsid w:val="00B51AB2"/>
    <w:rsid w:val="00B522CD"/>
    <w:rsid w:val="00B540E1"/>
    <w:rsid w:val="00B55143"/>
    <w:rsid w:val="00B555C8"/>
    <w:rsid w:val="00B55917"/>
    <w:rsid w:val="00B5646A"/>
    <w:rsid w:val="00B56F3D"/>
    <w:rsid w:val="00B57921"/>
    <w:rsid w:val="00B57E78"/>
    <w:rsid w:val="00B57EB8"/>
    <w:rsid w:val="00B609F6"/>
    <w:rsid w:val="00B60C1C"/>
    <w:rsid w:val="00B60E75"/>
    <w:rsid w:val="00B643A6"/>
    <w:rsid w:val="00B64DD6"/>
    <w:rsid w:val="00B66505"/>
    <w:rsid w:val="00B6710C"/>
    <w:rsid w:val="00B67E84"/>
    <w:rsid w:val="00B704D8"/>
    <w:rsid w:val="00B72076"/>
    <w:rsid w:val="00B72303"/>
    <w:rsid w:val="00B72C72"/>
    <w:rsid w:val="00B72ED9"/>
    <w:rsid w:val="00B731E4"/>
    <w:rsid w:val="00B739E7"/>
    <w:rsid w:val="00B751CE"/>
    <w:rsid w:val="00B75626"/>
    <w:rsid w:val="00B75A8B"/>
    <w:rsid w:val="00B75B61"/>
    <w:rsid w:val="00B76796"/>
    <w:rsid w:val="00B771E0"/>
    <w:rsid w:val="00B7793B"/>
    <w:rsid w:val="00B77EE7"/>
    <w:rsid w:val="00B80EDD"/>
    <w:rsid w:val="00B812BD"/>
    <w:rsid w:val="00B81964"/>
    <w:rsid w:val="00B82277"/>
    <w:rsid w:val="00B83F87"/>
    <w:rsid w:val="00B8478F"/>
    <w:rsid w:val="00B91676"/>
    <w:rsid w:val="00B92E6A"/>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0056"/>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1E88"/>
    <w:rsid w:val="00BF2988"/>
    <w:rsid w:val="00BF36BA"/>
    <w:rsid w:val="00BF3F5D"/>
    <w:rsid w:val="00BF4720"/>
    <w:rsid w:val="00BF4F49"/>
    <w:rsid w:val="00BF6759"/>
    <w:rsid w:val="00BF6F0F"/>
    <w:rsid w:val="00BF70A6"/>
    <w:rsid w:val="00BF7B4F"/>
    <w:rsid w:val="00BF7B63"/>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548"/>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66899"/>
    <w:rsid w:val="00C71BEC"/>
    <w:rsid w:val="00C74D3A"/>
    <w:rsid w:val="00C75F3D"/>
    <w:rsid w:val="00C80511"/>
    <w:rsid w:val="00C80A94"/>
    <w:rsid w:val="00C80F22"/>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2C60"/>
    <w:rsid w:val="00CA3F73"/>
    <w:rsid w:val="00CA4670"/>
    <w:rsid w:val="00CA5006"/>
    <w:rsid w:val="00CA5862"/>
    <w:rsid w:val="00CA5F89"/>
    <w:rsid w:val="00CA6B1A"/>
    <w:rsid w:val="00CB1B18"/>
    <w:rsid w:val="00CB20DC"/>
    <w:rsid w:val="00CB23DC"/>
    <w:rsid w:val="00CB2487"/>
    <w:rsid w:val="00CB28E2"/>
    <w:rsid w:val="00CB2F20"/>
    <w:rsid w:val="00CB4CDF"/>
    <w:rsid w:val="00CB67BB"/>
    <w:rsid w:val="00CB758D"/>
    <w:rsid w:val="00CB7A3E"/>
    <w:rsid w:val="00CB7FF7"/>
    <w:rsid w:val="00CC0D0E"/>
    <w:rsid w:val="00CC1253"/>
    <w:rsid w:val="00CC19B3"/>
    <w:rsid w:val="00CC2044"/>
    <w:rsid w:val="00CC39D2"/>
    <w:rsid w:val="00CC463A"/>
    <w:rsid w:val="00CC69EC"/>
    <w:rsid w:val="00CC78A2"/>
    <w:rsid w:val="00CC7DF8"/>
    <w:rsid w:val="00CD05E9"/>
    <w:rsid w:val="00CD15BE"/>
    <w:rsid w:val="00CD1EF2"/>
    <w:rsid w:val="00CD32BD"/>
    <w:rsid w:val="00CD34C7"/>
    <w:rsid w:val="00CD5653"/>
    <w:rsid w:val="00CD5E6D"/>
    <w:rsid w:val="00CD63C8"/>
    <w:rsid w:val="00CD76F8"/>
    <w:rsid w:val="00CE02E8"/>
    <w:rsid w:val="00CE069E"/>
    <w:rsid w:val="00CE0DE0"/>
    <w:rsid w:val="00CE2185"/>
    <w:rsid w:val="00CE358C"/>
    <w:rsid w:val="00CE3722"/>
    <w:rsid w:val="00CF158D"/>
    <w:rsid w:val="00CF2166"/>
    <w:rsid w:val="00CF3563"/>
    <w:rsid w:val="00CF4340"/>
    <w:rsid w:val="00CF4394"/>
    <w:rsid w:val="00CF48B4"/>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07D3B"/>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005"/>
    <w:rsid w:val="00D54BE4"/>
    <w:rsid w:val="00D54DDB"/>
    <w:rsid w:val="00D554BC"/>
    <w:rsid w:val="00D560DC"/>
    <w:rsid w:val="00D56602"/>
    <w:rsid w:val="00D60483"/>
    <w:rsid w:val="00D61ABB"/>
    <w:rsid w:val="00D62D5C"/>
    <w:rsid w:val="00D63577"/>
    <w:rsid w:val="00D63C96"/>
    <w:rsid w:val="00D65A89"/>
    <w:rsid w:val="00D65B78"/>
    <w:rsid w:val="00D67FD7"/>
    <w:rsid w:val="00D72410"/>
    <w:rsid w:val="00D73D53"/>
    <w:rsid w:val="00D7408A"/>
    <w:rsid w:val="00D74261"/>
    <w:rsid w:val="00D7441B"/>
    <w:rsid w:val="00D75589"/>
    <w:rsid w:val="00D76AB2"/>
    <w:rsid w:val="00D77E6C"/>
    <w:rsid w:val="00D80490"/>
    <w:rsid w:val="00D81982"/>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2564"/>
    <w:rsid w:val="00DC2D31"/>
    <w:rsid w:val="00DC41C3"/>
    <w:rsid w:val="00DC4A3C"/>
    <w:rsid w:val="00DC4FA4"/>
    <w:rsid w:val="00DC5028"/>
    <w:rsid w:val="00DC5B37"/>
    <w:rsid w:val="00DC5E20"/>
    <w:rsid w:val="00DD286D"/>
    <w:rsid w:val="00DD2CAF"/>
    <w:rsid w:val="00DD3593"/>
    <w:rsid w:val="00DD64E0"/>
    <w:rsid w:val="00DD7A63"/>
    <w:rsid w:val="00DD7BE0"/>
    <w:rsid w:val="00DE0C67"/>
    <w:rsid w:val="00DE2AC0"/>
    <w:rsid w:val="00DE3AAD"/>
    <w:rsid w:val="00DE3D28"/>
    <w:rsid w:val="00DE598A"/>
    <w:rsid w:val="00DE637C"/>
    <w:rsid w:val="00DE6952"/>
    <w:rsid w:val="00DE7E74"/>
    <w:rsid w:val="00DF071B"/>
    <w:rsid w:val="00DF5C84"/>
    <w:rsid w:val="00DF6EF8"/>
    <w:rsid w:val="00E00A69"/>
    <w:rsid w:val="00E017BC"/>
    <w:rsid w:val="00E017F0"/>
    <w:rsid w:val="00E01A0E"/>
    <w:rsid w:val="00E0346A"/>
    <w:rsid w:val="00E041E4"/>
    <w:rsid w:val="00E04AEE"/>
    <w:rsid w:val="00E07031"/>
    <w:rsid w:val="00E1012B"/>
    <w:rsid w:val="00E103C8"/>
    <w:rsid w:val="00E1085B"/>
    <w:rsid w:val="00E10EA2"/>
    <w:rsid w:val="00E1308B"/>
    <w:rsid w:val="00E14581"/>
    <w:rsid w:val="00E14623"/>
    <w:rsid w:val="00E15539"/>
    <w:rsid w:val="00E15BEC"/>
    <w:rsid w:val="00E16541"/>
    <w:rsid w:val="00E175A0"/>
    <w:rsid w:val="00E17EC9"/>
    <w:rsid w:val="00E202F4"/>
    <w:rsid w:val="00E207C3"/>
    <w:rsid w:val="00E20CFD"/>
    <w:rsid w:val="00E21386"/>
    <w:rsid w:val="00E242AF"/>
    <w:rsid w:val="00E24849"/>
    <w:rsid w:val="00E2536E"/>
    <w:rsid w:val="00E25B8A"/>
    <w:rsid w:val="00E25EF8"/>
    <w:rsid w:val="00E2632B"/>
    <w:rsid w:val="00E26F75"/>
    <w:rsid w:val="00E27423"/>
    <w:rsid w:val="00E322F7"/>
    <w:rsid w:val="00E3369B"/>
    <w:rsid w:val="00E355F3"/>
    <w:rsid w:val="00E362D2"/>
    <w:rsid w:val="00E36D76"/>
    <w:rsid w:val="00E40478"/>
    <w:rsid w:val="00E405EA"/>
    <w:rsid w:val="00E408B7"/>
    <w:rsid w:val="00E41637"/>
    <w:rsid w:val="00E42789"/>
    <w:rsid w:val="00E43F59"/>
    <w:rsid w:val="00E464F0"/>
    <w:rsid w:val="00E46EF3"/>
    <w:rsid w:val="00E47370"/>
    <w:rsid w:val="00E473E9"/>
    <w:rsid w:val="00E47B47"/>
    <w:rsid w:val="00E50A2B"/>
    <w:rsid w:val="00E50BEB"/>
    <w:rsid w:val="00E51F94"/>
    <w:rsid w:val="00E53CF7"/>
    <w:rsid w:val="00E548FA"/>
    <w:rsid w:val="00E56707"/>
    <w:rsid w:val="00E57703"/>
    <w:rsid w:val="00E57ED4"/>
    <w:rsid w:val="00E57FED"/>
    <w:rsid w:val="00E6092F"/>
    <w:rsid w:val="00E60BD0"/>
    <w:rsid w:val="00E62049"/>
    <w:rsid w:val="00E629DA"/>
    <w:rsid w:val="00E64374"/>
    <w:rsid w:val="00E6469F"/>
    <w:rsid w:val="00E65D39"/>
    <w:rsid w:val="00E667FE"/>
    <w:rsid w:val="00E670F8"/>
    <w:rsid w:val="00E6733C"/>
    <w:rsid w:val="00E6741B"/>
    <w:rsid w:val="00E67FAC"/>
    <w:rsid w:val="00E7200B"/>
    <w:rsid w:val="00E72D51"/>
    <w:rsid w:val="00E738CB"/>
    <w:rsid w:val="00E73C88"/>
    <w:rsid w:val="00E74437"/>
    <w:rsid w:val="00E7443D"/>
    <w:rsid w:val="00E75ACE"/>
    <w:rsid w:val="00E77049"/>
    <w:rsid w:val="00E771AF"/>
    <w:rsid w:val="00E80386"/>
    <w:rsid w:val="00E809C3"/>
    <w:rsid w:val="00E81A1A"/>
    <w:rsid w:val="00E81C3E"/>
    <w:rsid w:val="00E82359"/>
    <w:rsid w:val="00E82B6D"/>
    <w:rsid w:val="00E83187"/>
    <w:rsid w:val="00E831E9"/>
    <w:rsid w:val="00E8608F"/>
    <w:rsid w:val="00E86C1D"/>
    <w:rsid w:val="00E90F16"/>
    <w:rsid w:val="00E943F4"/>
    <w:rsid w:val="00E9763D"/>
    <w:rsid w:val="00E9767E"/>
    <w:rsid w:val="00EA1177"/>
    <w:rsid w:val="00EA118B"/>
    <w:rsid w:val="00EA11B6"/>
    <w:rsid w:val="00EA2181"/>
    <w:rsid w:val="00EA2DD8"/>
    <w:rsid w:val="00EA4475"/>
    <w:rsid w:val="00EA45BF"/>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5A61"/>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070C4"/>
    <w:rsid w:val="00F07D23"/>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27BD9"/>
    <w:rsid w:val="00F3001C"/>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03F"/>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B59"/>
    <w:rsid w:val="00F81C35"/>
    <w:rsid w:val="00F82981"/>
    <w:rsid w:val="00F8311F"/>
    <w:rsid w:val="00F83248"/>
    <w:rsid w:val="00F83376"/>
    <w:rsid w:val="00F853AE"/>
    <w:rsid w:val="00F908D5"/>
    <w:rsid w:val="00F91393"/>
    <w:rsid w:val="00F913B9"/>
    <w:rsid w:val="00F93C74"/>
    <w:rsid w:val="00F93DCC"/>
    <w:rsid w:val="00F9435D"/>
    <w:rsid w:val="00F95CA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B2"/>
    <w:rsid w:val="00FB42B7"/>
    <w:rsid w:val="00FB4484"/>
    <w:rsid w:val="00FB593A"/>
    <w:rsid w:val="00FB6410"/>
    <w:rsid w:val="00FB6E82"/>
    <w:rsid w:val="00FB792E"/>
    <w:rsid w:val="00FB7CF0"/>
    <w:rsid w:val="00FC0042"/>
    <w:rsid w:val="00FC1E67"/>
    <w:rsid w:val="00FC1FC6"/>
    <w:rsid w:val="00FC2A13"/>
    <w:rsid w:val="00FC374F"/>
    <w:rsid w:val="00FC4284"/>
    <w:rsid w:val="00FC4576"/>
    <w:rsid w:val="00FC52AA"/>
    <w:rsid w:val="00FC5FF5"/>
    <w:rsid w:val="00FC6285"/>
    <w:rsid w:val="00FC78FB"/>
    <w:rsid w:val="00FC7DBC"/>
    <w:rsid w:val="00FD076A"/>
    <w:rsid w:val="00FD0AA0"/>
    <w:rsid w:val="00FD1D5A"/>
    <w:rsid w:val="00FD5059"/>
    <w:rsid w:val="00FD554D"/>
    <w:rsid w:val="00FD5BCC"/>
    <w:rsid w:val="00FD7B23"/>
    <w:rsid w:val="00FE1854"/>
    <w:rsid w:val="00FE2A48"/>
    <w:rsid w:val="00FE5D0A"/>
    <w:rsid w:val="00FE5DE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C52AA"/>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767937"/>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B52C-FD18-4F0E-95A5-4717E13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2524</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2011-04-08T11:41:00Z</cp:lastPrinted>
  <dcterms:created xsi:type="dcterms:W3CDTF">2012-05-18T15:59:00Z</dcterms:created>
  <dcterms:modified xsi:type="dcterms:W3CDTF">2012-06-05T15:44:00Z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