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6C72EB" w:rsidRDefault="00F629C0" w:rsidP="00F1766A">
      <w:pPr>
        <w:tabs>
          <w:tab w:val="left" w:pos="288"/>
          <w:tab w:val="left" w:pos="6300"/>
          <w:tab w:val="left" w:pos="9270"/>
        </w:tabs>
        <w:jc w:val="both"/>
        <w:rPr>
          <w:caps/>
          <w:color w:val="000000" w:themeColor="text1"/>
        </w:rPr>
      </w:pPr>
      <w:r w:rsidRPr="006C72EB">
        <w:rPr>
          <w:caps/>
          <w:color w:val="000000" w:themeColor="text1"/>
        </w:rPr>
        <w:t xml:space="preserve">NAME:  </w:t>
      </w:r>
      <w:r w:rsidR="002332E4">
        <w:rPr>
          <w:caps/>
          <w:color w:val="000000" w:themeColor="text1"/>
        </w:rPr>
        <w:t xml:space="preserve"> </w:t>
      </w:r>
      <w:r w:rsidR="00F1766A" w:rsidRPr="006C72EB">
        <w:rPr>
          <w:caps/>
          <w:color w:val="000000" w:themeColor="text1"/>
        </w:rPr>
        <w:tab/>
      </w:r>
      <w:r w:rsidRPr="006C72EB">
        <w:rPr>
          <w:caps/>
          <w:color w:val="000000" w:themeColor="text1"/>
        </w:rPr>
        <w:t xml:space="preserve">BRANCH OF SERVICE: </w:t>
      </w:r>
      <w:r w:rsidR="004C24C5" w:rsidRPr="006C72EB">
        <w:rPr>
          <w:caps/>
          <w:color w:val="000000" w:themeColor="text1"/>
        </w:rPr>
        <w:t xml:space="preserve"> </w:t>
      </w:r>
      <w:r w:rsidR="00332DE3" w:rsidRPr="006C72EB">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6C72EB">
        <w:rPr>
          <w:caps/>
          <w:color w:val="000000" w:themeColor="text1"/>
        </w:rPr>
        <w:t>C</w:t>
      </w:r>
      <w:r w:rsidR="00DE3AAD" w:rsidRPr="006C72EB">
        <w:rPr>
          <w:caps/>
          <w:color w:val="000000" w:themeColor="text1"/>
        </w:rPr>
        <w:t xml:space="preserve">ASE NUMBER:  </w:t>
      </w:r>
      <w:r w:rsidR="006C72EB" w:rsidRPr="006C72EB">
        <w:rPr>
          <w:caps/>
          <w:color w:val="000000" w:themeColor="text1"/>
        </w:rPr>
        <w:t>PD1100421</w:t>
      </w:r>
      <w:r w:rsidR="00F1766A" w:rsidRPr="006C72EB">
        <w:rPr>
          <w:color w:val="000000" w:themeColor="text1"/>
        </w:rPr>
        <w:tab/>
      </w:r>
      <w:r w:rsidR="00DE3AAD" w:rsidRPr="006C72EB">
        <w:rPr>
          <w:color w:val="000000" w:themeColor="text1"/>
        </w:rPr>
        <w:t xml:space="preserve">SEPARATION DATE:  </w:t>
      </w:r>
      <w:r w:rsidR="006C72EB" w:rsidRPr="006C72EB">
        <w:rPr>
          <w:color w:val="000000" w:themeColor="text1"/>
        </w:rPr>
        <w:t>20061120</w:t>
      </w:r>
    </w:p>
    <w:p w:rsidR="003B2143" w:rsidRPr="001F29F9" w:rsidRDefault="004F3639" w:rsidP="006C72EB">
      <w:pPr>
        <w:tabs>
          <w:tab w:val="left" w:pos="288"/>
          <w:tab w:val="left" w:pos="3420"/>
        </w:tabs>
        <w:jc w:val="both"/>
        <w:rPr>
          <w:color w:val="000000" w:themeColor="text1"/>
        </w:rPr>
      </w:pPr>
      <w:r w:rsidRPr="001F29F9">
        <w:rPr>
          <w:caps/>
          <w:color w:val="000000" w:themeColor="text1"/>
        </w:rPr>
        <w:t>BOARD DATE:  201</w:t>
      </w:r>
      <w:r w:rsidR="006344DE">
        <w:rPr>
          <w:caps/>
          <w:color w:val="000000" w:themeColor="text1"/>
        </w:rPr>
        <w:t>2</w:t>
      </w:r>
      <w:r w:rsidR="0068213F">
        <w:rPr>
          <w:caps/>
          <w:color w:val="000000" w:themeColor="text1"/>
        </w:rPr>
        <w:t>0217</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C6E5B" w:rsidRPr="001F29F9"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6C72EB" w:rsidRPr="006C72EB">
        <w:rPr>
          <w:color w:val="000000" w:themeColor="text1"/>
        </w:rPr>
        <w:t>Data extracted from the available evidence of record reflects that this covered individual (CI) was an active duty SGT/E-5 (92Y, Unit Supply Specia</w:t>
      </w:r>
      <w:r w:rsidR="0068213F">
        <w:rPr>
          <w:color w:val="000000" w:themeColor="text1"/>
        </w:rPr>
        <w:t>list), medically separated for</w:t>
      </w:r>
      <w:r w:rsidR="006C72EB" w:rsidRPr="006C72EB">
        <w:rPr>
          <w:color w:val="000000" w:themeColor="text1"/>
        </w:rPr>
        <w:t xml:space="preserve"> </w:t>
      </w:r>
      <w:r w:rsidR="0068213F">
        <w:rPr>
          <w:color w:val="000000" w:themeColor="text1"/>
        </w:rPr>
        <w:t xml:space="preserve">right hip </w:t>
      </w:r>
      <w:r w:rsidR="006C72EB" w:rsidRPr="00555541">
        <w:rPr>
          <w:color w:val="000000" w:themeColor="text1"/>
        </w:rPr>
        <w:t xml:space="preserve">and bilateral wrist </w:t>
      </w:r>
      <w:r w:rsidR="0068213F">
        <w:rPr>
          <w:color w:val="000000" w:themeColor="text1"/>
        </w:rPr>
        <w:t>conditions</w:t>
      </w:r>
      <w:r w:rsidR="006C72EB" w:rsidRPr="00555541">
        <w:rPr>
          <w:i/>
          <w:color w:val="000000" w:themeColor="text1"/>
        </w:rPr>
        <w:t>.</w:t>
      </w:r>
      <w:r w:rsidR="006C72EB" w:rsidRPr="00555541">
        <w:rPr>
          <w:color w:val="000000" w:themeColor="text1"/>
        </w:rPr>
        <w:t xml:space="preserve">  </w:t>
      </w:r>
      <w:r w:rsidR="0068213F">
        <w:rPr>
          <w:color w:val="000000" w:themeColor="text1"/>
        </w:rPr>
        <w:t xml:space="preserve">She developed </w:t>
      </w:r>
      <w:r w:rsidR="007D40D4" w:rsidRPr="00555541">
        <w:rPr>
          <w:color w:val="000000" w:themeColor="text1"/>
        </w:rPr>
        <w:t>r</w:t>
      </w:r>
      <w:r w:rsidR="006C72EB" w:rsidRPr="00555541">
        <w:rPr>
          <w:color w:val="000000" w:themeColor="text1"/>
        </w:rPr>
        <w:t xml:space="preserve">ight hip pain during initial entry training (IET) </w:t>
      </w:r>
      <w:r w:rsidR="0068213F">
        <w:rPr>
          <w:color w:val="000000" w:themeColor="text1"/>
        </w:rPr>
        <w:t>which</w:t>
      </w:r>
      <w:r w:rsidR="006C72EB" w:rsidRPr="00555541">
        <w:rPr>
          <w:color w:val="000000" w:themeColor="text1"/>
        </w:rPr>
        <w:t xml:space="preserve"> </w:t>
      </w:r>
      <w:r w:rsidR="00B85499">
        <w:rPr>
          <w:color w:val="000000" w:themeColor="text1"/>
        </w:rPr>
        <w:t xml:space="preserve">initially </w:t>
      </w:r>
      <w:r w:rsidR="006C72EB" w:rsidRPr="00555541">
        <w:rPr>
          <w:color w:val="000000" w:themeColor="text1"/>
        </w:rPr>
        <w:t xml:space="preserve">responded </w:t>
      </w:r>
      <w:r w:rsidR="007D40D4" w:rsidRPr="00555541">
        <w:rPr>
          <w:color w:val="000000" w:themeColor="text1"/>
        </w:rPr>
        <w:t>to conservative treatment and</w:t>
      </w:r>
      <w:r w:rsidR="006C72EB" w:rsidRPr="00555541">
        <w:rPr>
          <w:color w:val="000000" w:themeColor="text1"/>
        </w:rPr>
        <w:t xml:space="preserve"> </w:t>
      </w:r>
      <w:r w:rsidR="0068213F">
        <w:rPr>
          <w:color w:val="000000" w:themeColor="text1"/>
        </w:rPr>
        <w:t>temporary</w:t>
      </w:r>
      <w:r w:rsidR="006C72EB" w:rsidRPr="00555541">
        <w:rPr>
          <w:color w:val="000000" w:themeColor="text1"/>
        </w:rPr>
        <w:t xml:space="preserve"> profiles.  In 2002 the CI was diagnos</w:t>
      </w:r>
      <w:r w:rsidR="00555541" w:rsidRPr="00555541">
        <w:rPr>
          <w:color w:val="000000" w:themeColor="text1"/>
        </w:rPr>
        <w:t>ed</w:t>
      </w:r>
      <w:r w:rsidR="006C72EB" w:rsidRPr="00555541">
        <w:rPr>
          <w:color w:val="000000" w:themeColor="text1"/>
        </w:rPr>
        <w:t xml:space="preserve"> with </w:t>
      </w:r>
      <w:r w:rsidR="00555541" w:rsidRPr="00555541">
        <w:rPr>
          <w:color w:val="000000" w:themeColor="text1"/>
        </w:rPr>
        <w:t>bilateral</w:t>
      </w:r>
      <w:r w:rsidR="006C72EB" w:rsidRPr="00555541">
        <w:rPr>
          <w:color w:val="000000" w:themeColor="text1"/>
        </w:rPr>
        <w:t xml:space="preserve"> ganglion cyst</w:t>
      </w:r>
      <w:r w:rsidR="0068213F">
        <w:rPr>
          <w:color w:val="000000" w:themeColor="text1"/>
        </w:rPr>
        <w:t>s; and, i</w:t>
      </w:r>
      <w:r w:rsidR="00555541" w:rsidRPr="00555541">
        <w:rPr>
          <w:color w:val="000000" w:themeColor="text1"/>
        </w:rPr>
        <w:t>n</w:t>
      </w:r>
      <w:r w:rsidR="006C72EB" w:rsidRPr="00555541">
        <w:rPr>
          <w:color w:val="000000" w:themeColor="text1"/>
        </w:rPr>
        <w:t xml:space="preserve"> 2003 </w:t>
      </w:r>
      <w:r w:rsidR="00555541" w:rsidRPr="00555541">
        <w:rPr>
          <w:color w:val="000000" w:themeColor="text1"/>
        </w:rPr>
        <w:t xml:space="preserve">underwent </w:t>
      </w:r>
      <w:r w:rsidR="0068213F">
        <w:rPr>
          <w:color w:val="000000" w:themeColor="text1"/>
        </w:rPr>
        <w:t xml:space="preserve">surgical intervention for the left wrist.  </w:t>
      </w:r>
      <w:r w:rsidR="00B85499">
        <w:rPr>
          <w:color w:val="000000" w:themeColor="text1"/>
        </w:rPr>
        <w:t xml:space="preserve">She experienced post-operative resolution for the left wrist; but, eventually the cyst returned; and, </w:t>
      </w:r>
      <w:r w:rsidR="000D7143">
        <w:rPr>
          <w:color w:val="000000" w:themeColor="text1"/>
        </w:rPr>
        <w:t>p</w:t>
      </w:r>
      <w:r w:rsidR="00754A60">
        <w:rPr>
          <w:color w:val="000000" w:themeColor="text1"/>
        </w:rPr>
        <w:t>ersistent pain from both wrists;</w:t>
      </w:r>
      <w:r w:rsidR="000D7143">
        <w:rPr>
          <w:color w:val="000000" w:themeColor="text1"/>
        </w:rPr>
        <w:t xml:space="preserve"> along with recurrent right hip pain, were refractory to further treatment. </w:t>
      </w:r>
      <w:r w:rsidR="00B85499">
        <w:rPr>
          <w:color w:val="000000" w:themeColor="text1"/>
        </w:rPr>
        <w:t xml:space="preserve"> </w:t>
      </w:r>
      <w:r w:rsidR="000D7143">
        <w:rPr>
          <w:color w:val="000000" w:themeColor="text1"/>
        </w:rPr>
        <w:t xml:space="preserve">The CI was unable </w:t>
      </w:r>
      <w:r w:rsidR="000D7143" w:rsidRPr="00555541">
        <w:rPr>
          <w:color w:val="000000" w:themeColor="text1"/>
        </w:rPr>
        <w:t>to fully perform within her Military Occupational Specialty (MOS) or meet physical fitness standards</w:t>
      </w:r>
      <w:r w:rsidR="000D7143">
        <w:rPr>
          <w:color w:val="000000" w:themeColor="text1"/>
        </w:rPr>
        <w:t xml:space="preserve">; was placed on permanent L3 and U3 profiles; and, referred for a </w:t>
      </w:r>
      <w:r w:rsidR="006C72EB" w:rsidRPr="00555541">
        <w:rPr>
          <w:color w:val="000000" w:themeColor="text1"/>
        </w:rPr>
        <w:t>Medical Evaluation Board (MEB)</w:t>
      </w:r>
      <w:r w:rsidR="000D7143">
        <w:rPr>
          <w:color w:val="000000" w:themeColor="text1"/>
        </w:rPr>
        <w:t>.</w:t>
      </w:r>
      <w:r w:rsidR="006C72EB" w:rsidRPr="00555541">
        <w:rPr>
          <w:color w:val="000000" w:themeColor="text1"/>
        </w:rPr>
        <w:t xml:space="preserve"> </w:t>
      </w:r>
      <w:r w:rsidR="000D7143">
        <w:rPr>
          <w:color w:val="000000" w:themeColor="text1"/>
        </w:rPr>
        <w:t xml:space="preserve"> R</w:t>
      </w:r>
      <w:r w:rsidR="000D7143" w:rsidRPr="00555541">
        <w:rPr>
          <w:color w:val="000000" w:themeColor="text1"/>
        </w:rPr>
        <w:t xml:space="preserve">ight hip bursitis and bilateral wrist pain were forwarded to the Physical Evaluation Board (PEB) as medically unacceptable </w:t>
      </w:r>
      <w:r w:rsidR="0096451C">
        <w:rPr>
          <w:color w:val="000000" w:themeColor="text1"/>
        </w:rPr>
        <w:t xml:space="preserve">conditions </w:t>
      </w:r>
      <w:r w:rsidR="000D7143" w:rsidRPr="00555541">
        <w:rPr>
          <w:color w:val="000000" w:themeColor="text1"/>
        </w:rPr>
        <w:t xml:space="preserve">IAW AR 40-501.  </w:t>
      </w:r>
      <w:r w:rsidR="006C72EB" w:rsidRPr="00555541">
        <w:rPr>
          <w:color w:val="000000" w:themeColor="text1"/>
        </w:rPr>
        <w:t>No other conditions appeared on the MEB’s submission.  Other conditions included in the Disability Evaluation System (DES) file will be discussed below.  The PEB adjudicated the right hip pain and bilateral wrist pain condition</w:t>
      </w:r>
      <w:r w:rsidR="00555541" w:rsidRPr="00555541">
        <w:rPr>
          <w:color w:val="000000" w:themeColor="text1"/>
        </w:rPr>
        <w:t>s</w:t>
      </w:r>
      <w:r w:rsidR="006C72EB" w:rsidRPr="00555541">
        <w:rPr>
          <w:color w:val="000000" w:themeColor="text1"/>
        </w:rPr>
        <w:t xml:space="preserve"> as unfitting, rated 0% </w:t>
      </w:r>
      <w:r w:rsidR="00E1476C" w:rsidRPr="00555541">
        <w:rPr>
          <w:color w:val="000000" w:themeColor="text1"/>
        </w:rPr>
        <w:t>each</w:t>
      </w:r>
      <w:r w:rsidR="0096451C">
        <w:rPr>
          <w:color w:val="000000" w:themeColor="text1"/>
        </w:rPr>
        <w:t>,</w:t>
      </w:r>
      <w:r w:rsidR="006C72EB" w:rsidRPr="00555541">
        <w:rPr>
          <w:color w:val="000000" w:themeColor="text1"/>
        </w:rPr>
        <w:t xml:space="preserve"> with application of </w:t>
      </w:r>
      <w:r w:rsidR="00E1476C" w:rsidRPr="00555541">
        <w:rPr>
          <w:color w:val="000000" w:themeColor="text1"/>
          <w:szCs w:val="24"/>
        </w:rPr>
        <w:t>the US Army Physical Disability Agency (USAPDA) pain policy</w:t>
      </w:r>
      <w:r w:rsidR="006C72EB" w:rsidRPr="00555541">
        <w:rPr>
          <w:color w:val="000000" w:themeColor="text1"/>
        </w:rPr>
        <w:t>.  The CI made no appeals, and was medically separated with a 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6C72EB">
        <w:rPr>
          <w:color w:val="000000" w:themeColor="text1"/>
        </w:rPr>
        <w:t xml:space="preserve">  </w:t>
      </w:r>
      <w:r w:rsidR="006C72EB" w:rsidRPr="006C72EB">
        <w:rPr>
          <w:color w:val="000000" w:themeColor="text1"/>
        </w:rPr>
        <w:t xml:space="preserve">“In 2006 the condition was diagnosed as bursitis of the right hip; after years of attempting to treat the pain and then the condition itself, unsuccessfully, it was decided that the only option left was a medical discharge.  In July 2010, Dr. </w:t>
      </w:r>
      <w:r w:rsidR="00734633">
        <w:rPr>
          <w:color w:val="000000" w:themeColor="text1"/>
        </w:rPr>
        <w:t>[Name Redacted]</w:t>
      </w:r>
      <w:r w:rsidR="006C72EB" w:rsidRPr="006C72EB">
        <w:rPr>
          <w:color w:val="000000" w:themeColor="text1"/>
        </w:rPr>
        <w:t xml:space="preserve">, a private Rheumatologist, began evaluating the condition and running the necessary tests and was able to diagnose the condition as ankylosing spondylitis based on symptoms and MRI’s showing deterioration of the right hip joint conducive of ankylosing spondylitis.  The VA reviewed all medical records and as of September 2010, made a determination of service connection for ankylosing spondylitis as directly related to military service.  The determination was made due to the reported symptoms related to this condition, being the same symptoms reported during military service that were </w:t>
      </w:r>
      <w:r w:rsidR="006C72EB" w:rsidRPr="00B340BE">
        <w:rPr>
          <w:color w:val="000000" w:themeColor="text1"/>
        </w:rPr>
        <w:t xml:space="preserve">labeled as bilateral hip pain as being the initial manifestation of the current </w:t>
      </w:r>
      <w:proofErr w:type="spellStart"/>
      <w:r w:rsidR="006C72EB" w:rsidRPr="00B340BE">
        <w:rPr>
          <w:color w:val="000000" w:themeColor="text1"/>
        </w:rPr>
        <w:t>ankylosing</w:t>
      </w:r>
      <w:proofErr w:type="spellEnd"/>
      <w:r w:rsidR="006C72EB" w:rsidRPr="00B340BE">
        <w:rPr>
          <w:color w:val="000000" w:themeColor="text1"/>
        </w:rPr>
        <w:t xml:space="preserve"> </w:t>
      </w:r>
      <w:proofErr w:type="spellStart"/>
      <w:r w:rsidR="006C72EB" w:rsidRPr="00B340BE">
        <w:rPr>
          <w:color w:val="000000" w:themeColor="text1"/>
        </w:rPr>
        <w:t>spondylitis</w:t>
      </w:r>
      <w:proofErr w:type="spellEnd"/>
      <w:r w:rsidR="00754A60">
        <w:rPr>
          <w:color w:val="000000" w:themeColor="text1"/>
        </w:rPr>
        <w:t>.</w:t>
      </w:r>
      <w:r w:rsidR="006C72EB" w:rsidRPr="00B340BE">
        <w:rPr>
          <w:color w:val="000000" w:themeColor="text1"/>
        </w:rPr>
        <w:t>”</w:t>
      </w:r>
      <w:r w:rsidR="00B340BE" w:rsidRPr="00B340BE">
        <w:rPr>
          <w:color w:val="000000" w:themeColor="text1"/>
        </w:rPr>
        <w:t xml:space="preserve">  </w:t>
      </w:r>
      <w:r w:rsidR="00D54DDB" w:rsidRPr="00B340BE">
        <w:rPr>
          <w:rFonts w:eastAsiaTheme="minorHAnsi"/>
          <w:color w:val="000000" w:themeColor="text1"/>
          <w:szCs w:val="24"/>
        </w:rPr>
        <w:t>She</w:t>
      </w:r>
      <w:r w:rsidR="00ED5284" w:rsidRPr="00B340BE">
        <w:rPr>
          <w:rFonts w:eastAsiaTheme="minorHAnsi"/>
          <w:color w:val="000000" w:themeColor="text1"/>
          <w:szCs w:val="24"/>
        </w:rPr>
        <w:t xml:space="preserve"> mentions</w:t>
      </w:r>
      <w:r w:rsidR="00ED5284" w:rsidRPr="001F29F9">
        <w:rPr>
          <w:rFonts w:eastAsiaTheme="minorHAnsi"/>
          <w:color w:val="000000" w:themeColor="text1"/>
          <w:szCs w:val="24"/>
        </w:rPr>
        <w:t xml:space="preserve">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1080"/>
        <w:gridCol w:w="720"/>
        <w:gridCol w:w="2430"/>
        <w:gridCol w:w="1080"/>
        <w:gridCol w:w="720"/>
        <w:gridCol w:w="990"/>
      </w:tblGrid>
      <w:tr w:rsidR="006C72EB" w:rsidRPr="001F29F9"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6C72EB" w:rsidRPr="001F29F9" w:rsidRDefault="006C72EB"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Pr>
                <w:rFonts w:ascii="Calibri" w:hAnsi="Calibri" w:cs="Calibri"/>
                <w:b/>
                <w:color w:val="000000" w:themeColor="text1"/>
                <w:sz w:val="18"/>
                <w:szCs w:val="18"/>
              </w:rPr>
              <w:t>60912</w:t>
            </w:r>
          </w:p>
        </w:tc>
        <w:tc>
          <w:tcPr>
            <w:tcW w:w="5220" w:type="dxa"/>
            <w:gridSpan w:val="4"/>
            <w:tcBorders>
              <w:left w:val="thinThickThinSmallGap" w:sz="24" w:space="0" w:color="auto"/>
            </w:tcBorders>
            <w:shd w:val="clear" w:color="auto" w:fill="D9D9D9" w:themeFill="background1" w:themeFillShade="D9"/>
            <w:vAlign w:val="center"/>
          </w:tcPr>
          <w:p w:rsidR="006C72EB" w:rsidRPr="001F29F9" w:rsidRDefault="006C72EB"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3</w:t>
            </w:r>
            <w:r w:rsidRPr="001F29F9">
              <w:rPr>
                <w:rFonts w:ascii="Calibri" w:hAnsi="Calibri" w:cs="Calibri"/>
                <w:b/>
                <w:color w:val="000000" w:themeColor="text1"/>
                <w:sz w:val="18"/>
                <w:szCs w:val="18"/>
              </w:rPr>
              <w:t xml:space="preserve"> Mo. </w:t>
            </w:r>
            <w:r w:rsidRPr="00FE6C9F">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200</w:t>
            </w:r>
            <w:r>
              <w:rPr>
                <w:rFonts w:ascii="Calibri" w:hAnsi="Calibri" w:cs="Calibri"/>
                <w:b/>
                <w:color w:val="000000" w:themeColor="text1"/>
                <w:sz w:val="18"/>
                <w:szCs w:val="18"/>
              </w:rPr>
              <w:t>61121</w:t>
            </w:r>
          </w:p>
        </w:tc>
      </w:tr>
      <w:tr w:rsidR="002B4E22" w:rsidRPr="001F29F9" w:rsidTr="009614B8">
        <w:trPr>
          <w:trHeight w:val="100"/>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6C72EB" w:rsidRPr="001F29F9" w:rsidTr="009614B8">
        <w:trPr>
          <w:trHeight w:val="115"/>
          <w:jc w:val="center"/>
        </w:trPr>
        <w:tc>
          <w:tcPr>
            <w:tcW w:w="2358" w:type="dxa"/>
            <w:tcBorders>
              <w:right w:val="single" w:sz="4" w:space="0" w:color="auto"/>
            </w:tcBorders>
            <w:shd w:val="clear" w:color="auto" w:fill="FFFFFF" w:themeFill="background1"/>
            <w:vAlign w:val="center"/>
          </w:tcPr>
          <w:p w:rsidR="006C72EB" w:rsidRPr="001F29F9" w:rsidRDefault="006C72EB" w:rsidP="002D3BAD">
            <w:pPr>
              <w:spacing w:line="220" w:lineRule="exact"/>
              <w:contextualSpacing/>
              <w:jc w:val="left"/>
              <w:rPr>
                <w:rFonts w:ascii="Calibri" w:eastAsia="Times New Roman" w:hAnsi="Calibri" w:cs="Calibri"/>
                <w:color w:val="000000" w:themeColor="text1"/>
                <w:sz w:val="18"/>
                <w:szCs w:val="18"/>
              </w:rPr>
            </w:pPr>
            <w:r w:rsidRPr="006C72EB">
              <w:rPr>
                <w:rFonts w:ascii="Calibri" w:hAnsi="Calibri" w:cs="Calibri"/>
                <w:color w:val="000000" w:themeColor="text1"/>
                <w:sz w:val="18"/>
                <w:szCs w:val="18"/>
              </w:rPr>
              <w:t>Right Hip Pain</w:t>
            </w:r>
          </w:p>
        </w:tc>
        <w:tc>
          <w:tcPr>
            <w:tcW w:w="1080" w:type="dxa"/>
            <w:tcBorders>
              <w:left w:val="single" w:sz="4" w:space="0" w:color="auto"/>
            </w:tcBorders>
            <w:shd w:val="clear" w:color="auto" w:fill="FFFFFF" w:themeFill="background1"/>
            <w:vAlign w:val="center"/>
          </w:tcPr>
          <w:p w:rsidR="006C72EB" w:rsidRPr="001F29F9" w:rsidRDefault="006C72EB" w:rsidP="002D3BAD">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5019</w:t>
            </w:r>
          </w:p>
        </w:tc>
        <w:tc>
          <w:tcPr>
            <w:tcW w:w="720" w:type="dxa"/>
            <w:tcBorders>
              <w:right w:val="thinThickThinSmallGap" w:sz="24" w:space="0" w:color="auto"/>
            </w:tcBorders>
            <w:shd w:val="clear" w:color="auto" w:fill="FFFFFF" w:themeFill="background1"/>
            <w:vAlign w:val="center"/>
          </w:tcPr>
          <w:p w:rsidR="006C72EB" w:rsidRPr="001F29F9" w:rsidRDefault="006C72EB" w:rsidP="002D3BAD">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2430" w:type="dxa"/>
            <w:tcBorders>
              <w:left w:val="thinThickThinSmallGap" w:sz="24" w:space="0" w:color="auto"/>
            </w:tcBorders>
            <w:shd w:val="clear" w:color="auto" w:fill="FFFFFF" w:themeFill="background1"/>
            <w:vAlign w:val="center"/>
          </w:tcPr>
          <w:p w:rsidR="006C72EB" w:rsidRPr="001F29F9" w:rsidRDefault="006C72EB" w:rsidP="002D3BAD">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Hip Osteoarthritis</w:t>
            </w:r>
          </w:p>
        </w:tc>
        <w:tc>
          <w:tcPr>
            <w:tcW w:w="1080" w:type="dxa"/>
            <w:shd w:val="clear" w:color="auto" w:fill="FFFFFF" w:themeFill="background1"/>
            <w:vAlign w:val="center"/>
          </w:tcPr>
          <w:p w:rsidR="006C72EB" w:rsidRPr="001F29F9" w:rsidRDefault="006C72EB"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5003-5252</w:t>
            </w:r>
          </w:p>
        </w:tc>
        <w:tc>
          <w:tcPr>
            <w:tcW w:w="720" w:type="dxa"/>
            <w:shd w:val="clear" w:color="auto" w:fill="FFFFFF" w:themeFill="background1"/>
            <w:vAlign w:val="center"/>
          </w:tcPr>
          <w:p w:rsidR="006C72EB" w:rsidRPr="001F29F9" w:rsidRDefault="003F606C"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w:t>
            </w:r>
            <w:r w:rsidR="006C72EB">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6C72EB" w:rsidRPr="001F29F9" w:rsidRDefault="006C72EB"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20070216</w:t>
            </w:r>
          </w:p>
        </w:tc>
      </w:tr>
      <w:tr w:rsidR="00330D69" w:rsidRPr="001F29F9" w:rsidTr="009614B8">
        <w:trPr>
          <w:trHeight w:val="106"/>
          <w:jc w:val="center"/>
        </w:trPr>
        <w:tc>
          <w:tcPr>
            <w:tcW w:w="2358" w:type="dxa"/>
            <w:vMerge w:val="restart"/>
            <w:tcBorders>
              <w:right w:val="single" w:sz="4" w:space="0" w:color="auto"/>
            </w:tcBorders>
            <w:shd w:val="clear" w:color="auto" w:fill="FFFFFF" w:themeFill="background1"/>
            <w:vAlign w:val="center"/>
          </w:tcPr>
          <w:p w:rsidR="00330D69" w:rsidRPr="001F29F9" w:rsidRDefault="00330D69" w:rsidP="002D3BAD">
            <w:pPr>
              <w:spacing w:line="220" w:lineRule="exact"/>
              <w:contextualSpacing/>
              <w:jc w:val="left"/>
              <w:rPr>
                <w:rFonts w:ascii="Calibri" w:eastAsia="Times New Roman" w:hAnsi="Calibri" w:cs="Calibri"/>
                <w:color w:val="000000" w:themeColor="text1"/>
                <w:sz w:val="18"/>
                <w:szCs w:val="18"/>
              </w:rPr>
            </w:pPr>
            <w:r w:rsidRPr="006C72EB">
              <w:rPr>
                <w:rFonts w:ascii="Calibri" w:hAnsi="Calibri" w:cs="Calibri"/>
                <w:color w:val="000000" w:themeColor="text1"/>
                <w:sz w:val="18"/>
                <w:szCs w:val="18"/>
              </w:rPr>
              <w:t>Bilateral Wrist Pain</w:t>
            </w:r>
          </w:p>
        </w:tc>
        <w:tc>
          <w:tcPr>
            <w:tcW w:w="1080" w:type="dxa"/>
            <w:vMerge w:val="restart"/>
            <w:tcBorders>
              <w:left w:val="single" w:sz="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720" w:type="dxa"/>
            <w:vMerge w:val="restart"/>
            <w:tcBorders>
              <w:right w:val="thinThickThinSmallGap" w:sz="24" w:space="0" w:color="auto"/>
            </w:tcBorders>
            <w:shd w:val="clear" w:color="auto" w:fill="FFFFFF" w:themeFill="background1"/>
            <w:vAlign w:val="center"/>
          </w:tcPr>
          <w:p w:rsidR="00330D69" w:rsidRPr="001F29F9" w:rsidRDefault="00330D69" w:rsidP="002D3BAD">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2430" w:type="dxa"/>
            <w:tcBorders>
              <w:left w:val="thinThickThinSmallGap" w:sz="24" w:space="0" w:color="auto"/>
              <w:right w:val="single" w:sz="4" w:space="0" w:color="auto"/>
            </w:tcBorders>
            <w:shd w:val="clear" w:color="auto" w:fill="FFFFFF" w:themeFill="background1"/>
            <w:vAlign w:val="center"/>
          </w:tcPr>
          <w:p w:rsidR="00330D69" w:rsidRPr="001F29F9" w:rsidRDefault="00330D69" w:rsidP="002D3BAD">
            <w:pPr>
              <w:spacing w:line="220" w:lineRule="exact"/>
              <w:contextualSpacing/>
              <w:jc w:val="left"/>
              <w:rPr>
                <w:rFonts w:ascii="Calibri" w:eastAsia="Times New Roman" w:hAnsi="Calibri" w:cs="Calibri"/>
                <w:color w:val="000000" w:themeColor="text1"/>
                <w:sz w:val="18"/>
                <w:szCs w:val="18"/>
              </w:rPr>
            </w:pPr>
            <w:r w:rsidRPr="006C72EB">
              <w:rPr>
                <w:rFonts w:ascii="Calibri" w:hAnsi="Calibri" w:cs="Calibri"/>
                <w:color w:val="000000" w:themeColor="text1"/>
                <w:sz w:val="18"/>
                <w:szCs w:val="18"/>
              </w:rPr>
              <w:t>Right Wrist Strain</w:t>
            </w:r>
          </w:p>
        </w:tc>
        <w:tc>
          <w:tcPr>
            <w:tcW w:w="1080" w:type="dxa"/>
            <w:tcBorders>
              <w:left w:val="single" w:sz="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5215</w:t>
            </w:r>
          </w:p>
        </w:tc>
        <w:tc>
          <w:tcPr>
            <w:tcW w:w="720" w:type="dxa"/>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20070216</w:t>
            </w:r>
          </w:p>
        </w:tc>
      </w:tr>
      <w:tr w:rsidR="00330D69" w:rsidRPr="001F29F9" w:rsidTr="009614B8">
        <w:trPr>
          <w:trHeight w:val="97"/>
          <w:jc w:val="center"/>
        </w:trPr>
        <w:tc>
          <w:tcPr>
            <w:tcW w:w="2358" w:type="dxa"/>
            <w:vMerge/>
            <w:tcBorders>
              <w:right w:val="single" w:sz="4" w:space="0" w:color="auto"/>
            </w:tcBorders>
            <w:shd w:val="clear" w:color="auto" w:fill="FFFFFF" w:themeFill="background1"/>
            <w:vAlign w:val="center"/>
          </w:tcPr>
          <w:p w:rsidR="00330D69" w:rsidRPr="001F29F9" w:rsidRDefault="00330D69" w:rsidP="002D3BAD">
            <w:pPr>
              <w:spacing w:line="22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highlight w:val="yellow"/>
              </w:rPr>
            </w:pPr>
          </w:p>
        </w:tc>
        <w:tc>
          <w:tcPr>
            <w:tcW w:w="2430" w:type="dxa"/>
            <w:tcBorders>
              <w:left w:val="thinThickThinSmallGap" w:sz="24" w:space="0" w:color="auto"/>
              <w:right w:val="single" w:sz="4" w:space="0" w:color="auto"/>
            </w:tcBorders>
            <w:shd w:val="clear" w:color="auto" w:fill="FFFFFF" w:themeFill="background1"/>
            <w:vAlign w:val="center"/>
          </w:tcPr>
          <w:p w:rsidR="00330D69" w:rsidRPr="001F29F9" w:rsidRDefault="00330D69" w:rsidP="002D3BAD">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Left</w:t>
            </w:r>
            <w:r w:rsidRPr="006C72EB">
              <w:rPr>
                <w:rFonts w:ascii="Calibri" w:eastAsia="Times New Roman" w:hAnsi="Calibri" w:cs="Calibri"/>
                <w:color w:val="000000" w:themeColor="text1"/>
                <w:sz w:val="18"/>
                <w:szCs w:val="18"/>
              </w:rPr>
              <w:t xml:space="preserve"> Wrist Strain</w:t>
            </w:r>
          </w:p>
        </w:tc>
        <w:tc>
          <w:tcPr>
            <w:tcW w:w="1080" w:type="dxa"/>
            <w:tcBorders>
              <w:left w:val="single" w:sz="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5215</w:t>
            </w:r>
          </w:p>
        </w:tc>
        <w:tc>
          <w:tcPr>
            <w:tcW w:w="720" w:type="dxa"/>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20070216</w:t>
            </w:r>
          </w:p>
        </w:tc>
      </w:tr>
      <w:tr w:rsidR="00330D69" w:rsidRPr="001F29F9" w:rsidTr="009614B8">
        <w:trPr>
          <w:trHeight w:val="178"/>
          <w:jc w:val="center"/>
        </w:trPr>
        <w:tc>
          <w:tcPr>
            <w:tcW w:w="4158" w:type="dxa"/>
            <w:gridSpan w:val="3"/>
            <w:vMerge w:val="restart"/>
            <w:tcBorders>
              <w:right w:val="thinThickThinSmallGap" w:sz="24" w:space="0" w:color="auto"/>
            </w:tcBorders>
            <w:shd w:val="clear" w:color="auto" w:fill="FFFFFF" w:themeFill="background1"/>
          </w:tcPr>
          <w:p w:rsidR="00330D69" w:rsidRPr="001F29F9" w:rsidRDefault="00330D69" w:rsidP="002D3BAD">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330D69" w:rsidRDefault="00330D69" w:rsidP="002D3BAD">
            <w:pPr>
              <w:spacing w:line="220" w:lineRule="exact"/>
              <w:contextualSpacing/>
              <w:jc w:val="left"/>
              <w:rPr>
                <w:rFonts w:cs="Calibri"/>
                <w:color w:val="000000" w:themeColor="text1"/>
                <w:sz w:val="18"/>
                <w:szCs w:val="18"/>
              </w:rPr>
            </w:pPr>
            <w:r>
              <w:rPr>
                <w:rFonts w:cs="Calibri"/>
                <w:color w:val="000000" w:themeColor="text1"/>
                <w:sz w:val="18"/>
                <w:szCs w:val="18"/>
              </w:rPr>
              <w:t>Lower Back Pain</w:t>
            </w:r>
          </w:p>
        </w:tc>
        <w:tc>
          <w:tcPr>
            <w:tcW w:w="1080" w:type="dxa"/>
            <w:tcBorders>
              <w:left w:val="single" w:sz="4" w:space="0" w:color="auto"/>
            </w:tcBorders>
            <w:shd w:val="clear" w:color="auto" w:fill="FFFFFF" w:themeFill="background1"/>
            <w:vAlign w:val="center"/>
          </w:tcPr>
          <w:p w:rsidR="00330D69" w:rsidRDefault="00330D69" w:rsidP="002D3BAD">
            <w:pPr>
              <w:spacing w:line="220" w:lineRule="exact"/>
              <w:contextualSpacing/>
              <w:rPr>
                <w:rFonts w:cs="Calibri"/>
                <w:color w:val="000000" w:themeColor="text1"/>
                <w:sz w:val="18"/>
                <w:szCs w:val="18"/>
              </w:rPr>
            </w:pPr>
            <w:r>
              <w:rPr>
                <w:rFonts w:cs="Calibri"/>
                <w:color w:val="000000" w:themeColor="text1"/>
                <w:sz w:val="18"/>
                <w:szCs w:val="18"/>
              </w:rPr>
              <w:t>5237</w:t>
            </w:r>
          </w:p>
        </w:tc>
        <w:tc>
          <w:tcPr>
            <w:tcW w:w="720" w:type="dxa"/>
            <w:shd w:val="clear" w:color="auto" w:fill="FFFFFF" w:themeFill="background1"/>
            <w:vAlign w:val="center"/>
          </w:tcPr>
          <w:p w:rsidR="00330D69" w:rsidRDefault="00330D69" w:rsidP="002D3BAD">
            <w:pPr>
              <w:spacing w:line="220" w:lineRule="exact"/>
              <w:contextualSpacing/>
              <w:rPr>
                <w:rFonts w:cs="Calibri"/>
                <w:color w:val="000000" w:themeColor="text1"/>
                <w:sz w:val="18"/>
                <w:szCs w:val="18"/>
              </w:rPr>
            </w:pPr>
            <w:r>
              <w:rPr>
                <w:rFonts w:cs="Calibri"/>
                <w:color w:val="000000" w:themeColor="text1"/>
                <w:sz w:val="18"/>
                <w:szCs w:val="18"/>
              </w:rPr>
              <w:t>10%</w:t>
            </w:r>
            <w:r w:rsidR="003F606C">
              <w:rPr>
                <w:rFonts w:cs="Calibri"/>
                <w:color w:val="000000" w:themeColor="text1"/>
                <w:sz w:val="18"/>
                <w:szCs w:val="18"/>
              </w:rPr>
              <w:t>*</w:t>
            </w:r>
          </w:p>
        </w:tc>
        <w:tc>
          <w:tcPr>
            <w:tcW w:w="990" w:type="dxa"/>
            <w:shd w:val="clear" w:color="auto" w:fill="FFFFFF" w:themeFill="background1"/>
            <w:vAlign w:val="center"/>
          </w:tcPr>
          <w:p w:rsidR="00330D69" w:rsidRPr="005B04D7" w:rsidRDefault="00330D69" w:rsidP="002D3BAD">
            <w:pPr>
              <w:spacing w:line="220" w:lineRule="exact"/>
              <w:contextualSpacing/>
              <w:rPr>
                <w:rFonts w:cs="Calibri"/>
                <w:color w:val="000000" w:themeColor="text1"/>
                <w:sz w:val="18"/>
                <w:szCs w:val="18"/>
              </w:rPr>
            </w:pPr>
            <w:r>
              <w:rPr>
                <w:rFonts w:cs="Calibri"/>
                <w:color w:val="000000" w:themeColor="text1"/>
                <w:sz w:val="18"/>
                <w:szCs w:val="18"/>
              </w:rPr>
              <w:t>20070216</w:t>
            </w:r>
          </w:p>
        </w:tc>
      </w:tr>
      <w:tr w:rsidR="00330D69" w:rsidRPr="001F29F9" w:rsidTr="009614B8">
        <w:trPr>
          <w:trHeight w:val="70"/>
          <w:jc w:val="center"/>
        </w:trPr>
        <w:tc>
          <w:tcPr>
            <w:tcW w:w="4158" w:type="dxa"/>
            <w:gridSpan w:val="3"/>
            <w:vMerge/>
            <w:tcBorders>
              <w:right w:val="thinThickThinSmallGap" w:sz="2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330D69" w:rsidRPr="001F29F9" w:rsidRDefault="00330D69" w:rsidP="002D3BAD">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Mood Disorder</w:t>
            </w:r>
          </w:p>
        </w:tc>
        <w:tc>
          <w:tcPr>
            <w:tcW w:w="1080" w:type="dxa"/>
            <w:tcBorders>
              <w:left w:val="single" w:sz="4" w:space="0" w:color="auto"/>
              <w:right w:val="single" w:sz="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9435</w:t>
            </w:r>
          </w:p>
        </w:tc>
        <w:tc>
          <w:tcPr>
            <w:tcW w:w="720" w:type="dxa"/>
            <w:tcBorders>
              <w:left w:val="single" w:sz="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highlight w:val="yellow"/>
              </w:rPr>
            </w:pPr>
            <w:r w:rsidRPr="005B04D7">
              <w:rPr>
                <w:rFonts w:ascii="Calibri" w:eastAsia="Times New Roman" w:hAnsi="Calibri" w:cs="Calibri"/>
                <w:color w:val="000000" w:themeColor="text1"/>
                <w:sz w:val="18"/>
                <w:szCs w:val="18"/>
              </w:rPr>
              <w:t>20070216</w:t>
            </w:r>
          </w:p>
        </w:tc>
      </w:tr>
      <w:tr w:rsidR="00330D69" w:rsidRPr="001F29F9" w:rsidTr="003C53E8">
        <w:trPr>
          <w:trHeight w:val="133"/>
          <w:jc w:val="center"/>
        </w:trPr>
        <w:tc>
          <w:tcPr>
            <w:tcW w:w="4158" w:type="dxa"/>
            <w:gridSpan w:val="3"/>
            <w:vMerge/>
            <w:tcBorders>
              <w:right w:val="thinThickThinSmallGap" w:sz="24" w:space="0" w:color="auto"/>
            </w:tcBorders>
            <w:shd w:val="clear" w:color="auto" w:fill="FFFFFF" w:themeFill="background1"/>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p>
        </w:tc>
        <w:tc>
          <w:tcPr>
            <w:tcW w:w="990" w:type="dxa"/>
            <w:shd w:val="clear" w:color="auto" w:fill="FFFFFF" w:themeFill="background1"/>
            <w:vAlign w:val="center"/>
          </w:tcPr>
          <w:p w:rsidR="00330D69" w:rsidRPr="001F29F9" w:rsidRDefault="00330D69" w:rsidP="002D3BAD">
            <w:pPr>
              <w:spacing w:line="220" w:lineRule="exact"/>
              <w:contextualSpacing/>
              <w:rPr>
                <w:rFonts w:ascii="Calibri" w:eastAsia="Times New Roman" w:hAnsi="Calibri" w:cs="Calibri"/>
                <w:color w:val="000000" w:themeColor="text1"/>
                <w:sz w:val="18"/>
                <w:szCs w:val="18"/>
              </w:rPr>
            </w:pPr>
            <w:r w:rsidRPr="002A04A8">
              <w:rPr>
                <w:rFonts w:ascii="Calibri" w:hAnsi="Calibri" w:cs="Calibri"/>
                <w:color w:val="000000" w:themeColor="text1"/>
                <w:sz w:val="18"/>
                <w:szCs w:val="18"/>
              </w:rPr>
              <w:t>20070216</w:t>
            </w:r>
          </w:p>
        </w:tc>
      </w:tr>
      <w:tr w:rsidR="007A65A9" w:rsidRPr="001F29F9" w:rsidTr="002D3BAD">
        <w:trPr>
          <w:trHeight w:val="124"/>
          <w:jc w:val="center"/>
        </w:trPr>
        <w:tc>
          <w:tcPr>
            <w:tcW w:w="4158" w:type="dxa"/>
            <w:gridSpan w:val="3"/>
            <w:tcBorders>
              <w:right w:val="thinThickThinSmallGap" w:sz="24" w:space="0" w:color="auto"/>
            </w:tcBorders>
            <w:shd w:val="clear" w:color="auto" w:fill="D9D9D9" w:themeFill="background1" w:themeFillShade="D9"/>
          </w:tcPr>
          <w:p w:rsidR="007A65A9" w:rsidRPr="001F29F9" w:rsidRDefault="007A65A9"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A65A9" w:rsidRPr="001F29F9" w:rsidRDefault="007A65A9" w:rsidP="002D3B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A04A8">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3C53E8" w:rsidRDefault="00A57C35" w:rsidP="00330D69">
      <w:pPr>
        <w:pBdr>
          <w:bottom w:val="single" w:sz="12" w:space="1" w:color="auto"/>
        </w:pBdr>
        <w:tabs>
          <w:tab w:val="left" w:pos="288"/>
          <w:tab w:val="left" w:pos="4752"/>
        </w:tabs>
        <w:jc w:val="right"/>
        <w:rPr>
          <w:color w:val="000000" w:themeColor="text1"/>
          <w:sz w:val="18"/>
          <w:szCs w:val="18"/>
        </w:rPr>
      </w:pPr>
      <w:r w:rsidRPr="003C53E8">
        <w:rPr>
          <w:color w:val="000000" w:themeColor="text1"/>
          <w:sz w:val="18"/>
          <w:szCs w:val="18"/>
        </w:rPr>
        <w:t xml:space="preserve">* </w:t>
      </w:r>
      <w:r w:rsidR="003F606C">
        <w:rPr>
          <w:color w:val="000000" w:themeColor="text1"/>
          <w:sz w:val="18"/>
          <w:szCs w:val="18"/>
        </w:rPr>
        <w:t xml:space="preserve">Code changed to 5237-5240 to reflect associated ankylosing spondylitis </w:t>
      </w:r>
      <w:r w:rsidR="002D3BAD">
        <w:rPr>
          <w:color w:val="000000" w:themeColor="text1"/>
          <w:sz w:val="18"/>
          <w:szCs w:val="18"/>
        </w:rPr>
        <w:t>(</w:t>
      </w:r>
      <w:r w:rsidR="003F606C">
        <w:rPr>
          <w:color w:val="000000" w:themeColor="text1"/>
          <w:sz w:val="18"/>
          <w:szCs w:val="18"/>
        </w:rPr>
        <w:t>without rating change</w:t>
      </w:r>
      <w:r w:rsidR="002D3BAD">
        <w:rPr>
          <w:color w:val="000000" w:themeColor="text1"/>
          <w:sz w:val="18"/>
          <w:szCs w:val="18"/>
        </w:rPr>
        <w:t>)</w:t>
      </w:r>
      <w:r w:rsidR="00330D69" w:rsidRPr="00330D69">
        <w:rPr>
          <w:color w:val="000000" w:themeColor="text1"/>
          <w:sz w:val="18"/>
          <w:szCs w:val="18"/>
        </w:rPr>
        <w:t xml:space="preserve"> effective 20100924</w:t>
      </w:r>
      <w:r w:rsidRPr="003C53E8">
        <w:rPr>
          <w:color w:val="000000" w:themeColor="text1"/>
          <w:sz w:val="18"/>
          <w:szCs w:val="18"/>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F82D68" w:rsidRDefault="002C6E5B" w:rsidP="00555541">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F82D68" w:rsidRPr="00F82D68">
        <w:rPr>
          <w:rFonts w:eastAsiaTheme="minorHAnsi" w:cstheme="minorBidi"/>
          <w:color w:val="auto"/>
          <w:szCs w:val="24"/>
        </w:rPr>
        <w:t xml:space="preserve">The Board acknowledges the CI’s </w:t>
      </w:r>
      <w:r w:rsidR="00754A60">
        <w:rPr>
          <w:rFonts w:eastAsiaTheme="minorHAnsi" w:cstheme="minorBidi"/>
          <w:color w:val="auto"/>
          <w:szCs w:val="24"/>
        </w:rPr>
        <w:t>assertion that her s</w:t>
      </w:r>
      <w:r w:rsidR="00F82D68">
        <w:rPr>
          <w:rFonts w:eastAsiaTheme="minorHAnsi" w:cstheme="minorBidi"/>
          <w:color w:val="auto"/>
          <w:szCs w:val="24"/>
        </w:rPr>
        <w:t xml:space="preserve">ervice hip condition was </w:t>
      </w:r>
      <w:r w:rsidR="00734633">
        <w:rPr>
          <w:rFonts w:eastAsiaTheme="minorHAnsi" w:cstheme="minorBidi"/>
          <w:color w:val="auto"/>
          <w:szCs w:val="24"/>
        </w:rPr>
        <w:t>later opined to be</w:t>
      </w:r>
      <w:r w:rsidR="00F82D68">
        <w:rPr>
          <w:rFonts w:eastAsiaTheme="minorHAnsi" w:cstheme="minorBidi"/>
          <w:color w:val="auto"/>
          <w:szCs w:val="24"/>
        </w:rPr>
        <w:t xml:space="preserve"> an early manifestation of ankylosing spondylitis, as subsequently diagnosed and currently </w:t>
      </w:r>
      <w:r w:rsidR="00F82D68" w:rsidRPr="00F82D68">
        <w:rPr>
          <w:rFonts w:eastAsiaTheme="minorHAnsi" w:cstheme="minorBidi"/>
          <w:color w:val="auto"/>
          <w:szCs w:val="24"/>
        </w:rPr>
        <w:t xml:space="preserve">rated by the </w:t>
      </w:r>
      <w:r w:rsidR="00754A60">
        <w:rPr>
          <w:rFonts w:eastAsiaTheme="minorHAnsi" w:cstheme="minorBidi"/>
          <w:color w:val="auto"/>
          <w:szCs w:val="24"/>
        </w:rPr>
        <w:t>Department of Veterans’ Affairs (D</w:t>
      </w:r>
      <w:r w:rsidR="00F82D68" w:rsidRPr="00F82D68">
        <w:rPr>
          <w:rFonts w:eastAsiaTheme="minorHAnsi" w:cstheme="minorBidi"/>
          <w:color w:val="auto"/>
          <w:szCs w:val="24"/>
        </w:rPr>
        <w:t>VA</w:t>
      </w:r>
      <w:r w:rsidR="00754A60">
        <w:rPr>
          <w:rFonts w:eastAsiaTheme="minorHAnsi" w:cstheme="minorBidi"/>
          <w:color w:val="auto"/>
          <w:szCs w:val="24"/>
        </w:rPr>
        <w:t>)</w:t>
      </w:r>
      <w:r w:rsidR="00F82D68">
        <w:rPr>
          <w:rFonts w:eastAsiaTheme="minorHAnsi" w:cstheme="minorBidi"/>
          <w:color w:val="auto"/>
          <w:szCs w:val="24"/>
        </w:rPr>
        <w:t xml:space="preserve">; but, </w:t>
      </w:r>
      <w:r w:rsidR="00F82D68" w:rsidRPr="00F82D68">
        <w:rPr>
          <w:rFonts w:eastAsiaTheme="minorHAnsi" w:cstheme="minorBidi"/>
          <w:color w:val="auto"/>
          <w:szCs w:val="24"/>
        </w:rPr>
        <w:t xml:space="preserve">notes that the scope of its recommendations does not extend to conditions which were not diagnosed at the time of medical separation. </w:t>
      </w:r>
      <w:r w:rsidR="006B2292">
        <w:rPr>
          <w:rFonts w:eastAsiaTheme="minorHAnsi" w:cstheme="minorBidi"/>
          <w:color w:val="auto"/>
          <w:szCs w:val="24"/>
        </w:rPr>
        <w:t xml:space="preserve"> T</w:t>
      </w:r>
      <w:r w:rsidR="006B2292" w:rsidRPr="00F82D68">
        <w:rPr>
          <w:rFonts w:eastAsiaTheme="minorHAnsi" w:cstheme="minorBidi"/>
          <w:color w:val="auto"/>
          <w:szCs w:val="24"/>
        </w:rPr>
        <w:t xml:space="preserve">he Board </w:t>
      </w:r>
      <w:r w:rsidR="006B2292">
        <w:rPr>
          <w:rFonts w:eastAsiaTheme="minorHAnsi" w:cstheme="minorBidi"/>
          <w:color w:val="auto"/>
          <w:szCs w:val="24"/>
        </w:rPr>
        <w:t xml:space="preserve">furthermore </w:t>
      </w:r>
      <w:r w:rsidR="006B2292" w:rsidRPr="00F82D68">
        <w:rPr>
          <w:rFonts w:eastAsiaTheme="minorHAnsi" w:cstheme="minorBidi"/>
          <w:color w:val="auto"/>
          <w:szCs w:val="24"/>
        </w:rPr>
        <w:t xml:space="preserve">has neither the jurisdiction nor authority to scrutinize or render opinions in reference to </w:t>
      </w:r>
      <w:r w:rsidR="006B2292">
        <w:rPr>
          <w:rFonts w:eastAsiaTheme="minorHAnsi" w:cstheme="minorBidi"/>
          <w:color w:val="auto"/>
          <w:szCs w:val="24"/>
        </w:rPr>
        <w:t xml:space="preserve">a possibly implied assertion </w:t>
      </w:r>
      <w:r w:rsidR="004B5A10">
        <w:rPr>
          <w:rFonts w:eastAsiaTheme="minorHAnsi" w:cstheme="minorBidi"/>
          <w:color w:val="auto"/>
          <w:szCs w:val="24"/>
        </w:rPr>
        <w:t xml:space="preserve">that the lack of this diagnosis reflected a failure of </w:t>
      </w:r>
      <w:r w:rsidR="00754A60">
        <w:rPr>
          <w:rFonts w:eastAsiaTheme="minorHAnsi" w:cstheme="minorBidi"/>
          <w:color w:val="auto"/>
          <w:szCs w:val="24"/>
        </w:rPr>
        <w:t>s</w:t>
      </w:r>
      <w:r w:rsidR="004B5A10">
        <w:rPr>
          <w:rFonts w:eastAsiaTheme="minorHAnsi" w:cstheme="minorBidi"/>
          <w:color w:val="auto"/>
          <w:szCs w:val="24"/>
        </w:rPr>
        <w:t xml:space="preserve">ervice medical care.  </w:t>
      </w:r>
      <w:r w:rsidR="00F82D68" w:rsidRPr="00F82D68">
        <w:rPr>
          <w:rFonts w:eastAsiaTheme="minorHAnsi" w:cstheme="minorBidi"/>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E10608">
        <w:rPr>
          <w:color w:val="000000" w:themeColor="text1"/>
          <w:szCs w:val="24"/>
        </w:rPr>
        <w:t>In this endeavor t</w:t>
      </w:r>
      <w:r w:rsidR="004B5A10" w:rsidRPr="00330D69">
        <w:rPr>
          <w:color w:val="000000" w:themeColor="text1"/>
          <w:szCs w:val="24"/>
        </w:rPr>
        <w:t xml:space="preserve">he Board is subject to the same laws for </w:t>
      </w:r>
      <w:r w:rsidR="00754A60">
        <w:rPr>
          <w:color w:val="000000" w:themeColor="text1"/>
          <w:szCs w:val="24"/>
        </w:rPr>
        <w:t>s</w:t>
      </w:r>
      <w:r w:rsidR="004B5A10" w:rsidRPr="00330D69">
        <w:rPr>
          <w:color w:val="000000" w:themeColor="text1"/>
          <w:szCs w:val="24"/>
        </w:rPr>
        <w:t>ervice disability entitlements as those und</w:t>
      </w:r>
      <w:r w:rsidR="00754A60">
        <w:rPr>
          <w:color w:val="000000" w:themeColor="text1"/>
          <w:szCs w:val="24"/>
        </w:rPr>
        <w:t xml:space="preserve">er which the DES </w:t>
      </w:r>
      <w:r w:rsidR="004B5A10" w:rsidRPr="00330D69">
        <w:rPr>
          <w:color w:val="000000" w:themeColor="text1"/>
          <w:szCs w:val="24"/>
        </w:rPr>
        <w:t>operates.</w:t>
      </w:r>
      <w:r w:rsidR="002D3BAD">
        <w:rPr>
          <w:color w:val="000000" w:themeColor="text1"/>
          <w:szCs w:val="24"/>
        </w:rPr>
        <w:t xml:space="preserve"> </w:t>
      </w:r>
      <w:r w:rsidR="00754A60">
        <w:rPr>
          <w:color w:val="000000" w:themeColor="text1"/>
          <w:szCs w:val="24"/>
        </w:rPr>
        <w:t xml:space="preserve"> The </w:t>
      </w:r>
      <w:r w:rsidR="004B5A10" w:rsidRPr="00330D69">
        <w:rPr>
          <w:color w:val="000000" w:themeColor="text1"/>
          <w:szCs w:val="24"/>
        </w:rPr>
        <w:t>DES has neither the role nor the authority to compensate service members for anticipated future severity or potential complications of conditions resulting in medical separation.</w:t>
      </w:r>
      <w:r w:rsidR="004B5A10">
        <w:rPr>
          <w:color w:val="000000" w:themeColor="text1"/>
          <w:szCs w:val="24"/>
        </w:rPr>
        <w:t xml:space="preserve"> </w:t>
      </w:r>
      <w:r w:rsidR="004B5A10" w:rsidRPr="00330D69">
        <w:rPr>
          <w:color w:val="000000" w:themeColor="text1"/>
          <w:szCs w:val="24"/>
        </w:rPr>
        <w:t xml:space="preserve"> That role and authority is granted by Congress to the </w:t>
      </w:r>
      <w:r w:rsidR="00754A60">
        <w:rPr>
          <w:color w:val="000000" w:themeColor="text1"/>
          <w:szCs w:val="24"/>
        </w:rPr>
        <w:t>DVA</w:t>
      </w:r>
      <w:r w:rsidR="004B5A10" w:rsidRPr="00330D69">
        <w:rPr>
          <w:color w:val="000000" w:themeColor="text1"/>
          <w:szCs w:val="24"/>
        </w:rPr>
        <w:t xml:space="preserve">, operating under a different set of laws (Title 38, United States Code). </w:t>
      </w:r>
      <w:r w:rsidR="004B5A10">
        <w:rPr>
          <w:color w:val="000000" w:themeColor="text1"/>
          <w:szCs w:val="24"/>
        </w:rPr>
        <w:t xml:space="preserve"> </w:t>
      </w:r>
      <w:r w:rsidR="00E10608" w:rsidRPr="00E10608">
        <w:rPr>
          <w:color w:val="000000" w:themeColor="text1"/>
          <w:szCs w:val="24"/>
        </w:rPr>
        <w:t xml:space="preserve">The Board’s operative instruction, DoDI 6040.44, specifies a 12 month interval for special consideration to VA findings.  This does not mean that later VA evidence </w:t>
      </w:r>
      <w:r w:rsidR="00E10608">
        <w:rPr>
          <w:color w:val="000000" w:themeColor="text1"/>
          <w:szCs w:val="24"/>
        </w:rPr>
        <w:t>is</w:t>
      </w:r>
      <w:r w:rsidR="00E10608" w:rsidRPr="00E10608">
        <w:rPr>
          <w:color w:val="000000" w:themeColor="text1"/>
          <w:szCs w:val="24"/>
        </w:rPr>
        <w:t xml:space="preserve"> disregarded, but the Board’s recommendations are directed to </w:t>
      </w:r>
      <w:r w:rsidR="00E10608">
        <w:rPr>
          <w:color w:val="000000" w:themeColor="text1"/>
          <w:szCs w:val="24"/>
        </w:rPr>
        <w:t>the</w:t>
      </w:r>
      <w:r w:rsidR="00E10608" w:rsidRPr="00E10608">
        <w:rPr>
          <w:color w:val="000000" w:themeColor="text1"/>
          <w:szCs w:val="24"/>
        </w:rPr>
        <w:t xml:space="preserve"> implications of </w:t>
      </w:r>
      <w:r w:rsidR="00E10608">
        <w:rPr>
          <w:color w:val="000000" w:themeColor="text1"/>
          <w:szCs w:val="24"/>
        </w:rPr>
        <w:t xml:space="preserve">the evidence which are </w:t>
      </w:r>
      <w:proofErr w:type="spellStart"/>
      <w:r w:rsidR="00E10608">
        <w:rPr>
          <w:color w:val="000000" w:themeColor="text1"/>
          <w:szCs w:val="24"/>
        </w:rPr>
        <w:t>referable</w:t>
      </w:r>
      <w:proofErr w:type="spellEnd"/>
      <w:r w:rsidR="00E10608">
        <w:rPr>
          <w:color w:val="000000" w:themeColor="text1"/>
          <w:szCs w:val="24"/>
        </w:rPr>
        <w:t xml:space="preserve"> to</w:t>
      </w:r>
      <w:r w:rsidR="00E10608" w:rsidRPr="00E10608">
        <w:rPr>
          <w:color w:val="000000" w:themeColor="text1"/>
          <w:szCs w:val="24"/>
        </w:rPr>
        <w:t xml:space="preserve"> the </w:t>
      </w:r>
      <w:r w:rsidR="002D3BAD" w:rsidRPr="002D3BAD">
        <w:rPr>
          <w:color w:val="000000" w:themeColor="text1"/>
          <w:szCs w:val="24"/>
        </w:rPr>
        <w:t xml:space="preserve">clinical circumstances </w:t>
      </w:r>
      <w:r w:rsidR="002D3BAD">
        <w:rPr>
          <w:color w:val="000000" w:themeColor="text1"/>
          <w:szCs w:val="24"/>
        </w:rPr>
        <w:t>at</w:t>
      </w:r>
      <w:r w:rsidR="00E10608" w:rsidRPr="00E10608">
        <w:rPr>
          <w:color w:val="000000" w:themeColor="text1"/>
          <w:szCs w:val="24"/>
        </w:rPr>
        <w:t xml:space="preserve"> separation.  </w:t>
      </w:r>
    </w:p>
    <w:p w:rsidR="00E1476C" w:rsidRDefault="00E1476C" w:rsidP="00555541">
      <w:pPr>
        <w:jc w:val="both"/>
        <w:rPr>
          <w:color w:val="000000" w:themeColor="text1"/>
          <w:szCs w:val="24"/>
        </w:rPr>
      </w:pPr>
    </w:p>
    <w:p w:rsidR="00E1476C" w:rsidRDefault="00E1476C" w:rsidP="00555541">
      <w:pPr>
        <w:jc w:val="both"/>
        <w:rPr>
          <w:color w:val="000000" w:themeColor="text1"/>
          <w:szCs w:val="24"/>
        </w:rPr>
      </w:pPr>
      <w:r w:rsidRPr="00E1476C">
        <w:rPr>
          <w:color w:val="000000" w:themeColor="text1"/>
          <w:szCs w:val="24"/>
        </w:rPr>
        <w:t xml:space="preserve">The PEB rated </w:t>
      </w:r>
      <w:r>
        <w:rPr>
          <w:color w:val="000000" w:themeColor="text1"/>
          <w:szCs w:val="24"/>
        </w:rPr>
        <w:t>the left wrist</w:t>
      </w:r>
      <w:r w:rsidRPr="00E1476C">
        <w:rPr>
          <w:color w:val="000000" w:themeColor="text1"/>
          <w:szCs w:val="24"/>
        </w:rPr>
        <w:t xml:space="preserve"> and </w:t>
      </w:r>
      <w:r>
        <w:rPr>
          <w:color w:val="000000" w:themeColor="text1"/>
          <w:szCs w:val="24"/>
        </w:rPr>
        <w:t>right wrist</w:t>
      </w:r>
      <w:r w:rsidRPr="00E1476C">
        <w:rPr>
          <w:color w:val="000000" w:themeColor="text1"/>
          <w:szCs w:val="24"/>
        </w:rPr>
        <w:t xml:space="preserve"> under the single analogous 5003 (degenerative arthritis) code. </w:t>
      </w:r>
      <w:r w:rsidR="006E2DAD">
        <w:rPr>
          <w:color w:val="000000" w:themeColor="text1"/>
          <w:szCs w:val="24"/>
        </w:rPr>
        <w:t xml:space="preserve"> </w:t>
      </w:r>
      <w:r w:rsidRPr="00E1476C">
        <w:rPr>
          <w:color w:val="000000" w:themeColor="text1"/>
          <w:szCs w:val="24"/>
        </w:rPr>
        <w:t>This coding approac</w:t>
      </w:r>
      <w:r w:rsidR="0096451C">
        <w:rPr>
          <w:color w:val="000000" w:themeColor="text1"/>
          <w:szCs w:val="24"/>
        </w:rPr>
        <w:t>h is countenanced by AR 635-40</w:t>
      </w:r>
      <w:r w:rsidRPr="00E1476C">
        <w:rPr>
          <w:color w:val="000000" w:themeColor="text1"/>
          <w:szCs w:val="24"/>
        </w:rPr>
        <w:t xml:space="preserve">, but IAW DoDI 6040.44 the Board must apply only VASRD guidance to its recommendation. </w:t>
      </w:r>
      <w:r w:rsidR="006E2DAD">
        <w:rPr>
          <w:color w:val="000000" w:themeColor="text1"/>
          <w:szCs w:val="24"/>
        </w:rPr>
        <w:t xml:space="preserve"> </w:t>
      </w:r>
      <w:r w:rsidRPr="00E1476C">
        <w:rPr>
          <w:color w:val="000000" w:themeColor="text1"/>
          <w:szCs w:val="24"/>
        </w:rPr>
        <w:t xml:space="preserve">The Board must therefore apply separate codes and ratings in its recommendations if compensable ratings for each joint are achieved IAW VASRD §4.71a. </w:t>
      </w:r>
      <w:r w:rsidR="006E2DAD">
        <w:rPr>
          <w:color w:val="000000" w:themeColor="text1"/>
          <w:szCs w:val="24"/>
        </w:rPr>
        <w:t xml:space="preserve"> </w:t>
      </w:r>
      <w:r w:rsidRPr="00E1476C">
        <w:rPr>
          <w:color w:val="000000" w:themeColor="text1"/>
          <w:szCs w:val="24"/>
        </w:rPr>
        <w:t xml:space="preserve">If the Board judges that two or more separate ratings are warranted in such cases, however, it must satisfy the requirement that each “unbundled” condition was unfitting in and of itself. </w:t>
      </w:r>
      <w:r w:rsidR="006E2DAD">
        <w:rPr>
          <w:color w:val="000000" w:themeColor="text1"/>
          <w:szCs w:val="24"/>
        </w:rPr>
        <w:t xml:space="preserve"> </w:t>
      </w:r>
      <w:r w:rsidRPr="00E1476C">
        <w:rPr>
          <w:color w:val="000000" w:themeColor="text1"/>
          <w:szCs w:val="24"/>
        </w:rPr>
        <w:t>Since §4.71a criteria are met for separate joint ratings in this case, the Board is pursuing separate rating and fitness evaluations as follows.</w:t>
      </w:r>
    </w:p>
    <w:p w:rsidR="00330D69" w:rsidRDefault="00330D69" w:rsidP="00F328BE">
      <w:pPr>
        <w:jc w:val="left"/>
        <w:rPr>
          <w:color w:val="000000" w:themeColor="text1"/>
          <w:szCs w:val="24"/>
        </w:rPr>
      </w:pPr>
    </w:p>
    <w:p w:rsidR="00330D69" w:rsidRDefault="003F2EEE" w:rsidP="00330D69">
      <w:pPr>
        <w:jc w:val="both"/>
        <w:rPr>
          <w:color w:val="000000" w:themeColor="text1"/>
          <w:szCs w:val="24"/>
        </w:rPr>
      </w:pPr>
      <w:r w:rsidRPr="00AD5CDB">
        <w:rPr>
          <w:color w:val="000000" w:themeColor="text1"/>
          <w:szCs w:val="24"/>
          <w:u w:val="single"/>
        </w:rPr>
        <w:t xml:space="preserve">Right </w:t>
      </w:r>
      <w:r w:rsidR="00330D69" w:rsidRPr="00AD5CDB">
        <w:rPr>
          <w:color w:val="000000" w:themeColor="text1"/>
          <w:szCs w:val="24"/>
          <w:u w:val="single"/>
        </w:rPr>
        <w:t>Hip</w:t>
      </w:r>
      <w:r w:rsidR="0080588E" w:rsidRPr="00AD5CDB">
        <w:rPr>
          <w:color w:val="000000" w:themeColor="text1"/>
          <w:szCs w:val="24"/>
          <w:u w:val="single"/>
        </w:rPr>
        <w:t xml:space="preserve"> </w:t>
      </w:r>
      <w:r w:rsidRPr="00AD5CDB">
        <w:rPr>
          <w:color w:val="000000" w:themeColor="text1"/>
          <w:szCs w:val="24"/>
          <w:u w:val="single"/>
        </w:rPr>
        <w:t>Condition</w:t>
      </w:r>
      <w:r w:rsidRPr="00AD5CDB">
        <w:rPr>
          <w:color w:val="000000" w:themeColor="text1"/>
          <w:szCs w:val="24"/>
        </w:rPr>
        <w:t xml:space="preserve">.  </w:t>
      </w:r>
      <w:r w:rsidR="00CF2BB2">
        <w:rPr>
          <w:color w:val="000000" w:themeColor="text1"/>
          <w:szCs w:val="24"/>
        </w:rPr>
        <w:t xml:space="preserve">Over the four years </w:t>
      </w:r>
      <w:r w:rsidR="0096451C">
        <w:rPr>
          <w:color w:val="000000" w:themeColor="text1"/>
          <w:szCs w:val="24"/>
        </w:rPr>
        <w:t>of her military service</w:t>
      </w:r>
      <w:r w:rsidR="00CF2BB2">
        <w:rPr>
          <w:color w:val="000000" w:themeColor="text1"/>
          <w:szCs w:val="24"/>
        </w:rPr>
        <w:t xml:space="preserve"> the CI underwent extensive evaluation of her persistent right hip pain.  She had </w:t>
      </w:r>
      <w:r w:rsidR="0096451C">
        <w:rPr>
          <w:color w:val="000000" w:themeColor="text1"/>
          <w:szCs w:val="24"/>
        </w:rPr>
        <w:t xml:space="preserve">profiles </w:t>
      </w:r>
      <w:r w:rsidR="00CF2BB2">
        <w:rPr>
          <w:color w:val="000000" w:themeColor="text1"/>
          <w:szCs w:val="24"/>
        </w:rPr>
        <w:t xml:space="preserve">limiting </w:t>
      </w:r>
      <w:r w:rsidR="0096451C">
        <w:rPr>
          <w:color w:val="000000" w:themeColor="text1"/>
          <w:szCs w:val="24"/>
        </w:rPr>
        <w:t>aggravating activities</w:t>
      </w:r>
      <w:r w:rsidR="00CF2BB2">
        <w:rPr>
          <w:color w:val="000000" w:themeColor="text1"/>
          <w:szCs w:val="24"/>
        </w:rPr>
        <w:t xml:space="preserve"> for </w:t>
      </w:r>
      <w:r w:rsidR="0096451C">
        <w:rPr>
          <w:color w:val="000000" w:themeColor="text1"/>
          <w:szCs w:val="24"/>
        </w:rPr>
        <w:t xml:space="preserve">most </w:t>
      </w:r>
      <w:r w:rsidR="00CF2BB2">
        <w:rPr>
          <w:color w:val="000000" w:themeColor="text1"/>
          <w:szCs w:val="24"/>
        </w:rPr>
        <w:t xml:space="preserve">of this period, principally due to pregnancies.  </w:t>
      </w:r>
      <w:r w:rsidR="00330545">
        <w:rPr>
          <w:color w:val="000000" w:themeColor="text1"/>
          <w:szCs w:val="24"/>
        </w:rPr>
        <w:t>Serial</w:t>
      </w:r>
      <w:r w:rsidR="00CF2BB2">
        <w:rPr>
          <w:color w:val="000000" w:themeColor="text1"/>
          <w:szCs w:val="24"/>
        </w:rPr>
        <w:t xml:space="preserve"> imaging </w:t>
      </w:r>
      <w:r w:rsidR="00330545">
        <w:rPr>
          <w:color w:val="000000" w:themeColor="text1"/>
          <w:szCs w:val="24"/>
        </w:rPr>
        <w:t xml:space="preserve">and radionuclide </w:t>
      </w:r>
      <w:r w:rsidR="009614B8">
        <w:rPr>
          <w:color w:val="000000" w:themeColor="text1"/>
          <w:szCs w:val="24"/>
        </w:rPr>
        <w:t xml:space="preserve">(scan) </w:t>
      </w:r>
      <w:r w:rsidR="00CF2BB2">
        <w:rPr>
          <w:color w:val="000000" w:themeColor="text1"/>
          <w:szCs w:val="24"/>
        </w:rPr>
        <w:t>studies</w:t>
      </w:r>
      <w:r w:rsidR="00330545">
        <w:rPr>
          <w:color w:val="000000" w:themeColor="text1"/>
          <w:szCs w:val="24"/>
        </w:rPr>
        <w:t>,</w:t>
      </w:r>
      <w:r w:rsidR="00CF2BB2">
        <w:rPr>
          <w:color w:val="000000" w:themeColor="text1"/>
          <w:szCs w:val="24"/>
        </w:rPr>
        <w:t xml:space="preserve"> and specialty consultations</w:t>
      </w:r>
      <w:r w:rsidR="00330545">
        <w:rPr>
          <w:color w:val="000000" w:themeColor="text1"/>
          <w:szCs w:val="24"/>
        </w:rPr>
        <w:t>,</w:t>
      </w:r>
      <w:r w:rsidR="00CF2BB2">
        <w:rPr>
          <w:color w:val="000000" w:themeColor="text1"/>
          <w:szCs w:val="24"/>
        </w:rPr>
        <w:t xml:space="preserve"> ruled out stress fracture </w:t>
      </w:r>
      <w:r w:rsidR="00330545">
        <w:rPr>
          <w:color w:val="000000" w:themeColor="text1"/>
          <w:szCs w:val="24"/>
        </w:rPr>
        <w:t>or other bony pathology of the hip;</w:t>
      </w:r>
      <w:r w:rsidR="00CF2BB2">
        <w:rPr>
          <w:color w:val="000000" w:themeColor="text1"/>
          <w:szCs w:val="24"/>
        </w:rPr>
        <w:t xml:space="preserve"> and</w:t>
      </w:r>
      <w:r w:rsidR="00330545">
        <w:rPr>
          <w:color w:val="000000" w:themeColor="text1"/>
          <w:szCs w:val="24"/>
        </w:rPr>
        <w:t>,</w:t>
      </w:r>
      <w:r w:rsidR="00CF2BB2">
        <w:rPr>
          <w:color w:val="000000" w:themeColor="text1"/>
          <w:szCs w:val="24"/>
        </w:rPr>
        <w:t xml:space="preserve"> </w:t>
      </w:r>
      <w:r w:rsidR="00330545">
        <w:rPr>
          <w:color w:val="000000" w:themeColor="text1"/>
          <w:szCs w:val="24"/>
        </w:rPr>
        <w:t>the ultimate diagnosis was</w:t>
      </w:r>
      <w:r w:rsidR="00CF2BB2">
        <w:rPr>
          <w:color w:val="000000" w:themeColor="text1"/>
          <w:szCs w:val="24"/>
        </w:rPr>
        <w:t xml:space="preserve"> trochanteric bursitis.  </w:t>
      </w:r>
      <w:r w:rsidR="00330545">
        <w:rPr>
          <w:color w:val="000000" w:themeColor="text1"/>
          <w:szCs w:val="24"/>
        </w:rPr>
        <w:t xml:space="preserve">There was no suggestion of spondylitis or other inflammatory arthritis based on </w:t>
      </w:r>
      <w:r w:rsidR="0096451C">
        <w:rPr>
          <w:color w:val="000000" w:themeColor="text1"/>
          <w:szCs w:val="24"/>
        </w:rPr>
        <w:t xml:space="preserve">this comprehensive </w:t>
      </w:r>
      <w:r w:rsidR="00330545">
        <w:rPr>
          <w:color w:val="000000" w:themeColor="text1"/>
          <w:szCs w:val="24"/>
        </w:rPr>
        <w:t xml:space="preserve">diagnostic evidence.  </w:t>
      </w:r>
      <w:r w:rsidR="00330D69" w:rsidRPr="00AD5CDB">
        <w:rPr>
          <w:color w:val="000000" w:themeColor="text1"/>
          <w:szCs w:val="24"/>
        </w:rPr>
        <w:t>There</w:t>
      </w:r>
      <w:r w:rsidR="00330D69">
        <w:rPr>
          <w:color w:val="000000" w:themeColor="text1"/>
          <w:szCs w:val="24"/>
        </w:rPr>
        <w:t xml:space="preserve"> were two</w:t>
      </w:r>
      <w:r w:rsidR="00754A60">
        <w:rPr>
          <w:color w:val="000000" w:themeColor="text1"/>
          <w:szCs w:val="24"/>
        </w:rPr>
        <w:t xml:space="preserve"> goniometric range-of-</w:t>
      </w:r>
      <w:r w:rsidR="00330D69" w:rsidRPr="002F47A3">
        <w:rPr>
          <w:color w:val="000000" w:themeColor="text1"/>
          <w:szCs w:val="24"/>
        </w:rPr>
        <w:t xml:space="preserve">motion (ROM) evaluations </w:t>
      </w:r>
      <w:r w:rsidR="00AD5CDB">
        <w:rPr>
          <w:color w:val="000000" w:themeColor="text1"/>
          <w:szCs w:val="24"/>
        </w:rPr>
        <w:t xml:space="preserve">and one non-goniometric ROM evaluation </w:t>
      </w:r>
      <w:r w:rsidR="00330D69" w:rsidRPr="002F47A3">
        <w:rPr>
          <w:color w:val="000000" w:themeColor="text1"/>
          <w:szCs w:val="24"/>
        </w:rPr>
        <w:t>in evidence, with documentation of additional ratable criteria, which the Board weighed in arriving at its rating recommendation.</w:t>
      </w:r>
      <w:r w:rsidR="00330545">
        <w:rPr>
          <w:color w:val="000000" w:themeColor="text1"/>
          <w:szCs w:val="24"/>
        </w:rPr>
        <w:t xml:space="preserve">  These are summarized in the chart below.</w:t>
      </w:r>
    </w:p>
    <w:p w:rsidR="00330D69" w:rsidRDefault="00330D69" w:rsidP="00330D69">
      <w:pPr>
        <w:jc w:val="both"/>
        <w:rPr>
          <w:color w:val="000000" w:themeColor="text1"/>
          <w:szCs w:val="24"/>
        </w:rPr>
      </w:pPr>
    </w:p>
    <w:tbl>
      <w:tblPr>
        <w:tblpPr w:leftFromText="180" w:rightFromText="180" w:vertAnchor="text" w:tblpXSpec="center" w:tblpY="1"/>
        <w:tblOverlap w:val="neve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4"/>
        <w:gridCol w:w="1944"/>
        <w:gridCol w:w="2250"/>
        <w:gridCol w:w="2250"/>
      </w:tblGrid>
      <w:tr w:rsidR="00AD5CDB" w:rsidRPr="001F29F9" w:rsidTr="008B7AE4">
        <w:tc>
          <w:tcPr>
            <w:tcW w:w="2034" w:type="dxa"/>
            <w:shd w:val="clear" w:color="auto" w:fill="D9D9D9" w:themeFill="background1" w:themeFillShade="D9"/>
            <w:vAlign w:val="center"/>
          </w:tcPr>
          <w:p w:rsidR="00AD5CDB" w:rsidRPr="008B7AE4" w:rsidRDefault="00AD5CDB" w:rsidP="008B7AE4">
            <w:pPr>
              <w:spacing w:line="220" w:lineRule="exact"/>
              <w:contextualSpacing/>
              <w:rPr>
                <w:rFonts w:eastAsia="Calibri"/>
                <w:color w:val="000000" w:themeColor="text1"/>
                <w:sz w:val="20"/>
              </w:rPr>
            </w:pPr>
            <w:r w:rsidRPr="008B7AE4">
              <w:rPr>
                <w:rFonts w:eastAsia="Calibri"/>
                <w:color w:val="000000" w:themeColor="text1"/>
                <w:sz w:val="20"/>
              </w:rPr>
              <w:t>Right Hip ROM</w:t>
            </w:r>
          </w:p>
        </w:tc>
        <w:tc>
          <w:tcPr>
            <w:tcW w:w="1944" w:type="dxa"/>
            <w:shd w:val="clear" w:color="auto" w:fill="D9D9D9" w:themeFill="background1" w:themeFillShade="D9"/>
            <w:vAlign w:val="center"/>
          </w:tcPr>
          <w:p w:rsidR="00AD5CDB" w:rsidRPr="008B7AE4" w:rsidRDefault="008B7AE4" w:rsidP="008B7AE4">
            <w:pPr>
              <w:spacing w:line="220" w:lineRule="exact"/>
              <w:contextualSpacing/>
              <w:rPr>
                <w:rFonts w:asciiTheme="minorHAnsi" w:eastAsia="Calibri" w:hAnsiTheme="minorHAnsi"/>
                <w:color w:val="000000" w:themeColor="text1"/>
                <w:sz w:val="20"/>
              </w:rPr>
            </w:pPr>
            <w:r>
              <w:rPr>
                <w:rFonts w:asciiTheme="minorHAnsi" w:eastAsia="Calibri" w:hAnsiTheme="minorHAnsi"/>
                <w:color w:val="000000" w:themeColor="text1"/>
                <w:sz w:val="20"/>
              </w:rPr>
              <w:t>PT ~</w:t>
            </w:r>
            <w:r w:rsidR="00AD5CDB" w:rsidRPr="008B7AE4">
              <w:rPr>
                <w:rFonts w:asciiTheme="minorHAnsi" w:eastAsia="Calibri" w:hAnsiTheme="minorHAnsi"/>
                <w:color w:val="000000" w:themeColor="text1"/>
                <w:sz w:val="20"/>
              </w:rPr>
              <w:t>4 Mo. Pre-Sep</w:t>
            </w:r>
          </w:p>
        </w:tc>
        <w:tc>
          <w:tcPr>
            <w:tcW w:w="2250" w:type="dxa"/>
            <w:shd w:val="clear" w:color="auto" w:fill="D9D9D9" w:themeFill="background1" w:themeFillShade="D9"/>
            <w:vAlign w:val="center"/>
          </w:tcPr>
          <w:p w:rsidR="00AD5CDB" w:rsidRPr="008B7AE4" w:rsidRDefault="008B7AE4" w:rsidP="008B7AE4">
            <w:pPr>
              <w:spacing w:line="220" w:lineRule="exact"/>
              <w:contextualSpacing/>
              <w:rPr>
                <w:rFonts w:asciiTheme="minorHAnsi" w:eastAsia="Calibri" w:hAnsiTheme="minorHAnsi"/>
                <w:color w:val="000000" w:themeColor="text1"/>
                <w:sz w:val="20"/>
              </w:rPr>
            </w:pPr>
            <w:r>
              <w:rPr>
                <w:rFonts w:asciiTheme="minorHAnsi" w:eastAsia="Calibri" w:hAnsiTheme="minorHAnsi"/>
                <w:color w:val="000000" w:themeColor="text1"/>
                <w:sz w:val="20"/>
              </w:rPr>
              <w:t>MEB ~</w:t>
            </w:r>
            <w:r w:rsidR="00AD5CDB" w:rsidRPr="008B7AE4">
              <w:rPr>
                <w:rFonts w:asciiTheme="minorHAnsi" w:eastAsia="Calibri" w:hAnsiTheme="minorHAnsi"/>
                <w:color w:val="000000" w:themeColor="text1"/>
                <w:sz w:val="20"/>
              </w:rPr>
              <w:t>4 Mo. Pre-Sep</w:t>
            </w:r>
          </w:p>
        </w:tc>
        <w:tc>
          <w:tcPr>
            <w:tcW w:w="2250" w:type="dxa"/>
            <w:shd w:val="clear" w:color="auto" w:fill="D9D9D9" w:themeFill="background1" w:themeFillShade="D9"/>
            <w:vAlign w:val="center"/>
          </w:tcPr>
          <w:p w:rsidR="00AD5CDB" w:rsidRPr="008B7AE4" w:rsidRDefault="00AD5CDB" w:rsidP="008B7AE4">
            <w:pPr>
              <w:spacing w:line="220" w:lineRule="exact"/>
              <w:contextualSpacing/>
              <w:rPr>
                <w:rFonts w:asciiTheme="minorHAnsi" w:eastAsia="Calibri" w:hAnsiTheme="minorHAnsi"/>
                <w:color w:val="000000" w:themeColor="text1"/>
                <w:sz w:val="20"/>
              </w:rPr>
            </w:pPr>
            <w:r w:rsidRPr="008B7AE4">
              <w:rPr>
                <w:rFonts w:asciiTheme="minorHAnsi" w:eastAsia="Calibri" w:hAnsiTheme="minorHAnsi"/>
                <w:color w:val="000000" w:themeColor="text1"/>
                <w:sz w:val="20"/>
              </w:rPr>
              <w:t>VA</w:t>
            </w:r>
            <w:r w:rsidRPr="008B7AE4">
              <w:rPr>
                <w:rFonts w:asciiTheme="minorHAnsi" w:eastAsiaTheme="minorHAnsi" w:hAnsiTheme="minorHAnsi"/>
                <w:color w:val="000000" w:themeColor="text1"/>
                <w:sz w:val="20"/>
              </w:rPr>
              <w:t xml:space="preserve"> C&amp;P </w:t>
            </w:r>
            <w:r w:rsidR="008B7AE4">
              <w:rPr>
                <w:rFonts w:asciiTheme="minorHAnsi" w:eastAsia="Calibri" w:hAnsiTheme="minorHAnsi"/>
                <w:color w:val="000000" w:themeColor="text1"/>
                <w:sz w:val="20"/>
              </w:rPr>
              <w:t>~</w:t>
            </w:r>
            <w:r w:rsidRPr="008B7AE4">
              <w:rPr>
                <w:rFonts w:asciiTheme="minorHAnsi" w:eastAsia="Calibri" w:hAnsiTheme="minorHAnsi"/>
                <w:color w:val="000000" w:themeColor="text1"/>
                <w:sz w:val="20"/>
              </w:rPr>
              <w:t xml:space="preserve">3 Mo. </w:t>
            </w:r>
            <w:r w:rsidR="008B7AE4">
              <w:rPr>
                <w:rFonts w:asciiTheme="minorHAnsi" w:eastAsia="Calibri" w:hAnsiTheme="minorHAnsi"/>
                <w:color w:val="000000" w:themeColor="text1"/>
                <w:sz w:val="20"/>
              </w:rPr>
              <w:t>Post</w:t>
            </w:r>
            <w:r w:rsidRPr="008B7AE4">
              <w:rPr>
                <w:rFonts w:asciiTheme="minorHAnsi" w:eastAsia="Calibri" w:hAnsiTheme="minorHAnsi"/>
                <w:color w:val="000000" w:themeColor="text1"/>
                <w:sz w:val="20"/>
              </w:rPr>
              <w:t>-Sep</w:t>
            </w:r>
          </w:p>
        </w:tc>
      </w:tr>
      <w:tr w:rsidR="00AD5CDB" w:rsidRPr="001F29F9" w:rsidTr="008B7AE4">
        <w:tc>
          <w:tcPr>
            <w:tcW w:w="2034" w:type="dxa"/>
            <w:vAlign w:val="center"/>
          </w:tcPr>
          <w:p w:rsidR="00AD5CDB" w:rsidRPr="008B7AE4" w:rsidRDefault="00AD5CDB" w:rsidP="008B7AE4">
            <w:pPr>
              <w:spacing w:line="220" w:lineRule="exact"/>
              <w:contextualSpacing/>
              <w:rPr>
                <w:rFonts w:eastAsia="Calibri"/>
                <w:color w:val="000000" w:themeColor="text1"/>
                <w:sz w:val="20"/>
              </w:rPr>
            </w:pPr>
            <w:r w:rsidRPr="008B7AE4">
              <w:rPr>
                <w:rFonts w:eastAsia="Calibri"/>
                <w:color w:val="000000" w:themeColor="text1"/>
                <w:sz w:val="20"/>
              </w:rPr>
              <w:t>Flexion (</w:t>
            </w:r>
            <w:r w:rsidR="008B7AE4">
              <w:rPr>
                <w:rFonts w:eastAsia="Calibri"/>
                <w:color w:val="000000" w:themeColor="text1"/>
                <w:sz w:val="20"/>
              </w:rPr>
              <w:t xml:space="preserve">Normal </w:t>
            </w:r>
            <w:r w:rsidRPr="008B7AE4">
              <w:rPr>
                <w:rFonts w:eastAsia="Calibri"/>
                <w:color w:val="000000" w:themeColor="text1"/>
                <w:sz w:val="20"/>
              </w:rPr>
              <w:t>125⁰)</w:t>
            </w:r>
          </w:p>
        </w:tc>
        <w:tc>
          <w:tcPr>
            <w:tcW w:w="1944" w:type="dxa"/>
            <w:vAlign w:val="center"/>
          </w:tcPr>
          <w:p w:rsidR="00AD5CDB" w:rsidRPr="008B7AE4" w:rsidRDefault="00AD5CDB"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31</w:t>
            </w:r>
            <w:r w:rsidRPr="008B7AE4">
              <w:rPr>
                <w:rFonts w:eastAsia="Calibri"/>
                <w:color w:val="000000" w:themeColor="text1"/>
                <w:sz w:val="20"/>
                <w:szCs w:val="20"/>
              </w:rPr>
              <w:t>⁰</w:t>
            </w:r>
          </w:p>
        </w:tc>
        <w:tc>
          <w:tcPr>
            <w:tcW w:w="2250" w:type="dxa"/>
            <w:vAlign w:val="center"/>
          </w:tcPr>
          <w:p w:rsidR="00AD5CDB" w:rsidRPr="008B7AE4" w:rsidRDefault="00AD5CDB" w:rsidP="008B7AE4">
            <w:pPr>
              <w:spacing w:line="220" w:lineRule="exact"/>
              <w:rPr>
                <w:rFonts w:eastAsia="Calibri"/>
                <w:color w:val="000000" w:themeColor="text1"/>
                <w:sz w:val="20"/>
              </w:rPr>
            </w:pPr>
            <w:r w:rsidRPr="008B7AE4">
              <w:rPr>
                <w:rFonts w:eastAsia="Calibri"/>
                <w:color w:val="000000" w:themeColor="text1"/>
                <w:sz w:val="20"/>
              </w:rPr>
              <w:t>Full</w:t>
            </w:r>
          </w:p>
        </w:tc>
        <w:tc>
          <w:tcPr>
            <w:tcW w:w="2250" w:type="dxa"/>
            <w:vAlign w:val="center"/>
          </w:tcPr>
          <w:p w:rsidR="00AD5CDB" w:rsidRPr="008B7AE4" w:rsidRDefault="00AD5CDB" w:rsidP="008B7AE4">
            <w:pPr>
              <w:spacing w:line="220" w:lineRule="exact"/>
              <w:rPr>
                <w:sz w:val="20"/>
              </w:rPr>
            </w:pPr>
            <w:r w:rsidRPr="008B7AE4">
              <w:rPr>
                <w:rFonts w:eastAsia="Calibri"/>
                <w:color w:val="000000" w:themeColor="text1"/>
                <w:sz w:val="20"/>
              </w:rPr>
              <w:t>125⁰</w:t>
            </w:r>
          </w:p>
        </w:tc>
      </w:tr>
      <w:tr w:rsidR="00AD5CDB" w:rsidRPr="001F29F9" w:rsidTr="008B7AE4">
        <w:tc>
          <w:tcPr>
            <w:tcW w:w="2034" w:type="dxa"/>
            <w:vAlign w:val="center"/>
          </w:tcPr>
          <w:p w:rsidR="00AD5CDB" w:rsidRPr="008B7AE4" w:rsidRDefault="00AD5CDB" w:rsidP="008B7AE4">
            <w:pPr>
              <w:spacing w:line="220" w:lineRule="exact"/>
              <w:contextualSpacing/>
              <w:rPr>
                <w:rFonts w:eastAsia="Calibri"/>
                <w:color w:val="000000" w:themeColor="text1"/>
                <w:sz w:val="20"/>
              </w:rPr>
            </w:pPr>
            <w:r w:rsidRPr="008B7AE4">
              <w:rPr>
                <w:rFonts w:eastAsia="Calibri"/>
                <w:color w:val="000000" w:themeColor="text1"/>
                <w:sz w:val="20"/>
              </w:rPr>
              <w:t>Extension (20⁰)</w:t>
            </w:r>
          </w:p>
        </w:tc>
        <w:tc>
          <w:tcPr>
            <w:tcW w:w="1944" w:type="dxa"/>
            <w:vAlign w:val="center"/>
          </w:tcPr>
          <w:p w:rsidR="00AD5CDB" w:rsidRPr="008B7AE4" w:rsidRDefault="00AD5CDB"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9</w:t>
            </w:r>
            <w:r w:rsidRPr="008B7AE4">
              <w:rPr>
                <w:rFonts w:eastAsia="Calibri"/>
                <w:color w:val="000000" w:themeColor="text1"/>
                <w:sz w:val="20"/>
                <w:szCs w:val="20"/>
              </w:rPr>
              <w:t>⁰</w:t>
            </w:r>
          </w:p>
        </w:tc>
        <w:tc>
          <w:tcPr>
            <w:tcW w:w="2250" w:type="dxa"/>
            <w:vAlign w:val="center"/>
          </w:tcPr>
          <w:p w:rsidR="00AD5CDB" w:rsidRPr="008B7AE4" w:rsidRDefault="00AD5CDB" w:rsidP="008B7AE4">
            <w:pPr>
              <w:spacing w:line="220" w:lineRule="exact"/>
              <w:rPr>
                <w:rFonts w:eastAsia="Calibri"/>
                <w:color w:val="000000" w:themeColor="text1"/>
                <w:sz w:val="20"/>
              </w:rPr>
            </w:pPr>
            <w:r w:rsidRPr="008B7AE4">
              <w:rPr>
                <w:rFonts w:eastAsia="Calibri"/>
                <w:color w:val="000000" w:themeColor="text1"/>
                <w:sz w:val="20"/>
              </w:rPr>
              <w:t>Lacks 10-15⁰</w:t>
            </w:r>
          </w:p>
        </w:tc>
        <w:tc>
          <w:tcPr>
            <w:tcW w:w="2250" w:type="dxa"/>
            <w:vAlign w:val="center"/>
          </w:tcPr>
          <w:p w:rsidR="00AD5CDB" w:rsidRPr="008B7AE4" w:rsidRDefault="00AD5CDB" w:rsidP="008B7AE4">
            <w:pPr>
              <w:spacing w:line="220" w:lineRule="exact"/>
              <w:rPr>
                <w:sz w:val="20"/>
              </w:rPr>
            </w:pPr>
            <w:r w:rsidRPr="008B7AE4">
              <w:rPr>
                <w:rFonts w:eastAsia="Calibri"/>
                <w:color w:val="000000" w:themeColor="text1"/>
                <w:sz w:val="20"/>
              </w:rPr>
              <w:t>30⁰</w:t>
            </w:r>
          </w:p>
        </w:tc>
      </w:tr>
      <w:tr w:rsidR="00AD5CDB" w:rsidRPr="001F29F9" w:rsidTr="008B7AE4">
        <w:tc>
          <w:tcPr>
            <w:tcW w:w="2034" w:type="dxa"/>
            <w:vAlign w:val="center"/>
          </w:tcPr>
          <w:p w:rsidR="00AD5CDB" w:rsidRPr="008B7AE4" w:rsidRDefault="00AD5CDB" w:rsidP="008B7AE4">
            <w:pPr>
              <w:spacing w:line="220" w:lineRule="exact"/>
              <w:contextualSpacing/>
              <w:rPr>
                <w:rFonts w:eastAsia="Calibri"/>
                <w:color w:val="000000" w:themeColor="text1"/>
                <w:sz w:val="20"/>
              </w:rPr>
            </w:pPr>
            <w:r w:rsidRPr="008B7AE4">
              <w:rPr>
                <w:rFonts w:eastAsia="Calibri"/>
                <w:color w:val="000000" w:themeColor="text1"/>
                <w:sz w:val="20"/>
              </w:rPr>
              <w:t>Abduction (45⁰)</w:t>
            </w:r>
          </w:p>
        </w:tc>
        <w:tc>
          <w:tcPr>
            <w:tcW w:w="1944" w:type="dxa"/>
            <w:vAlign w:val="center"/>
          </w:tcPr>
          <w:p w:rsidR="00AD5CDB" w:rsidRPr="008B7AE4" w:rsidRDefault="00AD5CDB"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20</w:t>
            </w:r>
            <w:r w:rsidRPr="008B7AE4">
              <w:rPr>
                <w:rFonts w:eastAsia="Calibri"/>
                <w:color w:val="000000" w:themeColor="text1"/>
                <w:sz w:val="20"/>
                <w:szCs w:val="20"/>
              </w:rPr>
              <w:t>⁰</w:t>
            </w:r>
          </w:p>
        </w:tc>
        <w:tc>
          <w:tcPr>
            <w:tcW w:w="2250" w:type="dxa"/>
            <w:vAlign w:val="center"/>
          </w:tcPr>
          <w:p w:rsidR="00AD5CDB" w:rsidRPr="008B7AE4" w:rsidRDefault="00CF2BB2" w:rsidP="008B7AE4">
            <w:pPr>
              <w:spacing w:line="220" w:lineRule="exact"/>
              <w:rPr>
                <w:rFonts w:eastAsia="Calibri"/>
                <w:color w:val="000000" w:themeColor="text1"/>
                <w:sz w:val="20"/>
              </w:rPr>
            </w:pPr>
            <w:r w:rsidRPr="008B7AE4">
              <w:rPr>
                <w:rFonts w:eastAsia="Calibri"/>
                <w:color w:val="000000" w:themeColor="text1"/>
                <w:sz w:val="20"/>
              </w:rPr>
              <w:t>---</w:t>
            </w:r>
          </w:p>
        </w:tc>
        <w:tc>
          <w:tcPr>
            <w:tcW w:w="2250" w:type="dxa"/>
            <w:vAlign w:val="center"/>
          </w:tcPr>
          <w:p w:rsidR="00AD5CDB" w:rsidRPr="008B7AE4" w:rsidRDefault="00AD5CDB" w:rsidP="008B7AE4">
            <w:pPr>
              <w:spacing w:line="220" w:lineRule="exact"/>
              <w:rPr>
                <w:sz w:val="20"/>
              </w:rPr>
            </w:pPr>
            <w:r w:rsidRPr="008B7AE4">
              <w:rPr>
                <w:rFonts w:eastAsia="Calibri"/>
                <w:color w:val="000000" w:themeColor="text1"/>
                <w:sz w:val="20"/>
              </w:rPr>
              <w:t>25⁰</w:t>
            </w:r>
          </w:p>
        </w:tc>
      </w:tr>
      <w:tr w:rsidR="00AD5CDB" w:rsidRPr="001F29F9" w:rsidTr="008B7AE4">
        <w:tc>
          <w:tcPr>
            <w:tcW w:w="2034" w:type="dxa"/>
            <w:vAlign w:val="center"/>
          </w:tcPr>
          <w:p w:rsidR="00AD5CDB" w:rsidRPr="008B7AE4" w:rsidRDefault="00AD5CDB" w:rsidP="008B7AE4">
            <w:pPr>
              <w:spacing w:line="220" w:lineRule="exact"/>
              <w:contextualSpacing/>
              <w:rPr>
                <w:rFonts w:eastAsia="Calibri"/>
                <w:color w:val="000000" w:themeColor="text1"/>
                <w:sz w:val="20"/>
              </w:rPr>
            </w:pPr>
            <w:r w:rsidRPr="008B7AE4">
              <w:rPr>
                <w:rFonts w:eastAsia="Calibri"/>
                <w:color w:val="000000" w:themeColor="text1"/>
                <w:sz w:val="20"/>
              </w:rPr>
              <w:t>Adduction (45⁰)</w:t>
            </w:r>
          </w:p>
        </w:tc>
        <w:tc>
          <w:tcPr>
            <w:tcW w:w="1944" w:type="dxa"/>
            <w:vAlign w:val="center"/>
          </w:tcPr>
          <w:p w:rsidR="00AD5CDB" w:rsidRPr="008B7AE4" w:rsidRDefault="00AD5CDB"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28</w:t>
            </w:r>
            <w:r w:rsidRPr="008B7AE4">
              <w:rPr>
                <w:rFonts w:eastAsia="Calibri"/>
                <w:color w:val="000000" w:themeColor="text1"/>
                <w:sz w:val="20"/>
                <w:szCs w:val="20"/>
              </w:rPr>
              <w:t>⁰</w:t>
            </w:r>
          </w:p>
        </w:tc>
        <w:tc>
          <w:tcPr>
            <w:tcW w:w="2250" w:type="dxa"/>
            <w:vAlign w:val="center"/>
          </w:tcPr>
          <w:p w:rsidR="00AD5CDB" w:rsidRPr="008B7AE4" w:rsidRDefault="00CF2BB2" w:rsidP="008B7AE4">
            <w:pPr>
              <w:spacing w:line="220" w:lineRule="exact"/>
              <w:rPr>
                <w:rFonts w:eastAsia="Calibri"/>
                <w:color w:val="000000" w:themeColor="text1"/>
                <w:sz w:val="20"/>
              </w:rPr>
            </w:pPr>
            <w:r w:rsidRPr="008B7AE4">
              <w:rPr>
                <w:rFonts w:eastAsia="Calibri"/>
                <w:color w:val="000000" w:themeColor="text1"/>
                <w:sz w:val="20"/>
              </w:rPr>
              <w:t>---</w:t>
            </w:r>
          </w:p>
        </w:tc>
        <w:tc>
          <w:tcPr>
            <w:tcW w:w="2250" w:type="dxa"/>
            <w:vAlign w:val="center"/>
          </w:tcPr>
          <w:p w:rsidR="00AD5CDB" w:rsidRPr="008B7AE4" w:rsidRDefault="00AD5CDB" w:rsidP="008B7AE4">
            <w:pPr>
              <w:spacing w:line="220" w:lineRule="exact"/>
              <w:rPr>
                <w:sz w:val="20"/>
              </w:rPr>
            </w:pPr>
            <w:r w:rsidRPr="008B7AE4">
              <w:rPr>
                <w:rFonts w:eastAsia="Calibri"/>
                <w:color w:val="000000" w:themeColor="text1"/>
                <w:sz w:val="20"/>
              </w:rPr>
              <w:t>45⁰</w:t>
            </w:r>
          </w:p>
        </w:tc>
      </w:tr>
      <w:tr w:rsidR="00020FDB" w:rsidRPr="001F29F9" w:rsidTr="008B7AE4">
        <w:tc>
          <w:tcPr>
            <w:tcW w:w="2034" w:type="dxa"/>
            <w:vAlign w:val="center"/>
          </w:tcPr>
          <w:p w:rsidR="00020FDB" w:rsidRPr="008B7AE4" w:rsidRDefault="00020FDB" w:rsidP="008B7AE4">
            <w:pPr>
              <w:tabs>
                <w:tab w:val="left" w:pos="288"/>
                <w:tab w:val="left" w:pos="4752"/>
              </w:tabs>
              <w:spacing w:line="220" w:lineRule="exact"/>
              <w:rPr>
                <w:rFonts w:eastAsiaTheme="minorHAnsi"/>
                <w:color w:val="000000" w:themeColor="text1"/>
                <w:sz w:val="20"/>
              </w:rPr>
            </w:pPr>
            <w:r w:rsidRPr="008B7AE4">
              <w:rPr>
                <w:rFonts w:eastAsiaTheme="minorHAnsi"/>
                <w:color w:val="000000" w:themeColor="text1"/>
                <w:sz w:val="20"/>
              </w:rPr>
              <w:t>Comment</w:t>
            </w:r>
          </w:p>
        </w:tc>
        <w:tc>
          <w:tcPr>
            <w:tcW w:w="1944" w:type="dxa"/>
            <w:vAlign w:val="center"/>
          </w:tcPr>
          <w:p w:rsidR="00020FDB" w:rsidRPr="008B7AE4" w:rsidRDefault="008B7AE4" w:rsidP="008B7AE4">
            <w:pPr>
              <w:pStyle w:val="ListParagraph"/>
              <w:spacing w:after="0" w:line="220" w:lineRule="exact"/>
              <w:ind w:left="0"/>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ROM limited by pain; f</w:t>
            </w:r>
            <w:r w:rsidR="00020FDB" w:rsidRPr="008B7AE4">
              <w:rPr>
                <w:rFonts w:ascii="Calibri" w:eastAsia="Calibri" w:hAnsi="Calibri" w:cstheme="minorHAnsi"/>
                <w:color w:val="000000" w:themeColor="text1"/>
                <w:sz w:val="20"/>
                <w:szCs w:val="20"/>
              </w:rPr>
              <w:t>ull passive ROM.</w:t>
            </w:r>
          </w:p>
        </w:tc>
        <w:tc>
          <w:tcPr>
            <w:tcW w:w="2250" w:type="dxa"/>
            <w:vAlign w:val="center"/>
          </w:tcPr>
          <w:p w:rsidR="00020FDB" w:rsidRPr="008B7AE4" w:rsidRDefault="00020FDB"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eastAsia="Calibri"/>
                <w:color w:val="000000" w:themeColor="text1"/>
                <w:sz w:val="20"/>
                <w:szCs w:val="20"/>
              </w:rPr>
              <w:t>Lacks 10-15⁰ in internal and external rotation.</w:t>
            </w:r>
          </w:p>
        </w:tc>
        <w:tc>
          <w:tcPr>
            <w:tcW w:w="2250" w:type="dxa"/>
            <w:vAlign w:val="center"/>
          </w:tcPr>
          <w:p w:rsidR="00020FDB" w:rsidRPr="008B7AE4" w:rsidRDefault="00020FDB"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Normal gait.  DeLuca negative</w:t>
            </w:r>
          </w:p>
        </w:tc>
      </w:tr>
      <w:tr w:rsidR="00020FDB" w:rsidRPr="001F29F9" w:rsidTr="008B7AE4">
        <w:tc>
          <w:tcPr>
            <w:tcW w:w="2034" w:type="dxa"/>
            <w:vAlign w:val="center"/>
          </w:tcPr>
          <w:p w:rsidR="00020FDB" w:rsidRPr="008B7AE4" w:rsidRDefault="00020FDB" w:rsidP="008B7AE4">
            <w:pPr>
              <w:tabs>
                <w:tab w:val="left" w:pos="288"/>
                <w:tab w:val="left" w:pos="4752"/>
              </w:tabs>
              <w:spacing w:line="220" w:lineRule="exact"/>
              <w:rPr>
                <w:rFonts w:eastAsiaTheme="minorHAnsi"/>
                <w:color w:val="000000" w:themeColor="text1"/>
                <w:sz w:val="20"/>
              </w:rPr>
            </w:pPr>
            <w:r w:rsidRPr="008B7AE4">
              <w:rPr>
                <w:rFonts w:eastAsiaTheme="minorHAnsi"/>
                <w:color w:val="000000" w:themeColor="text1"/>
                <w:sz w:val="20"/>
              </w:rPr>
              <w:t>§4.71a Rating</w:t>
            </w:r>
          </w:p>
        </w:tc>
        <w:tc>
          <w:tcPr>
            <w:tcW w:w="1944" w:type="dxa"/>
            <w:vAlign w:val="center"/>
          </w:tcPr>
          <w:p w:rsidR="00020FDB" w:rsidRPr="008B7AE4" w:rsidRDefault="00020FDB"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20%</w:t>
            </w:r>
          </w:p>
        </w:tc>
        <w:tc>
          <w:tcPr>
            <w:tcW w:w="2250" w:type="dxa"/>
            <w:vAlign w:val="center"/>
          </w:tcPr>
          <w:p w:rsidR="00020FDB" w:rsidRPr="008B7AE4" w:rsidRDefault="00020FDB"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10%*</w:t>
            </w:r>
          </w:p>
        </w:tc>
        <w:tc>
          <w:tcPr>
            <w:tcW w:w="2250" w:type="dxa"/>
            <w:vAlign w:val="center"/>
          </w:tcPr>
          <w:p w:rsidR="00020FDB" w:rsidRPr="008B7AE4" w:rsidRDefault="00544DCA"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1</w:t>
            </w:r>
            <w:r w:rsidR="00020FDB" w:rsidRPr="008B7AE4">
              <w:rPr>
                <w:rFonts w:ascii="Calibri" w:eastAsia="Calibri" w:hAnsi="Calibri" w:cstheme="minorHAnsi"/>
                <w:color w:val="000000" w:themeColor="text1"/>
                <w:sz w:val="20"/>
                <w:szCs w:val="20"/>
              </w:rPr>
              <w:t>0%*</w:t>
            </w:r>
          </w:p>
        </w:tc>
      </w:tr>
    </w:tbl>
    <w:p w:rsidR="00020FDB" w:rsidRPr="00FA4064" w:rsidRDefault="00FA4064" w:rsidP="00020FDB">
      <w:pPr>
        <w:tabs>
          <w:tab w:val="left" w:pos="5040"/>
        </w:tabs>
        <w:jc w:val="left"/>
        <w:rPr>
          <w:rFonts w:asciiTheme="minorHAnsi" w:hAnsiTheme="minorHAnsi" w:cs="Times New Roman"/>
          <w:color w:val="auto"/>
          <w:sz w:val="20"/>
        </w:rPr>
      </w:pPr>
      <w:r>
        <w:rPr>
          <w:rFonts w:cs="Times New Roman"/>
          <w:color w:val="auto"/>
          <w:sz w:val="20"/>
        </w:rPr>
        <w:tab/>
      </w:r>
      <w:r w:rsidR="00020FDB" w:rsidRPr="00FA4064">
        <w:rPr>
          <w:rFonts w:cs="Times New Roman"/>
          <w:color w:val="auto"/>
          <w:sz w:val="20"/>
        </w:rPr>
        <w:t xml:space="preserve">* Conceding </w:t>
      </w:r>
      <w:r w:rsidR="00020FDB" w:rsidRPr="00FA4064">
        <w:rPr>
          <w:rFonts w:asciiTheme="minorHAnsi" w:hAnsiTheme="minorHAnsi" w:cs="Times New Roman"/>
          <w:color w:val="auto"/>
          <w:sz w:val="20"/>
        </w:rPr>
        <w:t>§4.59 (painful motion) as below.</w:t>
      </w:r>
    </w:p>
    <w:p w:rsidR="00330D69" w:rsidRDefault="00330D69" w:rsidP="00330D69">
      <w:pPr>
        <w:jc w:val="left"/>
        <w:rPr>
          <w:color w:val="000000" w:themeColor="text1"/>
          <w:szCs w:val="24"/>
        </w:rPr>
      </w:pPr>
    </w:p>
    <w:p w:rsidR="009B2CE5" w:rsidRDefault="00544DCA" w:rsidP="00DB0D30">
      <w:pPr>
        <w:tabs>
          <w:tab w:val="left" w:pos="288"/>
          <w:tab w:val="left" w:pos="4752"/>
        </w:tabs>
        <w:jc w:val="both"/>
        <w:rPr>
          <w:color w:val="000000" w:themeColor="text1"/>
          <w:szCs w:val="24"/>
        </w:rPr>
      </w:pPr>
      <w:r>
        <w:rPr>
          <w:color w:val="000000" w:themeColor="text1"/>
          <w:szCs w:val="24"/>
        </w:rPr>
        <w:t>Orthopedic clinic notes over a period of several months leading up to the MEB consistently showed a full ROM in f</w:t>
      </w:r>
      <w:r w:rsidR="0096451C">
        <w:rPr>
          <w:color w:val="000000" w:themeColor="text1"/>
          <w:szCs w:val="24"/>
        </w:rPr>
        <w:t>lexion, abduction, and internal/</w:t>
      </w:r>
      <w:r>
        <w:rPr>
          <w:color w:val="000000" w:themeColor="text1"/>
          <w:szCs w:val="24"/>
        </w:rPr>
        <w:t>exte</w:t>
      </w:r>
      <w:r w:rsidR="00784A86">
        <w:rPr>
          <w:color w:val="000000" w:themeColor="text1"/>
          <w:szCs w:val="24"/>
        </w:rPr>
        <w:t xml:space="preserve">rnal rotation, with mild pain </w:t>
      </w:r>
      <w:r>
        <w:rPr>
          <w:color w:val="000000" w:themeColor="text1"/>
          <w:szCs w:val="24"/>
        </w:rPr>
        <w:t xml:space="preserve">on abduction.  The MEB general physical exam </w:t>
      </w:r>
      <w:r w:rsidR="00330545">
        <w:rPr>
          <w:color w:val="000000" w:themeColor="text1"/>
          <w:szCs w:val="24"/>
        </w:rPr>
        <w:t>(</w:t>
      </w:r>
      <w:r w:rsidR="00754A60">
        <w:rPr>
          <w:color w:val="000000" w:themeColor="text1"/>
          <w:szCs w:val="24"/>
        </w:rPr>
        <w:t>seven</w:t>
      </w:r>
      <w:r>
        <w:rPr>
          <w:color w:val="000000" w:themeColor="text1"/>
          <w:szCs w:val="24"/>
        </w:rPr>
        <w:t xml:space="preserve"> </w:t>
      </w:r>
      <w:r w:rsidR="00330545">
        <w:rPr>
          <w:color w:val="000000" w:themeColor="text1"/>
          <w:szCs w:val="24"/>
        </w:rPr>
        <w:t>months pre-</w:t>
      </w:r>
      <w:r>
        <w:rPr>
          <w:color w:val="000000" w:themeColor="text1"/>
          <w:szCs w:val="24"/>
        </w:rPr>
        <w:t>separation</w:t>
      </w:r>
      <w:r w:rsidR="00330545">
        <w:rPr>
          <w:color w:val="000000" w:themeColor="text1"/>
          <w:szCs w:val="24"/>
        </w:rPr>
        <w:t>)</w:t>
      </w:r>
      <w:r>
        <w:rPr>
          <w:color w:val="000000" w:themeColor="text1"/>
          <w:szCs w:val="24"/>
        </w:rPr>
        <w:t xml:space="preserve"> also noted a full ROM of the right hip.</w:t>
      </w:r>
      <w:r w:rsidR="007D40D4">
        <w:rPr>
          <w:color w:val="000000" w:themeColor="text1"/>
          <w:szCs w:val="24"/>
        </w:rPr>
        <w:t xml:space="preserve">  In the narrative summary (NARSUM) the examiner noted point tenderness over the right greater trochanter</w:t>
      </w:r>
      <w:r w:rsidR="00330545">
        <w:rPr>
          <w:color w:val="000000" w:themeColor="text1"/>
          <w:szCs w:val="24"/>
        </w:rPr>
        <w:t xml:space="preserve"> (hip prominence)</w:t>
      </w:r>
      <w:r w:rsidR="007D40D4">
        <w:rPr>
          <w:color w:val="000000" w:themeColor="text1"/>
          <w:szCs w:val="24"/>
        </w:rPr>
        <w:t xml:space="preserve">.  Hip ROM lacked </w:t>
      </w:r>
      <w:r w:rsidR="007D40D4" w:rsidRPr="007D40D4">
        <w:rPr>
          <w:color w:val="000000" w:themeColor="text1"/>
          <w:szCs w:val="24"/>
        </w:rPr>
        <w:t>10-15⁰</w:t>
      </w:r>
      <w:r w:rsidR="007D40D4">
        <w:rPr>
          <w:color w:val="000000" w:themeColor="text1"/>
          <w:szCs w:val="24"/>
        </w:rPr>
        <w:t xml:space="preserve"> </w:t>
      </w:r>
      <w:r w:rsidR="001B250F">
        <w:rPr>
          <w:color w:val="000000" w:themeColor="text1"/>
          <w:szCs w:val="24"/>
        </w:rPr>
        <w:t>of complete internal rotation, external rotation</w:t>
      </w:r>
      <w:r w:rsidR="001B250F" w:rsidRPr="001B250F">
        <w:rPr>
          <w:color w:val="000000" w:themeColor="text1"/>
          <w:szCs w:val="24"/>
        </w:rPr>
        <w:t xml:space="preserve"> </w:t>
      </w:r>
      <w:r w:rsidR="001B250F">
        <w:rPr>
          <w:color w:val="000000" w:themeColor="text1"/>
          <w:szCs w:val="24"/>
        </w:rPr>
        <w:t xml:space="preserve">and extension, but was apparently full to flexion.  A physical therapy ROM exam recorded full passive ROM, but markedly restricted active ROM </w:t>
      </w:r>
      <w:r w:rsidR="001B250F">
        <w:rPr>
          <w:color w:val="000000" w:themeColor="text1"/>
          <w:szCs w:val="24"/>
        </w:rPr>
        <w:lastRenderedPageBreak/>
        <w:t>measur</w:t>
      </w:r>
      <w:r w:rsidR="00330545">
        <w:rPr>
          <w:color w:val="000000" w:themeColor="text1"/>
          <w:szCs w:val="24"/>
        </w:rPr>
        <w:t>ed to the onset of pain.  The post-</w:t>
      </w:r>
      <w:r w:rsidR="001B250F">
        <w:rPr>
          <w:color w:val="000000" w:themeColor="text1"/>
          <w:szCs w:val="24"/>
        </w:rPr>
        <w:t>separation</w:t>
      </w:r>
      <w:r w:rsidR="00CA01DD">
        <w:rPr>
          <w:color w:val="000000" w:themeColor="text1"/>
          <w:szCs w:val="24"/>
        </w:rPr>
        <w:t xml:space="preserve"> </w:t>
      </w:r>
      <w:r w:rsidR="00CA01DD" w:rsidRPr="003C53E8">
        <w:rPr>
          <w:rFonts w:asciiTheme="minorHAnsi" w:hAnsiTheme="minorHAnsi" w:cs="Times New Roman"/>
          <w:color w:val="auto"/>
          <w:szCs w:val="24"/>
        </w:rPr>
        <w:t>VA Compensation &amp; Pension (C&amp;P) exam</w:t>
      </w:r>
      <w:r w:rsidR="00784A86">
        <w:rPr>
          <w:rFonts w:asciiTheme="minorHAnsi" w:hAnsiTheme="minorHAnsi" w:cs="Times New Roman"/>
          <w:color w:val="auto"/>
          <w:szCs w:val="24"/>
        </w:rPr>
        <w:t xml:space="preserve"> recorded a normal gait</w:t>
      </w:r>
      <w:r w:rsidR="00CA01DD">
        <w:rPr>
          <w:rFonts w:asciiTheme="minorHAnsi" w:hAnsiTheme="minorHAnsi" w:cs="Times New Roman"/>
          <w:color w:val="auto"/>
          <w:szCs w:val="24"/>
        </w:rPr>
        <w:t xml:space="preserve"> and a normal motor exam of the lower extremities without muscle atrophy.  ROM was normal in all planes except abduction</w:t>
      </w:r>
      <w:r w:rsidR="00784A86">
        <w:rPr>
          <w:rFonts w:asciiTheme="minorHAnsi" w:hAnsiTheme="minorHAnsi" w:cs="Times New Roman"/>
          <w:color w:val="auto"/>
          <w:szCs w:val="24"/>
        </w:rPr>
        <w:t xml:space="preserve"> (</w:t>
      </w:r>
      <w:r w:rsidR="00CA01DD">
        <w:rPr>
          <w:rFonts w:asciiTheme="minorHAnsi" w:hAnsiTheme="minorHAnsi" w:cs="Times New Roman"/>
          <w:color w:val="auto"/>
          <w:szCs w:val="24"/>
        </w:rPr>
        <w:t xml:space="preserve">where motion was restricted to </w:t>
      </w:r>
      <w:r w:rsidR="00CA01DD">
        <w:rPr>
          <w:color w:val="000000" w:themeColor="text1"/>
          <w:szCs w:val="24"/>
        </w:rPr>
        <w:t>2</w:t>
      </w:r>
      <w:r w:rsidR="00CA01DD" w:rsidRPr="007D40D4">
        <w:rPr>
          <w:color w:val="000000" w:themeColor="text1"/>
          <w:szCs w:val="24"/>
        </w:rPr>
        <w:t>5⁰</w:t>
      </w:r>
      <w:r w:rsidR="00784A86">
        <w:rPr>
          <w:color w:val="000000" w:themeColor="text1"/>
          <w:szCs w:val="24"/>
        </w:rPr>
        <w:t>)</w:t>
      </w:r>
      <w:r w:rsidR="00CA01DD">
        <w:rPr>
          <w:color w:val="000000" w:themeColor="text1"/>
          <w:szCs w:val="24"/>
        </w:rPr>
        <w:t xml:space="preserve"> with pain noted on palpation of the trochanteric bursa.  There was no additional loss of motion with repetitions.</w:t>
      </w:r>
      <w:r w:rsidR="009B2CE5">
        <w:rPr>
          <w:color w:val="000000" w:themeColor="text1"/>
          <w:szCs w:val="24"/>
        </w:rPr>
        <w:t xml:space="preserve">  </w:t>
      </w:r>
      <w:r w:rsidR="00784A86">
        <w:rPr>
          <w:color w:val="000000" w:themeColor="text1"/>
          <w:szCs w:val="24"/>
        </w:rPr>
        <w:t>Additional</w:t>
      </w:r>
      <w:r w:rsidR="00330545">
        <w:rPr>
          <w:color w:val="000000" w:themeColor="text1"/>
          <w:szCs w:val="24"/>
        </w:rPr>
        <w:t xml:space="preserve"> </w:t>
      </w:r>
      <w:r w:rsidR="009B2CE5">
        <w:rPr>
          <w:color w:val="000000" w:themeColor="text1"/>
          <w:szCs w:val="24"/>
        </w:rPr>
        <w:t xml:space="preserve">imaging </w:t>
      </w:r>
      <w:r w:rsidR="00330545">
        <w:rPr>
          <w:color w:val="000000" w:themeColor="text1"/>
          <w:szCs w:val="24"/>
        </w:rPr>
        <w:t xml:space="preserve">and radionuclide </w:t>
      </w:r>
      <w:r w:rsidR="009B2CE5">
        <w:rPr>
          <w:color w:val="000000" w:themeColor="text1"/>
          <w:szCs w:val="24"/>
        </w:rPr>
        <w:t>studies</w:t>
      </w:r>
      <w:r w:rsidR="009614B8">
        <w:rPr>
          <w:color w:val="000000" w:themeColor="text1"/>
          <w:szCs w:val="24"/>
        </w:rPr>
        <w:t xml:space="preserve"> were performed </w:t>
      </w:r>
      <w:r w:rsidR="00784A86">
        <w:rPr>
          <w:color w:val="000000" w:themeColor="text1"/>
          <w:szCs w:val="24"/>
        </w:rPr>
        <w:t xml:space="preserve">by the VA </w:t>
      </w:r>
      <w:r w:rsidR="009614B8">
        <w:rPr>
          <w:color w:val="000000" w:themeColor="text1"/>
          <w:szCs w:val="24"/>
        </w:rPr>
        <w:t>soon after separation</w:t>
      </w:r>
      <w:r w:rsidR="00784A86">
        <w:rPr>
          <w:color w:val="000000" w:themeColor="text1"/>
          <w:szCs w:val="24"/>
        </w:rPr>
        <w:t>,</w:t>
      </w:r>
      <w:r w:rsidR="009614B8">
        <w:rPr>
          <w:color w:val="000000" w:themeColor="text1"/>
          <w:szCs w:val="24"/>
        </w:rPr>
        <w:t xml:space="preserve"> which also </w:t>
      </w:r>
      <w:r w:rsidR="009B2CE5">
        <w:rPr>
          <w:color w:val="000000" w:themeColor="text1"/>
          <w:szCs w:val="24"/>
        </w:rPr>
        <w:t>revealed no abno</w:t>
      </w:r>
      <w:r w:rsidR="00784A86">
        <w:rPr>
          <w:color w:val="000000" w:themeColor="text1"/>
          <w:szCs w:val="24"/>
        </w:rPr>
        <w:t>rmalities of the bones or joint;</w:t>
      </w:r>
      <w:r w:rsidR="009B2CE5">
        <w:rPr>
          <w:color w:val="000000" w:themeColor="text1"/>
          <w:szCs w:val="24"/>
        </w:rPr>
        <w:t xml:space="preserve"> but</w:t>
      </w:r>
      <w:r w:rsidR="00784A86">
        <w:rPr>
          <w:color w:val="000000" w:themeColor="text1"/>
          <w:szCs w:val="24"/>
        </w:rPr>
        <w:t>,</w:t>
      </w:r>
      <w:r w:rsidR="009B2CE5">
        <w:rPr>
          <w:color w:val="000000" w:themeColor="text1"/>
          <w:szCs w:val="24"/>
        </w:rPr>
        <w:t xml:space="preserve"> were suggestive of mild trochanteric bursitis of the right hip.  </w:t>
      </w:r>
    </w:p>
    <w:p w:rsidR="009B2CE5" w:rsidRDefault="009B2CE5" w:rsidP="00CA01DD">
      <w:pPr>
        <w:tabs>
          <w:tab w:val="left" w:pos="288"/>
          <w:tab w:val="left" w:pos="4752"/>
        </w:tabs>
        <w:jc w:val="left"/>
        <w:rPr>
          <w:color w:val="000000" w:themeColor="text1"/>
          <w:szCs w:val="24"/>
        </w:rPr>
      </w:pPr>
    </w:p>
    <w:p w:rsidR="00C56E40" w:rsidRPr="003C53E8" w:rsidRDefault="009B2CE5" w:rsidP="00DB0D30">
      <w:pPr>
        <w:jc w:val="both"/>
        <w:rPr>
          <w:rFonts w:asciiTheme="minorHAnsi" w:hAnsiTheme="minorHAnsi" w:cs="Times New Roman"/>
          <w:color w:val="auto"/>
          <w:szCs w:val="24"/>
        </w:rPr>
      </w:pPr>
      <w:r>
        <w:rPr>
          <w:color w:val="000000" w:themeColor="text1"/>
          <w:szCs w:val="24"/>
        </w:rPr>
        <w:t>The Board first considered the probative value of the data presented</w:t>
      </w:r>
      <w:r w:rsidR="00784A86">
        <w:rPr>
          <w:color w:val="000000" w:themeColor="text1"/>
          <w:szCs w:val="24"/>
        </w:rPr>
        <w:t xml:space="preserve"> above</w:t>
      </w:r>
      <w:r>
        <w:rPr>
          <w:color w:val="000000" w:themeColor="text1"/>
          <w:szCs w:val="24"/>
        </w:rPr>
        <w:t xml:space="preserve">.  </w:t>
      </w:r>
      <w:r w:rsidR="005270C1">
        <w:rPr>
          <w:color w:val="000000" w:themeColor="text1"/>
          <w:szCs w:val="24"/>
        </w:rPr>
        <w:t xml:space="preserve">The physical therapy </w:t>
      </w:r>
      <w:r w:rsidR="00DB0D30">
        <w:rPr>
          <w:color w:val="000000" w:themeColor="text1"/>
          <w:szCs w:val="24"/>
        </w:rPr>
        <w:t xml:space="preserve">exam </w:t>
      </w:r>
      <w:r w:rsidR="005270C1">
        <w:rPr>
          <w:color w:val="000000" w:themeColor="text1"/>
          <w:szCs w:val="24"/>
        </w:rPr>
        <w:t xml:space="preserve">data was the clear outlier.  These ROM measurements were markedly worse than any other data in evidence, and quite inconsistent with the minimal underlying pathology.  The </w:t>
      </w:r>
      <w:r w:rsidR="00784A86">
        <w:rPr>
          <w:color w:val="000000" w:themeColor="text1"/>
          <w:szCs w:val="24"/>
        </w:rPr>
        <w:t xml:space="preserve">PT </w:t>
      </w:r>
      <w:r w:rsidR="005270C1">
        <w:rPr>
          <w:color w:val="000000" w:themeColor="text1"/>
          <w:szCs w:val="24"/>
        </w:rPr>
        <w:t xml:space="preserve">exam technique of recording motion only to the onset of pain is not VASRD compliant.  The Board therefore placed little probative value on this exam.  The VA C&amp;P exam was the only complete, fully VASRD compliant exam in evidence.  This exam was also most proximate to separation, and reflected findings consistent with the totality of evidence.  This exam, therefore, weighed heavily in the Board’s rating recommendation.  </w:t>
      </w:r>
      <w:r w:rsidR="00CA01DD" w:rsidRPr="003C53E8">
        <w:rPr>
          <w:rFonts w:asciiTheme="minorHAnsi" w:hAnsiTheme="minorHAnsi" w:cs="Times New Roman"/>
          <w:color w:val="auto"/>
          <w:szCs w:val="24"/>
        </w:rPr>
        <w:t>The PEB and VA chose different coding options for the condition, but this did not bear on rating</w:t>
      </w:r>
      <w:r w:rsidR="00CA01DD" w:rsidRPr="009B2CE5">
        <w:rPr>
          <w:rFonts w:asciiTheme="minorHAnsi" w:hAnsiTheme="minorHAnsi" w:cs="Times New Roman"/>
          <w:color w:val="auto"/>
          <w:szCs w:val="24"/>
        </w:rPr>
        <w:t>.  The PEB’s DA Form 199 reflected application of the USAPDA p</w:t>
      </w:r>
      <w:r w:rsidRPr="009B2CE5">
        <w:rPr>
          <w:rFonts w:asciiTheme="minorHAnsi" w:hAnsiTheme="minorHAnsi" w:cs="Times New Roman"/>
          <w:color w:val="auto"/>
          <w:szCs w:val="24"/>
        </w:rPr>
        <w:t xml:space="preserve">ain policy for rating, and its </w:t>
      </w:r>
      <w:r w:rsidR="00CA01DD" w:rsidRPr="009B2CE5">
        <w:rPr>
          <w:rFonts w:asciiTheme="minorHAnsi" w:hAnsiTheme="minorHAnsi" w:cs="Times New Roman"/>
          <w:color w:val="auto"/>
          <w:szCs w:val="24"/>
        </w:rPr>
        <w:t>0% determination was</w:t>
      </w:r>
      <w:r w:rsidRPr="009B2CE5">
        <w:rPr>
          <w:rFonts w:asciiTheme="minorHAnsi" w:hAnsiTheme="minorHAnsi" w:cs="Times New Roman"/>
          <w:color w:val="auto"/>
          <w:szCs w:val="24"/>
        </w:rPr>
        <w:t xml:space="preserve"> not</w:t>
      </w:r>
      <w:r w:rsidR="00CA01DD" w:rsidRPr="009B2CE5">
        <w:rPr>
          <w:rFonts w:asciiTheme="minorHAnsi" w:hAnsiTheme="minorHAnsi" w:cs="Times New Roman"/>
          <w:color w:val="auto"/>
          <w:szCs w:val="24"/>
        </w:rPr>
        <w:t xml:space="preserve"> consistent with §4.71a standards.</w:t>
      </w:r>
      <w:r w:rsidR="005270C1">
        <w:rPr>
          <w:rFonts w:asciiTheme="minorHAnsi" w:hAnsiTheme="minorHAnsi" w:cs="Times New Roman"/>
          <w:color w:val="auto"/>
          <w:szCs w:val="24"/>
        </w:rPr>
        <w:t xml:space="preserve">  </w:t>
      </w:r>
      <w:r w:rsidR="00DB0D30">
        <w:rPr>
          <w:rFonts w:asciiTheme="minorHAnsi" w:hAnsiTheme="minorHAnsi" w:cs="Times New Roman"/>
          <w:color w:val="auto"/>
          <w:szCs w:val="24"/>
        </w:rPr>
        <w:t>Following a detailed discussion of the evidence, t</w:t>
      </w:r>
      <w:r w:rsidR="00C56E40">
        <w:rPr>
          <w:rFonts w:asciiTheme="minorHAnsi" w:hAnsiTheme="minorHAnsi" w:cs="Times New Roman"/>
          <w:color w:val="auto"/>
          <w:szCs w:val="24"/>
        </w:rPr>
        <w:t>he Board conclud</w:t>
      </w:r>
      <w:r w:rsidR="009614B8">
        <w:rPr>
          <w:rFonts w:asciiTheme="minorHAnsi" w:hAnsiTheme="minorHAnsi" w:cs="Times New Roman"/>
          <w:color w:val="auto"/>
          <w:szCs w:val="24"/>
        </w:rPr>
        <w:t xml:space="preserve">ed that the </w:t>
      </w:r>
      <w:r w:rsidR="00C56E40">
        <w:rPr>
          <w:rFonts w:asciiTheme="minorHAnsi" w:hAnsiTheme="minorHAnsi" w:cs="Times New Roman"/>
          <w:color w:val="auto"/>
          <w:szCs w:val="24"/>
        </w:rPr>
        <w:t xml:space="preserve">bursitis condition </w:t>
      </w:r>
      <w:r w:rsidR="009614B8">
        <w:rPr>
          <w:rFonts w:asciiTheme="minorHAnsi" w:hAnsiTheme="minorHAnsi" w:cs="Times New Roman"/>
          <w:color w:val="auto"/>
          <w:szCs w:val="24"/>
        </w:rPr>
        <w:t>(</w:t>
      </w:r>
      <w:r w:rsidR="00784A86">
        <w:rPr>
          <w:rFonts w:asciiTheme="minorHAnsi" w:hAnsiTheme="minorHAnsi" w:cs="Times New Roman"/>
          <w:color w:val="auto"/>
          <w:szCs w:val="24"/>
        </w:rPr>
        <w:t>which</w:t>
      </w:r>
      <w:r w:rsidR="009614B8">
        <w:rPr>
          <w:rFonts w:asciiTheme="minorHAnsi" w:hAnsiTheme="minorHAnsi" w:cs="Times New Roman"/>
          <w:color w:val="auto"/>
          <w:szCs w:val="24"/>
        </w:rPr>
        <w:t xml:space="preserve"> </w:t>
      </w:r>
      <w:r w:rsidR="00784A86">
        <w:rPr>
          <w:rFonts w:asciiTheme="minorHAnsi" w:hAnsiTheme="minorHAnsi" w:cs="Times New Roman"/>
          <w:color w:val="auto"/>
          <w:szCs w:val="24"/>
        </w:rPr>
        <w:t xml:space="preserve">was </w:t>
      </w:r>
      <w:r w:rsidR="009614B8">
        <w:rPr>
          <w:rFonts w:asciiTheme="minorHAnsi" w:hAnsiTheme="minorHAnsi" w:cs="Times New Roman"/>
          <w:color w:val="auto"/>
          <w:szCs w:val="24"/>
        </w:rPr>
        <w:t>the appropriate diagnosis</w:t>
      </w:r>
      <w:r w:rsidR="00784A86">
        <w:rPr>
          <w:rFonts w:asciiTheme="minorHAnsi" w:hAnsiTheme="minorHAnsi" w:cs="Times New Roman"/>
          <w:color w:val="auto"/>
          <w:szCs w:val="24"/>
        </w:rPr>
        <w:t xml:space="preserve"> at separation</w:t>
      </w:r>
      <w:r w:rsidR="009614B8">
        <w:rPr>
          <w:rFonts w:asciiTheme="minorHAnsi" w:hAnsiTheme="minorHAnsi" w:cs="Times New Roman"/>
          <w:color w:val="auto"/>
          <w:szCs w:val="24"/>
        </w:rPr>
        <w:t xml:space="preserve">) </w:t>
      </w:r>
      <w:r w:rsidR="00C56E40">
        <w:rPr>
          <w:rFonts w:asciiTheme="minorHAnsi" w:hAnsiTheme="minorHAnsi" w:cs="Times New Roman"/>
          <w:color w:val="auto"/>
          <w:szCs w:val="24"/>
        </w:rPr>
        <w:t>caused a modest, non-compensable loss of ROM</w:t>
      </w:r>
      <w:r w:rsidR="00C56E40" w:rsidRPr="00C56E40">
        <w:rPr>
          <w:rFonts w:asciiTheme="minorHAnsi" w:hAnsiTheme="minorHAnsi" w:cs="Times New Roman"/>
          <w:color w:val="auto"/>
          <w:szCs w:val="24"/>
        </w:rPr>
        <w:t xml:space="preserve"> </w:t>
      </w:r>
      <w:r w:rsidR="009614B8">
        <w:rPr>
          <w:rFonts w:asciiTheme="minorHAnsi" w:hAnsiTheme="minorHAnsi" w:cs="Times New Roman"/>
          <w:color w:val="auto"/>
          <w:szCs w:val="24"/>
        </w:rPr>
        <w:t>of the CI’s right hip;</w:t>
      </w:r>
      <w:r w:rsidR="00C56E40">
        <w:rPr>
          <w:rFonts w:asciiTheme="minorHAnsi" w:hAnsiTheme="minorHAnsi" w:cs="Times New Roman"/>
          <w:color w:val="auto"/>
          <w:szCs w:val="24"/>
        </w:rPr>
        <w:t xml:space="preserve"> but</w:t>
      </w:r>
      <w:r w:rsidR="009614B8">
        <w:rPr>
          <w:rFonts w:asciiTheme="minorHAnsi" w:hAnsiTheme="minorHAnsi" w:cs="Times New Roman"/>
          <w:color w:val="auto"/>
          <w:szCs w:val="24"/>
        </w:rPr>
        <w:t>,</w:t>
      </w:r>
      <w:r w:rsidR="00C56E40">
        <w:rPr>
          <w:rFonts w:asciiTheme="minorHAnsi" w:hAnsiTheme="minorHAnsi" w:cs="Times New Roman"/>
          <w:color w:val="auto"/>
          <w:szCs w:val="24"/>
        </w:rPr>
        <w:t xml:space="preserve"> that </w:t>
      </w:r>
      <w:r w:rsidR="00C56E40" w:rsidRPr="009614B8">
        <w:rPr>
          <w:rFonts w:asciiTheme="minorHAnsi" w:hAnsiTheme="minorHAnsi" w:cs="Times New Roman"/>
          <w:color w:val="auto"/>
          <w:szCs w:val="24"/>
        </w:rPr>
        <w:t xml:space="preserve">there was ample evidence to support application of §4.59 (painful motion) to achieve a minimal compensable rating under the 5019 </w:t>
      </w:r>
      <w:r w:rsidR="009825E3">
        <w:rPr>
          <w:rFonts w:asciiTheme="minorHAnsi" w:hAnsiTheme="minorHAnsi" w:cs="Times New Roman"/>
          <w:color w:val="auto"/>
          <w:szCs w:val="24"/>
        </w:rPr>
        <w:t xml:space="preserve">(bursitis) </w:t>
      </w:r>
      <w:r w:rsidR="00C56E40" w:rsidRPr="009614B8">
        <w:rPr>
          <w:rFonts w:asciiTheme="minorHAnsi" w:hAnsiTheme="minorHAnsi" w:cs="Times New Roman"/>
          <w:color w:val="auto"/>
          <w:szCs w:val="24"/>
        </w:rPr>
        <w:t>code.  After due deliberation, considering all of the evidence and mindful of VASRD §4.3 (reasonable doubt), the Board recommends a separation rating of 10% for the right hip condition.</w:t>
      </w:r>
    </w:p>
    <w:p w:rsidR="00330D69" w:rsidRDefault="00330D69" w:rsidP="00330D69">
      <w:pPr>
        <w:jc w:val="left"/>
        <w:rPr>
          <w:color w:val="000000" w:themeColor="text1"/>
          <w:szCs w:val="24"/>
          <w:u w:val="single"/>
        </w:rPr>
      </w:pPr>
    </w:p>
    <w:p w:rsidR="00330D69" w:rsidRDefault="00330D69" w:rsidP="00DB0D30">
      <w:pPr>
        <w:jc w:val="both"/>
        <w:rPr>
          <w:color w:val="000000" w:themeColor="text1"/>
          <w:szCs w:val="24"/>
        </w:rPr>
      </w:pPr>
      <w:r w:rsidRPr="002F47A3">
        <w:rPr>
          <w:color w:val="000000" w:themeColor="text1"/>
          <w:szCs w:val="24"/>
          <w:u w:val="single"/>
        </w:rPr>
        <w:t>Bilateral Wrist Conditions</w:t>
      </w:r>
      <w:r>
        <w:rPr>
          <w:color w:val="000000" w:themeColor="text1"/>
          <w:szCs w:val="24"/>
        </w:rPr>
        <w:t xml:space="preserve">: </w:t>
      </w:r>
      <w:r w:rsidR="0063654E">
        <w:rPr>
          <w:color w:val="000000" w:themeColor="text1"/>
          <w:szCs w:val="24"/>
        </w:rPr>
        <w:t xml:space="preserve"> The CI developed bilateral ganglion cysts in 2002.  </w:t>
      </w:r>
      <w:r w:rsidR="009825E3">
        <w:rPr>
          <w:color w:val="000000" w:themeColor="text1"/>
          <w:szCs w:val="24"/>
        </w:rPr>
        <w:t>The</w:t>
      </w:r>
      <w:r w:rsidR="0063654E">
        <w:rPr>
          <w:color w:val="000000" w:themeColor="text1"/>
          <w:szCs w:val="24"/>
        </w:rPr>
        <w:t xml:space="preserve"> left cyst </w:t>
      </w:r>
      <w:r w:rsidR="009825E3">
        <w:rPr>
          <w:color w:val="000000" w:themeColor="text1"/>
          <w:szCs w:val="24"/>
        </w:rPr>
        <w:t>was</w:t>
      </w:r>
      <w:r w:rsidR="0063654E">
        <w:rPr>
          <w:color w:val="000000" w:themeColor="text1"/>
          <w:szCs w:val="24"/>
        </w:rPr>
        <w:t xml:space="preserve"> considerably more </w:t>
      </w:r>
      <w:r w:rsidR="009825E3">
        <w:rPr>
          <w:color w:val="000000" w:themeColor="text1"/>
          <w:szCs w:val="24"/>
        </w:rPr>
        <w:t xml:space="preserve">symptomatic and </w:t>
      </w:r>
      <w:r w:rsidR="0063654E">
        <w:rPr>
          <w:color w:val="000000" w:themeColor="text1"/>
          <w:szCs w:val="24"/>
        </w:rPr>
        <w:t>was resected in 2003</w:t>
      </w:r>
      <w:r w:rsidR="009825E3">
        <w:rPr>
          <w:color w:val="000000" w:themeColor="text1"/>
          <w:szCs w:val="24"/>
        </w:rPr>
        <w:t>,</w:t>
      </w:r>
      <w:r w:rsidR="0063654E">
        <w:rPr>
          <w:color w:val="000000" w:themeColor="text1"/>
          <w:szCs w:val="24"/>
        </w:rPr>
        <w:t xml:space="preserve"> with resolution of symptoms until </w:t>
      </w:r>
      <w:r w:rsidR="00D85F24">
        <w:rPr>
          <w:color w:val="000000" w:themeColor="text1"/>
          <w:szCs w:val="24"/>
        </w:rPr>
        <w:t xml:space="preserve">about </w:t>
      </w:r>
      <w:r w:rsidR="00754A60">
        <w:rPr>
          <w:color w:val="000000" w:themeColor="text1"/>
          <w:szCs w:val="24"/>
        </w:rPr>
        <w:t xml:space="preserve">six </w:t>
      </w:r>
      <w:r w:rsidR="00D85F24">
        <w:rPr>
          <w:color w:val="000000" w:themeColor="text1"/>
          <w:szCs w:val="24"/>
        </w:rPr>
        <w:t>months prior to initiation of the MEB</w:t>
      </w:r>
      <w:r w:rsidR="009825E3">
        <w:rPr>
          <w:color w:val="000000" w:themeColor="text1"/>
          <w:szCs w:val="24"/>
        </w:rPr>
        <w:t>.</w:t>
      </w:r>
      <w:r w:rsidR="00237A8E">
        <w:rPr>
          <w:color w:val="000000" w:themeColor="text1"/>
          <w:szCs w:val="24"/>
        </w:rPr>
        <w:t xml:space="preserve"> </w:t>
      </w:r>
      <w:r w:rsidR="00D85F24">
        <w:rPr>
          <w:color w:val="000000" w:themeColor="text1"/>
          <w:szCs w:val="24"/>
        </w:rPr>
        <w:t xml:space="preserve"> </w:t>
      </w:r>
      <w:r w:rsidR="00237A8E">
        <w:rPr>
          <w:color w:val="000000" w:themeColor="text1"/>
          <w:szCs w:val="24"/>
        </w:rPr>
        <w:t>At</w:t>
      </w:r>
      <w:r w:rsidR="00D85F24">
        <w:rPr>
          <w:color w:val="000000" w:themeColor="text1"/>
          <w:szCs w:val="24"/>
        </w:rPr>
        <w:t xml:space="preserve"> </w:t>
      </w:r>
      <w:r w:rsidR="00237A8E">
        <w:rPr>
          <w:color w:val="000000" w:themeColor="text1"/>
          <w:szCs w:val="24"/>
        </w:rPr>
        <w:t xml:space="preserve">that time, the CI </w:t>
      </w:r>
      <w:r w:rsidR="00D85F24">
        <w:rPr>
          <w:color w:val="000000" w:themeColor="text1"/>
          <w:szCs w:val="24"/>
        </w:rPr>
        <w:t>reported that both wrists hurt a</w:t>
      </w:r>
      <w:r w:rsidR="00237A8E">
        <w:rPr>
          <w:color w:val="000000" w:themeColor="text1"/>
          <w:szCs w:val="24"/>
        </w:rPr>
        <w:t>bout three days per week;</w:t>
      </w:r>
      <w:r w:rsidR="00D85F24">
        <w:rPr>
          <w:color w:val="000000" w:themeColor="text1"/>
          <w:szCs w:val="24"/>
        </w:rPr>
        <w:t xml:space="preserve"> with </w:t>
      </w:r>
      <w:r w:rsidR="00237A8E">
        <w:rPr>
          <w:color w:val="000000" w:themeColor="text1"/>
          <w:szCs w:val="24"/>
        </w:rPr>
        <w:t>predominantly</w:t>
      </w:r>
      <w:r w:rsidR="00D85F24">
        <w:rPr>
          <w:color w:val="000000" w:themeColor="text1"/>
          <w:szCs w:val="24"/>
        </w:rPr>
        <w:t xml:space="preserve"> right wrist </w:t>
      </w:r>
      <w:r w:rsidR="00237A8E">
        <w:rPr>
          <w:color w:val="000000" w:themeColor="text1"/>
          <w:szCs w:val="24"/>
        </w:rPr>
        <w:t>symptoms</w:t>
      </w:r>
      <w:r w:rsidR="00D85F24">
        <w:rPr>
          <w:color w:val="000000" w:themeColor="text1"/>
          <w:szCs w:val="24"/>
        </w:rPr>
        <w:t xml:space="preserve">.  </w:t>
      </w:r>
      <w:r w:rsidR="002170B9">
        <w:rPr>
          <w:color w:val="000000" w:themeColor="text1"/>
          <w:szCs w:val="24"/>
        </w:rPr>
        <w:t>A ganglion cyst was identified in the right wrist, and in</w:t>
      </w:r>
      <w:r w:rsidR="00D85F24">
        <w:rPr>
          <w:color w:val="000000" w:themeColor="text1"/>
          <w:szCs w:val="24"/>
        </w:rPr>
        <w:t xml:space="preserve"> October 2006 (one month after the PEB) the CI underwent surgical resection of the right cyst.  Post</w:t>
      </w:r>
      <w:r w:rsidR="00754A60">
        <w:rPr>
          <w:color w:val="000000" w:themeColor="text1"/>
          <w:szCs w:val="24"/>
        </w:rPr>
        <w:t>-</w:t>
      </w:r>
      <w:r w:rsidR="00D85F24">
        <w:rPr>
          <w:color w:val="000000" w:themeColor="text1"/>
          <w:szCs w:val="24"/>
        </w:rPr>
        <w:t xml:space="preserve">operative notes indicated resolution of symptoms.  </w:t>
      </w:r>
      <w:r>
        <w:rPr>
          <w:color w:val="000000" w:themeColor="text1"/>
          <w:szCs w:val="24"/>
        </w:rPr>
        <w:t xml:space="preserve">There </w:t>
      </w:r>
      <w:r w:rsidR="00691D3A">
        <w:rPr>
          <w:color w:val="000000" w:themeColor="text1"/>
          <w:szCs w:val="24"/>
        </w:rPr>
        <w:t>was</w:t>
      </w:r>
      <w:r>
        <w:rPr>
          <w:color w:val="000000" w:themeColor="text1"/>
          <w:szCs w:val="24"/>
        </w:rPr>
        <w:t xml:space="preserve"> </w:t>
      </w:r>
      <w:r w:rsidR="00D85F24">
        <w:rPr>
          <w:color w:val="000000" w:themeColor="text1"/>
          <w:szCs w:val="24"/>
        </w:rPr>
        <w:t>one</w:t>
      </w:r>
      <w:r w:rsidRPr="002F47A3">
        <w:rPr>
          <w:color w:val="000000" w:themeColor="text1"/>
          <w:szCs w:val="24"/>
        </w:rPr>
        <w:t xml:space="preserve"> goniometric</w:t>
      </w:r>
      <w:r w:rsidR="00D85F24">
        <w:rPr>
          <w:color w:val="000000" w:themeColor="text1"/>
          <w:szCs w:val="24"/>
        </w:rPr>
        <w:t xml:space="preserve"> and one non-goniometric</w:t>
      </w:r>
      <w:r w:rsidRPr="002F47A3">
        <w:rPr>
          <w:color w:val="000000" w:themeColor="text1"/>
          <w:szCs w:val="24"/>
        </w:rPr>
        <w:t xml:space="preserve"> </w:t>
      </w:r>
      <w:r w:rsidR="00D85F24">
        <w:rPr>
          <w:color w:val="000000" w:themeColor="text1"/>
          <w:szCs w:val="24"/>
        </w:rPr>
        <w:t>ROM evaluation</w:t>
      </w:r>
      <w:r w:rsidRPr="002F47A3">
        <w:rPr>
          <w:color w:val="000000" w:themeColor="text1"/>
          <w:szCs w:val="24"/>
        </w:rPr>
        <w:t xml:space="preserve"> in evidence, with documentation of additional ratable criteria, which the Board weighed in arriving at its rating recommendation.</w:t>
      </w:r>
      <w:r w:rsidR="00237A8E">
        <w:rPr>
          <w:color w:val="000000" w:themeColor="text1"/>
          <w:szCs w:val="24"/>
        </w:rPr>
        <w:t xml:space="preserve">  These are summarized in the chart below.</w:t>
      </w:r>
    </w:p>
    <w:p w:rsidR="00330D69" w:rsidRDefault="00330D69" w:rsidP="00330D69">
      <w:pPr>
        <w:jc w:val="left"/>
        <w:rPr>
          <w:color w:val="000000" w:themeColor="text1"/>
          <w:szCs w:val="24"/>
        </w:rPr>
      </w:pPr>
    </w:p>
    <w:tbl>
      <w:tblPr>
        <w:tblpPr w:leftFromText="180" w:rightFromText="180" w:vertAnchor="text" w:tblpXSpec="center" w:tblpY="1"/>
        <w:tblOverlap w:val="never"/>
        <w:tblW w:w="7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1350"/>
        <w:gridCol w:w="1080"/>
        <w:gridCol w:w="1170"/>
        <w:gridCol w:w="1170"/>
      </w:tblGrid>
      <w:tr w:rsidR="00C56E40" w:rsidRPr="001F29F9" w:rsidTr="00AB3DEB">
        <w:trPr>
          <w:trHeight w:val="169"/>
        </w:trPr>
        <w:tc>
          <w:tcPr>
            <w:tcW w:w="2790" w:type="dxa"/>
            <w:vMerge w:val="restart"/>
            <w:shd w:val="clear" w:color="auto" w:fill="D9D9D9" w:themeFill="background1" w:themeFillShade="D9"/>
            <w:vAlign w:val="center"/>
          </w:tcPr>
          <w:p w:rsidR="00C56E40" w:rsidRPr="008B7AE4" w:rsidRDefault="00C56E40" w:rsidP="008B7AE4">
            <w:pPr>
              <w:spacing w:line="220" w:lineRule="exact"/>
              <w:contextualSpacing/>
              <w:rPr>
                <w:rFonts w:eastAsia="Calibri"/>
                <w:color w:val="000000" w:themeColor="text1"/>
                <w:sz w:val="20"/>
              </w:rPr>
            </w:pPr>
            <w:r w:rsidRPr="008B7AE4">
              <w:rPr>
                <w:rFonts w:eastAsia="Calibri"/>
                <w:color w:val="000000" w:themeColor="text1"/>
                <w:sz w:val="20"/>
              </w:rPr>
              <w:t>Wrist ROM</w:t>
            </w:r>
          </w:p>
        </w:tc>
        <w:tc>
          <w:tcPr>
            <w:tcW w:w="2430" w:type="dxa"/>
            <w:gridSpan w:val="2"/>
            <w:tcBorders>
              <w:bottom w:val="single" w:sz="4" w:space="0" w:color="auto"/>
            </w:tcBorders>
            <w:shd w:val="clear" w:color="auto" w:fill="D9D9D9" w:themeFill="background1" w:themeFillShade="D9"/>
            <w:vAlign w:val="center"/>
          </w:tcPr>
          <w:p w:rsidR="00C56E40" w:rsidRPr="008B7AE4" w:rsidRDefault="008B7AE4" w:rsidP="008B7AE4">
            <w:pPr>
              <w:spacing w:line="220" w:lineRule="exact"/>
              <w:contextualSpacing/>
              <w:rPr>
                <w:rFonts w:asciiTheme="minorHAnsi" w:eastAsia="Calibri" w:hAnsiTheme="minorHAnsi"/>
                <w:color w:val="000000" w:themeColor="text1"/>
                <w:sz w:val="20"/>
              </w:rPr>
            </w:pPr>
            <w:r>
              <w:rPr>
                <w:rFonts w:asciiTheme="minorHAnsi" w:eastAsia="Calibri" w:hAnsiTheme="minorHAnsi"/>
                <w:color w:val="000000" w:themeColor="text1"/>
                <w:sz w:val="20"/>
              </w:rPr>
              <w:t>MEB ~</w:t>
            </w:r>
            <w:r w:rsidR="0063654E" w:rsidRPr="008B7AE4">
              <w:rPr>
                <w:rFonts w:asciiTheme="minorHAnsi" w:eastAsia="Calibri" w:hAnsiTheme="minorHAnsi"/>
                <w:color w:val="000000" w:themeColor="text1"/>
                <w:sz w:val="20"/>
              </w:rPr>
              <w:t>4</w:t>
            </w:r>
            <w:r w:rsidR="00C56E40" w:rsidRPr="008B7AE4">
              <w:rPr>
                <w:rFonts w:asciiTheme="minorHAnsi" w:eastAsia="Calibri" w:hAnsiTheme="minorHAnsi"/>
                <w:color w:val="000000" w:themeColor="text1"/>
                <w:sz w:val="20"/>
              </w:rPr>
              <w:t xml:space="preserve"> Mo. Pre-Sep</w:t>
            </w:r>
          </w:p>
        </w:tc>
        <w:tc>
          <w:tcPr>
            <w:tcW w:w="2340" w:type="dxa"/>
            <w:gridSpan w:val="2"/>
            <w:tcBorders>
              <w:bottom w:val="single" w:sz="4" w:space="0" w:color="auto"/>
            </w:tcBorders>
            <w:shd w:val="clear" w:color="auto" w:fill="D9D9D9" w:themeFill="background1" w:themeFillShade="D9"/>
            <w:vAlign w:val="center"/>
          </w:tcPr>
          <w:p w:rsidR="00C56E40" w:rsidRPr="008B7AE4" w:rsidRDefault="00C56E40" w:rsidP="00FA4064">
            <w:pPr>
              <w:spacing w:line="220" w:lineRule="exact"/>
              <w:contextualSpacing/>
              <w:rPr>
                <w:rFonts w:asciiTheme="minorHAnsi" w:eastAsiaTheme="minorHAnsi" w:hAnsiTheme="minorHAnsi"/>
                <w:color w:val="000000" w:themeColor="text1"/>
                <w:sz w:val="20"/>
              </w:rPr>
            </w:pPr>
            <w:r w:rsidRPr="008B7AE4">
              <w:rPr>
                <w:rFonts w:asciiTheme="minorHAnsi" w:eastAsia="Calibri" w:hAnsiTheme="minorHAnsi"/>
                <w:color w:val="000000" w:themeColor="text1"/>
                <w:sz w:val="20"/>
              </w:rPr>
              <w:t>VA</w:t>
            </w:r>
            <w:r w:rsidRPr="008B7AE4">
              <w:rPr>
                <w:rFonts w:asciiTheme="minorHAnsi" w:eastAsiaTheme="minorHAnsi" w:hAnsiTheme="minorHAnsi"/>
                <w:color w:val="000000" w:themeColor="text1"/>
                <w:sz w:val="20"/>
              </w:rPr>
              <w:t xml:space="preserve"> C&amp;P </w:t>
            </w:r>
            <w:r w:rsidRPr="008B7AE4">
              <w:rPr>
                <w:rFonts w:asciiTheme="minorHAnsi" w:eastAsia="Calibri" w:hAnsiTheme="minorHAnsi"/>
                <w:color w:val="000000" w:themeColor="text1"/>
                <w:sz w:val="20"/>
              </w:rPr>
              <w:t xml:space="preserve">~ </w:t>
            </w:r>
            <w:r w:rsidR="0063654E" w:rsidRPr="008B7AE4">
              <w:rPr>
                <w:rFonts w:asciiTheme="minorHAnsi" w:eastAsia="Calibri" w:hAnsiTheme="minorHAnsi"/>
                <w:color w:val="000000" w:themeColor="text1"/>
                <w:sz w:val="20"/>
              </w:rPr>
              <w:t>3</w:t>
            </w:r>
            <w:r w:rsidRPr="008B7AE4">
              <w:rPr>
                <w:rFonts w:asciiTheme="minorHAnsi" w:eastAsia="Calibri" w:hAnsiTheme="minorHAnsi"/>
                <w:color w:val="000000" w:themeColor="text1"/>
                <w:sz w:val="20"/>
              </w:rPr>
              <w:t xml:space="preserve"> Mo. </w:t>
            </w:r>
            <w:r w:rsidR="00FA4064">
              <w:rPr>
                <w:rFonts w:asciiTheme="minorHAnsi" w:eastAsia="Calibri" w:hAnsiTheme="minorHAnsi"/>
                <w:color w:val="000000" w:themeColor="text1"/>
                <w:sz w:val="20"/>
              </w:rPr>
              <w:t>Post</w:t>
            </w:r>
            <w:r w:rsidRPr="008B7AE4">
              <w:rPr>
                <w:rFonts w:asciiTheme="minorHAnsi" w:eastAsia="Calibri" w:hAnsiTheme="minorHAnsi"/>
                <w:color w:val="000000" w:themeColor="text1"/>
                <w:sz w:val="20"/>
              </w:rPr>
              <w:t>-Sep</w:t>
            </w:r>
          </w:p>
        </w:tc>
      </w:tr>
      <w:tr w:rsidR="0063654E" w:rsidRPr="001F29F9" w:rsidTr="00AB3DEB">
        <w:trPr>
          <w:trHeight w:val="53"/>
        </w:trPr>
        <w:tc>
          <w:tcPr>
            <w:tcW w:w="2790" w:type="dxa"/>
            <w:vMerge/>
            <w:shd w:val="clear" w:color="auto" w:fill="D9D9D9" w:themeFill="background1" w:themeFillShade="D9"/>
            <w:vAlign w:val="center"/>
          </w:tcPr>
          <w:p w:rsidR="0063654E" w:rsidRPr="008B7AE4" w:rsidRDefault="0063654E" w:rsidP="008B7AE4">
            <w:pPr>
              <w:spacing w:line="220" w:lineRule="exact"/>
              <w:contextualSpacing/>
              <w:rPr>
                <w:rFonts w:eastAsia="Calibri"/>
                <w:color w:val="000000" w:themeColor="text1"/>
                <w:sz w:val="20"/>
              </w:rPr>
            </w:pPr>
          </w:p>
        </w:tc>
        <w:tc>
          <w:tcPr>
            <w:tcW w:w="1350" w:type="dxa"/>
            <w:tcBorders>
              <w:top w:val="single" w:sz="4" w:space="0" w:color="auto"/>
              <w:right w:val="single" w:sz="4" w:space="0" w:color="auto"/>
            </w:tcBorders>
            <w:shd w:val="clear" w:color="auto" w:fill="D9D9D9" w:themeFill="background1" w:themeFillShade="D9"/>
            <w:vAlign w:val="center"/>
          </w:tcPr>
          <w:p w:rsidR="0063654E" w:rsidRPr="008B7AE4" w:rsidRDefault="0063654E" w:rsidP="008B7AE4">
            <w:pPr>
              <w:spacing w:line="220" w:lineRule="exact"/>
              <w:contextualSpacing/>
              <w:rPr>
                <w:rFonts w:asciiTheme="minorHAnsi" w:eastAsia="Calibri" w:hAnsiTheme="minorHAnsi"/>
                <w:color w:val="000000" w:themeColor="text1"/>
                <w:sz w:val="20"/>
              </w:rPr>
            </w:pPr>
            <w:r w:rsidRPr="008B7AE4">
              <w:rPr>
                <w:rFonts w:asciiTheme="minorHAnsi" w:eastAsia="Calibri" w:hAnsiTheme="minorHAnsi"/>
                <w:color w:val="000000" w:themeColor="text1"/>
                <w:sz w:val="20"/>
              </w:rPr>
              <w:t>Left</w:t>
            </w:r>
          </w:p>
        </w:tc>
        <w:tc>
          <w:tcPr>
            <w:tcW w:w="1080" w:type="dxa"/>
            <w:tcBorders>
              <w:top w:val="single" w:sz="4" w:space="0" w:color="auto"/>
              <w:left w:val="single" w:sz="4" w:space="0" w:color="auto"/>
            </w:tcBorders>
            <w:shd w:val="clear" w:color="auto" w:fill="D9D9D9" w:themeFill="background1" w:themeFillShade="D9"/>
            <w:vAlign w:val="center"/>
          </w:tcPr>
          <w:p w:rsidR="0063654E" w:rsidRPr="008B7AE4" w:rsidRDefault="0063654E" w:rsidP="008B7AE4">
            <w:pPr>
              <w:spacing w:line="220" w:lineRule="exact"/>
              <w:contextualSpacing/>
              <w:rPr>
                <w:rFonts w:asciiTheme="minorHAnsi" w:eastAsia="Calibri" w:hAnsiTheme="minorHAnsi"/>
                <w:color w:val="000000" w:themeColor="text1"/>
                <w:sz w:val="20"/>
              </w:rPr>
            </w:pPr>
            <w:r w:rsidRPr="008B7AE4">
              <w:rPr>
                <w:rFonts w:asciiTheme="minorHAnsi" w:eastAsia="Calibri" w:hAnsiTheme="minorHAnsi"/>
                <w:color w:val="000000" w:themeColor="text1"/>
                <w:sz w:val="20"/>
              </w:rPr>
              <w:t>Right</w:t>
            </w:r>
          </w:p>
        </w:tc>
        <w:tc>
          <w:tcPr>
            <w:tcW w:w="1170" w:type="dxa"/>
            <w:tcBorders>
              <w:top w:val="single" w:sz="4" w:space="0" w:color="auto"/>
              <w:right w:val="single" w:sz="4" w:space="0" w:color="auto"/>
            </w:tcBorders>
            <w:shd w:val="clear" w:color="auto" w:fill="D9D9D9" w:themeFill="background1" w:themeFillShade="D9"/>
            <w:vAlign w:val="center"/>
          </w:tcPr>
          <w:p w:rsidR="0063654E" w:rsidRPr="008B7AE4" w:rsidRDefault="0063654E" w:rsidP="008B7AE4">
            <w:pPr>
              <w:spacing w:line="220" w:lineRule="exact"/>
              <w:contextualSpacing/>
              <w:rPr>
                <w:rFonts w:asciiTheme="minorHAnsi" w:eastAsia="Calibri" w:hAnsiTheme="minorHAnsi"/>
                <w:color w:val="000000" w:themeColor="text1"/>
                <w:sz w:val="20"/>
              </w:rPr>
            </w:pPr>
            <w:r w:rsidRPr="008B7AE4">
              <w:rPr>
                <w:rFonts w:asciiTheme="minorHAnsi" w:eastAsia="Calibri" w:hAnsiTheme="minorHAnsi"/>
                <w:color w:val="000000" w:themeColor="text1"/>
                <w:sz w:val="20"/>
              </w:rPr>
              <w:t>Left</w:t>
            </w:r>
          </w:p>
        </w:tc>
        <w:tc>
          <w:tcPr>
            <w:tcW w:w="1170" w:type="dxa"/>
            <w:tcBorders>
              <w:top w:val="single" w:sz="4" w:space="0" w:color="auto"/>
              <w:left w:val="single" w:sz="4" w:space="0" w:color="auto"/>
            </w:tcBorders>
            <w:shd w:val="clear" w:color="auto" w:fill="D9D9D9" w:themeFill="background1" w:themeFillShade="D9"/>
            <w:vAlign w:val="center"/>
          </w:tcPr>
          <w:p w:rsidR="0063654E" w:rsidRPr="008B7AE4" w:rsidRDefault="0063654E" w:rsidP="008B7AE4">
            <w:pPr>
              <w:spacing w:line="220" w:lineRule="exact"/>
              <w:contextualSpacing/>
              <w:rPr>
                <w:rFonts w:asciiTheme="minorHAnsi" w:eastAsia="Calibri" w:hAnsiTheme="minorHAnsi"/>
                <w:color w:val="000000" w:themeColor="text1"/>
                <w:sz w:val="20"/>
              </w:rPr>
            </w:pPr>
            <w:r w:rsidRPr="008B7AE4">
              <w:rPr>
                <w:rFonts w:asciiTheme="minorHAnsi" w:eastAsia="Calibri" w:hAnsiTheme="minorHAnsi"/>
                <w:color w:val="000000" w:themeColor="text1"/>
                <w:sz w:val="20"/>
              </w:rPr>
              <w:t>Right</w:t>
            </w:r>
          </w:p>
        </w:tc>
      </w:tr>
      <w:tr w:rsidR="0063654E" w:rsidRPr="001F29F9" w:rsidTr="00AB3DEB">
        <w:trPr>
          <w:trHeight w:val="124"/>
        </w:trPr>
        <w:tc>
          <w:tcPr>
            <w:tcW w:w="2790" w:type="dxa"/>
            <w:vAlign w:val="center"/>
          </w:tcPr>
          <w:p w:rsidR="0063654E" w:rsidRPr="008B7AE4" w:rsidRDefault="008B7AE4" w:rsidP="008B7AE4">
            <w:pPr>
              <w:spacing w:line="220" w:lineRule="exact"/>
              <w:contextualSpacing/>
              <w:rPr>
                <w:rFonts w:eastAsia="Calibri"/>
                <w:color w:val="000000" w:themeColor="text1"/>
                <w:sz w:val="20"/>
              </w:rPr>
            </w:pPr>
            <w:r>
              <w:rPr>
                <w:rFonts w:eastAsia="Calibri"/>
                <w:color w:val="000000" w:themeColor="text1"/>
                <w:sz w:val="20"/>
              </w:rPr>
              <w:t>Dorsiflexion/Extension  (0-</w:t>
            </w:r>
            <w:r w:rsidR="0063654E" w:rsidRPr="008B7AE4">
              <w:rPr>
                <w:rFonts w:eastAsia="Calibri"/>
                <w:color w:val="000000" w:themeColor="text1"/>
                <w:sz w:val="20"/>
              </w:rPr>
              <w:t>70</w:t>
            </w:r>
            <w:r>
              <w:rPr>
                <w:rFonts w:eastAsia="Calibri" w:cs="Calibri"/>
                <w:color w:val="000000" w:themeColor="text1"/>
                <w:sz w:val="20"/>
              </w:rPr>
              <w:t>⁰</w:t>
            </w:r>
            <w:r w:rsidR="0063654E" w:rsidRPr="008B7AE4">
              <w:rPr>
                <w:rFonts w:eastAsia="Calibri"/>
                <w:color w:val="000000" w:themeColor="text1"/>
                <w:sz w:val="20"/>
              </w:rPr>
              <w:t>)</w:t>
            </w:r>
          </w:p>
        </w:tc>
        <w:tc>
          <w:tcPr>
            <w:tcW w:w="1350" w:type="dxa"/>
            <w:vMerge w:val="restart"/>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Full AROM</w:t>
            </w:r>
          </w:p>
        </w:tc>
        <w:tc>
          <w:tcPr>
            <w:tcW w:w="1080" w:type="dxa"/>
            <w:vMerge w:val="restart"/>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Full AROM</w:t>
            </w:r>
          </w:p>
        </w:tc>
        <w:tc>
          <w:tcPr>
            <w:tcW w:w="117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70⁰</w:t>
            </w:r>
          </w:p>
        </w:tc>
        <w:tc>
          <w:tcPr>
            <w:tcW w:w="117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70⁰</w:t>
            </w:r>
          </w:p>
        </w:tc>
      </w:tr>
      <w:tr w:rsidR="0063654E" w:rsidRPr="001F29F9" w:rsidTr="00AB3DEB">
        <w:tc>
          <w:tcPr>
            <w:tcW w:w="2790" w:type="dxa"/>
            <w:vAlign w:val="center"/>
          </w:tcPr>
          <w:p w:rsidR="0063654E" w:rsidRPr="008B7AE4" w:rsidRDefault="008B7AE4" w:rsidP="008B7AE4">
            <w:pPr>
              <w:spacing w:line="220" w:lineRule="exact"/>
              <w:contextualSpacing/>
              <w:rPr>
                <w:rFonts w:eastAsia="Calibri"/>
                <w:color w:val="000000" w:themeColor="text1"/>
                <w:sz w:val="20"/>
              </w:rPr>
            </w:pPr>
            <w:r>
              <w:rPr>
                <w:rFonts w:eastAsia="Calibri"/>
                <w:color w:val="000000" w:themeColor="text1"/>
                <w:sz w:val="20"/>
              </w:rPr>
              <w:t>Palmar Flexion (0-</w:t>
            </w:r>
            <w:r w:rsidR="0063654E" w:rsidRPr="008B7AE4">
              <w:rPr>
                <w:rFonts w:eastAsia="Calibri"/>
                <w:color w:val="000000" w:themeColor="text1"/>
                <w:sz w:val="20"/>
              </w:rPr>
              <w:t>80</w:t>
            </w:r>
            <w:r>
              <w:rPr>
                <w:rFonts w:eastAsia="Calibri" w:cs="Calibri"/>
                <w:color w:val="000000" w:themeColor="text1"/>
                <w:sz w:val="20"/>
              </w:rPr>
              <w:t>⁰</w:t>
            </w:r>
            <w:r w:rsidR="0063654E" w:rsidRPr="008B7AE4">
              <w:rPr>
                <w:rFonts w:eastAsia="Calibri"/>
                <w:color w:val="000000" w:themeColor="text1"/>
                <w:sz w:val="20"/>
              </w:rPr>
              <w:t>)</w:t>
            </w:r>
          </w:p>
        </w:tc>
        <w:tc>
          <w:tcPr>
            <w:tcW w:w="1350" w:type="dxa"/>
            <w:vMerge/>
          </w:tcPr>
          <w:p w:rsidR="0063654E" w:rsidRPr="008B7AE4" w:rsidRDefault="0063654E" w:rsidP="008B7AE4">
            <w:pPr>
              <w:spacing w:line="220" w:lineRule="exact"/>
              <w:rPr>
                <w:sz w:val="20"/>
              </w:rPr>
            </w:pPr>
          </w:p>
        </w:tc>
        <w:tc>
          <w:tcPr>
            <w:tcW w:w="1080" w:type="dxa"/>
            <w:vMerge/>
          </w:tcPr>
          <w:p w:rsidR="0063654E" w:rsidRPr="008B7AE4" w:rsidRDefault="0063654E" w:rsidP="008B7AE4">
            <w:pPr>
              <w:spacing w:line="220" w:lineRule="exact"/>
              <w:rPr>
                <w:sz w:val="20"/>
              </w:rPr>
            </w:pPr>
          </w:p>
        </w:tc>
        <w:tc>
          <w:tcPr>
            <w:tcW w:w="117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80⁰</w:t>
            </w:r>
          </w:p>
        </w:tc>
        <w:tc>
          <w:tcPr>
            <w:tcW w:w="117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80⁰</w:t>
            </w:r>
          </w:p>
        </w:tc>
      </w:tr>
      <w:tr w:rsidR="0063654E" w:rsidRPr="001F29F9" w:rsidTr="00AB3DEB">
        <w:tc>
          <w:tcPr>
            <w:tcW w:w="279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Ulnar Deviation (0-45</w:t>
            </w:r>
            <w:r w:rsidR="008B7AE4">
              <w:rPr>
                <w:rFonts w:eastAsia="Calibri" w:cs="Calibri"/>
                <w:color w:val="000000" w:themeColor="text1"/>
                <w:sz w:val="20"/>
              </w:rPr>
              <w:t>⁰</w:t>
            </w:r>
            <w:r w:rsidRPr="008B7AE4">
              <w:rPr>
                <w:rFonts w:eastAsia="Calibri"/>
                <w:color w:val="000000" w:themeColor="text1"/>
                <w:sz w:val="20"/>
              </w:rPr>
              <w:t>)</w:t>
            </w:r>
          </w:p>
        </w:tc>
        <w:tc>
          <w:tcPr>
            <w:tcW w:w="1350" w:type="dxa"/>
            <w:vMerge/>
          </w:tcPr>
          <w:p w:rsidR="0063654E" w:rsidRPr="008B7AE4" w:rsidRDefault="0063654E" w:rsidP="008B7AE4">
            <w:pPr>
              <w:spacing w:line="220" w:lineRule="exact"/>
              <w:rPr>
                <w:sz w:val="20"/>
              </w:rPr>
            </w:pPr>
          </w:p>
        </w:tc>
        <w:tc>
          <w:tcPr>
            <w:tcW w:w="1080" w:type="dxa"/>
            <w:vMerge/>
          </w:tcPr>
          <w:p w:rsidR="0063654E" w:rsidRPr="008B7AE4" w:rsidRDefault="0063654E" w:rsidP="008B7AE4">
            <w:pPr>
              <w:spacing w:line="220" w:lineRule="exact"/>
              <w:rPr>
                <w:sz w:val="20"/>
              </w:rPr>
            </w:pPr>
          </w:p>
        </w:tc>
        <w:tc>
          <w:tcPr>
            <w:tcW w:w="117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45⁰</w:t>
            </w:r>
          </w:p>
        </w:tc>
        <w:tc>
          <w:tcPr>
            <w:tcW w:w="117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45⁰</w:t>
            </w:r>
          </w:p>
        </w:tc>
      </w:tr>
      <w:tr w:rsidR="0063654E" w:rsidRPr="001F29F9" w:rsidTr="00AB3DEB">
        <w:tc>
          <w:tcPr>
            <w:tcW w:w="279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Radial Deviation (0-20</w:t>
            </w:r>
            <w:r w:rsidR="008B7AE4">
              <w:rPr>
                <w:rFonts w:eastAsia="Calibri" w:cs="Calibri"/>
                <w:color w:val="000000" w:themeColor="text1"/>
                <w:sz w:val="20"/>
              </w:rPr>
              <w:t>⁰</w:t>
            </w:r>
            <w:r w:rsidRPr="008B7AE4">
              <w:rPr>
                <w:rFonts w:eastAsia="Calibri"/>
                <w:color w:val="000000" w:themeColor="text1"/>
                <w:sz w:val="20"/>
              </w:rPr>
              <w:t>)</w:t>
            </w:r>
          </w:p>
        </w:tc>
        <w:tc>
          <w:tcPr>
            <w:tcW w:w="1350" w:type="dxa"/>
            <w:vMerge/>
          </w:tcPr>
          <w:p w:rsidR="0063654E" w:rsidRPr="008B7AE4" w:rsidRDefault="0063654E" w:rsidP="008B7AE4">
            <w:pPr>
              <w:spacing w:line="220" w:lineRule="exact"/>
              <w:rPr>
                <w:sz w:val="20"/>
              </w:rPr>
            </w:pPr>
          </w:p>
        </w:tc>
        <w:tc>
          <w:tcPr>
            <w:tcW w:w="1080" w:type="dxa"/>
            <w:vMerge/>
          </w:tcPr>
          <w:p w:rsidR="0063654E" w:rsidRPr="008B7AE4" w:rsidRDefault="0063654E" w:rsidP="008B7AE4">
            <w:pPr>
              <w:spacing w:line="220" w:lineRule="exact"/>
              <w:rPr>
                <w:sz w:val="20"/>
              </w:rPr>
            </w:pPr>
          </w:p>
        </w:tc>
        <w:tc>
          <w:tcPr>
            <w:tcW w:w="117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20⁰</w:t>
            </w:r>
          </w:p>
        </w:tc>
        <w:tc>
          <w:tcPr>
            <w:tcW w:w="1170" w:type="dxa"/>
            <w:vAlign w:val="center"/>
          </w:tcPr>
          <w:p w:rsidR="0063654E" w:rsidRPr="008B7AE4" w:rsidRDefault="0063654E" w:rsidP="008B7AE4">
            <w:pPr>
              <w:spacing w:line="220" w:lineRule="exact"/>
              <w:contextualSpacing/>
              <w:rPr>
                <w:rFonts w:eastAsia="Calibri"/>
                <w:color w:val="000000" w:themeColor="text1"/>
                <w:sz w:val="20"/>
              </w:rPr>
            </w:pPr>
            <w:r w:rsidRPr="008B7AE4">
              <w:rPr>
                <w:rFonts w:eastAsia="Calibri"/>
                <w:color w:val="000000" w:themeColor="text1"/>
                <w:sz w:val="20"/>
              </w:rPr>
              <w:t>20⁰</w:t>
            </w:r>
          </w:p>
        </w:tc>
      </w:tr>
      <w:tr w:rsidR="00845429" w:rsidRPr="001F29F9" w:rsidTr="00AB3DEB">
        <w:tc>
          <w:tcPr>
            <w:tcW w:w="2790" w:type="dxa"/>
            <w:vAlign w:val="center"/>
          </w:tcPr>
          <w:p w:rsidR="00845429" w:rsidRPr="008B7AE4" w:rsidRDefault="00845429" w:rsidP="008B7AE4">
            <w:pPr>
              <w:tabs>
                <w:tab w:val="left" w:pos="288"/>
                <w:tab w:val="left" w:pos="4752"/>
              </w:tabs>
              <w:spacing w:line="220" w:lineRule="exact"/>
              <w:rPr>
                <w:rFonts w:eastAsiaTheme="minorHAnsi"/>
                <w:color w:val="000000" w:themeColor="text1"/>
                <w:sz w:val="20"/>
              </w:rPr>
            </w:pPr>
            <w:r>
              <w:rPr>
                <w:rFonts w:eastAsiaTheme="minorHAnsi"/>
                <w:color w:val="000000" w:themeColor="text1"/>
                <w:sz w:val="20"/>
              </w:rPr>
              <w:t>Comments</w:t>
            </w:r>
          </w:p>
        </w:tc>
        <w:tc>
          <w:tcPr>
            <w:tcW w:w="2430" w:type="dxa"/>
            <w:gridSpan w:val="2"/>
            <w:vAlign w:val="center"/>
          </w:tcPr>
          <w:p w:rsidR="00845429" w:rsidRPr="008B7AE4" w:rsidRDefault="00AB3DEB" w:rsidP="008B7AE4">
            <w:pPr>
              <w:pStyle w:val="ListParagraph"/>
              <w:spacing w:after="0" w:line="220" w:lineRule="exact"/>
              <w:ind w:left="0"/>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Before righ</w:t>
            </w:r>
            <w:r w:rsidR="00845429">
              <w:rPr>
                <w:rFonts w:ascii="Calibri" w:eastAsia="Calibri" w:hAnsi="Calibri" w:cstheme="minorHAnsi"/>
                <w:color w:val="000000" w:themeColor="text1"/>
                <w:sz w:val="20"/>
                <w:szCs w:val="20"/>
              </w:rPr>
              <w:t>t wrist surgery</w:t>
            </w:r>
            <w:r>
              <w:rPr>
                <w:rFonts w:ascii="Calibri" w:eastAsia="Calibri" w:hAnsi="Calibri" w:cstheme="minorHAnsi"/>
                <w:color w:val="000000" w:themeColor="text1"/>
                <w:sz w:val="20"/>
                <w:szCs w:val="20"/>
              </w:rPr>
              <w:t>.</w:t>
            </w:r>
          </w:p>
        </w:tc>
        <w:tc>
          <w:tcPr>
            <w:tcW w:w="2340" w:type="dxa"/>
            <w:gridSpan w:val="2"/>
            <w:vAlign w:val="center"/>
          </w:tcPr>
          <w:p w:rsidR="00845429" w:rsidRPr="008B7AE4" w:rsidRDefault="00845429" w:rsidP="008B7AE4">
            <w:pPr>
              <w:pStyle w:val="ListParagraph"/>
              <w:spacing w:after="0" w:line="220" w:lineRule="exact"/>
              <w:ind w:left="0"/>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After right wrist surgery</w:t>
            </w:r>
          </w:p>
        </w:tc>
      </w:tr>
      <w:tr w:rsidR="0063654E" w:rsidRPr="001F29F9" w:rsidTr="00AB3DEB">
        <w:tc>
          <w:tcPr>
            <w:tcW w:w="2790" w:type="dxa"/>
            <w:vAlign w:val="center"/>
          </w:tcPr>
          <w:p w:rsidR="0063654E" w:rsidRPr="008B7AE4" w:rsidRDefault="0063654E" w:rsidP="008B7AE4">
            <w:pPr>
              <w:tabs>
                <w:tab w:val="left" w:pos="288"/>
                <w:tab w:val="left" w:pos="4752"/>
              </w:tabs>
              <w:spacing w:line="220" w:lineRule="exact"/>
              <w:rPr>
                <w:rFonts w:eastAsiaTheme="minorHAnsi"/>
                <w:color w:val="000000" w:themeColor="text1"/>
                <w:sz w:val="20"/>
              </w:rPr>
            </w:pPr>
            <w:r w:rsidRPr="008B7AE4">
              <w:rPr>
                <w:rFonts w:eastAsiaTheme="minorHAnsi"/>
                <w:color w:val="000000" w:themeColor="text1"/>
                <w:sz w:val="20"/>
              </w:rPr>
              <w:t>§4.71a Rating</w:t>
            </w:r>
          </w:p>
        </w:tc>
        <w:tc>
          <w:tcPr>
            <w:tcW w:w="2430" w:type="dxa"/>
            <w:gridSpan w:val="2"/>
            <w:vAlign w:val="center"/>
          </w:tcPr>
          <w:p w:rsidR="0063654E" w:rsidRPr="008B7AE4" w:rsidRDefault="00400AA8"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1</w:t>
            </w:r>
            <w:r w:rsidR="0063654E" w:rsidRPr="008B7AE4">
              <w:rPr>
                <w:rFonts w:ascii="Calibri" w:eastAsia="Calibri" w:hAnsi="Calibri" w:cstheme="minorHAnsi"/>
                <w:color w:val="000000" w:themeColor="text1"/>
                <w:sz w:val="20"/>
                <w:szCs w:val="20"/>
              </w:rPr>
              <w:t>0%</w:t>
            </w:r>
            <w:r w:rsidRPr="008B7AE4">
              <w:rPr>
                <w:rFonts w:ascii="Calibri" w:eastAsia="Calibri" w:hAnsi="Calibri" w:cstheme="minorHAnsi"/>
                <w:color w:val="000000" w:themeColor="text1"/>
                <w:sz w:val="20"/>
                <w:szCs w:val="20"/>
              </w:rPr>
              <w:t>*</w:t>
            </w:r>
          </w:p>
        </w:tc>
        <w:tc>
          <w:tcPr>
            <w:tcW w:w="2340" w:type="dxa"/>
            <w:gridSpan w:val="2"/>
            <w:vAlign w:val="center"/>
          </w:tcPr>
          <w:p w:rsidR="0063654E" w:rsidRPr="008B7AE4" w:rsidRDefault="0063654E" w:rsidP="008B7AE4">
            <w:pPr>
              <w:pStyle w:val="ListParagraph"/>
              <w:spacing w:after="0" w:line="220" w:lineRule="exact"/>
              <w:ind w:left="0"/>
              <w:rPr>
                <w:rFonts w:ascii="Calibri" w:eastAsia="Calibri" w:hAnsi="Calibri" w:cstheme="minorHAnsi"/>
                <w:color w:val="000000" w:themeColor="text1"/>
                <w:sz w:val="20"/>
                <w:szCs w:val="20"/>
              </w:rPr>
            </w:pPr>
            <w:r w:rsidRPr="008B7AE4">
              <w:rPr>
                <w:rFonts w:ascii="Calibri" w:eastAsia="Calibri" w:hAnsi="Calibri" w:cstheme="minorHAnsi"/>
                <w:color w:val="000000" w:themeColor="text1"/>
                <w:sz w:val="20"/>
                <w:szCs w:val="20"/>
              </w:rPr>
              <w:t>0%</w:t>
            </w:r>
          </w:p>
        </w:tc>
      </w:tr>
    </w:tbl>
    <w:p w:rsidR="00D85F24" w:rsidRDefault="00D85F24" w:rsidP="00330D69">
      <w:pPr>
        <w:jc w:val="left"/>
        <w:rPr>
          <w:color w:val="000000" w:themeColor="text1"/>
          <w:szCs w:val="24"/>
        </w:rPr>
      </w:pPr>
    </w:p>
    <w:p w:rsidR="00D85F24" w:rsidRDefault="00D85F24" w:rsidP="00330D69">
      <w:pPr>
        <w:jc w:val="left"/>
        <w:rPr>
          <w:color w:val="000000" w:themeColor="text1"/>
          <w:szCs w:val="24"/>
        </w:rPr>
      </w:pPr>
    </w:p>
    <w:p w:rsidR="00D85F24" w:rsidRDefault="00D85F24" w:rsidP="00330D69">
      <w:pPr>
        <w:jc w:val="left"/>
        <w:rPr>
          <w:color w:val="000000" w:themeColor="text1"/>
          <w:szCs w:val="24"/>
        </w:rPr>
      </w:pPr>
    </w:p>
    <w:p w:rsidR="00D85F24" w:rsidRDefault="00D85F24" w:rsidP="00330D69">
      <w:pPr>
        <w:jc w:val="left"/>
        <w:rPr>
          <w:color w:val="000000" w:themeColor="text1"/>
          <w:szCs w:val="24"/>
        </w:rPr>
      </w:pPr>
    </w:p>
    <w:p w:rsidR="00D85F24" w:rsidRDefault="00D85F24" w:rsidP="00330D69">
      <w:pPr>
        <w:jc w:val="left"/>
        <w:rPr>
          <w:color w:val="000000" w:themeColor="text1"/>
          <w:szCs w:val="24"/>
        </w:rPr>
      </w:pPr>
    </w:p>
    <w:p w:rsidR="008B7AE4" w:rsidRDefault="008B7AE4" w:rsidP="00400AA8">
      <w:pPr>
        <w:tabs>
          <w:tab w:val="left" w:pos="4860"/>
        </w:tabs>
        <w:jc w:val="left"/>
        <w:rPr>
          <w:color w:val="000000" w:themeColor="text1"/>
          <w:szCs w:val="24"/>
        </w:rPr>
      </w:pPr>
    </w:p>
    <w:p w:rsidR="008B7AE4" w:rsidRDefault="008B7AE4" w:rsidP="00400AA8">
      <w:pPr>
        <w:tabs>
          <w:tab w:val="left" w:pos="4860"/>
        </w:tabs>
        <w:jc w:val="left"/>
        <w:rPr>
          <w:color w:val="000000" w:themeColor="text1"/>
          <w:szCs w:val="24"/>
        </w:rPr>
      </w:pPr>
    </w:p>
    <w:p w:rsidR="00845429" w:rsidRDefault="00FA4064" w:rsidP="00400AA8">
      <w:pPr>
        <w:tabs>
          <w:tab w:val="left" w:pos="4860"/>
        </w:tabs>
        <w:jc w:val="left"/>
        <w:rPr>
          <w:color w:val="000000" w:themeColor="text1"/>
          <w:szCs w:val="24"/>
        </w:rPr>
      </w:pPr>
      <w:r>
        <w:rPr>
          <w:color w:val="000000" w:themeColor="text1"/>
          <w:szCs w:val="24"/>
        </w:rPr>
        <w:t xml:space="preserve">            </w:t>
      </w:r>
    </w:p>
    <w:p w:rsidR="00400AA8" w:rsidRPr="008B7AE4" w:rsidRDefault="00AB3DEB" w:rsidP="00400AA8">
      <w:pPr>
        <w:tabs>
          <w:tab w:val="left" w:pos="4860"/>
        </w:tabs>
        <w:jc w:val="left"/>
        <w:rPr>
          <w:rFonts w:asciiTheme="minorHAnsi" w:hAnsiTheme="minorHAnsi" w:cs="Times New Roman"/>
          <w:color w:val="auto"/>
          <w:sz w:val="20"/>
        </w:rPr>
      </w:pPr>
      <w:r>
        <w:rPr>
          <w:color w:val="000000" w:themeColor="text1"/>
          <w:szCs w:val="24"/>
        </w:rPr>
        <w:t xml:space="preserve">                                                         </w:t>
      </w:r>
      <w:r w:rsidR="00FA4064">
        <w:rPr>
          <w:color w:val="000000" w:themeColor="text1"/>
          <w:szCs w:val="24"/>
        </w:rPr>
        <w:t xml:space="preserve"> </w:t>
      </w:r>
      <w:r w:rsidR="00400AA8" w:rsidRPr="008B7AE4">
        <w:rPr>
          <w:rFonts w:cs="Times New Roman"/>
          <w:color w:val="auto"/>
          <w:sz w:val="20"/>
        </w:rPr>
        <w:t xml:space="preserve">* Conceding </w:t>
      </w:r>
      <w:r w:rsidR="00400AA8" w:rsidRPr="008B7AE4">
        <w:rPr>
          <w:rFonts w:asciiTheme="minorHAnsi" w:hAnsiTheme="minorHAnsi" w:cs="Times New Roman"/>
          <w:color w:val="auto"/>
          <w:sz w:val="20"/>
        </w:rPr>
        <w:t>§4.40 (functional loss) as below.</w:t>
      </w:r>
    </w:p>
    <w:p w:rsidR="00734633" w:rsidRDefault="00734633" w:rsidP="00DB0D30">
      <w:pPr>
        <w:jc w:val="both"/>
        <w:rPr>
          <w:rFonts w:asciiTheme="minorHAnsi" w:hAnsiTheme="minorHAnsi" w:cs="Times New Roman"/>
          <w:color w:val="auto"/>
          <w:sz w:val="18"/>
          <w:szCs w:val="24"/>
        </w:rPr>
      </w:pPr>
    </w:p>
    <w:p w:rsidR="005E170A" w:rsidRDefault="00D85F24" w:rsidP="00DB0D30">
      <w:pPr>
        <w:jc w:val="both"/>
        <w:rPr>
          <w:color w:val="000000" w:themeColor="text1"/>
          <w:szCs w:val="24"/>
        </w:rPr>
      </w:pPr>
      <w:r>
        <w:rPr>
          <w:color w:val="000000" w:themeColor="text1"/>
          <w:szCs w:val="24"/>
        </w:rPr>
        <w:t>The MEB examiner reported a full ROM of both wrists with normal grip strength and sensory findings.</w:t>
      </w:r>
      <w:r w:rsidR="000E5620">
        <w:rPr>
          <w:color w:val="000000" w:themeColor="text1"/>
          <w:szCs w:val="24"/>
        </w:rPr>
        <w:t xml:space="preserve">  He could not identify a ganglion cyst at the time of examination, but </w:t>
      </w:r>
      <w:r w:rsidR="00237A8E">
        <w:rPr>
          <w:color w:val="000000" w:themeColor="text1"/>
          <w:szCs w:val="24"/>
        </w:rPr>
        <w:t>quoted</w:t>
      </w:r>
      <w:r w:rsidR="000E5620">
        <w:rPr>
          <w:color w:val="000000" w:themeColor="text1"/>
          <w:szCs w:val="24"/>
        </w:rPr>
        <w:t xml:space="preserve"> an orthopedic clinic note from one week earlier </w:t>
      </w:r>
      <w:r w:rsidR="00237A8E">
        <w:rPr>
          <w:color w:val="000000" w:themeColor="text1"/>
          <w:szCs w:val="24"/>
        </w:rPr>
        <w:t>which did identify a tender mass</w:t>
      </w:r>
      <w:r w:rsidR="000E5620">
        <w:rPr>
          <w:color w:val="000000" w:themeColor="text1"/>
          <w:szCs w:val="24"/>
        </w:rPr>
        <w:t>.</w:t>
      </w:r>
      <w:r>
        <w:rPr>
          <w:color w:val="000000" w:themeColor="text1"/>
          <w:szCs w:val="24"/>
        </w:rPr>
        <w:t xml:space="preserve"> </w:t>
      </w:r>
      <w:r w:rsidR="000E5620">
        <w:rPr>
          <w:color w:val="000000" w:themeColor="text1"/>
          <w:szCs w:val="24"/>
        </w:rPr>
        <w:t xml:space="preserve"> </w:t>
      </w:r>
      <w:r w:rsidR="00400AA8">
        <w:rPr>
          <w:color w:val="000000" w:themeColor="text1"/>
          <w:szCs w:val="24"/>
        </w:rPr>
        <w:t>An orthopedic clinic note after the MEB</w:t>
      </w:r>
      <w:r w:rsidR="00237A8E">
        <w:rPr>
          <w:color w:val="000000" w:themeColor="text1"/>
          <w:szCs w:val="24"/>
        </w:rPr>
        <w:t>,</w:t>
      </w:r>
      <w:r w:rsidR="00400AA8">
        <w:rPr>
          <w:color w:val="000000" w:themeColor="text1"/>
          <w:szCs w:val="24"/>
        </w:rPr>
        <w:t xml:space="preserve"> but prior to surgery</w:t>
      </w:r>
      <w:r w:rsidR="00237A8E">
        <w:rPr>
          <w:color w:val="000000" w:themeColor="text1"/>
          <w:szCs w:val="24"/>
        </w:rPr>
        <w:t>,</w:t>
      </w:r>
      <w:r w:rsidR="00400AA8">
        <w:rPr>
          <w:color w:val="000000" w:themeColor="text1"/>
          <w:szCs w:val="24"/>
        </w:rPr>
        <w:t xml:space="preserve"> </w:t>
      </w:r>
      <w:r w:rsidR="00784A86">
        <w:rPr>
          <w:color w:val="000000" w:themeColor="text1"/>
          <w:szCs w:val="24"/>
        </w:rPr>
        <w:t xml:space="preserve">also </w:t>
      </w:r>
      <w:r w:rsidR="00400AA8">
        <w:rPr>
          <w:color w:val="000000" w:themeColor="text1"/>
          <w:szCs w:val="24"/>
        </w:rPr>
        <w:t xml:space="preserve">recorded a full ROM </w:t>
      </w:r>
      <w:r w:rsidR="00784A86">
        <w:rPr>
          <w:color w:val="000000" w:themeColor="text1"/>
          <w:szCs w:val="24"/>
        </w:rPr>
        <w:t>(</w:t>
      </w:r>
      <w:r w:rsidR="00400AA8">
        <w:rPr>
          <w:color w:val="000000" w:themeColor="text1"/>
          <w:szCs w:val="24"/>
        </w:rPr>
        <w:t>with pain at the extremes of motion</w:t>
      </w:r>
      <w:r w:rsidR="00784A86">
        <w:rPr>
          <w:color w:val="000000" w:themeColor="text1"/>
          <w:szCs w:val="24"/>
        </w:rPr>
        <w:t>)</w:t>
      </w:r>
      <w:r w:rsidR="00400AA8">
        <w:rPr>
          <w:color w:val="000000" w:themeColor="text1"/>
          <w:szCs w:val="24"/>
        </w:rPr>
        <w:t xml:space="preserve">.  </w:t>
      </w:r>
      <w:r w:rsidR="00663F06">
        <w:rPr>
          <w:color w:val="000000" w:themeColor="text1"/>
          <w:szCs w:val="24"/>
        </w:rPr>
        <w:t xml:space="preserve">Following the MEB proceedings, a highly restrictive profile was issued to the CI.  </w:t>
      </w:r>
      <w:r w:rsidR="000E5620">
        <w:rPr>
          <w:color w:val="000000" w:themeColor="text1"/>
          <w:szCs w:val="24"/>
        </w:rPr>
        <w:t xml:space="preserve">At the </w:t>
      </w:r>
      <w:r w:rsidR="00237A8E">
        <w:rPr>
          <w:color w:val="000000" w:themeColor="text1"/>
          <w:szCs w:val="24"/>
        </w:rPr>
        <w:t xml:space="preserve">post-separation </w:t>
      </w:r>
      <w:r w:rsidR="000E5620">
        <w:rPr>
          <w:color w:val="000000" w:themeColor="text1"/>
          <w:szCs w:val="24"/>
        </w:rPr>
        <w:t xml:space="preserve">VA C&amp;P exam the CI reported intermittent </w:t>
      </w:r>
      <w:r w:rsidR="00237A8E">
        <w:rPr>
          <w:color w:val="000000" w:themeColor="text1"/>
          <w:szCs w:val="24"/>
        </w:rPr>
        <w:t xml:space="preserve">right </w:t>
      </w:r>
      <w:r w:rsidR="000E5620">
        <w:rPr>
          <w:color w:val="000000" w:themeColor="text1"/>
          <w:szCs w:val="24"/>
        </w:rPr>
        <w:t xml:space="preserve">wrist symptoms that occurred primarily with heavy activity, but did not cause her to lose time from work.  </w:t>
      </w:r>
      <w:r w:rsidR="00237A8E">
        <w:rPr>
          <w:color w:val="000000" w:themeColor="text1"/>
          <w:szCs w:val="24"/>
        </w:rPr>
        <w:t xml:space="preserve">Regarding the left wrist, the </w:t>
      </w:r>
      <w:r w:rsidR="00E216B5">
        <w:rPr>
          <w:color w:val="000000" w:themeColor="text1"/>
          <w:szCs w:val="24"/>
        </w:rPr>
        <w:t>CI reported</w:t>
      </w:r>
      <w:r w:rsidR="00237A8E">
        <w:rPr>
          <w:color w:val="000000" w:themeColor="text1"/>
          <w:szCs w:val="24"/>
        </w:rPr>
        <w:t xml:space="preserve"> that “it only bothers her now if she is doing a lot of </w:t>
      </w:r>
      <w:r w:rsidR="00237A8E">
        <w:rPr>
          <w:color w:val="000000" w:themeColor="text1"/>
          <w:szCs w:val="24"/>
        </w:rPr>
        <w:lastRenderedPageBreak/>
        <w:t>heavy lifting</w:t>
      </w:r>
      <w:r w:rsidR="00754A60">
        <w:rPr>
          <w:color w:val="000000" w:themeColor="text1"/>
          <w:szCs w:val="24"/>
        </w:rPr>
        <w:t>.</w:t>
      </w:r>
      <w:r w:rsidR="00237A8E">
        <w:rPr>
          <w:color w:val="000000" w:themeColor="text1"/>
          <w:szCs w:val="24"/>
        </w:rPr>
        <w:t>”</w:t>
      </w:r>
      <w:r w:rsidR="00E216B5">
        <w:rPr>
          <w:color w:val="000000" w:themeColor="text1"/>
          <w:szCs w:val="24"/>
        </w:rPr>
        <w:t xml:space="preserve">  </w:t>
      </w:r>
      <w:r w:rsidR="000E5620">
        <w:rPr>
          <w:color w:val="000000" w:themeColor="text1"/>
          <w:szCs w:val="24"/>
        </w:rPr>
        <w:t xml:space="preserve">The </w:t>
      </w:r>
      <w:r w:rsidR="00E216B5">
        <w:rPr>
          <w:color w:val="000000" w:themeColor="text1"/>
          <w:szCs w:val="24"/>
        </w:rPr>
        <w:t xml:space="preserve">VA </w:t>
      </w:r>
      <w:r w:rsidR="000E5620">
        <w:rPr>
          <w:color w:val="000000" w:themeColor="text1"/>
          <w:szCs w:val="24"/>
        </w:rPr>
        <w:t>examiner recorded a p</w:t>
      </w:r>
      <w:r w:rsidR="000E5620" w:rsidRPr="000E5620">
        <w:rPr>
          <w:color w:val="000000" w:themeColor="text1"/>
          <w:szCs w:val="24"/>
        </w:rPr>
        <w:t>ositive Tinel</w:t>
      </w:r>
      <w:r w:rsidR="00400AA8">
        <w:rPr>
          <w:color w:val="000000" w:themeColor="text1"/>
          <w:szCs w:val="24"/>
        </w:rPr>
        <w:t>’s</w:t>
      </w:r>
      <w:r w:rsidR="000E5620" w:rsidRPr="000E5620">
        <w:rPr>
          <w:color w:val="000000" w:themeColor="text1"/>
          <w:szCs w:val="24"/>
        </w:rPr>
        <w:t xml:space="preserve"> </w:t>
      </w:r>
      <w:r w:rsidR="00AA4BF8">
        <w:rPr>
          <w:color w:val="000000" w:themeColor="text1"/>
          <w:szCs w:val="24"/>
        </w:rPr>
        <w:t xml:space="preserve">sign </w:t>
      </w:r>
      <w:r w:rsidR="000E5620" w:rsidRPr="000E5620">
        <w:rPr>
          <w:color w:val="000000" w:themeColor="text1"/>
          <w:szCs w:val="24"/>
        </w:rPr>
        <w:t xml:space="preserve">on the right, a negative </w:t>
      </w:r>
      <w:r w:rsidR="00AA4BF8" w:rsidRPr="000E5620">
        <w:rPr>
          <w:color w:val="000000" w:themeColor="text1"/>
          <w:szCs w:val="24"/>
        </w:rPr>
        <w:t>Tinel</w:t>
      </w:r>
      <w:r w:rsidR="00400AA8">
        <w:rPr>
          <w:color w:val="000000" w:themeColor="text1"/>
          <w:szCs w:val="24"/>
        </w:rPr>
        <w:t>’s</w:t>
      </w:r>
      <w:r w:rsidR="00AA4BF8" w:rsidRPr="000E5620">
        <w:rPr>
          <w:color w:val="000000" w:themeColor="text1"/>
          <w:szCs w:val="24"/>
        </w:rPr>
        <w:t xml:space="preserve"> </w:t>
      </w:r>
      <w:r w:rsidR="00AA4BF8">
        <w:rPr>
          <w:color w:val="000000" w:themeColor="text1"/>
          <w:szCs w:val="24"/>
        </w:rPr>
        <w:t xml:space="preserve">sign </w:t>
      </w:r>
      <w:r w:rsidR="000E5620" w:rsidRPr="000E5620">
        <w:rPr>
          <w:color w:val="000000" w:themeColor="text1"/>
          <w:szCs w:val="24"/>
        </w:rPr>
        <w:t xml:space="preserve">on the left and a negative </w:t>
      </w:r>
      <w:proofErr w:type="spellStart"/>
      <w:r w:rsidR="000E5620" w:rsidRPr="000E5620">
        <w:rPr>
          <w:color w:val="000000" w:themeColor="text1"/>
          <w:szCs w:val="24"/>
        </w:rPr>
        <w:t>Phalen</w:t>
      </w:r>
      <w:r w:rsidR="00400AA8">
        <w:rPr>
          <w:color w:val="000000" w:themeColor="text1"/>
          <w:szCs w:val="24"/>
        </w:rPr>
        <w:t>’s</w:t>
      </w:r>
      <w:proofErr w:type="spellEnd"/>
      <w:r w:rsidR="000E5620" w:rsidRPr="000E5620">
        <w:rPr>
          <w:color w:val="000000" w:themeColor="text1"/>
          <w:szCs w:val="24"/>
        </w:rPr>
        <w:t xml:space="preserve"> </w:t>
      </w:r>
      <w:r w:rsidR="00AA4BF8">
        <w:rPr>
          <w:color w:val="000000" w:themeColor="text1"/>
          <w:szCs w:val="24"/>
        </w:rPr>
        <w:t xml:space="preserve">maneuver </w:t>
      </w:r>
      <w:r w:rsidR="000E5620" w:rsidRPr="000E5620">
        <w:rPr>
          <w:color w:val="000000" w:themeColor="text1"/>
          <w:szCs w:val="24"/>
        </w:rPr>
        <w:t xml:space="preserve">bilaterally.  </w:t>
      </w:r>
      <w:r w:rsidR="00AA4BF8">
        <w:rPr>
          <w:color w:val="000000" w:themeColor="text1"/>
          <w:szCs w:val="24"/>
        </w:rPr>
        <w:t xml:space="preserve">The motor exam was also normal bilaterally.  ROM was </w:t>
      </w:r>
      <w:r w:rsidR="00754A60">
        <w:rPr>
          <w:color w:val="000000" w:themeColor="text1"/>
          <w:szCs w:val="24"/>
        </w:rPr>
        <w:t>normal</w:t>
      </w:r>
      <w:r w:rsidR="00AA4BF8">
        <w:rPr>
          <w:color w:val="000000" w:themeColor="text1"/>
          <w:szCs w:val="24"/>
        </w:rPr>
        <w:t xml:space="preserve"> and the CI had “</w:t>
      </w:r>
      <w:r w:rsidR="000E5620" w:rsidRPr="000E5620">
        <w:rPr>
          <w:color w:val="000000" w:themeColor="text1"/>
          <w:szCs w:val="24"/>
        </w:rPr>
        <w:t>no additional loss of range motion for painful motion, lack of endurance, instability, weakness, fatigue, flare ups or with swelling or pain on palpation</w:t>
      </w:r>
      <w:r w:rsidR="00754A60">
        <w:rPr>
          <w:color w:val="000000" w:themeColor="text1"/>
          <w:szCs w:val="24"/>
        </w:rPr>
        <w:t>.</w:t>
      </w:r>
      <w:r w:rsidR="00AA4BF8">
        <w:rPr>
          <w:color w:val="000000" w:themeColor="text1"/>
          <w:szCs w:val="24"/>
        </w:rPr>
        <w:t>”</w:t>
      </w:r>
      <w:r w:rsidR="00400AA8">
        <w:rPr>
          <w:color w:val="000000" w:themeColor="text1"/>
          <w:szCs w:val="24"/>
        </w:rPr>
        <w:t xml:space="preserve">  </w:t>
      </w:r>
      <w:r w:rsidR="00E216B5">
        <w:rPr>
          <w:color w:val="000000" w:themeColor="text1"/>
          <w:szCs w:val="24"/>
        </w:rPr>
        <w:t>VA r</w:t>
      </w:r>
      <w:r>
        <w:rPr>
          <w:color w:val="000000" w:themeColor="text1"/>
          <w:szCs w:val="24"/>
        </w:rPr>
        <w:t>adiographs of both wrists were normal.</w:t>
      </w:r>
      <w:r w:rsidR="00AA4BF8">
        <w:rPr>
          <w:color w:val="000000" w:themeColor="text1"/>
          <w:szCs w:val="24"/>
        </w:rPr>
        <w:t xml:space="preserve"> </w:t>
      </w:r>
      <w:r w:rsidR="00400AA8">
        <w:rPr>
          <w:color w:val="000000" w:themeColor="text1"/>
          <w:szCs w:val="24"/>
        </w:rPr>
        <w:t xml:space="preserve"> </w:t>
      </w:r>
      <w:r w:rsidR="00663F06">
        <w:rPr>
          <w:color w:val="000000" w:themeColor="text1"/>
          <w:szCs w:val="24"/>
        </w:rPr>
        <w:t>In considering the probative value of this data, the Board noted that the VA</w:t>
      </w:r>
      <w:r w:rsidR="00691D3A">
        <w:rPr>
          <w:color w:val="000000" w:themeColor="text1"/>
          <w:szCs w:val="24"/>
        </w:rPr>
        <w:t xml:space="preserve"> C&amp;P exam was the only complete and</w:t>
      </w:r>
      <w:r w:rsidR="00663F06">
        <w:rPr>
          <w:color w:val="000000" w:themeColor="text1"/>
          <w:szCs w:val="24"/>
        </w:rPr>
        <w:t xml:space="preserve"> V</w:t>
      </w:r>
      <w:r w:rsidR="00E216B5">
        <w:rPr>
          <w:color w:val="000000" w:themeColor="text1"/>
          <w:szCs w:val="24"/>
        </w:rPr>
        <w:t>ASRD compliant exam in evidence;</w:t>
      </w:r>
      <w:r w:rsidR="00663F06">
        <w:rPr>
          <w:color w:val="000000" w:themeColor="text1"/>
          <w:szCs w:val="24"/>
        </w:rPr>
        <w:t xml:space="preserve"> and</w:t>
      </w:r>
      <w:r w:rsidR="00E216B5">
        <w:rPr>
          <w:color w:val="000000" w:themeColor="text1"/>
          <w:szCs w:val="24"/>
        </w:rPr>
        <w:t>,</w:t>
      </w:r>
      <w:r w:rsidR="00663F06">
        <w:rPr>
          <w:color w:val="000000" w:themeColor="text1"/>
          <w:szCs w:val="24"/>
        </w:rPr>
        <w:t xml:space="preserve"> was also more proximate to the date of separation.</w:t>
      </w:r>
      <w:r w:rsidR="00400AA8">
        <w:rPr>
          <w:color w:val="000000" w:themeColor="text1"/>
          <w:szCs w:val="24"/>
        </w:rPr>
        <w:t xml:space="preserve">  This exam, therefore, </w:t>
      </w:r>
      <w:r w:rsidR="00691D3A">
        <w:rPr>
          <w:color w:val="000000" w:themeColor="text1"/>
          <w:szCs w:val="24"/>
        </w:rPr>
        <w:t>was assigned predominant probative value</w:t>
      </w:r>
      <w:r w:rsidR="00400AA8">
        <w:rPr>
          <w:color w:val="000000" w:themeColor="text1"/>
          <w:szCs w:val="24"/>
        </w:rPr>
        <w:t xml:space="preserve"> in the Board’s deliberations.</w:t>
      </w:r>
    </w:p>
    <w:p w:rsidR="005E170A" w:rsidRDefault="005E170A" w:rsidP="00AA4BF8">
      <w:pPr>
        <w:jc w:val="left"/>
        <w:rPr>
          <w:color w:val="000000" w:themeColor="text1"/>
          <w:szCs w:val="24"/>
        </w:rPr>
      </w:pPr>
    </w:p>
    <w:p w:rsidR="002170B9" w:rsidRPr="003C53E8" w:rsidRDefault="005E170A" w:rsidP="00E216B5">
      <w:pPr>
        <w:jc w:val="both"/>
        <w:rPr>
          <w:rFonts w:asciiTheme="minorHAnsi" w:hAnsiTheme="minorHAnsi" w:cs="Times New Roman"/>
          <w:color w:val="auto"/>
          <w:szCs w:val="24"/>
        </w:rPr>
      </w:pPr>
      <w:r w:rsidRPr="00DB0D30">
        <w:rPr>
          <w:rFonts w:asciiTheme="minorHAnsi" w:hAnsiTheme="minorHAnsi" w:cs="Times New Roman"/>
          <w:color w:val="auto"/>
          <w:szCs w:val="24"/>
        </w:rPr>
        <w:t>Regarding the right wrist</w:t>
      </w:r>
      <w:r w:rsidR="00E216B5">
        <w:rPr>
          <w:rFonts w:asciiTheme="minorHAnsi" w:hAnsiTheme="minorHAnsi" w:cs="Times New Roman"/>
          <w:color w:val="auto"/>
          <w:szCs w:val="24"/>
        </w:rPr>
        <w:t xml:space="preserve"> condition</w:t>
      </w:r>
      <w:r w:rsidRPr="00DB0D30">
        <w:rPr>
          <w:rFonts w:asciiTheme="minorHAnsi" w:hAnsiTheme="minorHAnsi" w:cs="Times New Roman"/>
          <w:color w:val="auto"/>
          <w:szCs w:val="24"/>
        </w:rPr>
        <w:t xml:space="preserve">, the Board concedes that the condition was unfitting at the time of the PEB based on the PEB’s judgment and profile restrictions </w:t>
      </w:r>
      <w:r w:rsidR="00691D3A">
        <w:rPr>
          <w:rFonts w:asciiTheme="minorHAnsi" w:hAnsiTheme="minorHAnsi" w:cs="Times New Roman"/>
          <w:color w:val="auto"/>
          <w:szCs w:val="24"/>
        </w:rPr>
        <w:t>(</w:t>
      </w:r>
      <w:r w:rsidRPr="00DB0D30">
        <w:rPr>
          <w:rFonts w:asciiTheme="minorHAnsi" w:hAnsiTheme="minorHAnsi" w:cs="Times New Roman"/>
          <w:color w:val="auto"/>
          <w:szCs w:val="24"/>
        </w:rPr>
        <w:t>that included carrying and firing a weapon</w:t>
      </w:r>
      <w:r w:rsidR="00691D3A">
        <w:rPr>
          <w:rFonts w:asciiTheme="minorHAnsi" w:hAnsiTheme="minorHAnsi" w:cs="Times New Roman"/>
          <w:color w:val="auto"/>
          <w:szCs w:val="24"/>
        </w:rPr>
        <w:t>)</w:t>
      </w:r>
      <w:r w:rsidRPr="00DB0D30">
        <w:rPr>
          <w:rFonts w:asciiTheme="minorHAnsi" w:hAnsiTheme="minorHAnsi" w:cs="Times New Roman"/>
          <w:color w:val="auto"/>
          <w:szCs w:val="24"/>
        </w:rPr>
        <w:t xml:space="preserve">.  The functional impairment of the right wrist </w:t>
      </w:r>
      <w:r w:rsidR="00691D3A">
        <w:rPr>
          <w:rFonts w:asciiTheme="minorHAnsi" w:hAnsiTheme="minorHAnsi" w:cs="Times New Roman"/>
          <w:color w:val="auto"/>
          <w:szCs w:val="24"/>
        </w:rPr>
        <w:t>(</w:t>
      </w:r>
      <w:r w:rsidRPr="00DB0D30">
        <w:rPr>
          <w:rFonts w:asciiTheme="minorHAnsi" w:hAnsiTheme="minorHAnsi" w:cs="Times New Roman"/>
          <w:color w:val="auto"/>
          <w:szCs w:val="24"/>
        </w:rPr>
        <w:t>as re</w:t>
      </w:r>
      <w:r w:rsidR="00691D3A">
        <w:rPr>
          <w:rFonts w:asciiTheme="minorHAnsi" w:hAnsiTheme="minorHAnsi" w:cs="Times New Roman"/>
          <w:color w:val="auto"/>
          <w:szCs w:val="24"/>
        </w:rPr>
        <w:t>flected in the physical profile)</w:t>
      </w:r>
      <w:r w:rsidRPr="00DB0D30">
        <w:rPr>
          <w:rFonts w:asciiTheme="minorHAnsi" w:hAnsiTheme="minorHAnsi" w:cs="Times New Roman"/>
          <w:color w:val="auto"/>
          <w:szCs w:val="24"/>
        </w:rPr>
        <w:t xml:space="preserve"> </w:t>
      </w:r>
      <w:r w:rsidR="00691D3A">
        <w:rPr>
          <w:rFonts w:asciiTheme="minorHAnsi" w:hAnsiTheme="minorHAnsi" w:cs="Times New Roman"/>
          <w:color w:val="auto"/>
          <w:szCs w:val="24"/>
        </w:rPr>
        <w:t>and</w:t>
      </w:r>
      <w:r w:rsidRPr="00DB0D30">
        <w:rPr>
          <w:rFonts w:asciiTheme="minorHAnsi" w:hAnsiTheme="minorHAnsi" w:cs="Times New Roman"/>
          <w:color w:val="auto"/>
          <w:szCs w:val="24"/>
        </w:rPr>
        <w:t xml:space="preserve"> the minimal objective findings warrant at most a 10% rating under the analogous 5099-5024 (tenosynovitis) code</w:t>
      </w:r>
      <w:r w:rsidR="00691D3A">
        <w:rPr>
          <w:rFonts w:asciiTheme="minorHAnsi" w:hAnsiTheme="minorHAnsi" w:cs="Times New Roman"/>
          <w:color w:val="auto"/>
          <w:szCs w:val="24"/>
        </w:rPr>
        <w:t>,</w:t>
      </w:r>
      <w:r w:rsidRPr="00DB0D30">
        <w:rPr>
          <w:rFonts w:asciiTheme="minorHAnsi" w:hAnsiTheme="minorHAnsi" w:cs="Times New Roman"/>
          <w:color w:val="auto"/>
          <w:szCs w:val="24"/>
        </w:rPr>
        <w:t xml:space="preserve"> </w:t>
      </w:r>
      <w:r w:rsidR="00E216B5">
        <w:rPr>
          <w:rFonts w:asciiTheme="minorHAnsi" w:hAnsiTheme="minorHAnsi" w:cs="Times New Roman"/>
          <w:color w:val="auto"/>
          <w:szCs w:val="24"/>
        </w:rPr>
        <w:t>which</w:t>
      </w:r>
      <w:r w:rsidRPr="00DB0D30">
        <w:rPr>
          <w:rFonts w:asciiTheme="minorHAnsi" w:hAnsiTheme="minorHAnsi" w:cs="Times New Roman"/>
          <w:color w:val="auto"/>
          <w:szCs w:val="24"/>
        </w:rPr>
        <w:t xml:space="preserve"> default</w:t>
      </w:r>
      <w:r w:rsidR="00E216B5">
        <w:rPr>
          <w:rFonts w:asciiTheme="minorHAnsi" w:hAnsiTheme="minorHAnsi" w:cs="Times New Roman"/>
          <w:color w:val="auto"/>
          <w:szCs w:val="24"/>
        </w:rPr>
        <w:t>s</w:t>
      </w:r>
      <w:r w:rsidRPr="00DB0D30">
        <w:rPr>
          <w:rFonts w:asciiTheme="minorHAnsi" w:hAnsiTheme="minorHAnsi" w:cs="Times New Roman"/>
          <w:color w:val="auto"/>
          <w:szCs w:val="24"/>
        </w:rPr>
        <w:t xml:space="preserve"> to 5003 (degenerative arthritis) </w:t>
      </w:r>
      <w:r w:rsidR="00691D3A">
        <w:rPr>
          <w:rFonts w:asciiTheme="minorHAnsi" w:hAnsiTheme="minorHAnsi" w:cs="Times New Roman"/>
          <w:color w:val="auto"/>
          <w:szCs w:val="24"/>
        </w:rPr>
        <w:t xml:space="preserve">rating </w:t>
      </w:r>
      <w:r w:rsidRPr="00DB0D30">
        <w:rPr>
          <w:rFonts w:asciiTheme="minorHAnsi" w:hAnsiTheme="minorHAnsi" w:cs="Times New Roman"/>
          <w:color w:val="auto"/>
          <w:szCs w:val="24"/>
        </w:rPr>
        <w:t>criteria.  No other coding or rating option for a higher rating can be supported by the evidence.</w:t>
      </w:r>
      <w:r w:rsidR="00663F06" w:rsidRPr="00DB0D30">
        <w:rPr>
          <w:rFonts w:asciiTheme="minorHAnsi" w:hAnsiTheme="minorHAnsi" w:cs="Times New Roman"/>
          <w:color w:val="auto"/>
          <w:szCs w:val="24"/>
        </w:rPr>
        <w:t xml:space="preserve">  </w:t>
      </w:r>
      <w:r w:rsidR="00AB3DEB">
        <w:rPr>
          <w:rFonts w:asciiTheme="minorHAnsi" w:hAnsiTheme="minorHAnsi" w:cs="Times New Roman"/>
          <w:color w:val="auto"/>
          <w:szCs w:val="24"/>
        </w:rPr>
        <w:t>T</w:t>
      </w:r>
      <w:r w:rsidR="00663F06" w:rsidRPr="00DB0D30">
        <w:rPr>
          <w:rFonts w:asciiTheme="minorHAnsi" w:hAnsiTheme="minorHAnsi" w:cs="Times New Roman"/>
          <w:color w:val="auto"/>
          <w:szCs w:val="24"/>
        </w:rPr>
        <w:t xml:space="preserve">he Board </w:t>
      </w:r>
      <w:r w:rsidR="00AB3DEB">
        <w:rPr>
          <w:rFonts w:asciiTheme="minorHAnsi" w:hAnsiTheme="minorHAnsi" w:cs="Times New Roman"/>
          <w:color w:val="auto"/>
          <w:szCs w:val="24"/>
        </w:rPr>
        <w:t xml:space="preserve">further </w:t>
      </w:r>
      <w:r w:rsidR="00663F06" w:rsidRPr="00DB0D30">
        <w:rPr>
          <w:rFonts w:asciiTheme="minorHAnsi" w:hAnsiTheme="minorHAnsi" w:cs="Times New Roman"/>
          <w:color w:val="auto"/>
          <w:szCs w:val="24"/>
        </w:rPr>
        <w:t>notes that subsequent to the PEB</w:t>
      </w:r>
      <w:r w:rsidR="00E216B5">
        <w:rPr>
          <w:rFonts w:asciiTheme="minorHAnsi" w:hAnsiTheme="minorHAnsi" w:cs="Times New Roman"/>
          <w:color w:val="auto"/>
          <w:szCs w:val="24"/>
        </w:rPr>
        <w:t>,</w:t>
      </w:r>
      <w:r w:rsidR="00663F06" w:rsidRPr="00DB0D30">
        <w:rPr>
          <w:rFonts w:asciiTheme="minorHAnsi" w:hAnsiTheme="minorHAnsi" w:cs="Times New Roman"/>
          <w:color w:val="auto"/>
          <w:szCs w:val="24"/>
        </w:rPr>
        <w:t xml:space="preserve"> but prior to separation</w:t>
      </w:r>
      <w:r w:rsidR="00E216B5">
        <w:rPr>
          <w:rFonts w:asciiTheme="minorHAnsi" w:hAnsiTheme="minorHAnsi" w:cs="Times New Roman"/>
          <w:color w:val="auto"/>
          <w:szCs w:val="24"/>
        </w:rPr>
        <w:t>,</w:t>
      </w:r>
      <w:r w:rsidR="00663F06" w:rsidRPr="00DB0D30">
        <w:rPr>
          <w:rFonts w:asciiTheme="minorHAnsi" w:hAnsiTheme="minorHAnsi" w:cs="Times New Roman"/>
          <w:color w:val="auto"/>
          <w:szCs w:val="24"/>
        </w:rPr>
        <w:t xml:space="preserve"> the CI underwent surgery of her right wrist ganglion cyst with good results</w:t>
      </w:r>
      <w:r w:rsidR="00AB3DEB">
        <w:rPr>
          <w:rFonts w:asciiTheme="minorHAnsi" w:hAnsiTheme="minorHAnsi" w:cs="Times New Roman"/>
          <w:color w:val="auto"/>
          <w:szCs w:val="24"/>
        </w:rPr>
        <w:t xml:space="preserve"> (noting, however, some residual mild ROM impairment documented in a post-operative note soon after surgery)</w:t>
      </w:r>
      <w:r w:rsidR="00663F06" w:rsidRPr="00DB0D30">
        <w:rPr>
          <w:rFonts w:asciiTheme="minorHAnsi" w:hAnsiTheme="minorHAnsi" w:cs="Times New Roman"/>
          <w:color w:val="auto"/>
          <w:szCs w:val="24"/>
        </w:rPr>
        <w:t xml:space="preserve">.  </w:t>
      </w:r>
      <w:r w:rsidR="0018513E">
        <w:rPr>
          <w:rFonts w:asciiTheme="minorHAnsi" w:hAnsiTheme="minorHAnsi" w:cs="Times New Roman"/>
          <w:color w:val="auto"/>
          <w:szCs w:val="24"/>
        </w:rPr>
        <w:t>It may be safely concluded that</w:t>
      </w:r>
      <w:r w:rsidR="00AB3DEB">
        <w:rPr>
          <w:rFonts w:asciiTheme="minorHAnsi" w:hAnsiTheme="minorHAnsi" w:cs="Times New Roman"/>
          <w:color w:val="auto"/>
          <w:szCs w:val="24"/>
        </w:rPr>
        <w:t xml:space="preserve"> the </w:t>
      </w:r>
      <w:r w:rsidR="002170B9" w:rsidRPr="00DB0D30">
        <w:rPr>
          <w:rFonts w:asciiTheme="minorHAnsi" w:hAnsiTheme="minorHAnsi" w:cs="Times New Roman"/>
          <w:color w:val="auto"/>
          <w:szCs w:val="24"/>
        </w:rPr>
        <w:t xml:space="preserve">VA C&amp;P exam findings </w:t>
      </w:r>
      <w:r w:rsidR="0018513E">
        <w:rPr>
          <w:rFonts w:asciiTheme="minorHAnsi" w:hAnsiTheme="minorHAnsi" w:cs="Times New Roman"/>
          <w:color w:val="auto"/>
          <w:szCs w:val="24"/>
        </w:rPr>
        <w:t xml:space="preserve">(reflecting the response to surgery) were more probative to the impairment at separation than was the pre-operative MEB exam; and, </w:t>
      </w:r>
      <w:r w:rsidR="002170B9" w:rsidRPr="00DB0D30">
        <w:rPr>
          <w:rFonts w:asciiTheme="minorHAnsi" w:hAnsiTheme="minorHAnsi" w:cs="Times New Roman"/>
          <w:color w:val="auto"/>
          <w:szCs w:val="24"/>
        </w:rPr>
        <w:t xml:space="preserve">that the intermittent symptoms and normal findings </w:t>
      </w:r>
      <w:r w:rsidR="00F61A6C" w:rsidRPr="00DB0D30">
        <w:rPr>
          <w:rFonts w:asciiTheme="minorHAnsi" w:hAnsiTheme="minorHAnsi" w:cs="Times New Roman"/>
          <w:color w:val="auto"/>
          <w:szCs w:val="24"/>
        </w:rPr>
        <w:t xml:space="preserve">recorded in that exam </w:t>
      </w:r>
      <w:r w:rsidR="002170B9" w:rsidRPr="00DB0D30">
        <w:rPr>
          <w:rFonts w:asciiTheme="minorHAnsi" w:hAnsiTheme="minorHAnsi" w:cs="Times New Roman"/>
          <w:color w:val="auto"/>
          <w:szCs w:val="24"/>
        </w:rPr>
        <w:t xml:space="preserve">were correctly rated 0% by the VA.  After due deliberation, considering all of the evidence and mindful of VASRD §4.3 (reasonable doubt), the Board recommends a separation rating </w:t>
      </w:r>
      <w:r w:rsidR="002170B9" w:rsidRPr="00652315">
        <w:rPr>
          <w:rFonts w:asciiTheme="minorHAnsi" w:hAnsiTheme="minorHAnsi" w:cs="Times New Roman"/>
          <w:color w:val="auto"/>
          <w:szCs w:val="24"/>
        </w:rPr>
        <w:t>of 0%</w:t>
      </w:r>
      <w:r w:rsidR="00652315">
        <w:rPr>
          <w:rFonts w:asciiTheme="minorHAnsi" w:hAnsiTheme="minorHAnsi" w:cs="Times New Roman"/>
          <w:color w:val="auto"/>
          <w:szCs w:val="24"/>
        </w:rPr>
        <w:t xml:space="preserve"> </w:t>
      </w:r>
      <w:r w:rsidR="002170B9" w:rsidRPr="00DB0D30">
        <w:rPr>
          <w:rFonts w:asciiTheme="minorHAnsi" w:hAnsiTheme="minorHAnsi" w:cs="Times New Roman"/>
          <w:color w:val="auto"/>
          <w:szCs w:val="24"/>
        </w:rPr>
        <w:t>for the right wrist condition, coded 5099-5024.</w:t>
      </w:r>
    </w:p>
    <w:p w:rsidR="005E170A" w:rsidRPr="005E170A" w:rsidRDefault="005E170A" w:rsidP="005E170A">
      <w:pPr>
        <w:jc w:val="left"/>
        <w:rPr>
          <w:rFonts w:asciiTheme="minorHAnsi" w:hAnsiTheme="minorHAnsi" w:cs="Times New Roman"/>
          <w:color w:val="auto"/>
          <w:szCs w:val="24"/>
        </w:rPr>
      </w:pPr>
    </w:p>
    <w:p w:rsidR="005E170A" w:rsidRPr="005E170A" w:rsidRDefault="005E170A" w:rsidP="00DB0D30">
      <w:pPr>
        <w:jc w:val="both"/>
        <w:rPr>
          <w:rFonts w:asciiTheme="minorHAnsi" w:hAnsiTheme="minorHAnsi" w:cs="Times New Roman"/>
          <w:color w:val="auto"/>
          <w:szCs w:val="24"/>
        </w:rPr>
      </w:pPr>
      <w:r w:rsidRPr="005E170A">
        <w:rPr>
          <w:rFonts w:asciiTheme="minorHAnsi" w:hAnsiTheme="minorHAnsi" w:cs="Times New Roman"/>
          <w:color w:val="auto"/>
          <w:szCs w:val="24"/>
        </w:rPr>
        <w:t xml:space="preserve">As previously elaborated, the Board next considered whether the </w:t>
      </w:r>
      <w:r w:rsidR="002170B9">
        <w:rPr>
          <w:rFonts w:asciiTheme="minorHAnsi" w:hAnsiTheme="minorHAnsi" w:cs="Times New Roman"/>
          <w:color w:val="auto"/>
          <w:szCs w:val="24"/>
        </w:rPr>
        <w:t>left wrist</w:t>
      </w:r>
      <w:r w:rsidRPr="005E170A">
        <w:rPr>
          <w:rFonts w:asciiTheme="minorHAnsi" w:hAnsiTheme="minorHAnsi" w:cs="Times New Roman"/>
          <w:color w:val="auto"/>
          <w:szCs w:val="24"/>
        </w:rPr>
        <w:t xml:space="preserve"> condition remains separately unfitting, having de-coupled it from a combined PEB adjudication.  In analyzing the intrinsic impairment for appropriately coding and rating the </w:t>
      </w:r>
      <w:r w:rsidR="002170B9">
        <w:rPr>
          <w:rFonts w:asciiTheme="minorHAnsi" w:hAnsiTheme="minorHAnsi" w:cs="Times New Roman"/>
          <w:color w:val="auto"/>
          <w:szCs w:val="24"/>
        </w:rPr>
        <w:t>left wrist</w:t>
      </w:r>
      <w:r w:rsidR="002170B9" w:rsidRPr="005E170A">
        <w:rPr>
          <w:rFonts w:asciiTheme="minorHAnsi" w:hAnsiTheme="minorHAnsi" w:cs="Times New Roman"/>
          <w:color w:val="auto"/>
          <w:szCs w:val="24"/>
        </w:rPr>
        <w:t xml:space="preserve"> </w:t>
      </w:r>
      <w:r w:rsidRPr="005E170A">
        <w:rPr>
          <w:rFonts w:asciiTheme="minorHAnsi" w:hAnsiTheme="minorHAnsi" w:cs="Times New Roman"/>
          <w:color w:val="auto"/>
          <w:szCs w:val="24"/>
        </w:rPr>
        <w:t xml:space="preserve">condition, the Board is left with a questionable basis for arguing that </w:t>
      </w:r>
      <w:r w:rsidR="002170B9">
        <w:rPr>
          <w:rFonts w:asciiTheme="minorHAnsi" w:hAnsiTheme="minorHAnsi" w:cs="Times New Roman"/>
          <w:color w:val="auto"/>
          <w:szCs w:val="24"/>
        </w:rPr>
        <w:t>left wrist</w:t>
      </w:r>
      <w:r w:rsidR="002170B9" w:rsidRPr="005E170A">
        <w:rPr>
          <w:rFonts w:asciiTheme="minorHAnsi" w:hAnsiTheme="minorHAnsi" w:cs="Times New Roman"/>
          <w:color w:val="auto"/>
          <w:szCs w:val="24"/>
        </w:rPr>
        <w:t xml:space="preserve"> </w:t>
      </w:r>
      <w:r w:rsidRPr="005E170A">
        <w:rPr>
          <w:rFonts w:asciiTheme="minorHAnsi" w:hAnsiTheme="minorHAnsi" w:cs="Times New Roman"/>
          <w:color w:val="auto"/>
          <w:szCs w:val="24"/>
        </w:rPr>
        <w:t xml:space="preserve">pain was indeed independently unfitting.  The </w:t>
      </w:r>
      <w:r w:rsidR="002170B9">
        <w:rPr>
          <w:rFonts w:asciiTheme="minorHAnsi" w:hAnsiTheme="minorHAnsi" w:cs="Times New Roman"/>
          <w:color w:val="auto"/>
          <w:szCs w:val="24"/>
        </w:rPr>
        <w:t>left wrist</w:t>
      </w:r>
      <w:r w:rsidR="002170B9" w:rsidRPr="005E170A">
        <w:rPr>
          <w:rFonts w:asciiTheme="minorHAnsi" w:hAnsiTheme="minorHAnsi" w:cs="Times New Roman"/>
          <w:color w:val="auto"/>
          <w:szCs w:val="24"/>
        </w:rPr>
        <w:t xml:space="preserve"> </w:t>
      </w:r>
      <w:r w:rsidRPr="005E170A">
        <w:rPr>
          <w:rFonts w:asciiTheme="minorHAnsi" w:hAnsiTheme="minorHAnsi" w:cs="Times New Roman"/>
          <w:color w:val="auto"/>
          <w:szCs w:val="24"/>
        </w:rPr>
        <w:t xml:space="preserve">was scantly mentioned in the </w:t>
      </w:r>
      <w:r w:rsidR="002170B9">
        <w:rPr>
          <w:rFonts w:asciiTheme="minorHAnsi" w:hAnsiTheme="minorHAnsi" w:cs="Times New Roman"/>
          <w:color w:val="auto"/>
          <w:szCs w:val="24"/>
        </w:rPr>
        <w:t>service treatment record (</w:t>
      </w:r>
      <w:r w:rsidRPr="005E170A">
        <w:rPr>
          <w:rFonts w:asciiTheme="minorHAnsi" w:hAnsiTheme="minorHAnsi" w:cs="Times New Roman"/>
          <w:color w:val="auto"/>
          <w:szCs w:val="24"/>
        </w:rPr>
        <w:t>STR</w:t>
      </w:r>
      <w:r w:rsidR="002170B9">
        <w:rPr>
          <w:rFonts w:asciiTheme="minorHAnsi" w:hAnsiTheme="minorHAnsi" w:cs="Times New Roman"/>
          <w:color w:val="auto"/>
          <w:szCs w:val="24"/>
        </w:rPr>
        <w:t>) after the 2003 corrective surgery</w:t>
      </w:r>
      <w:r w:rsidRPr="005E170A">
        <w:rPr>
          <w:rFonts w:asciiTheme="minorHAnsi" w:hAnsiTheme="minorHAnsi" w:cs="Times New Roman"/>
          <w:color w:val="auto"/>
          <w:szCs w:val="24"/>
        </w:rPr>
        <w:t>, was minimally symptomatic by the CI’s own assessment, and had no identifiable pathology in evidence</w:t>
      </w:r>
      <w:r w:rsidR="002170B9">
        <w:rPr>
          <w:rFonts w:asciiTheme="minorHAnsi" w:hAnsiTheme="minorHAnsi" w:cs="Times New Roman"/>
          <w:color w:val="auto"/>
          <w:szCs w:val="24"/>
        </w:rPr>
        <w:t xml:space="preserve"> beyond a minimally tender surgical scar</w:t>
      </w:r>
      <w:r w:rsidRPr="005E170A">
        <w:rPr>
          <w:rFonts w:asciiTheme="minorHAnsi" w:hAnsiTheme="minorHAnsi" w:cs="Times New Roman"/>
          <w:color w:val="auto"/>
          <w:szCs w:val="24"/>
        </w:rPr>
        <w:t xml:space="preserve">.  After due deliberation, the Board agreed that evidence does not support a conclusion that </w:t>
      </w:r>
      <w:r w:rsidR="002170B9">
        <w:rPr>
          <w:rFonts w:asciiTheme="minorHAnsi" w:hAnsiTheme="minorHAnsi" w:cs="Times New Roman"/>
          <w:color w:val="auto"/>
          <w:szCs w:val="24"/>
        </w:rPr>
        <w:t>left wrist</w:t>
      </w:r>
      <w:r w:rsidR="002170B9" w:rsidRPr="005E170A">
        <w:rPr>
          <w:rFonts w:asciiTheme="minorHAnsi" w:hAnsiTheme="minorHAnsi" w:cs="Times New Roman"/>
          <w:color w:val="auto"/>
          <w:szCs w:val="24"/>
        </w:rPr>
        <w:t xml:space="preserve"> </w:t>
      </w:r>
      <w:r w:rsidRPr="005E170A">
        <w:rPr>
          <w:rFonts w:asciiTheme="minorHAnsi" w:hAnsiTheme="minorHAnsi" w:cs="Times New Roman"/>
          <w:color w:val="auto"/>
          <w:szCs w:val="24"/>
        </w:rPr>
        <w:t>pain, as an isolated condition, would have rendered the CI incapable of c</w:t>
      </w:r>
      <w:r w:rsidR="00E216B5">
        <w:rPr>
          <w:rFonts w:asciiTheme="minorHAnsi" w:hAnsiTheme="minorHAnsi" w:cs="Times New Roman"/>
          <w:color w:val="auto"/>
          <w:szCs w:val="24"/>
        </w:rPr>
        <w:t>ontinued service within her MOS;</w:t>
      </w:r>
      <w:r w:rsidRPr="005E170A">
        <w:rPr>
          <w:rFonts w:asciiTheme="minorHAnsi" w:hAnsiTheme="minorHAnsi" w:cs="Times New Roman"/>
          <w:color w:val="auto"/>
          <w:szCs w:val="24"/>
        </w:rPr>
        <w:t xml:space="preserve"> and</w:t>
      </w:r>
      <w:r w:rsidR="00E216B5">
        <w:rPr>
          <w:rFonts w:asciiTheme="minorHAnsi" w:hAnsiTheme="minorHAnsi" w:cs="Times New Roman"/>
          <w:color w:val="auto"/>
          <w:szCs w:val="24"/>
        </w:rPr>
        <w:t>,</w:t>
      </w:r>
      <w:r w:rsidRPr="005E170A">
        <w:rPr>
          <w:rFonts w:asciiTheme="minorHAnsi" w:hAnsiTheme="minorHAnsi" w:cs="Times New Roman"/>
          <w:color w:val="auto"/>
          <w:szCs w:val="24"/>
        </w:rPr>
        <w:t xml:space="preserve"> accordingly cannot recommend a separate </w:t>
      </w:r>
      <w:r w:rsidR="00754A60">
        <w:rPr>
          <w:rFonts w:asciiTheme="minorHAnsi" w:hAnsiTheme="minorHAnsi" w:cs="Times New Roman"/>
          <w:color w:val="auto"/>
          <w:szCs w:val="24"/>
        </w:rPr>
        <w:t>s</w:t>
      </w:r>
      <w:r w:rsidRPr="005E170A">
        <w:rPr>
          <w:rFonts w:asciiTheme="minorHAnsi" w:hAnsiTheme="minorHAnsi" w:cs="Times New Roman"/>
          <w:color w:val="auto"/>
          <w:szCs w:val="24"/>
        </w:rPr>
        <w:t>ervice rating for it.</w:t>
      </w:r>
    </w:p>
    <w:p w:rsidR="00990FD6" w:rsidRPr="001F29F9" w:rsidRDefault="00990FD6" w:rsidP="00BF0E94">
      <w:pPr>
        <w:jc w:val="left"/>
        <w:rPr>
          <w:rFonts w:eastAsia="HiddenHorzOCR"/>
          <w:color w:val="000000" w:themeColor="text1"/>
          <w:szCs w:val="24"/>
          <w:u w:val="single"/>
        </w:rPr>
      </w:pPr>
    </w:p>
    <w:p w:rsidR="00374B07" w:rsidRPr="001F29F9" w:rsidRDefault="00EC337D" w:rsidP="00374B07">
      <w:pPr>
        <w:jc w:val="both"/>
        <w:rPr>
          <w:color w:val="000000" w:themeColor="text1"/>
          <w:szCs w:val="24"/>
        </w:rPr>
      </w:pPr>
      <w:r w:rsidRPr="001F29F9">
        <w:rPr>
          <w:color w:val="000000" w:themeColor="text1"/>
          <w:szCs w:val="24"/>
          <w:u w:val="single"/>
        </w:rPr>
        <w:t>Remaining Conditions</w:t>
      </w:r>
      <w:r w:rsidRPr="001F29F9">
        <w:rPr>
          <w:color w:val="000000" w:themeColor="text1"/>
          <w:szCs w:val="24"/>
        </w:rPr>
        <w:t xml:space="preserve">.  </w:t>
      </w:r>
      <w:r w:rsidR="00B340BE" w:rsidRPr="00B340BE">
        <w:rPr>
          <w:color w:val="000000" w:themeColor="text1"/>
          <w:szCs w:val="24"/>
        </w:rPr>
        <w:t xml:space="preserve">Other conditions </w:t>
      </w:r>
      <w:r w:rsidR="0079175A">
        <w:rPr>
          <w:color w:val="000000" w:themeColor="text1"/>
          <w:szCs w:val="24"/>
        </w:rPr>
        <w:t>identified in the DES file were</w:t>
      </w:r>
      <w:r w:rsidR="00B340BE" w:rsidRPr="00B340BE">
        <w:rPr>
          <w:color w:val="000000" w:themeColor="text1"/>
          <w:szCs w:val="24"/>
        </w:rPr>
        <w:t xml:space="preserve"> daytime sleepines</w:t>
      </w:r>
      <w:r w:rsidR="00374B07">
        <w:rPr>
          <w:color w:val="000000" w:themeColor="text1"/>
          <w:szCs w:val="24"/>
        </w:rPr>
        <w:t>s, depressive disorder</w:t>
      </w:r>
      <w:r w:rsidR="00B340BE" w:rsidRPr="00B340BE">
        <w:rPr>
          <w:color w:val="000000" w:themeColor="text1"/>
          <w:szCs w:val="24"/>
        </w:rPr>
        <w:t>,</w:t>
      </w:r>
      <w:r w:rsidR="000221D3">
        <w:rPr>
          <w:color w:val="000000" w:themeColor="text1"/>
          <w:szCs w:val="24"/>
        </w:rPr>
        <w:t xml:space="preserve"> </w:t>
      </w:r>
      <w:r w:rsidR="00374B07" w:rsidRPr="00B340BE">
        <w:rPr>
          <w:color w:val="000000" w:themeColor="text1"/>
          <w:szCs w:val="24"/>
        </w:rPr>
        <w:t>irritable bowel syndrome, urine incontinence,</w:t>
      </w:r>
      <w:r w:rsidR="00374B07">
        <w:rPr>
          <w:color w:val="000000" w:themeColor="text1"/>
          <w:szCs w:val="24"/>
        </w:rPr>
        <w:t xml:space="preserve"> </w:t>
      </w:r>
      <w:r w:rsidR="000221D3">
        <w:rPr>
          <w:color w:val="000000" w:themeColor="text1"/>
          <w:szCs w:val="24"/>
        </w:rPr>
        <w:t>back pain, bilateral knee pain,</w:t>
      </w:r>
      <w:r w:rsidR="00B340BE" w:rsidRPr="00B340BE">
        <w:rPr>
          <w:color w:val="000000" w:themeColor="text1"/>
          <w:szCs w:val="24"/>
        </w:rPr>
        <w:t xml:space="preserve"> chest pains </w:t>
      </w:r>
      <w:r w:rsidR="00374B07">
        <w:rPr>
          <w:color w:val="000000" w:themeColor="text1"/>
          <w:szCs w:val="24"/>
        </w:rPr>
        <w:t>of undetermined nature</w:t>
      </w:r>
      <w:r w:rsidR="00B340BE" w:rsidRPr="00B340BE">
        <w:rPr>
          <w:color w:val="000000" w:themeColor="text1"/>
          <w:szCs w:val="24"/>
        </w:rPr>
        <w:t>, shortness of breath</w:t>
      </w:r>
      <w:r w:rsidR="0079175A">
        <w:rPr>
          <w:color w:val="000000" w:themeColor="text1"/>
          <w:szCs w:val="24"/>
        </w:rPr>
        <w:t>,</w:t>
      </w:r>
      <w:r w:rsidR="00B340BE" w:rsidRPr="00B340BE">
        <w:rPr>
          <w:color w:val="000000" w:themeColor="text1"/>
          <w:szCs w:val="24"/>
        </w:rPr>
        <w:t xml:space="preserve"> and headaches.  Several additional non-acute conditions or medical complaints were</w:t>
      </w:r>
      <w:r w:rsidR="00374B07">
        <w:rPr>
          <w:color w:val="000000" w:themeColor="text1"/>
          <w:szCs w:val="24"/>
        </w:rPr>
        <w:t xml:space="preserve"> also documented.  A sleep study ruled out sleep apnea, and a psychiatric evaluation determined that the depressive disorder did not warrant </w:t>
      </w:r>
      <w:r w:rsidR="00374B07" w:rsidRPr="00374B07">
        <w:rPr>
          <w:color w:val="000000" w:themeColor="text1"/>
          <w:szCs w:val="24"/>
        </w:rPr>
        <w:t>disposition through</w:t>
      </w:r>
      <w:r w:rsidR="00374B07">
        <w:rPr>
          <w:color w:val="000000" w:themeColor="text1"/>
          <w:szCs w:val="24"/>
        </w:rPr>
        <w:t xml:space="preserve"> </w:t>
      </w:r>
      <w:r w:rsidR="00374B07" w:rsidRPr="00374B07">
        <w:rPr>
          <w:color w:val="000000" w:themeColor="text1"/>
          <w:szCs w:val="24"/>
        </w:rPr>
        <w:t>medical or administrative channels</w:t>
      </w:r>
      <w:r w:rsidR="00734633">
        <w:rPr>
          <w:color w:val="000000" w:themeColor="text1"/>
          <w:szCs w:val="24"/>
        </w:rPr>
        <w:t>;</w:t>
      </w:r>
      <w:r w:rsidR="00374B07" w:rsidRPr="00374B07">
        <w:rPr>
          <w:color w:val="000000" w:themeColor="text1"/>
          <w:szCs w:val="24"/>
        </w:rPr>
        <w:t xml:space="preserve"> and </w:t>
      </w:r>
      <w:r w:rsidR="00374B07">
        <w:rPr>
          <w:color w:val="000000" w:themeColor="text1"/>
          <w:szCs w:val="24"/>
        </w:rPr>
        <w:t>did not warrant a psychi</w:t>
      </w:r>
      <w:r w:rsidR="00374B07" w:rsidRPr="00374B07">
        <w:rPr>
          <w:color w:val="000000" w:themeColor="text1"/>
          <w:szCs w:val="24"/>
        </w:rPr>
        <w:t xml:space="preserve">atric addendum </w:t>
      </w:r>
      <w:r w:rsidR="00374B07">
        <w:rPr>
          <w:color w:val="000000" w:themeColor="text1"/>
          <w:szCs w:val="24"/>
        </w:rPr>
        <w:t>to the NARSUM.  None of the other</w:t>
      </w:r>
      <w:r w:rsidR="00B340BE" w:rsidRPr="00B340BE">
        <w:rPr>
          <w:color w:val="000000" w:themeColor="text1"/>
          <w:szCs w:val="24"/>
        </w:rPr>
        <w:t xml:space="preserve"> conditions were significantly clinically or occupational</w:t>
      </w:r>
      <w:r w:rsidR="00734633">
        <w:rPr>
          <w:color w:val="000000" w:themeColor="text1"/>
          <w:szCs w:val="24"/>
        </w:rPr>
        <w:t>ly active during the MEB period; none carried attached profiles;</w:t>
      </w:r>
      <w:r w:rsidR="00B340BE" w:rsidRPr="00B340BE">
        <w:rPr>
          <w:color w:val="000000" w:themeColor="text1"/>
          <w:szCs w:val="24"/>
        </w:rPr>
        <w:t xml:space="preserve"> and</w:t>
      </w:r>
      <w:r w:rsidR="00734633">
        <w:rPr>
          <w:color w:val="000000" w:themeColor="text1"/>
          <w:szCs w:val="24"/>
        </w:rPr>
        <w:t>,</w:t>
      </w:r>
      <w:r w:rsidR="00B340BE" w:rsidRPr="00B340BE">
        <w:rPr>
          <w:color w:val="000000" w:themeColor="text1"/>
          <w:szCs w:val="24"/>
        </w:rPr>
        <w:t xml:space="preserve"> none were implicated in the commander’s statement.  These conditions were reviewed by the </w:t>
      </w:r>
      <w:r w:rsidR="00754A60">
        <w:rPr>
          <w:color w:val="000000" w:themeColor="text1"/>
          <w:szCs w:val="24"/>
        </w:rPr>
        <w:t>a</w:t>
      </w:r>
      <w:r w:rsidR="00734633" w:rsidRPr="00B340BE">
        <w:rPr>
          <w:color w:val="000000" w:themeColor="text1"/>
          <w:szCs w:val="24"/>
        </w:rPr>
        <w:t xml:space="preserve">ction </w:t>
      </w:r>
      <w:r w:rsidR="00754A60">
        <w:rPr>
          <w:color w:val="000000" w:themeColor="text1"/>
          <w:szCs w:val="24"/>
        </w:rPr>
        <w:t>o</w:t>
      </w:r>
      <w:r w:rsidR="00734633" w:rsidRPr="00B340BE">
        <w:rPr>
          <w:color w:val="000000" w:themeColor="text1"/>
          <w:szCs w:val="24"/>
        </w:rPr>
        <w:t xml:space="preserve">fficer </w:t>
      </w:r>
      <w:r w:rsidR="00B340BE" w:rsidRPr="00B340BE">
        <w:rPr>
          <w:color w:val="000000" w:themeColor="text1"/>
          <w:szCs w:val="24"/>
        </w:rPr>
        <w:t xml:space="preserve">and considered by the Board.  It was determined that none could be argued as unfitting and subject to separation rating.  </w:t>
      </w:r>
      <w:r w:rsidR="00374B07" w:rsidRPr="001F29F9">
        <w:rPr>
          <w:color w:val="000000" w:themeColor="text1"/>
          <w:szCs w:val="24"/>
        </w:rPr>
        <w:t>No other conditions were service 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460B71">
      <w:pPr>
        <w:jc w:val="both"/>
        <w:rPr>
          <w:rFonts w:asciiTheme="minorHAnsi" w:hAnsiTheme="minorHAnsi" w:cs="Times New Roman"/>
          <w:color w:val="FF0000"/>
          <w:szCs w:val="24"/>
        </w:rPr>
      </w:pPr>
      <w:r w:rsidRPr="001F29F9">
        <w:rPr>
          <w:color w:val="000000" w:themeColor="text1"/>
          <w:szCs w:val="24"/>
          <w:u w:val="single"/>
        </w:rPr>
        <w:lastRenderedPageBreak/>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374B07">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As discussed above, PEB reliance on the USAPDA pain policy for rating </w:t>
      </w:r>
      <w:r w:rsidR="00374B07">
        <w:rPr>
          <w:rFonts w:asciiTheme="minorHAnsi" w:eastAsiaTheme="minorHAnsi" w:hAnsiTheme="minorHAnsi" w:cs="Times New Roman"/>
          <w:color w:val="auto"/>
          <w:szCs w:val="24"/>
        </w:rPr>
        <w:t>the hip and wrist conditions</w:t>
      </w:r>
      <w:r w:rsidR="003C53E8" w:rsidRPr="003C53E8">
        <w:rPr>
          <w:rFonts w:asciiTheme="minorHAnsi" w:eastAsiaTheme="minorHAnsi" w:hAnsiTheme="minorHAnsi" w:cs="Times New Roman"/>
          <w:color w:val="auto"/>
          <w:szCs w:val="24"/>
        </w:rPr>
        <w:t xml:space="preserve"> was operant in this case and th</w:t>
      </w:r>
      <w:r w:rsidR="00374B07">
        <w:rPr>
          <w:rFonts w:asciiTheme="minorHAnsi" w:eastAsiaTheme="minorHAnsi" w:hAnsiTheme="minorHAnsi" w:cs="Times New Roman"/>
          <w:color w:val="auto"/>
          <w:szCs w:val="24"/>
        </w:rPr>
        <w:t>ose</w:t>
      </w:r>
      <w:r w:rsidR="003C53E8" w:rsidRPr="003C53E8">
        <w:rPr>
          <w:rFonts w:asciiTheme="minorHAnsi" w:eastAsiaTheme="minorHAnsi" w:hAnsiTheme="minorHAnsi" w:cs="Times New Roman"/>
          <w:color w:val="auto"/>
          <w:szCs w:val="24"/>
        </w:rPr>
        <w:t xml:space="preserve"> condition</w:t>
      </w:r>
      <w:r w:rsidR="00374B07">
        <w:rPr>
          <w:rFonts w:asciiTheme="minorHAnsi" w:eastAsiaTheme="minorHAnsi" w:hAnsiTheme="minorHAnsi" w:cs="Times New Roman"/>
          <w:color w:val="auto"/>
          <w:szCs w:val="24"/>
        </w:rPr>
        <w:t>s</w:t>
      </w:r>
      <w:r w:rsidR="003C53E8" w:rsidRPr="003C53E8">
        <w:rPr>
          <w:rFonts w:asciiTheme="minorHAnsi" w:eastAsiaTheme="minorHAnsi" w:hAnsiTheme="minorHAnsi" w:cs="Times New Roman"/>
          <w:color w:val="auto"/>
          <w:szCs w:val="24"/>
        </w:rPr>
        <w:t xml:space="preserve"> </w:t>
      </w:r>
      <w:r w:rsidR="00374B07">
        <w:rPr>
          <w:rFonts w:asciiTheme="minorHAnsi" w:eastAsiaTheme="minorHAnsi" w:hAnsiTheme="minorHAnsi" w:cs="Times New Roman"/>
          <w:color w:val="auto"/>
          <w:szCs w:val="24"/>
        </w:rPr>
        <w:t>were</w:t>
      </w:r>
      <w:r w:rsidR="003C53E8" w:rsidRPr="003C53E8">
        <w:rPr>
          <w:rFonts w:asciiTheme="minorHAnsi" w:eastAsiaTheme="minorHAnsi" w:hAnsiTheme="minorHAnsi" w:cs="Times New Roman"/>
          <w:color w:val="auto"/>
          <w:szCs w:val="24"/>
        </w:rPr>
        <w:t xml:space="preserve"> adjudicated independently of that policy by the Board. </w:t>
      </w:r>
      <w:r w:rsidR="00374B07">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In the matter of the </w:t>
      </w:r>
      <w:r w:rsidR="00374B07">
        <w:rPr>
          <w:rFonts w:asciiTheme="minorHAnsi" w:eastAsiaTheme="minorHAnsi" w:hAnsiTheme="minorHAnsi" w:cs="Times New Roman"/>
          <w:color w:val="auto"/>
          <w:szCs w:val="24"/>
        </w:rPr>
        <w:t xml:space="preserve">right hip </w:t>
      </w:r>
      <w:r w:rsidR="003C53E8" w:rsidRPr="003C53E8">
        <w:rPr>
          <w:rFonts w:asciiTheme="minorHAnsi" w:eastAsiaTheme="minorHAnsi" w:hAnsiTheme="minorHAnsi" w:cs="Times New Roman"/>
          <w:color w:val="auto"/>
          <w:szCs w:val="24"/>
        </w:rPr>
        <w:t xml:space="preserve">condition, the </w:t>
      </w:r>
      <w:r w:rsidR="003C53E8" w:rsidRPr="00652315">
        <w:rPr>
          <w:rFonts w:asciiTheme="minorHAnsi" w:eastAsiaTheme="minorHAnsi" w:hAnsiTheme="minorHAnsi" w:cs="Times New Roman"/>
          <w:color w:val="auto"/>
          <w:szCs w:val="24"/>
        </w:rPr>
        <w:t>Board unanimously recommends</w:t>
      </w:r>
      <w:r w:rsidR="003C53E8" w:rsidRPr="003C53E8">
        <w:rPr>
          <w:rFonts w:asciiTheme="minorHAnsi" w:eastAsiaTheme="minorHAnsi" w:hAnsiTheme="minorHAnsi" w:cs="Times New Roman"/>
          <w:color w:val="auto"/>
          <w:szCs w:val="24"/>
        </w:rPr>
        <w:t xml:space="preserve"> a rating of </w:t>
      </w:r>
      <w:r w:rsidR="00374B07">
        <w:rPr>
          <w:rFonts w:asciiTheme="minorHAnsi" w:eastAsiaTheme="minorHAnsi" w:hAnsiTheme="minorHAnsi" w:cs="Times New Roman"/>
          <w:color w:val="auto"/>
          <w:szCs w:val="24"/>
        </w:rPr>
        <w:t>1</w:t>
      </w:r>
      <w:r w:rsidR="003C53E8" w:rsidRPr="003C53E8">
        <w:rPr>
          <w:rFonts w:asciiTheme="minorHAnsi" w:eastAsiaTheme="minorHAnsi" w:hAnsiTheme="minorHAnsi" w:cs="Times New Roman"/>
          <w:color w:val="auto"/>
          <w:szCs w:val="24"/>
        </w:rPr>
        <w:t xml:space="preserve">0% coded </w:t>
      </w:r>
      <w:r w:rsidR="00374B07">
        <w:rPr>
          <w:rFonts w:asciiTheme="minorHAnsi" w:eastAsiaTheme="minorHAnsi" w:hAnsiTheme="minorHAnsi" w:cs="Times New Roman"/>
          <w:color w:val="auto"/>
          <w:szCs w:val="24"/>
        </w:rPr>
        <w:t>5019</w:t>
      </w:r>
      <w:r w:rsidR="003C53E8" w:rsidRPr="003C53E8">
        <w:rPr>
          <w:rFonts w:asciiTheme="minorHAnsi" w:eastAsia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IAW </w:t>
      </w:r>
      <w:r w:rsidR="003C53E8" w:rsidRPr="00374B07">
        <w:rPr>
          <w:rFonts w:asciiTheme="minorHAnsi" w:hAnsiTheme="minorHAnsi" w:cs="Times New Roman"/>
          <w:color w:val="auto"/>
          <w:szCs w:val="24"/>
        </w:rPr>
        <w:t>VASRD §4.71a.</w:t>
      </w:r>
      <w:r w:rsidR="003C53E8" w:rsidRPr="003C53E8">
        <w:rPr>
          <w:rFonts w:asciiTheme="minorHAnsi" w:hAnsiTheme="minorHAnsi" w:cs="Times New Roman"/>
          <w:color w:val="auto"/>
          <w:szCs w:val="24"/>
        </w:rPr>
        <w:t xml:space="preserve">  </w:t>
      </w:r>
      <w:r w:rsidR="00460B71" w:rsidRPr="003C53E8">
        <w:rPr>
          <w:rFonts w:asciiTheme="minorHAnsi" w:eastAsiaTheme="minorHAnsi" w:hAnsiTheme="minorHAnsi" w:cs="Times New Roman"/>
          <w:color w:val="auto"/>
          <w:szCs w:val="24"/>
        </w:rPr>
        <w:t xml:space="preserve">In the matter of the bilateral </w:t>
      </w:r>
      <w:r w:rsidR="00460B71">
        <w:rPr>
          <w:rFonts w:asciiTheme="minorHAnsi" w:eastAsiaTheme="minorHAnsi" w:hAnsiTheme="minorHAnsi" w:cs="Times New Roman"/>
          <w:color w:val="auto"/>
          <w:szCs w:val="24"/>
        </w:rPr>
        <w:t>wrist</w:t>
      </w:r>
      <w:r w:rsidR="00460B71" w:rsidRPr="003C53E8">
        <w:rPr>
          <w:rFonts w:asciiTheme="minorHAnsi" w:eastAsiaTheme="minorHAnsi" w:hAnsiTheme="minorHAnsi" w:cs="Times New Roman"/>
          <w:color w:val="auto"/>
          <w:szCs w:val="24"/>
        </w:rPr>
        <w:t xml:space="preserve"> condition, the </w:t>
      </w:r>
      <w:r w:rsidR="00460B71" w:rsidRPr="00652315">
        <w:rPr>
          <w:rFonts w:asciiTheme="minorHAnsi" w:eastAsiaTheme="minorHAnsi" w:hAnsiTheme="minorHAnsi" w:cs="Times New Roman"/>
          <w:color w:val="auto"/>
          <w:szCs w:val="24"/>
        </w:rPr>
        <w:t>Board unanimously</w:t>
      </w:r>
      <w:r w:rsidR="00460B71" w:rsidRPr="003C53E8">
        <w:rPr>
          <w:rFonts w:asciiTheme="minorHAnsi" w:eastAsiaTheme="minorHAnsi" w:hAnsiTheme="minorHAnsi" w:cs="Times New Roman"/>
          <w:color w:val="auto"/>
          <w:szCs w:val="24"/>
        </w:rPr>
        <w:t xml:space="preserve"> recommends that each joint be separately adjudicated as follows: an unfitting right </w:t>
      </w:r>
      <w:r w:rsidR="00460B71">
        <w:rPr>
          <w:rFonts w:asciiTheme="minorHAnsi" w:eastAsiaTheme="minorHAnsi" w:hAnsiTheme="minorHAnsi" w:cs="Times New Roman"/>
          <w:color w:val="auto"/>
          <w:szCs w:val="24"/>
        </w:rPr>
        <w:t>wrist</w:t>
      </w:r>
      <w:r w:rsidR="00460B71" w:rsidRPr="003C53E8">
        <w:rPr>
          <w:rFonts w:asciiTheme="minorHAnsi" w:eastAsiaTheme="minorHAnsi" w:hAnsiTheme="minorHAnsi" w:cs="Times New Roman"/>
          <w:color w:val="auto"/>
          <w:szCs w:val="24"/>
        </w:rPr>
        <w:t xml:space="preserve"> condition coded </w:t>
      </w:r>
      <w:r w:rsidR="00460B71">
        <w:rPr>
          <w:rFonts w:asciiTheme="minorHAnsi" w:hAnsiTheme="minorHAnsi" w:cs="Times New Roman"/>
          <w:color w:val="auto"/>
          <w:szCs w:val="24"/>
        </w:rPr>
        <w:t xml:space="preserve">5099-5024 </w:t>
      </w:r>
      <w:r w:rsidR="00460B71" w:rsidRPr="003C53E8">
        <w:rPr>
          <w:rFonts w:asciiTheme="minorHAnsi" w:eastAsiaTheme="minorHAnsi" w:hAnsiTheme="minorHAnsi" w:cs="Times New Roman"/>
          <w:color w:val="auto"/>
          <w:szCs w:val="24"/>
        </w:rPr>
        <w:t xml:space="preserve">and </w:t>
      </w:r>
      <w:r w:rsidR="00460B71" w:rsidRPr="00652315">
        <w:rPr>
          <w:rFonts w:asciiTheme="minorHAnsi" w:eastAsiaTheme="minorHAnsi" w:hAnsiTheme="minorHAnsi" w:cs="Times New Roman"/>
          <w:color w:val="auto"/>
          <w:szCs w:val="24"/>
        </w:rPr>
        <w:t>rated 0%</w:t>
      </w:r>
      <w:r w:rsidR="00652315">
        <w:rPr>
          <w:rFonts w:asciiTheme="minorHAnsi" w:eastAsiaTheme="minorHAnsi" w:hAnsiTheme="minorHAnsi" w:cs="Times New Roman"/>
          <w:color w:val="auto"/>
          <w:szCs w:val="24"/>
        </w:rPr>
        <w:t xml:space="preserve"> </w:t>
      </w:r>
      <w:r w:rsidR="00460B71" w:rsidRPr="00652315">
        <w:rPr>
          <w:rFonts w:asciiTheme="minorHAnsi" w:hAnsiTheme="minorHAnsi" w:cs="Times New Roman"/>
          <w:color w:val="auto"/>
          <w:szCs w:val="24"/>
        </w:rPr>
        <w:t>IAW</w:t>
      </w:r>
      <w:r w:rsidR="00460B71" w:rsidRPr="003C53E8">
        <w:rPr>
          <w:rFonts w:asciiTheme="minorHAnsi" w:hAnsiTheme="minorHAnsi" w:cs="Times New Roman"/>
          <w:color w:val="auto"/>
          <w:szCs w:val="24"/>
        </w:rPr>
        <w:t xml:space="preserve"> VASRD §4.71a</w:t>
      </w:r>
      <w:r w:rsidR="00460B71">
        <w:rPr>
          <w:rFonts w:asciiTheme="minorHAnsi" w:hAnsiTheme="minorHAnsi" w:cs="Times New Roman"/>
          <w:color w:val="auto"/>
          <w:szCs w:val="24"/>
        </w:rPr>
        <w:t>;</w:t>
      </w:r>
      <w:r w:rsidR="00460B71" w:rsidRPr="003C53E8">
        <w:rPr>
          <w:rFonts w:asciiTheme="minorHAnsi" w:eastAsiaTheme="minorHAnsi" w:hAnsiTheme="minorHAnsi" w:cs="Times New Roman"/>
          <w:color w:val="auto"/>
          <w:szCs w:val="24"/>
        </w:rPr>
        <w:t xml:space="preserve"> and, a</w:t>
      </w:r>
      <w:r w:rsidR="00460B71">
        <w:rPr>
          <w:rFonts w:asciiTheme="minorHAnsi" w:eastAsiaTheme="minorHAnsi" w:hAnsiTheme="minorHAnsi" w:cs="Times New Roman"/>
          <w:color w:val="auto"/>
          <w:szCs w:val="24"/>
        </w:rPr>
        <w:t xml:space="preserve"> </w:t>
      </w:r>
      <w:r w:rsidR="00734633">
        <w:rPr>
          <w:rFonts w:asciiTheme="minorHAnsi" w:eastAsiaTheme="minorHAnsi" w:hAnsiTheme="minorHAnsi" w:cs="Times New Roman"/>
          <w:color w:val="auto"/>
          <w:szCs w:val="24"/>
        </w:rPr>
        <w:t xml:space="preserve">determination </w:t>
      </w:r>
      <w:r w:rsidR="0079175A">
        <w:rPr>
          <w:rFonts w:asciiTheme="minorHAnsi" w:eastAsiaTheme="minorHAnsi" w:hAnsiTheme="minorHAnsi" w:cs="Times New Roman"/>
          <w:color w:val="auto"/>
          <w:szCs w:val="24"/>
        </w:rPr>
        <w:t>that the</w:t>
      </w:r>
      <w:r w:rsidR="00734633">
        <w:rPr>
          <w:rFonts w:asciiTheme="minorHAnsi" w:eastAsiaTheme="minorHAnsi" w:hAnsiTheme="minorHAnsi" w:cs="Times New Roman"/>
          <w:color w:val="auto"/>
          <w:szCs w:val="24"/>
        </w:rPr>
        <w:t xml:space="preserve"> </w:t>
      </w:r>
      <w:r w:rsidR="00460B71" w:rsidRPr="003C53E8">
        <w:rPr>
          <w:rFonts w:asciiTheme="minorHAnsi" w:eastAsiaTheme="minorHAnsi" w:hAnsiTheme="minorHAnsi" w:cs="Times New Roman"/>
          <w:color w:val="auto"/>
          <w:szCs w:val="24"/>
        </w:rPr>
        <w:t xml:space="preserve">left </w:t>
      </w:r>
      <w:r w:rsidR="00460B71">
        <w:rPr>
          <w:rFonts w:asciiTheme="minorHAnsi" w:eastAsiaTheme="minorHAnsi" w:hAnsiTheme="minorHAnsi" w:cs="Times New Roman"/>
          <w:color w:val="auto"/>
          <w:szCs w:val="24"/>
        </w:rPr>
        <w:t>wrist</w:t>
      </w:r>
      <w:r w:rsidR="00460B71" w:rsidRPr="003C53E8">
        <w:rPr>
          <w:rFonts w:asciiTheme="minorHAnsi" w:eastAsiaTheme="minorHAnsi" w:hAnsiTheme="minorHAnsi" w:cs="Times New Roman"/>
          <w:color w:val="auto"/>
          <w:szCs w:val="24"/>
        </w:rPr>
        <w:t xml:space="preserve"> condition</w:t>
      </w:r>
      <w:r w:rsidR="0079175A" w:rsidRPr="0079175A">
        <w:rPr>
          <w:rFonts w:asciiTheme="minorHAnsi" w:eastAsiaTheme="minorHAnsi" w:hAnsiTheme="minorHAnsi" w:cs="Times New Roman"/>
          <w:color w:val="auto"/>
          <w:szCs w:val="24"/>
        </w:rPr>
        <w:t xml:space="preserve"> </w:t>
      </w:r>
      <w:r w:rsidR="0079175A">
        <w:rPr>
          <w:rFonts w:asciiTheme="minorHAnsi" w:eastAsiaTheme="minorHAnsi" w:hAnsiTheme="minorHAnsi" w:cs="Times New Roman"/>
          <w:color w:val="auto"/>
          <w:szCs w:val="24"/>
        </w:rPr>
        <w:t xml:space="preserve">was </w:t>
      </w:r>
      <w:r w:rsidR="0079175A" w:rsidRPr="003C53E8">
        <w:rPr>
          <w:rFonts w:asciiTheme="minorHAnsi" w:eastAsiaTheme="minorHAnsi" w:hAnsiTheme="minorHAnsi" w:cs="Times New Roman"/>
          <w:color w:val="auto"/>
          <w:szCs w:val="24"/>
        </w:rPr>
        <w:t>n</w:t>
      </w:r>
      <w:r w:rsidR="0079175A">
        <w:rPr>
          <w:rFonts w:asciiTheme="minorHAnsi" w:eastAsiaTheme="minorHAnsi" w:hAnsiTheme="minorHAnsi" w:cs="Times New Roman"/>
          <w:color w:val="auto"/>
          <w:szCs w:val="24"/>
        </w:rPr>
        <w:t>ot</w:t>
      </w:r>
      <w:r w:rsidR="0079175A" w:rsidRPr="003C53E8">
        <w:rPr>
          <w:rFonts w:asciiTheme="minorHAnsi" w:eastAsiaTheme="minorHAnsi" w:hAnsiTheme="minorHAnsi" w:cs="Times New Roman"/>
          <w:color w:val="auto"/>
          <w:szCs w:val="24"/>
        </w:rPr>
        <w:t xml:space="preserve"> unfitting</w:t>
      </w:r>
      <w:r w:rsidR="0079175A">
        <w:rPr>
          <w:rFonts w:asciiTheme="minorHAnsi" w:eastAsiaTheme="minorHAnsi" w:hAnsiTheme="minorHAnsi" w:cs="Times New Roman"/>
          <w:color w:val="auto"/>
          <w:szCs w:val="24"/>
        </w:rPr>
        <w:t xml:space="preserve"> and ratable at separation</w:t>
      </w:r>
      <w:r w:rsidR="00460B71" w:rsidRPr="003C53E8">
        <w:rPr>
          <w:rFonts w:asciiTheme="minorHAnsi" w:hAnsiTheme="minorHAnsi" w:cs="Times New Roman"/>
          <w:color w:val="auto"/>
          <w:szCs w:val="24"/>
        </w:rPr>
        <w:t xml:space="preserve">.  In the matter of the </w:t>
      </w:r>
      <w:r w:rsidR="00460B71">
        <w:rPr>
          <w:rFonts w:asciiTheme="minorHAnsi" w:eastAsiaTheme="minorHAnsi" w:hAnsiTheme="minorHAnsi" w:cs="Times New Roman"/>
          <w:color w:val="auto"/>
          <w:szCs w:val="24"/>
        </w:rPr>
        <w:t>sleep disorder</w:t>
      </w:r>
      <w:r w:rsidR="00460B71" w:rsidRPr="003C53E8">
        <w:rPr>
          <w:rFonts w:asciiTheme="minorHAnsi" w:eastAsiaTheme="minorHAnsi" w:hAnsiTheme="minorHAnsi" w:cs="Times New Roman"/>
          <w:color w:val="auto"/>
          <w:szCs w:val="24"/>
        </w:rPr>
        <w:t xml:space="preserve"> and </w:t>
      </w:r>
      <w:r w:rsidR="00460B71">
        <w:rPr>
          <w:rFonts w:asciiTheme="minorHAnsi" w:eastAsiaTheme="minorHAnsi" w:hAnsiTheme="minorHAnsi" w:cs="Times New Roman"/>
          <w:color w:val="auto"/>
          <w:szCs w:val="24"/>
        </w:rPr>
        <w:t xml:space="preserve">depressive </w:t>
      </w:r>
      <w:r w:rsidR="00460B71" w:rsidRPr="00734633">
        <w:rPr>
          <w:rFonts w:asciiTheme="minorHAnsi" w:eastAsiaTheme="minorHAnsi" w:hAnsiTheme="minorHAnsi" w:cs="Times New Roman"/>
          <w:color w:val="auto"/>
          <w:szCs w:val="24"/>
        </w:rPr>
        <w:t>disorder conditions</w:t>
      </w:r>
      <w:r w:rsidR="00460B71" w:rsidRPr="00734633">
        <w:rPr>
          <w:rFonts w:asciiTheme="minorHAnsi" w:hAnsiTheme="minorHAnsi" w:cs="Times New Roman"/>
          <w:color w:val="auto"/>
          <w:szCs w:val="24"/>
        </w:rPr>
        <w:t xml:space="preserve"> or any other medical conditions eligible for Board consideration; the Board unanimously agrees</w:t>
      </w:r>
      <w:r w:rsidR="00460B71" w:rsidRPr="003C53E8">
        <w:rPr>
          <w:rFonts w:asciiTheme="minorHAnsi" w:hAnsiTheme="minorHAnsi" w:cs="Times New Roman"/>
          <w:color w:val="auto"/>
          <w:szCs w:val="24"/>
        </w:rPr>
        <w:t xml:space="preserve"> that it cannot</w:t>
      </w:r>
      <w:r w:rsidR="00460B71" w:rsidRPr="003C53E8">
        <w:rPr>
          <w:rFonts w:asciiTheme="minorHAnsi" w:hAnsiTheme="minorHAnsi" w:cs="Times New Roman"/>
          <w:color w:val="000080"/>
          <w:szCs w:val="24"/>
        </w:rPr>
        <w:t xml:space="preserve"> </w:t>
      </w:r>
      <w:r w:rsidR="00460B71" w:rsidRPr="003C53E8">
        <w:rPr>
          <w:rFonts w:asciiTheme="minorHAnsi" w:hAnsiTheme="minorHAnsi" w:cs="Times New Roman"/>
          <w:color w:val="auto"/>
          <w:szCs w:val="24"/>
        </w:rPr>
        <w:t>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460B71" w:rsidRPr="00460B71">
        <w:rPr>
          <w:color w:val="000000" w:themeColor="text1"/>
          <w:szCs w:val="24"/>
        </w:rPr>
        <w:t xml:space="preserve"> </w:t>
      </w:r>
      <w:r w:rsidR="00460B71">
        <w:rPr>
          <w:color w:val="000000" w:themeColor="text1"/>
          <w:szCs w:val="24"/>
        </w:rPr>
        <w:t xml:space="preserve"> </w:t>
      </w:r>
      <w:r w:rsidR="00460B71" w:rsidRPr="001F29F9">
        <w:rPr>
          <w:color w:val="000000" w:themeColor="text1"/>
          <w:szCs w:val="24"/>
        </w:rPr>
        <w:t>The Board recommends that the CI’s prior determination be modified as follows,</w:t>
      </w:r>
      <w:r w:rsidR="00460B71">
        <w:rPr>
          <w:color w:val="000000" w:themeColor="text1"/>
          <w:szCs w:val="24"/>
        </w:rPr>
        <w:t xml:space="preserve"> effective as of the date of </w:t>
      </w:r>
      <w:r w:rsidR="00460B71" w:rsidRPr="00460B71">
        <w:rPr>
          <w:color w:val="000000" w:themeColor="text1"/>
          <w:szCs w:val="24"/>
        </w:rPr>
        <w:t>her</w:t>
      </w:r>
      <w:r w:rsidR="00460B71" w:rsidRPr="001F29F9">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734633" w:rsidP="00734633">
            <w:pPr>
              <w:tabs>
                <w:tab w:val="left" w:pos="288"/>
                <w:tab w:val="left" w:pos="4752"/>
              </w:tabs>
              <w:jc w:val="left"/>
              <w:rPr>
                <w:color w:val="000000" w:themeColor="text1"/>
                <w:szCs w:val="24"/>
              </w:rPr>
            </w:pPr>
            <w:r>
              <w:rPr>
                <w:color w:val="000000" w:themeColor="text1"/>
                <w:szCs w:val="24"/>
              </w:rPr>
              <w:t xml:space="preserve">Bursitis, </w:t>
            </w:r>
            <w:r w:rsidR="00555541">
              <w:rPr>
                <w:color w:val="000000" w:themeColor="text1"/>
                <w:szCs w:val="24"/>
              </w:rPr>
              <w:t xml:space="preserve">Right Hip </w:t>
            </w:r>
          </w:p>
        </w:tc>
        <w:tc>
          <w:tcPr>
            <w:tcW w:w="1710" w:type="dxa"/>
            <w:vAlign w:val="center"/>
          </w:tcPr>
          <w:p w:rsidR="00A95BBA" w:rsidRPr="001F29F9" w:rsidRDefault="00555541" w:rsidP="00BF0E94">
            <w:pPr>
              <w:tabs>
                <w:tab w:val="left" w:pos="288"/>
                <w:tab w:val="left" w:pos="4752"/>
              </w:tabs>
              <w:rPr>
                <w:color w:val="000000" w:themeColor="text1"/>
                <w:szCs w:val="24"/>
              </w:rPr>
            </w:pPr>
            <w:r>
              <w:rPr>
                <w:color w:val="000000" w:themeColor="text1"/>
                <w:szCs w:val="24"/>
              </w:rPr>
              <w:t>5019</w:t>
            </w:r>
          </w:p>
        </w:tc>
        <w:tc>
          <w:tcPr>
            <w:tcW w:w="1170" w:type="dxa"/>
            <w:vAlign w:val="center"/>
          </w:tcPr>
          <w:p w:rsidR="00A95BBA" w:rsidRPr="001F29F9" w:rsidRDefault="00555541" w:rsidP="00BF0E94">
            <w:pPr>
              <w:tabs>
                <w:tab w:val="left" w:pos="288"/>
                <w:tab w:val="left" w:pos="4752"/>
              </w:tabs>
              <w:rPr>
                <w:color w:val="000000" w:themeColor="text1"/>
                <w:szCs w:val="24"/>
              </w:rPr>
            </w:pPr>
            <w:r>
              <w:rPr>
                <w:color w:val="000000" w:themeColor="text1"/>
                <w:szCs w:val="24"/>
              </w:rPr>
              <w:t>10</w:t>
            </w:r>
            <w:r w:rsidR="00A95BBA" w:rsidRPr="001F29F9">
              <w:rPr>
                <w:color w:val="000000" w:themeColor="text1"/>
                <w:szCs w:val="24"/>
              </w:rPr>
              <w:t>%</w:t>
            </w:r>
          </w:p>
        </w:tc>
      </w:tr>
      <w:tr w:rsidR="00460B71" w:rsidRPr="001F29F9" w:rsidTr="0080588E">
        <w:trPr>
          <w:jc w:val="center"/>
        </w:trPr>
        <w:tc>
          <w:tcPr>
            <w:tcW w:w="6282" w:type="dxa"/>
            <w:vAlign w:val="center"/>
          </w:tcPr>
          <w:p w:rsidR="00460B71" w:rsidRPr="00460B71" w:rsidRDefault="00E216B5" w:rsidP="00E216B5">
            <w:pPr>
              <w:tabs>
                <w:tab w:val="left" w:pos="288"/>
                <w:tab w:val="left" w:pos="4752"/>
              </w:tabs>
              <w:jc w:val="left"/>
              <w:rPr>
                <w:color w:val="000000" w:themeColor="text1"/>
                <w:szCs w:val="24"/>
              </w:rPr>
            </w:pPr>
            <w:r>
              <w:rPr>
                <w:color w:val="000000" w:themeColor="text1"/>
                <w:szCs w:val="24"/>
              </w:rPr>
              <w:t xml:space="preserve">Ganglion Cyst and Surgical Residuals, </w:t>
            </w:r>
            <w:r w:rsidR="00555541">
              <w:rPr>
                <w:color w:val="000000" w:themeColor="text1"/>
                <w:szCs w:val="24"/>
              </w:rPr>
              <w:t>Right Wrist</w:t>
            </w:r>
          </w:p>
        </w:tc>
        <w:tc>
          <w:tcPr>
            <w:tcW w:w="1710" w:type="dxa"/>
            <w:vAlign w:val="center"/>
          </w:tcPr>
          <w:p w:rsidR="00460B71" w:rsidRPr="00460B71" w:rsidRDefault="00555541" w:rsidP="00BF0E94">
            <w:pPr>
              <w:tabs>
                <w:tab w:val="left" w:pos="288"/>
                <w:tab w:val="left" w:pos="4752"/>
              </w:tabs>
              <w:rPr>
                <w:color w:val="000000" w:themeColor="text1"/>
                <w:szCs w:val="24"/>
              </w:rPr>
            </w:pPr>
            <w:r>
              <w:rPr>
                <w:color w:val="000000" w:themeColor="text1"/>
                <w:szCs w:val="24"/>
              </w:rPr>
              <w:t>5099-5024</w:t>
            </w:r>
          </w:p>
        </w:tc>
        <w:tc>
          <w:tcPr>
            <w:tcW w:w="1170" w:type="dxa"/>
            <w:vAlign w:val="center"/>
          </w:tcPr>
          <w:p w:rsidR="00460B71" w:rsidRPr="00652315" w:rsidRDefault="00555541" w:rsidP="00BF0E94">
            <w:pPr>
              <w:tabs>
                <w:tab w:val="left" w:pos="288"/>
                <w:tab w:val="left" w:pos="4752"/>
              </w:tabs>
              <w:rPr>
                <w:color w:val="000000" w:themeColor="text1"/>
                <w:szCs w:val="24"/>
              </w:rPr>
            </w:pPr>
            <w:r w:rsidRPr="00652315">
              <w:rPr>
                <w:color w:val="000000" w:themeColor="text1"/>
                <w:szCs w:val="24"/>
              </w:rPr>
              <w:t>0%</w:t>
            </w:r>
          </w:p>
        </w:tc>
      </w:tr>
      <w:tr w:rsidR="00555541" w:rsidRPr="001F29F9" w:rsidTr="00330545">
        <w:trPr>
          <w:jc w:val="center"/>
        </w:trPr>
        <w:tc>
          <w:tcPr>
            <w:tcW w:w="6282" w:type="dxa"/>
            <w:vAlign w:val="center"/>
          </w:tcPr>
          <w:p w:rsidR="00555541" w:rsidRPr="00460B71" w:rsidRDefault="00E216B5" w:rsidP="00E216B5">
            <w:pPr>
              <w:tabs>
                <w:tab w:val="left" w:pos="288"/>
                <w:tab w:val="left" w:pos="4752"/>
              </w:tabs>
              <w:jc w:val="left"/>
              <w:rPr>
                <w:color w:val="000000" w:themeColor="text1"/>
                <w:szCs w:val="24"/>
              </w:rPr>
            </w:pPr>
            <w:r>
              <w:rPr>
                <w:color w:val="000000" w:themeColor="text1"/>
                <w:szCs w:val="24"/>
              </w:rPr>
              <w:t xml:space="preserve">Ganglion Cyst and Surgical Residuals, </w:t>
            </w:r>
            <w:r w:rsidR="00555541">
              <w:rPr>
                <w:color w:val="000000" w:themeColor="text1"/>
                <w:szCs w:val="24"/>
              </w:rPr>
              <w:t xml:space="preserve">Left Wrist </w:t>
            </w:r>
          </w:p>
        </w:tc>
        <w:tc>
          <w:tcPr>
            <w:tcW w:w="2880" w:type="dxa"/>
            <w:gridSpan w:val="2"/>
            <w:vAlign w:val="center"/>
          </w:tcPr>
          <w:p w:rsidR="00555541" w:rsidRPr="00652315" w:rsidRDefault="00555541" w:rsidP="00BF0E94">
            <w:pPr>
              <w:tabs>
                <w:tab w:val="left" w:pos="288"/>
                <w:tab w:val="left" w:pos="4752"/>
              </w:tabs>
              <w:rPr>
                <w:color w:val="000000" w:themeColor="text1"/>
                <w:szCs w:val="24"/>
              </w:rPr>
            </w:pPr>
            <w:r w:rsidRPr="00652315">
              <w:rPr>
                <w:color w:val="000000" w:themeColor="text1"/>
                <w:szCs w:val="24"/>
              </w:rPr>
              <w:t>Not Unfitting</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652315" w:rsidRDefault="00555541" w:rsidP="00BF0E94">
            <w:pPr>
              <w:tabs>
                <w:tab w:val="left" w:pos="288"/>
                <w:tab w:val="left" w:pos="4752"/>
              </w:tabs>
              <w:rPr>
                <w:b/>
                <w:color w:val="000000" w:themeColor="text1"/>
                <w:szCs w:val="24"/>
              </w:rPr>
            </w:pPr>
            <w:r w:rsidRPr="00652315">
              <w:rPr>
                <w:b/>
                <w:color w:val="000000" w:themeColor="text1"/>
                <w:szCs w:val="24"/>
              </w:rPr>
              <w:t>10</w:t>
            </w:r>
            <w:r w:rsidR="00A95BBA" w:rsidRPr="00652315">
              <w:rPr>
                <w:b/>
                <w:color w:val="000000" w:themeColor="text1"/>
                <w:szCs w:val="24"/>
              </w:rPr>
              <w:t>%</w:t>
            </w:r>
          </w:p>
        </w:tc>
      </w:tr>
    </w:tbl>
    <w:p w:rsidR="00734633" w:rsidRPr="001F29F9" w:rsidRDefault="00734633"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AA4BF8">
        <w:rPr>
          <w:color w:val="000000" w:themeColor="text1"/>
          <w:szCs w:val="24"/>
        </w:rPr>
        <w:t>10523</w:t>
      </w:r>
      <w:r w:rsidR="00754A60">
        <w:rPr>
          <w:color w:val="000000" w:themeColor="text1"/>
        </w:rPr>
        <w:t>, w/</w:t>
      </w:r>
      <w:proofErr w:type="spellStart"/>
      <w:r w:rsidR="00754A60">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754A60">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754A60">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332E4"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332E4" w:rsidRDefault="002332E4">
      <w:pPr>
        <w:rPr>
          <w:color w:val="000000" w:themeColor="text1"/>
          <w:szCs w:val="24"/>
        </w:rPr>
      </w:pPr>
      <w:r>
        <w:rPr>
          <w:color w:val="000000" w:themeColor="text1"/>
          <w:szCs w:val="24"/>
        </w:rPr>
        <w:br w:type="page"/>
      </w:r>
    </w:p>
    <w:p w:rsidR="002332E4" w:rsidRDefault="002332E4" w:rsidP="002332E4">
      <w:pPr>
        <w:pStyle w:val="Header"/>
        <w:tabs>
          <w:tab w:val="clear" w:pos="4320"/>
          <w:tab w:val="clear" w:pos="8640"/>
        </w:tabs>
        <w:jc w:val="left"/>
      </w:pPr>
      <w:r>
        <w:lastRenderedPageBreak/>
        <w:t>SFMR-RB</w:t>
      </w:r>
      <w:r>
        <w:tab/>
      </w:r>
      <w:r>
        <w:tab/>
      </w:r>
      <w:r>
        <w:tab/>
      </w:r>
      <w:r>
        <w:tab/>
      </w:r>
      <w:r>
        <w:tab/>
      </w:r>
      <w:r>
        <w:tab/>
      </w:r>
      <w:r>
        <w:tab/>
      </w:r>
      <w:r>
        <w:tab/>
      </w:r>
      <w:r>
        <w:tab/>
      </w:r>
    </w:p>
    <w:p w:rsidR="002332E4" w:rsidRDefault="002332E4" w:rsidP="002332E4">
      <w:pPr>
        <w:pStyle w:val="Header"/>
        <w:tabs>
          <w:tab w:val="clear" w:pos="4320"/>
          <w:tab w:val="clear" w:pos="8640"/>
        </w:tabs>
        <w:jc w:val="left"/>
      </w:pPr>
    </w:p>
    <w:p w:rsidR="002332E4" w:rsidRDefault="002332E4" w:rsidP="002332E4">
      <w:pPr>
        <w:jc w:val="left"/>
      </w:pPr>
    </w:p>
    <w:p w:rsidR="002332E4" w:rsidRDefault="002332E4" w:rsidP="002332E4">
      <w:pPr>
        <w:jc w:val="left"/>
      </w:pPr>
      <w:r>
        <w:t xml:space="preserve">MEMORANDUM FOR Commander, US Army Physical Disability Agency </w:t>
      </w:r>
    </w:p>
    <w:p w:rsidR="002332E4" w:rsidRDefault="002332E4" w:rsidP="002332E4">
      <w:pPr>
        <w:jc w:val="left"/>
      </w:pPr>
      <w:r>
        <w:t xml:space="preserve"> </w:t>
      </w:r>
    </w:p>
    <w:p w:rsidR="002332E4" w:rsidRDefault="002332E4" w:rsidP="002332E4">
      <w:pPr>
        <w:jc w:val="left"/>
      </w:pPr>
    </w:p>
    <w:p w:rsidR="002332E4" w:rsidRDefault="002332E4" w:rsidP="002332E4">
      <w:pPr>
        <w:ind w:right="-180"/>
        <w:jc w:val="left"/>
      </w:pPr>
      <w:r>
        <w:t xml:space="preserve">SUBJECT:  Department of Defense Physical Disability Board of Review Recommendation </w:t>
      </w:r>
    </w:p>
    <w:p w:rsidR="002332E4" w:rsidRDefault="002332E4" w:rsidP="002332E4">
      <w:pPr>
        <w:pStyle w:val="Header"/>
        <w:tabs>
          <w:tab w:val="left" w:pos="720"/>
        </w:tabs>
        <w:jc w:val="left"/>
      </w:pPr>
    </w:p>
    <w:p w:rsidR="002332E4" w:rsidRDefault="002332E4" w:rsidP="002332E4">
      <w:pPr>
        <w:jc w:val="left"/>
      </w:pPr>
    </w:p>
    <w:p w:rsidR="002332E4" w:rsidRDefault="002332E4" w:rsidP="002332E4">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2332E4" w:rsidRDefault="002332E4" w:rsidP="002332E4">
      <w:pPr>
        <w:jc w:val="left"/>
      </w:pPr>
    </w:p>
    <w:p w:rsidR="002332E4" w:rsidRDefault="002332E4" w:rsidP="002332E4">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2332E4" w:rsidRDefault="002332E4" w:rsidP="002332E4">
      <w:pPr>
        <w:jc w:val="left"/>
      </w:pPr>
    </w:p>
    <w:p w:rsidR="002332E4" w:rsidRDefault="002332E4" w:rsidP="002332E4">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2332E4" w:rsidRDefault="002332E4" w:rsidP="002332E4">
      <w:pPr>
        <w:jc w:val="left"/>
      </w:pPr>
    </w:p>
    <w:p w:rsidR="002332E4" w:rsidRDefault="002332E4" w:rsidP="002332E4">
      <w:pPr>
        <w:jc w:val="left"/>
      </w:pPr>
      <w:r>
        <w:t xml:space="preserve"> BY ORDER OF THE SECRETARY OF THE ARMY:</w:t>
      </w:r>
    </w:p>
    <w:p w:rsidR="002332E4" w:rsidRDefault="002332E4" w:rsidP="002332E4">
      <w:pPr>
        <w:jc w:val="left"/>
      </w:pPr>
    </w:p>
    <w:p w:rsidR="002332E4" w:rsidRDefault="002332E4" w:rsidP="002332E4">
      <w:pPr>
        <w:jc w:val="left"/>
      </w:pPr>
    </w:p>
    <w:p w:rsidR="002332E4" w:rsidRDefault="002332E4" w:rsidP="002332E4">
      <w:pPr>
        <w:pStyle w:val="Header"/>
        <w:tabs>
          <w:tab w:val="clear" w:pos="4320"/>
          <w:tab w:val="clear" w:pos="8640"/>
        </w:tabs>
        <w:jc w:val="left"/>
      </w:pPr>
    </w:p>
    <w:p w:rsidR="002332E4" w:rsidRDefault="002332E4" w:rsidP="002332E4">
      <w:pPr>
        <w:jc w:val="left"/>
      </w:pPr>
    </w:p>
    <w:p w:rsidR="002332E4" w:rsidRDefault="002332E4" w:rsidP="002332E4">
      <w:pPr>
        <w:jc w:val="left"/>
      </w:pPr>
      <w:bookmarkStart w:id="0" w:name="OLE_LINK3"/>
      <w:bookmarkStart w:id="1" w:name="OLE_LINK4"/>
      <w:r>
        <w:t>Encl</w:t>
      </w:r>
      <w:r>
        <w:tab/>
      </w:r>
      <w:r>
        <w:tab/>
      </w:r>
      <w:r>
        <w:tab/>
      </w:r>
      <w:r>
        <w:tab/>
      </w:r>
      <w:r>
        <w:tab/>
      </w:r>
      <w:r>
        <w:tab/>
      </w:r>
    </w:p>
    <w:p w:rsidR="002332E4" w:rsidRDefault="002332E4" w:rsidP="002332E4">
      <w:pPr>
        <w:jc w:val="left"/>
      </w:pPr>
      <w:r>
        <w:tab/>
      </w:r>
      <w:r>
        <w:tab/>
      </w:r>
      <w:r>
        <w:tab/>
      </w:r>
      <w:r>
        <w:tab/>
      </w:r>
      <w:r>
        <w:tab/>
      </w:r>
      <w:r>
        <w:tab/>
        <w:t xml:space="preserve">     Deputy Assistant Secretary</w:t>
      </w:r>
    </w:p>
    <w:p w:rsidR="002332E4" w:rsidRDefault="002332E4" w:rsidP="002332E4">
      <w:pPr>
        <w:jc w:val="left"/>
      </w:pPr>
      <w:r>
        <w:tab/>
      </w:r>
      <w:r>
        <w:tab/>
      </w:r>
      <w:r>
        <w:tab/>
      </w:r>
      <w:r>
        <w:tab/>
      </w:r>
      <w:r>
        <w:tab/>
      </w:r>
      <w: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p w:rsidR="00DC1607" w:rsidRDefault="00DC1607" w:rsidP="00BB7DBE">
      <w:pPr>
        <w:jc w:val="both"/>
        <w:rPr>
          <w:color w:val="000000" w:themeColor="text1"/>
          <w:szCs w:val="24"/>
          <w:u w:val="single"/>
        </w:rPr>
      </w:pPr>
    </w:p>
    <w:p w:rsidR="00DC1607" w:rsidRPr="00DC1607" w:rsidRDefault="00DC1607" w:rsidP="00DC1607">
      <w:pPr>
        <w:jc w:val="left"/>
        <w:rPr>
          <w:color w:val="000000" w:themeColor="text1"/>
          <w:szCs w:val="24"/>
          <w:u w:val="single"/>
        </w:rPr>
      </w:pPr>
    </w:p>
    <w:p w:rsidR="00DC1607" w:rsidRPr="00CF2BB2" w:rsidRDefault="00DC1607" w:rsidP="00DC1607">
      <w:pPr>
        <w:jc w:val="left"/>
        <w:rPr>
          <w:color w:val="000000" w:themeColor="text1"/>
          <w:szCs w:val="24"/>
        </w:rPr>
      </w:pPr>
    </w:p>
    <w:p w:rsidR="009614B8" w:rsidRPr="00652315" w:rsidRDefault="009614B8" w:rsidP="00652315">
      <w:pPr>
        <w:jc w:val="both"/>
        <w:rPr>
          <w:b/>
          <w:color w:val="000000" w:themeColor="text1"/>
          <w:szCs w:val="24"/>
          <w:u w:val="single"/>
        </w:rPr>
      </w:pPr>
    </w:p>
    <w:sectPr w:rsidR="009614B8" w:rsidRPr="00652315"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CB" w:rsidRDefault="00A51ACB">
      <w:r>
        <w:separator/>
      </w:r>
    </w:p>
  </w:endnote>
  <w:endnote w:type="continuationSeparator" w:id="0">
    <w:p w:rsidR="00A51ACB" w:rsidRDefault="00A51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30545" w:rsidRPr="00374247" w:rsidRDefault="00330545" w:rsidP="00374247">
        <w:pPr>
          <w:pStyle w:val="Footer"/>
          <w:ind w:firstLine="4320"/>
          <w:rPr>
            <w:color w:val="auto"/>
            <w:szCs w:val="24"/>
          </w:rPr>
        </w:pPr>
        <w:r w:rsidRPr="00374247">
          <w:rPr>
            <w:color w:val="auto"/>
            <w:szCs w:val="24"/>
          </w:rPr>
          <w:t xml:space="preserve">   </w:t>
        </w:r>
        <w:r w:rsidR="00F95924" w:rsidRPr="00374247">
          <w:rPr>
            <w:color w:val="auto"/>
            <w:szCs w:val="24"/>
          </w:rPr>
          <w:fldChar w:fldCharType="begin"/>
        </w:r>
        <w:r w:rsidRPr="00374247">
          <w:rPr>
            <w:color w:val="auto"/>
            <w:szCs w:val="24"/>
          </w:rPr>
          <w:instrText xml:space="preserve"> PAGE   \* MERGEFORMAT </w:instrText>
        </w:r>
        <w:r w:rsidR="00F95924" w:rsidRPr="00374247">
          <w:rPr>
            <w:color w:val="auto"/>
            <w:szCs w:val="24"/>
          </w:rPr>
          <w:fldChar w:fldCharType="separate"/>
        </w:r>
        <w:r w:rsidR="002332E4" w:rsidRPr="002332E4">
          <w:rPr>
            <w:noProof/>
            <w:color w:val="auto"/>
          </w:rPr>
          <w:t>6</w:t>
        </w:r>
        <w:r w:rsidR="00F95924" w:rsidRPr="00374247">
          <w:rPr>
            <w:color w:val="auto"/>
            <w:szCs w:val="24"/>
          </w:rPr>
          <w:fldChar w:fldCharType="end"/>
        </w:r>
        <w:r w:rsidRPr="00374247">
          <w:rPr>
            <w:color w:val="auto"/>
            <w:szCs w:val="24"/>
          </w:rPr>
          <w:t xml:space="preserve">                                                           </w:t>
        </w:r>
        <w:r w:rsidRPr="006C72EB">
          <w:rPr>
            <w:color w:val="auto"/>
            <w:szCs w:val="24"/>
          </w:rPr>
          <w:t>PD1100421</w:t>
        </w:r>
      </w:p>
    </w:sdtContent>
  </w:sdt>
  <w:p w:rsidR="00330545" w:rsidRPr="00684CE6" w:rsidRDefault="0033054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CB" w:rsidRDefault="00A51ACB">
      <w:r>
        <w:separator/>
      </w:r>
    </w:p>
  </w:footnote>
  <w:footnote w:type="continuationSeparator" w:id="0">
    <w:p w:rsidR="00A51ACB" w:rsidRDefault="00A51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728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0FDB"/>
    <w:rsid w:val="00021361"/>
    <w:rsid w:val="000221D3"/>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0F9"/>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143"/>
    <w:rsid w:val="000D7D55"/>
    <w:rsid w:val="000E0993"/>
    <w:rsid w:val="000E2E50"/>
    <w:rsid w:val="000E37E0"/>
    <w:rsid w:val="000E3F20"/>
    <w:rsid w:val="000E4C25"/>
    <w:rsid w:val="000E4CBF"/>
    <w:rsid w:val="000E5577"/>
    <w:rsid w:val="000E5620"/>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0B3"/>
    <w:rsid w:val="0010417F"/>
    <w:rsid w:val="001042D2"/>
    <w:rsid w:val="0010530E"/>
    <w:rsid w:val="00105C07"/>
    <w:rsid w:val="00106920"/>
    <w:rsid w:val="00106AD8"/>
    <w:rsid w:val="001078DB"/>
    <w:rsid w:val="001079FA"/>
    <w:rsid w:val="00107EC5"/>
    <w:rsid w:val="001103CD"/>
    <w:rsid w:val="00113432"/>
    <w:rsid w:val="00113BEE"/>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857"/>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77FB2"/>
    <w:rsid w:val="00180826"/>
    <w:rsid w:val="00181240"/>
    <w:rsid w:val="00182A4C"/>
    <w:rsid w:val="00183F77"/>
    <w:rsid w:val="00183FB3"/>
    <w:rsid w:val="001844D8"/>
    <w:rsid w:val="0018513E"/>
    <w:rsid w:val="00185DA8"/>
    <w:rsid w:val="00185ECB"/>
    <w:rsid w:val="001865E0"/>
    <w:rsid w:val="001870F0"/>
    <w:rsid w:val="00190E48"/>
    <w:rsid w:val="0019114B"/>
    <w:rsid w:val="0019273F"/>
    <w:rsid w:val="0019360A"/>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250F"/>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0B9"/>
    <w:rsid w:val="00217606"/>
    <w:rsid w:val="00217C09"/>
    <w:rsid w:val="00220F5C"/>
    <w:rsid w:val="00220FA9"/>
    <w:rsid w:val="002216BF"/>
    <w:rsid w:val="00221B9B"/>
    <w:rsid w:val="00222268"/>
    <w:rsid w:val="00225080"/>
    <w:rsid w:val="00225196"/>
    <w:rsid w:val="00225CB4"/>
    <w:rsid w:val="00226B1A"/>
    <w:rsid w:val="00227D80"/>
    <w:rsid w:val="00227F0B"/>
    <w:rsid w:val="0023049F"/>
    <w:rsid w:val="002310C3"/>
    <w:rsid w:val="002316F6"/>
    <w:rsid w:val="00232C9B"/>
    <w:rsid w:val="00232E73"/>
    <w:rsid w:val="00232F09"/>
    <w:rsid w:val="002332E4"/>
    <w:rsid w:val="002335D5"/>
    <w:rsid w:val="002338CA"/>
    <w:rsid w:val="00233FE5"/>
    <w:rsid w:val="00234B3B"/>
    <w:rsid w:val="00234D98"/>
    <w:rsid w:val="00235606"/>
    <w:rsid w:val="00235AD0"/>
    <w:rsid w:val="00236018"/>
    <w:rsid w:val="002374C9"/>
    <w:rsid w:val="00237A8E"/>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0809"/>
    <w:rsid w:val="00292397"/>
    <w:rsid w:val="00292AB2"/>
    <w:rsid w:val="00292B82"/>
    <w:rsid w:val="00293DB6"/>
    <w:rsid w:val="00293FE8"/>
    <w:rsid w:val="00294437"/>
    <w:rsid w:val="00296686"/>
    <w:rsid w:val="00297A00"/>
    <w:rsid w:val="00297A45"/>
    <w:rsid w:val="00297E20"/>
    <w:rsid w:val="002A04A8"/>
    <w:rsid w:val="002A233F"/>
    <w:rsid w:val="002A2DFC"/>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3BAD"/>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545"/>
    <w:rsid w:val="00330D55"/>
    <w:rsid w:val="00330D69"/>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B0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4302"/>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606C"/>
    <w:rsid w:val="003F776F"/>
    <w:rsid w:val="004007E9"/>
    <w:rsid w:val="00400810"/>
    <w:rsid w:val="00400AA8"/>
    <w:rsid w:val="00401825"/>
    <w:rsid w:val="00401BBC"/>
    <w:rsid w:val="00401F6E"/>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B71"/>
    <w:rsid w:val="00460E3F"/>
    <w:rsid w:val="0046111A"/>
    <w:rsid w:val="00462F68"/>
    <w:rsid w:val="0046369B"/>
    <w:rsid w:val="004640E9"/>
    <w:rsid w:val="004647EB"/>
    <w:rsid w:val="00466CED"/>
    <w:rsid w:val="00466EB5"/>
    <w:rsid w:val="00467592"/>
    <w:rsid w:val="00467690"/>
    <w:rsid w:val="0046786A"/>
    <w:rsid w:val="00467A14"/>
    <w:rsid w:val="004718E7"/>
    <w:rsid w:val="00472289"/>
    <w:rsid w:val="00472535"/>
    <w:rsid w:val="004761CC"/>
    <w:rsid w:val="004766C9"/>
    <w:rsid w:val="00477FC3"/>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5A10"/>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63B"/>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27CD"/>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0C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4DCA"/>
    <w:rsid w:val="0054586A"/>
    <w:rsid w:val="0054631F"/>
    <w:rsid w:val="00546C24"/>
    <w:rsid w:val="005471BA"/>
    <w:rsid w:val="00547BDA"/>
    <w:rsid w:val="00547BE6"/>
    <w:rsid w:val="0055034F"/>
    <w:rsid w:val="00550476"/>
    <w:rsid w:val="0055288D"/>
    <w:rsid w:val="00555259"/>
    <w:rsid w:val="00555541"/>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170A"/>
    <w:rsid w:val="005E3064"/>
    <w:rsid w:val="005E54DC"/>
    <w:rsid w:val="005E65DC"/>
    <w:rsid w:val="005E6AEE"/>
    <w:rsid w:val="005E72B2"/>
    <w:rsid w:val="005E79A0"/>
    <w:rsid w:val="005F097E"/>
    <w:rsid w:val="005F1115"/>
    <w:rsid w:val="005F1AB6"/>
    <w:rsid w:val="005F2311"/>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654E"/>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15"/>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3F06"/>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13F"/>
    <w:rsid w:val="00682486"/>
    <w:rsid w:val="006833A7"/>
    <w:rsid w:val="00684CE6"/>
    <w:rsid w:val="00684E2B"/>
    <w:rsid w:val="00685485"/>
    <w:rsid w:val="006857A0"/>
    <w:rsid w:val="00687C7E"/>
    <w:rsid w:val="00687D3D"/>
    <w:rsid w:val="00690569"/>
    <w:rsid w:val="00690FDA"/>
    <w:rsid w:val="00691D3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2292"/>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2E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AD"/>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633"/>
    <w:rsid w:val="007347BB"/>
    <w:rsid w:val="00735704"/>
    <w:rsid w:val="00735DFF"/>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A60"/>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A86"/>
    <w:rsid w:val="00784EA0"/>
    <w:rsid w:val="00785D77"/>
    <w:rsid w:val="00786111"/>
    <w:rsid w:val="00790963"/>
    <w:rsid w:val="0079150B"/>
    <w:rsid w:val="0079154B"/>
    <w:rsid w:val="0079175A"/>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0D4"/>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429"/>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AE4"/>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12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4B8"/>
    <w:rsid w:val="0096168C"/>
    <w:rsid w:val="00961840"/>
    <w:rsid w:val="009625E3"/>
    <w:rsid w:val="00962F2D"/>
    <w:rsid w:val="00963A7A"/>
    <w:rsid w:val="00963E29"/>
    <w:rsid w:val="0096451C"/>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25E3"/>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2CE5"/>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2B1"/>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1ACB"/>
    <w:rsid w:val="00A53A9B"/>
    <w:rsid w:val="00A54A47"/>
    <w:rsid w:val="00A56D26"/>
    <w:rsid w:val="00A571A7"/>
    <w:rsid w:val="00A5749A"/>
    <w:rsid w:val="00A575E1"/>
    <w:rsid w:val="00A57BA8"/>
    <w:rsid w:val="00A57C35"/>
    <w:rsid w:val="00A608FB"/>
    <w:rsid w:val="00A60D83"/>
    <w:rsid w:val="00A60F68"/>
    <w:rsid w:val="00A61A0E"/>
    <w:rsid w:val="00A63DF3"/>
    <w:rsid w:val="00A65C78"/>
    <w:rsid w:val="00A65F67"/>
    <w:rsid w:val="00A660A8"/>
    <w:rsid w:val="00A66A45"/>
    <w:rsid w:val="00A67591"/>
    <w:rsid w:val="00A67911"/>
    <w:rsid w:val="00A67CA6"/>
    <w:rsid w:val="00A70E7B"/>
    <w:rsid w:val="00A717EA"/>
    <w:rsid w:val="00A730B0"/>
    <w:rsid w:val="00A73B84"/>
    <w:rsid w:val="00A7411D"/>
    <w:rsid w:val="00A74460"/>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4BF8"/>
    <w:rsid w:val="00AA73AF"/>
    <w:rsid w:val="00AB062D"/>
    <w:rsid w:val="00AB0A8A"/>
    <w:rsid w:val="00AB1754"/>
    <w:rsid w:val="00AB1F8D"/>
    <w:rsid w:val="00AB27DD"/>
    <w:rsid w:val="00AB3DEB"/>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5CDB"/>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0FCF"/>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0BE"/>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E13"/>
    <w:rsid w:val="00B83F87"/>
    <w:rsid w:val="00B8478F"/>
    <w:rsid w:val="00B84F93"/>
    <w:rsid w:val="00B85499"/>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DBE"/>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E40"/>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1D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4C8"/>
    <w:rsid w:val="00CF158D"/>
    <w:rsid w:val="00CF2166"/>
    <w:rsid w:val="00CF2BB2"/>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16C6"/>
    <w:rsid w:val="00D229E7"/>
    <w:rsid w:val="00D2321B"/>
    <w:rsid w:val="00D23350"/>
    <w:rsid w:val="00D237E7"/>
    <w:rsid w:val="00D23DE4"/>
    <w:rsid w:val="00D25A5C"/>
    <w:rsid w:val="00D264E4"/>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5F24"/>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0D30"/>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0875"/>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608"/>
    <w:rsid w:val="00E1085B"/>
    <w:rsid w:val="00E1308B"/>
    <w:rsid w:val="00E14581"/>
    <w:rsid w:val="00E14623"/>
    <w:rsid w:val="00E1476C"/>
    <w:rsid w:val="00E15539"/>
    <w:rsid w:val="00E16541"/>
    <w:rsid w:val="00E17EC9"/>
    <w:rsid w:val="00E202F4"/>
    <w:rsid w:val="00E207C3"/>
    <w:rsid w:val="00E21386"/>
    <w:rsid w:val="00E216B5"/>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510"/>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B7D42"/>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A6C"/>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2D68"/>
    <w:rsid w:val="00F8311F"/>
    <w:rsid w:val="00F83248"/>
    <w:rsid w:val="00F83376"/>
    <w:rsid w:val="00F853AE"/>
    <w:rsid w:val="00F908D5"/>
    <w:rsid w:val="00F913B9"/>
    <w:rsid w:val="00F93C74"/>
    <w:rsid w:val="00F93DCC"/>
    <w:rsid w:val="00F9435D"/>
    <w:rsid w:val="00F95924"/>
    <w:rsid w:val="00F966F9"/>
    <w:rsid w:val="00F96F61"/>
    <w:rsid w:val="00F97740"/>
    <w:rsid w:val="00FA0C8F"/>
    <w:rsid w:val="00FA2DEF"/>
    <w:rsid w:val="00FA2F7B"/>
    <w:rsid w:val="00FA3C90"/>
    <w:rsid w:val="00FA3C97"/>
    <w:rsid w:val="00FA3D30"/>
    <w:rsid w:val="00FA4064"/>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1BF"/>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2332E4"/>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AC41-E520-4A52-8A1D-C007A121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2012-02-17T18:24:00Z</dcterms:created>
  <dcterms:modified xsi:type="dcterms:W3CDTF">2012-03-19T22:13:00Z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