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1F29F9" w:rsidRDefault="00AD2379" w:rsidP="00BF0E94">
      <w:pPr>
        <w:tabs>
          <w:tab w:val="left" w:pos="288"/>
          <w:tab w:val="left" w:pos="4752"/>
        </w:tabs>
        <w:rPr>
          <w:color w:val="000000"/>
        </w:rPr>
      </w:pPr>
      <w:r w:rsidRPr="001F29F9">
        <w:rPr>
          <w:color w:val="000000"/>
        </w:rPr>
        <w:t>RECORD OF PROCEEDINGS</w:t>
      </w:r>
    </w:p>
    <w:p w:rsidR="00AD2379" w:rsidRPr="001F29F9" w:rsidRDefault="00AD2379" w:rsidP="00BF0E94">
      <w:pPr>
        <w:tabs>
          <w:tab w:val="left" w:pos="288"/>
          <w:tab w:val="left" w:pos="4752"/>
        </w:tabs>
        <w:rPr>
          <w:color w:val="000000"/>
        </w:rPr>
      </w:pPr>
      <w:r w:rsidRPr="001F29F9">
        <w:rPr>
          <w:color w:val="000000"/>
        </w:rPr>
        <w:t>PHYSICAL DISABILITY BOARD OF REVIEW</w:t>
      </w:r>
    </w:p>
    <w:p w:rsidR="00AD2379" w:rsidRPr="001F29F9" w:rsidRDefault="00AD2379" w:rsidP="00BF0E94">
      <w:pPr>
        <w:tabs>
          <w:tab w:val="left" w:pos="288"/>
          <w:tab w:val="left" w:pos="4752"/>
        </w:tabs>
        <w:jc w:val="both"/>
        <w:rPr>
          <w:caps/>
          <w:color w:val="000000"/>
        </w:rPr>
      </w:pPr>
    </w:p>
    <w:p w:rsidR="0095270D" w:rsidRPr="001F29F9" w:rsidRDefault="0095270D" w:rsidP="0095270D">
      <w:pPr>
        <w:tabs>
          <w:tab w:val="left" w:pos="288"/>
          <w:tab w:val="left" w:pos="4752"/>
          <w:tab w:val="left" w:pos="6390"/>
          <w:tab w:val="left" w:pos="9270"/>
        </w:tabs>
        <w:jc w:val="both"/>
        <w:rPr>
          <w:caps/>
          <w:color w:val="000000" w:themeColor="text1"/>
        </w:rPr>
      </w:pPr>
      <w:r w:rsidRPr="001F29F9">
        <w:rPr>
          <w:caps/>
          <w:color w:val="000000" w:themeColor="text1"/>
        </w:rPr>
        <w:t xml:space="preserve">NAME:  </w:t>
      </w:r>
      <w:r w:rsidR="00370F07">
        <w:rPr>
          <w:caps/>
          <w:color w:val="000000" w:themeColor="text1"/>
        </w:rPr>
        <w:t>XXXXXXXXXX</w:t>
      </w:r>
      <w:r w:rsidRPr="001F29F9">
        <w:rPr>
          <w:caps/>
          <w:color w:val="000000" w:themeColor="text1"/>
        </w:rPr>
        <w:t xml:space="preserve">                </w:t>
      </w:r>
      <w:r>
        <w:rPr>
          <w:caps/>
          <w:color w:val="000000" w:themeColor="text1"/>
        </w:rPr>
        <w:tab/>
        <w:t xml:space="preserve">                             </w:t>
      </w:r>
      <w:r w:rsidR="008F4AA1">
        <w:rPr>
          <w:caps/>
          <w:color w:val="000000" w:themeColor="text1"/>
        </w:rPr>
        <w:t xml:space="preserve">    </w:t>
      </w:r>
      <w:r w:rsidRPr="001F29F9">
        <w:rPr>
          <w:caps/>
          <w:color w:val="000000" w:themeColor="text1"/>
        </w:rPr>
        <w:t xml:space="preserve">BRANCH OF </w:t>
      </w:r>
      <w:r w:rsidRPr="00FD4988">
        <w:rPr>
          <w:caps/>
          <w:color w:val="000000" w:themeColor="text1"/>
        </w:rPr>
        <w:t>SERVICE:  Army</w:t>
      </w:r>
      <w:r w:rsidRPr="00BA4A38">
        <w:rPr>
          <w:caps/>
          <w:color w:val="000000" w:themeColor="text1"/>
        </w:rPr>
        <w:t xml:space="preserve"> </w:t>
      </w:r>
    </w:p>
    <w:p w:rsidR="0095270D" w:rsidRDefault="0095270D" w:rsidP="0095270D">
      <w:pPr>
        <w:tabs>
          <w:tab w:val="left" w:pos="288"/>
          <w:tab w:val="left" w:pos="5130"/>
        </w:tabs>
        <w:jc w:val="both"/>
        <w:rPr>
          <w:color w:val="000000" w:themeColor="text1"/>
        </w:rPr>
      </w:pPr>
      <w:r w:rsidRPr="001F29F9">
        <w:rPr>
          <w:caps/>
          <w:color w:val="000000" w:themeColor="text1"/>
        </w:rPr>
        <w:t xml:space="preserve">CASE NUMBER:  </w:t>
      </w:r>
      <w:r w:rsidR="00FD4988" w:rsidRPr="00F84047">
        <w:rPr>
          <w:caps/>
          <w:color w:val="000000" w:themeColor="text1"/>
        </w:rPr>
        <w:t>PD1100416</w:t>
      </w:r>
      <w:r>
        <w:rPr>
          <w:color w:val="000000" w:themeColor="text1"/>
        </w:rPr>
        <w:tab/>
      </w:r>
      <w:r>
        <w:rPr>
          <w:color w:val="000000" w:themeColor="text1"/>
        </w:rPr>
        <w:tab/>
        <w:t xml:space="preserve">          </w:t>
      </w:r>
      <w:r w:rsidRPr="001F29F9">
        <w:rPr>
          <w:color w:val="000000" w:themeColor="text1"/>
        </w:rPr>
        <w:t xml:space="preserve"> SEPARATION DATE:  </w:t>
      </w:r>
      <w:r w:rsidR="00FD4988" w:rsidRPr="001F29F9">
        <w:rPr>
          <w:color w:val="000000" w:themeColor="text1"/>
        </w:rPr>
        <w:t>200</w:t>
      </w:r>
      <w:r w:rsidR="00FD4988">
        <w:rPr>
          <w:color w:val="000000" w:themeColor="text1"/>
        </w:rPr>
        <w:t>60421</w:t>
      </w:r>
    </w:p>
    <w:p w:rsidR="00AD2379" w:rsidRDefault="0095270D" w:rsidP="0095270D">
      <w:pPr>
        <w:pBdr>
          <w:bottom w:val="single" w:sz="12" w:space="1" w:color="auto"/>
        </w:pBdr>
        <w:tabs>
          <w:tab w:val="left" w:pos="288"/>
          <w:tab w:val="left" w:pos="4752"/>
        </w:tabs>
        <w:jc w:val="both"/>
        <w:rPr>
          <w:rFonts w:cs="Times New Roman"/>
          <w:caps/>
          <w:color w:val="000000"/>
        </w:rPr>
      </w:pPr>
      <w:r>
        <w:rPr>
          <w:caps/>
          <w:color w:val="000000"/>
        </w:rPr>
        <w:t>BOARD DATE:  2012</w:t>
      </w:r>
      <w:r w:rsidR="008B6ADF">
        <w:rPr>
          <w:caps/>
          <w:color w:val="000000"/>
        </w:rPr>
        <w:t>0517</w:t>
      </w:r>
      <w:r>
        <w:rPr>
          <w:rFonts w:cs="Times New Roman"/>
          <w:caps/>
          <w:color w:val="000000"/>
        </w:rPr>
        <w:tab/>
      </w:r>
    </w:p>
    <w:p w:rsidR="0095270D" w:rsidRPr="001F29F9" w:rsidRDefault="0095270D" w:rsidP="0095270D">
      <w:pPr>
        <w:pBdr>
          <w:bottom w:val="single" w:sz="12" w:space="1" w:color="auto"/>
        </w:pBd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F90C16" w:rsidRPr="00680450" w:rsidRDefault="00AD2379" w:rsidP="00F90C16">
      <w:pPr>
        <w:tabs>
          <w:tab w:val="left" w:pos="288"/>
          <w:tab w:val="left" w:pos="4752"/>
        </w:tabs>
        <w:jc w:val="both"/>
        <w:rPr>
          <w:color w:val="auto"/>
        </w:rPr>
      </w:pPr>
      <w:r w:rsidRPr="001F29F9">
        <w:rPr>
          <w:color w:val="000000"/>
          <w:u w:val="single"/>
        </w:rPr>
        <w:t>SUMMARY OF CASE</w:t>
      </w:r>
      <w:r w:rsidRPr="001F29F9">
        <w:rPr>
          <w:color w:val="000000"/>
        </w:rPr>
        <w:t xml:space="preserve">: Data extracted from the available evidence of record reflects that this covered individual (CI) was </w:t>
      </w:r>
      <w:r w:rsidR="00A70270">
        <w:rPr>
          <w:color w:val="000000"/>
        </w:rPr>
        <w:t xml:space="preserve">an active duty </w:t>
      </w:r>
      <w:r w:rsidR="002E1ED2" w:rsidRPr="001F29F9">
        <w:rPr>
          <w:color w:val="000000" w:themeColor="text1"/>
          <w:szCs w:val="24"/>
        </w:rPr>
        <w:t>SGT/E-5 (</w:t>
      </w:r>
      <w:r w:rsidR="002E1ED2">
        <w:rPr>
          <w:color w:val="000000" w:themeColor="text1"/>
          <w:szCs w:val="24"/>
        </w:rPr>
        <w:t>11B/Infantry</w:t>
      </w:r>
      <w:r w:rsidR="002E1ED2" w:rsidRPr="001F29F9">
        <w:rPr>
          <w:color w:val="000000" w:themeColor="text1"/>
          <w:szCs w:val="24"/>
        </w:rPr>
        <w:t>)</w:t>
      </w:r>
      <w:r w:rsidR="00A70270">
        <w:rPr>
          <w:color w:val="000000"/>
        </w:rPr>
        <w:t xml:space="preserve"> </w:t>
      </w:r>
      <w:r w:rsidRPr="001F29F9">
        <w:rPr>
          <w:color w:val="000000"/>
        </w:rPr>
        <w:t xml:space="preserve">medically separated for </w:t>
      </w:r>
      <w:r w:rsidR="00261B7E">
        <w:rPr>
          <w:color w:val="000000"/>
        </w:rPr>
        <w:t xml:space="preserve">a </w:t>
      </w:r>
      <w:r w:rsidR="002E1ED2">
        <w:rPr>
          <w:color w:val="000000"/>
        </w:rPr>
        <w:t xml:space="preserve">left shoulder </w:t>
      </w:r>
      <w:r w:rsidR="00261B7E">
        <w:rPr>
          <w:color w:val="000000"/>
        </w:rPr>
        <w:t>condition</w:t>
      </w:r>
      <w:r w:rsidRPr="001F29F9">
        <w:rPr>
          <w:color w:val="000000"/>
        </w:rPr>
        <w:t xml:space="preserve">. </w:t>
      </w:r>
      <w:r w:rsidR="00261B7E">
        <w:rPr>
          <w:color w:val="000000"/>
        </w:rPr>
        <w:t xml:space="preserve"> </w:t>
      </w:r>
      <w:r w:rsidR="0006741D">
        <w:rPr>
          <w:color w:val="000000"/>
        </w:rPr>
        <w:t xml:space="preserve">His shoulder was injured by blunt force in 2004 when his Bradley vehicle was struck by a rocket in Iraq.  He was medically evacuated and suffered persistent left (non-dominant) shoulder pain, which was not responsive to conservative measures.  He was diagnosed with an </w:t>
      </w:r>
      <w:r w:rsidR="0006741D" w:rsidRPr="00F90C16">
        <w:rPr>
          <w:color w:val="000000"/>
        </w:rPr>
        <w:t xml:space="preserve">acromioclavicular injury, and in 2005 underwent surgical intervention.  Despite the surgery, his shoulder </w:t>
      </w:r>
      <w:r w:rsidR="00F566B7" w:rsidRPr="00F90C16">
        <w:rPr>
          <w:color w:val="000000"/>
        </w:rPr>
        <w:t>could not be adequately rehabilitated to meet the physical requirements of his Military Occupational Specialty (MOS) or satis</w:t>
      </w:r>
      <w:r w:rsidR="009C12A1" w:rsidRPr="00F90C16">
        <w:rPr>
          <w:color w:val="000000"/>
        </w:rPr>
        <w:t>fy physical fitness standards.</w:t>
      </w:r>
      <w:r w:rsidR="00F566B7" w:rsidRPr="00F90C16">
        <w:rPr>
          <w:color w:val="000000"/>
        </w:rPr>
        <w:t xml:space="preserve"> </w:t>
      </w:r>
      <w:r w:rsidR="009C12A1" w:rsidRPr="00F90C16">
        <w:rPr>
          <w:color w:val="000000"/>
        </w:rPr>
        <w:t xml:space="preserve"> He </w:t>
      </w:r>
      <w:r w:rsidR="00F566B7" w:rsidRPr="00F90C16">
        <w:rPr>
          <w:color w:val="000000"/>
        </w:rPr>
        <w:t xml:space="preserve">was </w:t>
      </w:r>
      <w:r w:rsidR="00562F32">
        <w:rPr>
          <w:color w:val="000000"/>
        </w:rPr>
        <w:t>consequently</w:t>
      </w:r>
      <w:r w:rsidR="009C12A1" w:rsidRPr="00F90C16">
        <w:rPr>
          <w:color w:val="000000"/>
        </w:rPr>
        <w:t xml:space="preserve"> </w:t>
      </w:r>
      <w:r w:rsidR="00F566B7" w:rsidRPr="00F90C16">
        <w:rPr>
          <w:color w:val="000000"/>
        </w:rPr>
        <w:t xml:space="preserve">issued a permanent </w:t>
      </w:r>
      <w:r w:rsidR="00360387" w:rsidRPr="00F90C16">
        <w:rPr>
          <w:color w:val="000000"/>
        </w:rPr>
        <w:t>U</w:t>
      </w:r>
      <w:r w:rsidR="00F566B7" w:rsidRPr="00F90C16">
        <w:rPr>
          <w:color w:val="000000"/>
        </w:rPr>
        <w:t>3 profile and</w:t>
      </w:r>
      <w:r w:rsidR="009C12A1" w:rsidRPr="00F90C16">
        <w:rPr>
          <w:color w:val="000000"/>
        </w:rPr>
        <w:t xml:space="preserve"> </w:t>
      </w:r>
      <w:r w:rsidR="00F566B7" w:rsidRPr="00F90C16">
        <w:rPr>
          <w:color w:val="000000"/>
        </w:rPr>
        <w:t xml:space="preserve">referred for a Medical Evaluation Board (MEB).  The </w:t>
      </w:r>
      <w:r w:rsidR="00360387" w:rsidRPr="00F90C16">
        <w:rPr>
          <w:color w:val="000000"/>
        </w:rPr>
        <w:t xml:space="preserve">shoulder </w:t>
      </w:r>
      <w:r w:rsidR="00F566B7" w:rsidRPr="00F90C16">
        <w:rPr>
          <w:color w:val="000000"/>
        </w:rPr>
        <w:t xml:space="preserve">condition was forwarded to the Physical Evaluation Board (PEB) as medically unacceptable IAW AR 40-501.  </w:t>
      </w:r>
      <w:r w:rsidR="00360387" w:rsidRPr="00F90C16">
        <w:rPr>
          <w:color w:val="000000" w:themeColor="text1"/>
        </w:rPr>
        <w:t>An additional condition, “cervical and thoracic pain” (dating to the combat injury</w:t>
      </w:r>
      <w:r w:rsidR="00F90C16" w:rsidRPr="00F90C16">
        <w:rPr>
          <w:color w:val="000000" w:themeColor="text1"/>
        </w:rPr>
        <w:t xml:space="preserve"> as well</w:t>
      </w:r>
      <w:r w:rsidR="00360387" w:rsidRPr="00F90C16">
        <w:rPr>
          <w:color w:val="000000" w:themeColor="text1"/>
        </w:rPr>
        <w:t xml:space="preserve">), </w:t>
      </w:r>
      <w:r w:rsidR="00360387" w:rsidRPr="00F90C16">
        <w:rPr>
          <w:color w:val="000000"/>
        </w:rPr>
        <w:t>was</w:t>
      </w:r>
      <w:r w:rsidR="00F566B7" w:rsidRPr="00F90C16">
        <w:rPr>
          <w:color w:val="000000"/>
        </w:rPr>
        <w:t xml:space="preserve"> also identified by the MEB and forwarded as </w:t>
      </w:r>
      <w:r w:rsidR="00360387" w:rsidRPr="00F90C16">
        <w:rPr>
          <w:color w:val="000000"/>
        </w:rPr>
        <w:t>medically unacceptable</w:t>
      </w:r>
      <w:r w:rsidR="00F566B7" w:rsidRPr="00F90C16">
        <w:rPr>
          <w:color w:val="000000"/>
        </w:rPr>
        <w:t xml:space="preserve">.  </w:t>
      </w:r>
      <w:r w:rsidR="00360387" w:rsidRPr="00F90C16">
        <w:rPr>
          <w:color w:val="000000"/>
        </w:rPr>
        <w:t>No further conditions were forwarded</w:t>
      </w:r>
      <w:r w:rsidR="00A70270" w:rsidRPr="00F90C16">
        <w:rPr>
          <w:color w:val="000000"/>
        </w:rPr>
        <w:t xml:space="preserve">.  </w:t>
      </w:r>
      <w:r w:rsidRPr="00F90C16">
        <w:rPr>
          <w:color w:val="000000"/>
        </w:rPr>
        <w:t xml:space="preserve">The PEB adjudicated the </w:t>
      </w:r>
      <w:r w:rsidR="00F90C16" w:rsidRPr="00F90C16">
        <w:rPr>
          <w:color w:val="000000"/>
        </w:rPr>
        <w:t>left shoulder</w:t>
      </w:r>
      <w:r w:rsidR="008530E3" w:rsidRPr="00F90C16">
        <w:rPr>
          <w:color w:val="000000"/>
        </w:rPr>
        <w:t xml:space="preserve"> condition as unfitting, rated </w:t>
      </w:r>
      <w:r w:rsidR="00F90C16" w:rsidRPr="00F90C16">
        <w:rPr>
          <w:color w:val="000000"/>
        </w:rPr>
        <w:t>1</w:t>
      </w:r>
      <w:r w:rsidRPr="00F90C16">
        <w:rPr>
          <w:color w:val="000000"/>
        </w:rPr>
        <w:t xml:space="preserve">0%, </w:t>
      </w:r>
      <w:r w:rsidR="00261B7E" w:rsidRPr="00F90C16">
        <w:rPr>
          <w:color w:val="000000"/>
        </w:rPr>
        <w:t>citing criteria of</w:t>
      </w:r>
      <w:r w:rsidRPr="00F90C16">
        <w:rPr>
          <w:color w:val="000000"/>
        </w:rPr>
        <w:t xml:space="preserve"> </w:t>
      </w:r>
      <w:r w:rsidR="00F90C16" w:rsidRPr="00F90C16">
        <w:rPr>
          <w:color w:val="000000"/>
        </w:rPr>
        <w:t xml:space="preserve">the </w:t>
      </w:r>
      <w:r w:rsidR="0065689C" w:rsidRPr="00F90C16">
        <w:rPr>
          <w:color w:val="000000" w:themeColor="text1"/>
          <w:szCs w:val="24"/>
        </w:rPr>
        <w:t>US Army Physical Disability Agency (USAPDA) pain policy</w:t>
      </w:r>
      <w:r w:rsidR="00F90C16" w:rsidRPr="00F90C16">
        <w:rPr>
          <w:color w:val="000000" w:themeColor="text1"/>
          <w:szCs w:val="24"/>
        </w:rPr>
        <w:t>.</w:t>
      </w:r>
      <w:r w:rsidR="0065689C" w:rsidRPr="00F90C16">
        <w:rPr>
          <w:color w:val="000000"/>
        </w:rPr>
        <w:t xml:space="preserve"> </w:t>
      </w:r>
      <w:r w:rsidR="00F90C16" w:rsidRPr="00F90C16">
        <w:rPr>
          <w:color w:val="000000"/>
        </w:rPr>
        <w:t xml:space="preserve"> </w:t>
      </w:r>
      <w:r w:rsidR="00380601" w:rsidRPr="00F90C16">
        <w:rPr>
          <w:color w:val="000000"/>
        </w:rPr>
        <w:t xml:space="preserve">The </w:t>
      </w:r>
      <w:r w:rsidR="00F90C16" w:rsidRPr="00F90C16">
        <w:rPr>
          <w:color w:val="000000"/>
        </w:rPr>
        <w:t>cervical/thoracic condition was</w:t>
      </w:r>
      <w:r w:rsidR="00380601" w:rsidRPr="00F90C16">
        <w:rPr>
          <w:color w:val="000000"/>
        </w:rPr>
        <w:t xml:space="preserve"> determined to be not unfitting.  </w:t>
      </w:r>
      <w:r w:rsidRPr="00F90C16">
        <w:rPr>
          <w:color w:val="000000"/>
        </w:rPr>
        <w:t xml:space="preserve">The CI made no appeals, and was medically separated with </w:t>
      </w:r>
      <w:r w:rsidR="00F90C16" w:rsidRPr="00F90C16">
        <w:rPr>
          <w:color w:val="000000"/>
        </w:rPr>
        <w:t>a 10%</w:t>
      </w:r>
      <w:r w:rsidRPr="00F90C16">
        <w:rPr>
          <w:color w:val="000000"/>
        </w:rPr>
        <w:t xml:space="preserve"> disability rating.</w:t>
      </w:r>
      <w:r w:rsidR="00E438A4">
        <w:rPr>
          <w:color w:val="000000"/>
        </w:rPr>
        <w:t xml:space="preserve">  </w:t>
      </w:r>
    </w:p>
    <w:p w:rsidR="00AD2379" w:rsidRPr="001F29F9" w:rsidRDefault="00AD2379" w:rsidP="00BF0E94">
      <w:pPr>
        <w:pBdr>
          <w:bottom w:val="single" w:sz="12" w:space="1" w:color="auto"/>
        </w:pBd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FC494C" w:rsidRPr="004A2728" w:rsidRDefault="00AD2379" w:rsidP="00BF0E94">
      <w:pPr>
        <w:tabs>
          <w:tab w:val="left" w:pos="288"/>
          <w:tab w:val="left" w:pos="4752"/>
        </w:tabs>
        <w:jc w:val="both"/>
        <w:rPr>
          <w:color w:val="000000" w:themeColor="text1"/>
        </w:rPr>
      </w:pPr>
      <w:r w:rsidRPr="001F29F9">
        <w:rPr>
          <w:color w:val="000000"/>
          <w:u w:val="single"/>
        </w:rPr>
        <w:t xml:space="preserve">CI </w:t>
      </w:r>
      <w:r w:rsidRPr="00C93732">
        <w:rPr>
          <w:color w:val="000000"/>
          <w:u w:val="single"/>
        </w:rPr>
        <w:t>CONTENTION</w:t>
      </w:r>
      <w:r w:rsidRPr="00C93732">
        <w:rPr>
          <w:color w:val="000000"/>
        </w:rPr>
        <w:t xml:space="preserve">: </w:t>
      </w:r>
      <w:r w:rsidR="007C684B">
        <w:rPr>
          <w:color w:val="auto"/>
        </w:rPr>
        <w:t>The CI makes no contentions</w:t>
      </w:r>
      <w:r w:rsidR="00CA720B" w:rsidRPr="003522CD">
        <w:rPr>
          <w:color w:val="000000"/>
        </w:rPr>
        <w:t>.</w:t>
      </w:r>
    </w:p>
    <w:p w:rsidR="00AD2379" w:rsidRPr="001F29F9" w:rsidRDefault="00AD2379" w:rsidP="00BF0E94">
      <w:pPr>
        <w:pBdr>
          <w:bottom w:val="single" w:sz="12" w:space="1" w:color="auto"/>
        </w:pBd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58358D" w:rsidRPr="0058358D" w:rsidRDefault="00F14638" w:rsidP="0058358D">
      <w:pPr>
        <w:jc w:val="both"/>
        <w:rPr>
          <w:color w:val="auto"/>
        </w:rPr>
      </w:pPr>
      <w:r w:rsidRPr="006A714F">
        <w:rPr>
          <w:color w:val="auto"/>
          <w:u w:val="single"/>
        </w:rPr>
        <w:t>SCOPE OF REVIEW</w:t>
      </w:r>
      <w:r>
        <w:rPr>
          <w:color w:val="auto"/>
        </w:rPr>
        <w:t xml:space="preserve">:  </w:t>
      </w:r>
      <w:r w:rsidRPr="00C566C9">
        <w:rPr>
          <w:color w:val="auto"/>
        </w:rPr>
        <w:t>The Board wishes to clarify that the scope of its re</w:t>
      </w:r>
      <w:r>
        <w:rPr>
          <w:color w:val="auto"/>
        </w:rPr>
        <w:t xml:space="preserve">view as defined in DoDI 6040.44 </w:t>
      </w:r>
      <w:r w:rsidRPr="00C566C9">
        <w:rPr>
          <w:color w:val="auto"/>
        </w:rPr>
        <w:t xml:space="preserve">is limited </w:t>
      </w:r>
      <w:r w:rsidRPr="0058358D">
        <w:rPr>
          <w:color w:val="auto"/>
        </w:rPr>
        <w:t xml:space="preserve">to those conditions which were determined by the PEB to be specifically unfitting for continued military service; or, when </w:t>
      </w:r>
      <w:r w:rsidRPr="004D5D31">
        <w:rPr>
          <w:color w:val="auto"/>
        </w:rPr>
        <w:t xml:space="preserve">requested by the CI, those conditions “identified but not determined to be unfitting by the PEB”.  </w:t>
      </w:r>
      <w:r w:rsidR="00562F32" w:rsidRPr="004D5D31">
        <w:rPr>
          <w:color w:val="auto"/>
        </w:rPr>
        <w:t>The uncontested</w:t>
      </w:r>
      <w:r w:rsidR="003522CD" w:rsidRPr="004D5D31">
        <w:rPr>
          <w:color w:val="auto"/>
        </w:rPr>
        <w:t xml:space="preserve"> PEB</w:t>
      </w:r>
      <w:r w:rsidR="00562F32" w:rsidRPr="004D5D31">
        <w:rPr>
          <w:color w:val="auto"/>
        </w:rPr>
        <w:t xml:space="preserve"> cervical/thoracic spine </w:t>
      </w:r>
      <w:r w:rsidR="003522CD" w:rsidRPr="004D5D31">
        <w:rPr>
          <w:color w:val="auto"/>
        </w:rPr>
        <w:t>adjudication is therefore not within the Board’s purview</w:t>
      </w:r>
      <w:r w:rsidR="00562F32" w:rsidRPr="004D5D31">
        <w:rPr>
          <w:color w:val="auto"/>
        </w:rPr>
        <w:t xml:space="preserve">, and </w:t>
      </w:r>
      <w:r w:rsidR="003522CD" w:rsidRPr="004D5D31">
        <w:rPr>
          <w:color w:val="auto"/>
        </w:rPr>
        <w:t>this review will be confined to the rating of the left shoulder condition</w:t>
      </w:r>
      <w:r w:rsidR="0058358D" w:rsidRPr="004D5D31">
        <w:rPr>
          <w:color w:val="auto"/>
        </w:rPr>
        <w:t xml:space="preserve">. </w:t>
      </w:r>
      <w:r w:rsidR="0058358D" w:rsidRPr="004D5D31">
        <w:rPr>
          <w:rFonts w:asciiTheme="minorHAnsi" w:eastAsiaTheme="minorHAnsi" w:hAnsiTheme="minorHAnsi" w:cstheme="minorBidi"/>
          <w:color w:val="auto"/>
          <w:szCs w:val="24"/>
        </w:rPr>
        <w:t xml:space="preserve"> </w:t>
      </w:r>
      <w:r w:rsidR="004D5D31" w:rsidRPr="004D5D31">
        <w:rPr>
          <w:color w:val="auto"/>
        </w:rPr>
        <w:t>The additional conditions rated by the VA at separation</w:t>
      </w:r>
      <w:r w:rsidR="0058358D" w:rsidRPr="004D5D31">
        <w:rPr>
          <w:color w:val="auto"/>
        </w:rPr>
        <w:t>, or any other conditions or contention outside the Board’s defined scope of review, remain eligible for future consideration by the Army</w:t>
      </w:r>
      <w:r w:rsidR="0058358D" w:rsidRPr="0058358D">
        <w:rPr>
          <w:color w:val="auto"/>
        </w:rPr>
        <w:t xml:space="preserve"> Board for the Correction of Military Records (</w:t>
      </w:r>
      <w:r w:rsidR="007C684B">
        <w:rPr>
          <w:color w:val="auto"/>
        </w:rPr>
        <w:t>A</w:t>
      </w:r>
      <w:r w:rsidR="0058358D" w:rsidRPr="0058358D">
        <w:rPr>
          <w:color w:val="auto"/>
        </w:rPr>
        <w:t xml:space="preserve">BCMR).  </w:t>
      </w:r>
    </w:p>
    <w:p w:rsidR="0058358D" w:rsidRPr="001F29F9" w:rsidRDefault="0058358D" w:rsidP="0058358D">
      <w:pPr>
        <w:pBdr>
          <w:bottom w:val="single" w:sz="12" w:space="1" w:color="auto"/>
        </w:pBdr>
        <w:tabs>
          <w:tab w:val="left" w:pos="288"/>
          <w:tab w:val="left" w:pos="4752"/>
        </w:tabs>
        <w:jc w:val="both"/>
        <w:rPr>
          <w:color w:val="000000"/>
        </w:rPr>
      </w:pPr>
    </w:p>
    <w:p w:rsidR="0058358D" w:rsidRPr="001F29F9" w:rsidRDefault="0058358D" w:rsidP="0058358D">
      <w:pPr>
        <w:tabs>
          <w:tab w:val="left" w:pos="288"/>
          <w:tab w:val="left" w:pos="4752"/>
        </w:tabs>
        <w:jc w:val="both"/>
        <w:rPr>
          <w:color w:val="000000"/>
        </w:rPr>
      </w:pPr>
    </w:p>
    <w:p w:rsidR="0058358D" w:rsidRDefault="0058358D">
      <w:pPr>
        <w:spacing w:line="240" w:lineRule="auto"/>
        <w:jc w:val="left"/>
        <w:rPr>
          <w:color w:val="000000"/>
        </w:rPr>
      </w:pPr>
      <w:r>
        <w:rPr>
          <w:color w:val="000000"/>
        </w:rPr>
        <w:br w:type="page"/>
      </w:r>
    </w:p>
    <w:p w:rsidR="00AD2379" w:rsidRDefault="00AD2379" w:rsidP="00BF0E94">
      <w:pPr>
        <w:jc w:val="left"/>
        <w:rPr>
          <w:color w:val="000000"/>
        </w:rPr>
      </w:pPr>
      <w:r w:rsidRPr="001F29F9">
        <w:rPr>
          <w:color w:val="000000"/>
          <w:u w:val="single"/>
        </w:rPr>
        <w:lastRenderedPageBreak/>
        <w:t>RATING COMPARISON</w:t>
      </w:r>
      <w:r w:rsidRPr="001F29F9">
        <w:rPr>
          <w:color w:val="000000"/>
        </w:rPr>
        <w:t>:</w:t>
      </w:r>
      <w:r w:rsidRPr="00726F84">
        <w:rPr>
          <w:color w:val="000000"/>
        </w:rPr>
        <w:t xml:space="preserve"> </w:t>
      </w:r>
    </w:p>
    <w:p w:rsidR="00FD4988" w:rsidRDefault="00FD4988" w:rsidP="00BF0E94">
      <w:pPr>
        <w:jc w:val="left"/>
        <w:rPr>
          <w:color w:val="000000"/>
        </w:rPr>
      </w:pPr>
    </w:p>
    <w:tbl>
      <w:tblPr>
        <w:tblStyle w:val="TableGrid"/>
        <w:tblpPr w:leftFromText="187" w:rightFromText="187" w:vertAnchor="text" w:tblpXSpec="center" w:tblpY="1"/>
        <w:tblOverlap w:val="never"/>
        <w:tblW w:w="9324" w:type="dxa"/>
        <w:tblLayout w:type="fixed"/>
        <w:tblLook w:val="04A0"/>
      </w:tblPr>
      <w:tblGrid>
        <w:gridCol w:w="2052"/>
        <w:gridCol w:w="720"/>
        <w:gridCol w:w="810"/>
        <w:gridCol w:w="2916"/>
        <w:gridCol w:w="1080"/>
        <w:gridCol w:w="720"/>
        <w:gridCol w:w="1026"/>
      </w:tblGrid>
      <w:tr w:rsidR="00FD4988" w:rsidRPr="001F29F9" w:rsidTr="00562F32">
        <w:trPr>
          <w:trHeight w:val="233"/>
        </w:trPr>
        <w:tc>
          <w:tcPr>
            <w:tcW w:w="3582" w:type="dxa"/>
            <w:gridSpan w:val="3"/>
            <w:tcBorders>
              <w:right w:val="thinThickThinSmallGap" w:sz="24" w:space="0" w:color="auto"/>
            </w:tcBorders>
            <w:shd w:val="clear" w:color="auto" w:fill="D9D9D9" w:themeFill="background1" w:themeFillShade="D9"/>
            <w:vAlign w:val="center"/>
          </w:tcPr>
          <w:p w:rsidR="00FD4988" w:rsidRPr="001F29F9" w:rsidRDefault="00FD4988" w:rsidP="00A12B8C">
            <w:pPr>
              <w:contextualSpacing/>
              <w:rPr>
                <w:rFonts w:cs="Calibri"/>
                <w:b/>
                <w:color w:val="000000" w:themeColor="text1"/>
                <w:sz w:val="18"/>
                <w:szCs w:val="18"/>
              </w:rPr>
            </w:pPr>
            <w:r w:rsidRPr="001F29F9">
              <w:rPr>
                <w:rFonts w:cs="Calibri"/>
                <w:b/>
                <w:color w:val="000000" w:themeColor="text1"/>
                <w:sz w:val="18"/>
                <w:szCs w:val="18"/>
              </w:rPr>
              <w:t>Service PEB – Dated 200</w:t>
            </w:r>
            <w:r>
              <w:rPr>
                <w:rFonts w:cs="Calibri"/>
                <w:b/>
                <w:color w:val="000000" w:themeColor="text1"/>
                <w:sz w:val="18"/>
                <w:szCs w:val="18"/>
              </w:rPr>
              <w:t>60307</w:t>
            </w:r>
          </w:p>
        </w:tc>
        <w:tc>
          <w:tcPr>
            <w:tcW w:w="5742" w:type="dxa"/>
            <w:gridSpan w:val="4"/>
            <w:tcBorders>
              <w:left w:val="thinThickThinSmallGap" w:sz="24" w:space="0" w:color="auto"/>
            </w:tcBorders>
            <w:shd w:val="clear" w:color="auto" w:fill="D9D9D9" w:themeFill="background1" w:themeFillShade="D9"/>
            <w:vAlign w:val="center"/>
          </w:tcPr>
          <w:p w:rsidR="00FD4988" w:rsidRPr="00346E0D" w:rsidRDefault="00FD4988" w:rsidP="00A12B8C">
            <w:pPr>
              <w:contextualSpacing/>
              <w:rPr>
                <w:rFonts w:cs="Calibri"/>
                <w:b/>
                <w:color w:val="000000" w:themeColor="text1"/>
                <w:sz w:val="18"/>
                <w:szCs w:val="18"/>
              </w:rPr>
            </w:pPr>
            <w:r w:rsidRPr="00346E0D">
              <w:rPr>
                <w:rFonts w:cs="Calibri"/>
                <w:b/>
                <w:color w:val="000000" w:themeColor="text1"/>
                <w:sz w:val="18"/>
                <w:szCs w:val="18"/>
              </w:rPr>
              <w:t>VA (</w:t>
            </w:r>
            <w:r>
              <w:rPr>
                <w:rFonts w:cs="Calibri"/>
                <w:b/>
                <w:color w:val="000000" w:themeColor="text1"/>
                <w:sz w:val="18"/>
                <w:szCs w:val="18"/>
              </w:rPr>
              <w:t>~3</w:t>
            </w:r>
            <w:r w:rsidRPr="00346E0D">
              <w:rPr>
                <w:rFonts w:cs="Calibri"/>
                <w:b/>
                <w:color w:val="000000" w:themeColor="text1"/>
                <w:sz w:val="18"/>
                <w:szCs w:val="18"/>
              </w:rPr>
              <w:t xml:space="preserve"> Mo. After Separation) – All Effective Date 20060422</w:t>
            </w:r>
          </w:p>
        </w:tc>
      </w:tr>
      <w:tr w:rsidR="00A12B8C" w:rsidRPr="001F29F9" w:rsidTr="00562F32">
        <w:trPr>
          <w:trHeight w:val="191"/>
        </w:trPr>
        <w:tc>
          <w:tcPr>
            <w:tcW w:w="2052" w:type="dxa"/>
            <w:tcBorders>
              <w:bottom w:val="single" w:sz="4" w:space="0" w:color="000000" w:themeColor="text1"/>
              <w:right w:val="single" w:sz="4" w:space="0" w:color="auto"/>
            </w:tcBorders>
            <w:shd w:val="clear" w:color="auto" w:fill="D9D9D9" w:themeFill="background1" w:themeFillShade="D9"/>
            <w:vAlign w:val="center"/>
          </w:tcPr>
          <w:p w:rsidR="00FD4988" w:rsidRPr="001F29F9" w:rsidRDefault="00FD4988" w:rsidP="00A12B8C">
            <w:pPr>
              <w:contextualSpacing/>
              <w:rPr>
                <w:rFonts w:cs="Calibri"/>
                <w:b/>
                <w:color w:val="000000" w:themeColor="text1"/>
                <w:sz w:val="18"/>
                <w:szCs w:val="18"/>
              </w:rPr>
            </w:pPr>
            <w:r w:rsidRPr="001F29F9">
              <w:rPr>
                <w:rFonts w:cs="Calibri"/>
                <w:b/>
                <w:color w:val="000000" w:themeColor="text1"/>
                <w:sz w:val="18"/>
                <w:szCs w:val="18"/>
              </w:rPr>
              <w:t>Condition</w:t>
            </w:r>
          </w:p>
        </w:tc>
        <w:tc>
          <w:tcPr>
            <w:tcW w:w="720" w:type="dxa"/>
            <w:tcBorders>
              <w:left w:val="single" w:sz="4" w:space="0" w:color="auto"/>
              <w:bottom w:val="single" w:sz="4" w:space="0" w:color="000000" w:themeColor="text1"/>
            </w:tcBorders>
            <w:shd w:val="clear" w:color="auto" w:fill="D9D9D9" w:themeFill="background1" w:themeFillShade="D9"/>
            <w:vAlign w:val="center"/>
          </w:tcPr>
          <w:p w:rsidR="00FD4988" w:rsidRPr="001F29F9" w:rsidRDefault="00FD4988" w:rsidP="00A12B8C">
            <w:pPr>
              <w:contextualSpacing/>
              <w:rPr>
                <w:rFonts w:cs="Calibri"/>
                <w:b/>
                <w:color w:val="000000" w:themeColor="text1"/>
                <w:sz w:val="18"/>
                <w:szCs w:val="18"/>
              </w:rPr>
            </w:pPr>
            <w:r w:rsidRPr="001F29F9">
              <w:rPr>
                <w:rFonts w:cs="Calibri"/>
                <w:b/>
                <w:color w:val="000000" w:themeColor="text1"/>
                <w:sz w:val="18"/>
                <w:szCs w:val="18"/>
              </w:rPr>
              <w:t>Code</w:t>
            </w:r>
          </w:p>
        </w:tc>
        <w:tc>
          <w:tcPr>
            <w:tcW w:w="810" w:type="dxa"/>
            <w:tcBorders>
              <w:bottom w:val="single" w:sz="4" w:space="0" w:color="000000" w:themeColor="text1"/>
              <w:right w:val="thinThickThinSmallGap" w:sz="24" w:space="0" w:color="auto"/>
            </w:tcBorders>
            <w:shd w:val="clear" w:color="auto" w:fill="D9D9D9" w:themeFill="background1" w:themeFillShade="D9"/>
            <w:vAlign w:val="center"/>
          </w:tcPr>
          <w:p w:rsidR="00FD4988" w:rsidRPr="001F29F9" w:rsidRDefault="00FD4988" w:rsidP="00A12B8C">
            <w:pPr>
              <w:contextualSpacing/>
              <w:rPr>
                <w:rFonts w:cs="Calibri"/>
                <w:b/>
                <w:color w:val="000000" w:themeColor="text1"/>
                <w:sz w:val="18"/>
                <w:szCs w:val="18"/>
              </w:rPr>
            </w:pPr>
            <w:r w:rsidRPr="001F29F9">
              <w:rPr>
                <w:rFonts w:cs="Calibri"/>
                <w:b/>
                <w:color w:val="000000" w:themeColor="text1"/>
                <w:sz w:val="18"/>
                <w:szCs w:val="18"/>
              </w:rPr>
              <w:t>Rating</w:t>
            </w:r>
          </w:p>
        </w:tc>
        <w:tc>
          <w:tcPr>
            <w:tcW w:w="2916" w:type="dxa"/>
            <w:tcBorders>
              <w:left w:val="thinThickThinSmallGap" w:sz="24" w:space="0" w:color="auto"/>
              <w:bottom w:val="single" w:sz="4" w:space="0" w:color="000000" w:themeColor="text1"/>
            </w:tcBorders>
            <w:shd w:val="clear" w:color="auto" w:fill="D9D9D9" w:themeFill="background1" w:themeFillShade="D9"/>
            <w:vAlign w:val="center"/>
          </w:tcPr>
          <w:p w:rsidR="00FD4988" w:rsidRPr="001F29F9" w:rsidRDefault="00FD4988" w:rsidP="00A12B8C">
            <w:pPr>
              <w:contextualSpacing/>
              <w:rPr>
                <w:rFonts w:cs="Calibri"/>
                <w:b/>
                <w:color w:val="000000" w:themeColor="text1"/>
                <w:sz w:val="18"/>
                <w:szCs w:val="18"/>
              </w:rPr>
            </w:pPr>
            <w:r w:rsidRPr="001F29F9">
              <w:rPr>
                <w:rFonts w:cs="Calibri"/>
                <w:b/>
                <w:color w:val="000000" w:themeColor="text1"/>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FD4988" w:rsidRPr="00346E0D" w:rsidRDefault="00FD4988" w:rsidP="00A12B8C">
            <w:pPr>
              <w:contextualSpacing/>
              <w:rPr>
                <w:rFonts w:cs="Calibri"/>
                <w:b/>
                <w:color w:val="000000" w:themeColor="text1"/>
                <w:sz w:val="18"/>
                <w:szCs w:val="18"/>
              </w:rPr>
            </w:pPr>
            <w:r w:rsidRPr="00346E0D">
              <w:rPr>
                <w:rFonts w:cs="Calibri"/>
                <w:b/>
                <w:color w:val="000000" w:themeColor="text1"/>
                <w:sz w:val="18"/>
                <w:szCs w:val="18"/>
              </w:rPr>
              <w:t>Code</w:t>
            </w:r>
          </w:p>
        </w:tc>
        <w:tc>
          <w:tcPr>
            <w:tcW w:w="720" w:type="dxa"/>
            <w:tcBorders>
              <w:bottom w:val="single" w:sz="4" w:space="0" w:color="000000" w:themeColor="text1"/>
            </w:tcBorders>
            <w:shd w:val="clear" w:color="auto" w:fill="D9D9D9" w:themeFill="background1" w:themeFillShade="D9"/>
            <w:vAlign w:val="center"/>
          </w:tcPr>
          <w:p w:rsidR="00FD4988" w:rsidRPr="00346E0D" w:rsidRDefault="00FD4988" w:rsidP="00A12B8C">
            <w:pPr>
              <w:contextualSpacing/>
              <w:rPr>
                <w:rFonts w:cs="Calibri"/>
                <w:b/>
                <w:color w:val="000000" w:themeColor="text1"/>
                <w:sz w:val="18"/>
                <w:szCs w:val="18"/>
              </w:rPr>
            </w:pPr>
            <w:r w:rsidRPr="00346E0D">
              <w:rPr>
                <w:rFonts w:cs="Calibri"/>
                <w:b/>
                <w:color w:val="000000" w:themeColor="text1"/>
                <w:sz w:val="18"/>
                <w:szCs w:val="18"/>
              </w:rPr>
              <w:t>Rating</w:t>
            </w:r>
          </w:p>
        </w:tc>
        <w:tc>
          <w:tcPr>
            <w:tcW w:w="1026" w:type="dxa"/>
            <w:tcBorders>
              <w:bottom w:val="single" w:sz="4" w:space="0" w:color="000000" w:themeColor="text1"/>
            </w:tcBorders>
            <w:shd w:val="clear" w:color="auto" w:fill="D9D9D9" w:themeFill="background1" w:themeFillShade="D9"/>
            <w:vAlign w:val="center"/>
          </w:tcPr>
          <w:p w:rsidR="00FD4988" w:rsidRPr="00346E0D" w:rsidRDefault="00FD4988" w:rsidP="00A12B8C">
            <w:pPr>
              <w:contextualSpacing/>
              <w:rPr>
                <w:rFonts w:cs="Calibri"/>
                <w:b/>
                <w:color w:val="000000" w:themeColor="text1"/>
                <w:sz w:val="18"/>
                <w:szCs w:val="18"/>
              </w:rPr>
            </w:pPr>
            <w:r w:rsidRPr="00346E0D">
              <w:rPr>
                <w:rFonts w:cs="Calibri"/>
                <w:b/>
                <w:color w:val="000000" w:themeColor="text1"/>
                <w:sz w:val="18"/>
                <w:szCs w:val="18"/>
              </w:rPr>
              <w:t>Exam</w:t>
            </w:r>
          </w:p>
        </w:tc>
      </w:tr>
      <w:tr w:rsidR="00A12B8C" w:rsidRPr="001F29F9" w:rsidTr="00562F32">
        <w:trPr>
          <w:trHeight w:val="209"/>
        </w:trPr>
        <w:tc>
          <w:tcPr>
            <w:tcW w:w="2052" w:type="dxa"/>
            <w:vMerge w:val="restart"/>
            <w:tcBorders>
              <w:right w:val="single" w:sz="4" w:space="0" w:color="auto"/>
            </w:tcBorders>
            <w:shd w:val="clear" w:color="auto" w:fill="FFFFFF" w:themeFill="background1"/>
            <w:vAlign w:val="center"/>
          </w:tcPr>
          <w:p w:rsidR="00FD4988" w:rsidRPr="001F29F9" w:rsidRDefault="00FD4988" w:rsidP="00A12B8C">
            <w:pPr>
              <w:spacing w:line="180" w:lineRule="exact"/>
              <w:contextualSpacing/>
              <w:jc w:val="left"/>
              <w:rPr>
                <w:rFonts w:cs="Calibri"/>
                <w:color w:val="000000" w:themeColor="text1"/>
                <w:sz w:val="18"/>
                <w:szCs w:val="18"/>
              </w:rPr>
            </w:pPr>
            <w:r>
              <w:rPr>
                <w:rFonts w:cs="Calibri"/>
                <w:color w:val="000000" w:themeColor="text1"/>
                <w:sz w:val="18"/>
                <w:szCs w:val="18"/>
              </w:rPr>
              <w:t xml:space="preserve">Chronic  </w:t>
            </w:r>
            <w:r w:rsidR="00360387">
              <w:rPr>
                <w:rFonts w:cs="Calibri"/>
                <w:color w:val="000000" w:themeColor="text1"/>
                <w:sz w:val="18"/>
                <w:szCs w:val="18"/>
              </w:rPr>
              <w:t xml:space="preserve">Left </w:t>
            </w:r>
            <w:r>
              <w:rPr>
                <w:rFonts w:cs="Calibri"/>
                <w:color w:val="000000" w:themeColor="text1"/>
                <w:sz w:val="18"/>
                <w:szCs w:val="18"/>
              </w:rPr>
              <w:t>Shoulder Pain</w:t>
            </w:r>
          </w:p>
        </w:tc>
        <w:tc>
          <w:tcPr>
            <w:tcW w:w="720" w:type="dxa"/>
            <w:vMerge w:val="restart"/>
            <w:tcBorders>
              <w:left w:val="single" w:sz="4" w:space="0" w:color="auto"/>
            </w:tcBorders>
            <w:shd w:val="clear" w:color="auto" w:fill="FFFFFF" w:themeFill="background1"/>
            <w:vAlign w:val="center"/>
          </w:tcPr>
          <w:p w:rsidR="00FD4988" w:rsidRPr="001F29F9" w:rsidRDefault="00FD4988" w:rsidP="00A12B8C">
            <w:pPr>
              <w:spacing w:line="180" w:lineRule="exact"/>
              <w:contextualSpacing/>
              <w:rPr>
                <w:rFonts w:cs="Calibri"/>
                <w:color w:val="000000" w:themeColor="text1"/>
                <w:sz w:val="18"/>
                <w:szCs w:val="18"/>
              </w:rPr>
            </w:pPr>
            <w:r>
              <w:rPr>
                <w:rFonts w:cs="Calibri"/>
                <w:color w:val="000000" w:themeColor="text1"/>
                <w:sz w:val="18"/>
                <w:szCs w:val="18"/>
              </w:rPr>
              <w:t>5099-5003</w:t>
            </w:r>
          </w:p>
        </w:tc>
        <w:tc>
          <w:tcPr>
            <w:tcW w:w="810" w:type="dxa"/>
            <w:vMerge w:val="restart"/>
            <w:tcBorders>
              <w:right w:val="thinThickThinSmallGap" w:sz="24" w:space="0" w:color="auto"/>
            </w:tcBorders>
            <w:shd w:val="clear" w:color="auto" w:fill="FFFFFF" w:themeFill="background1"/>
            <w:vAlign w:val="center"/>
          </w:tcPr>
          <w:p w:rsidR="00FD4988" w:rsidRPr="001F29F9" w:rsidRDefault="00FD4988" w:rsidP="00A12B8C">
            <w:pPr>
              <w:spacing w:line="220" w:lineRule="exact"/>
              <w:rPr>
                <w:rFonts w:cs="Calibri"/>
                <w:color w:val="000000" w:themeColor="text1"/>
                <w:sz w:val="18"/>
                <w:szCs w:val="18"/>
              </w:rPr>
            </w:pPr>
            <w:r>
              <w:rPr>
                <w:rFonts w:cs="Calibri"/>
                <w:color w:val="000000" w:themeColor="text1"/>
                <w:sz w:val="18"/>
                <w:szCs w:val="18"/>
              </w:rPr>
              <w:t>10</w:t>
            </w:r>
            <w:r w:rsidRPr="001F29F9">
              <w:rPr>
                <w:rFonts w:cs="Calibri"/>
                <w:color w:val="000000" w:themeColor="text1"/>
                <w:sz w:val="18"/>
                <w:szCs w:val="18"/>
              </w:rPr>
              <w:t>%</w:t>
            </w:r>
          </w:p>
        </w:tc>
        <w:tc>
          <w:tcPr>
            <w:tcW w:w="2916" w:type="dxa"/>
            <w:tcBorders>
              <w:left w:val="thinThickThinSmallGap" w:sz="24" w:space="0" w:color="auto"/>
            </w:tcBorders>
            <w:shd w:val="clear" w:color="auto" w:fill="FFFFFF" w:themeFill="background1"/>
            <w:vAlign w:val="center"/>
          </w:tcPr>
          <w:p w:rsidR="00FD4988" w:rsidRPr="001F29F9" w:rsidRDefault="00FD4988" w:rsidP="00A12B8C">
            <w:pPr>
              <w:spacing w:line="220" w:lineRule="exact"/>
              <w:contextualSpacing/>
              <w:jc w:val="left"/>
              <w:rPr>
                <w:rFonts w:cs="Calibri"/>
                <w:color w:val="000000" w:themeColor="text1"/>
                <w:sz w:val="18"/>
                <w:szCs w:val="18"/>
              </w:rPr>
            </w:pPr>
            <w:r>
              <w:rPr>
                <w:rFonts w:cs="Calibri"/>
                <w:color w:val="000000" w:themeColor="text1"/>
                <w:sz w:val="18"/>
                <w:szCs w:val="18"/>
              </w:rPr>
              <w:t>Residuals, L</w:t>
            </w:r>
            <w:r w:rsidR="00A12B8C">
              <w:rPr>
                <w:rFonts w:cs="Calibri"/>
                <w:color w:val="000000" w:themeColor="text1"/>
                <w:sz w:val="18"/>
                <w:szCs w:val="18"/>
              </w:rPr>
              <w:t>eft</w:t>
            </w:r>
            <w:r>
              <w:rPr>
                <w:rFonts w:cs="Calibri"/>
                <w:color w:val="000000" w:themeColor="text1"/>
                <w:sz w:val="18"/>
                <w:szCs w:val="18"/>
              </w:rPr>
              <w:t xml:space="preserve"> Shoulder</w:t>
            </w:r>
          </w:p>
        </w:tc>
        <w:tc>
          <w:tcPr>
            <w:tcW w:w="1080" w:type="dxa"/>
            <w:shd w:val="clear" w:color="auto" w:fill="FFFFFF" w:themeFill="background1"/>
            <w:vAlign w:val="center"/>
          </w:tcPr>
          <w:p w:rsidR="00FD4988" w:rsidRPr="00346E0D" w:rsidRDefault="00FD4988" w:rsidP="00A12B8C">
            <w:pPr>
              <w:spacing w:line="220" w:lineRule="exact"/>
              <w:contextualSpacing/>
              <w:rPr>
                <w:rFonts w:cs="Calibri"/>
                <w:color w:val="000000" w:themeColor="text1"/>
                <w:sz w:val="18"/>
                <w:szCs w:val="18"/>
              </w:rPr>
            </w:pPr>
            <w:r w:rsidRPr="00346E0D">
              <w:rPr>
                <w:rFonts w:cs="Calibri"/>
                <w:color w:val="000000" w:themeColor="text1"/>
                <w:sz w:val="18"/>
                <w:szCs w:val="18"/>
              </w:rPr>
              <w:t>5203-5201</w:t>
            </w:r>
          </w:p>
        </w:tc>
        <w:tc>
          <w:tcPr>
            <w:tcW w:w="720" w:type="dxa"/>
            <w:shd w:val="clear" w:color="auto" w:fill="FFFFFF" w:themeFill="background1"/>
            <w:vAlign w:val="center"/>
          </w:tcPr>
          <w:p w:rsidR="00FD4988" w:rsidRPr="00346E0D" w:rsidRDefault="00FD4988" w:rsidP="00A12B8C">
            <w:pPr>
              <w:spacing w:line="220" w:lineRule="exact"/>
              <w:contextualSpacing/>
              <w:rPr>
                <w:rFonts w:cs="Calibri"/>
                <w:color w:val="000000" w:themeColor="text1"/>
                <w:sz w:val="18"/>
                <w:szCs w:val="18"/>
              </w:rPr>
            </w:pPr>
            <w:r w:rsidRPr="00346E0D">
              <w:rPr>
                <w:rFonts w:cs="Calibri"/>
                <w:color w:val="000000" w:themeColor="text1"/>
                <w:sz w:val="18"/>
                <w:szCs w:val="18"/>
              </w:rPr>
              <w:t>20%</w:t>
            </w:r>
          </w:p>
        </w:tc>
        <w:tc>
          <w:tcPr>
            <w:tcW w:w="1026" w:type="dxa"/>
            <w:shd w:val="clear" w:color="auto" w:fill="FFFFFF" w:themeFill="background1"/>
            <w:vAlign w:val="center"/>
          </w:tcPr>
          <w:p w:rsidR="00FD4988" w:rsidRPr="00346E0D" w:rsidRDefault="00FD4988" w:rsidP="00A12B8C">
            <w:pPr>
              <w:spacing w:line="220" w:lineRule="exact"/>
              <w:contextualSpacing/>
              <w:rPr>
                <w:rFonts w:cs="Calibri"/>
                <w:color w:val="000000" w:themeColor="text1"/>
                <w:sz w:val="18"/>
                <w:szCs w:val="18"/>
              </w:rPr>
            </w:pPr>
            <w:r w:rsidRPr="00346E0D">
              <w:rPr>
                <w:rFonts w:cs="Calibri"/>
                <w:color w:val="000000" w:themeColor="text1"/>
                <w:sz w:val="18"/>
                <w:szCs w:val="18"/>
              </w:rPr>
              <w:t>20060710</w:t>
            </w:r>
          </w:p>
        </w:tc>
      </w:tr>
      <w:tr w:rsidR="00A12B8C" w:rsidRPr="001F29F9" w:rsidTr="00562F32">
        <w:trPr>
          <w:trHeight w:val="74"/>
        </w:trPr>
        <w:tc>
          <w:tcPr>
            <w:tcW w:w="2052" w:type="dxa"/>
            <w:vMerge/>
            <w:tcBorders>
              <w:right w:val="single" w:sz="4" w:space="0" w:color="auto"/>
            </w:tcBorders>
            <w:shd w:val="clear" w:color="auto" w:fill="FFFFFF" w:themeFill="background1"/>
            <w:vAlign w:val="center"/>
          </w:tcPr>
          <w:p w:rsidR="00FD4988" w:rsidRDefault="00FD4988" w:rsidP="00A12B8C">
            <w:pPr>
              <w:spacing w:line="180" w:lineRule="exact"/>
              <w:contextualSpacing/>
              <w:jc w:val="left"/>
              <w:rPr>
                <w:rFonts w:cs="Calibri"/>
                <w:color w:val="000000" w:themeColor="text1"/>
                <w:sz w:val="18"/>
                <w:szCs w:val="18"/>
              </w:rPr>
            </w:pPr>
          </w:p>
        </w:tc>
        <w:tc>
          <w:tcPr>
            <w:tcW w:w="720" w:type="dxa"/>
            <w:vMerge/>
            <w:tcBorders>
              <w:left w:val="single" w:sz="4" w:space="0" w:color="auto"/>
            </w:tcBorders>
            <w:shd w:val="clear" w:color="auto" w:fill="FFFFFF" w:themeFill="background1"/>
            <w:vAlign w:val="center"/>
          </w:tcPr>
          <w:p w:rsidR="00FD4988" w:rsidRDefault="00FD4988" w:rsidP="00A12B8C">
            <w:pPr>
              <w:spacing w:line="220" w:lineRule="exact"/>
              <w:contextualSpacing/>
              <w:rPr>
                <w:rFonts w:cs="Calibri"/>
                <w:color w:val="000000" w:themeColor="text1"/>
                <w:sz w:val="18"/>
                <w:szCs w:val="18"/>
              </w:rPr>
            </w:pPr>
          </w:p>
        </w:tc>
        <w:tc>
          <w:tcPr>
            <w:tcW w:w="810" w:type="dxa"/>
            <w:vMerge/>
            <w:tcBorders>
              <w:right w:val="thinThickThinSmallGap" w:sz="24" w:space="0" w:color="auto"/>
            </w:tcBorders>
            <w:shd w:val="clear" w:color="auto" w:fill="FFFFFF" w:themeFill="background1"/>
            <w:vAlign w:val="center"/>
          </w:tcPr>
          <w:p w:rsidR="00FD4988" w:rsidRDefault="00FD4988" w:rsidP="00A12B8C">
            <w:pPr>
              <w:spacing w:line="220" w:lineRule="exact"/>
              <w:rPr>
                <w:rFonts w:cs="Calibri"/>
                <w:color w:val="000000" w:themeColor="text1"/>
                <w:sz w:val="18"/>
                <w:szCs w:val="18"/>
              </w:rPr>
            </w:pPr>
          </w:p>
        </w:tc>
        <w:tc>
          <w:tcPr>
            <w:tcW w:w="2916" w:type="dxa"/>
            <w:tcBorders>
              <w:left w:val="thinThickThinSmallGap" w:sz="24" w:space="0" w:color="auto"/>
            </w:tcBorders>
            <w:shd w:val="clear" w:color="auto" w:fill="FFFFFF" w:themeFill="background1"/>
            <w:vAlign w:val="center"/>
          </w:tcPr>
          <w:p w:rsidR="00FD4988" w:rsidRDefault="00FD4988" w:rsidP="00A12B8C">
            <w:pPr>
              <w:spacing w:line="220" w:lineRule="exact"/>
              <w:contextualSpacing/>
              <w:jc w:val="left"/>
              <w:rPr>
                <w:rFonts w:cs="Calibri"/>
                <w:color w:val="000000" w:themeColor="text1"/>
                <w:sz w:val="18"/>
                <w:szCs w:val="18"/>
              </w:rPr>
            </w:pPr>
            <w:r>
              <w:rPr>
                <w:rFonts w:cs="Calibri"/>
                <w:color w:val="000000" w:themeColor="text1"/>
                <w:sz w:val="18"/>
                <w:szCs w:val="18"/>
              </w:rPr>
              <w:t>Suprascapular Nerve Impingement</w:t>
            </w:r>
          </w:p>
        </w:tc>
        <w:tc>
          <w:tcPr>
            <w:tcW w:w="1080" w:type="dxa"/>
            <w:shd w:val="clear" w:color="auto" w:fill="FFFFFF" w:themeFill="background1"/>
            <w:vAlign w:val="center"/>
          </w:tcPr>
          <w:p w:rsidR="00FD4988" w:rsidRPr="00346E0D" w:rsidRDefault="00FD4988" w:rsidP="00A12B8C">
            <w:pPr>
              <w:spacing w:line="220" w:lineRule="exact"/>
              <w:contextualSpacing/>
              <w:rPr>
                <w:rFonts w:cs="Calibri"/>
                <w:color w:val="000000" w:themeColor="text1"/>
                <w:sz w:val="18"/>
                <w:szCs w:val="18"/>
              </w:rPr>
            </w:pPr>
            <w:r w:rsidRPr="00346E0D">
              <w:rPr>
                <w:rFonts w:cs="Calibri"/>
                <w:color w:val="000000" w:themeColor="text1"/>
                <w:sz w:val="18"/>
                <w:szCs w:val="18"/>
              </w:rPr>
              <w:t>8510</w:t>
            </w:r>
          </w:p>
        </w:tc>
        <w:tc>
          <w:tcPr>
            <w:tcW w:w="720" w:type="dxa"/>
            <w:shd w:val="clear" w:color="auto" w:fill="FFFFFF" w:themeFill="background1"/>
            <w:vAlign w:val="center"/>
          </w:tcPr>
          <w:p w:rsidR="00FD4988" w:rsidRPr="00346E0D" w:rsidRDefault="00FD4988" w:rsidP="00A12B8C">
            <w:pPr>
              <w:spacing w:line="220" w:lineRule="exact"/>
              <w:contextualSpacing/>
              <w:rPr>
                <w:rFonts w:cs="Calibri"/>
                <w:color w:val="000000" w:themeColor="text1"/>
                <w:sz w:val="18"/>
                <w:szCs w:val="18"/>
              </w:rPr>
            </w:pPr>
            <w:r w:rsidRPr="00346E0D">
              <w:rPr>
                <w:rFonts w:cs="Calibri"/>
                <w:color w:val="000000" w:themeColor="text1"/>
                <w:sz w:val="18"/>
                <w:szCs w:val="18"/>
              </w:rPr>
              <w:t>20%</w:t>
            </w:r>
          </w:p>
        </w:tc>
        <w:tc>
          <w:tcPr>
            <w:tcW w:w="1026" w:type="dxa"/>
            <w:shd w:val="clear" w:color="auto" w:fill="FFFFFF" w:themeFill="background1"/>
            <w:vAlign w:val="center"/>
          </w:tcPr>
          <w:p w:rsidR="00FD4988" w:rsidRPr="00346E0D" w:rsidRDefault="00FD4988" w:rsidP="00A12B8C">
            <w:pPr>
              <w:spacing w:line="220" w:lineRule="exact"/>
              <w:contextualSpacing/>
              <w:rPr>
                <w:rFonts w:cs="Calibri"/>
                <w:color w:val="000000" w:themeColor="text1"/>
                <w:sz w:val="18"/>
                <w:szCs w:val="18"/>
              </w:rPr>
            </w:pPr>
            <w:r w:rsidRPr="00346E0D">
              <w:rPr>
                <w:rFonts w:cs="Calibri"/>
                <w:color w:val="000000" w:themeColor="text1"/>
                <w:sz w:val="18"/>
                <w:szCs w:val="18"/>
              </w:rPr>
              <w:t>20060710</w:t>
            </w:r>
          </w:p>
        </w:tc>
      </w:tr>
      <w:tr w:rsidR="00FD4988" w:rsidRPr="001F29F9" w:rsidTr="00562F32">
        <w:trPr>
          <w:trHeight w:val="110"/>
        </w:trPr>
        <w:tc>
          <w:tcPr>
            <w:tcW w:w="2052" w:type="dxa"/>
            <w:vMerge w:val="restart"/>
            <w:tcBorders>
              <w:right w:val="single" w:sz="4" w:space="0" w:color="auto"/>
            </w:tcBorders>
            <w:shd w:val="clear" w:color="auto" w:fill="FFFFFF" w:themeFill="background1"/>
            <w:vAlign w:val="center"/>
          </w:tcPr>
          <w:p w:rsidR="00FD4988" w:rsidRPr="001F29F9" w:rsidRDefault="00FD4988" w:rsidP="00A12B8C">
            <w:pPr>
              <w:spacing w:line="180" w:lineRule="exact"/>
              <w:contextualSpacing/>
              <w:jc w:val="left"/>
              <w:rPr>
                <w:rFonts w:cs="Calibri"/>
                <w:color w:val="000000" w:themeColor="text1"/>
                <w:sz w:val="18"/>
                <w:szCs w:val="18"/>
              </w:rPr>
            </w:pPr>
            <w:r>
              <w:rPr>
                <w:rFonts w:cs="Calibri"/>
                <w:color w:val="000000" w:themeColor="text1"/>
                <w:sz w:val="18"/>
                <w:szCs w:val="18"/>
              </w:rPr>
              <w:t>Cervical and Thoracic Pain</w:t>
            </w:r>
          </w:p>
        </w:tc>
        <w:tc>
          <w:tcPr>
            <w:tcW w:w="1530" w:type="dxa"/>
            <w:gridSpan w:val="2"/>
            <w:vMerge w:val="restart"/>
            <w:tcBorders>
              <w:left w:val="single" w:sz="4" w:space="0" w:color="auto"/>
              <w:right w:val="thinThickThinSmallGap" w:sz="24" w:space="0" w:color="auto"/>
            </w:tcBorders>
            <w:shd w:val="clear" w:color="auto" w:fill="FFFFFF" w:themeFill="background1"/>
            <w:vAlign w:val="center"/>
          </w:tcPr>
          <w:p w:rsidR="00FD4988" w:rsidRPr="001F29F9" w:rsidRDefault="00FD4988" w:rsidP="00A12B8C">
            <w:pPr>
              <w:spacing w:line="220" w:lineRule="exact"/>
              <w:rPr>
                <w:rFonts w:cs="Calibri"/>
                <w:color w:val="000000" w:themeColor="text1"/>
                <w:sz w:val="18"/>
                <w:szCs w:val="18"/>
              </w:rPr>
            </w:pPr>
            <w:r>
              <w:rPr>
                <w:rFonts w:cs="Calibri"/>
                <w:color w:val="000000" w:themeColor="text1"/>
                <w:sz w:val="18"/>
                <w:szCs w:val="18"/>
              </w:rPr>
              <w:t>Not Unfitting</w:t>
            </w:r>
          </w:p>
        </w:tc>
        <w:tc>
          <w:tcPr>
            <w:tcW w:w="2916" w:type="dxa"/>
            <w:tcBorders>
              <w:left w:val="thinThickThinSmallGap" w:sz="24" w:space="0" w:color="auto"/>
              <w:right w:val="single" w:sz="4" w:space="0" w:color="auto"/>
            </w:tcBorders>
            <w:shd w:val="clear" w:color="auto" w:fill="FFFFFF" w:themeFill="background1"/>
            <w:vAlign w:val="center"/>
          </w:tcPr>
          <w:p w:rsidR="00FD4988" w:rsidRPr="001F29F9" w:rsidRDefault="00FD4988" w:rsidP="00A12B8C">
            <w:pPr>
              <w:spacing w:line="220" w:lineRule="exact"/>
              <w:contextualSpacing/>
              <w:jc w:val="left"/>
              <w:rPr>
                <w:rFonts w:cs="Calibri"/>
                <w:color w:val="000000" w:themeColor="text1"/>
                <w:sz w:val="18"/>
                <w:szCs w:val="18"/>
              </w:rPr>
            </w:pPr>
            <w:r>
              <w:rPr>
                <w:rFonts w:cs="Calibri"/>
                <w:color w:val="000000" w:themeColor="text1"/>
                <w:sz w:val="18"/>
                <w:szCs w:val="18"/>
              </w:rPr>
              <w:t>Chronic Thoracolumbar  Strain</w:t>
            </w:r>
          </w:p>
        </w:tc>
        <w:tc>
          <w:tcPr>
            <w:tcW w:w="1080" w:type="dxa"/>
            <w:tcBorders>
              <w:left w:val="single" w:sz="4" w:space="0" w:color="auto"/>
            </w:tcBorders>
            <w:shd w:val="clear" w:color="auto" w:fill="FFFFFF" w:themeFill="background1"/>
            <w:vAlign w:val="center"/>
          </w:tcPr>
          <w:p w:rsidR="00FD4988" w:rsidRPr="00346E0D" w:rsidRDefault="00FD4988" w:rsidP="00A12B8C">
            <w:pPr>
              <w:spacing w:line="220" w:lineRule="exact"/>
              <w:contextualSpacing/>
              <w:rPr>
                <w:rFonts w:cs="Calibri"/>
                <w:color w:val="000000" w:themeColor="text1"/>
                <w:sz w:val="18"/>
                <w:szCs w:val="18"/>
              </w:rPr>
            </w:pPr>
            <w:r w:rsidRPr="00346E0D">
              <w:rPr>
                <w:rFonts w:cs="Calibri"/>
                <w:color w:val="000000" w:themeColor="text1"/>
                <w:sz w:val="18"/>
                <w:szCs w:val="18"/>
              </w:rPr>
              <w:t>5237</w:t>
            </w:r>
          </w:p>
        </w:tc>
        <w:tc>
          <w:tcPr>
            <w:tcW w:w="720" w:type="dxa"/>
            <w:shd w:val="clear" w:color="auto" w:fill="FFFFFF" w:themeFill="background1"/>
            <w:vAlign w:val="center"/>
          </w:tcPr>
          <w:p w:rsidR="00FD4988" w:rsidRPr="00346E0D" w:rsidRDefault="00FD4988" w:rsidP="00A12B8C">
            <w:pPr>
              <w:spacing w:line="220" w:lineRule="exact"/>
              <w:contextualSpacing/>
              <w:rPr>
                <w:rFonts w:cs="Calibri"/>
                <w:color w:val="000000" w:themeColor="text1"/>
                <w:sz w:val="18"/>
                <w:szCs w:val="18"/>
              </w:rPr>
            </w:pPr>
            <w:r w:rsidRPr="00346E0D">
              <w:rPr>
                <w:rFonts w:cs="Calibri"/>
                <w:color w:val="000000" w:themeColor="text1"/>
                <w:sz w:val="18"/>
                <w:szCs w:val="18"/>
              </w:rPr>
              <w:t>10%</w:t>
            </w:r>
          </w:p>
        </w:tc>
        <w:tc>
          <w:tcPr>
            <w:tcW w:w="1026" w:type="dxa"/>
            <w:shd w:val="clear" w:color="auto" w:fill="FFFFFF" w:themeFill="background1"/>
            <w:vAlign w:val="center"/>
          </w:tcPr>
          <w:p w:rsidR="00FD4988" w:rsidRPr="00346E0D" w:rsidRDefault="00FD4988" w:rsidP="00A12B8C">
            <w:pPr>
              <w:spacing w:line="220" w:lineRule="exact"/>
              <w:contextualSpacing/>
              <w:rPr>
                <w:rFonts w:cs="Calibri"/>
                <w:color w:val="000000" w:themeColor="text1"/>
                <w:sz w:val="18"/>
                <w:szCs w:val="18"/>
              </w:rPr>
            </w:pPr>
            <w:r w:rsidRPr="00346E0D">
              <w:rPr>
                <w:rFonts w:cs="Calibri"/>
                <w:color w:val="000000" w:themeColor="text1"/>
                <w:sz w:val="18"/>
                <w:szCs w:val="18"/>
              </w:rPr>
              <w:t>20060710</w:t>
            </w:r>
          </w:p>
        </w:tc>
      </w:tr>
      <w:tr w:rsidR="00FD4988" w:rsidRPr="001F29F9" w:rsidTr="00562F32">
        <w:trPr>
          <w:trHeight w:val="155"/>
        </w:trPr>
        <w:tc>
          <w:tcPr>
            <w:tcW w:w="2052" w:type="dxa"/>
            <w:vMerge/>
            <w:tcBorders>
              <w:right w:val="single" w:sz="4" w:space="0" w:color="auto"/>
            </w:tcBorders>
            <w:shd w:val="clear" w:color="auto" w:fill="FFFFFF" w:themeFill="background1"/>
            <w:vAlign w:val="center"/>
          </w:tcPr>
          <w:p w:rsidR="00FD4988" w:rsidRPr="001F29F9" w:rsidRDefault="00FD4988" w:rsidP="00A12B8C">
            <w:pPr>
              <w:spacing w:line="220" w:lineRule="exact"/>
              <w:contextualSpacing/>
              <w:rPr>
                <w:rFonts w:cs="Calibri"/>
                <w:color w:val="000000" w:themeColor="text1"/>
                <w:sz w:val="18"/>
                <w:szCs w:val="18"/>
              </w:rPr>
            </w:pPr>
          </w:p>
        </w:tc>
        <w:tc>
          <w:tcPr>
            <w:tcW w:w="1530" w:type="dxa"/>
            <w:gridSpan w:val="2"/>
            <w:vMerge/>
            <w:tcBorders>
              <w:left w:val="single" w:sz="4" w:space="0" w:color="auto"/>
              <w:right w:val="thinThickThinSmallGap" w:sz="24" w:space="0" w:color="auto"/>
            </w:tcBorders>
            <w:shd w:val="clear" w:color="auto" w:fill="FFFFFF" w:themeFill="background1"/>
            <w:vAlign w:val="center"/>
          </w:tcPr>
          <w:p w:rsidR="00FD4988" w:rsidRPr="001F29F9" w:rsidRDefault="00FD4988" w:rsidP="00A12B8C">
            <w:pPr>
              <w:spacing w:line="220" w:lineRule="exact"/>
              <w:contextualSpacing/>
              <w:rPr>
                <w:rFonts w:cs="Calibri"/>
                <w:color w:val="000000" w:themeColor="text1"/>
                <w:sz w:val="18"/>
                <w:szCs w:val="18"/>
                <w:highlight w:val="yellow"/>
              </w:rPr>
            </w:pPr>
          </w:p>
        </w:tc>
        <w:tc>
          <w:tcPr>
            <w:tcW w:w="2916" w:type="dxa"/>
            <w:tcBorders>
              <w:left w:val="thinThickThinSmallGap" w:sz="24" w:space="0" w:color="auto"/>
              <w:right w:val="single" w:sz="4" w:space="0" w:color="auto"/>
            </w:tcBorders>
            <w:shd w:val="clear" w:color="auto" w:fill="FFFFFF" w:themeFill="background1"/>
            <w:vAlign w:val="center"/>
          </w:tcPr>
          <w:p w:rsidR="00FD4988" w:rsidRPr="001F29F9" w:rsidRDefault="00FD4988" w:rsidP="00A12B8C">
            <w:pPr>
              <w:spacing w:line="220" w:lineRule="exact"/>
              <w:contextualSpacing/>
              <w:jc w:val="left"/>
              <w:rPr>
                <w:rFonts w:cs="Calibri"/>
                <w:color w:val="000000" w:themeColor="text1"/>
                <w:sz w:val="18"/>
                <w:szCs w:val="18"/>
              </w:rPr>
            </w:pPr>
            <w:r>
              <w:rPr>
                <w:rFonts w:cs="Calibri"/>
                <w:color w:val="000000" w:themeColor="text1"/>
                <w:sz w:val="18"/>
                <w:szCs w:val="18"/>
              </w:rPr>
              <w:t>Chronic Neck Strain</w:t>
            </w:r>
          </w:p>
        </w:tc>
        <w:tc>
          <w:tcPr>
            <w:tcW w:w="1080" w:type="dxa"/>
            <w:tcBorders>
              <w:left w:val="single" w:sz="4" w:space="0" w:color="auto"/>
            </w:tcBorders>
            <w:shd w:val="clear" w:color="auto" w:fill="FFFFFF" w:themeFill="background1"/>
            <w:vAlign w:val="center"/>
          </w:tcPr>
          <w:p w:rsidR="00FD4988" w:rsidRPr="00346E0D" w:rsidRDefault="00FD4988" w:rsidP="00A12B8C">
            <w:pPr>
              <w:spacing w:line="220" w:lineRule="exact"/>
              <w:contextualSpacing/>
              <w:rPr>
                <w:rFonts w:cs="Calibri"/>
                <w:color w:val="000000" w:themeColor="text1"/>
                <w:sz w:val="18"/>
                <w:szCs w:val="18"/>
              </w:rPr>
            </w:pPr>
            <w:r w:rsidRPr="00346E0D">
              <w:rPr>
                <w:rFonts w:cs="Calibri"/>
                <w:color w:val="000000" w:themeColor="text1"/>
                <w:sz w:val="18"/>
                <w:szCs w:val="18"/>
              </w:rPr>
              <w:t>5237</w:t>
            </w:r>
          </w:p>
        </w:tc>
        <w:tc>
          <w:tcPr>
            <w:tcW w:w="720" w:type="dxa"/>
            <w:shd w:val="clear" w:color="auto" w:fill="FFFFFF" w:themeFill="background1"/>
            <w:vAlign w:val="center"/>
          </w:tcPr>
          <w:p w:rsidR="00FD4988" w:rsidRPr="00346E0D" w:rsidRDefault="00FD4988" w:rsidP="00A12B8C">
            <w:pPr>
              <w:spacing w:line="220" w:lineRule="exact"/>
              <w:contextualSpacing/>
              <w:rPr>
                <w:rFonts w:cs="Calibri"/>
                <w:color w:val="000000" w:themeColor="text1"/>
                <w:sz w:val="18"/>
                <w:szCs w:val="18"/>
              </w:rPr>
            </w:pPr>
            <w:r w:rsidRPr="00346E0D">
              <w:rPr>
                <w:rFonts w:cs="Calibri"/>
                <w:color w:val="000000" w:themeColor="text1"/>
                <w:sz w:val="18"/>
                <w:szCs w:val="18"/>
              </w:rPr>
              <w:t>10%</w:t>
            </w:r>
          </w:p>
        </w:tc>
        <w:tc>
          <w:tcPr>
            <w:tcW w:w="1026" w:type="dxa"/>
            <w:shd w:val="clear" w:color="auto" w:fill="FFFFFF" w:themeFill="background1"/>
            <w:vAlign w:val="center"/>
          </w:tcPr>
          <w:p w:rsidR="00FD4988" w:rsidRPr="00346E0D" w:rsidRDefault="00FD4988" w:rsidP="00A12B8C">
            <w:pPr>
              <w:spacing w:line="220" w:lineRule="exact"/>
              <w:contextualSpacing/>
              <w:rPr>
                <w:rFonts w:cs="Calibri"/>
                <w:color w:val="000000" w:themeColor="text1"/>
                <w:sz w:val="18"/>
                <w:szCs w:val="18"/>
              </w:rPr>
            </w:pPr>
            <w:r w:rsidRPr="00346E0D">
              <w:rPr>
                <w:rFonts w:cs="Calibri"/>
                <w:color w:val="000000" w:themeColor="text1"/>
                <w:sz w:val="18"/>
                <w:szCs w:val="18"/>
              </w:rPr>
              <w:t>20060710</w:t>
            </w:r>
          </w:p>
        </w:tc>
      </w:tr>
      <w:tr w:rsidR="00FD4988" w:rsidRPr="001F29F9" w:rsidTr="00562F32">
        <w:trPr>
          <w:trHeight w:val="92"/>
        </w:trPr>
        <w:tc>
          <w:tcPr>
            <w:tcW w:w="3582" w:type="dxa"/>
            <w:gridSpan w:val="3"/>
            <w:vMerge w:val="restart"/>
            <w:tcBorders>
              <w:right w:val="thinThickThinSmallGap" w:sz="24" w:space="0" w:color="auto"/>
            </w:tcBorders>
            <w:shd w:val="clear" w:color="auto" w:fill="FFFFFF" w:themeFill="background1"/>
            <w:vAlign w:val="center"/>
          </w:tcPr>
          <w:p w:rsidR="00FD4988" w:rsidRPr="001F29F9" w:rsidRDefault="00FD4988" w:rsidP="00A12B8C">
            <w:pPr>
              <w:spacing w:line="220" w:lineRule="exact"/>
              <w:contextualSpacing/>
              <w:rPr>
                <w:rFonts w:cs="Calibri"/>
                <w:color w:val="000000" w:themeColor="text1"/>
                <w:sz w:val="18"/>
                <w:szCs w:val="18"/>
              </w:rPr>
            </w:pPr>
            <w:r w:rsidRPr="001F29F9">
              <w:rPr>
                <w:rFonts w:cs="Calibri"/>
                <w:color w:val="000000" w:themeColor="text1"/>
                <w:sz w:val="18"/>
                <w:szCs w:val="18"/>
              </w:rPr>
              <w:t>No Additional MEB/PEB Entries</w:t>
            </w:r>
          </w:p>
        </w:tc>
        <w:tc>
          <w:tcPr>
            <w:tcW w:w="2916" w:type="dxa"/>
            <w:tcBorders>
              <w:left w:val="thinThickThinSmallGap" w:sz="24" w:space="0" w:color="auto"/>
              <w:right w:val="single" w:sz="4" w:space="0" w:color="auto"/>
            </w:tcBorders>
            <w:shd w:val="clear" w:color="auto" w:fill="FFFFFF" w:themeFill="background1"/>
            <w:vAlign w:val="center"/>
          </w:tcPr>
          <w:p w:rsidR="00FD4988" w:rsidRPr="001F29F9" w:rsidRDefault="00FD4988" w:rsidP="00A12B8C">
            <w:pPr>
              <w:spacing w:line="220" w:lineRule="exact"/>
              <w:contextualSpacing/>
              <w:jc w:val="left"/>
              <w:rPr>
                <w:rFonts w:cs="Calibri"/>
                <w:color w:val="000000" w:themeColor="text1"/>
                <w:sz w:val="18"/>
                <w:szCs w:val="18"/>
              </w:rPr>
            </w:pPr>
            <w:r>
              <w:rPr>
                <w:rFonts w:cs="Calibri"/>
                <w:color w:val="000000" w:themeColor="text1"/>
                <w:sz w:val="18"/>
                <w:szCs w:val="18"/>
              </w:rPr>
              <w:t>PTSD</w:t>
            </w:r>
          </w:p>
        </w:tc>
        <w:tc>
          <w:tcPr>
            <w:tcW w:w="1080" w:type="dxa"/>
            <w:tcBorders>
              <w:left w:val="single" w:sz="4" w:space="0" w:color="auto"/>
              <w:right w:val="single" w:sz="4" w:space="0" w:color="auto"/>
            </w:tcBorders>
            <w:shd w:val="clear" w:color="auto" w:fill="FFFFFF" w:themeFill="background1"/>
            <w:vAlign w:val="center"/>
          </w:tcPr>
          <w:p w:rsidR="00FD4988" w:rsidRPr="00346E0D" w:rsidRDefault="00FD4988" w:rsidP="00A12B8C">
            <w:pPr>
              <w:spacing w:line="220" w:lineRule="exact"/>
              <w:contextualSpacing/>
              <w:rPr>
                <w:rFonts w:cs="Calibri"/>
                <w:color w:val="000000" w:themeColor="text1"/>
                <w:sz w:val="18"/>
                <w:szCs w:val="18"/>
              </w:rPr>
            </w:pPr>
            <w:r w:rsidRPr="00346E0D">
              <w:rPr>
                <w:rFonts w:cs="Calibri"/>
                <w:color w:val="000000" w:themeColor="text1"/>
                <w:sz w:val="18"/>
                <w:szCs w:val="18"/>
              </w:rPr>
              <w:t>9411</w:t>
            </w:r>
          </w:p>
        </w:tc>
        <w:tc>
          <w:tcPr>
            <w:tcW w:w="720" w:type="dxa"/>
            <w:tcBorders>
              <w:left w:val="single" w:sz="4" w:space="0" w:color="auto"/>
            </w:tcBorders>
            <w:shd w:val="clear" w:color="auto" w:fill="FFFFFF" w:themeFill="background1"/>
            <w:vAlign w:val="center"/>
          </w:tcPr>
          <w:p w:rsidR="00FD4988" w:rsidRPr="00346E0D" w:rsidRDefault="00FD4988" w:rsidP="00A12B8C">
            <w:pPr>
              <w:spacing w:line="220" w:lineRule="exact"/>
              <w:contextualSpacing/>
              <w:rPr>
                <w:rFonts w:cs="Calibri"/>
                <w:color w:val="000000" w:themeColor="text1"/>
                <w:sz w:val="18"/>
                <w:szCs w:val="18"/>
              </w:rPr>
            </w:pPr>
            <w:r w:rsidRPr="00346E0D">
              <w:rPr>
                <w:rFonts w:cs="Calibri"/>
                <w:color w:val="000000" w:themeColor="text1"/>
                <w:sz w:val="18"/>
                <w:szCs w:val="18"/>
              </w:rPr>
              <w:t>30%</w:t>
            </w:r>
          </w:p>
        </w:tc>
        <w:tc>
          <w:tcPr>
            <w:tcW w:w="1026" w:type="dxa"/>
            <w:shd w:val="clear" w:color="auto" w:fill="FFFFFF" w:themeFill="background1"/>
            <w:vAlign w:val="center"/>
          </w:tcPr>
          <w:p w:rsidR="00FD4988" w:rsidRPr="00346E0D" w:rsidRDefault="00FD4988" w:rsidP="00A12B8C">
            <w:pPr>
              <w:spacing w:line="220" w:lineRule="exact"/>
              <w:contextualSpacing/>
              <w:rPr>
                <w:rFonts w:cs="Calibri"/>
                <w:color w:val="000000" w:themeColor="text1"/>
                <w:sz w:val="18"/>
                <w:szCs w:val="18"/>
              </w:rPr>
            </w:pPr>
            <w:r w:rsidRPr="00346E0D">
              <w:rPr>
                <w:rFonts w:cs="Calibri"/>
                <w:color w:val="000000" w:themeColor="text1"/>
                <w:sz w:val="18"/>
                <w:szCs w:val="18"/>
              </w:rPr>
              <w:t>20060718</w:t>
            </w:r>
          </w:p>
        </w:tc>
      </w:tr>
      <w:tr w:rsidR="00FD4988" w:rsidRPr="001F29F9" w:rsidTr="00562F32">
        <w:trPr>
          <w:trHeight w:val="137"/>
        </w:trPr>
        <w:tc>
          <w:tcPr>
            <w:tcW w:w="3582" w:type="dxa"/>
            <w:gridSpan w:val="3"/>
            <w:vMerge/>
            <w:tcBorders>
              <w:right w:val="thinThickThinSmallGap" w:sz="24" w:space="0" w:color="auto"/>
            </w:tcBorders>
            <w:shd w:val="clear" w:color="auto" w:fill="FFFFFF" w:themeFill="background1"/>
            <w:vAlign w:val="center"/>
          </w:tcPr>
          <w:p w:rsidR="00FD4988" w:rsidRPr="001F29F9" w:rsidRDefault="00FD4988" w:rsidP="00A12B8C">
            <w:pPr>
              <w:spacing w:line="220" w:lineRule="exact"/>
              <w:contextualSpacing/>
              <w:rPr>
                <w:rFonts w:cs="Calibri"/>
                <w:color w:val="000000" w:themeColor="text1"/>
                <w:sz w:val="18"/>
                <w:szCs w:val="18"/>
              </w:rPr>
            </w:pPr>
          </w:p>
        </w:tc>
        <w:tc>
          <w:tcPr>
            <w:tcW w:w="2916" w:type="dxa"/>
            <w:tcBorders>
              <w:left w:val="thinThickThinSmallGap" w:sz="24" w:space="0" w:color="auto"/>
              <w:right w:val="single" w:sz="4" w:space="0" w:color="auto"/>
            </w:tcBorders>
            <w:shd w:val="clear" w:color="auto" w:fill="FFFFFF" w:themeFill="background1"/>
            <w:vAlign w:val="center"/>
          </w:tcPr>
          <w:p w:rsidR="00FD4988" w:rsidRPr="001F29F9" w:rsidRDefault="00FD4988" w:rsidP="00A12B8C">
            <w:pPr>
              <w:spacing w:line="220" w:lineRule="exact"/>
              <w:contextualSpacing/>
              <w:jc w:val="left"/>
              <w:rPr>
                <w:rFonts w:cs="Calibri"/>
                <w:color w:val="000000" w:themeColor="text1"/>
                <w:sz w:val="18"/>
                <w:szCs w:val="18"/>
              </w:rPr>
            </w:pPr>
            <w:r>
              <w:rPr>
                <w:rFonts w:cs="Calibri"/>
                <w:color w:val="000000" w:themeColor="text1"/>
                <w:sz w:val="18"/>
                <w:szCs w:val="18"/>
              </w:rPr>
              <w:t>Left Knee Medial Plateau Fracture</w:t>
            </w:r>
          </w:p>
        </w:tc>
        <w:tc>
          <w:tcPr>
            <w:tcW w:w="1080" w:type="dxa"/>
            <w:tcBorders>
              <w:left w:val="single" w:sz="4" w:space="0" w:color="auto"/>
              <w:right w:val="single" w:sz="4" w:space="0" w:color="auto"/>
            </w:tcBorders>
            <w:shd w:val="clear" w:color="auto" w:fill="FFFFFF" w:themeFill="background1"/>
            <w:vAlign w:val="center"/>
          </w:tcPr>
          <w:p w:rsidR="00FD4988" w:rsidRPr="00346E0D" w:rsidRDefault="00FD4988" w:rsidP="00A12B8C">
            <w:pPr>
              <w:spacing w:line="220" w:lineRule="exact"/>
              <w:contextualSpacing/>
              <w:rPr>
                <w:rFonts w:cs="Calibri"/>
                <w:color w:val="000000" w:themeColor="text1"/>
                <w:sz w:val="18"/>
                <w:szCs w:val="18"/>
              </w:rPr>
            </w:pPr>
            <w:r w:rsidRPr="00346E0D">
              <w:rPr>
                <w:rFonts w:cs="Calibri"/>
                <w:color w:val="000000" w:themeColor="text1"/>
                <w:sz w:val="18"/>
                <w:szCs w:val="18"/>
              </w:rPr>
              <w:t>5257</w:t>
            </w:r>
          </w:p>
        </w:tc>
        <w:tc>
          <w:tcPr>
            <w:tcW w:w="720" w:type="dxa"/>
            <w:tcBorders>
              <w:left w:val="single" w:sz="4" w:space="0" w:color="auto"/>
            </w:tcBorders>
            <w:shd w:val="clear" w:color="auto" w:fill="FFFFFF" w:themeFill="background1"/>
            <w:vAlign w:val="center"/>
          </w:tcPr>
          <w:p w:rsidR="00FD4988" w:rsidRPr="00346E0D" w:rsidRDefault="00FD4988" w:rsidP="00A12B8C">
            <w:pPr>
              <w:spacing w:line="220" w:lineRule="exact"/>
              <w:contextualSpacing/>
              <w:rPr>
                <w:rFonts w:cs="Calibri"/>
                <w:color w:val="000000" w:themeColor="text1"/>
                <w:sz w:val="18"/>
                <w:szCs w:val="18"/>
              </w:rPr>
            </w:pPr>
            <w:r w:rsidRPr="00346E0D">
              <w:rPr>
                <w:rFonts w:cs="Calibri"/>
                <w:color w:val="000000" w:themeColor="text1"/>
                <w:sz w:val="18"/>
                <w:szCs w:val="18"/>
              </w:rPr>
              <w:t>10%</w:t>
            </w:r>
          </w:p>
        </w:tc>
        <w:tc>
          <w:tcPr>
            <w:tcW w:w="1026" w:type="dxa"/>
            <w:shd w:val="clear" w:color="auto" w:fill="FFFFFF" w:themeFill="background1"/>
            <w:vAlign w:val="center"/>
          </w:tcPr>
          <w:p w:rsidR="00FD4988" w:rsidRPr="00346E0D" w:rsidRDefault="00FD4988" w:rsidP="00A12B8C">
            <w:pPr>
              <w:spacing w:line="220" w:lineRule="exact"/>
              <w:contextualSpacing/>
              <w:rPr>
                <w:rFonts w:cs="Calibri"/>
                <w:color w:val="000000" w:themeColor="text1"/>
                <w:sz w:val="18"/>
                <w:szCs w:val="18"/>
              </w:rPr>
            </w:pPr>
            <w:r w:rsidRPr="00346E0D">
              <w:rPr>
                <w:rFonts w:cs="Calibri"/>
                <w:color w:val="000000" w:themeColor="text1"/>
                <w:sz w:val="18"/>
                <w:szCs w:val="18"/>
              </w:rPr>
              <w:t>20060710</w:t>
            </w:r>
          </w:p>
        </w:tc>
      </w:tr>
      <w:tr w:rsidR="00FD4988" w:rsidRPr="001F29F9" w:rsidTr="00562F32">
        <w:trPr>
          <w:trHeight w:val="173"/>
        </w:trPr>
        <w:tc>
          <w:tcPr>
            <w:tcW w:w="3582" w:type="dxa"/>
            <w:gridSpan w:val="3"/>
            <w:vMerge/>
            <w:tcBorders>
              <w:right w:val="thinThickThinSmallGap" w:sz="24" w:space="0" w:color="auto"/>
            </w:tcBorders>
            <w:shd w:val="clear" w:color="auto" w:fill="FFFFFF" w:themeFill="background1"/>
            <w:vAlign w:val="center"/>
          </w:tcPr>
          <w:p w:rsidR="00FD4988" w:rsidRPr="001F29F9" w:rsidRDefault="00FD4988" w:rsidP="00A12B8C">
            <w:pPr>
              <w:spacing w:line="220" w:lineRule="exact"/>
              <w:contextualSpacing/>
              <w:rPr>
                <w:rFonts w:cs="Calibri"/>
                <w:color w:val="000000" w:themeColor="text1"/>
                <w:sz w:val="18"/>
                <w:szCs w:val="18"/>
              </w:rPr>
            </w:pPr>
          </w:p>
        </w:tc>
        <w:tc>
          <w:tcPr>
            <w:tcW w:w="2916" w:type="dxa"/>
            <w:tcBorders>
              <w:left w:val="thinThickThinSmallGap" w:sz="24" w:space="0" w:color="auto"/>
              <w:right w:val="single" w:sz="4" w:space="0" w:color="auto"/>
            </w:tcBorders>
            <w:shd w:val="clear" w:color="auto" w:fill="FFFFFF" w:themeFill="background1"/>
            <w:vAlign w:val="center"/>
          </w:tcPr>
          <w:p w:rsidR="00FD4988" w:rsidRPr="00346E0D" w:rsidRDefault="00FD4988" w:rsidP="00A12B8C">
            <w:pPr>
              <w:spacing w:line="220" w:lineRule="exact"/>
              <w:jc w:val="left"/>
              <w:rPr>
                <w:rFonts w:cs="Calibri"/>
                <w:color w:val="000000" w:themeColor="text1"/>
                <w:sz w:val="18"/>
                <w:szCs w:val="18"/>
              </w:rPr>
            </w:pPr>
            <w:r w:rsidRPr="00346E0D">
              <w:rPr>
                <w:rFonts w:cs="Calibri"/>
                <w:color w:val="000000" w:themeColor="text1"/>
                <w:sz w:val="18"/>
                <w:szCs w:val="18"/>
              </w:rPr>
              <w:t>Tinnitus</w:t>
            </w:r>
          </w:p>
        </w:tc>
        <w:tc>
          <w:tcPr>
            <w:tcW w:w="1080" w:type="dxa"/>
            <w:tcBorders>
              <w:left w:val="single" w:sz="4" w:space="0" w:color="auto"/>
            </w:tcBorders>
            <w:shd w:val="clear" w:color="auto" w:fill="FFFFFF" w:themeFill="background1"/>
            <w:vAlign w:val="center"/>
          </w:tcPr>
          <w:p w:rsidR="00FD4988" w:rsidRPr="00346E0D" w:rsidRDefault="00FD4988" w:rsidP="00A12B8C">
            <w:pPr>
              <w:spacing w:line="220" w:lineRule="exact"/>
              <w:contextualSpacing/>
              <w:rPr>
                <w:rFonts w:cs="Calibri"/>
                <w:color w:val="000000" w:themeColor="text1"/>
                <w:sz w:val="18"/>
                <w:szCs w:val="18"/>
              </w:rPr>
            </w:pPr>
            <w:r w:rsidRPr="00346E0D">
              <w:rPr>
                <w:rFonts w:cs="Calibri"/>
                <w:color w:val="000000" w:themeColor="text1"/>
                <w:sz w:val="18"/>
                <w:szCs w:val="18"/>
              </w:rPr>
              <w:t>6260</w:t>
            </w:r>
          </w:p>
        </w:tc>
        <w:tc>
          <w:tcPr>
            <w:tcW w:w="720" w:type="dxa"/>
            <w:shd w:val="clear" w:color="auto" w:fill="FFFFFF" w:themeFill="background1"/>
            <w:vAlign w:val="center"/>
          </w:tcPr>
          <w:p w:rsidR="00FD4988" w:rsidRPr="00346E0D" w:rsidRDefault="00FD4988" w:rsidP="00A12B8C">
            <w:pPr>
              <w:spacing w:line="220" w:lineRule="exact"/>
              <w:contextualSpacing/>
              <w:rPr>
                <w:rFonts w:cs="Calibri"/>
                <w:color w:val="000000" w:themeColor="text1"/>
                <w:sz w:val="18"/>
                <w:szCs w:val="18"/>
              </w:rPr>
            </w:pPr>
            <w:r w:rsidRPr="00346E0D">
              <w:rPr>
                <w:rFonts w:cs="Calibri"/>
                <w:color w:val="000000" w:themeColor="text1"/>
                <w:sz w:val="18"/>
                <w:szCs w:val="18"/>
              </w:rPr>
              <w:t>10%</w:t>
            </w:r>
          </w:p>
        </w:tc>
        <w:tc>
          <w:tcPr>
            <w:tcW w:w="1026" w:type="dxa"/>
            <w:shd w:val="clear" w:color="auto" w:fill="FFFFFF" w:themeFill="background1"/>
            <w:vAlign w:val="center"/>
          </w:tcPr>
          <w:p w:rsidR="00FD4988" w:rsidRPr="00346E0D" w:rsidRDefault="00FD4988" w:rsidP="00A12B8C">
            <w:pPr>
              <w:spacing w:line="220" w:lineRule="exact"/>
              <w:contextualSpacing/>
              <w:rPr>
                <w:rFonts w:cs="Calibri"/>
                <w:color w:val="000000" w:themeColor="text1"/>
                <w:sz w:val="18"/>
                <w:szCs w:val="18"/>
              </w:rPr>
            </w:pPr>
            <w:r w:rsidRPr="00346E0D">
              <w:rPr>
                <w:rFonts w:cs="Calibri"/>
                <w:color w:val="000000" w:themeColor="text1"/>
                <w:sz w:val="18"/>
                <w:szCs w:val="18"/>
              </w:rPr>
              <w:t>20060710</w:t>
            </w:r>
          </w:p>
        </w:tc>
      </w:tr>
      <w:tr w:rsidR="00C93732" w:rsidRPr="001F29F9" w:rsidTr="00562F32">
        <w:trPr>
          <w:trHeight w:val="173"/>
        </w:trPr>
        <w:tc>
          <w:tcPr>
            <w:tcW w:w="3582" w:type="dxa"/>
            <w:gridSpan w:val="3"/>
            <w:vMerge/>
            <w:tcBorders>
              <w:right w:val="thinThickThinSmallGap" w:sz="24" w:space="0" w:color="auto"/>
            </w:tcBorders>
            <w:shd w:val="clear" w:color="auto" w:fill="FFFFFF" w:themeFill="background1"/>
            <w:vAlign w:val="center"/>
          </w:tcPr>
          <w:p w:rsidR="00C93732" w:rsidRPr="001F29F9" w:rsidRDefault="00C93732" w:rsidP="00C93732">
            <w:pPr>
              <w:spacing w:line="220" w:lineRule="exact"/>
              <w:contextualSpacing/>
              <w:rPr>
                <w:color w:val="000000" w:themeColor="text1"/>
                <w:sz w:val="18"/>
                <w:szCs w:val="18"/>
              </w:rPr>
            </w:pPr>
          </w:p>
        </w:tc>
        <w:tc>
          <w:tcPr>
            <w:tcW w:w="2916" w:type="dxa"/>
            <w:tcBorders>
              <w:left w:val="thinThickThinSmallGap" w:sz="24" w:space="0" w:color="auto"/>
              <w:right w:val="single" w:sz="4" w:space="0" w:color="auto"/>
            </w:tcBorders>
            <w:shd w:val="clear" w:color="auto" w:fill="FFFFFF" w:themeFill="background1"/>
            <w:vAlign w:val="center"/>
          </w:tcPr>
          <w:p w:rsidR="00C93732" w:rsidRPr="00346E0D" w:rsidRDefault="00C93732" w:rsidP="00C93732">
            <w:pPr>
              <w:spacing w:line="220" w:lineRule="exact"/>
              <w:jc w:val="left"/>
              <w:rPr>
                <w:color w:val="000000" w:themeColor="text1"/>
                <w:sz w:val="18"/>
                <w:szCs w:val="18"/>
              </w:rPr>
            </w:pPr>
            <w:r>
              <w:rPr>
                <w:color w:val="000000" w:themeColor="text1"/>
                <w:sz w:val="18"/>
                <w:szCs w:val="18"/>
              </w:rPr>
              <w:t>Shrapnel Wounds R Thigh/Fx R Knee</w:t>
            </w:r>
          </w:p>
        </w:tc>
        <w:tc>
          <w:tcPr>
            <w:tcW w:w="1080" w:type="dxa"/>
            <w:tcBorders>
              <w:left w:val="single" w:sz="4" w:space="0" w:color="auto"/>
            </w:tcBorders>
            <w:shd w:val="clear" w:color="auto" w:fill="FFFFFF" w:themeFill="background1"/>
            <w:vAlign w:val="center"/>
          </w:tcPr>
          <w:p w:rsidR="00C93732" w:rsidRPr="00346E0D" w:rsidRDefault="00C93732" w:rsidP="00C93732">
            <w:pPr>
              <w:spacing w:line="220" w:lineRule="exact"/>
              <w:contextualSpacing/>
              <w:rPr>
                <w:color w:val="000000" w:themeColor="text1"/>
                <w:sz w:val="18"/>
                <w:szCs w:val="18"/>
              </w:rPr>
            </w:pPr>
            <w:r>
              <w:rPr>
                <w:color w:val="000000" w:themeColor="text1"/>
                <w:sz w:val="18"/>
                <w:szCs w:val="18"/>
              </w:rPr>
              <w:t>5314</w:t>
            </w:r>
          </w:p>
        </w:tc>
        <w:tc>
          <w:tcPr>
            <w:tcW w:w="720" w:type="dxa"/>
            <w:shd w:val="clear" w:color="auto" w:fill="FFFFFF" w:themeFill="background1"/>
            <w:vAlign w:val="center"/>
          </w:tcPr>
          <w:p w:rsidR="00C93732" w:rsidRPr="00346E0D" w:rsidRDefault="00C93732" w:rsidP="00C93732">
            <w:pPr>
              <w:spacing w:line="220" w:lineRule="exact"/>
              <w:contextualSpacing/>
              <w:rPr>
                <w:rFonts w:cs="Calibri"/>
                <w:color w:val="000000" w:themeColor="text1"/>
                <w:sz w:val="18"/>
                <w:szCs w:val="18"/>
              </w:rPr>
            </w:pPr>
            <w:r w:rsidRPr="00346E0D">
              <w:rPr>
                <w:rFonts w:cs="Calibri"/>
                <w:color w:val="000000" w:themeColor="text1"/>
                <w:sz w:val="18"/>
                <w:szCs w:val="18"/>
              </w:rPr>
              <w:t>0%</w:t>
            </w:r>
          </w:p>
        </w:tc>
        <w:tc>
          <w:tcPr>
            <w:tcW w:w="1026" w:type="dxa"/>
            <w:shd w:val="clear" w:color="auto" w:fill="FFFFFF" w:themeFill="background1"/>
            <w:vAlign w:val="center"/>
          </w:tcPr>
          <w:p w:rsidR="00C93732" w:rsidRPr="00346E0D" w:rsidRDefault="00C93732" w:rsidP="00C93732">
            <w:pPr>
              <w:spacing w:line="220" w:lineRule="exact"/>
              <w:contextualSpacing/>
              <w:rPr>
                <w:rFonts w:cs="Calibri"/>
                <w:color w:val="000000" w:themeColor="text1"/>
                <w:sz w:val="18"/>
                <w:szCs w:val="18"/>
              </w:rPr>
            </w:pPr>
            <w:r w:rsidRPr="00346E0D">
              <w:rPr>
                <w:rFonts w:cs="Calibri"/>
                <w:color w:val="000000" w:themeColor="text1"/>
                <w:sz w:val="18"/>
                <w:szCs w:val="18"/>
              </w:rPr>
              <w:t>20060710</w:t>
            </w:r>
          </w:p>
        </w:tc>
      </w:tr>
      <w:tr w:rsidR="00C93732" w:rsidRPr="001F29F9" w:rsidTr="00562F32">
        <w:trPr>
          <w:trHeight w:val="173"/>
        </w:trPr>
        <w:tc>
          <w:tcPr>
            <w:tcW w:w="3582" w:type="dxa"/>
            <w:gridSpan w:val="3"/>
            <w:vMerge/>
            <w:tcBorders>
              <w:right w:val="thinThickThinSmallGap" w:sz="24" w:space="0" w:color="auto"/>
            </w:tcBorders>
            <w:shd w:val="clear" w:color="auto" w:fill="FFFFFF" w:themeFill="background1"/>
            <w:vAlign w:val="center"/>
          </w:tcPr>
          <w:p w:rsidR="00C93732" w:rsidRPr="001F29F9" w:rsidRDefault="00C93732" w:rsidP="00C93732">
            <w:pPr>
              <w:spacing w:line="220" w:lineRule="exact"/>
              <w:contextualSpacing/>
              <w:rPr>
                <w:color w:val="000000" w:themeColor="text1"/>
                <w:sz w:val="18"/>
                <w:szCs w:val="18"/>
              </w:rPr>
            </w:pPr>
          </w:p>
        </w:tc>
        <w:tc>
          <w:tcPr>
            <w:tcW w:w="2916" w:type="dxa"/>
            <w:tcBorders>
              <w:left w:val="thinThickThinSmallGap" w:sz="24" w:space="0" w:color="auto"/>
              <w:right w:val="single" w:sz="4" w:space="0" w:color="auto"/>
            </w:tcBorders>
            <w:shd w:val="clear" w:color="auto" w:fill="FFFFFF" w:themeFill="background1"/>
            <w:vAlign w:val="center"/>
          </w:tcPr>
          <w:p w:rsidR="00C93732" w:rsidRPr="00346E0D" w:rsidRDefault="00C93732" w:rsidP="00C93732">
            <w:pPr>
              <w:spacing w:line="220" w:lineRule="exact"/>
              <w:jc w:val="left"/>
              <w:rPr>
                <w:color w:val="000000" w:themeColor="text1"/>
                <w:sz w:val="18"/>
                <w:szCs w:val="18"/>
              </w:rPr>
            </w:pPr>
            <w:r>
              <w:rPr>
                <w:color w:val="000000" w:themeColor="text1"/>
                <w:sz w:val="18"/>
                <w:szCs w:val="18"/>
              </w:rPr>
              <w:t>Kidney Stones</w:t>
            </w:r>
          </w:p>
        </w:tc>
        <w:tc>
          <w:tcPr>
            <w:tcW w:w="1080" w:type="dxa"/>
            <w:tcBorders>
              <w:left w:val="single" w:sz="4" w:space="0" w:color="auto"/>
            </w:tcBorders>
            <w:shd w:val="clear" w:color="auto" w:fill="FFFFFF" w:themeFill="background1"/>
            <w:vAlign w:val="center"/>
          </w:tcPr>
          <w:p w:rsidR="00C93732" w:rsidRPr="00346E0D" w:rsidRDefault="00C93732" w:rsidP="00C93732">
            <w:pPr>
              <w:spacing w:line="220" w:lineRule="exact"/>
              <w:contextualSpacing/>
              <w:rPr>
                <w:color w:val="000000" w:themeColor="text1"/>
                <w:sz w:val="18"/>
                <w:szCs w:val="18"/>
              </w:rPr>
            </w:pPr>
            <w:r>
              <w:rPr>
                <w:color w:val="000000" w:themeColor="text1"/>
                <w:sz w:val="18"/>
                <w:szCs w:val="18"/>
              </w:rPr>
              <w:t>7508</w:t>
            </w:r>
          </w:p>
        </w:tc>
        <w:tc>
          <w:tcPr>
            <w:tcW w:w="720" w:type="dxa"/>
            <w:shd w:val="clear" w:color="auto" w:fill="FFFFFF" w:themeFill="background1"/>
            <w:vAlign w:val="center"/>
          </w:tcPr>
          <w:p w:rsidR="00C93732" w:rsidRPr="00346E0D" w:rsidRDefault="00C93732" w:rsidP="00C93732">
            <w:pPr>
              <w:spacing w:line="220" w:lineRule="exact"/>
              <w:contextualSpacing/>
              <w:rPr>
                <w:rFonts w:cs="Calibri"/>
                <w:color w:val="000000" w:themeColor="text1"/>
                <w:sz w:val="18"/>
                <w:szCs w:val="18"/>
              </w:rPr>
            </w:pPr>
            <w:r w:rsidRPr="00346E0D">
              <w:rPr>
                <w:rFonts w:cs="Calibri"/>
                <w:color w:val="000000" w:themeColor="text1"/>
                <w:sz w:val="18"/>
                <w:szCs w:val="18"/>
              </w:rPr>
              <w:t>0%</w:t>
            </w:r>
          </w:p>
        </w:tc>
        <w:tc>
          <w:tcPr>
            <w:tcW w:w="1026" w:type="dxa"/>
            <w:shd w:val="clear" w:color="auto" w:fill="FFFFFF" w:themeFill="background1"/>
            <w:vAlign w:val="center"/>
          </w:tcPr>
          <w:p w:rsidR="00C93732" w:rsidRPr="00346E0D" w:rsidRDefault="00C93732" w:rsidP="00C93732">
            <w:pPr>
              <w:spacing w:line="220" w:lineRule="exact"/>
              <w:contextualSpacing/>
              <w:rPr>
                <w:rFonts w:cs="Calibri"/>
                <w:color w:val="000000" w:themeColor="text1"/>
                <w:sz w:val="18"/>
                <w:szCs w:val="18"/>
              </w:rPr>
            </w:pPr>
            <w:r w:rsidRPr="00346E0D">
              <w:rPr>
                <w:rFonts w:cs="Calibri"/>
                <w:color w:val="000000" w:themeColor="text1"/>
                <w:sz w:val="18"/>
                <w:szCs w:val="18"/>
              </w:rPr>
              <w:t>20060710</w:t>
            </w:r>
          </w:p>
        </w:tc>
      </w:tr>
      <w:tr w:rsidR="00FD4988" w:rsidRPr="001F29F9" w:rsidTr="00562F32">
        <w:trPr>
          <w:trHeight w:val="242"/>
        </w:trPr>
        <w:tc>
          <w:tcPr>
            <w:tcW w:w="3582" w:type="dxa"/>
            <w:gridSpan w:val="3"/>
            <w:tcBorders>
              <w:right w:val="thinThickThinSmallGap" w:sz="24" w:space="0" w:color="auto"/>
            </w:tcBorders>
            <w:shd w:val="clear" w:color="auto" w:fill="D9D9D9" w:themeFill="background1" w:themeFillShade="D9"/>
          </w:tcPr>
          <w:p w:rsidR="00FD4988" w:rsidRPr="001F29F9" w:rsidRDefault="00FD4988" w:rsidP="00A12B8C">
            <w:pPr>
              <w:contextualSpacing/>
              <w:rPr>
                <w:rFonts w:cs="Calibri"/>
                <w:b/>
                <w:color w:val="000000" w:themeColor="text1"/>
                <w:sz w:val="18"/>
                <w:szCs w:val="18"/>
              </w:rPr>
            </w:pPr>
            <w:r w:rsidRPr="001F29F9">
              <w:rPr>
                <w:rFonts w:cs="Calibri"/>
                <w:b/>
                <w:color w:val="000000" w:themeColor="text1"/>
                <w:sz w:val="18"/>
                <w:szCs w:val="18"/>
              </w:rPr>
              <w:t xml:space="preserve">Combined:  </w:t>
            </w:r>
            <w:r>
              <w:rPr>
                <w:rFonts w:cs="Calibri"/>
                <w:b/>
                <w:color w:val="000000" w:themeColor="text1"/>
                <w:sz w:val="18"/>
                <w:szCs w:val="18"/>
              </w:rPr>
              <w:t>10</w:t>
            </w:r>
            <w:r w:rsidRPr="001F29F9">
              <w:rPr>
                <w:rFonts w:cs="Calibri"/>
                <w:b/>
                <w:color w:val="000000" w:themeColor="text1"/>
                <w:sz w:val="18"/>
                <w:szCs w:val="18"/>
              </w:rPr>
              <w:t>%</w:t>
            </w:r>
          </w:p>
        </w:tc>
        <w:tc>
          <w:tcPr>
            <w:tcW w:w="5742" w:type="dxa"/>
            <w:gridSpan w:val="4"/>
            <w:tcBorders>
              <w:left w:val="thinThickThinSmallGap" w:sz="24" w:space="0" w:color="auto"/>
            </w:tcBorders>
            <w:shd w:val="clear" w:color="auto" w:fill="D9D9D9" w:themeFill="background1" w:themeFillShade="D9"/>
          </w:tcPr>
          <w:p w:rsidR="00FD4988" w:rsidRPr="001F29F9" w:rsidRDefault="00FD4988" w:rsidP="00A12B8C">
            <w:pPr>
              <w:contextualSpacing/>
              <w:rPr>
                <w:rFonts w:cs="Calibri"/>
                <w:b/>
                <w:color w:val="000000" w:themeColor="text1"/>
                <w:sz w:val="18"/>
                <w:szCs w:val="18"/>
              </w:rPr>
            </w:pPr>
            <w:r w:rsidRPr="001F29F9">
              <w:rPr>
                <w:rFonts w:cs="Calibri"/>
                <w:b/>
                <w:color w:val="000000" w:themeColor="text1"/>
                <w:sz w:val="18"/>
                <w:szCs w:val="18"/>
              </w:rPr>
              <w:t xml:space="preserve">Combined:  </w:t>
            </w:r>
            <w:r>
              <w:rPr>
                <w:rFonts w:cs="Calibri"/>
                <w:b/>
                <w:color w:val="000000" w:themeColor="text1"/>
                <w:sz w:val="18"/>
                <w:szCs w:val="18"/>
              </w:rPr>
              <w:t>7</w:t>
            </w:r>
            <w:r w:rsidRPr="001F29F9">
              <w:rPr>
                <w:rFonts w:cs="Calibri"/>
                <w:b/>
                <w:color w:val="000000" w:themeColor="text1"/>
                <w:sz w:val="18"/>
                <w:szCs w:val="18"/>
              </w:rPr>
              <w:t>0%</w:t>
            </w:r>
          </w:p>
        </w:tc>
      </w:tr>
    </w:tbl>
    <w:p w:rsidR="00AD2379" w:rsidRPr="001F29F9" w:rsidRDefault="00AD2379" w:rsidP="00BF0E94">
      <w:pPr>
        <w:pBdr>
          <w:bottom w:val="single" w:sz="12" w:space="1" w:color="auto"/>
        </w:pBdr>
        <w:tabs>
          <w:tab w:val="left" w:pos="288"/>
          <w:tab w:val="left" w:pos="4752"/>
        </w:tabs>
        <w:jc w:val="both"/>
        <w:rPr>
          <w:color w:val="000000"/>
        </w:rPr>
      </w:pPr>
    </w:p>
    <w:p w:rsidR="00AD2379" w:rsidRPr="001F29F9" w:rsidRDefault="00AD2379">
      <w:pPr>
        <w:rPr>
          <w:color w:val="000000"/>
        </w:rPr>
      </w:pPr>
    </w:p>
    <w:p w:rsidR="00AD2379" w:rsidRPr="00726F84" w:rsidRDefault="00AD2379" w:rsidP="00726F84">
      <w:pPr>
        <w:jc w:val="both"/>
        <w:rPr>
          <w:color w:val="000000"/>
        </w:rPr>
      </w:pPr>
      <w:r w:rsidRPr="001F29F9">
        <w:rPr>
          <w:color w:val="000000"/>
          <w:u w:val="single"/>
        </w:rPr>
        <w:t>ANALYSIS SUMMARY</w:t>
      </w:r>
      <w:r w:rsidRPr="001F29F9">
        <w:rPr>
          <w:color w:val="000000"/>
        </w:rPr>
        <w:t>:</w:t>
      </w:r>
      <w:r>
        <w:rPr>
          <w:color w:val="000000"/>
        </w:rPr>
        <w:t xml:space="preserve"> </w:t>
      </w:r>
    </w:p>
    <w:p w:rsidR="00AD2379" w:rsidRPr="001F29F9" w:rsidRDefault="00AD2379" w:rsidP="00B22D42">
      <w:pPr>
        <w:jc w:val="both"/>
        <w:rPr>
          <w:color w:val="000000"/>
          <w:highlight w:val="yellow"/>
        </w:rPr>
      </w:pPr>
    </w:p>
    <w:p w:rsidR="00A12B8C" w:rsidRPr="00DC66F6" w:rsidRDefault="00584BB8" w:rsidP="00A12B8C">
      <w:pPr>
        <w:jc w:val="both"/>
        <w:rPr>
          <w:color w:val="000000"/>
        </w:rPr>
      </w:pPr>
      <w:r>
        <w:rPr>
          <w:color w:val="000000"/>
          <w:u w:val="single"/>
        </w:rPr>
        <w:t xml:space="preserve">Left </w:t>
      </w:r>
      <w:r w:rsidR="002E06A8">
        <w:rPr>
          <w:color w:val="000000"/>
          <w:u w:val="single"/>
        </w:rPr>
        <w:t xml:space="preserve">Shoulder </w:t>
      </w:r>
      <w:r w:rsidR="00DC66F6">
        <w:rPr>
          <w:color w:val="000000"/>
          <w:u w:val="single"/>
        </w:rPr>
        <w:t xml:space="preserve">Joint </w:t>
      </w:r>
      <w:r w:rsidR="00AD2379" w:rsidRPr="009A7578">
        <w:rPr>
          <w:color w:val="000000"/>
          <w:u w:val="single"/>
        </w:rPr>
        <w:t>Condition</w:t>
      </w:r>
      <w:r w:rsidR="00AD2379" w:rsidRPr="009A7578">
        <w:rPr>
          <w:color w:val="000000"/>
        </w:rPr>
        <w:t xml:space="preserve">. </w:t>
      </w:r>
      <w:r w:rsidR="00385708">
        <w:rPr>
          <w:color w:val="000000"/>
        </w:rPr>
        <w:t xml:space="preserve"> </w:t>
      </w:r>
      <w:r w:rsidR="00AB77AB">
        <w:rPr>
          <w:color w:val="000000"/>
        </w:rPr>
        <w:t xml:space="preserve">After the CI failed to progress with physical therapy and </w:t>
      </w:r>
      <w:r w:rsidR="00B70549">
        <w:rPr>
          <w:color w:val="000000"/>
        </w:rPr>
        <w:t>joint</w:t>
      </w:r>
      <w:r w:rsidR="00AB77AB">
        <w:rPr>
          <w:color w:val="000000"/>
        </w:rPr>
        <w:t xml:space="preserve"> injections, a diagnosis of </w:t>
      </w:r>
      <w:r w:rsidR="00EC4B39">
        <w:rPr>
          <w:color w:val="000000"/>
        </w:rPr>
        <w:t xml:space="preserve">a </w:t>
      </w:r>
      <w:r w:rsidR="007C684B">
        <w:rPr>
          <w:color w:val="000000"/>
        </w:rPr>
        <w:t>g</w:t>
      </w:r>
      <w:r w:rsidR="00EC4B39">
        <w:rPr>
          <w:color w:val="000000"/>
        </w:rPr>
        <w:t xml:space="preserve">rade III </w:t>
      </w:r>
      <w:proofErr w:type="spellStart"/>
      <w:r w:rsidR="00AB77AB">
        <w:rPr>
          <w:color w:val="000000"/>
        </w:rPr>
        <w:t>acromioclavicular</w:t>
      </w:r>
      <w:proofErr w:type="spellEnd"/>
      <w:r w:rsidR="00AB77AB">
        <w:rPr>
          <w:color w:val="000000"/>
        </w:rPr>
        <w:t xml:space="preserve"> </w:t>
      </w:r>
      <w:r w:rsidR="00EC4B39">
        <w:rPr>
          <w:color w:val="000000"/>
        </w:rPr>
        <w:t>joint injury</w:t>
      </w:r>
      <w:r w:rsidR="00AB77AB">
        <w:rPr>
          <w:color w:val="000000"/>
        </w:rPr>
        <w:t xml:space="preserve"> was made.  In April 2005 an arthroscopic subacromial decompression and distal clavicle resection was performed.  </w:t>
      </w:r>
      <w:r w:rsidR="00EC4B39">
        <w:rPr>
          <w:color w:val="000000"/>
        </w:rPr>
        <w:t xml:space="preserve">The pain increased post-operatively, although VA records indicate this was compounded by a </w:t>
      </w:r>
      <w:r w:rsidR="00936F2B">
        <w:rPr>
          <w:color w:val="000000"/>
        </w:rPr>
        <w:t>re-injury</w:t>
      </w:r>
      <w:r w:rsidR="00EC4B39">
        <w:rPr>
          <w:color w:val="000000"/>
        </w:rPr>
        <w:t xml:space="preserve"> soon after the surgery. </w:t>
      </w:r>
      <w:r w:rsidR="00CA76B1">
        <w:rPr>
          <w:color w:val="000000"/>
        </w:rPr>
        <w:t xml:space="preserve"> </w:t>
      </w:r>
      <w:r w:rsidR="00EC4B39">
        <w:rPr>
          <w:color w:val="000000"/>
        </w:rPr>
        <w:t>The CI underwent a pro</w:t>
      </w:r>
      <w:r w:rsidR="00BB7059">
        <w:rPr>
          <w:color w:val="000000"/>
        </w:rPr>
        <w:t>tracted trial of rehabilitation</w:t>
      </w:r>
      <w:r w:rsidR="00EC4B39">
        <w:rPr>
          <w:color w:val="000000"/>
        </w:rPr>
        <w:t xml:space="preserve"> </w:t>
      </w:r>
      <w:r w:rsidR="00BB7059">
        <w:rPr>
          <w:color w:val="000000"/>
        </w:rPr>
        <w:t>under pain specialty supervision; and,</w:t>
      </w:r>
      <w:r w:rsidR="00EC4B39">
        <w:rPr>
          <w:color w:val="000000"/>
        </w:rPr>
        <w:t xml:space="preserve"> failed multiple modalities which included repeated joint injections, physical therapy, TENS (implanted electrical counter-stimulation), and </w:t>
      </w:r>
      <w:r w:rsidR="00BB7059">
        <w:rPr>
          <w:color w:val="000000"/>
        </w:rPr>
        <w:t>numerous</w:t>
      </w:r>
      <w:r w:rsidR="00EC4B39">
        <w:rPr>
          <w:color w:val="000000"/>
        </w:rPr>
        <w:t xml:space="preserve"> </w:t>
      </w:r>
      <w:r w:rsidR="00BB7059">
        <w:rPr>
          <w:color w:val="000000"/>
        </w:rPr>
        <w:t xml:space="preserve">non-narcotic and narcotic </w:t>
      </w:r>
      <w:r w:rsidR="00EC4B39">
        <w:rPr>
          <w:color w:val="000000"/>
        </w:rPr>
        <w:t>analgesic regimens</w:t>
      </w:r>
      <w:r w:rsidR="00BB7059">
        <w:rPr>
          <w:color w:val="000000"/>
        </w:rPr>
        <w:t xml:space="preserve">.  </w:t>
      </w:r>
      <w:r w:rsidR="00EC4B39">
        <w:rPr>
          <w:color w:val="000000"/>
        </w:rPr>
        <w:t xml:space="preserve"> </w:t>
      </w:r>
      <w:r w:rsidR="00BB7059">
        <w:rPr>
          <w:color w:val="000000"/>
        </w:rPr>
        <w:t xml:space="preserve">Magnetic resonance imaging </w:t>
      </w:r>
      <w:r w:rsidR="006D1F92">
        <w:rPr>
          <w:color w:val="000000"/>
        </w:rPr>
        <w:t xml:space="preserve">(MRI) </w:t>
      </w:r>
      <w:r w:rsidR="007C684B">
        <w:rPr>
          <w:color w:val="000000"/>
        </w:rPr>
        <w:t xml:space="preserve">performed </w:t>
      </w:r>
      <w:r w:rsidR="00BB7059">
        <w:rPr>
          <w:color w:val="000000"/>
        </w:rPr>
        <w:t>2 weeks after separation revealed only a small fluid collection without significant joint pathology.</w:t>
      </w:r>
      <w:r w:rsidR="00DC66F6">
        <w:rPr>
          <w:color w:val="000000"/>
        </w:rPr>
        <w:t xml:space="preserve">  </w:t>
      </w:r>
      <w:r w:rsidR="0069687C" w:rsidRPr="00B652C3">
        <w:rPr>
          <w:color w:val="000000"/>
          <w:szCs w:val="24"/>
        </w:rPr>
        <w:t xml:space="preserve">There were </w:t>
      </w:r>
      <w:r w:rsidR="007C684B">
        <w:rPr>
          <w:color w:val="000000"/>
          <w:szCs w:val="24"/>
        </w:rPr>
        <w:t>three</w:t>
      </w:r>
      <w:r w:rsidR="0069687C" w:rsidRPr="00B652C3">
        <w:rPr>
          <w:color w:val="000000"/>
          <w:szCs w:val="24"/>
        </w:rPr>
        <w:t xml:space="preserve"> goniometric range</w:t>
      </w:r>
      <w:r w:rsidR="007C684B">
        <w:rPr>
          <w:color w:val="000000"/>
          <w:szCs w:val="24"/>
        </w:rPr>
        <w:t>-</w:t>
      </w:r>
      <w:r w:rsidR="0069687C" w:rsidRPr="00B652C3">
        <w:rPr>
          <w:color w:val="000000"/>
          <w:szCs w:val="24"/>
        </w:rPr>
        <w:t>of</w:t>
      </w:r>
      <w:r w:rsidR="007C684B">
        <w:rPr>
          <w:color w:val="000000"/>
          <w:szCs w:val="24"/>
        </w:rPr>
        <w:t>-</w:t>
      </w:r>
      <w:r w:rsidR="0069687C" w:rsidRPr="00B652C3">
        <w:rPr>
          <w:color w:val="000000"/>
          <w:szCs w:val="24"/>
        </w:rPr>
        <w:t>motion (ROM) evaluations in evidence, with documentation of additional ratable criteria, which the Board weighed in arriving at its rating recommendation; a</w:t>
      </w:r>
      <w:r w:rsidR="00936F2B">
        <w:rPr>
          <w:color w:val="000000"/>
          <w:szCs w:val="24"/>
        </w:rPr>
        <w:t>s summarized in the chart below:</w:t>
      </w:r>
    </w:p>
    <w:p w:rsidR="00A12B8C" w:rsidRPr="00A12B8C" w:rsidRDefault="007C4B46" w:rsidP="00A12B8C">
      <w:pPr>
        <w:jc w:val="both"/>
        <w:rPr>
          <w:color w:val="000000"/>
          <w:szCs w:val="24"/>
        </w:rPr>
      </w:pP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t xml:space="preserve">   </w:t>
      </w:r>
    </w:p>
    <w:tbl>
      <w:tblPr>
        <w:tblW w:w="9315" w:type="dxa"/>
        <w:jc w:val="center"/>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0"/>
        <w:gridCol w:w="2093"/>
        <w:gridCol w:w="2812"/>
        <w:gridCol w:w="2430"/>
      </w:tblGrid>
      <w:tr w:rsidR="00B37D0B" w:rsidRPr="00A12B8C" w:rsidTr="007C4B46">
        <w:trPr>
          <w:jc w:val="center"/>
        </w:trPr>
        <w:tc>
          <w:tcPr>
            <w:tcW w:w="1980" w:type="dxa"/>
            <w:shd w:val="clear" w:color="auto" w:fill="D9D9D9"/>
            <w:vAlign w:val="center"/>
          </w:tcPr>
          <w:p w:rsidR="00B37D0B" w:rsidRPr="00A12B8C" w:rsidRDefault="00B37D0B" w:rsidP="007C4B46">
            <w:pPr>
              <w:spacing w:line="220" w:lineRule="exact"/>
              <w:contextualSpacing/>
              <w:rPr>
                <w:rFonts w:eastAsia="Calibri"/>
                <w:color w:val="auto"/>
                <w:sz w:val="22"/>
                <w:szCs w:val="22"/>
              </w:rPr>
            </w:pPr>
            <w:r>
              <w:rPr>
                <w:rFonts w:eastAsia="Calibri"/>
                <w:color w:val="auto"/>
                <w:sz w:val="22"/>
                <w:szCs w:val="22"/>
              </w:rPr>
              <w:t>Left</w:t>
            </w:r>
            <w:r w:rsidRPr="00A12B8C">
              <w:rPr>
                <w:rFonts w:eastAsia="Calibri"/>
                <w:color w:val="auto"/>
                <w:sz w:val="22"/>
                <w:szCs w:val="22"/>
              </w:rPr>
              <w:t xml:space="preserve"> Shoulder ROM</w:t>
            </w:r>
          </w:p>
        </w:tc>
        <w:tc>
          <w:tcPr>
            <w:tcW w:w="2093" w:type="dxa"/>
            <w:shd w:val="clear" w:color="auto" w:fill="D9D9D9"/>
            <w:vAlign w:val="center"/>
          </w:tcPr>
          <w:p w:rsidR="00B37D0B" w:rsidRPr="00A12B8C" w:rsidRDefault="00B37D0B" w:rsidP="007C4B46">
            <w:pPr>
              <w:spacing w:line="220" w:lineRule="exact"/>
              <w:contextualSpacing/>
              <w:rPr>
                <w:rFonts w:eastAsia="Calibri"/>
                <w:color w:val="auto"/>
                <w:sz w:val="22"/>
                <w:szCs w:val="22"/>
              </w:rPr>
            </w:pPr>
            <w:r>
              <w:rPr>
                <w:rFonts w:eastAsia="Calibri"/>
                <w:color w:val="auto"/>
                <w:sz w:val="22"/>
                <w:szCs w:val="22"/>
              </w:rPr>
              <w:t>MEB ~3</w:t>
            </w:r>
            <w:r w:rsidRPr="00A12B8C">
              <w:rPr>
                <w:rFonts w:eastAsia="Calibri"/>
                <w:color w:val="auto"/>
                <w:sz w:val="22"/>
                <w:szCs w:val="22"/>
              </w:rPr>
              <w:t xml:space="preserve"> Mo. Pre-Sep</w:t>
            </w:r>
          </w:p>
        </w:tc>
        <w:tc>
          <w:tcPr>
            <w:tcW w:w="2812" w:type="dxa"/>
            <w:shd w:val="clear" w:color="auto" w:fill="D9D9D9"/>
            <w:vAlign w:val="center"/>
          </w:tcPr>
          <w:p w:rsidR="00B37D0B" w:rsidRPr="00A12B8C" w:rsidRDefault="00B37D0B" w:rsidP="007C4B46">
            <w:pPr>
              <w:spacing w:line="220" w:lineRule="exact"/>
              <w:contextualSpacing/>
              <w:rPr>
                <w:rFonts w:eastAsia="Calibri"/>
                <w:color w:val="auto"/>
                <w:sz w:val="22"/>
                <w:szCs w:val="22"/>
              </w:rPr>
            </w:pPr>
            <w:r>
              <w:rPr>
                <w:rFonts w:eastAsia="Calibri"/>
                <w:color w:val="auto"/>
                <w:sz w:val="22"/>
                <w:szCs w:val="22"/>
              </w:rPr>
              <w:t>Pain Mgmt ~</w:t>
            </w:r>
            <w:r>
              <w:rPr>
                <w:rFonts w:eastAsia="Cambria"/>
                <w:color w:val="auto"/>
                <w:sz w:val="22"/>
                <w:szCs w:val="22"/>
              </w:rPr>
              <w:t>2</w:t>
            </w:r>
            <w:r w:rsidRPr="00A12B8C">
              <w:rPr>
                <w:rFonts w:eastAsia="Cambria"/>
                <w:color w:val="auto"/>
                <w:sz w:val="22"/>
                <w:szCs w:val="22"/>
              </w:rPr>
              <w:t xml:space="preserve"> Mo. Post-Sep</w:t>
            </w:r>
          </w:p>
        </w:tc>
        <w:tc>
          <w:tcPr>
            <w:tcW w:w="2430" w:type="dxa"/>
            <w:shd w:val="clear" w:color="auto" w:fill="D9D9D9"/>
            <w:vAlign w:val="center"/>
          </w:tcPr>
          <w:p w:rsidR="00B37D0B" w:rsidRPr="00A12B8C" w:rsidRDefault="00B37D0B" w:rsidP="007C4B46">
            <w:pPr>
              <w:spacing w:line="220" w:lineRule="exact"/>
              <w:contextualSpacing/>
              <w:rPr>
                <w:rFonts w:eastAsia="Cambria"/>
                <w:color w:val="auto"/>
                <w:sz w:val="22"/>
                <w:szCs w:val="22"/>
              </w:rPr>
            </w:pPr>
            <w:r w:rsidRPr="00A12B8C">
              <w:rPr>
                <w:rFonts w:eastAsia="Calibri"/>
                <w:color w:val="auto"/>
                <w:sz w:val="22"/>
                <w:szCs w:val="22"/>
              </w:rPr>
              <w:t>VA</w:t>
            </w:r>
            <w:r>
              <w:rPr>
                <w:rFonts w:eastAsia="Cambria"/>
                <w:color w:val="auto"/>
                <w:sz w:val="22"/>
                <w:szCs w:val="22"/>
              </w:rPr>
              <w:t xml:space="preserve"> C&amp;P ~3</w:t>
            </w:r>
            <w:r w:rsidRPr="00A12B8C">
              <w:rPr>
                <w:rFonts w:eastAsia="Cambria"/>
                <w:color w:val="auto"/>
                <w:sz w:val="22"/>
                <w:szCs w:val="22"/>
              </w:rPr>
              <w:t xml:space="preserve"> Mo. Post-Sep</w:t>
            </w:r>
          </w:p>
        </w:tc>
      </w:tr>
      <w:tr w:rsidR="00B37D0B" w:rsidRPr="00A12B8C" w:rsidTr="007C4B46">
        <w:trPr>
          <w:jc w:val="center"/>
        </w:trPr>
        <w:tc>
          <w:tcPr>
            <w:tcW w:w="1980" w:type="dxa"/>
            <w:vAlign w:val="center"/>
          </w:tcPr>
          <w:p w:rsidR="00B37D0B" w:rsidRPr="00A12B8C" w:rsidRDefault="00B37D0B" w:rsidP="007C4B46">
            <w:pPr>
              <w:spacing w:line="220" w:lineRule="exact"/>
              <w:contextualSpacing/>
              <w:rPr>
                <w:rFonts w:eastAsia="Calibri"/>
                <w:color w:val="auto"/>
                <w:sz w:val="22"/>
                <w:szCs w:val="22"/>
              </w:rPr>
            </w:pPr>
            <w:r w:rsidRPr="00A12B8C">
              <w:rPr>
                <w:rFonts w:eastAsia="Calibri"/>
                <w:color w:val="auto"/>
                <w:sz w:val="22"/>
                <w:szCs w:val="22"/>
              </w:rPr>
              <w:t>Flexion (0-180⁰)</w:t>
            </w:r>
          </w:p>
        </w:tc>
        <w:tc>
          <w:tcPr>
            <w:tcW w:w="2093" w:type="dxa"/>
            <w:vAlign w:val="center"/>
          </w:tcPr>
          <w:p w:rsidR="00B37D0B" w:rsidRPr="00A12B8C" w:rsidRDefault="00B96FE7" w:rsidP="007C4B46">
            <w:pPr>
              <w:spacing w:line="220" w:lineRule="exact"/>
              <w:contextualSpacing/>
              <w:rPr>
                <w:rFonts w:eastAsia="Calibri"/>
                <w:color w:val="auto"/>
                <w:sz w:val="22"/>
                <w:szCs w:val="22"/>
              </w:rPr>
            </w:pPr>
            <w:r>
              <w:rPr>
                <w:rFonts w:eastAsia="Calibri"/>
                <w:color w:val="auto"/>
                <w:sz w:val="22"/>
                <w:szCs w:val="22"/>
              </w:rPr>
              <w:t>10</w:t>
            </w:r>
            <w:r w:rsidR="00B37D0B" w:rsidRPr="00A12B8C">
              <w:rPr>
                <w:rFonts w:eastAsia="Calibri"/>
                <w:color w:val="auto"/>
                <w:sz w:val="22"/>
                <w:szCs w:val="22"/>
              </w:rPr>
              <w:t>0⁰</w:t>
            </w:r>
          </w:p>
        </w:tc>
        <w:tc>
          <w:tcPr>
            <w:tcW w:w="2812" w:type="dxa"/>
            <w:vAlign w:val="center"/>
          </w:tcPr>
          <w:p w:rsidR="00B37D0B" w:rsidRPr="00A12B8C" w:rsidRDefault="00B37D0B" w:rsidP="007C4B46">
            <w:pPr>
              <w:spacing w:line="220" w:lineRule="exact"/>
              <w:contextualSpacing/>
              <w:rPr>
                <w:rFonts w:eastAsia="Calibri"/>
                <w:color w:val="auto"/>
                <w:sz w:val="22"/>
                <w:szCs w:val="22"/>
              </w:rPr>
            </w:pPr>
            <w:r>
              <w:rPr>
                <w:rFonts w:eastAsia="Calibri"/>
                <w:color w:val="auto"/>
                <w:sz w:val="22"/>
                <w:szCs w:val="22"/>
              </w:rPr>
              <w:t>120⁰</w:t>
            </w:r>
          </w:p>
        </w:tc>
        <w:tc>
          <w:tcPr>
            <w:tcW w:w="2430" w:type="dxa"/>
            <w:vAlign w:val="center"/>
          </w:tcPr>
          <w:p w:rsidR="00B37D0B" w:rsidRPr="00A12B8C" w:rsidRDefault="00B37D0B" w:rsidP="007C4B46">
            <w:pPr>
              <w:spacing w:line="220" w:lineRule="exact"/>
              <w:contextualSpacing/>
              <w:rPr>
                <w:rFonts w:eastAsia="Calibri"/>
                <w:color w:val="auto"/>
                <w:sz w:val="22"/>
                <w:szCs w:val="22"/>
              </w:rPr>
            </w:pPr>
            <w:r w:rsidRPr="00A12B8C">
              <w:rPr>
                <w:rFonts w:eastAsia="Calibri"/>
                <w:color w:val="auto"/>
                <w:sz w:val="22"/>
                <w:szCs w:val="22"/>
              </w:rPr>
              <w:t>100⁰</w:t>
            </w:r>
          </w:p>
        </w:tc>
      </w:tr>
      <w:tr w:rsidR="00B37D0B" w:rsidRPr="00A12B8C" w:rsidTr="007C4B46">
        <w:trPr>
          <w:jc w:val="center"/>
        </w:trPr>
        <w:tc>
          <w:tcPr>
            <w:tcW w:w="1980" w:type="dxa"/>
            <w:vAlign w:val="center"/>
          </w:tcPr>
          <w:p w:rsidR="00B37D0B" w:rsidRPr="00A12B8C" w:rsidRDefault="00B37D0B" w:rsidP="007C4B46">
            <w:pPr>
              <w:spacing w:line="220" w:lineRule="exact"/>
              <w:contextualSpacing/>
              <w:rPr>
                <w:rFonts w:eastAsia="Calibri"/>
                <w:color w:val="auto"/>
                <w:sz w:val="22"/>
                <w:szCs w:val="22"/>
              </w:rPr>
            </w:pPr>
            <w:r w:rsidRPr="00A12B8C">
              <w:rPr>
                <w:rFonts w:eastAsia="Calibri"/>
                <w:color w:val="auto"/>
                <w:sz w:val="22"/>
                <w:szCs w:val="22"/>
              </w:rPr>
              <w:t>Abduction (0-180⁰)</w:t>
            </w:r>
          </w:p>
        </w:tc>
        <w:tc>
          <w:tcPr>
            <w:tcW w:w="2093" w:type="dxa"/>
            <w:vAlign w:val="center"/>
          </w:tcPr>
          <w:p w:rsidR="00B37D0B" w:rsidRPr="00A12B8C" w:rsidRDefault="00B37D0B" w:rsidP="007C4B46">
            <w:pPr>
              <w:spacing w:line="220" w:lineRule="exact"/>
              <w:contextualSpacing/>
              <w:rPr>
                <w:rFonts w:eastAsia="Calibri"/>
                <w:color w:val="auto"/>
                <w:sz w:val="22"/>
                <w:szCs w:val="22"/>
              </w:rPr>
            </w:pPr>
            <w:r w:rsidRPr="00A12B8C">
              <w:rPr>
                <w:rFonts w:eastAsia="Calibri"/>
                <w:color w:val="auto"/>
                <w:sz w:val="22"/>
                <w:szCs w:val="22"/>
              </w:rPr>
              <w:t>80⁰</w:t>
            </w:r>
          </w:p>
        </w:tc>
        <w:tc>
          <w:tcPr>
            <w:tcW w:w="2812" w:type="dxa"/>
            <w:vAlign w:val="center"/>
          </w:tcPr>
          <w:p w:rsidR="00B37D0B" w:rsidRDefault="00B37D0B" w:rsidP="007C4B46">
            <w:pPr>
              <w:spacing w:line="220" w:lineRule="exact"/>
              <w:contextualSpacing/>
              <w:rPr>
                <w:rFonts w:eastAsia="Calibri"/>
                <w:color w:val="auto"/>
                <w:sz w:val="22"/>
                <w:szCs w:val="22"/>
              </w:rPr>
            </w:pPr>
            <w:r>
              <w:rPr>
                <w:rFonts w:eastAsia="Calibri"/>
                <w:color w:val="auto"/>
                <w:sz w:val="22"/>
                <w:szCs w:val="22"/>
              </w:rPr>
              <w:t>120⁰</w:t>
            </w:r>
          </w:p>
        </w:tc>
        <w:tc>
          <w:tcPr>
            <w:tcW w:w="2430" w:type="dxa"/>
            <w:vAlign w:val="center"/>
          </w:tcPr>
          <w:p w:rsidR="00B37D0B" w:rsidRPr="00A12B8C" w:rsidRDefault="00B37D0B" w:rsidP="007C4B46">
            <w:pPr>
              <w:spacing w:line="220" w:lineRule="exact"/>
              <w:contextualSpacing/>
              <w:rPr>
                <w:rFonts w:eastAsia="Calibri"/>
                <w:color w:val="auto"/>
                <w:sz w:val="22"/>
                <w:szCs w:val="22"/>
              </w:rPr>
            </w:pPr>
            <w:r>
              <w:rPr>
                <w:rFonts w:eastAsia="Calibri"/>
                <w:color w:val="auto"/>
                <w:sz w:val="22"/>
                <w:szCs w:val="22"/>
              </w:rPr>
              <w:t>100</w:t>
            </w:r>
            <w:r w:rsidRPr="00A12B8C">
              <w:rPr>
                <w:rFonts w:eastAsia="Calibri"/>
                <w:color w:val="auto"/>
                <w:sz w:val="22"/>
                <w:szCs w:val="22"/>
              </w:rPr>
              <w:t>⁰</w:t>
            </w:r>
          </w:p>
        </w:tc>
      </w:tr>
      <w:tr w:rsidR="00B37D0B" w:rsidRPr="00A12B8C" w:rsidTr="00C73424">
        <w:trPr>
          <w:jc w:val="center"/>
        </w:trPr>
        <w:tc>
          <w:tcPr>
            <w:tcW w:w="1980" w:type="dxa"/>
            <w:vAlign w:val="center"/>
          </w:tcPr>
          <w:p w:rsidR="00B37D0B" w:rsidRPr="00A12B8C" w:rsidRDefault="00B37D0B" w:rsidP="007C4B46">
            <w:pPr>
              <w:tabs>
                <w:tab w:val="left" w:pos="288"/>
                <w:tab w:val="left" w:pos="4752"/>
              </w:tabs>
              <w:spacing w:line="220" w:lineRule="exact"/>
              <w:rPr>
                <w:rFonts w:eastAsia="Cambria"/>
                <w:color w:val="auto"/>
                <w:sz w:val="22"/>
                <w:szCs w:val="22"/>
              </w:rPr>
            </w:pPr>
            <w:r w:rsidRPr="00A12B8C">
              <w:rPr>
                <w:rFonts w:eastAsia="Cambria"/>
                <w:color w:val="auto"/>
                <w:sz w:val="22"/>
                <w:szCs w:val="22"/>
              </w:rPr>
              <w:t>Comments</w:t>
            </w:r>
          </w:p>
        </w:tc>
        <w:tc>
          <w:tcPr>
            <w:tcW w:w="2093" w:type="dxa"/>
            <w:vAlign w:val="center"/>
          </w:tcPr>
          <w:p w:rsidR="002E1ED2" w:rsidRDefault="00B37D0B" w:rsidP="002E1ED2">
            <w:pPr>
              <w:tabs>
                <w:tab w:val="left" w:pos="288"/>
                <w:tab w:val="left" w:pos="4752"/>
              </w:tabs>
              <w:spacing w:line="200" w:lineRule="exact"/>
              <w:rPr>
                <w:rFonts w:eastAsia="Cambria"/>
                <w:color w:val="auto"/>
                <w:sz w:val="22"/>
                <w:szCs w:val="22"/>
              </w:rPr>
            </w:pPr>
            <w:r>
              <w:rPr>
                <w:rFonts w:eastAsia="Cambria"/>
                <w:color w:val="auto"/>
                <w:sz w:val="22"/>
                <w:szCs w:val="22"/>
              </w:rPr>
              <w:t>Annotated “with</w:t>
            </w:r>
          </w:p>
          <w:p w:rsidR="00B37D0B" w:rsidRPr="00A12B8C" w:rsidRDefault="002E1ED2" w:rsidP="002E1ED2">
            <w:pPr>
              <w:tabs>
                <w:tab w:val="left" w:pos="288"/>
                <w:tab w:val="left" w:pos="4752"/>
              </w:tabs>
              <w:spacing w:line="200" w:lineRule="exact"/>
              <w:jc w:val="both"/>
              <w:rPr>
                <w:rFonts w:eastAsia="Cambria"/>
                <w:color w:val="auto"/>
                <w:sz w:val="22"/>
                <w:szCs w:val="22"/>
              </w:rPr>
            </w:pPr>
            <w:r>
              <w:rPr>
                <w:rFonts w:eastAsia="Cambria"/>
                <w:color w:val="auto"/>
                <w:sz w:val="22"/>
                <w:szCs w:val="22"/>
              </w:rPr>
              <w:t xml:space="preserve">   </w:t>
            </w:r>
            <w:r w:rsidR="00B37D0B">
              <w:rPr>
                <w:rFonts w:eastAsia="Cambria"/>
                <w:color w:val="auto"/>
                <w:sz w:val="22"/>
                <w:szCs w:val="22"/>
              </w:rPr>
              <w:t xml:space="preserve"> severe pain”.</w:t>
            </w:r>
          </w:p>
        </w:tc>
        <w:tc>
          <w:tcPr>
            <w:tcW w:w="2812" w:type="dxa"/>
            <w:vAlign w:val="center"/>
          </w:tcPr>
          <w:p w:rsidR="00B37D0B" w:rsidRDefault="007C4B46" w:rsidP="0058358D">
            <w:pPr>
              <w:tabs>
                <w:tab w:val="left" w:pos="288"/>
                <w:tab w:val="left" w:pos="4752"/>
              </w:tabs>
              <w:spacing w:line="220" w:lineRule="exact"/>
              <w:rPr>
                <w:rFonts w:eastAsia="Cambria"/>
                <w:color w:val="auto"/>
                <w:sz w:val="22"/>
                <w:szCs w:val="22"/>
              </w:rPr>
            </w:pPr>
            <w:r>
              <w:rPr>
                <w:rFonts w:eastAsia="Cambria"/>
                <w:color w:val="auto"/>
                <w:sz w:val="22"/>
                <w:szCs w:val="22"/>
              </w:rPr>
              <w:t xml:space="preserve">Trigger points </w:t>
            </w:r>
            <w:r w:rsidR="0058358D">
              <w:rPr>
                <w:rFonts w:eastAsia="Cambria"/>
                <w:color w:val="auto"/>
                <w:sz w:val="22"/>
                <w:szCs w:val="22"/>
              </w:rPr>
              <w:t>noted</w:t>
            </w:r>
            <w:r>
              <w:rPr>
                <w:rFonts w:eastAsia="Cambria"/>
                <w:color w:val="auto"/>
                <w:sz w:val="22"/>
                <w:szCs w:val="22"/>
              </w:rPr>
              <w:t>.</w:t>
            </w:r>
          </w:p>
        </w:tc>
        <w:tc>
          <w:tcPr>
            <w:tcW w:w="2430" w:type="dxa"/>
            <w:vAlign w:val="center"/>
          </w:tcPr>
          <w:p w:rsidR="00C73424" w:rsidRDefault="00C73424" w:rsidP="00C73424">
            <w:pPr>
              <w:tabs>
                <w:tab w:val="left" w:pos="288"/>
                <w:tab w:val="left" w:pos="4752"/>
              </w:tabs>
              <w:spacing w:line="200" w:lineRule="exact"/>
              <w:rPr>
                <w:rFonts w:eastAsia="Cambria"/>
                <w:color w:val="auto"/>
                <w:sz w:val="22"/>
                <w:szCs w:val="22"/>
              </w:rPr>
            </w:pPr>
            <w:r>
              <w:rPr>
                <w:rFonts w:eastAsia="Cambria"/>
                <w:color w:val="auto"/>
                <w:sz w:val="22"/>
                <w:szCs w:val="22"/>
              </w:rPr>
              <w:t>Painful motion</w:t>
            </w:r>
          </w:p>
          <w:p w:rsidR="00B37D0B" w:rsidRPr="00A12B8C" w:rsidRDefault="00C73424" w:rsidP="00C73424">
            <w:pPr>
              <w:tabs>
                <w:tab w:val="left" w:pos="288"/>
                <w:tab w:val="left" w:pos="4752"/>
              </w:tabs>
              <w:spacing w:line="200" w:lineRule="exact"/>
              <w:rPr>
                <w:rFonts w:eastAsia="Cambria"/>
                <w:color w:val="auto"/>
                <w:sz w:val="22"/>
                <w:szCs w:val="22"/>
              </w:rPr>
            </w:pPr>
            <w:r>
              <w:rPr>
                <w:rFonts w:eastAsia="Cambria"/>
                <w:color w:val="auto"/>
                <w:sz w:val="22"/>
                <w:szCs w:val="22"/>
              </w:rPr>
              <w:t>in all planes</w:t>
            </w:r>
            <w:r w:rsidR="00B37D0B">
              <w:rPr>
                <w:rFonts w:eastAsia="Cambria"/>
                <w:color w:val="auto"/>
                <w:sz w:val="22"/>
                <w:szCs w:val="22"/>
              </w:rPr>
              <w:t>.</w:t>
            </w:r>
          </w:p>
        </w:tc>
      </w:tr>
      <w:tr w:rsidR="00B37D0B" w:rsidRPr="00A12B8C" w:rsidTr="007C4B46">
        <w:trPr>
          <w:trHeight w:val="70"/>
          <w:jc w:val="center"/>
        </w:trPr>
        <w:tc>
          <w:tcPr>
            <w:tcW w:w="1980" w:type="dxa"/>
            <w:vAlign w:val="center"/>
          </w:tcPr>
          <w:p w:rsidR="00B37D0B" w:rsidRPr="00A12B8C" w:rsidRDefault="00B37D0B" w:rsidP="007C4B46">
            <w:pPr>
              <w:tabs>
                <w:tab w:val="left" w:pos="288"/>
                <w:tab w:val="left" w:pos="4752"/>
              </w:tabs>
              <w:spacing w:line="220" w:lineRule="exact"/>
              <w:rPr>
                <w:rFonts w:eastAsia="Cambria"/>
                <w:color w:val="auto"/>
                <w:sz w:val="22"/>
                <w:szCs w:val="22"/>
              </w:rPr>
            </w:pPr>
            <w:r w:rsidRPr="00A12B8C">
              <w:rPr>
                <w:rFonts w:eastAsia="Cambria"/>
                <w:color w:val="auto"/>
                <w:sz w:val="22"/>
                <w:szCs w:val="22"/>
              </w:rPr>
              <w:t>§4.71a Rating</w:t>
            </w:r>
          </w:p>
        </w:tc>
        <w:tc>
          <w:tcPr>
            <w:tcW w:w="2093" w:type="dxa"/>
            <w:vAlign w:val="center"/>
          </w:tcPr>
          <w:p w:rsidR="00B37D0B" w:rsidRPr="00A12B8C" w:rsidRDefault="00B37D0B" w:rsidP="007C4B46">
            <w:pPr>
              <w:tabs>
                <w:tab w:val="left" w:pos="288"/>
                <w:tab w:val="left" w:pos="4752"/>
              </w:tabs>
              <w:spacing w:line="220" w:lineRule="exact"/>
              <w:rPr>
                <w:rFonts w:eastAsia="Cambria"/>
                <w:color w:val="auto"/>
                <w:sz w:val="22"/>
                <w:szCs w:val="22"/>
              </w:rPr>
            </w:pPr>
            <w:r>
              <w:rPr>
                <w:rFonts w:eastAsia="Cambria"/>
                <w:color w:val="auto"/>
                <w:sz w:val="22"/>
                <w:szCs w:val="22"/>
              </w:rPr>
              <w:t>2</w:t>
            </w:r>
            <w:r w:rsidRPr="00A12B8C">
              <w:rPr>
                <w:rFonts w:eastAsia="Cambria"/>
                <w:color w:val="auto"/>
                <w:sz w:val="22"/>
                <w:szCs w:val="22"/>
              </w:rPr>
              <w:t>0%</w:t>
            </w:r>
          </w:p>
        </w:tc>
        <w:tc>
          <w:tcPr>
            <w:tcW w:w="2812" w:type="dxa"/>
            <w:vAlign w:val="center"/>
          </w:tcPr>
          <w:p w:rsidR="00B37D0B" w:rsidRDefault="007C4B46" w:rsidP="007C4B46">
            <w:pPr>
              <w:tabs>
                <w:tab w:val="left" w:pos="288"/>
                <w:tab w:val="left" w:pos="4752"/>
              </w:tabs>
              <w:spacing w:line="220" w:lineRule="exact"/>
              <w:rPr>
                <w:rFonts w:eastAsia="Cambria"/>
                <w:color w:val="auto"/>
                <w:sz w:val="22"/>
                <w:szCs w:val="22"/>
              </w:rPr>
            </w:pPr>
            <w:r>
              <w:rPr>
                <w:rFonts w:eastAsia="Cambria"/>
                <w:color w:val="auto"/>
                <w:sz w:val="22"/>
                <w:szCs w:val="22"/>
              </w:rPr>
              <w:t>10%</w:t>
            </w:r>
          </w:p>
        </w:tc>
        <w:tc>
          <w:tcPr>
            <w:tcW w:w="2430" w:type="dxa"/>
            <w:vAlign w:val="center"/>
          </w:tcPr>
          <w:p w:rsidR="00B37D0B" w:rsidRPr="00A12B8C" w:rsidRDefault="00B37D0B" w:rsidP="007C4B46">
            <w:pPr>
              <w:tabs>
                <w:tab w:val="left" w:pos="288"/>
                <w:tab w:val="left" w:pos="4752"/>
              </w:tabs>
              <w:spacing w:line="220" w:lineRule="exact"/>
              <w:rPr>
                <w:rFonts w:eastAsia="Cambria"/>
                <w:color w:val="auto"/>
                <w:sz w:val="22"/>
                <w:szCs w:val="22"/>
              </w:rPr>
            </w:pPr>
            <w:r>
              <w:rPr>
                <w:rFonts w:eastAsia="Cambria"/>
                <w:color w:val="auto"/>
                <w:sz w:val="22"/>
                <w:szCs w:val="22"/>
              </w:rPr>
              <w:t>1</w:t>
            </w:r>
            <w:r w:rsidRPr="00A12B8C">
              <w:rPr>
                <w:rFonts w:eastAsia="Cambria"/>
                <w:color w:val="auto"/>
                <w:sz w:val="22"/>
                <w:szCs w:val="22"/>
              </w:rPr>
              <w:t>0%</w:t>
            </w:r>
            <w:r>
              <w:rPr>
                <w:rFonts w:eastAsia="Cambria"/>
                <w:color w:val="auto"/>
                <w:sz w:val="22"/>
                <w:szCs w:val="22"/>
              </w:rPr>
              <w:t>*</w:t>
            </w:r>
          </w:p>
        </w:tc>
      </w:tr>
    </w:tbl>
    <w:p w:rsidR="00CF0280" w:rsidRPr="00584BB8" w:rsidRDefault="004D5D31" w:rsidP="00583BFF">
      <w:pPr>
        <w:spacing w:after="120"/>
        <w:jc w:val="left"/>
        <w:rPr>
          <w:rFonts w:eastAsia="Calibri" w:cs="Times New Roman"/>
          <w:color w:val="auto"/>
          <w:sz w:val="22"/>
          <w:szCs w:val="22"/>
        </w:rPr>
      </w:pPr>
      <w:r>
        <w:rPr>
          <w:rFonts w:eastAsia="Calibri" w:cs="Times New Roman"/>
          <w:color w:val="auto"/>
          <w:sz w:val="22"/>
          <w:szCs w:val="22"/>
        </w:rPr>
        <w:t xml:space="preserve">        </w:t>
      </w:r>
      <w:r w:rsidR="00584BB8">
        <w:rPr>
          <w:rFonts w:eastAsia="Calibri" w:cs="Times New Roman"/>
          <w:color w:val="auto"/>
          <w:sz w:val="22"/>
          <w:szCs w:val="22"/>
        </w:rPr>
        <w:t xml:space="preserve">* VA 20% rating </w:t>
      </w:r>
      <w:r>
        <w:rPr>
          <w:rFonts w:eastAsia="Calibri" w:cs="Times New Roman"/>
          <w:color w:val="auto"/>
          <w:sz w:val="22"/>
          <w:szCs w:val="22"/>
        </w:rPr>
        <w:t xml:space="preserve">under 5201 </w:t>
      </w:r>
      <w:r w:rsidR="00584BB8">
        <w:rPr>
          <w:rFonts w:eastAsia="Calibri" w:cs="Times New Roman"/>
          <w:color w:val="auto"/>
          <w:sz w:val="22"/>
          <w:szCs w:val="22"/>
        </w:rPr>
        <w:t>not IAW VASRD §4.71a criteria</w:t>
      </w:r>
      <w:r>
        <w:rPr>
          <w:rFonts w:eastAsia="Calibri" w:cs="Times New Roman"/>
          <w:color w:val="auto"/>
          <w:sz w:val="22"/>
          <w:szCs w:val="22"/>
        </w:rPr>
        <w:t>; cited rating IAW §4.59 (painful motion)</w:t>
      </w:r>
      <w:r w:rsidR="00584BB8">
        <w:rPr>
          <w:rFonts w:eastAsia="Calibri" w:cs="Times New Roman"/>
          <w:color w:val="auto"/>
          <w:sz w:val="22"/>
          <w:szCs w:val="22"/>
        </w:rPr>
        <w:t>.</w:t>
      </w:r>
    </w:p>
    <w:p w:rsidR="00C73424" w:rsidRDefault="00B21E03" w:rsidP="0069687C">
      <w:pPr>
        <w:jc w:val="both"/>
        <w:rPr>
          <w:color w:val="000000"/>
        </w:rPr>
      </w:pPr>
      <w:r>
        <w:rPr>
          <w:color w:val="000000"/>
          <w:szCs w:val="24"/>
        </w:rPr>
        <w:t>In the narrative summary (NARSUM) of</w:t>
      </w:r>
      <w:r w:rsidR="00DC66F6">
        <w:rPr>
          <w:color w:val="000000"/>
          <w:szCs w:val="24"/>
        </w:rPr>
        <w:t xml:space="preserve"> the MEB examination, the CI reported </w:t>
      </w:r>
      <w:r w:rsidR="00583BFF">
        <w:rPr>
          <w:color w:val="000000"/>
          <w:szCs w:val="24"/>
        </w:rPr>
        <w:t>left shoulder pain radiating down the arm “</w:t>
      </w:r>
      <w:r w:rsidR="00583BFF" w:rsidRPr="00583BFF">
        <w:rPr>
          <w:color w:val="000000"/>
        </w:rPr>
        <w:t>that begins in the morning with 2/10 pain and increases to</w:t>
      </w:r>
      <w:r w:rsidR="00583BFF">
        <w:rPr>
          <w:color w:val="000000"/>
        </w:rPr>
        <w:t xml:space="preserve"> </w:t>
      </w:r>
      <w:r w:rsidR="00583BFF" w:rsidRPr="00583BFF">
        <w:rPr>
          <w:color w:val="000000"/>
        </w:rPr>
        <w:t>pa</w:t>
      </w:r>
      <w:r w:rsidR="00583BFF">
        <w:rPr>
          <w:color w:val="000000"/>
        </w:rPr>
        <w:t xml:space="preserve">in of 5-6/10 as the day goes on”.  </w:t>
      </w:r>
      <w:r w:rsidR="00715973">
        <w:rPr>
          <w:color w:val="000000"/>
        </w:rPr>
        <w:t xml:space="preserve">The </w:t>
      </w:r>
      <w:r>
        <w:rPr>
          <w:color w:val="000000"/>
        </w:rPr>
        <w:t>NARSUM</w:t>
      </w:r>
      <w:r w:rsidR="00715973">
        <w:rPr>
          <w:color w:val="000000"/>
        </w:rPr>
        <w:t xml:space="preserve"> physical exam recorded shoulder tenderness, a prominent distal clavicle</w:t>
      </w:r>
      <w:r w:rsidR="00936F2B">
        <w:rPr>
          <w:color w:val="000000"/>
        </w:rPr>
        <w:t>,</w:t>
      </w:r>
      <w:r w:rsidR="00715973">
        <w:rPr>
          <w:color w:val="000000"/>
        </w:rPr>
        <w:t xml:space="preserve"> and the ROMs charted above.  Prior to his post-separation VA Compensation and Pension (C&amp;P) evaluation, the CI was evaluated by a </w:t>
      </w:r>
      <w:r w:rsidR="007C684B">
        <w:rPr>
          <w:color w:val="000000"/>
        </w:rPr>
        <w:t>military</w:t>
      </w:r>
      <w:r w:rsidR="00715973">
        <w:rPr>
          <w:color w:val="000000"/>
        </w:rPr>
        <w:t xml:space="preserve"> referred pain specialist (albeit not seen until after separation), who recorded </w:t>
      </w:r>
      <w:r w:rsidR="00715973" w:rsidRPr="00EC3C86">
        <w:rPr>
          <w:color w:val="000000"/>
        </w:rPr>
        <w:t xml:space="preserve">improved ROMs as charted above.  At the </w:t>
      </w:r>
      <w:r w:rsidR="00715973" w:rsidRPr="00EC3C86">
        <w:rPr>
          <w:color w:val="000000"/>
          <w:szCs w:val="24"/>
        </w:rPr>
        <w:t xml:space="preserve">post-separation </w:t>
      </w:r>
      <w:r w:rsidR="00715973" w:rsidRPr="00EC3C86">
        <w:rPr>
          <w:color w:val="000000"/>
        </w:rPr>
        <w:t xml:space="preserve">VA C&amp;P evaluation, the CI reported constant pain flaring to 10/10 with “any movement”.  The VA physical </w:t>
      </w:r>
      <w:r w:rsidR="00936F2B" w:rsidRPr="00EC3C86">
        <w:rPr>
          <w:color w:val="000000"/>
        </w:rPr>
        <w:t>examiner documented</w:t>
      </w:r>
      <w:r w:rsidR="00715973" w:rsidRPr="00EC3C86">
        <w:rPr>
          <w:color w:val="000000"/>
        </w:rPr>
        <w:t xml:space="preserve"> “guarding of any manipulation of the left shoulder”; crepitus with passive motion; “no inst</w:t>
      </w:r>
      <w:r w:rsidR="00715973">
        <w:rPr>
          <w:color w:val="000000"/>
        </w:rPr>
        <w:t>ability”</w:t>
      </w:r>
      <w:r w:rsidR="00C73424">
        <w:rPr>
          <w:color w:val="000000"/>
        </w:rPr>
        <w:t>;</w:t>
      </w:r>
      <w:r w:rsidR="00C73424" w:rsidRPr="00C73424">
        <w:rPr>
          <w:color w:val="000000"/>
        </w:rPr>
        <w:t xml:space="preserve"> </w:t>
      </w:r>
      <w:r w:rsidR="00C73424">
        <w:rPr>
          <w:color w:val="000000"/>
        </w:rPr>
        <w:t>and, the ROMs charted above</w:t>
      </w:r>
      <w:r w:rsidR="00715973">
        <w:rPr>
          <w:color w:val="000000"/>
        </w:rPr>
        <w:t xml:space="preserve">.  </w:t>
      </w:r>
      <w:r w:rsidR="00C73424">
        <w:rPr>
          <w:color w:val="000000"/>
        </w:rPr>
        <w:t>In addition to the measured ROMs charted above, there were numerous MEB outpatient observations proximate to separation.</w:t>
      </w:r>
      <w:r w:rsidR="00CA76B1">
        <w:rPr>
          <w:color w:val="000000"/>
        </w:rPr>
        <w:t xml:space="preserve"> </w:t>
      </w:r>
      <w:r w:rsidR="00C73424">
        <w:rPr>
          <w:color w:val="000000"/>
        </w:rPr>
        <w:t xml:space="preserve"> These documented abduction ranging from 70⁰ to 90⁰.  </w:t>
      </w:r>
    </w:p>
    <w:p w:rsidR="00C73424" w:rsidRDefault="00C73424" w:rsidP="0069687C">
      <w:pPr>
        <w:jc w:val="both"/>
        <w:rPr>
          <w:color w:val="000000"/>
        </w:rPr>
      </w:pPr>
    </w:p>
    <w:p w:rsidR="005075F5" w:rsidRDefault="00C73424" w:rsidP="005075F5">
      <w:pPr>
        <w:jc w:val="both"/>
        <w:rPr>
          <w:rFonts w:eastAsia="Calibri" w:cs="Times New Roman"/>
          <w:color w:val="auto"/>
          <w:szCs w:val="24"/>
        </w:rPr>
      </w:pPr>
      <w:r w:rsidRPr="009A7578">
        <w:rPr>
          <w:rFonts w:cs="Times New Roman"/>
          <w:color w:val="auto"/>
        </w:rPr>
        <w:t>The Board directs attenti</w:t>
      </w:r>
      <w:r>
        <w:rPr>
          <w:rFonts w:cs="Times New Roman"/>
          <w:color w:val="auto"/>
        </w:rPr>
        <w:t>on to its rating recommendation</w:t>
      </w:r>
      <w:r w:rsidRPr="009A7578">
        <w:rPr>
          <w:rFonts w:cs="Times New Roman"/>
          <w:color w:val="auto"/>
        </w:rPr>
        <w:t xml:space="preserve"> </w:t>
      </w:r>
      <w:r>
        <w:rPr>
          <w:rFonts w:cs="Times New Roman"/>
          <w:color w:val="auto"/>
        </w:rPr>
        <w:t>based on the above evidence</w:t>
      </w:r>
      <w:r w:rsidRPr="009A7578">
        <w:rPr>
          <w:rFonts w:cs="Times New Roman"/>
          <w:color w:val="auto"/>
        </w:rPr>
        <w:t xml:space="preserve">. </w:t>
      </w:r>
      <w:r>
        <w:rPr>
          <w:rFonts w:cs="Times New Roman"/>
          <w:color w:val="auto"/>
        </w:rPr>
        <w:t xml:space="preserve"> </w:t>
      </w:r>
      <w:r w:rsidR="00EC62BE" w:rsidRPr="00C50329">
        <w:rPr>
          <w:color w:val="000000"/>
          <w:szCs w:val="24"/>
        </w:rPr>
        <w:t xml:space="preserve">The PEB’s 10% rating </w:t>
      </w:r>
      <w:r w:rsidR="00EC62BE">
        <w:rPr>
          <w:color w:val="000000"/>
          <w:szCs w:val="24"/>
        </w:rPr>
        <w:t>analogous to 5003 (degenerative arthritis)</w:t>
      </w:r>
      <w:r w:rsidR="00B341A7">
        <w:rPr>
          <w:color w:val="000000"/>
          <w:szCs w:val="24"/>
        </w:rPr>
        <w:t xml:space="preserve"> </w:t>
      </w:r>
      <w:r w:rsidR="00EC62BE" w:rsidRPr="00C50329">
        <w:rPr>
          <w:color w:val="000000"/>
          <w:szCs w:val="24"/>
        </w:rPr>
        <w:t>was supported by the USAPDA pain policy, but was not consistent with VASRD §4.71a</w:t>
      </w:r>
      <w:r w:rsidR="00EC62BE">
        <w:rPr>
          <w:color w:val="000000"/>
          <w:szCs w:val="24"/>
        </w:rPr>
        <w:t xml:space="preserve"> criteria for the ROMs under consideration.  The VA rated under the hyphenated codes 5203 (clavicle or scapula, impairment of) and 5201 (shoulder limitation of motion)</w:t>
      </w:r>
      <w:r w:rsidR="00B341A7">
        <w:rPr>
          <w:color w:val="000000"/>
          <w:szCs w:val="24"/>
        </w:rPr>
        <w:t xml:space="preserve">; and the </w:t>
      </w:r>
      <w:r w:rsidR="00EC3C86">
        <w:rPr>
          <w:color w:val="000000"/>
          <w:szCs w:val="24"/>
        </w:rPr>
        <w:t xml:space="preserve">stated </w:t>
      </w:r>
      <w:r w:rsidR="00EC62BE">
        <w:rPr>
          <w:color w:val="000000"/>
          <w:szCs w:val="24"/>
        </w:rPr>
        <w:t xml:space="preserve">rationale in the rating decision for </w:t>
      </w:r>
      <w:r w:rsidR="00B341A7">
        <w:rPr>
          <w:color w:val="000000"/>
          <w:szCs w:val="24"/>
        </w:rPr>
        <w:t>a</w:t>
      </w:r>
      <w:r w:rsidR="00EC62BE">
        <w:rPr>
          <w:color w:val="000000"/>
          <w:szCs w:val="24"/>
        </w:rPr>
        <w:t xml:space="preserve"> 20% rating was “</w:t>
      </w:r>
      <w:r w:rsidR="00EC62BE" w:rsidRPr="00EC62BE">
        <w:rPr>
          <w:color w:val="000000"/>
          <w:szCs w:val="24"/>
        </w:rPr>
        <w:t>based on VA examination findings</w:t>
      </w:r>
      <w:r w:rsidR="00EC62BE">
        <w:rPr>
          <w:color w:val="000000"/>
          <w:szCs w:val="24"/>
        </w:rPr>
        <w:t xml:space="preserve"> </w:t>
      </w:r>
      <w:r w:rsidR="00EC62BE" w:rsidRPr="00EC62BE">
        <w:rPr>
          <w:color w:val="000000"/>
          <w:szCs w:val="24"/>
        </w:rPr>
        <w:t>that you do not experience instability, giving way, or locking, but you do have popping</w:t>
      </w:r>
      <w:r w:rsidR="00EC62BE">
        <w:rPr>
          <w:color w:val="000000"/>
          <w:szCs w:val="24"/>
        </w:rPr>
        <w:t xml:space="preserve"> </w:t>
      </w:r>
      <w:r w:rsidR="00EC62BE" w:rsidRPr="00EC62BE">
        <w:rPr>
          <w:color w:val="000000"/>
          <w:szCs w:val="24"/>
        </w:rPr>
        <w:t>and crackling</w:t>
      </w:r>
      <w:r w:rsidR="00EC62BE">
        <w:rPr>
          <w:color w:val="000000"/>
          <w:szCs w:val="24"/>
        </w:rPr>
        <w:t xml:space="preserve">”.  </w:t>
      </w:r>
      <w:r w:rsidR="00B341A7">
        <w:rPr>
          <w:color w:val="000000"/>
          <w:szCs w:val="24"/>
        </w:rPr>
        <w:t xml:space="preserve">The latter criteria, however, are not cited in either of the </w:t>
      </w:r>
      <w:r w:rsidR="00EC3C86">
        <w:rPr>
          <w:color w:val="000000"/>
          <w:szCs w:val="24"/>
        </w:rPr>
        <w:t xml:space="preserve">VA </w:t>
      </w:r>
      <w:r w:rsidR="00B341A7">
        <w:rPr>
          <w:color w:val="000000"/>
          <w:szCs w:val="24"/>
        </w:rPr>
        <w:t xml:space="preserve">assigned codes or elsewhere in §4.71a shoulder codes.   The VA ROMs </w:t>
      </w:r>
      <w:r w:rsidR="004D5D31">
        <w:rPr>
          <w:color w:val="000000"/>
          <w:szCs w:val="24"/>
        </w:rPr>
        <w:t>do not</w:t>
      </w:r>
      <w:r w:rsidR="00B341A7">
        <w:rPr>
          <w:color w:val="000000"/>
          <w:szCs w:val="24"/>
        </w:rPr>
        <w:t xml:space="preserve"> </w:t>
      </w:r>
      <w:r w:rsidR="004D5D31">
        <w:rPr>
          <w:color w:val="000000"/>
          <w:szCs w:val="24"/>
        </w:rPr>
        <w:t xml:space="preserve">support a compensable </w:t>
      </w:r>
      <w:r w:rsidR="00B341A7">
        <w:rPr>
          <w:color w:val="000000"/>
          <w:szCs w:val="24"/>
        </w:rPr>
        <w:t>rating under 5201</w:t>
      </w:r>
      <w:r w:rsidR="004D5D31">
        <w:rPr>
          <w:color w:val="000000"/>
          <w:szCs w:val="24"/>
        </w:rPr>
        <w:t>,</w:t>
      </w:r>
      <w:r w:rsidR="00B341A7">
        <w:rPr>
          <w:color w:val="000000"/>
          <w:szCs w:val="24"/>
        </w:rPr>
        <w:t xml:space="preserve"> which requires limitation to “shoulder level” (90⁰) for the lowest compensable rating (20%).  None of the §4.71a joint codes for the shoulder which </w:t>
      </w:r>
      <w:r w:rsidR="00EC3C86">
        <w:rPr>
          <w:color w:val="000000"/>
          <w:szCs w:val="24"/>
        </w:rPr>
        <w:t>could</w:t>
      </w:r>
      <w:r w:rsidR="00B341A7">
        <w:rPr>
          <w:color w:val="000000"/>
          <w:szCs w:val="24"/>
        </w:rPr>
        <w:t xml:space="preserve"> be </w:t>
      </w:r>
      <w:r w:rsidR="00EC3C86">
        <w:rPr>
          <w:color w:val="000000"/>
          <w:szCs w:val="24"/>
        </w:rPr>
        <w:t>considered</w:t>
      </w:r>
      <w:r w:rsidR="00B341A7">
        <w:rPr>
          <w:color w:val="000000"/>
          <w:szCs w:val="24"/>
        </w:rPr>
        <w:t xml:space="preserve"> in this case would support a rating greater than 10%</w:t>
      </w:r>
      <w:r w:rsidR="005075F5">
        <w:rPr>
          <w:color w:val="000000"/>
          <w:szCs w:val="24"/>
        </w:rPr>
        <w:t>;</w:t>
      </w:r>
      <w:r w:rsidR="00B341A7">
        <w:rPr>
          <w:color w:val="000000"/>
          <w:szCs w:val="24"/>
        </w:rPr>
        <w:t xml:space="preserve"> except for 5201</w:t>
      </w:r>
      <w:r w:rsidR="005075F5">
        <w:rPr>
          <w:color w:val="000000"/>
          <w:szCs w:val="24"/>
        </w:rPr>
        <w:t xml:space="preserve">, if the MEB ROM evidence is assigned the preponderant probative value.  Since the MEB ROM’s were also corroborated by other examiners, especially considering the overall degree of disability in evidence, members agreed that it was reasonable to take this latter approach.  </w:t>
      </w:r>
      <w:r w:rsidR="00B341A7">
        <w:rPr>
          <w:color w:val="000000"/>
          <w:szCs w:val="24"/>
        </w:rPr>
        <w:t xml:space="preserve"> </w:t>
      </w:r>
      <w:r w:rsidR="005075F5" w:rsidRPr="00241B01">
        <w:rPr>
          <w:rFonts w:eastAsia="Calibri" w:cs="Times New Roman"/>
          <w:color w:val="auto"/>
          <w:szCs w:val="24"/>
        </w:rPr>
        <w:t xml:space="preserve">After due deliberation, considering all of the evidence and mindful of VASRD §4.3 (reasonable doubt), the Board recommends a disability rating of </w:t>
      </w:r>
      <w:r w:rsidR="00B96FE7">
        <w:rPr>
          <w:rFonts w:eastAsia="Calibri" w:cs="Times New Roman"/>
          <w:color w:val="auto"/>
          <w:szCs w:val="24"/>
        </w:rPr>
        <w:t>2</w:t>
      </w:r>
      <w:r w:rsidR="005075F5" w:rsidRPr="00241B01">
        <w:rPr>
          <w:rFonts w:eastAsia="Calibri" w:cs="Times New Roman"/>
          <w:color w:val="auto"/>
          <w:szCs w:val="24"/>
        </w:rPr>
        <w:t xml:space="preserve">0% for the </w:t>
      </w:r>
      <w:r w:rsidR="005075F5">
        <w:rPr>
          <w:rFonts w:eastAsia="Calibri" w:cs="Times New Roman"/>
          <w:color w:val="auto"/>
          <w:szCs w:val="24"/>
        </w:rPr>
        <w:t>left shoulder joint</w:t>
      </w:r>
      <w:r w:rsidR="005075F5" w:rsidRPr="00241B01">
        <w:rPr>
          <w:rFonts w:eastAsia="Calibri" w:cs="Times New Roman"/>
          <w:color w:val="auto"/>
          <w:szCs w:val="24"/>
        </w:rPr>
        <w:t xml:space="preserve"> </w:t>
      </w:r>
      <w:r w:rsidR="005075F5" w:rsidRPr="00CA76B1">
        <w:rPr>
          <w:rFonts w:eastAsia="Calibri" w:cs="Times New Roman"/>
          <w:color w:val="auto"/>
          <w:szCs w:val="24"/>
        </w:rPr>
        <w:t xml:space="preserve">condition.  </w:t>
      </w:r>
    </w:p>
    <w:p w:rsidR="00792790" w:rsidRDefault="00792790" w:rsidP="001554E4">
      <w:pPr>
        <w:jc w:val="both"/>
        <w:rPr>
          <w:rFonts w:eastAsia="Calibri" w:cs="Times New Roman"/>
          <w:color w:val="auto"/>
          <w:szCs w:val="24"/>
        </w:rPr>
      </w:pPr>
    </w:p>
    <w:p w:rsidR="00DC66F6" w:rsidRDefault="00DC66F6" w:rsidP="00DC66F6">
      <w:pPr>
        <w:jc w:val="both"/>
        <w:rPr>
          <w:color w:val="000000"/>
        </w:rPr>
      </w:pPr>
      <w:r w:rsidRPr="00DC66F6">
        <w:rPr>
          <w:rFonts w:eastAsia="Calibri" w:cs="Times New Roman"/>
          <w:color w:val="auto"/>
          <w:szCs w:val="24"/>
          <w:u w:val="single"/>
        </w:rPr>
        <w:t>Left Shoulder Neuropathy Condition</w:t>
      </w:r>
      <w:r>
        <w:rPr>
          <w:rFonts w:eastAsia="Calibri" w:cs="Times New Roman"/>
          <w:color w:val="auto"/>
          <w:szCs w:val="24"/>
        </w:rPr>
        <w:t xml:space="preserve">.  </w:t>
      </w:r>
      <w:r w:rsidR="00B21E03">
        <w:rPr>
          <w:rFonts w:eastAsia="Calibri" w:cs="Times New Roman"/>
          <w:color w:val="auto"/>
          <w:szCs w:val="24"/>
        </w:rPr>
        <w:t xml:space="preserve">In addition to the intrinsic joint pathology contributing the CI’s unfitting “left shoulder pain” condition, there was a contribution from a separately ratable peripheral nerve injury (as per the VA rating) which the Board must consider in this case.  </w:t>
      </w:r>
      <w:r>
        <w:rPr>
          <w:color w:val="000000"/>
        </w:rPr>
        <w:t xml:space="preserve">The CI was evaluated by a neurologist 4 months prior to separation. </w:t>
      </w:r>
      <w:r w:rsidR="00CA76B1">
        <w:rPr>
          <w:color w:val="000000"/>
        </w:rPr>
        <w:t xml:space="preserve"> </w:t>
      </w:r>
      <w:r>
        <w:rPr>
          <w:color w:val="000000"/>
        </w:rPr>
        <w:t xml:space="preserve">His examination documented “a small amount” of deltoid atrophy, “slightly weaker” left vs. right hand grip, “slight weakness of the lateral rotation of his left arm compared to the right”, and a sensory deficit of the C5/6 dermatome (consistent with brachial neuropathy); but, motor strength of remaining muscle groups and tendon reflexes were normal.  An electromyelogram at that time diagnosed a suspected brachial plexus injury.  The </w:t>
      </w:r>
      <w:r w:rsidR="007C684B">
        <w:rPr>
          <w:color w:val="000000"/>
        </w:rPr>
        <w:t>n</w:t>
      </w:r>
      <w:r>
        <w:rPr>
          <w:color w:val="000000"/>
        </w:rPr>
        <w:t>eurologist referred the CI for additional evaluation by Rehabilitation Medicine</w:t>
      </w:r>
      <w:r w:rsidR="00B21E03">
        <w:rPr>
          <w:color w:val="000000"/>
        </w:rPr>
        <w:t xml:space="preserve"> (as noted above in the shoulder joint discussion)</w:t>
      </w:r>
      <w:r>
        <w:rPr>
          <w:color w:val="000000"/>
        </w:rPr>
        <w:t xml:space="preserve">, although he was not seen until a month after separation.  At that time it was concluded that neuropathic pain from </w:t>
      </w:r>
      <w:r w:rsidR="00EC3C86">
        <w:rPr>
          <w:color w:val="000000"/>
        </w:rPr>
        <w:t xml:space="preserve">suspected </w:t>
      </w:r>
      <w:r>
        <w:rPr>
          <w:color w:val="000000"/>
        </w:rPr>
        <w:t>brachial plexus injury was associate</w:t>
      </w:r>
      <w:r w:rsidR="00CA76B1">
        <w:rPr>
          <w:color w:val="000000"/>
        </w:rPr>
        <w:t xml:space="preserve">d with the shoulder condition. </w:t>
      </w:r>
      <w:r>
        <w:rPr>
          <w:color w:val="000000"/>
        </w:rPr>
        <w:t xml:space="preserve"> The examiner at that time documented, “</w:t>
      </w:r>
      <w:r w:rsidRPr="00EB0863">
        <w:rPr>
          <w:color w:val="000000"/>
        </w:rPr>
        <w:t xml:space="preserve">Strength in his shoulder is at least 3/5, but difficult to fully </w:t>
      </w:r>
      <w:r>
        <w:rPr>
          <w:color w:val="000000"/>
        </w:rPr>
        <w:t>eva</w:t>
      </w:r>
      <w:r w:rsidRPr="00EB0863">
        <w:rPr>
          <w:color w:val="000000"/>
        </w:rPr>
        <w:t>luate secondary</w:t>
      </w:r>
      <w:r>
        <w:rPr>
          <w:color w:val="000000"/>
        </w:rPr>
        <w:t xml:space="preserve"> </w:t>
      </w:r>
      <w:r w:rsidRPr="00EB0863">
        <w:rPr>
          <w:color w:val="000000"/>
        </w:rPr>
        <w:t xml:space="preserve">to pain with manual muscle testing. </w:t>
      </w:r>
      <w:r>
        <w:rPr>
          <w:color w:val="000000"/>
        </w:rPr>
        <w:t xml:space="preserve"> </w:t>
      </w:r>
      <w:r w:rsidRPr="00EB0863">
        <w:rPr>
          <w:color w:val="000000"/>
        </w:rPr>
        <w:t xml:space="preserve">Manual muscle testing of his elbow, wrist </w:t>
      </w:r>
      <w:r>
        <w:rPr>
          <w:color w:val="000000"/>
        </w:rPr>
        <w:t>an</w:t>
      </w:r>
      <w:r w:rsidRPr="00EB0863">
        <w:rPr>
          <w:color w:val="000000"/>
        </w:rPr>
        <w:t>d finger ranges</w:t>
      </w:r>
      <w:r>
        <w:rPr>
          <w:color w:val="000000"/>
        </w:rPr>
        <w:t xml:space="preserve"> </w:t>
      </w:r>
      <w:r w:rsidRPr="00EB0863">
        <w:rPr>
          <w:color w:val="000000"/>
        </w:rPr>
        <w:t>reveals that he has normal strength in those areas.</w:t>
      </w:r>
      <w:r>
        <w:rPr>
          <w:color w:val="000000"/>
        </w:rPr>
        <w:t xml:space="preserve">”  A dermatomal sensory deficit to light touch, equivalent to that of the neurologist, was noted.  The </w:t>
      </w:r>
      <w:r w:rsidR="00B21E03">
        <w:rPr>
          <w:color w:val="000000"/>
        </w:rPr>
        <w:t>NARSUM</w:t>
      </w:r>
      <w:r>
        <w:rPr>
          <w:color w:val="000000"/>
        </w:rPr>
        <w:t xml:space="preserve"> examiner </w:t>
      </w:r>
      <w:r w:rsidR="00B21E03">
        <w:rPr>
          <w:color w:val="000000"/>
        </w:rPr>
        <w:t xml:space="preserve">noted that the CI denied any upper extremity weakness, </w:t>
      </w:r>
      <w:r w:rsidR="0006522D">
        <w:rPr>
          <w:color w:val="000000"/>
        </w:rPr>
        <w:t xml:space="preserve">and </w:t>
      </w:r>
      <w:r>
        <w:rPr>
          <w:color w:val="000000"/>
        </w:rPr>
        <w:t>documented 5/5 motor strength in all groups except for 4/5 strength of the</w:t>
      </w:r>
      <w:r w:rsidR="0006522D">
        <w:rPr>
          <w:color w:val="000000"/>
        </w:rPr>
        <w:t xml:space="preserve"> internal and external rotators.</w:t>
      </w:r>
      <w:r>
        <w:rPr>
          <w:color w:val="000000"/>
        </w:rPr>
        <w:t xml:space="preserve"> </w:t>
      </w:r>
      <w:r w:rsidR="0006522D">
        <w:rPr>
          <w:color w:val="000000"/>
        </w:rPr>
        <w:t xml:space="preserve"> The NARSUM also documented</w:t>
      </w:r>
      <w:r>
        <w:rPr>
          <w:color w:val="000000"/>
        </w:rPr>
        <w:t xml:space="preserve"> the same dermatomal sensory deficit</w:t>
      </w:r>
      <w:r w:rsidR="0006522D">
        <w:rPr>
          <w:color w:val="000000"/>
        </w:rPr>
        <w:t xml:space="preserve"> identified above</w:t>
      </w:r>
      <w:r>
        <w:rPr>
          <w:color w:val="000000"/>
        </w:rPr>
        <w:t xml:space="preserve">.  </w:t>
      </w:r>
      <w:r w:rsidR="0006522D">
        <w:rPr>
          <w:color w:val="000000"/>
        </w:rPr>
        <w:t xml:space="preserve">The post-separation VA examiner documented a complaint of “weakness and stiffness”.  </w:t>
      </w:r>
      <w:r>
        <w:rPr>
          <w:color w:val="000000"/>
        </w:rPr>
        <w:t xml:space="preserve">The </w:t>
      </w:r>
      <w:r w:rsidR="0006522D">
        <w:rPr>
          <w:color w:val="000000"/>
        </w:rPr>
        <w:t xml:space="preserve">VA </w:t>
      </w:r>
      <w:r>
        <w:rPr>
          <w:color w:val="000000"/>
        </w:rPr>
        <w:t>neurologic examination was not detailed, but noted 4/5 grip strength on the left vs. 5/5 on the right.</w:t>
      </w:r>
    </w:p>
    <w:p w:rsidR="00DC66F6" w:rsidRDefault="00DC66F6" w:rsidP="001554E4">
      <w:pPr>
        <w:jc w:val="both"/>
        <w:rPr>
          <w:rFonts w:eastAsia="Calibri" w:cs="Times New Roman"/>
          <w:color w:val="auto"/>
          <w:szCs w:val="24"/>
        </w:rPr>
      </w:pPr>
    </w:p>
    <w:p w:rsidR="003C4A36" w:rsidRDefault="0006522D" w:rsidP="001554E4">
      <w:pPr>
        <w:jc w:val="both"/>
        <w:rPr>
          <w:rFonts w:cs="Times New Roman"/>
          <w:color w:val="auto"/>
        </w:rPr>
      </w:pPr>
      <w:r w:rsidRPr="009A7578">
        <w:rPr>
          <w:rFonts w:cs="Times New Roman"/>
          <w:color w:val="auto"/>
        </w:rPr>
        <w:t>The Board directs attenti</w:t>
      </w:r>
      <w:r>
        <w:rPr>
          <w:rFonts w:cs="Times New Roman"/>
          <w:color w:val="auto"/>
        </w:rPr>
        <w:t>on to its recommendation</w:t>
      </w:r>
      <w:r w:rsidRPr="009A7578">
        <w:rPr>
          <w:rFonts w:cs="Times New Roman"/>
          <w:color w:val="auto"/>
        </w:rPr>
        <w:t xml:space="preserve"> </w:t>
      </w:r>
      <w:r>
        <w:rPr>
          <w:rFonts w:cs="Times New Roman"/>
          <w:color w:val="auto"/>
        </w:rPr>
        <w:t>regarding the associated shoulder neuropathy based on the above evidence</w:t>
      </w:r>
      <w:r w:rsidRPr="009A7578">
        <w:rPr>
          <w:rFonts w:cs="Times New Roman"/>
          <w:color w:val="auto"/>
        </w:rPr>
        <w:t xml:space="preserve">. </w:t>
      </w:r>
      <w:r>
        <w:rPr>
          <w:rFonts w:cs="Times New Roman"/>
          <w:color w:val="auto"/>
        </w:rPr>
        <w:t xml:space="preserve"> It was first deliberated whether this condition was indeed eligible for a recommendation from this Board, since the neuropathy was not directly addressed by the PEB</w:t>
      </w:r>
      <w:r w:rsidR="006B5570">
        <w:rPr>
          <w:rFonts w:cs="Times New Roman"/>
          <w:color w:val="auto"/>
        </w:rPr>
        <w:t xml:space="preserve"> and logically the PEB</w:t>
      </w:r>
      <w:r>
        <w:rPr>
          <w:rFonts w:cs="Times New Roman"/>
          <w:color w:val="auto"/>
        </w:rPr>
        <w:t xml:space="preserve"> was </w:t>
      </w:r>
      <w:r w:rsidR="006B5570">
        <w:rPr>
          <w:rFonts w:cs="Times New Roman"/>
          <w:color w:val="auto"/>
        </w:rPr>
        <w:t>not cognizant of the distinctly separate condition</w:t>
      </w:r>
      <w:r>
        <w:rPr>
          <w:rFonts w:cs="Times New Roman"/>
          <w:color w:val="auto"/>
        </w:rPr>
        <w:t xml:space="preserve">.  </w:t>
      </w:r>
      <w:r w:rsidR="006B5570">
        <w:rPr>
          <w:rFonts w:cs="Times New Roman"/>
          <w:color w:val="auto"/>
        </w:rPr>
        <w:t xml:space="preserve">It is established by the evidence that the condition was electrodiagnostically confirmed in service, and that it was initially addressed by a neurologist.  It is also clear that the physical signs of the neuropathy, unexplained by the intrinsic joint pathology, were present in the NARSUM.  </w:t>
      </w:r>
      <w:r w:rsidR="00B96FE7">
        <w:rPr>
          <w:rFonts w:cs="Times New Roman"/>
          <w:color w:val="auto"/>
        </w:rPr>
        <w:t xml:space="preserve">It was deliberated at considerable length as to whether this condition fell within the purview of the board; and, if so, whether it could be considered unfitting.  The </w:t>
      </w:r>
      <w:r w:rsidR="007C684B">
        <w:rPr>
          <w:rFonts w:cs="Times New Roman"/>
          <w:color w:val="auto"/>
        </w:rPr>
        <w:t>a</w:t>
      </w:r>
      <w:r w:rsidR="00B96FE7">
        <w:rPr>
          <w:rFonts w:cs="Times New Roman"/>
          <w:color w:val="auto"/>
        </w:rPr>
        <w:t xml:space="preserve">ction </w:t>
      </w:r>
      <w:r w:rsidR="007C684B">
        <w:rPr>
          <w:rFonts w:cs="Times New Roman"/>
          <w:color w:val="auto"/>
        </w:rPr>
        <w:t>o</w:t>
      </w:r>
      <w:r w:rsidR="00B96FE7">
        <w:rPr>
          <w:rFonts w:cs="Times New Roman"/>
          <w:color w:val="auto"/>
        </w:rPr>
        <w:t xml:space="preserve">fficer opined that, more likely than not, the brachial plexus neuralgia was present throughout the </w:t>
      </w:r>
      <w:r w:rsidR="00B96FE7">
        <w:rPr>
          <w:rFonts w:cs="Times New Roman"/>
          <w:color w:val="auto"/>
        </w:rPr>
        <w:lastRenderedPageBreak/>
        <w:t xml:space="preserve">clinical course and quite likely contributed a lion’s share of the pain which compromised the ROMs all along.  It was countered, then, that this was subsumed </w:t>
      </w:r>
      <w:r w:rsidR="007B17AB" w:rsidRPr="00B96FE7">
        <w:rPr>
          <w:rFonts w:cs="Times New Roman"/>
          <w:i/>
          <w:color w:val="auto"/>
        </w:rPr>
        <w:t>de facto</w:t>
      </w:r>
      <w:r w:rsidR="007B17AB">
        <w:rPr>
          <w:rFonts w:cs="Times New Roman"/>
          <w:color w:val="auto"/>
        </w:rPr>
        <w:t xml:space="preserve"> </w:t>
      </w:r>
      <w:r w:rsidR="00B96FE7">
        <w:rPr>
          <w:rFonts w:cs="Times New Roman"/>
          <w:color w:val="auto"/>
        </w:rPr>
        <w:t>in the shoulder rating already conferred</w:t>
      </w:r>
      <w:r w:rsidR="00B54347">
        <w:rPr>
          <w:rFonts w:cs="Times New Roman"/>
          <w:color w:val="auto"/>
        </w:rPr>
        <w:t xml:space="preserve">; and, thus a second rating would </w:t>
      </w:r>
      <w:r w:rsidR="007B17AB">
        <w:rPr>
          <w:rFonts w:cs="Times New Roman"/>
          <w:color w:val="auto"/>
        </w:rPr>
        <w:t>be dubiously compliant with</w:t>
      </w:r>
      <w:r w:rsidR="00B54347">
        <w:rPr>
          <w:rFonts w:cs="Times New Roman"/>
          <w:color w:val="auto"/>
        </w:rPr>
        <w:t xml:space="preserve"> VASRD §4.14 (avoidance of pyramiding)</w:t>
      </w:r>
      <w:r w:rsidR="00B96FE7">
        <w:rPr>
          <w:rFonts w:cs="Times New Roman"/>
          <w:color w:val="auto"/>
        </w:rPr>
        <w:t xml:space="preserve">.  </w:t>
      </w:r>
      <w:r w:rsidR="007B17AB">
        <w:rPr>
          <w:rFonts w:cs="Times New Roman"/>
          <w:color w:val="auto"/>
        </w:rPr>
        <w:t xml:space="preserve">Following this logic, it would </w:t>
      </w:r>
      <w:r w:rsidR="00285147">
        <w:rPr>
          <w:rFonts w:cs="Times New Roman"/>
          <w:color w:val="auto"/>
        </w:rPr>
        <w:t xml:space="preserve">also </w:t>
      </w:r>
      <w:r w:rsidR="007B17AB">
        <w:rPr>
          <w:rFonts w:cs="Times New Roman"/>
          <w:color w:val="auto"/>
        </w:rPr>
        <w:t>be concluded that the only residual pathology from the neuropathy would have been some mild motor deficits and an inconsequential sensory deficit of the non-dominant upper extremity</w:t>
      </w:r>
      <w:r w:rsidR="003C4A36">
        <w:rPr>
          <w:rFonts w:cs="Times New Roman"/>
          <w:color w:val="auto"/>
        </w:rPr>
        <w:t>;</w:t>
      </w:r>
      <w:r w:rsidR="007B17AB">
        <w:rPr>
          <w:rFonts w:cs="Times New Roman"/>
          <w:color w:val="auto"/>
        </w:rPr>
        <w:t xml:space="preserve"> </w:t>
      </w:r>
      <w:r w:rsidR="003C4A36">
        <w:rPr>
          <w:rFonts w:cs="Times New Roman"/>
          <w:color w:val="auto"/>
        </w:rPr>
        <w:t xml:space="preserve">of questionably unfitting </w:t>
      </w:r>
      <w:r w:rsidR="003C4A36" w:rsidRPr="003C4A36">
        <w:rPr>
          <w:rFonts w:cs="Times New Roman"/>
          <w:color w:val="auto"/>
        </w:rPr>
        <w:t xml:space="preserve">significance. </w:t>
      </w:r>
      <w:r w:rsidR="003C4A36">
        <w:rPr>
          <w:rFonts w:cs="Times New Roman"/>
          <w:color w:val="auto"/>
        </w:rPr>
        <w:t xml:space="preserve"> </w:t>
      </w:r>
      <w:r w:rsidR="00285147">
        <w:rPr>
          <w:rFonts w:cs="Times New Roman"/>
          <w:color w:val="auto"/>
        </w:rPr>
        <w:t>All</w:t>
      </w:r>
      <w:r w:rsidR="00125092">
        <w:rPr>
          <w:rFonts w:cs="Times New Roman"/>
          <w:color w:val="auto"/>
        </w:rPr>
        <w:t xml:space="preserve"> of these conclusions</w:t>
      </w:r>
      <w:r w:rsidR="0074675E">
        <w:rPr>
          <w:rFonts w:cs="Times New Roman"/>
          <w:color w:val="auto"/>
        </w:rPr>
        <w:t xml:space="preserve">, however, are contestable; and, deliberations returned </w:t>
      </w:r>
      <w:r w:rsidR="003C4A36">
        <w:rPr>
          <w:rFonts w:cs="Times New Roman"/>
          <w:color w:val="auto"/>
        </w:rPr>
        <w:t xml:space="preserve">to the core question of whether the condition fell within the scope of this Board or that of the ABMCR.  </w:t>
      </w:r>
      <w:r w:rsidR="0084214F">
        <w:rPr>
          <w:rFonts w:cs="Times New Roman"/>
          <w:color w:val="auto"/>
        </w:rPr>
        <w:t xml:space="preserve">Given that the PEB nomenclature of “chronic left shoulder pain” was broad enough to encompass the neuropathy, it was agreed that the condition was within the scope defined by DoDI 6040.44 (as elaborated above).  Member consensus, however, was that the condition was not sufficiently visible to the PEB at separation; although, the </w:t>
      </w:r>
      <w:r w:rsidR="007C684B">
        <w:rPr>
          <w:rFonts w:cs="Times New Roman"/>
          <w:color w:val="auto"/>
        </w:rPr>
        <w:t>Army</w:t>
      </w:r>
      <w:r w:rsidR="0084214F">
        <w:rPr>
          <w:rFonts w:cs="Times New Roman"/>
          <w:color w:val="auto"/>
        </w:rPr>
        <w:t xml:space="preserve"> would have more appropriately followed through on the diagnosis and evaluation prior to separation.  </w:t>
      </w:r>
      <w:r w:rsidR="003C4A36">
        <w:rPr>
          <w:rFonts w:cs="Times New Roman"/>
          <w:color w:val="auto"/>
        </w:rPr>
        <w:t xml:space="preserve">Board </w:t>
      </w:r>
      <w:r w:rsidR="0074675E">
        <w:rPr>
          <w:rFonts w:cs="Times New Roman"/>
          <w:color w:val="auto"/>
        </w:rPr>
        <w:t xml:space="preserve">policy and </w:t>
      </w:r>
      <w:r w:rsidR="003C4A36">
        <w:rPr>
          <w:rFonts w:cs="Times New Roman"/>
          <w:color w:val="auto"/>
        </w:rPr>
        <w:t xml:space="preserve">precedence has </w:t>
      </w:r>
      <w:r w:rsidR="0074675E">
        <w:rPr>
          <w:rFonts w:cs="Times New Roman"/>
          <w:color w:val="auto"/>
        </w:rPr>
        <w:t xml:space="preserve">limited its jurisdiction to </w:t>
      </w:r>
      <w:r w:rsidR="00125092">
        <w:rPr>
          <w:rFonts w:cs="Times New Roman"/>
          <w:color w:val="auto"/>
        </w:rPr>
        <w:t>conditions which are evidenced in the core Disability Evaluation System (DES) file.</w:t>
      </w:r>
      <w:r w:rsidR="0074675E">
        <w:rPr>
          <w:rFonts w:cs="Times New Roman"/>
          <w:color w:val="auto"/>
        </w:rPr>
        <w:t xml:space="preserve">  </w:t>
      </w:r>
      <w:r w:rsidR="0074675E" w:rsidRPr="0074675E">
        <w:rPr>
          <w:rFonts w:cs="Times New Roman"/>
          <w:color w:val="auto"/>
        </w:rPr>
        <w:t xml:space="preserve">The core DES file consists of the MEB referral document (DA Form 3947), the PEB adjudication document (DA Form 199), the NARSUM (including any addendums or referenced examinations), the MEB physical exam, the </w:t>
      </w:r>
      <w:r w:rsidR="007C684B">
        <w:rPr>
          <w:rFonts w:cs="Times New Roman"/>
          <w:color w:val="auto"/>
        </w:rPr>
        <w:t>c</w:t>
      </w:r>
      <w:r w:rsidR="0074675E" w:rsidRPr="0074675E">
        <w:rPr>
          <w:rFonts w:cs="Times New Roman"/>
          <w:color w:val="auto"/>
        </w:rPr>
        <w:t xml:space="preserve">ommander’s statement, the physical profile(s), and any written appeals or internal DES correspondence.  </w:t>
      </w:r>
      <w:r w:rsidR="00412834">
        <w:rPr>
          <w:rFonts w:cs="Times New Roman"/>
          <w:color w:val="auto"/>
        </w:rPr>
        <w:t xml:space="preserve">After a lengthy deliberation, the voter consensus was that the brachial neuropathy could not have been evident in the core DES file since the formal diagnosis was not confirmed until shortly after separation, albeit at the hand of contracted providers.  The Board thus concludes that the appropriate jurisdiction for consideration of a rating </w:t>
      </w:r>
      <w:r w:rsidR="00285147">
        <w:rPr>
          <w:rFonts w:cs="Times New Roman"/>
          <w:color w:val="auto"/>
        </w:rPr>
        <w:t>for</w:t>
      </w:r>
      <w:r w:rsidR="00412834">
        <w:rPr>
          <w:rFonts w:cs="Times New Roman"/>
          <w:color w:val="auto"/>
        </w:rPr>
        <w:t xml:space="preserve"> the brachial </w:t>
      </w:r>
      <w:r w:rsidR="00FA0827">
        <w:rPr>
          <w:rFonts w:cs="Times New Roman"/>
          <w:color w:val="auto"/>
        </w:rPr>
        <w:t xml:space="preserve">neuropathy resides with the </w:t>
      </w:r>
      <w:r w:rsidR="00FA0827" w:rsidRPr="004D5D31">
        <w:rPr>
          <w:rFonts w:cs="Times New Roman"/>
          <w:color w:val="auto"/>
        </w:rPr>
        <w:t>ABCM</w:t>
      </w:r>
      <w:r w:rsidR="00412834" w:rsidRPr="004D5D31">
        <w:rPr>
          <w:rFonts w:cs="Times New Roman"/>
          <w:color w:val="auto"/>
        </w:rPr>
        <w:t>R.</w:t>
      </w:r>
    </w:p>
    <w:p w:rsidR="00AD2379" w:rsidRPr="009A7578" w:rsidRDefault="00AD2379" w:rsidP="00BF0E94">
      <w:pPr>
        <w:pBdr>
          <w:bottom w:val="single" w:sz="12" w:space="1" w:color="auto"/>
        </w:pBdr>
        <w:tabs>
          <w:tab w:val="left" w:pos="288"/>
          <w:tab w:val="left" w:pos="4752"/>
        </w:tabs>
        <w:jc w:val="both"/>
        <w:rPr>
          <w:color w:val="000000"/>
          <w:highlight w:val="magenta"/>
        </w:rPr>
      </w:pPr>
    </w:p>
    <w:p w:rsidR="00AD2379" w:rsidRPr="009A7578" w:rsidRDefault="00AD2379" w:rsidP="006364ED">
      <w:pPr>
        <w:jc w:val="left"/>
        <w:rPr>
          <w:color w:val="000000"/>
          <w:highlight w:val="magenta"/>
        </w:rPr>
      </w:pPr>
    </w:p>
    <w:p w:rsidR="00560F12" w:rsidRPr="003463CF" w:rsidRDefault="00AD2379" w:rsidP="00560F12">
      <w:pPr>
        <w:jc w:val="both"/>
        <w:rPr>
          <w:rFonts w:eastAsia="Calibri" w:cs="Times New Roman"/>
          <w:color w:val="auto"/>
          <w:szCs w:val="24"/>
        </w:rPr>
      </w:pPr>
      <w:r w:rsidRPr="001F29F9">
        <w:rPr>
          <w:color w:val="000000"/>
          <w:u w:val="single"/>
        </w:rPr>
        <w:t>BOARD FINDINGS</w:t>
      </w:r>
      <w:r w:rsidRPr="001F29F9">
        <w:rPr>
          <w:color w:val="000000"/>
        </w:rPr>
        <w:t xml:space="preserve">:  </w:t>
      </w:r>
      <w:r w:rsidRPr="00D8352E">
        <w:rPr>
          <w:color w:val="000000"/>
        </w:rPr>
        <w:t>IAW DoDI 6040.44, provisions of DoD or Military Department regulations or guidelines relied upon by the PEB will not be considered by the Board to the extent they were inconsistent with the VASRD in effect at the time of the adjudication</w:t>
      </w:r>
      <w:r w:rsidRPr="00D8352E">
        <w:rPr>
          <w:rFonts w:cs="Times New Roman"/>
          <w:color w:val="auto"/>
        </w:rPr>
        <w:t xml:space="preserve">. </w:t>
      </w:r>
      <w:r w:rsidR="008734E7">
        <w:rPr>
          <w:rFonts w:cs="Times New Roman"/>
          <w:color w:val="auto"/>
        </w:rPr>
        <w:t xml:space="preserve"> </w:t>
      </w:r>
      <w:r w:rsidR="00241B01" w:rsidRPr="00241B01">
        <w:rPr>
          <w:rFonts w:eastAsia="Calibri" w:cs="Times New Roman"/>
          <w:color w:val="auto"/>
          <w:szCs w:val="24"/>
        </w:rPr>
        <w:t xml:space="preserve">As discussed above, PEB reliance on the USAPDA pain policy for rating </w:t>
      </w:r>
      <w:r w:rsidR="009F3F58">
        <w:rPr>
          <w:rFonts w:eastAsia="Calibri" w:cs="Times New Roman"/>
          <w:color w:val="auto"/>
          <w:szCs w:val="24"/>
        </w:rPr>
        <w:t>the left shoulder condition</w:t>
      </w:r>
      <w:r w:rsidR="00241B01" w:rsidRPr="00241B01">
        <w:rPr>
          <w:rFonts w:eastAsia="Calibri" w:cs="Times New Roman"/>
          <w:color w:val="auto"/>
          <w:szCs w:val="24"/>
        </w:rPr>
        <w:t xml:space="preserve"> was operant in this case and the condition was adjudicated </w:t>
      </w:r>
      <w:r w:rsidR="00241B01" w:rsidRPr="00285147">
        <w:rPr>
          <w:rFonts w:eastAsia="Calibri" w:cs="Times New Roman"/>
          <w:color w:val="auto"/>
          <w:szCs w:val="24"/>
        </w:rPr>
        <w:t xml:space="preserve">independently of that policy by the Board. </w:t>
      </w:r>
      <w:r w:rsidR="009F3F58" w:rsidRPr="00285147">
        <w:rPr>
          <w:rFonts w:eastAsia="Calibri" w:cs="Times New Roman"/>
          <w:color w:val="auto"/>
          <w:szCs w:val="24"/>
        </w:rPr>
        <w:t xml:space="preserve"> </w:t>
      </w:r>
      <w:r w:rsidR="00241B01" w:rsidRPr="00285147">
        <w:rPr>
          <w:rFonts w:eastAsia="Calibri" w:cs="Times New Roman"/>
          <w:color w:val="auto"/>
          <w:szCs w:val="24"/>
        </w:rPr>
        <w:t xml:space="preserve">In the matter of the </w:t>
      </w:r>
      <w:r w:rsidR="009F3F58" w:rsidRPr="00285147">
        <w:rPr>
          <w:rFonts w:eastAsia="Calibri" w:cs="Times New Roman"/>
          <w:color w:val="auto"/>
          <w:szCs w:val="24"/>
        </w:rPr>
        <w:t>left shoulder</w:t>
      </w:r>
      <w:r w:rsidR="00241B01" w:rsidRPr="00285147">
        <w:rPr>
          <w:rFonts w:eastAsia="Calibri" w:cs="Times New Roman"/>
          <w:color w:val="auto"/>
          <w:szCs w:val="24"/>
        </w:rPr>
        <w:t xml:space="preserve"> </w:t>
      </w:r>
      <w:r w:rsidR="00285147" w:rsidRPr="00285147">
        <w:rPr>
          <w:rFonts w:eastAsia="Calibri" w:cs="Times New Roman"/>
          <w:color w:val="auto"/>
          <w:szCs w:val="24"/>
        </w:rPr>
        <w:t xml:space="preserve">joint </w:t>
      </w:r>
      <w:r w:rsidR="00241B01" w:rsidRPr="00285147">
        <w:rPr>
          <w:rFonts w:eastAsia="Calibri" w:cs="Times New Roman"/>
          <w:color w:val="auto"/>
          <w:szCs w:val="24"/>
        </w:rPr>
        <w:t>condition, the Board unanimously recommends</w:t>
      </w:r>
      <w:r w:rsidR="00285147">
        <w:rPr>
          <w:rFonts w:eastAsia="Calibri" w:cs="Times New Roman"/>
          <w:color w:val="auto"/>
          <w:szCs w:val="24"/>
        </w:rPr>
        <w:t xml:space="preserve"> </w:t>
      </w:r>
      <w:r w:rsidR="00285147" w:rsidRPr="00241B01">
        <w:rPr>
          <w:rFonts w:eastAsia="Calibri" w:cs="Times New Roman"/>
          <w:color w:val="auto"/>
          <w:szCs w:val="24"/>
        </w:rPr>
        <w:t xml:space="preserve">a disability rating of </w:t>
      </w:r>
      <w:r w:rsidR="00285147">
        <w:rPr>
          <w:rFonts w:eastAsia="Calibri" w:cs="Times New Roman"/>
          <w:color w:val="auto"/>
          <w:szCs w:val="24"/>
        </w:rPr>
        <w:t>2</w:t>
      </w:r>
      <w:r w:rsidR="00285147" w:rsidRPr="00241B01">
        <w:rPr>
          <w:rFonts w:eastAsia="Calibri" w:cs="Times New Roman"/>
          <w:color w:val="auto"/>
          <w:szCs w:val="24"/>
        </w:rPr>
        <w:t xml:space="preserve">0%, coded </w:t>
      </w:r>
      <w:r w:rsidR="00285147" w:rsidRPr="00CA76B1">
        <w:rPr>
          <w:color w:val="000000"/>
        </w:rPr>
        <w:t>5201</w:t>
      </w:r>
      <w:r w:rsidR="00285147">
        <w:rPr>
          <w:color w:val="000000"/>
        </w:rPr>
        <w:t xml:space="preserve"> </w:t>
      </w:r>
      <w:r w:rsidR="00285147" w:rsidRPr="00241B01">
        <w:rPr>
          <w:rFonts w:eastAsia="Calibri" w:cs="Times New Roman"/>
          <w:color w:val="auto"/>
          <w:szCs w:val="24"/>
        </w:rPr>
        <w:t xml:space="preserve">IAW </w:t>
      </w:r>
      <w:r w:rsidR="00285147" w:rsidRPr="00285147">
        <w:rPr>
          <w:rFonts w:eastAsia="Calibri" w:cs="Times New Roman"/>
          <w:color w:val="auto"/>
          <w:szCs w:val="24"/>
        </w:rPr>
        <w:t>VASRD §4.71a.</w:t>
      </w:r>
      <w:r w:rsidR="00285147">
        <w:rPr>
          <w:rFonts w:eastAsia="Calibri" w:cs="Times New Roman"/>
          <w:color w:val="auto"/>
          <w:szCs w:val="24"/>
        </w:rPr>
        <w:t xml:space="preserve">  </w:t>
      </w:r>
      <w:r w:rsidR="00285147" w:rsidRPr="00285147">
        <w:rPr>
          <w:rFonts w:eastAsia="Calibri" w:cs="Times New Roman"/>
          <w:color w:val="auto"/>
          <w:szCs w:val="24"/>
        </w:rPr>
        <w:t xml:space="preserve">In the matter of the left shoulder </w:t>
      </w:r>
      <w:r w:rsidR="00285147">
        <w:rPr>
          <w:rFonts w:eastAsia="Calibri" w:cs="Times New Roman"/>
          <w:color w:val="auto"/>
          <w:szCs w:val="24"/>
        </w:rPr>
        <w:t>brachial neuropathy</w:t>
      </w:r>
      <w:r w:rsidR="00285147" w:rsidRPr="00285147">
        <w:rPr>
          <w:rFonts w:eastAsia="Calibri" w:cs="Times New Roman"/>
          <w:color w:val="auto"/>
          <w:szCs w:val="24"/>
        </w:rPr>
        <w:t xml:space="preserve"> condition, the Board</w:t>
      </w:r>
      <w:r w:rsidR="00285147">
        <w:rPr>
          <w:rFonts w:eastAsia="Calibri" w:cs="Times New Roman"/>
          <w:color w:val="auto"/>
          <w:szCs w:val="24"/>
        </w:rPr>
        <w:t xml:space="preserve"> </w:t>
      </w:r>
      <w:r w:rsidR="00285147" w:rsidRPr="00285147">
        <w:rPr>
          <w:rFonts w:eastAsia="Calibri" w:cs="Times New Roman"/>
          <w:color w:val="auto"/>
          <w:szCs w:val="24"/>
        </w:rPr>
        <w:t>by a vote of 2:1</w:t>
      </w:r>
      <w:r w:rsidR="00285147">
        <w:rPr>
          <w:rFonts w:eastAsia="Calibri" w:cs="Times New Roman"/>
          <w:color w:val="auto"/>
          <w:szCs w:val="24"/>
        </w:rPr>
        <w:t xml:space="preserve"> concludes that the condition is not eligible for a Board recommendation</w:t>
      </w:r>
      <w:r w:rsidR="003463CF">
        <w:rPr>
          <w:rFonts w:eastAsia="Calibri" w:cs="Times New Roman"/>
          <w:color w:val="auto"/>
          <w:szCs w:val="24"/>
        </w:rPr>
        <w:t xml:space="preserve">; although, it remains eligible for consideration by </w:t>
      </w:r>
      <w:r w:rsidR="003463CF" w:rsidRPr="0058358D">
        <w:rPr>
          <w:color w:val="auto"/>
        </w:rPr>
        <w:t>the A</w:t>
      </w:r>
      <w:r w:rsidR="007C684B">
        <w:rPr>
          <w:color w:val="auto"/>
        </w:rPr>
        <w:t>BCMR</w:t>
      </w:r>
      <w:r w:rsidR="003463CF">
        <w:rPr>
          <w:color w:val="auto"/>
        </w:rPr>
        <w:t xml:space="preserve">.  </w:t>
      </w:r>
      <w:r w:rsidR="003463CF" w:rsidRPr="003463CF">
        <w:rPr>
          <w:color w:val="auto"/>
        </w:rPr>
        <w:t>The single vo</w:t>
      </w:r>
      <w:r w:rsidR="003463CF">
        <w:rPr>
          <w:color w:val="auto"/>
        </w:rPr>
        <w:t>ter for dissent (who considered the condition to be within the Board’s scope of jurisdiction, but not unfitting or ratable</w:t>
      </w:r>
      <w:r w:rsidR="003463CF" w:rsidRPr="003463CF">
        <w:rPr>
          <w:color w:val="auto"/>
        </w:rPr>
        <w:t>) did not elect to submit a minority opinion.</w:t>
      </w:r>
      <w:r w:rsidR="003463CF">
        <w:rPr>
          <w:rFonts w:eastAsia="Calibri" w:cs="Times New Roman"/>
          <w:color w:val="auto"/>
          <w:szCs w:val="24"/>
        </w:rPr>
        <w:t xml:space="preserve">  </w:t>
      </w:r>
      <w:r w:rsidR="00B55FB5" w:rsidRPr="003471C5">
        <w:rPr>
          <w:rFonts w:eastAsia="Calibri" w:cs="Times New Roman"/>
          <w:color w:val="auto"/>
          <w:szCs w:val="24"/>
        </w:rPr>
        <w:t>There were no other conditions within the Board’s scope of review for consideration.</w:t>
      </w:r>
    </w:p>
    <w:p w:rsidR="00AD2379" w:rsidRPr="009A7578" w:rsidRDefault="00AD2379" w:rsidP="00BF0E94">
      <w:pPr>
        <w:pBdr>
          <w:bottom w:val="single" w:sz="12" w:space="1" w:color="auto"/>
        </w:pBdr>
        <w:tabs>
          <w:tab w:val="left" w:pos="288"/>
          <w:tab w:val="left" w:pos="4752"/>
        </w:tabs>
        <w:jc w:val="both"/>
        <w:rPr>
          <w:color w:val="000000"/>
          <w:highlight w:val="magenta"/>
        </w:rPr>
      </w:pPr>
    </w:p>
    <w:p w:rsidR="00AD2379" w:rsidRPr="009A7578" w:rsidRDefault="00AD2379" w:rsidP="006364ED">
      <w:pPr>
        <w:jc w:val="left"/>
        <w:rPr>
          <w:color w:val="000000"/>
          <w:highlight w:val="magenta"/>
        </w:rPr>
      </w:pPr>
    </w:p>
    <w:p w:rsidR="00565636" w:rsidRPr="003463CF" w:rsidRDefault="00AD2379" w:rsidP="003463CF">
      <w:pPr>
        <w:jc w:val="both"/>
        <w:rPr>
          <w:rFonts w:eastAsia="Calibri" w:cs="Times New Roman"/>
          <w:color w:val="000080"/>
          <w:szCs w:val="24"/>
        </w:rPr>
      </w:pPr>
      <w:r w:rsidRPr="009A7578">
        <w:rPr>
          <w:color w:val="000000"/>
          <w:u w:val="single"/>
        </w:rPr>
        <w:t>RECOMMENDATION</w:t>
      </w:r>
      <w:r w:rsidRPr="009A7578">
        <w:rPr>
          <w:color w:val="000000"/>
        </w:rPr>
        <w:t xml:space="preserve">: </w:t>
      </w:r>
      <w:r w:rsidR="003463CF" w:rsidRPr="00565636">
        <w:rPr>
          <w:rFonts w:eastAsia="Calibri" w:cs="Times New Roman"/>
          <w:color w:val="auto"/>
          <w:szCs w:val="24"/>
        </w:rPr>
        <w:t>The Board recommends that the CI’s prior determination be modified as follows, effective as of the date of his prior medical separation</w:t>
      </w:r>
      <w:r w:rsidR="003463CF">
        <w:rPr>
          <w:rFonts w:eastAsia="Calibri" w:cs="Times New Roman"/>
          <w:color w:val="auto"/>
          <w:szCs w:val="24"/>
        </w:rPr>
        <w:t>:</w:t>
      </w:r>
    </w:p>
    <w:p w:rsidR="00AD2379" w:rsidRPr="001F29F9" w:rsidRDefault="00AD2379" w:rsidP="00B22D42">
      <w:pPr>
        <w:jc w:val="both"/>
        <w:rPr>
          <w:color w:val="000000"/>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68"/>
        <w:gridCol w:w="1530"/>
        <w:gridCol w:w="1026"/>
      </w:tblGrid>
      <w:tr w:rsidR="00AD2379" w:rsidRPr="000D5DBE" w:rsidTr="00C42AED">
        <w:trPr>
          <w:trHeight w:val="233"/>
          <w:jc w:val="center"/>
        </w:trPr>
        <w:tc>
          <w:tcPr>
            <w:tcW w:w="6768" w:type="dxa"/>
            <w:shd w:val="clear" w:color="auto" w:fill="D9D9D9"/>
            <w:vAlign w:val="center"/>
          </w:tcPr>
          <w:p w:rsidR="00AD2379" w:rsidRPr="000D5DBE" w:rsidRDefault="00AD2379" w:rsidP="00BF0E94">
            <w:pPr>
              <w:tabs>
                <w:tab w:val="left" w:pos="288"/>
                <w:tab w:val="left" w:pos="4752"/>
              </w:tabs>
              <w:rPr>
                <w:b/>
                <w:color w:val="000000"/>
              </w:rPr>
            </w:pPr>
            <w:r w:rsidRPr="000D5DBE">
              <w:rPr>
                <w:b/>
                <w:color w:val="000000"/>
              </w:rPr>
              <w:t>UNFITTING CONDITION</w:t>
            </w:r>
          </w:p>
        </w:tc>
        <w:tc>
          <w:tcPr>
            <w:tcW w:w="1530" w:type="dxa"/>
            <w:shd w:val="clear" w:color="auto" w:fill="D9D9D9"/>
            <w:vAlign w:val="center"/>
          </w:tcPr>
          <w:p w:rsidR="00AD2379" w:rsidRPr="000D5DBE" w:rsidRDefault="00AD2379" w:rsidP="00BF0E94">
            <w:pPr>
              <w:tabs>
                <w:tab w:val="left" w:pos="288"/>
                <w:tab w:val="left" w:pos="4752"/>
              </w:tabs>
              <w:rPr>
                <w:b/>
                <w:color w:val="000000"/>
              </w:rPr>
            </w:pPr>
            <w:r w:rsidRPr="000D5DBE">
              <w:rPr>
                <w:b/>
                <w:color w:val="000000"/>
              </w:rPr>
              <w:t>VASRD CODE</w:t>
            </w:r>
          </w:p>
        </w:tc>
        <w:tc>
          <w:tcPr>
            <w:tcW w:w="1026" w:type="dxa"/>
            <w:shd w:val="clear" w:color="auto" w:fill="D9D9D9"/>
            <w:vAlign w:val="center"/>
          </w:tcPr>
          <w:p w:rsidR="00AD2379" w:rsidRPr="000D5DBE" w:rsidRDefault="00AD2379" w:rsidP="00BF0E94">
            <w:pPr>
              <w:tabs>
                <w:tab w:val="left" w:pos="288"/>
                <w:tab w:val="left" w:pos="4752"/>
              </w:tabs>
              <w:rPr>
                <w:b/>
                <w:color w:val="000000"/>
              </w:rPr>
            </w:pPr>
            <w:r w:rsidRPr="000D5DBE">
              <w:rPr>
                <w:b/>
                <w:color w:val="000000"/>
              </w:rPr>
              <w:t>RATING</w:t>
            </w:r>
          </w:p>
        </w:tc>
      </w:tr>
      <w:tr w:rsidR="00AD2379" w:rsidRPr="00CA76B1" w:rsidTr="00C42AED">
        <w:trPr>
          <w:jc w:val="center"/>
        </w:trPr>
        <w:tc>
          <w:tcPr>
            <w:tcW w:w="6768" w:type="dxa"/>
            <w:vAlign w:val="center"/>
          </w:tcPr>
          <w:p w:rsidR="00AD2379" w:rsidRPr="000D5DBE" w:rsidRDefault="00C43E3D" w:rsidP="00BF0E94">
            <w:pPr>
              <w:tabs>
                <w:tab w:val="left" w:pos="288"/>
                <w:tab w:val="left" w:pos="4752"/>
              </w:tabs>
              <w:jc w:val="left"/>
              <w:rPr>
                <w:color w:val="000000"/>
              </w:rPr>
            </w:pPr>
            <w:r>
              <w:rPr>
                <w:color w:val="000000"/>
              </w:rPr>
              <w:t>Surgical Residuals, Left Shoulder</w:t>
            </w:r>
          </w:p>
        </w:tc>
        <w:tc>
          <w:tcPr>
            <w:tcW w:w="1530" w:type="dxa"/>
            <w:vAlign w:val="center"/>
          </w:tcPr>
          <w:p w:rsidR="00AD2379" w:rsidRPr="00CA76B1" w:rsidRDefault="00C43E3D" w:rsidP="00BF0E94">
            <w:pPr>
              <w:tabs>
                <w:tab w:val="left" w:pos="288"/>
                <w:tab w:val="left" w:pos="4752"/>
              </w:tabs>
              <w:rPr>
                <w:color w:val="000000"/>
              </w:rPr>
            </w:pPr>
            <w:r w:rsidRPr="00CA76B1">
              <w:rPr>
                <w:color w:val="000000"/>
              </w:rPr>
              <w:t>5201</w:t>
            </w:r>
          </w:p>
        </w:tc>
        <w:tc>
          <w:tcPr>
            <w:tcW w:w="1026" w:type="dxa"/>
            <w:vAlign w:val="center"/>
          </w:tcPr>
          <w:p w:rsidR="00AD2379" w:rsidRPr="00CA76B1" w:rsidRDefault="00C43E3D" w:rsidP="00BF0E94">
            <w:pPr>
              <w:tabs>
                <w:tab w:val="left" w:pos="288"/>
                <w:tab w:val="left" w:pos="4752"/>
              </w:tabs>
              <w:rPr>
                <w:color w:val="000000"/>
              </w:rPr>
            </w:pPr>
            <w:r w:rsidRPr="00CA76B1">
              <w:rPr>
                <w:color w:val="000000"/>
              </w:rPr>
              <w:t>2</w:t>
            </w:r>
            <w:r w:rsidR="00AD2379" w:rsidRPr="00CA76B1">
              <w:rPr>
                <w:color w:val="000000"/>
              </w:rPr>
              <w:t>0%</w:t>
            </w:r>
          </w:p>
        </w:tc>
      </w:tr>
      <w:tr w:rsidR="00AD2379" w:rsidRPr="00CA76B1" w:rsidTr="00CA76B1">
        <w:tblPrEx>
          <w:tblLook w:val="0000"/>
        </w:tblPrEx>
        <w:trPr>
          <w:gridBefore w:val="1"/>
          <w:wBefore w:w="6768" w:type="dxa"/>
          <w:trHeight w:val="152"/>
          <w:jc w:val="center"/>
        </w:trPr>
        <w:tc>
          <w:tcPr>
            <w:tcW w:w="1530" w:type="dxa"/>
            <w:tcBorders>
              <w:left w:val="single" w:sz="4" w:space="0" w:color="auto"/>
            </w:tcBorders>
            <w:shd w:val="clear" w:color="auto" w:fill="D9D9D9"/>
            <w:vAlign w:val="center"/>
          </w:tcPr>
          <w:p w:rsidR="00AD2379" w:rsidRPr="00CA76B1" w:rsidRDefault="00AD2379" w:rsidP="00BF0E94">
            <w:pPr>
              <w:tabs>
                <w:tab w:val="left" w:pos="288"/>
                <w:tab w:val="left" w:pos="4752"/>
              </w:tabs>
              <w:rPr>
                <w:b/>
                <w:color w:val="000000"/>
              </w:rPr>
            </w:pPr>
            <w:r w:rsidRPr="00CA76B1">
              <w:rPr>
                <w:b/>
                <w:color w:val="000000"/>
              </w:rPr>
              <w:t>COMBINED</w:t>
            </w:r>
          </w:p>
        </w:tc>
        <w:tc>
          <w:tcPr>
            <w:tcW w:w="1026" w:type="dxa"/>
            <w:shd w:val="clear" w:color="auto" w:fill="D9D9D9" w:themeFill="background1" w:themeFillShade="D9"/>
            <w:vAlign w:val="center"/>
          </w:tcPr>
          <w:p w:rsidR="00AD2379" w:rsidRPr="00CA76B1" w:rsidRDefault="00CA76B1" w:rsidP="00BF0E94">
            <w:pPr>
              <w:tabs>
                <w:tab w:val="left" w:pos="288"/>
                <w:tab w:val="left" w:pos="4752"/>
              </w:tabs>
              <w:rPr>
                <w:b/>
                <w:color w:val="000000"/>
              </w:rPr>
            </w:pPr>
            <w:r w:rsidRPr="00CA76B1">
              <w:rPr>
                <w:b/>
                <w:color w:val="000000"/>
              </w:rPr>
              <w:t>2</w:t>
            </w:r>
            <w:r w:rsidR="00C43E3D" w:rsidRPr="00CA76B1">
              <w:rPr>
                <w:b/>
                <w:color w:val="000000"/>
              </w:rPr>
              <w:t>0</w:t>
            </w:r>
            <w:r w:rsidR="00AD2379" w:rsidRPr="00CA76B1">
              <w:rPr>
                <w:b/>
                <w:color w:val="000000"/>
              </w:rPr>
              <w:t>%</w:t>
            </w:r>
          </w:p>
        </w:tc>
      </w:tr>
    </w:tbl>
    <w:p w:rsidR="00AD2379" w:rsidRPr="001F29F9" w:rsidRDefault="00AD2379" w:rsidP="00BF0E94">
      <w:pPr>
        <w:pBdr>
          <w:bottom w:val="single" w:sz="12" w:space="1" w:color="auto"/>
        </w:pBdr>
        <w:tabs>
          <w:tab w:val="left" w:pos="288"/>
          <w:tab w:val="left" w:pos="4752"/>
        </w:tabs>
        <w:jc w:val="both"/>
        <w:rPr>
          <w:color w:val="000000"/>
        </w:rPr>
      </w:pPr>
    </w:p>
    <w:p w:rsidR="00AD2379" w:rsidRPr="001F29F9" w:rsidRDefault="00AD2379" w:rsidP="00BF0E94">
      <w:pPr>
        <w:rPr>
          <w:color w:val="000000"/>
        </w:rPr>
      </w:pPr>
    </w:p>
    <w:p w:rsidR="00AD2379" w:rsidRDefault="00AD2379" w:rsidP="00BF0E94">
      <w:pPr>
        <w:tabs>
          <w:tab w:val="left" w:pos="288"/>
          <w:tab w:val="left" w:pos="4752"/>
        </w:tabs>
        <w:jc w:val="both"/>
        <w:rPr>
          <w:color w:val="000000"/>
        </w:rPr>
      </w:pPr>
      <w:r w:rsidRPr="001F29F9">
        <w:rPr>
          <w:color w:val="000000"/>
        </w:rPr>
        <w:t>The following documentary evidence was considered:</w:t>
      </w:r>
    </w:p>
    <w:p w:rsidR="005144A7" w:rsidRPr="001F29F9" w:rsidRDefault="005144A7" w:rsidP="00BF0E94">
      <w:pPr>
        <w:tabs>
          <w:tab w:val="left" w:pos="288"/>
          <w:tab w:val="left" w:pos="4752"/>
        </w:tabs>
        <w:jc w:val="both"/>
        <w:rPr>
          <w:color w:val="000000"/>
        </w:rPr>
      </w:pPr>
    </w:p>
    <w:p w:rsidR="00AD2379" w:rsidRPr="001F29F9" w:rsidRDefault="00AD2379" w:rsidP="005144A7">
      <w:pPr>
        <w:tabs>
          <w:tab w:val="left" w:pos="288"/>
          <w:tab w:val="left" w:pos="4752"/>
        </w:tabs>
        <w:jc w:val="both"/>
        <w:rPr>
          <w:color w:val="000000"/>
        </w:rPr>
      </w:pPr>
      <w:r w:rsidRPr="001F29F9">
        <w:rPr>
          <w:color w:val="000000"/>
        </w:rPr>
        <w:t xml:space="preserve">Exhibit A.  DD Form 294, dated </w:t>
      </w:r>
      <w:r w:rsidR="00FD4988" w:rsidRPr="001F29F9">
        <w:rPr>
          <w:color w:val="000000" w:themeColor="text1"/>
          <w:szCs w:val="24"/>
        </w:rPr>
        <w:t>201</w:t>
      </w:r>
      <w:r w:rsidR="00FD4988">
        <w:rPr>
          <w:color w:val="000000" w:themeColor="text1"/>
          <w:szCs w:val="24"/>
        </w:rPr>
        <w:t>10516</w:t>
      </w:r>
      <w:r w:rsidRPr="001F29F9">
        <w:rPr>
          <w:color w:val="000000"/>
        </w:rPr>
        <w:t>, w/atchs.</w:t>
      </w:r>
    </w:p>
    <w:p w:rsidR="00AD2379" w:rsidRPr="001F29F9" w:rsidRDefault="00AD2379" w:rsidP="005144A7">
      <w:pPr>
        <w:tabs>
          <w:tab w:val="left" w:pos="288"/>
          <w:tab w:val="left" w:pos="4752"/>
        </w:tabs>
        <w:jc w:val="both"/>
        <w:rPr>
          <w:color w:val="000000"/>
        </w:rPr>
      </w:pPr>
      <w:r w:rsidRPr="001F29F9">
        <w:rPr>
          <w:color w:val="000000"/>
        </w:rPr>
        <w:lastRenderedPageBreak/>
        <w:t>Exhibit B.  Service Treatment Record.</w:t>
      </w:r>
    </w:p>
    <w:p w:rsidR="00AD2379" w:rsidRPr="001F29F9" w:rsidRDefault="00AD2379" w:rsidP="005144A7">
      <w:pPr>
        <w:tabs>
          <w:tab w:val="left" w:pos="288"/>
          <w:tab w:val="left" w:pos="4752"/>
        </w:tabs>
        <w:jc w:val="both"/>
        <w:rPr>
          <w:color w:val="000000"/>
        </w:rPr>
      </w:pPr>
      <w:r w:rsidRPr="001F29F9">
        <w:rPr>
          <w:color w:val="000000"/>
        </w:rPr>
        <w:t>Exhibit C.  Department of Veterans Affairs Treatment Record.</w:t>
      </w: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0"/>
          <w:tab w:val="left" w:pos="4320"/>
        </w:tabs>
        <w:jc w:val="both"/>
        <w:rPr>
          <w:color w:val="000000"/>
        </w:rPr>
      </w:pPr>
      <w:r w:rsidRPr="001F29F9">
        <w:rPr>
          <w:color w:val="000000"/>
        </w:rPr>
        <w:tab/>
        <w:t xml:space="preserve">           </w:t>
      </w:r>
      <w:r w:rsidR="00370F07">
        <w:rPr>
          <w:color w:val="000000"/>
        </w:rPr>
        <w:t>XXXXXXXXX</w:t>
      </w:r>
    </w:p>
    <w:p w:rsidR="00AD2379" w:rsidRPr="001F29F9" w:rsidRDefault="00AD2379" w:rsidP="00BF0E94">
      <w:pPr>
        <w:tabs>
          <w:tab w:val="left" w:pos="0"/>
          <w:tab w:val="left" w:pos="4320"/>
        </w:tabs>
        <w:jc w:val="both"/>
        <w:rPr>
          <w:color w:val="000000"/>
        </w:rPr>
      </w:pPr>
      <w:r w:rsidRPr="001F29F9">
        <w:rPr>
          <w:color w:val="000000"/>
        </w:rPr>
        <w:tab/>
        <w:t xml:space="preserve">           President</w:t>
      </w:r>
    </w:p>
    <w:p w:rsidR="00370F07" w:rsidRDefault="00AD2379" w:rsidP="003463CF">
      <w:pPr>
        <w:tabs>
          <w:tab w:val="left" w:pos="0"/>
          <w:tab w:val="left" w:pos="4320"/>
        </w:tabs>
        <w:jc w:val="both"/>
        <w:rPr>
          <w:color w:val="000000"/>
        </w:rPr>
      </w:pPr>
      <w:r w:rsidRPr="001F29F9">
        <w:rPr>
          <w:color w:val="000000"/>
        </w:rPr>
        <w:tab/>
        <w:t xml:space="preserve">           Physical Disability Board of Review</w:t>
      </w:r>
    </w:p>
    <w:p w:rsidR="00370F07" w:rsidRDefault="00370F07" w:rsidP="00370F07">
      <w:pPr>
        <w:sectPr w:rsidR="00370F07">
          <w:pgSz w:w="12240" w:h="15840"/>
          <w:pgMar w:top="2160" w:right="1440" w:bottom="1440" w:left="1440" w:header="720" w:footer="720" w:gutter="0"/>
          <w:cols w:space="720"/>
        </w:sectPr>
      </w:pPr>
    </w:p>
    <w:p w:rsidR="00370F07" w:rsidRDefault="00370F07" w:rsidP="00370F07">
      <w:pPr>
        <w:pStyle w:val="Header"/>
        <w:tabs>
          <w:tab w:val="left" w:pos="720"/>
        </w:tabs>
        <w:jc w:val="left"/>
      </w:pPr>
      <w:r>
        <w:lastRenderedPageBreak/>
        <w:t>SFMR-RB</w:t>
      </w:r>
      <w:r>
        <w:tab/>
      </w:r>
      <w:r>
        <w:tab/>
      </w:r>
      <w:r>
        <w:tab/>
      </w:r>
      <w:r>
        <w:tab/>
      </w:r>
      <w:r>
        <w:tab/>
      </w:r>
      <w:r>
        <w:tab/>
      </w:r>
      <w:r>
        <w:tab/>
      </w:r>
      <w:r>
        <w:tab/>
      </w:r>
      <w:r>
        <w:tab/>
      </w:r>
    </w:p>
    <w:p w:rsidR="00370F07" w:rsidRDefault="00370F07" w:rsidP="00370F07">
      <w:pPr>
        <w:pStyle w:val="Header"/>
        <w:tabs>
          <w:tab w:val="left" w:pos="720"/>
        </w:tabs>
        <w:jc w:val="left"/>
      </w:pPr>
    </w:p>
    <w:p w:rsidR="00370F07" w:rsidRDefault="00370F07" w:rsidP="00370F07">
      <w:pPr>
        <w:jc w:val="left"/>
      </w:pPr>
    </w:p>
    <w:p w:rsidR="00370F07" w:rsidRDefault="00370F07" w:rsidP="00370F07">
      <w:pPr>
        <w:jc w:val="left"/>
      </w:pPr>
      <w:r>
        <w:t xml:space="preserve">MEMORANDUM FOR Commander, US Army Physical Disability Agency </w:t>
      </w:r>
    </w:p>
    <w:p w:rsidR="00370F07" w:rsidRDefault="00370F07" w:rsidP="00370F07">
      <w:pPr>
        <w:jc w:val="left"/>
      </w:pPr>
      <w:r>
        <w:t xml:space="preserve">(TAPD-ZB </w:t>
      </w:r>
      <w:proofErr w:type="gramStart"/>
      <w:r>
        <w:t>/  )</w:t>
      </w:r>
      <w:proofErr w:type="gramEnd"/>
      <w:r>
        <w:t>, 2900 Crystal Drive, Suite 300, Arlington, VA  22202</w:t>
      </w:r>
    </w:p>
    <w:p w:rsidR="00370F07" w:rsidRDefault="00370F07" w:rsidP="00370F07">
      <w:pPr>
        <w:jc w:val="left"/>
      </w:pPr>
    </w:p>
    <w:p w:rsidR="00370F07" w:rsidRDefault="00370F07" w:rsidP="00370F07">
      <w:pPr>
        <w:ind w:right="-180"/>
        <w:jc w:val="left"/>
      </w:pPr>
      <w:r>
        <w:t xml:space="preserve">SUBJECT:  Department of Defense Physical Disability Board of Review Recommendation </w:t>
      </w:r>
    </w:p>
    <w:p w:rsidR="00370F07" w:rsidRDefault="00370F07" w:rsidP="00370F07">
      <w:pPr>
        <w:pStyle w:val="Header"/>
        <w:tabs>
          <w:tab w:val="left" w:pos="720"/>
        </w:tabs>
        <w:jc w:val="left"/>
      </w:pPr>
      <w:proofErr w:type="gramStart"/>
      <w:r>
        <w:t>for</w:t>
      </w:r>
      <w:proofErr w:type="gramEnd"/>
      <w:r>
        <w:t xml:space="preserve"> XXXXXXXXXXX, AR20120009750 (PD201100416)</w:t>
      </w:r>
    </w:p>
    <w:p w:rsidR="00370F07" w:rsidRDefault="00370F07" w:rsidP="00370F07">
      <w:pPr>
        <w:pStyle w:val="Header"/>
        <w:tabs>
          <w:tab w:val="left" w:pos="720"/>
        </w:tabs>
        <w:jc w:val="left"/>
      </w:pPr>
    </w:p>
    <w:p w:rsidR="00370F07" w:rsidRDefault="00370F07" w:rsidP="00370F07">
      <w:pPr>
        <w:jc w:val="left"/>
      </w:pPr>
    </w:p>
    <w:p w:rsidR="00370F07" w:rsidRDefault="00370F07" w:rsidP="00370F07">
      <w:pPr>
        <w:jc w:val="left"/>
      </w:pPr>
      <w:r>
        <w:t>1.  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to modify the individual’s disability rating to 20% without </w:t>
      </w:r>
      <w:proofErr w:type="spellStart"/>
      <w:r>
        <w:t>recharacterization</w:t>
      </w:r>
      <w:proofErr w:type="spellEnd"/>
      <w:r>
        <w:t xml:space="preserve"> of the individual’s separation.  This decision is final.  </w:t>
      </w:r>
    </w:p>
    <w:p w:rsidR="00370F07" w:rsidRDefault="00370F07" w:rsidP="00370F07">
      <w:pPr>
        <w:jc w:val="left"/>
      </w:pPr>
    </w:p>
    <w:p w:rsidR="00370F07" w:rsidRDefault="00370F07" w:rsidP="00370F07">
      <w:pPr>
        <w:jc w:val="left"/>
      </w:pPr>
      <w:r>
        <w:t xml:space="preserve">2.  I direct that all the Department of the Army records of the individual concerned be corrected accordingly no later than 120 days from the date of this memorandum.   </w:t>
      </w:r>
    </w:p>
    <w:p w:rsidR="00370F07" w:rsidRDefault="00370F07" w:rsidP="00370F07">
      <w:pPr>
        <w:jc w:val="left"/>
      </w:pPr>
    </w:p>
    <w:p w:rsidR="00370F07" w:rsidRDefault="00370F07" w:rsidP="00370F07">
      <w:pPr>
        <w:jc w:val="left"/>
      </w:pPr>
      <w: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370F07" w:rsidRDefault="00370F07" w:rsidP="00370F07">
      <w:pPr>
        <w:jc w:val="left"/>
      </w:pPr>
    </w:p>
    <w:p w:rsidR="00370F07" w:rsidRDefault="00370F07" w:rsidP="00370F07">
      <w:pPr>
        <w:jc w:val="left"/>
      </w:pPr>
      <w:r>
        <w:t xml:space="preserve"> BY ORDER OF THE SECRETARY OF THE ARMY:</w:t>
      </w:r>
    </w:p>
    <w:p w:rsidR="00370F07" w:rsidRDefault="00370F07" w:rsidP="00370F07">
      <w:pPr>
        <w:jc w:val="left"/>
      </w:pPr>
    </w:p>
    <w:p w:rsidR="00370F07" w:rsidRDefault="00370F07" w:rsidP="00370F07">
      <w:pPr>
        <w:jc w:val="left"/>
      </w:pPr>
    </w:p>
    <w:p w:rsidR="00370F07" w:rsidRDefault="00370F07" w:rsidP="00370F07">
      <w:pPr>
        <w:pStyle w:val="Header"/>
        <w:tabs>
          <w:tab w:val="left" w:pos="720"/>
        </w:tabs>
        <w:jc w:val="left"/>
      </w:pPr>
    </w:p>
    <w:p w:rsidR="00370F07" w:rsidRDefault="00370F07" w:rsidP="00370F07">
      <w:pPr>
        <w:jc w:val="left"/>
      </w:pPr>
    </w:p>
    <w:p w:rsidR="00370F07" w:rsidRDefault="00370F07" w:rsidP="00370F07">
      <w:pPr>
        <w:jc w:val="left"/>
      </w:pPr>
      <w:bookmarkStart w:id="0" w:name="OLE_LINK4"/>
      <w:bookmarkStart w:id="1" w:name="OLE_LINK3"/>
      <w:r>
        <w:t>Encl</w:t>
      </w:r>
      <w:r>
        <w:tab/>
      </w:r>
      <w:r>
        <w:tab/>
      </w:r>
      <w:r>
        <w:tab/>
      </w:r>
      <w:r>
        <w:tab/>
      </w:r>
      <w:r>
        <w:tab/>
      </w:r>
      <w:r>
        <w:tab/>
        <w:t xml:space="preserve">     XXXXXXXXXX</w:t>
      </w:r>
    </w:p>
    <w:p w:rsidR="00370F07" w:rsidRDefault="00370F07" w:rsidP="00370F07">
      <w:pPr>
        <w:jc w:val="left"/>
      </w:pPr>
      <w:r>
        <w:tab/>
      </w:r>
      <w:r>
        <w:tab/>
      </w:r>
      <w:r>
        <w:tab/>
      </w:r>
      <w:r>
        <w:tab/>
      </w:r>
      <w:r>
        <w:tab/>
      </w:r>
      <w:r>
        <w:tab/>
        <w:t xml:space="preserve">     Deputy Assistant Secretary</w:t>
      </w:r>
    </w:p>
    <w:p w:rsidR="00370F07" w:rsidRDefault="00370F07" w:rsidP="00370F07">
      <w:pPr>
        <w:jc w:val="left"/>
      </w:pPr>
      <w:r>
        <w:tab/>
      </w:r>
      <w:r>
        <w:tab/>
      </w:r>
      <w:r>
        <w:tab/>
      </w:r>
      <w:r>
        <w:tab/>
      </w:r>
      <w:r>
        <w:tab/>
      </w:r>
      <w:r>
        <w:tab/>
        <w:t xml:space="preserve">         (Army Review Boards)</w:t>
      </w:r>
      <w:bookmarkEnd w:id="0"/>
      <w:bookmarkEnd w:id="1"/>
    </w:p>
    <w:p w:rsidR="00370F07" w:rsidRDefault="00370F07" w:rsidP="00370F07">
      <w:pPr>
        <w:jc w:val="left"/>
      </w:pPr>
    </w:p>
    <w:p w:rsidR="00370F07" w:rsidRDefault="00370F07" w:rsidP="00370F07">
      <w:pPr>
        <w:jc w:val="left"/>
      </w:pPr>
      <w:r>
        <w:t xml:space="preserve">CF: </w:t>
      </w:r>
    </w:p>
    <w:p w:rsidR="00370F07" w:rsidRDefault="00370F07" w:rsidP="00370F07">
      <w:pPr>
        <w:jc w:val="left"/>
      </w:pPr>
      <w:r>
        <w:t xml:space="preserve">(  ) </w:t>
      </w:r>
      <w:proofErr w:type="spellStart"/>
      <w:proofErr w:type="gramStart"/>
      <w:r>
        <w:t>DoD</w:t>
      </w:r>
      <w:proofErr w:type="spellEnd"/>
      <w:proofErr w:type="gramEnd"/>
      <w:r>
        <w:t xml:space="preserve"> PDBR</w:t>
      </w:r>
    </w:p>
    <w:p w:rsidR="00370F07" w:rsidRDefault="00370F07" w:rsidP="00370F07">
      <w:pPr>
        <w:jc w:val="left"/>
      </w:pPr>
      <w:r>
        <w:t>(  ) DVA</w:t>
      </w:r>
    </w:p>
    <w:p w:rsidR="00370F07" w:rsidRDefault="00370F07">
      <w:pPr>
        <w:spacing w:line="240" w:lineRule="auto"/>
        <w:jc w:val="left"/>
        <w:rPr>
          <w:color w:val="000000"/>
        </w:rPr>
      </w:pPr>
    </w:p>
    <w:p w:rsidR="00FE7EB9" w:rsidRPr="003463CF" w:rsidRDefault="00FE7EB9" w:rsidP="003463CF">
      <w:pPr>
        <w:tabs>
          <w:tab w:val="left" w:pos="0"/>
          <w:tab w:val="left" w:pos="4320"/>
        </w:tabs>
        <w:jc w:val="both"/>
        <w:rPr>
          <w:rFonts w:ascii="Times New Roman" w:hAnsi="Times New Roman" w:cs="Times New Roman"/>
          <w:color w:val="auto"/>
          <w:sz w:val="20"/>
        </w:rPr>
      </w:pPr>
    </w:p>
    <w:sectPr w:rsidR="00FE7EB9" w:rsidRPr="003463CF" w:rsidSect="00726F84">
      <w:footerReference w:type="default" r:id="rId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8D" w:rsidRDefault="0000008D">
      <w:r>
        <w:separator/>
      </w:r>
    </w:p>
  </w:endnote>
  <w:endnote w:type="continuationSeparator" w:id="0">
    <w:p w:rsidR="0000008D" w:rsidRDefault="000000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379" w:rsidRPr="00374247" w:rsidRDefault="00AD2379" w:rsidP="00726F84">
    <w:pPr>
      <w:pStyle w:val="Footer"/>
      <w:ind w:firstLine="4320"/>
      <w:rPr>
        <w:color w:val="auto"/>
      </w:rPr>
    </w:pPr>
    <w:r w:rsidRPr="00374247">
      <w:rPr>
        <w:color w:val="auto"/>
      </w:rPr>
      <w:t xml:space="preserve">   </w:t>
    </w:r>
    <w:fldSimple w:instr=" PAGE   \* MERGEFORMAT ">
      <w:r w:rsidR="00370F07" w:rsidRPr="00370F07">
        <w:rPr>
          <w:noProof/>
          <w:color w:val="auto"/>
        </w:rPr>
        <w:t>5</w:t>
      </w:r>
    </w:fldSimple>
    <w:r w:rsidRPr="00374247">
      <w:rPr>
        <w:color w:val="auto"/>
      </w:rPr>
      <w:t xml:space="preserve">                                                           </w:t>
    </w:r>
    <w:r w:rsidRPr="001D64F3">
      <w:rPr>
        <w:color w:val="auto"/>
      </w:rPr>
      <w:t>PD1</w:t>
    </w:r>
    <w:r w:rsidRPr="009369A6">
      <w:rPr>
        <w:color w:val="auto"/>
      </w:rPr>
      <w:t>100</w:t>
    </w:r>
    <w:r w:rsidR="007C684B">
      <w:rPr>
        <w:color w:val="auto"/>
      </w:rPr>
      <w:t>416</w:t>
    </w:r>
  </w:p>
  <w:p w:rsidR="00AD2379" w:rsidRPr="00684CE6" w:rsidRDefault="00AD2379">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8D" w:rsidRDefault="0000008D">
      <w:r>
        <w:separator/>
      </w:r>
    </w:p>
  </w:footnote>
  <w:footnote w:type="continuationSeparator" w:id="0">
    <w:p w:rsidR="0000008D" w:rsidRDefault="000000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4"/>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rsids>
    <w:rsidRoot w:val="001C28D1"/>
    <w:rsid w:val="0000008D"/>
    <w:rsid w:val="000024F5"/>
    <w:rsid w:val="000059FA"/>
    <w:rsid w:val="00006186"/>
    <w:rsid w:val="00006F87"/>
    <w:rsid w:val="00007107"/>
    <w:rsid w:val="00007BCC"/>
    <w:rsid w:val="00010ABA"/>
    <w:rsid w:val="00010AF0"/>
    <w:rsid w:val="00010B0F"/>
    <w:rsid w:val="00012428"/>
    <w:rsid w:val="00012733"/>
    <w:rsid w:val="00013417"/>
    <w:rsid w:val="000145C2"/>
    <w:rsid w:val="0001473F"/>
    <w:rsid w:val="00014A47"/>
    <w:rsid w:val="00014A9E"/>
    <w:rsid w:val="00017778"/>
    <w:rsid w:val="00020941"/>
    <w:rsid w:val="00021361"/>
    <w:rsid w:val="00022CF3"/>
    <w:rsid w:val="00023913"/>
    <w:rsid w:val="00023D43"/>
    <w:rsid w:val="00024002"/>
    <w:rsid w:val="00024DE7"/>
    <w:rsid w:val="00026092"/>
    <w:rsid w:val="0002667F"/>
    <w:rsid w:val="00030776"/>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1F89"/>
    <w:rsid w:val="00052234"/>
    <w:rsid w:val="00053D7C"/>
    <w:rsid w:val="000575C5"/>
    <w:rsid w:val="000577C9"/>
    <w:rsid w:val="00060C18"/>
    <w:rsid w:val="00060FFD"/>
    <w:rsid w:val="00061D69"/>
    <w:rsid w:val="0006431E"/>
    <w:rsid w:val="0006522D"/>
    <w:rsid w:val="000652EA"/>
    <w:rsid w:val="00065E21"/>
    <w:rsid w:val="000673ED"/>
    <w:rsid w:val="0006741D"/>
    <w:rsid w:val="00067854"/>
    <w:rsid w:val="00070DED"/>
    <w:rsid w:val="00071071"/>
    <w:rsid w:val="00072433"/>
    <w:rsid w:val="00072B3E"/>
    <w:rsid w:val="0007488B"/>
    <w:rsid w:val="00075702"/>
    <w:rsid w:val="00075A0C"/>
    <w:rsid w:val="000775C2"/>
    <w:rsid w:val="00077835"/>
    <w:rsid w:val="000801EF"/>
    <w:rsid w:val="000806AD"/>
    <w:rsid w:val="00080BDF"/>
    <w:rsid w:val="00080C57"/>
    <w:rsid w:val="00082482"/>
    <w:rsid w:val="00082CA0"/>
    <w:rsid w:val="00083F73"/>
    <w:rsid w:val="00084CF2"/>
    <w:rsid w:val="00085D7B"/>
    <w:rsid w:val="0008708B"/>
    <w:rsid w:val="00092619"/>
    <w:rsid w:val="00092C66"/>
    <w:rsid w:val="00092CC9"/>
    <w:rsid w:val="000949DD"/>
    <w:rsid w:val="00094E4F"/>
    <w:rsid w:val="00097B9B"/>
    <w:rsid w:val="000A2BCE"/>
    <w:rsid w:val="000A31E2"/>
    <w:rsid w:val="000A33C8"/>
    <w:rsid w:val="000A41E3"/>
    <w:rsid w:val="000A48E3"/>
    <w:rsid w:val="000A4BBA"/>
    <w:rsid w:val="000A5071"/>
    <w:rsid w:val="000B0AD2"/>
    <w:rsid w:val="000B1022"/>
    <w:rsid w:val="000B2FB8"/>
    <w:rsid w:val="000B471C"/>
    <w:rsid w:val="000B4C99"/>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5DBE"/>
    <w:rsid w:val="000D6457"/>
    <w:rsid w:val="000D7D55"/>
    <w:rsid w:val="000E0993"/>
    <w:rsid w:val="000E2E50"/>
    <w:rsid w:val="000E37E0"/>
    <w:rsid w:val="000E3F20"/>
    <w:rsid w:val="000E4C25"/>
    <w:rsid w:val="000E4CBF"/>
    <w:rsid w:val="000E5577"/>
    <w:rsid w:val="000E7034"/>
    <w:rsid w:val="000F02BE"/>
    <w:rsid w:val="000F0928"/>
    <w:rsid w:val="000F0B3D"/>
    <w:rsid w:val="000F1E65"/>
    <w:rsid w:val="000F2F2B"/>
    <w:rsid w:val="000F427B"/>
    <w:rsid w:val="000F43D0"/>
    <w:rsid w:val="000F4F18"/>
    <w:rsid w:val="000F688E"/>
    <w:rsid w:val="000F7181"/>
    <w:rsid w:val="000F7581"/>
    <w:rsid w:val="001007CE"/>
    <w:rsid w:val="001008C1"/>
    <w:rsid w:val="001023DB"/>
    <w:rsid w:val="00102B8D"/>
    <w:rsid w:val="00103151"/>
    <w:rsid w:val="001031F4"/>
    <w:rsid w:val="00103948"/>
    <w:rsid w:val="00103CCF"/>
    <w:rsid w:val="0010417F"/>
    <w:rsid w:val="001042D2"/>
    <w:rsid w:val="0010530E"/>
    <w:rsid w:val="001058BF"/>
    <w:rsid w:val="00105C07"/>
    <w:rsid w:val="00106920"/>
    <w:rsid w:val="00106AD8"/>
    <w:rsid w:val="001078DB"/>
    <w:rsid w:val="001079FA"/>
    <w:rsid w:val="00107EC5"/>
    <w:rsid w:val="001103CD"/>
    <w:rsid w:val="00111D3F"/>
    <w:rsid w:val="00113D2A"/>
    <w:rsid w:val="00114F20"/>
    <w:rsid w:val="0011590B"/>
    <w:rsid w:val="00117C98"/>
    <w:rsid w:val="001211AF"/>
    <w:rsid w:val="001215DF"/>
    <w:rsid w:val="001219DF"/>
    <w:rsid w:val="0012220B"/>
    <w:rsid w:val="00122ABE"/>
    <w:rsid w:val="001231DC"/>
    <w:rsid w:val="0012453A"/>
    <w:rsid w:val="0012489B"/>
    <w:rsid w:val="00125092"/>
    <w:rsid w:val="001272AE"/>
    <w:rsid w:val="00130756"/>
    <w:rsid w:val="001315DD"/>
    <w:rsid w:val="0013525F"/>
    <w:rsid w:val="00135385"/>
    <w:rsid w:val="00136204"/>
    <w:rsid w:val="001364D1"/>
    <w:rsid w:val="001374C7"/>
    <w:rsid w:val="00140FA4"/>
    <w:rsid w:val="00141BC9"/>
    <w:rsid w:val="001421FD"/>
    <w:rsid w:val="001425C8"/>
    <w:rsid w:val="00142EBA"/>
    <w:rsid w:val="00143AC7"/>
    <w:rsid w:val="00143B79"/>
    <w:rsid w:val="00145965"/>
    <w:rsid w:val="00150B8A"/>
    <w:rsid w:val="00150DCB"/>
    <w:rsid w:val="00151912"/>
    <w:rsid w:val="00152466"/>
    <w:rsid w:val="00153740"/>
    <w:rsid w:val="001537D8"/>
    <w:rsid w:val="00153D88"/>
    <w:rsid w:val="001541C5"/>
    <w:rsid w:val="001554E4"/>
    <w:rsid w:val="0015623F"/>
    <w:rsid w:val="00156585"/>
    <w:rsid w:val="00156BA9"/>
    <w:rsid w:val="00161642"/>
    <w:rsid w:val="00161761"/>
    <w:rsid w:val="00164413"/>
    <w:rsid w:val="00166182"/>
    <w:rsid w:val="0016707C"/>
    <w:rsid w:val="0017038B"/>
    <w:rsid w:val="00170C94"/>
    <w:rsid w:val="0017139A"/>
    <w:rsid w:val="001724C8"/>
    <w:rsid w:val="001732C4"/>
    <w:rsid w:val="001745DD"/>
    <w:rsid w:val="00174FDE"/>
    <w:rsid w:val="00174FE3"/>
    <w:rsid w:val="00176D63"/>
    <w:rsid w:val="00177659"/>
    <w:rsid w:val="001779E5"/>
    <w:rsid w:val="00180826"/>
    <w:rsid w:val="00181240"/>
    <w:rsid w:val="0018154D"/>
    <w:rsid w:val="00182A4C"/>
    <w:rsid w:val="00182F4C"/>
    <w:rsid w:val="00183F77"/>
    <w:rsid w:val="00183FB3"/>
    <w:rsid w:val="001844D8"/>
    <w:rsid w:val="00185DA8"/>
    <w:rsid w:val="00185ECB"/>
    <w:rsid w:val="001865E0"/>
    <w:rsid w:val="001870F0"/>
    <w:rsid w:val="00190E48"/>
    <w:rsid w:val="0019114B"/>
    <w:rsid w:val="00192392"/>
    <w:rsid w:val="0019273F"/>
    <w:rsid w:val="00193814"/>
    <w:rsid w:val="00193AAB"/>
    <w:rsid w:val="00193AD5"/>
    <w:rsid w:val="00193BAF"/>
    <w:rsid w:val="00194930"/>
    <w:rsid w:val="00195AAC"/>
    <w:rsid w:val="001968BB"/>
    <w:rsid w:val="001A025E"/>
    <w:rsid w:val="001A08CD"/>
    <w:rsid w:val="001A0A1E"/>
    <w:rsid w:val="001A2182"/>
    <w:rsid w:val="001A323E"/>
    <w:rsid w:val="001A5320"/>
    <w:rsid w:val="001A5E62"/>
    <w:rsid w:val="001A6710"/>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4989"/>
    <w:rsid w:val="001E635C"/>
    <w:rsid w:val="001E6A77"/>
    <w:rsid w:val="001F0297"/>
    <w:rsid w:val="001F29F9"/>
    <w:rsid w:val="001F6E0B"/>
    <w:rsid w:val="00200AA0"/>
    <w:rsid w:val="00202325"/>
    <w:rsid w:val="00202459"/>
    <w:rsid w:val="00202736"/>
    <w:rsid w:val="00202D1C"/>
    <w:rsid w:val="00203652"/>
    <w:rsid w:val="00204562"/>
    <w:rsid w:val="00205B4F"/>
    <w:rsid w:val="002060B6"/>
    <w:rsid w:val="002066B5"/>
    <w:rsid w:val="00210EAC"/>
    <w:rsid w:val="00211612"/>
    <w:rsid w:val="002119B6"/>
    <w:rsid w:val="00212389"/>
    <w:rsid w:val="002129C1"/>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1A21"/>
    <w:rsid w:val="00231F29"/>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4AE8"/>
    <w:rsid w:val="00246860"/>
    <w:rsid w:val="002468D9"/>
    <w:rsid w:val="00246995"/>
    <w:rsid w:val="00246DFF"/>
    <w:rsid w:val="00246E89"/>
    <w:rsid w:val="0025183C"/>
    <w:rsid w:val="00252351"/>
    <w:rsid w:val="002528EC"/>
    <w:rsid w:val="00253EAA"/>
    <w:rsid w:val="00255049"/>
    <w:rsid w:val="00257538"/>
    <w:rsid w:val="00257AFF"/>
    <w:rsid w:val="00257DE5"/>
    <w:rsid w:val="00260531"/>
    <w:rsid w:val="00260B9A"/>
    <w:rsid w:val="00261B7E"/>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5147"/>
    <w:rsid w:val="00287006"/>
    <w:rsid w:val="0029030A"/>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2D0B"/>
    <w:rsid w:val="002B303A"/>
    <w:rsid w:val="002B32E9"/>
    <w:rsid w:val="002B4E22"/>
    <w:rsid w:val="002B6FA0"/>
    <w:rsid w:val="002B7710"/>
    <w:rsid w:val="002C0910"/>
    <w:rsid w:val="002C0DEA"/>
    <w:rsid w:val="002C34F6"/>
    <w:rsid w:val="002C3B6D"/>
    <w:rsid w:val="002C3F59"/>
    <w:rsid w:val="002C5D9D"/>
    <w:rsid w:val="002C5F10"/>
    <w:rsid w:val="002C6E5B"/>
    <w:rsid w:val="002D08F3"/>
    <w:rsid w:val="002D18B4"/>
    <w:rsid w:val="002D2058"/>
    <w:rsid w:val="002D231A"/>
    <w:rsid w:val="002D3EF5"/>
    <w:rsid w:val="002D5330"/>
    <w:rsid w:val="002D5F57"/>
    <w:rsid w:val="002D73D4"/>
    <w:rsid w:val="002D7787"/>
    <w:rsid w:val="002E058C"/>
    <w:rsid w:val="002E06A8"/>
    <w:rsid w:val="002E1877"/>
    <w:rsid w:val="002E1C31"/>
    <w:rsid w:val="002E1ED2"/>
    <w:rsid w:val="002E2E0F"/>
    <w:rsid w:val="002E333A"/>
    <w:rsid w:val="002E3474"/>
    <w:rsid w:val="002E400C"/>
    <w:rsid w:val="002E446B"/>
    <w:rsid w:val="002E49C3"/>
    <w:rsid w:val="002E5114"/>
    <w:rsid w:val="002E5988"/>
    <w:rsid w:val="002E65E6"/>
    <w:rsid w:val="002E7072"/>
    <w:rsid w:val="002E7570"/>
    <w:rsid w:val="002E764B"/>
    <w:rsid w:val="002E7C25"/>
    <w:rsid w:val="002F08D1"/>
    <w:rsid w:val="002F0D6A"/>
    <w:rsid w:val="002F0E28"/>
    <w:rsid w:val="002F195B"/>
    <w:rsid w:val="002F287E"/>
    <w:rsid w:val="002F2981"/>
    <w:rsid w:val="002F2A24"/>
    <w:rsid w:val="002F2D63"/>
    <w:rsid w:val="002F6AD8"/>
    <w:rsid w:val="002F7F81"/>
    <w:rsid w:val="00300A36"/>
    <w:rsid w:val="00301B45"/>
    <w:rsid w:val="003029D5"/>
    <w:rsid w:val="0030433B"/>
    <w:rsid w:val="00304511"/>
    <w:rsid w:val="00305856"/>
    <w:rsid w:val="00305867"/>
    <w:rsid w:val="0030678B"/>
    <w:rsid w:val="00306D16"/>
    <w:rsid w:val="0030700A"/>
    <w:rsid w:val="00307595"/>
    <w:rsid w:val="00307DA6"/>
    <w:rsid w:val="00310CD7"/>
    <w:rsid w:val="00313C3A"/>
    <w:rsid w:val="00313D7A"/>
    <w:rsid w:val="00314517"/>
    <w:rsid w:val="003155FB"/>
    <w:rsid w:val="0032136A"/>
    <w:rsid w:val="003219E5"/>
    <w:rsid w:val="003224D8"/>
    <w:rsid w:val="00323A90"/>
    <w:rsid w:val="00323E70"/>
    <w:rsid w:val="0032421F"/>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208D"/>
    <w:rsid w:val="00344A4F"/>
    <w:rsid w:val="00344D17"/>
    <w:rsid w:val="003463CF"/>
    <w:rsid w:val="0034669F"/>
    <w:rsid w:val="003470C4"/>
    <w:rsid w:val="003471C5"/>
    <w:rsid w:val="00347D0D"/>
    <w:rsid w:val="00351498"/>
    <w:rsid w:val="003522CD"/>
    <w:rsid w:val="00352B22"/>
    <w:rsid w:val="00352CBF"/>
    <w:rsid w:val="00354547"/>
    <w:rsid w:val="003549F5"/>
    <w:rsid w:val="003554B7"/>
    <w:rsid w:val="00355ACB"/>
    <w:rsid w:val="003567DE"/>
    <w:rsid w:val="003574F3"/>
    <w:rsid w:val="00357831"/>
    <w:rsid w:val="00360387"/>
    <w:rsid w:val="003604A5"/>
    <w:rsid w:val="0036114B"/>
    <w:rsid w:val="003618B6"/>
    <w:rsid w:val="0036199A"/>
    <w:rsid w:val="003620C8"/>
    <w:rsid w:val="00363087"/>
    <w:rsid w:val="0036319E"/>
    <w:rsid w:val="003632A4"/>
    <w:rsid w:val="00363362"/>
    <w:rsid w:val="0036392A"/>
    <w:rsid w:val="00364CAB"/>
    <w:rsid w:val="00365767"/>
    <w:rsid w:val="003659C0"/>
    <w:rsid w:val="003660DF"/>
    <w:rsid w:val="003674A9"/>
    <w:rsid w:val="00367D4F"/>
    <w:rsid w:val="003706E1"/>
    <w:rsid w:val="00370743"/>
    <w:rsid w:val="00370EF5"/>
    <w:rsid w:val="00370F07"/>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6AB"/>
    <w:rsid w:val="003A7FF8"/>
    <w:rsid w:val="003B17AC"/>
    <w:rsid w:val="003B2143"/>
    <w:rsid w:val="003B227A"/>
    <w:rsid w:val="003B3A77"/>
    <w:rsid w:val="003B4319"/>
    <w:rsid w:val="003B5854"/>
    <w:rsid w:val="003B6032"/>
    <w:rsid w:val="003B6764"/>
    <w:rsid w:val="003B7A8B"/>
    <w:rsid w:val="003C031D"/>
    <w:rsid w:val="003C247E"/>
    <w:rsid w:val="003C294B"/>
    <w:rsid w:val="003C34DF"/>
    <w:rsid w:val="003C4A36"/>
    <w:rsid w:val="003C5046"/>
    <w:rsid w:val="003C53E8"/>
    <w:rsid w:val="003C5B54"/>
    <w:rsid w:val="003C6068"/>
    <w:rsid w:val="003C7AEC"/>
    <w:rsid w:val="003D2BA3"/>
    <w:rsid w:val="003D316B"/>
    <w:rsid w:val="003D371E"/>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4FD7"/>
    <w:rsid w:val="003E6214"/>
    <w:rsid w:val="003F070E"/>
    <w:rsid w:val="003F1206"/>
    <w:rsid w:val="003F2418"/>
    <w:rsid w:val="003F28DB"/>
    <w:rsid w:val="003F2EEE"/>
    <w:rsid w:val="003F44FD"/>
    <w:rsid w:val="003F58B0"/>
    <w:rsid w:val="003F776F"/>
    <w:rsid w:val="004007E9"/>
    <w:rsid w:val="00400810"/>
    <w:rsid w:val="00401825"/>
    <w:rsid w:val="00401BBC"/>
    <w:rsid w:val="004026FC"/>
    <w:rsid w:val="00403BFB"/>
    <w:rsid w:val="00404B45"/>
    <w:rsid w:val="00405BCF"/>
    <w:rsid w:val="004068E0"/>
    <w:rsid w:val="00406CC5"/>
    <w:rsid w:val="00406E12"/>
    <w:rsid w:val="00406FCA"/>
    <w:rsid w:val="004074A4"/>
    <w:rsid w:val="004101B2"/>
    <w:rsid w:val="004123D7"/>
    <w:rsid w:val="00412658"/>
    <w:rsid w:val="00412834"/>
    <w:rsid w:val="004129DA"/>
    <w:rsid w:val="00415EA4"/>
    <w:rsid w:val="0041604B"/>
    <w:rsid w:val="004172DB"/>
    <w:rsid w:val="004174F0"/>
    <w:rsid w:val="00417999"/>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694"/>
    <w:rsid w:val="00434860"/>
    <w:rsid w:val="00434BBD"/>
    <w:rsid w:val="0043503A"/>
    <w:rsid w:val="00437B8A"/>
    <w:rsid w:val="00437D18"/>
    <w:rsid w:val="00437D77"/>
    <w:rsid w:val="00440698"/>
    <w:rsid w:val="00441D99"/>
    <w:rsid w:val="004429D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13A3"/>
    <w:rsid w:val="00462F68"/>
    <w:rsid w:val="00463478"/>
    <w:rsid w:val="0046369B"/>
    <w:rsid w:val="004640E9"/>
    <w:rsid w:val="004647EB"/>
    <w:rsid w:val="00466CED"/>
    <w:rsid w:val="00466EB5"/>
    <w:rsid w:val="00467592"/>
    <w:rsid w:val="00467690"/>
    <w:rsid w:val="00467A14"/>
    <w:rsid w:val="004718E7"/>
    <w:rsid w:val="00472289"/>
    <w:rsid w:val="00472535"/>
    <w:rsid w:val="0047292F"/>
    <w:rsid w:val="004761CC"/>
    <w:rsid w:val="00476229"/>
    <w:rsid w:val="004766C9"/>
    <w:rsid w:val="00480D4A"/>
    <w:rsid w:val="00481DA1"/>
    <w:rsid w:val="00482B19"/>
    <w:rsid w:val="00483A2B"/>
    <w:rsid w:val="00484212"/>
    <w:rsid w:val="004848C3"/>
    <w:rsid w:val="00484BA9"/>
    <w:rsid w:val="0048599A"/>
    <w:rsid w:val="00486818"/>
    <w:rsid w:val="0049255F"/>
    <w:rsid w:val="0049445D"/>
    <w:rsid w:val="00494D39"/>
    <w:rsid w:val="00495350"/>
    <w:rsid w:val="004954B1"/>
    <w:rsid w:val="00495AD7"/>
    <w:rsid w:val="00495E3C"/>
    <w:rsid w:val="00496041"/>
    <w:rsid w:val="00497156"/>
    <w:rsid w:val="004A0C79"/>
    <w:rsid w:val="004A24D2"/>
    <w:rsid w:val="004A2728"/>
    <w:rsid w:val="004A3214"/>
    <w:rsid w:val="004A4136"/>
    <w:rsid w:val="004A417B"/>
    <w:rsid w:val="004A4378"/>
    <w:rsid w:val="004A6F8F"/>
    <w:rsid w:val="004A712D"/>
    <w:rsid w:val="004A7C03"/>
    <w:rsid w:val="004B03F3"/>
    <w:rsid w:val="004B0CC9"/>
    <w:rsid w:val="004B1C61"/>
    <w:rsid w:val="004B2536"/>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10D4"/>
    <w:rsid w:val="004D16BD"/>
    <w:rsid w:val="004D2AAB"/>
    <w:rsid w:val="004D362B"/>
    <w:rsid w:val="004D3C7F"/>
    <w:rsid w:val="004D42CB"/>
    <w:rsid w:val="004D4A0C"/>
    <w:rsid w:val="004D5D31"/>
    <w:rsid w:val="004D6E90"/>
    <w:rsid w:val="004D6F2B"/>
    <w:rsid w:val="004E0248"/>
    <w:rsid w:val="004E21A3"/>
    <w:rsid w:val="004E32EA"/>
    <w:rsid w:val="004E3517"/>
    <w:rsid w:val="004E6866"/>
    <w:rsid w:val="004F0C58"/>
    <w:rsid w:val="004F10EB"/>
    <w:rsid w:val="004F3222"/>
    <w:rsid w:val="004F3639"/>
    <w:rsid w:val="004F3BFA"/>
    <w:rsid w:val="004F4E3C"/>
    <w:rsid w:val="004F5A1A"/>
    <w:rsid w:val="004F61A0"/>
    <w:rsid w:val="004F675A"/>
    <w:rsid w:val="004F77A3"/>
    <w:rsid w:val="005000AB"/>
    <w:rsid w:val="00500EAF"/>
    <w:rsid w:val="00500F3C"/>
    <w:rsid w:val="005025EE"/>
    <w:rsid w:val="00503401"/>
    <w:rsid w:val="00503D35"/>
    <w:rsid w:val="00503DDF"/>
    <w:rsid w:val="00505524"/>
    <w:rsid w:val="005058D5"/>
    <w:rsid w:val="00506688"/>
    <w:rsid w:val="005075F5"/>
    <w:rsid w:val="00510588"/>
    <w:rsid w:val="00510F9C"/>
    <w:rsid w:val="0051146C"/>
    <w:rsid w:val="0051181D"/>
    <w:rsid w:val="0051220B"/>
    <w:rsid w:val="00512253"/>
    <w:rsid w:val="00512484"/>
    <w:rsid w:val="00514449"/>
    <w:rsid w:val="005144A7"/>
    <w:rsid w:val="00515419"/>
    <w:rsid w:val="005157BD"/>
    <w:rsid w:val="005214A3"/>
    <w:rsid w:val="005222E7"/>
    <w:rsid w:val="00523488"/>
    <w:rsid w:val="00523A8B"/>
    <w:rsid w:val="00523E04"/>
    <w:rsid w:val="00524D3A"/>
    <w:rsid w:val="00525003"/>
    <w:rsid w:val="0052590B"/>
    <w:rsid w:val="0052592B"/>
    <w:rsid w:val="00526503"/>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2022"/>
    <w:rsid w:val="00542B34"/>
    <w:rsid w:val="00542C9A"/>
    <w:rsid w:val="005436C2"/>
    <w:rsid w:val="005442D4"/>
    <w:rsid w:val="00545736"/>
    <w:rsid w:val="0054586A"/>
    <w:rsid w:val="0054631F"/>
    <w:rsid w:val="00546C24"/>
    <w:rsid w:val="005471BA"/>
    <w:rsid w:val="00547BDA"/>
    <w:rsid w:val="00547BE6"/>
    <w:rsid w:val="0055034F"/>
    <w:rsid w:val="00550476"/>
    <w:rsid w:val="0055288D"/>
    <w:rsid w:val="00555259"/>
    <w:rsid w:val="00555C66"/>
    <w:rsid w:val="005569EF"/>
    <w:rsid w:val="00556BDE"/>
    <w:rsid w:val="00560D57"/>
    <w:rsid w:val="00560F12"/>
    <w:rsid w:val="00562A94"/>
    <w:rsid w:val="00562F32"/>
    <w:rsid w:val="00562F83"/>
    <w:rsid w:val="00563FAD"/>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358D"/>
    <w:rsid w:val="00583BFF"/>
    <w:rsid w:val="0058417C"/>
    <w:rsid w:val="00584BB8"/>
    <w:rsid w:val="005854F9"/>
    <w:rsid w:val="00586EC6"/>
    <w:rsid w:val="00587DDE"/>
    <w:rsid w:val="00593043"/>
    <w:rsid w:val="00595B60"/>
    <w:rsid w:val="00595B63"/>
    <w:rsid w:val="00595BF0"/>
    <w:rsid w:val="00596A4B"/>
    <w:rsid w:val="00597E16"/>
    <w:rsid w:val="005A0B1D"/>
    <w:rsid w:val="005A1846"/>
    <w:rsid w:val="005A258C"/>
    <w:rsid w:val="005A3560"/>
    <w:rsid w:val="005A464E"/>
    <w:rsid w:val="005A62FC"/>
    <w:rsid w:val="005A6C99"/>
    <w:rsid w:val="005A7BD8"/>
    <w:rsid w:val="005A7D5D"/>
    <w:rsid w:val="005B0040"/>
    <w:rsid w:val="005B011A"/>
    <w:rsid w:val="005B0283"/>
    <w:rsid w:val="005B1ADA"/>
    <w:rsid w:val="005B1D09"/>
    <w:rsid w:val="005B1D8F"/>
    <w:rsid w:val="005B1E94"/>
    <w:rsid w:val="005B25C5"/>
    <w:rsid w:val="005B5B3D"/>
    <w:rsid w:val="005B5E8F"/>
    <w:rsid w:val="005B64CF"/>
    <w:rsid w:val="005B72DA"/>
    <w:rsid w:val="005C0E87"/>
    <w:rsid w:val="005C1398"/>
    <w:rsid w:val="005C16F3"/>
    <w:rsid w:val="005C3758"/>
    <w:rsid w:val="005C4D72"/>
    <w:rsid w:val="005C50C1"/>
    <w:rsid w:val="005C62C2"/>
    <w:rsid w:val="005D0ABC"/>
    <w:rsid w:val="005D2306"/>
    <w:rsid w:val="005D2562"/>
    <w:rsid w:val="005D2666"/>
    <w:rsid w:val="005D4548"/>
    <w:rsid w:val="005D4A74"/>
    <w:rsid w:val="005D519F"/>
    <w:rsid w:val="005D5E91"/>
    <w:rsid w:val="005D67EF"/>
    <w:rsid w:val="005E1416"/>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4F57"/>
    <w:rsid w:val="005F5342"/>
    <w:rsid w:val="005F55F5"/>
    <w:rsid w:val="005F5EC1"/>
    <w:rsid w:val="005F67A9"/>
    <w:rsid w:val="005F6B6D"/>
    <w:rsid w:val="005F73CA"/>
    <w:rsid w:val="006002FE"/>
    <w:rsid w:val="006008F8"/>
    <w:rsid w:val="006036C2"/>
    <w:rsid w:val="00605AAB"/>
    <w:rsid w:val="00606BEB"/>
    <w:rsid w:val="00607AC8"/>
    <w:rsid w:val="0061010C"/>
    <w:rsid w:val="0061014A"/>
    <w:rsid w:val="0061054B"/>
    <w:rsid w:val="006110FB"/>
    <w:rsid w:val="006114BB"/>
    <w:rsid w:val="00612FB0"/>
    <w:rsid w:val="0061356D"/>
    <w:rsid w:val="00613E26"/>
    <w:rsid w:val="00615641"/>
    <w:rsid w:val="00615A66"/>
    <w:rsid w:val="00616959"/>
    <w:rsid w:val="0062036E"/>
    <w:rsid w:val="006211D0"/>
    <w:rsid w:val="00621595"/>
    <w:rsid w:val="0062359D"/>
    <w:rsid w:val="006235F5"/>
    <w:rsid w:val="00623634"/>
    <w:rsid w:val="00624D0C"/>
    <w:rsid w:val="00626902"/>
    <w:rsid w:val="00626A0F"/>
    <w:rsid w:val="006274B4"/>
    <w:rsid w:val="006307BA"/>
    <w:rsid w:val="006315BA"/>
    <w:rsid w:val="006315CB"/>
    <w:rsid w:val="00634C4A"/>
    <w:rsid w:val="0063532E"/>
    <w:rsid w:val="0063579F"/>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5D75"/>
    <w:rsid w:val="006708E3"/>
    <w:rsid w:val="00670DDC"/>
    <w:rsid w:val="00671389"/>
    <w:rsid w:val="00671EB4"/>
    <w:rsid w:val="00673CDC"/>
    <w:rsid w:val="0067443B"/>
    <w:rsid w:val="006770AA"/>
    <w:rsid w:val="00680450"/>
    <w:rsid w:val="0068098E"/>
    <w:rsid w:val="006810BD"/>
    <w:rsid w:val="00682486"/>
    <w:rsid w:val="006833A7"/>
    <w:rsid w:val="00684CE6"/>
    <w:rsid w:val="00684E2B"/>
    <w:rsid w:val="006857A0"/>
    <w:rsid w:val="006870CE"/>
    <w:rsid w:val="00687C7E"/>
    <w:rsid w:val="00687D3D"/>
    <w:rsid w:val="00690569"/>
    <w:rsid w:val="00690FDA"/>
    <w:rsid w:val="00691E61"/>
    <w:rsid w:val="00692180"/>
    <w:rsid w:val="006937C6"/>
    <w:rsid w:val="00693C1B"/>
    <w:rsid w:val="00693C5E"/>
    <w:rsid w:val="00693CEE"/>
    <w:rsid w:val="00694EEA"/>
    <w:rsid w:val="006955B4"/>
    <w:rsid w:val="00695DEF"/>
    <w:rsid w:val="00696476"/>
    <w:rsid w:val="0069687C"/>
    <w:rsid w:val="00696C74"/>
    <w:rsid w:val="00697C9B"/>
    <w:rsid w:val="006A10FA"/>
    <w:rsid w:val="006A12E0"/>
    <w:rsid w:val="006A3D6C"/>
    <w:rsid w:val="006A40E6"/>
    <w:rsid w:val="006A516B"/>
    <w:rsid w:val="006A5362"/>
    <w:rsid w:val="006A543A"/>
    <w:rsid w:val="006A5C07"/>
    <w:rsid w:val="006A714F"/>
    <w:rsid w:val="006A75FA"/>
    <w:rsid w:val="006B07D5"/>
    <w:rsid w:val="006B1309"/>
    <w:rsid w:val="006B31E6"/>
    <w:rsid w:val="006B3923"/>
    <w:rsid w:val="006B3F3E"/>
    <w:rsid w:val="006B4AA2"/>
    <w:rsid w:val="006B4C4D"/>
    <w:rsid w:val="006B51FD"/>
    <w:rsid w:val="006B53C4"/>
    <w:rsid w:val="006B5570"/>
    <w:rsid w:val="006B586B"/>
    <w:rsid w:val="006B5923"/>
    <w:rsid w:val="006B67D9"/>
    <w:rsid w:val="006B6C14"/>
    <w:rsid w:val="006B7159"/>
    <w:rsid w:val="006B715E"/>
    <w:rsid w:val="006B7BE0"/>
    <w:rsid w:val="006C1D6E"/>
    <w:rsid w:val="006C2EF6"/>
    <w:rsid w:val="006C3A68"/>
    <w:rsid w:val="006C3B08"/>
    <w:rsid w:val="006C634F"/>
    <w:rsid w:val="006C6AB1"/>
    <w:rsid w:val="006C6E6B"/>
    <w:rsid w:val="006C714C"/>
    <w:rsid w:val="006C73D4"/>
    <w:rsid w:val="006D145F"/>
    <w:rsid w:val="006D1F92"/>
    <w:rsid w:val="006D2000"/>
    <w:rsid w:val="006D2D39"/>
    <w:rsid w:val="006D2F31"/>
    <w:rsid w:val="006D4250"/>
    <w:rsid w:val="006D4E0E"/>
    <w:rsid w:val="006D5861"/>
    <w:rsid w:val="006D5CE2"/>
    <w:rsid w:val="006D7854"/>
    <w:rsid w:val="006E06D1"/>
    <w:rsid w:val="006E122E"/>
    <w:rsid w:val="006E1313"/>
    <w:rsid w:val="006E154E"/>
    <w:rsid w:val="006E2DC8"/>
    <w:rsid w:val="006E58CB"/>
    <w:rsid w:val="006E6B68"/>
    <w:rsid w:val="006E7356"/>
    <w:rsid w:val="006E77C8"/>
    <w:rsid w:val="006F0F9C"/>
    <w:rsid w:val="006F149D"/>
    <w:rsid w:val="006F1A46"/>
    <w:rsid w:val="006F45A0"/>
    <w:rsid w:val="006F4F06"/>
    <w:rsid w:val="006F5A4E"/>
    <w:rsid w:val="006F5D37"/>
    <w:rsid w:val="006F6005"/>
    <w:rsid w:val="006F66CB"/>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5973"/>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1B1"/>
    <w:rsid w:val="0073062D"/>
    <w:rsid w:val="0073093B"/>
    <w:rsid w:val="0073254D"/>
    <w:rsid w:val="007331C7"/>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75E"/>
    <w:rsid w:val="007468AC"/>
    <w:rsid w:val="00746AE2"/>
    <w:rsid w:val="00750C82"/>
    <w:rsid w:val="00750E3A"/>
    <w:rsid w:val="00752035"/>
    <w:rsid w:val="0076100C"/>
    <w:rsid w:val="00761127"/>
    <w:rsid w:val="007612A5"/>
    <w:rsid w:val="00763CAE"/>
    <w:rsid w:val="00763F95"/>
    <w:rsid w:val="007651ED"/>
    <w:rsid w:val="00766C87"/>
    <w:rsid w:val="00771043"/>
    <w:rsid w:val="0077272B"/>
    <w:rsid w:val="00773AF7"/>
    <w:rsid w:val="00773C45"/>
    <w:rsid w:val="00774FFD"/>
    <w:rsid w:val="00780378"/>
    <w:rsid w:val="0078085E"/>
    <w:rsid w:val="00781BD4"/>
    <w:rsid w:val="00782562"/>
    <w:rsid w:val="007828B4"/>
    <w:rsid w:val="00782CC1"/>
    <w:rsid w:val="00784832"/>
    <w:rsid w:val="00784EA0"/>
    <w:rsid w:val="00785C75"/>
    <w:rsid w:val="00785D77"/>
    <w:rsid w:val="00786111"/>
    <w:rsid w:val="00790963"/>
    <w:rsid w:val="0079150B"/>
    <w:rsid w:val="0079154B"/>
    <w:rsid w:val="00791EED"/>
    <w:rsid w:val="00791F1E"/>
    <w:rsid w:val="00792790"/>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7AB"/>
    <w:rsid w:val="007B1C83"/>
    <w:rsid w:val="007B4181"/>
    <w:rsid w:val="007B4C78"/>
    <w:rsid w:val="007B5746"/>
    <w:rsid w:val="007B58AB"/>
    <w:rsid w:val="007B5C5C"/>
    <w:rsid w:val="007B6CE0"/>
    <w:rsid w:val="007B7B37"/>
    <w:rsid w:val="007B7C41"/>
    <w:rsid w:val="007C05C5"/>
    <w:rsid w:val="007C0715"/>
    <w:rsid w:val="007C0B04"/>
    <w:rsid w:val="007C11E9"/>
    <w:rsid w:val="007C238B"/>
    <w:rsid w:val="007C2802"/>
    <w:rsid w:val="007C3E5A"/>
    <w:rsid w:val="007C4115"/>
    <w:rsid w:val="007C433E"/>
    <w:rsid w:val="007C4452"/>
    <w:rsid w:val="007C4B3C"/>
    <w:rsid w:val="007C4B46"/>
    <w:rsid w:val="007C4DB1"/>
    <w:rsid w:val="007C6046"/>
    <w:rsid w:val="007C605A"/>
    <w:rsid w:val="007C684B"/>
    <w:rsid w:val="007C6F0C"/>
    <w:rsid w:val="007D0292"/>
    <w:rsid w:val="007D136C"/>
    <w:rsid w:val="007D1FCE"/>
    <w:rsid w:val="007D21AC"/>
    <w:rsid w:val="007D232B"/>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7F3271"/>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7BD"/>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7465"/>
    <w:rsid w:val="0084002E"/>
    <w:rsid w:val="00840159"/>
    <w:rsid w:val="00840621"/>
    <w:rsid w:val="00840DCC"/>
    <w:rsid w:val="00841243"/>
    <w:rsid w:val="00841457"/>
    <w:rsid w:val="0084214F"/>
    <w:rsid w:val="0084297D"/>
    <w:rsid w:val="00842BAA"/>
    <w:rsid w:val="00842D8F"/>
    <w:rsid w:val="0084374E"/>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6428"/>
    <w:rsid w:val="00856AC7"/>
    <w:rsid w:val="00856FA4"/>
    <w:rsid w:val="00857B4F"/>
    <w:rsid w:val="00860869"/>
    <w:rsid w:val="00860E60"/>
    <w:rsid w:val="0086102A"/>
    <w:rsid w:val="0086162B"/>
    <w:rsid w:val="00861710"/>
    <w:rsid w:val="00861D5C"/>
    <w:rsid w:val="00861E7C"/>
    <w:rsid w:val="008626C2"/>
    <w:rsid w:val="0086429C"/>
    <w:rsid w:val="00865207"/>
    <w:rsid w:val="008656A7"/>
    <w:rsid w:val="00865FA3"/>
    <w:rsid w:val="00866231"/>
    <w:rsid w:val="00871262"/>
    <w:rsid w:val="0087170E"/>
    <w:rsid w:val="00871D4E"/>
    <w:rsid w:val="00871E7B"/>
    <w:rsid w:val="008721BB"/>
    <w:rsid w:val="008734E7"/>
    <w:rsid w:val="0087566D"/>
    <w:rsid w:val="00875B50"/>
    <w:rsid w:val="00875B51"/>
    <w:rsid w:val="00875F2D"/>
    <w:rsid w:val="008762E7"/>
    <w:rsid w:val="008764DC"/>
    <w:rsid w:val="00881C17"/>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B6ADF"/>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4AA1"/>
    <w:rsid w:val="008F58E1"/>
    <w:rsid w:val="008F6E05"/>
    <w:rsid w:val="008F6FC8"/>
    <w:rsid w:val="009001FA"/>
    <w:rsid w:val="0090045D"/>
    <w:rsid w:val="00900906"/>
    <w:rsid w:val="00900D8F"/>
    <w:rsid w:val="00901229"/>
    <w:rsid w:val="009014E3"/>
    <w:rsid w:val="00901B89"/>
    <w:rsid w:val="009020ED"/>
    <w:rsid w:val="009026E8"/>
    <w:rsid w:val="00902FDD"/>
    <w:rsid w:val="00905EEF"/>
    <w:rsid w:val="00906EB7"/>
    <w:rsid w:val="0090720E"/>
    <w:rsid w:val="00907FE6"/>
    <w:rsid w:val="009102BF"/>
    <w:rsid w:val="00911490"/>
    <w:rsid w:val="009115F2"/>
    <w:rsid w:val="00911B11"/>
    <w:rsid w:val="00914ADB"/>
    <w:rsid w:val="00915196"/>
    <w:rsid w:val="00917182"/>
    <w:rsid w:val="00920251"/>
    <w:rsid w:val="00920259"/>
    <w:rsid w:val="00921CFD"/>
    <w:rsid w:val="009228D1"/>
    <w:rsid w:val="00923B25"/>
    <w:rsid w:val="0092402E"/>
    <w:rsid w:val="009259BA"/>
    <w:rsid w:val="00926C0A"/>
    <w:rsid w:val="00926FCB"/>
    <w:rsid w:val="009303BB"/>
    <w:rsid w:val="0093108A"/>
    <w:rsid w:val="009319EF"/>
    <w:rsid w:val="00931B6D"/>
    <w:rsid w:val="0093311A"/>
    <w:rsid w:val="009346D0"/>
    <w:rsid w:val="009369A6"/>
    <w:rsid w:val="00936E38"/>
    <w:rsid w:val="00936F2B"/>
    <w:rsid w:val="00937F57"/>
    <w:rsid w:val="0094031E"/>
    <w:rsid w:val="009419B4"/>
    <w:rsid w:val="00941A4C"/>
    <w:rsid w:val="00942645"/>
    <w:rsid w:val="009461E6"/>
    <w:rsid w:val="00950A3A"/>
    <w:rsid w:val="0095270D"/>
    <w:rsid w:val="00952C0C"/>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091B"/>
    <w:rsid w:val="0096168C"/>
    <w:rsid w:val="00961840"/>
    <w:rsid w:val="009625E3"/>
    <w:rsid w:val="00962F2D"/>
    <w:rsid w:val="00963A7A"/>
    <w:rsid w:val="009672CD"/>
    <w:rsid w:val="00971810"/>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90FD6"/>
    <w:rsid w:val="009935C3"/>
    <w:rsid w:val="0099421F"/>
    <w:rsid w:val="00994D33"/>
    <w:rsid w:val="00994FC8"/>
    <w:rsid w:val="009A0346"/>
    <w:rsid w:val="009A0DE3"/>
    <w:rsid w:val="009A1643"/>
    <w:rsid w:val="009A215A"/>
    <w:rsid w:val="009A26B9"/>
    <w:rsid w:val="009A49D3"/>
    <w:rsid w:val="009A4F1B"/>
    <w:rsid w:val="009A55E4"/>
    <w:rsid w:val="009A66C5"/>
    <w:rsid w:val="009A66E7"/>
    <w:rsid w:val="009A7578"/>
    <w:rsid w:val="009A79BA"/>
    <w:rsid w:val="009B10F9"/>
    <w:rsid w:val="009B14D1"/>
    <w:rsid w:val="009B1534"/>
    <w:rsid w:val="009B4963"/>
    <w:rsid w:val="009B4A3B"/>
    <w:rsid w:val="009B6023"/>
    <w:rsid w:val="009B69D3"/>
    <w:rsid w:val="009B721E"/>
    <w:rsid w:val="009B7BA7"/>
    <w:rsid w:val="009B7C01"/>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A91"/>
    <w:rsid w:val="009D1ADE"/>
    <w:rsid w:val="009D297C"/>
    <w:rsid w:val="009D3652"/>
    <w:rsid w:val="009D37CA"/>
    <w:rsid w:val="009D4229"/>
    <w:rsid w:val="009D4268"/>
    <w:rsid w:val="009D5862"/>
    <w:rsid w:val="009D5DE9"/>
    <w:rsid w:val="009E09D0"/>
    <w:rsid w:val="009E1181"/>
    <w:rsid w:val="009E1283"/>
    <w:rsid w:val="009E3A7F"/>
    <w:rsid w:val="009E4C9B"/>
    <w:rsid w:val="009E4DFC"/>
    <w:rsid w:val="009E5789"/>
    <w:rsid w:val="009E57B1"/>
    <w:rsid w:val="009E6379"/>
    <w:rsid w:val="009F020F"/>
    <w:rsid w:val="009F3B63"/>
    <w:rsid w:val="009F3F58"/>
    <w:rsid w:val="009F43E2"/>
    <w:rsid w:val="009F491F"/>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52D5"/>
    <w:rsid w:val="00A06F66"/>
    <w:rsid w:val="00A0798C"/>
    <w:rsid w:val="00A07BDD"/>
    <w:rsid w:val="00A07F12"/>
    <w:rsid w:val="00A1105B"/>
    <w:rsid w:val="00A1213C"/>
    <w:rsid w:val="00A12B8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36444"/>
    <w:rsid w:val="00A36CD4"/>
    <w:rsid w:val="00A37E7D"/>
    <w:rsid w:val="00A40356"/>
    <w:rsid w:val="00A40FFB"/>
    <w:rsid w:val="00A41468"/>
    <w:rsid w:val="00A414A9"/>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2C52"/>
    <w:rsid w:val="00A838E8"/>
    <w:rsid w:val="00A83C15"/>
    <w:rsid w:val="00A84EC4"/>
    <w:rsid w:val="00A86CB6"/>
    <w:rsid w:val="00A90D55"/>
    <w:rsid w:val="00A91E6C"/>
    <w:rsid w:val="00A9225E"/>
    <w:rsid w:val="00A944D8"/>
    <w:rsid w:val="00A959E7"/>
    <w:rsid w:val="00A95BBA"/>
    <w:rsid w:val="00A961EE"/>
    <w:rsid w:val="00A96559"/>
    <w:rsid w:val="00A97B11"/>
    <w:rsid w:val="00A97CD9"/>
    <w:rsid w:val="00AA020A"/>
    <w:rsid w:val="00AA04B3"/>
    <w:rsid w:val="00AA088E"/>
    <w:rsid w:val="00AA1253"/>
    <w:rsid w:val="00AA1ED0"/>
    <w:rsid w:val="00AA1F5B"/>
    <w:rsid w:val="00AA28EF"/>
    <w:rsid w:val="00AA3593"/>
    <w:rsid w:val="00AA38CA"/>
    <w:rsid w:val="00AA493E"/>
    <w:rsid w:val="00AA73AF"/>
    <w:rsid w:val="00AB062D"/>
    <w:rsid w:val="00AB0A8A"/>
    <w:rsid w:val="00AB1754"/>
    <w:rsid w:val="00AB1F8D"/>
    <w:rsid w:val="00AB27DD"/>
    <w:rsid w:val="00AB4BA4"/>
    <w:rsid w:val="00AB592E"/>
    <w:rsid w:val="00AB77AB"/>
    <w:rsid w:val="00AC0C1C"/>
    <w:rsid w:val="00AC1305"/>
    <w:rsid w:val="00AC37BE"/>
    <w:rsid w:val="00AC439D"/>
    <w:rsid w:val="00AC4BA1"/>
    <w:rsid w:val="00AC62CC"/>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6CA3"/>
    <w:rsid w:val="00AD7F8F"/>
    <w:rsid w:val="00AE0BF9"/>
    <w:rsid w:val="00AE1273"/>
    <w:rsid w:val="00AE18C5"/>
    <w:rsid w:val="00AE2540"/>
    <w:rsid w:val="00AE2CF4"/>
    <w:rsid w:val="00AE2D29"/>
    <w:rsid w:val="00AE2F15"/>
    <w:rsid w:val="00AE4624"/>
    <w:rsid w:val="00AE4B1D"/>
    <w:rsid w:val="00AE4B3E"/>
    <w:rsid w:val="00AE4B90"/>
    <w:rsid w:val="00AE5E14"/>
    <w:rsid w:val="00AE6115"/>
    <w:rsid w:val="00AE625B"/>
    <w:rsid w:val="00AF01B2"/>
    <w:rsid w:val="00AF1103"/>
    <w:rsid w:val="00AF1668"/>
    <w:rsid w:val="00AF1DBB"/>
    <w:rsid w:val="00AF25B2"/>
    <w:rsid w:val="00AF28DE"/>
    <w:rsid w:val="00AF41EE"/>
    <w:rsid w:val="00AF4A87"/>
    <w:rsid w:val="00AF4FA5"/>
    <w:rsid w:val="00AF5BB4"/>
    <w:rsid w:val="00AF6ECC"/>
    <w:rsid w:val="00B01B04"/>
    <w:rsid w:val="00B02145"/>
    <w:rsid w:val="00B022DC"/>
    <w:rsid w:val="00B04562"/>
    <w:rsid w:val="00B0472F"/>
    <w:rsid w:val="00B06930"/>
    <w:rsid w:val="00B0773A"/>
    <w:rsid w:val="00B07955"/>
    <w:rsid w:val="00B1176B"/>
    <w:rsid w:val="00B11858"/>
    <w:rsid w:val="00B13A51"/>
    <w:rsid w:val="00B140B8"/>
    <w:rsid w:val="00B14FAA"/>
    <w:rsid w:val="00B15BED"/>
    <w:rsid w:val="00B15D30"/>
    <w:rsid w:val="00B15F09"/>
    <w:rsid w:val="00B16D18"/>
    <w:rsid w:val="00B177DE"/>
    <w:rsid w:val="00B20624"/>
    <w:rsid w:val="00B21E03"/>
    <w:rsid w:val="00B21F2F"/>
    <w:rsid w:val="00B22D42"/>
    <w:rsid w:val="00B23436"/>
    <w:rsid w:val="00B237F1"/>
    <w:rsid w:val="00B23F10"/>
    <w:rsid w:val="00B24328"/>
    <w:rsid w:val="00B24ED4"/>
    <w:rsid w:val="00B24F33"/>
    <w:rsid w:val="00B26354"/>
    <w:rsid w:val="00B26CA0"/>
    <w:rsid w:val="00B27240"/>
    <w:rsid w:val="00B300BD"/>
    <w:rsid w:val="00B31965"/>
    <w:rsid w:val="00B32179"/>
    <w:rsid w:val="00B32341"/>
    <w:rsid w:val="00B32685"/>
    <w:rsid w:val="00B32C2B"/>
    <w:rsid w:val="00B33007"/>
    <w:rsid w:val="00B331A9"/>
    <w:rsid w:val="00B33498"/>
    <w:rsid w:val="00B33598"/>
    <w:rsid w:val="00B341A7"/>
    <w:rsid w:val="00B3575C"/>
    <w:rsid w:val="00B36569"/>
    <w:rsid w:val="00B37345"/>
    <w:rsid w:val="00B37B78"/>
    <w:rsid w:val="00B37D0B"/>
    <w:rsid w:val="00B37F53"/>
    <w:rsid w:val="00B40A05"/>
    <w:rsid w:val="00B40A3E"/>
    <w:rsid w:val="00B427BB"/>
    <w:rsid w:val="00B43BA2"/>
    <w:rsid w:val="00B449EE"/>
    <w:rsid w:val="00B454AE"/>
    <w:rsid w:val="00B501F5"/>
    <w:rsid w:val="00B50227"/>
    <w:rsid w:val="00B50510"/>
    <w:rsid w:val="00B505E9"/>
    <w:rsid w:val="00B522CD"/>
    <w:rsid w:val="00B54347"/>
    <w:rsid w:val="00B55143"/>
    <w:rsid w:val="00B553B2"/>
    <w:rsid w:val="00B555C8"/>
    <w:rsid w:val="00B55917"/>
    <w:rsid w:val="00B55D87"/>
    <w:rsid w:val="00B55FB5"/>
    <w:rsid w:val="00B5646A"/>
    <w:rsid w:val="00B56F3D"/>
    <w:rsid w:val="00B57921"/>
    <w:rsid w:val="00B57E78"/>
    <w:rsid w:val="00B57EB8"/>
    <w:rsid w:val="00B609F6"/>
    <w:rsid w:val="00B60E75"/>
    <w:rsid w:val="00B643A6"/>
    <w:rsid w:val="00B64DD6"/>
    <w:rsid w:val="00B66505"/>
    <w:rsid w:val="00B6710C"/>
    <w:rsid w:val="00B67E84"/>
    <w:rsid w:val="00B70549"/>
    <w:rsid w:val="00B72076"/>
    <w:rsid w:val="00B72303"/>
    <w:rsid w:val="00B727A9"/>
    <w:rsid w:val="00B72C72"/>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3F87"/>
    <w:rsid w:val="00B843DD"/>
    <w:rsid w:val="00B8478F"/>
    <w:rsid w:val="00B84F93"/>
    <w:rsid w:val="00B91676"/>
    <w:rsid w:val="00B9322B"/>
    <w:rsid w:val="00B93640"/>
    <w:rsid w:val="00B94023"/>
    <w:rsid w:val="00B955D5"/>
    <w:rsid w:val="00B95833"/>
    <w:rsid w:val="00B96FE7"/>
    <w:rsid w:val="00BA1824"/>
    <w:rsid w:val="00BA2D98"/>
    <w:rsid w:val="00BA2F0C"/>
    <w:rsid w:val="00BA30D1"/>
    <w:rsid w:val="00BA30E1"/>
    <w:rsid w:val="00BA4609"/>
    <w:rsid w:val="00BA5BE2"/>
    <w:rsid w:val="00BA60FC"/>
    <w:rsid w:val="00BA6A9C"/>
    <w:rsid w:val="00BA7F46"/>
    <w:rsid w:val="00BB0388"/>
    <w:rsid w:val="00BB0A0A"/>
    <w:rsid w:val="00BB133C"/>
    <w:rsid w:val="00BB1F04"/>
    <w:rsid w:val="00BB45B5"/>
    <w:rsid w:val="00BB4DDE"/>
    <w:rsid w:val="00BB6064"/>
    <w:rsid w:val="00BB65CE"/>
    <w:rsid w:val="00BB7012"/>
    <w:rsid w:val="00BB7059"/>
    <w:rsid w:val="00BC09D1"/>
    <w:rsid w:val="00BC1CF3"/>
    <w:rsid w:val="00BC2BE0"/>
    <w:rsid w:val="00BC3573"/>
    <w:rsid w:val="00BC5860"/>
    <w:rsid w:val="00BC7F82"/>
    <w:rsid w:val="00BD0515"/>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6365"/>
    <w:rsid w:val="00BF01B7"/>
    <w:rsid w:val="00BF0B7F"/>
    <w:rsid w:val="00BF0E94"/>
    <w:rsid w:val="00BF2988"/>
    <w:rsid w:val="00BF3FB9"/>
    <w:rsid w:val="00BF4012"/>
    <w:rsid w:val="00BF4225"/>
    <w:rsid w:val="00BF4720"/>
    <w:rsid w:val="00BF4F49"/>
    <w:rsid w:val="00BF6759"/>
    <w:rsid w:val="00BF70A6"/>
    <w:rsid w:val="00BF7B4F"/>
    <w:rsid w:val="00BF7B63"/>
    <w:rsid w:val="00BF7F3C"/>
    <w:rsid w:val="00C005D4"/>
    <w:rsid w:val="00C00671"/>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21AE"/>
    <w:rsid w:val="00C3223A"/>
    <w:rsid w:val="00C34168"/>
    <w:rsid w:val="00C34247"/>
    <w:rsid w:val="00C34326"/>
    <w:rsid w:val="00C34CEB"/>
    <w:rsid w:val="00C36201"/>
    <w:rsid w:val="00C368E8"/>
    <w:rsid w:val="00C36C3D"/>
    <w:rsid w:val="00C372C7"/>
    <w:rsid w:val="00C376A7"/>
    <w:rsid w:val="00C42443"/>
    <w:rsid w:val="00C42AED"/>
    <w:rsid w:val="00C42CBA"/>
    <w:rsid w:val="00C4338C"/>
    <w:rsid w:val="00C43C2B"/>
    <w:rsid w:val="00C43E3D"/>
    <w:rsid w:val="00C45B27"/>
    <w:rsid w:val="00C4652E"/>
    <w:rsid w:val="00C472C7"/>
    <w:rsid w:val="00C5019E"/>
    <w:rsid w:val="00C50C8C"/>
    <w:rsid w:val="00C51962"/>
    <w:rsid w:val="00C5377C"/>
    <w:rsid w:val="00C53E8A"/>
    <w:rsid w:val="00C54436"/>
    <w:rsid w:val="00C54DF3"/>
    <w:rsid w:val="00C560A7"/>
    <w:rsid w:val="00C56FC8"/>
    <w:rsid w:val="00C60F23"/>
    <w:rsid w:val="00C6170B"/>
    <w:rsid w:val="00C62EB2"/>
    <w:rsid w:val="00C63431"/>
    <w:rsid w:val="00C64C87"/>
    <w:rsid w:val="00C65414"/>
    <w:rsid w:val="00C665FE"/>
    <w:rsid w:val="00C71BEC"/>
    <w:rsid w:val="00C73424"/>
    <w:rsid w:val="00C73942"/>
    <w:rsid w:val="00C73A83"/>
    <w:rsid w:val="00C74D3A"/>
    <w:rsid w:val="00C75F3D"/>
    <w:rsid w:val="00C80511"/>
    <w:rsid w:val="00C80655"/>
    <w:rsid w:val="00C81937"/>
    <w:rsid w:val="00C826F5"/>
    <w:rsid w:val="00C83740"/>
    <w:rsid w:val="00C84527"/>
    <w:rsid w:val="00C845FF"/>
    <w:rsid w:val="00C84AD1"/>
    <w:rsid w:val="00C85579"/>
    <w:rsid w:val="00C8590C"/>
    <w:rsid w:val="00C862F1"/>
    <w:rsid w:val="00C863E5"/>
    <w:rsid w:val="00C87BE6"/>
    <w:rsid w:val="00C87F76"/>
    <w:rsid w:val="00C910DE"/>
    <w:rsid w:val="00C931FC"/>
    <w:rsid w:val="00C932C5"/>
    <w:rsid w:val="00C93732"/>
    <w:rsid w:val="00C94CB6"/>
    <w:rsid w:val="00C95299"/>
    <w:rsid w:val="00C95A72"/>
    <w:rsid w:val="00C9650E"/>
    <w:rsid w:val="00C97000"/>
    <w:rsid w:val="00C975BD"/>
    <w:rsid w:val="00CA068D"/>
    <w:rsid w:val="00CA08DF"/>
    <w:rsid w:val="00CA1228"/>
    <w:rsid w:val="00CA1C73"/>
    <w:rsid w:val="00CA282D"/>
    <w:rsid w:val="00CA3F73"/>
    <w:rsid w:val="00CA4670"/>
    <w:rsid w:val="00CA5C91"/>
    <w:rsid w:val="00CA5F89"/>
    <w:rsid w:val="00CA6B1A"/>
    <w:rsid w:val="00CA720B"/>
    <w:rsid w:val="00CA76B1"/>
    <w:rsid w:val="00CB1B18"/>
    <w:rsid w:val="00CB20DC"/>
    <w:rsid w:val="00CB23DC"/>
    <w:rsid w:val="00CB2487"/>
    <w:rsid w:val="00CB28E2"/>
    <w:rsid w:val="00CB2F20"/>
    <w:rsid w:val="00CB3395"/>
    <w:rsid w:val="00CB3F63"/>
    <w:rsid w:val="00CB5801"/>
    <w:rsid w:val="00CB758D"/>
    <w:rsid w:val="00CB7A3E"/>
    <w:rsid w:val="00CB7FF7"/>
    <w:rsid w:val="00CC0D0E"/>
    <w:rsid w:val="00CC1253"/>
    <w:rsid w:val="00CC19B3"/>
    <w:rsid w:val="00CC2044"/>
    <w:rsid w:val="00CC39D2"/>
    <w:rsid w:val="00CC55D6"/>
    <w:rsid w:val="00CC59B4"/>
    <w:rsid w:val="00CC69EC"/>
    <w:rsid w:val="00CC78A2"/>
    <w:rsid w:val="00CC7DF8"/>
    <w:rsid w:val="00CD15BE"/>
    <w:rsid w:val="00CD1A56"/>
    <w:rsid w:val="00CD1EF2"/>
    <w:rsid w:val="00CD32BD"/>
    <w:rsid w:val="00CD34C7"/>
    <w:rsid w:val="00CD5653"/>
    <w:rsid w:val="00CD5E6D"/>
    <w:rsid w:val="00CD63C8"/>
    <w:rsid w:val="00CD76F8"/>
    <w:rsid w:val="00CD78A5"/>
    <w:rsid w:val="00CE02E8"/>
    <w:rsid w:val="00CE069E"/>
    <w:rsid w:val="00CE0DE0"/>
    <w:rsid w:val="00CE2B1F"/>
    <w:rsid w:val="00CE2CC2"/>
    <w:rsid w:val="00CE3722"/>
    <w:rsid w:val="00CF0280"/>
    <w:rsid w:val="00CF158D"/>
    <w:rsid w:val="00CF2166"/>
    <w:rsid w:val="00CF4340"/>
    <w:rsid w:val="00CF4394"/>
    <w:rsid w:val="00CF48B4"/>
    <w:rsid w:val="00CF5C12"/>
    <w:rsid w:val="00CF7B72"/>
    <w:rsid w:val="00CF7FC0"/>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66FF"/>
    <w:rsid w:val="00D373F1"/>
    <w:rsid w:val="00D37567"/>
    <w:rsid w:val="00D37D36"/>
    <w:rsid w:val="00D40B1F"/>
    <w:rsid w:val="00D40D75"/>
    <w:rsid w:val="00D43978"/>
    <w:rsid w:val="00D43CBD"/>
    <w:rsid w:val="00D441F1"/>
    <w:rsid w:val="00D449F0"/>
    <w:rsid w:val="00D45319"/>
    <w:rsid w:val="00D462D7"/>
    <w:rsid w:val="00D46A33"/>
    <w:rsid w:val="00D5062C"/>
    <w:rsid w:val="00D50C8C"/>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D5C"/>
    <w:rsid w:val="00D63577"/>
    <w:rsid w:val="00D67FD7"/>
    <w:rsid w:val="00D704E4"/>
    <w:rsid w:val="00D71A04"/>
    <w:rsid w:val="00D72410"/>
    <w:rsid w:val="00D73D53"/>
    <w:rsid w:val="00D7402C"/>
    <w:rsid w:val="00D7408A"/>
    <w:rsid w:val="00D74261"/>
    <w:rsid w:val="00D7441B"/>
    <w:rsid w:val="00D74D38"/>
    <w:rsid w:val="00D75589"/>
    <w:rsid w:val="00D75EB3"/>
    <w:rsid w:val="00D76AB2"/>
    <w:rsid w:val="00D80490"/>
    <w:rsid w:val="00D828F9"/>
    <w:rsid w:val="00D829AD"/>
    <w:rsid w:val="00D82EE2"/>
    <w:rsid w:val="00D8352E"/>
    <w:rsid w:val="00D83746"/>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4F76"/>
    <w:rsid w:val="00D95984"/>
    <w:rsid w:val="00D95C64"/>
    <w:rsid w:val="00D9706F"/>
    <w:rsid w:val="00D972D4"/>
    <w:rsid w:val="00DA0EE2"/>
    <w:rsid w:val="00DA0FE3"/>
    <w:rsid w:val="00DA195B"/>
    <w:rsid w:val="00DA27F3"/>
    <w:rsid w:val="00DA2D1E"/>
    <w:rsid w:val="00DA3EC8"/>
    <w:rsid w:val="00DA40C1"/>
    <w:rsid w:val="00DA5564"/>
    <w:rsid w:val="00DA6B55"/>
    <w:rsid w:val="00DA6B97"/>
    <w:rsid w:val="00DA6CEE"/>
    <w:rsid w:val="00DA7997"/>
    <w:rsid w:val="00DB0015"/>
    <w:rsid w:val="00DB0359"/>
    <w:rsid w:val="00DB0ABB"/>
    <w:rsid w:val="00DB1D01"/>
    <w:rsid w:val="00DB2AAD"/>
    <w:rsid w:val="00DB44E2"/>
    <w:rsid w:val="00DB4A6D"/>
    <w:rsid w:val="00DB5941"/>
    <w:rsid w:val="00DB626D"/>
    <w:rsid w:val="00DB6365"/>
    <w:rsid w:val="00DB756C"/>
    <w:rsid w:val="00DC07B7"/>
    <w:rsid w:val="00DC0BF1"/>
    <w:rsid w:val="00DC11B7"/>
    <w:rsid w:val="00DC1607"/>
    <w:rsid w:val="00DC17F2"/>
    <w:rsid w:val="00DC4001"/>
    <w:rsid w:val="00DC41C3"/>
    <w:rsid w:val="00DC4A3C"/>
    <w:rsid w:val="00DC4FA4"/>
    <w:rsid w:val="00DC5028"/>
    <w:rsid w:val="00DC5B37"/>
    <w:rsid w:val="00DC66F6"/>
    <w:rsid w:val="00DD286D"/>
    <w:rsid w:val="00DD2CAF"/>
    <w:rsid w:val="00DD3593"/>
    <w:rsid w:val="00DD462A"/>
    <w:rsid w:val="00DD64E0"/>
    <w:rsid w:val="00DD775C"/>
    <w:rsid w:val="00DD7BE0"/>
    <w:rsid w:val="00DE0C67"/>
    <w:rsid w:val="00DE3555"/>
    <w:rsid w:val="00DE3AAD"/>
    <w:rsid w:val="00DE598A"/>
    <w:rsid w:val="00DE5A80"/>
    <w:rsid w:val="00DE6952"/>
    <w:rsid w:val="00DE6FBE"/>
    <w:rsid w:val="00DE7A7D"/>
    <w:rsid w:val="00DE7E74"/>
    <w:rsid w:val="00DF071B"/>
    <w:rsid w:val="00DF5C84"/>
    <w:rsid w:val="00DF5D3A"/>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0FA5"/>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18A4"/>
    <w:rsid w:val="00E322F7"/>
    <w:rsid w:val="00E3369B"/>
    <w:rsid w:val="00E362D2"/>
    <w:rsid w:val="00E36D76"/>
    <w:rsid w:val="00E40478"/>
    <w:rsid w:val="00E405EA"/>
    <w:rsid w:val="00E408B7"/>
    <w:rsid w:val="00E412EB"/>
    <w:rsid w:val="00E41637"/>
    <w:rsid w:val="00E42789"/>
    <w:rsid w:val="00E438A4"/>
    <w:rsid w:val="00E43F59"/>
    <w:rsid w:val="00E464F0"/>
    <w:rsid w:val="00E46EF3"/>
    <w:rsid w:val="00E47370"/>
    <w:rsid w:val="00E473E9"/>
    <w:rsid w:val="00E47B47"/>
    <w:rsid w:val="00E50BEB"/>
    <w:rsid w:val="00E523FB"/>
    <w:rsid w:val="00E53460"/>
    <w:rsid w:val="00E5460B"/>
    <w:rsid w:val="00E54846"/>
    <w:rsid w:val="00E548FA"/>
    <w:rsid w:val="00E55CD9"/>
    <w:rsid w:val="00E57703"/>
    <w:rsid w:val="00E57ED4"/>
    <w:rsid w:val="00E57FED"/>
    <w:rsid w:val="00E6092F"/>
    <w:rsid w:val="00E61EE9"/>
    <w:rsid w:val="00E62049"/>
    <w:rsid w:val="00E629DA"/>
    <w:rsid w:val="00E629F3"/>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3E21"/>
    <w:rsid w:val="00E74437"/>
    <w:rsid w:val="00E7443D"/>
    <w:rsid w:val="00E75ACE"/>
    <w:rsid w:val="00E771AF"/>
    <w:rsid w:val="00E80386"/>
    <w:rsid w:val="00E809C3"/>
    <w:rsid w:val="00E814D4"/>
    <w:rsid w:val="00E814DB"/>
    <w:rsid w:val="00E81A1A"/>
    <w:rsid w:val="00E81C3E"/>
    <w:rsid w:val="00E82359"/>
    <w:rsid w:val="00E82B6D"/>
    <w:rsid w:val="00E83187"/>
    <w:rsid w:val="00E831E9"/>
    <w:rsid w:val="00E84DDA"/>
    <w:rsid w:val="00E8608F"/>
    <w:rsid w:val="00E86C1D"/>
    <w:rsid w:val="00E90703"/>
    <w:rsid w:val="00E90A62"/>
    <w:rsid w:val="00E9265E"/>
    <w:rsid w:val="00E956DB"/>
    <w:rsid w:val="00E957D7"/>
    <w:rsid w:val="00E9763D"/>
    <w:rsid w:val="00EA00A4"/>
    <w:rsid w:val="00EA1177"/>
    <w:rsid w:val="00EA118B"/>
    <w:rsid w:val="00EA11B6"/>
    <w:rsid w:val="00EA2181"/>
    <w:rsid w:val="00EA2DD8"/>
    <w:rsid w:val="00EA30FC"/>
    <w:rsid w:val="00EA3409"/>
    <w:rsid w:val="00EA4475"/>
    <w:rsid w:val="00EA45D3"/>
    <w:rsid w:val="00EA52FE"/>
    <w:rsid w:val="00EA681F"/>
    <w:rsid w:val="00EB04C6"/>
    <w:rsid w:val="00EB06A6"/>
    <w:rsid w:val="00EB0863"/>
    <w:rsid w:val="00EB29EA"/>
    <w:rsid w:val="00EB3307"/>
    <w:rsid w:val="00EB3823"/>
    <w:rsid w:val="00EB3CBB"/>
    <w:rsid w:val="00EB47D8"/>
    <w:rsid w:val="00EB57D3"/>
    <w:rsid w:val="00EB5B19"/>
    <w:rsid w:val="00EB5EFD"/>
    <w:rsid w:val="00EB679F"/>
    <w:rsid w:val="00EB76E4"/>
    <w:rsid w:val="00EC0E65"/>
    <w:rsid w:val="00EC1251"/>
    <w:rsid w:val="00EC2938"/>
    <w:rsid w:val="00EC337D"/>
    <w:rsid w:val="00EC38EF"/>
    <w:rsid w:val="00EC3C86"/>
    <w:rsid w:val="00EC4B39"/>
    <w:rsid w:val="00EC50C9"/>
    <w:rsid w:val="00EC58B4"/>
    <w:rsid w:val="00EC5BB2"/>
    <w:rsid w:val="00EC62BE"/>
    <w:rsid w:val="00EC75AF"/>
    <w:rsid w:val="00ED05B1"/>
    <w:rsid w:val="00ED0BCD"/>
    <w:rsid w:val="00ED12F0"/>
    <w:rsid w:val="00ED2874"/>
    <w:rsid w:val="00ED290C"/>
    <w:rsid w:val="00ED2A6C"/>
    <w:rsid w:val="00ED34D5"/>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2346"/>
    <w:rsid w:val="00EF2E75"/>
    <w:rsid w:val="00EF4C74"/>
    <w:rsid w:val="00EF5268"/>
    <w:rsid w:val="00EF608E"/>
    <w:rsid w:val="00EF6C4A"/>
    <w:rsid w:val="00EF7289"/>
    <w:rsid w:val="00F0044B"/>
    <w:rsid w:val="00F00E60"/>
    <w:rsid w:val="00F020E5"/>
    <w:rsid w:val="00F02F9F"/>
    <w:rsid w:val="00F03525"/>
    <w:rsid w:val="00F039A8"/>
    <w:rsid w:val="00F0424D"/>
    <w:rsid w:val="00F04957"/>
    <w:rsid w:val="00F053F0"/>
    <w:rsid w:val="00F05807"/>
    <w:rsid w:val="00F06451"/>
    <w:rsid w:val="00F07052"/>
    <w:rsid w:val="00F0706C"/>
    <w:rsid w:val="00F111B6"/>
    <w:rsid w:val="00F11EBE"/>
    <w:rsid w:val="00F12293"/>
    <w:rsid w:val="00F12BA8"/>
    <w:rsid w:val="00F12D7A"/>
    <w:rsid w:val="00F130D0"/>
    <w:rsid w:val="00F13AC6"/>
    <w:rsid w:val="00F14638"/>
    <w:rsid w:val="00F14933"/>
    <w:rsid w:val="00F1516A"/>
    <w:rsid w:val="00F15EE5"/>
    <w:rsid w:val="00F171F9"/>
    <w:rsid w:val="00F1737C"/>
    <w:rsid w:val="00F173AA"/>
    <w:rsid w:val="00F22A26"/>
    <w:rsid w:val="00F24072"/>
    <w:rsid w:val="00F26432"/>
    <w:rsid w:val="00F3197A"/>
    <w:rsid w:val="00F32139"/>
    <w:rsid w:val="00F33CF0"/>
    <w:rsid w:val="00F33D56"/>
    <w:rsid w:val="00F34E08"/>
    <w:rsid w:val="00F41D91"/>
    <w:rsid w:val="00F41F52"/>
    <w:rsid w:val="00F41FA1"/>
    <w:rsid w:val="00F42363"/>
    <w:rsid w:val="00F427C4"/>
    <w:rsid w:val="00F43D6C"/>
    <w:rsid w:val="00F46964"/>
    <w:rsid w:val="00F46F9A"/>
    <w:rsid w:val="00F470FD"/>
    <w:rsid w:val="00F47EDC"/>
    <w:rsid w:val="00F50F30"/>
    <w:rsid w:val="00F5126A"/>
    <w:rsid w:val="00F5126E"/>
    <w:rsid w:val="00F516EF"/>
    <w:rsid w:val="00F51755"/>
    <w:rsid w:val="00F531D9"/>
    <w:rsid w:val="00F54D8E"/>
    <w:rsid w:val="00F5580D"/>
    <w:rsid w:val="00F566B7"/>
    <w:rsid w:val="00F56EA1"/>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5C12"/>
    <w:rsid w:val="00F764AF"/>
    <w:rsid w:val="00F76D01"/>
    <w:rsid w:val="00F77E3A"/>
    <w:rsid w:val="00F80B43"/>
    <w:rsid w:val="00F80C97"/>
    <w:rsid w:val="00F80F36"/>
    <w:rsid w:val="00F81C35"/>
    <w:rsid w:val="00F82981"/>
    <w:rsid w:val="00F8311F"/>
    <w:rsid w:val="00F83248"/>
    <w:rsid w:val="00F83376"/>
    <w:rsid w:val="00F853AE"/>
    <w:rsid w:val="00F908D5"/>
    <w:rsid w:val="00F90C16"/>
    <w:rsid w:val="00F912A0"/>
    <w:rsid w:val="00F913B9"/>
    <w:rsid w:val="00F93C74"/>
    <w:rsid w:val="00F93DCC"/>
    <w:rsid w:val="00F9435D"/>
    <w:rsid w:val="00F966F9"/>
    <w:rsid w:val="00F96F61"/>
    <w:rsid w:val="00F97740"/>
    <w:rsid w:val="00FA0827"/>
    <w:rsid w:val="00FA0C8F"/>
    <w:rsid w:val="00FA24F2"/>
    <w:rsid w:val="00FA2B96"/>
    <w:rsid w:val="00FA2DEF"/>
    <w:rsid w:val="00FA2F7B"/>
    <w:rsid w:val="00FA3C90"/>
    <w:rsid w:val="00FA3C97"/>
    <w:rsid w:val="00FA3D30"/>
    <w:rsid w:val="00FA4B49"/>
    <w:rsid w:val="00FA54F8"/>
    <w:rsid w:val="00FA6CA9"/>
    <w:rsid w:val="00FA78C8"/>
    <w:rsid w:val="00FA7A2F"/>
    <w:rsid w:val="00FB00AD"/>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3855"/>
    <w:rsid w:val="00FC4284"/>
    <w:rsid w:val="00FC4576"/>
    <w:rsid w:val="00FC494C"/>
    <w:rsid w:val="00FC5FF5"/>
    <w:rsid w:val="00FC6285"/>
    <w:rsid w:val="00FC78FB"/>
    <w:rsid w:val="00FC7DBC"/>
    <w:rsid w:val="00FD076A"/>
    <w:rsid w:val="00FD0AA0"/>
    <w:rsid w:val="00FD1D5A"/>
    <w:rsid w:val="00FD4988"/>
    <w:rsid w:val="00FD4B85"/>
    <w:rsid w:val="00FD5059"/>
    <w:rsid w:val="00FD554D"/>
    <w:rsid w:val="00FD5BCC"/>
    <w:rsid w:val="00FD5EB8"/>
    <w:rsid w:val="00FD6C2D"/>
    <w:rsid w:val="00FD7B23"/>
    <w:rsid w:val="00FE1A5F"/>
    <w:rsid w:val="00FE2A48"/>
    <w:rsid w:val="00FE2DEF"/>
    <w:rsid w:val="00FE323C"/>
    <w:rsid w:val="00FE3A27"/>
    <w:rsid w:val="00FE48A6"/>
    <w:rsid w:val="00FE5D0A"/>
    <w:rsid w:val="00FE6469"/>
    <w:rsid w:val="00FE7C22"/>
    <w:rsid w:val="00FE7C6D"/>
    <w:rsid w:val="00FE7EB9"/>
    <w:rsid w:val="00FF05D0"/>
    <w:rsid w:val="00FF06CE"/>
    <w:rsid w:val="00FF0DC2"/>
    <w:rsid w:val="00FF0FF7"/>
    <w:rsid w:val="00FF1022"/>
    <w:rsid w:val="00FF10A2"/>
    <w:rsid w:val="00FF1438"/>
    <w:rsid w:val="00FF1C25"/>
    <w:rsid w:val="00FF28D3"/>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5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b/>
      <w:bCs/>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89152075">
      <w:bodyDiv w:val="1"/>
      <w:marLeft w:val="0"/>
      <w:marRight w:val="0"/>
      <w:marTop w:val="0"/>
      <w:marBottom w:val="0"/>
      <w:divBdr>
        <w:top w:val="none" w:sz="0" w:space="0" w:color="auto"/>
        <w:left w:val="none" w:sz="0" w:space="0" w:color="auto"/>
        <w:bottom w:val="none" w:sz="0" w:space="0" w:color="auto"/>
        <w:right w:val="none" w:sz="0" w:space="0" w:color="auto"/>
      </w:divBdr>
    </w:div>
    <w:div w:id="17218581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2255</Words>
  <Characters>12859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15084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2012-05-22T18:01:00Z</cp:lastPrinted>
  <dcterms:created xsi:type="dcterms:W3CDTF">2012-06-06T18:50:00Z</dcterms:created>
  <dcterms:modified xsi:type="dcterms:W3CDTF">2012-06-06T18:50:00Z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