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A4" w:rsidRPr="001F29F9" w:rsidRDefault="00450CA4" w:rsidP="00BF0E94">
      <w:pPr>
        <w:tabs>
          <w:tab w:val="left" w:pos="288"/>
          <w:tab w:val="left" w:pos="4752"/>
        </w:tabs>
        <w:rPr>
          <w:color w:val="000000"/>
        </w:rPr>
      </w:pPr>
      <w:r w:rsidRPr="001F29F9">
        <w:rPr>
          <w:color w:val="000000"/>
        </w:rPr>
        <w:t>RECORD OF PROCEEDINGS</w:t>
      </w:r>
    </w:p>
    <w:p w:rsidR="00450CA4" w:rsidRPr="001F29F9" w:rsidRDefault="00450CA4" w:rsidP="00BF0E94">
      <w:pPr>
        <w:tabs>
          <w:tab w:val="left" w:pos="288"/>
          <w:tab w:val="left" w:pos="4752"/>
        </w:tabs>
        <w:rPr>
          <w:color w:val="000000"/>
        </w:rPr>
      </w:pPr>
      <w:r w:rsidRPr="001F29F9">
        <w:rPr>
          <w:color w:val="000000"/>
        </w:rPr>
        <w:t>PHYSICAL DISABILITY BOARD OF REVIEW</w:t>
      </w: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aps/>
          <w:color w:val="000000"/>
        </w:rPr>
      </w:pPr>
    </w:p>
    <w:p w:rsidR="00450CA4" w:rsidRPr="001F29F9" w:rsidRDefault="00450CA4" w:rsidP="003C53E8">
      <w:pPr>
        <w:tabs>
          <w:tab w:val="left" w:pos="288"/>
          <w:tab w:val="left" w:pos="4752"/>
          <w:tab w:val="left" w:pos="6390"/>
          <w:tab w:val="left" w:pos="9270"/>
        </w:tabs>
        <w:jc w:val="both"/>
        <w:rPr>
          <w:caps/>
          <w:color w:val="000000"/>
        </w:rPr>
      </w:pPr>
      <w:r w:rsidRPr="00F72A37">
        <w:rPr>
          <w:caps/>
          <w:color w:val="000000"/>
        </w:rPr>
        <w:t xml:space="preserve">NAME:  </w:t>
      </w:r>
      <w:r w:rsidR="0011109D">
        <w:rPr>
          <w:caps/>
          <w:color w:val="000000"/>
        </w:rPr>
        <w:t xml:space="preserve"> </w:t>
      </w:r>
      <w:r w:rsidRPr="00F72A37">
        <w:rPr>
          <w:caps/>
          <w:color w:val="000000"/>
        </w:rPr>
        <w:t xml:space="preserve">               </w:t>
      </w:r>
      <w:r w:rsidRPr="00F72A37">
        <w:rPr>
          <w:caps/>
          <w:color w:val="000000"/>
        </w:rPr>
        <w:tab/>
        <w:t xml:space="preserve">                       </w:t>
      </w:r>
      <w:r w:rsidR="008414D4">
        <w:rPr>
          <w:caps/>
          <w:color w:val="000000"/>
        </w:rPr>
        <w:t xml:space="preserve">       </w:t>
      </w:r>
      <w:r w:rsidRPr="00F72A37">
        <w:rPr>
          <w:caps/>
          <w:color w:val="000000"/>
        </w:rPr>
        <w:t xml:space="preserve">BRANCH OF SERVICE: Army </w:t>
      </w:r>
    </w:p>
    <w:p w:rsidR="00450CA4" w:rsidRPr="001F29F9" w:rsidRDefault="00450CA4" w:rsidP="0068098E">
      <w:pPr>
        <w:tabs>
          <w:tab w:val="left" w:pos="288"/>
          <w:tab w:val="left" w:pos="4166"/>
          <w:tab w:val="left" w:pos="4752"/>
          <w:tab w:val="left" w:pos="5130"/>
          <w:tab w:val="left" w:pos="9270"/>
        </w:tabs>
        <w:jc w:val="both"/>
        <w:rPr>
          <w:caps/>
          <w:color w:val="000000"/>
        </w:rPr>
      </w:pPr>
      <w:r w:rsidRPr="001F29F9">
        <w:rPr>
          <w:caps/>
          <w:color w:val="000000"/>
        </w:rPr>
        <w:t>CASE NUMBER:  PD1100402</w:t>
      </w:r>
      <w:r w:rsidRPr="001F29F9">
        <w:rPr>
          <w:color w:val="000000"/>
        </w:rPr>
        <w:tab/>
      </w:r>
      <w:r w:rsidRPr="001F29F9">
        <w:rPr>
          <w:color w:val="000000"/>
        </w:rPr>
        <w:tab/>
        <w:t xml:space="preserve">                       </w:t>
      </w:r>
      <w:r w:rsidR="008414D4">
        <w:rPr>
          <w:color w:val="000000"/>
        </w:rPr>
        <w:t xml:space="preserve">       </w:t>
      </w:r>
      <w:r w:rsidRPr="001F29F9">
        <w:rPr>
          <w:color w:val="000000"/>
        </w:rPr>
        <w:t>SEPARATION DATE:  20050908</w:t>
      </w:r>
    </w:p>
    <w:p w:rsidR="00450CA4" w:rsidRPr="00784EA0" w:rsidRDefault="00397AB2" w:rsidP="00F72A37">
      <w:pPr>
        <w:tabs>
          <w:tab w:val="left" w:pos="288"/>
          <w:tab w:val="left" w:pos="5130"/>
        </w:tabs>
        <w:jc w:val="both"/>
        <w:rPr>
          <w:caps/>
          <w:color w:val="auto"/>
        </w:rPr>
      </w:pPr>
      <w:r>
        <w:rPr>
          <w:caps/>
          <w:color w:val="000000"/>
        </w:rPr>
        <w:t>BOARD DATE:  2012</w:t>
      </w:r>
      <w:r w:rsidR="008414D4">
        <w:rPr>
          <w:caps/>
          <w:color w:val="000000"/>
        </w:rPr>
        <w:t>0315</w:t>
      </w:r>
    </w:p>
    <w:p w:rsidR="00450CA4" w:rsidRPr="001F29F9" w:rsidRDefault="00450CA4" w:rsidP="003C53E8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  <w:r w:rsidRPr="001F29F9">
        <w:rPr>
          <w:color w:val="000000"/>
          <w:u w:val="single"/>
        </w:rPr>
        <w:t>SUMMARY OF CASE</w:t>
      </w:r>
      <w:r w:rsidRPr="001F29F9">
        <w:rPr>
          <w:color w:val="000000"/>
        </w:rPr>
        <w:t xml:space="preserve">: </w:t>
      </w:r>
      <w:r w:rsidR="00237CB9">
        <w:rPr>
          <w:color w:val="000000"/>
        </w:rPr>
        <w:t xml:space="preserve"> </w:t>
      </w:r>
      <w:r w:rsidRPr="001F29F9">
        <w:rPr>
          <w:color w:val="000000"/>
        </w:rPr>
        <w:t xml:space="preserve">Data extracted from the available evidence of record reflects that this covered individual (CI) was an active duty SPC/E-4 (92A, </w:t>
      </w:r>
      <w:r w:rsidR="00C8325E">
        <w:rPr>
          <w:color w:val="000000"/>
        </w:rPr>
        <w:t>Automated Logistics Specialist)</w:t>
      </w:r>
      <w:r w:rsidRPr="001F29F9">
        <w:rPr>
          <w:color w:val="000000"/>
        </w:rPr>
        <w:t xml:space="preserve"> medically separated for </w:t>
      </w:r>
      <w:r w:rsidR="00C8325E">
        <w:rPr>
          <w:color w:val="000000"/>
        </w:rPr>
        <w:t>a</w:t>
      </w:r>
      <w:r w:rsidRPr="001F29F9">
        <w:rPr>
          <w:color w:val="000000"/>
        </w:rPr>
        <w:t xml:space="preserve"> right knee </w:t>
      </w:r>
      <w:r w:rsidR="00C8325E">
        <w:rPr>
          <w:color w:val="000000"/>
        </w:rPr>
        <w:t>condition</w:t>
      </w:r>
      <w:r w:rsidRPr="001F29F9">
        <w:rPr>
          <w:color w:val="000000"/>
        </w:rPr>
        <w:t xml:space="preserve">. </w:t>
      </w:r>
      <w:r w:rsidR="00C8325E">
        <w:rPr>
          <w:color w:val="000000"/>
        </w:rPr>
        <w:t xml:space="preserve"> </w:t>
      </w:r>
      <w:r w:rsidRPr="001F29F9">
        <w:rPr>
          <w:color w:val="000000"/>
        </w:rPr>
        <w:t>The CI first injured his right knee while jumping over a wall in basic training in 2001.</w:t>
      </w:r>
      <w:r w:rsidR="00C8325E">
        <w:rPr>
          <w:color w:val="000000"/>
        </w:rPr>
        <w:t xml:space="preserve"> </w:t>
      </w:r>
      <w:r w:rsidRPr="001F29F9">
        <w:rPr>
          <w:color w:val="000000"/>
        </w:rPr>
        <w:t xml:space="preserve"> He was </w:t>
      </w:r>
      <w:r w:rsidR="00C8325E">
        <w:rPr>
          <w:color w:val="000000"/>
        </w:rPr>
        <w:t xml:space="preserve">ultimately diagnosed with </w:t>
      </w:r>
      <w:proofErr w:type="spellStart"/>
      <w:r w:rsidR="00C8325E">
        <w:rPr>
          <w:color w:val="000000"/>
        </w:rPr>
        <w:t>chondromalacia</w:t>
      </w:r>
      <w:proofErr w:type="spellEnd"/>
      <w:r w:rsidR="00C8325E">
        <w:rPr>
          <w:color w:val="000000"/>
        </w:rPr>
        <w:t xml:space="preserve"> patella and </w:t>
      </w:r>
      <w:r w:rsidRPr="001F29F9">
        <w:rPr>
          <w:color w:val="000000"/>
        </w:rPr>
        <w:t xml:space="preserve">treated conservatively. </w:t>
      </w:r>
      <w:r w:rsidR="00C8325E">
        <w:rPr>
          <w:color w:val="000000"/>
        </w:rPr>
        <w:t xml:space="preserve"> </w:t>
      </w:r>
      <w:r w:rsidR="008414D4">
        <w:rPr>
          <w:color w:val="000000"/>
        </w:rPr>
        <w:t xml:space="preserve">The knee </w:t>
      </w:r>
      <w:r w:rsidR="008414D4" w:rsidRPr="00F566B7">
        <w:rPr>
          <w:color w:val="000000"/>
        </w:rPr>
        <w:t>could not be adequately rehabilitated to meet the physical requirements of his Military Occupational Specialty (MOS) or satis</w:t>
      </w:r>
      <w:r w:rsidR="008414D4">
        <w:rPr>
          <w:color w:val="000000"/>
        </w:rPr>
        <w:t>fy physical fitness standards.</w:t>
      </w:r>
      <w:r w:rsidR="008414D4" w:rsidRPr="00F566B7">
        <w:rPr>
          <w:color w:val="000000"/>
        </w:rPr>
        <w:t xml:space="preserve"> </w:t>
      </w:r>
      <w:r w:rsidR="008414D4">
        <w:rPr>
          <w:color w:val="000000"/>
        </w:rPr>
        <w:t xml:space="preserve"> He </w:t>
      </w:r>
      <w:r w:rsidR="008414D4" w:rsidRPr="00F566B7">
        <w:rPr>
          <w:color w:val="000000"/>
        </w:rPr>
        <w:t xml:space="preserve">was </w:t>
      </w:r>
      <w:r w:rsidR="008414D4">
        <w:rPr>
          <w:color w:val="000000"/>
        </w:rPr>
        <w:t xml:space="preserve">thus </w:t>
      </w:r>
      <w:r w:rsidR="008414D4" w:rsidRPr="00F566B7">
        <w:rPr>
          <w:color w:val="000000"/>
        </w:rPr>
        <w:t>issued a permanent L3 profile and</w:t>
      </w:r>
      <w:r w:rsidR="008414D4">
        <w:rPr>
          <w:color w:val="000000"/>
        </w:rPr>
        <w:t xml:space="preserve"> </w:t>
      </w:r>
      <w:r w:rsidR="008414D4" w:rsidRPr="00F566B7">
        <w:rPr>
          <w:color w:val="000000"/>
        </w:rPr>
        <w:t xml:space="preserve">referred for a Medical Evaluation Board (MEB).  </w:t>
      </w:r>
      <w:proofErr w:type="spellStart"/>
      <w:r w:rsidRPr="00F72A37">
        <w:rPr>
          <w:color w:val="000000"/>
        </w:rPr>
        <w:t>Chondromalacia</w:t>
      </w:r>
      <w:proofErr w:type="spellEnd"/>
      <w:r w:rsidRPr="00F72A37">
        <w:rPr>
          <w:color w:val="000000"/>
        </w:rPr>
        <w:t xml:space="preserve"> patella was forwarded to the Physical Evaluation Board (PEB) as medically unacceptable IAW AR 40-501. </w:t>
      </w:r>
      <w:r w:rsidR="008414D4">
        <w:rPr>
          <w:color w:val="000000"/>
        </w:rPr>
        <w:t xml:space="preserve"> </w:t>
      </w:r>
      <w:r w:rsidRPr="00F72A37">
        <w:rPr>
          <w:color w:val="000000"/>
        </w:rPr>
        <w:t xml:space="preserve">No other conditions </w:t>
      </w:r>
      <w:r w:rsidR="00C8325E">
        <w:rPr>
          <w:color w:val="000000"/>
        </w:rPr>
        <w:t>were submitted by the MEB</w:t>
      </w:r>
      <w:r w:rsidRPr="00F72A37">
        <w:rPr>
          <w:color w:val="000000"/>
        </w:rPr>
        <w:t xml:space="preserve">.  Other conditions </w:t>
      </w:r>
      <w:r w:rsidR="00C8325E">
        <w:rPr>
          <w:color w:val="000000"/>
        </w:rPr>
        <w:t>evidenced</w:t>
      </w:r>
      <w:r w:rsidRPr="00F72A37">
        <w:rPr>
          <w:color w:val="000000"/>
        </w:rPr>
        <w:t xml:space="preserve"> in the Disability Evaluation System (DES) </w:t>
      </w:r>
      <w:r w:rsidR="00C8325E">
        <w:rPr>
          <w:color w:val="000000"/>
        </w:rPr>
        <w:t>file</w:t>
      </w:r>
      <w:r w:rsidR="00237CB9">
        <w:rPr>
          <w:color w:val="000000"/>
        </w:rPr>
        <w:t xml:space="preserve"> will be </w:t>
      </w:r>
      <w:r w:rsidR="00C8325E">
        <w:rPr>
          <w:color w:val="000000"/>
        </w:rPr>
        <w:t>addressed</w:t>
      </w:r>
      <w:r w:rsidR="00237CB9">
        <w:rPr>
          <w:color w:val="000000"/>
        </w:rPr>
        <w:t xml:space="preserve"> below. </w:t>
      </w:r>
      <w:r w:rsidR="00C8325E">
        <w:rPr>
          <w:color w:val="000000"/>
        </w:rPr>
        <w:t xml:space="preserve"> </w:t>
      </w:r>
      <w:r w:rsidR="00237CB9">
        <w:rPr>
          <w:color w:val="000000"/>
        </w:rPr>
        <w:t xml:space="preserve">The </w:t>
      </w:r>
      <w:r w:rsidRPr="00F72A37">
        <w:rPr>
          <w:color w:val="000000"/>
        </w:rPr>
        <w:t xml:space="preserve">PEB adjudicated the right knee condition as unfitting, rated 10%, </w:t>
      </w:r>
      <w:r w:rsidR="00237CB9">
        <w:rPr>
          <w:color w:val="000000"/>
        </w:rPr>
        <w:t>referencing</w:t>
      </w:r>
      <w:r w:rsidRPr="00F72A37">
        <w:rPr>
          <w:color w:val="000000"/>
        </w:rPr>
        <w:t xml:space="preserve"> the US Army Physical Disability Agency (USAPDA) pain policy.</w:t>
      </w:r>
      <w:r w:rsidR="00C8325E">
        <w:rPr>
          <w:color w:val="000000"/>
        </w:rPr>
        <w:t xml:space="preserve"> </w:t>
      </w:r>
      <w:r w:rsidRPr="00F72A37">
        <w:rPr>
          <w:color w:val="000000"/>
        </w:rPr>
        <w:t xml:space="preserve"> The CI made no appeals, and was medically separated with a 10% disability rating.</w:t>
      </w:r>
    </w:p>
    <w:p w:rsidR="00450CA4" w:rsidRPr="001F29F9" w:rsidRDefault="00450CA4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  <w:r w:rsidRPr="001F29F9">
        <w:rPr>
          <w:color w:val="000000"/>
          <w:u w:val="single"/>
        </w:rPr>
        <w:t>CI CONTENTION</w:t>
      </w:r>
      <w:r w:rsidRPr="001F29F9">
        <w:rPr>
          <w:color w:val="000000"/>
        </w:rPr>
        <w:t>:</w:t>
      </w:r>
      <w:r w:rsidRPr="005D639F">
        <w:rPr>
          <w:b/>
          <w:color w:val="auto"/>
        </w:rPr>
        <w:t xml:space="preserve"> </w:t>
      </w:r>
      <w:r w:rsidRPr="001F29F9">
        <w:rPr>
          <w:color w:val="000000"/>
        </w:rPr>
        <w:t>He elaborates no specific contentions and mentions no additionally contended conditions.</w:t>
      </w:r>
    </w:p>
    <w:p w:rsidR="00450CA4" w:rsidRPr="001F29F9" w:rsidRDefault="00450CA4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F72A37" w:rsidRDefault="00450CA4" w:rsidP="00F72A37">
      <w:pPr>
        <w:jc w:val="left"/>
        <w:rPr>
          <w:color w:val="auto"/>
        </w:rPr>
      </w:pPr>
      <w:r w:rsidRPr="001F29F9">
        <w:rPr>
          <w:color w:val="000000"/>
          <w:u w:val="single"/>
        </w:rPr>
        <w:t>RATING COMPARISON</w:t>
      </w:r>
      <w:r w:rsidRPr="001F29F9">
        <w:rPr>
          <w:color w:val="000000"/>
        </w:rPr>
        <w:t>:</w:t>
      </w:r>
      <w:r w:rsidRPr="00F72A37">
        <w:rPr>
          <w:color w:val="auto"/>
        </w:rPr>
        <w:t xml:space="preserve"> </w:t>
      </w:r>
    </w:p>
    <w:p w:rsidR="00450CA4" w:rsidRPr="00402AB4" w:rsidRDefault="00450CA4" w:rsidP="00510F9C">
      <w:pPr>
        <w:rPr>
          <w:color w:val="auto"/>
        </w:rPr>
      </w:pPr>
    </w:p>
    <w:tbl>
      <w:tblPr>
        <w:tblStyle w:val="TableGrid"/>
        <w:tblW w:w="9387" w:type="dxa"/>
        <w:jc w:val="center"/>
        <w:tblInd w:w="189" w:type="dxa"/>
        <w:tblLayout w:type="fixed"/>
        <w:tblLook w:val="00A0"/>
      </w:tblPr>
      <w:tblGrid>
        <w:gridCol w:w="2007"/>
        <w:gridCol w:w="1062"/>
        <w:gridCol w:w="900"/>
        <w:gridCol w:w="2538"/>
        <w:gridCol w:w="1062"/>
        <w:gridCol w:w="828"/>
        <w:gridCol w:w="990"/>
      </w:tblGrid>
      <w:tr w:rsidR="00450CA4" w:rsidRPr="00402AB4" w:rsidTr="00397AB2">
        <w:trPr>
          <w:trHeight w:val="233"/>
          <w:jc w:val="center"/>
        </w:trPr>
        <w:tc>
          <w:tcPr>
            <w:tcW w:w="3969" w:type="dxa"/>
            <w:gridSpan w:val="3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:rsidR="00450CA4" w:rsidRPr="00624C8F" w:rsidRDefault="00237CB9" w:rsidP="00397AB2">
            <w:pPr>
              <w:contextualSpacing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Service </w:t>
            </w:r>
            <w:r w:rsidR="00450CA4" w:rsidRPr="00624C8F">
              <w:rPr>
                <w:b/>
                <w:color w:val="auto"/>
                <w:sz w:val="20"/>
              </w:rPr>
              <w:t>PEB – Dated 20050815</w:t>
            </w:r>
          </w:p>
        </w:tc>
        <w:tc>
          <w:tcPr>
            <w:tcW w:w="5418" w:type="dxa"/>
            <w:gridSpan w:val="4"/>
            <w:tcBorders>
              <w:left w:val="thinThickThinSmallGap" w:sz="24" w:space="0" w:color="auto"/>
            </w:tcBorders>
            <w:shd w:val="clear" w:color="auto" w:fill="D9D9D9"/>
            <w:vAlign w:val="center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VA (3 Mo. Post-Separation) – All Effective Date 20050909</w:t>
            </w:r>
          </w:p>
        </w:tc>
      </w:tr>
      <w:tr w:rsidR="00450CA4" w:rsidRPr="00402AB4" w:rsidTr="00397AB2">
        <w:trPr>
          <w:trHeight w:val="278"/>
          <w:jc w:val="center"/>
        </w:trPr>
        <w:tc>
          <w:tcPr>
            <w:tcW w:w="200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Condition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Code</w:t>
            </w:r>
          </w:p>
        </w:tc>
        <w:tc>
          <w:tcPr>
            <w:tcW w:w="900" w:type="dxa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Rating</w:t>
            </w:r>
          </w:p>
        </w:tc>
        <w:tc>
          <w:tcPr>
            <w:tcW w:w="2538" w:type="dxa"/>
            <w:tcBorders>
              <w:left w:val="thinThickThinSmallGap" w:sz="24" w:space="0" w:color="auto"/>
            </w:tcBorders>
            <w:shd w:val="clear" w:color="auto" w:fill="D9D9D9"/>
            <w:vAlign w:val="center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Condition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Code</w:t>
            </w:r>
          </w:p>
        </w:tc>
        <w:tc>
          <w:tcPr>
            <w:tcW w:w="828" w:type="dxa"/>
            <w:shd w:val="clear" w:color="auto" w:fill="D9D9D9"/>
            <w:vAlign w:val="center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Rating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Exam</w:t>
            </w:r>
          </w:p>
        </w:tc>
      </w:tr>
      <w:tr w:rsidR="00450CA4" w:rsidRPr="00402AB4" w:rsidTr="00397AB2">
        <w:trPr>
          <w:trHeight w:val="89"/>
          <w:jc w:val="center"/>
        </w:trPr>
        <w:tc>
          <w:tcPr>
            <w:tcW w:w="20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jc w:val="left"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Chronic Right Knee Pain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5099-5003</w:t>
            </w:r>
          </w:p>
        </w:tc>
        <w:tc>
          <w:tcPr>
            <w:tcW w:w="900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10%</w:t>
            </w:r>
          </w:p>
        </w:tc>
        <w:tc>
          <w:tcPr>
            <w:tcW w:w="253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jc w:val="left"/>
              <w:rPr>
                <w:color w:val="auto"/>
                <w:sz w:val="18"/>
              </w:rPr>
            </w:pPr>
            <w:proofErr w:type="spellStart"/>
            <w:r w:rsidRPr="00624C8F">
              <w:rPr>
                <w:color w:val="auto"/>
                <w:sz w:val="18"/>
              </w:rPr>
              <w:t>Chondromalacia</w:t>
            </w:r>
            <w:proofErr w:type="spellEnd"/>
            <w:r w:rsidRPr="00624C8F">
              <w:rPr>
                <w:color w:val="auto"/>
                <w:sz w:val="18"/>
              </w:rPr>
              <w:t xml:space="preserve"> </w:t>
            </w:r>
            <w:r w:rsidR="00397AB2">
              <w:rPr>
                <w:color w:val="auto"/>
                <w:sz w:val="18"/>
              </w:rPr>
              <w:t>R Knee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5010-5257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10%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20051220</w:t>
            </w:r>
          </w:p>
        </w:tc>
      </w:tr>
      <w:tr w:rsidR="00450CA4" w:rsidRPr="00402AB4" w:rsidTr="00397AB2">
        <w:trPr>
          <w:trHeight w:val="65"/>
          <w:jc w:val="center"/>
        </w:trPr>
        <w:tc>
          <w:tcPr>
            <w:tcW w:w="3969" w:type="dxa"/>
            <w:gridSpan w:val="3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No Additional MEB/PEB Entries</w:t>
            </w:r>
          </w:p>
        </w:tc>
        <w:tc>
          <w:tcPr>
            <w:tcW w:w="4428" w:type="dxa"/>
            <w:gridSpan w:val="3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0% x 1</w:t>
            </w:r>
            <w:r w:rsidR="00397AB2">
              <w:rPr>
                <w:color w:val="auto"/>
                <w:sz w:val="18"/>
              </w:rPr>
              <w:t xml:space="preserve"> </w:t>
            </w:r>
            <w:r w:rsidRPr="00624C8F">
              <w:rPr>
                <w:color w:val="auto"/>
                <w:sz w:val="18"/>
              </w:rPr>
              <w:t>/</w:t>
            </w:r>
            <w:r w:rsidR="00397AB2">
              <w:rPr>
                <w:color w:val="auto"/>
                <w:sz w:val="18"/>
              </w:rPr>
              <w:t xml:space="preserve"> </w:t>
            </w:r>
            <w:r w:rsidRPr="00624C8F">
              <w:rPr>
                <w:color w:val="auto"/>
                <w:sz w:val="18"/>
              </w:rPr>
              <w:t>Not Service Connected x 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50CA4" w:rsidRPr="00624C8F" w:rsidRDefault="00450CA4" w:rsidP="00397AB2">
            <w:pPr>
              <w:spacing w:line="220" w:lineRule="exact"/>
              <w:contextualSpacing/>
              <w:rPr>
                <w:color w:val="auto"/>
                <w:sz w:val="18"/>
              </w:rPr>
            </w:pPr>
            <w:r w:rsidRPr="00624C8F">
              <w:rPr>
                <w:color w:val="auto"/>
                <w:sz w:val="18"/>
              </w:rPr>
              <w:t>20051220</w:t>
            </w:r>
          </w:p>
        </w:tc>
      </w:tr>
      <w:tr w:rsidR="00450CA4" w:rsidRPr="00402AB4" w:rsidTr="00397AB2">
        <w:trPr>
          <w:trHeight w:val="242"/>
          <w:jc w:val="center"/>
        </w:trPr>
        <w:tc>
          <w:tcPr>
            <w:tcW w:w="3969" w:type="dxa"/>
            <w:gridSpan w:val="3"/>
            <w:tcBorders>
              <w:right w:val="thinThickThinSmallGap" w:sz="24" w:space="0" w:color="auto"/>
            </w:tcBorders>
            <w:shd w:val="clear" w:color="auto" w:fill="D9D9D9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Combined:  10%</w:t>
            </w:r>
          </w:p>
        </w:tc>
        <w:tc>
          <w:tcPr>
            <w:tcW w:w="5418" w:type="dxa"/>
            <w:gridSpan w:val="4"/>
            <w:tcBorders>
              <w:left w:val="thinThickThinSmallGap" w:sz="24" w:space="0" w:color="auto"/>
            </w:tcBorders>
            <w:shd w:val="clear" w:color="auto" w:fill="D9D9D9"/>
          </w:tcPr>
          <w:p w:rsidR="00450CA4" w:rsidRPr="00624C8F" w:rsidRDefault="00450CA4" w:rsidP="00397AB2">
            <w:pPr>
              <w:contextualSpacing/>
              <w:rPr>
                <w:b/>
                <w:color w:val="auto"/>
                <w:sz w:val="20"/>
              </w:rPr>
            </w:pPr>
            <w:r w:rsidRPr="00624C8F">
              <w:rPr>
                <w:b/>
                <w:color w:val="auto"/>
                <w:sz w:val="20"/>
              </w:rPr>
              <w:t>Combined:  10%</w:t>
            </w:r>
          </w:p>
        </w:tc>
      </w:tr>
    </w:tbl>
    <w:p w:rsidR="00450CA4" w:rsidRPr="001F29F9" w:rsidRDefault="00450CA4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9369A6">
      <w:pPr>
        <w:rPr>
          <w:color w:val="000000"/>
          <w:u w:val="single"/>
        </w:rPr>
      </w:pPr>
    </w:p>
    <w:p w:rsidR="00450CA4" w:rsidRPr="001F29F9" w:rsidRDefault="00450CA4" w:rsidP="005B3883">
      <w:pPr>
        <w:jc w:val="both"/>
        <w:rPr>
          <w:color w:val="000000"/>
          <w:u w:val="single"/>
        </w:rPr>
      </w:pPr>
      <w:r w:rsidRPr="001F29F9">
        <w:rPr>
          <w:color w:val="000000"/>
          <w:u w:val="single"/>
        </w:rPr>
        <w:t>ANALYSIS SUMMARY</w:t>
      </w:r>
      <w:r w:rsidRPr="001F29F9">
        <w:rPr>
          <w:color w:val="000000"/>
        </w:rPr>
        <w:t>:</w:t>
      </w:r>
      <w:r>
        <w:rPr>
          <w:color w:val="000000"/>
        </w:rPr>
        <w:t xml:space="preserve"> </w:t>
      </w:r>
    </w:p>
    <w:p w:rsidR="00450CA4" w:rsidRPr="001F29F9" w:rsidRDefault="00450CA4" w:rsidP="00BF0E94">
      <w:pPr>
        <w:jc w:val="left"/>
        <w:rPr>
          <w:color w:val="000000"/>
        </w:rPr>
      </w:pPr>
    </w:p>
    <w:p w:rsidR="007A15F8" w:rsidRDefault="00450CA4" w:rsidP="005B3883">
      <w:pPr>
        <w:jc w:val="both"/>
        <w:rPr>
          <w:rFonts w:cs="Times New Roman"/>
          <w:color w:val="auto"/>
        </w:rPr>
      </w:pPr>
      <w:proofErr w:type="gramStart"/>
      <w:r w:rsidRPr="007C0EC2">
        <w:rPr>
          <w:color w:val="000000"/>
          <w:u w:val="single"/>
        </w:rPr>
        <w:t>Right Knee Condition</w:t>
      </w:r>
      <w:r w:rsidRPr="00FF5304">
        <w:rPr>
          <w:color w:val="000000"/>
        </w:rPr>
        <w:t>.</w:t>
      </w:r>
      <w:proofErr w:type="gramEnd"/>
      <w:r w:rsidRPr="00FF5304">
        <w:rPr>
          <w:color w:val="000000"/>
        </w:rPr>
        <w:t xml:space="preserve"> </w:t>
      </w:r>
      <w:r w:rsidR="00C8325E">
        <w:rPr>
          <w:color w:val="000000"/>
        </w:rPr>
        <w:t xml:space="preserve"> After his initial fall, the CI continued to complain of </w:t>
      </w:r>
      <w:r w:rsidR="007A15F8">
        <w:rPr>
          <w:color w:val="000000"/>
        </w:rPr>
        <w:t>recurrent</w:t>
      </w:r>
      <w:r w:rsidR="00C8325E">
        <w:rPr>
          <w:color w:val="000000"/>
        </w:rPr>
        <w:t xml:space="preserve"> knee pain.  </w:t>
      </w:r>
      <w:r w:rsidR="007A15F8">
        <w:rPr>
          <w:color w:val="000000"/>
        </w:rPr>
        <w:t>R</w:t>
      </w:r>
      <w:r w:rsidR="00C8325E">
        <w:rPr>
          <w:color w:val="000000"/>
        </w:rPr>
        <w:t>adiographs were normal</w:t>
      </w:r>
      <w:r w:rsidR="008414D4">
        <w:rPr>
          <w:color w:val="000000"/>
        </w:rPr>
        <w:t>.</w:t>
      </w:r>
      <w:r w:rsidR="007A15F8">
        <w:rPr>
          <w:color w:val="000000"/>
        </w:rPr>
        <w:t xml:space="preserve"> </w:t>
      </w:r>
      <w:r w:rsidR="008414D4">
        <w:rPr>
          <w:color w:val="000000"/>
        </w:rPr>
        <w:t xml:space="preserve"> H</w:t>
      </w:r>
      <w:r w:rsidR="007A15F8">
        <w:rPr>
          <w:color w:val="000000"/>
        </w:rPr>
        <w:t>e was initially placed on</w:t>
      </w:r>
      <w:r w:rsidRPr="00FF5304">
        <w:rPr>
          <w:color w:val="000000"/>
        </w:rPr>
        <w:t xml:space="preserve"> crutches</w:t>
      </w:r>
      <w:r w:rsidR="007A15F8">
        <w:rPr>
          <w:color w:val="000000"/>
        </w:rPr>
        <w:t xml:space="preserve"> </w:t>
      </w:r>
      <w:r w:rsidR="008414D4">
        <w:rPr>
          <w:color w:val="000000"/>
        </w:rPr>
        <w:t>with progressive weight bearing,</w:t>
      </w:r>
      <w:r w:rsidR="007A15F8">
        <w:rPr>
          <w:color w:val="000000"/>
        </w:rPr>
        <w:t xml:space="preserve"> followed by anti-</w:t>
      </w:r>
      <w:proofErr w:type="spellStart"/>
      <w:r w:rsidR="007A15F8">
        <w:rPr>
          <w:color w:val="000000"/>
        </w:rPr>
        <w:t>inflammatories</w:t>
      </w:r>
      <w:proofErr w:type="spellEnd"/>
      <w:r w:rsidRPr="00FF5304">
        <w:rPr>
          <w:color w:val="000000"/>
        </w:rPr>
        <w:t xml:space="preserve"> and physical therapy. </w:t>
      </w:r>
      <w:r w:rsidR="007A15F8">
        <w:rPr>
          <w:color w:val="000000"/>
        </w:rPr>
        <w:t xml:space="preserve"> He managed a 2002 deployment to Iraq; but, after redeployment he complained of </w:t>
      </w:r>
      <w:r w:rsidRPr="00FF5304">
        <w:rPr>
          <w:color w:val="000000"/>
        </w:rPr>
        <w:t xml:space="preserve">constant pain with occasional swelling and </w:t>
      </w:r>
      <w:r w:rsidR="007A15F8">
        <w:rPr>
          <w:color w:val="000000"/>
        </w:rPr>
        <w:t xml:space="preserve">subjective </w:t>
      </w:r>
      <w:r w:rsidRPr="00FF5304">
        <w:rPr>
          <w:color w:val="000000"/>
        </w:rPr>
        <w:t xml:space="preserve">locking. </w:t>
      </w:r>
      <w:r w:rsidR="007A15F8">
        <w:rPr>
          <w:color w:val="000000"/>
        </w:rPr>
        <w:t xml:space="preserve"> Findings consistent with </w:t>
      </w:r>
      <w:proofErr w:type="spellStart"/>
      <w:r w:rsidR="007A15F8">
        <w:rPr>
          <w:color w:val="000000"/>
        </w:rPr>
        <w:t>chondromalacia</w:t>
      </w:r>
      <w:proofErr w:type="spellEnd"/>
      <w:r w:rsidR="007A15F8">
        <w:rPr>
          <w:color w:val="000000"/>
        </w:rPr>
        <w:t xml:space="preserve"> patella were demonstrated by magnetic resonance imaging in</w:t>
      </w:r>
      <w:r w:rsidRPr="00FF5304">
        <w:rPr>
          <w:color w:val="000000"/>
        </w:rPr>
        <w:t xml:space="preserve"> January 2005</w:t>
      </w:r>
      <w:r w:rsidR="007A15F8">
        <w:rPr>
          <w:color w:val="000000"/>
        </w:rPr>
        <w:t>, and degenerative changes developed on plain x-ray.</w:t>
      </w:r>
      <w:r w:rsidRPr="00FF5304">
        <w:rPr>
          <w:color w:val="000000"/>
        </w:rPr>
        <w:t xml:space="preserve"> </w:t>
      </w:r>
      <w:r w:rsidR="007A15F8">
        <w:rPr>
          <w:color w:val="000000"/>
        </w:rPr>
        <w:t xml:space="preserve"> </w:t>
      </w:r>
      <w:r w:rsidRPr="00FF5304">
        <w:rPr>
          <w:color w:val="000000"/>
        </w:rPr>
        <w:t xml:space="preserve">There were </w:t>
      </w:r>
      <w:r w:rsidR="00AF2E12">
        <w:rPr>
          <w:color w:val="000000"/>
        </w:rPr>
        <w:t>three</w:t>
      </w:r>
      <w:r w:rsidRPr="00FF5304">
        <w:rPr>
          <w:color w:val="000000"/>
        </w:rPr>
        <w:t xml:space="preserve"> goniometric range</w:t>
      </w:r>
      <w:r w:rsidR="00AF2E12">
        <w:rPr>
          <w:color w:val="000000"/>
        </w:rPr>
        <w:t>-of-</w:t>
      </w:r>
      <w:r w:rsidRPr="00FF5304">
        <w:rPr>
          <w:color w:val="000000"/>
        </w:rPr>
        <w:t>motion (ROM) evaluations in evidence, with documentation of additional ratable criteria, which the Board weighed in arriving at its rating recommendation</w:t>
      </w:r>
      <w:r w:rsidRPr="003C53E8">
        <w:rPr>
          <w:rFonts w:cs="Times New Roman"/>
          <w:color w:val="auto"/>
        </w:rPr>
        <w:t>.</w:t>
      </w:r>
      <w:r w:rsidR="007A15F8">
        <w:rPr>
          <w:rFonts w:cs="Times New Roman"/>
          <w:color w:val="auto"/>
        </w:rPr>
        <w:t xml:space="preserve">  </w:t>
      </w:r>
      <w:r w:rsidR="00607D3A">
        <w:rPr>
          <w:rFonts w:cs="Times New Roman"/>
          <w:color w:val="auto"/>
        </w:rPr>
        <w:t>The MEB exam was supplemented by an orthopedic adden</w:t>
      </w:r>
      <w:r w:rsidR="00AF2E12">
        <w:rPr>
          <w:rFonts w:cs="Times New Roman"/>
          <w:color w:val="auto"/>
        </w:rPr>
        <w:t>dum; and, the findings of both s</w:t>
      </w:r>
      <w:r w:rsidR="00607D3A">
        <w:rPr>
          <w:rFonts w:cs="Times New Roman"/>
          <w:color w:val="auto"/>
        </w:rPr>
        <w:t xml:space="preserve">ervice examiners, as well as the post-separation </w:t>
      </w:r>
      <w:r w:rsidR="00AF2E12">
        <w:rPr>
          <w:rFonts w:cs="Times New Roman"/>
          <w:color w:val="auto"/>
        </w:rPr>
        <w:t>Department of Veterans’ Affairs (D</w:t>
      </w:r>
      <w:r w:rsidR="00607D3A">
        <w:rPr>
          <w:rFonts w:cs="Times New Roman"/>
          <w:color w:val="auto"/>
        </w:rPr>
        <w:t>VA</w:t>
      </w:r>
      <w:r w:rsidR="00AF2E12">
        <w:rPr>
          <w:rFonts w:cs="Times New Roman"/>
          <w:color w:val="auto"/>
        </w:rPr>
        <w:t>)</w:t>
      </w:r>
      <w:r w:rsidR="00607D3A">
        <w:rPr>
          <w:rFonts w:cs="Times New Roman"/>
          <w:color w:val="auto"/>
        </w:rPr>
        <w:t xml:space="preserve"> </w:t>
      </w:r>
      <w:r w:rsidR="00607D3A" w:rsidRPr="003C53E8">
        <w:rPr>
          <w:rFonts w:cs="Times New Roman"/>
          <w:color w:val="auto"/>
        </w:rPr>
        <w:t xml:space="preserve">Compensation &amp; Pension (C&amp;P) </w:t>
      </w:r>
      <w:r w:rsidR="00607D3A">
        <w:rPr>
          <w:rFonts w:cs="Times New Roman"/>
          <w:color w:val="auto"/>
        </w:rPr>
        <w:t xml:space="preserve">examiner </w:t>
      </w:r>
      <w:r w:rsidR="007A15F8">
        <w:rPr>
          <w:rFonts w:cs="Times New Roman"/>
          <w:color w:val="auto"/>
        </w:rPr>
        <w:t xml:space="preserve">are summarized in the </w:t>
      </w:r>
      <w:r w:rsidR="00AF2E12">
        <w:rPr>
          <w:rFonts w:cs="Times New Roman"/>
          <w:color w:val="auto"/>
        </w:rPr>
        <w:t>following chart</w:t>
      </w:r>
      <w:r w:rsidR="007A15F8">
        <w:rPr>
          <w:rFonts w:cs="Times New Roman"/>
          <w:color w:val="auto"/>
        </w:rPr>
        <w:t>.</w:t>
      </w:r>
    </w:p>
    <w:p w:rsidR="00397AB2" w:rsidRDefault="007A15F8" w:rsidP="007A15F8">
      <w:pPr>
        <w:spacing w:line="240" w:lineRule="auto"/>
        <w:jc w:val="left"/>
        <w:rPr>
          <w:rFonts w:cs="Times New Roman"/>
          <w:color w:val="auto"/>
        </w:rPr>
      </w:pPr>
      <w:r>
        <w:rPr>
          <w:rFonts w:cs="Times New Roman"/>
          <w:color w:val="auto"/>
        </w:rPr>
        <w:br w:type="page"/>
      </w:r>
    </w:p>
    <w:tbl>
      <w:tblPr>
        <w:tblpPr w:leftFromText="180" w:rightFromText="180" w:vertAnchor="text" w:tblpXSpec="center" w:tblpY="1"/>
        <w:tblOverlap w:val="never"/>
        <w:tblW w:w="8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5"/>
        <w:gridCol w:w="1993"/>
        <w:gridCol w:w="1980"/>
        <w:gridCol w:w="2250"/>
      </w:tblGrid>
      <w:tr w:rsidR="0086739A" w:rsidRPr="003E146D" w:rsidTr="0086739A">
        <w:tc>
          <w:tcPr>
            <w:tcW w:w="2075" w:type="dxa"/>
            <w:shd w:val="clear" w:color="auto" w:fill="D9D9D9"/>
            <w:vAlign w:val="center"/>
          </w:tcPr>
          <w:p w:rsidR="00397AB2" w:rsidRPr="003E146D" w:rsidRDefault="00397AB2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Right</w:t>
            </w:r>
            <w:r w:rsidRPr="003E146D">
              <w:rPr>
                <w:color w:val="000000"/>
                <w:sz w:val="20"/>
              </w:rPr>
              <w:t xml:space="preserve"> Knee ROM</w:t>
            </w:r>
          </w:p>
        </w:tc>
        <w:tc>
          <w:tcPr>
            <w:tcW w:w="1993" w:type="dxa"/>
            <w:shd w:val="clear" w:color="auto" w:fill="D9D9D9"/>
            <w:vAlign w:val="center"/>
          </w:tcPr>
          <w:p w:rsidR="00397AB2" w:rsidRPr="003E146D" w:rsidRDefault="00397AB2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3E146D">
              <w:rPr>
                <w:color w:val="000000"/>
                <w:sz w:val="20"/>
              </w:rPr>
              <w:t xml:space="preserve">Ortho </w:t>
            </w:r>
            <w:r>
              <w:rPr>
                <w:color w:val="000000"/>
                <w:sz w:val="20"/>
              </w:rPr>
              <w:t>~2</w:t>
            </w:r>
            <w:r w:rsidRPr="003E146D">
              <w:rPr>
                <w:color w:val="000000"/>
                <w:sz w:val="20"/>
              </w:rPr>
              <w:t xml:space="preserve"> Mo. Pre-Sep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397AB2" w:rsidRPr="003E146D" w:rsidRDefault="00397AB2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MEB ~1</w:t>
            </w:r>
            <w:r w:rsidRPr="003E146D">
              <w:rPr>
                <w:color w:val="000000"/>
                <w:sz w:val="20"/>
              </w:rPr>
              <w:t xml:space="preserve"> Mo. Pre-Sep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397AB2" w:rsidRPr="003E146D" w:rsidRDefault="00397AB2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 C&amp;P ~3</w:t>
            </w:r>
            <w:r w:rsidRPr="003E146D">
              <w:rPr>
                <w:color w:val="000000"/>
                <w:sz w:val="20"/>
              </w:rPr>
              <w:t xml:space="preserve"> Mo. Post-Sep</w:t>
            </w:r>
          </w:p>
        </w:tc>
      </w:tr>
      <w:tr w:rsidR="0086739A" w:rsidRPr="003E146D" w:rsidTr="0086739A">
        <w:tc>
          <w:tcPr>
            <w:tcW w:w="2075" w:type="dxa"/>
            <w:vAlign w:val="center"/>
          </w:tcPr>
          <w:p w:rsidR="00F10307" w:rsidRPr="00397AB2" w:rsidRDefault="00F10307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397AB2">
              <w:rPr>
                <w:color w:val="000000"/>
                <w:sz w:val="20"/>
              </w:rPr>
              <w:t>Flexion (140⁰ Normal)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F10307" w:rsidRPr="00F10307" w:rsidRDefault="00F10307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F10307">
              <w:rPr>
                <w:color w:val="000000"/>
                <w:sz w:val="20"/>
              </w:rPr>
              <w:t>140⁰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10307" w:rsidRPr="00F10307" w:rsidRDefault="00F10307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F10307">
              <w:rPr>
                <w:color w:val="000000"/>
                <w:sz w:val="20"/>
              </w:rPr>
              <w:t>&gt; 135⁰</w:t>
            </w:r>
          </w:p>
        </w:tc>
        <w:tc>
          <w:tcPr>
            <w:tcW w:w="2250" w:type="dxa"/>
            <w:vAlign w:val="center"/>
          </w:tcPr>
          <w:p w:rsidR="00F10307" w:rsidRPr="00F10307" w:rsidRDefault="00F10307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F10307">
              <w:rPr>
                <w:color w:val="000000"/>
                <w:sz w:val="20"/>
              </w:rPr>
              <w:t>130⁰</w:t>
            </w:r>
          </w:p>
        </w:tc>
      </w:tr>
      <w:tr w:rsidR="0086739A" w:rsidRPr="003E146D" w:rsidTr="0086739A"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F10307" w:rsidRPr="00397AB2" w:rsidRDefault="00F10307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397AB2">
              <w:rPr>
                <w:color w:val="000000"/>
                <w:sz w:val="20"/>
              </w:rPr>
              <w:t>Extension (0⁰ Normal)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307" w:rsidRPr="00F10307" w:rsidRDefault="00F10307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F10307">
              <w:rPr>
                <w:color w:val="000000"/>
                <w:sz w:val="20"/>
              </w:rPr>
              <w:t>0⁰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307" w:rsidRPr="00F10307" w:rsidRDefault="00F10307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F10307">
              <w:rPr>
                <w:color w:val="000000"/>
                <w:sz w:val="20"/>
              </w:rPr>
              <w:t>0⁰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10307" w:rsidRPr="00F10307" w:rsidRDefault="00F10307" w:rsidP="00F10307">
            <w:pPr>
              <w:spacing w:line="220" w:lineRule="exact"/>
              <w:contextualSpacing/>
              <w:rPr>
                <w:color w:val="000000"/>
                <w:sz w:val="20"/>
              </w:rPr>
            </w:pPr>
            <w:r w:rsidRPr="00F10307">
              <w:rPr>
                <w:color w:val="000000"/>
                <w:sz w:val="20"/>
              </w:rPr>
              <w:t>0⁰</w:t>
            </w:r>
          </w:p>
        </w:tc>
      </w:tr>
      <w:tr w:rsidR="0086739A" w:rsidRPr="003E146D" w:rsidTr="0086739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397AB2" w:rsidRDefault="0086739A" w:rsidP="00F10307">
            <w:pPr>
              <w:tabs>
                <w:tab w:val="left" w:pos="288"/>
                <w:tab w:val="left" w:pos="4752"/>
              </w:tabs>
              <w:spacing w:line="220" w:lineRule="exact"/>
              <w:rPr>
                <w:color w:val="000000"/>
                <w:sz w:val="20"/>
              </w:rPr>
            </w:pPr>
            <w:r w:rsidRPr="00397AB2">
              <w:rPr>
                <w:color w:val="000000"/>
                <w:sz w:val="20"/>
              </w:rPr>
              <w:t>Comment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9A" w:rsidRPr="00397AB2" w:rsidRDefault="0086739A" w:rsidP="0086739A">
            <w:pPr>
              <w:tabs>
                <w:tab w:val="left" w:pos="288"/>
                <w:tab w:val="left" w:pos="4752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 exams: + tenderness; painful motion stated or assumed; no instability.</w:t>
            </w:r>
          </w:p>
        </w:tc>
      </w:tr>
      <w:tr w:rsidR="0086739A" w:rsidRPr="003E146D" w:rsidTr="0086739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2" w:rsidRPr="00397AB2" w:rsidRDefault="00397AB2" w:rsidP="00F10307">
            <w:pPr>
              <w:tabs>
                <w:tab w:val="left" w:pos="288"/>
                <w:tab w:val="left" w:pos="4752"/>
              </w:tabs>
              <w:spacing w:line="220" w:lineRule="exact"/>
              <w:rPr>
                <w:color w:val="000000"/>
                <w:sz w:val="20"/>
              </w:rPr>
            </w:pPr>
            <w:r w:rsidRPr="00397AB2">
              <w:rPr>
                <w:color w:val="000000"/>
                <w:sz w:val="20"/>
              </w:rPr>
              <w:t>§4.71a Rating</w:t>
            </w:r>
            <w:r w:rsidR="0086739A">
              <w:rPr>
                <w:color w:val="000000"/>
                <w:sz w:val="20"/>
              </w:rPr>
              <w:t>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2" w:rsidRPr="00397AB2" w:rsidRDefault="0086739A" w:rsidP="00F10307">
            <w:pPr>
              <w:tabs>
                <w:tab w:val="left" w:pos="288"/>
                <w:tab w:val="left" w:pos="4752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97AB2" w:rsidRPr="00397AB2">
              <w:rPr>
                <w:color w:val="000000"/>
                <w:sz w:val="20"/>
              </w:rPr>
              <w:t>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2" w:rsidRPr="00397AB2" w:rsidRDefault="00F10307" w:rsidP="00F10307">
            <w:pPr>
              <w:tabs>
                <w:tab w:val="left" w:pos="288"/>
                <w:tab w:val="left" w:pos="4752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97AB2" w:rsidRPr="00397AB2">
              <w:rPr>
                <w:color w:val="000000"/>
                <w:sz w:val="20"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2" w:rsidRPr="00397AB2" w:rsidRDefault="00397AB2" w:rsidP="00F10307">
            <w:pPr>
              <w:tabs>
                <w:tab w:val="left" w:pos="288"/>
                <w:tab w:val="left" w:pos="4752"/>
              </w:tabs>
              <w:spacing w:line="220" w:lineRule="exact"/>
              <w:rPr>
                <w:color w:val="000000"/>
                <w:sz w:val="20"/>
              </w:rPr>
            </w:pPr>
            <w:r w:rsidRPr="00397AB2">
              <w:rPr>
                <w:color w:val="000000"/>
                <w:sz w:val="20"/>
              </w:rPr>
              <w:t>10%</w:t>
            </w:r>
          </w:p>
        </w:tc>
      </w:tr>
    </w:tbl>
    <w:p w:rsidR="00397AB2" w:rsidRPr="00F10307" w:rsidRDefault="0086739A" w:rsidP="0086739A">
      <w:pPr>
        <w:jc w:val="both"/>
        <w:rPr>
          <w:rFonts w:cs="Times New Roman"/>
          <w:color w:val="auto"/>
          <w:sz w:val="20"/>
        </w:rPr>
      </w:pPr>
      <w:r>
        <w:rPr>
          <w:rFonts w:cs="Times New Roman"/>
          <w:color w:val="auto"/>
          <w:sz w:val="20"/>
        </w:rPr>
        <w:t xml:space="preserve">           </w:t>
      </w:r>
      <w:r w:rsidR="00F10307">
        <w:rPr>
          <w:rFonts w:cs="Times New Roman"/>
          <w:color w:val="auto"/>
          <w:sz w:val="20"/>
        </w:rPr>
        <w:t>*</w:t>
      </w:r>
      <w:r w:rsidR="00F10307" w:rsidRPr="00F10307">
        <w:rPr>
          <w:rFonts w:cs="Times New Roman"/>
          <w:color w:val="auto"/>
          <w:sz w:val="20"/>
        </w:rPr>
        <w:t>Conceding §4.59 (painful motion)</w:t>
      </w:r>
      <w:r w:rsidR="00F10307">
        <w:rPr>
          <w:rFonts w:cs="Times New Roman"/>
          <w:color w:val="auto"/>
          <w:sz w:val="20"/>
        </w:rPr>
        <w:t>.</w:t>
      </w:r>
    </w:p>
    <w:p w:rsidR="00450CA4" w:rsidRPr="003C53E8" w:rsidRDefault="00450CA4" w:rsidP="003C53E8">
      <w:pPr>
        <w:tabs>
          <w:tab w:val="left" w:pos="288"/>
          <w:tab w:val="left" w:pos="4752"/>
        </w:tabs>
        <w:jc w:val="left"/>
        <w:rPr>
          <w:rFonts w:cs="Times New Roman"/>
          <w:color w:val="auto"/>
        </w:rPr>
      </w:pPr>
    </w:p>
    <w:p w:rsidR="00450CA4" w:rsidRPr="003C53E8" w:rsidRDefault="00450CA4" w:rsidP="005B3883">
      <w:pPr>
        <w:tabs>
          <w:tab w:val="left" w:pos="288"/>
          <w:tab w:val="left" w:pos="4752"/>
        </w:tabs>
        <w:jc w:val="both"/>
        <w:rPr>
          <w:rFonts w:cs="Times New Roman"/>
          <w:color w:val="auto"/>
        </w:rPr>
      </w:pPr>
      <w:r w:rsidRPr="003C53E8">
        <w:rPr>
          <w:rFonts w:cs="Times New Roman"/>
          <w:color w:val="auto"/>
        </w:rPr>
        <w:t>At the MEB exam, the CI reported constant slight anterior knee pain</w:t>
      </w:r>
      <w:r w:rsidR="00607D3A">
        <w:rPr>
          <w:rFonts w:cs="Times New Roman"/>
          <w:color w:val="auto"/>
        </w:rPr>
        <w:t>.  Pain was</w:t>
      </w:r>
      <w:r w:rsidRPr="003C53E8">
        <w:rPr>
          <w:rFonts w:cs="Times New Roman"/>
          <w:color w:val="auto"/>
        </w:rPr>
        <w:t xml:space="preserve"> exacerbated</w:t>
      </w:r>
      <w:r w:rsidR="00607D3A">
        <w:rPr>
          <w:rFonts w:cs="Times New Roman"/>
          <w:color w:val="auto"/>
        </w:rPr>
        <w:t xml:space="preserve"> and swelling was precipitated</w:t>
      </w:r>
      <w:r w:rsidRPr="003C53E8">
        <w:rPr>
          <w:rFonts w:cs="Times New Roman"/>
          <w:color w:val="auto"/>
        </w:rPr>
        <w:t xml:space="preserve"> by running, walking, climbing stairs, marching, bending, squatting and wearing combat gear. </w:t>
      </w:r>
      <w:r w:rsidR="00607D3A">
        <w:rPr>
          <w:rFonts w:cs="Times New Roman"/>
          <w:color w:val="auto"/>
        </w:rPr>
        <w:t xml:space="preserve"> The physical examination documented</w:t>
      </w:r>
      <w:r w:rsidRPr="003C53E8">
        <w:rPr>
          <w:rFonts w:cs="Times New Roman"/>
          <w:color w:val="auto"/>
        </w:rPr>
        <w:t xml:space="preserve"> a full </w:t>
      </w:r>
      <w:r w:rsidR="00AF2E12">
        <w:rPr>
          <w:rFonts w:cs="Times New Roman"/>
          <w:color w:val="auto"/>
        </w:rPr>
        <w:t>ROM</w:t>
      </w:r>
      <w:r w:rsidRPr="003C53E8">
        <w:rPr>
          <w:rFonts w:cs="Times New Roman"/>
          <w:color w:val="auto"/>
        </w:rPr>
        <w:t xml:space="preserve"> with</w:t>
      </w:r>
      <w:r w:rsidR="00607D3A">
        <w:rPr>
          <w:rFonts w:cs="Times New Roman"/>
          <w:color w:val="auto"/>
        </w:rPr>
        <w:t xml:space="preserve">out signs of cartilage impingement or laxity to stress maneuvers.  </w:t>
      </w:r>
      <w:r w:rsidR="007966CC">
        <w:rPr>
          <w:rFonts w:cs="Times New Roman"/>
          <w:color w:val="auto"/>
        </w:rPr>
        <w:t xml:space="preserve">There was no effusion or mechanical locking.  </w:t>
      </w:r>
      <w:r w:rsidR="00607D3A">
        <w:rPr>
          <w:rFonts w:cs="Times New Roman"/>
          <w:color w:val="auto"/>
        </w:rPr>
        <w:t>These findings were confirmed by the orthopedic consultant</w:t>
      </w:r>
      <w:r w:rsidRPr="003C53E8">
        <w:rPr>
          <w:rFonts w:cs="Times New Roman"/>
          <w:color w:val="auto"/>
        </w:rPr>
        <w:t xml:space="preserve">. </w:t>
      </w:r>
      <w:r w:rsidR="0086739A">
        <w:rPr>
          <w:rFonts w:cs="Times New Roman"/>
          <w:color w:val="auto"/>
        </w:rPr>
        <w:t xml:space="preserve"> </w:t>
      </w:r>
      <w:r w:rsidRPr="003C53E8">
        <w:rPr>
          <w:rFonts w:cs="Times New Roman"/>
          <w:color w:val="auto"/>
        </w:rPr>
        <w:t xml:space="preserve">At the VA </w:t>
      </w:r>
      <w:r w:rsidR="0086739A">
        <w:rPr>
          <w:rFonts w:cs="Times New Roman"/>
          <w:color w:val="auto"/>
        </w:rPr>
        <w:t xml:space="preserve">C&amp;P </w:t>
      </w:r>
      <w:r w:rsidRPr="003C53E8">
        <w:rPr>
          <w:rFonts w:cs="Times New Roman"/>
          <w:color w:val="auto"/>
        </w:rPr>
        <w:t>exam</w:t>
      </w:r>
      <w:r w:rsidR="00AF2E12">
        <w:rPr>
          <w:rFonts w:cs="Times New Roman"/>
          <w:color w:val="auto"/>
        </w:rPr>
        <w:t xml:space="preserve"> after separation</w:t>
      </w:r>
      <w:r w:rsidRPr="003C53E8">
        <w:rPr>
          <w:rFonts w:cs="Times New Roman"/>
          <w:color w:val="auto"/>
        </w:rPr>
        <w:t xml:space="preserve">, the CI continued to report constant pain </w:t>
      </w:r>
      <w:r w:rsidR="0086739A">
        <w:rPr>
          <w:rFonts w:cs="Times New Roman"/>
          <w:color w:val="auto"/>
        </w:rPr>
        <w:t xml:space="preserve">(rated </w:t>
      </w:r>
      <w:r w:rsidRPr="003C53E8">
        <w:rPr>
          <w:rFonts w:cs="Times New Roman"/>
          <w:color w:val="auto"/>
        </w:rPr>
        <w:t>4-5 of 10</w:t>
      </w:r>
      <w:r w:rsidR="0086739A">
        <w:rPr>
          <w:rFonts w:cs="Times New Roman"/>
          <w:color w:val="auto"/>
        </w:rPr>
        <w:t>)</w:t>
      </w:r>
      <w:r w:rsidRPr="003C53E8">
        <w:rPr>
          <w:rFonts w:cs="Times New Roman"/>
          <w:color w:val="auto"/>
        </w:rPr>
        <w:t xml:space="preserve">. </w:t>
      </w:r>
      <w:r w:rsidR="0086739A">
        <w:rPr>
          <w:rFonts w:cs="Times New Roman"/>
          <w:color w:val="auto"/>
        </w:rPr>
        <w:t xml:space="preserve"> The VA physical examination documented </w:t>
      </w:r>
      <w:r w:rsidRPr="003C53E8">
        <w:rPr>
          <w:rFonts w:cs="Times New Roman"/>
          <w:color w:val="auto"/>
        </w:rPr>
        <w:t>a normal gait</w:t>
      </w:r>
      <w:r w:rsidR="0086739A">
        <w:rPr>
          <w:rFonts w:cs="Times New Roman"/>
          <w:color w:val="auto"/>
        </w:rPr>
        <w:t>,</w:t>
      </w:r>
      <w:r w:rsidRPr="003C53E8">
        <w:rPr>
          <w:rFonts w:cs="Times New Roman"/>
          <w:color w:val="auto"/>
        </w:rPr>
        <w:t xml:space="preserve"> </w:t>
      </w:r>
      <w:r w:rsidR="0086739A">
        <w:rPr>
          <w:rFonts w:cs="Times New Roman"/>
          <w:color w:val="auto"/>
        </w:rPr>
        <w:t xml:space="preserve">patellar tenderness without </w:t>
      </w:r>
      <w:proofErr w:type="spellStart"/>
      <w:r w:rsidR="0086739A">
        <w:rPr>
          <w:rFonts w:cs="Times New Roman"/>
          <w:color w:val="auto"/>
        </w:rPr>
        <w:t>crepitus</w:t>
      </w:r>
      <w:proofErr w:type="spellEnd"/>
      <w:r w:rsidR="0086739A">
        <w:rPr>
          <w:rFonts w:cs="Times New Roman"/>
          <w:color w:val="auto"/>
        </w:rPr>
        <w:t xml:space="preserve">, and stability </w:t>
      </w:r>
      <w:r w:rsidR="007966CC">
        <w:rPr>
          <w:rFonts w:cs="Times New Roman"/>
          <w:color w:val="auto"/>
        </w:rPr>
        <w:t>to</w:t>
      </w:r>
      <w:r w:rsidR="0086739A">
        <w:rPr>
          <w:rFonts w:cs="Times New Roman"/>
          <w:color w:val="auto"/>
        </w:rPr>
        <w:t xml:space="preserve"> stress testing</w:t>
      </w:r>
      <w:r w:rsidR="007966CC">
        <w:rPr>
          <w:rFonts w:cs="Times New Roman"/>
          <w:color w:val="auto"/>
        </w:rPr>
        <w:t>.</w:t>
      </w:r>
    </w:p>
    <w:p w:rsidR="00450CA4" w:rsidRPr="003C53E8" w:rsidRDefault="00450CA4" w:rsidP="003C53E8">
      <w:pPr>
        <w:tabs>
          <w:tab w:val="left" w:pos="288"/>
          <w:tab w:val="left" w:pos="4752"/>
        </w:tabs>
        <w:jc w:val="left"/>
        <w:rPr>
          <w:rFonts w:cs="Times New Roman"/>
          <w:color w:val="auto"/>
        </w:rPr>
      </w:pPr>
    </w:p>
    <w:p w:rsidR="00274660" w:rsidRPr="00274660" w:rsidRDefault="00450CA4" w:rsidP="00274660">
      <w:pPr>
        <w:tabs>
          <w:tab w:val="left" w:pos="288"/>
          <w:tab w:val="left" w:pos="4752"/>
        </w:tabs>
        <w:jc w:val="both"/>
        <w:rPr>
          <w:rFonts w:cs="Arial"/>
          <w:color w:val="000000"/>
        </w:rPr>
      </w:pPr>
      <w:r w:rsidRPr="009A7578">
        <w:rPr>
          <w:rFonts w:cs="Times New Roman"/>
          <w:color w:val="auto"/>
        </w:rPr>
        <w:t>The Board directs attention to its ra</w:t>
      </w:r>
      <w:r w:rsidR="007966CC">
        <w:rPr>
          <w:rFonts w:cs="Times New Roman"/>
          <w:color w:val="auto"/>
        </w:rPr>
        <w:t>ting recommendation</w:t>
      </w:r>
      <w:r w:rsidRPr="009A7578">
        <w:rPr>
          <w:rFonts w:cs="Times New Roman"/>
          <w:color w:val="auto"/>
        </w:rPr>
        <w:t xml:space="preserve"> </w:t>
      </w:r>
      <w:r w:rsidR="007966CC">
        <w:rPr>
          <w:rFonts w:cs="Times New Roman"/>
          <w:color w:val="auto"/>
        </w:rPr>
        <w:t>based on the above evidence</w:t>
      </w:r>
      <w:r w:rsidRPr="009A7578">
        <w:rPr>
          <w:rFonts w:cs="Times New Roman"/>
          <w:color w:val="auto"/>
        </w:rPr>
        <w:t>.</w:t>
      </w:r>
      <w:r w:rsidR="007966CC">
        <w:rPr>
          <w:rFonts w:cs="Times New Roman"/>
          <w:color w:val="auto"/>
        </w:rPr>
        <w:t xml:space="preserve"> </w:t>
      </w:r>
      <w:r w:rsidRPr="005B3883">
        <w:rPr>
          <w:rFonts w:cs="Times New Roman"/>
          <w:color w:val="auto"/>
        </w:rPr>
        <w:t xml:space="preserve"> </w:t>
      </w:r>
      <w:r w:rsidRPr="003C53E8">
        <w:rPr>
          <w:rFonts w:cs="Times New Roman"/>
          <w:color w:val="auto"/>
        </w:rPr>
        <w:t xml:space="preserve">The PEB and VA chose different coding options for the condition, but this did not bear on rating. </w:t>
      </w:r>
      <w:r w:rsidR="007966CC">
        <w:rPr>
          <w:rFonts w:cs="Times New Roman"/>
          <w:color w:val="auto"/>
        </w:rPr>
        <w:t xml:space="preserve"> The PEB</w:t>
      </w:r>
      <w:r w:rsidRPr="007C0EC2">
        <w:rPr>
          <w:rFonts w:cs="Times New Roman"/>
          <w:color w:val="auto"/>
        </w:rPr>
        <w:t xml:space="preserve"> </w:t>
      </w:r>
      <w:r w:rsidR="007966CC">
        <w:rPr>
          <w:rFonts w:cs="Times New Roman"/>
          <w:color w:val="auto"/>
        </w:rPr>
        <w:t>applied</w:t>
      </w:r>
      <w:r w:rsidRPr="007C0EC2">
        <w:rPr>
          <w:rFonts w:cs="Times New Roman"/>
          <w:color w:val="auto"/>
        </w:rPr>
        <w:t xml:space="preserve"> the USAPDA pain policy </w:t>
      </w:r>
      <w:r w:rsidR="007966CC">
        <w:rPr>
          <w:rFonts w:cs="Times New Roman"/>
          <w:color w:val="auto"/>
        </w:rPr>
        <w:t>to</w:t>
      </w:r>
      <w:r w:rsidRPr="007C0EC2">
        <w:rPr>
          <w:rFonts w:cs="Times New Roman"/>
          <w:color w:val="auto"/>
        </w:rPr>
        <w:t xml:space="preserve"> rating, but its 10% determination was consistent with §4.71a standards.</w:t>
      </w:r>
      <w:r w:rsidR="007966CC">
        <w:rPr>
          <w:rFonts w:cs="Times New Roman"/>
          <w:color w:val="auto"/>
        </w:rPr>
        <w:t xml:space="preserve"> The PEB’s analogous 5003 (</w:t>
      </w:r>
      <w:r w:rsidR="007966CC" w:rsidRPr="007C0EC2">
        <w:rPr>
          <w:rFonts w:cs="Times New Roman"/>
          <w:color w:val="auto"/>
        </w:rPr>
        <w:t>degenerative arthritis</w:t>
      </w:r>
      <w:r w:rsidR="007966CC">
        <w:rPr>
          <w:rFonts w:cs="Times New Roman"/>
          <w:color w:val="auto"/>
        </w:rPr>
        <w:t xml:space="preserve">) coding option was supported by x-ray evidence.  The VA’s hyphenated coding for </w:t>
      </w:r>
      <w:r w:rsidR="007966CC" w:rsidRPr="007C0EC2">
        <w:rPr>
          <w:rFonts w:cs="Times New Roman"/>
          <w:color w:val="auto"/>
        </w:rPr>
        <w:t>5010 (</w:t>
      </w:r>
      <w:r w:rsidR="007966CC">
        <w:rPr>
          <w:rFonts w:cs="Times New Roman"/>
          <w:color w:val="auto"/>
        </w:rPr>
        <w:t xml:space="preserve">traumatic </w:t>
      </w:r>
      <w:r w:rsidR="007966CC" w:rsidRPr="007C0EC2">
        <w:rPr>
          <w:rFonts w:cs="Times New Roman"/>
          <w:color w:val="auto"/>
        </w:rPr>
        <w:t>arthritis</w:t>
      </w:r>
      <w:r w:rsidR="007966CC">
        <w:rPr>
          <w:rFonts w:cs="Times New Roman"/>
          <w:color w:val="auto"/>
        </w:rPr>
        <w:t xml:space="preserve">) rated as </w:t>
      </w:r>
      <w:r w:rsidR="007966CC" w:rsidRPr="007C0EC2">
        <w:rPr>
          <w:rFonts w:cs="Times New Roman"/>
          <w:color w:val="auto"/>
        </w:rPr>
        <w:t>5257 (</w:t>
      </w:r>
      <w:r w:rsidR="007966CC">
        <w:rPr>
          <w:rFonts w:cs="Times New Roman"/>
          <w:color w:val="auto"/>
        </w:rPr>
        <w:t xml:space="preserve">knee </w:t>
      </w:r>
      <w:r w:rsidR="007966CC">
        <w:rPr>
          <w:rFonts w:cs="Arial"/>
          <w:color w:val="000000"/>
        </w:rPr>
        <w:t>joint</w:t>
      </w:r>
      <w:r w:rsidR="007966CC" w:rsidRPr="005B3883">
        <w:rPr>
          <w:rFonts w:cs="Arial"/>
          <w:color w:val="000000"/>
        </w:rPr>
        <w:t xml:space="preserve"> instability)</w:t>
      </w:r>
      <w:r w:rsidR="007966CC">
        <w:rPr>
          <w:rFonts w:cs="Arial"/>
          <w:color w:val="000000"/>
        </w:rPr>
        <w:t xml:space="preserve"> is somewhat enigmatic considering the absence of ratable findings for instability.  </w:t>
      </w:r>
      <w:r w:rsidR="00274660">
        <w:rPr>
          <w:rFonts w:cs="Arial"/>
          <w:color w:val="000000"/>
        </w:rPr>
        <w:t xml:space="preserve">There was no compensable limitation of ROM or evidence supporting a rating higher than 10% under any of the available joint codes; and, no instability which would support dual ratings under 5257 and another code.  </w:t>
      </w:r>
      <w:r w:rsidR="00274660" w:rsidRPr="00274660">
        <w:rPr>
          <w:rFonts w:cs="Arial"/>
          <w:color w:val="000000"/>
        </w:rPr>
        <w:t xml:space="preserve">After due deliberation, considering all of the evidence and mindful of VASRD §4.3 (reasonable doubt), the Board concluded that there was insufficient cause to recommend a change in the PEB adjudication for the </w:t>
      </w:r>
      <w:r w:rsidR="00274660">
        <w:rPr>
          <w:rFonts w:cs="Arial"/>
          <w:color w:val="000000"/>
        </w:rPr>
        <w:t>right knee</w:t>
      </w:r>
      <w:r w:rsidR="00274660" w:rsidRPr="00274660">
        <w:rPr>
          <w:rFonts w:cs="Arial"/>
          <w:color w:val="000000"/>
        </w:rPr>
        <w:t xml:space="preserve"> condition.</w:t>
      </w:r>
    </w:p>
    <w:p w:rsidR="00450CA4" w:rsidRPr="001F29F9" w:rsidRDefault="00450CA4" w:rsidP="006364ED">
      <w:pPr>
        <w:jc w:val="left"/>
        <w:rPr>
          <w:rFonts w:eastAsia="HiddenHorzOCR"/>
          <w:color w:val="000000"/>
        </w:rPr>
      </w:pPr>
    </w:p>
    <w:p w:rsidR="00450CA4" w:rsidRPr="001F29F9" w:rsidRDefault="00450CA4" w:rsidP="00A02AA8">
      <w:pPr>
        <w:jc w:val="both"/>
        <w:rPr>
          <w:color w:val="000000"/>
        </w:rPr>
      </w:pPr>
      <w:proofErr w:type="gramStart"/>
      <w:r w:rsidRPr="001F29F9">
        <w:rPr>
          <w:color w:val="000000"/>
          <w:u w:val="single"/>
        </w:rPr>
        <w:t>Remaining Conditions.</w:t>
      </w:r>
      <w:proofErr w:type="gramEnd"/>
      <w:r w:rsidRPr="001F29F9">
        <w:rPr>
          <w:color w:val="000000"/>
        </w:rPr>
        <w:t xml:space="preserve"> Other conditions identified in the DES file were headaches, nodular lesions, and </w:t>
      </w:r>
      <w:proofErr w:type="spellStart"/>
      <w:r w:rsidRPr="001F29F9">
        <w:rPr>
          <w:color w:val="000000"/>
        </w:rPr>
        <w:t>hyperlipidemi</w:t>
      </w:r>
      <w:r w:rsidRPr="007C0EC2">
        <w:rPr>
          <w:color w:val="000000"/>
        </w:rPr>
        <w:t>a</w:t>
      </w:r>
      <w:proofErr w:type="spellEnd"/>
      <w:r w:rsidRPr="007C0EC2">
        <w:rPr>
          <w:color w:val="000000"/>
        </w:rPr>
        <w:t xml:space="preserve">. </w:t>
      </w:r>
      <w:r w:rsidR="00274660">
        <w:rPr>
          <w:color w:val="000000"/>
        </w:rPr>
        <w:t xml:space="preserve"> </w:t>
      </w:r>
      <w:r w:rsidRPr="007C0EC2">
        <w:rPr>
          <w:color w:val="000000"/>
        </w:rPr>
        <w:t>Several additional non-acute conditions or medical complaints were also documented.</w:t>
      </w:r>
      <w:r w:rsidR="00274660">
        <w:rPr>
          <w:color w:val="000000"/>
        </w:rPr>
        <w:t xml:space="preserve"> </w:t>
      </w:r>
      <w:r w:rsidRPr="007C0EC2">
        <w:rPr>
          <w:color w:val="000000"/>
        </w:rPr>
        <w:t xml:space="preserve"> None of these conditions were significantly clinically or occupational</w:t>
      </w:r>
      <w:r w:rsidR="00274660">
        <w:rPr>
          <w:color w:val="000000"/>
        </w:rPr>
        <w:t>ly active during the MEB period; none carried attached profiles;</w:t>
      </w:r>
      <w:r w:rsidRPr="007C0EC2">
        <w:rPr>
          <w:color w:val="000000"/>
        </w:rPr>
        <w:t xml:space="preserve"> and</w:t>
      </w:r>
      <w:r w:rsidR="00274660">
        <w:rPr>
          <w:color w:val="000000"/>
        </w:rPr>
        <w:t>,</w:t>
      </w:r>
      <w:r w:rsidRPr="007C0EC2">
        <w:rPr>
          <w:color w:val="000000"/>
        </w:rPr>
        <w:t xml:space="preserve"> none were implicated in the commander’s statement. </w:t>
      </w:r>
      <w:r w:rsidR="00274660">
        <w:rPr>
          <w:color w:val="000000"/>
        </w:rPr>
        <w:t xml:space="preserve"> </w:t>
      </w:r>
      <w:r w:rsidRPr="007C0EC2">
        <w:rPr>
          <w:color w:val="000000"/>
        </w:rPr>
        <w:t xml:space="preserve">These conditions were reviewed by the </w:t>
      </w:r>
      <w:r w:rsidR="00AF2E12">
        <w:rPr>
          <w:color w:val="000000"/>
        </w:rPr>
        <w:t>a</w:t>
      </w:r>
      <w:r w:rsidR="00274660" w:rsidRPr="007C0EC2">
        <w:rPr>
          <w:color w:val="000000"/>
        </w:rPr>
        <w:t xml:space="preserve">ction </w:t>
      </w:r>
      <w:r w:rsidR="00AF2E12">
        <w:rPr>
          <w:color w:val="000000"/>
        </w:rPr>
        <w:t>o</w:t>
      </w:r>
      <w:r w:rsidR="00274660" w:rsidRPr="007C0EC2">
        <w:rPr>
          <w:color w:val="000000"/>
        </w:rPr>
        <w:t xml:space="preserve">fficer </w:t>
      </w:r>
      <w:r w:rsidRPr="007C0EC2">
        <w:rPr>
          <w:color w:val="000000"/>
        </w:rPr>
        <w:t xml:space="preserve">and considered by the Board. </w:t>
      </w:r>
      <w:r w:rsidR="00274660">
        <w:rPr>
          <w:color w:val="000000"/>
        </w:rPr>
        <w:t xml:space="preserve"> </w:t>
      </w:r>
      <w:r w:rsidR="00274660" w:rsidRPr="00274660">
        <w:rPr>
          <w:color w:val="000000"/>
        </w:rPr>
        <w:t>There was no evidence for concluding that any of the conditions interfered with duty performance to a degree tha</w:t>
      </w:r>
      <w:r w:rsidR="00274660">
        <w:rPr>
          <w:color w:val="000000"/>
        </w:rPr>
        <w:t>t could be argued as unfitting.</w:t>
      </w:r>
      <w:r w:rsidR="00274660" w:rsidRPr="00274660">
        <w:rPr>
          <w:color w:val="000000"/>
        </w:rPr>
        <w:t xml:space="preserve"> </w:t>
      </w:r>
      <w:r w:rsidR="00274660">
        <w:rPr>
          <w:color w:val="000000"/>
        </w:rPr>
        <w:t xml:space="preserve"> </w:t>
      </w:r>
      <w:r w:rsidRPr="001F29F9">
        <w:rPr>
          <w:color w:val="000000"/>
        </w:rPr>
        <w:t>The Board therefore has no reasonable basis for recommending any additional unfitting conditions for separation rating.</w:t>
      </w:r>
    </w:p>
    <w:p w:rsidR="00450CA4" w:rsidRPr="001F29F9" w:rsidRDefault="00450CA4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6364ED">
      <w:pPr>
        <w:jc w:val="left"/>
        <w:rPr>
          <w:color w:val="000000"/>
        </w:rPr>
      </w:pPr>
    </w:p>
    <w:p w:rsidR="00450CA4" w:rsidRPr="003C53E8" w:rsidRDefault="00450CA4" w:rsidP="005B3883">
      <w:pPr>
        <w:jc w:val="both"/>
        <w:rPr>
          <w:rFonts w:cs="Times New Roman"/>
          <w:color w:val="auto"/>
        </w:rPr>
      </w:pPr>
      <w:r w:rsidRPr="001F29F9">
        <w:rPr>
          <w:color w:val="000000"/>
          <w:u w:val="single"/>
        </w:rPr>
        <w:t>BOARD FINDINGS</w:t>
      </w:r>
      <w:r w:rsidRPr="001F29F9">
        <w:rPr>
          <w:color w:val="000000"/>
        </w:rPr>
        <w:t xml:space="preserve">:  IAW </w:t>
      </w:r>
      <w:proofErr w:type="spellStart"/>
      <w:r w:rsidRPr="001F29F9">
        <w:rPr>
          <w:color w:val="000000"/>
        </w:rPr>
        <w:t>DoDI</w:t>
      </w:r>
      <w:proofErr w:type="spellEnd"/>
      <w:r w:rsidRPr="001F29F9">
        <w:rPr>
          <w:color w:val="000000"/>
        </w:rPr>
        <w:t xml:space="preserve"> 6040.44, provisions of </w:t>
      </w:r>
      <w:proofErr w:type="spellStart"/>
      <w:r w:rsidRPr="001F29F9">
        <w:rPr>
          <w:color w:val="000000"/>
        </w:rPr>
        <w:t>DoD</w:t>
      </w:r>
      <w:proofErr w:type="spellEnd"/>
      <w:r w:rsidRPr="001F29F9">
        <w:rPr>
          <w:color w:val="000000"/>
        </w:rPr>
        <w:t xml:space="preserve"> or Military Department regulations or guidelines relied upon </w:t>
      </w:r>
      <w:r w:rsidRPr="005B3883">
        <w:rPr>
          <w:color w:val="000000"/>
        </w:rPr>
        <w:t>by the PEB will not be considered by the Board to the extent they were inconsistent with the VASRD in effect at the time of the adjudication</w:t>
      </w:r>
      <w:r w:rsidRPr="005B3883">
        <w:rPr>
          <w:rFonts w:cs="Times New Roman"/>
          <w:color w:val="auto"/>
        </w:rPr>
        <w:t xml:space="preserve">. </w:t>
      </w:r>
      <w:r w:rsidR="00274660">
        <w:rPr>
          <w:rFonts w:cs="Times New Roman"/>
          <w:color w:val="auto"/>
        </w:rPr>
        <w:t xml:space="preserve"> </w:t>
      </w:r>
      <w:r w:rsidRPr="005B3883">
        <w:rPr>
          <w:rFonts w:cs="Times New Roman"/>
          <w:color w:val="auto"/>
        </w:rPr>
        <w:t>As discussed above, PEB reliance on the USAPDA pain policy for rating the right knee condition was operant in this case</w:t>
      </w:r>
      <w:r w:rsidR="00274660">
        <w:rPr>
          <w:rFonts w:cs="Times New Roman"/>
          <w:color w:val="auto"/>
        </w:rPr>
        <w:t>;</w:t>
      </w:r>
      <w:r w:rsidRPr="005B3883">
        <w:rPr>
          <w:rFonts w:cs="Times New Roman"/>
          <w:color w:val="auto"/>
        </w:rPr>
        <w:t xml:space="preserve"> and</w:t>
      </w:r>
      <w:r w:rsidR="00274660">
        <w:rPr>
          <w:rFonts w:cs="Times New Roman"/>
          <w:color w:val="auto"/>
        </w:rPr>
        <w:t>,</w:t>
      </w:r>
      <w:r w:rsidRPr="005B3883">
        <w:rPr>
          <w:rFonts w:cs="Times New Roman"/>
          <w:color w:val="auto"/>
        </w:rPr>
        <w:t xml:space="preserve"> the condition was adjudicated independently of that policy by the Board. </w:t>
      </w:r>
      <w:r w:rsidR="00274660">
        <w:rPr>
          <w:rFonts w:cs="Times New Roman"/>
          <w:color w:val="auto"/>
        </w:rPr>
        <w:t xml:space="preserve"> </w:t>
      </w:r>
      <w:r w:rsidRPr="005B3883">
        <w:rPr>
          <w:rFonts w:cs="Times New Roman"/>
          <w:color w:val="auto"/>
        </w:rPr>
        <w:t xml:space="preserve">In the matter of the right knee condition and IAW VASRD §4.71a, the Board unanimously recommends no change in the PEB adjudication. </w:t>
      </w:r>
      <w:r w:rsidR="00274660">
        <w:rPr>
          <w:rFonts w:cs="Times New Roman"/>
          <w:color w:val="auto"/>
        </w:rPr>
        <w:t xml:space="preserve"> </w:t>
      </w:r>
      <w:r w:rsidRPr="005B3883">
        <w:rPr>
          <w:rFonts w:cs="Times New Roman"/>
          <w:color w:val="auto"/>
        </w:rPr>
        <w:t xml:space="preserve">In the matter of the </w:t>
      </w:r>
      <w:r w:rsidRPr="005B3883">
        <w:rPr>
          <w:color w:val="000000"/>
        </w:rPr>
        <w:t xml:space="preserve">headaches, nodular lesions, and </w:t>
      </w:r>
      <w:proofErr w:type="spellStart"/>
      <w:r w:rsidRPr="005B3883">
        <w:rPr>
          <w:color w:val="000000"/>
        </w:rPr>
        <w:t>hyperlipidemia</w:t>
      </w:r>
      <w:proofErr w:type="spellEnd"/>
      <w:r w:rsidR="00274660">
        <w:rPr>
          <w:color w:val="000000"/>
        </w:rPr>
        <w:t>,</w:t>
      </w:r>
      <w:r w:rsidRPr="005B3883">
        <w:rPr>
          <w:color w:val="000000"/>
        </w:rPr>
        <w:t xml:space="preserve"> </w:t>
      </w:r>
      <w:r w:rsidRPr="005B3883">
        <w:rPr>
          <w:rFonts w:cs="Times New Roman"/>
          <w:color w:val="auto"/>
        </w:rPr>
        <w:t>or any other medical conditions eligible for Board consideration; the Board unanimously agrees that it cannot</w:t>
      </w:r>
      <w:r w:rsidRPr="005B3883">
        <w:rPr>
          <w:rFonts w:cs="Times New Roman"/>
          <w:color w:val="000080"/>
        </w:rPr>
        <w:t xml:space="preserve"> </w:t>
      </w:r>
      <w:r w:rsidRPr="005B3883">
        <w:rPr>
          <w:rFonts w:cs="Times New Roman"/>
          <w:color w:val="auto"/>
        </w:rPr>
        <w:t xml:space="preserve">recommend any findings of unfit for additional rating at separation. </w:t>
      </w:r>
    </w:p>
    <w:p w:rsidR="00450CA4" w:rsidRPr="001F29F9" w:rsidRDefault="00450CA4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6364ED">
      <w:pPr>
        <w:jc w:val="left"/>
        <w:rPr>
          <w:color w:val="000000"/>
        </w:rPr>
      </w:pPr>
    </w:p>
    <w:p w:rsidR="00274660" w:rsidRDefault="00274660">
      <w:pPr>
        <w:spacing w:line="240" w:lineRule="auto"/>
        <w:jc w:val="left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450CA4" w:rsidRPr="001F29F9" w:rsidRDefault="00450CA4" w:rsidP="005B3883">
      <w:pPr>
        <w:jc w:val="left"/>
        <w:rPr>
          <w:color w:val="000000"/>
        </w:rPr>
      </w:pPr>
      <w:r w:rsidRPr="001F29F9">
        <w:rPr>
          <w:color w:val="000000"/>
          <w:u w:val="single"/>
        </w:rPr>
        <w:lastRenderedPageBreak/>
        <w:t>RECOMMENDATION</w:t>
      </w:r>
      <w:r w:rsidRPr="001F29F9">
        <w:rPr>
          <w:color w:val="000000"/>
        </w:rPr>
        <w:t xml:space="preserve">: The Board, therefore, recommends that there be no </w:t>
      </w:r>
      <w:proofErr w:type="spellStart"/>
      <w:r w:rsidRPr="001F29F9">
        <w:rPr>
          <w:color w:val="000000"/>
        </w:rPr>
        <w:t>recharacterization</w:t>
      </w:r>
      <w:proofErr w:type="spellEnd"/>
      <w:r w:rsidRPr="001F29F9">
        <w:rPr>
          <w:color w:val="000000"/>
        </w:rPr>
        <w:t xml:space="preserve"> of the CI’s disability and separation determination, as follows: </w:t>
      </w: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</w:p>
    <w:tbl>
      <w:tblPr>
        <w:tblpPr w:leftFromText="187" w:rightFromText="187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8"/>
        <w:gridCol w:w="1530"/>
        <w:gridCol w:w="1026"/>
      </w:tblGrid>
      <w:tr w:rsidR="00450CA4" w:rsidRPr="000D5DBE" w:rsidTr="00102C0A">
        <w:trPr>
          <w:trHeight w:val="233"/>
          <w:jc w:val="center"/>
        </w:trPr>
        <w:tc>
          <w:tcPr>
            <w:tcW w:w="6768" w:type="dxa"/>
            <w:shd w:val="clear" w:color="auto" w:fill="D9D9D9"/>
            <w:vAlign w:val="center"/>
          </w:tcPr>
          <w:p w:rsidR="00450CA4" w:rsidRPr="000D5DBE" w:rsidRDefault="00450CA4" w:rsidP="00BF0E94">
            <w:pPr>
              <w:tabs>
                <w:tab w:val="left" w:pos="288"/>
                <w:tab w:val="left" w:pos="4752"/>
              </w:tabs>
              <w:rPr>
                <w:b/>
                <w:color w:val="000000"/>
              </w:rPr>
            </w:pPr>
            <w:r w:rsidRPr="000D5DBE">
              <w:rPr>
                <w:b/>
                <w:color w:val="000000"/>
              </w:rPr>
              <w:t>UNFITTING CONDITION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450CA4" w:rsidRPr="000D5DBE" w:rsidRDefault="00450CA4" w:rsidP="00BF0E94">
            <w:pPr>
              <w:tabs>
                <w:tab w:val="left" w:pos="288"/>
                <w:tab w:val="left" w:pos="4752"/>
              </w:tabs>
              <w:rPr>
                <w:b/>
                <w:color w:val="000000"/>
              </w:rPr>
            </w:pPr>
            <w:r w:rsidRPr="000D5DBE">
              <w:rPr>
                <w:b/>
                <w:color w:val="000000"/>
              </w:rPr>
              <w:t>VASRD CODE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50CA4" w:rsidRPr="000D5DBE" w:rsidRDefault="00450CA4" w:rsidP="00BF0E94">
            <w:pPr>
              <w:tabs>
                <w:tab w:val="left" w:pos="288"/>
                <w:tab w:val="left" w:pos="4752"/>
              </w:tabs>
              <w:rPr>
                <w:b/>
                <w:color w:val="000000"/>
              </w:rPr>
            </w:pPr>
            <w:r w:rsidRPr="000D5DBE">
              <w:rPr>
                <w:b/>
                <w:color w:val="000000"/>
              </w:rPr>
              <w:t>RATING</w:t>
            </w:r>
          </w:p>
        </w:tc>
      </w:tr>
      <w:tr w:rsidR="00450CA4" w:rsidRPr="000D5DBE" w:rsidTr="00102C0A">
        <w:trPr>
          <w:jc w:val="center"/>
        </w:trPr>
        <w:tc>
          <w:tcPr>
            <w:tcW w:w="6768" w:type="dxa"/>
            <w:vAlign w:val="center"/>
          </w:tcPr>
          <w:p w:rsidR="00450CA4" w:rsidRPr="000D5DBE" w:rsidRDefault="00450CA4" w:rsidP="00BF0E94">
            <w:pPr>
              <w:tabs>
                <w:tab w:val="left" w:pos="288"/>
                <w:tab w:val="left" w:pos="4752"/>
              </w:tabs>
              <w:jc w:val="left"/>
              <w:rPr>
                <w:color w:val="000000"/>
              </w:rPr>
            </w:pPr>
            <w:r w:rsidRPr="000D5DBE">
              <w:rPr>
                <w:color w:val="000000"/>
              </w:rPr>
              <w:t>Chronic Right Knee Pain</w:t>
            </w:r>
          </w:p>
        </w:tc>
        <w:tc>
          <w:tcPr>
            <w:tcW w:w="1530" w:type="dxa"/>
            <w:vAlign w:val="center"/>
          </w:tcPr>
          <w:p w:rsidR="00450CA4" w:rsidRPr="000D5DBE" w:rsidRDefault="00450CA4" w:rsidP="00BF0E94">
            <w:pPr>
              <w:tabs>
                <w:tab w:val="left" w:pos="288"/>
                <w:tab w:val="left" w:pos="4752"/>
              </w:tabs>
              <w:rPr>
                <w:color w:val="000000"/>
              </w:rPr>
            </w:pPr>
            <w:r w:rsidRPr="000D5DBE">
              <w:rPr>
                <w:color w:val="000000"/>
              </w:rPr>
              <w:t>5099-5003</w:t>
            </w:r>
          </w:p>
        </w:tc>
        <w:tc>
          <w:tcPr>
            <w:tcW w:w="1026" w:type="dxa"/>
            <w:vAlign w:val="center"/>
          </w:tcPr>
          <w:p w:rsidR="00450CA4" w:rsidRPr="000D5DBE" w:rsidRDefault="00450CA4" w:rsidP="00BF0E94">
            <w:pPr>
              <w:tabs>
                <w:tab w:val="left" w:pos="288"/>
                <w:tab w:val="left" w:pos="4752"/>
              </w:tabs>
              <w:rPr>
                <w:color w:val="000000"/>
              </w:rPr>
            </w:pPr>
            <w:r w:rsidRPr="000D5DBE">
              <w:rPr>
                <w:color w:val="000000"/>
              </w:rPr>
              <w:t>10%</w:t>
            </w:r>
          </w:p>
        </w:tc>
      </w:tr>
      <w:tr w:rsidR="00450CA4" w:rsidRPr="000D5DBE" w:rsidTr="00102C0A">
        <w:tblPrEx>
          <w:tblLook w:val="0000"/>
        </w:tblPrEx>
        <w:trPr>
          <w:gridBefore w:val="1"/>
          <w:wBefore w:w="6768" w:type="dxa"/>
          <w:trHeight w:val="152"/>
          <w:jc w:val="center"/>
        </w:trPr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50CA4" w:rsidRPr="000D5DBE" w:rsidRDefault="00450CA4" w:rsidP="00BF0E94">
            <w:pPr>
              <w:tabs>
                <w:tab w:val="left" w:pos="288"/>
                <w:tab w:val="left" w:pos="4752"/>
              </w:tabs>
              <w:rPr>
                <w:b/>
                <w:color w:val="000000"/>
              </w:rPr>
            </w:pPr>
            <w:r w:rsidRPr="000D5DBE">
              <w:rPr>
                <w:b/>
                <w:color w:val="000000"/>
              </w:rPr>
              <w:t>COMBINED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50CA4" w:rsidRPr="000D5DBE" w:rsidRDefault="00450CA4" w:rsidP="00BF0E94">
            <w:pPr>
              <w:tabs>
                <w:tab w:val="left" w:pos="288"/>
                <w:tab w:val="left" w:pos="4752"/>
              </w:tabs>
              <w:rPr>
                <w:b/>
                <w:color w:val="000000"/>
              </w:rPr>
            </w:pPr>
            <w:r w:rsidRPr="000D5DBE">
              <w:rPr>
                <w:b/>
                <w:color w:val="000000"/>
              </w:rPr>
              <w:t>10%</w:t>
            </w:r>
          </w:p>
        </w:tc>
      </w:tr>
    </w:tbl>
    <w:p w:rsidR="00450CA4" w:rsidRPr="001F29F9" w:rsidRDefault="00450CA4" w:rsidP="00BF0E94">
      <w:pPr>
        <w:pBdr>
          <w:bottom w:val="single" w:sz="12" w:space="1" w:color="auto"/>
        </w:pBd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F0E94">
      <w:pPr>
        <w:rPr>
          <w:color w:val="000000"/>
        </w:rPr>
      </w:pP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  <w:r w:rsidRPr="001F29F9">
        <w:rPr>
          <w:color w:val="000000"/>
        </w:rPr>
        <w:t>The following documentary evidence was considered:</w:t>
      </w: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3575C">
      <w:pPr>
        <w:tabs>
          <w:tab w:val="left" w:pos="288"/>
          <w:tab w:val="left" w:pos="4752"/>
        </w:tabs>
        <w:spacing w:line="440" w:lineRule="exact"/>
        <w:jc w:val="both"/>
        <w:rPr>
          <w:color w:val="000000"/>
        </w:rPr>
      </w:pPr>
      <w:r w:rsidRPr="001F29F9">
        <w:rPr>
          <w:color w:val="000000"/>
        </w:rPr>
        <w:t>Exhibit A.  DD Fo</w:t>
      </w:r>
      <w:r w:rsidR="00AF2E12">
        <w:rPr>
          <w:color w:val="000000"/>
        </w:rPr>
        <w:t>rm 294, dated 20110519, w/</w:t>
      </w:r>
      <w:proofErr w:type="spellStart"/>
      <w:r w:rsidR="00AF2E12">
        <w:rPr>
          <w:color w:val="000000"/>
        </w:rPr>
        <w:t>atchs</w:t>
      </w:r>
      <w:proofErr w:type="spellEnd"/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  <w:r w:rsidRPr="001F29F9">
        <w:rPr>
          <w:color w:val="000000"/>
        </w:rPr>
        <w:t>Exhib</w:t>
      </w:r>
      <w:r w:rsidR="00AF2E12">
        <w:rPr>
          <w:color w:val="000000"/>
        </w:rPr>
        <w:t>it B.  Service Treatment Record</w:t>
      </w: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  <w:r w:rsidRPr="001F29F9">
        <w:rPr>
          <w:color w:val="000000"/>
        </w:rPr>
        <w:t>Exhibit C.  Department of Ve</w:t>
      </w:r>
      <w:r w:rsidR="00AF2E12">
        <w:rPr>
          <w:color w:val="000000"/>
        </w:rPr>
        <w:t>terans Affairs Treatment Record</w:t>
      </w: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F0E94">
      <w:pPr>
        <w:tabs>
          <w:tab w:val="left" w:pos="288"/>
          <w:tab w:val="left" w:pos="4752"/>
        </w:tabs>
        <w:jc w:val="both"/>
        <w:rPr>
          <w:color w:val="000000"/>
        </w:rPr>
      </w:pPr>
    </w:p>
    <w:p w:rsidR="00450CA4" w:rsidRPr="001F29F9" w:rsidRDefault="00450CA4" w:rsidP="00BF0E94">
      <w:pPr>
        <w:tabs>
          <w:tab w:val="left" w:pos="0"/>
          <w:tab w:val="left" w:pos="4320"/>
        </w:tabs>
        <w:jc w:val="both"/>
        <w:rPr>
          <w:color w:val="000000"/>
        </w:rPr>
      </w:pPr>
      <w:r w:rsidRPr="001F29F9">
        <w:rPr>
          <w:color w:val="000000"/>
        </w:rPr>
        <w:tab/>
        <w:t xml:space="preserve">           President</w:t>
      </w:r>
    </w:p>
    <w:p w:rsidR="0011109D" w:rsidRDefault="00450CA4" w:rsidP="00BF0E94">
      <w:pPr>
        <w:tabs>
          <w:tab w:val="left" w:pos="0"/>
          <w:tab w:val="left" w:pos="4320"/>
        </w:tabs>
        <w:jc w:val="both"/>
        <w:rPr>
          <w:color w:val="000000"/>
        </w:rPr>
      </w:pPr>
      <w:r w:rsidRPr="001F29F9">
        <w:rPr>
          <w:color w:val="000000"/>
        </w:rPr>
        <w:tab/>
        <w:t xml:space="preserve">           Physical Disability Board of Review</w:t>
      </w:r>
    </w:p>
    <w:p w:rsidR="0011109D" w:rsidRDefault="0011109D">
      <w:pPr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11109D" w:rsidRDefault="0011109D" w:rsidP="0011109D">
      <w:pPr>
        <w:pStyle w:val="Header"/>
        <w:tabs>
          <w:tab w:val="clear" w:pos="4320"/>
          <w:tab w:val="clear" w:pos="8640"/>
        </w:tabs>
        <w:jc w:val="left"/>
      </w:pPr>
      <w:r>
        <w:lastRenderedPageBreak/>
        <w:t>SFMR-RB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09D" w:rsidRDefault="0011109D" w:rsidP="0011109D">
      <w:pPr>
        <w:pStyle w:val="Header"/>
        <w:tabs>
          <w:tab w:val="clear" w:pos="4320"/>
          <w:tab w:val="clear" w:pos="8640"/>
        </w:tabs>
        <w:jc w:val="left"/>
      </w:pPr>
    </w:p>
    <w:p w:rsidR="0011109D" w:rsidRDefault="0011109D" w:rsidP="0011109D">
      <w:pPr>
        <w:jc w:val="left"/>
      </w:pPr>
    </w:p>
    <w:p w:rsidR="0011109D" w:rsidRDefault="0011109D" w:rsidP="0011109D">
      <w:pPr>
        <w:jc w:val="left"/>
      </w:pPr>
      <w:r>
        <w:t xml:space="preserve">MEMORANDUM FOR Commander, US Army Physical Disability Agency </w:t>
      </w:r>
    </w:p>
    <w:p w:rsidR="0011109D" w:rsidRDefault="0011109D" w:rsidP="0011109D">
      <w:pPr>
        <w:jc w:val="left"/>
      </w:pPr>
      <w:r>
        <w:t xml:space="preserve"> </w:t>
      </w:r>
    </w:p>
    <w:p w:rsidR="0011109D" w:rsidRDefault="0011109D" w:rsidP="0011109D">
      <w:pPr>
        <w:jc w:val="left"/>
      </w:pPr>
    </w:p>
    <w:p w:rsidR="0011109D" w:rsidRDefault="0011109D" w:rsidP="0011109D">
      <w:pPr>
        <w:ind w:right="-180"/>
        <w:jc w:val="left"/>
      </w:pPr>
      <w:r>
        <w:t xml:space="preserve">SUBJECT:  Department of Defense Physical Disability Board of Review Recommendation  </w:t>
      </w:r>
    </w:p>
    <w:p w:rsidR="0011109D" w:rsidRDefault="0011109D" w:rsidP="0011109D">
      <w:pPr>
        <w:pStyle w:val="Header"/>
        <w:tabs>
          <w:tab w:val="clear" w:pos="4320"/>
          <w:tab w:val="clear" w:pos="8640"/>
        </w:tabs>
        <w:jc w:val="left"/>
      </w:pPr>
    </w:p>
    <w:p w:rsidR="0011109D" w:rsidRDefault="0011109D" w:rsidP="0011109D">
      <w:pPr>
        <w:jc w:val="left"/>
      </w:pPr>
    </w:p>
    <w:p w:rsidR="0011109D" w:rsidRDefault="0011109D" w:rsidP="0011109D">
      <w:pPr>
        <w:jc w:val="left"/>
      </w:pPr>
      <w:r>
        <w:t>I have reviewed the enclosed Department of Defense Physical Disability Board of Review (</w:t>
      </w:r>
      <w:proofErr w:type="spellStart"/>
      <w:r>
        <w:t>DoD</w:t>
      </w:r>
      <w:proofErr w:type="spellEnd"/>
      <w:r>
        <w:t xml:space="preserve"> PDBR) recommendation and record of proceedings pertaining to the subject individual.  Under the authority of Title 10, United States Code, section 1554a,   I accept the Board’s recommendation and hereby deny the individual’s application.  </w:t>
      </w:r>
    </w:p>
    <w:p w:rsidR="0011109D" w:rsidRDefault="0011109D" w:rsidP="0011109D">
      <w:pPr>
        <w:jc w:val="left"/>
      </w:pPr>
    </w:p>
    <w:p w:rsidR="0011109D" w:rsidRDefault="0011109D" w:rsidP="0011109D">
      <w:pPr>
        <w:jc w:val="left"/>
      </w:pPr>
      <w:r>
        <w:t>This decision is final.  The individual concerned, counsel (if any), and any Members of Congress who have shown interest in this application have been notified of this decision by mail.</w:t>
      </w:r>
    </w:p>
    <w:p w:rsidR="0011109D" w:rsidRDefault="0011109D" w:rsidP="0011109D">
      <w:pPr>
        <w:jc w:val="left"/>
      </w:pPr>
    </w:p>
    <w:p w:rsidR="0011109D" w:rsidRDefault="0011109D" w:rsidP="0011109D">
      <w:pPr>
        <w:jc w:val="left"/>
      </w:pPr>
      <w:r>
        <w:t xml:space="preserve"> BY ORDER OF THE SECRETARY OF THE ARMY:</w:t>
      </w:r>
    </w:p>
    <w:p w:rsidR="0011109D" w:rsidRDefault="0011109D" w:rsidP="0011109D">
      <w:pPr>
        <w:jc w:val="left"/>
      </w:pPr>
    </w:p>
    <w:p w:rsidR="0011109D" w:rsidRDefault="0011109D" w:rsidP="0011109D">
      <w:pPr>
        <w:jc w:val="left"/>
      </w:pPr>
    </w:p>
    <w:p w:rsidR="0011109D" w:rsidRDefault="0011109D" w:rsidP="0011109D">
      <w:pPr>
        <w:pStyle w:val="Header"/>
        <w:tabs>
          <w:tab w:val="clear" w:pos="4320"/>
          <w:tab w:val="clear" w:pos="8640"/>
        </w:tabs>
        <w:jc w:val="left"/>
      </w:pPr>
    </w:p>
    <w:p w:rsidR="0011109D" w:rsidRDefault="0011109D" w:rsidP="0011109D">
      <w:pPr>
        <w:jc w:val="left"/>
      </w:pPr>
    </w:p>
    <w:p w:rsidR="0011109D" w:rsidRDefault="0011109D" w:rsidP="0011109D">
      <w:pPr>
        <w:jc w:val="left"/>
      </w:pPr>
      <w:bookmarkStart w:id="0" w:name="OLE_LINK3"/>
      <w:bookmarkStart w:id="1" w:name="OLE_LINK4"/>
      <w:r>
        <w:t>Encl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1109D" w:rsidRDefault="0011109D" w:rsidP="0011109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Deputy Assistant Secretary</w:t>
      </w:r>
    </w:p>
    <w:p w:rsidR="0011109D" w:rsidRDefault="0011109D" w:rsidP="0011109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(Army Review Boards)</w:t>
      </w:r>
      <w:bookmarkEnd w:id="0"/>
      <w:bookmarkEnd w:id="1"/>
    </w:p>
    <w:p w:rsidR="00450CA4" w:rsidRPr="001F29F9" w:rsidRDefault="00450CA4" w:rsidP="00BF0E94">
      <w:pPr>
        <w:tabs>
          <w:tab w:val="left" w:pos="0"/>
          <w:tab w:val="left" w:pos="4320"/>
        </w:tabs>
        <w:jc w:val="both"/>
        <w:rPr>
          <w:color w:val="000000"/>
        </w:rPr>
      </w:pPr>
    </w:p>
    <w:p w:rsidR="00450CA4" w:rsidRDefault="00450CA4" w:rsidP="00BF0E94">
      <w:pPr>
        <w:rPr>
          <w:color w:val="000000"/>
          <w:u w:val="single"/>
        </w:rPr>
      </w:pPr>
    </w:p>
    <w:sectPr w:rsidR="00450CA4" w:rsidSect="00E70164">
      <w:footerReference w:type="default" r:id="rId7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E7" w:rsidRDefault="00AD38E7">
      <w:r>
        <w:separator/>
      </w:r>
    </w:p>
  </w:endnote>
  <w:endnote w:type="continuationSeparator" w:id="0">
    <w:p w:rsidR="00AD38E7" w:rsidRDefault="00AD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A4" w:rsidRPr="00374247" w:rsidRDefault="00450CA4" w:rsidP="00374247">
    <w:pPr>
      <w:pStyle w:val="Footer"/>
      <w:ind w:firstLine="4320"/>
      <w:rPr>
        <w:color w:val="auto"/>
      </w:rPr>
    </w:pPr>
    <w:r w:rsidRPr="00374247">
      <w:rPr>
        <w:color w:val="auto"/>
      </w:rPr>
      <w:t xml:space="preserve">   </w:t>
    </w:r>
    <w:fldSimple w:instr=" PAGE   \* MERGEFORMAT ">
      <w:r w:rsidR="0011109D" w:rsidRPr="0011109D">
        <w:rPr>
          <w:noProof/>
          <w:color w:val="auto"/>
        </w:rPr>
        <w:t>4</w:t>
      </w:r>
    </w:fldSimple>
    <w:r w:rsidRPr="00374247">
      <w:rPr>
        <w:color w:val="auto"/>
      </w:rPr>
      <w:t xml:space="preserve">                                                           </w:t>
    </w:r>
    <w:r w:rsidRPr="001D64F3">
      <w:rPr>
        <w:color w:val="auto"/>
      </w:rPr>
      <w:t>PD1</w:t>
    </w:r>
    <w:r w:rsidRPr="009369A6">
      <w:rPr>
        <w:color w:val="auto"/>
      </w:rPr>
      <w:t>1</w:t>
    </w:r>
    <w:r w:rsidRPr="001D64F3">
      <w:rPr>
        <w:color w:val="auto"/>
      </w:rPr>
      <w:t>00402</w:t>
    </w:r>
  </w:p>
  <w:p w:rsidR="00450CA4" w:rsidRPr="00684CE6" w:rsidRDefault="00450CA4">
    <w:pPr>
      <w:pStyle w:val="Footer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E7" w:rsidRDefault="00AD38E7">
      <w:r>
        <w:separator/>
      </w:r>
    </w:p>
  </w:footnote>
  <w:footnote w:type="continuationSeparator" w:id="0">
    <w:p w:rsidR="00AD38E7" w:rsidRDefault="00AD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2CC"/>
    <w:multiLevelType w:val="hybridMultilevel"/>
    <w:tmpl w:val="BFA4751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CC"/>
    <w:multiLevelType w:val="hybridMultilevel"/>
    <w:tmpl w:val="F26CA91A"/>
    <w:lvl w:ilvl="0" w:tplc="8F7AB93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D1F9B"/>
    <w:multiLevelType w:val="hybridMultilevel"/>
    <w:tmpl w:val="D61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8AC"/>
    <w:multiLevelType w:val="hybridMultilevel"/>
    <w:tmpl w:val="D526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14EEB"/>
    <w:multiLevelType w:val="hybridMultilevel"/>
    <w:tmpl w:val="A5C2833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1C56"/>
    <w:multiLevelType w:val="hybridMultilevel"/>
    <w:tmpl w:val="E8F47BEC"/>
    <w:lvl w:ilvl="0" w:tplc="8426079A">
      <w:numFmt w:val="bullet"/>
      <w:lvlText w:val=""/>
      <w:lvlJc w:val="left"/>
      <w:pPr>
        <w:ind w:left="61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17BA7C44"/>
    <w:multiLevelType w:val="hybridMultilevel"/>
    <w:tmpl w:val="7C126282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422F0"/>
    <w:multiLevelType w:val="hybridMultilevel"/>
    <w:tmpl w:val="DF66D326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5D80"/>
    <w:multiLevelType w:val="hybridMultilevel"/>
    <w:tmpl w:val="A89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38FD"/>
    <w:multiLevelType w:val="hybridMultilevel"/>
    <w:tmpl w:val="6AA8201E"/>
    <w:lvl w:ilvl="0" w:tplc="7018B9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A3FF5"/>
    <w:multiLevelType w:val="hybridMultilevel"/>
    <w:tmpl w:val="CDACECDE"/>
    <w:lvl w:ilvl="0" w:tplc="DF86C5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F193D"/>
    <w:multiLevelType w:val="hybridMultilevel"/>
    <w:tmpl w:val="9C4EF4C6"/>
    <w:lvl w:ilvl="0" w:tplc="3B98A07E">
      <w:numFmt w:val="bullet"/>
      <w:lvlText w:val=""/>
      <w:lvlJc w:val="left"/>
      <w:pPr>
        <w:ind w:left="61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431821A9"/>
    <w:multiLevelType w:val="hybridMultilevel"/>
    <w:tmpl w:val="100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06437"/>
    <w:multiLevelType w:val="hybridMultilevel"/>
    <w:tmpl w:val="F88001A6"/>
    <w:lvl w:ilvl="0" w:tplc="5E7A03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56844"/>
    <w:multiLevelType w:val="hybridMultilevel"/>
    <w:tmpl w:val="979A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253"/>
    <w:multiLevelType w:val="hybridMultilevel"/>
    <w:tmpl w:val="5E96218A"/>
    <w:lvl w:ilvl="0" w:tplc="4F8E83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E172F4"/>
    <w:multiLevelType w:val="hybridMultilevel"/>
    <w:tmpl w:val="3B98A040"/>
    <w:lvl w:ilvl="0" w:tplc="C5A261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637FB"/>
    <w:multiLevelType w:val="hybridMultilevel"/>
    <w:tmpl w:val="E81C20AE"/>
    <w:lvl w:ilvl="0" w:tplc="41C210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C58B7"/>
    <w:multiLevelType w:val="hybridMultilevel"/>
    <w:tmpl w:val="8714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20263"/>
    <w:multiLevelType w:val="hybridMultilevel"/>
    <w:tmpl w:val="5ABA2AD0"/>
    <w:lvl w:ilvl="0" w:tplc="C3D8CF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4670E"/>
    <w:multiLevelType w:val="hybridMultilevel"/>
    <w:tmpl w:val="7C92692E"/>
    <w:lvl w:ilvl="0" w:tplc="20A6E1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A16B7"/>
    <w:multiLevelType w:val="hybridMultilevel"/>
    <w:tmpl w:val="3BD2466C"/>
    <w:lvl w:ilvl="0" w:tplc="AABA2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21"/>
  </w:num>
  <w:num w:numId="16">
    <w:abstractNumId w:val="1"/>
  </w:num>
  <w:num w:numId="17">
    <w:abstractNumId w:val="19"/>
  </w:num>
  <w:num w:numId="18">
    <w:abstractNumId w:val="10"/>
  </w:num>
  <w:num w:numId="19">
    <w:abstractNumId w:val="13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intFractionalCharacterWidth/>
  <w:embedSystemFonts/>
  <w:proofState w:spelling="clean" w:grammar="clean"/>
  <w:stylePaneFormatFilter w:val="37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24F5"/>
    <w:rsid w:val="000059FA"/>
    <w:rsid w:val="00006186"/>
    <w:rsid w:val="00006F87"/>
    <w:rsid w:val="00007107"/>
    <w:rsid w:val="00010ABA"/>
    <w:rsid w:val="00010AF0"/>
    <w:rsid w:val="00010B0F"/>
    <w:rsid w:val="00012428"/>
    <w:rsid w:val="00012733"/>
    <w:rsid w:val="00013417"/>
    <w:rsid w:val="000145C2"/>
    <w:rsid w:val="0001473F"/>
    <w:rsid w:val="00014A47"/>
    <w:rsid w:val="00014A9E"/>
    <w:rsid w:val="00017778"/>
    <w:rsid w:val="00021361"/>
    <w:rsid w:val="00022CF3"/>
    <w:rsid w:val="00023913"/>
    <w:rsid w:val="00023D43"/>
    <w:rsid w:val="00024002"/>
    <w:rsid w:val="00024DE7"/>
    <w:rsid w:val="00026092"/>
    <w:rsid w:val="00030776"/>
    <w:rsid w:val="00032DCE"/>
    <w:rsid w:val="00032E07"/>
    <w:rsid w:val="000332CA"/>
    <w:rsid w:val="0003374E"/>
    <w:rsid w:val="000344D8"/>
    <w:rsid w:val="000344E6"/>
    <w:rsid w:val="00035C3A"/>
    <w:rsid w:val="00036E4B"/>
    <w:rsid w:val="00036EB5"/>
    <w:rsid w:val="00037929"/>
    <w:rsid w:val="000379D0"/>
    <w:rsid w:val="00040FC4"/>
    <w:rsid w:val="000416F8"/>
    <w:rsid w:val="00042C26"/>
    <w:rsid w:val="00043382"/>
    <w:rsid w:val="00044623"/>
    <w:rsid w:val="000452D7"/>
    <w:rsid w:val="00051622"/>
    <w:rsid w:val="00051A11"/>
    <w:rsid w:val="00052234"/>
    <w:rsid w:val="00053D7C"/>
    <w:rsid w:val="000575C5"/>
    <w:rsid w:val="000577C9"/>
    <w:rsid w:val="00060FFD"/>
    <w:rsid w:val="00061D69"/>
    <w:rsid w:val="0006431E"/>
    <w:rsid w:val="000652EA"/>
    <w:rsid w:val="00065E21"/>
    <w:rsid w:val="000673ED"/>
    <w:rsid w:val="00067854"/>
    <w:rsid w:val="00070DED"/>
    <w:rsid w:val="00072433"/>
    <w:rsid w:val="00072B3E"/>
    <w:rsid w:val="0007488B"/>
    <w:rsid w:val="00075702"/>
    <w:rsid w:val="00075A0C"/>
    <w:rsid w:val="000775C2"/>
    <w:rsid w:val="00077835"/>
    <w:rsid w:val="000806AD"/>
    <w:rsid w:val="00080BDF"/>
    <w:rsid w:val="00080C57"/>
    <w:rsid w:val="00082482"/>
    <w:rsid w:val="00082CA0"/>
    <w:rsid w:val="00084CF2"/>
    <w:rsid w:val="00085D7B"/>
    <w:rsid w:val="0008708B"/>
    <w:rsid w:val="00092619"/>
    <w:rsid w:val="00092C66"/>
    <w:rsid w:val="000949DD"/>
    <w:rsid w:val="00094E4F"/>
    <w:rsid w:val="000A2BCE"/>
    <w:rsid w:val="000A31E2"/>
    <w:rsid w:val="000A33C8"/>
    <w:rsid w:val="000A41E3"/>
    <w:rsid w:val="000A4BBA"/>
    <w:rsid w:val="000A5071"/>
    <w:rsid w:val="000A5ECB"/>
    <w:rsid w:val="000B0AD2"/>
    <w:rsid w:val="000B1022"/>
    <w:rsid w:val="000B2FB8"/>
    <w:rsid w:val="000B471C"/>
    <w:rsid w:val="000B4C99"/>
    <w:rsid w:val="000B599B"/>
    <w:rsid w:val="000C06F6"/>
    <w:rsid w:val="000C15F8"/>
    <w:rsid w:val="000C1D34"/>
    <w:rsid w:val="000C2362"/>
    <w:rsid w:val="000C2FA8"/>
    <w:rsid w:val="000C3C13"/>
    <w:rsid w:val="000C4D5F"/>
    <w:rsid w:val="000C53F9"/>
    <w:rsid w:val="000C5813"/>
    <w:rsid w:val="000C714C"/>
    <w:rsid w:val="000C7161"/>
    <w:rsid w:val="000C75CF"/>
    <w:rsid w:val="000C7B83"/>
    <w:rsid w:val="000C7DE4"/>
    <w:rsid w:val="000D0AE6"/>
    <w:rsid w:val="000D15E7"/>
    <w:rsid w:val="000D1A24"/>
    <w:rsid w:val="000D1CC5"/>
    <w:rsid w:val="000D1CF4"/>
    <w:rsid w:val="000D1DBC"/>
    <w:rsid w:val="000D21C7"/>
    <w:rsid w:val="000D248A"/>
    <w:rsid w:val="000D2CFD"/>
    <w:rsid w:val="000D35D8"/>
    <w:rsid w:val="000D43F9"/>
    <w:rsid w:val="000D4717"/>
    <w:rsid w:val="000D5DBE"/>
    <w:rsid w:val="000D6457"/>
    <w:rsid w:val="000D69BA"/>
    <w:rsid w:val="000D7D55"/>
    <w:rsid w:val="000E0897"/>
    <w:rsid w:val="000E0993"/>
    <w:rsid w:val="000E2E50"/>
    <w:rsid w:val="000E37E0"/>
    <w:rsid w:val="000E3F20"/>
    <w:rsid w:val="000E4C25"/>
    <w:rsid w:val="000E4CBF"/>
    <w:rsid w:val="000E5577"/>
    <w:rsid w:val="000E7034"/>
    <w:rsid w:val="000F02BE"/>
    <w:rsid w:val="000F0928"/>
    <w:rsid w:val="000F0B3D"/>
    <w:rsid w:val="000F1E65"/>
    <w:rsid w:val="000F427B"/>
    <w:rsid w:val="000F43D0"/>
    <w:rsid w:val="000F4F18"/>
    <w:rsid w:val="000F688E"/>
    <w:rsid w:val="000F7181"/>
    <w:rsid w:val="000F7581"/>
    <w:rsid w:val="001007CE"/>
    <w:rsid w:val="001008C1"/>
    <w:rsid w:val="001023DB"/>
    <w:rsid w:val="00102B8D"/>
    <w:rsid w:val="00102C0A"/>
    <w:rsid w:val="001031F4"/>
    <w:rsid w:val="00103948"/>
    <w:rsid w:val="00103CCF"/>
    <w:rsid w:val="0010417F"/>
    <w:rsid w:val="001042D2"/>
    <w:rsid w:val="0010530E"/>
    <w:rsid w:val="00105C07"/>
    <w:rsid w:val="00106920"/>
    <w:rsid w:val="00106AD8"/>
    <w:rsid w:val="001078DB"/>
    <w:rsid w:val="001079FA"/>
    <w:rsid w:val="00107EC5"/>
    <w:rsid w:val="001103CD"/>
    <w:rsid w:val="00110533"/>
    <w:rsid w:val="0011109D"/>
    <w:rsid w:val="00113D2A"/>
    <w:rsid w:val="00114F20"/>
    <w:rsid w:val="0011590B"/>
    <w:rsid w:val="001211AF"/>
    <w:rsid w:val="001215DF"/>
    <w:rsid w:val="001219DF"/>
    <w:rsid w:val="0012220B"/>
    <w:rsid w:val="00122ABE"/>
    <w:rsid w:val="001231DC"/>
    <w:rsid w:val="0012453A"/>
    <w:rsid w:val="0012489B"/>
    <w:rsid w:val="001272AE"/>
    <w:rsid w:val="00130756"/>
    <w:rsid w:val="001315DD"/>
    <w:rsid w:val="00132F4C"/>
    <w:rsid w:val="0013525F"/>
    <w:rsid w:val="00135385"/>
    <w:rsid w:val="00136204"/>
    <w:rsid w:val="001364D1"/>
    <w:rsid w:val="001374C7"/>
    <w:rsid w:val="00140FA4"/>
    <w:rsid w:val="00141BC9"/>
    <w:rsid w:val="001421FD"/>
    <w:rsid w:val="001425C8"/>
    <w:rsid w:val="00142EBA"/>
    <w:rsid w:val="00143B79"/>
    <w:rsid w:val="00145965"/>
    <w:rsid w:val="00150B8A"/>
    <w:rsid w:val="00150DCB"/>
    <w:rsid w:val="00151912"/>
    <w:rsid w:val="00153740"/>
    <w:rsid w:val="001537D8"/>
    <w:rsid w:val="00153D88"/>
    <w:rsid w:val="001541C5"/>
    <w:rsid w:val="0015623F"/>
    <w:rsid w:val="00156585"/>
    <w:rsid w:val="00156BA9"/>
    <w:rsid w:val="00157DD3"/>
    <w:rsid w:val="00161642"/>
    <w:rsid w:val="00161761"/>
    <w:rsid w:val="00166182"/>
    <w:rsid w:val="0017038B"/>
    <w:rsid w:val="00170C94"/>
    <w:rsid w:val="0017139A"/>
    <w:rsid w:val="001724C8"/>
    <w:rsid w:val="001732C4"/>
    <w:rsid w:val="001745DD"/>
    <w:rsid w:val="00174FDE"/>
    <w:rsid w:val="00174FE3"/>
    <w:rsid w:val="00176D63"/>
    <w:rsid w:val="00177659"/>
    <w:rsid w:val="001779E5"/>
    <w:rsid w:val="00180826"/>
    <w:rsid w:val="00181240"/>
    <w:rsid w:val="00182A4C"/>
    <w:rsid w:val="00183F77"/>
    <w:rsid w:val="00183FB3"/>
    <w:rsid w:val="001844D8"/>
    <w:rsid w:val="00185DA8"/>
    <w:rsid w:val="00185ECB"/>
    <w:rsid w:val="001865E0"/>
    <w:rsid w:val="001870F0"/>
    <w:rsid w:val="00190E48"/>
    <w:rsid w:val="0019114B"/>
    <w:rsid w:val="0019273F"/>
    <w:rsid w:val="00193814"/>
    <w:rsid w:val="00193AAB"/>
    <w:rsid w:val="00193AD5"/>
    <w:rsid w:val="00194930"/>
    <w:rsid w:val="00195AAC"/>
    <w:rsid w:val="001A025E"/>
    <w:rsid w:val="001A08CD"/>
    <w:rsid w:val="001A0A1E"/>
    <w:rsid w:val="001A2182"/>
    <w:rsid w:val="001A323E"/>
    <w:rsid w:val="001A5320"/>
    <w:rsid w:val="001A5E62"/>
    <w:rsid w:val="001A6848"/>
    <w:rsid w:val="001A7538"/>
    <w:rsid w:val="001B06FB"/>
    <w:rsid w:val="001B0B1A"/>
    <w:rsid w:val="001B20E6"/>
    <w:rsid w:val="001B4C0B"/>
    <w:rsid w:val="001B4D12"/>
    <w:rsid w:val="001B4EC2"/>
    <w:rsid w:val="001B5B59"/>
    <w:rsid w:val="001B60E0"/>
    <w:rsid w:val="001B755A"/>
    <w:rsid w:val="001B7C8C"/>
    <w:rsid w:val="001C051D"/>
    <w:rsid w:val="001C0688"/>
    <w:rsid w:val="001C181A"/>
    <w:rsid w:val="001C1877"/>
    <w:rsid w:val="001C2053"/>
    <w:rsid w:val="001C252F"/>
    <w:rsid w:val="001C28D1"/>
    <w:rsid w:val="001C3473"/>
    <w:rsid w:val="001C5BDA"/>
    <w:rsid w:val="001C5CFC"/>
    <w:rsid w:val="001C7231"/>
    <w:rsid w:val="001C7418"/>
    <w:rsid w:val="001C7EBE"/>
    <w:rsid w:val="001D0051"/>
    <w:rsid w:val="001D150B"/>
    <w:rsid w:val="001D169A"/>
    <w:rsid w:val="001D2224"/>
    <w:rsid w:val="001D31AA"/>
    <w:rsid w:val="001D37B9"/>
    <w:rsid w:val="001D3DC0"/>
    <w:rsid w:val="001D4F88"/>
    <w:rsid w:val="001D64F3"/>
    <w:rsid w:val="001D68CF"/>
    <w:rsid w:val="001D6A8C"/>
    <w:rsid w:val="001D7A56"/>
    <w:rsid w:val="001E15C0"/>
    <w:rsid w:val="001E18E0"/>
    <w:rsid w:val="001E18E2"/>
    <w:rsid w:val="001E19D0"/>
    <w:rsid w:val="001E2A18"/>
    <w:rsid w:val="001E2A30"/>
    <w:rsid w:val="001E2FF1"/>
    <w:rsid w:val="001E3FE1"/>
    <w:rsid w:val="001E41FE"/>
    <w:rsid w:val="001E4989"/>
    <w:rsid w:val="001E635C"/>
    <w:rsid w:val="001F0297"/>
    <w:rsid w:val="001F29F9"/>
    <w:rsid w:val="001F6E0B"/>
    <w:rsid w:val="00200AA0"/>
    <w:rsid w:val="00202325"/>
    <w:rsid w:val="00202736"/>
    <w:rsid w:val="00203652"/>
    <w:rsid w:val="00204562"/>
    <w:rsid w:val="00205B4F"/>
    <w:rsid w:val="002060B6"/>
    <w:rsid w:val="002066B5"/>
    <w:rsid w:val="00210EAC"/>
    <w:rsid w:val="00211612"/>
    <w:rsid w:val="002119B6"/>
    <w:rsid w:val="00212389"/>
    <w:rsid w:val="00212B40"/>
    <w:rsid w:val="00213BD0"/>
    <w:rsid w:val="00214DBA"/>
    <w:rsid w:val="002151AB"/>
    <w:rsid w:val="0021548C"/>
    <w:rsid w:val="00215C4C"/>
    <w:rsid w:val="00215ED6"/>
    <w:rsid w:val="00216049"/>
    <w:rsid w:val="002163FA"/>
    <w:rsid w:val="00217606"/>
    <w:rsid w:val="00217C09"/>
    <w:rsid w:val="00220F5C"/>
    <w:rsid w:val="00220FA9"/>
    <w:rsid w:val="002216BF"/>
    <w:rsid w:val="00221B9B"/>
    <w:rsid w:val="00222268"/>
    <w:rsid w:val="00225080"/>
    <w:rsid w:val="00225196"/>
    <w:rsid w:val="00225CB4"/>
    <w:rsid w:val="00226B1A"/>
    <w:rsid w:val="00227F0B"/>
    <w:rsid w:val="0023049F"/>
    <w:rsid w:val="002310C3"/>
    <w:rsid w:val="002316F6"/>
    <w:rsid w:val="00232C9B"/>
    <w:rsid w:val="00232E73"/>
    <w:rsid w:val="00232F09"/>
    <w:rsid w:val="002335D5"/>
    <w:rsid w:val="002338CA"/>
    <w:rsid w:val="00233FE5"/>
    <w:rsid w:val="00234B3B"/>
    <w:rsid w:val="00234D98"/>
    <w:rsid w:val="00235AD0"/>
    <w:rsid w:val="00236018"/>
    <w:rsid w:val="002374C9"/>
    <w:rsid w:val="00237CB9"/>
    <w:rsid w:val="0024162D"/>
    <w:rsid w:val="0024174E"/>
    <w:rsid w:val="00242238"/>
    <w:rsid w:val="0024227D"/>
    <w:rsid w:val="00242D14"/>
    <w:rsid w:val="002432F4"/>
    <w:rsid w:val="00246860"/>
    <w:rsid w:val="002468D9"/>
    <w:rsid w:val="00246995"/>
    <w:rsid w:val="00246DFF"/>
    <w:rsid w:val="00246E89"/>
    <w:rsid w:val="0025183C"/>
    <w:rsid w:val="00252351"/>
    <w:rsid w:val="002528EC"/>
    <w:rsid w:val="00253EAA"/>
    <w:rsid w:val="00255049"/>
    <w:rsid w:val="00257538"/>
    <w:rsid w:val="00257AFF"/>
    <w:rsid w:val="00257DE5"/>
    <w:rsid w:val="00260531"/>
    <w:rsid w:val="00260B9A"/>
    <w:rsid w:val="00262EA5"/>
    <w:rsid w:val="0026318D"/>
    <w:rsid w:val="00264148"/>
    <w:rsid w:val="002660AF"/>
    <w:rsid w:val="00270864"/>
    <w:rsid w:val="002712F7"/>
    <w:rsid w:val="0027159C"/>
    <w:rsid w:val="002722F2"/>
    <w:rsid w:val="00274549"/>
    <w:rsid w:val="00274660"/>
    <w:rsid w:val="00274E46"/>
    <w:rsid w:val="002752AE"/>
    <w:rsid w:val="00275AFD"/>
    <w:rsid w:val="002769AF"/>
    <w:rsid w:val="00276C86"/>
    <w:rsid w:val="00276FD0"/>
    <w:rsid w:val="00277217"/>
    <w:rsid w:val="002810A4"/>
    <w:rsid w:val="0028261C"/>
    <w:rsid w:val="00282DB6"/>
    <w:rsid w:val="00284A26"/>
    <w:rsid w:val="00285095"/>
    <w:rsid w:val="00287006"/>
    <w:rsid w:val="0029030A"/>
    <w:rsid w:val="00292397"/>
    <w:rsid w:val="00292AB2"/>
    <w:rsid w:val="00292B82"/>
    <w:rsid w:val="00293DB6"/>
    <w:rsid w:val="00293FE8"/>
    <w:rsid w:val="00294437"/>
    <w:rsid w:val="00296686"/>
    <w:rsid w:val="00297A00"/>
    <w:rsid w:val="00297A45"/>
    <w:rsid w:val="00297E20"/>
    <w:rsid w:val="002A233F"/>
    <w:rsid w:val="002A3237"/>
    <w:rsid w:val="002A4119"/>
    <w:rsid w:val="002A58B7"/>
    <w:rsid w:val="002A5943"/>
    <w:rsid w:val="002A5C3C"/>
    <w:rsid w:val="002A685E"/>
    <w:rsid w:val="002A72C7"/>
    <w:rsid w:val="002B0204"/>
    <w:rsid w:val="002B03B2"/>
    <w:rsid w:val="002B0749"/>
    <w:rsid w:val="002B2645"/>
    <w:rsid w:val="002B303A"/>
    <w:rsid w:val="002B32E9"/>
    <w:rsid w:val="002B4E22"/>
    <w:rsid w:val="002B6FA0"/>
    <w:rsid w:val="002B7710"/>
    <w:rsid w:val="002C0DEA"/>
    <w:rsid w:val="002C34F6"/>
    <w:rsid w:val="002C3B6D"/>
    <w:rsid w:val="002C3F59"/>
    <w:rsid w:val="002C5D9D"/>
    <w:rsid w:val="002C5F10"/>
    <w:rsid w:val="002C6E5B"/>
    <w:rsid w:val="002D08F3"/>
    <w:rsid w:val="002D18B4"/>
    <w:rsid w:val="002D2058"/>
    <w:rsid w:val="002D231A"/>
    <w:rsid w:val="002D5330"/>
    <w:rsid w:val="002D5F57"/>
    <w:rsid w:val="002D73D4"/>
    <w:rsid w:val="002D7787"/>
    <w:rsid w:val="002E1877"/>
    <w:rsid w:val="002E1C31"/>
    <w:rsid w:val="002E2E0F"/>
    <w:rsid w:val="002E333A"/>
    <w:rsid w:val="002E3474"/>
    <w:rsid w:val="002E400C"/>
    <w:rsid w:val="002E49C3"/>
    <w:rsid w:val="002E5114"/>
    <w:rsid w:val="002E5988"/>
    <w:rsid w:val="002E65E6"/>
    <w:rsid w:val="002E7072"/>
    <w:rsid w:val="002E7570"/>
    <w:rsid w:val="002E764B"/>
    <w:rsid w:val="002E7C25"/>
    <w:rsid w:val="002F0D6A"/>
    <w:rsid w:val="002F0E28"/>
    <w:rsid w:val="002F195B"/>
    <w:rsid w:val="002F287E"/>
    <w:rsid w:val="002F2981"/>
    <w:rsid w:val="002F2D63"/>
    <w:rsid w:val="002F6AD8"/>
    <w:rsid w:val="002F7F81"/>
    <w:rsid w:val="00300A36"/>
    <w:rsid w:val="00301B45"/>
    <w:rsid w:val="00305856"/>
    <w:rsid w:val="00305867"/>
    <w:rsid w:val="0030678B"/>
    <w:rsid w:val="00306D16"/>
    <w:rsid w:val="0030700A"/>
    <w:rsid w:val="00307595"/>
    <w:rsid w:val="00307DA6"/>
    <w:rsid w:val="00310CD7"/>
    <w:rsid w:val="00313C3A"/>
    <w:rsid w:val="00313D7A"/>
    <w:rsid w:val="003155FB"/>
    <w:rsid w:val="0032136A"/>
    <w:rsid w:val="003224D8"/>
    <w:rsid w:val="00323A90"/>
    <w:rsid w:val="00323E70"/>
    <w:rsid w:val="003258A7"/>
    <w:rsid w:val="00325BA2"/>
    <w:rsid w:val="003262BD"/>
    <w:rsid w:val="00326798"/>
    <w:rsid w:val="00326B1C"/>
    <w:rsid w:val="00326C08"/>
    <w:rsid w:val="00326F7F"/>
    <w:rsid w:val="00327616"/>
    <w:rsid w:val="00330311"/>
    <w:rsid w:val="00330D55"/>
    <w:rsid w:val="003320E8"/>
    <w:rsid w:val="0033238E"/>
    <w:rsid w:val="003328FD"/>
    <w:rsid w:val="00332DE3"/>
    <w:rsid w:val="0033334F"/>
    <w:rsid w:val="0033414F"/>
    <w:rsid w:val="00334514"/>
    <w:rsid w:val="0033555E"/>
    <w:rsid w:val="0033601F"/>
    <w:rsid w:val="00336805"/>
    <w:rsid w:val="00337351"/>
    <w:rsid w:val="00341A54"/>
    <w:rsid w:val="00344A4F"/>
    <w:rsid w:val="00344D17"/>
    <w:rsid w:val="0034669F"/>
    <w:rsid w:val="003470C4"/>
    <w:rsid w:val="00351498"/>
    <w:rsid w:val="00352B22"/>
    <w:rsid w:val="00352CBF"/>
    <w:rsid w:val="00354547"/>
    <w:rsid w:val="003549F5"/>
    <w:rsid w:val="00355ACB"/>
    <w:rsid w:val="003567DE"/>
    <w:rsid w:val="003574F3"/>
    <w:rsid w:val="00357831"/>
    <w:rsid w:val="003604A5"/>
    <w:rsid w:val="0036114B"/>
    <w:rsid w:val="003614F9"/>
    <w:rsid w:val="003618B6"/>
    <w:rsid w:val="0036199A"/>
    <w:rsid w:val="003620C8"/>
    <w:rsid w:val="003623D9"/>
    <w:rsid w:val="0036319E"/>
    <w:rsid w:val="003632A4"/>
    <w:rsid w:val="00363362"/>
    <w:rsid w:val="0036392A"/>
    <w:rsid w:val="00364CAB"/>
    <w:rsid w:val="00365767"/>
    <w:rsid w:val="003659C0"/>
    <w:rsid w:val="003660DF"/>
    <w:rsid w:val="00367D4F"/>
    <w:rsid w:val="00370743"/>
    <w:rsid w:val="00370EF5"/>
    <w:rsid w:val="0037135B"/>
    <w:rsid w:val="003718CD"/>
    <w:rsid w:val="00372251"/>
    <w:rsid w:val="00373F64"/>
    <w:rsid w:val="00374247"/>
    <w:rsid w:val="00374EA1"/>
    <w:rsid w:val="0037520D"/>
    <w:rsid w:val="00375724"/>
    <w:rsid w:val="00375809"/>
    <w:rsid w:val="00375CF1"/>
    <w:rsid w:val="0037628C"/>
    <w:rsid w:val="00376A07"/>
    <w:rsid w:val="00376B81"/>
    <w:rsid w:val="00376E08"/>
    <w:rsid w:val="00377BD2"/>
    <w:rsid w:val="00380FD4"/>
    <w:rsid w:val="00381E16"/>
    <w:rsid w:val="003821E1"/>
    <w:rsid w:val="003840F6"/>
    <w:rsid w:val="00384866"/>
    <w:rsid w:val="003851BA"/>
    <w:rsid w:val="003857D4"/>
    <w:rsid w:val="00385D6F"/>
    <w:rsid w:val="00386D43"/>
    <w:rsid w:val="00387095"/>
    <w:rsid w:val="00387E95"/>
    <w:rsid w:val="00390092"/>
    <w:rsid w:val="00390CFA"/>
    <w:rsid w:val="00391858"/>
    <w:rsid w:val="00393651"/>
    <w:rsid w:val="00393D7D"/>
    <w:rsid w:val="00394926"/>
    <w:rsid w:val="00394FF9"/>
    <w:rsid w:val="00395651"/>
    <w:rsid w:val="00395E12"/>
    <w:rsid w:val="003962A8"/>
    <w:rsid w:val="00396779"/>
    <w:rsid w:val="00397AB2"/>
    <w:rsid w:val="00397DB7"/>
    <w:rsid w:val="003A27B2"/>
    <w:rsid w:val="003A40B4"/>
    <w:rsid w:val="003A41BA"/>
    <w:rsid w:val="003A5491"/>
    <w:rsid w:val="003A5958"/>
    <w:rsid w:val="003A6A99"/>
    <w:rsid w:val="003A6E60"/>
    <w:rsid w:val="003A76AB"/>
    <w:rsid w:val="003A7FF8"/>
    <w:rsid w:val="003B17AC"/>
    <w:rsid w:val="003B2143"/>
    <w:rsid w:val="003B227A"/>
    <w:rsid w:val="003B3A77"/>
    <w:rsid w:val="003B4319"/>
    <w:rsid w:val="003B5854"/>
    <w:rsid w:val="003B6764"/>
    <w:rsid w:val="003B6B0F"/>
    <w:rsid w:val="003B7A8B"/>
    <w:rsid w:val="003C22B2"/>
    <w:rsid w:val="003C247E"/>
    <w:rsid w:val="003C294B"/>
    <w:rsid w:val="003C5046"/>
    <w:rsid w:val="003C53E8"/>
    <w:rsid w:val="003C5B54"/>
    <w:rsid w:val="003C6068"/>
    <w:rsid w:val="003C7AEC"/>
    <w:rsid w:val="003D2BA3"/>
    <w:rsid w:val="003D316B"/>
    <w:rsid w:val="003D3C22"/>
    <w:rsid w:val="003D56A0"/>
    <w:rsid w:val="003D609F"/>
    <w:rsid w:val="003D69F5"/>
    <w:rsid w:val="003D7089"/>
    <w:rsid w:val="003D7DDB"/>
    <w:rsid w:val="003E024F"/>
    <w:rsid w:val="003E02C7"/>
    <w:rsid w:val="003E0543"/>
    <w:rsid w:val="003E061D"/>
    <w:rsid w:val="003E0B5A"/>
    <w:rsid w:val="003E1682"/>
    <w:rsid w:val="003E31E3"/>
    <w:rsid w:val="003E3E93"/>
    <w:rsid w:val="003E46D1"/>
    <w:rsid w:val="003E5E76"/>
    <w:rsid w:val="003E6214"/>
    <w:rsid w:val="003F070E"/>
    <w:rsid w:val="003F1206"/>
    <w:rsid w:val="003F2418"/>
    <w:rsid w:val="003F28DB"/>
    <w:rsid w:val="003F2EEE"/>
    <w:rsid w:val="003F44FD"/>
    <w:rsid w:val="003F58B0"/>
    <w:rsid w:val="003F776F"/>
    <w:rsid w:val="004007E9"/>
    <w:rsid w:val="00400810"/>
    <w:rsid w:val="00401825"/>
    <w:rsid w:val="00401BBC"/>
    <w:rsid w:val="004026FC"/>
    <w:rsid w:val="00402AB4"/>
    <w:rsid w:val="00403BFB"/>
    <w:rsid w:val="00404B45"/>
    <w:rsid w:val="00405BCF"/>
    <w:rsid w:val="004068E0"/>
    <w:rsid w:val="00406CC5"/>
    <w:rsid w:val="00406FCA"/>
    <w:rsid w:val="004074A4"/>
    <w:rsid w:val="004101B2"/>
    <w:rsid w:val="004123D7"/>
    <w:rsid w:val="00412658"/>
    <w:rsid w:val="004129DA"/>
    <w:rsid w:val="00415EA4"/>
    <w:rsid w:val="0041604B"/>
    <w:rsid w:val="004172DB"/>
    <w:rsid w:val="004174F0"/>
    <w:rsid w:val="00420A1D"/>
    <w:rsid w:val="00420B1E"/>
    <w:rsid w:val="004211FD"/>
    <w:rsid w:val="00421485"/>
    <w:rsid w:val="004216DA"/>
    <w:rsid w:val="00421DEA"/>
    <w:rsid w:val="00422B75"/>
    <w:rsid w:val="00424612"/>
    <w:rsid w:val="0042528C"/>
    <w:rsid w:val="00425672"/>
    <w:rsid w:val="00425A6A"/>
    <w:rsid w:val="00426A23"/>
    <w:rsid w:val="00427A32"/>
    <w:rsid w:val="00427C7F"/>
    <w:rsid w:val="00427F54"/>
    <w:rsid w:val="004316FD"/>
    <w:rsid w:val="00433F36"/>
    <w:rsid w:val="00434860"/>
    <w:rsid w:val="00434BBD"/>
    <w:rsid w:val="0043503A"/>
    <w:rsid w:val="00437B8A"/>
    <w:rsid w:val="00437D18"/>
    <w:rsid w:val="00437D77"/>
    <w:rsid w:val="00441D99"/>
    <w:rsid w:val="004435BE"/>
    <w:rsid w:val="0044384F"/>
    <w:rsid w:val="0044411E"/>
    <w:rsid w:val="00444472"/>
    <w:rsid w:val="00444B93"/>
    <w:rsid w:val="00444F80"/>
    <w:rsid w:val="00445599"/>
    <w:rsid w:val="00446018"/>
    <w:rsid w:val="0044769D"/>
    <w:rsid w:val="0045027B"/>
    <w:rsid w:val="004504E7"/>
    <w:rsid w:val="00450CA4"/>
    <w:rsid w:val="00451F9D"/>
    <w:rsid w:val="00453167"/>
    <w:rsid w:val="0045361D"/>
    <w:rsid w:val="004543BC"/>
    <w:rsid w:val="00454F28"/>
    <w:rsid w:val="0045645D"/>
    <w:rsid w:val="0045707D"/>
    <w:rsid w:val="004574C6"/>
    <w:rsid w:val="00457743"/>
    <w:rsid w:val="00457BCF"/>
    <w:rsid w:val="00457DCE"/>
    <w:rsid w:val="00460E3F"/>
    <w:rsid w:val="0046111A"/>
    <w:rsid w:val="00462F68"/>
    <w:rsid w:val="0046369B"/>
    <w:rsid w:val="004640E9"/>
    <w:rsid w:val="004647EB"/>
    <w:rsid w:val="0046594E"/>
    <w:rsid w:val="00466CED"/>
    <w:rsid w:val="00466EB5"/>
    <w:rsid w:val="00467592"/>
    <w:rsid w:val="00467690"/>
    <w:rsid w:val="00467A14"/>
    <w:rsid w:val="004718E7"/>
    <w:rsid w:val="00472289"/>
    <w:rsid w:val="00472535"/>
    <w:rsid w:val="004761CC"/>
    <w:rsid w:val="004766C9"/>
    <w:rsid w:val="00480D4A"/>
    <w:rsid w:val="00481DA1"/>
    <w:rsid w:val="00483A2B"/>
    <w:rsid w:val="00484212"/>
    <w:rsid w:val="004848C3"/>
    <w:rsid w:val="00484BA9"/>
    <w:rsid w:val="0048599A"/>
    <w:rsid w:val="00486818"/>
    <w:rsid w:val="0049255F"/>
    <w:rsid w:val="0049445D"/>
    <w:rsid w:val="00494D39"/>
    <w:rsid w:val="00495350"/>
    <w:rsid w:val="00495E3C"/>
    <w:rsid w:val="00496041"/>
    <w:rsid w:val="00497156"/>
    <w:rsid w:val="004A0C79"/>
    <w:rsid w:val="004A24D2"/>
    <w:rsid w:val="004A3214"/>
    <w:rsid w:val="004A4136"/>
    <w:rsid w:val="004A417B"/>
    <w:rsid w:val="004A4378"/>
    <w:rsid w:val="004A712D"/>
    <w:rsid w:val="004A7C03"/>
    <w:rsid w:val="004B03F3"/>
    <w:rsid w:val="004B0CC9"/>
    <w:rsid w:val="004B1C61"/>
    <w:rsid w:val="004B2536"/>
    <w:rsid w:val="004B46D7"/>
    <w:rsid w:val="004B6AF3"/>
    <w:rsid w:val="004B6F1F"/>
    <w:rsid w:val="004B715E"/>
    <w:rsid w:val="004B7169"/>
    <w:rsid w:val="004B79C9"/>
    <w:rsid w:val="004C00DD"/>
    <w:rsid w:val="004C05CF"/>
    <w:rsid w:val="004C0776"/>
    <w:rsid w:val="004C1EF8"/>
    <w:rsid w:val="004C2063"/>
    <w:rsid w:val="004C24C5"/>
    <w:rsid w:val="004C2645"/>
    <w:rsid w:val="004C47D5"/>
    <w:rsid w:val="004C4CAF"/>
    <w:rsid w:val="004C5E33"/>
    <w:rsid w:val="004C60A3"/>
    <w:rsid w:val="004C6CDA"/>
    <w:rsid w:val="004C79F5"/>
    <w:rsid w:val="004D10D4"/>
    <w:rsid w:val="004D16BD"/>
    <w:rsid w:val="004D2AAB"/>
    <w:rsid w:val="004D3C7F"/>
    <w:rsid w:val="004D42CB"/>
    <w:rsid w:val="004D6E90"/>
    <w:rsid w:val="004D6F2B"/>
    <w:rsid w:val="004E0248"/>
    <w:rsid w:val="004E21A3"/>
    <w:rsid w:val="004E32EA"/>
    <w:rsid w:val="004E3517"/>
    <w:rsid w:val="004E6866"/>
    <w:rsid w:val="004F0A73"/>
    <w:rsid w:val="004F0C58"/>
    <w:rsid w:val="004F3222"/>
    <w:rsid w:val="004F33D5"/>
    <w:rsid w:val="004F3639"/>
    <w:rsid w:val="004F3BFA"/>
    <w:rsid w:val="004F4E3C"/>
    <w:rsid w:val="004F4F0F"/>
    <w:rsid w:val="004F5A1A"/>
    <w:rsid w:val="004F77A3"/>
    <w:rsid w:val="005000AB"/>
    <w:rsid w:val="00500EAF"/>
    <w:rsid w:val="00500F3C"/>
    <w:rsid w:val="005025EE"/>
    <w:rsid w:val="00503401"/>
    <w:rsid w:val="00503DDF"/>
    <w:rsid w:val="00505524"/>
    <w:rsid w:val="005058D5"/>
    <w:rsid w:val="00506688"/>
    <w:rsid w:val="00510588"/>
    <w:rsid w:val="00510F9C"/>
    <w:rsid w:val="0051146C"/>
    <w:rsid w:val="0051220B"/>
    <w:rsid w:val="00512253"/>
    <w:rsid w:val="00512484"/>
    <w:rsid w:val="00514449"/>
    <w:rsid w:val="00515419"/>
    <w:rsid w:val="005157BD"/>
    <w:rsid w:val="005214A3"/>
    <w:rsid w:val="005222E7"/>
    <w:rsid w:val="00523488"/>
    <w:rsid w:val="00523A8B"/>
    <w:rsid w:val="00523E04"/>
    <w:rsid w:val="00525003"/>
    <w:rsid w:val="0052590B"/>
    <w:rsid w:val="0052592B"/>
    <w:rsid w:val="00526591"/>
    <w:rsid w:val="00527178"/>
    <w:rsid w:val="00527618"/>
    <w:rsid w:val="005278CB"/>
    <w:rsid w:val="00530388"/>
    <w:rsid w:val="00531DA0"/>
    <w:rsid w:val="00532B4C"/>
    <w:rsid w:val="00532E9D"/>
    <w:rsid w:val="00533075"/>
    <w:rsid w:val="00534D42"/>
    <w:rsid w:val="005350A5"/>
    <w:rsid w:val="00536379"/>
    <w:rsid w:val="00537238"/>
    <w:rsid w:val="005400C5"/>
    <w:rsid w:val="005404CD"/>
    <w:rsid w:val="00540BE0"/>
    <w:rsid w:val="00540BEF"/>
    <w:rsid w:val="00542B34"/>
    <w:rsid w:val="00542C9A"/>
    <w:rsid w:val="005436C2"/>
    <w:rsid w:val="005442D4"/>
    <w:rsid w:val="0054586A"/>
    <w:rsid w:val="0054631F"/>
    <w:rsid w:val="00546C24"/>
    <w:rsid w:val="005471BA"/>
    <w:rsid w:val="00547BDA"/>
    <w:rsid w:val="00547BE6"/>
    <w:rsid w:val="0055034F"/>
    <w:rsid w:val="00550476"/>
    <w:rsid w:val="0055288D"/>
    <w:rsid w:val="00555259"/>
    <w:rsid w:val="00555C66"/>
    <w:rsid w:val="005569EF"/>
    <w:rsid w:val="00556BDE"/>
    <w:rsid w:val="0056054B"/>
    <w:rsid w:val="00560D57"/>
    <w:rsid w:val="00562A94"/>
    <w:rsid w:val="00563FAD"/>
    <w:rsid w:val="005701C1"/>
    <w:rsid w:val="005703BF"/>
    <w:rsid w:val="00570754"/>
    <w:rsid w:val="005709F7"/>
    <w:rsid w:val="00570EAA"/>
    <w:rsid w:val="005710A9"/>
    <w:rsid w:val="005716B0"/>
    <w:rsid w:val="00571B11"/>
    <w:rsid w:val="00571D1B"/>
    <w:rsid w:val="00571DA3"/>
    <w:rsid w:val="005738F5"/>
    <w:rsid w:val="00573D34"/>
    <w:rsid w:val="00574A1B"/>
    <w:rsid w:val="00575963"/>
    <w:rsid w:val="00575EBE"/>
    <w:rsid w:val="0058039C"/>
    <w:rsid w:val="00580A63"/>
    <w:rsid w:val="00583379"/>
    <w:rsid w:val="0058417C"/>
    <w:rsid w:val="005854F9"/>
    <w:rsid w:val="00586EC6"/>
    <w:rsid w:val="00587DDE"/>
    <w:rsid w:val="00593043"/>
    <w:rsid w:val="00595B60"/>
    <w:rsid w:val="00595B63"/>
    <w:rsid w:val="00595BF0"/>
    <w:rsid w:val="00597E16"/>
    <w:rsid w:val="005A0B1D"/>
    <w:rsid w:val="005A1846"/>
    <w:rsid w:val="005A258C"/>
    <w:rsid w:val="005A3560"/>
    <w:rsid w:val="005A464E"/>
    <w:rsid w:val="005A62FC"/>
    <w:rsid w:val="005A6C99"/>
    <w:rsid w:val="005A7D5D"/>
    <w:rsid w:val="005B0040"/>
    <w:rsid w:val="005B011A"/>
    <w:rsid w:val="005B0283"/>
    <w:rsid w:val="005B1ADA"/>
    <w:rsid w:val="005B1D09"/>
    <w:rsid w:val="005B1D8F"/>
    <w:rsid w:val="005B1E94"/>
    <w:rsid w:val="005B30B5"/>
    <w:rsid w:val="005B3883"/>
    <w:rsid w:val="005B5B3D"/>
    <w:rsid w:val="005B5E8F"/>
    <w:rsid w:val="005B64CF"/>
    <w:rsid w:val="005B72DA"/>
    <w:rsid w:val="005C0E87"/>
    <w:rsid w:val="005C1398"/>
    <w:rsid w:val="005C16F3"/>
    <w:rsid w:val="005C3758"/>
    <w:rsid w:val="005C4D72"/>
    <w:rsid w:val="005C50C1"/>
    <w:rsid w:val="005C5C33"/>
    <w:rsid w:val="005C62C2"/>
    <w:rsid w:val="005D2306"/>
    <w:rsid w:val="005D2562"/>
    <w:rsid w:val="005D2666"/>
    <w:rsid w:val="005D4548"/>
    <w:rsid w:val="005D4A74"/>
    <w:rsid w:val="005D5E91"/>
    <w:rsid w:val="005D639F"/>
    <w:rsid w:val="005D67EF"/>
    <w:rsid w:val="005E3064"/>
    <w:rsid w:val="005E54DC"/>
    <w:rsid w:val="005E65DC"/>
    <w:rsid w:val="005E6AEE"/>
    <w:rsid w:val="005E72B2"/>
    <w:rsid w:val="005E79A0"/>
    <w:rsid w:val="005F097E"/>
    <w:rsid w:val="005F1115"/>
    <w:rsid w:val="005F1AB6"/>
    <w:rsid w:val="005F27F2"/>
    <w:rsid w:val="005F2B27"/>
    <w:rsid w:val="005F3567"/>
    <w:rsid w:val="005F3AFE"/>
    <w:rsid w:val="005F424D"/>
    <w:rsid w:val="005F55F5"/>
    <w:rsid w:val="005F5EC1"/>
    <w:rsid w:val="005F67A9"/>
    <w:rsid w:val="005F6B6D"/>
    <w:rsid w:val="005F73CA"/>
    <w:rsid w:val="006008F8"/>
    <w:rsid w:val="006036C2"/>
    <w:rsid w:val="00605AAB"/>
    <w:rsid w:val="00606BEB"/>
    <w:rsid w:val="00607D3A"/>
    <w:rsid w:val="0061014A"/>
    <w:rsid w:val="0061054B"/>
    <w:rsid w:val="006110E8"/>
    <w:rsid w:val="006110FB"/>
    <w:rsid w:val="00612FB0"/>
    <w:rsid w:val="0061356D"/>
    <w:rsid w:val="00613E26"/>
    <w:rsid w:val="00615641"/>
    <w:rsid w:val="00615A66"/>
    <w:rsid w:val="00616959"/>
    <w:rsid w:val="0062036E"/>
    <w:rsid w:val="006211D0"/>
    <w:rsid w:val="00621595"/>
    <w:rsid w:val="0062359D"/>
    <w:rsid w:val="00623634"/>
    <w:rsid w:val="00624C8F"/>
    <w:rsid w:val="00624D0C"/>
    <w:rsid w:val="00626A0F"/>
    <w:rsid w:val="006274B4"/>
    <w:rsid w:val="006307BA"/>
    <w:rsid w:val="006315BA"/>
    <w:rsid w:val="00634C4A"/>
    <w:rsid w:val="0063532E"/>
    <w:rsid w:val="0063579F"/>
    <w:rsid w:val="006364ED"/>
    <w:rsid w:val="00637063"/>
    <w:rsid w:val="0063737C"/>
    <w:rsid w:val="00637BDC"/>
    <w:rsid w:val="00640363"/>
    <w:rsid w:val="00640622"/>
    <w:rsid w:val="006418C9"/>
    <w:rsid w:val="00642BD6"/>
    <w:rsid w:val="00643C8F"/>
    <w:rsid w:val="00645046"/>
    <w:rsid w:val="0064527A"/>
    <w:rsid w:val="006458FD"/>
    <w:rsid w:val="00645DE8"/>
    <w:rsid w:val="00645EA2"/>
    <w:rsid w:val="00650DCE"/>
    <w:rsid w:val="00651E6D"/>
    <w:rsid w:val="0065237D"/>
    <w:rsid w:val="00652943"/>
    <w:rsid w:val="00653AB2"/>
    <w:rsid w:val="00653D2D"/>
    <w:rsid w:val="0065435E"/>
    <w:rsid w:val="00654551"/>
    <w:rsid w:val="00654F91"/>
    <w:rsid w:val="006555E7"/>
    <w:rsid w:val="00655CCC"/>
    <w:rsid w:val="006560B6"/>
    <w:rsid w:val="0065726D"/>
    <w:rsid w:val="006573F2"/>
    <w:rsid w:val="00661BA2"/>
    <w:rsid w:val="00662AD0"/>
    <w:rsid w:val="00662F08"/>
    <w:rsid w:val="00663589"/>
    <w:rsid w:val="00664296"/>
    <w:rsid w:val="00664427"/>
    <w:rsid w:val="00664840"/>
    <w:rsid w:val="006649CD"/>
    <w:rsid w:val="00665D75"/>
    <w:rsid w:val="006708E3"/>
    <w:rsid w:val="00670DDC"/>
    <w:rsid w:val="00671389"/>
    <w:rsid w:val="00671EB4"/>
    <w:rsid w:val="00673CDC"/>
    <w:rsid w:val="0067443B"/>
    <w:rsid w:val="006770AA"/>
    <w:rsid w:val="0068098E"/>
    <w:rsid w:val="006810BD"/>
    <w:rsid w:val="00682486"/>
    <w:rsid w:val="006833A7"/>
    <w:rsid w:val="00684CE6"/>
    <w:rsid w:val="00684E2B"/>
    <w:rsid w:val="006857A0"/>
    <w:rsid w:val="00687C7E"/>
    <w:rsid w:val="00687D3D"/>
    <w:rsid w:val="00690569"/>
    <w:rsid w:val="00690FDA"/>
    <w:rsid w:val="00691E61"/>
    <w:rsid w:val="00692180"/>
    <w:rsid w:val="006937C6"/>
    <w:rsid w:val="00693C5E"/>
    <w:rsid w:val="00693CEE"/>
    <w:rsid w:val="00694EEA"/>
    <w:rsid w:val="006955B4"/>
    <w:rsid w:val="00695DEF"/>
    <w:rsid w:val="00696476"/>
    <w:rsid w:val="00696C74"/>
    <w:rsid w:val="00697C9B"/>
    <w:rsid w:val="006A10FA"/>
    <w:rsid w:val="006A12E0"/>
    <w:rsid w:val="006A40E6"/>
    <w:rsid w:val="006A516B"/>
    <w:rsid w:val="006A5362"/>
    <w:rsid w:val="006A543A"/>
    <w:rsid w:val="006A5C07"/>
    <w:rsid w:val="006A75FA"/>
    <w:rsid w:val="006B07D5"/>
    <w:rsid w:val="006B1309"/>
    <w:rsid w:val="006B31E6"/>
    <w:rsid w:val="006B3923"/>
    <w:rsid w:val="006B3F3E"/>
    <w:rsid w:val="006B4AA2"/>
    <w:rsid w:val="006B4C4D"/>
    <w:rsid w:val="006B53C4"/>
    <w:rsid w:val="006B54DC"/>
    <w:rsid w:val="006B586B"/>
    <w:rsid w:val="006B5923"/>
    <w:rsid w:val="006B67D9"/>
    <w:rsid w:val="006B6C14"/>
    <w:rsid w:val="006B7159"/>
    <w:rsid w:val="006B715E"/>
    <w:rsid w:val="006C1D6E"/>
    <w:rsid w:val="006C2EF6"/>
    <w:rsid w:val="006C3A68"/>
    <w:rsid w:val="006C3B08"/>
    <w:rsid w:val="006C6AB1"/>
    <w:rsid w:val="006C6E6B"/>
    <w:rsid w:val="006C73D4"/>
    <w:rsid w:val="006D145F"/>
    <w:rsid w:val="006D2000"/>
    <w:rsid w:val="006D2D39"/>
    <w:rsid w:val="006D2F31"/>
    <w:rsid w:val="006D4250"/>
    <w:rsid w:val="006D4E0E"/>
    <w:rsid w:val="006D5861"/>
    <w:rsid w:val="006D5CE2"/>
    <w:rsid w:val="006D7854"/>
    <w:rsid w:val="006E06D1"/>
    <w:rsid w:val="006E122E"/>
    <w:rsid w:val="006E1313"/>
    <w:rsid w:val="006E2DC8"/>
    <w:rsid w:val="006E58CB"/>
    <w:rsid w:val="006E6B68"/>
    <w:rsid w:val="006E7356"/>
    <w:rsid w:val="006E77C8"/>
    <w:rsid w:val="006F0F9C"/>
    <w:rsid w:val="006F149D"/>
    <w:rsid w:val="006F1A46"/>
    <w:rsid w:val="006F45A0"/>
    <w:rsid w:val="006F4F06"/>
    <w:rsid w:val="006F5A4E"/>
    <w:rsid w:val="006F5D37"/>
    <w:rsid w:val="006F6005"/>
    <w:rsid w:val="007005EA"/>
    <w:rsid w:val="0070220D"/>
    <w:rsid w:val="00703B6C"/>
    <w:rsid w:val="00703BB0"/>
    <w:rsid w:val="00704519"/>
    <w:rsid w:val="00704C40"/>
    <w:rsid w:val="00704C88"/>
    <w:rsid w:val="00704EA1"/>
    <w:rsid w:val="00705BE5"/>
    <w:rsid w:val="00705C40"/>
    <w:rsid w:val="00706482"/>
    <w:rsid w:val="00706754"/>
    <w:rsid w:val="00706BEF"/>
    <w:rsid w:val="00707028"/>
    <w:rsid w:val="00707ECE"/>
    <w:rsid w:val="00710CE8"/>
    <w:rsid w:val="00711350"/>
    <w:rsid w:val="00711538"/>
    <w:rsid w:val="007116BC"/>
    <w:rsid w:val="00711961"/>
    <w:rsid w:val="00711CA6"/>
    <w:rsid w:val="007165CE"/>
    <w:rsid w:val="00717CEB"/>
    <w:rsid w:val="0072035D"/>
    <w:rsid w:val="00720968"/>
    <w:rsid w:val="00721705"/>
    <w:rsid w:val="00721B7A"/>
    <w:rsid w:val="00721D12"/>
    <w:rsid w:val="00721F8B"/>
    <w:rsid w:val="007236E0"/>
    <w:rsid w:val="007237CE"/>
    <w:rsid w:val="00724619"/>
    <w:rsid w:val="00724688"/>
    <w:rsid w:val="00725BC5"/>
    <w:rsid w:val="007260A9"/>
    <w:rsid w:val="00726C1D"/>
    <w:rsid w:val="007272F1"/>
    <w:rsid w:val="00727565"/>
    <w:rsid w:val="0073062D"/>
    <w:rsid w:val="0073093B"/>
    <w:rsid w:val="0073254D"/>
    <w:rsid w:val="007340F3"/>
    <w:rsid w:val="007347BB"/>
    <w:rsid w:val="00735704"/>
    <w:rsid w:val="00736A49"/>
    <w:rsid w:val="007411FE"/>
    <w:rsid w:val="007419A1"/>
    <w:rsid w:val="00743B71"/>
    <w:rsid w:val="00743C2D"/>
    <w:rsid w:val="00743C3A"/>
    <w:rsid w:val="00743E36"/>
    <w:rsid w:val="00743F05"/>
    <w:rsid w:val="007441C1"/>
    <w:rsid w:val="007446F7"/>
    <w:rsid w:val="00744C68"/>
    <w:rsid w:val="00744EBB"/>
    <w:rsid w:val="00745B0A"/>
    <w:rsid w:val="00745DBE"/>
    <w:rsid w:val="007468AC"/>
    <w:rsid w:val="00746AE2"/>
    <w:rsid w:val="00750C82"/>
    <w:rsid w:val="00750E3A"/>
    <w:rsid w:val="00752035"/>
    <w:rsid w:val="0076100C"/>
    <w:rsid w:val="007612A5"/>
    <w:rsid w:val="00763CAE"/>
    <w:rsid w:val="00763F95"/>
    <w:rsid w:val="007651ED"/>
    <w:rsid w:val="00766C87"/>
    <w:rsid w:val="00771043"/>
    <w:rsid w:val="0077272B"/>
    <w:rsid w:val="00773AF7"/>
    <w:rsid w:val="00774FFD"/>
    <w:rsid w:val="00780378"/>
    <w:rsid w:val="0078085E"/>
    <w:rsid w:val="00781BD4"/>
    <w:rsid w:val="00782562"/>
    <w:rsid w:val="007828B4"/>
    <w:rsid w:val="00784832"/>
    <w:rsid w:val="00784EA0"/>
    <w:rsid w:val="00785C75"/>
    <w:rsid w:val="00785D77"/>
    <w:rsid w:val="00786111"/>
    <w:rsid w:val="00790963"/>
    <w:rsid w:val="0079150B"/>
    <w:rsid w:val="0079154B"/>
    <w:rsid w:val="00791EED"/>
    <w:rsid w:val="00791F1E"/>
    <w:rsid w:val="007927BE"/>
    <w:rsid w:val="007935B8"/>
    <w:rsid w:val="00794ADE"/>
    <w:rsid w:val="00794F3D"/>
    <w:rsid w:val="00795CE9"/>
    <w:rsid w:val="00796045"/>
    <w:rsid w:val="007966CC"/>
    <w:rsid w:val="007968AC"/>
    <w:rsid w:val="007969AB"/>
    <w:rsid w:val="007973D8"/>
    <w:rsid w:val="00797801"/>
    <w:rsid w:val="007A0861"/>
    <w:rsid w:val="007A0B39"/>
    <w:rsid w:val="007A14A4"/>
    <w:rsid w:val="007A15F8"/>
    <w:rsid w:val="007A168F"/>
    <w:rsid w:val="007A2346"/>
    <w:rsid w:val="007A28E4"/>
    <w:rsid w:val="007A3BB3"/>
    <w:rsid w:val="007A3F91"/>
    <w:rsid w:val="007A3F9C"/>
    <w:rsid w:val="007A5AD1"/>
    <w:rsid w:val="007A5B7B"/>
    <w:rsid w:val="007A65A9"/>
    <w:rsid w:val="007A7FD8"/>
    <w:rsid w:val="007B0128"/>
    <w:rsid w:val="007B0635"/>
    <w:rsid w:val="007B0A06"/>
    <w:rsid w:val="007B0B24"/>
    <w:rsid w:val="007B0F8B"/>
    <w:rsid w:val="007B1C83"/>
    <w:rsid w:val="007B4181"/>
    <w:rsid w:val="007B5746"/>
    <w:rsid w:val="007B5C5C"/>
    <w:rsid w:val="007B6CE0"/>
    <w:rsid w:val="007B7B37"/>
    <w:rsid w:val="007B7C41"/>
    <w:rsid w:val="007C05C5"/>
    <w:rsid w:val="007C0715"/>
    <w:rsid w:val="007C0B04"/>
    <w:rsid w:val="007C0EC2"/>
    <w:rsid w:val="007C11E9"/>
    <w:rsid w:val="007C238B"/>
    <w:rsid w:val="007C2802"/>
    <w:rsid w:val="007C3E5A"/>
    <w:rsid w:val="007C433E"/>
    <w:rsid w:val="007C4452"/>
    <w:rsid w:val="007C4B3C"/>
    <w:rsid w:val="007C4DB1"/>
    <w:rsid w:val="007C6046"/>
    <w:rsid w:val="007C605A"/>
    <w:rsid w:val="007C6F0C"/>
    <w:rsid w:val="007D0292"/>
    <w:rsid w:val="007D136C"/>
    <w:rsid w:val="007D1FCE"/>
    <w:rsid w:val="007D21AC"/>
    <w:rsid w:val="007D24B0"/>
    <w:rsid w:val="007D3882"/>
    <w:rsid w:val="007D39E4"/>
    <w:rsid w:val="007D3FE7"/>
    <w:rsid w:val="007D4CFC"/>
    <w:rsid w:val="007D568A"/>
    <w:rsid w:val="007D574E"/>
    <w:rsid w:val="007D57C0"/>
    <w:rsid w:val="007D67CB"/>
    <w:rsid w:val="007D6BFE"/>
    <w:rsid w:val="007E176C"/>
    <w:rsid w:val="007E2046"/>
    <w:rsid w:val="007E3883"/>
    <w:rsid w:val="007E4876"/>
    <w:rsid w:val="007E48CD"/>
    <w:rsid w:val="007E4ACB"/>
    <w:rsid w:val="007E4FBB"/>
    <w:rsid w:val="007E55BF"/>
    <w:rsid w:val="007E59E3"/>
    <w:rsid w:val="007E5E39"/>
    <w:rsid w:val="007E62C0"/>
    <w:rsid w:val="007E71B1"/>
    <w:rsid w:val="007E7B4E"/>
    <w:rsid w:val="007E7F02"/>
    <w:rsid w:val="007F0292"/>
    <w:rsid w:val="007F0722"/>
    <w:rsid w:val="007F0AB7"/>
    <w:rsid w:val="007F0CE2"/>
    <w:rsid w:val="007F0EFF"/>
    <w:rsid w:val="007F1375"/>
    <w:rsid w:val="007F1AFD"/>
    <w:rsid w:val="007F30E4"/>
    <w:rsid w:val="0080064F"/>
    <w:rsid w:val="00801B85"/>
    <w:rsid w:val="00803850"/>
    <w:rsid w:val="008039E8"/>
    <w:rsid w:val="00804385"/>
    <w:rsid w:val="00804E0E"/>
    <w:rsid w:val="008051EB"/>
    <w:rsid w:val="0080588E"/>
    <w:rsid w:val="00805AFD"/>
    <w:rsid w:val="00806397"/>
    <w:rsid w:val="008078D8"/>
    <w:rsid w:val="0080798E"/>
    <w:rsid w:val="00811BD9"/>
    <w:rsid w:val="00811D5B"/>
    <w:rsid w:val="00813C51"/>
    <w:rsid w:val="00816CCB"/>
    <w:rsid w:val="00817572"/>
    <w:rsid w:val="00817713"/>
    <w:rsid w:val="008208C3"/>
    <w:rsid w:val="008220F1"/>
    <w:rsid w:val="0082340B"/>
    <w:rsid w:val="00823D6A"/>
    <w:rsid w:val="00827B29"/>
    <w:rsid w:val="00827DB6"/>
    <w:rsid w:val="008304B2"/>
    <w:rsid w:val="00830999"/>
    <w:rsid w:val="00830D5E"/>
    <w:rsid w:val="00830F69"/>
    <w:rsid w:val="00831940"/>
    <w:rsid w:val="008324D9"/>
    <w:rsid w:val="00833418"/>
    <w:rsid w:val="0083387F"/>
    <w:rsid w:val="00834458"/>
    <w:rsid w:val="00834AEA"/>
    <w:rsid w:val="00835841"/>
    <w:rsid w:val="00835BF8"/>
    <w:rsid w:val="00835FB7"/>
    <w:rsid w:val="00837465"/>
    <w:rsid w:val="0084002E"/>
    <w:rsid w:val="00840159"/>
    <w:rsid w:val="00840621"/>
    <w:rsid w:val="00841243"/>
    <w:rsid w:val="00841457"/>
    <w:rsid w:val="008414D4"/>
    <w:rsid w:val="00842BAA"/>
    <w:rsid w:val="00842D8F"/>
    <w:rsid w:val="0084374E"/>
    <w:rsid w:val="00844842"/>
    <w:rsid w:val="0084493E"/>
    <w:rsid w:val="00844A53"/>
    <w:rsid w:val="00844B99"/>
    <w:rsid w:val="00844DD0"/>
    <w:rsid w:val="008455C8"/>
    <w:rsid w:val="00846407"/>
    <w:rsid w:val="0085006A"/>
    <w:rsid w:val="00850127"/>
    <w:rsid w:val="0085089F"/>
    <w:rsid w:val="008508F8"/>
    <w:rsid w:val="0085206E"/>
    <w:rsid w:val="00852273"/>
    <w:rsid w:val="0085293D"/>
    <w:rsid w:val="00852AD4"/>
    <w:rsid w:val="00852BA8"/>
    <w:rsid w:val="00852BF0"/>
    <w:rsid w:val="00853718"/>
    <w:rsid w:val="008541EF"/>
    <w:rsid w:val="00856428"/>
    <w:rsid w:val="008568C6"/>
    <w:rsid w:val="00856AC7"/>
    <w:rsid w:val="00856FA4"/>
    <w:rsid w:val="00860869"/>
    <w:rsid w:val="00860E60"/>
    <w:rsid w:val="0086102A"/>
    <w:rsid w:val="00861216"/>
    <w:rsid w:val="0086162B"/>
    <w:rsid w:val="00861710"/>
    <w:rsid w:val="00861D5C"/>
    <w:rsid w:val="00861E7C"/>
    <w:rsid w:val="0086429C"/>
    <w:rsid w:val="00865207"/>
    <w:rsid w:val="008656A7"/>
    <w:rsid w:val="00865FA3"/>
    <w:rsid w:val="00866231"/>
    <w:rsid w:val="0086739A"/>
    <w:rsid w:val="00871262"/>
    <w:rsid w:val="0087170E"/>
    <w:rsid w:val="00871D4E"/>
    <w:rsid w:val="00871E7B"/>
    <w:rsid w:val="008721BB"/>
    <w:rsid w:val="0087566D"/>
    <w:rsid w:val="00875B50"/>
    <w:rsid w:val="00875B51"/>
    <w:rsid w:val="00875F2D"/>
    <w:rsid w:val="008762E7"/>
    <w:rsid w:val="008764DC"/>
    <w:rsid w:val="00882CC2"/>
    <w:rsid w:val="00883103"/>
    <w:rsid w:val="0088325A"/>
    <w:rsid w:val="00883930"/>
    <w:rsid w:val="00884535"/>
    <w:rsid w:val="00887F3F"/>
    <w:rsid w:val="008902BE"/>
    <w:rsid w:val="0089038F"/>
    <w:rsid w:val="00890CDA"/>
    <w:rsid w:val="0089191D"/>
    <w:rsid w:val="00891BBA"/>
    <w:rsid w:val="00892079"/>
    <w:rsid w:val="00892B90"/>
    <w:rsid w:val="00896535"/>
    <w:rsid w:val="00896683"/>
    <w:rsid w:val="00896E71"/>
    <w:rsid w:val="0089750B"/>
    <w:rsid w:val="00897589"/>
    <w:rsid w:val="008A0C99"/>
    <w:rsid w:val="008A0D4F"/>
    <w:rsid w:val="008A1CC3"/>
    <w:rsid w:val="008A39D7"/>
    <w:rsid w:val="008A55DE"/>
    <w:rsid w:val="008A5705"/>
    <w:rsid w:val="008A5C34"/>
    <w:rsid w:val="008A63A9"/>
    <w:rsid w:val="008A7073"/>
    <w:rsid w:val="008A79F0"/>
    <w:rsid w:val="008A7F7E"/>
    <w:rsid w:val="008B04DB"/>
    <w:rsid w:val="008B09B4"/>
    <w:rsid w:val="008B1B11"/>
    <w:rsid w:val="008B1DF4"/>
    <w:rsid w:val="008B27FD"/>
    <w:rsid w:val="008B2FDB"/>
    <w:rsid w:val="008B3AF2"/>
    <w:rsid w:val="008B446D"/>
    <w:rsid w:val="008B515D"/>
    <w:rsid w:val="008B5D31"/>
    <w:rsid w:val="008B6705"/>
    <w:rsid w:val="008C22F3"/>
    <w:rsid w:val="008C3223"/>
    <w:rsid w:val="008C3FD0"/>
    <w:rsid w:val="008C4F01"/>
    <w:rsid w:val="008C5152"/>
    <w:rsid w:val="008C710E"/>
    <w:rsid w:val="008D1484"/>
    <w:rsid w:val="008D29E7"/>
    <w:rsid w:val="008D5104"/>
    <w:rsid w:val="008D75F4"/>
    <w:rsid w:val="008D795D"/>
    <w:rsid w:val="008D7B07"/>
    <w:rsid w:val="008E0D8F"/>
    <w:rsid w:val="008E0F4E"/>
    <w:rsid w:val="008E1E94"/>
    <w:rsid w:val="008E2D99"/>
    <w:rsid w:val="008E30D4"/>
    <w:rsid w:val="008E38B0"/>
    <w:rsid w:val="008E3C90"/>
    <w:rsid w:val="008E4A60"/>
    <w:rsid w:val="008E744D"/>
    <w:rsid w:val="008F1E08"/>
    <w:rsid w:val="008F30F4"/>
    <w:rsid w:val="008F33D2"/>
    <w:rsid w:val="008F58E1"/>
    <w:rsid w:val="008F6E05"/>
    <w:rsid w:val="008F6FC8"/>
    <w:rsid w:val="0090045D"/>
    <w:rsid w:val="00900906"/>
    <w:rsid w:val="00900D8F"/>
    <w:rsid w:val="00901229"/>
    <w:rsid w:val="009014E3"/>
    <w:rsid w:val="009020ED"/>
    <w:rsid w:val="009026E8"/>
    <w:rsid w:val="00902FDD"/>
    <w:rsid w:val="00905EEF"/>
    <w:rsid w:val="00906EB7"/>
    <w:rsid w:val="00907FE6"/>
    <w:rsid w:val="009102BF"/>
    <w:rsid w:val="00911490"/>
    <w:rsid w:val="009115F2"/>
    <w:rsid w:val="00911B11"/>
    <w:rsid w:val="00914ADB"/>
    <w:rsid w:val="00917182"/>
    <w:rsid w:val="00920251"/>
    <w:rsid w:val="00921CFD"/>
    <w:rsid w:val="00923B25"/>
    <w:rsid w:val="0092402E"/>
    <w:rsid w:val="009259BA"/>
    <w:rsid w:val="00926FCB"/>
    <w:rsid w:val="009303BB"/>
    <w:rsid w:val="0093108A"/>
    <w:rsid w:val="009319EF"/>
    <w:rsid w:val="00931B6D"/>
    <w:rsid w:val="0093311A"/>
    <w:rsid w:val="009346D0"/>
    <w:rsid w:val="0093474A"/>
    <w:rsid w:val="009369A6"/>
    <w:rsid w:val="00937F57"/>
    <w:rsid w:val="0094031E"/>
    <w:rsid w:val="009419B4"/>
    <w:rsid w:val="00941A4C"/>
    <w:rsid w:val="00942645"/>
    <w:rsid w:val="009461E6"/>
    <w:rsid w:val="00950A3A"/>
    <w:rsid w:val="00952CC5"/>
    <w:rsid w:val="0095340A"/>
    <w:rsid w:val="00953AF6"/>
    <w:rsid w:val="0095423E"/>
    <w:rsid w:val="00954581"/>
    <w:rsid w:val="0095466C"/>
    <w:rsid w:val="00954E5B"/>
    <w:rsid w:val="00955100"/>
    <w:rsid w:val="00955316"/>
    <w:rsid w:val="00955E45"/>
    <w:rsid w:val="009576BC"/>
    <w:rsid w:val="00957899"/>
    <w:rsid w:val="00957927"/>
    <w:rsid w:val="00960357"/>
    <w:rsid w:val="0096168C"/>
    <w:rsid w:val="00961840"/>
    <w:rsid w:val="00962506"/>
    <w:rsid w:val="009625E3"/>
    <w:rsid w:val="00962F2D"/>
    <w:rsid w:val="00963A7A"/>
    <w:rsid w:val="009672CD"/>
    <w:rsid w:val="00971810"/>
    <w:rsid w:val="00972996"/>
    <w:rsid w:val="009730B4"/>
    <w:rsid w:val="0097320E"/>
    <w:rsid w:val="009732B8"/>
    <w:rsid w:val="00974647"/>
    <w:rsid w:val="0097514A"/>
    <w:rsid w:val="009759C2"/>
    <w:rsid w:val="00975C72"/>
    <w:rsid w:val="00976869"/>
    <w:rsid w:val="00977740"/>
    <w:rsid w:val="00977CB4"/>
    <w:rsid w:val="009809B8"/>
    <w:rsid w:val="00981086"/>
    <w:rsid w:val="009818AF"/>
    <w:rsid w:val="00981B1C"/>
    <w:rsid w:val="0098222D"/>
    <w:rsid w:val="009842F3"/>
    <w:rsid w:val="00984EBF"/>
    <w:rsid w:val="00985099"/>
    <w:rsid w:val="00985D32"/>
    <w:rsid w:val="00986514"/>
    <w:rsid w:val="00986FCC"/>
    <w:rsid w:val="00990FD6"/>
    <w:rsid w:val="009935C3"/>
    <w:rsid w:val="0099421F"/>
    <w:rsid w:val="00994FC8"/>
    <w:rsid w:val="009A0DE3"/>
    <w:rsid w:val="009A1643"/>
    <w:rsid w:val="009A215A"/>
    <w:rsid w:val="009A26B9"/>
    <w:rsid w:val="009A49D3"/>
    <w:rsid w:val="009A4F1B"/>
    <w:rsid w:val="009A66C5"/>
    <w:rsid w:val="009A66E7"/>
    <w:rsid w:val="009A7578"/>
    <w:rsid w:val="009A79BA"/>
    <w:rsid w:val="009B10F9"/>
    <w:rsid w:val="009B14D1"/>
    <w:rsid w:val="009B1534"/>
    <w:rsid w:val="009B4963"/>
    <w:rsid w:val="009B4A3B"/>
    <w:rsid w:val="009B6023"/>
    <w:rsid w:val="009B69D3"/>
    <w:rsid w:val="009B721E"/>
    <w:rsid w:val="009B7BA7"/>
    <w:rsid w:val="009B7C01"/>
    <w:rsid w:val="009C0938"/>
    <w:rsid w:val="009C0C22"/>
    <w:rsid w:val="009C15D9"/>
    <w:rsid w:val="009C1A1D"/>
    <w:rsid w:val="009C22C8"/>
    <w:rsid w:val="009C3F82"/>
    <w:rsid w:val="009C582A"/>
    <w:rsid w:val="009C5C56"/>
    <w:rsid w:val="009C72DD"/>
    <w:rsid w:val="009C78FD"/>
    <w:rsid w:val="009C7DF5"/>
    <w:rsid w:val="009D056C"/>
    <w:rsid w:val="009D060F"/>
    <w:rsid w:val="009D1ADE"/>
    <w:rsid w:val="009D297C"/>
    <w:rsid w:val="009D3652"/>
    <w:rsid w:val="009D37CA"/>
    <w:rsid w:val="009D4229"/>
    <w:rsid w:val="009D4268"/>
    <w:rsid w:val="009D5DE9"/>
    <w:rsid w:val="009E09D0"/>
    <w:rsid w:val="009E1181"/>
    <w:rsid w:val="009E1283"/>
    <w:rsid w:val="009E3A7F"/>
    <w:rsid w:val="009E4C9B"/>
    <w:rsid w:val="009E4DFC"/>
    <w:rsid w:val="009E5789"/>
    <w:rsid w:val="009E57B1"/>
    <w:rsid w:val="009E6379"/>
    <w:rsid w:val="009F020F"/>
    <w:rsid w:val="009F3B63"/>
    <w:rsid w:val="009F43E2"/>
    <w:rsid w:val="009F6292"/>
    <w:rsid w:val="009F7809"/>
    <w:rsid w:val="009F7822"/>
    <w:rsid w:val="009F7AF5"/>
    <w:rsid w:val="00A00613"/>
    <w:rsid w:val="00A006F1"/>
    <w:rsid w:val="00A007A7"/>
    <w:rsid w:val="00A00D14"/>
    <w:rsid w:val="00A01408"/>
    <w:rsid w:val="00A02457"/>
    <w:rsid w:val="00A02AA8"/>
    <w:rsid w:val="00A03190"/>
    <w:rsid w:val="00A03A9E"/>
    <w:rsid w:val="00A0404B"/>
    <w:rsid w:val="00A06F66"/>
    <w:rsid w:val="00A0798C"/>
    <w:rsid w:val="00A07BDD"/>
    <w:rsid w:val="00A07F12"/>
    <w:rsid w:val="00A1105B"/>
    <w:rsid w:val="00A1213C"/>
    <w:rsid w:val="00A130E8"/>
    <w:rsid w:val="00A15B6B"/>
    <w:rsid w:val="00A15EB4"/>
    <w:rsid w:val="00A16172"/>
    <w:rsid w:val="00A16876"/>
    <w:rsid w:val="00A200AA"/>
    <w:rsid w:val="00A20558"/>
    <w:rsid w:val="00A211DD"/>
    <w:rsid w:val="00A2186F"/>
    <w:rsid w:val="00A2270B"/>
    <w:rsid w:val="00A23B89"/>
    <w:rsid w:val="00A23C4F"/>
    <w:rsid w:val="00A23FE3"/>
    <w:rsid w:val="00A248C3"/>
    <w:rsid w:val="00A2496E"/>
    <w:rsid w:val="00A2515A"/>
    <w:rsid w:val="00A253E8"/>
    <w:rsid w:val="00A258B7"/>
    <w:rsid w:val="00A25A0C"/>
    <w:rsid w:val="00A25A83"/>
    <w:rsid w:val="00A262B6"/>
    <w:rsid w:val="00A305AD"/>
    <w:rsid w:val="00A31FE2"/>
    <w:rsid w:val="00A32743"/>
    <w:rsid w:val="00A3586E"/>
    <w:rsid w:val="00A40356"/>
    <w:rsid w:val="00A40FFB"/>
    <w:rsid w:val="00A41468"/>
    <w:rsid w:val="00A414A9"/>
    <w:rsid w:val="00A44141"/>
    <w:rsid w:val="00A44CCA"/>
    <w:rsid w:val="00A44D75"/>
    <w:rsid w:val="00A47CF1"/>
    <w:rsid w:val="00A50418"/>
    <w:rsid w:val="00A50B17"/>
    <w:rsid w:val="00A53A9B"/>
    <w:rsid w:val="00A54A47"/>
    <w:rsid w:val="00A56D26"/>
    <w:rsid w:val="00A571A7"/>
    <w:rsid w:val="00A5749A"/>
    <w:rsid w:val="00A575E1"/>
    <w:rsid w:val="00A57BA8"/>
    <w:rsid w:val="00A57C35"/>
    <w:rsid w:val="00A608FB"/>
    <w:rsid w:val="00A60D83"/>
    <w:rsid w:val="00A60F68"/>
    <w:rsid w:val="00A63DF3"/>
    <w:rsid w:val="00A65C78"/>
    <w:rsid w:val="00A65F67"/>
    <w:rsid w:val="00A660A8"/>
    <w:rsid w:val="00A66A45"/>
    <w:rsid w:val="00A67591"/>
    <w:rsid w:val="00A67911"/>
    <w:rsid w:val="00A67CA6"/>
    <w:rsid w:val="00A70E7B"/>
    <w:rsid w:val="00A717EA"/>
    <w:rsid w:val="00A730B0"/>
    <w:rsid w:val="00A73B84"/>
    <w:rsid w:val="00A7411D"/>
    <w:rsid w:val="00A756C4"/>
    <w:rsid w:val="00A7592B"/>
    <w:rsid w:val="00A75ED7"/>
    <w:rsid w:val="00A76094"/>
    <w:rsid w:val="00A768E2"/>
    <w:rsid w:val="00A82C52"/>
    <w:rsid w:val="00A838E8"/>
    <w:rsid w:val="00A83C15"/>
    <w:rsid w:val="00A84EC4"/>
    <w:rsid w:val="00A86CB6"/>
    <w:rsid w:val="00A90D55"/>
    <w:rsid w:val="00A9225E"/>
    <w:rsid w:val="00A944D8"/>
    <w:rsid w:val="00A959E7"/>
    <w:rsid w:val="00A95BBA"/>
    <w:rsid w:val="00A961EE"/>
    <w:rsid w:val="00A96559"/>
    <w:rsid w:val="00A97B11"/>
    <w:rsid w:val="00A97CD9"/>
    <w:rsid w:val="00AA020A"/>
    <w:rsid w:val="00AA04B3"/>
    <w:rsid w:val="00AA1253"/>
    <w:rsid w:val="00AA1ED0"/>
    <w:rsid w:val="00AA1F5B"/>
    <w:rsid w:val="00AA28EF"/>
    <w:rsid w:val="00AA3593"/>
    <w:rsid w:val="00AA38CA"/>
    <w:rsid w:val="00AA493E"/>
    <w:rsid w:val="00AA54F9"/>
    <w:rsid w:val="00AA73AF"/>
    <w:rsid w:val="00AB062D"/>
    <w:rsid w:val="00AB0A8A"/>
    <w:rsid w:val="00AB1754"/>
    <w:rsid w:val="00AB1F8D"/>
    <w:rsid w:val="00AB27DD"/>
    <w:rsid w:val="00AB4BA4"/>
    <w:rsid w:val="00AB592E"/>
    <w:rsid w:val="00AC0C1C"/>
    <w:rsid w:val="00AC1305"/>
    <w:rsid w:val="00AC37BE"/>
    <w:rsid w:val="00AC439D"/>
    <w:rsid w:val="00AC62CC"/>
    <w:rsid w:val="00AC713F"/>
    <w:rsid w:val="00AC7329"/>
    <w:rsid w:val="00AC7D96"/>
    <w:rsid w:val="00AD00E4"/>
    <w:rsid w:val="00AD067E"/>
    <w:rsid w:val="00AD168B"/>
    <w:rsid w:val="00AD1B4E"/>
    <w:rsid w:val="00AD2801"/>
    <w:rsid w:val="00AD3496"/>
    <w:rsid w:val="00AD38E7"/>
    <w:rsid w:val="00AD426A"/>
    <w:rsid w:val="00AD49A1"/>
    <w:rsid w:val="00AD5771"/>
    <w:rsid w:val="00AD6870"/>
    <w:rsid w:val="00AD68C5"/>
    <w:rsid w:val="00AD7F8F"/>
    <w:rsid w:val="00AE0BF9"/>
    <w:rsid w:val="00AE1273"/>
    <w:rsid w:val="00AE18C5"/>
    <w:rsid w:val="00AE2540"/>
    <w:rsid w:val="00AE2CF4"/>
    <w:rsid w:val="00AE2D29"/>
    <w:rsid w:val="00AE2F15"/>
    <w:rsid w:val="00AE4624"/>
    <w:rsid w:val="00AE4B3E"/>
    <w:rsid w:val="00AE4B90"/>
    <w:rsid w:val="00AE5E14"/>
    <w:rsid w:val="00AE6115"/>
    <w:rsid w:val="00AE625B"/>
    <w:rsid w:val="00AF01B2"/>
    <w:rsid w:val="00AF1103"/>
    <w:rsid w:val="00AF13EA"/>
    <w:rsid w:val="00AF1668"/>
    <w:rsid w:val="00AF1DBB"/>
    <w:rsid w:val="00AF25B2"/>
    <w:rsid w:val="00AF28DE"/>
    <w:rsid w:val="00AF2E12"/>
    <w:rsid w:val="00AF41EE"/>
    <w:rsid w:val="00AF4FA5"/>
    <w:rsid w:val="00AF54DD"/>
    <w:rsid w:val="00AF5BB4"/>
    <w:rsid w:val="00AF6ECC"/>
    <w:rsid w:val="00B02145"/>
    <w:rsid w:val="00B022DC"/>
    <w:rsid w:val="00B04562"/>
    <w:rsid w:val="00B0472F"/>
    <w:rsid w:val="00B06930"/>
    <w:rsid w:val="00B0773A"/>
    <w:rsid w:val="00B07955"/>
    <w:rsid w:val="00B1176B"/>
    <w:rsid w:val="00B140B8"/>
    <w:rsid w:val="00B14FAA"/>
    <w:rsid w:val="00B15BED"/>
    <w:rsid w:val="00B15D30"/>
    <w:rsid w:val="00B15F09"/>
    <w:rsid w:val="00B16D18"/>
    <w:rsid w:val="00B177DE"/>
    <w:rsid w:val="00B20624"/>
    <w:rsid w:val="00B21F2F"/>
    <w:rsid w:val="00B23436"/>
    <w:rsid w:val="00B237F1"/>
    <w:rsid w:val="00B23F10"/>
    <w:rsid w:val="00B24328"/>
    <w:rsid w:val="00B24ED4"/>
    <w:rsid w:val="00B24F33"/>
    <w:rsid w:val="00B26354"/>
    <w:rsid w:val="00B26CA0"/>
    <w:rsid w:val="00B300BD"/>
    <w:rsid w:val="00B31965"/>
    <w:rsid w:val="00B32179"/>
    <w:rsid w:val="00B32341"/>
    <w:rsid w:val="00B32685"/>
    <w:rsid w:val="00B32C2B"/>
    <w:rsid w:val="00B33007"/>
    <w:rsid w:val="00B331A9"/>
    <w:rsid w:val="00B33498"/>
    <w:rsid w:val="00B33598"/>
    <w:rsid w:val="00B3575C"/>
    <w:rsid w:val="00B36569"/>
    <w:rsid w:val="00B37345"/>
    <w:rsid w:val="00B37F53"/>
    <w:rsid w:val="00B37FBA"/>
    <w:rsid w:val="00B40A05"/>
    <w:rsid w:val="00B40A3E"/>
    <w:rsid w:val="00B427BB"/>
    <w:rsid w:val="00B43BA2"/>
    <w:rsid w:val="00B449EE"/>
    <w:rsid w:val="00B454AE"/>
    <w:rsid w:val="00B50227"/>
    <w:rsid w:val="00B50510"/>
    <w:rsid w:val="00B505E9"/>
    <w:rsid w:val="00B522CD"/>
    <w:rsid w:val="00B55143"/>
    <w:rsid w:val="00B553B2"/>
    <w:rsid w:val="00B555C8"/>
    <w:rsid w:val="00B55917"/>
    <w:rsid w:val="00B55D87"/>
    <w:rsid w:val="00B5646A"/>
    <w:rsid w:val="00B56F3D"/>
    <w:rsid w:val="00B57921"/>
    <w:rsid w:val="00B57E78"/>
    <w:rsid w:val="00B57EB8"/>
    <w:rsid w:val="00B609F6"/>
    <w:rsid w:val="00B60E75"/>
    <w:rsid w:val="00B643A6"/>
    <w:rsid w:val="00B64DD6"/>
    <w:rsid w:val="00B66505"/>
    <w:rsid w:val="00B6710C"/>
    <w:rsid w:val="00B67E84"/>
    <w:rsid w:val="00B72076"/>
    <w:rsid w:val="00B72303"/>
    <w:rsid w:val="00B727A9"/>
    <w:rsid w:val="00B72C72"/>
    <w:rsid w:val="00B72ED9"/>
    <w:rsid w:val="00B731E4"/>
    <w:rsid w:val="00B751CE"/>
    <w:rsid w:val="00B75A8B"/>
    <w:rsid w:val="00B75B61"/>
    <w:rsid w:val="00B76796"/>
    <w:rsid w:val="00B771E0"/>
    <w:rsid w:val="00B7793B"/>
    <w:rsid w:val="00B77EE7"/>
    <w:rsid w:val="00B80EDD"/>
    <w:rsid w:val="00B812BD"/>
    <w:rsid w:val="00B81964"/>
    <w:rsid w:val="00B82277"/>
    <w:rsid w:val="00B83F87"/>
    <w:rsid w:val="00B844F1"/>
    <w:rsid w:val="00B8478F"/>
    <w:rsid w:val="00B84F93"/>
    <w:rsid w:val="00B91676"/>
    <w:rsid w:val="00B9322B"/>
    <w:rsid w:val="00B93640"/>
    <w:rsid w:val="00B955D5"/>
    <w:rsid w:val="00B95833"/>
    <w:rsid w:val="00BA1824"/>
    <w:rsid w:val="00BA2D98"/>
    <w:rsid w:val="00BA2F0C"/>
    <w:rsid w:val="00BA30D1"/>
    <w:rsid w:val="00BA30E1"/>
    <w:rsid w:val="00BA4609"/>
    <w:rsid w:val="00BA5BE2"/>
    <w:rsid w:val="00BA6A9C"/>
    <w:rsid w:val="00BA7F46"/>
    <w:rsid w:val="00BB0388"/>
    <w:rsid w:val="00BB0A0A"/>
    <w:rsid w:val="00BB133C"/>
    <w:rsid w:val="00BB1F04"/>
    <w:rsid w:val="00BB45B5"/>
    <w:rsid w:val="00BB4DDE"/>
    <w:rsid w:val="00BB6064"/>
    <w:rsid w:val="00BB65CE"/>
    <w:rsid w:val="00BB7012"/>
    <w:rsid w:val="00BC09D1"/>
    <w:rsid w:val="00BC1CF3"/>
    <w:rsid w:val="00BC2BE0"/>
    <w:rsid w:val="00BC3573"/>
    <w:rsid w:val="00BC5860"/>
    <w:rsid w:val="00BC7F82"/>
    <w:rsid w:val="00BD1844"/>
    <w:rsid w:val="00BD2A49"/>
    <w:rsid w:val="00BD3683"/>
    <w:rsid w:val="00BD40AB"/>
    <w:rsid w:val="00BD40DE"/>
    <w:rsid w:val="00BD6297"/>
    <w:rsid w:val="00BD6806"/>
    <w:rsid w:val="00BD6939"/>
    <w:rsid w:val="00BD7433"/>
    <w:rsid w:val="00BD7831"/>
    <w:rsid w:val="00BD7C10"/>
    <w:rsid w:val="00BE046F"/>
    <w:rsid w:val="00BE0DEB"/>
    <w:rsid w:val="00BE229C"/>
    <w:rsid w:val="00BE2AB8"/>
    <w:rsid w:val="00BE2FC1"/>
    <w:rsid w:val="00BE3142"/>
    <w:rsid w:val="00BE4039"/>
    <w:rsid w:val="00BE6365"/>
    <w:rsid w:val="00BF01B7"/>
    <w:rsid w:val="00BF0B7F"/>
    <w:rsid w:val="00BF0E94"/>
    <w:rsid w:val="00BF2988"/>
    <w:rsid w:val="00BF3FB9"/>
    <w:rsid w:val="00BF4012"/>
    <w:rsid w:val="00BF4720"/>
    <w:rsid w:val="00BF4F49"/>
    <w:rsid w:val="00BF6759"/>
    <w:rsid w:val="00BF70A6"/>
    <w:rsid w:val="00BF7B4F"/>
    <w:rsid w:val="00BF7B63"/>
    <w:rsid w:val="00BF7F3C"/>
    <w:rsid w:val="00C005D4"/>
    <w:rsid w:val="00C0359D"/>
    <w:rsid w:val="00C038EC"/>
    <w:rsid w:val="00C03C21"/>
    <w:rsid w:val="00C05C6D"/>
    <w:rsid w:val="00C072D7"/>
    <w:rsid w:val="00C10302"/>
    <w:rsid w:val="00C104DB"/>
    <w:rsid w:val="00C10A22"/>
    <w:rsid w:val="00C10F5B"/>
    <w:rsid w:val="00C1122B"/>
    <w:rsid w:val="00C127F2"/>
    <w:rsid w:val="00C13B34"/>
    <w:rsid w:val="00C13F26"/>
    <w:rsid w:val="00C1474E"/>
    <w:rsid w:val="00C14C37"/>
    <w:rsid w:val="00C157AA"/>
    <w:rsid w:val="00C162E1"/>
    <w:rsid w:val="00C16BE4"/>
    <w:rsid w:val="00C16E9F"/>
    <w:rsid w:val="00C1713D"/>
    <w:rsid w:val="00C17523"/>
    <w:rsid w:val="00C177F1"/>
    <w:rsid w:val="00C17EE6"/>
    <w:rsid w:val="00C217F7"/>
    <w:rsid w:val="00C2272E"/>
    <w:rsid w:val="00C22F3A"/>
    <w:rsid w:val="00C23311"/>
    <w:rsid w:val="00C24AD9"/>
    <w:rsid w:val="00C25978"/>
    <w:rsid w:val="00C261C6"/>
    <w:rsid w:val="00C26621"/>
    <w:rsid w:val="00C26B27"/>
    <w:rsid w:val="00C26E7C"/>
    <w:rsid w:val="00C276CD"/>
    <w:rsid w:val="00C27827"/>
    <w:rsid w:val="00C30A97"/>
    <w:rsid w:val="00C31DDC"/>
    <w:rsid w:val="00C3223A"/>
    <w:rsid w:val="00C34168"/>
    <w:rsid w:val="00C34247"/>
    <w:rsid w:val="00C34326"/>
    <w:rsid w:val="00C34CEB"/>
    <w:rsid w:val="00C36201"/>
    <w:rsid w:val="00C368E8"/>
    <w:rsid w:val="00C36C3D"/>
    <w:rsid w:val="00C372C7"/>
    <w:rsid w:val="00C376A7"/>
    <w:rsid w:val="00C42443"/>
    <w:rsid w:val="00C42CBA"/>
    <w:rsid w:val="00C4338C"/>
    <w:rsid w:val="00C43C2B"/>
    <w:rsid w:val="00C45B27"/>
    <w:rsid w:val="00C4652E"/>
    <w:rsid w:val="00C472C7"/>
    <w:rsid w:val="00C5019E"/>
    <w:rsid w:val="00C50C8C"/>
    <w:rsid w:val="00C51962"/>
    <w:rsid w:val="00C5377C"/>
    <w:rsid w:val="00C53E8A"/>
    <w:rsid w:val="00C54DF3"/>
    <w:rsid w:val="00C55EC7"/>
    <w:rsid w:val="00C560A7"/>
    <w:rsid w:val="00C56FC8"/>
    <w:rsid w:val="00C60F23"/>
    <w:rsid w:val="00C6170B"/>
    <w:rsid w:val="00C62EB2"/>
    <w:rsid w:val="00C63431"/>
    <w:rsid w:val="00C64C87"/>
    <w:rsid w:val="00C65414"/>
    <w:rsid w:val="00C665FE"/>
    <w:rsid w:val="00C71BEC"/>
    <w:rsid w:val="00C73942"/>
    <w:rsid w:val="00C73A83"/>
    <w:rsid w:val="00C74D3A"/>
    <w:rsid w:val="00C75F3D"/>
    <w:rsid w:val="00C80511"/>
    <w:rsid w:val="00C80655"/>
    <w:rsid w:val="00C81937"/>
    <w:rsid w:val="00C826F5"/>
    <w:rsid w:val="00C8325E"/>
    <w:rsid w:val="00C83740"/>
    <w:rsid w:val="00C84527"/>
    <w:rsid w:val="00C84AD1"/>
    <w:rsid w:val="00C85579"/>
    <w:rsid w:val="00C8590C"/>
    <w:rsid w:val="00C862F1"/>
    <w:rsid w:val="00C863E5"/>
    <w:rsid w:val="00C87BE6"/>
    <w:rsid w:val="00C87F76"/>
    <w:rsid w:val="00C931FC"/>
    <w:rsid w:val="00C932C5"/>
    <w:rsid w:val="00C94CB6"/>
    <w:rsid w:val="00C95299"/>
    <w:rsid w:val="00C95A72"/>
    <w:rsid w:val="00C9650E"/>
    <w:rsid w:val="00C97000"/>
    <w:rsid w:val="00C975BD"/>
    <w:rsid w:val="00CA068D"/>
    <w:rsid w:val="00CA08DF"/>
    <w:rsid w:val="00CA1228"/>
    <w:rsid w:val="00CA1C73"/>
    <w:rsid w:val="00CA282D"/>
    <w:rsid w:val="00CA3F73"/>
    <w:rsid w:val="00CA4670"/>
    <w:rsid w:val="00CA5F89"/>
    <w:rsid w:val="00CA6B1A"/>
    <w:rsid w:val="00CB1B18"/>
    <w:rsid w:val="00CB20DC"/>
    <w:rsid w:val="00CB23DC"/>
    <w:rsid w:val="00CB2487"/>
    <w:rsid w:val="00CB28E2"/>
    <w:rsid w:val="00CB2F20"/>
    <w:rsid w:val="00CB3395"/>
    <w:rsid w:val="00CB5801"/>
    <w:rsid w:val="00CB758D"/>
    <w:rsid w:val="00CB7A3E"/>
    <w:rsid w:val="00CB7FF7"/>
    <w:rsid w:val="00CC0D0E"/>
    <w:rsid w:val="00CC1253"/>
    <w:rsid w:val="00CC19B3"/>
    <w:rsid w:val="00CC2044"/>
    <w:rsid w:val="00CC39D2"/>
    <w:rsid w:val="00CC69EC"/>
    <w:rsid w:val="00CC78A2"/>
    <w:rsid w:val="00CC7DF8"/>
    <w:rsid w:val="00CD15BE"/>
    <w:rsid w:val="00CD1EF2"/>
    <w:rsid w:val="00CD32BD"/>
    <w:rsid w:val="00CD34C7"/>
    <w:rsid w:val="00CD5653"/>
    <w:rsid w:val="00CD5E6D"/>
    <w:rsid w:val="00CD63C8"/>
    <w:rsid w:val="00CD76F8"/>
    <w:rsid w:val="00CD78A5"/>
    <w:rsid w:val="00CE02E8"/>
    <w:rsid w:val="00CE069E"/>
    <w:rsid w:val="00CE0DE0"/>
    <w:rsid w:val="00CE2CC2"/>
    <w:rsid w:val="00CE3722"/>
    <w:rsid w:val="00CF158D"/>
    <w:rsid w:val="00CF2166"/>
    <w:rsid w:val="00CF4340"/>
    <w:rsid w:val="00CF4394"/>
    <w:rsid w:val="00CF48B4"/>
    <w:rsid w:val="00CF5C12"/>
    <w:rsid w:val="00CF7B72"/>
    <w:rsid w:val="00D000A9"/>
    <w:rsid w:val="00D00384"/>
    <w:rsid w:val="00D005DB"/>
    <w:rsid w:val="00D0064E"/>
    <w:rsid w:val="00D00981"/>
    <w:rsid w:val="00D02596"/>
    <w:rsid w:val="00D0280D"/>
    <w:rsid w:val="00D02AEF"/>
    <w:rsid w:val="00D03EC9"/>
    <w:rsid w:val="00D05669"/>
    <w:rsid w:val="00D061EB"/>
    <w:rsid w:val="00D06952"/>
    <w:rsid w:val="00D07A72"/>
    <w:rsid w:val="00D10577"/>
    <w:rsid w:val="00D1193B"/>
    <w:rsid w:val="00D12405"/>
    <w:rsid w:val="00D12A4E"/>
    <w:rsid w:val="00D1323B"/>
    <w:rsid w:val="00D14BAE"/>
    <w:rsid w:val="00D15107"/>
    <w:rsid w:val="00D1648B"/>
    <w:rsid w:val="00D16819"/>
    <w:rsid w:val="00D17DD9"/>
    <w:rsid w:val="00D20AC0"/>
    <w:rsid w:val="00D229E7"/>
    <w:rsid w:val="00D2321B"/>
    <w:rsid w:val="00D23350"/>
    <w:rsid w:val="00D237E7"/>
    <w:rsid w:val="00D23DE4"/>
    <w:rsid w:val="00D25A5C"/>
    <w:rsid w:val="00D26873"/>
    <w:rsid w:val="00D27C99"/>
    <w:rsid w:val="00D31683"/>
    <w:rsid w:val="00D33452"/>
    <w:rsid w:val="00D336C8"/>
    <w:rsid w:val="00D339E8"/>
    <w:rsid w:val="00D33FDD"/>
    <w:rsid w:val="00D3654A"/>
    <w:rsid w:val="00D3662E"/>
    <w:rsid w:val="00D373F1"/>
    <w:rsid w:val="00D37567"/>
    <w:rsid w:val="00D40B1F"/>
    <w:rsid w:val="00D40D75"/>
    <w:rsid w:val="00D43978"/>
    <w:rsid w:val="00D43CBD"/>
    <w:rsid w:val="00D449F0"/>
    <w:rsid w:val="00D4531A"/>
    <w:rsid w:val="00D462D7"/>
    <w:rsid w:val="00D46A33"/>
    <w:rsid w:val="00D5062C"/>
    <w:rsid w:val="00D50C8C"/>
    <w:rsid w:val="00D52393"/>
    <w:rsid w:val="00D523E4"/>
    <w:rsid w:val="00D5279D"/>
    <w:rsid w:val="00D52A1B"/>
    <w:rsid w:val="00D52AA7"/>
    <w:rsid w:val="00D52FCC"/>
    <w:rsid w:val="00D53F14"/>
    <w:rsid w:val="00D54BE4"/>
    <w:rsid w:val="00D54DDB"/>
    <w:rsid w:val="00D554BC"/>
    <w:rsid w:val="00D560DC"/>
    <w:rsid w:val="00D56602"/>
    <w:rsid w:val="00D60483"/>
    <w:rsid w:val="00D61ABB"/>
    <w:rsid w:val="00D62D5C"/>
    <w:rsid w:val="00D63577"/>
    <w:rsid w:val="00D65D70"/>
    <w:rsid w:val="00D67FD7"/>
    <w:rsid w:val="00D704E4"/>
    <w:rsid w:val="00D72410"/>
    <w:rsid w:val="00D73D53"/>
    <w:rsid w:val="00D7402C"/>
    <w:rsid w:val="00D7408A"/>
    <w:rsid w:val="00D74261"/>
    <w:rsid w:val="00D7441B"/>
    <w:rsid w:val="00D75589"/>
    <w:rsid w:val="00D76AB2"/>
    <w:rsid w:val="00D80490"/>
    <w:rsid w:val="00D828F9"/>
    <w:rsid w:val="00D829AD"/>
    <w:rsid w:val="00D82EE2"/>
    <w:rsid w:val="00D83D1B"/>
    <w:rsid w:val="00D84133"/>
    <w:rsid w:val="00D84B8D"/>
    <w:rsid w:val="00D8545C"/>
    <w:rsid w:val="00D86AB5"/>
    <w:rsid w:val="00D86E57"/>
    <w:rsid w:val="00D876AD"/>
    <w:rsid w:val="00D87788"/>
    <w:rsid w:val="00D877C8"/>
    <w:rsid w:val="00D91040"/>
    <w:rsid w:val="00D910C2"/>
    <w:rsid w:val="00D9168C"/>
    <w:rsid w:val="00D9189B"/>
    <w:rsid w:val="00D91DA6"/>
    <w:rsid w:val="00D921A0"/>
    <w:rsid w:val="00D93A41"/>
    <w:rsid w:val="00D93B9A"/>
    <w:rsid w:val="00D95984"/>
    <w:rsid w:val="00D95C64"/>
    <w:rsid w:val="00D9706F"/>
    <w:rsid w:val="00D972D4"/>
    <w:rsid w:val="00DA0FE3"/>
    <w:rsid w:val="00DA195B"/>
    <w:rsid w:val="00DA27F3"/>
    <w:rsid w:val="00DA297E"/>
    <w:rsid w:val="00DA2D1E"/>
    <w:rsid w:val="00DA3EC8"/>
    <w:rsid w:val="00DA40C1"/>
    <w:rsid w:val="00DA5564"/>
    <w:rsid w:val="00DA6B55"/>
    <w:rsid w:val="00DA6B97"/>
    <w:rsid w:val="00DA6CEE"/>
    <w:rsid w:val="00DB0015"/>
    <w:rsid w:val="00DB0359"/>
    <w:rsid w:val="00DB0ABB"/>
    <w:rsid w:val="00DB1D01"/>
    <w:rsid w:val="00DB2AAD"/>
    <w:rsid w:val="00DB44E2"/>
    <w:rsid w:val="00DB4A6D"/>
    <w:rsid w:val="00DB5941"/>
    <w:rsid w:val="00DB626D"/>
    <w:rsid w:val="00DB6365"/>
    <w:rsid w:val="00DB756C"/>
    <w:rsid w:val="00DC07B7"/>
    <w:rsid w:val="00DC0BF1"/>
    <w:rsid w:val="00DC1607"/>
    <w:rsid w:val="00DC17F2"/>
    <w:rsid w:val="00DC4001"/>
    <w:rsid w:val="00DC41C3"/>
    <w:rsid w:val="00DC4A3C"/>
    <w:rsid w:val="00DC4FA4"/>
    <w:rsid w:val="00DC5028"/>
    <w:rsid w:val="00DC5B37"/>
    <w:rsid w:val="00DD286D"/>
    <w:rsid w:val="00DD2CAF"/>
    <w:rsid w:val="00DD3593"/>
    <w:rsid w:val="00DD64E0"/>
    <w:rsid w:val="00DD775C"/>
    <w:rsid w:val="00DD7BE0"/>
    <w:rsid w:val="00DE0C67"/>
    <w:rsid w:val="00DE3555"/>
    <w:rsid w:val="00DE3AAD"/>
    <w:rsid w:val="00DE598A"/>
    <w:rsid w:val="00DE6952"/>
    <w:rsid w:val="00DE6FBE"/>
    <w:rsid w:val="00DE79C6"/>
    <w:rsid w:val="00DE7A7D"/>
    <w:rsid w:val="00DE7E74"/>
    <w:rsid w:val="00DF071B"/>
    <w:rsid w:val="00DF4FB1"/>
    <w:rsid w:val="00DF5C84"/>
    <w:rsid w:val="00DF5EC0"/>
    <w:rsid w:val="00DF6EF8"/>
    <w:rsid w:val="00DF6EFE"/>
    <w:rsid w:val="00E00A69"/>
    <w:rsid w:val="00E017BC"/>
    <w:rsid w:val="00E017F0"/>
    <w:rsid w:val="00E01A0E"/>
    <w:rsid w:val="00E025FE"/>
    <w:rsid w:val="00E0346A"/>
    <w:rsid w:val="00E041E4"/>
    <w:rsid w:val="00E04AEE"/>
    <w:rsid w:val="00E06BBD"/>
    <w:rsid w:val="00E10085"/>
    <w:rsid w:val="00E100E3"/>
    <w:rsid w:val="00E1012B"/>
    <w:rsid w:val="00E103C8"/>
    <w:rsid w:val="00E1085B"/>
    <w:rsid w:val="00E1308B"/>
    <w:rsid w:val="00E14581"/>
    <w:rsid w:val="00E14623"/>
    <w:rsid w:val="00E15539"/>
    <w:rsid w:val="00E16541"/>
    <w:rsid w:val="00E17EC9"/>
    <w:rsid w:val="00E202F4"/>
    <w:rsid w:val="00E207C3"/>
    <w:rsid w:val="00E21386"/>
    <w:rsid w:val="00E2421B"/>
    <w:rsid w:val="00E242AF"/>
    <w:rsid w:val="00E24849"/>
    <w:rsid w:val="00E2536E"/>
    <w:rsid w:val="00E25A99"/>
    <w:rsid w:val="00E25B8A"/>
    <w:rsid w:val="00E25EF8"/>
    <w:rsid w:val="00E2632B"/>
    <w:rsid w:val="00E26F75"/>
    <w:rsid w:val="00E27423"/>
    <w:rsid w:val="00E3077F"/>
    <w:rsid w:val="00E322F7"/>
    <w:rsid w:val="00E3369B"/>
    <w:rsid w:val="00E362D2"/>
    <w:rsid w:val="00E36D76"/>
    <w:rsid w:val="00E40478"/>
    <w:rsid w:val="00E405EA"/>
    <w:rsid w:val="00E408B7"/>
    <w:rsid w:val="00E412EB"/>
    <w:rsid w:val="00E41637"/>
    <w:rsid w:val="00E42789"/>
    <w:rsid w:val="00E43F59"/>
    <w:rsid w:val="00E464F0"/>
    <w:rsid w:val="00E46EF3"/>
    <w:rsid w:val="00E47370"/>
    <w:rsid w:val="00E473E9"/>
    <w:rsid w:val="00E47B47"/>
    <w:rsid w:val="00E50BEB"/>
    <w:rsid w:val="00E53460"/>
    <w:rsid w:val="00E548FA"/>
    <w:rsid w:val="00E55CD9"/>
    <w:rsid w:val="00E57703"/>
    <w:rsid w:val="00E57ED4"/>
    <w:rsid w:val="00E57FED"/>
    <w:rsid w:val="00E6092F"/>
    <w:rsid w:val="00E61EE9"/>
    <w:rsid w:val="00E62049"/>
    <w:rsid w:val="00E629DA"/>
    <w:rsid w:val="00E64374"/>
    <w:rsid w:val="00E6451F"/>
    <w:rsid w:val="00E6469F"/>
    <w:rsid w:val="00E6546A"/>
    <w:rsid w:val="00E65C05"/>
    <w:rsid w:val="00E65D39"/>
    <w:rsid w:val="00E670F8"/>
    <w:rsid w:val="00E6741B"/>
    <w:rsid w:val="00E67FAC"/>
    <w:rsid w:val="00E70164"/>
    <w:rsid w:val="00E71485"/>
    <w:rsid w:val="00E7200B"/>
    <w:rsid w:val="00E738CB"/>
    <w:rsid w:val="00E73C88"/>
    <w:rsid w:val="00E74437"/>
    <w:rsid w:val="00E7443D"/>
    <w:rsid w:val="00E75ACE"/>
    <w:rsid w:val="00E771AF"/>
    <w:rsid w:val="00E80386"/>
    <w:rsid w:val="00E809C3"/>
    <w:rsid w:val="00E814D4"/>
    <w:rsid w:val="00E81A1A"/>
    <w:rsid w:val="00E81C3E"/>
    <w:rsid w:val="00E82359"/>
    <w:rsid w:val="00E82B6D"/>
    <w:rsid w:val="00E83187"/>
    <w:rsid w:val="00E831E9"/>
    <w:rsid w:val="00E84DDA"/>
    <w:rsid w:val="00E8608F"/>
    <w:rsid w:val="00E86C1D"/>
    <w:rsid w:val="00E90703"/>
    <w:rsid w:val="00E90A62"/>
    <w:rsid w:val="00E9265E"/>
    <w:rsid w:val="00E956DB"/>
    <w:rsid w:val="00E9763D"/>
    <w:rsid w:val="00EA1177"/>
    <w:rsid w:val="00EA118B"/>
    <w:rsid w:val="00EA11B6"/>
    <w:rsid w:val="00EA2181"/>
    <w:rsid w:val="00EA2DD8"/>
    <w:rsid w:val="00EA30FC"/>
    <w:rsid w:val="00EA4475"/>
    <w:rsid w:val="00EA52FE"/>
    <w:rsid w:val="00EA681F"/>
    <w:rsid w:val="00EA6C02"/>
    <w:rsid w:val="00EB04C6"/>
    <w:rsid w:val="00EB06A6"/>
    <w:rsid w:val="00EB29EA"/>
    <w:rsid w:val="00EB3307"/>
    <w:rsid w:val="00EB3823"/>
    <w:rsid w:val="00EB3CBB"/>
    <w:rsid w:val="00EB47D8"/>
    <w:rsid w:val="00EB57D3"/>
    <w:rsid w:val="00EB5EFD"/>
    <w:rsid w:val="00EB634E"/>
    <w:rsid w:val="00EB679F"/>
    <w:rsid w:val="00EB76E4"/>
    <w:rsid w:val="00EC0E65"/>
    <w:rsid w:val="00EC1251"/>
    <w:rsid w:val="00EC2938"/>
    <w:rsid w:val="00EC337D"/>
    <w:rsid w:val="00EC38EF"/>
    <w:rsid w:val="00EC50C9"/>
    <w:rsid w:val="00EC58B4"/>
    <w:rsid w:val="00EC5BB2"/>
    <w:rsid w:val="00EC75AF"/>
    <w:rsid w:val="00EC7F81"/>
    <w:rsid w:val="00ED12F0"/>
    <w:rsid w:val="00ED2874"/>
    <w:rsid w:val="00ED290C"/>
    <w:rsid w:val="00ED2A6C"/>
    <w:rsid w:val="00ED4773"/>
    <w:rsid w:val="00ED5284"/>
    <w:rsid w:val="00ED664B"/>
    <w:rsid w:val="00ED6A61"/>
    <w:rsid w:val="00ED768E"/>
    <w:rsid w:val="00ED7DA4"/>
    <w:rsid w:val="00EE03BB"/>
    <w:rsid w:val="00EE0552"/>
    <w:rsid w:val="00EE0B44"/>
    <w:rsid w:val="00EE125D"/>
    <w:rsid w:val="00EE23DE"/>
    <w:rsid w:val="00EE48BB"/>
    <w:rsid w:val="00EE6FE0"/>
    <w:rsid w:val="00EE704A"/>
    <w:rsid w:val="00EE7840"/>
    <w:rsid w:val="00EF2E75"/>
    <w:rsid w:val="00EF4C74"/>
    <w:rsid w:val="00EF5268"/>
    <w:rsid w:val="00EF608E"/>
    <w:rsid w:val="00EF6C4A"/>
    <w:rsid w:val="00F0044B"/>
    <w:rsid w:val="00F00E60"/>
    <w:rsid w:val="00F020E5"/>
    <w:rsid w:val="00F02F9F"/>
    <w:rsid w:val="00F03525"/>
    <w:rsid w:val="00F039A8"/>
    <w:rsid w:val="00F0424D"/>
    <w:rsid w:val="00F04957"/>
    <w:rsid w:val="00F053F0"/>
    <w:rsid w:val="00F05807"/>
    <w:rsid w:val="00F06451"/>
    <w:rsid w:val="00F07052"/>
    <w:rsid w:val="00F0706C"/>
    <w:rsid w:val="00F10307"/>
    <w:rsid w:val="00F11EBE"/>
    <w:rsid w:val="00F12293"/>
    <w:rsid w:val="00F12BA8"/>
    <w:rsid w:val="00F12D7A"/>
    <w:rsid w:val="00F130D0"/>
    <w:rsid w:val="00F13AC6"/>
    <w:rsid w:val="00F14933"/>
    <w:rsid w:val="00F1516A"/>
    <w:rsid w:val="00F15EE5"/>
    <w:rsid w:val="00F171F9"/>
    <w:rsid w:val="00F1737C"/>
    <w:rsid w:val="00F173AA"/>
    <w:rsid w:val="00F22A26"/>
    <w:rsid w:val="00F24072"/>
    <w:rsid w:val="00F26432"/>
    <w:rsid w:val="00F3197A"/>
    <w:rsid w:val="00F32139"/>
    <w:rsid w:val="00F33CF0"/>
    <w:rsid w:val="00F33D56"/>
    <w:rsid w:val="00F34E08"/>
    <w:rsid w:val="00F41D91"/>
    <w:rsid w:val="00F41F52"/>
    <w:rsid w:val="00F41FA1"/>
    <w:rsid w:val="00F42363"/>
    <w:rsid w:val="00F427C4"/>
    <w:rsid w:val="00F43D6C"/>
    <w:rsid w:val="00F46964"/>
    <w:rsid w:val="00F46F9A"/>
    <w:rsid w:val="00F470FD"/>
    <w:rsid w:val="00F50F30"/>
    <w:rsid w:val="00F5126A"/>
    <w:rsid w:val="00F5126E"/>
    <w:rsid w:val="00F516EF"/>
    <w:rsid w:val="00F51755"/>
    <w:rsid w:val="00F531D9"/>
    <w:rsid w:val="00F54D8E"/>
    <w:rsid w:val="00F5580D"/>
    <w:rsid w:val="00F56EA1"/>
    <w:rsid w:val="00F606D5"/>
    <w:rsid w:val="00F611B3"/>
    <w:rsid w:val="00F6196E"/>
    <w:rsid w:val="00F61CCC"/>
    <w:rsid w:val="00F624DD"/>
    <w:rsid w:val="00F629C0"/>
    <w:rsid w:val="00F63FC7"/>
    <w:rsid w:val="00F65E1F"/>
    <w:rsid w:val="00F65ED5"/>
    <w:rsid w:val="00F6608B"/>
    <w:rsid w:val="00F6636A"/>
    <w:rsid w:val="00F667C5"/>
    <w:rsid w:val="00F67E31"/>
    <w:rsid w:val="00F70B44"/>
    <w:rsid w:val="00F71436"/>
    <w:rsid w:val="00F718A8"/>
    <w:rsid w:val="00F7207E"/>
    <w:rsid w:val="00F72183"/>
    <w:rsid w:val="00F72A37"/>
    <w:rsid w:val="00F75C12"/>
    <w:rsid w:val="00F76D01"/>
    <w:rsid w:val="00F80B43"/>
    <w:rsid w:val="00F80C97"/>
    <w:rsid w:val="00F81C35"/>
    <w:rsid w:val="00F82981"/>
    <w:rsid w:val="00F8311F"/>
    <w:rsid w:val="00F83248"/>
    <w:rsid w:val="00F83376"/>
    <w:rsid w:val="00F853AE"/>
    <w:rsid w:val="00F908D5"/>
    <w:rsid w:val="00F912A0"/>
    <w:rsid w:val="00F913B9"/>
    <w:rsid w:val="00F93C74"/>
    <w:rsid w:val="00F93DCC"/>
    <w:rsid w:val="00F9435D"/>
    <w:rsid w:val="00F94BB4"/>
    <w:rsid w:val="00F95814"/>
    <w:rsid w:val="00F966F9"/>
    <w:rsid w:val="00F96F61"/>
    <w:rsid w:val="00F97740"/>
    <w:rsid w:val="00FA0C8F"/>
    <w:rsid w:val="00FA2DEF"/>
    <w:rsid w:val="00FA2F7B"/>
    <w:rsid w:val="00FA3C90"/>
    <w:rsid w:val="00FA3C97"/>
    <w:rsid w:val="00FA3D30"/>
    <w:rsid w:val="00FA4B49"/>
    <w:rsid w:val="00FA54F8"/>
    <w:rsid w:val="00FA78C8"/>
    <w:rsid w:val="00FA7A2F"/>
    <w:rsid w:val="00FB09FE"/>
    <w:rsid w:val="00FB0E80"/>
    <w:rsid w:val="00FB101D"/>
    <w:rsid w:val="00FB1725"/>
    <w:rsid w:val="00FB2493"/>
    <w:rsid w:val="00FB42B7"/>
    <w:rsid w:val="00FB4484"/>
    <w:rsid w:val="00FB593A"/>
    <w:rsid w:val="00FB6410"/>
    <w:rsid w:val="00FB6E82"/>
    <w:rsid w:val="00FB792E"/>
    <w:rsid w:val="00FB7CF0"/>
    <w:rsid w:val="00FC0042"/>
    <w:rsid w:val="00FC1E67"/>
    <w:rsid w:val="00FC2A13"/>
    <w:rsid w:val="00FC4284"/>
    <w:rsid w:val="00FC4576"/>
    <w:rsid w:val="00FC5FF5"/>
    <w:rsid w:val="00FC6285"/>
    <w:rsid w:val="00FC78FB"/>
    <w:rsid w:val="00FC7DBC"/>
    <w:rsid w:val="00FD076A"/>
    <w:rsid w:val="00FD0AA0"/>
    <w:rsid w:val="00FD1D5A"/>
    <w:rsid w:val="00FD5059"/>
    <w:rsid w:val="00FD554D"/>
    <w:rsid w:val="00FD5BCC"/>
    <w:rsid w:val="00FD6C2D"/>
    <w:rsid w:val="00FD7B23"/>
    <w:rsid w:val="00FE2A48"/>
    <w:rsid w:val="00FE2DEF"/>
    <w:rsid w:val="00FE323C"/>
    <w:rsid w:val="00FE3A27"/>
    <w:rsid w:val="00FE48A6"/>
    <w:rsid w:val="00FE5D0A"/>
    <w:rsid w:val="00FE6469"/>
    <w:rsid w:val="00FE7C22"/>
    <w:rsid w:val="00FE7C6D"/>
    <w:rsid w:val="00FF05D0"/>
    <w:rsid w:val="00FF06CE"/>
    <w:rsid w:val="00FF0DC2"/>
    <w:rsid w:val="00FF0FF7"/>
    <w:rsid w:val="00FF1022"/>
    <w:rsid w:val="00FF10A2"/>
    <w:rsid w:val="00FF1438"/>
    <w:rsid w:val="00FF3A38"/>
    <w:rsid w:val="00FF3C25"/>
    <w:rsid w:val="00FF4129"/>
    <w:rsid w:val="00FF44F7"/>
    <w:rsid w:val="00FF4C90"/>
    <w:rsid w:val="00FF5304"/>
    <w:rsid w:val="00FF5806"/>
    <w:rsid w:val="00FF61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90"/>
    <w:pPr>
      <w:spacing w:line="240" w:lineRule="exact"/>
      <w:jc w:val="center"/>
    </w:pPr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436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rFonts w:cs="Times New Roman"/>
      <w:color w:val="008080"/>
      <w:sz w:val="24"/>
    </w:rPr>
  </w:style>
  <w:style w:type="character" w:styleId="PageNumber">
    <w:name w:val="page number"/>
    <w:basedOn w:val="DefaultParagraphFont"/>
    <w:uiPriority w:val="99"/>
    <w:rsid w:val="005436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36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FD"/>
    <w:rPr>
      <w:rFonts w:cs="Times New Roman"/>
      <w:color w:val="008080"/>
      <w:sz w:val="24"/>
    </w:rPr>
  </w:style>
  <w:style w:type="paragraph" w:styleId="BodyText">
    <w:name w:val="Body Text"/>
    <w:basedOn w:val="Normal"/>
    <w:link w:val="BodyTextChar"/>
    <w:uiPriority w:val="99"/>
    <w:rsid w:val="005436C2"/>
    <w:pPr>
      <w:tabs>
        <w:tab w:val="left" w:pos="720"/>
      </w:tabs>
      <w:ind w:right="-360"/>
    </w:pPr>
    <w:rPr>
      <w:rFonts w:ascii="Times New Roman" w:hAnsi="Times New Roman"/>
      <w:color w:val="00008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4FD"/>
    <w:rPr>
      <w:rFonts w:cs="Times New Roman"/>
      <w:color w:val="008080"/>
      <w:sz w:val="24"/>
    </w:rPr>
  </w:style>
  <w:style w:type="paragraph" w:styleId="BodyText3">
    <w:name w:val="Body Text 3"/>
    <w:basedOn w:val="Normal"/>
    <w:link w:val="BodyText3Char"/>
    <w:uiPriority w:val="99"/>
    <w:rsid w:val="005436C2"/>
    <w:pPr>
      <w:tabs>
        <w:tab w:val="left" w:pos="288"/>
        <w:tab w:val="left" w:pos="4752"/>
      </w:tabs>
      <w:ind w:right="-360"/>
      <w:jc w:val="both"/>
    </w:pPr>
    <w:rPr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44FD"/>
    <w:rPr>
      <w:rFonts w:cs="Times New Roman"/>
      <w:color w:val="008080"/>
      <w:sz w:val="16"/>
    </w:rPr>
  </w:style>
  <w:style w:type="paragraph" w:styleId="PlainText">
    <w:name w:val="Plain Text"/>
    <w:basedOn w:val="Normal"/>
    <w:link w:val="PlainTextChar"/>
    <w:uiPriority w:val="99"/>
    <w:rsid w:val="00D91DA6"/>
    <w:rPr>
      <w:rFonts w:ascii="Consolas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hAnsi="Consolas"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79D0"/>
    <w:rPr>
      <w:rFonts w:ascii="Tahoma" w:hAnsi="Tahoma" w:cs="Tahoma"/>
      <w:color w:val="008080"/>
      <w:sz w:val="16"/>
    </w:rPr>
  </w:style>
  <w:style w:type="table" w:styleId="TableGrid">
    <w:name w:val="Table Grid"/>
    <w:basedOn w:val="TableNormal"/>
    <w:uiPriority w:val="59"/>
    <w:rsid w:val="006F1A46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6591"/>
    <w:pPr>
      <w:spacing w:after="200" w:line="276" w:lineRule="auto"/>
      <w:ind w:left="720"/>
      <w:contextualSpacing/>
    </w:pPr>
    <w:rPr>
      <w:rFonts w:cs="Times New Roman"/>
      <w:color w:val="auto"/>
      <w:sz w:val="22"/>
      <w:szCs w:val="22"/>
    </w:rPr>
  </w:style>
  <w:style w:type="character" w:styleId="LineNumber">
    <w:name w:val="line number"/>
    <w:basedOn w:val="DefaultParagraphFont"/>
    <w:uiPriority w:val="99"/>
    <w:rsid w:val="004766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611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61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11A"/>
    <w:rPr>
      <w:rFonts w:cs="Times New Roman"/>
      <w:color w:val="00808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111A"/>
    <w:rPr>
      <w:b/>
      <w:bCs/>
    </w:rPr>
  </w:style>
  <w:style w:type="character" w:styleId="Hyperlink">
    <w:name w:val="Hyperlink"/>
    <w:basedOn w:val="DefaultParagraphFont"/>
    <w:uiPriority w:val="99"/>
    <w:rsid w:val="00750E3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0E3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F78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julie.raveau</cp:lastModifiedBy>
  <cp:revision>5</cp:revision>
  <dcterms:created xsi:type="dcterms:W3CDTF">2012-03-14T18:55:00Z</dcterms:created>
  <dcterms:modified xsi:type="dcterms:W3CDTF">2012-04-06T15:45:00Z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-1105890195</vt:i4>
  </property>
</Properties>
</file>