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A2659" w:rsidRDefault="00540BEF" w:rsidP="00BF0E94">
      <w:pPr>
        <w:tabs>
          <w:tab w:val="left" w:pos="288"/>
          <w:tab w:val="left" w:pos="4752"/>
        </w:tabs>
        <w:rPr>
          <w:color w:val="auto"/>
        </w:rPr>
      </w:pPr>
      <w:r w:rsidRPr="003A2659">
        <w:rPr>
          <w:color w:val="auto"/>
        </w:rPr>
        <w:t>RECORD OF PROCEEDINGS</w:t>
      </w:r>
    </w:p>
    <w:p w:rsidR="00540BEF" w:rsidRPr="003A2659" w:rsidRDefault="00540BEF" w:rsidP="00BF0E94">
      <w:pPr>
        <w:tabs>
          <w:tab w:val="left" w:pos="288"/>
          <w:tab w:val="left" w:pos="4752"/>
        </w:tabs>
        <w:rPr>
          <w:color w:val="auto"/>
        </w:rPr>
      </w:pPr>
      <w:r w:rsidRPr="003A2659">
        <w:rPr>
          <w:color w:val="auto"/>
        </w:rPr>
        <w:t>PHYSICAL DISABILITY BOARD OF REVIEW</w:t>
      </w:r>
    </w:p>
    <w:p w:rsidR="00540BEF" w:rsidRPr="003A2659" w:rsidRDefault="00540BEF" w:rsidP="00BF0E94">
      <w:pPr>
        <w:tabs>
          <w:tab w:val="left" w:pos="288"/>
          <w:tab w:val="left" w:pos="4752"/>
        </w:tabs>
        <w:jc w:val="both"/>
        <w:rPr>
          <w:caps/>
          <w:color w:val="auto"/>
        </w:rPr>
      </w:pPr>
    </w:p>
    <w:p w:rsidR="00E0346A" w:rsidRPr="003A2659" w:rsidRDefault="00F629C0" w:rsidP="00BF0E94">
      <w:pPr>
        <w:tabs>
          <w:tab w:val="left" w:pos="288"/>
          <w:tab w:val="left" w:pos="4752"/>
          <w:tab w:val="left" w:pos="5130"/>
          <w:tab w:val="left" w:pos="9270"/>
        </w:tabs>
        <w:jc w:val="both"/>
        <w:rPr>
          <w:caps/>
          <w:color w:val="auto"/>
        </w:rPr>
      </w:pPr>
      <w:r w:rsidRPr="003A2659">
        <w:rPr>
          <w:caps/>
          <w:color w:val="auto"/>
        </w:rPr>
        <w:t xml:space="preserve">NAME:  </w:t>
      </w:r>
      <w:r w:rsidR="00507D2D">
        <w:rPr>
          <w:caps/>
          <w:color w:val="auto"/>
        </w:rPr>
        <w:t>XXXXXXXXXX</w:t>
      </w:r>
      <w:r w:rsidR="004216DA" w:rsidRPr="003A2659">
        <w:rPr>
          <w:caps/>
          <w:color w:val="auto"/>
        </w:rPr>
        <w:t xml:space="preserve">             </w:t>
      </w:r>
      <w:r w:rsidR="00332DE3" w:rsidRPr="003A2659">
        <w:rPr>
          <w:caps/>
          <w:color w:val="auto"/>
        </w:rPr>
        <w:t xml:space="preserve"> </w:t>
      </w:r>
      <w:r w:rsidR="004216DA" w:rsidRPr="003A2659">
        <w:rPr>
          <w:caps/>
          <w:color w:val="auto"/>
        </w:rPr>
        <w:t xml:space="preserve">  </w:t>
      </w:r>
      <w:r w:rsidR="004522B2" w:rsidRPr="003A2659">
        <w:rPr>
          <w:caps/>
          <w:color w:val="auto"/>
        </w:rPr>
        <w:tab/>
        <w:t xml:space="preserve">                    </w:t>
      </w:r>
      <w:r w:rsidR="007B501C">
        <w:rPr>
          <w:caps/>
          <w:color w:val="auto"/>
        </w:rPr>
        <w:t xml:space="preserve">    </w:t>
      </w:r>
      <w:r w:rsidR="004522B2" w:rsidRPr="003A2659">
        <w:rPr>
          <w:caps/>
          <w:color w:val="auto"/>
        </w:rPr>
        <w:t xml:space="preserve"> </w:t>
      </w:r>
      <w:r w:rsidRPr="003A2659">
        <w:rPr>
          <w:caps/>
          <w:color w:val="auto"/>
        </w:rPr>
        <w:t xml:space="preserve">BRANCH OF SERVICE: </w:t>
      </w:r>
      <w:r w:rsidR="004C24C5" w:rsidRPr="003A2659">
        <w:rPr>
          <w:caps/>
          <w:color w:val="auto"/>
        </w:rPr>
        <w:t xml:space="preserve"> </w:t>
      </w:r>
      <w:r w:rsidR="00332DE3" w:rsidRPr="003A2659">
        <w:rPr>
          <w:caps/>
          <w:color w:val="auto"/>
        </w:rPr>
        <w:t>Army</w:t>
      </w:r>
    </w:p>
    <w:p w:rsidR="00DE3AAD" w:rsidRPr="003A2659" w:rsidRDefault="00012733" w:rsidP="0068098E">
      <w:pPr>
        <w:tabs>
          <w:tab w:val="left" w:pos="288"/>
          <w:tab w:val="left" w:pos="4166"/>
          <w:tab w:val="left" w:pos="4752"/>
          <w:tab w:val="left" w:pos="5130"/>
          <w:tab w:val="left" w:pos="9270"/>
        </w:tabs>
        <w:jc w:val="both"/>
        <w:rPr>
          <w:caps/>
          <w:color w:val="auto"/>
        </w:rPr>
      </w:pPr>
      <w:r w:rsidRPr="003A2659">
        <w:rPr>
          <w:caps/>
          <w:color w:val="auto"/>
        </w:rPr>
        <w:t>C</w:t>
      </w:r>
      <w:r w:rsidR="00DE3AAD" w:rsidRPr="003A2659">
        <w:rPr>
          <w:caps/>
          <w:color w:val="auto"/>
        </w:rPr>
        <w:t>ASE NUMBER:  PD</w:t>
      </w:r>
      <w:r w:rsidR="008F58E1" w:rsidRPr="003A2659">
        <w:rPr>
          <w:caps/>
          <w:color w:val="auto"/>
        </w:rPr>
        <w:t>11</w:t>
      </w:r>
      <w:r w:rsidR="00DE3AAD" w:rsidRPr="003A2659">
        <w:rPr>
          <w:caps/>
          <w:color w:val="auto"/>
        </w:rPr>
        <w:t>00</w:t>
      </w:r>
      <w:r w:rsidR="0018108F" w:rsidRPr="003A2659">
        <w:rPr>
          <w:caps/>
          <w:color w:val="auto"/>
        </w:rPr>
        <w:t>397</w:t>
      </w:r>
      <w:r w:rsidR="00DE3AAD" w:rsidRPr="003A2659">
        <w:rPr>
          <w:color w:val="auto"/>
        </w:rPr>
        <w:tab/>
      </w:r>
      <w:r w:rsidR="0068098E" w:rsidRPr="003A2659">
        <w:rPr>
          <w:color w:val="auto"/>
        </w:rPr>
        <w:tab/>
      </w:r>
      <w:r w:rsidR="00DE3AAD" w:rsidRPr="003A2659">
        <w:rPr>
          <w:color w:val="auto"/>
        </w:rPr>
        <w:t xml:space="preserve">         </w:t>
      </w:r>
      <w:r w:rsidR="00E0346A" w:rsidRPr="003A2659">
        <w:rPr>
          <w:color w:val="auto"/>
        </w:rPr>
        <w:t xml:space="preserve">                    </w:t>
      </w:r>
      <w:r w:rsidR="00E406F0" w:rsidRPr="003A2659">
        <w:rPr>
          <w:color w:val="auto"/>
        </w:rPr>
        <w:t xml:space="preserve"> </w:t>
      </w:r>
      <w:r w:rsidR="00DE3AAD" w:rsidRPr="003A2659">
        <w:rPr>
          <w:color w:val="auto"/>
        </w:rPr>
        <w:t>SEPARATION DATE:  200</w:t>
      </w:r>
      <w:r w:rsidR="0018108F" w:rsidRPr="003A2659">
        <w:rPr>
          <w:color w:val="auto"/>
        </w:rPr>
        <w:t>50421</w:t>
      </w:r>
    </w:p>
    <w:p w:rsidR="00827B29" w:rsidRPr="003A2659" w:rsidRDefault="004F3639" w:rsidP="00E406F0">
      <w:pPr>
        <w:tabs>
          <w:tab w:val="left" w:pos="288"/>
          <w:tab w:val="left" w:pos="5130"/>
        </w:tabs>
        <w:jc w:val="both"/>
        <w:rPr>
          <w:color w:val="auto"/>
        </w:rPr>
      </w:pPr>
      <w:r w:rsidRPr="003A2659">
        <w:rPr>
          <w:caps/>
          <w:color w:val="auto"/>
        </w:rPr>
        <w:t>BOARD DATE:  201</w:t>
      </w:r>
      <w:r w:rsidR="00E406F0" w:rsidRPr="003A2659">
        <w:rPr>
          <w:caps/>
          <w:color w:val="auto"/>
        </w:rPr>
        <w:t>2</w:t>
      </w:r>
      <w:r w:rsidR="004522B2" w:rsidRPr="003A2659">
        <w:rPr>
          <w:caps/>
          <w:color w:val="auto"/>
        </w:rPr>
        <w:t>0423</w:t>
      </w:r>
      <w:r w:rsidR="00296060" w:rsidRPr="003A2659">
        <w:rPr>
          <w:caps/>
          <w:color w:val="auto"/>
        </w:rPr>
        <w:t xml:space="preserve"> </w:t>
      </w:r>
    </w:p>
    <w:p w:rsidR="00E406F0" w:rsidRPr="003A2659" w:rsidRDefault="00E406F0" w:rsidP="00E406F0">
      <w:pPr>
        <w:pBdr>
          <w:bottom w:val="single" w:sz="12" w:space="1" w:color="auto"/>
        </w:pBdr>
        <w:tabs>
          <w:tab w:val="left" w:pos="288"/>
          <w:tab w:val="left" w:pos="4752"/>
        </w:tabs>
        <w:jc w:val="both"/>
        <w:rPr>
          <w:color w:val="auto"/>
        </w:rPr>
      </w:pPr>
    </w:p>
    <w:p w:rsidR="00E406F0" w:rsidRPr="003A2659" w:rsidRDefault="00E406F0" w:rsidP="00E406F0">
      <w:pPr>
        <w:tabs>
          <w:tab w:val="left" w:pos="288"/>
          <w:tab w:val="left" w:pos="4752"/>
        </w:tabs>
        <w:jc w:val="both"/>
        <w:rPr>
          <w:color w:val="auto"/>
        </w:rPr>
      </w:pPr>
    </w:p>
    <w:p w:rsidR="00F63FC7" w:rsidRPr="003A2659" w:rsidRDefault="00FB0E80" w:rsidP="00BF0E94">
      <w:pPr>
        <w:tabs>
          <w:tab w:val="left" w:pos="288"/>
          <w:tab w:val="left" w:pos="4752"/>
        </w:tabs>
        <w:jc w:val="both"/>
        <w:rPr>
          <w:color w:val="auto"/>
        </w:rPr>
      </w:pPr>
      <w:r w:rsidRPr="003A2659">
        <w:rPr>
          <w:color w:val="auto"/>
          <w:u w:val="single"/>
        </w:rPr>
        <w:t>SUMMARY OF CASE</w:t>
      </w:r>
      <w:r w:rsidRPr="003A2659">
        <w:rPr>
          <w:color w:val="auto"/>
        </w:rPr>
        <w:t xml:space="preserve">:  </w:t>
      </w:r>
      <w:r w:rsidR="009759C2" w:rsidRPr="003A2659">
        <w:rPr>
          <w:color w:val="auto"/>
        </w:rPr>
        <w:t>Data extracted from the available evidence of record reflects that this covered individual (CI)</w:t>
      </w:r>
      <w:r w:rsidR="00570754" w:rsidRPr="003A2659">
        <w:rPr>
          <w:color w:val="auto"/>
        </w:rPr>
        <w:t xml:space="preserve"> </w:t>
      </w:r>
      <w:r w:rsidR="002C6E5B" w:rsidRPr="003A2659">
        <w:rPr>
          <w:color w:val="auto"/>
          <w:szCs w:val="24"/>
        </w:rPr>
        <w:t xml:space="preserve">was </w:t>
      </w:r>
      <w:r w:rsidR="0018108F" w:rsidRPr="003A2659">
        <w:rPr>
          <w:color w:val="auto"/>
          <w:szCs w:val="24"/>
        </w:rPr>
        <w:t xml:space="preserve">a </w:t>
      </w:r>
      <w:r w:rsidR="006D4E0E" w:rsidRPr="003A2659">
        <w:rPr>
          <w:color w:val="auto"/>
          <w:szCs w:val="24"/>
        </w:rPr>
        <w:t xml:space="preserve">National Guard </w:t>
      </w:r>
      <w:r w:rsidR="0018108F" w:rsidRPr="003A2659">
        <w:rPr>
          <w:color w:val="auto"/>
          <w:szCs w:val="24"/>
        </w:rPr>
        <w:t>SPC/E-4</w:t>
      </w:r>
      <w:r w:rsidR="00705C40" w:rsidRPr="003A2659">
        <w:rPr>
          <w:color w:val="auto"/>
          <w:szCs w:val="24"/>
        </w:rPr>
        <w:t xml:space="preserve"> (</w:t>
      </w:r>
      <w:r w:rsidR="0018108F" w:rsidRPr="003A2659">
        <w:rPr>
          <w:color w:val="auto"/>
          <w:szCs w:val="24"/>
        </w:rPr>
        <w:t>Combat Medic</w:t>
      </w:r>
      <w:r w:rsidR="004522B2" w:rsidRPr="003A2659">
        <w:rPr>
          <w:color w:val="auto"/>
          <w:szCs w:val="24"/>
        </w:rPr>
        <w:t xml:space="preserve"> Student</w:t>
      </w:r>
      <w:r w:rsidR="00E322F7" w:rsidRPr="003A2659">
        <w:rPr>
          <w:color w:val="auto"/>
          <w:szCs w:val="24"/>
        </w:rPr>
        <w:t>)</w:t>
      </w:r>
      <w:r w:rsidR="00C75F3D" w:rsidRPr="003A2659">
        <w:rPr>
          <w:color w:val="auto"/>
          <w:szCs w:val="24"/>
        </w:rPr>
        <w:t xml:space="preserve">, </w:t>
      </w:r>
      <w:r w:rsidR="002C6E5B" w:rsidRPr="003A2659">
        <w:rPr>
          <w:color w:val="auto"/>
          <w:szCs w:val="24"/>
        </w:rPr>
        <w:t xml:space="preserve">medically separated for </w:t>
      </w:r>
      <w:r w:rsidR="00B3712B">
        <w:rPr>
          <w:color w:val="auto"/>
          <w:szCs w:val="24"/>
        </w:rPr>
        <w:t>c</w:t>
      </w:r>
      <w:r w:rsidR="0018108F" w:rsidRPr="003A2659">
        <w:rPr>
          <w:color w:val="auto"/>
          <w:szCs w:val="24"/>
        </w:rPr>
        <w:t xml:space="preserve">hronic </w:t>
      </w:r>
      <w:r w:rsidR="00B3712B">
        <w:rPr>
          <w:color w:val="auto"/>
          <w:szCs w:val="24"/>
        </w:rPr>
        <w:t>l</w:t>
      </w:r>
      <w:r w:rsidR="0018108F" w:rsidRPr="003A2659">
        <w:rPr>
          <w:color w:val="auto"/>
          <w:szCs w:val="24"/>
        </w:rPr>
        <w:t xml:space="preserve">eft </w:t>
      </w:r>
      <w:r w:rsidR="00B3712B">
        <w:rPr>
          <w:color w:val="auto"/>
          <w:szCs w:val="24"/>
        </w:rPr>
        <w:t>h</w:t>
      </w:r>
      <w:r w:rsidR="0018108F" w:rsidRPr="003A2659">
        <w:rPr>
          <w:color w:val="auto"/>
          <w:szCs w:val="24"/>
        </w:rPr>
        <w:t xml:space="preserve">ip </w:t>
      </w:r>
      <w:r w:rsidR="00B3712B">
        <w:rPr>
          <w:color w:val="auto"/>
          <w:szCs w:val="24"/>
        </w:rPr>
        <w:t>p</w:t>
      </w:r>
      <w:r w:rsidR="0018108F" w:rsidRPr="003A2659">
        <w:rPr>
          <w:color w:val="auto"/>
          <w:szCs w:val="24"/>
        </w:rPr>
        <w:t>ain.</w:t>
      </w:r>
      <w:r w:rsidR="00E406F0" w:rsidRPr="003A2659">
        <w:rPr>
          <w:color w:val="auto"/>
          <w:szCs w:val="24"/>
        </w:rPr>
        <w:t xml:space="preserve">  </w:t>
      </w:r>
      <w:r w:rsidR="00A34E7B" w:rsidRPr="003A2659">
        <w:rPr>
          <w:color w:val="auto"/>
          <w:szCs w:val="24"/>
        </w:rPr>
        <w:t>Left greater than right hip pain began in basic without attribution to any specific trauma</w:t>
      </w:r>
      <w:r w:rsidR="007D0299" w:rsidRPr="003A2659">
        <w:rPr>
          <w:color w:val="auto"/>
          <w:szCs w:val="24"/>
        </w:rPr>
        <w:t xml:space="preserve"> aside from training</w:t>
      </w:r>
      <w:r w:rsidR="00A34E7B" w:rsidRPr="003A2659">
        <w:rPr>
          <w:color w:val="auto"/>
          <w:szCs w:val="24"/>
        </w:rPr>
        <w:t xml:space="preserve">.  The left hip pain interfered with completion of AIT and performance of duty.  </w:t>
      </w:r>
      <w:r w:rsidR="00643C8F" w:rsidRPr="003A2659">
        <w:rPr>
          <w:color w:val="auto"/>
          <w:szCs w:val="24"/>
        </w:rPr>
        <w:t>She did not respond adequately to treatment and was unable to perform within her Military Occupational Specialty (MOS</w:t>
      </w:r>
      <w:r w:rsidR="0018108F" w:rsidRPr="003A2659">
        <w:rPr>
          <w:color w:val="auto"/>
          <w:szCs w:val="24"/>
        </w:rPr>
        <w:t>)</w:t>
      </w:r>
      <w:r w:rsidR="00643C8F" w:rsidRPr="003A2659">
        <w:rPr>
          <w:color w:val="auto"/>
          <w:szCs w:val="24"/>
        </w:rPr>
        <w:t xml:space="preserve"> or meet physical fitness standards.  </w:t>
      </w:r>
      <w:r w:rsidR="0018108F" w:rsidRPr="003A2659">
        <w:rPr>
          <w:color w:val="auto"/>
          <w:szCs w:val="24"/>
        </w:rPr>
        <w:t>She</w:t>
      </w:r>
      <w:r w:rsidR="00643C8F" w:rsidRPr="003A2659">
        <w:rPr>
          <w:color w:val="auto"/>
          <w:szCs w:val="24"/>
        </w:rPr>
        <w:t xml:space="preserve"> was issued a permanent </w:t>
      </w:r>
      <w:r w:rsidR="0018108F" w:rsidRPr="003A2659">
        <w:rPr>
          <w:color w:val="auto"/>
          <w:szCs w:val="24"/>
        </w:rPr>
        <w:t>L3</w:t>
      </w:r>
      <w:r w:rsidR="00643C8F" w:rsidRPr="003A2659">
        <w:rPr>
          <w:color w:val="auto"/>
          <w:szCs w:val="24"/>
        </w:rPr>
        <w:t xml:space="preserve"> profile and underwent a Medical Evaluation Board (MEB).</w:t>
      </w:r>
      <w:r w:rsidR="00E406F0" w:rsidRPr="003A2659">
        <w:rPr>
          <w:color w:val="auto"/>
          <w:szCs w:val="24"/>
        </w:rPr>
        <w:t xml:space="preserve">  </w:t>
      </w:r>
      <w:r w:rsidR="0018108F" w:rsidRPr="003A2659">
        <w:rPr>
          <w:color w:val="auto"/>
          <w:szCs w:val="24"/>
        </w:rPr>
        <w:t xml:space="preserve">Left </w:t>
      </w:r>
      <w:r w:rsidR="00B3712B">
        <w:rPr>
          <w:color w:val="auto"/>
          <w:szCs w:val="24"/>
        </w:rPr>
        <w:t>h</w:t>
      </w:r>
      <w:r w:rsidR="0018108F" w:rsidRPr="003A2659">
        <w:rPr>
          <w:color w:val="auto"/>
          <w:szCs w:val="24"/>
        </w:rPr>
        <w:t xml:space="preserve">ip </w:t>
      </w:r>
      <w:r w:rsidR="00B3712B">
        <w:rPr>
          <w:color w:val="auto"/>
          <w:szCs w:val="24"/>
        </w:rPr>
        <w:t>p</w:t>
      </w:r>
      <w:r w:rsidR="0018108F" w:rsidRPr="003A2659">
        <w:rPr>
          <w:color w:val="auto"/>
          <w:szCs w:val="24"/>
        </w:rPr>
        <w:t>ain was</w:t>
      </w:r>
      <w:r w:rsidR="000A33C8" w:rsidRPr="003A2659">
        <w:rPr>
          <w:color w:val="auto"/>
          <w:szCs w:val="24"/>
        </w:rPr>
        <w:t xml:space="preserve"> forwarded to the Physical Evaluation Board (PEB) as medically unacceptable IAW AR 40-501</w:t>
      </w:r>
      <w:r w:rsidR="00376E08" w:rsidRPr="003A2659">
        <w:rPr>
          <w:color w:val="auto"/>
          <w:szCs w:val="24"/>
        </w:rPr>
        <w:t>.</w:t>
      </w:r>
      <w:r w:rsidR="00E406F0" w:rsidRPr="003A2659">
        <w:rPr>
          <w:color w:val="auto"/>
          <w:szCs w:val="24"/>
        </w:rPr>
        <w:t xml:space="preserve">  </w:t>
      </w:r>
      <w:r w:rsidR="001A5E62" w:rsidRPr="003A2659">
        <w:rPr>
          <w:color w:val="auto"/>
          <w:szCs w:val="24"/>
        </w:rPr>
        <w:t>No other conditions appeared on the MEB’s submission.  Other conditions included in the</w:t>
      </w:r>
      <w:r w:rsidR="00DC17F2" w:rsidRPr="003A2659">
        <w:rPr>
          <w:color w:val="auto"/>
          <w:szCs w:val="24"/>
        </w:rPr>
        <w:t xml:space="preserve"> </w:t>
      </w:r>
      <w:r w:rsidR="00555C66" w:rsidRPr="003A2659">
        <w:rPr>
          <w:color w:val="auto"/>
          <w:szCs w:val="24"/>
        </w:rPr>
        <w:t xml:space="preserve">Disability Evaluation System (DES) </w:t>
      </w:r>
      <w:r w:rsidR="001A5E62" w:rsidRPr="003A2659">
        <w:rPr>
          <w:color w:val="auto"/>
          <w:szCs w:val="24"/>
        </w:rPr>
        <w:t>packet will be discussed below.</w:t>
      </w:r>
      <w:r w:rsidR="00E406F0" w:rsidRPr="003A2659">
        <w:rPr>
          <w:color w:val="auto"/>
          <w:szCs w:val="24"/>
        </w:rPr>
        <w:t xml:space="preserve">  </w:t>
      </w:r>
      <w:r w:rsidR="00842BAA" w:rsidRPr="003A2659">
        <w:rPr>
          <w:color w:val="auto"/>
          <w:szCs w:val="24"/>
        </w:rPr>
        <w:t xml:space="preserve">The PEB adjudicated the </w:t>
      </w:r>
      <w:r w:rsidR="00B3712B">
        <w:rPr>
          <w:color w:val="auto"/>
          <w:szCs w:val="24"/>
        </w:rPr>
        <w:t>l</w:t>
      </w:r>
      <w:r w:rsidR="0018108F" w:rsidRPr="003A2659">
        <w:rPr>
          <w:color w:val="auto"/>
          <w:szCs w:val="24"/>
        </w:rPr>
        <w:t xml:space="preserve">eft </w:t>
      </w:r>
      <w:r w:rsidR="00B3712B">
        <w:rPr>
          <w:color w:val="auto"/>
          <w:szCs w:val="24"/>
        </w:rPr>
        <w:t>h</w:t>
      </w:r>
      <w:r w:rsidR="0018108F" w:rsidRPr="003A2659">
        <w:rPr>
          <w:color w:val="auto"/>
          <w:szCs w:val="24"/>
        </w:rPr>
        <w:t>ip</w:t>
      </w:r>
      <w:r w:rsidR="00842BAA" w:rsidRPr="003A2659">
        <w:rPr>
          <w:color w:val="auto"/>
          <w:szCs w:val="24"/>
        </w:rPr>
        <w:t xml:space="preserve"> condition as unfitting, rated </w:t>
      </w:r>
      <w:r w:rsidR="0018108F" w:rsidRPr="003A2659">
        <w:rPr>
          <w:color w:val="auto"/>
          <w:szCs w:val="24"/>
        </w:rPr>
        <w:t>10</w:t>
      </w:r>
      <w:r w:rsidR="00842BAA" w:rsidRPr="003A2659">
        <w:rPr>
          <w:color w:val="auto"/>
          <w:szCs w:val="24"/>
        </w:rPr>
        <w:t>%</w:t>
      </w:r>
      <w:r w:rsidR="0018108F" w:rsidRPr="003A2659">
        <w:rPr>
          <w:color w:val="auto"/>
          <w:szCs w:val="24"/>
        </w:rPr>
        <w:t xml:space="preserve"> </w:t>
      </w:r>
      <w:r w:rsidR="00842BAA" w:rsidRPr="003A2659">
        <w:rPr>
          <w:color w:val="auto"/>
          <w:szCs w:val="24"/>
        </w:rPr>
        <w:t xml:space="preserve">with </w:t>
      </w:r>
      <w:r w:rsidR="00DD09B2" w:rsidRPr="003A2659">
        <w:rPr>
          <w:color w:val="auto"/>
          <w:szCs w:val="24"/>
        </w:rPr>
        <w:t xml:space="preserve">specified </w:t>
      </w:r>
      <w:r w:rsidR="00842BAA" w:rsidRPr="003A2659">
        <w:rPr>
          <w:color w:val="auto"/>
          <w:szCs w:val="24"/>
        </w:rPr>
        <w:t>application of the US Army Physical Disability Agency (USAPDA) pain policy.</w:t>
      </w:r>
      <w:r w:rsidR="00E406F0" w:rsidRPr="003A2659">
        <w:rPr>
          <w:color w:val="auto"/>
          <w:szCs w:val="24"/>
        </w:rPr>
        <w:t xml:space="preserve">  </w:t>
      </w:r>
      <w:r w:rsidR="00B20624" w:rsidRPr="003A2659">
        <w:rPr>
          <w:color w:val="auto"/>
        </w:rPr>
        <w:t xml:space="preserve">The CI </w:t>
      </w:r>
      <w:r w:rsidR="00190E48" w:rsidRPr="003A2659">
        <w:rPr>
          <w:color w:val="auto"/>
        </w:rPr>
        <w:t xml:space="preserve">made no appeals, </w:t>
      </w:r>
      <w:r w:rsidR="00B20624" w:rsidRPr="003A2659">
        <w:rPr>
          <w:color w:val="auto"/>
        </w:rPr>
        <w:t xml:space="preserve">and was medically separated with a </w:t>
      </w:r>
      <w:r w:rsidR="0018108F" w:rsidRPr="003A2659">
        <w:rPr>
          <w:color w:val="auto"/>
        </w:rPr>
        <w:t>10</w:t>
      </w:r>
      <w:r w:rsidR="00B20624" w:rsidRPr="003A2659">
        <w:rPr>
          <w:color w:val="auto"/>
        </w:rPr>
        <w:t>% combined disability rating.</w:t>
      </w:r>
      <w:r w:rsidR="007D0299" w:rsidRPr="003A2659">
        <w:rPr>
          <w:color w:val="auto"/>
        </w:rPr>
        <w:t xml:space="preserve">  </w:t>
      </w:r>
    </w:p>
    <w:p w:rsidR="004174F0" w:rsidRPr="003A2659" w:rsidRDefault="004174F0" w:rsidP="00BF0E94">
      <w:pPr>
        <w:pBdr>
          <w:bottom w:val="single" w:sz="12" w:space="1" w:color="auto"/>
        </w:pBdr>
        <w:tabs>
          <w:tab w:val="left" w:pos="288"/>
          <w:tab w:val="left" w:pos="4752"/>
        </w:tabs>
        <w:jc w:val="both"/>
        <w:rPr>
          <w:color w:val="auto"/>
        </w:rPr>
      </w:pPr>
    </w:p>
    <w:p w:rsidR="004174F0" w:rsidRPr="003A2659" w:rsidRDefault="004174F0" w:rsidP="00BF0E94">
      <w:pPr>
        <w:tabs>
          <w:tab w:val="left" w:pos="288"/>
          <w:tab w:val="left" w:pos="4752"/>
        </w:tabs>
        <w:jc w:val="both"/>
        <w:rPr>
          <w:color w:val="auto"/>
        </w:rPr>
      </w:pPr>
    </w:p>
    <w:p w:rsidR="00F156A8" w:rsidRPr="003A2659" w:rsidRDefault="002C6E5B" w:rsidP="00E406F0">
      <w:pPr>
        <w:tabs>
          <w:tab w:val="left" w:pos="288"/>
          <w:tab w:val="left" w:pos="4752"/>
        </w:tabs>
        <w:jc w:val="both"/>
        <w:rPr>
          <w:color w:val="auto"/>
          <w:u w:val="single"/>
        </w:rPr>
      </w:pPr>
      <w:r w:rsidRPr="003A2659">
        <w:rPr>
          <w:color w:val="auto"/>
          <w:u w:val="single"/>
        </w:rPr>
        <w:t>CI CONTENTION</w:t>
      </w:r>
      <w:r w:rsidRPr="003A2659">
        <w:rPr>
          <w:color w:val="auto"/>
        </w:rPr>
        <w:t>:</w:t>
      </w:r>
      <w:r w:rsidR="0018108F" w:rsidRPr="003A2659">
        <w:rPr>
          <w:color w:val="auto"/>
        </w:rPr>
        <w:t xml:space="preserve"> </w:t>
      </w:r>
      <w:r w:rsidR="00E406F0" w:rsidRPr="003A2659">
        <w:rPr>
          <w:color w:val="auto"/>
        </w:rPr>
        <w:t xml:space="preserve"> </w:t>
      </w:r>
      <w:r w:rsidR="0018108F" w:rsidRPr="003A2659">
        <w:rPr>
          <w:color w:val="auto"/>
        </w:rPr>
        <w:t xml:space="preserve">“Initial complaints of Lower Back Pain and conditions causing the Low Back Pain and disability that rendered the member unfit were ignored even though there </w:t>
      </w:r>
      <w:proofErr w:type="gramStart"/>
      <w:r w:rsidR="0018108F" w:rsidRPr="003A2659">
        <w:rPr>
          <w:color w:val="auto"/>
        </w:rPr>
        <w:t>is</w:t>
      </w:r>
      <w:proofErr w:type="gramEnd"/>
      <w:r w:rsidR="0018108F" w:rsidRPr="003A2659">
        <w:rPr>
          <w:color w:val="auto"/>
        </w:rPr>
        <w:t xml:space="preserve"> numerous documents that reported Low Back Pain in combination with hip, leg and pelvic pain.  The reasons for the pain and limitations were not fully examined or acknowledged.  These other conditions include left </w:t>
      </w:r>
      <w:proofErr w:type="spellStart"/>
      <w:r w:rsidR="0018108F" w:rsidRPr="003A2659">
        <w:rPr>
          <w:color w:val="auto"/>
        </w:rPr>
        <w:t>ilioinguinal</w:t>
      </w:r>
      <w:proofErr w:type="spellEnd"/>
      <w:r w:rsidR="0018108F" w:rsidRPr="003A2659">
        <w:rPr>
          <w:color w:val="auto"/>
        </w:rPr>
        <w:t xml:space="preserve"> strain (claimed as </w:t>
      </w:r>
      <w:r w:rsidR="00C411B6">
        <w:rPr>
          <w:color w:val="auto"/>
        </w:rPr>
        <w:t>left</w:t>
      </w:r>
      <w:r w:rsidR="0018108F" w:rsidRPr="003A2659">
        <w:rPr>
          <w:color w:val="auto"/>
        </w:rPr>
        <w:t xml:space="preserve"> hip pain), </w:t>
      </w:r>
      <w:proofErr w:type="spellStart"/>
      <w:r w:rsidR="00C411B6">
        <w:rPr>
          <w:color w:val="auto"/>
        </w:rPr>
        <w:t>m</w:t>
      </w:r>
      <w:r w:rsidR="0018108F" w:rsidRPr="003A2659">
        <w:rPr>
          <w:color w:val="auto"/>
        </w:rPr>
        <w:t>eralgia</w:t>
      </w:r>
      <w:proofErr w:type="spellEnd"/>
      <w:r w:rsidR="0018108F" w:rsidRPr="003A2659">
        <w:rPr>
          <w:color w:val="auto"/>
        </w:rPr>
        <w:t xml:space="preserve"> </w:t>
      </w:r>
      <w:proofErr w:type="spellStart"/>
      <w:r w:rsidR="00C411B6">
        <w:rPr>
          <w:color w:val="auto"/>
        </w:rPr>
        <w:t>p</w:t>
      </w:r>
      <w:r w:rsidR="0018108F" w:rsidRPr="003A2659">
        <w:rPr>
          <w:color w:val="auto"/>
        </w:rPr>
        <w:t>aresthetica</w:t>
      </w:r>
      <w:proofErr w:type="spellEnd"/>
      <w:r w:rsidR="0018108F" w:rsidRPr="003A2659">
        <w:rPr>
          <w:color w:val="auto"/>
        </w:rPr>
        <w:t xml:space="preserve">, </w:t>
      </w:r>
      <w:r w:rsidR="00C411B6">
        <w:rPr>
          <w:color w:val="auto"/>
        </w:rPr>
        <w:t>l</w:t>
      </w:r>
      <w:r w:rsidR="0018108F" w:rsidRPr="003A2659">
        <w:rPr>
          <w:color w:val="auto"/>
        </w:rPr>
        <w:t xml:space="preserve">umbar </w:t>
      </w:r>
      <w:proofErr w:type="spellStart"/>
      <w:r w:rsidR="00C411B6">
        <w:rPr>
          <w:color w:val="auto"/>
        </w:rPr>
        <w:t>r</w:t>
      </w:r>
      <w:r w:rsidR="0018108F" w:rsidRPr="003A2659">
        <w:rPr>
          <w:color w:val="auto"/>
        </w:rPr>
        <w:t>adiculopathy</w:t>
      </w:r>
      <w:proofErr w:type="spellEnd"/>
      <w:r w:rsidR="0018108F" w:rsidRPr="003A2659">
        <w:rPr>
          <w:color w:val="auto"/>
        </w:rPr>
        <w:t xml:space="preserve">, </w:t>
      </w:r>
      <w:r w:rsidR="00C411B6">
        <w:rPr>
          <w:color w:val="auto"/>
        </w:rPr>
        <w:t>synovial h</w:t>
      </w:r>
      <w:r w:rsidR="0018108F" w:rsidRPr="003A2659">
        <w:rPr>
          <w:color w:val="auto"/>
        </w:rPr>
        <w:t xml:space="preserve">erniated pit (left) as documented by VA, and other sources, as well as pubic </w:t>
      </w:r>
      <w:r w:rsidR="00C411B6">
        <w:rPr>
          <w:color w:val="auto"/>
        </w:rPr>
        <w:t>s</w:t>
      </w:r>
      <w:r w:rsidR="0018108F" w:rsidRPr="003A2659">
        <w:rPr>
          <w:color w:val="auto"/>
        </w:rPr>
        <w:t xml:space="preserve">ynthesis dysfunction, </w:t>
      </w:r>
      <w:proofErr w:type="spellStart"/>
      <w:r w:rsidR="0018108F" w:rsidRPr="003A2659">
        <w:rPr>
          <w:color w:val="auto"/>
        </w:rPr>
        <w:t>lumbargo</w:t>
      </w:r>
      <w:proofErr w:type="spellEnd"/>
      <w:r w:rsidR="0018108F" w:rsidRPr="003A2659">
        <w:rPr>
          <w:color w:val="auto"/>
        </w:rPr>
        <w:t>, symptoms of all began during Basic, AIT, yet ignored, never diagnosed, or fully examined, just discharged from Army.  Original “hip pain rated as slight and frequent 10/10 and 9/10 is not slight, frequent, sharp &amp; throbbing.”</w:t>
      </w:r>
      <w:r w:rsidR="00E406F0" w:rsidRPr="003A2659">
        <w:rPr>
          <w:color w:val="auto"/>
        </w:rPr>
        <w:t xml:space="preserve">  </w:t>
      </w:r>
      <w:r w:rsidR="00F156A8" w:rsidRPr="003A2659">
        <w:rPr>
          <w:color w:val="auto"/>
        </w:rPr>
        <w:t xml:space="preserve">Remarks section continues with “I have had consistent symptoms since injury in Basic and its progression through AIT and throughout the last 6 years.  The cause of my low back pain, pelvic pressure, tingling and numbness in legs were never appropriately addressed.  I repeatedly asked and made reports, yet was ignored.  I was on crutches for 6 months, in pain, and exhausted and didn’t </w:t>
      </w:r>
      <w:r w:rsidR="007B501C" w:rsidRPr="003A2659">
        <w:rPr>
          <w:color w:val="auto"/>
        </w:rPr>
        <w:t>advocate</w:t>
      </w:r>
      <w:r w:rsidR="00F156A8" w:rsidRPr="003A2659">
        <w:rPr>
          <w:color w:val="auto"/>
        </w:rPr>
        <w:t xml:space="preserve"> for myself like I knew I should have done.  After the VA also refused to recognize these conditions, no one wanted to diagnose me, just give me medication.  All of these conditions affect one another and continue to this day.  My back and these conditions are due to my Service in the Army and need to be acknowledged and recognized and no longer ignored.”  </w:t>
      </w:r>
    </w:p>
    <w:p w:rsidR="00E406F0" w:rsidRPr="003A2659" w:rsidRDefault="00E406F0" w:rsidP="00E406F0">
      <w:pPr>
        <w:pBdr>
          <w:bottom w:val="single" w:sz="12" w:space="1" w:color="auto"/>
        </w:pBdr>
        <w:tabs>
          <w:tab w:val="left" w:pos="288"/>
          <w:tab w:val="left" w:pos="4752"/>
        </w:tabs>
        <w:jc w:val="both"/>
        <w:rPr>
          <w:color w:val="auto"/>
        </w:rPr>
      </w:pPr>
    </w:p>
    <w:p w:rsidR="00E406F0" w:rsidRPr="003A2659" w:rsidRDefault="00E406F0" w:rsidP="00E406F0">
      <w:pPr>
        <w:tabs>
          <w:tab w:val="left" w:pos="288"/>
          <w:tab w:val="left" w:pos="4752"/>
        </w:tabs>
        <w:jc w:val="both"/>
        <w:rPr>
          <w:color w:val="auto"/>
        </w:rPr>
      </w:pPr>
    </w:p>
    <w:p w:rsidR="00F156A8" w:rsidRPr="003A2659" w:rsidRDefault="00F156A8">
      <w:pPr>
        <w:rPr>
          <w:color w:val="auto"/>
          <w:u w:val="single"/>
        </w:rPr>
      </w:pPr>
      <w:r w:rsidRPr="003A2659">
        <w:rPr>
          <w:color w:val="auto"/>
          <w:u w:val="single"/>
        </w:rPr>
        <w:br w:type="page"/>
      </w:r>
    </w:p>
    <w:p w:rsidR="001537D8" w:rsidRPr="003A2659" w:rsidRDefault="007F0AB7" w:rsidP="00BF0E94">
      <w:pPr>
        <w:jc w:val="left"/>
        <w:rPr>
          <w:color w:val="auto"/>
        </w:rPr>
      </w:pPr>
      <w:r w:rsidRPr="003A2659">
        <w:rPr>
          <w:color w:val="auto"/>
          <w:u w:val="single"/>
        </w:rPr>
        <w:lastRenderedPageBreak/>
        <w:t>R</w:t>
      </w:r>
      <w:r w:rsidR="002C6E5B" w:rsidRPr="003A2659">
        <w:rPr>
          <w:color w:val="auto"/>
          <w:u w:val="single"/>
        </w:rPr>
        <w:t>ATING COMPARISON</w:t>
      </w:r>
      <w:r w:rsidR="002C6E5B" w:rsidRPr="003A2659">
        <w:rPr>
          <w:color w:val="auto"/>
        </w:rPr>
        <w:t>:</w:t>
      </w:r>
    </w:p>
    <w:p w:rsidR="002151AB" w:rsidRPr="003A2659" w:rsidRDefault="002151AB" w:rsidP="00E406F0">
      <w:pPr>
        <w:jc w:val="left"/>
        <w:rPr>
          <w:color w:val="auto"/>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3A2659" w:rsidTr="00A34E7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3A2659" w:rsidRDefault="00B731E4" w:rsidP="00B3712B">
            <w:pPr>
              <w:contextualSpacing/>
              <w:rPr>
                <w:rFonts w:ascii="Calibri" w:hAnsi="Calibri" w:cs="Calibri"/>
                <w:b/>
                <w:color w:val="auto"/>
                <w:sz w:val="18"/>
                <w:szCs w:val="18"/>
              </w:rPr>
            </w:pPr>
            <w:r w:rsidRPr="003A2659">
              <w:rPr>
                <w:rFonts w:ascii="Calibri" w:hAnsi="Calibri" w:cs="Calibri"/>
                <w:b/>
                <w:color w:val="auto"/>
                <w:sz w:val="18"/>
                <w:szCs w:val="18"/>
              </w:rPr>
              <w:t>Service PEB – Dated 200</w:t>
            </w:r>
            <w:r w:rsidR="0018108F" w:rsidRPr="003A2659">
              <w:rPr>
                <w:rFonts w:ascii="Calibri" w:hAnsi="Calibri" w:cs="Calibri"/>
                <w:b/>
                <w:color w:val="auto"/>
                <w:sz w:val="18"/>
                <w:szCs w:val="18"/>
              </w:rPr>
              <w:t>50301</w:t>
            </w:r>
          </w:p>
        </w:tc>
        <w:tc>
          <w:tcPr>
            <w:tcW w:w="5220" w:type="dxa"/>
            <w:gridSpan w:val="4"/>
            <w:tcBorders>
              <w:left w:val="thinThickThinSmallGap" w:sz="24" w:space="0" w:color="auto"/>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VA (</w:t>
            </w:r>
            <w:r w:rsidR="00322315" w:rsidRPr="003A2659">
              <w:rPr>
                <w:rFonts w:ascii="Calibri" w:hAnsi="Calibri" w:cs="Calibri"/>
                <w:b/>
                <w:color w:val="auto"/>
                <w:sz w:val="18"/>
                <w:szCs w:val="18"/>
              </w:rPr>
              <w:t>9</w:t>
            </w:r>
            <w:r w:rsidR="0079154B" w:rsidRPr="003A2659">
              <w:rPr>
                <w:rFonts w:ascii="Calibri" w:hAnsi="Calibri" w:cs="Calibri"/>
                <w:b/>
                <w:color w:val="auto"/>
                <w:sz w:val="18"/>
                <w:szCs w:val="18"/>
              </w:rPr>
              <w:t xml:space="preserve"> </w:t>
            </w:r>
            <w:r w:rsidRPr="003A2659">
              <w:rPr>
                <w:rFonts w:ascii="Calibri" w:hAnsi="Calibri" w:cs="Calibri"/>
                <w:b/>
                <w:color w:val="auto"/>
                <w:sz w:val="18"/>
                <w:szCs w:val="18"/>
              </w:rPr>
              <w:t xml:space="preserve">Mo. After Separation) – All Effective Date </w:t>
            </w:r>
            <w:r w:rsidR="002D08F3" w:rsidRPr="003A2659">
              <w:rPr>
                <w:rFonts w:ascii="Calibri" w:hAnsi="Calibri" w:cs="Calibri"/>
                <w:b/>
                <w:color w:val="auto"/>
                <w:sz w:val="18"/>
                <w:szCs w:val="18"/>
              </w:rPr>
              <w:t>200</w:t>
            </w:r>
            <w:r w:rsidR="0018108F" w:rsidRPr="003A2659">
              <w:rPr>
                <w:rFonts w:ascii="Calibri" w:hAnsi="Calibri" w:cs="Calibri"/>
                <w:b/>
                <w:color w:val="auto"/>
                <w:sz w:val="18"/>
                <w:szCs w:val="18"/>
              </w:rPr>
              <w:t>50422</w:t>
            </w:r>
          </w:p>
        </w:tc>
      </w:tr>
      <w:tr w:rsidR="002B4E22" w:rsidRPr="003A2659" w:rsidTr="00A34E7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3A2659" w:rsidRDefault="002B4E22" w:rsidP="00A34E7B">
            <w:pPr>
              <w:contextualSpacing/>
              <w:rPr>
                <w:rFonts w:ascii="Calibri" w:hAnsi="Calibri" w:cs="Calibri"/>
                <w:b/>
                <w:color w:val="auto"/>
                <w:sz w:val="18"/>
                <w:szCs w:val="18"/>
              </w:rPr>
            </w:pPr>
            <w:r w:rsidRPr="003A2659">
              <w:rPr>
                <w:rFonts w:ascii="Calibri" w:hAnsi="Calibri" w:cs="Calibri"/>
                <w:b/>
                <w:color w:val="auto"/>
                <w:sz w:val="18"/>
                <w:szCs w:val="18"/>
              </w:rPr>
              <w:t>Exam</w:t>
            </w:r>
          </w:p>
        </w:tc>
      </w:tr>
      <w:tr w:rsidR="00C03C21" w:rsidRPr="003A2659" w:rsidTr="00A34E7B">
        <w:trPr>
          <w:trHeight w:val="287"/>
          <w:jc w:val="center"/>
        </w:trPr>
        <w:tc>
          <w:tcPr>
            <w:tcW w:w="2178" w:type="dxa"/>
            <w:tcBorders>
              <w:right w:val="single" w:sz="4" w:space="0" w:color="auto"/>
            </w:tcBorders>
            <w:shd w:val="clear" w:color="auto" w:fill="FFFFFF" w:themeFill="background1"/>
            <w:vAlign w:val="center"/>
          </w:tcPr>
          <w:p w:rsidR="00BC5860" w:rsidRPr="003A2659" w:rsidRDefault="0018108F" w:rsidP="00A34E7B">
            <w:pPr>
              <w:spacing w:line="180" w:lineRule="exact"/>
              <w:contextualSpacing/>
              <w:jc w:val="left"/>
              <w:rPr>
                <w:rFonts w:ascii="Calibri" w:eastAsia="Times New Roman" w:hAnsi="Calibri" w:cs="Calibri"/>
                <w:color w:val="auto"/>
                <w:sz w:val="18"/>
                <w:szCs w:val="18"/>
              </w:rPr>
            </w:pPr>
            <w:r w:rsidRPr="003A2659">
              <w:rPr>
                <w:rFonts w:ascii="Calibri" w:hAnsi="Calibri" w:cs="Calibri"/>
                <w:color w:val="auto"/>
                <w:sz w:val="18"/>
                <w:szCs w:val="18"/>
              </w:rPr>
              <w:t>Chronic Lt Hip Pain</w:t>
            </w:r>
          </w:p>
        </w:tc>
        <w:tc>
          <w:tcPr>
            <w:tcW w:w="1080" w:type="dxa"/>
            <w:tcBorders>
              <w:left w:val="single" w:sz="4" w:space="0" w:color="auto"/>
            </w:tcBorders>
            <w:shd w:val="clear" w:color="auto" w:fill="FFFFFF" w:themeFill="background1"/>
            <w:vAlign w:val="center"/>
          </w:tcPr>
          <w:p w:rsidR="00BC5860" w:rsidRPr="003A2659" w:rsidRDefault="0018108F"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5099-5003</w:t>
            </w:r>
          </w:p>
        </w:tc>
        <w:tc>
          <w:tcPr>
            <w:tcW w:w="900" w:type="dxa"/>
            <w:tcBorders>
              <w:right w:val="thinThickThinSmallGap" w:sz="24" w:space="0" w:color="auto"/>
            </w:tcBorders>
            <w:shd w:val="clear" w:color="auto" w:fill="FFFFFF" w:themeFill="background1"/>
            <w:vAlign w:val="center"/>
          </w:tcPr>
          <w:p w:rsidR="00BC5860" w:rsidRPr="003A2659" w:rsidRDefault="0018108F" w:rsidP="00A34E7B">
            <w:pPr>
              <w:spacing w:line="180" w:lineRule="exact"/>
              <w:rPr>
                <w:rFonts w:ascii="Calibri" w:eastAsia="Times New Roman" w:hAnsi="Calibri" w:cs="Calibri"/>
                <w:color w:val="auto"/>
                <w:sz w:val="18"/>
                <w:szCs w:val="18"/>
              </w:rPr>
            </w:pPr>
            <w:r w:rsidRPr="003A2659">
              <w:rPr>
                <w:rFonts w:ascii="Calibri" w:hAnsi="Calibri" w:cs="Calibri"/>
                <w:color w:val="auto"/>
                <w:sz w:val="18"/>
                <w:szCs w:val="18"/>
              </w:rPr>
              <w:t>10</w:t>
            </w:r>
            <w:r w:rsidR="00C03C21" w:rsidRPr="003A2659">
              <w:rPr>
                <w:rFonts w:ascii="Calibri" w:hAnsi="Calibri" w:cs="Calibri"/>
                <w:color w:val="auto"/>
                <w:sz w:val="18"/>
                <w:szCs w:val="18"/>
              </w:rPr>
              <w:t>%</w:t>
            </w:r>
          </w:p>
        </w:tc>
        <w:tc>
          <w:tcPr>
            <w:tcW w:w="2322" w:type="dxa"/>
            <w:tcBorders>
              <w:left w:val="thinThickThinSmallGap" w:sz="24" w:space="0" w:color="auto"/>
            </w:tcBorders>
            <w:shd w:val="clear" w:color="auto" w:fill="FFFFFF" w:themeFill="background1"/>
            <w:vAlign w:val="center"/>
          </w:tcPr>
          <w:p w:rsidR="00BC5860" w:rsidRPr="003A2659" w:rsidRDefault="0018108F" w:rsidP="00A34E7B">
            <w:pPr>
              <w:spacing w:line="180" w:lineRule="exact"/>
              <w:contextualSpacing/>
              <w:jc w:val="left"/>
              <w:rPr>
                <w:rFonts w:ascii="Calibri" w:eastAsia="Times New Roman" w:hAnsi="Calibri" w:cs="Calibri"/>
                <w:color w:val="auto"/>
                <w:sz w:val="18"/>
                <w:szCs w:val="18"/>
              </w:rPr>
            </w:pPr>
            <w:r w:rsidRPr="003A2659">
              <w:rPr>
                <w:rFonts w:ascii="Calibri" w:hAnsi="Calibri" w:cs="Calibri"/>
                <w:color w:val="auto"/>
                <w:sz w:val="18"/>
                <w:szCs w:val="18"/>
              </w:rPr>
              <w:t xml:space="preserve">Lt Hip </w:t>
            </w:r>
            <w:proofErr w:type="spellStart"/>
            <w:r w:rsidRPr="003A2659">
              <w:rPr>
                <w:rFonts w:ascii="Calibri" w:hAnsi="Calibri" w:cs="Calibri"/>
                <w:color w:val="auto"/>
                <w:sz w:val="18"/>
                <w:szCs w:val="18"/>
              </w:rPr>
              <w:t>Calcific</w:t>
            </w:r>
            <w:proofErr w:type="spellEnd"/>
            <w:r w:rsidRPr="003A2659">
              <w:rPr>
                <w:rFonts w:ascii="Calibri" w:hAnsi="Calibri" w:cs="Calibri"/>
                <w:color w:val="auto"/>
                <w:sz w:val="18"/>
                <w:szCs w:val="18"/>
              </w:rPr>
              <w:t xml:space="preserve"> Tendonitis</w:t>
            </w:r>
          </w:p>
        </w:tc>
        <w:tc>
          <w:tcPr>
            <w:tcW w:w="1080" w:type="dxa"/>
            <w:shd w:val="clear" w:color="auto" w:fill="FFFFFF" w:themeFill="background1"/>
            <w:vAlign w:val="center"/>
          </w:tcPr>
          <w:p w:rsidR="00BC5860" w:rsidRPr="003A2659" w:rsidRDefault="0018108F"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5099-5024</w:t>
            </w:r>
          </w:p>
        </w:tc>
        <w:tc>
          <w:tcPr>
            <w:tcW w:w="828" w:type="dxa"/>
            <w:shd w:val="clear" w:color="auto" w:fill="FFFFFF" w:themeFill="background1"/>
            <w:vAlign w:val="center"/>
          </w:tcPr>
          <w:p w:rsidR="00BC5860" w:rsidRPr="003A2659" w:rsidRDefault="0018108F"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10%</w:t>
            </w:r>
          </w:p>
        </w:tc>
        <w:tc>
          <w:tcPr>
            <w:tcW w:w="990" w:type="dxa"/>
            <w:shd w:val="clear" w:color="auto" w:fill="FFFFFF" w:themeFill="background1"/>
            <w:vAlign w:val="center"/>
          </w:tcPr>
          <w:p w:rsidR="00BC5860" w:rsidRPr="003A2659" w:rsidRDefault="0018108F"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322315" w:rsidRPr="003A2659" w:rsidTr="00A34E7B">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322315" w:rsidRPr="003A2659" w:rsidRDefault="00322315"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322315" w:rsidRPr="003A2659" w:rsidRDefault="00322315" w:rsidP="00A34E7B">
            <w:pPr>
              <w:spacing w:line="180" w:lineRule="exact"/>
              <w:contextualSpacing/>
              <w:jc w:val="left"/>
              <w:rPr>
                <w:rFonts w:ascii="Calibri" w:eastAsia="Times New Roman" w:hAnsi="Calibri" w:cs="Calibri"/>
                <w:color w:val="auto"/>
                <w:sz w:val="18"/>
                <w:szCs w:val="18"/>
              </w:rPr>
            </w:pPr>
            <w:proofErr w:type="spellStart"/>
            <w:r w:rsidRPr="003A2659">
              <w:rPr>
                <w:rFonts w:ascii="Calibri" w:hAnsi="Calibri" w:cs="Calibri"/>
                <w:color w:val="auto"/>
                <w:sz w:val="18"/>
                <w:szCs w:val="18"/>
              </w:rPr>
              <w:t>Rt</w:t>
            </w:r>
            <w:proofErr w:type="spellEnd"/>
            <w:r w:rsidRPr="003A2659">
              <w:rPr>
                <w:rFonts w:ascii="Calibri" w:hAnsi="Calibri" w:cs="Calibri"/>
                <w:color w:val="auto"/>
                <w:sz w:val="18"/>
                <w:szCs w:val="18"/>
              </w:rPr>
              <w:t xml:space="preserve"> </w:t>
            </w:r>
            <w:proofErr w:type="spellStart"/>
            <w:r w:rsidRPr="003A2659">
              <w:rPr>
                <w:rFonts w:ascii="Calibri" w:hAnsi="Calibri" w:cs="Calibri"/>
                <w:color w:val="auto"/>
                <w:sz w:val="18"/>
                <w:szCs w:val="18"/>
              </w:rPr>
              <w:t>Ilioinguinal</w:t>
            </w:r>
            <w:proofErr w:type="spellEnd"/>
            <w:r w:rsidRPr="003A2659">
              <w:rPr>
                <w:rFonts w:ascii="Calibri" w:hAnsi="Calibri" w:cs="Calibri"/>
                <w:color w:val="auto"/>
                <w:sz w:val="18"/>
                <w:szCs w:val="18"/>
              </w:rPr>
              <w:t xml:space="preserve"> Strain</w:t>
            </w:r>
          </w:p>
        </w:tc>
        <w:tc>
          <w:tcPr>
            <w:tcW w:w="1080" w:type="dxa"/>
            <w:tcBorders>
              <w:left w:val="single" w:sz="4" w:space="0" w:color="auto"/>
            </w:tcBorders>
            <w:shd w:val="clear" w:color="auto" w:fill="FFFFFF" w:themeFill="background1"/>
            <w:vAlign w:val="center"/>
          </w:tcPr>
          <w:p w:rsidR="00322315" w:rsidRPr="003A2659" w:rsidRDefault="00322315"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5299-5253</w:t>
            </w:r>
          </w:p>
        </w:tc>
        <w:tc>
          <w:tcPr>
            <w:tcW w:w="828" w:type="dxa"/>
            <w:shd w:val="clear" w:color="auto" w:fill="FFFFFF" w:themeFill="background1"/>
            <w:vAlign w:val="center"/>
          </w:tcPr>
          <w:p w:rsidR="00322315" w:rsidRPr="003A2659" w:rsidRDefault="00322315"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10%</w:t>
            </w:r>
          </w:p>
        </w:tc>
        <w:tc>
          <w:tcPr>
            <w:tcW w:w="990" w:type="dxa"/>
            <w:shd w:val="clear" w:color="auto" w:fill="FFFFFF" w:themeFill="background1"/>
            <w:vAlign w:val="center"/>
          </w:tcPr>
          <w:p w:rsidR="00322315" w:rsidRPr="003A2659" w:rsidRDefault="00322315"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A34E7B" w:rsidRPr="003A2659" w:rsidTr="00A34E7B">
        <w:trPr>
          <w:trHeight w:val="287"/>
          <w:jc w:val="center"/>
        </w:trPr>
        <w:tc>
          <w:tcPr>
            <w:tcW w:w="4158" w:type="dxa"/>
            <w:gridSpan w:val="3"/>
            <w:vMerge/>
            <w:tcBorders>
              <w:right w:val="thinThickThinSmallGap" w:sz="2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34E7B" w:rsidRPr="003A2659" w:rsidRDefault="00A34E7B" w:rsidP="00A34E7B">
            <w:pPr>
              <w:spacing w:line="180" w:lineRule="exact"/>
              <w:contextualSpacing/>
              <w:jc w:val="left"/>
              <w:rPr>
                <w:rFonts w:cs="Calibri"/>
                <w:color w:val="auto"/>
                <w:sz w:val="18"/>
                <w:szCs w:val="18"/>
              </w:rPr>
            </w:pPr>
            <w:r w:rsidRPr="003A2659">
              <w:rPr>
                <w:rFonts w:cs="Calibri"/>
                <w:color w:val="auto"/>
                <w:sz w:val="18"/>
                <w:szCs w:val="18"/>
              </w:rPr>
              <w:t>Tilted Pelvis</w:t>
            </w:r>
          </w:p>
        </w:tc>
        <w:tc>
          <w:tcPr>
            <w:tcW w:w="1080" w:type="dxa"/>
            <w:tcBorders>
              <w:left w:val="single" w:sz="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5236</w:t>
            </w:r>
          </w:p>
        </w:tc>
        <w:tc>
          <w:tcPr>
            <w:tcW w:w="828" w:type="dxa"/>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NSC</w:t>
            </w:r>
          </w:p>
        </w:tc>
        <w:tc>
          <w:tcPr>
            <w:tcW w:w="990" w:type="dxa"/>
            <w:shd w:val="clear" w:color="auto" w:fill="FFFFFF" w:themeFill="background1"/>
            <w:vAlign w:val="center"/>
          </w:tcPr>
          <w:p w:rsidR="00A34E7B" w:rsidRPr="003A2659" w:rsidRDefault="00A34E7B"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A34E7B" w:rsidRPr="003A2659" w:rsidTr="00A34E7B">
        <w:trPr>
          <w:trHeight w:val="287"/>
          <w:jc w:val="center"/>
        </w:trPr>
        <w:tc>
          <w:tcPr>
            <w:tcW w:w="4158" w:type="dxa"/>
            <w:gridSpan w:val="3"/>
            <w:vMerge/>
            <w:tcBorders>
              <w:right w:val="thinThickThinSmallGap" w:sz="2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34E7B" w:rsidRPr="003A2659" w:rsidRDefault="00A34E7B" w:rsidP="00A34E7B">
            <w:pPr>
              <w:spacing w:line="180" w:lineRule="exact"/>
              <w:contextualSpacing/>
              <w:jc w:val="left"/>
              <w:rPr>
                <w:rFonts w:cs="Calibri"/>
                <w:color w:val="auto"/>
                <w:sz w:val="18"/>
                <w:szCs w:val="18"/>
              </w:rPr>
            </w:pPr>
            <w:r w:rsidRPr="003A2659">
              <w:rPr>
                <w:rFonts w:cs="Calibri"/>
                <w:color w:val="auto"/>
                <w:sz w:val="18"/>
                <w:szCs w:val="18"/>
              </w:rPr>
              <w:t>Lumbar Spine Condition</w:t>
            </w:r>
          </w:p>
        </w:tc>
        <w:tc>
          <w:tcPr>
            <w:tcW w:w="1080" w:type="dxa"/>
            <w:tcBorders>
              <w:left w:val="single" w:sz="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5299-5237</w:t>
            </w:r>
          </w:p>
        </w:tc>
        <w:tc>
          <w:tcPr>
            <w:tcW w:w="828" w:type="dxa"/>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NSC</w:t>
            </w:r>
          </w:p>
        </w:tc>
        <w:tc>
          <w:tcPr>
            <w:tcW w:w="990" w:type="dxa"/>
            <w:shd w:val="clear" w:color="auto" w:fill="FFFFFF" w:themeFill="background1"/>
            <w:vAlign w:val="center"/>
          </w:tcPr>
          <w:p w:rsidR="00A34E7B" w:rsidRPr="003A2659" w:rsidRDefault="00A34E7B"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A34E7B" w:rsidRPr="003A2659" w:rsidTr="00A34E7B">
        <w:trPr>
          <w:trHeight w:val="287"/>
          <w:jc w:val="center"/>
        </w:trPr>
        <w:tc>
          <w:tcPr>
            <w:tcW w:w="4158" w:type="dxa"/>
            <w:gridSpan w:val="3"/>
            <w:vMerge/>
            <w:tcBorders>
              <w:right w:val="thinThickThinSmallGap" w:sz="2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34E7B" w:rsidRPr="003A2659" w:rsidRDefault="00A34E7B" w:rsidP="00A34E7B">
            <w:pPr>
              <w:spacing w:line="180" w:lineRule="exact"/>
              <w:contextualSpacing/>
              <w:jc w:val="left"/>
              <w:rPr>
                <w:rFonts w:cs="Calibri"/>
                <w:color w:val="auto"/>
                <w:sz w:val="18"/>
                <w:szCs w:val="18"/>
              </w:rPr>
            </w:pPr>
            <w:r w:rsidRPr="003A2659">
              <w:rPr>
                <w:rFonts w:cs="Calibri"/>
                <w:color w:val="auto"/>
                <w:sz w:val="18"/>
                <w:szCs w:val="18"/>
              </w:rPr>
              <w:t>Lt Femur Condition</w:t>
            </w:r>
          </w:p>
        </w:tc>
        <w:tc>
          <w:tcPr>
            <w:tcW w:w="1080" w:type="dxa"/>
            <w:tcBorders>
              <w:left w:val="single" w:sz="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5255</w:t>
            </w:r>
          </w:p>
        </w:tc>
        <w:tc>
          <w:tcPr>
            <w:tcW w:w="828" w:type="dxa"/>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NSC</w:t>
            </w:r>
          </w:p>
        </w:tc>
        <w:tc>
          <w:tcPr>
            <w:tcW w:w="990" w:type="dxa"/>
            <w:shd w:val="clear" w:color="auto" w:fill="FFFFFF" w:themeFill="background1"/>
            <w:vAlign w:val="center"/>
          </w:tcPr>
          <w:p w:rsidR="00A34E7B" w:rsidRPr="003A2659" w:rsidRDefault="00A34E7B"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A34E7B" w:rsidRPr="003A2659" w:rsidTr="00A34E7B">
        <w:trPr>
          <w:trHeight w:val="287"/>
          <w:jc w:val="center"/>
        </w:trPr>
        <w:tc>
          <w:tcPr>
            <w:tcW w:w="4158" w:type="dxa"/>
            <w:gridSpan w:val="3"/>
            <w:vMerge/>
            <w:tcBorders>
              <w:right w:val="thinThickThinSmallGap" w:sz="2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34E7B" w:rsidRPr="003A2659" w:rsidRDefault="00A34E7B" w:rsidP="00A34E7B">
            <w:pPr>
              <w:spacing w:line="180" w:lineRule="exact"/>
              <w:contextualSpacing/>
              <w:jc w:val="left"/>
              <w:rPr>
                <w:rFonts w:cs="Calibri"/>
                <w:color w:val="auto"/>
                <w:sz w:val="18"/>
                <w:szCs w:val="18"/>
              </w:rPr>
            </w:pPr>
            <w:proofErr w:type="spellStart"/>
            <w:r w:rsidRPr="003A2659">
              <w:rPr>
                <w:rFonts w:cs="Calibri"/>
                <w:color w:val="auto"/>
                <w:sz w:val="18"/>
                <w:szCs w:val="18"/>
              </w:rPr>
              <w:t>Rt</w:t>
            </w:r>
            <w:proofErr w:type="spellEnd"/>
            <w:r w:rsidRPr="003A2659">
              <w:rPr>
                <w:rFonts w:cs="Calibri"/>
                <w:color w:val="auto"/>
                <w:sz w:val="18"/>
                <w:szCs w:val="18"/>
              </w:rPr>
              <w:t xml:space="preserve"> Femur Condition</w:t>
            </w:r>
          </w:p>
        </w:tc>
        <w:tc>
          <w:tcPr>
            <w:tcW w:w="1080" w:type="dxa"/>
            <w:tcBorders>
              <w:left w:val="single" w:sz="4" w:space="0" w:color="auto"/>
            </w:tcBorders>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5255</w:t>
            </w:r>
          </w:p>
        </w:tc>
        <w:tc>
          <w:tcPr>
            <w:tcW w:w="828" w:type="dxa"/>
            <w:shd w:val="clear" w:color="auto" w:fill="FFFFFF" w:themeFill="background1"/>
            <w:vAlign w:val="center"/>
          </w:tcPr>
          <w:p w:rsidR="00A34E7B" w:rsidRPr="003A2659" w:rsidRDefault="00A34E7B" w:rsidP="00A34E7B">
            <w:pPr>
              <w:spacing w:line="180" w:lineRule="exact"/>
              <w:contextualSpacing/>
              <w:rPr>
                <w:rFonts w:cs="Calibri"/>
                <w:color w:val="auto"/>
                <w:sz w:val="18"/>
                <w:szCs w:val="18"/>
              </w:rPr>
            </w:pPr>
            <w:r w:rsidRPr="003A2659">
              <w:rPr>
                <w:rFonts w:cs="Calibri"/>
                <w:color w:val="auto"/>
                <w:sz w:val="18"/>
                <w:szCs w:val="18"/>
              </w:rPr>
              <w:t>NSC</w:t>
            </w:r>
          </w:p>
        </w:tc>
        <w:tc>
          <w:tcPr>
            <w:tcW w:w="990" w:type="dxa"/>
            <w:shd w:val="clear" w:color="auto" w:fill="FFFFFF" w:themeFill="background1"/>
            <w:vAlign w:val="center"/>
          </w:tcPr>
          <w:p w:rsidR="00A34E7B" w:rsidRPr="003A2659" w:rsidRDefault="00A34E7B" w:rsidP="00A34E7B">
            <w:pPr>
              <w:spacing w:line="180" w:lineRule="exact"/>
              <w:contextualSpacing/>
              <w:rPr>
                <w:rFonts w:ascii="Calibri" w:eastAsia="Times New Roman" w:hAnsi="Calibri" w:cs="Calibri"/>
                <w:color w:val="auto"/>
                <w:sz w:val="18"/>
                <w:szCs w:val="18"/>
              </w:rPr>
            </w:pPr>
            <w:r w:rsidRPr="003A2659">
              <w:rPr>
                <w:rFonts w:ascii="Calibri" w:hAnsi="Calibri" w:cs="Calibri"/>
                <w:color w:val="auto"/>
                <w:sz w:val="18"/>
                <w:szCs w:val="18"/>
              </w:rPr>
              <w:t>20060109</w:t>
            </w:r>
          </w:p>
        </w:tc>
      </w:tr>
      <w:tr w:rsidR="00A34E7B" w:rsidRPr="003A2659" w:rsidTr="00A34E7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A34E7B" w:rsidRPr="003A2659" w:rsidRDefault="00A34E7B" w:rsidP="00A34E7B">
            <w:pPr>
              <w:contextualSpacing/>
              <w:rPr>
                <w:rFonts w:ascii="Calibri" w:hAnsi="Calibri" w:cs="Calibri"/>
                <w:color w:val="auto"/>
                <w:sz w:val="18"/>
                <w:szCs w:val="18"/>
              </w:rPr>
            </w:pPr>
            <w:r w:rsidRPr="003A2659">
              <w:rPr>
                <w:rFonts w:ascii="Calibri" w:hAnsi="Calibri" w:cs="Calibri"/>
                <w:color w:val="auto"/>
                <w:sz w:val="18"/>
                <w:szCs w:val="18"/>
              </w:rPr>
              <w:t>Combined:  10%</w:t>
            </w:r>
          </w:p>
        </w:tc>
        <w:tc>
          <w:tcPr>
            <w:tcW w:w="5220" w:type="dxa"/>
            <w:gridSpan w:val="4"/>
            <w:tcBorders>
              <w:left w:val="thinThickThinSmallGap" w:sz="24" w:space="0" w:color="auto"/>
            </w:tcBorders>
            <w:shd w:val="clear" w:color="auto" w:fill="D9D9D9" w:themeFill="background1" w:themeFillShade="D9"/>
            <w:vAlign w:val="center"/>
          </w:tcPr>
          <w:p w:rsidR="00A34E7B" w:rsidRPr="003A2659" w:rsidRDefault="00A34E7B" w:rsidP="00A34E7B">
            <w:pPr>
              <w:contextualSpacing/>
              <w:rPr>
                <w:rFonts w:ascii="Calibri" w:hAnsi="Calibri" w:cs="Calibri"/>
                <w:color w:val="auto"/>
                <w:sz w:val="18"/>
                <w:szCs w:val="18"/>
              </w:rPr>
            </w:pPr>
            <w:r w:rsidRPr="003A2659">
              <w:rPr>
                <w:rFonts w:ascii="Calibri" w:hAnsi="Calibri" w:cs="Calibri"/>
                <w:color w:val="auto"/>
                <w:sz w:val="18"/>
                <w:szCs w:val="18"/>
              </w:rPr>
              <w:t>Combined:  20%</w:t>
            </w:r>
          </w:p>
        </w:tc>
      </w:tr>
    </w:tbl>
    <w:p w:rsidR="00A97CD9" w:rsidRPr="003A2659" w:rsidRDefault="00A34E7B" w:rsidP="00A97CD9">
      <w:pPr>
        <w:pBdr>
          <w:bottom w:val="single" w:sz="12" w:space="1" w:color="auto"/>
        </w:pBdr>
        <w:tabs>
          <w:tab w:val="left" w:pos="288"/>
          <w:tab w:val="left" w:pos="4752"/>
        </w:tabs>
        <w:jc w:val="both"/>
        <w:rPr>
          <w:color w:val="auto"/>
          <w:sz w:val="20"/>
          <w:szCs w:val="24"/>
        </w:rPr>
      </w:pPr>
      <w:r w:rsidRPr="003A2659">
        <w:rPr>
          <w:color w:val="auto"/>
          <w:sz w:val="20"/>
          <w:szCs w:val="24"/>
        </w:rPr>
        <w:t>NSC=Not Service Connected</w:t>
      </w:r>
    </w:p>
    <w:p w:rsidR="00A34E7B" w:rsidRPr="003A2659" w:rsidRDefault="00A34E7B" w:rsidP="00A97CD9">
      <w:pPr>
        <w:pBdr>
          <w:bottom w:val="single" w:sz="12" w:space="1" w:color="auto"/>
        </w:pBdr>
        <w:tabs>
          <w:tab w:val="left" w:pos="288"/>
          <w:tab w:val="left" w:pos="4752"/>
        </w:tabs>
        <w:jc w:val="both"/>
        <w:rPr>
          <w:color w:val="auto"/>
          <w:szCs w:val="24"/>
        </w:rPr>
      </w:pPr>
    </w:p>
    <w:p w:rsidR="00322315" w:rsidRPr="003A2659" w:rsidRDefault="00322315" w:rsidP="00322315">
      <w:pPr>
        <w:jc w:val="both"/>
        <w:rPr>
          <w:color w:val="auto"/>
        </w:rPr>
      </w:pPr>
    </w:p>
    <w:p w:rsidR="00F156A8" w:rsidRPr="003A2659" w:rsidRDefault="002C6E5B" w:rsidP="006A0C7B">
      <w:pPr>
        <w:jc w:val="both"/>
        <w:rPr>
          <w:color w:val="auto"/>
          <w:szCs w:val="24"/>
        </w:rPr>
      </w:pPr>
      <w:r w:rsidRPr="003A2659">
        <w:rPr>
          <w:color w:val="auto"/>
          <w:szCs w:val="24"/>
          <w:u w:val="single"/>
        </w:rPr>
        <w:t>ANALYSIS SUMMARY</w:t>
      </w:r>
      <w:r w:rsidRPr="003A2659">
        <w:rPr>
          <w:color w:val="auto"/>
          <w:szCs w:val="24"/>
        </w:rPr>
        <w:t>:</w:t>
      </w:r>
      <w:r w:rsidR="00342D55" w:rsidRPr="003A2659">
        <w:rPr>
          <w:color w:val="auto"/>
          <w:szCs w:val="24"/>
        </w:rPr>
        <w:t xml:space="preserve">  The Board acknowledges the C</w:t>
      </w:r>
      <w:r w:rsidR="00B3712B">
        <w:rPr>
          <w:color w:val="auto"/>
          <w:szCs w:val="24"/>
        </w:rPr>
        <w:t xml:space="preserve">I's contention suggesting that </w:t>
      </w:r>
      <w:r w:rsidR="00342D55" w:rsidRPr="003A2659">
        <w:rPr>
          <w:color w:val="auto"/>
          <w:szCs w:val="24"/>
        </w:rPr>
        <w:t xml:space="preserve">ratings should have been conferred for other conditions documented at the time of separation, some of which were evaluated and not individually </w:t>
      </w:r>
      <w:r w:rsidR="006A0C7B" w:rsidRPr="003A2659">
        <w:rPr>
          <w:color w:val="auto"/>
          <w:szCs w:val="24"/>
        </w:rPr>
        <w:t xml:space="preserve">included in the formal </w:t>
      </w:r>
      <w:r w:rsidR="00342D55" w:rsidRPr="003A2659">
        <w:rPr>
          <w:color w:val="auto"/>
          <w:szCs w:val="24"/>
        </w:rPr>
        <w:t>service</w:t>
      </w:r>
      <w:r w:rsidR="006A0C7B" w:rsidRPr="003A2659">
        <w:rPr>
          <w:color w:val="auto"/>
          <w:szCs w:val="24"/>
        </w:rPr>
        <w:t xml:space="preserve"> fitness determination</w:t>
      </w:r>
      <w:r w:rsidR="00342D55" w:rsidRPr="003A2659">
        <w:rPr>
          <w:color w:val="auto"/>
          <w:szCs w:val="24"/>
        </w:rPr>
        <w:t xml:space="preserve">.  The Board wishes to clarify that it is subject to the same laws for disability entitlements as those under which the </w:t>
      </w:r>
      <w:r w:rsidR="00B3712B">
        <w:rPr>
          <w:color w:val="auto"/>
          <w:szCs w:val="24"/>
        </w:rPr>
        <w:t>DES</w:t>
      </w:r>
      <w:r w:rsidR="00342D55" w:rsidRPr="003A2659">
        <w:rPr>
          <w:color w:val="auto"/>
          <w:szCs w:val="24"/>
        </w:rPr>
        <w:t xml:space="preserve"> operates.  The </w:t>
      </w:r>
      <w:r w:rsidR="00B3712B">
        <w:rPr>
          <w:color w:val="auto"/>
          <w:szCs w:val="24"/>
        </w:rPr>
        <w:t>DES</w:t>
      </w:r>
      <w:r w:rsidR="00342D55" w:rsidRPr="003A2659">
        <w:rPr>
          <w:color w:val="auto"/>
          <w:szCs w:val="24"/>
        </w:rPr>
        <w:t xml:space="preserve"> is responsible for maintaining a fit and vi</w:t>
      </w:r>
      <w:r w:rsidR="00B3712B">
        <w:rPr>
          <w:color w:val="auto"/>
          <w:szCs w:val="24"/>
        </w:rPr>
        <w:t xml:space="preserve">tal fighting force.  While the </w:t>
      </w:r>
      <w:r w:rsidR="00342D55" w:rsidRPr="003A2659">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B3712B">
        <w:rPr>
          <w:color w:val="auto"/>
          <w:szCs w:val="24"/>
        </w:rPr>
        <w:t>s’</w:t>
      </w:r>
      <w:r w:rsidR="00342D55" w:rsidRPr="003A2659">
        <w:rPr>
          <w:color w:val="auto"/>
          <w:szCs w:val="24"/>
        </w:rPr>
        <w:t xml:space="preserve"> Affairs (DVA), operating under a different set of laws (Title 38, United States Code), is empo</w:t>
      </w:r>
      <w:r w:rsidR="00B3712B">
        <w:rPr>
          <w:color w:val="auto"/>
          <w:szCs w:val="24"/>
        </w:rPr>
        <w:t>wered to compensate all service-</w:t>
      </w:r>
      <w:r w:rsidR="00342D55" w:rsidRPr="003A2659">
        <w:rPr>
          <w:color w:val="auto"/>
          <w:szCs w:val="24"/>
        </w:rPr>
        <w:t xml:space="preserve">connected conditions and to periodically re-evaluate said conditions for the purpose of adjusting the </w:t>
      </w:r>
      <w:r w:rsidR="00B3712B">
        <w:rPr>
          <w:color w:val="auto"/>
          <w:szCs w:val="24"/>
        </w:rPr>
        <w:t>V</w:t>
      </w:r>
      <w:r w:rsidR="00342D55" w:rsidRPr="003A2659">
        <w:rPr>
          <w:color w:val="auto"/>
          <w:szCs w:val="24"/>
        </w:rPr>
        <w:t xml:space="preserve">eteran’s disability rating should </w:t>
      </w:r>
      <w:r w:rsidR="00B3712B">
        <w:rPr>
          <w:color w:val="auto"/>
          <w:szCs w:val="24"/>
        </w:rPr>
        <w:t>the</w:t>
      </w:r>
      <w:r w:rsidR="00342D55" w:rsidRPr="003A2659">
        <w:rPr>
          <w:color w:val="auto"/>
          <w:szCs w:val="24"/>
        </w:rPr>
        <w:t xml:space="preserve"> degree of impairment vary over time.  The Board is empowered to evaluate the fairness of fitness determinations, and to make recommendations for rating of conditions which it concludes would have independently prevented the performance of required duties (at the time of separation).  The Board’s threshold for countering DES fitness determinations is higher than the VASRD §4.3 (reasonable doubt) standard used for its rating recommendations, but remains adherent to the </w:t>
      </w:r>
      <w:proofErr w:type="spellStart"/>
      <w:r w:rsidR="00342D55" w:rsidRPr="003A2659">
        <w:rPr>
          <w:color w:val="auto"/>
          <w:szCs w:val="24"/>
        </w:rPr>
        <w:t>DoDI</w:t>
      </w:r>
      <w:proofErr w:type="spellEnd"/>
      <w:r w:rsidR="00342D55" w:rsidRPr="003A2659">
        <w:rPr>
          <w:color w:val="auto"/>
          <w:szCs w:val="24"/>
        </w:rPr>
        <w:t xml:space="preserve"> 6040.44 “fair and equitable” standard.  </w:t>
      </w:r>
      <w:r w:rsidR="006A0C7B" w:rsidRPr="003A2659">
        <w:rPr>
          <w:color w:val="auto"/>
          <w:szCs w:val="24"/>
        </w:rPr>
        <w:t xml:space="preserve">The Board also acknowledges the CI’s opinion that the </w:t>
      </w:r>
      <w:r w:rsidR="00B3712B">
        <w:rPr>
          <w:color w:val="auto"/>
          <w:szCs w:val="24"/>
        </w:rPr>
        <w:t>s</w:t>
      </w:r>
      <w:r w:rsidR="006A0C7B" w:rsidRPr="003A2659">
        <w:rPr>
          <w:color w:val="auto"/>
          <w:szCs w:val="24"/>
        </w:rPr>
        <w:t xml:space="preserve">ervice did not </w:t>
      </w:r>
      <w:r w:rsidR="007B501C" w:rsidRPr="003A2659">
        <w:rPr>
          <w:color w:val="auto"/>
          <w:szCs w:val="24"/>
        </w:rPr>
        <w:t>appropriately</w:t>
      </w:r>
      <w:r w:rsidR="006A0C7B" w:rsidRPr="003A2659">
        <w:rPr>
          <w:color w:val="auto"/>
          <w:szCs w:val="24"/>
        </w:rPr>
        <w:t xml:space="preserve"> evaluate all of her medical conditions.  It must be noted for the record that the Board has neither the jurisdiction nor authority to scrutinize or render opinions in reference to allegations regarding suspected </w:t>
      </w:r>
      <w:r w:rsidR="00B3712B">
        <w:rPr>
          <w:color w:val="auto"/>
          <w:szCs w:val="24"/>
        </w:rPr>
        <w:t>s</w:t>
      </w:r>
      <w:r w:rsidR="006A0C7B" w:rsidRPr="003A2659">
        <w:rPr>
          <w:color w:val="auto"/>
          <w:szCs w:val="24"/>
        </w:rPr>
        <w:t xml:space="preserve">ervice improprieties.  The Board’s role is confined to the review of medical records and all evidence at hand to assess the fairness of PEB disability ratings and fitness determinations as elaborated above.  </w:t>
      </w:r>
      <w:r w:rsidR="00F156A8" w:rsidRPr="003A2659">
        <w:rPr>
          <w:color w:val="auto"/>
          <w:szCs w:val="24"/>
        </w:rPr>
        <w:t xml:space="preserve">Redress in excess of the Board’s scope of recommendations must be addressed by the Army Board for Correction of Military Records (ABCMR) and/or the United States judiciary system.  </w:t>
      </w:r>
    </w:p>
    <w:p w:rsidR="00F156A8" w:rsidRPr="003A2659" w:rsidRDefault="00F156A8" w:rsidP="006A0C7B">
      <w:pPr>
        <w:jc w:val="both"/>
        <w:rPr>
          <w:color w:val="auto"/>
          <w:szCs w:val="24"/>
        </w:rPr>
      </w:pPr>
    </w:p>
    <w:p w:rsidR="006A0C7B" w:rsidRPr="003A2659" w:rsidRDefault="006A0C7B">
      <w:pPr>
        <w:rPr>
          <w:color w:val="auto"/>
          <w:szCs w:val="24"/>
          <w:u w:val="single"/>
        </w:rPr>
      </w:pPr>
      <w:r w:rsidRPr="003A2659">
        <w:rPr>
          <w:color w:val="auto"/>
          <w:szCs w:val="24"/>
          <w:u w:val="single"/>
        </w:rPr>
        <w:br w:type="page"/>
      </w:r>
    </w:p>
    <w:p w:rsidR="00615A66" w:rsidRPr="003A2659" w:rsidRDefault="00342D55" w:rsidP="006A0C7B">
      <w:pPr>
        <w:jc w:val="both"/>
        <w:rPr>
          <w:color w:val="auto"/>
          <w:szCs w:val="24"/>
        </w:rPr>
      </w:pPr>
      <w:proofErr w:type="gramStart"/>
      <w:r w:rsidRPr="003A2659">
        <w:rPr>
          <w:color w:val="auto"/>
          <w:szCs w:val="24"/>
          <w:u w:val="single"/>
        </w:rPr>
        <w:lastRenderedPageBreak/>
        <w:t xml:space="preserve">Left </w:t>
      </w:r>
      <w:r w:rsidR="00322315" w:rsidRPr="003A2659">
        <w:rPr>
          <w:color w:val="auto"/>
          <w:szCs w:val="24"/>
          <w:u w:val="single"/>
        </w:rPr>
        <w:t>Hip</w:t>
      </w:r>
      <w:r w:rsidR="003F2EEE" w:rsidRPr="003A2659">
        <w:rPr>
          <w:color w:val="auto"/>
          <w:szCs w:val="24"/>
          <w:u w:val="single"/>
        </w:rPr>
        <w:t xml:space="preserve"> Condition</w:t>
      </w:r>
      <w:r w:rsidR="007D0299" w:rsidRPr="003A2659">
        <w:rPr>
          <w:color w:val="auto"/>
          <w:szCs w:val="24"/>
        </w:rPr>
        <w:t>.</w:t>
      </w:r>
      <w:proofErr w:type="gramEnd"/>
      <w:r w:rsidR="007D0299" w:rsidRPr="003A2659">
        <w:rPr>
          <w:color w:val="auto"/>
          <w:szCs w:val="24"/>
        </w:rPr>
        <w:t xml:space="preserve">  The CI’s left hip pain was diagnosed as </w:t>
      </w:r>
      <w:r w:rsidR="00314C6D" w:rsidRPr="003A2659">
        <w:rPr>
          <w:color w:val="auto"/>
          <w:szCs w:val="24"/>
        </w:rPr>
        <w:t xml:space="preserve">left hip </w:t>
      </w:r>
      <w:proofErr w:type="spellStart"/>
      <w:r w:rsidR="00314C6D" w:rsidRPr="003A2659">
        <w:rPr>
          <w:color w:val="auto"/>
          <w:szCs w:val="24"/>
        </w:rPr>
        <w:t>calcific</w:t>
      </w:r>
      <w:proofErr w:type="spellEnd"/>
      <w:r w:rsidR="00314C6D" w:rsidRPr="003A2659">
        <w:rPr>
          <w:color w:val="auto"/>
          <w:szCs w:val="24"/>
        </w:rPr>
        <w:t xml:space="preserve"> tendonitis </w:t>
      </w:r>
      <w:r w:rsidR="007D0299" w:rsidRPr="003A2659">
        <w:rPr>
          <w:color w:val="auto"/>
          <w:szCs w:val="24"/>
        </w:rPr>
        <w:t xml:space="preserve">and included an MRI </w:t>
      </w:r>
      <w:r w:rsidR="007D0299" w:rsidRPr="003A2659">
        <w:rPr>
          <w:rFonts w:eastAsia="HiddenHorzOCR"/>
          <w:color w:val="auto"/>
          <w:szCs w:val="24"/>
        </w:rPr>
        <w:t xml:space="preserve">documenting a synovial pit and some calcification of the tendon.  </w:t>
      </w:r>
      <w:r w:rsidR="005659E9" w:rsidRPr="003A2659">
        <w:rPr>
          <w:rFonts w:eastAsia="HiddenHorzOCR"/>
          <w:color w:val="auto"/>
          <w:szCs w:val="24"/>
        </w:rPr>
        <w:t xml:space="preserve">The CI was not taking pain medications due to adverse side effects.  There was no history of fracture or surgery and no incapacitating episodes.  The left hip pain included the groin and pelvis </w:t>
      </w:r>
      <w:r w:rsidR="004522B2" w:rsidRPr="003A2659">
        <w:rPr>
          <w:rFonts w:eastAsia="HiddenHorzOCR"/>
          <w:color w:val="auto"/>
          <w:szCs w:val="24"/>
        </w:rPr>
        <w:t xml:space="preserve">issues </w:t>
      </w:r>
      <w:r w:rsidR="005659E9" w:rsidRPr="003A2659">
        <w:rPr>
          <w:rFonts w:eastAsia="HiddenHorzOCR"/>
          <w:color w:val="auto"/>
          <w:szCs w:val="24"/>
        </w:rPr>
        <w:t xml:space="preserve">and the CI used a heating pad.  </w:t>
      </w:r>
      <w:r w:rsidR="00A57C35" w:rsidRPr="003A2659">
        <w:rPr>
          <w:color w:val="auto"/>
          <w:szCs w:val="24"/>
        </w:rPr>
        <w:t xml:space="preserve">There were </w:t>
      </w:r>
      <w:r w:rsidR="00B3712B">
        <w:rPr>
          <w:color w:val="auto"/>
          <w:szCs w:val="24"/>
        </w:rPr>
        <w:t>two</w:t>
      </w:r>
      <w:r w:rsidR="00A57C35" w:rsidRPr="003A2659">
        <w:rPr>
          <w:color w:val="auto"/>
          <w:szCs w:val="24"/>
        </w:rPr>
        <w:t xml:space="preserve"> range</w:t>
      </w:r>
      <w:r w:rsidR="00B3712B">
        <w:rPr>
          <w:color w:val="auto"/>
          <w:szCs w:val="24"/>
        </w:rPr>
        <w:t>-</w:t>
      </w:r>
      <w:r w:rsidR="00A57C35" w:rsidRPr="003A2659">
        <w:rPr>
          <w:color w:val="auto"/>
          <w:szCs w:val="24"/>
        </w:rPr>
        <w:t>of</w:t>
      </w:r>
      <w:r w:rsidR="00B3712B">
        <w:rPr>
          <w:color w:val="auto"/>
          <w:szCs w:val="24"/>
        </w:rPr>
        <w:t>-</w:t>
      </w:r>
      <w:r w:rsidR="00A57C35" w:rsidRPr="003A2659">
        <w:rPr>
          <w:color w:val="auto"/>
          <w:szCs w:val="24"/>
        </w:rPr>
        <w:t>motion (ROM) evaluations in evidence, with documentation of additional ratable criteria, which the Board weighed in arriving at its rating recommendation.</w:t>
      </w:r>
      <w:r w:rsidRPr="003A2659">
        <w:rPr>
          <w:color w:val="auto"/>
          <w:szCs w:val="24"/>
        </w:rPr>
        <w:t xml:space="preserve">  </w:t>
      </w:r>
    </w:p>
    <w:p w:rsidR="00990FD6" w:rsidRPr="003A2659" w:rsidRDefault="00990FD6" w:rsidP="00BF0E94">
      <w:pPr>
        <w:jc w:val="left"/>
        <w:rPr>
          <w:rFonts w:eastAsia="HiddenHorzOCR"/>
          <w:color w:val="auto"/>
          <w:szCs w:val="24"/>
          <w:u w:val="single"/>
        </w:rPr>
      </w:pPr>
    </w:p>
    <w:tbl>
      <w:tblPr>
        <w:tblW w:w="7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796"/>
        <w:gridCol w:w="2790"/>
      </w:tblGrid>
      <w:tr w:rsidR="00E406F0" w:rsidRPr="003A2659" w:rsidTr="007D0299">
        <w:trPr>
          <w:jc w:val="center"/>
        </w:trPr>
        <w:tc>
          <w:tcPr>
            <w:tcW w:w="1980" w:type="dxa"/>
            <w:shd w:val="clear" w:color="auto" w:fill="D9D9D9" w:themeFill="background1" w:themeFillShade="D9"/>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ROM –</w:t>
            </w:r>
          </w:p>
          <w:p w:rsidR="00E406F0" w:rsidRPr="003A2659" w:rsidRDefault="00342D55" w:rsidP="00342D55">
            <w:pPr>
              <w:spacing w:line="200" w:lineRule="exact"/>
              <w:contextualSpacing/>
              <w:rPr>
                <w:rFonts w:eastAsia="Calibri"/>
                <w:color w:val="auto"/>
                <w:sz w:val="20"/>
                <w:szCs w:val="18"/>
              </w:rPr>
            </w:pPr>
            <w:r w:rsidRPr="003A2659">
              <w:rPr>
                <w:rFonts w:eastAsia="Calibri"/>
                <w:color w:val="auto"/>
                <w:sz w:val="20"/>
                <w:szCs w:val="18"/>
              </w:rPr>
              <w:t>Left</w:t>
            </w:r>
            <w:r w:rsidR="00E406F0" w:rsidRPr="003A2659">
              <w:rPr>
                <w:rFonts w:eastAsia="Calibri"/>
                <w:color w:val="auto"/>
                <w:sz w:val="20"/>
                <w:szCs w:val="18"/>
              </w:rPr>
              <w:t xml:space="preserve"> Hip (Thigh)</w:t>
            </w:r>
          </w:p>
        </w:tc>
        <w:tc>
          <w:tcPr>
            <w:tcW w:w="2796" w:type="dxa"/>
            <w:shd w:val="clear" w:color="auto" w:fill="D9D9D9" w:themeFill="background1" w:themeFillShade="D9"/>
            <w:vAlign w:val="center"/>
          </w:tcPr>
          <w:p w:rsidR="00E406F0" w:rsidRPr="003A2659" w:rsidRDefault="00E406F0" w:rsidP="00342D55">
            <w:pPr>
              <w:spacing w:line="200" w:lineRule="exact"/>
              <w:contextualSpacing/>
              <w:rPr>
                <w:rFonts w:asciiTheme="minorHAnsi" w:eastAsia="Calibri" w:hAnsiTheme="minorHAnsi"/>
                <w:color w:val="auto"/>
                <w:sz w:val="20"/>
                <w:szCs w:val="18"/>
              </w:rPr>
            </w:pPr>
            <w:r w:rsidRPr="003A2659">
              <w:rPr>
                <w:rFonts w:asciiTheme="minorHAnsi" w:eastAsia="Calibri" w:hAnsiTheme="minorHAnsi"/>
                <w:color w:val="auto"/>
                <w:sz w:val="20"/>
                <w:szCs w:val="18"/>
              </w:rPr>
              <w:t>MEB ~ 5 Mo. Pre-Sep</w:t>
            </w:r>
          </w:p>
          <w:p w:rsidR="00E406F0" w:rsidRPr="003A2659" w:rsidRDefault="00E406F0" w:rsidP="00342D55">
            <w:pPr>
              <w:spacing w:line="200" w:lineRule="exact"/>
              <w:contextualSpacing/>
              <w:rPr>
                <w:rFonts w:asciiTheme="minorHAnsi" w:eastAsia="Calibri" w:hAnsiTheme="minorHAnsi"/>
                <w:color w:val="auto"/>
                <w:sz w:val="20"/>
                <w:szCs w:val="18"/>
              </w:rPr>
            </w:pPr>
            <w:r w:rsidRPr="003A2659">
              <w:rPr>
                <w:rFonts w:asciiTheme="minorHAnsi" w:eastAsia="Calibri" w:hAnsiTheme="minorHAnsi"/>
                <w:color w:val="auto"/>
                <w:sz w:val="20"/>
                <w:szCs w:val="18"/>
              </w:rPr>
              <w:t>(20041124)</w:t>
            </w:r>
          </w:p>
        </w:tc>
        <w:tc>
          <w:tcPr>
            <w:tcW w:w="2790" w:type="dxa"/>
            <w:shd w:val="clear" w:color="auto" w:fill="D9D9D9" w:themeFill="background1" w:themeFillShade="D9"/>
            <w:vAlign w:val="center"/>
          </w:tcPr>
          <w:p w:rsidR="00E406F0" w:rsidRPr="003A2659" w:rsidRDefault="00E406F0" w:rsidP="00342D55">
            <w:pPr>
              <w:spacing w:line="200" w:lineRule="exact"/>
              <w:contextualSpacing/>
              <w:rPr>
                <w:rFonts w:asciiTheme="minorHAnsi" w:eastAsia="Calibri" w:hAnsiTheme="minorHAnsi"/>
                <w:color w:val="auto"/>
                <w:sz w:val="20"/>
                <w:szCs w:val="18"/>
              </w:rPr>
            </w:pPr>
            <w:r w:rsidRPr="003A2659">
              <w:rPr>
                <w:rFonts w:asciiTheme="minorHAnsi" w:eastAsia="Calibri" w:hAnsiTheme="minorHAnsi"/>
                <w:color w:val="auto"/>
                <w:sz w:val="20"/>
                <w:szCs w:val="18"/>
              </w:rPr>
              <w:t>VA</w:t>
            </w:r>
            <w:r w:rsidRPr="003A2659">
              <w:rPr>
                <w:rFonts w:asciiTheme="minorHAnsi" w:eastAsiaTheme="minorHAnsi" w:hAnsiTheme="minorHAnsi"/>
                <w:color w:val="auto"/>
                <w:sz w:val="20"/>
                <w:szCs w:val="18"/>
              </w:rPr>
              <w:t xml:space="preserve"> C&amp;P </w:t>
            </w:r>
            <w:r w:rsidRPr="003A2659">
              <w:rPr>
                <w:rFonts w:asciiTheme="minorHAnsi" w:eastAsia="Calibri" w:hAnsiTheme="minorHAnsi"/>
                <w:color w:val="auto"/>
                <w:sz w:val="20"/>
                <w:szCs w:val="18"/>
              </w:rPr>
              <w:t>~ 9 Mo. After-Sep</w:t>
            </w:r>
          </w:p>
          <w:p w:rsidR="00E406F0" w:rsidRPr="003A2659" w:rsidRDefault="00E406F0" w:rsidP="00342D55">
            <w:pPr>
              <w:spacing w:line="200" w:lineRule="exact"/>
              <w:contextualSpacing/>
              <w:rPr>
                <w:rFonts w:asciiTheme="minorHAnsi" w:eastAsiaTheme="minorHAnsi" w:hAnsiTheme="minorHAnsi"/>
                <w:color w:val="auto"/>
                <w:sz w:val="20"/>
                <w:szCs w:val="18"/>
              </w:rPr>
            </w:pPr>
            <w:r w:rsidRPr="003A2659">
              <w:rPr>
                <w:rFonts w:asciiTheme="minorHAnsi" w:eastAsia="Calibri" w:hAnsiTheme="minorHAnsi"/>
                <w:color w:val="auto"/>
                <w:sz w:val="20"/>
                <w:szCs w:val="18"/>
              </w:rPr>
              <w:t>(20060109)</w:t>
            </w:r>
          </w:p>
        </w:tc>
      </w:tr>
      <w:tr w:rsidR="00E406F0" w:rsidRPr="003A2659" w:rsidTr="007D0299">
        <w:trPr>
          <w:jc w:val="center"/>
        </w:trPr>
        <w:tc>
          <w:tcPr>
            <w:tcW w:w="198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Flexion (0-125)</w:t>
            </w:r>
          </w:p>
        </w:tc>
        <w:tc>
          <w:tcPr>
            <w:tcW w:w="2796"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120⁰</w:t>
            </w:r>
          </w:p>
        </w:tc>
        <w:tc>
          <w:tcPr>
            <w:tcW w:w="279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125⁰</w:t>
            </w:r>
          </w:p>
        </w:tc>
      </w:tr>
      <w:tr w:rsidR="00E406F0" w:rsidRPr="003A2659" w:rsidTr="007D0299">
        <w:trPr>
          <w:jc w:val="center"/>
        </w:trPr>
        <w:tc>
          <w:tcPr>
            <w:tcW w:w="198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Extension (10-20)</w:t>
            </w:r>
          </w:p>
        </w:tc>
        <w:tc>
          <w:tcPr>
            <w:tcW w:w="2796"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20⁰</w:t>
            </w:r>
          </w:p>
        </w:tc>
        <w:tc>
          <w:tcPr>
            <w:tcW w:w="279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30⁰</w:t>
            </w:r>
          </w:p>
        </w:tc>
      </w:tr>
      <w:tr w:rsidR="00E406F0" w:rsidRPr="003A2659" w:rsidTr="007D0299">
        <w:trPr>
          <w:jc w:val="center"/>
        </w:trPr>
        <w:tc>
          <w:tcPr>
            <w:tcW w:w="198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Abduction (0-45)</w:t>
            </w:r>
          </w:p>
        </w:tc>
        <w:tc>
          <w:tcPr>
            <w:tcW w:w="2796"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45⁰</w:t>
            </w:r>
          </w:p>
        </w:tc>
        <w:tc>
          <w:tcPr>
            <w:tcW w:w="279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45⁰</w:t>
            </w:r>
          </w:p>
        </w:tc>
      </w:tr>
      <w:tr w:rsidR="00E406F0" w:rsidRPr="003A2659" w:rsidTr="007D0299">
        <w:trPr>
          <w:jc w:val="center"/>
        </w:trPr>
        <w:tc>
          <w:tcPr>
            <w:tcW w:w="198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Adduction (0-45)</w:t>
            </w:r>
          </w:p>
        </w:tc>
        <w:tc>
          <w:tcPr>
            <w:tcW w:w="2796"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45⁰</w:t>
            </w:r>
          </w:p>
        </w:tc>
        <w:tc>
          <w:tcPr>
            <w:tcW w:w="2790" w:type="dxa"/>
            <w:vAlign w:val="center"/>
          </w:tcPr>
          <w:p w:rsidR="00E406F0" w:rsidRPr="003A2659" w:rsidRDefault="00E406F0" w:rsidP="00342D55">
            <w:pPr>
              <w:spacing w:line="200" w:lineRule="exact"/>
              <w:contextualSpacing/>
              <w:rPr>
                <w:rFonts w:eastAsia="Calibri"/>
                <w:color w:val="auto"/>
                <w:sz w:val="20"/>
                <w:szCs w:val="18"/>
              </w:rPr>
            </w:pPr>
            <w:r w:rsidRPr="003A2659">
              <w:rPr>
                <w:rFonts w:eastAsia="Calibri"/>
                <w:color w:val="auto"/>
                <w:sz w:val="20"/>
                <w:szCs w:val="18"/>
              </w:rPr>
              <w:t>25⁰</w:t>
            </w:r>
          </w:p>
        </w:tc>
      </w:tr>
      <w:tr w:rsidR="00E406F0" w:rsidRPr="003A2659" w:rsidTr="007D0299">
        <w:trPr>
          <w:jc w:val="center"/>
        </w:trPr>
        <w:tc>
          <w:tcPr>
            <w:tcW w:w="1980" w:type="dxa"/>
            <w:vAlign w:val="center"/>
          </w:tcPr>
          <w:p w:rsidR="00E406F0" w:rsidRPr="003A2659" w:rsidRDefault="00E406F0" w:rsidP="00342D55">
            <w:pPr>
              <w:tabs>
                <w:tab w:val="left" w:pos="288"/>
                <w:tab w:val="left" w:pos="4752"/>
              </w:tabs>
              <w:spacing w:line="200" w:lineRule="exact"/>
              <w:rPr>
                <w:rFonts w:eastAsiaTheme="minorHAnsi"/>
                <w:color w:val="auto"/>
                <w:sz w:val="20"/>
                <w:szCs w:val="18"/>
              </w:rPr>
            </w:pPr>
            <w:r w:rsidRPr="003A2659">
              <w:rPr>
                <w:rFonts w:eastAsiaTheme="minorHAnsi"/>
                <w:color w:val="auto"/>
                <w:sz w:val="20"/>
                <w:szCs w:val="18"/>
              </w:rPr>
              <w:t>Comment</w:t>
            </w:r>
          </w:p>
        </w:tc>
        <w:tc>
          <w:tcPr>
            <w:tcW w:w="2796" w:type="dxa"/>
            <w:vAlign w:val="center"/>
          </w:tcPr>
          <w:p w:rsidR="00E406F0" w:rsidRPr="003A2659" w:rsidRDefault="00DD09B2" w:rsidP="00342D55">
            <w:pPr>
              <w:pStyle w:val="ListParagraph"/>
              <w:spacing w:after="0" w:line="200" w:lineRule="exact"/>
              <w:ind w:left="0"/>
              <w:jc w:val="left"/>
              <w:rPr>
                <w:rFonts w:ascii="Calibri" w:eastAsia="Calibri" w:hAnsi="Calibri" w:cstheme="minorHAnsi"/>
                <w:sz w:val="20"/>
                <w:szCs w:val="18"/>
              </w:rPr>
            </w:pPr>
            <w:r w:rsidRPr="003A2659">
              <w:rPr>
                <w:rFonts w:ascii="Calibri" w:eastAsia="Calibri" w:hAnsi="Calibri" w:cstheme="minorHAnsi"/>
                <w:sz w:val="20"/>
                <w:szCs w:val="18"/>
              </w:rPr>
              <w:t>Tenderness; pain with motion</w:t>
            </w:r>
          </w:p>
        </w:tc>
        <w:tc>
          <w:tcPr>
            <w:tcW w:w="2790" w:type="dxa"/>
            <w:vAlign w:val="center"/>
          </w:tcPr>
          <w:p w:rsidR="00E406F0" w:rsidRPr="003A2659" w:rsidRDefault="00314C6D" w:rsidP="00342D55">
            <w:pPr>
              <w:pStyle w:val="ListParagraph"/>
              <w:spacing w:after="0" w:line="200" w:lineRule="exact"/>
              <w:ind w:left="0"/>
              <w:jc w:val="left"/>
              <w:rPr>
                <w:rFonts w:ascii="Calibri" w:eastAsia="Calibri" w:hAnsi="Calibri" w:cstheme="minorHAnsi"/>
                <w:sz w:val="20"/>
                <w:szCs w:val="18"/>
              </w:rPr>
            </w:pPr>
            <w:r w:rsidRPr="003A2659">
              <w:rPr>
                <w:rFonts w:ascii="Calibri" w:eastAsia="Calibri" w:hAnsi="Calibri" w:cstheme="minorHAnsi"/>
                <w:sz w:val="20"/>
                <w:szCs w:val="18"/>
              </w:rPr>
              <w:t>“pain through these motions”</w:t>
            </w:r>
          </w:p>
        </w:tc>
      </w:tr>
      <w:tr w:rsidR="00E406F0" w:rsidRPr="003A2659" w:rsidTr="007D0299">
        <w:trPr>
          <w:jc w:val="center"/>
        </w:trPr>
        <w:tc>
          <w:tcPr>
            <w:tcW w:w="1980" w:type="dxa"/>
            <w:vAlign w:val="center"/>
          </w:tcPr>
          <w:p w:rsidR="00E406F0" w:rsidRPr="003A2659" w:rsidRDefault="00E406F0" w:rsidP="00342D55">
            <w:pPr>
              <w:tabs>
                <w:tab w:val="left" w:pos="288"/>
                <w:tab w:val="left" w:pos="4752"/>
              </w:tabs>
              <w:spacing w:line="200" w:lineRule="exact"/>
              <w:rPr>
                <w:rFonts w:eastAsiaTheme="minorHAnsi"/>
                <w:color w:val="auto"/>
                <w:sz w:val="20"/>
                <w:szCs w:val="18"/>
              </w:rPr>
            </w:pPr>
            <w:r w:rsidRPr="003A2659">
              <w:rPr>
                <w:rFonts w:eastAsiaTheme="minorHAnsi"/>
                <w:color w:val="auto"/>
                <w:sz w:val="20"/>
                <w:szCs w:val="18"/>
              </w:rPr>
              <w:t>§4.71a Rating</w:t>
            </w:r>
          </w:p>
        </w:tc>
        <w:tc>
          <w:tcPr>
            <w:tcW w:w="2796" w:type="dxa"/>
            <w:vAlign w:val="center"/>
          </w:tcPr>
          <w:p w:rsidR="00E406F0" w:rsidRPr="003A2659" w:rsidRDefault="00314C6D" w:rsidP="00342D55">
            <w:pPr>
              <w:pStyle w:val="ListParagraph"/>
              <w:spacing w:after="0" w:line="200" w:lineRule="exact"/>
              <w:ind w:left="0"/>
              <w:rPr>
                <w:rFonts w:ascii="Calibri" w:eastAsia="Calibri" w:hAnsi="Calibri" w:cstheme="minorHAnsi"/>
                <w:sz w:val="20"/>
                <w:szCs w:val="18"/>
              </w:rPr>
            </w:pPr>
            <w:r w:rsidRPr="003A2659">
              <w:rPr>
                <w:rFonts w:ascii="Calibri" w:eastAsia="Calibri" w:hAnsi="Calibri" w:cstheme="minorHAnsi"/>
                <w:sz w:val="20"/>
                <w:szCs w:val="18"/>
              </w:rPr>
              <w:t>10</w:t>
            </w:r>
            <w:r w:rsidR="00E406F0" w:rsidRPr="003A2659">
              <w:rPr>
                <w:rFonts w:ascii="Calibri" w:eastAsia="Calibri" w:hAnsi="Calibri" w:cstheme="minorHAnsi"/>
                <w:sz w:val="20"/>
                <w:szCs w:val="18"/>
              </w:rPr>
              <w:t>%</w:t>
            </w:r>
          </w:p>
        </w:tc>
        <w:tc>
          <w:tcPr>
            <w:tcW w:w="2790" w:type="dxa"/>
            <w:vAlign w:val="center"/>
          </w:tcPr>
          <w:p w:rsidR="00E406F0" w:rsidRPr="003A2659" w:rsidRDefault="00314C6D" w:rsidP="00342D55">
            <w:pPr>
              <w:pStyle w:val="ListParagraph"/>
              <w:spacing w:after="0" w:line="200" w:lineRule="exact"/>
              <w:ind w:left="0"/>
              <w:rPr>
                <w:rFonts w:ascii="Calibri" w:eastAsia="Calibri" w:hAnsi="Calibri" w:cstheme="minorHAnsi"/>
                <w:sz w:val="20"/>
                <w:szCs w:val="18"/>
              </w:rPr>
            </w:pPr>
            <w:r w:rsidRPr="003A2659">
              <w:rPr>
                <w:rFonts w:ascii="Calibri" w:eastAsia="Calibri" w:hAnsi="Calibri" w:cstheme="minorHAnsi"/>
                <w:sz w:val="20"/>
                <w:szCs w:val="18"/>
              </w:rPr>
              <w:t>10</w:t>
            </w:r>
            <w:r w:rsidR="00E406F0" w:rsidRPr="003A2659">
              <w:rPr>
                <w:rFonts w:ascii="Calibri" w:eastAsia="Calibri" w:hAnsi="Calibri" w:cstheme="minorHAnsi"/>
                <w:sz w:val="20"/>
                <w:szCs w:val="18"/>
              </w:rPr>
              <w:t>%</w:t>
            </w:r>
          </w:p>
        </w:tc>
      </w:tr>
    </w:tbl>
    <w:p w:rsidR="00E406F0" w:rsidRPr="003A2659" w:rsidRDefault="00E406F0" w:rsidP="00BF0E94">
      <w:pPr>
        <w:jc w:val="left"/>
        <w:rPr>
          <w:rFonts w:eastAsia="HiddenHorzOCR"/>
          <w:color w:val="auto"/>
          <w:szCs w:val="24"/>
          <w:u w:val="single"/>
        </w:rPr>
      </w:pPr>
    </w:p>
    <w:p w:rsidR="00881886" w:rsidRPr="003A2659" w:rsidRDefault="00881886" w:rsidP="005659E9">
      <w:pPr>
        <w:pStyle w:val="ListParagraph"/>
        <w:spacing w:after="0" w:line="240" w:lineRule="exact"/>
        <w:ind w:left="0"/>
        <w:jc w:val="both"/>
        <w:rPr>
          <w:rFonts w:cstheme="minorHAnsi"/>
          <w:sz w:val="24"/>
          <w:szCs w:val="24"/>
        </w:rPr>
      </w:pPr>
      <w:r w:rsidRPr="003A2659">
        <w:rPr>
          <w:rFonts w:cstheme="minorHAnsi"/>
          <w:sz w:val="24"/>
          <w:szCs w:val="24"/>
        </w:rPr>
        <w:t xml:space="preserve">The Board carefully examined all evidentiary information available.  The Army PEB and the VA used different coding options for the left hip condition, but both assigned the same rating percentage.  Even though left hip ROM was not decreased at the VA exam, there was evidence of painful motion.  All exams in evidence indicated painful left hip motion which met the §4.59 (painful motion) criteria for a 10% rating.  The MEB exam also documented pain-limited motion of the hip joint that was </w:t>
      </w:r>
      <w:proofErr w:type="spellStart"/>
      <w:r w:rsidRPr="003A2659">
        <w:rPr>
          <w:rFonts w:cstheme="minorHAnsi"/>
          <w:sz w:val="24"/>
          <w:szCs w:val="24"/>
        </w:rPr>
        <w:t>noncompensable</w:t>
      </w:r>
      <w:proofErr w:type="spellEnd"/>
      <w:r w:rsidRPr="003A2659">
        <w:rPr>
          <w:rFonts w:cstheme="minorHAnsi"/>
          <w:sz w:val="24"/>
          <w:szCs w:val="24"/>
        </w:rPr>
        <w:t xml:space="preserve"> under the appropriate diagnostic codes for the hip, but met the 10% rating criteria under VASRD code 5003 or the codes that use the criteria for 5003, such as the VA rated 5099-5024 (</w:t>
      </w:r>
      <w:proofErr w:type="spellStart"/>
      <w:r w:rsidR="00B3712B">
        <w:rPr>
          <w:rFonts w:cstheme="minorHAnsi"/>
          <w:sz w:val="24"/>
          <w:szCs w:val="24"/>
        </w:rPr>
        <w:t>t</w:t>
      </w:r>
      <w:r w:rsidRPr="003A2659">
        <w:rPr>
          <w:rFonts w:cstheme="minorHAnsi"/>
          <w:sz w:val="24"/>
          <w:szCs w:val="24"/>
        </w:rPr>
        <w:t>enosynovitis</w:t>
      </w:r>
      <w:proofErr w:type="spellEnd"/>
      <w:r w:rsidRPr="003A2659">
        <w:rPr>
          <w:rFonts w:cstheme="minorHAnsi"/>
          <w:sz w:val="24"/>
          <w:szCs w:val="24"/>
        </w:rPr>
        <w:t xml:space="preserve">) analogous coding.  There was no evidence of fracture, </w:t>
      </w:r>
      <w:proofErr w:type="spellStart"/>
      <w:r w:rsidRPr="003A2659">
        <w:rPr>
          <w:rFonts w:cstheme="minorHAnsi"/>
          <w:sz w:val="24"/>
          <w:szCs w:val="24"/>
        </w:rPr>
        <w:t>ankylosis</w:t>
      </w:r>
      <w:proofErr w:type="spellEnd"/>
      <w:r w:rsidRPr="003A2659">
        <w:rPr>
          <w:rFonts w:cstheme="minorHAnsi"/>
          <w:sz w:val="24"/>
          <w:szCs w:val="24"/>
        </w:rPr>
        <w:t xml:space="preserve">, </w:t>
      </w:r>
      <w:proofErr w:type="gramStart"/>
      <w:r w:rsidRPr="003A2659">
        <w:rPr>
          <w:rFonts w:cstheme="minorHAnsi"/>
          <w:sz w:val="24"/>
          <w:szCs w:val="24"/>
        </w:rPr>
        <w:t>flail</w:t>
      </w:r>
      <w:proofErr w:type="gramEnd"/>
      <w:r w:rsidRPr="003A2659">
        <w:rPr>
          <w:rFonts w:cstheme="minorHAnsi"/>
          <w:sz w:val="24"/>
          <w:szCs w:val="24"/>
        </w:rPr>
        <w:t xml:space="preserve"> </w:t>
      </w:r>
      <w:r w:rsidR="007B501C" w:rsidRPr="003A2659">
        <w:rPr>
          <w:rFonts w:cstheme="minorHAnsi"/>
          <w:sz w:val="24"/>
          <w:szCs w:val="24"/>
        </w:rPr>
        <w:t>joint</w:t>
      </w:r>
      <w:r w:rsidRPr="003A2659">
        <w:rPr>
          <w:rFonts w:cstheme="minorHAnsi"/>
          <w:sz w:val="24"/>
          <w:szCs w:val="24"/>
        </w:rPr>
        <w:t xml:space="preserve"> or greater limitation of flexion, extension or abduction to warrant rating higher than the 10%.  </w:t>
      </w:r>
    </w:p>
    <w:p w:rsidR="00881886" w:rsidRPr="003A2659" w:rsidRDefault="00881886" w:rsidP="00881886">
      <w:pPr>
        <w:pStyle w:val="ListParagraph"/>
        <w:spacing w:after="0" w:line="240" w:lineRule="exact"/>
        <w:ind w:left="0"/>
        <w:jc w:val="both"/>
        <w:rPr>
          <w:rFonts w:cstheme="minorHAnsi"/>
          <w:sz w:val="24"/>
          <w:szCs w:val="24"/>
        </w:rPr>
      </w:pPr>
    </w:p>
    <w:p w:rsidR="00881886" w:rsidRPr="003A2659" w:rsidRDefault="00881886" w:rsidP="00881886">
      <w:pPr>
        <w:pStyle w:val="ListParagraph"/>
        <w:spacing w:after="0" w:line="240" w:lineRule="exact"/>
        <w:ind w:left="0"/>
        <w:jc w:val="both"/>
        <w:rPr>
          <w:rFonts w:cstheme="minorHAnsi"/>
          <w:sz w:val="24"/>
          <w:szCs w:val="24"/>
        </w:rPr>
      </w:pPr>
      <w:r w:rsidRPr="003A2659">
        <w:rPr>
          <w:rFonts w:cstheme="minorHAnsi"/>
          <w:sz w:val="24"/>
          <w:szCs w:val="24"/>
        </w:rPr>
        <w:t xml:space="preserve">For a higher rating under code 5252 or 5253, there would need to be greater limitation of motion.  There was not sufficient evidence in the treatment record to support that degree of left hip disability.  </w:t>
      </w:r>
      <w:r w:rsidRPr="003A2659">
        <w:rPr>
          <w:rFonts w:eastAsia="Calibri" w:cstheme="minorHAnsi"/>
          <w:sz w:val="24"/>
          <w:szCs w:val="24"/>
        </w:rPr>
        <w:t xml:space="preserve">After due deliberation, and careful consideration of all the evidence, the Board agreed that the preponderance of the evidence supported a disability rating of 10%.  There was not reasonable doubt in the CI’s favor to justify a Board recommendation for greater than 10% for the left hip condition. </w:t>
      </w:r>
      <w:r w:rsidR="00296060" w:rsidRPr="003A2659">
        <w:rPr>
          <w:rFonts w:eastAsia="Calibri" w:cstheme="minorHAnsi"/>
          <w:sz w:val="24"/>
          <w:szCs w:val="24"/>
        </w:rPr>
        <w:t xml:space="preserve"> </w:t>
      </w:r>
    </w:p>
    <w:p w:rsidR="00DD09B2" w:rsidRPr="003A2659" w:rsidRDefault="00DD09B2" w:rsidP="00314C6D">
      <w:pPr>
        <w:jc w:val="both"/>
        <w:rPr>
          <w:rFonts w:eastAsia="HiddenHorzOCR"/>
          <w:color w:val="auto"/>
          <w:szCs w:val="24"/>
        </w:rPr>
      </w:pPr>
    </w:p>
    <w:p w:rsidR="005659E9" w:rsidRPr="003A2659" w:rsidRDefault="00EC337D" w:rsidP="00296060">
      <w:pPr>
        <w:jc w:val="both"/>
        <w:rPr>
          <w:rFonts w:eastAsia="HiddenHorzOCR"/>
          <w:color w:val="auto"/>
          <w:szCs w:val="24"/>
        </w:rPr>
      </w:pPr>
      <w:proofErr w:type="gramStart"/>
      <w:r w:rsidRPr="003A2659">
        <w:rPr>
          <w:rFonts w:eastAsia="HiddenHorzOCR"/>
          <w:color w:val="auto"/>
          <w:szCs w:val="24"/>
          <w:u w:val="single"/>
        </w:rPr>
        <w:t>Other Contended Conditions</w:t>
      </w:r>
      <w:r w:rsidRPr="003A2659">
        <w:rPr>
          <w:rFonts w:eastAsia="HiddenHorzOCR"/>
          <w:color w:val="auto"/>
          <w:szCs w:val="24"/>
        </w:rPr>
        <w:t>.</w:t>
      </w:r>
      <w:proofErr w:type="gramEnd"/>
      <w:r w:rsidRPr="003A2659">
        <w:rPr>
          <w:rFonts w:eastAsia="HiddenHorzOCR"/>
          <w:color w:val="auto"/>
          <w:szCs w:val="24"/>
        </w:rPr>
        <w:t xml:space="preserve">  The CI’s application asserts that compensable ratings should be considered for </w:t>
      </w:r>
      <w:r w:rsidR="00B3712B">
        <w:rPr>
          <w:rFonts w:eastAsia="HiddenHorzOCR"/>
          <w:color w:val="auto"/>
          <w:szCs w:val="24"/>
        </w:rPr>
        <w:t>l</w:t>
      </w:r>
      <w:r w:rsidR="00322315" w:rsidRPr="003A2659">
        <w:rPr>
          <w:rFonts w:eastAsia="HiddenHorzOCR"/>
          <w:color w:val="auto"/>
          <w:szCs w:val="24"/>
        </w:rPr>
        <w:t xml:space="preserve">ower </w:t>
      </w:r>
      <w:r w:rsidR="00B3712B">
        <w:rPr>
          <w:rFonts w:eastAsia="HiddenHorzOCR"/>
          <w:color w:val="auto"/>
          <w:szCs w:val="24"/>
        </w:rPr>
        <w:t>b</w:t>
      </w:r>
      <w:r w:rsidR="00322315" w:rsidRPr="003A2659">
        <w:rPr>
          <w:rFonts w:eastAsia="HiddenHorzOCR"/>
          <w:color w:val="auto"/>
          <w:szCs w:val="24"/>
        </w:rPr>
        <w:t xml:space="preserve">ack </w:t>
      </w:r>
      <w:r w:rsidR="00B3712B">
        <w:rPr>
          <w:rFonts w:eastAsia="HiddenHorzOCR"/>
          <w:color w:val="auto"/>
          <w:szCs w:val="24"/>
        </w:rPr>
        <w:t>p</w:t>
      </w:r>
      <w:r w:rsidR="00322315" w:rsidRPr="003A2659">
        <w:rPr>
          <w:rFonts w:eastAsia="HiddenHorzOCR"/>
          <w:color w:val="auto"/>
          <w:szCs w:val="24"/>
        </w:rPr>
        <w:t>ain</w:t>
      </w:r>
      <w:r w:rsidR="00B3712B">
        <w:rPr>
          <w:rFonts w:eastAsia="HiddenHorzOCR"/>
          <w:color w:val="auto"/>
          <w:szCs w:val="24"/>
        </w:rPr>
        <w:t xml:space="preserve"> (LBP)</w:t>
      </w:r>
      <w:r w:rsidR="00322315" w:rsidRPr="003A2659">
        <w:rPr>
          <w:rFonts w:eastAsia="HiddenHorzOCR"/>
          <w:color w:val="auto"/>
          <w:szCs w:val="24"/>
        </w:rPr>
        <w:t xml:space="preserve">, </w:t>
      </w:r>
      <w:r w:rsidR="00B3712B">
        <w:rPr>
          <w:rFonts w:eastAsia="HiddenHorzOCR"/>
          <w:color w:val="auto"/>
          <w:szCs w:val="24"/>
        </w:rPr>
        <w:t>l</w:t>
      </w:r>
      <w:r w:rsidR="00A34E7B" w:rsidRPr="003A2659">
        <w:rPr>
          <w:rFonts w:eastAsia="HiddenHorzOCR"/>
          <w:color w:val="auto"/>
          <w:szCs w:val="24"/>
        </w:rPr>
        <w:t xml:space="preserve">umbago; </w:t>
      </w:r>
      <w:r w:rsidR="00B3712B">
        <w:rPr>
          <w:color w:val="auto"/>
        </w:rPr>
        <w:t>l</w:t>
      </w:r>
      <w:r w:rsidR="00342D55" w:rsidRPr="003A2659">
        <w:rPr>
          <w:color w:val="auto"/>
        </w:rPr>
        <w:t xml:space="preserve">umbar </w:t>
      </w:r>
      <w:proofErr w:type="spellStart"/>
      <w:r w:rsidR="00B3712B">
        <w:rPr>
          <w:color w:val="auto"/>
        </w:rPr>
        <w:t>r</w:t>
      </w:r>
      <w:r w:rsidR="00342D55" w:rsidRPr="003A2659">
        <w:rPr>
          <w:color w:val="auto"/>
        </w:rPr>
        <w:t>adiculopathy</w:t>
      </w:r>
      <w:proofErr w:type="spellEnd"/>
      <w:r w:rsidR="00A34E7B" w:rsidRPr="003A2659">
        <w:rPr>
          <w:color w:val="auto"/>
        </w:rPr>
        <w:t xml:space="preserve"> and </w:t>
      </w:r>
      <w:proofErr w:type="spellStart"/>
      <w:r w:rsidR="00B3712B">
        <w:rPr>
          <w:color w:val="auto"/>
        </w:rPr>
        <w:t>m</w:t>
      </w:r>
      <w:r w:rsidR="00A34E7B" w:rsidRPr="003A2659">
        <w:rPr>
          <w:color w:val="auto"/>
        </w:rPr>
        <w:t>eralgia</w:t>
      </w:r>
      <w:proofErr w:type="spellEnd"/>
      <w:r w:rsidR="00A34E7B" w:rsidRPr="003A2659">
        <w:rPr>
          <w:color w:val="auto"/>
        </w:rPr>
        <w:t xml:space="preserve"> </w:t>
      </w:r>
      <w:proofErr w:type="spellStart"/>
      <w:r w:rsidR="00B3712B">
        <w:rPr>
          <w:color w:val="auto"/>
        </w:rPr>
        <w:t>p</w:t>
      </w:r>
      <w:r w:rsidR="00A34E7B" w:rsidRPr="003A2659">
        <w:rPr>
          <w:color w:val="auto"/>
        </w:rPr>
        <w:t>aresthetica</w:t>
      </w:r>
      <w:proofErr w:type="spellEnd"/>
      <w:r w:rsidR="00A34E7B" w:rsidRPr="003A2659">
        <w:rPr>
          <w:rFonts w:eastAsia="HiddenHorzOCR"/>
          <w:color w:val="auto"/>
          <w:szCs w:val="24"/>
        </w:rPr>
        <w:t>;</w:t>
      </w:r>
      <w:r w:rsidR="00342D55" w:rsidRPr="003A2659">
        <w:rPr>
          <w:rFonts w:eastAsia="HiddenHorzOCR"/>
          <w:color w:val="auto"/>
          <w:szCs w:val="24"/>
        </w:rPr>
        <w:t xml:space="preserve"> </w:t>
      </w:r>
      <w:r w:rsidR="00A34E7B" w:rsidRPr="003A2659">
        <w:rPr>
          <w:rFonts w:eastAsia="HiddenHorzOCR"/>
          <w:color w:val="auto"/>
          <w:szCs w:val="24"/>
        </w:rPr>
        <w:t xml:space="preserve">left </w:t>
      </w:r>
      <w:proofErr w:type="spellStart"/>
      <w:r w:rsidR="00322315" w:rsidRPr="003A2659">
        <w:rPr>
          <w:rFonts w:eastAsia="HiddenHorzOCR"/>
          <w:color w:val="auto"/>
          <w:szCs w:val="24"/>
        </w:rPr>
        <w:t>Ilioinguinal</w:t>
      </w:r>
      <w:proofErr w:type="spellEnd"/>
      <w:r w:rsidR="00322315" w:rsidRPr="003A2659">
        <w:rPr>
          <w:rFonts w:eastAsia="HiddenHorzOCR"/>
          <w:color w:val="auto"/>
          <w:szCs w:val="24"/>
        </w:rPr>
        <w:t xml:space="preserve"> </w:t>
      </w:r>
      <w:r w:rsidR="00B3712B">
        <w:rPr>
          <w:rFonts w:eastAsia="HiddenHorzOCR"/>
          <w:color w:val="auto"/>
          <w:szCs w:val="24"/>
        </w:rPr>
        <w:t>s</w:t>
      </w:r>
      <w:r w:rsidR="00322315" w:rsidRPr="003A2659">
        <w:rPr>
          <w:rFonts w:eastAsia="HiddenHorzOCR"/>
          <w:color w:val="auto"/>
          <w:szCs w:val="24"/>
        </w:rPr>
        <w:t xml:space="preserve">train, </w:t>
      </w:r>
      <w:r w:rsidR="00B3712B">
        <w:rPr>
          <w:rFonts w:eastAsia="HiddenHorzOCR"/>
          <w:color w:val="auto"/>
          <w:szCs w:val="24"/>
        </w:rPr>
        <w:t>s</w:t>
      </w:r>
      <w:r w:rsidR="00322315" w:rsidRPr="003A2659">
        <w:rPr>
          <w:rFonts w:eastAsia="HiddenHorzOCR"/>
          <w:color w:val="auto"/>
          <w:szCs w:val="24"/>
        </w:rPr>
        <w:t xml:space="preserve">ynovial </w:t>
      </w:r>
      <w:r w:rsidR="00B3712B">
        <w:rPr>
          <w:rFonts w:eastAsia="HiddenHorzOCR"/>
          <w:color w:val="auto"/>
          <w:szCs w:val="24"/>
        </w:rPr>
        <w:t>h</w:t>
      </w:r>
      <w:r w:rsidR="00322315" w:rsidRPr="003A2659">
        <w:rPr>
          <w:rFonts w:eastAsia="HiddenHorzOCR"/>
          <w:color w:val="auto"/>
          <w:szCs w:val="24"/>
        </w:rPr>
        <w:t xml:space="preserve">erniated </w:t>
      </w:r>
      <w:r w:rsidR="00B3712B">
        <w:rPr>
          <w:rFonts w:eastAsia="HiddenHorzOCR"/>
          <w:color w:val="auto"/>
          <w:szCs w:val="24"/>
        </w:rPr>
        <w:t>p</w:t>
      </w:r>
      <w:r w:rsidR="00322315" w:rsidRPr="003A2659">
        <w:rPr>
          <w:rFonts w:eastAsia="HiddenHorzOCR"/>
          <w:color w:val="auto"/>
          <w:szCs w:val="24"/>
        </w:rPr>
        <w:t>it</w:t>
      </w:r>
      <w:r w:rsidR="00A34E7B" w:rsidRPr="003A2659">
        <w:rPr>
          <w:rFonts w:eastAsia="HiddenHorzOCR"/>
          <w:color w:val="auto"/>
          <w:szCs w:val="24"/>
        </w:rPr>
        <w:t xml:space="preserve"> (left)</w:t>
      </w:r>
      <w:r w:rsidR="00B3712B">
        <w:rPr>
          <w:rFonts w:eastAsia="HiddenHorzOCR"/>
          <w:color w:val="auto"/>
          <w:szCs w:val="24"/>
        </w:rPr>
        <w:t>, p</w:t>
      </w:r>
      <w:r w:rsidR="00322315" w:rsidRPr="003A2659">
        <w:rPr>
          <w:rFonts w:eastAsia="HiddenHorzOCR"/>
          <w:color w:val="auto"/>
          <w:szCs w:val="24"/>
        </w:rPr>
        <w:t xml:space="preserve">ubic </w:t>
      </w:r>
      <w:r w:rsidR="00B3712B">
        <w:rPr>
          <w:rFonts w:eastAsia="HiddenHorzOCR"/>
          <w:color w:val="auto"/>
          <w:szCs w:val="24"/>
        </w:rPr>
        <w:t>s</w:t>
      </w:r>
      <w:r w:rsidR="00342D55" w:rsidRPr="003A2659">
        <w:rPr>
          <w:rFonts w:eastAsia="HiddenHorzOCR"/>
          <w:color w:val="auto"/>
          <w:szCs w:val="24"/>
        </w:rPr>
        <w:t xml:space="preserve">ynthesis </w:t>
      </w:r>
      <w:r w:rsidR="00B3712B">
        <w:rPr>
          <w:rFonts w:eastAsia="HiddenHorzOCR"/>
          <w:color w:val="auto"/>
          <w:szCs w:val="24"/>
        </w:rPr>
        <w:t>d</w:t>
      </w:r>
      <w:r w:rsidR="00342D55" w:rsidRPr="003A2659">
        <w:rPr>
          <w:rFonts w:eastAsia="HiddenHorzOCR"/>
          <w:color w:val="auto"/>
          <w:szCs w:val="24"/>
        </w:rPr>
        <w:t xml:space="preserve">ysfunction, </w:t>
      </w:r>
      <w:r w:rsidR="00A34E7B" w:rsidRPr="003A2659">
        <w:rPr>
          <w:rFonts w:eastAsia="HiddenHorzOCR"/>
          <w:color w:val="auto"/>
          <w:szCs w:val="24"/>
        </w:rPr>
        <w:t xml:space="preserve">and </w:t>
      </w:r>
      <w:r w:rsidR="00342D55" w:rsidRPr="003A2659">
        <w:rPr>
          <w:rFonts w:eastAsia="HiddenHorzOCR"/>
          <w:color w:val="auto"/>
          <w:szCs w:val="24"/>
        </w:rPr>
        <w:t>pelvic pain</w:t>
      </w:r>
      <w:r w:rsidRPr="003A2659">
        <w:rPr>
          <w:rFonts w:eastAsia="HiddenHorzOCR"/>
          <w:color w:val="auto"/>
          <w:szCs w:val="24"/>
        </w:rPr>
        <w:t xml:space="preserve">.  </w:t>
      </w:r>
      <w:r w:rsidR="005659E9" w:rsidRPr="003A2659">
        <w:rPr>
          <w:rFonts w:eastAsia="HiddenHorzOCR"/>
          <w:color w:val="auto"/>
          <w:szCs w:val="24"/>
        </w:rPr>
        <w:t xml:space="preserve">Right hip pain was also considered as implied.  The CI’s profile was L3 for left hip pain only, but may have provided shelter for the other contended conditions as they overlap on pain with walking, standing and sitting.  The commander’s comment was not specific for diagnoses limiting the CI’s patient lifting and fitness training testing limitations.  The </w:t>
      </w:r>
      <w:r w:rsidR="00B3712B">
        <w:rPr>
          <w:rFonts w:eastAsia="HiddenHorzOCR"/>
          <w:color w:val="auto"/>
          <w:szCs w:val="24"/>
        </w:rPr>
        <w:t>s</w:t>
      </w:r>
      <w:r w:rsidR="005659E9" w:rsidRPr="003A2659">
        <w:rPr>
          <w:rFonts w:eastAsia="HiddenHorzOCR"/>
          <w:color w:val="auto"/>
          <w:szCs w:val="24"/>
        </w:rPr>
        <w:t xml:space="preserve">ynovial </w:t>
      </w:r>
      <w:r w:rsidR="00B3712B">
        <w:rPr>
          <w:rFonts w:eastAsia="HiddenHorzOCR"/>
          <w:color w:val="auto"/>
          <w:szCs w:val="24"/>
        </w:rPr>
        <w:t>h</w:t>
      </w:r>
      <w:r w:rsidR="005659E9" w:rsidRPr="003A2659">
        <w:rPr>
          <w:rFonts w:eastAsia="HiddenHorzOCR"/>
          <w:color w:val="auto"/>
          <w:szCs w:val="24"/>
        </w:rPr>
        <w:t>erniated</w:t>
      </w:r>
      <w:r w:rsidR="00B3712B">
        <w:rPr>
          <w:rFonts w:eastAsia="HiddenHorzOCR"/>
          <w:color w:val="auto"/>
          <w:szCs w:val="24"/>
        </w:rPr>
        <w:t xml:space="preserve"> p</w:t>
      </w:r>
      <w:r w:rsidR="005659E9" w:rsidRPr="003A2659">
        <w:rPr>
          <w:rFonts w:eastAsia="HiddenHorzOCR"/>
          <w:color w:val="auto"/>
          <w:szCs w:val="24"/>
        </w:rPr>
        <w:t xml:space="preserve">it (left) was considered in the left hip condition above.  Regarding the </w:t>
      </w:r>
      <w:r w:rsidR="00B3712B">
        <w:rPr>
          <w:rFonts w:eastAsia="HiddenHorzOCR"/>
          <w:color w:val="auto"/>
          <w:szCs w:val="24"/>
        </w:rPr>
        <w:t>l</w:t>
      </w:r>
      <w:r w:rsidR="005659E9" w:rsidRPr="003A2659">
        <w:rPr>
          <w:rFonts w:eastAsia="HiddenHorzOCR"/>
          <w:color w:val="auto"/>
          <w:szCs w:val="24"/>
        </w:rPr>
        <w:t xml:space="preserve">umbar </w:t>
      </w:r>
      <w:proofErr w:type="spellStart"/>
      <w:r w:rsidR="00B3712B">
        <w:rPr>
          <w:rFonts w:eastAsia="HiddenHorzOCR"/>
          <w:color w:val="auto"/>
          <w:szCs w:val="24"/>
        </w:rPr>
        <w:t>r</w:t>
      </w:r>
      <w:r w:rsidR="005659E9" w:rsidRPr="003A2659">
        <w:rPr>
          <w:rFonts w:eastAsia="HiddenHorzOCR"/>
          <w:color w:val="auto"/>
          <w:szCs w:val="24"/>
        </w:rPr>
        <w:t>adiculopathy</w:t>
      </w:r>
      <w:proofErr w:type="spellEnd"/>
      <w:r w:rsidR="005659E9" w:rsidRPr="003A2659">
        <w:rPr>
          <w:rFonts w:eastAsia="HiddenHorzOCR"/>
          <w:color w:val="auto"/>
          <w:szCs w:val="24"/>
        </w:rPr>
        <w:t xml:space="preserve"> and </w:t>
      </w:r>
      <w:proofErr w:type="spellStart"/>
      <w:r w:rsidR="00B3712B">
        <w:rPr>
          <w:rFonts w:eastAsia="HiddenHorzOCR"/>
          <w:color w:val="auto"/>
          <w:szCs w:val="24"/>
        </w:rPr>
        <w:t>m</w:t>
      </w:r>
      <w:r w:rsidR="005659E9" w:rsidRPr="003A2659">
        <w:rPr>
          <w:rFonts w:eastAsia="HiddenHorzOCR"/>
          <w:color w:val="auto"/>
          <w:szCs w:val="24"/>
        </w:rPr>
        <w:t>eralgia</w:t>
      </w:r>
      <w:proofErr w:type="spellEnd"/>
      <w:r w:rsidR="005659E9" w:rsidRPr="003A2659">
        <w:rPr>
          <w:rFonts w:eastAsia="HiddenHorzOCR"/>
          <w:color w:val="auto"/>
          <w:szCs w:val="24"/>
        </w:rPr>
        <w:t xml:space="preserve"> </w:t>
      </w:r>
      <w:proofErr w:type="spellStart"/>
      <w:r w:rsidR="00B3712B">
        <w:rPr>
          <w:rFonts w:eastAsia="HiddenHorzOCR"/>
          <w:color w:val="auto"/>
          <w:szCs w:val="24"/>
        </w:rPr>
        <w:t>p</w:t>
      </w:r>
      <w:r w:rsidR="005659E9" w:rsidRPr="003A2659">
        <w:rPr>
          <w:rFonts w:eastAsia="HiddenHorzOCR"/>
          <w:color w:val="auto"/>
          <w:szCs w:val="24"/>
        </w:rPr>
        <w:t>aresthetica</w:t>
      </w:r>
      <w:proofErr w:type="spellEnd"/>
      <w:r w:rsidR="005659E9" w:rsidRPr="003A2659">
        <w:rPr>
          <w:rFonts w:eastAsia="HiddenHorzOCR"/>
          <w:color w:val="auto"/>
          <w:szCs w:val="24"/>
        </w:rPr>
        <w:t xml:space="preserve"> conditions, there was no fixed peripheral nerve impairment that interfered with duty performance</w:t>
      </w:r>
      <w:r w:rsidR="00296060" w:rsidRPr="003A2659">
        <w:rPr>
          <w:rFonts w:eastAsia="HiddenHorzOCR"/>
          <w:color w:val="auto"/>
          <w:szCs w:val="24"/>
        </w:rPr>
        <w:t xml:space="preserve">.  There was no identified diagnosis for the right hip pain and no significant right hip pathology on imaging.  </w:t>
      </w:r>
      <w:r w:rsidR="005659E9" w:rsidRPr="003A2659">
        <w:rPr>
          <w:rFonts w:eastAsia="HiddenHorzOCR"/>
          <w:color w:val="auto"/>
          <w:szCs w:val="24"/>
        </w:rPr>
        <w:t xml:space="preserve">The </w:t>
      </w:r>
      <w:r w:rsidR="00B3712B">
        <w:rPr>
          <w:rFonts w:eastAsia="HiddenHorzOCR"/>
          <w:color w:val="auto"/>
          <w:szCs w:val="24"/>
        </w:rPr>
        <w:t>LBP</w:t>
      </w:r>
      <w:r w:rsidR="005659E9" w:rsidRPr="003A2659">
        <w:rPr>
          <w:rFonts w:eastAsia="HiddenHorzOCR"/>
          <w:color w:val="auto"/>
          <w:szCs w:val="24"/>
        </w:rPr>
        <w:t xml:space="preserve"> and lumbago conditions </w:t>
      </w:r>
      <w:r w:rsidR="00296060" w:rsidRPr="003A2659">
        <w:rPr>
          <w:rFonts w:eastAsia="HiddenHorzOCR"/>
          <w:color w:val="auto"/>
          <w:szCs w:val="24"/>
        </w:rPr>
        <w:t xml:space="preserve">were not to the level of being unfitting and the VA examiner opined </w:t>
      </w:r>
      <w:r w:rsidR="005659E9" w:rsidRPr="003A2659">
        <w:rPr>
          <w:rFonts w:eastAsia="HiddenHorzOCR"/>
          <w:color w:val="auto"/>
          <w:szCs w:val="24"/>
        </w:rPr>
        <w:t>“</w:t>
      </w:r>
      <w:r w:rsidR="00B3712B">
        <w:rPr>
          <w:rFonts w:eastAsia="HiddenHorzOCR"/>
          <w:color w:val="auto"/>
          <w:szCs w:val="24"/>
        </w:rPr>
        <w:t>l</w:t>
      </w:r>
      <w:r w:rsidR="005659E9" w:rsidRPr="003A2659">
        <w:rPr>
          <w:rFonts w:eastAsia="HiddenHorzOCR"/>
          <w:color w:val="auto"/>
          <w:szCs w:val="24"/>
        </w:rPr>
        <w:t xml:space="preserve">eft hip </w:t>
      </w:r>
      <w:proofErr w:type="spellStart"/>
      <w:r w:rsidR="005659E9" w:rsidRPr="003A2659">
        <w:rPr>
          <w:rFonts w:eastAsia="HiddenHorzOCR"/>
          <w:color w:val="auto"/>
          <w:szCs w:val="24"/>
        </w:rPr>
        <w:t>calcific</w:t>
      </w:r>
      <w:proofErr w:type="spellEnd"/>
      <w:r w:rsidR="005659E9" w:rsidRPr="003A2659">
        <w:rPr>
          <w:rFonts w:eastAsia="HiddenHorzOCR"/>
          <w:color w:val="auto"/>
          <w:szCs w:val="24"/>
        </w:rPr>
        <w:t xml:space="preserve"> tendinitis with chronic pain.  This tendinitis more likely than not accounts for her left-sided low back pain and femur pain as well.”</w:t>
      </w:r>
      <w:r w:rsidR="00296060" w:rsidRPr="003A2659">
        <w:rPr>
          <w:rFonts w:eastAsia="HiddenHorzOCR"/>
          <w:color w:val="auto"/>
          <w:szCs w:val="24"/>
        </w:rPr>
        <w:t xml:space="preserve">  There was no pelvic pathology identified and any contribution of the pelvis or </w:t>
      </w:r>
      <w:proofErr w:type="spellStart"/>
      <w:r w:rsidR="00296060" w:rsidRPr="003A2659">
        <w:rPr>
          <w:rFonts w:eastAsia="HiddenHorzOCR"/>
          <w:color w:val="auto"/>
          <w:szCs w:val="24"/>
        </w:rPr>
        <w:t>symphysis</w:t>
      </w:r>
      <w:proofErr w:type="spellEnd"/>
      <w:r w:rsidR="00296060" w:rsidRPr="003A2659">
        <w:rPr>
          <w:rFonts w:eastAsia="HiddenHorzOCR"/>
          <w:color w:val="auto"/>
          <w:szCs w:val="24"/>
        </w:rPr>
        <w:t xml:space="preserve"> to ambulation is considered under the unfitting left hip rating above.  </w:t>
      </w:r>
    </w:p>
    <w:p w:rsidR="005659E9" w:rsidRPr="003A2659" w:rsidRDefault="005659E9" w:rsidP="00A34E7B">
      <w:pPr>
        <w:jc w:val="both"/>
        <w:rPr>
          <w:rFonts w:eastAsia="HiddenHorzOCR"/>
          <w:color w:val="auto"/>
          <w:szCs w:val="24"/>
        </w:rPr>
      </w:pPr>
    </w:p>
    <w:p w:rsidR="00EC337D" w:rsidRPr="003A2659" w:rsidRDefault="00EC337D" w:rsidP="00A34E7B">
      <w:pPr>
        <w:jc w:val="both"/>
        <w:rPr>
          <w:color w:val="auto"/>
          <w:szCs w:val="24"/>
        </w:rPr>
      </w:pPr>
      <w:r w:rsidRPr="003A2659">
        <w:rPr>
          <w:rFonts w:eastAsia="HiddenHorzOCR"/>
          <w:color w:val="auto"/>
          <w:szCs w:val="24"/>
        </w:rPr>
        <w:lastRenderedPageBreak/>
        <w:t>All</w:t>
      </w:r>
      <w:r w:rsidRPr="003A2659">
        <w:rPr>
          <w:color w:val="auto"/>
        </w:rPr>
        <w:t xml:space="preserve"> </w:t>
      </w:r>
      <w:r w:rsidRPr="003A2659">
        <w:rPr>
          <w:color w:val="auto"/>
          <w:szCs w:val="24"/>
        </w:rPr>
        <w:t xml:space="preserve">of these conditions were reviewed by the </w:t>
      </w:r>
      <w:r w:rsidR="0080588E" w:rsidRPr="003A2659">
        <w:rPr>
          <w:color w:val="auto"/>
          <w:szCs w:val="24"/>
        </w:rPr>
        <w:t xml:space="preserve">action officer </w:t>
      </w:r>
      <w:r w:rsidRPr="003A2659">
        <w:rPr>
          <w:color w:val="auto"/>
          <w:szCs w:val="24"/>
        </w:rPr>
        <w:t>and considered by the Board.  There was no</w:t>
      </w:r>
      <w:r w:rsidR="00296060" w:rsidRPr="003A2659">
        <w:rPr>
          <w:color w:val="auto"/>
          <w:szCs w:val="24"/>
        </w:rPr>
        <w:t xml:space="preserve">t a preponderance of </w:t>
      </w:r>
      <w:r w:rsidRPr="003A2659">
        <w:rPr>
          <w:color w:val="auto"/>
          <w:szCs w:val="24"/>
        </w:rPr>
        <w:t xml:space="preserve">evidence </w:t>
      </w:r>
      <w:r w:rsidR="00296060" w:rsidRPr="003A2659">
        <w:rPr>
          <w:color w:val="auto"/>
          <w:szCs w:val="24"/>
        </w:rPr>
        <w:t xml:space="preserve">in the CI’s favor </w:t>
      </w:r>
      <w:r w:rsidRPr="003A2659">
        <w:rPr>
          <w:color w:val="auto"/>
          <w:szCs w:val="24"/>
        </w:rPr>
        <w:t>for concluding that any of the conditions interfered with duty performance to a degree that could be argued as unfitting.  The Board determined therefore that none of the sta</w:t>
      </w:r>
      <w:r w:rsidR="0028261C" w:rsidRPr="003A2659">
        <w:rPr>
          <w:color w:val="auto"/>
          <w:szCs w:val="24"/>
        </w:rPr>
        <w:t>ted conditions were subject to s</w:t>
      </w:r>
      <w:r w:rsidRPr="003A2659">
        <w:rPr>
          <w:color w:val="auto"/>
          <w:szCs w:val="24"/>
        </w:rPr>
        <w:t>ervice disability rating.</w:t>
      </w:r>
      <w:r w:rsidR="00342D55" w:rsidRPr="003A2659">
        <w:rPr>
          <w:color w:val="auto"/>
          <w:szCs w:val="24"/>
        </w:rPr>
        <w:t xml:space="preserve">  </w:t>
      </w:r>
    </w:p>
    <w:p w:rsidR="00342D55" w:rsidRPr="003A2659" w:rsidRDefault="00342D55" w:rsidP="00BF0E94">
      <w:pPr>
        <w:jc w:val="both"/>
        <w:rPr>
          <w:color w:val="auto"/>
          <w:szCs w:val="24"/>
        </w:rPr>
      </w:pPr>
    </w:p>
    <w:p w:rsidR="00F6196E" w:rsidRPr="003A2659" w:rsidRDefault="00F6196E" w:rsidP="00BF0E94">
      <w:pPr>
        <w:jc w:val="both"/>
        <w:rPr>
          <w:color w:val="auto"/>
          <w:szCs w:val="24"/>
        </w:rPr>
      </w:pPr>
      <w:proofErr w:type="gramStart"/>
      <w:r w:rsidRPr="003A2659">
        <w:rPr>
          <w:color w:val="auto"/>
          <w:szCs w:val="24"/>
          <w:u w:val="single"/>
        </w:rPr>
        <w:t>Remaining Conditions</w:t>
      </w:r>
      <w:r w:rsidRPr="003A2659">
        <w:rPr>
          <w:color w:val="auto"/>
          <w:szCs w:val="24"/>
        </w:rPr>
        <w:t>.</w:t>
      </w:r>
      <w:proofErr w:type="gramEnd"/>
      <w:r w:rsidRPr="003A2659">
        <w:rPr>
          <w:color w:val="auto"/>
          <w:szCs w:val="24"/>
        </w:rPr>
        <w:t xml:space="preserve"> </w:t>
      </w:r>
      <w:r w:rsidR="003C5B54" w:rsidRPr="003A2659">
        <w:rPr>
          <w:color w:val="auto"/>
          <w:szCs w:val="24"/>
        </w:rPr>
        <w:t xml:space="preserve"> </w:t>
      </w:r>
      <w:r w:rsidRPr="003A2659">
        <w:rPr>
          <w:color w:val="auto"/>
          <w:szCs w:val="24"/>
        </w:rPr>
        <w:t xml:space="preserve">No other conditions were noted in the NARSUM, identified by the CI on the MEB physical or found elsewhere in the DES file.  The Board does not have the authority under </w:t>
      </w:r>
      <w:proofErr w:type="spellStart"/>
      <w:r w:rsidRPr="003A2659">
        <w:rPr>
          <w:color w:val="auto"/>
          <w:szCs w:val="24"/>
        </w:rPr>
        <w:t>DoDI</w:t>
      </w:r>
      <w:proofErr w:type="spellEnd"/>
      <w:r w:rsidRPr="003A2659">
        <w:rPr>
          <w:color w:val="auto"/>
          <w:szCs w:val="24"/>
        </w:rPr>
        <w:t xml:space="preserve"> 6040.44 to render fitness or rating recommendations for any conditions not considered by the DES. </w:t>
      </w:r>
      <w:r w:rsidR="003C294B" w:rsidRPr="003A2659">
        <w:rPr>
          <w:color w:val="auto"/>
          <w:szCs w:val="24"/>
        </w:rPr>
        <w:t xml:space="preserve"> </w:t>
      </w:r>
      <w:r w:rsidR="00EB04C6" w:rsidRPr="003A2659">
        <w:rPr>
          <w:color w:val="auto"/>
          <w:szCs w:val="24"/>
        </w:rPr>
        <w:t>The Board therefore has no reasonable basis for recommending any additional unfitting conditions for separation rating.</w:t>
      </w:r>
      <w:r w:rsidR="00E406F0" w:rsidRPr="003A2659">
        <w:rPr>
          <w:color w:val="auto"/>
          <w:szCs w:val="24"/>
        </w:rPr>
        <w:t xml:space="preserve">  </w:t>
      </w:r>
    </w:p>
    <w:p w:rsidR="001031F4" w:rsidRPr="003A2659" w:rsidRDefault="001031F4" w:rsidP="00BF0E94">
      <w:pPr>
        <w:pBdr>
          <w:bottom w:val="single" w:sz="12" w:space="1" w:color="auto"/>
        </w:pBdr>
        <w:tabs>
          <w:tab w:val="left" w:pos="288"/>
          <w:tab w:val="left" w:pos="4752"/>
        </w:tabs>
        <w:jc w:val="both"/>
        <w:rPr>
          <w:color w:val="auto"/>
        </w:rPr>
      </w:pPr>
    </w:p>
    <w:p w:rsidR="00F1737C" w:rsidRPr="003A2659" w:rsidRDefault="00F1737C" w:rsidP="006364ED">
      <w:pPr>
        <w:jc w:val="left"/>
        <w:rPr>
          <w:color w:val="auto"/>
          <w:szCs w:val="24"/>
        </w:rPr>
      </w:pPr>
    </w:p>
    <w:p w:rsidR="00342D55" w:rsidRPr="003A2659" w:rsidRDefault="00C56FC8" w:rsidP="00342D55">
      <w:pPr>
        <w:jc w:val="both"/>
        <w:rPr>
          <w:rFonts w:eastAsia="Calibri" w:cs="Times New Roman"/>
          <w:color w:val="auto"/>
          <w:szCs w:val="24"/>
        </w:rPr>
      </w:pPr>
      <w:r w:rsidRPr="003A2659">
        <w:rPr>
          <w:color w:val="auto"/>
          <w:szCs w:val="24"/>
          <w:u w:val="single"/>
        </w:rPr>
        <w:t>BOARD FINDINGS</w:t>
      </w:r>
      <w:r w:rsidRPr="003A2659">
        <w:rPr>
          <w:color w:val="auto"/>
          <w:szCs w:val="24"/>
        </w:rPr>
        <w:t>:</w:t>
      </w:r>
      <w:r w:rsidRPr="003A2659">
        <w:rPr>
          <w:rFonts w:eastAsiaTheme="minorHAnsi"/>
          <w:color w:val="auto"/>
          <w:szCs w:val="24"/>
        </w:rPr>
        <w:t xml:space="preserve">  IAW </w:t>
      </w:r>
      <w:proofErr w:type="spellStart"/>
      <w:r w:rsidRPr="003A2659">
        <w:rPr>
          <w:rFonts w:eastAsiaTheme="minorHAnsi"/>
          <w:color w:val="auto"/>
          <w:szCs w:val="24"/>
        </w:rPr>
        <w:t>DoDI</w:t>
      </w:r>
      <w:proofErr w:type="spellEnd"/>
      <w:r w:rsidRPr="003A2659">
        <w:rPr>
          <w:rFonts w:eastAsiaTheme="minorHAnsi"/>
          <w:color w:val="auto"/>
          <w:szCs w:val="24"/>
        </w:rPr>
        <w:t xml:space="preserve"> 6040.44, provisions of </w:t>
      </w:r>
      <w:proofErr w:type="spellStart"/>
      <w:r w:rsidRPr="003A2659">
        <w:rPr>
          <w:rFonts w:eastAsiaTheme="minorHAnsi"/>
          <w:color w:val="auto"/>
          <w:szCs w:val="24"/>
        </w:rPr>
        <w:t>DoD</w:t>
      </w:r>
      <w:proofErr w:type="spellEnd"/>
      <w:r w:rsidRPr="003A2659">
        <w:rPr>
          <w:rFonts w:eastAsia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E406F0" w:rsidRPr="003A2659">
        <w:rPr>
          <w:rFonts w:eastAsiaTheme="minorHAnsi"/>
          <w:color w:val="auto"/>
          <w:szCs w:val="24"/>
        </w:rPr>
        <w:t xml:space="preserve">  </w:t>
      </w:r>
      <w:r w:rsidR="00342D55" w:rsidRPr="003A2659">
        <w:rPr>
          <w:rFonts w:eastAsia="Calibri" w:cs="Times New Roman"/>
          <w:color w:val="auto"/>
          <w:szCs w:val="24"/>
        </w:rPr>
        <w:t xml:space="preserve">As discussed above, PEB reliance on the USAPDA pain policy for rating the left hip condition was operant in this case and the condition was adjudicated independently of that policy by the Board.  In the matter of the left hip condition and IAW VASRD §4.71a, the Board unanimously recommends no change in the PEB adjudication.  In the matter of the </w:t>
      </w:r>
      <w:r w:rsidR="00B3712B">
        <w:rPr>
          <w:rFonts w:eastAsia="HiddenHorzOCR"/>
          <w:color w:val="auto"/>
          <w:szCs w:val="24"/>
        </w:rPr>
        <w:t>LBP</w:t>
      </w:r>
      <w:r w:rsidR="00A34E7B" w:rsidRPr="003A2659">
        <w:rPr>
          <w:rFonts w:eastAsia="HiddenHorzOCR"/>
          <w:color w:val="auto"/>
          <w:szCs w:val="24"/>
        </w:rPr>
        <w:t xml:space="preserve">, </w:t>
      </w:r>
      <w:r w:rsidR="00B3712B">
        <w:rPr>
          <w:rFonts w:eastAsia="HiddenHorzOCR"/>
          <w:color w:val="auto"/>
          <w:szCs w:val="24"/>
        </w:rPr>
        <w:t>l</w:t>
      </w:r>
      <w:r w:rsidR="00A34E7B" w:rsidRPr="003A2659">
        <w:rPr>
          <w:rFonts w:eastAsia="HiddenHorzOCR"/>
          <w:color w:val="auto"/>
          <w:szCs w:val="24"/>
        </w:rPr>
        <w:t xml:space="preserve">umbago; </w:t>
      </w:r>
      <w:r w:rsidR="00B3712B">
        <w:rPr>
          <w:color w:val="auto"/>
        </w:rPr>
        <w:t>l</w:t>
      </w:r>
      <w:r w:rsidR="00A34E7B" w:rsidRPr="003A2659">
        <w:rPr>
          <w:color w:val="auto"/>
        </w:rPr>
        <w:t xml:space="preserve">umbar </w:t>
      </w:r>
      <w:proofErr w:type="spellStart"/>
      <w:r w:rsidR="00B3712B">
        <w:rPr>
          <w:color w:val="auto"/>
        </w:rPr>
        <w:t>r</w:t>
      </w:r>
      <w:r w:rsidR="00A34E7B" w:rsidRPr="003A2659">
        <w:rPr>
          <w:color w:val="auto"/>
        </w:rPr>
        <w:t>adiculopathy</w:t>
      </w:r>
      <w:proofErr w:type="spellEnd"/>
      <w:r w:rsidR="00A34E7B" w:rsidRPr="003A2659">
        <w:rPr>
          <w:color w:val="auto"/>
        </w:rPr>
        <w:t xml:space="preserve"> and </w:t>
      </w:r>
      <w:proofErr w:type="spellStart"/>
      <w:r w:rsidR="00B3712B">
        <w:rPr>
          <w:color w:val="auto"/>
        </w:rPr>
        <w:t>m</w:t>
      </w:r>
      <w:r w:rsidR="00A34E7B" w:rsidRPr="003A2659">
        <w:rPr>
          <w:color w:val="auto"/>
        </w:rPr>
        <w:t>eralgia</w:t>
      </w:r>
      <w:proofErr w:type="spellEnd"/>
      <w:r w:rsidR="00A34E7B" w:rsidRPr="003A2659">
        <w:rPr>
          <w:color w:val="auto"/>
        </w:rPr>
        <w:t xml:space="preserve"> </w:t>
      </w:r>
      <w:proofErr w:type="spellStart"/>
      <w:r w:rsidR="00B3712B">
        <w:rPr>
          <w:color w:val="auto"/>
        </w:rPr>
        <w:t>p</w:t>
      </w:r>
      <w:r w:rsidR="00A34E7B" w:rsidRPr="003A2659">
        <w:rPr>
          <w:color w:val="auto"/>
        </w:rPr>
        <w:t>aresthetica</w:t>
      </w:r>
      <w:proofErr w:type="spellEnd"/>
      <w:r w:rsidR="00A34E7B" w:rsidRPr="003A2659">
        <w:rPr>
          <w:rFonts w:eastAsia="HiddenHorzOCR"/>
          <w:color w:val="auto"/>
          <w:szCs w:val="24"/>
        </w:rPr>
        <w:t xml:space="preserve">; left </w:t>
      </w:r>
      <w:proofErr w:type="spellStart"/>
      <w:r w:rsidR="00A34E7B" w:rsidRPr="003A2659">
        <w:rPr>
          <w:rFonts w:eastAsia="HiddenHorzOCR"/>
          <w:color w:val="auto"/>
          <w:szCs w:val="24"/>
        </w:rPr>
        <w:t>Ilioinguinal</w:t>
      </w:r>
      <w:proofErr w:type="spellEnd"/>
      <w:r w:rsidR="00A34E7B" w:rsidRPr="003A2659">
        <w:rPr>
          <w:rFonts w:eastAsia="HiddenHorzOCR"/>
          <w:color w:val="auto"/>
          <w:szCs w:val="24"/>
        </w:rPr>
        <w:t xml:space="preserve"> </w:t>
      </w:r>
      <w:r w:rsidR="00B3712B">
        <w:rPr>
          <w:rFonts w:eastAsia="HiddenHorzOCR"/>
          <w:color w:val="auto"/>
          <w:szCs w:val="24"/>
        </w:rPr>
        <w:t>s</w:t>
      </w:r>
      <w:r w:rsidR="00A34E7B" w:rsidRPr="003A2659">
        <w:rPr>
          <w:rFonts w:eastAsia="HiddenHorzOCR"/>
          <w:color w:val="auto"/>
          <w:szCs w:val="24"/>
        </w:rPr>
        <w:t xml:space="preserve">train, </w:t>
      </w:r>
      <w:r w:rsidR="00B3712B">
        <w:rPr>
          <w:rFonts w:eastAsia="HiddenHorzOCR"/>
          <w:color w:val="auto"/>
          <w:szCs w:val="24"/>
        </w:rPr>
        <w:t>s</w:t>
      </w:r>
      <w:r w:rsidR="00A34E7B" w:rsidRPr="003A2659">
        <w:rPr>
          <w:rFonts w:eastAsia="HiddenHorzOCR"/>
          <w:color w:val="auto"/>
          <w:szCs w:val="24"/>
        </w:rPr>
        <w:t xml:space="preserve">ynovial </w:t>
      </w:r>
      <w:r w:rsidR="00B3712B">
        <w:rPr>
          <w:rFonts w:eastAsia="HiddenHorzOCR"/>
          <w:color w:val="auto"/>
          <w:szCs w:val="24"/>
        </w:rPr>
        <w:t>h</w:t>
      </w:r>
      <w:r w:rsidR="00A34E7B" w:rsidRPr="003A2659">
        <w:rPr>
          <w:rFonts w:eastAsia="HiddenHorzOCR"/>
          <w:color w:val="auto"/>
          <w:szCs w:val="24"/>
        </w:rPr>
        <w:t xml:space="preserve">erniated </w:t>
      </w:r>
      <w:r w:rsidR="00B3712B">
        <w:rPr>
          <w:rFonts w:eastAsia="HiddenHorzOCR"/>
          <w:color w:val="auto"/>
          <w:szCs w:val="24"/>
        </w:rPr>
        <w:t>pit (left), p</w:t>
      </w:r>
      <w:r w:rsidR="00A34E7B" w:rsidRPr="003A2659">
        <w:rPr>
          <w:rFonts w:eastAsia="HiddenHorzOCR"/>
          <w:color w:val="auto"/>
          <w:szCs w:val="24"/>
        </w:rPr>
        <w:t xml:space="preserve">ubic </w:t>
      </w:r>
      <w:r w:rsidR="00B3712B">
        <w:rPr>
          <w:rFonts w:eastAsia="HiddenHorzOCR"/>
          <w:color w:val="auto"/>
          <w:szCs w:val="24"/>
        </w:rPr>
        <w:t>s</w:t>
      </w:r>
      <w:r w:rsidR="00A34E7B" w:rsidRPr="003A2659">
        <w:rPr>
          <w:rFonts w:eastAsia="HiddenHorzOCR"/>
          <w:color w:val="auto"/>
          <w:szCs w:val="24"/>
        </w:rPr>
        <w:t xml:space="preserve">ynthesis </w:t>
      </w:r>
      <w:r w:rsidR="00B3712B">
        <w:rPr>
          <w:rFonts w:eastAsia="HiddenHorzOCR"/>
          <w:color w:val="auto"/>
          <w:szCs w:val="24"/>
        </w:rPr>
        <w:t>d</w:t>
      </w:r>
      <w:r w:rsidR="00A34E7B" w:rsidRPr="003A2659">
        <w:rPr>
          <w:rFonts w:eastAsia="HiddenHorzOCR"/>
          <w:color w:val="auto"/>
          <w:szCs w:val="24"/>
        </w:rPr>
        <w:t>ysfunction, and pelvic pain</w:t>
      </w:r>
      <w:r w:rsidR="00342D55" w:rsidRPr="003A2659">
        <w:rPr>
          <w:rFonts w:eastAsia="Calibri" w:cs="Times New Roman"/>
          <w:color w:val="auto"/>
          <w:szCs w:val="24"/>
        </w:rPr>
        <w:t xml:space="preserve"> conditions or any other medical conditions eligible for Board consideration, the Board unanimously agrees that it cannot recommend any findings of unfit for additional disability rating.  </w:t>
      </w:r>
    </w:p>
    <w:p w:rsidR="00F1737C" w:rsidRPr="003A2659" w:rsidRDefault="00F1737C" w:rsidP="00BF0E94">
      <w:pPr>
        <w:pBdr>
          <w:bottom w:val="single" w:sz="12" w:space="1" w:color="auto"/>
        </w:pBdr>
        <w:tabs>
          <w:tab w:val="left" w:pos="288"/>
          <w:tab w:val="left" w:pos="4752"/>
        </w:tabs>
        <w:jc w:val="both"/>
        <w:rPr>
          <w:color w:val="auto"/>
        </w:rPr>
      </w:pPr>
    </w:p>
    <w:p w:rsidR="00F1737C" w:rsidRPr="003A2659" w:rsidRDefault="00F1737C" w:rsidP="006364ED">
      <w:pPr>
        <w:jc w:val="left"/>
        <w:rPr>
          <w:color w:val="auto"/>
          <w:szCs w:val="24"/>
        </w:rPr>
      </w:pPr>
    </w:p>
    <w:p w:rsidR="006B4AA2" w:rsidRPr="003A2659" w:rsidRDefault="00C56FC8" w:rsidP="00342D55">
      <w:pPr>
        <w:jc w:val="left"/>
        <w:rPr>
          <w:color w:val="auto"/>
        </w:rPr>
      </w:pPr>
      <w:r w:rsidRPr="003A2659">
        <w:rPr>
          <w:color w:val="auto"/>
          <w:szCs w:val="24"/>
          <w:u w:val="single"/>
        </w:rPr>
        <w:t>RECOMMENDATION</w:t>
      </w:r>
      <w:r w:rsidRPr="003A2659">
        <w:rPr>
          <w:color w:val="auto"/>
          <w:szCs w:val="24"/>
        </w:rPr>
        <w:t>:</w:t>
      </w:r>
      <w:r w:rsidR="00342D55" w:rsidRPr="003A2659">
        <w:rPr>
          <w:color w:val="auto"/>
        </w:rPr>
        <w:t xml:space="preserve">  </w:t>
      </w:r>
      <w:r w:rsidRPr="003A2659">
        <w:rPr>
          <w:color w:val="auto"/>
          <w:szCs w:val="24"/>
        </w:rPr>
        <w:t>The Board</w:t>
      </w:r>
      <w:r w:rsidR="006A543A" w:rsidRPr="003A2659">
        <w:rPr>
          <w:color w:val="auto"/>
          <w:szCs w:val="24"/>
        </w:rPr>
        <w:t>,</w:t>
      </w:r>
      <w:r w:rsidRPr="003A2659">
        <w:rPr>
          <w:color w:val="auto"/>
          <w:szCs w:val="24"/>
        </w:rPr>
        <w:t xml:space="preserve"> therefore</w:t>
      </w:r>
      <w:r w:rsidR="006A543A" w:rsidRPr="003A2659">
        <w:rPr>
          <w:color w:val="auto"/>
          <w:szCs w:val="24"/>
        </w:rPr>
        <w:t>,</w:t>
      </w:r>
      <w:r w:rsidRPr="003A2659">
        <w:rPr>
          <w:color w:val="auto"/>
          <w:szCs w:val="24"/>
        </w:rPr>
        <w:t xml:space="preserve"> recommends that there be no </w:t>
      </w:r>
      <w:proofErr w:type="spellStart"/>
      <w:r w:rsidRPr="003A2659">
        <w:rPr>
          <w:color w:val="auto"/>
          <w:szCs w:val="24"/>
        </w:rPr>
        <w:t>recharacterization</w:t>
      </w:r>
      <w:proofErr w:type="spellEnd"/>
      <w:r w:rsidRPr="003A2659">
        <w:rPr>
          <w:color w:val="auto"/>
          <w:szCs w:val="24"/>
        </w:rPr>
        <w:t xml:space="preserve"> of the CI’s disability and separation determination</w:t>
      </w:r>
      <w:r w:rsidR="008C3FD0" w:rsidRPr="003A2659">
        <w:rPr>
          <w:color w:val="auto"/>
          <w:szCs w:val="24"/>
        </w:rPr>
        <w:t>,</w:t>
      </w:r>
      <w:r w:rsidR="00BD2A49" w:rsidRPr="003A2659">
        <w:rPr>
          <w:color w:val="auto"/>
          <w:szCs w:val="24"/>
        </w:rPr>
        <w:t xml:space="preserve"> as follows:</w:t>
      </w:r>
      <w:r w:rsidR="003604A5" w:rsidRPr="003A2659">
        <w:rPr>
          <w:color w:val="auto"/>
          <w:szCs w:val="24"/>
        </w:rPr>
        <w:t xml:space="preserve"> </w:t>
      </w:r>
    </w:p>
    <w:p w:rsidR="00BA6A9C" w:rsidRPr="003A2659"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A2659" w:rsidTr="00E406F0">
        <w:trPr>
          <w:trHeight w:val="233"/>
          <w:jc w:val="center"/>
        </w:trPr>
        <w:tc>
          <w:tcPr>
            <w:tcW w:w="6282" w:type="dxa"/>
            <w:shd w:val="clear" w:color="auto" w:fill="D9D9D9"/>
            <w:vAlign w:val="center"/>
          </w:tcPr>
          <w:p w:rsidR="00A95BBA" w:rsidRPr="003A2659" w:rsidRDefault="00A95BBA" w:rsidP="00E406F0">
            <w:pPr>
              <w:tabs>
                <w:tab w:val="left" w:pos="288"/>
                <w:tab w:val="left" w:pos="4752"/>
              </w:tabs>
              <w:rPr>
                <w:b/>
                <w:color w:val="auto"/>
                <w:szCs w:val="24"/>
              </w:rPr>
            </w:pPr>
            <w:r w:rsidRPr="003A2659">
              <w:rPr>
                <w:b/>
                <w:color w:val="auto"/>
                <w:szCs w:val="24"/>
              </w:rPr>
              <w:t>UNFITTING CONDITION</w:t>
            </w:r>
          </w:p>
        </w:tc>
        <w:tc>
          <w:tcPr>
            <w:tcW w:w="1710" w:type="dxa"/>
            <w:shd w:val="clear" w:color="auto" w:fill="D9D9D9"/>
            <w:vAlign w:val="center"/>
          </w:tcPr>
          <w:p w:rsidR="00A95BBA" w:rsidRPr="003A2659" w:rsidRDefault="00A95BBA" w:rsidP="00E406F0">
            <w:pPr>
              <w:tabs>
                <w:tab w:val="left" w:pos="288"/>
                <w:tab w:val="left" w:pos="4752"/>
              </w:tabs>
              <w:rPr>
                <w:b/>
                <w:color w:val="auto"/>
                <w:szCs w:val="24"/>
              </w:rPr>
            </w:pPr>
            <w:r w:rsidRPr="003A2659">
              <w:rPr>
                <w:b/>
                <w:color w:val="auto"/>
                <w:szCs w:val="24"/>
              </w:rPr>
              <w:t>VASRD CODE</w:t>
            </w:r>
          </w:p>
        </w:tc>
        <w:tc>
          <w:tcPr>
            <w:tcW w:w="1170" w:type="dxa"/>
            <w:shd w:val="clear" w:color="auto" w:fill="D9D9D9"/>
            <w:vAlign w:val="center"/>
          </w:tcPr>
          <w:p w:rsidR="00A95BBA" w:rsidRPr="003A2659" w:rsidRDefault="00A95BBA" w:rsidP="00E406F0">
            <w:pPr>
              <w:tabs>
                <w:tab w:val="left" w:pos="288"/>
                <w:tab w:val="left" w:pos="4752"/>
              </w:tabs>
              <w:rPr>
                <w:b/>
                <w:color w:val="auto"/>
                <w:szCs w:val="24"/>
              </w:rPr>
            </w:pPr>
            <w:r w:rsidRPr="003A2659">
              <w:rPr>
                <w:b/>
                <w:color w:val="auto"/>
                <w:szCs w:val="24"/>
              </w:rPr>
              <w:t>RATING</w:t>
            </w:r>
          </w:p>
        </w:tc>
      </w:tr>
      <w:tr w:rsidR="00A95BBA" w:rsidRPr="003A2659" w:rsidTr="00E406F0">
        <w:trPr>
          <w:jc w:val="center"/>
        </w:trPr>
        <w:tc>
          <w:tcPr>
            <w:tcW w:w="6282" w:type="dxa"/>
            <w:vAlign w:val="center"/>
          </w:tcPr>
          <w:p w:rsidR="00A95BBA" w:rsidRPr="003A2659" w:rsidRDefault="00322315" w:rsidP="00E406F0">
            <w:pPr>
              <w:tabs>
                <w:tab w:val="left" w:pos="288"/>
                <w:tab w:val="left" w:pos="4752"/>
              </w:tabs>
              <w:jc w:val="left"/>
              <w:rPr>
                <w:color w:val="auto"/>
                <w:szCs w:val="24"/>
              </w:rPr>
            </w:pPr>
            <w:r w:rsidRPr="003A2659">
              <w:rPr>
                <w:color w:val="auto"/>
                <w:szCs w:val="24"/>
              </w:rPr>
              <w:t>Chronic Left Hip Pain</w:t>
            </w:r>
          </w:p>
        </w:tc>
        <w:tc>
          <w:tcPr>
            <w:tcW w:w="1710" w:type="dxa"/>
            <w:vAlign w:val="center"/>
          </w:tcPr>
          <w:p w:rsidR="00A95BBA" w:rsidRPr="003A2659" w:rsidRDefault="00322315" w:rsidP="00E406F0">
            <w:pPr>
              <w:tabs>
                <w:tab w:val="left" w:pos="288"/>
                <w:tab w:val="left" w:pos="4752"/>
              </w:tabs>
              <w:rPr>
                <w:color w:val="auto"/>
                <w:szCs w:val="24"/>
              </w:rPr>
            </w:pPr>
            <w:r w:rsidRPr="003A2659">
              <w:rPr>
                <w:color w:val="auto"/>
                <w:szCs w:val="24"/>
              </w:rPr>
              <w:t>5099-5003</w:t>
            </w:r>
          </w:p>
        </w:tc>
        <w:tc>
          <w:tcPr>
            <w:tcW w:w="1170" w:type="dxa"/>
            <w:vAlign w:val="center"/>
          </w:tcPr>
          <w:p w:rsidR="00A95BBA" w:rsidRPr="003A2659" w:rsidRDefault="00342D55" w:rsidP="00E406F0">
            <w:pPr>
              <w:tabs>
                <w:tab w:val="left" w:pos="288"/>
                <w:tab w:val="left" w:pos="4752"/>
              </w:tabs>
              <w:rPr>
                <w:color w:val="auto"/>
                <w:szCs w:val="24"/>
              </w:rPr>
            </w:pPr>
            <w:r w:rsidRPr="003A2659">
              <w:rPr>
                <w:color w:val="auto"/>
                <w:szCs w:val="24"/>
              </w:rPr>
              <w:t>1</w:t>
            </w:r>
            <w:r w:rsidR="00A95BBA" w:rsidRPr="003A2659">
              <w:rPr>
                <w:color w:val="auto"/>
                <w:szCs w:val="24"/>
              </w:rPr>
              <w:t>0%</w:t>
            </w:r>
          </w:p>
        </w:tc>
      </w:tr>
      <w:tr w:rsidR="00A95BBA" w:rsidRPr="003A2659" w:rsidTr="00E406F0">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A2659" w:rsidRDefault="00A95BBA" w:rsidP="00E406F0">
            <w:pPr>
              <w:tabs>
                <w:tab w:val="left" w:pos="288"/>
                <w:tab w:val="left" w:pos="4752"/>
              </w:tabs>
              <w:rPr>
                <w:b/>
                <w:color w:val="auto"/>
                <w:szCs w:val="24"/>
              </w:rPr>
            </w:pPr>
            <w:r w:rsidRPr="003A2659">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A2659" w:rsidRDefault="00342D55" w:rsidP="00E406F0">
            <w:pPr>
              <w:tabs>
                <w:tab w:val="left" w:pos="288"/>
                <w:tab w:val="left" w:pos="4752"/>
              </w:tabs>
              <w:rPr>
                <w:b/>
                <w:color w:val="auto"/>
                <w:szCs w:val="24"/>
              </w:rPr>
            </w:pPr>
            <w:r w:rsidRPr="003A2659">
              <w:rPr>
                <w:b/>
                <w:color w:val="auto"/>
                <w:szCs w:val="24"/>
              </w:rPr>
              <w:t>1</w:t>
            </w:r>
            <w:r w:rsidR="00A95BBA" w:rsidRPr="003A2659">
              <w:rPr>
                <w:b/>
                <w:color w:val="auto"/>
                <w:szCs w:val="24"/>
              </w:rPr>
              <w:t>0%</w:t>
            </w:r>
          </w:p>
        </w:tc>
      </w:tr>
    </w:tbl>
    <w:p w:rsidR="00322315" w:rsidRPr="003A2659" w:rsidRDefault="00322315" w:rsidP="00E406F0">
      <w:pPr>
        <w:pBdr>
          <w:bottom w:val="single" w:sz="12" w:space="1" w:color="auto"/>
        </w:pBdr>
        <w:tabs>
          <w:tab w:val="left" w:pos="288"/>
          <w:tab w:val="left" w:pos="4752"/>
        </w:tabs>
        <w:jc w:val="both"/>
        <w:rPr>
          <w:color w:val="auto"/>
        </w:rPr>
      </w:pPr>
    </w:p>
    <w:p w:rsidR="005B1D09" w:rsidRPr="003A2659" w:rsidRDefault="005B1D09" w:rsidP="00E406F0">
      <w:pPr>
        <w:jc w:val="both"/>
        <w:rPr>
          <w:color w:val="auto"/>
          <w:szCs w:val="24"/>
        </w:rPr>
      </w:pPr>
    </w:p>
    <w:p w:rsidR="00D91DA6" w:rsidRPr="003A2659" w:rsidRDefault="00FB1725" w:rsidP="00E406F0">
      <w:pPr>
        <w:tabs>
          <w:tab w:val="left" w:pos="288"/>
          <w:tab w:val="left" w:pos="4752"/>
        </w:tabs>
        <w:jc w:val="both"/>
        <w:rPr>
          <w:color w:val="auto"/>
        </w:rPr>
      </w:pPr>
      <w:r w:rsidRPr="003A2659">
        <w:rPr>
          <w:color w:val="auto"/>
        </w:rPr>
        <w:t>The following documentary evidence was considered:</w:t>
      </w:r>
    </w:p>
    <w:p w:rsidR="00EB5EFD" w:rsidRPr="003A2659" w:rsidRDefault="00EB5EFD" w:rsidP="00E406F0">
      <w:pPr>
        <w:tabs>
          <w:tab w:val="left" w:pos="288"/>
          <w:tab w:val="left" w:pos="4752"/>
        </w:tabs>
        <w:jc w:val="both"/>
        <w:rPr>
          <w:color w:val="auto"/>
        </w:rPr>
      </w:pPr>
    </w:p>
    <w:p w:rsidR="00114F20" w:rsidRPr="003A2659" w:rsidRDefault="00FB1725" w:rsidP="00E406F0">
      <w:pPr>
        <w:tabs>
          <w:tab w:val="left" w:pos="288"/>
          <w:tab w:val="left" w:pos="4752"/>
        </w:tabs>
        <w:jc w:val="both"/>
        <w:rPr>
          <w:color w:val="auto"/>
        </w:rPr>
      </w:pPr>
      <w:r w:rsidRPr="003A2659">
        <w:rPr>
          <w:color w:val="auto"/>
        </w:rPr>
        <w:t xml:space="preserve">Exhibit A.  DD Form 294, </w:t>
      </w:r>
      <w:r w:rsidRPr="003A2659">
        <w:rPr>
          <w:color w:val="auto"/>
          <w:szCs w:val="24"/>
        </w:rPr>
        <w:t>dated 20</w:t>
      </w:r>
      <w:r w:rsidR="001215DF" w:rsidRPr="003A2659">
        <w:rPr>
          <w:color w:val="auto"/>
          <w:szCs w:val="24"/>
        </w:rPr>
        <w:t>1</w:t>
      </w:r>
      <w:r w:rsidR="00322315" w:rsidRPr="003A2659">
        <w:rPr>
          <w:color w:val="auto"/>
          <w:szCs w:val="24"/>
        </w:rPr>
        <w:t>10520</w:t>
      </w:r>
      <w:r w:rsidR="00B3712B">
        <w:rPr>
          <w:color w:val="auto"/>
        </w:rPr>
        <w:t>, w/</w:t>
      </w:r>
      <w:proofErr w:type="spellStart"/>
      <w:r w:rsidR="00B3712B">
        <w:rPr>
          <w:color w:val="auto"/>
        </w:rPr>
        <w:t>atchs</w:t>
      </w:r>
      <w:proofErr w:type="spellEnd"/>
    </w:p>
    <w:p w:rsidR="00114F20" w:rsidRPr="003A2659" w:rsidRDefault="00FB1725" w:rsidP="00E406F0">
      <w:pPr>
        <w:tabs>
          <w:tab w:val="left" w:pos="288"/>
          <w:tab w:val="left" w:pos="4752"/>
        </w:tabs>
        <w:jc w:val="both"/>
        <w:rPr>
          <w:color w:val="auto"/>
        </w:rPr>
      </w:pPr>
      <w:r w:rsidRPr="003A2659">
        <w:rPr>
          <w:color w:val="auto"/>
        </w:rPr>
        <w:t>Exhib</w:t>
      </w:r>
      <w:r w:rsidR="00B3712B">
        <w:rPr>
          <w:color w:val="auto"/>
        </w:rPr>
        <w:t>it B.  Service Treatment Record</w:t>
      </w:r>
    </w:p>
    <w:p w:rsidR="00114F20" w:rsidRPr="003A2659" w:rsidRDefault="00FB1725" w:rsidP="00E406F0">
      <w:pPr>
        <w:tabs>
          <w:tab w:val="left" w:pos="288"/>
          <w:tab w:val="left" w:pos="4752"/>
        </w:tabs>
        <w:jc w:val="both"/>
        <w:rPr>
          <w:color w:val="auto"/>
        </w:rPr>
      </w:pPr>
      <w:r w:rsidRPr="003A2659">
        <w:rPr>
          <w:color w:val="auto"/>
        </w:rPr>
        <w:t>Exhibit C.  Department of Ve</w:t>
      </w:r>
      <w:r w:rsidR="00B3712B">
        <w:rPr>
          <w:color w:val="auto"/>
        </w:rPr>
        <w:t>terans Affairs Treatment Record</w:t>
      </w:r>
    </w:p>
    <w:p w:rsidR="00D91DA6" w:rsidRPr="003A2659" w:rsidRDefault="00D91DA6" w:rsidP="00E406F0">
      <w:pPr>
        <w:tabs>
          <w:tab w:val="left" w:pos="288"/>
          <w:tab w:val="left" w:pos="4752"/>
        </w:tabs>
        <w:jc w:val="both"/>
        <w:rPr>
          <w:color w:val="auto"/>
        </w:rPr>
      </w:pPr>
    </w:p>
    <w:p w:rsidR="00114F20" w:rsidRPr="003A2659" w:rsidRDefault="00114F20" w:rsidP="00E406F0">
      <w:pPr>
        <w:tabs>
          <w:tab w:val="left" w:pos="288"/>
          <w:tab w:val="left" w:pos="4752"/>
        </w:tabs>
        <w:jc w:val="both"/>
        <w:rPr>
          <w:color w:val="auto"/>
        </w:rPr>
      </w:pPr>
    </w:p>
    <w:p w:rsidR="00114F20" w:rsidRPr="003A2659" w:rsidRDefault="00114F20" w:rsidP="00BF0E94">
      <w:pPr>
        <w:tabs>
          <w:tab w:val="left" w:pos="288"/>
          <w:tab w:val="left" w:pos="4752"/>
        </w:tabs>
        <w:jc w:val="both"/>
        <w:rPr>
          <w:color w:val="auto"/>
        </w:rPr>
      </w:pPr>
    </w:p>
    <w:p w:rsidR="00114F20" w:rsidRPr="003A2659" w:rsidRDefault="00114F20" w:rsidP="00BF0E94">
      <w:pPr>
        <w:tabs>
          <w:tab w:val="left" w:pos="288"/>
          <w:tab w:val="left" w:pos="4752"/>
        </w:tabs>
        <w:jc w:val="both"/>
        <w:rPr>
          <w:color w:val="auto"/>
        </w:rPr>
      </w:pPr>
    </w:p>
    <w:p w:rsidR="00E3077F" w:rsidRPr="003A2659" w:rsidRDefault="00220FA9" w:rsidP="00BF0E94">
      <w:pPr>
        <w:tabs>
          <w:tab w:val="left" w:pos="0"/>
          <w:tab w:val="left" w:pos="4320"/>
        </w:tabs>
        <w:jc w:val="both"/>
        <w:rPr>
          <w:color w:val="auto"/>
          <w:szCs w:val="24"/>
        </w:rPr>
      </w:pPr>
      <w:r w:rsidRPr="003A2659">
        <w:rPr>
          <w:color w:val="auto"/>
          <w:szCs w:val="24"/>
        </w:rPr>
        <w:tab/>
      </w:r>
      <w:r w:rsidR="008E3C90" w:rsidRPr="003A2659">
        <w:rPr>
          <w:color w:val="auto"/>
          <w:szCs w:val="24"/>
        </w:rPr>
        <w:t xml:space="preserve">           </w:t>
      </w:r>
      <w:r w:rsidR="00507D2D">
        <w:rPr>
          <w:color w:val="auto"/>
          <w:szCs w:val="24"/>
        </w:rPr>
        <w:t>XXXXXXXXXX</w:t>
      </w:r>
    </w:p>
    <w:p w:rsidR="002F195B" w:rsidRPr="003A2659" w:rsidRDefault="00220FA9" w:rsidP="00BF0E94">
      <w:pPr>
        <w:tabs>
          <w:tab w:val="left" w:pos="0"/>
          <w:tab w:val="left" w:pos="4320"/>
        </w:tabs>
        <w:jc w:val="both"/>
        <w:rPr>
          <w:color w:val="auto"/>
          <w:szCs w:val="24"/>
        </w:rPr>
      </w:pPr>
      <w:r w:rsidRPr="003A2659">
        <w:rPr>
          <w:color w:val="auto"/>
          <w:szCs w:val="24"/>
        </w:rPr>
        <w:tab/>
      </w:r>
      <w:r w:rsidR="008E3C90" w:rsidRPr="003A2659">
        <w:rPr>
          <w:color w:val="auto"/>
          <w:szCs w:val="24"/>
        </w:rPr>
        <w:t xml:space="preserve">           </w:t>
      </w:r>
      <w:r w:rsidR="005F73CA" w:rsidRPr="003A2659">
        <w:rPr>
          <w:color w:val="auto"/>
          <w:szCs w:val="24"/>
        </w:rPr>
        <w:t>President</w:t>
      </w:r>
    </w:p>
    <w:p w:rsidR="00507D2D" w:rsidRDefault="002F195B" w:rsidP="00BF0E94">
      <w:pPr>
        <w:tabs>
          <w:tab w:val="left" w:pos="0"/>
          <w:tab w:val="left" w:pos="4320"/>
        </w:tabs>
        <w:jc w:val="both"/>
        <w:rPr>
          <w:color w:val="auto"/>
          <w:szCs w:val="24"/>
        </w:rPr>
      </w:pPr>
      <w:r w:rsidRPr="003A2659">
        <w:rPr>
          <w:color w:val="auto"/>
          <w:szCs w:val="24"/>
        </w:rPr>
        <w:tab/>
        <w:t xml:space="preserve">           </w:t>
      </w:r>
      <w:r w:rsidR="00220FA9" w:rsidRPr="003A2659">
        <w:rPr>
          <w:color w:val="auto"/>
          <w:szCs w:val="24"/>
        </w:rPr>
        <w:t>P</w:t>
      </w:r>
      <w:r w:rsidR="00E3077F" w:rsidRPr="003A2659">
        <w:rPr>
          <w:color w:val="auto"/>
          <w:szCs w:val="24"/>
        </w:rPr>
        <w:t>hysical Disability Board of Review</w:t>
      </w:r>
    </w:p>
    <w:p w:rsidR="00507D2D" w:rsidRDefault="00507D2D">
      <w:pPr>
        <w:rPr>
          <w:color w:val="auto"/>
          <w:szCs w:val="24"/>
        </w:rPr>
      </w:pPr>
      <w:r>
        <w:rPr>
          <w:color w:val="auto"/>
          <w:szCs w:val="24"/>
        </w:rPr>
        <w:br w:type="page"/>
      </w:r>
    </w:p>
    <w:p w:rsidR="00507D2D" w:rsidRDefault="00507D2D" w:rsidP="00507D2D">
      <w:pPr>
        <w:sectPr w:rsidR="00507D2D">
          <w:pgSz w:w="12240" w:h="15840"/>
          <w:pgMar w:top="2160" w:right="1440" w:bottom="1440" w:left="1440" w:header="720" w:footer="720" w:gutter="0"/>
          <w:cols w:space="720"/>
        </w:sectPr>
      </w:pPr>
    </w:p>
    <w:p w:rsidR="00507D2D" w:rsidRDefault="00507D2D" w:rsidP="00507D2D">
      <w:pPr>
        <w:pStyle w:val="Header"/>
        <w:tabs>
          <w:tab w:val="left" w:pos="720"/>
        </w:tabs>
        <w:jc w:val="left"/>
      </w:pPr>
      <w:r>
        <w:lastRenderedPageBreak/>
        <w:t>SFMR-RB</w:t>
      </w:r>
      <w:r>
        <w:tab/>
      </w:r>
      <w:r>
        <w:tab/>
      </w:r>
      <w:r>
        <w:tab/>
      </w:r>
      <w:r>
        <w:tab/>
      </w:r>
      <w:r>
        <w:tab/>
      </w:r>
      <w:r>
        <w:tab/>
      </w:r>
      <w:r>
        <w:tab/>
      </w:r>
      <w:r>
        <w:tab/>
      </w:r>
      <w:r>
        <w:tab/>
      </w:r>
    </w:p>
    <w:p w:rsidR="00507D2D" w:rsidRDefault="00507D2D" w:rsidP="00507D2D">
      <w:pPr>
        <w:pStyle w:val="Header"/>
        <w:tabs>
          <w:tab w:val="left" w:pos="720"/>
        </w:tabs>
        <w:jc w:val="left"/>
      </w:pPr>
    </w:p>
    <w:p w:rsidR="00507D2D" w:rsidRDefault="00507D2D" w:rsidP="00507D2D">
      <w:pPr>
        <w:jc w:val="left"/>
      </w:pPr>
    </w:p>
    <w:p w:rsidR="00507D2D" w:rsidRDefault="00507D2D" w:rsidP="00507D2D">
      <w:pPr>
        <w:jc w:val="left"/>
      </w:pPr>
      <w:r>
        <w:t xml:space="preserve">MEMORANDUM FOR Commander, US Army Physical Disability Agency </w:t>
      </w:r>
    </w:p>
    <w:p w:rsidR="00507D2D" w:rsidRDefault="00507D2D" w:rsidP="00507D2D">
      <w:pPr>
        <w:jc w:val="left"/>
      </w:pPr>
      <w:r>
        <w:t>(TAPD-ZB /), 2900 Crystal Drive, Suite 300, Arlington, VA  22202</w:t>
      </w:r>
    </w:p>
    <w:p w:rsidR="00507D2D" w:rsidRDefault="00507D2D" w:rsidP="00507D2D">
      <w:pPr>
        <w:jc w:val="left"/>
      </w:pPr>
    </w:p>
    <w:p w:rsidR="00507D2D" w:rsidRDefault="00507D2D" w:rsidP="00507D2D">
      <w:pPr>
        <w:ind w:right="-180"/>
        <w:jc w:val="left"/>
      </w:pPr>
      <w:r>
        <w:t>SUBJECT:  Department of Defense Physical Disability Board of Review Recommendation for XXXXXXXXXX, AR20120008201 (PD201100397)</w:t>
      </w:r>
    </w:p>
    <w:p w:rsidR="00507D2D" w:rsidRDefault="00507D2D" w:rsidP="00507D2D">
      <w:pPr>
        <w:pStyle w:val="Header"/>
        <w:tabs>
          <w:tab w:val="left" w:pos="720"/>
        </w:tabs>
        <w:jc w:val="left"/>
      </w:pPr>
    </w:p>
    <w:p w:rsidR="00507D2D" w:rsidRDefault="00507D2D" w:rsidP="00507D2D">
      <w:pPr>
        <w:jc w:val="left"/>
      </w:pPr>
    </w:p>
    <w:p w:rsidR="00507D2D" w:rsidRDefault="00507D2D" w:rsidP="00507D2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507D2D" w:rsidRDefault="00507D2D" w:rsidP="00507D2D">
      <w:pPr>
        <w:jc w:val="left"/>
      </w:pPr>
      <w:r>
        <w:t>This decision is final.  The individual concerned, counsel (if any), and any Members of Congress who have shown interest in this application have been notified of this decision by mail.</w:t>
      </w:r>
    </w:p>
    <w:p w:rsidR="00507D2D" w:rsidRDefault="00507D2D" w:rsidP="00507D2D">
      <w:pPr>
        <w:jc w:val="left"/>
      </w:pPr>
    </w:p>
    <w:p w:rsidR="00507D2D" w:rsidRDefault="00507D2D" w:rsidP="00507D2D">
      <w:pPr>
        <w:jc w:val="left"/>
      </w:pPr>
      <w:r>
        <w:t xml:space="preserve"> BY ORDER OF THE SECRETARY OF THE ARMY:</w:t>
      </w:r>
    </w:p>
    <w:p w:rsidR="00507D2D" w:rsidRDefault="00507D2D" w:rsidP="00507D2D">
      <w:pPr>
        <w:jc w:val="left"/>
      </w:pPr>
    </w:p>
    <w:p w:rsidR="00507D2D" w:rsidRDefault="00507D2D" w:rsidP="00507D2D">
      <w:pPr>
        <w:jc w:val="left"/>
      </w:pPr>
    </w:p>
    <w:p w:rsidR="00507D2D" w:rsidRDefault="00507D2D" w:rsidP="00507D2D">
      <w:pPr>
        <w:pStyle w:val="Header"/>
        <w:tabs>
          <w:tab w:val="left" w:pos="720"/>
        </w:tabs>
        <w:jc w:val="left"/>
      </w:pPr>
    </w:p>
    <w:p w:rsidR="00507D2D" w:rsidRDefault="00507D2D" w:rsidP="00507D2D">
      <w:pPr>
        <w:jc w:val="left"/>
      </w:pPr>
    </w:p>
    <w:p w:rsidR="00507D2D" w:rsidRDefault="00507D2D" w:rsidP="00507D2D">
      <w:pPr>
        <w:jc w:val="left"/>
      </w:pPr>
      <w:bookmarkStart w:id="0" w:name="OLE_LINK4"/>
      <w:bookmarkStart w:id="1" w:name="OLE_LINK3"/>
      <w:r>
        <w:t>Encl</w:t>
      </w:r>
      <w:r>
        <w:tab/>
      </w:r>
      <w:r>
        <w:tab/>
      </w:r>
      <w:r>
        <w:tab/>
      </w:r>
      <w:r>
        <w:tab/>
      </w:r>
      <w:r>
        <w:tab/>
      </w:r>
      <w:r>
        <w:tab/>
        <w:t xml:space="preserve">     XXXXXXXXXX</w:t>
      </w:r>
    </w:p>
    <w:p w:rsidR="00507D2D" w:rsidRDefault="00507D2D" w:rsidP="00507D2D">
      <w:pPr>
        <w:jc w:val="left"/>
      </w:pPr>
      <w:r>
        <w:tab/>
      </w:r>
      <w:r>
        <w:tab/>
      </w:r>
      <w:r>
        <w:tab/>
      </w:r>
      <w:r>
        <w:tab/>
      </w:r>
      <w:r>
        <w:tab/>
      </w:r>
      <w:r>
        <w:tab/>
        <w:t xml:space="preserve">     Deputy Assistant Secretary</w:t>
      </w:r>
    </w:p>
    <w:p w:rsidR="00507D2D" w:rsidRDefault="00507D2D" w:rsidP="00507D2D">
      <w:pPr>
        <w:jc w:val="left"/>
      </w:pPr>
      <w:r>
        <w:tab/>
      </w:r>
      <w:r>
        <w:tab/>
      </w:r>
      <w:r>
        <w:tab/>
      </w:r>
      <w:r>
        <w:tab/>
      </w:r>
      <w:r>
        <w:tab/>
      </w:r>
      <w:r>
        <w:tab/>
        <w:t xml:space="preserve">         (Army Review Boards)</w:t>
      </w:r>
      <w:bookmarkEnd w:id="0"/>
      <w:bookmarkEnd w:id="1"/>
    </w:p>
    <w:p w:rsidR="00507D2D" w:rsidRDefault="00507D2D" w:rsidP="00507D2D">
      <w:pPr>
        <w:jc w:val="left"/>
      </w:pPr>
    </w:p>
    <w:p w:rsidR="00507D2D" w:rsidRDefault="00507D2D" w:rsidP="00507D2D">
      <w:pPr>
        <w:jc w:val="left"/>
      </w:pPr>
      <w:r>
        <w:t xml:space="preserve">CF: </w:t>
      </w:r>
    </w:p>
    <w:p w:rsidR="00507D2D" w:rsidRDefault="00507D2D" w:rsidP="00507D2D">
      <w:pPr>
        <w:jc w:val="left"/>
      </w:pPr>
      <w:r>
        <w:t xml:space="preserve">(  ) </w:t>
      </w:r>
      <w:proofErr w:type="spellStart"/>
      <w:proofErr w:type="gramStart"/>
      <w:r>
        <w:t>DoD</w:t>
      </w:r>
      <w:proofErr w:type="spellEnd"/>
      <w:proofErr w:type="gramEnd"/>
      <w:r>
        <w:t xml:space="preserve"> PDBR</w:t>
      </w:r>
    </w:p>
    <w:p w:rsidR="00507D2D" w:rsidRDefault="00507D2D" w:rsidP="00507D2D">
      <w:pPr>
        <w:jc w:val="left"/>
      </w:pPr>
      <w:r>
        <w:t>(  ) DVA</w:t>
      </w:r>
    </w:p>
    <w:p w:rsidR="00507D2D" w:rsidRDefault="00507D2D" w:rsidP="00507D2D">
      <w:pPr>
        <w:jc w:val="left"/>
      </w:pPr>
    </w:p>
    <w:p w:rsidR="00E3077F" w:rsidRPr="003A2659" w:rsidRDefault="00E3077F" w:rsidP="00507D2D">
      <w:pPr>
        <w:tabs>
          <w:tab w:val="left" w:pos="0"/>
          <w:tab w:val="left" w:pos="4320"/>
        </w:tabs>
        <w:jc w:val="left"/>
        <w:rPr>
          <w:color w:val="auto"/>
          <w:szCs w:val="24"/>
        </w:rPr>
      </w:pPr>
    </w:p>
    <w:sectPr w:rsidR="00E3077F" w:rsidRPr="003A265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C5E" w:rsidRDefault="00E84C5E">
      <w:r>
        <w:separator/>
      </w:r>
    </w:p>
  </w:endnote>
  <w:endnote w:type="continuationSeparator" w:id="0">
    <w:p w:rsidR="00E84C5E" w:rsidRDefault="00E84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659E9" w:rsidRPr="00374247" w:rsidRDefault="005659E9" w:rsidP="00374247">
        <w:pPr>
          <w:pStyle w:val="Footer"/>
          <w:ind w:firstLine="4320"/>
          <w:rPr>
            <w:color w:val="auto"/>
            <w:szCs w:val="24"/>
          </w:rPr>
        </w:pPr>
        <w:r w:rsidRPr="00374247">
          <w:rPr>
            <w:color w:val="auto"/>
            <w:szCs w:val="24"/>
          </w:rPr>
          <w:t xml:space="preserve">   </w:t>
        </w:r>
        <w:r w:rsidR="00516097" w:rsidRPr="00374247">
          <w:rPr>
            <w:color w:val="auto"/>
            <w:szCs w:val="24"/>
          </w:rPr>
          <w:fldChar w:fldCharType="begin"/>
        </w:r>
        <w:r w:rsidRPr="00374247">
          <w:rPr>
            <w:color w:val="auto"/>
            <w:szCs w:val="24"/>
          </w:rPr>
          <w:instrText xml:space="preserve"> PAGE   \* MERGEFORMAT </w:instrText>
        </w:r>
        <w:r w:rsidR="00516097" w:rsidRPr="00374247">
          <w:rPr>
            <w:color w:val="auto"/>
            <w:szCs w:val="24"/>
          </w:rPr>
          <w:fldChar w:fldCharType="separate"/>
        </w:r>
        <w:r w:rsidR="00507D2D" w:rsidRPr="00507D2D">
          <w:rPr>
            <w:noProof/>
            <w:color w:val="auto"/>
          </w:rPr>
          <w:t>5</w:t>
        </w:r>
        <w:r w:rsidR="00516097" w:rsidRPr="00374247">
          <w:rPr>
            <w:color w:val="auto"/>
            <w:szCs w:val="24"/>
          </w:rPr>
          <w:fldChar w:fldCharType="end"/>
        </w:r>
        <w:r w:rsidRPr="00374247">
          <w:rPr>
            <w:color w:val="auto"/>
            <w:szCs w:val="24"/>
          </w:rPr>
          <w:t xml:space="preserve">                                                           </w:t>
        </w:r>
        <w:r w:rsidRPr="00322315">
          <w:rPr>
            <w:color w:val="auto"/>
            <w:szCs w:val="24"/>
          </w:rPr>
          <w:t>PD1100</w:t>
        </w:r>
        <w:r>
          <w:rPr>
            <w:color w:val="auto"/>
            <w:szCs w:val="24"/>
          </w:rPr>
          <w:t>397</w:t>
        </w:r>
      </w:p>
    </w:sdtContent>
  </w:sdt>
  <w:p w:rsidR="005659E9" w:rsidRPr="00684CE6" w:rsidRDefault="005659E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C5E" w:rsidRDefault="00E84C5E">
      <w:r>
        <w:separator/>
      </w:r>
    </w:p>
  </w:footnote>
  <w:footnote w:type="continuationSeparator" w:id="0">
    <w:p w:rsidR="00E84C5E" w:rsidRDefault="00E84C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08F"/>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5258"/>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19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060"/>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4C6D"/>
    <w:rsid w:val="003155FB"/>
    <w:rsid w:val="0032136A"/>
    <w:rsid w:val="00322315"/>
    <w:rsid w:val="003224D8"/>
    <w:rsid w:val="00322F65"/>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D55"/>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659"/>
    <w:rsid w:val="003A27B2"/>
    <w:rsid w:val="003A40B4"/>
    <w:rsid w:val="003A41BA"/>
    <w:rsid w:val="003A5491"/>
    <w:rsid w:val="003A5958"/>
    <w:rsid w:val="003A6A99"/>
    <w:rsid w:val="003A6E60"/>
    <w:rsid w:val="003A76AB"/>
    <w:rsid w:val="003A7FF8"/>
    <w:rsid w:val="003B17AC"/>
    <w:rsid w:val="003B2010"/>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2B2"/>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34B"/>
    <w:rsid w:val="004F77A3"/>
    <w:rsid w:val="005000AB"/>
    <w:rsid w:val="00500EAF"/>
    <w:rsid w:val="00500F3C"/>
    <w:rsid w:val="005025EE"/>
    <w:rsid w:val="00503401"/>
    <w:rsid w:val="00503DDF"/>
    <w:rsid w:val="00505524"/>
    <w:rsid w:val="005058D5"/>
    <w:rsid w:val="00506688"/>
    <w:rsid w:val="00507D2D"/>
    <w:rsid w:val="00510588"/>
    <w:rsid w:val="00510F9C"/>
    <w:rsid w:val="0051146C"/>
    <w:rsid w:val="0051220B"/>
    <w:rsid w:val="00512253"/>
    <w:rsid w:val="00512484"/>
    <w:rsid w:val="00514449"/>
    <w:rsid w:val="00515419"/>
    <w:rsid w:val="005157BD"/>
    <w:rsid w:val="00516097"/>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9E9"/>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C7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456"/>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01C"/>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299"/>
    <w:rsid w:val="007D136C"/>
    <w:rsid w:val="007D1FCE"/>
    <w:rsid w:val="007D21AC"/>
    <w:rsid w:val="007D24B0"/>
    <w:rsid w:val="007D385F"/>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1886"/>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4FA9"/>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1494"/>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E7B"/>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7E4E"/>
    <w:rsid w:val="00A82C52"/>
    <w:rsid w:val="00A838E8"/>
    <w:rsid w:val="00A83C15"/>
    <w:rsid w:val="00A84150"/>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12B"/>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3DF7"/>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3BC6"/>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3569"/>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1B6"/>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959"/>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09B2"/>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7A3"/>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6F0"/>
    <w:rsid w:val="00E408B7"/>
    <w:rsid w:val="00E412EB"/>
    <w:rsid w:val="00E41637"/>
    <w:rsid w:val="00E42789"/>
    <w:rsid w:val="00E43F59"/>
    <w:rsid w:val="00E464F0"/>
    <w:rsid w:val="00E46EF3"/>
    <w:rsid w:val="00E47370"/>
    <w:rsid w:val="00E473E9"/>
    <w:rsid w:val="00E47B47"/>
    <w:rsid w:val="00E50BEB"/>
    <w:rsid w:val="00E524E2"/>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C5E"/>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95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6A8"/>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07D2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242594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6576A-732E-4620-9F6A-70AE6081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1927</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2012-05-22T16:10:00Z</dcterms:created>
  <dcterms:modified xsi:type="dcterms:W3CDTF">2012-05-22T16:10:00Z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