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4B" w:rsidRPr="001F29F9" w:rsidRDefault="00BA5E4B" w:rsidP="00BF0E94">
      <w:pPr>
        <w:tabs>
          <w:tab w:val="left" w:pos="288"/>
          <w:tab w:val="left" w:pos="4752"/>
        </w:tabs>
        <w:rPr>
          <w:color w:val="000000"/>
        </w:rPr>
      </w:pPr>
      <w:r w:rsidRPr="001F29F9">
        <w:rPr>
          <w:color w:val="000000"/>
        </w:rPr>
        <w:t>RECORD OF PROCEEDINGS</w:t>
      </w:r>
    </w:p>
    <w:p w:rsidR="00BA5E4B" w:rsidRPr="001F29F9" w:rsidRDefault="00BA5E4B" w:rsidP="00BF0E94">
      <w:pPr>
        <w:tabs>
          <w:tab w:val="left" w:pos="288"/>
          <w:tab w:val="left" w:pos="4752"/>
        </w:tabs>
        <w:rPr>
          <w:color w:val="000000"/>
        </w:rPr>
      </w:pPr>
      <w:r w:rsidRPr="001F29F9">
        <w:rPr>
          <w:color w:val="000000"/>
        </w:rPr>
        <w:t>PHYSICAL DISABILITY BOARD OF REVIEW</w:t>
      </w:r>
    </w:p>
    <w:p w:rsidR="00BA5E4B" w:rsidRPr="001F29F9" w:rsidRDefault="00BA5E4B" w:rsidP="00BF0E94">
      <w:pPr>
        <w:tabs>
          <w:tab w:val="left" w:pos="288"/>
          <w:tab w:val="left" w:pos="4752"/>
        </w:tabs>
        <w:jc w:val="both"/>
        <w:rPr>
          <w:caps/>
          <w:color w:val="000000"/>
        </w:rPr>
      </w:pPr>
    </w:p>
    <w:p w:rsidR="00BA5E4B" w:rsidRPr="001F29F9" w:rsidRDefault="00BA5E4B" w:rsidP="003C53E8">
      <w:pPr>
        <w:tabs>
          <w:tab w:val="left" w:pos="288"/>
          <w:tab w:val="left" w:pos="4752"/>
          <w:tab w:val="left" w:pos="6390"/>
          <w:tab w:val="left" w:pos="9270"/>
        </w:tabs>
        <w:jc w:val="both"/>
        <w:rPr>
          <w:caps/>
          <w:color w:val="000000"/>
        </w:rPr>
      </w:pPr>
      <w:r w:rsidRPr="001F29F9">
        <w:rPr>
          <w:caps/>
          <w:color w:val="000000"/>
        </w:rPr>
        <w:t xml:space="preserve">NAME:  </w:t>
      </w:r>
      <w:r w:rsidR="004831A0">
        <w:rPr>
          <w:caps/>
          <w:color w:val="000000"/>
        </w:rPr>
        <w:t xml:space="preserve"> </w:t>
      </w:r>
      <w:r w:rsidRPr="001F29F9">
        <w:rPr>
          <w:caps/>
          <w:color w:val="000000"/>
        </w:rPr>
        <w:t xml:space="preserve">           </w:t>
      </w:r>
      <w:r>
        <w:rPr>
          <w:caps/>
          <w:color w:val="000000"/>
        </w:rPr>
        <w:tab/>
        <w:t xml:space="preserve">                       </w:t>
      </w:r>
      <w:r w:rsidRPr="001F29F9">
        <w:rPr>
          <w:caps/>
          <w:color w:val="000000"/>
        </w:rPr>
        <w:t xml:space="preserve">BRANCH OF </w:t>
      </w:r>
      <w:r w:rsidRPr="008B7110">
        <w:rPr>
          <w:caps/>
          <w:color w:val="000000"/>
        </w:rPr>
        <w:t xml:space="preserve">SERVICE:  Army </w:t>
      </w:r>
    </w:p>
    <w:p w:rsidR="00BA5E4B" w:rsidRPr="001F29F9" w:rsidRDefault="00BA5E4B" w:rsidP="0068098E">
      <w:pPr>
        <w:tabs>
          <w:tab w:val="left" w:pos="288"/>
          <w:tab w:val="left" w:pos="4166"/>
          <w:tab w:val="left" w:pos="4752"/>
          <w:tab w:val="left" w:pos="5130"/>
          <w:tab w:val="left" w:pos="9270"/>
        </w:tabs>
        <w:jc w:val="both"/>
        <w:rPr>
          <w:caps/>
          <w:color w:val="000000"/>
        </w:rPr>
      </w:pPr>
      <w:r w:rsidRPr="001F29F9">
        <w:rPr>
          <w:caps/>
          <w:color w:val="000000"/>
        </w:rPr>
        <w:t>CASE NUMBER:  PD1100386</w:t>
      </w:r>
      <w:r w:rsidRPr="001F29F9">
        <w:rPr>
          <w:color w:val="000000"/>
        </w:rPr>
        <w:t xml:space="preserve"> </w:t>
      </w:r>
      <w:r w:rsidRPr="001F29F9">
        <w:rPr>
          <w:color w:val="000000"/>
        </w:rPr>
        <w:tab/>
      </w:r>
      <w:r w:rsidRPr="001F29F9">
        <w:rPr>
          <w:color w:val="000000"/>
        </w:rPr>
        <w:tab/>
        <w:t xml:space="preserve">                       SEPARATION DATE: 20040824</w:t>
      </w:r>
    </w:p>
    <w:p w:rsidR="00BA5E4B" w:rsidRPr="001F29F9" w:rsidRDefault="00F6437B" w:rsidP="008B7110">
      <w:pPr>
        <w:tabs>
          <w:tab w:val="left" w:pos="288"/>
          <w:tab w:val="left" w:pos="5130"/>
        </w:tabs>
        <w:jc w:val="both"/>
        <w:rPr>
          <w:color w:val="000000"/>
        </w:rPr>
      </w:pPr>
      <w:r>
        <w:rPr>
          <w:caps/>
          <w:color w:val="000000"/>
        </w:rPr>
        <w:t>BOARD DATE:  2012</w:t>
      </w:r>
      <w:r w:rsidR="00CD4CCD">
        <w:rPr>
          <w:caps/>
          <w:color w:val="000000"/>
        </w:rPr>
        <w:t>0305</w:t>
      </w:r>
      <w:r w:rsidR="00BA5E4B">
        <w:rPr>
          <w:rFonts w:cs="Times New Roman"/>
          <w:caps/>
          <w:color w:val="000000"/>
        </w:rPr>
        <w:tab/>
      </w:r>
    </w:p>
    <w:p w:rsidR="00BA5E4B" w:rsidRPr="001F29F9" w:rsidRDefault="00BA5E4B" w:rsidP="003C53E8">
      <w:pPr>
        <w:pBdr>
          <w:bottom w:val="single" w:sz="12" w:space="1" w:color="auto"/>
        </w:pBdr>
        <w:tabs>
          <w:tab w:val="left" w:pos="288"/>
          <w:tab w:val="left" w:pos="4752"/>
        </w:tabs>
        <w:jc w:val="both"/>
        <w:rPr>
          <w:color w:val="000000"/>
        </w:rPr>
      </w:pPr>
    </w:p>
    <w:p w:rsidR="00BA5E4B" w:rsidRPr="001F29F9" w:rsidRDefault="00BA5E4B" w:rsidP="00BF0E94">
      <w:pPr>
        <w:tabs>
          <w:tab w:val="left" w:pos="288"/>
          <w:tab w:val="left" w:pos="4752"/>
        </w:tabs>
        <w:jc w:val="both"/>
        <w:rPr>
          <w:color w:val="000000"/>
        </w:rPr>
      </w:pPr>
    </w:p>
    <w:p w:rsidR="00BA5E4B" w:rsidRPr="001F29F9" w:rsidRDefault="00BA5E4B"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a Reserve member, SSG/E-6 (92A, Supply/Logistics Specialist), medically separated for </w:t>
      </w:r>
      <w:r w:rsidR="00CD4CCD">
        <w:rPr>
          <w:color w:val="000000"/>
        </w:rPr>
        <w:t>a lumbar spine condition</w:t>
      </w:r>
      <w:r w:rsidRPr="001F29F9">
        <w:rPr>
          <w:color w:val="000000"/>
        </w:rPr>
        <w:t>. The CI first</w:t>
      </w:r>
      <w:r w:rsidR="00CD4CCD">
        <w:rPr>
          <w:color w:val="000000"/>
        </w:rPr>
        <w:t xml:space="preserve"> reported low back pain in 2000;</w:t>
      </w:r>
      <w:r w:rsidRPr="001F29F9">
        <w:rPr>
          <w:color w:val="000000"/>
        </w:rPr>
        <w:t xml:space="preserve"> </w:t>
      </w:r>
      <w:r w:rsidR="00CD4CCD">
        <w:rPr>
          <w:color w:val="000000"/>
        </w:rPr>
        <w:t xml:space="preserve">and, </w:t>
      </w:r>
      <w:r w:rsidRPr="001F29F9">
        <w:rPr>
          <w:color w:val="000000"/>
        </w:rPr>
        <w:t>r</w:t>
      </w:r>
      <w:r w:rsidR="00CD4CCD">
        <w:rPr>
          <w:color w:val="000000"/>
        </w:rPr>
        <w:t>e-injured her back in 2001 with a duty-related strain injury</w:t>
      </w:r>
      <w:r w:rsidRPr="001F29F9">
        <w:rPr>
          <w:color w:val="000000"/>
        </w:rPr>
        <w:t>.</w:t>
      </w:r>
      <w:r w:rsidR="00CD4CCD">
        <w:rPr>
          <w:color w:val="000000"/>
        </w:rPr>
        <w:t xml:space="preserve"> </w:t>
      </w:r>
      <w:r w:rsidRPr="001F29F9">
        <w:rPr>
          <w:color w:val="000000"/>
        </w:rPr>
        <w:t xml:space="preserve"> </w:t>
      </w:r>
      <w:r w:rsidR="00CD4CCD">
        <w:rPr>
          <w:color w:val="auto"/>
        </w:rPr>
        <w:t>After</w:t>
      </w:r>
      <w:r w:rsidR="00C53BE4">
        <w:rPr>
          <w:color w:val="auto"/>
        </w:rPr>
        <w:t xml:space="preserve"> a </w:t>
      </w:r>
      <w:r w:rsidR="00CD4CCD">
        <w:rPr>
          <w:color w:val="auto"/>
        </w:rPr>
        <w:t xml:space="preserve">rigorous </w:t>
      </w:r>
      <w:r w:rsidR="00C53BE4">
        <w:rPr>
          <w:color w:val="auto"/>
        </w:rPr>
        <w:t>training exercise</w:t>
      </w:r>
      <w:r w:rsidR="00CD4CCD" w:rsidRPr="00CD4CCD">
        <w:rPr>
          <w:color w:val="auto"/>
        </w:rPr>
        <w:t xml:space="preserve"> </w:t>
      </w:r>
      <w:r w:rsidR="003548AA">
        <w:rPr>
          <w:color w:val="auto"/>
        </w:rPr>
        <w:t>i</w:t>
      </w:r>
      <w:r w:rsidR="00CD4CCD">
        <w:rPr>
          <w:color w:val="auto"/>
        </w:rPr>
        <w:t>n 2003</w:t>
      </w:r>
      <w:r w:rsidR="00C53BE4">
        <w:rPr>
          <w:color w:val="auto"/>
        </w:rPr>
        <w:t xml:space="preserve">, </w:t>
      </w:r>
      <w:r w:rsidR="00CD4CCD">
        <w:rPr>
          <w:color w:val="000000"/>
        </w:rPr>
        <w:t>she reported a recurrence of</w:t>
      </w:r>
      <w:r w:rsidRPr="001F29F9">
        <w:rPr>
          <w:color w:val="000000"/>
        </w:rPr>
        <w:t xml:space="preserve"> low back </w:t>
      </w:r>
      <w:r w:rsidR="00CD4CCD">
        <w:rPr>
          <w:color w:val="000000"/>
        </w:rPr>
        <w:t xml:space="preserve">pain with </w:t>
      </w:r>
      <w:proofErr w:type="spellStart"/>
      <w:r w:rsidR="00E95381">
        <w:rPr>
          <w:color w:val="000000"/>
        </w:rPr>
        <w:t>radicular</w:t>
      </w:r>
      <w:proofErr w:type="spellEnd"/>
      <w:r w:rsidR="00E95381">
        <w:rPr>
          <w:color w:val="000000"/>
        </w:rPr>
        <w:t xml:space="preserve"> </w:t>
      </w:r>
      <w:r w:rsidR="00CD4CCD">
        <w:rPr>
          <w:color w:val="000000"/>
        </w:rPr>
        <w:t>radiation</w:t>
      </w:r>
      <w:r w:rsidRPr="001F29F9">
        <w:rPr>
          <w:color w:val="000000"/>
        </w:rPr>
        <w:t xml:space="preserve">. She was </w:t>
      </w:r>
      <w:r w:rsidR="00CD4CCD">
        <w:rPr>
          <w:color w:val="000000"/>
        </w:rPr>
        <w:t xml:space="preserve">subsequently diagnosed with non-surgical disc disease; and </w:t>
      </w:r>
      <w:r w:rsidRPr="008B7110">
        <w:rPr>
          <w:color w:val="000000"/>
        </w:rPr>
        <w:t xml:space="preserve">did not </w:t>
      </w:r>
      <w:r w:rsidR="00CD4CCD">
        <w:rPr>
          <w:color w:val="000000"/>
        </w:rPr>
        <w:t>improve</w:t>
      </w:r>
      <w:r w:rsidRPr="008B7110">
        <w:rPr>
          <w:color w:val="000000"/>
        </w:rPr>
        <w:t xml:space="preserve"> adequately </w:t>
      </w:r>
      <w:r w:rsidR="00CD4CCD">
        <w:rPr>
          <w:color w:val="000000"/>
        </w:rPr>
        <w:t>with conservative management</w:t>
      </w:r>
      <w:r w:rsidRPr="008B7110">
        <w:rPr>
          <w:color w:val="000000"/>
        </w:rPr>
        <w:t xml:space="preserve"> to perform within her Military Occupational Specialty (MOS) or meet physical fitness standard</w:t>
      </w:r>
      <w:r w:rsidR="007107CD">
        <w:rPr>
          <w:color w:val="000000"/>
        </w:rPr>
        <w:t xml:space="preserve">s. The MEB further </w:t>
      </w:r>
      <w:r w:rsidR="00CD4CCD">
        <w:rPr>
          <w:color w:val="000000"/>
        </w:rPr>
        <w:t>addressed</w:t>
      </w:r>
      <w:r w:rsidR="007107CD">
        <w:rPr>
          <w:color w:val="000000"/>
        </w:rPr>
        <w:t xml:space="preserve"> </w:t>
      </w:r>
      <w:r w:rsidR="00CD4CCD">
        <w:rPr>
          <w:color w:val="000000"/>
        </w:rPr>
        <w:t>numerous other conditions as listed below</w:t>
      </w:r>
      <w:r w:rsidR="007107CD">
        <w:rPr>
          <w:color w:val="000000"/>
        </w:rPr>
        <w:t xml:space="preserve">.  She was issued a permanent </w:t>
      </w:r>
      <w:r w:rsidRPr="008B7110">
        <w:rPr>
          <w:color w:val="000000"/>
        </w:rPr>
        <w:t>L3</w:t>
      </w:r>
      <w:r w:rsidR="007107CD">
        <w:rPr>
          <w:color w:val="000000"/>
        </w:rPr>
        <w:t>/S3</w:t>
      </w:r>
      <w:r w:rsidRPr="008B7110">
        <w:rPr>
          <w:color w:val="000000"/>
        </w:rPr>
        <w:t xml:space="preserve"> profile and underwent a Medical Evaluation Board (MEB).</w:t>
      </w:r>
      <w:r w:rsidR="00E95381">
        <w:rPr>
          <w:color w:val="000000"/>
        </w:rPr>
        <w:t xml:space="preserve"> </w:t>
      </w:r>
      <w:r w:rsidRPr="008B7110">
        <w:rPr>
          <w:color w:val="000000"/>
        </w:rPr>
        <w:t xml:space="preserve"> Low back pain, </w:t>
      </w:r>
      <w:proofErr w:type="spellStart"/>
      <w:r w:rsidRPr="008B7110">
        <w:rPr>
          <w:color w:val="000000"/>
        </w:rPr>
        <w:t>pes</w:t>
      </w:r>
      <w:proofErr w:type="spellEnd"/>
      <w:r w:rsidRPr="008B7110">
        <w:rPr>
          <w:color w:val="000000"/>
        </w:rPr>
        <w:t xml:space="preserve"> </w:t>
      </w:r>
      <w:proofErr w:type="spellStart"/>
      <w:r w:rsidRPr="008B7110">
        <w:rPr>
          <w:color w:val="000000"/>
        </w:rPr>
        <w:t>plan</w:t>
      </w:r>
      <w:r w:rsidR="00295F2A">
        <w:rPr>
          <w:color w:val="000000"/>
        </w:rPr>
        <w:t>us</w:t>
      </w:r>
      <w:proofErr w:type="spellEnd"/>
      <w:r w:rsidR="00295F2A">
        <w:rPr>
          <w:color w:val="000000"/>
        </w:rPr>
        <w:t xml:space="preserve"> with plantar fasciitis, post</w:t>
      </w:r>
      <w:r w:rsidRPr="008B7110">
        <w:rPr>
          <w:color w:val="000000"/>
        </w:rPr>
        <w:t xml:space="preserve">traumatic stress disorder (PTSD), and depression were forwarded to the Physical Evaluation Board (PEB) as medically unacceptable </w:t>
      </w:r>
      <w:r w:rsidR="007107CD">
        <w:rPr>
          <w:color w:val="000000"/>
        </w:rPr>
        <w:t xml:space="preserve">conditions </w:t>
      </w:r>
      <w:r w:rsidRPr="008B7110">
        <w:rPr>
          <w:color w:val="000000"/>
        </w:rPr>
        <w:t xml:space="preserve">IAW AR 40-501. Four other conditions, as identified in the rating chart below, were forwarded </w:t>
      </w:r>
      <w:r w:rsidR="00E95381">
        <w:rPr>
          <w:color w:val="000000"/>
        </w:rPr>
        <w:t>by</w:t>
      </w:r>
      <w:r w:rsidRPr="008B7110">
        <w:rPr>
          <w:color w:val="000000"/>
        </w:rPr>
        <w:t xml:space="preserve"> the MEB as medically acceptable conditions. </w:t>
      </w:r>
      <w:r w:rsidR="00E95381">
        <w:rPr>
          <w:color w:val="000000"/>
        </w:rPr>
        <w:t xml:space="preserve"> The </w:t>
      </w:r>
      <w:r w:rsidRPr="008B7110">
        <w:rPr>
          <w:color w:val="000000"/>
        </w:rPr>
        <w:t xml:space="preserve">PEB adjudicated the </w:t>
      </w:r>
      <w:r w:rsidR="00E95381">
        <w:rPr>
          <w:color w:val="000000"/>
        </w:rPr>
        <w:t>lumbar</w:t>
      </w:r>
      <w:r w:rsidRPr="008B7110">
        <w:rPr>
          <w:color w:val="000000"/>
        </w:rPr>
        <w:t xml:space="preserve"> condition as unfitting, rated 10%, with </w:t>
      </w:r>
      <w:r w:rsidR="00E95381">
        <w:rPr>
          <w:color w:val="000000"/>
        </w:rPr>
        <w:t xml:space="preserve">presumptive </w:t>
      </w:r>
      <w:r w:rsidRPr="008B7110">
        <w:rPr>
          <w:color w:val="000000"/>
        </w:rPr>
        <w:t>application of the US Army Physical Disability Agency (USAPDA) pain policy.</w:t>
      </w:r>
      <w:r w:rsidRPr="001F29F9">
        <w:rPr>
          <w:color w:val="000000"/>
        </w:rPr>
        <w:t xml:space="preserve"> </w:t>
      </w:r>
      <w:r w:rsidR="00E95381">
        <w:rPr>
          <w:color w:val="000000"/>
        </w:rPr>
        <w:t xml:space="preserve"> The remaining conditions were adjudicated as not unfitting.  </w:t>
      </w:r>
      <w:r w:rsidRPr="001F29F9">
        <w:rPr>
          <w:color w:val="000000"/>
        </w:rPr>
        <w:t>The CI made no appeals, and was medically separated with a 10% combined disability rating.</w:t>
      </w:r>
    </w:p>
    <w:p w:rsidR="00BA5E4B" w:rsidRPr="001F29F9" w:rsidRDefault="00BA5E4B" w:rsidP="00BF0E94">
      <w:pPr>
        <w:pBdr>
          <w:bottom w:val="single" w:sz="12" w:space="1" w:color="auto"/>
        </w:pBdr>
        <w:tabs>
          <w:tab w:val="left" w:pos="288"/>
          <w:tab w:val="left" w:pos="4752"/>
        </w:tabs>
        <w:jc w:val="both"/>
        <w:rPr>
          <w:color w:val="000000"/>
        </w:rPr>
      </w:pPr>
    </w:p>
    <w:p w:rsidR="00BA5E4B" w:rsidRPr="001F29F9" w:rsidRDefault="00BA5E4B" w:rsidP="00BF0E94">
      <w:pPr>
        <w:tabs>
          <w:tab w:val="left" w:pos="288"/>
          <w:tab w:val="left" w:pos="4752"/>
        </w:tabs>
        <w:jc w:val="both"/>
        <w:rPr>
          <w:color w:val="000000"/>
        </w:rPr>
      </w:pPr>
    </w:p>
    <w:p w:rsidR="00BA5E4B" w:rsidRPr="001F29F9" w:rsidRDefault="00BA5E4B" w:rsidP="00BF0E94">
      <w:pPr>
        <w:tabs>
          <w:tab w:val="left" w:pos="288"/>
          <w:tab w:val="left" w:pos="4752"/>
        </w:tabs>
        <w:jc w:val="both"/>
        <w:rPr>
          <w:color w:val="000000"/>
        </w:rPr>
      </w:pPr>
      <w:r w:rsidRPr="001F29F9">
        <w:rPr>
          <w:color w:val="000000"/>
          <w:u w:val="single"/>
        </w:rPr>
        <w:t>CI CONTENTION</w:t>
      </w:r>
      <w:r w:rsidRPr="001F29F9">
        <w:rPr>
          <w:color w:val="000000"/>
        </w:rPr>
        <w:t>:</w:t>
      </w:r>
      <w:r w:rsidRPr="008B7110">
        <w:rPr>
          <w:color w:val="auto"/>
        </w:rPr>
        <w:t xml:space="preserve"> </w:t>
      </w:r>
      <w:r>
        <w:rPr>
          <w:color w:val="auto"/>
        </w:rPr>
        <w:t xml:space="preserve">“My DA Form 3947, Sep 83 has 8 injuries, diseases or illnesses listed that the military took responsibility for either incurring while entitled to base pay or permanently aggravating but I was rated on only my back, although all these should have been rated collectively.  At the time of discharge from Ft Knox, KY on Aug. 24, 2004, I had a VA disability rating of 70% which is now 90% and 100% based on </w:t>
      </w:r>
      <w:proofErr w:type="spellStart"/>
      <w:r>
        <w:rPr>
          <w:color w:val="auto"/>
        </w:rPr>
        <w:t>unemployability</w:t>
      </w:r>
      <w:proofErr w:type="spellEnd"/>
      <w:r>
        <w:rPr>
          <w:color w:val="auto"/>
        </w:rPr>
        <w:t xml:space="preserve"> which I received shortly after my discharge.  I also have a 20 yr letter but my type of separation on my DD214 is listed as discharge, not medical.” </w:t>
      </w:r>
      <w:r w:rsidR="00D7670E">
        <w:rPr>
          <w:color w:val="auto"/>
        </w:rPr>
        <w:t>The CI further submitted a handwritten letter which further elaborates upon the additionally contended conditions adjudicated by PEB (included in the chart below).</w:t>
      </w:r>
    </w:p>
    <w:p w:rsidR="00BA5E4B" w:rsidRPr="001F29F9" w:rsidRDefault="00BA5E4B" w:rsidP="00BF0E94">
      <w:pPr>
        <w:pBdr>
          <w:bottom w:val="single" w:sz="12" w:space="1" w:color="auto"/>
        </w:pBdr>
        <w:tabs>
          <w:tab w:val="left" w:pos="288"/>
          <w:tab w:val="left" w:pos="4752"/>
        </w:tabs>
        <w:jc w:val="both"/>
        <w:rPr>
          <w:color w:val="000000"/>
        </w:rPr>
      </w:pPr>
    </w:p>
    <w:p w:rsidR="00F6437B" w:rsidRDefault="00F6437B" w:rsidP="00F6437B">
      <w:pPr>
        <w:jc w:val="left"/>
        <w:rPr>
          <w:color w:val="000000"/>
          <w:u w:val="single"/>
        </w:rPr>
      </w:pPr>
    </w:p>
    <w:p w:rsidR="00F6437B" w:rsidRDefault="00F6437B" w:rsidP="00F6437B">
      <w:pPr>
        <w:jc w:val="left"/>
        <w:rPr>
          <w:color w:val="000000"/>
        </w:rPr>
      </w:pPr>
      <w:r w:rsidRPr="001F29F9">
        <w:rPr>
          <w:color w:val="000000"/>
          <w:u w:val="single"/>
        </w:rPr>
        <w:t>RATING COMPARISON</w:t>
      </w:r>
      <w:r w:rsidRPr="001F29F9">
        <w:rPr>
          <w:color w:val="000000"/>
        </w:rPr>
        <w:t>:</w:t>
      </w:r>
    </w:p>
    <w:p w:rsidR="005A5B3D" w:rsidRPr="001D461E" w:rsidRDefault="001D461E" w:rsidP="00F6437B">
      <w:pPr>
        <w:jc w:val="left"/>
        <w:rPr>
          <w:color w:val="000000"/>
          <w:sz w:val="18"/>
          <w:szCs w:val="18"/>
        </w:rPr>
      </w:pPr>
      <w:r>
        <w:rPr>
          <w:color w:val="000000"/>
          <w:sz w:val="18"/>
          <w:szCs w:val="18"/>
        </w:rPr>
        <w:t xml:space="preserve">                                                        *Increased to 10% effective 20050718 based on exam of 20050820 (12 months post-separation). </w:t>
      </w:r>
    </w:p>
    <w:tbl>
      <w:tblPr>
        <w:tblStyle w:val="TableGrid"/>
        <w:tblpPr w:leftFromText="180" w:rightFromText="180" w:vertAnchor="text" w:horzAnchor="margin" w:tblpXSpec="center" w:tblpY="-51"/>
        <w:tblW w:w="9360" w:type="dxa"/>
        <w:tblLayout w:type="fixed"/>
        <w:tblLook w:val="00A0"/>
      </w:tblPr>
      <w:tblGrid>
        <w:gridCol w:w="2266"/>
        <w:gridCol w:w="1080"/>
        <w:gridCol w:w="810"/>
        <w:gridCol w:w="2317"/>
        <w:gridCol w:w="1062"/>
        <w:gridCol w:w="832"/>
        <w:gridCol w:w="993"/>
      </w:tblGrid>
      <w:tr w:rsidR="005A5B3D" w:rsidRPr="001D3466" w:rsidTr="00E95381">
        <w:trPr>
          <w:trHeight w:val="80"/>
        </w:trPr>
        <w:tc>
          <w:tcPr>
            <w:tcW w:w="4158" w:type="dxa"/>
            <w:gridSpan w:val="3"/>
            <w:tcBorders>
              <w:right w:val="thinThickThinSmallGap" w:sz="24" w:space="0" w:color="auto"/>
            </w:tcBorders>
            <w:shd w:val="clear" w:color="auto" w:fill="D9D9D9"/>
            <w:vAlign w:val="center"/>
          </w:tcPr>
          <w:p w:rsidR="005A5B3D" w:rsidRPr="001D3466" w:rsidRDefault="00E95381" w:rsidP="00E95381">
            <w:pPr>
              <w:spacing w:line="220" w:lineRule="exact"/>
              <w:contextualSpacing/>
              <w:rPr>
                <w:b/>
                <w:color w:val="auto"/>
                <w:sz w:val="20"/>
              </w:rPr>
            </w:pPr>
            <w:r>
              <w:rPr>
                <w:b/>
                <w:color w:val="auto"/>
                <w:sz w:val="20"/>
              </w:rPr>
              <w:t xml:space="preserve">Service </w:t>
            </w:r>
            <w:r w:rsidR="005A5B3D" w:rsidRPr="001D3466">
              <w:rPr>
                <w:b/>
                <w:color w:val="auto"/>
                <w:sz w:val="20"/>
              </w:rPr>
              <w:t>PEB – Dated 20040716</w:t>
            </w:r>
          </w:p>
        </w:tc>
        <w:tc>
          <w:tcPr>
            <w:tcW w:w="5202" w:type="dxa"/>
            <w:gridSpan w:val="4"/>
            <w:tcBorders>
              <w:left w:val="thinThickThinSmallGap" w:sz="24" w:space="0" w:color="auto"/>
            </w:tcBorders>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VA (2 Mo. Post-Separation) – All Effective Date 20040826</w:t>
            </w:r>
          </w:p>
        </w:tc>
      </w:tr>
      <w:tr w:rsidR="005A5B3D" w:rsidRPr="001D3466" w:rsidTr="004F24BD">
        <w:trPr>
          <w:trHeight w:val="191"/>
        </w:trPr>
        <w:tc>
          <w:tcPr>
            <w:tcW w:w="2268" w:type="dxa"/>
            <w:tcBorders>
              <w:right w:val="single" w:sz="4" w:space="0" w:color="auto"/>
            </w:tcBorders>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Condition</w:t>
            </w:r>
          </w:p>
        </w:tc>
        <w:tc>
          <w:tcPr>
            <w:tcW w:w="1080" w:type="dxa"/>
            <w:tcBorders>
              <w:left w:val="single" w:sz="4" w:space="0" w:color="auto"/>
            </w:tcBorders>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Code</w:t>
            </w:r>
          </w:p>
        </w:tc>
        <w:tc>
          <w:tcPr>
            <w:tcW w:w="810" w:type="dxa"/>
            <w:tcBorders>
              <w:right w:val="thinThickThinSmallGap" w:sz="24" w:space="0" w:color="auto"/>
            </w:tcBorders>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Rating</w:t>
            </w:r>
          </w:p>
        </w:tc>
        <w:tc>
          <w:tcPr>
            <w:tcW w:w="2318" w:type="dxa"/>
            <w:tcBorders>
              <w:left w:val="thinThickThinSmallGap" w:sz="24" w:space="0" w:color="auto"/>
            </w:tcBorders>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Condition</w:t>
            </w:r>
          </w:p>
        </w:tc>
        <w:tc>
          <w:tcPr>
            <w:tcW w:w="1062" w:type="dxa"/>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Code</w:t>
            </w:r>
          </w:p>
        </w:tc>
        <w:tc>
          <w:tcPr>
            <w:tcW w:w="832" w:type="dxa"/>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Rating</w:t>
            </w:r>
          </w:p>
        </w:tc>
        <w:tc>
          <w:tcPr>
            <w:tcW w:w="990" w:type="dxa"/>
            <w:shd w:val="clear" w:color="auto" w:fill="D9D9D9"/>
            <w:vAlign w:val="center"/>
          </w:tcPr>
          <w:p w:rsidR="005A5B3D" w:rsidRPr="001D3466" w:rsidRDefault="005A5B3D" w:rsidP="00E95381">
            <w:pPr>
              <w:spacing w:line="220" w:lineRule="exact"/>
              <w:contextualSpacing/>
              <w:rPr>
                <w:b/>
                <w:color w:val="auto"/>
                <w:sz w:val="20"/>
              </w:rPr>
            </w:pPr>
            <w:r w:rsidRPr="001D3466">
              <w:rPr>
                <w:b/>
                <w:color w:val="auto"/>
                <w:sz w:val="20"/>
              </w:rPr>
              <w:t>Exam</w:t>
            </w:r>
          </w:p>
        </w:tc>
      </w:tr>
      <w:tr w:rsidR="005A5B3D" w:rsidRPr="001D3466" w:rsidTr="004F24BD">
        <w:trPr>
          <w:trHeight w:val="65"/>
        </w:trPr>
        <w:tc>
          <w:tcPr>
            <w:tcW w:w="2268" w:type="dxa"/>
            <w:tcBorders>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Chronic Low Back Pain</w:t>
            </w:r>
          </w:p>
        </w:tc>
        <w:tc>
          <w:tcPr>
            <w:tcW w:w="1080"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5299-5237</w:t>
            </w:r>
          </w:p>
        </w:tc>
        <w:tc>
          <w:tcPr>
            <w:tcW w:w="810" w:type="dxa"/>
            <w:tcBorders>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10%</w:t>
            </w:r>
          </w:p>
        </w:tc>
        <w:tc>
          <w:tcPr>
            <w:tcW w:w="2318" w:type="dxa"/>
            <w:tcBorders>
              <w:left w:val="thinThickThinSmallGap" w:sz="2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Pr>
                <w:color w:val="auto"/>
                <w:sz w:val="18"/>
              </w:rPr>
              <w:t>Chronic LBP w/</w:t>
            </w:r>
            <w:r w:rsidRPr="001D3466">
              <w:rPr>
                <w:color w:val="auto"/>
                <w:sz w:val="18"/>
              </w:rPr>
              <w:t xml:space="preserve"> Bulging Discs</w:t>
            </w:r>
          </w:p>
        </w:tc>
        <w:tc>
          <w:tcPr>
            <w:tcW w:w="1062"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5237</w:t>
            </w:r>
          </w:p>
        </w:tc>
        <w:tc>
          <w:tcPr>
            <w:tcW w:w="832"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w:t>
            </w:r>
          </w:p>
        </w:tc>
        <w:tc>
          <w:tcPr>
            <w:tcW w:w="990"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5A5B3D" w:rsidRPr="001D3466" w:rsidTr="004F24BD">
        <w:trPr>
          <w:trHeight w:val="153"/>
        </w:trPr>
        <w:tc>
          <w:tcPr>
            <w:tcW w:w="2268" w:type="dxa"/>
            <w:tcBorders>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Depression</w:t>
            </w:r>
          </w:p>
        </w:tc>
        <w:tc>
          <w:tcPr>
            <w:tcW w:w="1890" w:type="dxa"/>
            <w:gridSpan w:val="2"/>
            <w:tcBorders>
              <w:left w:val="single" w:sz="4" w:space="0" w:color="auto"/>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Not Unfitting</w:t>
            </w:r>
          </w:p>
        </w:tc>
        <w:tc>
          <w:tcPr>
            <w:tcW w:w="2318" w:type="dxa"/>
            <w:tcBorders>
              <w:left w:val="thinThickThinSmallGap" w:sz="2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 xml:space="preserve">Adjustment Disorder </w:t>
            </w:r>
            <w:r>
              <w:rPr>
                <w:color w:val="auto"/>
                <w:sz w:val="18"/>
              </w:rPr>
              <w:t>…</w:t>
            </w:r>
          </w:p>
        </w:tc>
        <w:tc>
          <w:tcPr>
            <w:tcW w:w="1062"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9434</w:t>
            </w:r>
          </w:p>
        </w:tc>
        <w:tc>
          <w:tcPr>
            <w:tcW w:w="832" w:type="dxa"/>
            <w:tcBorders>
              <w:righ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30%</w:t>
            </w:r>
          </w:p>
        </w:tc>
        <w:tc>
          <w:tcPr>
            <w:tcW w:w="990"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4F24BD" w:rsidRPr="001D3466" w:rsidTr="004F24BD">
        <w:trPr>
          <w:trHeight w:val="65"/>
        </w:trPr>
        <w:tc>
          <w:tcPr>
            <w:tcW w:w="2268" w:type="dxa"/>
            <w:tcBorders>
              <w:right w:val="single" w:sz="4" w:space="0" w:color="auto"/>
            </w:tcBorders>
            <w:shd w:val="clear" w:color="auto" w:fill="FFFFFF"/>
            <w:vAlign w:val="center"/>
          </w:tcPr>
          <w:p w:rsidR="004F24BD" w:rsidRPr="001D3466" w:rsidRDefault="004F24BD" w:rsidP="00E95381">
            <w:pPr>
              <w:spacing w:line="200" w:lineRule="exact"/>
              <w:contextualSpacing/>
              <w:jc w:val="left"/>
              <w:rPr>
                <w:color w:val="auto"/>
                <w:sz w:val="18"/>
              </w:rPr>
            </w:pPr>
            <w:r w:rsidRPr="001D3466">
              <w:rPr>
                <w:color w:val="auto"/>
                <w:sz w:val="18"/>
              </w:rPr>
              <w:t>PTSD</w:t>
            </w:r>
          </w:p>
        </w:tc>
        <w:tc>
          <w:tcPr>
            <w:tcW w:w="1890" w:type="dxa"/>
            <w:gridSpan w:val="2"/>
            <w:tcBorders>
              <w:left w:val="single" w:sz="4" w:space="0" w:color="auto"/>
              <w:right w:val="thinThickThinSmallGap" w:sz="24" w:space="0" w:color="auto"/>
            </w:tcBorders>
            <w:shd w:val="clear" w:color="auto" w:fill="FFFFFF"/>
            <w:vAlign w:val="center"/>
          </w:tcPr>
          <w:p w:rsidR="004F24BD" w:rsidRPr="001D3466" w:rsidRDefault="004F24BD" w:rsidP="00E95381">
            <w:pPr>
              <w:spacing w:line="200" w:lineRule="exact"/>
              <w:contextualSpacing/>
              <w:rPr>
                <w:color w:val="auto"/>
                <w:sz w:val="18"/>
              </w:rPr>
            </w:pPr>
            <w:r w:rsidRPr="001D3466">
              <w:rPr>
                <w:color w:val="auto"/>
                <w:sz w:val="18"/>
              </w:rPr>
              <w:t>Not Unfitting</w:t>
            </w:r>
          </w:p>
        </w:tc>
        <w:tc>
          <w:tcPr>
            <w:tcW w:w="4209" w:type="dxa"/>
            <w:gridSpan w:val="3"/>
            <w:tcBorders>
              <w:left w:val="thinThickThinSmallGap" w:sz="24" w:space="0" w:color="auto"/>
              <w:right w:val="single" w:sz="4" w:space="0" w:color="auto"/>
            </w:tcBorders>
            <w:shd w:val="clear" w:color="auto" w:fill="FFFFFF"/>
            <w:vAlign w:val="center"/>
          </w:tcPr>
          <w:p w:rsidR="004F24BD" w:rsidRPr="001D3466" w:rsidRDefault="004F24BD" w:rsidP="00E95381">
            <w:pPr>
              <w:spacing w:line="200" w:lineRule="exact"/>
              <w:contextualSpacing/>
              <w:rPr>
                <w:color w:val="auto"/>
                <w:sz w:val="18"/>
              </w:rPr>
            </w:pPr>
            <w:r w:rsidRPr="001D3466">
              <w:rPr>
                <w:color w:val="auto"/>
                <w:sz w:val="18"/>
              </w:rPr>
              <w:t>No VA Entry</w:t>
            </w:r>
          </w:p>
        </w:tc>
        <w:tc>
          <w:tcPr>
            <w:tcW w:w="993" w:type="dxa"/>
            <w:tcBorders>
              <w:left w:val="single" w:sz="4" w:space="0" w:color="auto"/>
            </w:tcBorders>
            <w:shd w:val="clear" w:color="auto" w:fill="FFFFFF"/>
            <w:vAlign w:val="center"/>
          </w:tcPr>
          <w:p w:rsidR="004F24BD" w:rsidRPr="001D3466" w:rsidRDefault="004F24BD" w:rsidP="00E95381">
            <w:pPr>
              <w:spacing w:line="200" w:lineRule="exact"/>
              <w:contextualSpacing/>
              <w:rPr>
                <w:color w:val="auto"/>
                <w:sz w:val="18"/>
              </w:rPr>
            </w:pPr>
            <w:r w:rsidRPr="001D3466">
              <w:rPr>
                <w:color w:val="auto"/>
                <w:sz w:val="18"/>
              </w:rPr>
              <w:t>20031218</w:t>
            </w:r>
          </w:p>
        </w:tc>
      </w:tr>
      <w:tr w:rsidR="005A5B3D" w:rsidRPr="001D3466" w:rsidTr="004F24BD">
        <w:trPr>
          <w:trHeight w:val="146"/>
        </w:trPr>
        <w:tc>
          <w:tcPr>
            <w:tcW w:w="2268" w:type="dxa"/>
            <w:tcBorders>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proofErr w:type="spellStart"/>
            <w:r>
              <w:rPr>
                <w:color w:val="auto"/>
                <w:sz w:val="18"/>
              </w:rPr>
              <w:t>Pes</w:t>
            </w:r>
            <w:proofErr w:type="spellEnd"/>
            <w:r>
              <w:rPr>
                <w:color w:val="auto"/>
                <w:sz w:val="18"/>
              </w:rPr>
              <w:t xml:space="preserve"> </w:t>
            </w:r>
            <w:proofErr w:type="spellStart"/>
            <w:r>
              <w:rPr>
                <w:color w:val="auto"/>
                <w:sz w:val="18"/>
              </w:rPr>
              <w:t>Planus</w:t>
            </w:r>
            <w:proofErr w:type="spellEnd"/>
            <w:r>
              <w:rPr>
                <w:color w:val="auto"/>
                <w:sz w:val="18"/>
              </w:rPr>
              <w:t>/</w:t>
            </w:r>
            <w:r w:rsidRPr="001D3466">
              <w:rPr>
                <w:color w:val="auto"/>
                <w:sz w:val="18"/>
              </w:rPr>
              <w:t xml:space="preserve"> Plantar Fasciitis</w:t>
            </w:r>
          </w:p>
        </w:tc>
        <w:tc>
          <w:tcPr>
            <w:tcW w:w="1890" w:type="dxa"/>
            <w:gridSpan w:val="2"/>
            <w:tcBorders>
              <w:left w:val="single" w:sz="4" w:space="0" w:color="auto"/>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Not Unfitting</w:t>
            </w:r>
          </w:p>
        </w:tc>
        <w:tc>
          <w:tcPr>
            <w:tcW w:w="2318" w:type="dxa"/>
            <w:tcBorders>
              <w:left w:val="thinThickThinSmallGap" w:sz="2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proofErr w:type="spellStart"/>
            <w:r>
              <w:rPr>
                <w:color w:val="auto"/>
                <w:sz w:val="18"/>
              </w:rPr>
              <w:t>Pes</w:t>
            </w:r>
            <w:proofErr w:type="spellEnd"/>
            <w:r>
              <w:rPr>
                <w:color w:val="auto"/>
                <w:sz w:val="18"/>
              </w:rPr>
              <w:t xml:space="preserve"> </w:t>
            </w:r>
            <w:proofErr w:type="spellStart"/>
            <w:r>
              <w:rPr>
                <w:color w:val="auto"/>
                <w:sz w:val="18"/>
              </w:rPr>
              <w:t>Planus</w:t>
            </w:r>
            <w:proofErr w:type="spellEnd"/>
            <w:r>
              <w:rPr>
                <w:color w:val="auto"/>
                <w:sz w:val="18"/>
              </w:rPr>
              <w:t>/</w:t>
            </w:r>
            <w:r w:rsidRPr="001D3466">
              <w:rPr>
                <w:color w:val="auto"/>
                <w:sz w:val="18"/>
              </w:rPr>
              <w:t xml:space="preserve"> Plantar Fasciitis</w:t>
            </w:r>
          </w:p>
        </w:tc>
        <w:tc>
          <w:tcPr>
            <w:tcW w:w="1062" w:type="dxa"/>
            <w:tcBorders>
              <w:left w:val="single" w:sz="4" w:space="0" w:color="auto"/>
              <w:righ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5276</w:t>
            </w:r>
          </w:p>
        </w:tc>
        <w:tc>
          <w:tcPr>
            <w:tcW w:w="832" w:type="dxa"/>
            <w:tcBorders>
              <w:left w:val="single" w:sz="4" w:space="0" w:color="auto"/>
              <w:righ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0%</w:t>
            </w:r>
            <w:r w:rsidR="001D461E">
              <w:rPr>
                <w:color w:val="auto"/>
                <w:sz w:val="18"/>
              </w:rPr>
              <w:t>*</w:t>
            </w:r>
          </w:p>
        </w:tc>
        <w:tc>
          <w:tcPr>
            <w:tcW w:w="990"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5A5B3D" w:rsidRPr="001D3466" w:rsidTr="004F24BD">
        <w:trPr>
          <w:trHeight w:val="110"/>
        </w:trPr>
        <w:tc>
          <w:tcPr>
            <w:tcW w:w="2268" w:type="dxa"/>
            <w:tcBorders>
              <w:bottom w:val="single" w:sz="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Neck Pain</w:t>
            </w:r>
          </w:p>
        </w:tc>
        <w:tc>
          <w:tcPr>
            <w:tcW w:w="1890" w:type="dxa"/>
            <w:gridSpan w:val="2"/>
            <w:tcBorders>
              <w:left w:val="single" w:sz="4" w:space="0" w:color="auto"/>
              <w:bottom w:val="single" w:sz="4" w:space="0" w:color="auto"/>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Not Unfitting</w:t>
            </w:r>
          </w:p>
        </w:tc>
        <w:tc>
          <w:tcPr>
            <w:tcW w:w="2318" w:type="dxa"/>
            <w:tcBorders>
              <w:left w:val="thinThickThinSmallGap" w:sz="2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Arthritis Cervical Spine</w:t>
            </w:r>
          </w:p>
        </w:tc>
        <w:tc>
          <w:tcPr>
            <w:tcW w:w="1062"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5010-5242</w:t>
            </w:r>
          </w:p>
        </w:tc>
        <w:tc>
          <w:tcPr>
            <w:tcW w:w="832" w:type="dxa"/>
            <w:tcBorders>
              <w:righ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w:t>
            </w:r>
          </w:p>
        </w:tc>
        <w:tc>
          <w:tcPr>
            <w:tcW w:w="990"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4F24BD" w:rsidRPr="001D3466" w:rsidTr="004F24BD">
        <w:trPr>
          <w:trHeight w:val="146"/>
        </w:trPr>
        <w:tc>
          <w:tcPr>
            <w:tcW w:w="2268" w:type="dxa"/>
            <w:tcBorders>
              <w:bottom w:val="single" w:sz="4" w:space="0" w:color="auto"/>
              <w:right w:val="single" w:sz="4" w:space="0" w:color="auto"/>
            </w:tcBorders>
            <w:shd w:val="clear" w:color="auto" w:fill="FFFFFF"/>
            <w:vAlign w:val="center"/>
          </w:tcPr>
          <w:p w:rsidR="004F24BD" w:rsidRPr="001D3466" w:rsidRDefault="004F24BD" w:rsidP="00E95381">
            <w:pPr>
              <w:spacing w:line="200" w:lineRule="exact"/>
              <w:contextualSpacing/>
              <w:jc w:val="left"/>
              <w:rPr>
                <w:color w:val="auto"/>
                <w:sz w:val="18"/>
              </w:rPr>
            </w:pPr>
            <w:proofErr w:type="spellStart"/>
            <w:r w:rsidRPr="001D3466">
              <w:rPr>
                <w:color w:val="auto"/>
                <w:sz w:val="18"/>
              </w:rPr>
              <w:t>Polyarthralgias</w:t>
            </w:r>
            <w:proofErr w:type="spellEnd"/>
          </w:p>
        </w:tc>
        <w:tc>
          <w:tcPr>
            <w:tcW w:w="1890" w:type="dxa"/>
            <w:gridSpan w:val="2"/>
            <w:tcBorders>
              <w:left w:val="single" w:sz="4" w:space="0" w:color="auto"/>
              <w:bottom w:val="single" w:sz="4" w:space="0" w:color="auto"/>
              <w:right w:val="thinThickThinSmallGap" w:sz="24" w:space="0" w:color="auto"/>
            </w:tcBorders>
            <w:shd w:val="clear" w:color="auto" w:fill="FFFFFF"/>
            <w:vAlign w:val="center"/>
          </w:tcPr>
          <w:p w:rsidR="004F24BD" w:rsidRPr="001D3466" w:rsidRDefault="004F24BD" w:rsidP="00E95381">
            <w:pPr>
              <w:spacing w:line="200" w:lineRule="exact"/>
              <w:contextualSpacing/>
              <w:rPr>
                <w:color w:val="auto"/>
                <w:sz w:val="18"/>
              </w:rPr>
            </w:pPr>
            <w:r w:rsidRPr="001D3466">
              <w:rPr>
                <w:color w:val="auto"/>
                <w:sz w:val="18"/>
              </w:rPr>
              <w:t>Not Unfitting</w:t>
            </w:r>
          </w:p>
        </w:tc>
        <w:tc>
          <w:tcPr>
            <w:tcW w:w="4209" w:type="dxa"/>
            <w:gridSpan w:val="3"/>
            <w:tcBorders>
              <w:left w:val="thinThickThinSmallGap" w:sz="24" w:space="0" w:color="auto"/>
              <w:right w:val="single" w:sz="4" w:space="0" w:color="auto"/>
            </w:tcBorders>
            <w:shd w:val="clear" w:color="auto" w:fill="FFFFFF"/>
            <w:vAlign w:val="center"/>
          </w:tcPr>
          <w:p w:rsidR="004F24BD" w:rsidRPr="001D3466" w:rsidRDefault="004F24BD" w:rsidP="00E95381">
            <w:pPr>
              <w:spacing w:line="200" w:lineRule="exact"/>
              <w:contextualSpacing/>
              <w:rPr>
                <w:color w:val="auto"/>
                <w:sz w:val="18"/>
              </w:rPr>
            </w:pPr>
            <w:r w:rsidRPr="001D3466">
              <w:rPr>
                <w:color w:val="auto"/>
                <w:sz w:val="18"/>
              </w:rPr>
              <w:t>No VA Entry</w:t>
            </w:r>
          </w:p>
        </w:tc>
        <w:tc>
          <w:tcPr>
            <w:tcW w:w="993" w:type="dxa"/>
            <w:tcBorders>
              <w:left w:val="single" w:sz="4" w:space="0" w:color="auto"/>
            </w:tcBorders>
            <w:shd w:val="clear" w:color="auto" w:fill="FFFFFF"/>
            <w:vAlign w:val="center"/>
          </w:tcPr>
          <w:p w:rsidR="004F24BD" w:rsidRPr="001D3466" w:rsidRDefault="004F24BD" w:rsidP="00E95381">
            <w:pPr>
              <w:spacing w:line="200" w:lineRule="exact"/>
              <w:contextualSpacing/>
              <w:rPr>
                <w:color w:val="auto"/>
                <w:sz w:val="18"/>
              </w:rPr>
            </w:pPr>
            <w:r w:rsidRPr="001D3466">
              <w:rPr>
                <w:color w:val="auto"/>
                <w:sz w:val="18"/>
              </w:rPr>
              <w:t>20031218</w:t>
            </w:r>
          </w:p>
        </w:tc>
      </w:tr>
      <w:tr w:rsidR="005A5B3D" w:rsidRPr="001D3466" w:rsidTr="004F24BD">
        <w:trPr>
          <w:trHeight w:val="65"/>
        </w:trPr>
        <w:tc>
          <w:tcPr>
            <w:tcW w:w="2268" w:type="dxa"/>
            <w:tcBorders>
              <w:bottom w:val="single" w:sz="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Lupus</w:t>
            </w:r>
          </w:p>
        </w:tc>
        <w:tc>
          <w:tcPr>
            <w:tcW w:w="1890" w:type="dxa"/>
            <w:gridSpan w:val="2"/>
            <w:tcBorders>
              <w:left w:val="single" w:sz="4" w:space="0" w:color="auto"/>
              <w:bottom w:val="single" w:sz="4" w:space="0" w:color="auto"/>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Not Unfitting</w:t>
            </w:r>
          </w:p>
        </w:tc>
        <w:tc>
          <w:tcPr>
            <w:tcW w:w="4212" w:type="dxa"/>
            <w:gridSpan w:val="3"/>
            <w:tcBorders>
              <w:lef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NSC</w:t>
            </w:r>
          </w:p>
        </w:tc>
        <w:tc>
          <w:tcPr>
            <w:tcW w:w="990"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5A5B3D" w:rsidRPr="001D3466" w:rsidTr="004F24BD">
        <w:trPr>
          <w:trHeight w:val="65"/>
        </w:trPr>
        <w:tc>
          <w:tcPr>
            <w:tcW w:w="2268" w:type="dxa"/>
            <w:tcBorders>
              <w:bottom w:val="single" w:sz="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Fibromyalgia</w:t>
            </w:r>
          </w:p>
        </w:tc>
        <w:tc>
          <w:tcPr>
            <w:tcW w:w="1890" w:type="dxa"/>
            <w:gridSpan w:val="2"/>
            <w:tcBorders>
              <w:left w:val="single" w:sz="4" w:space="0" w:color="auto"/>
              <w:bottom w:val="single" w:sz="4" w:space="0" w:color="auto"/>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Not Unfitting</w:t>
            </w:r>
          </w:p>
        </w:tc>
        <w:tc>
          <w:tcPr>
            <w:tcW w:w="4212" w:type="dxa"/>
            <w:gridSpan w:val="3"/>
            <w:tcBorders>
              <w:lef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NSC</w:t>
            </w:r>
          </w:p>
        </w:tc>
        <w:tc>
          <w:tcPr>
            <w:tcW w:w="990"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5A5B3D" w:rsidRPr="001D3466" w:rsidTr="004F24BD">
        <w:trPr>
          <w:trHeight w:val="173"/>
        </w:trPr>
        <w:tc>
          <w:tcPr>
            <w:tcW w:w="4158" w:type="dxa"/>
            <w:gridSpan w:val="3"/>
            <w:vMerge w:val="restart"/>
            <w:tcBorders>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↓No Additional MEB/PEB Entries↓</w:t>
            </w:r>
          </w:p>
          <w:p w:rsidR="005A5B3D" w:rsidRPr="001D3466" w:rsidRDefault="005A5B3D" w:rsidP="00E95381">
            <w:pPr>
              <w:spacing w:line="200" w:lineRule="exact"/>
              <w:contextualSpacing/>
              <w:rPr>
                <w:color w:val="auto"/>
                <w:sz w:val="18"/>
              </w:rPr>
            </w:pPr>
          </w:p>
        </w:tc>
        <w:tc>
          <w:tcPr>
            <w:tcW w:w="2318" w:type="dxa"/>
            <w:tcBorders>
              <w:left w:val="thinThickThinSmallGap" w:sz="24" w:space="0" w:color="auto"/>
              <w:right w:val="single" w:sz="4" w:space="0" w:color="auto"/>
            </w:tcBorders>
            <w:shd w:val="clear" w:color="auto" w:fill="FFFFFF"/>
            <w:vAlign w:val="center"/>
          </w:tcPr>
          <w:p w:rsidR="005A5B3D" w:rsidRPr="001D3466" w:rsidRDefault="005A5B3D" w:rsidP="00E95381">
            <w:pPr>
              <w:spacing w:line="200" w:lineRule="exact"/>
              <w:contextualSpacing/>
              <w:jc w:val="left"/>
              <w:rPr>
                <w:color w:val="auto"/>
                <w:sz w:val="18"/>
              </w:rPr>
            </w:pPr>
            <w:r w:rsidRPr="001D3466">
              <w:rPr>
                <w:color w:val="auto"/>
                <w:sz w:val="18"/>
              </w:rPr>
              <w:t>Hysterectomy</w:t>
            </w:r>
          </w:p>
        </w:tc>
        <w:tc>
          <w:tcPr>
            <w:tcW w:w="1062" w:type="dxa"/>
            <w:tcBorders>
              <w:left w:val="single" w:sz="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7618</w:t>
            </w:r>
          </w:p>
        </w:tc>
        <w:tc>
          <w:tcPr>
            <w:tcW w:w="832"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30%</w:t>
            </w:r>
          </w:p>
        </w:tc>
        <w:tc>
          <w:tcPr>
            <w:tcW w:w="990"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5A5B3D" w:rsidRPr="001D3466" w:rsidTr="004F24BD">
        <w:trPr>
          <w:trHeight w:val="83"/>
        </w:trPr>
        <w:tc>
          <w:tcPr>
            <w:tcW w:w="4158" w:type="dxa"/>
            <w:gridSpan w:val="3"/>
            <w:vMerge/>
            <w:tcBorders>
              <w:righ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p>
        </w:tc>
        <w:tc>
          <w:tcPr>
            <w:tcW w:w="4212" w:type="dxa"/>
            <w:gridSpan w:val="3"/>
            <w:tcBorders>
              <w:left w:val="thinThickThinSmallGap" w:sz="24" w:space="0" w:color="auto"/>
            </w:tcBorders>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0% x 1/Not Service Connected x 4</w:t>
            </w:r>
          </w:p>
        </w:tc>
        <w:tc>
          <w:tcPr>
            <w:tcW w:w="990" w:type="dxa"/>
            <w:shd w:val="clear" w:color="auto" w:fill="FFFFFF"/>
            <w:vAlign w:val="center"/>
          </w:tcPr>
          <w:p w:rsidR="005A5B3D" w:rsidRPr="001D3466" w:rsidRDefault="005A5B3D" w:rsidP="00E95381">
            <w:pPr>
              <w:spacing w:line="200" w:lineRule="exact"/>
              <w:contextualSpacing/>
              <w:rPr>
                <w:color w:val="auto"/>
                <w:sz w:val="18"/>
              </w:rPr>
            </w:pPr>
            <w:r w:rsidRPr="001D3466">
              <w:rPr>
                <w:color w:val="auto"/>
                <w:sz w:val="18"/>
              </w:rPr>
              <w:t>20031218</w:t>
            </w:r>
          </w:p>
        </w:tc>
      </w:tr>
      <w:tr w:rsidR="005A5B3D" w:rsidRPr="001D3466" w:rsidTr="00E95381">
        <w:trPr>
          <w:trHeight w:val="118"/>
        </w:trPr>
        <w:tc>
          <w:tcPr>
            <w:tcW w:w="4158" w:type="dxa"/>
            <w:gridSpan w:val="3"/>
            <w:tcBorders>
              <w:right w:val="thinThickThinSmallGap" w:sz="24" w:space="0" w:color="auto"/>
            </w:tcBorders>
            <w:shd w:val="clear" w:color="auto" w:fill="D9D9D9"/>
          </w:tcPr>
          <w:p w:rsidR="005A5B3D" w:rsidRPr="001D3466" w:rsidRDefault="005A5B3D" w:rsidP="00E95381">
            <w:pPr>
              <w:spacing w:line="220" w:lineRule="exact"/>
              <w:contextualSpacing/>
              <w:rPr>
                <w:b/>
                <w:color w:val="auto"/>
                <w:sz w:val="20"/>
              </w:rPr>
            </w:pPr>
            <w:r w:rsidRPr="001D3466">
              <w:rPr>
                <w:b/>
                <w:color w:val="auto"/>
                <w:sz w:val="20"/>
              </w:rPr>
              <w:t>Combined:  10%</w:t>
            </w:r>
          </w:p>
        </w:tc>
        <w:tc>
          <w:tcPr>
            <w:tcW w:w="5202" w:type="dxa"/>
            <w:gridSpan w:val="4"/>
            <w:tcBorders>
              <w:left w:val="thinThickThinSmallGap" w:sz="24" w:space="0" w:color="auto"/>
            </w:tcBorders>
            <w:shd w:val="clear" w:color="auto" w:fill="D9D9D9"/>
          </w:tcPr>
          <w:p w:rsidR="005A5B3D" w:rsidRPr="001D3466" w:rsidRDefault="005A5B3D" w:rsidP="00E95381">
            <w:pPr>
              <w:spacing w:line="220" w:lineRule="exact"/>
              <w:contextualSpacing/>
              <w:rPr>
                <w:b/>
                <w:color w:val="auto"/>
                <w:sz w:val="20"/>
              </w:rPr>
            </w:pPr>
            <w:r w:rsidRPr="001D3466">
              <w:rPr>
                <w:b/>
                <w:color w:val="auto"/>
                <w:sz w:val="20"/>
              </w:rPr>
              <w:t>Combined:  70%</w:t>
            </w:r>
          </w:p>
        </w:tc>
      </w:tr>
    </w:tbl>
    <w:p w:rsidR="005A5B3D" w:rsidRPr="001F29F9" w:rsidRDefault="005A5B3D" w:rsidP="005A5B3D">
      <w:pPr>
        <w:pBdr>
          <w:bottom w:val="single" w:sz="12" w:space="0" w:color="auto"/>
        </w:pBdr>
        <w:tabs>
          <w:tab w:val="left" w:pos="288"/>
          <w:tab w:val="left" w:pos="4752"/>
        </w:tabs>
        <w:jc w:val="both"/>
        <w:rPr>
          <w:color w:val="000000"/>
        </w:rPr>
      </w:pPr>
    </w:p>
    <w:p w:rsidR="00AA6500" w:rsidRPr="00AA6500" w:rsidRDefault="00BA5E4B" w:rsidP="00AA6500">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00AA6500" w:rsidRPr="00AA6500">
        <w:rPr>
          <w:color w:val="000000"/>
        </w:rPr>
        <w:t xml:space="preserve">The Board acknowledges the CI’s contention that suggests </w:t>
      </w:r>
      <w:r w:rsidR="00295F2A">
        <w:rPr>
          <w:color w:val="000000"/>
        </w:rPr>
        <w:t>s</w:t>
      </w:r>
      <w:r w:rsidR="00AA6500" w:rsidRPr="00AA6500">
        <w:rPr>
          <w:color w:val="000000"/>
        </w:rPr>
        <w:t xml:space="preserve">ervice ratings should have been conferred for other conditions documented at the time of separation. </w:t>
      </w:r>
      <w:r w:rsidR="00E95381">
        <w:rPr>
          <w:color w:val="000000"/>
        </w:rPr>
        <w:t xml:space="preserve"> </w:t>
      </w:r>
      <w:r w:rsidR="00AA6500" w:rsidRPr="00AA6500">
        <w:rPr>
          <w:color w:val="000000"/>
        </w:rPr>
        <w:t xml:space="preserve">The Board wishes to clarify that it is subject to the same laws for </w:t>
      </w:r>
      <w:r w:rsidR="00295F2A">
        <w:rPr>
          <w:color w:val="000000"/>
        </w:rPr>
        <w:t>s</w:t>
      </w:r>
      <w:r w:rsidR="00AA6500" w:rsidRPr="00AA6500">
        <w:rPr>
          <w:color w:val="000000"/>
        </w:rPr>
        <w:t xml:space="preserve">ervice disability entitlements as those under which the </w:t>
      </w:r>
      <w:r w:rsidR="00295F2A">
        <w:rPr>
          <w:color w:val="000000"/>
        </w:rPr>
        <w:t>Disability Evaluation System (</w:t>
      </w:r>
      <w:r w:rsidR="00AA6500" w:rsidRPr="00AA6500">
        <w:rPr>
          <w:color w:val="000000"/>
        </w:rPr>
        <w:t>DES) operates.</w:t>
      </w:r>
      <w:r w:rsidR="00E95381">
        <w:rPr>
          <w:color w:val="000000"/>
        </w:rPr>
        <w:t xml:space="preserve"> </w:t>
      </w:r>
      <w:r w:rsidR="00295F2A">
        <w:rPr>
          <w:color w:val="000000"/>
        </w:rPr>
        <w:t xml:space="preserve"> While the </w:t>
      </w:r>
      <w:r w:rsidR="00AA6500" w:rsidRPr="00AA6500">
        <w:rPr>
          <w:color w:val="000000"/>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295F2A">
        <w:rPr>
          <w:color w:val="000000"/>
        </w:rPr>
        <w:t>s’</w:t>
      </w:r>
      <w:r w:rsidR="00AA6500" w:rsidRPr="00AA6500">
        <w:rPr>
          <w:color w:val="000000"/>
        </w:rPr>
        <w:t xml:space="preserve"> Affairs (DVA), operating under a different set of laws (Title 38, United States Code), is empo</w:t>
      </w:r>
      <w:r w:rsidR="00295F2A">
        <w:rPr>
          <w:color w:val="000000"/>
        </w:rPr>
        <w:t>wered to compensate all service-</w:t>
      </w:r>
      <w:r w:rsidR="00AA6500" w:rsidRPr="00AA6500">
        <w:rPr>
          <w:color w:val="000000"/>
        </w:rPr>
        <w:t xml:space="preserve">connected conditions and to periodically reevaluate said conditions for the purpose of adjusting the </w:t>
      </w:r>
      <w:r w:rsidR="00295F2A">
        <w:rPr>
          <w:color w:val="000000"/>
        </w:rPr>
        <w:t>V</w:t>
      </w:r>
      <w:r w:rsidR="00AA6500" w:rsidRPr="00AA6500">
        <w:rPr>
          <w:color w:val="000000"/>
        </w:rPr>
        <w:t xml:space="preserve">eteran’s disability rating should </w:t>
      </w:r>
      <w:r w:rsidR="00295F2A">
        <w:rPr>
          <w:color w:val="000000"/>
        </w:rPr>
        <w:t>the</w:t>
      </w:r>
      <w:r w:rsidR="00AA6500" w:rsidRPr="00AA6500">
        <w:rPr>
          <w:color w:val="000000"/>
        </w:rPr>
        <w:t xml:space="preserve"> degree of impairment vary over time.</w:t>
      </w:r>
      <w:r w:rsidR="00AA6500">
        <w:rPr>
          <w:color w:val="000000"/>
        </w:rPr>
        <w:t xml:space="preserve">  </w:t>
      </w:r>
      <w:r w:rsidR="00AA6500" w:rsidRPr="00AA6500">
        <w:rPr>
          <w:color w:val="000000"/>
        </w:rPr>
        <w:t xml:space="preserve">The Board utilizes </w:t>
      </w:r>
      <w:r w:rsidR="00295F2A">
        <w:rPr>
          <w:color w:val="000000"/>
        </w:rPr>
        <w:t>D</w:t>
      </w:r>
      <w:r w:rsidR="00AA6500" w:rsidRPr="00AA6500">
        <w:rPr>
          <w:color w:val="000000"/>
        </w:rPr>
        <w:t xml:space="preserve">VA evidence proximal to separation in arriving at its recommendations; and, </w:t>
      </w:r>
      <w:proofErr w:type="spellStart"/>
      <w:r w:rsidR="00AA6500" w:rsidRPr="00AA6500">
        <w:rPr>
          <w:color w:val="000000"/>
        </w:rPr>
        <w:t>DoDI</w:t>
      </w:r>
      <w:proofErr w:type="spellEnd"/>
      <w:r w:rsidR="00AA6500" w:rsidRPr="00AA6500">
        <w:rPr>
          <w:color w:val="000000"/>
        </w:rPr>
        <w:t xml:space="preserve"> 6040.44 defines a 12 month interval for special consideration to post-separation evidence.  The Board’s authority as defined in </w:t>
      </w:r>
      <w:proofErr w:type="spellStart"/>
      <w:r w:rsidR="00AA6500" w:rsidRPr="00AA6500">
        <w:rPr>
          <w:color w:val="000000"/>
        </w:rPr>
        <w:t>DoDI</w:t>
      </w:r>
      <w:proofErr w:type="spellEnd"/>
      <w:r w:rsidR="00AA6500" w:rsidRPr="00AA6500">
        <w:rPr>
          <w:color w:val="000000"/>
        </w:rPr>
        <w:t xml:space="preserve">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AA6500">
        <w:rPr>
          <w:color w:val="000000"/>
        </w:rPr>
        <w:t xml:space="preserve">  The Board further wishes to clarify that it does not have jurisdiction over the issues related by the CI regarding her length of service and type of discharge.  Such </w:t>
      </w:r>
      <w:r w:rsidR="00886A70">
        <w:rPr>
          <w:color w:val="000000"/>
        </w:rPr>
        <w:t>matters</w:t>
      </w:r>
      <w:r w:rsidR="00AA6500">
        <w:rPr>
          <w:color w:val="000000"/>
        </w:rPr>
        <w:t xml:space="preserve"> are under the jurisdiction of the </w:t>
      </w:r>
      <w:r w:rsidR="00AA6500" w:rsidRPr="00AA6500">
        <w:rPr>
          <w:rFonts w:eastAsia="Calibri" w:cs="Times New Roman"/>
          <w:color w:val="auto"/>
          <w:szCs w:val="24"/>
        </w:rPr>
        <w:t>Army Board for Corrections of Military Records (ABCMR)</w:t>
      </w:r>
      <w:r w:rsidR="00886A70">
        <w:rPr>
          <w:rFonts w:eastAsia="Calibri" w:cs="Times New Roman"/>
          <w:color w:val="auto"/>
          <w:szCs w:val="24"/>
        </w:rPr>
        <w:t>,</w:t>
      </w:r>
      <w:r w:rsidR="00AA6500">
        <w:rPr>
          <w:rFonts w:eastAsia="Calibri" w:cs="Times New Roman"/>
          <w:color w:val="auto"/>
          <w:szCs w:val="24"/>
        </w:rPr>
        <w:t xml:space="preserve"> and remain eligible for appeal</w:t>
      </w:r>
      <w:r w:rsidR="00886A70">
        <w:rPr>
          <w:rFonts w:eastAsia="Calibri" w:cs="Times New Roman"/>
          <w:color w:val="auto"/>
          <w:szCs w:val="24"/>
        </w:rPr>
        <w:t xml:space="preserve"> to same should the CI elect to seek specific remedy in that regard.</w:t>
      </w:r>
    </w:p>
    <w:p w:rsidR="00AA6500" w:rsidRPr="00AA6500" w:rsidRDefault="00AA6500" w:rsidP="00AA6500">
      <w:pPr>
        <w:jc w:val="both"/>
        <w:rPr>
          <w:color w:val="000000"/>
        </w:rPr>
      </w:pPr>
    </w:p>
    <w:p w:rsidR="00BA5E4B" w:rsidRPr="003C53E8" w:rsidRDefault="00886A70" w:rsidP="00BD74BE">
      <w:pPr>
        <w:jc w:val="both"/>
        <w:rPr>
          <w:rFonts w:cs="Times New Roman"/>
          <w:color w:val="auto"/>
        </w:rPr>
      </w:pPr>
      <w:proofErr w:type="gramStart"/>
      <w:r>
        <w:rPr>
          <w:color w:val="000000"/>
          <w:u w:val="single"/>
        </w:rPr>
        <w:t>Lumbar Spine</w:t>
      </w:r>
      <w:r w:rsidR="00BA5E4B" w:rsidRPr="00BD74BE">
        <w:rPr>
          <w:color w:val="000000"/>
          <w:u w:val="single"/>
        </w:rPr>
        <w:t xml:space="preserve"> Condition</w:t>
      </w:r>
      <w:r w:rsidR="00BA5E4B" w:rsidRPr="00BD74BE">
        <w:rPr>
          <w:color w:val="000000"/>
        </w:rPr>
        <w:t>.</w:t>
      </w:r>
      <w:proofErr w:type="gramEnd"/>
      <w:r w:rsidR="00BA5E4B" w:rsidRPr="00BD74BE">
        <w:rPr>
          <w:color w:val="000000"/>
        </w:rPr>
        <w:t xml:space="preserve"> </w:t>
      </w:r>
      <w:r w:rsidR="007107CD">
        <w:rPr>
          <w:color w:val="000000"/>
        </w:rPr>
        <w:t xml:space="preserve"> </w:t>
      </w:r>
      <w:r w:rsidR="00BA5E4B">
        <w:rPr>
          <w:color w:val="auto"/>
        </w:rPr>
        <w:t>The CI first complained of a low back injury in 2000</w:t>
      </w:r>
      <w:r w:rsidR="007107CD">
        <w:rPr>
          <w:color w:val="auto"/>
        </w:rPr>
        <w:t xml:space="preserve">, which was further exacerbated </w:t>
      </w:r>
      <w:r w:rsidR="00E95381">
        <w:rPr>
          <w:color w:val="auto"/>
        </w:rPr>
        <w:t>while</w:t>
      </w:r>
      <w:r w:rsidR="007107CD">
        <w:rPr>
          <w:color w:val="auto"/>
        </w:rPr>
        <w:t xml:space="preserve"> </w:t>
      </w:r>
      <w:r w:rsidR="00E95381">
        <w:rPr>
          <w:color w:val="auto"/>
        </w:rPr>
        <w:t>moving generators</w:t>
      </w:r>
      <w:r w:rsidR="007107CD">
        <w:rPr>
          <w:color w:val="auto"/>
        </w:rPr>
        <w:t xml:space="preserve"> in 2001; and,</w:t>
      </w:r>
      <w:r w:rsidR="00BA5E4B">
        <w:rPr>
          <w:color w:val="auto"/>
        </w:rPr>
        <w:t xml:space="preserve"> significantly exacerbated </w:t>
      </w:r>
      <w:r w:rsidR="00E95381">
        <w:rPr>
          <w:color w:val="auto"/>
        </w:rPr>
        <w:t>during live fire</w:t>
      </w:r>
      <w:r w:rsidR="006942E2">
        <w:rPr>
          <w:color w:val="auto"/>
        </w:rPr>
        <w:t xml:space="preserve"> training exercises associated with a 2003 mobilization.  At this point </w:t>
      </w:r>
      <w:r w:rsidR="00BA5E4B">
        <w:rPr>
          <w:color w:val="auto"/>
        </w:rPr>
        <w:t xml:space="preserve">she reported weakness and pain throughout her lumbar spine with </w:t>
      </w:r>
      <w:r w:rsidR="006942E2">
        <w:rPr>
          <w:color w:val="auto"/>
        </w:rPr>
        <w:t xml:space="preserve">bilateral </w:t>
      </w:r>
      <w:r w:rsidR="00BA5E4B">
        <w:rPr>
          <w:color w:val="auto"/>
        </w:rPr>
        <w:t>radiation down her legs.</w:t>
      </w:r>
      <w:r w:rsidR="00E95381">
        <w:rPr>
          <w:color w:val="auto"/>
        </w:rPr>
        <w:t xml:space="preserve"> </w:t>
      </w:r>
      <w:r w:rsidR="00BA5E4B">
        <w:rPr>
          <w:color w:val="auto"/>
        </w:rPr>
        <w:t xml:space="preserve"> </w:t>
      </w:r>
      <w:r w:rsidR="006942E2">
        <w:rPr>
          <w:color w:val="auto"/>
        </w:rPr>
        <w:t>Magnetic resonance imaging</w:t>
      </w:r>
      <w:r w:rsidR="007C7516">
        <w:rPr>
          <w:color w:val="auto"/>
        </w:rPr>
        <w:t xml:space="preserve"> </w:t>
      </w:r>
      <w:r w:rsidR="00295F2A">
        <w:rPr>
          <w:color w:val="auto"/>
        </w:rPr>
        <w:t>(MRI), eight</w:t>
      </w:r>
      <w:r w:rsidR="00A22786">
        <w:rPr>
          <w:color w:val="auto"/>
        </w:rPr>
        <w:t xml:space="preserve"> months pr</w:t>
      </w:r>
      <w:r w:rsidR="00295F2A">
        <w:rPr>
          <w:color w:val="auto"/>
        </w:rPr>
        <w:t xml:space="preserve">ior to </w:t>
      </w:r>
      <w:r w:rsidR="00A22786">
        <w:rPr>
          <w:color w:val="auto"/>
        </w:rPr>
        <w:t xml:space="preserve">separation </w:t>
      </w:r>
      <w:r w:rsidR="006942E2">
        <w:rPr>
          <w:color w:val="auto"/>
        </w:rPr>
        <w:t>revealed</w:t>
      </w:r>
      <w:r w:rsidR="00BA5E4B">
        <w:rPr>
          <w:color w:val="auto"/>
        </w:rPr>
        <w:t xml:space="preserve"> bulging discs at L4-L5 and L5-S1</w:t>
      </w:r>
      <w:r w:rsidR="007C7516">
        <w:rPr>
          <w:color w:val="auto"/>
        </w:rPr>
        <w:t xml:space="preserve"> with </w:t>
      </w:r>
      <w:r w:rsidR="006942E2">
        <w:rPr>
          <w:color w:val="auto"/>
        </w:rPr>
        <w:t>some associated</w:t>
      </w:r>
      <w:r w:rsidR="007C7516">
        <w:rPr>
          <w:color w:val="auto"/>
        </w:rPr>
        <w:t xml:space="preserve"> </w:t>
      </w:r>
      <w:proofErr w:type="spellStart"/>
      <w:r w:rsidR="007C7516">
        <w:rPr>
          <w:color w:val="auto"/>
        </w:rPr>
        <w:t>neuroforaminal</w:t>
      </w:r>
      <w:proofErr w:type="spellEnd"/>
      <w:r w:rsidR="007C7516">
        <w:rPr>
          <w:color w:val="auto"/>
        </w:rPr>
        <w:t xml:space="preserve"> narrowing</w:t>
      </w:r>
      <w:r w:rsidR="00BA5E4B">
        <w:rPr>
          <w:color w:val="auto"/>
        </w:rPr>
        <w:t xml:space="preserve">. </w:t>
      </w:r>
      <w:r w:rsidR="006942E2">
        <w:rPr>
          <w:color w:val="auto"/>
        </w:rPr>
        <w:t xml:space="preserve"> </w:t>
      </w:r>
      <w:r w:rsidR="00BA5E4B">
        <w:rPr>
          <w:color w:val="auto"/>
        </w:rPr>
        <w:t xml:space="preserve">She </w:t>
      </w:r>
      <w:r w:rsidR="00923287">
        <w:rPr>
          <w:color w:val="auto"/>
        </w:rPr>
        <w:t>was not considered a surgical candidate</w:t>
      </w:r>
      <w:r w:rsidR="006942E2">
        <w:rPr>
          <w:color w:val="auto"/>
        </w:rPr>
        <w:t>; and, failed conservative measures with</w:t>
      </w:r>
      <w:r w:rsidR="00923287">
        <w:rPr>
          <w:color w:val="auto"/>
        </w:rPr>
        <w:t xml:space="preserve"> </w:t>
      </w:r>
      <w:r w:rsidR="00BA5E4B">
        <w:rPr>
          <w:color w:val="auto"/>
        </w:rPr>
        <w:t>epidural steroid injections</w:t>
      </w:r>
      <w:r w:rsidR="006942E2">
        <w:rPr>
          <w:color w:val="auto"/>
        </w:rPr>
        <w:t>,</w:t>
      </w:r>
      <w:r w:rsidR="00BA5E4B">
        <w:rPr>
          <w:color w:val="auto"/>
        </w:rPr>
        <w:t xml:space="preserve"> </w:t>
      </w:r>
      <w:r w:rsidR="006942E2">
        <w:rPr>
          <w:color w:val="auto"/>
        </w:rPr>
        <w:t xml:space="preserve">physical therapy and medications.  </w:t>
      </w:r>
      <w:r w:rsidR="00BA5E4B">
        <w:rPr>
          <w:color w:val="auto"/>
        </w:rPr>
        <w:t xml:space="preserve">A </w:t>
      </w:r>
      <w:r w:rsidR="006942E2">
        <w:rPr>
          <w:color w:val="auto"/>
        </w:rPr>
        <w:t xml:space="preserve">pre-separation </w:t>
      </w:r>
      <w:r w:rsidR="00BA5E4B">
        <w:rPr>
          <w:color w:val="auto"/>
        </w:rPr>
        <w:t xml:space="preserve">nerve conduction study </w:t>
      </w:r>
      <w:r w:rsidR="006942E2">
        <w:rPr>
          <w:color w:val="auto"/>
        </w:rPr>
        <w:t xml:space="preserve">(EMG) </w:t>
      </w:r>
      <w:r w:rsidR="00A22786">
        <w:rPr>
          <w:color w:val="auto"/>
        </w:rPr>
        <w:t xml:space="preserve">performed on the eve of separation </w:t>
      </w:r>
      <w:r w:rsidR="00BA5E4B">
        <w:rPr>
          <w:color w:val="auto"/>
        </w:rPr>
        <w:t>suggest</w:t>
      </w:r>
      <w:r w:rsidR="006942E2">
        <w:rPr>
          <w:color w:val="auto"/>
        </w:rPr>
        <w:t>ed</w:t>
      </w:r>
      <w:r w:rsidR="00BA5E4B">
        <w:rPr>
          <w:color w:val="auto"/>
        </w:rPr>
        <w:t xml:space="preserve"> a </w:t>
      </w:r>
      <w:r w:rsidR="006942E2">
        <w:rPr>
          <w:color w:val="auto"/>
        </w:rPr>
        <w:t xml:space="preserve">left L5-S1 </w:t>
      </w:r>
      <w:proofErr w:type="spellStart"/>
      <w:r w:rsidR="00BA5E4B">
        <w:rPr>
          <w:color w:val="auto"/>
        </w:rPr>
        <w:t>radiculopathy</w:t>
      </w:r>
      <w:proofErr w:type="spellEnd"/>
      <w:r w:rsidR="00181730">
        <w:rPr>
          <w:color w:val="auto"/>
        </w:rPr>
        <w:t>.</w:t>
      </w:r>
      <w:r w:rsidR="00155E6B">
        <w:rPr>
          <w:color w:val="auto"/>
        </w:rPr>
        <w:t xml:space="preserve"> </w:t>
      </w:r>
      <w:r w:rsidR="006942E2">
        <w:rPr>
          <w:color w:val="auto"/>
        </w:rPr>
        <w:t xml:space="preserve"> </w:t>
      </w:r>
      <w:r w:rsidR="00BA5E4B">
        <w:rPr>
          <w:color w:val="auto"/>
        </w:rPr>
        <w:t xml:space="preserve">A neurology exam </w:t>
      </w:r>
      <w:r w:rsidR="00295F2A">
        <w:rPr>
          <w:color w:val="auto"/>
        </w:rPr>
        <w:t>three</w:t>
      </w:r>
      <w:r w:rsidR="00BA5E4B">
        <w:rPr>
          <w:color w:val="auto"/>
        </w:rPr>
        <w:t xml:space="preserve"> months </w:t>
      </w:r>
      <w:r w:rsidR="00295F2A">
        <w:rPr>
          <w:color w:val="auto"/>
        </w:rPr>
        <w:t xml:space="preserve">after </w:t>
      </w:r>
      <w:r w:rsidR="00BA5E4B">
        <w:rPr>
          <w:color w:val="auto"/>
        </w:rPr>
        <w:t xml:space="preserve">separation noted that the CI’s condition was “essentially negative for a surgical etiology. </w:t>
      </w:r>
      <w:r w:rsidR="006942E2">
        <w:rPr>
          <w:color w:val="auto"/>
        </w:rPr>
        <w:t xml:space="preserve"> </w:t>
      </w:r>
      <w:r w:rsidR="00BA5E4B">
        <w:rPr>
          <w:color w:val="auto"/>
        </w:rPr>
        <w:t xml:space="preserve">Her motor exam is normal and her sensory exam appears to be inconsistent. The etiology of her low back pain is not clear.” </w:t>
      </w:r>
      <w:r w:rsidR="00923287">
        <w:rPr>
          <w:color w:val="auto"/>
        </w:rPr>
        <w:t xml:space="preserve">A </w:t>
      </w:r>
      <w:r w:rsidR="00A22786">
        <w:rPr>
          <w:color w:val="auto"/>
        </w:rPr>
        <w:t>repeat</w:t>
      </w:r>
      <w:r w:rsidR="00923287">
        <w:rPr>
          <w:color w:val="auto"/>
        </w:rPr>
        <w:t xml:space="preserve"> M</w:t>
      </w:r>
      <w:r w:rsidR="00A22786">
        <w:rPr>
          <w:color w:val="auto"/>
        </w:rPr>
        <w:t>RI (</w:t>
      </w:r>
      <w:r w:rsidR="00295F2A">
        <w:rPr>
          <w:color w:val="auto"/>
        </w:rPr>
        <w:t>five</w:t>
      </w:r>
      <w:r w:rsidR="00A22786">
        <w:rPr>
          <w:color w:val="auto"/>
        </w:rPr>
        <w:t xml:space="preserve"> months </w:t>
      </w:r>
      <w:r w:rsidR="00295F2A">
        <w:rPr>
          <w:color w:val="auto"/>
        </w:rPr>
        <w:t xml:space="preserve">after </w:t>
      </w:r>
      <w:r w:rsidR="00923287">
        <w:rPr>
          <w:color w:val="auto"/>
        </w:rPr>
        <w:t>separation</w:t>
      </w:r>
      <w:r w:rsidR="00A22786">
        <w:rPr>
          <w:color w:val="auto"/>
        </w:rPr>
        <w:t>)</w:t>
      </w:r>
      <w:r w:rsidR="00923287">
        <w:rPr>
          <w:color w:val="auto"/>
        </w:rPr>
        <w:t xml:space="preserve"> was normal</w:t>
      </w:r>
      <w:r w:rsidR="006942E2">
        <w:rPr>
          <w:color w:val="auto"/>
        </w:rPr>
        <w:t>, as was a repeat EMG</w:t>
      </w:r>
      <w:r w:rsidR="00A22786">
        <w:rPr>
          <w:color w:val="auto"/>
        </w:rPr>
        <w:t xml:space="preserve"> (</w:t>
      </w:r>
      <w:r w:rsidR="00295F2A">
        <w:rPr>
          <w:color w:val="auto"/>
        </w:rPr>
        <w:t>six</w:t>
      </w:r>
      <w:r w:rsidR="00A22786">
        <w:rPr>
          <w:color w:val="auto"/>
        </w:rPr>
        <w:t xml:space="preserve"> months </w:t>
      </w:r>
      <w:r w:rsidR="00295F2A">
        <w:rPr>
          <w:color w:val="auto"/>
        </w:rPr>
        <w:t xml:space="preserve">after </w:t>
      </w:r>
      <w:r w:rsidR="00A22786">
        <w:rPr>
          <w:color w:val="auto"/>
        </w:rPr>
        <w:t>separation)</w:t>
      </w:r>
      <w:r w:rsidR="00923287">
        <w:rPr>
          <w:color w:val="auto"/>
        </w:rPr>
        <w:t xml:space="preserve">.  </w:t>
      </w:r>
      <w:r w:rsidR="00BA5E4B" w:rsidRPr="00BD74BE">
        <w:rPr>
          <w:color w:val="000000"/>
        </w:rPr>
        <w:t xml:space="preserve">There were </w:t>
      </w:r>
      <w:r w:rsidR="00295F2A">
        <w:rPr>
          <w:color w:val="000000"/>
        </w:rPr>
        <w:t>two goniometric range-of-</w:t>
      </w:r>
      <w:r w:rsidR="00BA5E4B" w:rsidRPr="00BD74BE">
        <w:rPr>
          <w:color w:val="000000"/>
        </w:rPr>
        <w:t>motion (ROM) evaluations in evidence, with documentation of additional ratable criteria, which the Board weighed in arriving at its rating recommendation</w:t>
      </w:r>
      <w:r w:rsidR="00BA5E4B" w:rsidRPr="00BD74BE">
        <w:rPr>
          <w:rFonts w:cs="Times New Roman"/>
          <w:color w:val="auto"/>
        </w:rPr>
        <w:t>.</w:t>
      </w:r>
    </w:p>
    <w:p w:rsidR="00BA5E4B" w:rsidRPr="003C53E8" w:rsidRDefault="00BA5E4B" w:rsidP="003C53E8">
      <w:pPr>
        <w:tabs>
          <w:tab w:val="left" w:pos="288"/>
          <w:tab w:val="left" w:pos="4752"/>
        </w:tabs>
        <w:jc w:val="left"/>
        <w:rPr>
          <w:rFonts w:cs="Times New Roman"/>
          <w:color w:val="auto"/>
        </w:rPr>
      </w:pPr>
    </w:p>
    <w:tbl>
      <w:tblPr>
        <w:tblW w:w="7122" w:type="dxa"/>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3"/>
        <w:gridCol w:w="2830"/>
        <w:gridCol w:w="2149"/>
      </w:tblGrid>
      <w:tr w:rsidR="00211543" w:rsidRPr="000D5DBE" w:rsidTr="00211543">
        <w:trPr>
          <w:jc w:val="center"/>
        </w:trPr>
        <w:tc>
          <w:tcPr>
            <w:tcW w:w="2143" w:type="dxa"/>
            <w:shd w:val="clear" w:color="auto" w:fill="D9D9D9"/>
            <w:vAlign w:val="center"/>
          </w:tcPr>
          <w:p w:rsidR="00211543" w:rsidRPr="003C53E8" w:rsidRDefault="00211543" w:rsidP="00211543">
            <w:pPr>
              <w:contextualSpacing/>
              <w:rPr>
                <w:rFonts w:cs="Times New Roman"/>
                <w:color w:val="auto"/>
                <w:sz w:val="22"/>
              </w:rPr>
            </w:pPr>
            <w:proofErr w:type="spellStart"/>
            <w:r w:rsidRPr="003C53E8">
              <w:rPr>
                <w:rFonts w:cs="Times New Roman"/>
                <w:color w:val="auto"/>
                <w:sz w:val="22"/>
              </w:rPr>
              <w:t>Thoracolumbar</w:t>
            </w:r>
            <w:proofErr w:type="spellEnd"/>
            <w:r w:rsidRPr="003C53E8">
              <w:rPr>
                <w:rFonts w:cs="Times New Roman"/>
                <w:color w:val="auto"/>
                <w:sz w:val="22"/>
              </w:rPr>
              <w:t xml:space="preserve"> ROM</w:t>
            </w:r>
          </w:p>
        </w:tc>
        <w:tc>
          <w:tcPr>
            <w:tcW w:w="2830" w:type="dxa"/>
            <w:shd w:val="clear" w:color="auto" w:fill="D9D9D9"/>
            <w:vAlign w:val="center"/>
          </w:tcPr>
          <w:p w:rsidR="00211543" w:rsidRPr="003C53E8" w:rsidRDefault="00211543" w:rsidP="00211543">
            <w:pPr>
              <w:contextualSpacing/>
              <w:rPr>
                <w:rFonts w:cs="Times New Roman"/>
                <w:color w:val="auto"/>
                <w:sz w:val="22"/>
              </w:rPr>
            </w:pPr>
            <w:r>
              <w:rPr>
                <w:rFonts w:cs="Times New Roman"/>
                <w:color w:val="auto"/>
                <w:sz w:val="22"/>
              </w:rPr>
              <w:t>VA C&amp;P ~9 Mo.</w:t>
            </w:r>
            <w:r w:rsidRPr="003C53E8">
              <w:rPr>
                <w:rFonts w:cs="Times New Roman"/>
                <w:color w:val="auto"/>
                <w:sz w:val="22"/>
              </w:rPr>
              <w:t xml:space="preserve"> Pre-Sep</w:t>
            </w:r>
          </w:p>
        </w:tc>
        <w:tc>
          <w:tcPr>
            <w:tcW w:w="2149" w:type="dxa"/>
            <w:shd w:val="clear" w:color="auto" w:fill="D9D9D9"/>
            <w:vAlign w:val="center"/>
          </w:tcPr>
          <w:p w:rsidR="00211543" w:rsidRPr="003C53E8" w:rsidRDefault="00211543" w:rsidP="00211543">
            <w:pPr>
              <w:contextualSpacing/>
              <w:rPr>
                <w:rFonts w:cs="Times New Roman"/>
                <w:color w:val="auto"/>
                <w:sz w:val="22"/>
              </w:rPr>
            </w:pPr>
            <w:r>
              <w:rPr>
                <w:rFonts w:cs="Times New Roman"/>
                <w:color w:val="auto"/>
                <w:sz w:val="22"/>
              </w:rPr>
              <w:t>MEB ~7 Mo.</w:t>
            </w:r>
            <w:r w:rsidRPr="003C53E8">
              <w:rPr>
                <w:rFonts w:cs="Times New Roman"/>
                <w:color w:val="auto"/>
                <w:sz w:val="22"/>
              </w:rPr>
              <w:t xml:space="preserve"> Pre-Sep</w:t>
            </w:r>
          </w:p>
        </w:tc>
      </w:tr>
      <w:tr w:rsidR="00211543" w:rsidRPr="000D5DBE" w:rsidTr="00211543">
        <w:trPr>
          <w:jc w:val="center"/>
        </w:trPr>
        <w:tc>
          <w:tcPr>
            <w:tcW w:w="2143" w:type="dxa"/>
            <w:vAlign w:val="center"/>
          </w:tcPr>
          <w:p w:rsidR="00211543" w:rsidRPr="003C53E8" w:rsidRDefault="00211543" w:rsidP="00211543">
            <w:pPr>
              <w:contextualSpacing/>
              <w:rPr>
                <w:rFonts w:cs="Times New Roman"/>
                <w:color w:val="auto"/>
                <w:sz w:val="22"/>
              </w:rPr>
            </w:pPr>
            <w:r>
              <w:rPr>
                <w:rFonts w:cs="Times New Roman"/>
                <w:color w:val="auto"/>
                <w:sz w:val="22"/>
              </w:rPr>
              <w:t>Flexion (90⁰ N</w:t>
            </w:r>
            <w:r w:rsidRPr="003C53E8">
              <w:rPr>
                <w:rFonts w:cs="Times New Roman"/>
                <w:color w:val="auto"/>
                <w:sz w:val="22"/>
              </w:rPr>
              <w:t>ormal</w:t>
            </w:r>
            <w:r>
              <w:rPr>
                <w:rFonts w:cs="Times New Roman"/>
                <w:color w:val="auto"/>
                <w:sz w:val="22"/>
              </w:rPr>
              <w:t>)</w:t>
            </w:r>
          </w:p>
        </w:tc>
        <w:tc>
          <w:tcPr>
            <w:tcW w:w="2830" w:type="dxa"/>
            <w:vAlign w:val="center"/>
          </w:tcPr>
          <w:p w:rsidR="00211543" w:rsidRPr="003C53E8" w:rsidRDefault="00211543" w:rsidP="00211543">
            <w:pPr>
              <w:contextualSpacing/>
              <w:rPr>
                <w:rFonts w:cs="Times New Roman"/>
                <w:color w:val="auto"/>
                <w:sz w:val="22"/>
              </w:rPr>
            </w:pPr>
            <w:r w:rsidRPr="003C53E8">
              <w:rPr>
                <w:rFonts w:cs="Times New Roman"/>
                <w:color w:val="auto"/>
                <w:sz w:val="22"/>
              </w:rPr>
              <w:t>30⁰</w:t>
            </w:r>
          </w:p>
        </w:tc>
        <w:tc>
          <w:tcPr>
            <w:tcW w:w="2149" w:type="dxa"/>
            <w:vAlign w:val="center"/>
          </w:tcPr>
          <w:p w:rsidR="00211543" w:rsidRPr="003C53E8" w:rsidRDefault="00211543" w:rsidP="00211543">
            <w:pPr>
              <w:contextualSpacing/>
              <w:rPr>
                <w:rFonts w:cs="Times New Roman"/>
                <w:color w:val="auto"/>
                <w:sz w:val="22"/>
              </w:rPr>
            </w:pPr>
            <w:r w:rsidRPr="003C53E8">
              <w:rPr>
                <w:rFonts w:cs="Times New Roman"/>
                <w:color w:val="auto"/>
                <w:sz w:val="22"/>
              </w:rPr>
              <w:t>35⁰</w:t>
            </w:r>
          </w:p>
        </w:tc>
      </w:tr>
      <w:tr w:rsidR="00211543" w:rsidRPr="000D5DBE" w:rsidTr="00211543">
        <w:trPr>
          <w:jc w:val="center"/>
        </w:trPr>
        <w:tc>
          <w:tcPr>
            <w:tcW w:w="2143" w:type="dxa"/>
            <w:vAlign w:val="center"/>
          </w:tcPr>
          <w:p w:rsidR="00211543" w:rsidRPr="003C53E8" w:rsidRDefault="00211543" w:rsidP="00211543">
            <w:pPr>
              <w:contextualSpacing/>
              <w:rPr>
                <w:rFonts w:cs="Times New Roman"/>
                <w:color w:val="auto"/>
                <w:sz w:val="22"/>
              </w:rPr>
            </w:pPr>
            <w:r w:rsidRPr="003C53E8">
              <w:rPr>
                <w:rFonts w:cs="Times New Roman"/>
                <w:color w:val="auto"/>
                <w:sz w:val="22"/>
              </w:rPr>
              <w:t xml:space="preserve">Combined </w:t>
            </w:r>
            <w:r>
              <w:rPr>
                <w:rFonts w:cs="Times New Roman"/>
                <w:color w:val="auto"/>
                <w:sz w:val="22"/>
              </w:rPr>
              <w:t>(</w:t>
            </w:r>
            <w:r w:rsidRPr="003C53E8">
              <w:rPr>
                <w:rFonts w:cs="Times New Roman"/>
                <w:color w:val="auto"/>
                <w:sz w:val="22"/>
              </w:rPr>
              <w:t>240⁰</w:t>
            </w:r>
            <w:r>
              <w:rPr>
                <w:rFonts w:cs="Times New Roman"/>
                <w:color w:val="auto"/>
                <w:sz w:val="22"/>
              </w:rPr>
              <w:t>)</w:t>
            </w:r>
          </w:p>
        </w:tc>
        <w:tc>
          <w:tcPr>
            <w:tcW w:w="2830" w:type="dxa"/>
            <w:vAlign w:val="center"/>
          </w:tcPr>
          <w:p w:rsidR="00211543" w:rsidRPr="003C53E8" w:rsidRDefault="00211543" w:rsidP="00211543">
            <w:pPr>
              <w:contextualSpacing/>
              <w:rPr>
                <w:rFonts w:cs="Times New Roman"/>
                <w:color w:val="auto"/>
                <w:sz w:val="22"/>
              </w:rPr>
            </w:pPr>
            <w:r w:rsidRPr="003C53E8">
              <w:rPr>
                <w:rFonts w:cs="Times New Roman"/>
                <w:color w:val="auto"/>
                <w:sz w:val="22"/>
              </w:rPr>
              <w:t>210⁰</w:t>
            </w:r>
          </w:p>
        </w:tc>
        <w:tc>
          <w:tcPr>
            <w:tcW w:w="2149" w:type="dxa"/>
            <w:vAlign w:val="center"/>
          </w:tcPr>
          <w:p w:rsidR="00211543" w:rsidRPr="003C53E8" w:rsidRDefault="00211543" w:rsidP="00211543">
            <w:pPr>
              <w:contextualSpacing/>
              <w:rPr>
                <w:rFonts w:cs="Times New Roman"/>
                <w:color w:val="auto"/>
                <w:sz w:val="22"/>
              </w:rPr>
            </w:pPr>
            <w:r w:rsidRPr="003C53E8">
              <w:rPr>
                <w:rFonts w:cs="Times New Roman"/>
                <w:color w:val="auto"/>
                <w:sz w:val="22"/>
              </w:rPr>
              <w:t>200⁰</w:t>
            </w:r>
          </w:p>
        </w:tc>
      </w:tr>
      <w:tr w:rsidR="00211543" w:rsidRPr="000D5DBE" w:rsidTr="00211543">
        <w:trPr>
          <w:trHeight w:val="65"/>
          <w:jc w:val="center"/>
        </w:trPr>
        <w:tc>
          <w:tcPr>
            <w:tcW w:w="2143" w:type="dxa"/>
            <w:vAlign w:val="center"/>
          </w:tcPr>
          <w:p w:rsidR="00211543" w:rsidRPr="003C53E8" w:rsidRDefault="00211543" w:rsidP="00211543">
            <w:pPr>
              <w:tabs>
                <w:tab w:val="left" w:pos="288"/>
                <w:tab w:val="left" w:pos="4752"/>
              </w:tabs>
              <w:rPr>
                <w:rFonts w:cs="Times New Roman"/>
                <w:color w:val="auto"/>
                <w:sz w:val="22"/>
              </w:rPr>
            </w:pPr>
            <w:r w:rsidRPr="003C53E8">
              <w:rPr>
                <w:rFonts w:cs="Times New Roman"/>
                <w:color w:val="auto"/>
                <w:sz w:val="22"/>
              </w:rPr>
              <w:t>Comments</w:t>
            </w:r>
          </w:p>
        </w:tc>
        <w:tc>
          <w:tcPr>
            <w:tcW w:w="2830" w:type="dxa"/>
            <w:vAlign w:val="center"/>
          </w:tcPr>
          <w:p w:rsidR="00211543" w:rsidRPr="003C53E8" w:rsidRDefault="00211543" w:rsidP="00211543">
            <w:pPr>
              <w:tabs>
                <w:tab w:val="left" w:pos="288"/>
                <w:tab w:val="left" w:pos="4752"/>
              </w:tabs>
              <w:rPr>
                <w:rFonts w:cs="Times New Roman"/>
                <w:color w:val="auto"/>
                <w:sz w:val="22"/>
              </w:rPr>
            </w:pPr>
            <w:r w:rsidRPr="003C53E8">
              <w:rPr>
                <w:rFonts w:cs="Times New Roman"/>
                <w:color w:val="auto"/>
                <w:sz w:val="22"/>
              </w:rPr>
              <w:t xml:space="preserve">Pain </w:t>
            </w:r>
            <w:r>
              <w:rPr>
                <w:rFonts w:cs="Times New Roman"/>
                <w:color w:val="auto"/>
                <w:sz w:val="22"/>
              </w:rPr>
              <w:t>on</w:t>
            </w:r>
            <w:r w:rsidRPr="003C53E8">
              <w:rPr>
                <w:rFonts w:cs="Times New Roman"/>
                <w:color w:val="auto"/>
                <w:sz w:val="22"/>
              </w:rPr>
              <w:t xml:space="preserve"> forward flexion only.</w:t>
            </w:r>
          </w:p>
        </w:tc>
        <w:tc>
          <w:tcPr>
            <w:tcW w:w="2149" w:type="dxa"/>
            <w:vAlign w:val="center"/>
          </w:tcPr>
          <w:p w:rsidR="00211543" w:rsidRPr="003C53E8" w:rsidRDefault="00211543" w:rsidP="00211543">
            <w:pPr>
              <w:tabs>
                <w:tab w:val="left" w:pos="288"/>
                <w:tab w:val="left" w:pos="4752"/>
              </w:tabs>
              <w:rPr>
                <w:rFonts w:cs="Times New Roman"/>
                <w:color w:val="auto"/>
                <w:sz w:val="22"/>
              </w:rPr>
            </w:pPr>
            <w:r>
              <w:rPr>
                <w:rFonts w:cs="Times New Roman"/>
                <w:color w:val="auto"/>
                <w:sz w:val="22"/>
              </w:rPr>
              <w:t>Normal gait/</w:t>
            </w:r>
            <w:r w:rsidRPr="003C53E8">
              <w:rPr>
                <w:rFonts w:cs="Times New Roman"/>
                <w:color w:val="auto"/>
                <w:sz w:val="22"/>
              </w:rPr>
              <w:t>posture.</w:t>
            </w:r>
          </w:p>
        </w:tc>
      </w:tr>
      <w:tr w:rsidR="00211543" w:rsidRPr="000D5DBE" w:rsidTr="00211543">
        <w:trPr>
          <w:trHeight w:val="70"/>
          <w:jc w:val="center"/>
        </w:trPr>
        <w:tc>
          <w:tcPr>
            <w:tcW w:w="2143" w:type="dxa"/>
            <w:vAlign w:val="center"/>
          </w:tcPr>
          <w:p w:rsidR="00211543" w:rsidRPr="003C53E8" w:rsidRDefault="00211543" w:rsidP="00211543">
            <w:pPr>
              <w:tabs>
                <w:tab w:val="left" w:pos="288"/>
                <w:tab w:val="left" w:pos="4752"/>
              </w:tabs>
              <w:rPr>
                <w:rFonts w:cs="Times New Roman"/>
                <w:color w:val="auto"/>
                <w:sz w:val="22"/>
              </w:rPr>
            </w:pPr>
            <w:r w:rsidRPr="003C53E8">
              <w:rPr>
                <w:rFonts w:cs="Times New Roman"/>
                <w:color w:val="auto"/>
                <w:sz w:val="22"/>
              </w:rPr>
              <w:t>§4.71a Rating</w:t>
            </w:r>
          </w:p>
        </w:tc>
        <w:tc>
          <w:tcPr>
            <w:tcW w:w="2830" w:type="dxa"/>
            <w:vAlign w:val="center"/>
          </w:tcPr>
          <w:p w:rsidR="00211543" w:rsidRPr="003C53E8" w:rsidRDefault="00211543" w:rsidP="00211543">
            <w:pPr>
              <w:tabs>
                <w:tab w:val="left" w:pos="288"/>
                <w:tab w:val="left" w:pos="4752"/>
              </w:tabs>
              <w:rPr>
                <w:rFonts w:cs="Times New Roman"/>
                <w:color w:val="auto"/>
                <w:sz w:val="22"/>
              </w:rPr>
            </w:pPr>
            <w:r w:rsidRPr="003C53E8">
              <w:rPr>
                <w:rFonts w:cs="Times New Roman"/>
                <w:color w:val="auto"/>
                <w:sz w:val="22"/>
              </w:rPr>
              <w:t>40%</w:t>
            </w:r>
          </w:p>
        </w:tc>
        <w:tc>
          <w:tcPr>
            <w:tcW w:w="2149" w:type="dxa"/>
            <w:vAlign w:val="center"/>
          </w:tcPr>
          <w:p w:rsidR="00211543" w:rsidRPr="003C53E8" w:rsidRDefault="00211543" w:rsidP="00211543">
            <w:pPr>
              <w:tabs>
                <w:tab w:val="left" w:pos="288"/>
                <w:tab w:val="left" w:pos="4752"/>
              </w:tabs>
              <w:rPr>
                <w:rFonts w:cs="Times New Roman"/>
                <w:color w:val="auto"/>
                <w:sz w:val="22"/>
              </w:rPr>
            </w:pPr>
            <w:r w:rsidRPr="003C53E8">
              <w:rPr>
                <w:rFonts w:cs="Times New Roman"/>
                <w:color w:val="auto"/>
                <w:sz w:val="22"/>
              </w:rPr>
              <w:t>20%</w:t>
            </w:r>
          </w:p>
        </w:tc>
      </w:tr>
    </w:tbl>
    <w:p w:rsidR="00BA5E4B" w:rsidRPr="003C53E8" w:rsidRDefault="00BA5E4B" w:rsidP="003C53E8">
      <w:pPr>
        <w:tabs>
          <w:tab w:val="left" w:pos="288"/>
          <w:tab w:val="left" w:pos="4752"/>
        </w:tabs>
        <w:jc w:val="left"/>
        <w:rPr>
          <w:rFonts w:cs="Times New Roman"/>
          <w:color w:val="auto"/>
        </w:rPr>
      </w:pPr>
    </w:p>
    <w:p w:rsidR="00804B87" w:rsidRDefault="00A22786" w:rsidP="00BD74BE">
      <w:pPr>
        <w:jc w:val="both"/>
        <w:rPr>
          <w:color w:val="auto"/>
        </w:rPr>
      </w:pPr>
      <w:r>
        <w:rPr>
          <w:color w:val="auto"/>
        </w:rPr>
        <w:t>At</w:t>
      </w:r>
      <w:r w:rsidR="00BA5E4B">
        <w:rPr>
          <w:color w:val="auto"/>
        </w:rPr>
        <w:t xml:space="preserve"> the MEB exam, the CI reported occasional sharp radiating pain in her low back sometimes with tingling in her left thigh. </w:t>
      </w:r>
      <w:r>
        <w:rPr>
          <w:color w:val="auto"/>
        </w:rPr>
        <w:t xml:space="preserve"> </w:t>
      </w:r>
      <w:r w:rsidR="00E95381">
        <w:rPr>
          <w:color w:val="auto"/>
        </w:rPr>
        <w:t>O</w:t>
      </w:r>
      <w:r w:rsidR="00BA5E4B">
        <w:rPr>
          <w:color w:val="auto"/>
        </w:rPr>
        <w:t xml:space="preserve">n examination, the MEB physician noted </w:t>
      </w:r>
      <w:r>
        <w:rPr>
          <w:color w:val="auto"/>
        </w:rPr>
        <w:t>a</w:t>
      </w:r>
      <w:r w:rsidR="00BA5E4B">
        <w:rPr>
          <w:color w:val="auto"/>
        </w:rPr>
        <w:t xml:space="preserve"> normal posture and gait, </w:t>
      </w:r>
      <w:r>
        <w:rPr>
          <w:color w:val="auto"/>
        </w:rPr>
        <w:t xml:space="preserve">no tenderness or other positive physical findings, and normal neurologic findings.  </w:t>
      </w:r>
      <w:r w:rsidR="00BA5E4B">
        <w:rPr>
          <w:color w:val="auto"/>
        </w:rPr>
        <w:t>The ROM recorded in the exam was only limited in forward flexion</w:t>
      </w:r>
      <w:r>
        <w:rPr>
          <w:color w:val="auto"/>
        </w:rPr>
        <w:t>,</w:t>
      </w:r>
      <w:r w:rsidR="00BA5E4B">
        <w:rPr>
          <w:color w:val="auto"/>
        </w:rPr>
        <w:t xml:space="preserve"> and was not noted to be limited by pain. </w:t>
      </w:r>
      <w:r>
        <w:rPr>
          <w:color w:val="auto"/>
        </w:rPr>
        <w:t xml:space="preserve"> </w:t>
      </w:r>
      <w:r w:rsidR="001902C5">
        <w:rPr>
          <w:color w:val="auto"/>
        </w:rPr>
        <w:t xml:space="preserve">The MEB exam followed a pre-separation VA </w:t>
      </w:r>
      <w:r w:rsidR="001902C5" w:rsidRPr="001902C5">
        <w:rPr>
          <w:color w:val="auto"/>
        </w:rPr>
        <w:t>Compensation and Pension (C&amp;P)</w:t>
      </w:r>
      <w:r w:rsidR="001902C5">
        <w:rPr>
          <w:color w:val="auto"/>
        </w:rPr>
        <w:t xml:space="preserve"> exam performed </w:t>
      </w:r>
      <w:r w:rsidR="00295F2A">
        <w:rPr>
          <w:color w:val="auto"/>
        </w:rPr>
        <w:t>two</w:t>
      </w:r>
      <w:r w:rsidR="001902C5">
        <w:rPr>
          <w:color w:val="auto"/>
        </w:rPr>
        <w:t xml:space="preserve"> months earlier; at which the CI had related significantly more severe pain with bilateral radiation</w:t>
      </w:r>
      <w:r w:rsidR="00110780">
        <w:rPr>
          <w:color w:val="auto"/>
        </w:rPr>
        <w:t xml:space="preserve">, and more significant physical limitations.  Similar benign physical findings and normal neurologic testing were documented by the VA examiner, however; and, the ROM findings were similar.  That exam </w:t>
      </w:r>
      <w:r w:rsidR="00211543">
        <w:rPr>
          <w:color w:val="auto"/>
        </w:rPr>
        <w:t>also measured</w:t>
      </w:r>
      <w:r w:rsidR="00110780">
        <w:rPr>
          <w:color w:val="auto"/>
        </w:rPr>
        <w:t xml:space="preserve"> flexion disproportionally limited compared to the other planes of motion; but, with a 5⁰ difference in flexion which would be pivotal to §4.71a </w:t>
      </w:r>
      <w:r w:rsidR="00110780">
        <w:rPr>
          <w:color w:val="auto"/>
        </w:rPr>
        <w:lastRenderedPageBreak/>
        <w:t xml:space="preserve">rating.  The VA examiner documented pain only with flexion, and no increased pain or degradation of ROM with repetition (no </w:t>
      </w:r>
      <w:r w:rsidR="00B41A48">
        <w:rPr>
          <w:color w:val="auto"/>
        </w:rPr>
        <w:t xml:space="preserve">positive </w:t>
      </w:r>
      <w:proofErr w:type="spellStart"/>
      <w:r w:rsidR="00110780">
        <w:rPr>
          <w:color w:val="auto"/>
        </w:rPr>
        <w:t>DeLuca</w:t>
      </w:r>
      <w:proofErr w:type="spellEnd"/>
      <w:r w:rsidR="00110780">
        <w:rPr>
          <w:color w:val="auto"/>
        </w:rPr>
        <w:t xml:space="preserve"> criteria). </w:t>
      </w:r>
      <w:r w:rsidR="00B41A48">
        <w:rPr>
          <w:color w:val="auto"/>
        </w:rPr>
        <w:t xml:space="preserve"> The Board deliberated its probative value assignment to the two exams, with their critical variance in measured flexion.  There were no timely outpatient exams reflecting gross ROM observations for corroborating the formal goniometric exams.  The Board considered however that the more proximal MEB exam was consistent with the clear trend in improvement reflected by the progressive objective evaluations described earlier.  Considering the remaining time to separation from both exams with presumptive significant improvement up to the day of separation, members agreed that the MEB examination was the logical choice for dominant probative value.  </w:t>
      </w:r>
      <w:r w:rsidR="00B73D60">
        <w:rPr>
          <w:color w:val="auto"/>
        </w:rPr>
        <w:t xml:space="preserve">It is of interest that the VA rating decision quoted the MEB ROM’s, although taking note of </w:t>
      </w:r>
      <w:r w:rsidR="00FC29A5">
        <w:rPr>
          <w:color w:val="auto"/>
        </w:rPr>
        <w:t xml:space="preserve">negative </w:t>
      </w:r>
      <w:proofErr w:type="spellStart"/>
      <w:r w:rsidR="00B73D60">
        <w:rPr>
          <w:color w:val="auto"/>
        </w:rPr>
        <w:t>DeLuca</w:t>
      </w:r>
      <w:proofErr w:type="spellEnd"/>
      <w:r w:rsidR="00B73D60">
        <w:rPr>
          <w:color w:val="auto"/>
        </w:rPr>
        <w:t xml:space="preserve"> findings</w:t>
      </w:r>
      <w:r w:rsidR="00FC29A5">
        <w:rPr>
          <w:color w:val="auto"/>
        </w:rPr>
        <w:t xml:space="preserve"> per</w:t>
      </w:r>
      <w:r w:rsidR="00FC29A5" w:rsidRPr="00FC29A5">
        <w:rPr>
          <w:color w:val="auto"/>
        </w:rPr>
        <w:t xml:space="preserve"> </w:t>
      </w:r>
      <w:r w:rsidR="00FC29A5">
        <w:rPr>
          <w:color w:val="auto"/>
        </w:rPr>
        <w:t>the C&amp;P</w:t>
      </w:r>
      <w:r w:rsidR="00B73D60">
        <w:rPr>
          <w:color w:val="auto"/>
        </w:rPr>
        <w:t xml:space="preserve">, in its </w:t>
      </w:r>
      <w:r w:rsidR="00FC29A5">
        <w:rPr>
          <w:color w:val="auto"/>
        </w:rPr>
        <w:t xml:space="preserve">20% </w:t>
      </w:r>
      <w:r w:rsidR="00B73D60">
        <w:rPr>
          <w:color w:val="auto"/>
        </w:rPr>
        <w:t>determination.</w:t>
      </w:r>
    </w:p>
    <w:p w:rsidR="00804B87" w:rsidRDefault="00804B87" w:rsidP="00BD74BE">
      <w:pPr>
        <w:jc w:val="both"/>
        <w:rPr>
          <w:color w:val="auto"/>
        </w:rPr>
      </w:pPr>
    </w:p>
    <w:p w:rsidR="00B41A48" w:rsidRDefault="00804B87" w:rsidP="00BD74BE">
      <w:pPr>
        <w:jc w:val="both"/>
        <w:rPr>
          <w:color w:val="auto"/>
        </w:rPr>
      </w:pPr>
      <w:r w:rsidRPr="003C53E8">
        <w:rPr>
          <w:rFonts w:cs="Times New Roman"/>
          <w:color w:val="auto"/>
        </w:rPr>
        <w:t xml:space="preserve">Both the MEB and VA rated the </w:t>
      </w:r>
      <w:r>
        <w:rPr>
          <w:rFonts w:cs="Times New Roman"/>
          <w:color w:val="auto"/>
        </w:rPr>
        <w:t>lumbar spine</w:t>
      </w:r>
      <w:r w:rsidRPr="003C53E8">
        <w:rPr>
          <w:rFonts w:cs="Times New Roman"/>
          <w:color w:val="auto"/>
        </w:rPr>
        <w:t xml:space="preserve"> condition under VASRD code 5237 (</w:t>
      </w:r>
      <w:proofErr w:type="spellStart"/>
      <w:r w:rsidRPr="00435384">
        <w:rPr>
          <w:color w:val="000000"/>
        </w:rPr>
        <w:t>lumbosacral</w:t>
      </w:r>
      <w:proofErr w:type="spellEnd"/>
      <w:r w:rsidRPr="00435384">
        <w:rPr>
          <w:color w:val="000000"/>
        </w:rPr>
        <w:t xml:space="preserve"> strain)</w:t>
      </w:r>
      <w:r w:rsidR="00B73D60">
        <w:rPr>
          <w:color w:val="000000"/>
        </w:rPr>
        <w:t>, although the MEB relied on the USAPDA pain policy for its 10% determination</w:t>
      </w:r>
      <w:r w:rsidRPr="00435384">
        <w:rPr>
          <w:color w:val="000000"/>
        </w:rPr>
        <w:t xml:space="preserve">. </w:t>
      </w:r>
      <w:r w:rsidR="00B73D60">
        <w:rPr>
          <w:color w:val="000000"/>
        </w:rPr>
        <w:t xml:space="preserve"> </w:t>
      </w:r>
      <w:r w:rsidR="00B41A48">
        <w:rPr>
          <w:color w:val="auto"/>
        </w:rPr>
        <w:t xml:space="preserve">The Board considered </w:t>
      </w:r>
      <w:r>
        <w:rPr>
          <w:color w:val="auto"/>
        </w:rPr>
        <w:t xml:space="preserve">whether there was an associated ratable neuropathy, but the lack of any demonstrable motor weakness left no support for additional rating on that basis.  Likewise there was no documentation of incapacitating episodes as a route to higher rating.  </w:t>
      </w:r>
      <w:r w:rsidRPr="003C53E8">
        <w:rPr>
          <w:rFonts w:cs="Times New Roman"/>
          <w:color w:val="auto"/>
        </w:rPr>
        <w:t xml:space="preserve">After due deliberation, </w:t>
      </w:r>
      <w:r w:rsidRPr="00BD74BE">
        <w:rPr>
          <w:rFonts w:cs="Times New Roman"/>
          <w:color w:val="auto"/>
        </w:rPr>
        <w:t xml:space="preserve">considering all of the evidence and mindful of VASRD §4.3 (reasonable doubt), the Board recommends a separation rating of 20% for the </w:t>
      </w:r>
      <w:r>
        <w:rPr>
          <w:rFonts w:cs="Times New Roman"/>
          <w:color w:val="auto"/>
        </w:rPr>
        <w:t>lumbar spine</w:t>
      </w:r>
      <w:r w:rsidRPr="00BD74BE">
        <w:rPr>
          <w:rFonts w:cs="Times New Roman"/>
          <w:color w:val="auto"/>
        </w:rPr>
        <w:t xml:space="preserve"> condition.</w:t>
      </w:r>
      <w:r>
        <w:rPr>
          <w:rFonts w:cs="Times New Roman"/>
          <w:color w:val="auto"/>
        </w:rPr>
        <w:t xml:space="preserve">  With the absence of degenerative changes or disc pathology on the more proximate MRI, the Board is in agreement with the 5237</w:t>
      </w:r>
      <w:r w:rsidR="00991356">
        <w:rPr>
          <w:rFonts w:cs="Times New Roman"/>
          <w:color w:val="auto"/>
        </w:rPr>
        <w:t xml:space="preserve"> coding assignment.</w:t>
      </w:r>
    </w:p>
    <w:p w:rsidR="00BA5E4B" w:rsidRPr="003C53E8" w:rsidRDefault="00BA5E4B" w:rsidP="003C53E8">
      <w:pPr>
        <w:jc w:val="left"/>
        <w:rPr>
          <w:rFonts w:cs="Times New Roman"/>
          <w:color w:val="FF0000"/>
        </w:rPr>
      </w:pPr>
    </w:p>
    <w:p w:rsidR="00BA5E4B" w:rsidRPr="001F29F9" w:rsidRDefault="00BA5E4B" w:rsidP="00BD74BE">
      <w:pPr>
        <w:jc w:val="both"/>
        <w:rPr>
          <w:rFonts w:eastAsia="HiddenHorzOCR"/>
          <w:color w:val="000000"/>
        </w:rPr>
      </w:pPr>
      <w:proofErr w:type="spellStart"/>
      <w:r w:rsidRPr="001F29F9">
        <w:rPr>
          <w:rFonts w:eastAsia="HiddenHorzOCR"/>
          <w:color w:val="000000"/>
          <w:u w:val="single"/>
        </w:rPr>
        <w:t>Pes</w:t>
      </w:r>
      <w:proofErr w:type="spellEnd"/>
      <w:r w:rsidRPr="001F29F9">
        <w:rPr>
          <w:rFonts w:eastAsia="HiddenHorzOCR"/>
          <w:color w:val="000000"/>
          <w:u w:val="single"/>
        </w:rPr>
        <w:t xml:space="preserve"> </w:t>
      </w:r>
      <w:proofErr w:type="spellStart"/>
      <w:r w:rsidRPr="001F29F9">
        <w:rPr>
          <w:rFonts w:eastAsia="HiddenHorzOCR"/>
          <w:color w:val="000000"/>
          <w:u w:val="single"/>
        </w:rPr>
        <w:t>Planus</w:t>
      </w:r>
      <w:proofErr w:type="spellEnd"/>
      <w:r w:rsidRPr="001F29F9">
        <w:rPr>
          <w:rFonts w:eastAsia="HiddenHorzOCR"/>
          <w:color w:val="000000"/>
          <w:u w:val="single"/>
        </w:rPr>
        <w:t xml:space="preserve"> with Plantar Fasciitis</w:t>
      </w:r>
      <w:r w:rsidR="005D43FF">
        <w:rPr>
          <w:rFonts w:eastAsia="HiddenHorzOCR"/>
          <w:color w:val="000000"/>
          <w:u w:val="single"/>
        </w:rPr>
        <w:t xml:space="preserve"> (Adjudicated and Contended)</w:t>
      </w:r>
      <w:r w:rsidRPr="00991356">
        <w:rPr>
          <w:rFonts w:eastAsia="HiddenHorzOCR"/>
          <w:color w:val="000000"/>
        </w:rPr>
        <w:t>.</w:t>
      </w:r>
      <w:r w:rsidRPr="001F29F9">
        <w:rPr>
          <w:rFonts w:eastAsia="HiddenHorzOCR"/>
          <w:color w:val="000000"/>
        </w:rPr>
        <w:t xml:space="preserve"> </w:t>
      </w:r>
      <w:r w:rsidR="00991356">
        <w:rPr>
          <w:rFonts w:eastAsia="HiddenHorzOCR"/>
          <w:color w:val="000000"/>
        </w:rPr>
        <w:t xml:space="preserve"> </w:t>
      </w:r>
      <w:r w:rsidRPr="001F29F9">
        <w:rPr>
          <w:rFonts w:eastAsia="HiddenHorzOCR"/>
          <w:color w:val="000000"/>
        </w:rPr>
        <w:t xml:space="preserve">The CI first experienced left foot pain associated with a plantar wart in </w:t>
      </w:r>
      <w:r w:rsidR="00991356">
        <w:rPr>
          <w:rFonts w:eastAsia="HiddenHorzOCR"/>
          <w:color w:val="000000"/>
        </w:rPr>
        <w:t>1997; and,</w:t>
      </w:r>
      <w:r w:rsidRPr="001F29F9">
        <w:rPr>
          <w:rFonts w:eastAsia="HiddenHorzOCR"/>
          <w:color w:val="000000"/>
        </w:rPr>
        <w:t xml:space="preserve"> was diagnosed with duty-related plantar fasciitis in 2002. </w:t>
      </w:r>
      <w:r w:rsidR="00991356">
        <w:rPr>
          <w:rFonts w:eastAsia="HiddenHorzOCR"/>
          <w:color w:val="000000"/>
        </w:rPr>
        <w:t xml:space="preserve"> </w:t>
      </w:r>
      <w:r w:rsidRPr="001F29F9">
        <w:rPr>
          <w:rFonts w:eastAsia="HiddenHorzOCR"/>
          <w:color w:val="000000"/>
        </w:rPr>
        <w:t xml:space="preserve">In </w:t>
      </w:r>
      <w:r w:rsidR="00991356">
        <w:rPr>
          <w:rFonts w:eastAsia="HiddenHorzOCR"/>
          <w:color w:val="000000"/>
        </w:rPr>
        <w:t>2003</w:t>
      </w:r>
      <w:r w:rsidRPr="001F29F9">
        <w:rPr>
          <w:rFonts w:eastAsia="HiddenHorzOCR"/>
          <w:color w:val="000000"/>
        </w:rPr>
        <w:t xml:space="preserve"> she was treated for </w:t>
      </w:r>
      <w:proofErr w:type="spellStart"/>
      <w:r w:rsidRPr="001F29F9">
        <w:rPr>
          <w:rFonts w:eastAsia="HiddenHorzOCR"/>
          <w:color w:val="000000"/>
        </w:rPr>
        <w:t>pes</w:t>
      </w:r>
      <w:proofErr w:type="spellEnd"/>
      <w:r w:rsidRPr="001F29F9">
        <w:rPr>
          <w:rFonts w:eastAsia="HiddenHorzOCR"/>
          <w:color w:val="000000"/>
        </w:rPr>
        <w:t xml:space="preserve"> </w:t>
      </w:r>
      <w:proofErr w:type="spellStart"/>
      <w:r w:rsidRPr="001F29F9">
        <w:rPr>
          <w:rFonts w:eastAsia="HiddenHorzOCR"/>
          <w:color w:val="000000"/>
        </w:rPr>
        <w:t>planus</w:t>
      </w:r>
      <w:proofErr w:type="spellEnd"/>
      <w:r w:rsidRPr="001F29F9">
        <w:rPr>
          <w:rFonts w:eastAsia="HiddenHorzOCR"/>
          <w:color w:val="000000"/>
        </w:rPr>
        <w:t xml:space="preserve"> and plantar fasciitis with orthotic devices and ankle supports, but stopped using them since they provided no relief. At the MEB </w:t>
      </w:r>
      <w:r w:rsidR="00991356">
        <w:rPr>
          <w:rFonts w:eastAsia="HiddenHorzOCR"/>
          <w:color w:val="000000"/>
        </w:rPr>
        <w:t>podiatry</w:t>
      </w:r>
      <w:r w:rsidRPr="001F29F9">
        <w:rPr>
          <w:rFonts w:eastAsia="HiddenHorzOCR"/>
          <w:color w:val="000000"/>
        </w:rPr>
        <w:t xml:space="preserve"> exam, the CI reported moderate, frequent pain. The examiner noted low arches bilaterally with good strength and reflexes. Radiographs demonstrated low </w:t>
      </w:r>
      <w:proofErr w:type="spellStart"/>
      <w:r w:rsidRPr="001F29F9">
        <w:rPr>
          <w:rFonts w:eastAsia="HiddenHorzOCR"/>
          <w:color w:val="000000"/>
        </w:rPr>
        <w:t>calcaneal</w:t>
      </w:r>
      <w:proofErr w:type="spellEnd"/>
      <w:r w:rsidRPr="001F29F9">
        <w:rPr>
          <w:rFonts w:eastAsia="HiddenHorzOCR"/>
          <w:color w:val="000000"/>
        </w:rPr>
        <w:t xml:space="preserve"> inclinations. The examiner stated</w:t>
      </w:r>
      <w:r w:rsidR="007B5B09">
        <w:rPr>
          <w:rFonts w:eastAsia="HiddenHorzOCR"/>
          <w:color w:val="000000"/>
        </w:rPr>
        <w:t>,</w:t>
      </w:r>
      <w:r w:rsidRPr="001F29F9">
        <w:rPr>
          <w:rFonts w:eastAsia="HiddenHorzOCR"/>
          <w:color w:val="000000"/>
        </w:rPr>
        <w:t xml:space="preserve"> </w:t>
      </w:r>
      <w:r w:rsidR="007B5B09">
        <w:rPr>
          <w:rFonts w:eastAsia="HiddenHorzOCR"/>
          <w:color w:val="000000"/>
        </w:rPr>
        <w:t>“</w:t>
      </w:r>
      <w:proofErr w:type="gramStart"/>
      <w:r w:rsidR="00295F2A">
        <w:rPr>
          <w:rFonts w:eastAsia="HiddenHorzOCR"/>
          <w:color w:val="000000"/>
        </w:rPr>
        <w:t>the</w:t>
      </w:r>
      <w:proofErr w:type="gramEnd"/>
      <w:r w:rsidR="00295F2A">
        <w:rPr>
          <w:rFonts w:eastAsia="HiddenHorzOCR"/>
          <w:color w:val="000000"/>
        </w:rPr>
        <w:t xml:space="preserve"> service m</w:t>
      </w:r>
      <w:r w:rsidR="007B5B09">
        <w:rPr>
          <w:rFonts w:eastAsia="HiddenHorzOCR"/>
          <w:color w:val="000000"/>
        </w:rPr>
        <w:t xml:space="preserve">ember </w:t>
      </w:r>
      <w:r w:rsidRPr="001F29F9">
        <w:rPr>
          <w:rFonts w:eastAsia="HiddenHorzOCR"/>
          <w:color w:val="000000"/>
        </w:rPr>
        <w:t xml:space="preserve">finds it very difficult to run, march, jump or wear boots. She has exhausted all conservative means of treatment, and surgical treatment is not indicated at this time.” </w:t>
      </w:r>
      <w:r w:rsidR="007B5B09">
        <w:rPr>
          <w:rFonts w:eastAsia="HiddenHorzOCR"/>
          <w:color w:val="000000"/>
        </w:rPr>
        <w:t xml:space="preserve"> At the </w:t>
      </w:r>
      <w:r w:rsidRPr="001F29F9">
        <w:rPr>
          <w:rFonts w:eastAsia="HiddenHorzOCR"/>
          <w:color w:val="000000"/>
        </w:rPr>
        <w:t xml:space="preserve">VA </w:t>
      </w:r>
      <w:r w:rsidR="007B5B09">
        <w:rPr>
          <w:rFonts w:eastAsia="HiddenHorzOCR"/>
          <w:color w:val="000000"/>
        </w:rPr>
        <w:t xml:space="preserve">C&amp;P </w:t>
      </w:r>
      <w:r w:rsidRPr="001F29F9">
        <w:rPr>
          <w:rFonts w:eastAsia="HiddenHorzOCR"/>
          <w:color w:val="000000"/>
        </w:rPr>
        <w:t>exam</w:t>
      </w:r>
      <w:r w:rsidR="00295F2A">
        <w:rPr>
          <w:rFonts w:eastAsia="HiddenHorzOCR"/>
          <w:color w:val="000000"/>
        </w:rPr>
        <w:t xml:space="preserve"> prior to separation</w:t>
      </w:r>
      <w:r w:rsidRPr="001F29F9">
        <w:rPr>
          <w:rFonts w:eastAsia="HiddenHorzOCR"/>
          <w:color w:val="000000"/>
        </w:rPr>
        <w:t>, the CI reported sharp</w:t>
      </w:r>
      <w:r w:rsidR="007B5B09">
        <w:rPr>
          <w:rFonts w:eastAsia="HiddenHorzOCR"/>
          <w:color w:val="000000"/>
        </w:rPr>
        <w:t xml:space="preserve"> pain in her feet when walking (6-8 of 10).  </w:t>
      </w:r>
      <w:r w:rsidRPr="001F29F9">
        <w:rPr>
          <w:rFonts w:eastAsia="HiddenHorzOCR"/>
          <w:color w:val="000000"/>
        </w:rPr>
        <w:t xml:space="preserve">The </w:t>
      </w:r>
      <w:r w:rsidR="007B5B09">
        <w:rPr>
          <w:rFonts w:eastAsia="HiddenHorzOCR"/>
          <w:color w:val="000000"/>
        </w:rPr>
        <w:t xml:space="preserve">VA </w:t>
      </w:r>
      <w:r w:rsidRPr="001F29F9">
        <w:rPr>
          <w:rFonts w:eastAsia="HiddenHorzOCR"/>
          <w:color w:val="000000"/>
        </w:rPr>
        <w:t xml:space="preserve">examiner noted non-tender bilateral flatfeet </w:t>
      </w:r>
      <w:r w:rsidR="007B5B09">
        <w:rPr>
          <w:rFonts w:eastAsia="HiddenHorzOCR"/>
          <w:color w:val="000000"/>
        </w:rPr>
        <w:t xml:space="preserve">without pain on motion, and </w:t>
      </w:r>
      <w:r w:rsidRPr="001F29F9">
        <w:rPr>
          <w:rFonts w:eastAsia="HiddenHorzOCR"/>
          <w:color w:val="000000"/>
        </w:rPr>
        <w:t xml:space="preserve">normal gait and posture. </w:t>
      </w:r>
      <w:r w:rsidR="00FC29A5">
        <w:rPr>
          <w:rFonts w:eastAsia="HiddenHorzOCR"/>
          <w:color w:val="000000"/>
        </w:rPr>
        <w:t xml:space="preserve"> Although the MEB podiatrist did not render a direct opinion regarding retention standards, the MEB’s DA Form 3947 (submitted by an orthopedist) listed the </w:t>
      </w:r>
      <w:r w:rsidR="00520D26">
        <w:rPr>
          <w:rFonts w:eastAsia="HiddenHorzOCR"/>
          <w:color w:val="000000"/>
        </w:rPr>
        <w:t xml:space="preserve">foot condition as failing AR 40-501 retention standards.  The L3 profile encompassed the foot condition and prescribed non-regulation foot gear; the other profile restrictions would have been equally applicable to the back condition.  The commander’s statement specified only the spine condition.  Although there was an individual sick slip in April 2004 which included right foot pain among other multiple other orthopedic complaints, there was no evidence in the </w:t>
      </w:r>
      <w:r w:rsidR="00295F2A">
        <w:rPr>
          <w:rFonts w:eastAsia="HiddenHorzOCR"/>
          <w:color w:val="000000"/>
        </w:rPr>
        <w:t>s</w:t>
      </w:r>
      <w:r w:rsidR="00520D26">
        <w:rPr>
          <w:rFonts w:eastAsia="HiddenHorzOCR"/>
          <w:color w:val="000000"/>
        </w:rPr>
        <w:t xml:space="preserve">ervice file linking the foot condition to MOS-specific limitations.  </w:t>
      </w:r>
      <w:r w:rsidR="001D461E">
        <w:rPr>
          <w:rFonts w:eastAsia="HiddenHorzOCR"/>
          <w:color w:val="000000"/>
        </w:rPr>
        <w:t>It is also noted that the foot condition did not achieve a compensable rating by the VA at separation</w:t>
      </w:r>
    </w:p>
    <w:p w:rsidR="00BA5E4B" w:rsidRPr="001F29F9" w:rsidRDefault="00BA5E4B" w:rsidP="00BD74BE">
      <w:pPr>
        <w:jc w:val="both"/>
        <w:rPr>
          <w:rFonts w:eastAsia="HiddenHorzOCR"/>
          <w:color w:val="000000"/>
        </w:rPr>
      </w:pPr>
    </w:p>
    <w:p w:rsidR="00DF73A3" w:rsidRDefault="005008DC" w:rsidP="00DF73A3">
      <w:pPr>
        <w:jc w:val="both"/>
        <w:rPr>
          <w:rFonts w:eastAsia="HiddenHorzOCR"/>
          <w:color w:val="000000"/>
        </w:rPr>
      </w:pPr>
      <w:r w:rsidRPr="00991356">
        <w:rPr>
          <w:rFonts w:eastAsia="HiddenHorzOCR"/>
          <w:color w:val="000000"/>
        </w:rPr>
        <w:t xml:space="preserve">The Board’s main charge in respect to this condition is an assessment of the appropriateness of the PEB’s fitness adjudication.  The Board’s threshold for countering DES fitness determinations is higher than the VASRD §4.3 (reasonable doubt) standard used for its rating recommendations, but remains adherent to the </w:t>
      </w:r>
      <w:proofErr w:type="spellStart"/>
      <w:r w:rsidRPr="00991356">
        <w:rPr>
          <w:rFonts w:eastAsia="HiddenHorzOCR"/>
          <w:color w:val="000000"/>
        </w:rPr>
        <w:t>DoDI</w:t>
      </w:r>
      <w:proofErr w:type="spellEnd"/>
      <w:r w:rsidRPr="00991356">
        <w:rPr>
          <w:rFonts w:eastAsia="HiddenHorzOCR"/>
          <w:color w:val="000000"/>
        </w:rPr>
        <w:t xml:space="preserve"> 6040.44 “fair and equitable” standard.  </w:t>
      </w:r>
      <w:r w:rsidR="00BA5E4B" w:rsidRPr="001F29F9">
        <w:rPr>
          <w:rFonts w:eastAsia="HiddenHorzOCR"/>
          <w:color w:val="000000"/>
        </w:rPr>
        <w:t xml:space="preserve">Based on the </w:t>
      </w:r>
      <w:r w:rsidR="00BA5E4B" w:rsidRPr="009F7605">
        <w:rPr>
          <w:rFonts w:eastAsia="HiddenHorzOCR"/>
          <w:color w:val="000000"/>
        </w:rPr>
        <w:t xml:space="preserve">evidence just described, the Board </w:t>
      </w:r>
      <w:r w:rsidRPr="009F7605">
        <w:rPr>
          <w:rFonts w:eastAsia="HiddenHorzOCR"/>
          <w:color w:val="000000"/>
        </w:rPr>
        <w:t xml:space="preserve">deliberated whether the bilateral foot condition interfered with duty performance to a degree that made the CI unfit for duty at the time of separation. </w:t>
      </w:r>
      <w:r w:rsidR="00DF73A3" w:rsidRPr="009F7605">
        <w:rPr>
          <w:rFonts w:eastAsia="HiddenHorzOCR"/>
          <w:color w:val="000000"/>
        </w:rPr>
        <w:t xml:space="preserve"> </w:t>
      </w:r>
      <w:r w:rsidR="00A3330C">
        <w:rPr>
          <w:rFonts w:eastAsia="HiddenHorzOCR"/>
          <w:color w:val="000000"/>
        </w:rPr>
        <w:t>The Board considered the MEB podiatrist’s opinion (as quoted above) implicating the foot condition as interfering with essential soldiering requirements; as well</w:t>
      </w:r>
      <w:r w:rsidR="00A3330C" w:rsidRPr="009F7605">
        <w:rPr>
          <w:rFonts w:eastAsia="HiddenHorzOCR"/>
          <w:color w:val="000000"/>
        </w:rPr>
        <w:t xml:space="preserve"> </w:t>
      </w:r>
      <w:r w:rsidR="00A3330C">
        <w:rPr>
          <w:rFonts w:eastAsia="HiddenHorzOCR"/>
          <w:color w:val="000000"/>
        </w:rPr>
        <w:t>as</w:t>
      </w:r>
      <w:r w:rsidR="00A3330C" w:rsidRPr="009F7605">
        <w:rPr>
          <w:rFonts w:eastAsia="HiddenHorzOCR"/>
          <w:color w:val="000000"/>
        </w:rPr>
        <w:t xml:space="preserve"> the profile restriction </w:t>
      </w:r>
      <w:r w:rsidR="00A3330C">
        <w:rPr>
          <w:rFonts w:eastAsia="HiddenHorzOCR"/>
          <w:color w:val="000000"/>
        </w:rPr>
        <w:t>regarding</w:t>
      </w:r>
      <w:r w:rsidR="00A3330C" w:rsidRPr="009F7605">
        <w:rPr>
          <w:rFonts w:eastAsia="HiddenHorzOCR"/>
          <w:color w:val="000000"/>
        </w:rPr>
        <w:t xml:space="preserve"> regulation footwear</w:t>
      </w:r>
      <w:r w:rsidR="00A3330C">
        <w:rPr>
          <w:rFonts w:eastAsia="HiddenHorzOCR"/>
          <w:color w:val="000000"/>
        </w:rPr>
        <w:t xml:space="preserve"> which would preclude duty outside a garrison environment</w:t>
      </w:r>
      <w:r w:rsidR="00A3330C" w:rsidRPr="009F7605">
        <w:rPr>
          <w:rFonts w:eastAsia="HiddenHorzOCR"/>
          <w:color w:val="000000"/>
        </w:rPr>
        <w:t>.</w:t>
      </w:r>
      <w:r w:rsidR="00A3330C">
        <w:rPr>
          <w:rFonts w:eastAsia="HiddenHorzOCR"/>
          <w:color w:val="000000"/>
        </w:rPr>
        <w:t xml:space="preserve">  </w:t>
      </w:r>
      <w:r w:rsidR="00C13B9E">
        <w:rPr>
          <w:rFonts w:eastAsia="HiddenHorzOCR"/>
          <w:color w:val="000000"/>
        </w:rPr>
        <w:t>Referencing the CI’s spine condition, t</w:t>
      </w:r>
      <w:r w:rsidR="00A3330C">
        <w:rPr>
          <w:rFonts w:eastAsia="HiddenHorzOCR"/>
          <w:color w:val="000000"/>
        </w:rPr>
        <w:t xml:space="preserve">he </w:t>
      </w:r>
      <w:r w:rsidR="00C13B9E">
        <w:rPr>
          <w:rFonts w:eastAsia="HiddenHorzOCR"/>
          <w:color w:val="000000"/>
        </w:rPr>
        <w:t>commander stated, “</w:t>
      </w:r>
      <w:proofErr w:type="gramStart"/>
      <w:r w:rsidR="00295F2A">
        <w:rPr>
          <w:rFonts w:eastAsia="HiddenHorzOCR"/>
          <w:color w:val="000000"/>
        </w:rPr>
        <w:t>t</w:t>
      </w:r>
      <w:r w:rsidR="00C13B9E" w:rsidRPr="00C13B9E">
        <w:rPr>
          <w:rFonts w:eastAsia="HiddenHorzOCR"/>
          <w:color w:val="000000"/>
        </w:rPr>
        <w:t>he</w:t>
      </w:r>
      <w:proofErr w:type="gramEnd"/>
      <w:r w:rsidR="00C13B9E" w:rsidRPr="00C13B9E">
        <w:rPr>
          <w:rFonts w:eastAsia="HiddenHorzOCR"/>
          <w:color w:val="000000"/>
        </w:rPr>
        <w:t xml:space="preserve"> MOS requires the soldier to lift heavy equipment, stand and si</w:t>
      </w:r>
      <w:r w:rsidR="00C13B9E">
        <w:rPr>
          <w:rFonts w:eastAsia="HiddenHorzOCR"/>
          <w:color w:val="000000"/>
        </w:rPr>
        <w:t xml:space="preserve">t extended periods of time.  </w:t>
      </w:r>
      <w:r w:rsidR="00C13B9E" w:rsidRPr="00C13B9E">
        <w:rPr>
          <w:rFonts w:eastAsia="HiddenHorzOCR"/>
          <w:color w:val="000000"/>
        </w:rPr>
        <w:t xml:space="preserve">Her </w:t>
      </w:r>
      <w:r w:rsidR="00C13B9E" w:rsidRPr="00C13B9E">
        <w:rPr>
          <w:rFonts w:eastAsia="HiddenHorzOCR"/>
          <w:color w:val="000000"/>
        </w:rPr>
        <w:lastRenderedPageBreak/>
        <w:t>condition further precludes her from performing critical field</w:t>
      </w:r>
      <w:r w:rsidR="00C13B9E">
        <w:rPr>
          <w:rFonts w:eastAsia="HiddenHorzOCR"/>
          <w:color w:val="000000"/>
        </w:rPr>
        <w:t xml:space="preserve"> </w:t>
      </w:r>
      <w:r w:rsidR="00C13B9E" w:rsidRPr="00C13B9E">
        <w:rPr>
          <w:rFonts w:eastAsia="HiddenHorzOCR"/>
          <w:color w:val="000000"/>
        </w:rPr>
        <w:t>duties such as individual maintenance.</w:t>
      </w:r>
      <w:r w:rsidR="00C13B9E">
        <w:rPr>
          <w:rFonts w:eastAsia="HiddenHorzOCR"/>
          <w:color w:val="000000"/>
        </w:rPr>
        <w:t xml:space="preserve">”  These requirements were also not compatible with the limitations imposed by the foot condition, as opined by the MEB podiatrist and stated on the profile.  </w:t>
      </w:r>
      <w:r w:rsidRPr="009F7605">
        <w:rPr>
          <w:rFonts w:eastAsia="HiddenHorzOCR"/>
          <w:color w:val="000000"/>
        </w:rPr>
        <w:t xml:space="preserve">After due deliberation, the Board agreed that the preponderance of the evidence with regard to the functional impairment of the foot condition favors its recommendation as additionally unfitting </w:t>
      </w:r>
      <w:r w:rsidR="00DF73A3" w:rsidRPr="009F7605">
        <w:rPr>
          <w:rFonts w:eastAsia="HiddenHorzOCR"/>
          <w:color w:val="000000"/>
        </w:rPr>
        <w:t xml:space="preserve">and eligible for </w:t>
      </w:r>
      <w:r w:rsidR="00295F2A">
        <w:rPr>
          <w:rFonts w:eastAsia="HiddenHorzOCR"/>
          <w:color w:val="000000"/>
        </w:rPr>
        <w:t>s</w:t>
      </w:r>
      <w:r w:rsidR="00DF73A3" w:rsidRPr="009F7605">
        <w:rPr>
          <w:rFonts w:eastAsia="HiddenHorzOCR"/>
          <w:color w:val="000000"/>
        </w:rPr>
        <w:t>ervice</w:t>
      </w:r>
      <w:r w:rsidRPr="009F7605">
        <w:rPr>
          <w:rFonts w:eastAsia="HiddenHorzOCR"/>
          <w:color w:val="000000"/>
        </w:rPr>
        <w:t xml:space="preserve"> rating</w:t>
      </w:r>
      <w:r w:rsidR="00DF73A3" w:rsidRPr="009F7605">
        <w:rPr>
          <w:rFonts w:eastAsia="HiddenHorzOCR"/>
          <w:color w:val="000000"/>
        </w:rPr>
        <w:t xml:space="preserve">.  </w:t>
      </w:r>
    </w:p>
    <w:p w:rsidR="00DF73A3" w:rsidRDefault="00DF73A3" w:rsidP="00BD74BE">
      <w:pPr>
        <w:jc w:val="both"/>
        <w:rPr>
          <w:rFonts w:eastAsia="HiddenHorzOCR"/>
          <w:color w:val="000000"/>
        </w:rPr>
      </w:pPr>
    </w:p>
    <w:p w:rsidR="00BA5E4B" w:rsidRPr="003C53E8" w:rsidRDefault="00BA5E4B" w:rsidP="00BD74BE">
      <w:pPr>
        <w:jc w:val="both"/>
        <w:rPr>
          <w:rFonts w:cs="Times New Roman"/>
          <w:color w:val="FF0000"/>
        </w:rPr>
      </w:pPr>
      <w:r w:rsidRPr="001F29F9">
        <w:rPr>
          <w:rFonts w:eastAsia="HiddenHorzOCR"/>
          <w:color w:val="000000"/>
        </w:rPr>
        <w:t>The Board, therefore, directs attenti</w:t>
      </w:r>
      <w:r w:rsidR="00C13B9E">
        <w:rPr>
          <w:rFonts w:eastAsia="HiddenHorzOCR"/>
          <w:color w:val="000000"/>
        </w:rPr>
        <w:t>on to its rating recommendation for the</w:t>
      </w:r>
      <w:r w:rsidRPr="001F29F9">
        <w:rPr>
          <w:rFonts w:eastAsia="HiddenHorzOCR"/>
          <w:color w:val="000000"/>
        </w:rPr>
        <w:t xml:space="preserve"> condition. </w:t>
      </w:r>
      <w:r w:rsidR="00F8735B">
        <w:rPr>
          <w:rFonts w:eastAsia="HiddenHorzOCR"/>
          <w:color w:val="000000"/>
        </w:rPr>
        <w:t xml:space="preserve">The Board first considered the </w:t>
      </w:r>
      <w:r w:rsidR="00C13B9E">
        <w:rPr>
          <w:rFonts w:eastAsia="HiddenHorzOCR"/>
          <w:color w:val="000000"/>
        </w:rPr>
        <w:t xml:space="preserve">VA’s coding and 0% rating under </w:t>
      </w:r>
      <w:r w:rsidR="00C13B9E" w:rsidRPr="001F29F9">
        <w:rPr>
          <w:rFonts w:eastAsia="HiddenHorzOCR"/>
          <w:color w:val="000000"/>
        </w:rPr>
        <w:t>5276 (</w:t>
      </w:r>
      <w:proofErr w:type="spellStart"/>
      <w:r w:rsidR="00C13B9E" w:rsidRPr="001F29F9">
        <w:rPr>
          <w:rFonts w:eastAsia="HiddenHorzOCR"/>
          <w:color w:val="000000"/>
        </w:rPr>
        <w:t>pes</w:t>
      </w:r>
      <w:proofErr w:type="spellEnd"/>
      <w:r w:rsidR="00C13B9E" w:rsidRPr="001F29F9">
        <w:rPr>
          <w:rFonts w:eastAsia="HiddenHorzOCR"/>
          <w:color w:val="000000"/>
        </w:rPr>
        <w:t xml:space="preserve"> </w:t>
      </w:r>
      <w:proofErr w:type="spellStart"/>
      <w:r w:rsidR="00C13B9E" w:rsidRPr="001F29F9">
        <w:rPr>
          <w:rFonts w:eastAsia="HiddenHorzOCR"/>
          <w:color w:val="000000"/>
        </w:rPr>
        <w:t>planus</w:t>
      </w:r>
      <w:proofErr w:type="spellEnd"/>
      <w:r w:rsidR="0065461A">
        <w:rPr>
          <w:rFonts w:eastAsia="HiddenHorzOCR"/>
          <w:color w:val="000000"/>
        </w:rPr>
        <w:t>, acquired</w:t>
      </w:r>
      <w:r w:rsidR="00C13B9E" w:rsidRPr="001F29F9">
        <w:rPr>
          <w:rFonts w:eastAsia="HiddenHorzOCR"/>
          <w:color w:val="000000"/>
        </w:rPr>
        <w:t>)</w:t>
      </w:r>
      <w:r w:rsidR="00C13B9E">
        <w:rPr>
          <w:rFonts w:eastAsia="HiddenHorzOCR"/>
          <w:color w:val="000000"/>
        </w:rPr>
        <w:t>.  A 0% rating under 5276 is for “</w:t>
      </w:r>
      <w:r w:rsidR="0065461A">
        <w:rPr>
          <w:rFonts w:cs="Times New Roman"/>
          <w:color w:val="000000"/>
        </w:rPr>
        <w:t>m</w:t>
      </w:r>
      <w:r w:rsidR="00295F2A">
        <w:rPr>
          <w:rFonts w:cs="Times New Roman"/>
          <w:color w:val="000000"/>
        </w:rPr>
        <w:t>ild:</w:t>
      </w:r>
      <w:r w:rsidR="00C13B9E" w:rsidRPr="00BD74BE">
        <w:rPr>
          <w:rFonts w:cs="Times New Roman"/>
          <w:color w:val="000000"/>
        </w:rPr>
        <w:t xml:space="preserve"> symptoms relieved by built-up shoe or arch support</w:t>
      </w:r>
      <w:r w:rsidR="00295F2A">
        <w:rPr>
          <w:rFonts w:cs="Times New Roman"/>
          <w:color w:val="000000"/>
        </w:rPr>
        <w:t>;</w:t>
      </w:r>
      <w:r w:rsidR="00C13B9E">
        <w:rPr>
          <w:rFonts w:eastAsia="HiddenHorzOCR"/>
          <w:color w:val="000000"/>
        </w:rPr>
        <w:t>”</w:t>
      </w:r>
      <w:r w:rsidR="0065461A">
        <w:rPr>
          <w:rFonts w:eastAsia="HiddenHorzOCR"/>
          <w:color w:val="000000"/>
        </w:rPr>
        <w:t xml:space="preserve"> and, that is not a fair characterization of the severity in evidence.  The Board, however, did not believe that </w:t>
      </w:r>
      <w:r w:rsidR="0065461A" w:rsidRPr="0065461A">
        <w:rPr>
          <w:rFonts w:eastAsia="HiddenHorzOCR"/>
          <w:color w:val="000000"/>
        </w:rPr>
        <w:t xml:space="preserve">this case </w:t>
      </w:r>
      <w:r w:rsidR="0065461A">
        <w:rPr>
          <w:rFonts w:eastAsia="HiddenHorzOCR"/>
          <w:color w:val="000000"/>
        </w:rPr>
        <w:t>met</w:t>
      </w:r>
      <w:r w:rsidR="0065461A" w:rsidRPr="0065461A">
        <w:rPr>
          <w:rFonts w:eastAsia="HiddenHorzOCR"/>
          <w:color w:val="000000"/>
        </w:rPr>
        <w:t xml:space="preserve"> the quite specific criteria cited in VASRD §</w:t>
      </w:r>
      <w:r w:rsidR="0065461A">
        <w:rPr>
          <w:rFonts w:eastAsia="HiddenHorzOCR"/>
          <w:color w:val="000000"/>
        </w:rPr>
        <w:t>4.57 (static foot deformities) for</w:t>
      </w:r>
      <w:r w:rsidR="0065461A" w:rsidRPr="0065461A">
        <w:rPr>
          <w:rFonts w:eastAsia="HiddenHorzOCR"/>
          <w:color w:val="000000"/>
        </w:rPr>
        <w:t xml:space="preserve"> </w:t>
      </w:r>
      <w:r w:rsidR="0065461A" w:rsidRPr="00295F2A">
        <w:rPr>
          <w:rFonts w:eastAsia="HiddenHorzOCR"/>
          <w:color w:val="000000"/>
        </w:rPr>
        <w:t>acquired</w:t>
      </w:r>
      <w:r w:rsidR="0065461A" w:rsidRPr="0065461A">
        <w:rPr>
          <w:rFonts w:eastAsia="HiddenHorzOCR"/>
          <w:color w:val="000000"/>
        </w:rPr>
        <w:t xml:space="preserve"> (vs. congenital) </w:t>
      </w:r>
      <w:proofErr w:type="spellStart"/>
      <w:r w:rsidR="00BE5444">
        <w:rPr>
          <w:rFonts w:eastAsia="HiddenHorzOCR"/>
          <w:color w:val="000000"/>
        </w:rPr>
        <w:t>pes</w:t>
      </w:r>
      <w:proofErr w:type="spellEnd"/>
      <w:r w:rsidR="00BE5444">
        <w:rPr>
          <w:rFonts w:eastAsia="HiddenHorzOCR"/>
          <w:color w:val="000000"/>
        </w:rPr>
        <w:t xml:space="preserve"> </w:t>
      </w:r>
      <w:proofErr w:type="spellStart"/>
      <w:r w:rsidR="00BE5444">
        <w:rPr>
          <w:rFonts w:eastAsia="HiddenHorzOCR"/>
          <w:color w:val="000000"/>
        </w:rPr>
        <w:t>planus</w:t>
      </w:r>
      <w:proofErr w:type="spellEnd"/>
      <w:r w:rsidR="00BE5444">
        <w:rPr>
          <w:rFonts w:eastAsia="HiddenHorzOCR"/>
          <w:color w:val="000000"/>
        </w:rPr>
        <w:t>.</w:t>
      </w:r>
      <w:r w:rsidR="0065461A">
        <w:rPr>
          <w:rFonts w:eastAsia="HiddenHorzOCR"/>
          <w:color w:val="000000"/>
        </w:rPr>
        <w:t xml:space="preserve"> </w:t>
      </w:r>
      <w:r w:rsidR="00BE5444">
        <w:rPr>
          <w:rFonts w:eastAsia="HiddenHorzOCR"/>
          <w:color w:val="000000"/>
        </w:rPr>
        <w:t xml:space="preserve"> T</w:t>
      </w:r>
      <w:r w:rsidR="0065461A">
        <w:rPr>
          <w:rFonts w:eastAsia="HiddenHorzOCR"/>
          <w:color w:val="000000"/>
        </w:rPr>
        <w:t>he</w:t>
      </w:r>
      <w:r w:rsidR="0065461A" w:rsidRPr="0065461A">
        <w:rPr>
          <w:rFonts w:eastAsia="HiddenHorzOCR"/>
          <w:color w:val="000000"/>
        </w:rPr>
        <w:t xml:space="preserve"> </w:t>
      </w:r>
      <w:proofErr w:type="spellStart"/>
      <w:r w:rsidR="0065461A" w:rsidRPr="0065461A">
        <w:rPr>
          <w:rFonts w:eastAsia="HiddenHorzOCR"/>
          <w:color w:val="000000"/>
        </w:rPr>
        <w:t>pes</w:t>
      </w:r>
      <w:proofErr w:type="spellEnd"/>
      <w:r w:rsidR="0065461A" w:rsidRPr="0065461A">
        <w:rPr>
          <w:rFonts w:eastAsia="HiddenHorzOCR"/>
          <w:color w:val="000000"/>
        </w:rPr>
        <w:t xml:space="preserve"> </w:t>
      </w:r>
      <w:proofErr w:type="spellStart"/>
      <w:r w:rsidR="0065461A" w:rsidRPr="0065461A">
        <w:rPr>
          <w:rFonts w:eastAsia="HiddenHorzOCR"/>
          <w:color w:val="000000"/>
        </w:rPr>
        <w:t>planus</w:t>
      </w:r>
      <w:proofErr w:type="spellEnd"/>
      <w:r w:rsidR="0065461A" w:rsidRPr="0065461A">
        <w:rPr>
          <w:rFonts w:eastAsia="HiddenHorzOCR"/>
          <w:color w:val="000000"/>
        </w:rPr>
        <w:t xml:space="preserve"> condition it</w:t>
      </w:r>
      <w:r w:rsidR="009D28D8">
        <w:rPr>
          <w:rFonts w:eastAsia="HiddenHorzOCR"/>
          <w:color w:val="000000"/>
        </w:rPr>
        <w:t>self was not service-</w:t>
      </w:r>
      <w:r w:rsidR="0065461A">
        <w:rPr>
          <w:rFonts w:eastAsia="HiddenHorzOCR"/>
          <w:color w:val="000000"/>
        </w:rPr>
        <w:t>aggravated,</w:t>
      </w:r>
      <w:r w:rsidR="0065461A" w:rsidRPr="0065461A">
        <w:rPr>
          <w:rFonts w:eastAsia="HiddenHorzOCR"/>
          <w:color w:val="000000"/>
        </w:rPr>
        <w:t xml:space="preserve"> </w:t>
      </w:r>
      <w:r w:rsidR="0065461A">
        <w:rPr>
          <w:rFonts w:eastAsia="HiddenHorzOCR"/>
          <w:color w:val="000000"/>
        </w:rPr>
        <w:t>but rather the painful complication</w:t>
      </w:r>
      <w:r w:rsidR="0065461A" w:rsidRPr="0065461A">
        <w:rPr>
          <w:rFonts w:eastAsia="HiddenHorzOCR"/>
          <w:color w:val="000000"/>
        </w:rPr>
        <w:t xml:space="preserve"> of plantar fasciitis </w:t>
      </w:r>
      <w:r w:rsidR="0065461A">
        <w:rPr>
          <w:rFonts w:eastAsia="HiddenHorzOCR"/>
          <w:color w:val="000000"/>
        </w:rPr>
        <w:t>was</w:t>
      </w:r>
      <w:r w:rsidR="0065461A" w:rsidRPr="0065461A">
        <w:rPr>
          <w:rFonts w:eastAsia="HiddenHorzOCR"/>
          <w:color w:val="000000"/>
        </w:rPr>
        <w:t xml:space="preserve"> the acquired and unfitting </w:t>
      </w:r>
      <w:r w:rsidR="0065461A">
        <w:rPr>
          <w:rFonts w:eastAsia="HiddenHorzOCR"/>
          <w:color w:val="000000"/>
        </w:rPr>
        <w:t>condition</w:t>
      </w:r>
      <w:r w:rsidR="0065461A" w:rsidRPr="0065461A">
        <w:rPr>
          <w:rFonts w:eastAsia="HiddenHorzOCR"/>
          <w:color w:val="000000"/>
        </w:rPr>
        <w:t xml:space="preserve">.  </w:t>
      </w:r>
      <w:r w:rsidR="0065461A">
        <w:rPr>
          <w:rFonts w:eastAsia="HiddenHorzOCR"/>
          <w:color w:val="000000"/>
        </w:rPr>
        <w:t xml:space="preserve">The Board considered </w:t>
      </w:r>
      <w:r w:rsidR="00CB3F43">
        <w:rPr>
          <w:rFonts w:eastAsia="HiddenHorzOCR"/>
          <w:color w:val="000000"/>
        </w:rPr>
        <w:t>separate analogous ratings under 5299-</w:t>
      </w:r>
      <w:r w:rsidR="00CB3F43" w:rsidRPr="00F8735B">
        <w:rPr>
          <w:bCs/>
          <w:color w:val="000000"/>
        </w:rPr>
        <w:t>5284</w:t>
      </w:r>
      <w:r w:rsidR="00CB3F43" w:rsidRPr="00181730">
        <w:rPr>
          <w:b/>
          <w:bCs/>
          <w:color w:val="000000"/>
        </w:rPr>
        <w:t xml:space="preserve"> </w:t>
      </w:r>
      <w:r w:rsidR="00CB3F43">
        <w:rPr>
          <w:color w:val="000000"/>
        </w:rPr>
        <w:t>(f</w:t>
      </w:r>
      <w:r w:rsidR="00CB3F43" w:rsidRPr="00181730">
        <w:rPr>
          <w:color w:val="000000"/>
        </w:rPr>
        <w:t>oot injuries, other</w:t>
      </w:r>
      <w:r w:rsidR="00CB3F43">
        <w:rPr>
          <w:color w:val="000000"/>
        </w:rPr>
        <w:t xml:space="preserve">) or 5399-5310 (muscle code for plantar group); but, all members agreed that it was overly speculative to concede that each foot could be considered individually unfitting; and, that a combined code was indicated.  Deliberations settled on application of the </w:t>
      </w:r>
      <w:r w:rsidR="00CB3F43">
        <w:rPr>
          <w:color w:val="000000" w:themeColor="text1"/>
          <w:szCs w:val="24"/>
        </w:rPr>
        <w:t>analogous code 5099-5024 (</w:t>
      </w:r>
      <w:proofErr w:type="spellStart"/>
      <w:r w:rsidR="00CB3F43">
        <w:rPr>
          <w:color w:val="000000" w:themeColor="text1"/>
          <w:szCs w:val="24"/>
        </w:rPr>
        <w:t>tenosynovitis</w:t>
      </w:r>
      <w:proofErr w:type="spellEnd"/>
      <w:r w:rsidR="00CB3F43">
        <w:rPr>
          <w:color w:val="000000" w:themeColor="text1"/>
          <w:szCs w:val="24"/>
        </w:rPr>
        <w:t xml:space="preserve">, rated per 5003 criteria), </w:t>
      </w:r>
      <w:r w:rsidR="00BE5444">
        <w:rPr>
          <w:color w:val="000000" w:themeColor="text1"/>
          <w:szCs w:val="24"/>
        </w:rPr>
        <w:t>which would yield</w:t>
      </w:r>
      <w:r w:rsidR="00CB3F43">
        <w:rPr>
          <w:color w:val="000000" w:themeColor="text1"/>
          <w:szCs w:val="24"/>
        </w:rPr>
        <w:t xml:space="preserve"> a 10% rating for two major joints.  </w:t>
      </w:r>
      <w:r w:rsidR="00CB3F43">
        <w:rPr>
          <w:rFonts w:cs="Times New Roman"/>
          <w:color w:val="auto"/>
        </w:rPr>
        <w:t>T</w:t>
      </w:r>
      <w:r w:rsidRPr="003C53E8">
        <w:rPr>
          <w:rFonts w:cs="Times New Roman"/>
          <w:color w:val="auto"/>
        </w:rPr>
        <w:t>he Board agreed</w:t>
      </w:r>
      <w:r w:rsidR="00CB3F43">
        <w:rPr>
          <w:rFonts w:cs="Times New Roman"/>
          <w:color w:val="auto"/>
        </w:rPr>
        <w:t xml:space="preserve">, therefore, that </w:t>
      </w:r>
      <w:r w:rsidR="00BE5444">
        <w:rPr>
          <w:rFonts w:cs="Times New Roman"/>
          <w:color w:val="auto"/>
        </w:rPr>
        <w:t xml:space="preserve">the preponderance of the evidence supports a recommendation for adding </w:t>
      </w:r>
      <w:proofErr w:type="spellStart"/>
      <w:r w:rsidR="00CB3F43" w:rsidRPr="003C53E8">
        <w:rPr>
          <w:rFonts w:cs="Times New Roman"/>
          <w:color w:val="auto"/>
        </w:rPr>
        <w:t>pes</w:t>
      </w:r>
      <w:proofErr w:type="spellEnd"/>
      <w:r w:rsidR="00CB3F43" w:rsidRPr="003C53E8">
        <w:rPr>
          <w:rFonts w:cs="Times New Roman"/>
          <w:color w:val="auto"/>
        </w:rPr>
        <w:t xml:space="preserve"> </w:t>
      </w:r>
      <w:proofErr w:type="spellStart"/>
      <w:r w:rsidR="00CB3F43" w:rsidRPr="003C53E8">
        <w:rPr>
          <w:rFonts w:cs="Times New Roman"/>
          <w:color w:val="auto"/>
        </w:rPr>
        <w:t>planus</w:t>
      </w:r>
      <w:proofErr w:type="spellEnd"/>
      <w:r w:rsidR="00CB3F43" w:rsidRPr="003C53E8">
        <w:rPr>
          <w:rFonts w:cs="Times New Roman"/>
          <w:color w:val="auto"/>
        </w:rPr>
        <w:t xml:space="preserve"> with plantar fasciitis </w:t>
      </w:r>
      <w:r w:rsidRPr="003C53E8">
        <w:rPr>
          <w:rFonts w:cs="Times New Roman"/>
          <w:color w:val="auto"/>
        </w:rPr>
        <w:t xml:space="preserve">as an additionally unfitting </w:t>
      </w:r>
      <w:r w:rsidR="00BE5444">
        <w:rPr>
          <w:rFonts w:cs="Times New Roman"/>
          <w:color w:val="auto"/>
        </w:rPr>
        <w:t>condition rated 10% under that bilateral code</w:t>
      </w:r>
      <w:r w:rsidRPr="003C53E8">
        <w:rPr>
          <w:rFonts w:cs="Times New Roman"/>
          <w:color w:val="auto"/>
        </w:rPr>
        <w:t>.</w:t>
      </w:r>
    </w:p>
    <w:p w:rsidR="00BA5E4B" w:rsidRPr="001F29F9" w:rsidRDefault="00BA5E4B" w:rsidP="006364ED">
      <w:pPr>
        <w:jc w:val="left"/>
        <w:rPr>
          <w:rFonts w:eastAsia="HiddenHorzOCR"/>
          <w:color w:val="000000"/>
          <w:u w:val="single"/>
        </w:rPr>
      </w:pPr>
    </w:p>
    <w:p w:rsidR="00854D4F" w:rsidRPr="00854D4F" w:rsidRDefault="00BA5E4B" w:rsidP="00854D4F">
      <w:pPr>
        <w:jc w:val="both"/>
        <w:rPr>
          <w:rFonts w:eastAsia="HiddenHorzOCR"/>
          <w:color w:val="000000"/>
        </w:rPr>
      </w:pPr>
      <w:r w:rsidRPr="001F29F9">
        <w:rPr>
          <w:rFonts w:eastAsia="HiddenHorzOCR"/>
          <w:color w:val="000000"/>
          <w:u w:val="single"/>
        </w:rPr>
        <w:t xml:space="preserve">Other PEB </w:t>
      </w:r>
      <w:r w:rsidR="003F23D3">
        <w:rPr>
          <w:rFonts w:eastAsia="HiddenHorzOCR"/>
          <w:color w:val="000000"/>
          <w:u w:val="single"/>
        </w:rPr>
        <w:t xml:space="preserve">(and Contended) </w:t>
      </w:r>
      <w:r w:rsidRPr="001F29F9">
        <w:rPr>
          <w:rFonts w:eastAsia="HiddenHorzOCR"/>
          <w:color w:val="000000"/>
          <w:u w:val="single"/>
        </w:rPr>
        <w:t>Conditions</w:t>
      </w:r>
      <w:r w:rsidR="000F1A70">
        <w:rPr>
          <w:rFonts w:eastAsia="HiddenHorzOCR"/>
          <w:color w:val="000000"/>
        </w:rPr>
        <w:t>.  The t</w:t>
      </w:r>
      <w:r w:rsidRPr="001F29F9">
        <w:rPr>
          <w:rFonts w:eastAsia="HiddenHorzOCR"/>
          <w:color w:val="000000"/>
        </w:rPr>
        <w:t xml:space="preserve">wo </w:t>
      </w:r>
      <w:r w:rsidR="000F1A70">
        <w:rPr>
          <w:rFonts w:eastAsia="HiddenHorzOCR"/>
          <w:color w:val="000000"/>
        </w:rPr>
        <w:t xml:space="preserve">additional </w:t>
      </w:r>
      <w:r w:rsidRPr="001F29F9">
        <w:rPr>
          <w:rFonts w:eastAsia="HiddenHorzOCR"/>
          <w:color w:val="000000"/>
        </w:rPr>
        <w:t xml:space="preserve">conditions forwarded as </w:t>
      </w:r>
      <w:r w:rsidR="005D43FF">
        <w:rPr>
          <w:rFonts w:eastAsia="HiddenHorzOCR"/>
          <w:color w:val="000000"/>
        </w:rPr>
        <w:t>medically unacceptable</w:t>
      </w:r>
      <w:r w:rsidRPr="001F29F9">
        <w:rPr>
          <w:rFonts w:eastAsia="HiddenHorzOCR"/>
          <w:color w:val="000000"/>
        </w:rPr>
        <w:t xml:space="preserve"> by the MEB</w:t>
      </w:r>
      <w:r w:rsidR="000F1A70">
        <w:rPr>
          <w:rFonts w:eastAsia="HiddenHorzOCR"/>
          <w:color w:val="000000"/>
        </w:rPr>
        <w:t>,</w:t>
      </w:r>
      <w:r w:rsidRPr="001F29F9">
        <w:rPr>
          <w:rFonts w:eastAsia="HiddenHorzOCR"/>
          <w:color w:val="000000"/>
        </w:rPr>
        <w:t xml:space="preserve"> but adjudicated as not unfitting by the PEB</w:t>
      </w:r>
      <w:r w:rsidR="000F1A70">
        <w:rPr>
          <w:rFonts w:eastAsia="HiddenHorzOCR"/>
          <w:color w:val="000000"/>
        </w:rPr>
        <w:t>,</w:t>
      </w:r>
      <w:r w:rsidRPr="001F29F9">
        <w:rPr>
          <w:rFonts w:eastAsia="HiddenHorzOCR"/>
          <w:color w:val="000000"/>
        </w:rPr>
        <w:t xml:space="preserve"> were depression and PTSD.</w:t>
      </w:r>
      <w:r w:rsidR="005D43FF">
        <w:rPr>
          <w:rFonts w:eastAsia="HiddenHorzOCR"/>
          <w:color w:val="000000"/>
        </w:rPr>
        <w:t xml:space="preserve"> </w:t>
      </w:r>
      <w:r w:rsidRPr="001F29F9">
        <w:rPr>
          <w:rFonts w:eastAsia="HiddenHorzOCR"/>
          <w:color w:val="000000"/>
        </w:rPr>
        <w:t xml:space="preserve"> </w:t>
      </w:r>
      <w:r w:rsidR="00096F1E" w:rsidRPr="001F29F9">
        <w:rPr>
          <w:rFonts w:eastAsia="HiddenHorzOCR"/>
          <w:color w:val="000000"/>
        </w:rPr>
        <w:t xml:space="preserve">The CI was first seen for mental health in November 2003. She reported significant stress and depression related to her medical conditions and the MEB process. She additionally reported PTSD symptoms related to being sexually abused by her stepfather as a child. </w:t>
      </w:r>
      <w:r w:rsidR="002765A0">
        <w:rPr>
          <w:rFonts w:eastAsia="HiddenHorzOCR"/>
          <w:color w:val="000000"/>
        </w:rPr>
        <w:t xml:space="preserve"> The MEB psychiatric addendum noted anger and frustration with the chain of command and </w:t>
      </w:r>
      <w:r w:rsidR="00854D4F">
        <w:rPr>
          <w:rFonts w:eastAsia="HiddenHorzOCR"/>
          <w:color w:val="000000"/>
        </w:rPr>
        <w:t xml:space="preserve">MEB process, along with </w:t>
      </w:r>
      <w:r w:rsidR="002765A0">
        <w:rPr>
          <w:rFonts w:eastAsia="HiddenHorzOCR"/>
          <w:color w:val="000000"/>
        </w:rPr>
        <w:t>insomnia</w:t>
      </w:r>
      <w:r w:rsidR="00854D4F">
        <w:rPr>
          <w:rFonts w:eastAsia="HiddenHorzOCR"/>
          <w:color w:val="000000"/>
        </w:rPr>
        <w:t>,</w:t>
      </w:r>
      <w:r w:rsidR="002765A0">
        <w:rPr>
          <w:rFonts w:eastAsia="HiddenHorzOCR"/>
          <w:color w:val="000000"/>
        </w:rPr>
        <w:t xml:space="preserve"> as the prominent symptoms.  The CI was prescribed an antidepressant and sleep medication, and outpatient mental health notes documented sporadic improvement and labile engagement with psychotherapy.  The mental status examination was normal except for an anxious mood, and there was no cognitive impairment.  </w:t>
      </w:r>
      <w:r w:rsidR="00854D4F">
        <w:rPr>
          <w:rFonts w:eastAsia="HiddenHorzOCR"/>
          <w:color w:val="000000"/>
        </w:rPr>
        <w:t>The</w:t>
      </w:r>
      <w:r w:rsidRPr="001F29F9">
        <w:rPr>
          <w:rFonts w:eastAsia="HiddenHorzOCR"/>
          <w:color w:val="000000"/>
        </w:rPr>
        <w:t xml:space="preserve"> mental health conditi</w:t>
      </w:r>
      <w:r w:rsidR="00A100DE">
        <w:rPr>
          <w:rFonts w:eastAsia="HiddenHorzOCR"/>
          <w:color w:val="000000"/>
        </w:rPr>
        <w:t>ons were not implicated in the c</w:t>
      </w:r>
      <w:r w:rsidRPr="001F29F9">
        <w:rPr>
          <w:rFonts w:eastAsia="HiddenHorzOCR"/>
          <w:color w:val="000000"/>
        </w:rPr>
        <w:t xml:space="preserve">ommander’s statement, </w:t>
      </w:r>
      <w:r w:rsidR="003F23D3">
        <w:rPr>
          <w:rFonts w:eastAsia="HiddenHorzOCR"/>
          <w:color w:val="000000"/>
        </w:rPr>
        <w:t>which praised the CI’s performance outside the r</w:t>
      </w:r>
      <w:r w:rsidR="00E97588">
        <w:rPr>
          <w:rFonts w:eastAsia="HiddenHorzOCR"/>
          <w:color w:val="000000"/>
        </w:rPr>
        <w:t>ealm of her physical impairment.</w:t>
      </w:r>
      <w:r w:rsidRPr="001F29F9">
        <w:rPr>
          <w:rFonts w:eastAsia="HiddenHorzOCR"/>
          <w:color w:val="000000"/>
        </w:rPr>
        <w:t xml:space="preserve"> </w:t>
      </w:r>
      <w:r w:rsidR="00E97588">
        <w:rPr>
          <w:rFonts w:eastAsia="HiddenHorzOCR"/>
          <w:color w:val="000000"/>
        </w:rPr>
        <w:t xml:space="preserve"> There was </w:t>
      </w:r>
      <w:r w:rsidR="003F23D3">
        <w:rPr>
          <w:rFonts w:eastAsia="HiddenHorzOCR"/>
          <w:color w:val="000000"/>
        </w:rPr>
        <w:t>an S3 profile</w:t>
      </w:r>
      <w:r w:rsidR="00E97588">
        <w:rPr>
          <w:rFonts w:eastAsia="HiddenHorzOCR"/>
          <w:color w:val="000000"/>
        </w:rPr>
        <w:t xml:space="preserve"> in effect at separation, although specific psychiatric limitations were not specified</w:t>
      </w:r>
      <w:r w:rsidR="003F23D3">
        <w:rPr>
          <w:rFonts w:eastAsia="HiddenHorzOCR"/>
          <w:color w:val="000000"/>
        </w:rPr>
        <w:t>.</w:t>
      </w:r>
      <w:r w:rsidRPr="001F29F9">
        <w:rPr>
          <w:rFonts w:eastAsia="HiddenHorzOCR"/>
          <w:color w:val="000000"/>
        </w:rPr>
        <w:t xml:space="preserve"> </w:t>
      </w:r>
      <w:r w:rsidR="003F23D3">
        <w:rPr>
          <w:rFonts w:eastAsia="HiddenHorzOCR"/>
          <w:color w:val="000000"/>
        </w:rPr>
        <w:t xml:space="preserve"> </w:t>
      </w:r>
      <w:r w:rsidR="00E97588">
        <w:rPr>
          <w:rFonts w:eastAsia="HiddenHorzOCR"/>
          <w:color w:val="000000"/>
        </w:rPr>
        <w:t>Carrying and firing of assigned weapon was proscribed; but, it is unclear if this was on an orthopedic or psychiatric basis; and, weapons engagement is not intrinsic to the MOS</w:t>
      </w:r>
      <w:r w:rsidR="009915E8">
        <w:rPr>
          <w:rFonts w:eastAsia="HiddenHorzOCR"/>
          <w:color w:val="000000"/>
        </w:rPr>
        <w:t xml:space="preserve"> under consideration</w:t>
      </w:r>
      <w:r w:rsidR="00E97588">
        <w:rPr>
          <w:rFonts w:eastAsia="HiddenHorzOCR"/>
          <w:color w:val="000000"/>
        </w:rPr>
        <w:t xml:space="preserve">.  </w:t>
      </w:r>
      <w:r w:rsidR="00854D4F">
        <w:rPr>
          <w:rFonts w:eastAsia="HiddenHorzOCR"/>
          <w:color w:val="000000"/>
        </w:rPr>
        <w:t xml:space="preserve">In assessing the PEB’s fitness adjudication for the psychiatric conditions, the Board recognizes that </w:t>
      </w:r>
      <w:r w:rsidR="009D28D8">
        <w:rPr>
          <w:rFonts w:eastAsia="HiddenHorzOCR"/>
          <w:color w:val="000000"/>
        </w:rPr>
        <w:t>s</w:t>
      </w:r>
      <w:r w:rsidR="00854D4F">
        <w:rPr>
          <w:rFonts w:eastAsia="HiddenHorzOCR"/>
          <w:color w:val="000000"/>
        </w:rPr>
        <w:t>ervice fitness determinations are performance based.  T</w:t>
      </w:r>
      <w:r w:rsidR="00854D4F" w:rsidRPr="00854D4F">
        <w:rPr>
          <w:rFonts w:eastAsia="HiddenHorzOCR"/>
          <w:color w:val="000000"/>
        </w:rPr>
        <w:t xml:space="preserve">here is no evidence associating </w:t>
      </w:r>
      <w:r w:rsidR="00854D4F">
        <w:rPr>
          <w:rFonts w:eastAsia="HiddenHorzOCR"/>
          <w:color w:val="000000"/>
        </w:rPr>
        <w:t xml:space="preserve">psychiatric disability, divested from the concurrent physical limitations </w:t>
      </w:r>
      <w:r w:rsidR="00961264">
        <w:rPr>
          <w:rFonts w:eastAsia="HiddenHorzOCR"/>
          <w:color w:val="000000"/>
        </w:rPr>
        <w:t>and painful medical conditions,</w:t>
      </w:r>
      <w:r w:rsidR="00854D4F" w:rsidRPr="00854D4F">
        <w:rPr>
          <w:rFonts w:eastAsia="HiddenHorzOCR"/>
          <w:color w:val="000000"/>
        </w:rPr>
        <w:t xml:space="preserve"> with impaired performance within the requirements of the </w:t>
      </w:r>
      <w:r w:rsidR="00854D4F">
        <w:rPr>
          <w:rFonts w:eastAsia="HiddenHorzOCR"/>
          <w:color w:val="000000"/>
        </w:rPr>
        <w:t xml:space="preserve">CI’s </w:t>
      </w:r>
      <w:r w:rsidR="00854D4F" w:rsidRPr="00854D4F">
        <w:rPr>
          <w:rFonts w:eastAsia="HiddenHorzOCR"/>
          <w:color w:val="000000"/>
        </w:rPr>
        <w:t xml:space="preserve">MOS.  </w:t>
      </w:r>
      <w:r w:rsidR="00961264">
        <w:rPr>
          <w:rFonts w:eastAsia="HiddenHorzOCR"/>
          <w:color w:val="000000"/>
        </w:rPr>
        <w:t xml:space="preserve">The Board members </w:t>
      </w:r>
      <w:r w:rsidR="00961264" w:rsidRPr="00961264">
        <w:rPr>
          <w:rFonts w:eastAsia="HiddenHorzOCR"/>
          <w:color w:val="000000"/>
        </w:rPr>
        <w:t xml:space="preserve">concluded </w:t>
      </w:r>
      <w:r w:rsidR="00961264">
        <w:rPr>
          <w:rFonts w:eastAsia="HiddenHorzOCR"/>
          <w:color w:val="000000"/>
        </w:rPr>
        <w:t xml:space="preserve">therefore </w:t>
      </w:r>
      <w:r w:rsidR="00961264" w:rsidRPr="00961264">
        <w:rPr>
          <w:rFonts w:eastAsia="HiddenHorzOCR"/>
          <w:color w:val="000000"/>
        </w:rPr>
        <w:t>that there was insufficient cause to recommend a change in the PEB fitness adjudication</w:t>
      </w:r>
      <w:r w:rsidR="00961264">
        <w:rPr>
          <w:rFonts w:eastAsia="HiddenHorzOCR"/>
          <w:color w:val="000000"/>
        </w:rPr>
        <w:t xml:space="preserve"> for the depression and PTSD conditions.</w:t>
      </w:r>
    </w:p>
    <w:p w:rsidR="00BA5E4B" w:rsidRPr="001F29F9" w:rsidRDefault="00BA5E4B" w:rsidP="00BD74BE">
      <w:pPr>
        <w:jc w:val="both"/>
        <w:rPr>
          <w:rFonts w:eastAsia="HiddenHorzOCR"/>
          <w:color w:val="000000"/>
        </w:rPr>
      </w:pPr>
    </w:p>
    <w:p w:rsidR="00BA5E4B" w:rsidRPr="001F29F9" w:rsidRDefault="00961264" w:rsidP="00BD74BE">
      <w:pPr>
        <w:jc w:val="both"/>
        <w:rPr>
          <w:color w:val="000000"/>
        </w:rPr>
      </w:pPr>
      <w:r>
        <w:rPr>
          <w:color w:val="000000"/>
        </w:rPr>
        <w:t xml:space="preserve">The remaining </w:t>
      </w:r>
      <w:r w:rsidR="00BA5E4B" w:rsidRPr="001F29F9">
        <w:rPr>
          <w:color w:val="000000"/>
        </w:rPr>
        <w:t xml:space="preserve">conditions forwarded by the MEB and adjudicated as not unfitting by the PEB were neck pain, </w:t>
      </w:r>
      <w:proofErr w:type="spellStart"/>
      <w:r w:rsidR="00BA5E4B" w:rsidRPr="001F29F9">
        <w:rPr>
          <w:color w:val="000000"/>
        </w:rPr>
        <w:t>polyarthralgias</w:t>
      </w:r>
      <w:proofErr w:type="spellEnd"/>
      <w:r w:rsidR="00BA5E4B" w:rsidRPr="001F29F9">
        <w:rPr>
          <w:color w:val="000000"/>
        </w:rPr>
        <w:t>, lupus, and fibromyalgia.</w:t>
      </w:r>
      <w:r>
        <w:rPr>
          <w:color w:val="000000"/>
        </w:rPr>
        <w:t xml:space="preserve">  </w:t>
      </w:r>
      <w:r w:rsidRPr="00BD74BE">
        <w:rPr>
          <w:color w:val="000000"/>
        </w:rPr>
        <w:t>None of these conditions were noted as failing retention standards</w:t>
      </w:r>
      <w:r>
        <w:rPr>
          <w:color w:val="000000"/>
        </w:rPr>
        <w:t>; none carried attached profiles;</w:t>
      </w:r>
      <w:r w:rsidRPr="00BD74BE">
        <w:rPr>
          <w:color w:val="000000"/>
        </w:rPr>
        <w:t xml:space="preserve"> and</w:t>
      </w:r>
      <w:r>
        <w:rPr>
          <w:color w:val="000000"/>
        </w:rPr>
        <w:t>,</w:t>
      </w:r>
      <w:r w:rsidRPr="00BD74BE">
        <w:rPr>
          <w:color w:val="000000"/>
        </w:rPr>
        <w:t xml:space="preserve"> none were implicated in the commander’s statement.</w:t>
      </w:r>
      <w:r w:rsidR="009915E8">
        <w:rPr>
          <w:color w:val="000000"/>
        </w:rPr>
        <w:t xml:space="preserve"> </w:t>
      </w:r>
      <w:r w:rsidRPr="00BD74BE">
        <w:rPr>
          <w:color w:val="000000"/>
        </w:rPr>
        <w:t xml:space="preserve"> </w:t>
      </w:r>
      <w:r w:rsidR="00BA5E4B" w:rsidRPr="001F29F9">
        <w:rPr>
          <w:color w:val="000000"/>
        </w:rPr>
        <w:t xml:space="preserve">All were reviewed by the </w:t>
      </w:r>
      <w:r w:rsidR="009D28D8">
        <w:rPr>
          <w:color w:val="000000"/>
        </w:rPr>
        <w:t>a</w:t>
      </w:r>
      <w:r w:rsidRPr="001F29F9">
        <w:rPr>
          <w:color w:val="000000"/>
        </w:rPr>
        <w:t xml:space="preserve">ction </w:t>
      </w:r>
      <w:r w:rsidR="009D28D8">
        <w:rPr>
          <w:color w:val="000000"/>
        </w:rPr>
        <w:t>o</w:t>
      </w:r>
      <w:r w:rsidRPr="001F29F9">
        <w:rPr>
          <w:color w:val="000000"/>
        </w:rPr>
        <w:t xml:space="preserve">fficer </w:t>
      </w:r>
      <w:r w:rsidR="00BA5E4B" w:rsidRPr="001F29F9">
        <w:rPr>
          <w:color w:val="000000"/>
        </w:rPr>
        <w:t xml:space="preserve">and considered by the Board.  There was no indication from the record that any of these conditions significantly interfered with satisfactory duty performance. </w:t>
      </w:r>
      <w:r>
        <w:rPr>
          <w:color w:val="000000"/>
        </w:rPr>
        <w:t xml:space="preserve"> </w:t>
      </w:r>
      <w:r w:rsidR="00BA5E4B" w:rsidRPr="001F29F9">
        <w:rPr>
          <w:color w:val="000000"/>
        </w:rPr>
        <w:t>All evidence considered</w:t>
      </w:r>
      <w:proofErr w:type="gramStart"/>
      <w:r w:rsidR="00BA5E4B" w:rsidRPr="001F29F9">
        <w:rPr>
          <w:color w:val="000000"/>
        </w:rPr>
        <w:t>,</w:t>
      </w:r>
      <w:proofErr w:type="gramEnd"/>
      <w:r w:rsidR="00BA5E4B" w:rsidRPr="001F29F9">
        <w:rPr>
          <w:color w:val="000000"/>
        </w:rPr>
        <w:t xml:space="preserve"> there is not reasonable doubt in the CI’s favor supporting </w:t>
      </w:r>
      <w:r>
        <w:rPr>
          <w:color w:val="000000"/>
        </w:rPr>
        <w:t>a change in</w:t>
      </w:r>
      <w:r w:rsidR="00BA5E4B" w:rsidRPr="001F29F9">
        <w:rPr>
          <w:color w:val="000000"/>
        </w:rPr>
        <w:t xml:space="preserve"> the PEB fitness adjudication for any of the </w:t>
      </w:r>
      <w:r>
        <w:rPr>
          <w:color w:val="000000"/>
        </w:rPr>
        <w:t xml:space="preserve">above listed </w:t>
      </w:r>
      <w:r w:rsidR="00BA5E4B" w:rsidRPr="001F29F9">
        <w:rPr>
          <w:color w:val="000000"/>
        </w:rPr>
        <w:t>conditions.</w:t>
      </w:r>
    </w:p>
    <w:p w:rsidR="00BA5E4B" w:rsidRPr="001F29F9" w:rsidRDefault="00BA5E4B" w:rsidP="00BF0E94">
      <w:pPr>
        <w:jc w:val="both"/>
        <w:rPr>
          <w:color w:val="000000"/>
        </w:rPr>
      </w:pPr>
    </w:p>
    <w:p w:rsidR="00BA5E4B" w:rsidRPr="001F29F9" w:rsidRDefault="00BA5E4B" w:rsidP="00A02AA8">
      <w:pPr>
        <w:jc w:val="both"/>
        <w:rPr>
          <w:color w:val="000000"/>
        </w:rPr>
      </w:pPr>
      <w:proofErr w:type="gramStart"/>
      <w:r w:rsidRPr="00BD74BE">
        <w:rPr>
          <w:color w:val="000000"/>
          <w:u w:val="single"/>
        </w:rPr>
        <w:lastRenderedPageBreak/>
        <w:t>Remaining Conditions</w:t>
      </w:r>
      <w:r w:rsidRPr="00961264">
        <w:rPr>
          <w:color w:val="000000"/>
        </w:rPr>
        <w:t>.</w:t>
      </w:r>
      <w:proofErr w:type="gramEnd"/>
      <w:r w:rsidRPr="00961264">
        <w:rPr>
          <w:color w:val="000000"/>
        </w:rPr>
        <w:t xml:space="preserve"> </w:t>
      </w:r>
      <w:r w:rsidR="00961264">
        <w:rPr>
          <w:color w:val="000000"/>
        </w:rPr>
        <w:t xml:space="preserve"> </w:t>
      </w:r>
      <w:r w:rsidRPr="00BD74BE">
        <w:rPr>
          <w:color w:val="000000"/>
        </w:rPr>
        <w:t xml:space="preserve">Other conditions identified in the DES file were </w:t>
      </w:r>
      <w:r w:rsidR="00961264">
        <w:rPr>
          <w:color w:val="000000"/>
        </w:rPr>
        <w:t>history of</w:t>
      </w:r>
      <w:r w:rsidRPr="00BD74BE">
        <w:rPr>
          <w:color w:val="000000"/>
        </w:rPr>
        <w:t xml:space="preserve"> hysterectomy, </w:t>
      </w:r>
      <w:r w:rsidR="00B20A43" w:rsidRPr="00BD74BE">
        <w:rPr>
          <w:color w:val="000000"/>
        </w:rPr>
        <w:t>sin</w:t>
      </w:r>
      <w:r w:rsidR="00B20A43">
        <w:rPr>
          <w:color w:val="000000"/>
        </w:rPr>
        <w:t>us</w:t>
      </w:r>
      <w:r w:rsidR="00B20A43" w:rsidRPr="00BD74BE">
        <w:rPr>
          <w:color w:val="000000"/>
        </w:rPr>
        <w:t>itis</w:t>
      </w:r>
      <w:r w:rsidRPr="00BD74BE">
        <w:rPr>
          <w:color w:val="000000"/>
        </w:rPr>
        <w:t xml:space="preserve">, and a persistent rash. </w:t>
      </w:r>
      <w:r w:rsidR="00961264">
        <w:rPr>
          <w:color w:val="000000"/>
        </w:rPr>
        <w:t xml:space="preserve"> </w:t>
      </w:r>
      <w:r w:rsidRPr="00BD74BE">
        <w:rPr>
          <w:color w:val="000000"/>
        </w:rPr>
        <w:t xml:space="preserve">Several additional non-acute conditions or medical complaints were also documented. </w:t>
      </w:r>
      <w:r w:rsidR="00961264">
        <w:rPr>
          <w:color w:val="000000"/>
        </w:rPr>
        <w:t xml:space="preserve"> </w:t>
      </w:r>
      <w:r w:rsidRPr="00BD74BE">
        <w:rPr>
          <w:color w:val="000000"/>
        </w:rPr>
        <w:t>None of these conditions were significantly clinically or occupational</w:t>
      </w:r>
      <w:r w:rsidR="00961264">
        <w:rPr>
          <w:color w:val="000000"/>
        </w:rPr>
        <w:t>ly active during the MEB period; none carried attached profiles;</w:t>
      </w:r>
      <w:r w:rsidRPr="00BD74BE">
        <w:rPr>
          <w:color w:val="000000"/>
        </w:rPr>
        <w:t xml:space="preserve"> and</w:t>
      </w:r>
      <w:r w:rsidR="00961264">
        <w:rPr>
          <w:color w:val="000000"/>
        </w:rPr>
        <w:t>,</w:t>
      </w:r>
      <w:r w:rsidRPr="00BD74BE">
        <w:rPr>
          <w:color w:val="000000"/>
        </w:rPr>
        <w:t xml:space="preserve"> none were implicated in the commander’s statement.</w:t>
      </w:r>
      <w:r w:rsidR="00961264">
        <w:rPr>
          <w:color w:val="000000"/>
        </w:rPr>
        <w:t xml:space="preserve"> </w:t>
      </w:r>
      <w:r w:rsidRPr="00BD74BE">
        <w:rPr>
          <w:color w:val="000000"/>
        </w:rPr>
        <w:t xml:space="preserve"> These conditions were reviewed by the </w:t>
      </w:r>
      <w:r w:rsidR="009D28D8">
        <w:rPr>
          <w:color w:val="000000"/>
        </w:rPr>
        <w:t>a</w:t>
      </w:r>
      <w:r w:rsidR="00961264" w:rsidRPr="00BD74BE">
        <w:rPr>
          <w:color w:val="000000"/>
        </w:rPr>
        <w:t xml:space="preserve">ction </w:t>
      </w:r>
      <w:r w:rsidR="009D28D8">
        <w:rPr>
          <w:color w:val="000000"/>
        </w:rPr>
        <w:t>o</w:t>
      </w:r>
      <w:r w:rsidR="00961264" w:rsidRPr="00BD74BE">
        <w:rPr>
          <w:color w:val="000000"/>
        </w:rPr>
        <w:t xml:space="preserve">fficer </w:t>
      </w:r>
      <w:r w:rsidRPr="00BD74BE">
        <w:rPr>
          <w:color w:val="000000"/>
        </w:rPr>
        <w:t>and considered by the Board.</w:t>
      </w:r>
      <w:r w:rsidR="00961264">
        <w:rPr>
          <w:color w:val="000000"/>
        </w:rPr>
        <w:t xml:space="preserve"> </w:t>
      </w:r>
      <w:r w:rsidRPr="00BD74BE">
        <w:rPr>
          <w:color w:val="000000"/>
        </w:rPr>
        <w:t xml:space="preserve"> It was determined that none could be argued as unfitting and subject to separation rating. The Board therefore has no reasonable basis for recommending any additional unfitting conditions for separation rating.</w:t>
      </w:r>
    </w:p>
    <w:p w:rsidR="00BA5E4B" w:rsidRPr="001F29F9" w:rsidRDefault="00BA5E4B" w:rsidP="00BF0E94">
      <w:pPr>
        <w:pBdr>
          <w:bottom w:val="single" w:sz="12" w:space="1" w:color="auto"/>
        </w:pBdr>
        <w:tabs>
          <w:tab w:val="left" w:pos="288"/>
          <w:tab w:val="left" w:pos="4752"/>
        </w:tabs>
        <w:jc w:val="both"/>
        <w:rPr>
          <w:color w:val="000000"/>
        </w:rPr>
      </w:pPr>
    </w:p>
    <w:p w:rsidR="00BA5E4B" w:rsidRPr="001F29F9" w:rsidRDefault="00BA5E4B" w:rsidP="006364ED">
      <w:pPr>
        <w:jc w:val="left"/>
        <w:rPr>
          <w:color w:val="000000"/>
        </w:rPr>
      </w:pPr>
    </w:p>
    <w:p w:rsidR="00BA5E4B" w:rsidRPr="003C53E8" w:rsidRDefault="00BA5E4B" w:rsidP="00BD74BE">
      <w:pPr>
        <w:jc w:val="both"/>
        <w:rPr>
          <w:rFonts w:cs="Times New Roman"/>
          <w:color w:val="auto"/>
        </w:rPr>
      </w:pPr>
      <w:r w:rsidRPr="001F29F9">
        <w:rPr>
          <w:color w:val="000000"/>
          <w:u w:val="single"/>
        </w:rPr>
        <w:t>BOARD FINDINGS</w:t>
      </w:r>
      <w:r w:rsidRPr="001F29F9">
        <w:rPr>
          <w:color w:val="000000"/>
        </w:rPr>
        <w:t xml:space="preserve">: IAW </w:t>
      </w:r>
      <w:proofErr w:type="spellStart"/>
      <w:r w:rsidRPr="001F29F9">
        <w:rPr>
          <w:color w:val="000000"/>
        </w:rPr>
        <w:t>DoDI</w:t>
      </w:r>
      <w:proofErr w:type="spellEnd"/>
      <w:r w:rsidRPr="001F29F9">
        <w:rPr>
          <w:color w:val="000000"/>
        </w:rPr>
        <w:t xml:space="preserve"> 6040.44, provisions of </w:t>
      </w:r>
      <w:proofErr w:type="spellStart"/>
      <w:r w:rsidRPr="001F29F9">
        <w:rPr>
          <w:color w:val="000000"/>
        </w:rPr>
        <w:t>DoD</w:t>
      </w:r>
      <w:proofErr w:type="spellEnd"/>
      <w:r w:rsidRPr="001F29F9">
        <w:rPr>
          <w:color w:val="000000"/>
        </w:rPr>
        <w:t xml:space="preserve"> or Military Department regulations or guidelines relied upon by the PEB will not </w:t>
      </w:r>
      <w:r w:rsidRPr="00BE5444">
        <w:rPr>
          <w:color w:val="000000"/>
        </w:rPr>
        <w:t>be considered by the Board to the extent they were inconsistent with the VASRD in effect at the time of the adjudication</w:t>
      </w:r>
      <w:r w:rsidRPr="00BE5444">
        <w:rPr>
          <w:rFonts w:cs="Times New Roman"/>
          <w:color w:val="auto"/>
        </w:rPr>
        <w:t xml:space="preserve">. </w:t>
      </w:r>
      <w:r w:rsidR="00961264" w:rsidRPr="00BE5444">
        <w:rPr>
          <w:rFonts w:cs="Times New Roman"/>
          <w:color w:val="auto"/>
        </w:rPr>
        <w:t xml:space="preserve"> </w:t>
      </w:r>
      <w:r w:rsidRPr="00BE5444">
        <w:rPr>
          <w:rFonts w:cs="Times New Roman"/>
          <w:color w:val="auto"/>
        </w:rPr>
        <w:t xml:space="preserve">As discussed above, PEB reliance on the USAPDA pain policy for rating </w:t>
      </w:r>
      <w:r w:rsidR="00C7139A" w:rsidRPr="00BE5444">
        <w:rPr>
          <w:rFonts w:cs="Times New Roman"/>
          <w:color w:val="auto"/>
        </w:rPr>
        <w:t>the lumbar spine condition was operant in this case;</w:t>
      </w:r>
      <w:r w:rsidRPr="00BE5444">
        <w:rPr>
          <w:rFonts w:cs="Times New Roman"/>
          <w:color w:val="auto"/>
        </w:rPr>
        <w:t xml:space="preserve"> and</w:t>
      </w:r>
      <w:r w:rsidR="00C7139A" w:rsidRPr="00BE5444">
        <w:rPr>
          <w:rFonts w:cs="Times New Roman"/>
          <w:color w:val="auto"/>
        </w:rPr>
        <w:t>,</w:t>
      </w:r>
      <w:r w:rsidRPr="00BE5444">
        <w:rPr>
          <w:rFonts w:cs="Times New Roman"/>
          <w:color w:val="auto"/>
        </w:rPr>
        <w:t xml:space="preserve"> the conditions were adjudicated independently of that policy by the Board.</w:t>
      </w:r>
      <w:r w:rsidR="00C7139A" w:rsidRPr="00BE5444">
        <w:rPr>
          <w:rFonts w:cs="Times New Roman"/>
          <w:color w:val="auto"/>
        </w:rPr>
        <w:t xml:space="preserve"> </w:t>
      </w:r>
      <w:r w:rsidRPr="00BE5444">
        <w:rPr>
          <w:rFonts w:cs="Times New Roman"/>
          <w:color w:val="auto"/>
        </w:rPr>
        <w:t xml:space="preserve"> In the matter of the </w:t>
      </w:r>
      <w:r w:rsidR="00C7139A" w:rsidRPr="00BE5444">
        <w:rPr>
          <w:rFonts w:cs="Times New Roman"/>
          <w:color w:val="auto"/>
        </w:rPr>
        <w:t xml:space="preserve">lumbar spine </w:t>
      </w:r>
      <w:r w:rsidRPr="00BE5444">
        <w:rPr>
          <w:rFonts w:cs="Times New Roman"/>
          <w:color w:val="auto"/>
        </w:rPr>
        <w:t xml:space="preserve">condition, the Board unanimously recommends a rating of 20% coded 5237 IAW VASRD §4.71a. </w:t>
      </w:r>
      <w:r w:rsidR="00C7139A" w:rsidRPr="00BE5444">
        <w:rPr>
          <w:rFonts w:cs="Times New Roman"/>
          <w:color w:val="auto"/>
        </w:rPr>
        <w:t xml:space="preserve"> </w:t>
      </w:r>
      <w:r w:rsidRPr="00BE5444">
        <w:rPr>
          <w:rFonts w:cs="Times New Roman"/>
          <w:color w:val="auto"/>
        </w:rPr>
        <w:t xml:space="preserve">In the matter of the </w:t>
      </w:r>
      <w:proofErr w:type="spellStart"/>
      <w:r w:rsidRPr="00BE5444">
        <w:rPr>
          <w:rFonts w:cs="Times New Roman"/>
          <w:color w:val="auto"/>
        </w:rPr>
        <w:t>pes</w:t>
      </w:r>
      <w:proofErr w:type="spellEnd"/>
      <w:r w:rsidRPr="00BE5444">
        <w:rPr>
          <w:rFonts w:cs="Times New Roman"/>
          <w:color w:val="auto"/>
        </w:rPr>
        <w:t xml:space="preserve"> </w:t>
      </w:r>
      <w:proofErr w:type="spellStart"/>
      <w:r w:rsidRPr="00BE5444">
        <w:rPr>
          <w:rFonts w:cs="Times New Roman"/>
          <w:color w:val="auto"/>
        </w:rPr>
        <w:t>planus</w:t>
      </w:r>
      <w:proofErr w:type="spellEnd"/>
      <w:r w:rsidRPr="00BE5444">
        <w:rPr>
          <w:rFonts w:cs="Times New Roman"/>
          <w:color w:val="auto"/>
        </w:rPr>
        <w:t xml:space="preserve"> with plantar fasciitis condition, the Board unanimously recommends that it be added as an additionally unfitting condition for separation rating; coded </w:t>
      </w:r>
      <w:r w:rsidR="00BE5444" w:rsidRPr="00BE5444">
        <w:rPr>
          <w:color w:val="000000"/>
        </w:rPr>
        <w:t xml:space="preserve">5099-5020 </w:t>
      </w:r>
      <w:r w:rsidR="00BE5444" w:rsidRPr="00BE5444">
        <w:rPr>
          <w:rFonts w:cs="Times New Roman"/>
          <w:color w:val="auto"/>
        </w:rPr>
        <w:t>and rated 1</w:t>
      </w:r>
      <w:r w:rsidRPr="00BE5444">
        <w:rPr>
          <w:rFonts w:cs="Times New Roman"/>
          <w:color w:val="auto"/>
        </w:rPr>
        <w:t xml:space="preserve">0% IAW VASRD §4.71a. </w:t>
      </w:r>
      <w:r w:rsidR="00C7139A" w:rsidRPr="00BE5444">
        <w:rPr>
          <w:rFonts w:cs="Times New Roman"/>
          <w:color w:val="auto"/>
        </w:rPr>
        <w:t xml:space="preserve"> </w:t>
      </w:r>
      <w:r w:rsidRPr="00BE5444">
        <w:rPr>
          <w:rFonts w:cs="Times New Roman"/>
          <w:color w:val="auto"/>
        </w:rPr>
        <w:t xml:space="preserve">In the matter of the depression and </w:t>
      </w:r>
      <w:r w:rsidR="009D28D8">
        <w:rPr>
          <w:rFonts w:cs="Times New Roman"/>
          <w:color w:val="auto"/>
        </w:rPr>
        <w:t>PTSD</w:t>
      </w:r>
      <w:r w:rsidRPr="00BE5444">
        <w:rPr>
          <w:rFonts w:cs="Times New Roman"/>
          <w:color w:val="auto"/>
        </w:rPr>
        <w:t>, the Board unanimously agrees that it cannot</w:t>
      </w:r>
      <w:r w:rsidRPr="00BE5444">
        <w:rPr>
          <w:rFonts w:cs="Times New Roman"/>
          <w:color w:val="000080"/>
        </w:rPr>
        <w:t xml:space="preserve"> </w:t>
      </w:r>
      <w:r w:rsidRPr="00BE5444">
        <w:rPr>
          <w:rFonts w:cs="Times New Roman"/>
          <w:color w:val="auto"/>
        </w:rPr>
        <w:t xml:space="preserve">recommend </w:t>
      </w:r>
      <w:r w:rsidR="00C7139A" w:rsidRPr="00BE5444">
        <w:rPr>
          <w:rFonts w:cs="Times New Roman"/>
          <w:color w:val="auto"/>
        </w:rPr>
        <w:t>any finding</w:t>
      </w:r>
      <w:r w:rsidRPr="00BE5444">
        <w:rPr>
          <w:rFonts w:cs="Times New Roman"/>
          <w:color w:val="auto"/>
        </w:rPr>
        <w:t xml:space="preserve"> of unfit for additional rating at separation.  In the matter of the </w:t>
      </w:r>
      <w:r w:rsidR="00C7139A" w:rsidRPr="00BE5444">
        <w:rPr>
          <w:rFonts w:cs="Times New Roman"/>
          <w:color w:val="auto"/>
        </w:rPr>
        <w:t xml:space="preserve">contended </w:t>
      </w:r>
      <w:r w:rsidRPr="00BE5444">
        <w:rPr>
          <w:color w:val="000000"/>
        </w:rPr>
        <w:t xml:space="preserve">neck pain, </w:t>
      </w:r>
      <w:proofErr w:type="spellStart"/>
      <w:r w:rsidRPr="00BE5444">
        <w:rPr>
          <w:color w:val="000000"/>
        </w:rPr>
        <w:t>polyarthralgias</w:t>
      </w:r>
      <w:proofErr w:type="spellEnd"/>
      <w:r w:rsidRPr="00BE5444">
        <w:rPr>
          <w:color w:val="000000"/>
        </w:rPr>
        <w:t>, lupus, and fibromyalgia</w:t>
      </w:r>
      <w:r w:rsidR="00C7139A" w:rsidRPr="00BE5444">
        <w:rPr>
          <w:rFonts w:cs="Times New Roman"/>
          <w:color w:val="auto"/>
        </w:rPr>
        <w:t xml:space="preserve"> conditions;</w:t>
      </w:r>
      <w:r w:rsidRPr="00BE5444">
        <w:rPr>
          <w:rFonts w:cs="Times New Roman"/>
          <w:color w:val="auto"/>
        </w:rPr>
        <w:t xml:space="preserve"> the Board unanimously recommends no change from the PEB adjudications as not unfitting. The Board unanimously agrees that there were no other conditions eligible for Board consideration</w:t>
      </w:r>
      <w:r w:rsidRPr="003C53E8">
        <w:rPr>
          <w:rFonts w:cs="Times New Roman"/>
          <w:color w:val="auto"/>
        </w:rPr>
        <w:t xml:space="preserve"> which could be recommended as additionally unfitting for rating at separation.</w:t>
      </w:r>
    </w:p>
    <w:p w:rsidR="00BA5E4B" w:rsidRPr="001F29F9" w:rsidRDefault="00BA5E4B" w:rsidP="00BD74BE">
      <w:pPr>
        <w:pBdr>
          <w:bottom w:val="single" w:sz="12" w:space="1" w:color="auto"/>
        </w:pBdr>
        <w:tabs>
          <w:tab w:val="left" w:pos="288"/>
          <w:tab w:val="left" w:pos="1200"/>
          <w:tab w:val="left" w:pos="4752"/>
        </w:tabs>
        <w:jc w:val="both"/>
        <w:rPr>
          <w:color w:val="000000"/>
        </w:rPr>
      </w:pPr>
    </w:p>
    <w:p w:rsidR="00BA5E4B" w:rsidRPr="001F29F9" w:rsidRDefault="00BA5E4B" w:rsidP="00BD74BE">
      <w:pPr>
        <w:tabs>
          <w:tab w:val="left" w:pos="1200"/>
        </w:tabs>
        <w:jc w:val="left"/>
        <w:rPr>
          <w:color w:val="000000"/>
        </w:rPr>
      </w:pPr>
    </w:p>
    <w:p w:rsidR="00BA5E4B" w:rsidRPr="00BE5444" w:rsidRDefault="00BA5E4B" w:rsidP="00BD74BE">
      <w:pPr>
        <w:tabs>
          <w:tab w:val="left" w:pos="1200"/>
        </w:tabs>
        <w:jc w:val="both"/>
        <w:rPr>
          <w:color w:val="000000"/>
        </w:rPr>
      </w:pPr>
      <w:r w:rsidRPr="00BE5444">
        <w:rPr>
          <w:color w:val="000000"/>
          <w:u w:val="single"/>
        </w:rPr>
        <w:t>RECOMMENDATION</w:t>
      </w:r>
      <w:r w:rsidRPr="00BE5444">
        <w:rPr>
          <w:color w:val="000000"/>
        </w:rPr>
        <w:t>:</w:t>
      </w:r>
      <w:r w:rsidR="00C7139A" w:rsidRPr="00BE5444">
        <w:rPr>
          <w:color w:val="000000"/>
        </w:rPr>
        <w:t xml:space="preserve"> </w:t>
      </w:r>
      <w:r w:rsidRPr="00BE5444">
        <w:rPr>
          <w:color w:val="000000"/>
        </w:rPr>
        <w:t xml:space="preserve"> The Board recommends that the CI’s prior determination be modified as follows and that the discharge with severance pay be </w:t>
      </w:r>
      <w:proofErr w:type="spellStart"/>
      <w:r w:rsidRPr="00BE5444">
        <w:rPr>
          <w:color w:val="000000"/>
        </w:rPr>
        <w:t>recharacterized</w:t>
      </w:r>
      <w:proofErr w:type="spellEnd"/>
      <w:r w:rsidRPr="00BE5444">
        <w:rPr>
          <w:color w:val="000000"/>
        </w:rPr>
        <w:t xml:space="preserve"> to reflect permanent disability retirement, effective as of the date of her prior medical separation: </w:t>
      </w:r>
    </w:p>
    <w:p w:rsidR="00C7139A" w:rsidRPr="00BE5444" w:rsidRDefault="00C7139A" w:rsidP="00BD74BE">
      <w:pPr>
        <w:tabs>
          <w:tab w:val="left" w:pos="1200"/>
        </w:tabs>
        <w:jc w:val="both"/>
        <w:rPr>
          <w:color w:val="000000"/>
        </w:rPr>
      </w:pPr>
    </w:p>
    <w:p w:rsidR="00BA5E4B" w:rsidRPr="00BE5444" w:rsidRDefault="00BA5E4B"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8"/>
        <w:gridCol w:w="1530"/>
        <w:gridCol w:w="1044"/>
      </w:tblGrid>
      <w:tr w:rsidR="00BA5E4B" w:rsidRPr="00BE5444" w:rsidTr="006857A6">
        <w:trPr>
          <w:trHeight w:val="233"/>
          <w:jc w:val="center"/>
        </w:trPr>
        <w:tc>
          <w:tcPr>
            <w:tcW w:w="6588" w:type="dxa"/>
            <w:shd w:val="clear" w:color="auto" w:fill="D9D9D9"/>
            <w:vAlign w:val="center"/>
          </w:tcPr>
          <w:p w:rsidR="00BA5E4B" w:rsidRPr="00BE5444" w:rsidRDefault="00BA5E4B" w:rsidP="00BF0E94">
            <w:pPr>
              <w:tabs>
                <w:tab w:val="left" w:pos="288"/>
                <w:tab w:val="left" w:pos="4752"/>
              </w:tabs>
              <w:rPr>
                <w:b/>
                <w:color w:val="000000"/>
              </w:rPr>
            </w:pPr>
            <w:r w:rsidRPr="00BE5444">
              <w:rPr>
                <w:b/>
                <w:color w:val="000000"/>
              </w:rPr>
              <w:t>UNFITTING CONDITION</w:t>
            </w:r>
          </w:p>
        </w:tc>
        <w:tc>
          <w:tcPr>
            <w:tcW w:w="1530" w:type="dxa"/>
            <w:shd w:val="clear" w:color="auto" w:fill="D9D9D9"/>
            <w:vAlign w:val="center"/>
          </w:tcPr>
          <w:p w:rsidR="00BA5E4B" w:rsidRPr="00BE5444" w:rsidRDefault="00BA5E4B" w:rsidP="00BF0E94">
            <w:pPr>
              <w:tabs>
                <w:tab w:val="left" w:pos="288"/>
                <w:tab w:val="left" w:pos="4752"/>
              </w:tabs>
              <w:rPr>
                <w:b/>
                <w:color w:val="000000"/>
              </w:rPr>
            </w:pPr>
            <w:r w:rsidRPr="00BE5444">
              <w:rPr>
                <w:b/>
                <w:color w:val="000000"/>
              </w:rPr>
              <w:t>VASRD CODE</w:t>
            </w:r>
          </w:p>
        </w:tc>
        <w:tc>
          <w:tcPr>
            <w:tcW w:w="1044" w:type="dxa"/>
            <w:shd w:val="clear" w:color="auto" w:fill="D9D9D9"/>
            <w:vAlign w:val="center"/>
          </w:tcPr>
          <w:p w:rsidR="00BA5E4B" w:rsidRPr="00BE5444" w:rsidRDefault="00BA5E4B" w:rsidP="00BF0E94">
            <w:pPr>
              <w:tabs>
                <w:tab w:val="left" w:pos="288"/>
                <w:tab w:val="left" w:pos="4752"/>
              </w:tabs>
              <w:rPr>
                <w:b/>
                <w:color w:val="000000"/>
              </w:rPr>
            </w:pPr>
            <w:r w:rsidRPr="00BE5444">
              <w:rPr>
                <w:b/>
                <w:color w:val="000000"/>
              </w:rPr>
              <w:t>RATING</w:t>
            </w:r>
          </w:p>
        </w:tc>
      </w:tr>
      <w:tr w:rsidR="00BA5E4B" w:rsidRPr="00BE5444" w:rsidTr="006857A6">
        <w:trPr>
          <w:trHeight w:val="118"/>
          <w:jc w:val="center"/>
        </w:trPr>
        <w:tc>
          <w:tcPr>
            <w:tcW w:w="6588" w:type="dxa"/>
            <w:vAlign w:val="center"/>
          </w:tcPr>
          <w:p w:rsidR="00BA5E4B" w:rsidRPr="00BE5444" w:rsidRDefault="00BA5E4B" w:rsidP="00BF0E94">
            <w:pPr>
              <w:tabs>
                <w:tab w:val="left" w:pos="288"/>
                <w:tab w:val="left" w:pos="4752"/>
              </w:tabs>
              <w:jc w:val="left"/>
              <w:rPr>
                <w:color w:val="000000"/>
              </w:rPr>
            </w:pPr>
            <w:r w:rsidRPr="00BE5444">
              <w:rPr>
                <w:color w:val="000000"/>
              </w:rPr>
              <w:t>Chronic Low Back Pain</w:t>
            </w:r>
          </w:p>
        </w:tc>
        <w:tc>
          <w:tcPr>
            <w:tcW w:w="1530" w:type="dxa"/>
            <w:vAlign w:val="center"/>
          </w:tcPr>
          <w:p w:rsidR="00BA5E4B" w:rsidRPr="00BE5444" w:rsidRDefault="00BA5E4B" w:rsidP="00BF0E94">
            <w:pPr>
              <w:tabs>
                <w:tab w:val="left" w:pos="288"/>
                <w:tab w:val="left" w:pos="4752"/>
              </w:tabs>
              <w:rPr>
                <w:color w:val="000000"/>
              </w:rPr>
            </w:pPr>
            <w:r w:rsidRPr="00BE5444">
              <w:rPr>
                <w:color w:val="000000"/>
              </w:rPr>
              <w:t>5237</w:t>
            </w:r>
          </w:p>
        </w:tc>
        <w:tc>
          <w:tcPr>
            <w:tcW w:w="1044" w:type="dxa"/>
            <w:vAlign w:val="center"/>
          </w:tcPr>
          <w:p w:rsidR="00BA5E4B" w:rsidRPr="00BE5444" w:rsidRDefault="00BA5E4B" w:rsidP="00BF0E94">
            <w:pPr>
              <w:tabs>
                <w:tab w:val="left" w:pos="288"/>
                <w:tab w:val="left" w:pos="4752"/>
              </w:tabs>
              <w:rPr>
                <w:color w:val="000000"/>
              </w:rPr>
            </w:pPr>
            <w:r w:rsidRPr="00BE5444">
              <w:rPr>
                <w:color w:val="000000"/>
              </w:rPr>
              <w:t>20%</w:t>
            </w:r>
          </w:p>
        </w:tc>
      </w:tr>
      <w:tr w:rsidR="00BA5E4B" w:rsidRPr="00BE5444" w:rsidTr="006857A6">
        <w:trPr>
          <w:trHeight w:val="118"/>
          <w:jc w:val="center"/>
        </w:trPr>
        <w:tc>
          <w:tcPr>
            <w:tcW w:w="6588" w:type="dxa"/>
            <w:shd w:val="clear" w:color="auto" w:fill="FFFFFF" w:themeFill="background1"/>
            <w:vAlign w:val="center"/>
          </w:tcPr>
          <w:p w:rsidR="00BA5E4B" w:rsidRPr="00BE5444" w:rsidRDefault="00BA5E4B" w:rsidP="00BF0E94">
            <w:pPr>
              <w:tabs>
                <w:tab w:val="left" w:pos="288"/>
                <w:tab w:val="left" w:pos="4752"/>
              </w:tabs>
              <w:jc w:val="left"/>
              <w:rPr>
                <w:color w:val="000000"/>
              </w:rPr>
            </w:pPr>
            <w:proofErr w:type="spellStart"/>
            <w:r w:rsidRPr="00BE5444">
              <w:rPr>
                <w:color w:val="000000"/>
              </w:rPr>
              <w:t>Pes</w:t>
            </w:r>
            <w:proofErr w:type="spellEnd"/>
            <w:r w:rsidRPr="00BE5444">
              <w:rPr>
                <w:color w:val="000000"/>
              </w:rPr>
              <w:t xml:space="preserve"> </w:t>
            </w:r>
            <w:proofErr w:type="spellStart"/>
            <w:r w:rsidRPr="00BE5444">
              <w:rPr>
                <w:color w:val="000000"/>
              </w:rPr>
              <w:t>Planus</w:t>
            </w:r>
            <w:proofErr w:type="spellEnd"/>
            <w:r w:rsidRPr="00BE5444">
              <w:rPr>
                <w:color w:val="000000"/>
              </w:rPr>
              <w:t xml:space="preserve"> with Plantar Fasciitis</w:t>
            </w:r>
          </w:p>
        </w:tc>
        <w:tc>
          <w:tcPr>
            <w:tcW w:w="1530" w:type="dxa"/>
            <w:shd w:val="clear" w:color="auto" w:fill="FFFFFF" w:themeFill="background1"/>
            <w:vAlign w:val="center"/>
          </w:tcPr>
          <w:p w:rsidR="00BA5E4B" w:rsidRPr="00BE5444" w:rsidRDefault="00BE5444" w:rsidP="00BF0E94">
            <w:pPr>
              <w:tabs>
                <w:tab w:val="left" w:pos="288"/>
                <w:tab w:val="left" w:pos="4752"/>
              </w:tabs>
              <w:rPr>
                <w:color w:val="000000"/>
              </w:rPr>
            </w:pPr>
            <w:r w:rsidRPr="00BE5444">
              <w:rPr>
                <w:color w:val="000000"/>
              </w:rPr>
              <w:t>5099-5020</w:t>
            </w:r>
          </w:p>
        </w:tc>
        <w:tc>
          <w:tcPr>
            <w:tcW w:w="1044" w:type="dxa"/>
            <w:shd w:val="clear" w:color="auto" w:fill="FFFFFF" w:themeFill="background1"/>
            <w:vAlign w:val="center"/>
          </w:tcPr>
          <w:p w:rsidR="00BA5E4B" w:rsidRPr="00BE5444" w:rsidRDefault="00BE5444" w:rsidP="00BF0E94">
            <w:pPr>
              <w:tabs>
                <w:tab w:val="left" w:pos="288"/>
                <w:tab w:val="left" w:pos="4752"/>
              </w:tabs>
              <w:rPr>
                <w:color w:val="000000"/>
              </w:rPr>
            </w:pPr>
            <w:r w:rsidRPr="00BE5444">
              <w:rPr>
                <w:color w:val="000000"/>
              </w:rPr>
              <w:t>1</w:t>
            </w:r>
            <w:r w:rsidR="00BA5E4B" w:rsidRPr="00BE5444">
              <w:rPr>
                <w:color w:val="000000"/>
              </w:rPr>
              <w:t>0%</w:t>
            </w:r>
          </w:p>
        </w:tc>
      </w:tr>
      <w:tr w:rsidR="00BA5E4B" w:rsidRPr="000D5DBE" w:rsidTr="006857A6">
        <w:tblPrEx>
          <w:tblLook w:val="0000"/>
        </w:tblPrEx>
        <w:trPr>
          <w:gridBefore w:val="1"/>
          <w:wBefore w:w="6588" w:type="dxa"/>
          <w:trHeight w:val="152"/>
          <w:jc w:val="center"/>
        </w:trPr>
        <w:tc>
          <w:tcPr>
            <w:tcW w:w="1530" w:type="dxa"/>
            <w:tcBorders>
              <w:left w:val="single" w:sz="4" w:space="0" w:color="auto"/>
            </w:tcBorders>
            <w:shd w:val="clear" w:color="auto" w:fill="D9D9D9"/>
            <w:vAlign w:val="center"/>
          </w:tcPr>
          <w:p w:rsidR="00BA5E4B" w:rsidRPr="00BE5444" w:rsidRDefault="00BA5E4B" w:rsidP="00BF0E94">
            <w:pPr>
              <w:tabs>
                <w:tab w:val="left" w:pos="288"/>
                <w:tab w:val="left" w:pos="4752"/>
              </w:tabs>
              <w:rPr>
                <w:b/>
                <w:color w:val="000000"/>
              </w:rPr>
            </w:pPr>
            <w:r w:rsidRPr="00BE5444">
              <w:rPr>
                <w:b/>
                <w:color w:val="000000"/>
              </w:rPr>
              <w:t>COMBINED</w:t>
            </w:r>
          </w:p>
        </w:tc>
        <w:tc>
          <w:tcPr>
            <w:tcW w:w="1044" w:type="dxa"/>
            <w:shd w:val="clear" w:color="auto" w:fill="D9D9D9"/>
            <w:vAlign w:val="center"/>
          </w:tcPr>
          <w:p w:rsidR="00BA5E4B" w:rsidRPr="000D5DBE" w:rsidRDefault="00BE5444" w:rsidP="00BF0E94">
            <w:pPr>
              <w:tabs>
                <w:tab w:val="left" w:pos="288"/>
                <w:tab w:val="left" w:pos="4752"/>
              </w:tabs>
              <w:rPr>
                <w:b/>
                <w:color w:val="000000"/>
              </w:rPr>
            </w:pPr>
            <w:r w:rsidRPr="00BE5444">
              <w:rPr>
                <w:b/>
                <w:color w:val="000000"/>
              </w:rPr>
              <w:t>3</w:t>
            </w:r>
            <w:r w:rsidR="00BA5E4B" w:rsidRPr="00BE5444">
              <w:rPr>
                <w:b/>
                <w:color w:val="000000"/>
              </w:rPr>
              <w:t>0%</w:t>
            </w:r>
          </w:p>
        </w:tc>
      </w:tr>
    </w:tbl>
    <w:p w:rsidR="00BA5E4B" w:rsidRPr="001F29F9" w:rsidRDefault="00BA5E4B" w:rsidP="00BF0E94">
      <w:pPr>
        <w:pBdr>
          <w:bottom w:val="single" w:sz="12" w:space="1" w:color="auto"/>
        </w:pBdr>
        <w:tabs>
          <w:tab w:val="left" w:pos="288"/>
          <w:tab w:val="left" w:pos="4752"/>
        </w:tabs>
        <w:jc w:val="both"/>
        <w:rPr>
          <w:color w:val="000000"/>
        </w:rPr>
      </w:pPr>
    </w:p>
    <w:p w:rsidR="00BA5E4B" w:rsidRPr="001F29F9" w:rsidRDefault="00BA5E4B" w:rsidP="00BF0E94">
      <w:pPr>
        <w:rPr>
          <w:color w:val="000000"/>
        </w:rPr>
      </w:pPr>
    </w:p>
    <w:p w:rsidR="00BA5E4B" w:rsidRPr="001F29F9" w:rsidRDefault="00BA5E4B" w:rsidP="00BF0E94">
      <w:pPr>
        <w:tabs>
          <w:tab w:val="left" w:pos="288"/>
          <w:tab w:val="left" w:pos="4752"/>
        </w:tabs>
        <w:jc w:val="both"/>
        <w:rPr>
          <w:color w:val="000000"/>
        </w:rPr>
      </w:pPr>
      <w:r w:rsidRPr="001F29F9">
        <w:rPr>
          <w:color w:val="000000"/>
        </w:rPr>
        <w:t>The following documentary evidence was considered:</w:t>
      </w:r>
    </w:p>
    <w:p w:rsidR="00BA5E4B" w:rsidRPr="001F29F9" w:rsidRDefault="00BA5E4B" w:rsidP="00BF0E94">
      <w:pPr>
        <w:tabs>
          <w:tab w:val="left" w:pos="288"/>
          <w:tab w:val="left" w:pos="4752"/>
        </w:tabs>
        <w:jc w:val="both"/>
        <w:rPr>
          <w:color w:val="000000"/>
        </w:rPr>
      </w:pPr>
    </w:p>
    <w:p w:rsidR="00BA5E4B" w:rsidRPr="001F29F9" w:rsidRDefault="00BA5E4B" w:rsidP="00B3575C">
      <w:pPr>
        <w:tabs>
          <w:tab w:val="left" w:pos="288"/>
          <w:tab w:val="left" w:pos="4752"/>
        </w:tabs>
        <w:spacing w:line="440" w:lineRule="exact"/>
        <w:jc w:val="both"/>
        <w:rPr>
          <w:color w:val="000000"/>
        </w:rPr>
      </w:pPr>
      <w:r w:rsidRPr="001F29F9">
        <w:rPr>
          <w:color w:val="000000"/>
        </w:rPr>
        <w:t>Exhibit A.  DD Fo</w:t>
      </w:r>
      <w:r w:rsidR="009D28D8">
        <w:rPr>
          <w:color w:val="000000"/>
        </w:rPr>
        <w:t>rm 294, dated 20110505, w/</w:t>
      </w:r>
      <w:proofErr w:type="spellStart"/>
      <w:r w:rsidR="009D28D8">
        <w:rPr>
          <w:color w:val="000000"/>
        </w:rPr>
        <w:t>atchs</w:t>
      </w:r>
      <w:proofErr w:type="spellEnd"/>
    </w:p>
    <w:p w:rsidR="00BA5E4B" w:rsidRPr="001F29F9" w:rsidRDefault="00BA5E4B" w:rsidP="00BF0E94">
      <w:pPr>
        <w:tabs>
          <w:tab w:val="left" w:pos="288"/>
          <w:tab w:val="left" w:pos="4752"/>
        </w:tabs>
        <w:jc w:val="both"/>
        <w:rPr>
          <w:color w:val="000000"/>
        </w:rPr>
      </w:pPr>
      <w:r w:rsidRPr="001F29F9">
        <w:rPr>
          <w:color w:val="000000"/>
        </w:rPr>
        <w:t xml:space="preserve">Exhibit B. </w:t>
      </w:r>
      <w:r w:rsidR="009D28D8">
        <w:rPr>
          <w:color w:val="000000"/>
        </w:rPr>
        <w:t xml:space="preserve"> Service Treatment Record</w:t>
      </w:r>
    </w:p>
    <w:p w:rsidR="00BA5E4B" w:rsidRPr="001F29F9" w:rsidRDefault="00BA5E4B" w:rsidP="00BF0E94">
      <w:pPr>
        <w:tabs>
          <w:tab w:val="left" w:pos="288"/>
          <w:tab w:val="left" w:pos="4752"/>
        </w:tabs>
        <w:jc w:val="both"/>
        <w:rPr>
          <w:color w:val="000000"/>
        </w:rPr>
      </w:pPr>
      <w:r w:rsidRPr="001F29F9">
        <w:rPr>
          <w:color w:val="000000"/>
        </w:rPr>
        <w:t>Exhibit C.  Department of Ve</w:t>
      </w:r>
      <w:r w:rsidR="009D28D8">
        <w:rPr>
          <w:color w:val="000000"/>
        </w:rPr>
        <w:t>terans Affairs Treatment Record</w:t>
      </w:r>
    </w:p>
    <w:p w:rsidR="00BA5E4B" w:rsidRPr="001F29F9" w:rsidRDefault="00BA5E4B" w:rsidP="00BF0E94">
      <w:pPr>
        <w:tabs>
          <w:tab w:val="left" w:pos="288"/>
          <w:tab w:val="left" w:pos="4752"/>
        </w:tabs>
        <w:jc w:val="both"/>
        <w:rPr>
          <w:color w:val="000000"/>
        </w:rPr>
      </w:pPr>
    </w:p>
    <w:p w:rsidR="00BA5E4B" w:rsidRPr="001F29F9" w:rsidRDefault="00BA5E4B" w:rsidP="00BF0E94">
      <w:pPr>
        <w:tabs>
          <w:tab w:val="left" w:pos="288"/>
          <w:tab w:val="left" w:pos="4752"/>
        </w:tabs>
        <w:jc w:val="both"/>
        <w:rPr>
          <w:color w:val="000000"/>
        </w:rPr>
      </w:pPr>
    </w:p>
    <w:p w:rsidR="00BA5E4B" w:rsidRPr="001F29F9" w:rsidRDefault="00BA5E4B" w:rsidP="00BF0E94">
      <w:pPr>
        <w:tabs>
          <w:tab w:val="left" w:pos="0"/>
          <w:tab w:val="left" w:pos="4320"/>
        </w:tabs>
        <w:jc w:val="both"/>
        <w:rPr>
          <w:color w:val="000000"/>
        </w:rPr>
      </w:pPr>
      <w:r w:rsidRPr="001F29F9">
        <w:rPr>
          <w:color w:val="000000"/>
        </w:rPr>
        <w:tab/>
        <w:t xml:space="preserve">           President</w:t>
      </w:r>
    </w:p>
    <w:p w:rsidR="004831A0" w:rsidRDefault="00BA5E4B" w:rsidP="00BF0E94">
      <w:pPr>
        <w:tabs>
          <w:tab w:val="left" w:pos="0"/>
          <w:tab w:val="left" w:pos="4320"/>
        </w:tabs>
        <w:jc w:val="both"/>
        <w:rPr>
          <w:color w:val="000000"/>
        </w:rPr>
      </w:pPr>
      <w:r w:rsidRPr="001F29F9">
        <w:rPr>
          <w:color w:val="000000"/>
        </w:rPr>
        <w:tab/>
        <w:t xml:space="preserve">           Physical Disability Board of Review</w:t>
      </w:r>
    </w:p>
    <w:p w:rsidR="004831A0" w:rsidRDefault="004831A0">
      <w:pPr>
        <w:spacing w:line="240" w:lineRule="auto"/>
        <w:jc w:val="left"/>
        <w:rPr>
          <w:color w:val="000000"/>
        </w:rPr>
      </w:pPr>
      <w:r>
        <w:rPr>
          <w:color w:val="000000"/>
        </w:rPr>
        <w:br w:type="page"/>
      </w:r>
    </w:p>
    <w:p w:rsidR="004831A0" w:rsidRDefault="004831A0" w:rsidP="004831A0">
      <w:pPr>
        <w:pStyle w:val="Header"/>
        <w:tabs>
          <w:tab w:val="clear" w:pos="4320"/>
          <w:tab w:val="clear" w:pos="8640"/>
        </w:tabs>
        <w:jc w:val="left"/>
      </w:pPr>
      <w:r>
        <w:lastRenderedPageBreak/>
        <w:t>SFMR-RB</w:t>
      </w:r>
      <w:r>
        <w:tab/>
      </w:r>
      <w:r>
        <w:tab/>
      </w:r>
      <w:r>
        <w:tab/>
      </w:r>
      <w:r>
        <w:tab/>
      </w:r>
      <w:r>
        <w:tab/>
      </w:r>
      <w:r>
        <w:tab/>
      </w:r>
      <w:r>
        <w:tab/>
      </w:r>
      <w:r>
        <w:tab/>
      </w:r>
      <w:r>
        <w:tab/>
      </w:r>
    </w:p>
    <w:p w:rsidR="004831A0" w:rsidRDefault="004831A0" w:rsidP="004831A0">
      <w:pPr>
        <w:pStyle w:val="Header"/>
        <w:tabs>
          <w:tab w:val="clear" w:pos="4320"/>
          <w:tab w:val="clear" w:pos="8640"/>
        </w:tabs>
        <w:jc w:val="left"/>
      </w:pPr>
    </w:p>
    <w:p w:rsidR="004831A0" w:rsidRDefault="004831A0" w:rsidP="004831A0">
      <w:pPr>
        <w:jc w:val="left"/>
      </w:pPr>
    </w:p>
    <w:p w:rsidR="004831A0" w:rsidRDefault="004831A0" w:rsidP="004831A0">
      <w:pPr>
        <w:jc w:val="left"/>
      </w:pPr>
      <w:r>
        <w:t xml:space="preserve">MEMORANDUM FOR Commander, US Army Physical Disability Agency </w:t>
      </w:r>
    </w:p>
    <w:p w:rsidR="004831A0" w:rsidRDefault="004831A0" w:rsidP="004831A0">
      <w:pPr>
        <w:jc w:val="left"/>
      </w:pPr>
    </w:p>
    <w:p w:rsidR="004831A0" w:rsidRDefault="004831A0" w:rsidP="004831A0">
      <w:pPr>
        <w:ind w:right="-180"/>
        <w:jc w:val="left"/>
      </w:pPr>
      <w:r>
        <w:t xml:space="preserve">SUBJECT:  Department of Defense Physical Disability Board of Review Recommendation </w:t>
      </w:r>
    </w:p>
    <w:p w:rsidR="004831A0" w:rsidRDefault="004831A0" w:rsidP="004831A0">
      <w:pPr>
        <w:pStyle w:val="Header"/>
        <w:tabs>
          <w:tab w:val="clear" w:pos="4320"/>
          <w:tab w:val="clear" w:pos="8640"/>
        </w:tabs>
        <w:jc w:val="left"/>
      </w:pPr>
    </w:p>
    <w:p w:rsidR="004831A0" w:rsidRDefault="004831A0" w:rsidP="004831A0">
      <w:pPr>
        <w:jc w:val="left"/>
      </w:pPr>
    </w:p>
    <w:p w:rsidR="004831A0" w:rsidRPr="00B904A2" w:rsidRDefault="004831A0" w:rsidP="004831A0">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4831A0" w:rsidRPr="00B904A2" w:rsidRDefault="004831A0" w:rsidP="004831A0">
      <w:pPr>
        <w:jc w:val="left"/>
      </w:pPr>
    </w:p>
    <w:p w:rsidR="004831A0" w:rsidRDefault="004831A0" w:rsidP="004831A0">
      <w:pPr>
        <w:jc w:val="left"/>
      </w:pPr>
      <w:r w:rsidRPr="00FF16DA">
        <w:t>2.  I direct that all the Department of the Army records of the individual concerned be corrected accordingly no later than 120 day</w:t>
      </w:r>
      <w:r>
        <w:t>s from the date of this memorandum:</w:t>
      </w:r>
    </w:p>
    <w:p w:rsidR="004831A0" w:rsidRDefault="004831A0" w:rsidP="004831A0">
      <w:pPr>
        <w:jc w:val="left"/>
      </w:pPr>
    </w:p>
    <w:p w:rsidR="004831A0" w:rsidRDefault="004831A0" w:rsidP="004831A0">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4831A0" w:rsidRDefault="004831A0" w:rsidP="004831A0">
      <w:pPr>
        <w:jc w:val="left"/>
      </w:pPr>
    </w:p>
    <w:p w:rsidR="004831A0" w:rsidRDefault="004831A0" w:rsidP="004831A0">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4831A0" w:rsidRDefault="004831A0" w:rsidP="004831A0">
      <w:pPr>
        <w:jc w:val="left"/>
      </w:pPr>
    </w:p>
    <w:p w:rsidR="004831A0" w:rsidRDefault="004831A0" w:rsidP="004831A0">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xml:space="preserve"> effective the date of the original medical separation for disability with severance pay</w:t>
      </w:r>
      <w:r>
        <w:t>.</w:t>
      </w:r>
    </w:p>
    <w:p w:rsidR="004831A0" w:rsidRDefault="004831A0" w:rsidP="004831A0">
      <w:pPr>
        <w:jc w:val="left"/>
      </w:pPr>
    </w:p>
    <w:p w:rsidR="004831A0" w:rsidRDefault="004831A0" w:rsidP="004831A0">
      <w:pPr>
        <w:jc w:val="left"/>
      </w:pPr>
      <w:r>
        <w:tab/>
      </w:r>
      <w:proofErr w:type="gramStart"/>
      <w:r>
        <w:t>d.  Affording</w:t>
      </w:r>
      <w:proofErr w:type="gramEnd"/>
      <w:r>
        <w:t xml:space="preserve"> the </w:t>
      </w:r>
      <w:r w:rsidRPr="00FF16DA">
        <w:t>individual the opportunity to elect Survivor Benefit Plan (SBP) and medical TRICARE retiree options.</w:t>
      </w:r>
    </w:p>
    <w:p w:rsidR="004831A0" w:rsidRDefault="004831A0" w:rsidP="004831A0">
      <w:pPr>
        <w:tabs>
          <w:tab w:val="left" w:pos="3855"/>
        </w:tabs>
        <w:jc w:val="left"/>
      </w:pPr>
      <w:r>
        <w:tab/>
      </w:r>
    </w:p>
    <w:p w:rsidR="004831A0" w:rsidRDefault="004831A0" w:rsidP="004831A0">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831A0" w:rsidRDefault="004831A0" w:rsidP="004831A0">
      <w:pPr>
        <w:jc w:val="left"/>
      </w:pPr>
    </w:p>
    <w:p w:rsidR="004831A0" w:rsidRDefault="004831A0" w:rsidP="004831A0">
      <w:pPr>
        <w:jc w:val="left"/>
      </w:pPr>
      <w:r>
        <w:t>BY ORDER OF THE SECRETARY OF THE ARMY:</w:t>
      </w:r>
    </w:p>
    <w:p w:rsidR="004831A0" w:rsidRDefault="004831A0" w:rsidP="004831A0">
      <w:pPr>
        <w:jc w:val="left"/>
      </w:pPr>
    </w:p>
    <w:p w:rsidR="004831A0" w:rsidRDefault="004831A0" w:rsidP="004831A0">
      <w:pPr>
        <w:jc w:val="left"/>
      </w:pPr>
    </w:p>
    <w:p w:rsidR="004831A0" w:rsidRDefault="004831A0" w:rsidP="004831A0">
      <w:pPr>
        <w:pStyle w:val="Header"/>
        <w:tabs>
          <w:tab w:val="clear" w:pos="4320"/>
          <w:tab w:val="clear" w:pos="8640"/>
        </w:tabs>
        <w:jc w:val="left"/>
      </w:pPr>
    </w:p>
    <w:p w:rsidR="004831A0" w:rsidRDefault="004831A0" w:rsidP="004831A0">
      <w:pPr>
        <w:jc w:val="left"/>
      </w:pPr>
    </w:p>
    <w:p w:rsidR="004831A0" w:rsidRDefault="004831A0" w:rsidP="004831A0">
      <w:pPr>
        <w:jc w:val="left"/>
      </w:pPr>
      <w:bookmarkStart w:id="0" w:name="OLE_LINK3"/>
      <w:bookmarkStart w:id="1" w:name="OLE_LINK4"/>
      <w:r>
        <w:t>Encl</w:t>
      </w:r>
      <w:r>
        <w:tab/>
      </w:r>
      <w:r>
        <w:tab/>
      </w:r>
      <w:r>
        <w:tab/>
      </w:r>
      <w:r>
        <w:tab/>
      </w:r>
      <w:r>
        <w:tab/>
      </w:r>
      <w:r>
        <w:tab/>
        <w:t xml:space="preserve">     </w:t>
      </w:r>
    </w:p>
    <w:p w:rsidR="004831A0" w:rsidRDefault="004831A0" w:rsidP="004831A0">
      <w:pPr>
        <w:jc w:val="left"/>
      </w:pPr>
      <w:r>
        <w:tab/>
      </w:r>
      <w:r>
        <w:tab/>
      </w:r>
      <w:r>
        <w:tab/>
      </w:r>
      <w:r>
        <w:tab/>
      </w:r>
      <w:r>
        <w:tab/>
      </w:r>
      <w:r>
        <w:tab/>
        <w:t xml:space="preserve">     Deputy Assistant Secretary</w:t>
      </w:r>
    </w:p>
    <w:p w:rsidR="004831A0" w:rsidRDefault="004831A0" w:rsidP="004831A0">
      <w:pPr>
        <w:jc w:val="left"/>
      </w:pPr>
      <w:r>
        <w:tab/>
      </w:r>
      <w:r>
        <w:tab/>
      </w:r>
      <w:r>
        <w:tab/>
      </w:r>
      <w:r>
        <w:tab/>
      </w:r>
      <w:r>
        <w:tab/>
      </w:r>
      <w:r>
        <w:tab/>
        <w:t xml:space="preserve">         (Army Review Boards)</w:t>
      </w:r>
      <w:bookmarkEnd w:id="0"/>
      <w:bookmarkEnd w:id="1"/>
    </w:p>
    <w:p w:rsidR="00BA5E4B" w:rsidRPr="001F29F9" w:rsidRDefault="00BA5E4B" w:rsidP="00BF0E94">
      <w:pPr>
        <w:tabs>
          <w:tab w:val="left" w:pos="0"/>
          <w:tab w:val="left" w:pos="4320"/>
        </w:tabs>
        <w:jc w:val="both"/>
        <w:rPr>
          <w:color w:val="000000"/>
        </w:rPr>
      </w:pPr>
    </w:p>
    <w:p w:rsidR="00193008" w:rsidRDefault="00193008" w:rsidP="00193008">
      <w:pPr>
        <w:jc w:val="both"/>
        <w:rPr>
          <w:color w:val="000000"/>
          <w:u w:val="single"/>
        </w:rPr>
      </w:pPr>
    </w:p>
    <w:sectPr w:rsidR="00193008"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3E" w:rsidRDefault="00AE433E">
      <w:r>
        <w:separator/>
      </w:r>
    </w:p>
  </w:endnote>
  <w:endnote w:type="continuationSeparator" w:id="0">
    <w:p w:rsidR="00AE433E" w:rsidRDefault="00AE4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9A" w:rsidRPr="00374247" w:rsidRDefault="00C7139A" w:rsidP="008B7110">
    <w:pPr>
      <w:pStyle w:val="Footer"/>
      <w:ind w:firstLine="4320"/>
      <w:rPr>
        <w:color w:val="auto"/>
      </w:rPr>
    </w:pPr>
    <w:r w:rsidRPr="00374247">
      <w:rPr>
        <w:color w:val="auto"/>
      </w:rPr>
      <w:t xml:space="preserve">   </w:t>
    </w:r>
    <w:fldSimple w:instr=" PAGE   \* MERGEFORMAT ">
      <w:r w:rsidR="004831A0" w:rsidRPr="004831A0">
        <w:rPr>
          <w:noProof/>
          <w:color w:val="auto"/>
        </w:rPr>
        <w:t>2</w:t>
      </w:r>
    </w:fldSimple>
    <w:r w:rsidRPr="00374247">
      <w:rPr>
        <w:color w:val="auto"/>
      </w:rPr>
      <w:t xml:space="preserve">                                                           </w:t>
    </w:r>
    <w:r w:rsidRPr="001D64F3">
      <w:rPr>
        <w:color w:val="auto"/>
      </w:rPr>
      <w:t>PD1</w:t>
    </w:r>
    <w:r w:rsidRPr="009369A6">
      <w:rPr>
        <w:color w:val="auto"/>
      </w:rPr>
      <w:t>100386</w:t>
    </w:r>
  </w:p>
  <w:p w:rsidR="00C7139A" w:rsidRPr="00684CE6" w:rsidRDefault="00C7139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3E" w:rsidRDefault="00AE433E">
      <w:r>
        <w:separator/>
      </w:r>
    </w:p>
  </w:footnote>
  <w:footnote w:type="continuationSeparator" w:id="0">
    <w:p w:rsidR="00AE433E" w:rsidRDefault="00AE4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2E46"/>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CD3"/>
    <w:rsid w:val="00065E21"/>
    <w:rsid w:val="000673ED"/>
    <w:rsid w:val="00067854"/>
    <w:rsid w:val="00070DED"/>
    <w:rsid w:val="00072433"/>
    <w:rsid w:val="00072B3E"/>
    <w:rsid w:val="0007404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6F1E"/>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3D2A"/>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275"/>
    <w:rsid w:val="000D6457"/>
    <w:rsid w:val="000D7D55"/>
    <w:rsid w:val="000E0993"/>
    <w:rsid w:val="000E2E50"/>
    <w:rsid w:val="000E37E0"/>
    <w:rsid w:val="000E3F20"/>
    <w:rsid w:val="000E4C25"/>
    <w:rsid w:val="000E4CBF"/>
    <w:rsid w:val="000E5577"/>
    <w:rsid w:val="000E7034"/>
    <w:rsid w:val="000F02BE"/>
    <w:rsid w:val="000F0928"/>
    <w:rsid w:val="000F0B3D"/>
    <w:rsid w:val="000F1A70"/>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0780"/>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26D1"/>
    <w:rsid w:val="00153740"/>
    <w:rsid w:val="001537D8"/>
    <w:rsid w:val="00153D88"/>
    <w:rsid w:val="001541C5"/>
    <w:rsid w:val="00155E6B"/>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1730"/>
    <w:rsid w:val="00182A4C"/>
    <w:rsid w:val="00183F77"/>
    <w:rsid w:val="00183FB3"/>
    <w:rsid w:val="001844D8"/>
    <w:rsid w:val="00185DA8"/>
    <w:rsid w:val="00185ECB"/>
    <w:rsid w:val="001865E0"/>
    <w:rsid w:val="001870F0"/>
    <w:rsid w:val="001902C5"/>
    <w:rsid w:val="00190E48"/>
    <w:rsid w:val="0019114B"/>
    <w:rsid w:val="0019273F"/>
    <w:rsid w:val="00193008"/>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466"/>
    <w:rsid w:val="001D37B9"/>
    <w:rsid w:val="001D3DC0"/>
    <w:rsid w:val="001D461E"/>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543"/>
    <w:rsid w:val="00211612"/>
    <w:rsid w:val="002119B6"/>
    <w:rsid w:val="00212389"/>
    <w:rsid w:val="00212B40"/>
    <w:rsid w:val="00213BD0"/>
    <w:rsid w:val="00213C07"/>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5A0"/>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F2A"/>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31B"/>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8AA"/>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3D3"/>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384"/>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1A0"/>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24BD"/>
    <w:rsid w:val="004F3222"/>
    <w:rsid w:val="004F3639"/>
    <w:rsid w:val="004F3BFA"/>
    <w:rsid w:val="004F4E3C"/>
    <w:rsid w:val="004F5A1A"/>
    <w:rsid w:val="004F77A3"/>
    <w:rsid w:val="005000AB"/>
    <w:rsid w:val="005008DC"/>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0D26"/>
    <w:rsid w:val="005214A3"/>
    <w:rsid w:val="005222E7"/>
    <w:rsid w:val="005226F2"/>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6AC"/>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45B"/>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3CC"/>
    <w:rsid w:val="00595B60"/>
    <w:rsid w:val="00595B63"/>
    <w:rsid w:val="00595BF0"/>
    <w:rsid w:val="00597E16"/>
    <w:rsid w:val="005A0B1D"/>
    <w:rsid w:val="005A1846"/>
    <w:rsid w:val="005A258C"/>
    <w:rsid w:val="005A3560"/>
    <w:rsid w:val="005A464E"/>
    <w:rsid w:val="005A5B3D"/>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B7CB3"/>
    <w:rsid w:val="005C0E87"/>
    <w:rsid w:val="005C1398"/>
    <w:rsid w:val="005C16F3"/>
    <w:rsid w:val="005C3758"/>
    <w:rsid w:val="005C4D72"/>
    <w:rsid w:val="005C50C1"/>
    <w:rsid w:val="005C62C2"/>
    <w:rsid w:val="005D2306"/>
    <w:rsid w:val="005D2562"/>
    <w:rsid w:val="005D2666"/>
    <w:rsid w:val="005D43FF"/>
    <w:rsid w:val="005D4548"/>
    <w:rsid w:val="005D4A74"/>
    <w:rsid w:val="005D566D"/>
    <w:rsid w:val="005D5E91"/>
    <w:rsid w:val="005D67EF"/>
    <w:rsid w:val="005E2924"/>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02F"/>
    <w:rsid w:val="00643C8F"/>
    <w:rsid w:val="00645046"/>
    <w:rsid w:val="0064527A"/>
    <w:rsid w:val="006458FD"/>
    <w:rsid w:val="00645DE8"/>
    <w:rsid w:val="00645EA2"/>
    <w:rsid w:val="00651E6D"/>
    <w:rsid w:val="0065237D"/>
    <w:rsid w:val="00652943"/>
    <w:rsid w:val="00653AB2"/>
    <w:rsid w:val="00653D2D"/>
    <w:rsid w:val="0065435E"/>
    <w:rsid w:val="00654551"/>
    <w:rsid w:val="0065461A"/>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57A6"/>
    <w:rsid w:val="00687C7E"/>
    <w:rsid w:val="00687D3D"/>
    <w:rsid w:val="00690569"/>
    <w:rsid w:val="00690FDA"/>
    <w:rsid w:val="00691E61"/>
    <w:rsid w:val="00692180"/>
    <w:rsid w:val="006937C6"/>
    <w:rsid w:val="00693C5E"/>
    <w:rsid w:val="00693CEE"/>
    <w:rsid w:val="006942E2"/>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95"/>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7CD"/>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807"/>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B09"/>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516"/>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B87"/>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41E0"/>
    <w:rsid w:val="00827B29"/>
    <w:rsid w:val="00827DB6"/>
    <w:rsid w:val="00827F64"/>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4D4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04FB"/>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A70"/>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110"/>
    <w:rsid w:val="008B78F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287"/>
    <w:rsid w:val="00923B25"/>
    <w:rsid w:val="0092402E"/>
    <w:rsid w:val="009259BA"/>
    <w:rsid w:val="00926FCB"/>
    <w:rsid w:val="009303BB"/>
    <w:rsid w:val="0093108A"/>
    <w:rsid w:val="009319EF"/>
    <w:rsid w:val="00931B6D"/>
    <w:rsid w:val="0093311A"/>
    <w:rsid w:val="009346D0"/>
    <w:rsid w:val="009369A6"/>
    <w:rsid w:val="00937F57"/>
    <w:rsid w:val="0094031E"/>
    <w:rsid w:val="009412D8"/>
    <w:rsid w:val="009416C6"/>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264"/>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356"/>
    <w:rsid w:val="009915E8"/>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8D8"/>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60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0DE"/>
    <w:rsid w:val="00A1105B"/>
    <w:rsid w:val="00A1213C"/>
    <w:rsid w:val="00A130E8"/>
    <w:rsid w:val="00A15B6B"/>
    <w:rsid w:val="00A15EB4"/>
    <w:rsid w:val="00A16172"/>
    <w:rsid w:val="00A16876"/>
    <w:rsid w:val="00A200AA"/>
    <w:rsid w:val="00A20558"/>
    <w:rsid w:val="00A211DD"/>
    <w:rsid w:val="00A2186F"/>
    <w:rsid w:val="00A2270B"/>
    <w:rsid w:val="00A22786"/>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30C"/>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500"/>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33E"/>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0A43"/>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A48"/>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E0D"/>
    <w:rsid w:val="00B643A6"/>
    <w:rsid w:val="00B64DD6"/>
    <w:rsid w:val="00B66505"/>
    <w:rsid w:val="00B6710C"/>
    <w:rsid w:val="00B67E84"/>
    <w:rsid w:val="00B72076"/>
    <w:rsid w:val="00B72303"/>
    <w:rsid w:val="00B727A9"/>
    <w:rsid w:val="00B72C72"/>
    <w:rsid w:val="00B72ED9"/>
    <w:rsid w:val="00B731E4"/>
    <w:rsid w:val="00B73D60"/>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5E4B"/>
    <w:rsid w:val="00BA6A9C"/>
    <w:rsid w:val="00BA7F46"/>
    <w:rsid w:val="00BB0388"/>
    <w:rsid w:val="00BB0A0A"/>
    <w:rsid w:val="00BB133C"/>
    <w:rsid w:val="00BB1F04"/>
    <w:rsid w:val="00BB45B5"/>
    <w:rsid w:val="00BB4DDE"/>
    <w:rsid w:val="00BB5B34"/>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4BE"/>
    <w:rsid w:val="00BD7831"/>
    <w:rsid w:val="00BD7C10"/>
    <w:rsid w:val="00BE046F"/>
    <w:rsid w:val="00BE0DEB"/>
    <w:rsid w:val="00BE229C"/>
    <w:rsid w:val="00BE2AB8"/>
    <w:rsid w:val="00BE2FC1"/>
    <w:rsid w:val="00BE3142"/>
    <w:rsid w:val="00BE4039"/>
    <w:rsid w:val="00BE5444"/>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B9E"/>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BE4"/>
    <w:rsid w:val="00C53E8A"/>
    <w:rsid w:val="00C54DF3"/>
    <w:rsid w:val="00C5511C"/>
    <w:rsid w:val="00C560A7"/>
    <w:rsid w:val="00C56FC8"/>
    <w:rsid w:val="00C60F23"/>
    <w:rsid w:val="00C6170B"/>
    <w:rsid w:val="00C62EB2"/>
    <w:rsid w:val="00C63431"/>
    <w:rsid w:val="00C64C87"/>
    <w:rsid w:val="00C65414"/>
    <w:rsid w:val="00C665FE"/>
    <w:rsid w:val="00C7139A"/>
    <w:rsid w:val="00C71BEC"/>
    <w:rsid w:val="00C73942"/>
    <w:rsid w:val="00C73A83"/>
    <w:rsid w:val="00C74D3A"/>
    <w:rsid w:val="00C75F3D"/>
    <w:rsid w:val="00C80511"/>
    <w:rsid w:val="00C80655"/>
    <w:rsid w:val="00C81937"/>
    <w:rsid w:val="00C826F5"/>
    <w:rsid w:val="00C82973"/>
    <w:rsid w:val="00C83740"/>
    <w:rsid w:val="00C84527"/>
    <w:rsid w:val="00C84AD1"/>
    <w:rsid w:val="00C85579"/>
    <w:rsid w:val="00C8590C"/>
    <w:rsid w:val="00C862F1"/>
    <w:rsid w:val="00C863E5"/>
    <w:rsid w:val="00C87BE6"/>
    <w:rsid w:val="00C87F76"/>
    <w:rsid w:val="00C90DBE"/>
    <w:rsid w:val="00C91FAB"/>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F43"/>
    <w:rsid w:val="00CB5801"/>
    <w:rsid w:val="00CB758D"/>
    <w:rsid w:val="00CB7A3E"/>
    <w:rsid w:val="00CB7FF7"/>
    <w:rsid w:val="00CC0D0E"/>
    <w:rsid w:val="00CC1253"/>
    <w:rsid w:val="00CC19B3"/>
    <w:rsid w:val="00CC2044"/>
    <w:rsid w:val="00CC39D2"/>
    <w:rsid w:val="00CC5CEE"/>
    <w:rsid w:val="00CC69EC"/>
    <w:rsid w:val="00CC78A2"/>
    <w:rsid w:val="00CC7DF8"/>
    <w:rsid w:val="00CD15BE"/>
    <w:rsid w:val="00CD1EF2"/>
    <w:rsid w:val="00CD32BD"/>
    <w:rsid w:val="00CD34C7"/>
    <w:rsid w:val="00CD4CCD"/>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3B6"/>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C5C"/>
    <w:rsid w:val="00D62D5C"/>
    <w:rsid w:val="00D63577"/>
    <w:rsid w:val="00D663F1"/>
    <w:rsid w:val="00D67FD7"/>
    <w:rsid w:val="00D704E4"/>
    <w:rsid w:val="00D72410"/>
    <w:rsid w:val="00D73D53"/>
    <w:rsid w:val="00D7402C"/>
    <w:rsid w:val="00D7408A"/>
    <w:rsid w:val="00D74261"/>
    <w:rsid w:val="00D7441B"/>
    <w:rsid w:val="00D75589"/>
    <w:rsid w:val="00D7670E"/>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3555"/>
    <w:rsid w:val="00DE3AAD"/>
    <w:rsid w:val="00DE598A"/>
    <w:rsid w:val="00DE6952"/>
    <w:rsid w:val="00DE6FBE"/>
    <w:rsid w:val="00DE7A7D"/>
    <w:rsid w:val="00DE7E74"/>
    <w:rsid w:val="00DF071B"/>
    <w:rsid w:val="00DF5C84"/>
    <w:rsid w:val="00DF5EC0"/>
    <w:rsid w:val="00DF6EF8"/>
    <w:rsid w:val="00DF6EFE"/>
    <w:rsid w:val="00DF73A3"/>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C07"/>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649"/>
    <w:rsid w:val="00E84DDA"/>
    <w:rsid w:val="00E8608F"/>
    <w:rsid w:val="00E86C1D"/>
    <w:rsid w:val="00E90703"/>
    <w:rsid w:val="00E90A62"/>
    <w:rsid w:val="00E9265E"/>
    <w:rsid w:val="00E95381"/>
    <w:rsid w:val="00E956DB"/>
    <w:rsid w:val="00E97588"/>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ED1"/>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437B"/>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735B"/>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9A5"/>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98D"/>
    <w:rsid w:val="00FE3A27"/>
    <w:rsid w:val="00FE4161"/>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Revision">
    <w:name w:val="Revision"/>
    <w:hidden/>
    <w:uiPriority w:val="99"/>
    <w:semiHidden/>
    <w:rsid w:val="005226F2"/>
    <w:rPr>
      <w:color w:val="008080"/>
      <w:sz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dcterms:created xsi:type="dcterms:W3CDTF">2012-03-04T15:18:00Z</dcterms:created>
  <dcterms:modified xsi:type="dcterms:W3CDTF">2012-04-06T15:42:00Z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