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1C" w:rsidRPr="001F29F9" w:rsidRDefault="0021531C" w:rsidP="00BF0E94">
      <w:pPr>
        <w:tabs>
          <w:tab w:val="left" w:pos="288"/>
          <w:tab w:val="left" w:pos="4752"/>
        </w:tabs>
        <w:rPr>
          <w:color w:val="000000"/>
        </w:rPr>
      </w:pPr>
      <w:r w:rsidRPr="001F29F9">
        <w:rPr>
          <w:color w:val="000000"/>
        </w:rPr>
        <w:t>RECORD OF PROCEEDINGS</w:t>
      </w:r>
    </w:p>
    <w:p w:rsidR="0021531C" w:rsidRPr="001F29F9" w:rsidRDefault="0021531C" w:rsidP="00BF0E94">
      <w:pPr>
        <w:tabs>
          <w:tab w:val="left" w:pos="288"/>
          <w:tab w:val="left" w:pos="4752"/>
        </w:tabs>
        <w:rPr>
          <w:color w:val="000000"/>
        </w:rPr>
      </w:pPr>
      <w:r w:rsidRPr="001F29F9">
        <w:rPr>
          <w:color w:val="000000"/>
        </w:rPr>
        <w:t>PHYSICAL DISABILITY BOARD OF REVIEW</w:t>
      </w:r>
    </w:p>
    <w:p w:rsidR="0021531C" w:rsidRPr="001F29F9" w:rsidRDefault="0021531C" w:rsidP="00BF0E94">
      <w:pPr>
        <w:tabs>
          <w:tab w:val="left" w:pos="288"/>
          <w:tab w:val="left" w:pos="4752"/>
        </w:tabs>
        <w:jc w:val="both"/>
        <w:rPr>
          <w:caps/>
          <w:color w:val="000000"/>
        </w:rPr>
      </w:pPr>
    </w:p>
    <w:p w:rsidR="0021531C" w:rsidRPr="001F29F9" w:rsidRDefault="0021531C" w:rsidP="00BA0ED9">
      <w:pPr>
        <w:tabs>
          <w:tab w:val="right" w:pos="9270"/>
        </w:tabs>
        <w:jc w:val="both"/>
        <w:rPr>
          <w:caps/>
          <w:color w:val="000000"/>
        </w:rPr>
      </w:pPr>
      <w:r w:rsidRPr="001F29F9">
        <w:rPr>
          <w:caps/>
          <w:color w:val="000000"/>
        </w:rPr>
        <w:t>NAM</w:t>
      </w:r>
      <w:r w:rsidRPr="00C739BE">
        <w:rPr>
          <w:caps/>
          <w:color w:val="000000"/>
        </w:rPr>
        <w:t xml:space="preserve">E:  </w:t>
      </w:r>
      <w:r w:rsidR="004E171D">
        <w:rPr>
          <w:caps/>
          <w:color w:val="000000"/>
        </w:rPr>
        <w:t xml:space="preserve"> </w:t>
      </w:r>
      <w:r w:rsidR="005129B6">
        <w:rPr>
          <w:caps/>
          <w:color w:val="000000"/>
        </w:rPr>
        <w:tab/>
      </w:r>
      <w:r w:rsidRPr="001F29F9">
        <w:rPr>
          <w:caps/>
          <w:color w:val="000000"/>
        </w:rPr>
        <w:t>BRANCH OF SERVICE</w:t>
      </w:r>
      <w:r w:rsidRPr="0068240A">
        <w:rPr>
          <w:caps/>
          <w:color w:val="000000"/>
        </w:rPr>
        <w:t xml:space="preserve">:  Army </w:t>
      </w:r>
    </w:p>
    <w:p w:rsidR="0021531C" w:rsidRPr="001F29F9" w:rsidRDefault="0021531C" w:rsidP="00BA0ED9">
      <w:pPr>
        <w:tabs>
          <w:tab w:val="right" w:pos="9270"/>
        </w:tabs>
        <w:jc w:val="both"/>
        <w:rPr>
          <w:caps/>
          <w:color w:val="000000"/>
        </w:rPr>
      </w:pPr>
      <w:r w:rsidRPr="001F29F9">
        <w:rPr>
          <w:caps/>
          <w:color w:val="000000"/>
        </w:rPr>
        <w:t>CASE NUMBER:  PD1100381</w:t>
      </w:r>
      <w:r w:rsidR="005129B6">
        <w:rPr>
          <w:caps/>
          <w:color w:val="000000"/>
        </w:rPr>
        <w:tab/>
      </w:r>
      <w:r w:rsidRPr="001F29F9">
        <w:rPr>
          <w:color w:val="000000"/>
        </w:rPr>
        <w:t>SEPARATION DATE:  20080819</w:t>
      </w:r>
    </w:p>
    <w:p w:rsidR="0021531C" w:rsidRPr="001F29F9" w:rsidRDefault="00D65FAB" w:rsidP="00435384">
      <w:pPr>
        <w:tabs>
          <w:tab w:val="left" w:pos="288"/>
          <w:tab w:val="left" w:pos="5130"/>
          <w:tab w:val="left" w:pos="6840"/>
        </w:tabs>
        <w:jc w:val="both"/>
        <w:rPr>
          <w:color w:val="000000"/>
        </w:rPr>
      </w:pPr>
      <w:r>
        <w:rPr>
          <w:caps/>
          <w:color w:val="000000"/>
        </w:rPr>
        <w:t>BOARD DATE:  2012</w:t>
      </w:r>
      <w:r w:rsidR="0082466B">
        <w:rPr>
          <w:caps/>
          <w:color w:val="000000"/>
        </w:rPr>
        <w:t>0120</w:t>
      </w:r>
      <w:r w:rsidR="0021531C">
        <w:rPr>
          <w:rFonts w:cs="Times New Roman"/>
          <w:caps/>
          <w:color w:val="000000"/>
        </w:rPr>
        <w:tab/>
      </w:r>
    </w:p>
    <w:p w:rsidR="0021531C" w:rsidRPr="001F29F9" w:rsidRDefault="0021531C" w:rsidP="003C53E8">
      <w:pPr>
        <w:pBdr>
          <w:bottom w:val="single" w:sz="12" w:space="1" w:color="auto"/>
        </w:pBdr>
        <w:tabs>
          <w:tab w:val="left" w:pos="288"/>
          <w:tab w:val="left" w:pos="4752"/>
        </w:tabs>
        <w:jc w:val="both"/>
        <w:rPr>
          <w:color w:val="000000"/>
        </w:rPr>
      </w:pPr>
    </w:p>
    <w:p w:rsidR="0021531C" w:rsidRPr="001F29F9" w:rsidRDefault="0021531C" w:rsidP="00BF0E94">
      <w:pPr>
        <w:tabs>
          <w:tab w:val="left" w:pos="288"/>
          <w:tab w:val="left" w:pos="4752"/>
        </w:tabs>
        <w:jc w:val="both"/>
        <w:rPr>
          <w:color w:val="000000"/>
        </w:rPr>
      </w:pPr>
    </w:p>
    <w:p w:rsidR="0021531C" w:rsidRPr="006D39D9" w:rsidRDefault="0021531C" w:rsidP="00BF0E9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an </w:t>
      </w:r>
      <w:r w:rsidRPr="006D39D9">
        <w:rPr>
          <w:color w:val="000000"/>
        </w:rPr>
        <w:t xml:space="preserve">active duty SGT/E-5 (19D, Calvary Scout), medically separated for </w:t>
      </w:r>
      <w:r w:rsidR="00984F1F" w:rsidRPr="006D39D9">
        <w:rPr>
          <w:color w:val="000000"/>
        </w:rPr>
        <w:t>a lumbar spine condition</w:t>
      </w:r>
      <w:r w:rsidRPr="006D39D9">
        <w:rPr>
          <w:color w:val="000000"/>
        </w:rPr>
        <w:t>.  The CI complained of an insidious onset of low back pain</w:t>
      </w:r>
      <w:r w:rsidR="00984F1F" w:rsidRPr="006D39D9">
        <w:rPr>
          <w:color w:val="000000"/>
        </w:rPr>
        <w:t>,</w:t>
      </w:r>
      <w:r w:rsidRPr="006D39D9">
        <w:rPr>
          <w:color w:val="000000"/>
        </w:rPr>
        <w:t xml:space="preserve"> </w:t>
      </w:r>
      <w:r w:rsidR="005129B6" w:rsidRPr="006D39D9">
        <w:rPr>
          <w:color w:val="000000"/>
        </w:rPr>
        <w:t xml:space="preserve">without </w:t>
      </w:r>
      <w:r w:rsidR="00984F1F" w:rsidRPr="006D39D9">
        <w:rPr>
          <w:color w:val="000000"/>
        </w:rPr>
        <w:t>trauma,</w:t>
      </w:r>
      <w:r w:rsidR="005129B6" w:rsidRPr="006D39D9">
        <w:rPr>
          <w:color w:val="000000"/>
        </w:rPr>
        <w:t xml:space="preserve"> </w:t>
      </w:r>
      <w:r w:rsidRPr="006D39D9">
        <w:rPr>
          <w:color w:val="000000"/>
        </w:rPr>
        <w:t xml:space="preserve">in 2005.  He was </w:t>
      </w:r>
      <w:r w:rsidR="00B838A4" w:rsidRPr="006D39D9">
        <w:rPr>
          <w:color w:val="000000"/>
        </w:rPr>
        <w:t xml:space="preserve">not a surgical candidate and did not improve adequately with conservative measures </w:t>
      </w:r>
      <w:r w:rsidRPr="006D39D9">
        <w:rPr>
          <w:color w:val="000000"/>
        </w:rPr>
        <w:t xml:space="preserve">to fully perform within his Military Occupational Specialty (MOS) or meet physical fitness standards.  He was issued a permanent L3 profile and </w:t>
      </w:r>
      <w:r w:rsidR="00B838A4" w:rsidRPr="006D39D9">
        <w:rPr>
          <w:color w:val="000000"/>
        </w:rPr>
        <w:t>referred for</w:t>
      </w:r>
      <w:r w:rsidRPr="006D39D9">
        <w:rPr>
          <w:color w:val="000000"/>
        </w:rPr>
        <w:t xml:space="preserve"> a Medical Evaluation Board (MEB).  Chronic low back pain secondary to </w:t>
      </w:r>
      <w:proofErr w:type="spellStart"/>
      <w:r w:rsidRPr="006D39D9">
        <w:rPr>
          <w:color w:val="000000"/>
        </w:rPr>
        <w:t>lumbosacral</w:t>
      </w:r>
      <w:proofErr w:type="spellEnd"/>
      <w:r w:rsidRPr="006D39D9">
        <w:rPr>
          <w:color w:val="000000"/>
        </w:rPr>
        <w:t xml:space="preserve"> </w:t>
      </w:r>
      <w:proofErr w:type="spellStart"/>
      <w:r w:rsidRPr="006D39D9">
        <w:rPr>
          <w:color w:val="000000"/>
        </w:rPr>
        <w:t>spondylolysis</w:t>
      </w:r>
      <w:proofErr w:type="spellEnd"/>
      <w:r w:rsidRPr="006D39D9">
        <w:rPr>
          <w:color w:val="000000"/>
        </w:rPr>
        <w:t xml:space="preserve"> and </w:t>
      </w:r>
      <w:proofErr w:type="spellStart"/>
      <w:r w:rsidRPr="006D39D9">
        <w:rPr>
          <w:color w:val="000000"/>
        </w:rPr>
        <w:t>spondylolisthesis</w:t>
      </w:r>
      <w:proofErr w:type="spellEnd"/>
      <w:r w:rsidRPr="006D39D9">
        <w:rPr>
          <w:color w:val="000000"/>
        </w:rPr>
        <w:t xml:space="preserve"> was forwarded to the Physical Evaluation Board (PEB) as medically unacceptable IAW AR 40-501.  </w:t>
      </w:r>
      <w:r w:rsidR="005129B6" w:rsidRPr="006D39D9">
        <w:rPr>
          <w:color w:val="000000"/>
        </w:rPr>
        <w:t xml:space="preserve">A left shoulder </w:t>
      </w:r>
      <w:r w:rsidRPr="006D39D9">
        <w:rPr>
          <w:color w:val="000000"/>
        </w:rPr>
        <w:t>condition</w:t>
      </w:r>
      <w:r w:rsidR="005129B6" w:rsidRPr="006D39D9">
        <w:rPr>
          <w:color w:val="000000"/>
        </w:rPr>
        <w:t xml:space="preserve"> </w:t>
      </w:r>
      <w:r w:rsidRPr="006D39D9">
        <w:rPr>
          <w:color w:val="000000"/>
        </w:rPr>
        <w:t xml:space="preserve">was </w:t>
      </w:r>
      <w:r w:rsidR="00B838A4" w:rsidRPr="006D39D9">
        <w:rPr>
          <w:color w:val="000000"/>
        </w:rPr>
        <w:t xml:space="preserve">also evaluated by the MEB and </w:t>
      </w:r>
      <w:r w:rsidRPr="006D39D9">
        <w:rPr>
          <w:color w:val="000000"/>
        </w:rPr>
        <w:t>forw</w:t>
      </w:r>
      <w:r w:rsidR="005129B6" w:rsidRPr="006D39D9">
        <w:rPr>
          <w:color w:val="000000"/>
        </w:rPr>
        <w:t>arded as</w:t>
      </w:r>
      <w:r w:rsidRPr="006D39D9">
        <w:rPr>
          <w:color w:val="000000"/>
        </w:rPr>
        <w:t xml:space="preserve"> </w:t>
      </w:r>
      <w:r w:rsidR="00B838A4" w:rsidRPr="006D39D9">
        <w:rPr>
          <w:color w:val="000000"/>
        </w:rPr>
        <w:t xml:space="preserve">a </w:t>
      </w:r>
      <w:r w:rsidRPr="006D39D9">
        <w:rPr>
          <w:color w:val="000000"/>
        </w:rPr>
        <w:t>medically acceptable</w:t>
      </w:r>
      <w:r w:rsidR="00B838A4" w:rsidRPr="006D39D9">
        <w:rPr>
          <w:color w:val="000000"/>
        </w:rPr>
        <w:t xml:space="preserve"> condition</w:t>
      </w:r>
      <w:r w:rsidRPr="006D39D9">
        <w:rPr>
          <w:color w:val="000000"/>
        </w:rPr>
        <w:t xml:space="preserve">.  </w:t>
      </w:r>
      <w:r w:rsidR="00BA0ED9">
        <w:rPr>
          <w:rFonts w:eastAsia="Calibri" w:cs="Times New Roman"/>
          <w:color w:val="auto"/>
          <w:szCs w:val="24"/>
        </w:rPr>
        <w:t xml:space="preserve">The PEB </w:t>
      </w:r>
      <w:r w:rsidRPr="006D39D9">
        <w:rPr>
          <w:color w:val="000000"/>
        </w:rPr>
        <w:t>adjudicated the low back condition as unfitting, rated 10%, with application of the Veterans Administration Schedule for Rating Disabilities (VASRD).  The CI made no appeals, and was medically separated with a 10% disability rating.</w:t>
      </w:r>
    </w:p>
    <w:p w:rsidR="0021531C" w:rsidRPr="006D39D9" w:rsidRDefault="0021531C" w:rsidP="00BF0E94">
      <w:pPr>
        <w:pBdr>
          <w:bottom w:val="single" w:sz="12" w:space="1" w:color="auto"/>
        </w:pBdr>
        <w:tabs>
          <w:tab w:val="left" w:pos="288"/>
          <w:tab w:val="left" w:pos="4752"/>
        </w:tabs>
        <w:jc w:val="both"/>
        <w:rPr>
          <w:color w:val="000000"/>
        </w:rPr>
      </w:pPr>
    </w:p>
    <w:p w:rsidR="0021531C" w:rsidRPr="006D39D9" w:rsidRDefault="0021531C" w:rsidP="00BF0E94">
      <w:pPr>
        <w:tabs>
          <w:tab w:val="left" w:pos="288"/>
          <w:tab w:val="left" w:pos="4752"/>
        </w:tabs>
        <w:jc w:val="both"/>
        <w:rPr>
          <w:color w:val="000000"/>
        </w:rPr>
      </w:pPr>
    </w:p>
    <w:p w:rsidR="0021531C" w:rsidRPr="001F29F9" w:rsidRDefault="0021531C" w:rsidP="00BF0E94">
      <w:pPr>
        <w:tabs>
          <w:tab w:val="left" w:pos="288"/>
          <w:tab w:val="left" w:pos="4752"/>
        </w:tabs>
        <w:jc w:val="both"/>
        <w:rPr>
          <w:color w:val="000000"/>
        </w:rPr>
      </w:pPr>
      <w:r w:rsidRPr="006D39D9">
        <w:rPr>
          <w:color w:val="000000"/>
          <w:u w:val="single"/>
        </w:rPr>
        <w:t>CI CONTENTION</w:t>
      </w:r>
      <w:r w:rsidRPr="006D39D9">
        <w:rPr>
          <w:color w:val="000000"/>
        </w:rPr>
        <w:t xml:space="preserve">:  </w:t>
      </w:r>
      <w:r w:rsidRPr="006D39D9">
        <w:rPr>
          <w:color w:val="auto"/>
        </w:rPr>
        <w:t xml:space="preserve">“I was given a 10% disability rating from the military and was discharged from the military after 13 years of service.  I feel that this decision was wrong due to the fact that I wanted to stay in the military and retire.  While going through my medical board proceedings I was informed of many service members receiving retirement who had less time in service as well as less or equal pay grade status.  In addition I was also denied compensation for a hernia that I was diagnosed with, it was </w:t>
      </w:r>
      <w:r w:rsidRPr="006D39D9">
        <w:rPr>
          <w:rFonts w:cs="Arial"/>
          <w:color w:val="auto"/>
        </w:rPr>
        <w:t xml:space="preserve">repaired </w:t>
      </w:r>
      <w:r w:rsidRPr="006D39D9">
        <w:rPr>
          <w:color w:val="auto"/>
        </w:rPr>
        <w:t xml:space="preserve">through surgery. </w:t>
      </w:r>
      <w:r w:rsidRPr="006D39D9">
        <w:rPr>
          <w:rFonts w:cs="Arial"/>
          <w:color w:val="auto"/>
        </w:rPr>
        <w:t xml:space="preserve">It </w:t>
      </w:r>
      <w:r w:rsidRPr="006D39D9">
        <w:rPr>
          <w:color w:val="auto"/>
        </w:rPr>
        <w:t xml:space="preserve">took four years for the TMC </w:t>
      </w:r>
      <w:r w:rsidRPr="006D39D9">
        <w:rPr>
          <w:rFonts w:cs="Arial"/>
          <w:color w:val="auto"/>
        </w:rPr>
        <w:t xml:space="preserve">to </w:t>
      </w:r>
      <w:r w:rsidRPr="006D39D9">
        <w:rPr>
          <w:color w:val="auto"/>
        </w:rPr>
        <w:t xml:space="preserve">finally realize that </w:t>
      </w:r>
      <w:r w:rsidRPr="006D39D9">
        <w:rPr>
          <w:rFonts w:cs="Arial"/>
          <w:color w:val="auto"/>
        </w:rPr>
        <w:t xml:space="preserve">what </w:t>
      </w:r>
      <w:r w:rsidRPr="006D39D9">
        <w:rPr>
          <w:color w:val="auto"/>
        </w:rPr>
        <w:t xml:space="preserve">I </w:t>
      </w:r>
      <w:r w:rsidRPr="006D39D9">
        <w:rPr>
          <w:rFonts w:cs="Arial"/>
          <w:color w:val="auto"/>
        </w:rPr>
        <w:t xml:space="preserve">had </w:t>
      </w:r>
      <w:r w:rsidRPr="006D39D9">
        <w:rPr>
          <w:color w:val="auto"/>
        </w:rPr>
        <w:t xml:space="preserve">was a hernia.  All though it was repaired through surgery I still experience sporadic moments of </w:t>
      </w:r>
      <w:r w:rsidRPr="006D39D9">
        <w:rPr>
          <w:rFonts w:cs="Arial"/>
          <w:color w:val="auto"/>
        </w:rPr>
        <w:t xml:space="preserve">pain in </w:t>
      </w:r>
      <w:r w:rsidRPr="006D39D9">
        <w:rPr>
          <w:color w:val="auto"/>
        </w:rPr>
        <w:t xml:space="preserve">the area in which the hernia was located.  I was also required </w:t>
      </w:r>
      <w:r w:rsidRPr="006D39D9">
        <w:rPr>
          <w:rFonts w:cs="Arial"/>
          <w:color w:val="auto"/>
        </w:rPr>
        <w:t xml:space="preserve">to </w:t>
      </w:r>
      <w:r w:rsidRPr="006D39D9">
        <w:rPr>
          <w:color w:val="auto"/>
        </w:rPr>
        <w:t xml:space="preserve">obtain a waiver upon re-entering service </w:t>
      </w:r>
      <w:r w:rsidRPr="006D39D9">
        <w:rPr>
          <w:rFonts w:cs="Arial"/>
          <w:color w:val="auto"/>
        </w:rPr>
        <w:t xml:space="preserve">in </w:t>
      </w:r>
      <w:r w:rsidRPr="006D39D9">
        <w:rPr>
          <w:color w:val="auto"/>
        </w:rPr>
        <w:t xml:space="preserve">2005 for my hearing difficulties.  I was informed that my hearing loss was not due to military service. I would argue differently due to the fact that I was a 19D and consistently placed </w:t>
      </w:r>
      <w:r w:rsidRPr="006D39D9">
        <w:rPr>
          <w:rFonts w:cs="Arial"/>
          <w:color w:val="auto"/>
        </w:rPr>
        <w:t xml:space="preserve">in </w:t>
      </w:r>
      <w:r w:rsidRPr="006D39D9">
        <w:rPr>
          <w:color w:val="auto"/>
        </w:rPr>
        <w:t xml:space="preserve">loud environments due to the nature of my MOS, and I never </w:t>
      </w:r>
      <w:r w:rsidRPr="006D39D9">
        <w:rPr>
          <w:rFonts w:cs="Arial"/>
          <w:color w:val="auto"/>
        </w:rPr>
        <w:t xml:space="preserve">had </w:t>
      </w:r>
      <w:r w:rsidRPr="006D39D9">
        <w:rPr>
          <w:color w:val="auto"/>
        </w:rPr>
        <w:t xml:space="preserve">hearing difficulties before serving </w:t>
      </w:r>
      <w:r w:rsidRPr="006D39D9">
        <w:rPr>
          <w:rFonts w:cs="Arial"/>
          <w:color w:val="auto"/>
        </w:rPr>
        <w:t xml:space="preserve">in </w:t>
      </w:r>
      <w:r w:rsidRPr="006D39D9">
        <w:rPr>
          <w:color w:val="auto"/>
        </w:rPr>
        <w:t>the military.”  He elaborates no specific contentions regarding rating or coding and mentions no additionally contended conditions.</w:t>
      </w:r>
    </w:p>
    <w:p w:rsidR="0021531C" w:rsidRPr="001F29F9" w:rsidRDefault="0021531C" w:rsidP="00BF0E94">
      <w:pPr>
        <w:pBdr>
          <w:bottom w:val="single" w:sz="12" w:space="1" w:color="auto"/>
        </w:pBdr>
        <w:tabs>
          <w:tab w:val="left" w:pos="288"/>
          <w:tab w:val="left" w:pos="4752"/>
        </w:tabs>
        <w:jc w:val="both"/>
        <w:rPr>
          <w:color w:val="000000"/>
        </w:rPr>
      </w:pPr>
    </w:p>
    <w:p w:rsidR="0021531C" w:rsidRPr="001F29F9" w:rsidRDefault="0021531C" w:rsidP="00BF0E94">
      <w:pPr>
        <w:tabs>
          <w:tab w:val="left" w:pos="288"/>
          <w:tab w:val="left" w:pos="4752"/>
        </w:tabs>
        <w:jc w:val="both"/>
        <w:rPr>
          <w:color w:val="000000"/>
        </w:rPr>
      </w:pPr>
    </w:p>
    <w:p w:rsidR="0021531C" w:rsidRPr="001F29F9" w:rsidRDefault="0021531C" w:rsidP="00435384">
      <w:pPr>
        <w:jc w:val="left"/>
        <w:rPr>
          <w:color w:val="000000"/>
        </w:rPr>
      </w:pPr>
      <w:r w:rsidRPr="001F29F9">
        <w:rPr>
          <w:color w:val="000000"/>
          <w:u w:val="single"/>
        </w:rPr>
        <w:t>RATING COMPARISON</w:t>
      </w:r>
      <w:r w:rsidRPr="001F29F9">
        <w:rPr>
          <w:color w:val="000000"/>
        </w:rPr>
        <w:t>:</w:t>
      </w:r>
    </w:p>
    <w:p w:rsidR="0021531C" w:rsidRPr="001F29F9" w:rsidRDefault="0021531C" w:rsidP="00435384">
      <w:pPr>
        <w:jc w:val="left"/>
        <w:rPr>
          <w:color w:val="000000"/>
        </w:rPr>
      </w:pPr>
    </w:p>
    <w:tbl>
      <w:tblPr>
        <w:tblStyle w:val="TableGrid"/>
        <w:tblpPr w:leftFromText="187" w:rightFromText="187" w:vertAnchor="text" w:tblpXSpec="center" w:tblpY="1"/>
        <w:tblOverlap w:val="never"/>
        <w:tblW w:w="9360" w:type="dxa"/>
        <w:jc w:val="center"/>
        <w:tblLayout w:type="fixed"/>
        <w:tblLook w:val="00A0"/>
      </w:tblPr>
      <w:tblGrid>
        <w:gridCol w:w="2340"/>
        <w:gridCol w:w="1080"/>
        <w:gridCol w:w="720"/>
        <w:gridCol w:w="2160"/>
        <w:gridCol w:w="1080"/>
        <w:gridCol w:w="810"/>
        <w:gridCol w:w="1170"/>
      </w:tblGrid>
      <w:tr w:rsidR="0021531C" w:rsidRPr="000D5DBE" w:rsidTr="00D65FAB">
        <w:trPr>
          <w:trHeight w:val="174"/>
          <w:jc w:val="center"/>
        </w:trPr>
        <w:tc>
          <w:tcPr>
            <w:tcW w:w="4140" w:type="dxa"/>
            <w:gridSpan w:val="3"/>
            <w:tcBorders>
              <w:right w:val="thinThickThinSmallGap" w:sz="24" w:space="0" w:color="auto"/>
            </w:tcBorders>
            <w:shd w:val="clear" w:color="auto" w:fill="D9D9D9"/>
            <w:vAlign w:val="center"/>
          </w:tcPr>
          <w:p w:rsidR="0021531C" w:rsidRPr="000D5DBE" w:rsidRDefault="0082466B" w:rsidP="00D65FAB">
            <w:pPr>
              <w:contextualSpacing/>
              <w:rPr>
                <w:rFonts w:cs="Calibri"/>
                <w:b/>
                <w:color w:val="000000"/>
                <w:sz w:val="18"/>
              </w:rPr>
            </w:pPr>
            <w:r>
              <w:rPr>
                <w:b/>
                <w:color w:val="000000"/>
                <w:sz w:val="18"/>
              </w:rPr>
              <w:t xml:space="preserve">Service </w:t>
            </w:r>
            <w:r w:rsidR="0021531C" w:rsidRPr="000D5DBE">
              <w:rPr>
                <w:b/>
                <w:color w:val="000000"/>
                <w:sz w:val="18"/>
              </w:rPr>
              <w:t>PEB – Dated 20080204</w:t>
            </w:r>
          </w:p>
        </w:tc>
        <w:tc>
          <w:tcPr>
            <w:tcW w:w="5220" w:type="dxa"/>
            <w:gridSpan w:val="4"/>
            <w:tcBorders>
              <w:left w:val="thinThickThinSmallGap" w:sz="24" w:space="0" w:color="auto"/>
            </w:tcBorders>
            <w:shd w:val="clear" w:color="auto" w:fill="D9D9D9"/>
            <w:vAlign w:val="center"/>
          </w:tcPr>
          <w:p w:rsidR="0021531C" w:rsidRPr="000D5DBE" w:rsidRDefault="005129B6" w:rsidP="00D65FAB">
            <w:pPr>
              <w:contextualSpacing/>
              <w:rPr>
                <w:rFonts w:cs="Calibri"/>
                <w:b/>
                <w:color w:val="000000"/>
                <w:sz w:val="18"/>
              </w:rPr>
            </w:pPr>
            <w:r>
              <w:rPr>
                <w:b/>
                <w:color w:val="000000"/>
                <w:sz w:val="18"/>
              </w:rPr>
              <w:t>VA (</w:t>
            </w:r>
            <w:r w:rsidR="007E651C">
              <w:rPr>
                <w:b/>
                <w:color w:val="000000"/>
                <w:sz w:val="18"/>
              </w:rPr>
              <w:t>2 Mo. Pre</w:t>
            </w:r>
            <w:r>
              <w:rPr>
                <w:b/>
                <w:color w:val="000000"/>
                <w:sz w:val="18"/>
              </w:rPr>
              <w:t>-Separation)</w:t>
            </w:r>
            <w:r w:rsidR="0021531C" w:rsidRPr="000D5DBE">
              <w:rPr>
                <w:b/>
                <w:color w:val="000000"/>
                <w:sz w:val="18"/>
              </w:rPr>
              <w:t xml:space="preserve"> – All Effective 20080820</w:t>
            </w:r>
          </w:p>
        </w:tc>
      </w:tr>
      <w:tr w:rsidR="0021531C" w:rsidRPr="000D5DBE" w:rsidTr="00D65FAB">
        <w:trPr>
          <w:trHeight w:val="97"/>
          <w:jc w:val="center"/>
        </w:trPr>
        <w:tc>
          <w:tcPr>
            <w:tcW w:w="2340" w:type="dxa"/>
            <w:tcBorders>
              <w:right w:val="single" w:sz="4" w:space="0" w:color="auto"/>
            </w:tcBorders>
            <w:shd w:val="clear" w:color="auto" w:fill="D9D9D9"/>
            <w:vAlign w:val="center"/>
          </w:tcPr>
          <w:p w:rsidR="0021531C" w:rsidRPr="000D5DBE" w:rsidRDefault="0021531C" w:rsidP="00D65FAB">
            <w:pPr>
              <w:contextualSpacing/>
              <w:rPr>
                <w:rFonts w:cs="Calibri"/>
                <w:b/>
                <w:color w:val="000000"/>
                <w:sz w:val="18"/>
              </w:rPr>
            </w:pPr>
            <w:r w:rsidRPr="000D5DBE">
              <w:rPr>
                <w:b/>
                <w:color w:val="000000"/>
                <w:sz w:val="18"/>
              </w:rPr>
              <w:t>Condition</w:t>
            </w:r>
          </w:p>
        </w:tc>
        <w:tc>
          <w:tcPr>
            <w:tcW w:w="1080" w:type="dxa"/>
            <w:tcBorders>
              <w:left w:val="single" w:sz="4" w:space="0" w:color="auto"/>
            </w:tcBorders>
            <w:shd w:val="clear" w:color="auto" w:fill="D9D9D9"/>
            <w:vAlign w:val="center"/>
          </w:tcPr>
          <w:p w:rsidR="0021531C" w:rsidRPr="000D5DBE" w:rsidRDefault="0021531C" w:rsidP="00D65FAB">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21531C" w:rsidRPr="000D5DBE" w:rsidRDefault="0021531C" w:rsidP="00D65FAB">
            <w:pPr>
              <w:contextualSpacing/>
              <w:rPr>
                <w:rFonts w:cs="Calibri"/>
                <w:b/>
                <w:color w:val="000000"/>
                <w:sz w:val="18"/>
              </w:rPr>
            </w:pPr>
            <w:r w:rsidRPr="000D5DBE">
              <w:rPr>
                <w:b/>
                <w:color w:val="000000"/>
                <w:sz w:val="18"/>
              </w:rPr>
              <w:t>Rating</w:t>
            </w:r>
          </w:p>
        </w:tc>
        <w:tc>
          <w:tcPr>
            <w:tcW w:w="2160" w:type="dxa"/>
            <w:tcBorders>
              <w:left w:val="thinThickThinSmallGap" w:sz="24" w:space="0" w:color="auto"/>
            </w:tcBorders>
            <w:shd w:val="clear" w:color="auto" w:fill="D9D9D9"/>
            <w:vAlign w:val="center"/>
          </w:tcPr>
          <w:p w:rsidR="0021531C" w:rsidRPr="000D5DBE" w:rsidRDefault="0021531C" w:rsidP="00D65FAB">
            <w:pPr>
              <w:contextualSpacing/>
              <w:rPr>
                <w:rFonts w:cs="Calibri"/>
                <w:b/>
                <w:color w:val="000000"/>
                <w:sz w:val="18"/>
              </w:rPr>
            </w:pPr>
            <w:r w:rsidRPr="000D5DBE">
              <w:rPr>
                <w:b/>
                <w:color w:val="000000"/>
                <w:sz w:val="18"/>
              </w:rPr>
              <w:t>Condition</w:t>
            </w:r>
          </w:p>
        </w:tc>
        <w:tc>
          <w:tcPr>
            <w:tcW w:w="1080" w:type="dxa"/>
            <w:shd w:val="clear" w:color="auto" w:fill="D9D9D9"/>
            <w:vAlign w:val="center"/>
          </w:tcPr>
          <w:p w:rsidR="0021531C" w:rsidRPr="000D5DBE" w:rsidRDefault="0021531C" w:rsidP="00D65FAB">
            <w:pPr>
              <w:contextualSpacing/>
              <w:rPr>
                <w:rFonts w:cs="Calibri"/>
                <w:b/>
                <w:color w:val="000000"/>
                <w:sz w:val="18"/>
              </w:rPr>
            </w:pPr>
            <w:r w:rsidRPr="000D5DBE">
              <w:rPr>
                <w:b/>
                <w:color w:val="000000"/>
                <w:sz w:val="18"/>
              </w:rPr>
              <w:t>Code</w:t>
            </w:r>
          </w:p>
        </w:tc>
        <w:tc>
          <w:tcPr>
            <w:tcW w:w="810" w:type="dxa"/>
            <w:shd w:val="clear" w:color="auto" w:fill="D9D9D9"/>
            <w:vAlign w:val="center"/>
          </w:tcPr>
          <w:p w:rsidR="0021531C" w:rsidRPr="000D5DBE" w:rsidRDefault="0021531C" w:rsidP="00D65FAB">
            <w:pPr>
              <w:contextualSpacing/>
              <w:rPr>
                <w:rFonts w:cs="Calibri"/>
                <w:b/>
                <w:color w:val="000000"/>
                <w:sz w:val="18"/>
              </w:rPr>
            </w:pPr>
            <w:r w:rsidRPr="000D5DBE">
              <w:rPr>
                <w:b/>
                <w:color w:val="000000"/>
                <w:sz w:val="18"/>
              </w:rPr>
              <w:t>Rating</w:t>
            </w:r>
          </w:p>
        </w:tc>
        <w:tc>
          <w:tcPr>
            <w:tcW w:w="1170" w:type="dxa"/>
            <w:shd w:val="clear" w:color="auto" w:fill="D9D9D9"/>
            <w:vAlign w:val="center"/>
          </w:tcPr>
          <w:p w:rsidR="0021531C" w:rsidRPr="000D5DBE" w:rsidRDefault="0021531C" w:rsidP="00D65FAB">
            <w:pPr>
              <w:contextualSpacing/>
              <w:rPr>
                <w:rFonts w:cs="Calibri"/>
                <w:b/>
                <w:color w:val="000000"/>
                <w:sz w:val="18"/>
              </w:rPr>
            </w:pPr>
            <w:r w:rsidRPr="000D5DBE">
              <w:rPr>
                <w:b/>
                <w:color w:val="000000"/>
                <w:sz w:val="18"/>
              </w:rPr>
              <w:t>Exam</w:t>
            </w:r>
          </w:p>
        </w:tc>
      </w:tr>
      <w:tr w:rsidR="0021531C" w:rsidRPr="000D5DBE" w:rsidTr="00D65FAB">
        <w:trPr>
          <w:trHeight w:val="115"/>
          <w:jc w:val="center"/>
        </w:trPr>
        <w:tc>
          <w:tcPr>
            <w:tcW w:w="2340" w:type="dxa"/>
            <w:tcBorders>
              <w:right w:val="single" w:sz="4" w:space="0" w:color="auto"/>
            </w:tcBorders>
            <w:shd w:val="clear" w:color="auto" w:fill="FFFFFF"/>
            <w:vAlign w:val="center"/>
          </w:tcPr>
          <w:p w:rsidR="0021531C" w:rsidRPr="001F29F9" w:rsidRDefault="0021531C" w:rsidP="00D65FAB">
            <w:pPr>
              <w:spacing w:line="220" w:lineRule="exact"/>
              <w:contextualSpacing/>
              <w:jc w:val="left"/>
              <w:rPr>
                <w:rFonts w:cs="Calibri"/>
                <w:color w:val="000000"/>
                <w:sz w:val="18"/>
              </w:rPr>
            </w:pPr>
            <w:r w:rsidRPr="000D5DBE">
              <w:rPr>
                <w:color w:val="000000"/>
                <w:sz w:val="18"/>
              </w:rPr>
              <w:t>Low Back Pain</w:t>
            </w:r>
          </w:p>
        </w:tc>
        <w:tc>
          <w:tcPr>
            <w:tcW w:w="1080" w:type="dxa"/>
            <w:tcBorders>
              <w:left w:val="single" w:sz="4" w:space="0" w:color="auto"/>
            </w:tcBorders>
            <w:shd w:val="clear" w:color="auto" w:fill="FFFFFF"/>
            <w:vAlign w:val="center"/>
          </w:tcPr>
          <w:p w:rsidR="0021531C" w:rsidRPr="001F29F9" w:rsidRDefault="0021531C" w:rsidP="00D65FAB">
            <w:pPr>
              <w:spacing w:line="220" w:lineRule="exact"/>
              <w:contextualSpacing/>
              <w:rPr>
                <w:rFonts w:cs="Calibri"/>
                <w:color w:val="000000"/>
                <w:sz w:val="18"/>
              </w:rPr>
            </w:pPr>
            <w:r w:rsidRPr="000D5DBE">
              <w:rPr>
                <w:color w:val="000000"/>
                <w:sz w:val="18"/>
              </w:rPr>
              <w:t>5299-5237</w:t>
            </w:r>
          </w:p>
        </w:tc>
        <w:tc>
          <w:tcPr>
            <w:tcW w:w="720" w:type="dxa"/>
            <w:tcBorders>
              <w:right w:val="thinThickThinSmallGap" w:sz="24" w:space="0" w:color="auto"/>
            </w:tcBorders>
            <w:shd w:val="clear" w:color="auto" w:fill="FFFFFF"/>
            <w:vAlign w:val="center"/>
          </w:tcPr>
          <w:p w:rsidR="0021531C" w:rsidRPr="001F29F9" w:rsidRDefault="0021531C" w:rsidP="00D65FAB">
            <w:pPr>
              <w:spacing w:line="220" w:lineRule="exact"/>
              <w:rPr>
                <w:rFonts w:cs="Calibri"/>
                <w:color w:val="000000"/>
                <w:sz w:val="18"/>
              </w:rPr>
            </w:pPr>
            <w:r w:rsidRPr="000D5DBE">
              <w:rPr>
                <w:color w:val="000000"/>
                <w:sz w:val="18"/>
              </w:rPr>
              <w:t>10%</w:t>
            </w:r>
          </w:p>
        </w:tc>
        <w:tc>
          <w:tcPr>
            <w:tcW w:w="2160" w:type="dxa"/>
            <w:tcBorders>
              <w:left w:val="thinThickThinSmallGap" w:sz="24" w:space="0" w:color="auto"/>
            </w:tcBorders>
            <w:shd w:val="clear" w:color="auto" w:fill="FFFFFF"/>
            <w:vAlign w:val="center"/>
          </w:tcPr>
          <w:p w:rsidR="0021531C" w:rsidRPr="001F29F9" w:rsidRDefault="0021531C" w:rsidP="00D65FAB">
            <w:pPr>
              <w:spacing w:line="220" w:lineRule="exact"/>
              <w:contextualSpacing/>
              <w:jc w:val="left"/>
              <w:rPr>
                <w:rFonts w:cs="Calibri"/>
                <w:color w:val="000000"/>
                <w:sz w:val="18"/>
              </w:rPr>
            </w:pPr>
            <w:r w:rsidRPr="000D5DBE">
              <w:rPr>
                <w:color w:val="000000"/>
                <w:sz w:val="18"/>
              </w:rPr>
              <w:t xml:space="preserve">Lumbar Strain </w:t>
            </w:r>
            <w:r w:rsidR="005129B6">
              <w:rPr>
                <w:color w:val="000000"/>
                <w:sz w:val="18"/>
              </w:rPr>
              <w:t>…</w:t>
            </w:r>
          </w:p>
        </w:tc>
        <w:tc>
          <w:tcPr>
            <w:tcW w:w="1080" w:type="dxa"/>
            <w:shd w:val="clear" w:color="auto" w:fill="FFFFFF"/>
            <w:vAlign w:val="center"/>
          </w:tcPr>
          <w:p w:rsidR="0021531C" w:rsidRPr="001F29F9" w:rsidRDefault="0021531C" w:rsidP="00D65FAB">
            <w:pPr>
              <w:spacing w:line="220" w:lineRule="exact"/>
              <w:contextualSpacing/>
              <w:rPr>
                <w:rFonts w:cs="Calibri"/>
                <w:color w:val="000000"/>
                <w:sz w:val="18"/>
              </w:rPr>
            </w:pPr>
            <w:r w:rsidRPr="000D5DBE">
              <w:rPr>
                <w:color w:val="000000"/>
                <w:sz w:val="18"/>
              </w:rPr>
              <w:t>5237</w:t>
            </w:r>
          </w:p>
        </w:tc>
        <w:tc>
          <w:tcPr>
            <w:tcW w:w="810" w:type="dxa"/>
            <w:shd w:val="clear" w:color="auto" w:fill="FFFFFF"/>
            <w:vAlign w:val="center"/>
          </w:tcPr>
          <w:p w:rsidR="0021531C" w:rsidRPr="001F29F9" w:rsidRDefault="0021531C" w:rsidP="00D65FAB">
            <w:pPr>
              <w:spacing w:line="220" w:lineRule="exact"/>
              <w:contextualSpacing/>
              <w:rPr>
                <w:rFonts w:cs="Calibri"/>
                <w:color w:val="000000"/>
                <w:sz w:val="18"/>
              </w:rPr>
            </w:pPr>
            <w:r w:rsidRPr="000D5DBE">
              <w:rPr>
                <w:color w:val="000000"/>
                <w:sz w:val="18"/>
              </w:rPr>
              <w:t>10%</w:t>
            </w:r>
          </w:p>
        </w:tc>
        <w:tc>
          <w:tcPr>
            <w:tcW w:w="1170" w:type="dxa"/>
            <w:shd w:val="clear" w:color="auto" w:fill="FFFFFF"/>
            <w:vAlign w:val="center"/>
          </w:tcPr>
          <w:p w:rsidR="0021531C" w:rsidRPr="001F29F9" w:rsidRDefault="0021531C" w:rsidP="00D65FAB">
            <w:pPr>
              <w:spacing w:line="220" w:lineRule="exact"/>
              <w:contextualSpacing/>
              <w:rPr>
                <w:rFonts w:cs="Calibri"/>
                <w:color w:val="000000"/>
                <w:sz w:val="18"/>
              </w:rPr>
            </w:pPr>
            <w:r w:rsidRPr="000D5DBE">
              <w:rPr>
                <w:color w:val="000000"/>
                <w:sz w:val="18"/>
              </w:rPr>
              <w:t>20080627</w:t>
            </w:r>
          </w:p>
        </w:tc>
      </w:tr>
      <w:tr w:rsidR="0021531C" w:rsidRPr="000D5DBE" w:rsidTr="00D65FAB">
        <w:trPr>
          <w:trHeight w:val="111"/>
          <w:jc w:val="center"/>
        </w:trPr>
        <w:tc>
          <w:tcPr>
            <w:tcW w:w="2340" w:type="dxa"/>
            <w:tcBorders>
              <w:right w:val="single" w:sz="4" w:space="0" w:color="auto"/>
            </w:tcBorders>
            <w:shd w:val="clear" w:color="auto" w:fill="FFFFFF"/>
            <w:vAlign w:val="center"/>
          </w:tcPr>
          <w:p w:rsidR="0021531C" w:rsidRPr="001F29F9" w:rsidRDefault="0021531C" w:rsidP="00D65FAB">
            <w:pPr>
              <w:spacing w:line="220" w:lineRule="exact"/>
              <w:contextualSpacing/>
              <w:jc w:val="left"/>
              <w:rPr>
                <w:rFonts w:cs="Calibri"/>
                <w:color w:val="000000"/>
                <w:sz w:val="18"/>
              </w:rPr>
            </w:pPr>
            <w:r w:rsidRPr="000D5DBE">
              <w:rPr>
                <w:color w:val="000000"/>
                <w:sz w:val="18"/>
              </w:rPr>
              <w:t>Left Shoulder Injury</w:t>
            </w:r>
          </w:p>
        </w:tc>
        <w:tc>
          <w:tcPr>
            <w:tcW w:w="1800" w:type="dxa"/>
            <w:gridSpan w:val="2"/>
            <w:tcBorders>
              <w:left w:val="single" w:sz="4" w:space="0" w:color="auto"/>
              <w:right w:val="thinThickThinSmallGap" w:sz="24" w:space="0" w:color="auto"/>
            </w:tcBorders>
            <w:shd w:val="clear" w:color="auto" w:fill="FFFFFF"/>
            <w:vAlign w:val="center"/>
          </w:tcPr>
          <w:p w:rsidR="0021531C" w:rsidRPr="001F29F9" w:rsidRDefault="0021531C" w:rsidP="00D65FAB">
            <w:pPr>
              <w:spacing w:line="220" w:lineRule="exact"/>
              <w:rPr>
                <w:rFonts w:cs="Calibri"/>
                <w:color w:val="000000"/>
                <w:sz w:val="18"/>
              </w:rPr>
            </w:pPr>
            <w:r w:rsidRPr="000D5DBE">
              <w:rPr>
                <w:color w:val="000000"/>
                <w:sz w:val="18"/>
              </w:rPr>
              <w:t>Not Unfitting</w:t>
            </w:r>
          </w:p>
        </w:tc>
        <w:tc>
          <w:tcPr>
            <w:tcW w:w="2160" w:type="dxa"/>
            <w:tcBorders>
              <w:left w:val="thinThickThinSmallGap" w:sz="24" w:space="0" w:color="auto"/>
              <w:right w:val="single" w:sz="4" w:space="0" w:color="auto"/>
            </w:tcBorders>
            <w:shd w:val="clear" w:color="auto" w:fill="FFFFFF"/>
            <w:vAlign w:val="center"/>
          </w:tcPr>
          <w:p w:rsidR="0021531C" w:rsidRPr="001F29F9" w:rsidRDefault="0021531C" w:rsidP="00D65FAB">
            <w:pPr>
              <w:spacing w:line="220" w:lineRule="exact"/>
              <w:contextualSpacing/>
              <w:jc w:val="left"/>
              <w:rPr>
                <w:rFonts w:cs="Calibri"/>
                <w:color w:val="000000"/>
                <w:sz w:val="18"/>
              </w:rPr>
            </w:pPr>
            <w:r w:rsidRPr="000D5DBE">
              <w:rPr>
                <w:color w:val="000000"/>
                <w:sz w:val="18"/>
              </w:rPr>
              <w:t>Left Shoulder Strain</w:t>
            </w:r>
          </w:p>
        </w:tc>
        <w:tc>
          <w:tcPr>
            <w:tcW w:w="1080" w:type="dxa"/>
            <w:tcBorders>
              <w:left w:val="single" w:sz="4" w:space="0" w:color="auto"/>
            </w:tcBorders>
            <w:shd w:val="clear" w:color="auto" w:fill="FFFFFF"/>
            <w:vAlign w:val="center"/>
          </w:tcPr>
          <w:p w:rsidR="0021531C" w:rsidRPr="001F29F9" w:rsidRDefault="0021531C" w:rsidP="00D65FAB">
            <w:pPr>
              <w:spacing w:line="220" w:lineRule="exact"/>
              <w:contextualSpacing/>
              <w:rPr>
                <w:rFonts w:cs="Calibri"/>
                <w:color w:val="000000"/>
                <w:sz w:val="18"/>
              </w:rPr>
            </w:pPr>
            <w:r w:rsidRPr="000D5DBE">
              <w:rPr>
                <w:color w:val="000000"/>
                <w:sz w:val="18"/>
              </w:rPr>
              <w:t>5201-5024</w:t>
            </w:r>
          </w:p>
        </w:tc>
        <w:tc>
          <w:tcPr>
            <w:tcW w:w="810" w:type="dxa"/>
            <w:shd w:val="clear" w:color="auto" w:fill="FFFFFF"/>
            <w:vAlign w:val="center"/>
          </w:tcPr>
          <w:p w:rsidR="0021531C" w:rsidRPr="001F29F9" w:rsidRDefault="0021531C" w:rsidP="00D65FAB">
            <w:pPr>
              <w:spacing w:line="220" w:lineRule="exact"/>
              <w:contextualSpacing/>
              <w:rPr>
                <w:rFonts w:cs="Calibri"/>
                <w:color w:val="000000"/>
                <w:sz w:val="18"/>
              </w:rPr>
            </w:pPr>
            <w:r w:rsidRPr="000D5DBE">
              <w:rPr>
                <w:color w:val="000000"/>
                <w:sz w:val="18"/>
              </w:rPr>
              <w:t>10%</w:t>
            </w:r>
          </w:p>
        </w:tc>
        <w:tc>
          <w:tcPr>
            <w:tcW w:w="1170" w:type="dxa"/>
            <w:shd w:val="clear" w:color="auto" w:fill="FFFFFF"/>
            <w:vAlign w:val="center"/>
          </w:tcPr>
          <w:p w:rsidR="0021531C" w:rsidRPr="00435384" w:rsidRDefault="0021531C" w:rsidP="00D65FAB">
            <w:pPr>
              <w:spacing w:line="220" w:lineRule="exact"/>
              <w:contextualSpacing/>
              <w:rPr>
                <w:rFonts w:cs="Calibri"/>
                <w:color w:val="000000"/>
                <w:sz w:val="18"/>
              </w:rPr>
            </w:pPr>
            <w:r w:rsidRPr="00435384">
              <w:rPr>
                <w:color w:val="000000"/>
                <w:sz w:val="18"/>
              </w:rPr>
              <w:t>20080627</w:t>
            </w:r>
          </w:p>
        </w:tc>
      </w:tr>
      <w:tr w:rsidR="0021531C" w:rsidRPr="000D5DBE" w:rsidTr="00D65FAB">
        <w:trPr>
          <w:trHeight w:val="102"/>
          <w:jc w:val="center"/>
        </w:trPr>
        <w:tc>
          <w:tcPr>
            <w:tcW w:w="4140" w:type="dxa"/>
            <w:gridSpan w:val="3"/>
            <w:vMerge w:val="restart"/>
            <w:tcBorders>
              <w:right w:val="thinThickThinSmallGap" w:sz="24" w:space="0" w:color="auto"/>
            </w:tcBorders>
            <w:shd w:val="clear" w:color="auto" w:fill="FFFFFF"/>
          </w:tcPr>
          <w:p w:rsidR="002B5606" w:rsidRDefault="002B5606" w:rsidP="00D65FAB">
            <w:pPr>
              <w:spacing w:line="220" w:lineRule="exact"/>
              <w:contextualSpacing/>
              <w:rPr>
                <w:color w:val="000000"/>
                <w:sz w:val="18"/>
              </w:rPr>
            </w:pPr>
          </w:p>
          <w:p w:rsidR="002B5606" w:rsidRDefault="002B5606" w:rsidP="00D65FAB">
            <w:pPr>
              <w:spacing w:line="220" w:lineRule="exact"/>
              <w:contextualSpacing/>
              <w:rPr>
                <w:color w:val="000000"/>
                <w:sz w:val="18"/>
              </w:rPr>
            </w:pPr>
          </w:p>
          <w:p w:rsidR="0021531C" w:rsidRPr="001F29F9" w:rsidRDefault="0021531C" w:rsidP="00D65FAB">
            <w:pPr>
              <w:spacing w:line="220" w:lineRule="exact"/>
              <w:contextualSpacing/>
              <w:rPr>
                <w:rFonts w:cs="Calibri"/>
                <w:color w:val="000000"/>
                <w:sz w:val="18"/>
                <w:highlight w:val="yellow"/>
              </w:rPr>
            </w:pPr>
            <w:r w:rsidRPr="000D5DBE">
              <w:rPr>
                <w:color w:val="000000"/>
                <w:sz w:val="18"/>
              </w:rPr>
              <w:t>↓No Additional MEB/PEB Entries↓</w:t>
            </w:r>
          </w:p>
        </w:tc>
        <w:tc>
          <w:tcPr>
            <w:tcW w:w="2160" w:type="dxa"/>
            <w:tcBorders>
              <w:left w:val="thinThickThinSmallGap" w:sz="24" w:space="0" w:color="auto"/>
              <w:right w:val="single" w:sz="4" w:space="0" w:color="auto"/>
            </w:tcBorders>
            <w:shd w:val="clear" w:color="auto" w:fill="FFFFFF"/>
            <w:vAlign w:val="center"/>
          </w:tcPr>
          <w:p w:rsidR="0021531C" w:rsidRPr="001F29F9" w:rsidRDefault="0021531C" w:rsidP="00D65FAB">
            <w:pPr>
              <w:spacing w:line="220" w:lineRule="exact"/>
              <w:contextualSpacing/>
              <w:jc w:val="left"/>
              <w:rPr>
                <w:rFonts w:cs="Calibri"/>
                <w:color w:val="000000"/>
                <w:sz w:val="18"/>
              </w:rPr>
            </w:pPr>
            <w:r w:rsidRPr="001F29F9">
              <w:rPr>
                <w:color w:val="000000"/>
                <w:sz w:val="18"/>
              </w:rPr>
              <w:t>Right Shoulder Strain</w:t>
            </w:r>
          </w:p>
        </w:tc>
        <w:tc>
          <w:tcPr>
            <w:tcW w:w="1080" w:type="dxa"/>
            <w:tcBorders>
              <w:left w:val="single" w:sz="4" w:space="0" w:color="auto"/>
            </w:tcBorders>
            <w:shd w:val="clear" w:color="auto" w:fill="FFFFFF"/>
            <w:vAlign w:val="center"/>
          </w:tcPr>
          <w:p w:rsidR="0021531C" w:rsidRPr="001F29F9" w:rsidRDefault="0021531C" w:rsidP="00D65FAB">
            <w:pPr>
              <w:spacing w:line="220" w:lineRule="exact"/>
              <w:contextualSpacing/>
              <w:rPr>
                <w:rFonts w:cs="Calibri"/>
                <w:color w:val="000000"/>
                <w:sz w:val="18"/>
              </w:rPr>
            </w:pPr>
            <w:r w:rsidRPr="001F29F9">
              <w:rPr>
                <w:color w:val="000000"/>
                <w:sz w:val="18"/>
              </w:rPr>
              <w:t>5201-5024</w:t>
            </w:r>
          </w:p>
        </w:tc>
        <w:tc>
          <w:tcPr>
            <w:tcW w:w="810" w:type="dxa"/>
            <w:shd w:val="clear" w:color="auto" w:fill="FFFFFF"/>
            <w:vAlign w:val="center"/>
          </w:tcPr>
          <w:p w:rsidR="0021531C" w:rsidRPr="001F29F9" w:rsidRDefault="0021531C" w:rsidP="00D65FAB">
            <w:pPr>
              <w:spacing w:line="220" w:lineRule="exact"/>
              <w:contextualSpacing/>
              <w:rPr>
                <w:rFonts w:cs="Calibri"/>
                <w:color w:val="000000"/>
                <w:sz w:val="18"/>
              </w:rPr>
            </w:pPr>
            <w:r w:rsidRPr="001F29F9">
              <w:rPr>
                <w:color w:val="000000"/>
                <w:sz w:val="18"/>
              </w:rPr>
              <w:t>10%</w:t>
            </w:r>
          </w:p>
        </w:tc>
        <w:tc>
          <w:tcPr>
            <w:tcW w:w="1170" w:type="dxa"/>
            <w:shd w:val="clear" w:color="auto" w:fill="FFFFFF"/>
            <w:vAlign w:val="center"/>
          </w:tcPr>
          <w:p w:rsidR="0021531C" w:rsidRPr="00435384" w:rsidRDefault="0021531C" w:rsidP="00D65FAB">
            <w:pPr>
              <w:spacing w:line="220" w:lineRule="exact"/>
              <w:contextualSpacing/>
              <w:rPr>
                <w:rFonts w:cs="Calibri"/>
                <w:color w:val="000000"/>
                <w:sz w:val="18"/>
              </w:rPr>
            </w:pPr>
            <w:r w:rsidRPr="00435384">
              <w:rPr>
                <w:color w:val="000000"/>
                <w:sz w:val="18"/>
              </w:rPr>
              <w:t>20080627</w:t>
            </w:r>
          </w:p>
        </w:tc>
      </w:tr>
      <w:tr w:rsidR="0021531C" w:rsidRPr="000D5DBE" w:rsidTr="00D65FAB">
        <w:trPr>
          <w:trHeight w:val="93"/>
          <w:jc w:val="center"/>
        </w:trPr>
        <w:tc>
          <w:tcPr>
            <w:tcW w:w="4140" w:type="dxa"/>
            <w:gridSpan w:val="3"/>
            <w:vMerge/>
            <w:tcBorders>
              <w:right w:val="thinThickThinSmallGap" w:sz="24" w:space="0" w:color="auto"/>
            </w:tcBorders>
            <w:shd w:val="clear" w:color="auto" w:fill="FFFFFF"/>
            <w:vAlign w:val="center"/>
          </w:tcPr>
          <w:p w:rsidR="0021531C" w:rsidRPr="001F29F9" w:rsidRDefault="0021531C" w:rsidP="00D65FAB">
            <w:pPr>
              <w:spacing w:line="220" w:lineRule="exact"/>
              <w:contextualSpacing/>
              <w:rPr>
                <w:rFonts w:cs="Calibri"/>
                <w:color w:val="000000"/>
                <w:sz w:val="18"/>
                <w:highlight w:val="yellow"/>
              </w:rPr>
            </w:pPr>
          </w:p>
        </w:tc>
        <w:tc>
          <w:tcPr>
            <w:tcW w:w="2160" w:type="dxa"/>
            <w:tcBorders>
              <w:left w:val="thinThickThinSmallGap" w:sz="24" w:space="0" w:color="auto"/>
              <w:right w:val="single" w:sz="4" w:space="0" w:color="auto"/>
            </w:tcBorders>
            <w:shd w:val="clear" w:color="auto" w:fill="FFFFFF"/>
            <w:vAlign w:val="center"/>
          </w:tcPr>
          <w:p w:rsidR="0021531C" w:rsidRPr="001F29F9" w:rsidRDefault="0021531C" w:rsidP="00D65FAB">
            <w:pPr>
              <w:spacing w:line="220" w:lineRule="exact"/>
              <w:contextualSpacing/>
              <w:jc w:val="left"/>
              <w:rPr>
                <w:rFonts w:cs="Calibri"/>
                <w:color w:val="000000"/>
                <w:sz w:val="18"/>
              </w:rPr>
            </w:pPr>
            <w:r w:rsidRPr="001F29F9">
              <w:rPr>
                <w:color w:val="000000"/>
                <w:sz w:val="18"/>
              </w:rPr>
              <w:t>Bilateral Tinnitus</w:t>
            </w:r>
          </w:p>
        </w:tc>
        <w:tc>
          <w:tcPr>
            <w:tcW w:w="1080" w:type="dxa"/>
            <w:tcBorders>
              <w:left w:val="single" w:sz="4" w:space="0" w:color="auto"/>
            </w:tcBorders>
            <w:shd w:val="clear" w:color="auto" w:fill="FFFFFF"/>
            <w:vAlign w:val="center"/>
          </w:tcPr>
          <w:p w:rsidR="0021531C" w:rsidRPr="001F29F9" w:rsidRDefault="0021531C" w:rsidP="00D65FAB">
            <w:pPr>
              <w:spacing w:line="220" w:lineRule="exact"/>
              <w:contextualSpacing/>
              <w:rPr>
                <w:rFonts w:cs="Calibri"/>
                <w:color w:val="000000"/>
                <w:sz w:val="18"/>
              </w:rPr>
            </w:pPr>
            <w:r w:rsidRPr="001F29F9">
              <w:rPr>
                <w:color w:val="000000"/>
                <w:sz w:val="18"/>
              </w:rPr>
              <w:t xml:space="preserve">6260 </w:t>
            </w:r>
          </w:p>
        </w:tc>
        <w:tc>
          <w:tcPr>
            <w:tcW w:w="810" w:type="dxa"/>
            <w:shd w:val="clear" w:color="auto" w:fill="FFFFFF"/>
            <w:vAlign w:val="center"/>
          </w:tcPr>
          <w:p w:rsidR="0021531C" w:rsidRPr="001F29F9" w:rsidRDefault="0021531C" w:rsidP="00D65FAB">
            <w:pPr>
              <w:spacing w:line="220" w:lineRule="exact"/>
              <w:contextualSpacing/>
              <w:rPr>
                <w:rFonts w:cs="Calibri"/>
                <w:color w:val="000000"/>
                <w:sz w:val="18"/>
              </w:rPr>
            </w:pPr>
            <w:r w:rsidRPr="001F29F9">
              <w:rPr>
                <w:color w:val="000000"/>
                <w:sz w:val="18"/>
              </w:rPr>
              <w:t>10%</w:t>
            </w:r>
          </w:p>
        </w:tc>
        <w:tc>
          <w:tcPr>
            <w:tcW w:w="1170" w:type="dxa"/>
            <w:shd w:val="clear" w:color="auto" w:fill="FFFFFF"/>
            <w:vAlign w:val="center"/>
          </w:tcPr>
          <w:p w:rsidR="0021531C" w:rsidRPr="00435384" w:rsidRDefault="0021531C" w:rsidP="00D65FAB">
            <w:pPr>
              <w:spacing w:line="220" w:lineRule="exact"/>
              <w:contextualSpacing/>
              <w:rPr>
                <w:rFonts w:cs="Calibri"/>
                <w:color w:val="000000"/>
                <w:sz w:val="18"/>
              </w:rPr>
            </w:pPr>
            <w:r w:rsidRPr="00435384">
              <w:rPr>
                <w:color w:val="000000"/>
                <w:sz w:val="18"/>
              </w:rPr>
              <w:t>20080627</w:t>
            </w:r>
          </w:p>
        </w:tc>
      </w:tr>
      <w:tr w:rsidR="0021531C" w:rsidRPr="000D5DBE" w:rsidTr="00D65FAB">
        <w:trPr>
          <w:trHeight w:val="84"/>
          <w:jc w:val="center"/>
        </w:trPr>
        <w:tc>
          <w:tcPr>
            <w:tcW w:w="4140" w:type="dxa"/>
            <w:gridSpan w:val="3"/>
            <w:vMerge/>
            <w:tcBorders>
              <w:right w:val="thinThickThinSmallGap" w:sz="24" w:space="0" w:color="auto"/>
            </w:tcBorders>
            <w:shd w:val="clear" w:color="auto" w:fill="FFFFFF"/>
            <w:vAlign w:val="center"/>
          </w:tcPr>
          <w:p w:rsidR="0021531C" w:rsidRPr="001F29F9" w:rsidRDefault="0021531C" w:rsidP="00D65FAB">
            <w:pPr>
              <w:spacing w:line="220" w:lineRule="exact"/>
              <w:contextualSpacing/>
              <w:rPr>
                <w:rFonts w:cs="Calibri"/>
                <w:color w:val="000000"/>
                <w:sz w:val="18"/>
              </w:rPr>
            </w:pPr>
          </w:p>
        </w:tc>
        <w:tc>
          <w:tcPr>
            <w:tcW w:w="2160" w:type="dxa"/>
            <w:tcBorders>
              <w:left w:val="thinThickThinSmallGap" w:sz="24" w:space="0" w:color="auto"/>
              <w:right w:val="single" w:sz="4" w:space="0" w:color="auto"/>
            </w:tcBorders>
            <w:shd w:val="clear" w:color="auto" w:fill="FFFFFF"/>
            <w:vAlign w:val="center"/>
          </w:tcPr>
          <w:p w:rsidR="0021531C" w:rsidRPr="001F29F9" w:rsidRDefault="0021531C" w:rsidP="00D65FAB">
            <w:pPr>
              <w:spacing w:line="220" w:lineRule="exact"/>
              <w:contextualSpacing/>
              <w:jc w:val="left"/>
              <w:rPr>
                <w:rFonts w:cs="Calibri"/>
                <w:color w:val="000000"/>
                <w:sz w:val="18"/>
              </w:rPr>
            </w:pPr>
            <w:r w:rsidRPr="001F29F9">
              <w:rPr>
                <w:color w:val="000000"/>
                <w:sz w:val="18"/>
              </w:rPr>
              <w:t xml:space="preserve">Anxiety Disorder </w:t>
            </w:r>
            <w:r w:rsidR="005129B6">
              <w:rPr>
                <w:color w:val="000000"/>
                <w:sz w:val="18"/>
              </w:rPr>
              <w:t>…</w:t>
            </w:r>
          </w:p>
        </w:tc>
        <w:tc>
          <w:tcPr>
            <w:tcW w:w="1080" w:type="dxa"/>
            <w:tcBorders>
              <w:left w:val="single" w:sz="4" w:space="0" w:color="auto"/>
              <w:right w:val="single" w:sz="4" w:space="0" w:color="auto"/>
            </w:tcBorders>
            <w:shd w:val="clear" w:color="auto" w:fill="FFFFFF"/>
            <w:vAlign w:val="center"/>
          </w:tcPr>
          <w:p w:rsidR="0021531C" w:rsidRPr="001F29F9" w:rsidRDefault="0021531C" w:rsidP="00D65FAB">
            <w:pPr>
              <w:spacing w:line="220" w:lineRule="exact"/>
              <w:contextualSpacing/>
              <w:rPr>
                <w:rFonts w:cs="Calibri"/>
                <w:color w:val="000000"/>
                <w:sz w:val="18"/>
              </w:rPr>
            </w:pPr>
            <w:r w:rsidRPr="001F29F9">
              <w:rPr>
                <w:color w:val="000000"/>
                <w:sz w:val="18"/>
              </w:rPr>
              <w:t>9413</w:t>
            </w:r>
          </w:p>
        </w:tc>
        <w:tc>
          <w:tcPr>
            <w:tcW w:w="810" w:type="dxa"/>
            <w:tcBorders>
              <w:left w:val="single" w:sz="4" w:space="0" w:color="auto"/>
            </w:tcBorders>
            <w:shd w:val="clear" w:color="auto" w:fill="FFFFFF"/>
            <w:vAlign w:val="center"/>
          </w:tcPr>
          <w:p w:rsidR="0021531C" w:rsidRPr="001F29F9" w:rsidRDefault="0021531C" w:rsidP="00D65FAB">
            <w:pPr>
              <w:spacing w:line="220" w:lineRule="exact"/>
              <w:contextualSpacing/>
              <w:rPr>
                <w:rFonts w:cs="Calibri"/>
                <w:color w:val="000000"/>
                <w:sz w:val="18"/>
              </w:rPr>
            </w:pPr>
            <w:r w:rsidRPr="001F29F9">
              <w:rPr>
                <w:color w:val="000000"/>
                <w:sz w:val="18"/>
              </w:rPr>
              <w:t>10%</w:t>
            </w:r>
          </w:p>
        </w:tc>
        <w:tc>
          <w:tcPr>
            <w:tcW w:w="1170" w:type="dxa"/>
            <w:shd w:val="clear" w:color="auto" w:fill="FFFFFF"/>
            <w:vAlign w:val="center"/>
          </w:tcPr>
          <w:p w:rsidR="0021531C" w:rsidRPr="00435384" w:rsidRDefault="0021531C" w:rsidP="00D65FAB">
            <w:pPr>
              <w:spacing w:line="220" w:lineRule="exact"/>
              <w:contextualSpacing/>
              <w:rPr>
                <w:rFonts w:cs="Calibri"/>
                <w:color w:val="000000"/>
                <w:sz w:val="18"/>
              </w:rPr>
            </w:pPr>
            <w:r w:rsidRPr="00435384">
              <w:rPr>
                <w:color w:val="000000"/>
                <w:sz w:val="18"/>
              </w:rPr>
              <w:t>20080630</w:t>
            </w:r>
          </w:p>
        </w:tc>
      </w:tr>
      <w:tr w:rsidR="0021531C" w:rsidRPr="000D5DBE" w:rsidTr="00D65FAB">
        <w:trPr>
          <w:trHeight w:val="66"/>
          <w:jc w:val="center"/>
        </w:trPr>
        <w:tc>
          <w:tcPr>
            <w:tcW w:w="4140" w:type="dxa"/>
            <w:gridSpan w:val="3"/>
            <w:vMerge/>
            <w:tcBorders>
              <w:right w:val="thinThickThinSmallGap" w:sz="24" w:space="0" w:color="auto"/>
            </w:tcBorders>
            <w:shd w:val="clear" w:color="auto" w:fill="FFFFFF"/>
            <w:vAlign w:val="center"/>
          </w:tcPr>
          <w:p w:rsidR="0021531C" w:rsidRPr="001F29F9" w:rsidRDefault="0021531C" w:rsidP="00D65FAB">
            <w:pPr>
              <w:spacing w:line="220" w:lineRule="exact"/>
              <w:contextualSpacing/>
              <w:rPr>
                <w:rFonts w:cs="Calibri"/>
                <w:color w:val="000000"/>
                <w:sz w:val="18"/>
              </w:rPr>
            </w:pPr>
          </w:p>
        </w:tc>
        <w:tc>
          <w:tcPr>
            <w:tcW w:w="4050" w:type="dxa"/>
            <w:gridSpan w:val="3"/>
            <w:tcBorders>
              <w:left w:val="thinThickThinSmallGap" w:sz="24" w:space="0" w:color="auto"/>
            </w:tcBorders>
            <w:shd w:val="clear" w:color="auto" w:fill="FFFFFF"/>
            <w:vAlign w:val="center"/>
          </w:tcPr>
          <w:p w:rsidR="0021531C" w:rsidRPr="001F29F9" w:rsidRDefault="0021531C" w:rsidP="00D65FAB">
            <w:pPr>
              <w:spacing w:line="220" w:lineRule="exact"/>
              <w:contextualSpacing/>
              <w:rPr>
                <w:rFonts w:cs="Calibri"/>
                <w:color w:val="000000"/>
                <w:sz w:val="18"/>
              </w:rPr>
            </w:pPr>
            <w:r w:rsidRPr="000D5DBE">
              <w:rPr>
                <w:color w:val="000000"/>
                <w:sz w:val="18"/>
              </w:rPr>
              <w:t>0% x 2</w:t>
            </w:r>
            <w:r w:rsidR="005129B6">
              <w:rPr>
                <w:color w:val="000000"/>
                <w:sz w:val="18"/>
              </w:rPr>
              <w:t xml:space="preserve"> </w:t>
            </w:r>
            <w:r w:rsidRPr="000D5DBE">
              <w:rPr>
                <w:color w:val="000000"/>
                <w:sz w:val="18"/>
              </w:rPr>
              <w:t>/</w:t>
            </w:r>
            <w:r w:rsidR="005129B6">
              <w:rPr>
                <w:color w:val="000000"/>
                <w:sz w:val="18"/>
              </w:rPr>
              <w:t xml:space="preserve"> </w:t>
            </w:r>
            <w:r w:rsidRPr="000D5DBE">
              <w:rPr>
                <w:color w:val="000000"/>
                <w:sz w:val="18"/>
              </w:rPr>
              <w:t>Not Service Connected x 2</w:t>
            </w:r>
          </w:p>
        </w:tc>
        <w:tc>
          <w:tcPr>
            <w:tcW w:w="1170" w:type="dxa"/>
            <w:shd w:val="clear" w:color="auto" w:fill="FFFFFF"/>
            <w:vAlign w:val="center"/>
          </w:tcPr>
          <w:p w:rsidR="0021531C" w:rsidRPr="001F29F9" w:rsidRDefault="0021531C" w:rsidP="00D65FAB">
            <w:pPr>
              <w:spacing w:line="220" w:lineRule="exact"/>
              <w:contextualSpacing/>
              <w:rPr>
                <w:rFonts w:cs="Calibri"/>
                <w:color w:val="000000"/>
                <w:sz w:val="18"/>
                <w:highlight w:val="yellow"/>
              </w:rPr>
            </w:pPr>
            <w:r w:rsidRPr="000D5DBE">
              <w:rPr>
                <w:color w:val="000000"/>
                <w:sz w:val="18"/>
              </w:rPr>
              <w:t>20080627</w:t>
            </w:r>
          </w:p>
        </w:tc>
      </w:tr>
      <w:tr w:rsidR="0021531C" w:rsidRPr="000D5DBE" w:rsidTr="00D65FAB">
        <w:trPr>
          <w:trHeight w:val="66"/>
          <w:jc w:val="center"/>
        </w:trPr>
        <w:tc>
          <w:tcPr>
            <w:tcW w:w="4140" w:type="dxa"/>
            <w:gridSpan w:val="3"/>
            <w:tcBorders>
              <w:right w:val="thinThickThinSmallGap" w:sz="24" w:space="0" w:color="auto"/>
            </w:tcBorders>
            <w:shd w:val="clear" w:color="auto" w:fill="D9D9D9"/>
          </w:tcPr>
          <w:p w:rsidR="0021531C" w:rsidRPr="000D5DBE" w:rsidRDefault="0021531C" w:rsidP="00D65FAB">
            <w:pPr>
              <w:contextualSpacing/>
              <w:rPr>
                <w:rFonts w:cs="Calibri"/>
                <w:b/>
                <w:color w:val="000000"/>
                <w:sz w:val="18"/>
              </w:rPr>
            </w:pPr>
            <w:r w:rsidRPr="000D5DBE">
              <w:rPr>
                <w:b/>
                <w:color w:val="000000"/>
                <w:sz w:val="18"/>
              </w:rPr>
              <w:t>Combined:  10%</w:t>
            </w:r>
          </w:p>
        </w:tc>
        <w:tc>
          <w:tcPr>
            <w:tcW w:w="5220" w:type="dxa"/>
            <w:gridSpan w:val="4"/>
            <w:tcBorders>
              <w:left w:val="thinThickThinSmallGap" w:sz="24" w:space="0" w:color="auto"/>
            </w:tcBorders>
            <w:shd w:val="clear" w:color="auto" w:fill="D9D9D9"/>
          </w:tcPr>
          <w:p w:rsidR="0021531C" w:rsidRPr="000D5DBE" w:rsidRDefault="0021531C" w:rsidP="00D65FAB">
            <w:pPr>
              <w:contextualSpacing/>
              <w:rPr>
                <w:rFonts w:cs="Calibri"/>
                <w:b/>
                <w:color w:val="000000"/>
                <w:sz w:val="18"/>
              </w:rPr>
            </w:pPr>
            <w:r w:rsidRPr="000D5DBE">
              <w:rPr>
                <w:b/>
                <w:color w:val="000000"/>
                <w:sz w:val="18"/>
              </w:rPr>
              <w:t>Combined:  40%</w:t>
            </w:r>
          </w:p>
        </w:tc>
      </w:tr>
    </w:tbl>
    <w:p w:rsidR="0021531C" w:rsidRPr="001F29F9" w:rsidRDefault="0021531C" w:rsidP="00A97CD9">
      <w:pPr>
        <w:pBdr>
          <w:bottom w:val="single" w:sz="12" w:space="1" w:color="auto"/>
        </w:pBdr>
        <w:tabs>
          <w:tab w:val="left" w:pos="288"/>
          <w:tab w:val="left" w:pos="4752"/>
        </w:tabs>
        <w:jc w:val="both"/>
        <w:rPr>
          <w:color w:val="000000"/>
        </w:rPr>
      </w:pPr>
    </w:p>
    <w:p w:rsidR="0021531C" w:rsidRPr="001F29F9" w:rsidRDefault="0021531C" w:rsidP="00435384">
      <w:pPr>
        <w:jc w:val="both"/>
        <w:rPr>
          <w:color w:val="000000"/>
          <w:u w:val="single"/>
        </w:rPr>
      </w:pPr>
    </w:p>
    <w:p w:rsidR="0021531C" w:rsidRPr="006D39D9" w:rsidRDefault="0021531C" w:rsidP="00AF1DBB">
      <w:pPr>
        <w:jc w:val="both"/>
        <w:rPr>
          <w:color w:val="000000"/>
        </w:rPr>
      </w:pPr>
      <w:r w:rsidRPr="001F29F9">
        <w:rPr>
          <w:color w:val="000000"/>
          <w:u w:val="single"/>
        </w:rPr>
        <w:lastRenderedPageBreak/>
        <w:t>ANALYSIS SUMMARY</w:t>
      </w:r>
      <w:r w:rsidRPr="001F29F9">
        <w:rPr>
          <w:color w:val="000000"/>
        </w:rPr>
        <w:t>:</w:t>
      </w:r>
      <w:r>
        <w:rPr>
          <w:color w:val="000000"/>
        </w:rPr>
        <w:t xml:space="preserve">  </w:t>
      </w:r>
      <w:r w:rsidRPr="006D39D9">
        <w:rPr>
          <w:color w:val="000000"/>
        </w:rPr>
        <w:t>The Board acknowledges the CI’s contention suggesting that service ratings should have been conferred for other conditions documented at the time of separation. The Board wishes to clarify that it i</w:t>
      </w:r>
      <w:r w:rsidR="00BA0ED9">
        <w:rPr>
          <w:color w:val="000000"/>
        </w:rPr>
        <w:t>s subject to the same laws for S</w:t>
      </w:r>
      <w:r w:rsidRPr="006D39D9">
        <w:rPr>
          <w:color w:val="000000"/>
        </w:rPr>
        <w:t xml:space="preserve">ervice disability entitlements as those under which the Disability Evaluation System (DES) operates.  While the DES considers all of the </w:t>
      </w:r>
      <w:r w:rsidR="00BA0ED9">
        <w:rPr>
          <w:color w:val="000000"/>
        </w:rPr>
        <w:t>S</w:t>
      </w:r>
      <w:r w:rsidRPr="006D39D9">
        <w:rPr>
          <w:color w:val="000000"/>
        </w:rPr>
        <w:t xml:space="preserve">ervice member's medical conditions, compensation can only be offered for those medical conditions that cut short a </w:t>
      </w:r>
      <w:r w:rsidR="00BA0ED9">
        <w:rPr>
          <w:color w:val="000000"/>
        </w:rPr>
        <w:t>S</w:t>
      </w:r>
      <w:r w:rsidRPr="006D39D9">
        <w:rPr>
          <w:color w:val="000000"/>
        </w:rPr>
        <w:t>ervice member’s career, and then only to the degree of severity present at the time of final disposition.  However the Department of Veteran</w:t>
      </w:r>
      <w:r w:rsidR="00BA0ED9">
        <w:rPr>
          <w:color w:val="000000"/>
        </w:rPr>
        <w:t>s’</w:t>
      </w:r>
      <w:r w:rsidRPr="006D39D9">
        <w:rPr>
          <w:color w:val="000000"/>
        </w:rPr>
        <w:t xml:space="preserve"> Affairs (DVA), operating under a different set of laws (Title 38, United States Code), is empowered to compensate all service</w:t>
      </w:r>
      <w:r w:rsidR="00BA0ED9">
        <w:rPr>
          <w:color w:val="000000"/>
        </w:rPr>
        <w:t>-</w:t>
      </w:r>
      <w:r w:rsidRPr="006D39D9">
        <w:rPr>
          <w:color w:val="000000"/>
        </w:rPr>
        <w:t>connected conditions and to periodically reevaluate said conditions fo</w:t>
      </w:r>
      <w:r w:rsidR="00BA0ED9">
        <w:rPr>
          <w:color w:val="000000"/>
        </w:rPr>
        <w:t>r the purpose of adjusting the V</w:t>
      </w:r>
      <w:r w:rsidRPr="006D39D9">
        <w:rPr>
          <w:color w:val="000000"/>
        </w:rPr>
        <w:t>eteran</w:t>
      </w:r>
      <w:r w:rsidR="00BA0ED9">
        <w:rPr>
          <w:color w:val="000000"/>
        </w:rPr>
        <w:t xml:space="preserve">’s disability rating should the </w:t>
      </w:r>
      <w:r w:rsidRPr="006D39D9">
        <w:rPr>
          <w:color w:val="000000"/>
        </w:rPr>
        <w:t>degree of impairment vary over time.</w:t>
      </w:r>
    </w:p>
    <w:p w:rsidR="000E22D2" w:rsidRPr="006D39D9" w:rsidRDefault="000E22D2" w:rsidP="00AF1DBB">
      <w:pPr>
        <w:jc w:val="both"/>
        <w:rPr>
          <w:color w:val="000000"/>
        </w:rPr>
      </w:pPr>
    </w:p>
    <w:p w:rsidR="000E22D2" w:rsidRPr="006D39D9" w:rsidRDefault="000E22D2" w:rsidP="000E22D2">
      <w:pPr>
        <w:tabs>
          <w:tab w:val="left" w:pos="288"/>
          <w:tab w:val="left" w:pos="4752"/>
        </w:tabs>
        <w:jc w:val="both"/>
        <w:rPr>
          <w:rFonts w:eastAsia="Calibri" w:cs="Times New Roman"/>
          <w:color w:val="auto"/>
          <w:szCs w:val="24"/>
        </w:rPr>
      </w:pPr>
      <w:r w:rsidRPr="006D39D9">
        <w:rPr>
          <w:color w:val="000000"/>
        </w:rPr>
        <w:t xml:space="preserve">The Board further notes the CI’s understanding that he was denied retirement based on time in service and pay grade relative to fellow soldiers; although, it is </w:t>
      </w:r>
      <w:r w:rsidR="0082466B" w:rsidRPr="006D39D9">
        <w:rPr>
          <w:color w:val="000000"/>
        </w:rPr>
        <w:t>suspected that the latter were</w:t>
      </w:r>
      <w:r w:rsidRPr="006D39D9">
        <w:rPr>
          <w:color w:val="000000"/>
        </w:rPr>
        <w:t xml:space="preserve"> on the basis of medical retirements; which are, of course, dependent upon the unfitting medical conditions and assigned disability ratings.  </w:t>
      </w:r>
      <w:r w:rsidRPr="006D39D9">
        <w:rPr>
          <w:rFonts w:eastAsia="Calibri" w:cs="Times New Roman"/>
          <w:color w:val="auto"/>
          <w:szCs w:val="24"/>
        </w:rPr>
        <w:t>By law</w:t>
      </w:r>
      <w:r w:rsidR="002B5606">
        <w:rPr>
          <w:rFonts w:eastAsia="Calibri" w:cs="Times New Roman"/>
          <w:color w:val="auto"/>
          <w:szCs w:val="24"/>
        </w:rPr>
        <w:t>,</w:t>
      </w:r>
      <w:r w:rsidRPr="006D39D9">
        <w:rPr>
          <w:rFonts w:eastAsia="Calibri" w:cs="Times New Roman"/>
          <w:color w:val="auto"/>
          <w:szCs w:val="24"/>
        </w:rPr>
        <w:t xml:space="preserve"> the Board</w:t>
      </w:r>
      <w:r w:rsidR="002B5606">
        <w:rPr>
          <w:rFonts w:eastAsia="Calibri" w:cs="Times New Roman"/>
          <w:color w:val="auto"/>
          <w:szCs w:val="24"/>
        </w:rPr>
        <w:t>’s</w:t>
      </w:r>
      <w:r w:rsidRPr="006D39D9">
        <w:rPr>
          <w:rFonts w:eastAsia="Calibri" w:cs="Times New Roman"/>
          <w:color w:val="auto"/>
          <w:szCs w:val="24"/>
        </w:rPr>
        <w:t xml:space="preserve"> authority is limited to making recommendation</w:t>
      </w:r>
      <w:r w:rsidR="0082466B" w:rsidRPr="006D39D9">
        <w:rPr>
          <w:rFonts w:eastAsia="Calibri" w:cs="Times New Roman"/>
          <w:color w:val="auto"/>
          <w:szCs w:val="24"/>
        </w:rPr>
        <w:t>s</w:t>
      </w:r>
      <w:r w:rsidRPr="006D39D9">
        <w:rPr>
          <w:rFonts w:eastAsia="Calibri" w:cs="Times New Roman"/>
          <w:color w:val="auto"/>
          <w:szCs w:val="24"/>
        </w:rPr>
        <w:t xml:space="preserve"> </w:t>
      </w:r>
      <w:r w:rsidR="0082466B" w:rsidRPr="006D39D9">
        <w:rPr>
          <w:rFonts w:eastAsia="Calibri" w:cs="Times New Roman"/>
          <w:color w:val="auto"/>
          <w:szCs w:val="24"/>
        </w:rPr>
        <w:t>for</w:t>
      </w:r>
      <w:r w:rsidRPr="006D39D9">
        <w:rPr>
          <w:rFonts w:eastAsia="Calibri" w:cs="Times New Roman"/>
          <w:color w:val="auto"/>
          <w:szCs w:val="24"/>
        </w:rPr>
        <w:t xml:space="preserve"> correcting disability determinations.  The actual correction of records and consequential entitlement determinations, based on length of service and pay grade, is the responsibility of the applicable Secretary and Accounting service.  The applicant's request will of course remain with the application as it is processed.  The Board will review all evidence at hand to assess the fairness of PEB rating determinations, compared to VASRD standards, based on severity at the time of separation.</w:t>
      </w:r>
    </w:p>
    <w:p w:rsidR="0021531C" w:rsidRPr="006D39D9" w:rsidRDefault="0021531C" w:rsidP="009369A6">
      <w:pPr>
        <w:jc w:val="left"/>
        <w:rPr>
          <w:color w:val="000000"/>
          <w:u w:val="single"/>
        </w:rPr>
      </w:pPr>
    </w:p>
    <w:p w:rsidR="0021531C" w:rsidRPr="003C53E8" w:rsidRDefault="000E22D2" w:rsidP="00435384">
      <w:pPr>
        <w:jc w:val="both"/>
        <w:rPr>
          <w:rFonts w:cs="Times New Roman"/>
          <w:color w:val="auto"/>
        </w:rPr>
      </w:pPr>
      <w:proofErr w:type="gramStart"/>
      <w:r w:rsidRPr="006D39D9">
        <w:rPr>
          <w:color w:val="000000"/>
          <w:u w:val="single"/>
        </w:rPr>
        <w:t>Lumbar Spine</w:t>
      </w:r>
      <w:r w:rsidR="0021531C" w:rsidRPr="006D39D9">
        <w:rPr>
          <w:color w:val="000000"/>
          <w:u w:val="single"/>
        </w:rPr>
        <w:t xml:space="preserve"> Condition.</w:t>
      </w:r>
      <w:proofErr w:type="gramEnd"/>
      <w:r w:rsidR="0021531C" w:rsidRPr="006D39D9">
        <w:rPr>
          <w:color w:val="auto"/>
        </w:rPr>
        <w:t xml:space="preserve">  The CI </w:t>
      </w:r>
      <w:r w:rsidR="00B838A4" w:rsidRPr="006D39D9">
        <w:rPr>
          <w:color w:val="auto"/>
        </w:rPr>
        <w:t>had pre-existing</w:t>
      </w:r>
      <w:r w:rsidR="0021531C" w:rsidRPr="006D39D9">
        <w:rPr>
          <w:color w:val="auto"/>
        </w:rPr>
        <w:t xml:space="preserve"> scoliosis </w:t>
      </w:r>
      <w:r w:rsidR="00B838A4" w:rsidRPr="006D39D9">
        <w:rPr>
          <w:color w:val="auto"/>
        </w:rPr>
        <w:t>with a history of</w:t>
      </w:r>
      <w:r w:rsidR="0021531C" w:rsidRPr="006D39D9">
        <w:rPr>
          <w:color w:val="auto"/>
        </w:rPr>
        <w:t xml:space="preserve"> back pain throughout his life.  He first complained of low back pain in the military when he wore full body armor while on duty in December 2005.  The pain was more significant</w:t>
      </w:r>
      <w:r w:rsidR="00B838A4" w:rsidRPr="006D39D9">
        <w:rPr>
          <w:color w:val="auto"/>
        </w:rPr>
        <w:t xml:space="preserve"> when he carried heavy loads.  The p</w:t>
      </w:r>
      <w:r w:rsidR="0021531C" w:rsidRPr="006D39D9">
        <w:rPr>
          <w:color w:val="auto"/>
        </w:rPr>
        <w:t xml:space="preserve">ain </w:t>
      </w:r>
      <w:r w:rsidR="006435CD" w:rsidRPr="006D39D9">
        <w:rPr>
          <w:color w:val="auto"/>
        </w:rPr>
        <w:t xml:space="preserve">distribution was low thoracic and </w:t>
      </w:r>
      <w:r w:rsidR="0021531C" w:rsidRPr="006D39D9">
        <w:rPr>
          <w:color w:val="auto"/>
        </w:rPr>
        <w:t>lumbar</w:t>
      </w:r>
      <w:r w:rsidR="006435CD" w:rsidRPr="006D39D9">
        <w:rPr>
          <w:color w:val="auto"/>
        </w:rPr>
        <w:t>, with occasional radiation to</w:t>
      </w:r>
      <w:r w:rsidR="0021531C" w:rsidRPr="006D39D9">
        <w:rPr>
          <w:color w:val="auto"/>
        </w:rPr>
        <w:t xml:space="preserve"> </w:t>
      </w:r>
      <w:r w:rsidR="006435CD" w:rsidRPr="006D39D9">
        <w:rPr>
          <w:color w:val="auto"/>
        </w:rPr>
        <w:t>the</w:t>
      </w:r>
      <w:r w:rsidR="0021531C" w:rsidRPr="006D39D9">
        <w:rPr>
          <w:color w:val="auto"/>
        </w:rPr>
        <w:t xml:space="preserve"> right posterior thigh.  Imaging </w:t>
      </w:r>
      <w:r w:rsidR="006435CD" w:rsidRPr="006D39D9">
        <w:rPr>
          <w:color w:val="auto"/>
        </w:rPr>
        <w:t>revealed</w:t>
      </w:r>
      <w:r w:rsidR="0021531C" w:rsidRPr="006D39D9">
        <w:rPr>
          <w:color w:val="auto"/>
        </w:rPr>
        <w:t xml:space="preserve"> thoracic </w:t>
      </w:r>
      <w:proofErr w:type="spellStart"/>
      <w:r w:rsidR="0021531C" w:rsidRPr="006D39D9">
        <w:rPr>
          <w:color w:val="auto"/>
        </w:rPr>
        <w:t>levocurvature</w:t>
      </w:r>
      <w:proofErr w:type="spellEnd"/>
      <w:r w:rsidR="006435CD" w:rsidRPr="006D39D9">
        <w:rPr>
          <w:color w:val="auto"/>
        </w:rPr>
        <w:t xml:space="preserve"> (left</w:t>
      </w:r>
      <w:r w:rsidR="0082466B" w:rsidRPr="006D39D9">
        <w:rPr>
          <w:color w:val="auto"/>
        </w:rPr>
        <w:t>ward</w:t>
      </w:r>
      <w:r w:rsidR="006435CD" w:rsidRPr="006D39D9">
        <w:rPr>
          <w:color w:val="auto"/>
        </w:rPr>
        <w:t xml:space="preserve"> scoliosis) </w:t>
      </w:r>
      <w:r w:rsidR="0021531C" w:rsidRPr="006D39D9">
        <w:rPr>
          <w:color w:val="auto"/>
        </w:rPr>
        <w:t xml:space="preserve">and </w:t>
      </w:r>
      <w:proofErr w:type="spellStart"/>
      <w:r w:rsidR="0021531C" w:rsidRPr="006D39D9">
        <w:rPr>
          <w:color w:val="auto"/>
        </w:rPr>
        <w:t>spondylolisthesis</w:t>
      </w:r>
      <w:proofErr w:type="spellEnd"/>
      <w:r w:rsidR="0021531C" w:rsidRPr="006D39D9">
        <w:rPr>
          <w:color w:val="auto"/>
        </w:rPr>
        <w:t xml:space="preserve"> </w:t>
      </w:r>
      <w:r w:rsidR="006435CD" w:rsidRPr="006D39D9">
        <w:rPr>
          <w:color w:val="auto"/>
        </w:rPr>
        <w:t xml:space="preserve">(vertebral slippage) </w:t>
      </w:r>
      <w:r w:rsidR="0021531C" w:rsidRPr="006D39D9">
        <w:rPr>
          <w:color w:val="auto"/>
        </w:rPr>
        <w:t xml:space="preserve">with </w:t>
      </w:r>
      <w:proofErr w:type="spellStart"/>
      <w:r w:rsidR="0021531C" w:rsidRPr="006D39D9">
        <w:rPr>
          <w:color w:val="auto"/>
        </w:rPr>
        <w:t>spondylolysis</w:t>
      </w:r>
      <w:proofErr w:type="spellEnd"/>
      <w:r w:rsidR="0021531C" w:rsidRPr="006D39D9">
        <w:rPr>
          <w:color w:val="auto"/>
        </w:rPr>
        <w:t xml:space="preserve"> </w:t>
      </w:r>
      <w:r w:rsidR="006435CD" w:rsidRPr="006D39D9">
        <w:rPr>
          <w:color w:val="auto"/>
        </w:rPr>
        <w:t xml:space="preserve">(facet degeneration) </w:t>
      </w:r>
      <w:r w:rsidR="0082466B" w:rsidRPr="006D39D9">
        <w:rPr>
          <w:color w:val="auto"/>
        </w:rPr>
        <w:t>and</w:t>
      </w:r>
      <w:r w:rsidR="006435CD" w:rsidRPr="006D39D9">
        <w:rPr>
          <w:color w:val="auto"/>
        </w:rPr>
        <w:t xml:space="preserve"> disc space </w:t>
      </w:r>
      <w:r w:rsidR="0021531C" w:rsidRPr="006D39D9">
        <w:rPr>
          <w:color w:val="auto"/>
        </w:rPr>
        <w:t xml:space="preserve">narrowing </w:t>
      </w:r>
      <w:r w:rsidR="0082466B" w:rsidRPr="006D39D9">
        <w:rPr>
          <w:color w:val="auto"/>
        </w:rPr>
        <w:t xml:space="preserve">at L5-S1 and </w:t>
      </w:r>
      <w:r w:rsidR="0021531C" w:rsidRPr="006D39D9">
        <w:rPr>
          <w:color w:val="auto"/>
        </w:rPr>
        <w:t>T12-L1</w:t>
      </w:r>
      <w:r w:rsidR="0021531C" w:rsidRPr="006D39D9">
        <w:rPr>
          <w:color w:val="000000"/>
        </w:rPr>
        <w:t xml:space="preserve">.  </w:t>
      </w:r>
      <w:proofErr w:type="spellStart"/>
      <w:r w:rsidR="006435CD" w:rsidRPr="006D39D9">
        <w:rPr>
          <w:color w:val="000000"/>
        </w:rPr>
        <w:t>Electrodiagnostic</w:t>
      </w:r>
      <w:proofErr w:type="spellEnd"/>
      <w:r w:rsidR="006435CD" w:rsidRPr="006D39D9">
        <w:rPr>
          <w:color w:val="000000"/>
        </w:rPr>
        <w:t xml:space="preserve"> studies were normal (no peripheral nerve deficits).  </w:t>
      </w:r>
      <w:r w:rsidR="0021531C" w:rsidRPr="006D39D9">
        <w:rPr>
          <w:color w:val="000000"/>
        </w:rPr>
        <w:t>The CI was treated with chiropractic care, physical therapy, a spine stabilization course, activity restrictions, and medications</w:t>
      </w:r>
      <w:r w:rsidR="006435CD" w:rsidRPr="006D39D9">
        <w:rPr>
          <w:color w:val="000000"/>
        </w:rPr>
        <w:t>; a</w:t>
      </w:r>
      <w:r w:rsidR="0021531C" w:rsidRPr="006D39D9">
        <w:rPr>
          <w:color w:val="000000"/>
        </w:rPr>
        <w:t xml:space="preserve">ll </w:t>
      </w:r>
      <w:r w:rsidR="006435CD" w:rsidRPr="006D39D9">
        <w:rPr>
          <w:color w:val="000000"/>
        </w:rPr>
        <w:t>with minimal</w:t>
      </w:r>
      <w:r w:rsidR="0021531C" w:rsidRPr="006D39D9">
        <w:rPr>
          <w:color w:val="000000"/>
        </w:rPr>
        <w:t xml:space="preserve"> relief.  There were </w:t>
      </w:r>
      <w:r w:rsidR="006435CD" w:rsidRPr="006D39D9">
        <w:rPr>
          <w:color w:val="000000"/>
        </w:rPr>
        <w:t>two</w:t>
      </w:r>
      <w:r w:rsidR="0021531C" w:rsidRPr="006D39D9">
        <w:rPr>
          <w:color w:val="000000"/>
        </w:rPr>
        <w:t xml:space="preserve"> goniometric </w:t>
      </w:r>
      <w:proofErr w:type="gramStart"/>
      <w:r w:rsidR="0021531C" w:rsidRPr="006D39D9">
        <w:rPr>
          <w:color w:val="000000"/>
        </w:rPr>
        <w:t>range</w:t>
      </w:r>
      <w:proofErr w:type="gramEnd"/>
      <w:r w:rsidR="0021531C" w:rsidRPr="006D39D9">
        <w:rPr>
          <w:color w:val="000000"/>
        </w:rPr>
        <w:t xml:space="preserve"> of motion (ROM) evaluations </w:t>
      </w:r>
      <w:r w:rsidR="00AC05B3" w:rsidRPr="006D39D9">
        <w:rPr>
          <w:color w:val="000000"/>
        </w:rPr>
        <w:t xml:space="preserve">and one non-goniometric ROM evaluation </w:t>
      </w:r>
      <w:r w:rsidR="0021531C" w:rsidRPr="006D39D9">
        <w:rPr>
          <w:color w:val="000000"/>
        </w:rPr>
        <w:t>in evidence, with documentation of additional ratable criteria, which the Board weighed in arriving at its rating recommendation</w:t>
      </w:r>
      <w:r w:rsidR="0021531C" w:rsidRPr="006D39D9">
        <w:rPr>
          <w:rFonts w:cs="Times New Roman"/>
          <w:color w:val="auto"/>
        </w:rPr>
        <w:t>.</w:t>
      </w:r>
      <w:r w:rsidR="006435CD" w:rsidRPr="006D39D9">
        <w:rPr>
          <w:rFonts w:cs="Times New Roman"/>
          <w:color w:val="auto"/>
        </w:rPr>
        <w:t xml:space="preserve">  These are summarized in the following chart.</w:t>
      </w:r>
    </w:p>
    <w:p w:rsidR="0021531C" w:rsidRPr="003C53E8" w:rsidRDefault="0021531C" w:rsidP="003C53E8">
      <w:pPr>
        <w:tabs>
          <w:tab w:val="left" w:pos="288"/>
          <w:tab w:val="left" w:pos="4752"/>
        </w:tabs>
        <w:jc w:val="left"/>
        <w:rPr>
          <w:rFonts w:cs="Times New Roman"/>
          <w:color w:val="auto"/>
        </w:rPr>
      </w:pPr>
    </w:p>
    <w:tbl>
      <w:tblPr>
        <w:tblW w:w="8817" w:type="dxa"/>
        <w:jc w:val="center"/>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2"/>
        <w:gridCol w:w="2115"/>
        <w:gridCol w:w="2160"/>
        <w:gridCol w:w="2380"/>
      </w:tblGrid>
      <w:tr w:rsidR="00A407E5" w:rsidRPr="000D5DBE" w:rsidTr="0047411B">
        <w:trPr>
          <w:trHeight w:val="197"/>
          <w:jc w:val="center"/>
        </w:trPr>
        <w:tc>
          <w:tcPr>
            <w:tcW w:w="2162" w:type="dxa"/>
            <w:shd w:val="clear" w:color="auto" w:fill="D9D9D9"/>
            <w:vAlign w:val="center"/>
          </w:tcPr>
          <w:p w:rsidR="0021531C" w:rsidRPr="003C53E8" w:rsidRDefault="0021531C" w:rsidP="0047411B">
            <w:pPr>
              <w:contextualSpacing/>
              <w:rPr>
                <w:rFonts w:cs="Times New Roman"/>
                <w:color w:val="auto"/>
                <w:sz w:val="22"/>
              </w:rPr>
            </w:pPr>
            <w:proofErr w:type="spellStart"/>
            <w:r w:rsidRPr="003C53E8">
              <w:rPr>
                <w:rFonts w:cs="Times New Roman"/>
                <w:color w:val="auto"/>
                <w:sz w:val="22"/>
              </w:rPr>
              <w:t>Thoracolumbar</w:t>
            </w:r>
            <w:proofErr w:type="spellEnd"/>
            <w:r w:rsidRPr="003C53E8">
              <w:rPr>
                <w:rFonts w:cs="Times New Roman"/>
                <w:color w:val="auto"/>
                <w:sz w:val="22"/>
              </w:rPr>
              <w:t xml:space="preserve"> ROM</w:t>
            </w:r>
          </w:p>
        </w:tc>
        <w:tc>
          <w:tcPr>
            <w:tcW w:w="2115" w:type="dxa"/>
            <w:shd w:val="clear" w:color="auto" w:fill="D9D9D9"/>
            <w:vAlign w:val="center"/>
          </w:tcPr>
          <w:p w:rsidR="0021531C" w:rsidRPr="003C53E8" w:rsidRDefault="00AC05B3" w:rsidP="0047411B">
            <w:pPr>
              <w:contextualSpacing/>
              <w:rPr>
                <w:rFonts w:cs="Times New Roman"/>
                <w:color w:val="auto"/>
                <w:sz w:val="22"/>
              </w:rPr>
            </w:pPr>
            <w:r>
              <w:rPr>
                <w:rFonts w:cs="Times New Roman"/>
                <w:color w:val="auto"/>
                <w:sz w:val="22"/>
              </w:rPr>
              <w:t>PT</w:t>
            </w:r>
            <w:r w:rsidR="0047411B">
              <w:rPr>
                <w:rFonts w:cs="Times New Roman"/>
                <w:color w:val="auto"/>
                <w:sz w:val="22"/>
              </w:rPr>
              <w:t xml:space="preserve"> ~</w:t>
            </w:r>
            <w:r w:rsidR="0021531C" w:rsidRPr="003C53E8">
              <w:rPr>
                <w:rFonts w:cs="Times New Roman"/>
                <w:color w:val="auto"/>
                <w:sz w:val="22"/>
              </w:rPr>
              <w:t>10 Mo</w:t>
            </w:r>
            <w:r w:rsidR="00A407E5">
              <w:rPr>
                <w:rFonts w:cs="Times New Roman"/>
                <w:color w:val="auto"/>
                <w:sz w:val="22"/>
              </w:rPr>
              <w:t>.</w:t>
            </w:r>
            <w:r w:rsidR="0021531C" w:rsidRPr="003C53E8">
              <w:rPr>
                <w:rFonts w:cs="Times New Roman"/>
                <w:color w:val="auto"/>
                <w:sz w:val="22"/>
              </w:rPr>
              <w:t xml:space="preserve"> Pre-Sep</w:t>
            </w:r>
          </w:p>
        </w:tc>
        <w:tc>
          <w:tcPr>
            <w:tcW w:w="2160" w:type="dxa"/>
            <w:shd w:val="clear" w:color="auto" w:fill="D9D9D9"/>
            <w:vAlign w:val="center"/>
          </w:tcPr>
          <w:p w:rsidR="0021531C" w:rsidRPr="003C53E8" w:rsidRDefault="0047411B" w:rsidP="0047411B">
            <w:pPr>
              <w:contextualSpacing/>
              <w:rPr>
                <w:rFonts w:cs="Times New Roman"/>
                <w:color w:val="auto"/>
                <w:sz w:val="22"/>
              </w:rPr>
            </w:pPr>
            <w:r>
              <w:rPr>
                <w:rFonts w:cs="Times New Roman"/>
                <w:color w:val="auto"/>
                <w:sz w:val="22"/>
              </w:rPr>
              <w:t>MEB ~</w:t>
            </w:r>
            <w:r w:rsidR="0021531C" w:rsidRPr="003C53E8">
              <w:rPr>
                <w:rFonts w:cs="Times New Roman"/>
                <w:color w:val="auto"/>
                <w:sz w:val="22"/>
              </w:rPr>
              <w:t>9 Mo</w:t>
            </w:r>
            <w:r w:rsidR="00A407E5">
              <w:rPr>
                <w:rFonts w:cs="Times New Roman"/>
                <w:color w:val="auto"/>
                <w:sz w:val="22"/>
              </w:rPr>
              <w:t>.</w:t>
            </w:r>
            <w:r w:rsidR="0021531C" w:rsidRPr="003C53E8">
              <w:rPr>
                <w:rFonts w:cs="Times New Roman"/>
                <w:color w:val="auto"/>
                <w:sz w:val="22"/>
              </w:rPr>
              <w:t xml:space="preserve"> Pre-Sep</w:t>
            </w:r>
          </w:p>
        </w:tc>
        <w:tc>
          <w:tcPr>
            <w:tcW w:w="2380" w:type="dxa"/>
            <w:shd w:val="clear" w:color="auto" w:fill="D9D9D9"/>
            <w:vAlign w:val="center"/>
          </w:tcPr>
          <w:p w:rsidR="0021531C" w:rsidRPr="003C53E8" w:rsidRDefault="0047411B" w:rsidP="0047411B">
            <w:pPr>
              <w:contextualSpacing/>
              <w:rPr>
                <w:rFonts w:cs="Times New Roman"/>
                <w:color w:val="auto"/>
                <w:sz w:val="22"/>
              </w:rPr>
            </w:pPr>
            <w:r>
              <w:rPr>
                <w:rFonts w:cs="Times New Roman"/>
                <w:color w:val="auto"/>
                <w:sz w:val="22"/>
              </w:rPr>
              <w:t>VA C&amp;P ~</w:t>
            </w:r>
            <w:r w:rsidR="0021531C" w:rsidRPr="003C53E8">
              <w:rPr>
                <w:rFonts w:cs="Times New Roman"/>
                <w:color w:val="auto"/>
                <w:sz w:val="22"/>
              </w:rPr>
              <w:t>2 Mo</w:t>
            </w:r>
            <w:r w:rsidR="00A407E5">
              <w:rPr>
                <w:rFonts w:cs="Times New Roman"/>
                <w:color w:val="auto"/>
                <w:sz w:val="22"/>
              </w:rPr>
              <w:t>.</w:t>
            </w:r>
            <w:r w:rsidR="0021531C" w:rsidRPr="003C53E8">
              <w:rPr>
                <w:rFonts w:cs="Times New Roman"/>
                <w:color w:val="auto"/>
                <w:sz w:val="22"/>
              </w:rPr>
              <w:t xml:space="preserve"> Pre-Sep</w:t>
            </w:r>
          </w:p>
        </w:tc>
      </w:tr>
      <w:tr w:rsidR="00A407E5" w:rsidRPr="000D5DBE" w:rsidTr="0047411B">
        <w:trPr>
          <w:trHeight w:val="48"/>
          <w:jc w:val="center"/>
        </w:trPr>
        <w:tc>
          <w:tcPr>
            <w:tcW w:w="2162" w:type="dxa"/>
            <w:vAlign w:val="center"/>
          </w:tcPr>
          <w:p w:rsidR="0021531C" w:rsidRPr="003C53E8" w:rsidRDefault="0047411B" w:rsidP="0047411B">
            <w:pPr>
              <w:contextualSpacing/>
              <w:rPr>
                <w:rFonts w:cs="Times New Roman"/>
                <w:color w:val="auto"/>
                <w:sz w:val="22"/>
              </w:rPr>
            </w:pPr>
            <w:r>
              <w:rPr>
                <w:rFonts w:cs="Times New Roman"/>
                <w:color w:val="auto"/>
                <w:sz w:val="22"/>
              </w:rPr>
              <w:t xml:space="preserve">Flexion (Normal </w:t>
            </w:r>
            <w:r w:rsidR="0021531C" w:rsidRPr="003C53E8">
              <w:rPr>
                <w:rFonts w:cs="Times New Roman"/>
                <w:color w:val="auto"/>
                <w:sz w:val="22"/>
              </w:rPr>
              <w:t>90⁰</w:t>
            </w:r>
            <w:r>
              <w:rPr>
                <w:rFonts w:cs="Times New Roman"/>
                <w:color w:val="auto"/>
                <w:sz w:val="22"/>
              </w:rPr>
              <w:t>)</w:t>
            </w:r>
          </w:p>
        </w:tc>
        <w:tc>
          <w:tcPr>
            <w:tcW w:w="2115" w:type="dxa"/>
            <w:vAlign w:val="center"/>
          </w:tcPr>
          <w:p w:rsidR="0021531C" w:rsidRPr="003C53E8" w:rsidRDefault="0021531C" w:rsidP="0047411B">
            <w:pPr>
              <w:contextualSpacing/>
              <w:rPr>
                <w:rFonts w:cs="Times New Roman"/>
                <w:color w:val="auto"/>
                <w:sz w:val="22"/>
              </w:rPr>
            </w:pPr>
            <w:r w:rsidRPr="003C53E8">
              <w:rPr>
                <w:rFonts w:cs="Times New Roman"/>
                <w:color w:val="auto"/>
                <w:sz w:val="22"/>
              </w:rPr>
              <w:t>70⁰</w:t>
            </w:r>
          </w:p>
        </w:tc>
        <w:tc>
          <w:tcPr>
            <w:tcW w:w="2160" w:type="dxa"/>
            <w:vAlign w:val="center"/>
          </w:tcPr>
          <w:p w:rsidR="0021531C" w:rsidRPr="003C53E8" w:rsidRDefault="00AC05B3" w:rsidP="0047411B">
            <w:pPr>
              <w:contextualSpacing/>
              <w:rPr>
                <w:rFonts w:cs="Times New Roman"/>
                <w:color w:val="auto"/>
                <w:sz w:val="22"/>
              </w:rPr>
            </w:pPr>
            <w:r>
              <w:rPr>
                <w:rFonts w:cs="Times New Roman"/>
                <w:color w:val="auto"/>
                <w:sz w:val="22"/>
              </w:rPr>
              <w:t>Full AROM</w:t>
            </w:r>
          </w:p>
        </w:tc>
        <w:tc>
          <w:tcPr>
            <w:tcW w:w="2380" w:type="dxa"/>
            <w:vAlign w:val="center"/>
          </w:tcPr>
          <w:p w:rsidR="0021531C" w:rsidRPr="003C53E8" w:rsidRDefault="0021531C" w:rsidP="0047411B">
            <w:pPr>
              <w:contextualSpacing/>
              <w:rPr>
                <w:rFonts w:cs="Times New Roman"/>
                <w:color w:val="auto"/>
                <w:sz w:val="22"/>
              </w:rPr>
            </w:pPr>
            <w:r w:rsidRPr="003C53E8">
              <w:rPr>
                <w:rFonts w:cs="Times New Roman"/>
                <w:color w:val="auto"/>
                <w:sz w:val="22"/>
              </w:rPr>
              <w:t>90⁰</w:t>
            </w:r>
          </w:p>
        </w:tc>
      </w:tr>
      <w:tr w:rsidR="00A407E5" w:rsidRPr="000D5DBE" w:rsidTr="0047411B">
        <w:trPr>
          <w:trHeight w:val="53"/>
          <w:jc w:val="center"/>
        </w:trPr>
        <w:tc>
          <w:tcPr>
            <w:tcW w:w="2162" w:type="dxa"/>
            <w:vAlign w:val="center"/>
          </w:tcPr>
          <w:p w:rsidR="0021531C" w:rsidRPr="003C53E8" w:rsidRDefault="0021531C" w:rsidP="0047411B">
            <w:pPr>
              <w:contextualSpacing/>
              <w:rPr>
                <w:rFonts w:cs="Times New Roman"/>
                <w:color w:val="auto"/>
                <w:sz w:val="22"/>
              </w:rPr>
            </w:pPr>
            <w:r w:rsidRPr="003C53E8">
              <w:rPr>
                <w:rFonts w:cs="Times New Roman"/>
                <w:color w:val="auto"/>
                <w:sz w:val="22"/>
              </w:rPr>
              <w:t xml:space="preserve">Combined </w:t>
            </w:r>
            <w:r w:rsidR="0047411B">
              <w:rPr>
                <w:rFonts w:cs="Times New Roman"/>
                <w:color w:val="auto"/>
                <w:sz w:val="22"/>
              </w:rPr>
              <w:t>(</w:t>
            </w:r>
            <w:r w:rsidRPr="003C53E8">
              <w:rPr>
                <w:rFonts w:cs="Times New Roman"/>
                <w:color w:val="auto"/>
                <w:sz w:val="22"/>
              </w:rPr>
              <w:t>240⁰</w:t>
            </w:r>
            <w:r w:rsidR="0047411B">
              <w:rPr>
                <w:rFonts w:cs="Times New Roman"/>
                <w:color w:val="auto"/>
                <w:sz w:val="22"/>
              </w:rPr>
              <w:t>)</w:t>
            </w:r>
          </w:p>
        </w:tc>
        <w:tc>
          <w:tcPr>
            <w:tcW w:w="2115" w:type="dxa"/>
            <w:vAlign w:val="center"/>
          </w:tcPr>
          <w:p w:rsidR="0021531C" w:rsidRPr="003C53E8" w:rsidRDefault="0021531C" w:rsidP="0047411B">
            <w:pPr>
              <w:contextualSpacing/>
              <w:rPr>
                <w:rFonts w:cs="Times New Roman"/>
                <w:color w:val="auto"/>
                <w:sz w:val="22"/>
              </w:rPr>
            </w:pPr>
            <w:r w:rsidRPr="003C53E8">
              <w:rPr>
                <w:rFonts w:cs="Times New Roman"/>
                <w:color w:val="auto"/>
                <w:sz w:val="22"/>
              </w:rPr>
              <w:t>210⁰</w:t>
            </w:r>
          </w:p>
        </w:tc>
        <w:tc>
          <w:tcPr>
            <w:tcW w:w="2160" w:type="dxa"/>
            <w:vAlign w:val="center"/>
          </w:tcPr>
          <w:p w:rsidR="0021531C" w:rsidRPr="003C53E8" w:rsidRDefault="00AC05B3" w:rsidP="0047411B">
            <w:pPr>
              <w:contextualSpacing/>
              <w:rPr>
                <w:rFonts w:cs="Times New Roman"/>
                <w:color w:val="auto"/>
                <w:sz w:val="22"/>
              </w:rPr>
            </w:pPr>
            <w:r>
              <w:rPr>
                <w:rFonts w:cs="Times New Roman"/>
                <w:color w:val="auto"/>
                <w:sz w:val="22"/>
              </w:rPr>
              <w:t>Full AROM</w:t>
            </w:r>
          </w:p>
        </w:tc>
        <w:tc>
          <w:tcPr>
            <w:tcW w:w="2380" w:type="dxa"/>
            <w:vAlign w:val="center"/>
          </w:tcPr>
          <w:p w:rsidR="0021531C" w:rsidRPr="003C53E8" w:rsidRDefault="0021531C" w:rsidP="0047411B">
            <w:pPr>
              <w:contextualSpacing/>
              <w:rPr>
                <w:rFonts w:cs="Times New Roman"/>
                <w:color w:val="auto"/>
                <w:sz w:val="22"/>
              </w:rPr>
            </w:pPr>
            <w:r w:rsidRPr="003C53E8">
              <w:rPr>
                <w:rFonts w:cs="Times New Roman"/>
                <w:color w:val="auto"/>
                <w:sz w:val="22"/>
              </w:rPr>
              <w:t>240⁰</w:t>
            </w:r>
          </w:p>
        </w:tc>
      </w:tr>
      <w:tr w:rsidR="00A407E5" w:rsidRPr="000D5DBE" w:rsidTr="0047411B">
        <w:trPr>
          <w:jc w:val="center"/>
        </w:trPr>
        <w:tc>
          <w:tcPr>
            <w:tcW w:w="2162" w:type="dxa"/>
            <w:vAlign w:val="center"/>
          </w:tcPr>
          <w:p w:rsidR="0021531C" w:rsidRPr="003C53E8" w:rsidRDefault="0021531C" w:rsidP="0047411B">
            <w:pPr>
              <w:tabs>
                <w:tab w:val="left" w:pos="288"/>
                <w:tab w:val="left" w:pos="4752"/>
              </w:tabs>
              <w:rPr>
                <w:rFonts w:cs="Times New Roman"/>
                <w:color w:val="auto"/>
                <w:sz w:val="22"/>
              </w:rPr>
            </w:pPr>
            <w:r w:rsidRPr="003C53E8">
              <w:rPr>
                <w:rFonts w:cs="Times New Roman"/>
                <w:color w:val="auto"/>
                <w:sz w:val="22"/>
              </w:rPr>
              <w:t>Comments</w:t>
            </w:r>
          </w:p>
        </w:tc>
        <w:tc>
          <w:tcPr>
            <w:tcW w:w="2115" w:type="dxa"/>
            <w:vAlign w:val="center"/>
          </w:tcPr>
          <w:p w:rsidR="0021531C" w:rsidRPr="003C53E8" w:rsidRDefault="0047411B" w:rsidP="0047411B">
            <w:pPr>
              <w:tabs>
                <w:tab w:val="left" w:pos="288"/>
                <w:tab w:val="left" w:pos="4752"/>
              </w:tabs>
              <w:rPr>
                <w:rFonts w:cs="Times New Roman"/>
                <w:color w:val="auto"/>
                <w:sz w:val="22"/>
              </w:rPr>
            </w:pPr>
            <w:r>
              <w:rPr>
                <w:rFonts w:cs="Times New Roman"/>
                <w:color w:val="auto"/>
                <w:sz w:val="22"/>
              </w:rPr>
              <w:t>Pain-limited</w:t>
            </w:r>
            <w:r w:rsidR="0021531C" w:rsidRPr="003C53E8">
              <w:rPr>
                <w:rFonts w:cs="Times New Roman"/>
                <w:color w:val="auto"/>
                <w:sz w:val="22"/>
              </w:rPr>
              <w:t xml:space="preserve"> motion.</w:t>
            </w:r>
          </w:p>
        </w:tc>
        <w:tc>
          <w:tcPr>
            <w:tcW w:w="2160" w:type="dxa"/>
            <w:vAlign w:val="center"/>
          </w:tcPr>
          <w:p w:rsidR="0021531C" w:rsidRPr="003C53E8" w:rsidRDefault="0047411B" w:rsidP="0047411B">
            <w:pPr>
              <w:tabs>
                <w:tab w:val="left" w:pos="288"/>
                <w:tab w:val="left" w:pos="4752"/>
              </w:tabs>
              <w:rPr>
                <w:rFonts w:cs="Times New Roman"/>
                <w:color w:val="auto"/>
                <w:sz w:val="22"/>
              </w:rPr>
            </w:pPr>
            <w:r>
              <w:rPr>
                <w:rFonts w:cs="Times New Roman"/>
                <w:color w:val="auto"/>
                <w:sz w:val="22"/>
              </w:rPr>
              <w:t>No painful motion</w:t>
            </w:r>
            <w:r w:rsidR="0021531C" w:rsidRPr="003C53E8">
              <w:rPr>
                <w:rFonts w:cs="Times New Roman"/>
                <w:color w:val="auto"/>
                <w:sz w:val="22"/>
              </w:rPr>
              <w:t>.</w:t>
            </w:r>
          </w:p>
        </w:tc>
        <w:tc>
          <w:tcPr>
            <w:tcW w:w="2380" w:type="dxa"/>
            <w:vAlign w:val="center"/>
          </w:tcPr>
          <w:p w:rsidR="0021531C" w:rsidRPr="003C53E8" w:rsidRDefault="0021531C" w:rsidP="0047411B">
            <w:pPr>
              <w:tabs>
                <w:tab w:val="left" w:pos="288"/>
                <w:tab w:val="left" w:pos="4752"/>
              </w:tabs>
              <w:rPr>
                <w:rFonts w:cs="Times New Roman"/>
                <w:color w:val="auto"/>
                <w:sz w:val="22"/>
              </w:rPr>
            </w:pPr>
            <w:r w:rsidRPr="003C53E8">
              <w:rPr>
                <w:rFonts w:cs="Times New Roman"/>
                <w:color w:val="auto"/>
                <w:sz w:val="22"/>
              </w:rPr>
              <w:t xml:space="preserve">Pain </w:t>
            </w:r>
            <w:r w:rsidR="0047411B">
              <w:rPr>
                <w:rFonts w:cs="Times New Roman"/>
                <w:color w:val="auto"/>
                <w:sz w:val="22"/>
              </w:rPr>
              <w:t>at end-</w:t>
            </w:r>
            <w:r w:rsidRPr="003C53E8">
              <w:rPr>
                <w:rFonts w:cs="Times New Roman"/>
                <w:color w:val="auto"/>
                <w:sz w:val="22"/>
              </w:rPr>
              <w:t>ROM.</w:t>
            </w:r>
          </w:p>
        </w:tc>
      </w:tr>
      <w:tr w:rsidR="00A407E5" w:rsidRPr="000D5DBE" w:rsidTr="0047411B">
        <w:trPr>
          <w:trHeight w:val="70"/>
          <w:jc w:val="center"/>
        </w:trPr>
        <w:tc>
          <w:tcPr>
            <w:tcW w:w="2162" w:type="dxa"/>
            <w:vAlign w:val="center"/>
          </w:tcPr>
          <w:p w:rsidR="0021531C" w:rsidRPr="003C53E8" w:rsidRDefault="0021531C" w:rsidP="0047411B">
            <w:pPr>
              <w:tabs>
                <w:tab w:val="left" w:pos="288"/>
                <w:tab w:val="left" w:pos="4752"/>
              </w:tabs>
              <w:rPr>
                <w:rFonts w:cs="Times New Roman"/>
                <w:color w:val="auto"/>
                <w:sz w:val="22"/>
              </w:rPr>
            </w:pPr>
            <w:r w:rsidRPr="003C53E8">
              <w:rPr>
                <w:rFonts w:cs="Times New Roman"/>
                <w:color w:val="auto"/>
                <w:sz w:val="22"/>
              </w:rPr>
              <w:t>§4.71a Rating</w:t>
            </w:r>
          </w:p>
        </w:tc>
        <w:tc>
          <w:tcPr>
            <w:tcW w:w="2115" w:type="dxa"/>
            <w:vAlign w:val="center"/>
          </w:tcPr>
          <w:p w:rsidR="0021531C" w:rsidRPr="003C53E8" w:rsidRDefault="0021531C" w:rsidP="0047411B">
            <w:pPr>
              <w:tabs>
                <w:tab w:val="left" w:pos="288"/>
                <w:tab w:val="left" w:pos="4752"/>
              </w:tabs>
              <w:rPr>
                <w:rFonts w:cs="Times New Roman"/>
                <w:color w:val="auto"/>
                <w:sz w:val="22"/>
              </w:rPr>
            </w:pPr>
            <w:r w:rsidRPr="003C53E8">
              <w:rPr>
                <w:rFonts w:cs="Times New Roman"/>
                <w:color w:val="auto"/>
                <w:sz w:val="22"/>
              </w:rPr>
              <w:t>10%</w:t>
            </w:r>
          </w:p>
        </w:tc>
        <w:tc>
          <w:tcPr>
            <w:tcW w:w="2160" w:type="dxa"/>
            <w:vAlign w:val="center"/>
          </w:tcPr>
          <w:p w:rsidR="0021531C" w:rsidRPr="003C53E8" w:rsidRDefault="00AC05B3" w:rsidP="0047411B">
            <w:pPr>
              <w:tabs>
                <w:tab w:val="left" w:pos="288"/>
                <w:tab w:val="left" w:pos="4752"/>
              </w:tabs>
              <w:rPr>
                <w:rFonts w:cs="Times New Roman"/>
                <w:color w:val="auto"/>
                <w:sz w:val="22"/>
              </w:rPr>
            </w:pPr>
            <w:r>
              <w:rPr>
                <w:rFonts w:cs="Times New Roman"/>
                <w:color w:val="auto"/>
                <w:sz w:val="22"/>
              </w:rPr>
              <w:t>1</w:t>
            </w:r>
            <w:r w:rsidR="0021531C" w:rsidRPr="003C53E8">
              <w:rPr>
                <w:rFonts w:cs="Times New Roman"/>
                <w:color w:val="auto"/>
                <w:sz w:val="22"/>
              </w:rPr>
              <w:t>0%</w:t>
            </w:r>
            <w:r>
              <w:rPr>
                <w:rFonts w:cs="Times New Roman"/>
                <w:color w:val="auto"/>
                <w:sz w:val="22"/>
              </w:rPr>
              <w:t>*</w:t>
            </w:r>
          </w:p>
        </w:tc>
        <w:tc>
          <w:tcPr>
            <w:tcW w:w="2380" w:type="dxa"/>
            <w:vAlign w:val="center"/>
          </w:tcPr>
          <w:p w:rsidR="0021531C" w:rsidRPr="003C53E8" w:rsidRDefault="0021531C" w:rsidP="0047411B">
            <w:pPr>
              <w:tabs>
                <w:tab w:val="left" w:pos="288"/>
                <w:tab w:val="left" w:pos="4752"/>
              </w:tabs>
              <w:rPr>
                <w:rFonts w:cs="Times New Roman"/>
                <w:color w:val="auto"/>
                <w:sz w:val="22"/>
              </w:rPr>
            </w:pPr>
            <w:r w:rsidRPr="003C53E8">
              <w:rPr>
                <w:rFonts w:cs="Times New Roman"/>
                <w:color w:val="auto"/>
                <w:sz w:val="22"/>
              </w:rPr>
              <w:t>10%*</w:t>
            </w:r>
          </w:p>
        </w:tc>
      </w:tr>
    </w:tbl>
    <w:p w:rsidR="0021531C" w:rsidRPr="0047411B" w:rsidRDefault="0047411B" w:rsidP="00C311D3">
      <w:pPr>
        <w:tabs>
          <w:tab w:val="left" w:pos="288"/>
          <w:tab w:val="left" w:pos="5940"/>
        </w:tabs>
        <w:jc w:val="left"/>
        <w:rPr>
          <w:rFonts w:cs="Times New Roman"/>
          <w:color w:val="auto"/>
          <w:sz w:val="22"/>
          <w:szCs w:val="22"/>
        </w:rPr>
      </w:pPr>
      <w:r>
        <w:rPr>
          <w:rFonts w:cs="Times New Roman"/>
          <w:color w:val="auto"/>
          <w:sz w:val="18"/>
        </w:rPr>
        <w:tab/>
        <w:t xml:space="preserve">                                                                                                                              </w:t>
      </w:r>
      <w:r w:rsidR="0021531C" w:rsidRPr="0047411B">
        <w:rPr>
          <w:rFonts w:cs="Times New Roman"/>
          <w:color w:val="auto"/>
          <w:sz w:val="22"/>
          <w:szCs w:val="22"/>
        </w:rPr>
        <w:t>* Conceding §4.59 (painful motion).</w:t>
      </w:r>
    </w:p>
    <w:p w:rsidR="0021531C" w:rsidRPr="003C53E8" w:rsidRDefault="0021531C" w:rsidP="003C53E8">
      <w:pPr>
        <w:tabs>
          <w:tab w:val="left" w:pos="288"/>
          <w:tab w:val="left" w:pos="4752"/>
        </w:tabs>
        <w:jc w:val="left"/>
        <w:rPr>
          <w:rFonts w:cs="Times New Roman"/>
          <w:color w:val="auto"/>
        </w:rPr>
      </w:pPr>
    </w:p>
    <w:p w:rsidR="0021531C" w:rsidRPr="006D39D9" w:rsidRDefault="0047411B" w:rsidP="00435384">
      <w:pPr>
        <w:jc w:val="both"/>
        <w:rPr>
          <w:rFonts w:cs="Times New Roman"/>
          <w:color w:val="auto"/>
        </w:rPr>
      </w:pPr>
      <w:r>
        <w:rPr>
          <w:color w:val="auto"/>
        </w:rPr>
        <w:t>At the MEB exam</w:t>
      </w:r>
      <w:r w:rsidR="0021531C">
        <w:rPr>
          <w:color w:val="auto"/>
        </w:rPr>
        <w:t xml:space="preserve">, the CI reported a chronic constant dull tightness and pain in his low back.  The pain was exacerbated by running, sit-ups, push-ups, repetitive bending, carrying heavy weights and wearing body armor.  </w:t>
      </w:r>
      <w:r w:rsidR="007E651C">
        <w:rPr>
          <w:color w:val="auto"/>
        </w:rPr>
        <w:t>The examiner observed that the CI had not shown signs of improvement since the onset of this condition, and that surgery was not indicated.  On</w:t>
      </w:r>
      <w:r w:rsidR="00AC05B3">
        <w:rPr>
          <w:color w:val="auto"/>
        </w:rPr>
        <w:t xml:space="preserve"> examin</w:t>
      </w:r>
      <w:r w:rsidR="007E651C">
        <w:rPr>
          <w:color w:val="auto"/>
        </w:rPr>
        <w:t>ation</w:t>
      </w:r>
      <w:r w:rsidR="00AC05B3">
        <w:rPr>
          <w:color w:val="auto"/>
        </w:rPr>
        <w:t xml:space="preserve"> mild tenderness to palpation of</w:t>
      </w:r>
      <w:r w:rsidR="0021531C">
        <w:rPr>
          <w:color w:val="auto"/>
        </w:rPr>
        <w:t xml:space="preserve"> the </w:t>
      </w:r>
      <w:proofErr w:type="spellStart"/>
      <w:r w:rsidR="0021531C">
        <w:rPr>
          <w:color w:val="auto"/>
        </w:rPr>
        <w:t>paravertebral</w:t>
      </w:r>
      <w:proofErr w:type="spellEnd"/>
      <w:r w:rsidR="0021531C">
        <w:rPr>
          <w:color w:val="auto"/>
        </w:rPr>
        <w:t xml:space="preserve"> musculature in the lumbar spinal region</w:t>
      </w:r>
      <w:r w:rsidR="007E651C">
        <w:rPr>
          <w:color w:val="auto"/>
        </w:rPr>
        <w:t xml:space="preserve"> was</w:t>
      </w:r>
      <w:r w:rsidR="0021531C">
        <w:rPr>
          <w:color w:val="auto"/>
        </w:rPr>
        <w:t xml:space="preserve"> </w:t>
      </w:r>
      <w:r w:rsidR="007E651C">
        <w:rPr>
          <w:color w:val="auto"/>
        </w:rPr>
        <w:t xml:space="preserve">noted on the </w:t>
      </w:r>
      <w:r w:rsidR="00AC05B3">
        <w:rPr>
          <w:color w:val="auto"/>
        </w:rPr>
        <w:t>left side</w:t>
      </w:r>
      <w:r w:rsidR="0021531C">
        <w:rPr>
          <w:color w:val="auto"/>
        </w:rPr>
        <w:t xml:space="preserve">.  </w:t>
      </w:r>
      <w:r w:rsidR="007E651C">
        <w:rPr>
          <w:color w:val="auto"/>
        </w:rPr>
        <w:t xml:space="preserve">The ROM was “full” with no additional pain noted with motion.  The examiner documented </w:t>
      </w:r>
      <w:r w:rsidR="0021531C">
        <w:rPr>
          <w:color w:val="auto"/>
        </w:rPr>
        <w:t xml:space="preserve">a normal gait, normal neurological findings, and </w:t>
      </w:r>
      <w:r w:rsidR="0082466B">
        <w:rPr>
          <w:color w:val="auto"/>
        </w:rPr>
        <w:t>made no note of scoliosis</w:t>
      </w:r>
      <w:r w:rsidR="0021531C">
        <w:rPr>
          <w:color w:val="auto"/>
        </w:rPr>
        <w:t xml:space="preserve">.  </w:t>
      </w:r>
      <w:r w:rsidR="00BA0ED9">
        <w:rPr>
          <w:color w:val="auto"/>
        </w:rPr>
        <w:t>Physical t</w:t>
      </w:r>
      <w:r w:rsidR="00AC05B3">
        <w:rPr>
          <w:color w:val="auto"/>
        </w:rPr>
        <w:t xml:space="preserve">herapy ROM </w:t>
      </w:r>
      <w:r>
        <w:rPr>
          <w:color w:val="auto"/>
        </w:rPr>
        <w:t>was not measured</w:t>
      </w:r>
      <w:r w:rsidR="00AC05B3">
        <w:rPr>
          <w:color w:val="auto"/>
        </w:rPr>
        <w:t xml:space="preserve"> </w:t>
      </w:r>
      <w:r>
        <w:rPr>
          <w:color w:val="auto"/>
        </w:rPr>
        <w:t>beyond the</w:t>
      </w:r>
      <w:r w:rsidR="00AC05B3">
        <w:rPr>
          <w:color w:val="auto"/>
        </w:rPr>
        <w:t xml:space="preserve"> onset of pain, and </w:t>
      </w:r>
      <w:r>
        <w:rPr>
          <w:color w:val="auto"/>
        </w:rPr>
        <w:t>was</w:t>
      </w:r>
      <w:r w:rsidR="00AC05B3">
        <w:rPr>
          <w:color w:val="auto"/>
        </w:rPr>
        <w:t xml:space="preserve"> therefore not VASRD compliant.  </w:t>
      </w:r>
      <w:r>
        <w:rPr>
          <w:color w:val="auto"/>
        </w:rPr>
        <w:t>At</w:t>
      </w:r>
      <w:r w:rsidR="0021531C">
        <w:rPr>
          <w:color w:val="auto"/>
        </w:rPr>
        <w:t xml:space="preserve"> the </w:t>
      </w:r>
      <w:r>
        <w:rPr>
          <w:color w:val="auto"/>
        </w:rPr>
        <w:t xml:space="preserve">pre-separation </w:t>
      </w:r>
      <w:r w:rsidR="0021531C">
        <w:rPr>
          <w:color w:val="auto"/>
        </w:rPr>
        <w:t xml:space="preserve">VA exam, the CI continued to report </w:t>
      </w:r>
      <w:r w:rsidR="002B1A3A">
        <w:rPr>
          <w:color w:val="auto"/>
        </w:rPr>
        <w:t xml:space="preserve">daily </w:t>
      </w:r>
      <w:r w:rsidR="0021531C">
        <w:rPr>
          <w:color w:val="auto"/>
        </w:rPr>
        <w:t xml:space="preserve">pain, although he could function with medication. </w:t>
      </w:r>
      <w:r w:rsidR="00C311D3">
        <w:rPr>
          <w:color w:val="auto"/>
        </w:rPr>
        <w:t xml:space="preserve"> There was no history of lost work time </w:t>
      </w:r>
      <w:r w:rsidR="00C311D3">
        <w:rPr>
          <w:color w:val="auto"/>
        </w:rPr>
        <w:lastRenderedPageBreak/>
        <w:t>or physician</w:t>
      </w:r>
      <w:r w:rsidR="002B1A3A">
        <w:rPr>
          <w:color w:val="auto"/>
        </w:rPr>
        <w:t>-</w:t>
      </w:r>
      <w:r w:rsidR="00C311D3">
        <w:rPr>
          <w:color w:val="auto"/>
        </w:rPr>
        <w:t xml:space="preserve">prescribed bed rest for </w:t>
      </w:r>
      <w:r w:rsidR="002B1A3A">
        <w:rPr>
          <w:color w:val="auto"/>
        </w:rPr>
        <w:t>the</w:t>
      </w:r>
      <w:r w:rsidR="00C311D3">
        <w:rPr>
          <w:color w:val="auto"/>
        </w:rPr>
        <w:t xml:space="preserve"> condition. </w:t>
      </w:r>
      <w:r w:rsidR="0021531C">
        <w:rPr>
          <w:color w:val="auto"/>
        </w:rPr>
        <w:t xml:space="preserve"> The examiner noted normal gait and posture, no radiating pain w</w:t>
      </w:r>
      <w:r w:rsidR="00A42820">
        <w:rPr>
          <w:color w:val="auto"/>
        </w:rPr>
        <w:t>ith motion, and no spasm</w:t>
      </w:r>
      <w:r w:rsidR="0021531C">
        <w:rPr>
          <w:color w:val="auto"/>
        </w:rPr>
        <w:t xml:space="preserve">.  Pain was noted only at the extremes of </w:t>
      </w:r>
      <w:r w:rsidR="00A42820">
        <w:rPr>
          <w:color w:val="auto"/>
        </w:rPr>
        <w:t xml:space="preserve">an otherwise </w:t>
      </w:r>
      <w:r w:rsidR="0021531C">
        <w:rPr>
          <w:color w:val="auto"/>
        </w:rPr>
        <w:t xml:space="preserve">full ROM.  </w:t>
      </w:r>
      <w:r w:rsidR="0021531C" w:rsidRPr="003C53E8">
        <w:rPr>
          <w:rFonts w:cs="Times New Roman"/>
          <w:color w:val="auto"/>
        </w:rPr>
        <w:t xml:space="preserve">The Board </w:t>
      </w:r>
      <w:r w:rsidR="00C311D3">
        <w:rPr>
          <w:rFonts w:cs="Times New Roman"/>
          <w:color w:val="auto"/>
        </w:rPr>
        <w:t>noted</w:t>
      </w:r>
      <w:r w:rsidR="0021531C" w:rsidRPr="003C53E8">
        <w:rPr>
          <w:rFonts w:cs="Times New Roman"/>
          <w:color w:val="auto"/>
        </w:rPr>
        <w:t xml:space="preserve"> that the VA exam </w:t>
      </w:r>
      <w:r w:rsidR="00C311D3">
        <w:rPr>
          <w:rFonts w:cs="Times New Roman"/>
          <w:color w:val="auto"/>
        </w:rPr>
        <w:t>was the only fully VASRD compliant exam</w:t>
      </w:r>
      <w:r w:rsidR="002B1A3A">
        <w:rPr>
          <w:rFonts w:cs="Times New Roman"/>
          <w:color w:val="auto"/>
        </w:rPr>
        <w:t>,</w:t>
      </w:r>
      <w:r w:rsidR="00C311D3">
        <w:rPr>
          <w:rFonts w:cs="Times New Roman"/>
          <w:color w:val="auto"/>
        </w:rPr>
        <w:t xml:space="preserve"> and was also performed </w:t>
      </w:r>
      <w:r w:rsidR="00C311D3" w:rsidRPr="003C53E8">
        <w:rPr>
          <w:rFonts w:cs="Times New Roman"/>
          <w:color w:val="auto"/>
        </w:rPr>
        <w:t>closest to the time of separation</w:t>
      </w:r>
      <w:r w:rsidR="002B1A3A">
        <w:rPr>
          <w:rFonts w:cs="Times New Roman"/>
          <w:color w:val="auto"/>
        </w:rPr>
        <w:t>;</w:t>
      </w:r>
      <w:r w:rsidR="00C311D3">
        <w:rPr>
          <w:rFonts w:cs="Times New Roman"/>
          <w:color w:val="auto"/>
        </w:rPr>
        <w:t xml:space="preserve"> therefore</w:t>
      </w:r>
      <w:r w:rsidR="002B1A3A">
        <w:rPr>
          <w:rFonts w:cs="Times New Roman"/>
          <w:color w:val="auto"/>
        </w:rPr>
        <w:t>, it was</w:t>
      </w:r>
      <w:r w:rsidR="00C311D3">
        <w:rPr>
          <w:rFonts w:cs="Times New Roman"/>
          <w:color w:val="auto"/>
        </w:rPr>
        <w:t xml:space="preserve"> assign</w:t>
      </w:r>
      <w:r w:rsidR="002B1A3A">
        <w:rPr>
          <w:rFonts w:cs="Times New Roman"/>
          <w:color w:val="auto"/>
        </w:rPr>
        <w:t>ed</w:t>
      </w:r>
      <w:r w:rsidR="00C311D3">
        <w:rPr>
          <w:rFonts w:cs="Times New Roman"/>
          <w:color w:val="auto"/>
        </w:rPr>
        <w:t xml:space="preserve"> the </w:t>
      </w:r>
      <w:r w:rsidR="002B1A3A" w:rsidRPr="006D39D9">
        <w:rPr>
          <w:rFonts w:cs="Times New Roman"/>
          <w:color w:val="auto"/>
        </w:rPr>
        <w:t>predominant</w:t>
      </w:r>
      <w:r w:rsidR="00C311D3" w:rsidRPr="006D39D9">
        <w:rPr>
          <w:rFonts w:cs="Times New Roman"/>
          <w:color w:val="auto"/>
        </w:rPr>
        <w:t xml:space="preserve"> </w:t>
      </w:r>
      <w:r w:rsidR="0021531C" w:rsidRPr="006D39D9">
        <w:rPr>
          <w:rFonts w:cs="Times New Roman"/>
          <w:color w:val="auto"/>
        </w:rPr>
        <w:t xml:space="preserve">probative value.  </w:t>
      </w:r>
      <w:r w:rsidR="00C311D3" w:rsidRPr="006D39D9">
        <w:rPr>
          <w:rFonts w:cs="Times New Roman"/>
          <w:color w:val="auto"/>
        </w:rPr>
        <w:t>T</w:t>
      </w:r>
      <w:r w:rsidR="0021531C" w:rsidRPr="006D39D9">
        <w:rPr>
          <w:rFonts w:cs="Times New Roman"/>
          <w:color w:val="auto"/>
        </w:rPr>
        <w:t xml:space="preserve">he </w:t>
      </w:r>
      <w:r w:rsidR="00C311D3" w:rsidRPr="006D39D9">
        <w:rPr>
          <w:rFonts w:cs="Times New Roman"/>
          <w:color w:val="auto"/>
        </w:rPr>
        <w:t>P</w:t>
      </w:r>
      <w:r w:rsidR="0021531C" w:rsidRPr="006D39D9">
        <w:rPr>
          <w:rFonts w:cs="Times New Roman"/>
          <w:color w:val="auto"/>
        </w:rPr>
        <w:t xml:space="preserve">EB and the VA </w:t>
      </w:r>
      <w:r w:rsidR="00C311D3" w:rsidRPr="006D39D9">
        <w:rPr>
          <w:rFonts w:cs="Times New Roman"/>
          <w:color w:val="auto"/>
        </w:rPr>
        <w:t>both chose code 5237 (</w:t>
      </w:r>
      <w:proofErr w:type="spellStart"/>
      <w:r w:rsidR="00C311D3" w:rsidRPr="006D39D9">
        <w:rPr>
          <w:color w:val="000000"/>
        </w:rPr>
        <w:t>lumbosacral</w:t>
      </w:r>
      <w:proofErr w:type="spellEnd"/>
      <w:r w:rsidR="00C311D3" w:rsidRPr="006D39D9">
        <w:rPr>
          <w:color w:val="000000"/>
        </w:rPr>
        <w:t xml:space="preserve"> strain)</w:t>
      </w:r>
      <w:r w:rsidR="00C311D3" w:rsidRPr="006D39D9">
        <w:rPr>
          <w:rFonts w:cs="Times New Roman"/>
          <w:color w:val="auto"/>
        </w:rPr>
        <w:t xml:space="preserve"> and arrived at the</w:t>
      </w:r>
      <w:r w:rsidR="0021531C" w:rsidRPr="006D39D9">
        <w:rPr>
          <w:rFonts w:cs="Times New Roman"/>
          <w:color w:val="auto"/>
        </w:rPr>
        <w:t xml:space="preserve"> same 10% </w:t>
      </w:r>
      <w:r w:rsidR="00C311D3" w:rsidRPr="006D39D9">
        <w:rPr>
          <w:rFonts w:cs="Times New Roman"/>
          <w:color w:val="auto"/>
        </w:rPr>
        <w:t>rating</w:t>
      </w:r>
      <w:r w:rsidR="0021531C" w:rsidRPr="006D39D9">
        <w:rPr>
          <w:color w:val="000000"/>
        </w:rPr>
        <w:t xml:space="preserve">.  </w:t>
      </w:r>
      <w:r w:rsidR="00C311D3" w:rsidRPr="006D39D9">
        <w:rPr>
          <w:color w:val="000000"/>
        </w:rPr>
        <w:t>The PEB’s DA Form 199 implies application of VASRD §4.59 (painful motion) to achieve a minimal compensable ratin</w:t>
      </w:r>
      <w:r w:rsidR="002B1A3A" w:rsidRPr="006D39D9">
        <w:rPr>
          <w:color w:val="000000"/>
        </w:rPr>
        <w:t>g in the presence of a full ROM; and, t</w:t>
      </w:r>
      <w:r w:rsidR="00C311D3" w:rsidRPr="006D39D9">
        <w:rPr>
          <w:color w:val="000000"/>
        </w:rPr>
        <w:t>he VA ra</w:t>
      </w:r>
      <w:r w:rsidR="002B1A3A" w:rsidRPr="006D39D9">
        <w:rPr>
          <w:color w:val="000000"/>
        </w:rPr>
        <w:t>ting decision specifically cited</w:t>
      </w:r>
      <w:r w:rsidR="00C311D3" w:rsidRPr="006D39D9">
        <w:rPr>
          <w:color w:val="000000"/>
        </w:rPr>
        <w:t xml:space="preserve"> painful motion </w:t>
      </w:r>
      <w:r w:rsidR="002B1A3A" w:rsidRPr="006D39D9">
        <w:rPr>
          <w:color w:val="000000"/>
        </w:rPr>
        <w:t>in support of its rating</w:t>
      </w:r>
      <w:r w:rsidR="0021531C" w:rsidRPr="006D39D9">
        <w:rPr>
          <w:color w:val="000000"/>
        </w:rPr>
        <w:t xml:space="preserve">.  </w:t>
      </w:r>
      <w:r w:rsidR="00AC05B3" w:rsidRPr="006D39D9">
        <w:rPr>
          <w:rFonts w:cs="Times New Roman"/>
          <w:color w:val="auto"/>
        </w:rPr>
        <w:t xml:space="preserve">There was no evidence of ratable peripheral nerve impairment or documentation of incapacitating episodes which would provide for additional or higher rating.  </w:t>
      </w:r>
      <w:r w:rsidR="002B1A3A" w:rsidRPr="006D39D9">
        <w:rPr>
          <w:rFonts w:cs="Times New Roman"/>
          <w:color w:val="auto"/>
        </w:rPr>
        <w:t xml:space="preserve">Although the baseline scoliosis raised the question of abnormal curvature as a 20% criteria under </w:t>
      </w:r>
      <w:r w:rsidR="002B1A3A" w:rsidRPr="006D39D9">
        <w:rPr>
          <w:color w:val="000000"/>
        </w:rPr>
        <w:t xml:space="preserve">VASRD §4.71a, the physical findings did not support the </w:t>
      </w:r>
      <w:r w:rsidR="002B1A3A" w:rsidRPr="006D39D9">
        <w:rPr>
          <w:rFonts w:eastAsia="Calibri" w:cs="Times New Roman"/>
          <w:color w:val="auto"/>
          <w:szCs w:val="24"/>
        </w:rPr>
        <w:t xml:space="preserve">“muscle spasm or guarding severe enough to result in an abnormal gait or abnormal spinal contour” description for application of that criteria.  </w:t>
      </w:r>
      <w:r w:rsidR="0021531C" w:rsidRPr="006D39D9">
        <w:rPr>
          <w:rFonts w:cs="Times New Roman"/>
          <w:color w:val="auto"/>
        </w:rPr>
        <w:t>All evidence considered</w:t>
      </w:r>
      <w:proofErr w:type="gramStart"/>
      <w:r w:rsidR="0021531C" w:rsidRPr="006D39D9">
        <w:rPr>
          <w:rFonts w:cs="Times New Roman"/>
          <w:color w:val="auto"/>
        </w:rPr>
        <w:t>,</w:t>
      </w:r>
      <w:proofErr w:type="gramEnd"/>
      <w:r w:rsidR="0021531C" w:rsidRPr="006D39D9">
        <w:rPr>
          <w:rFonts w:cs="Times New Roman"/>
          <w:color w:val="auto"/>
        </w:rPr>
        <w:t xml:space="preserve"> there is not reasonable doubt in the CI’s favor supporting a change from the PEB’s rating decision for the low back condition.</w:t>
      </w:r>
    </w:p>
    <w:p w:rsidR="0021531C" w:rsidRPr="006D39D9" w:rsidRDefault="0021531C" w:rsidP="00BF0E94">
      <w:pPr>
        <w:jc w:val="left"/>
        <w:rPr>
          <w:color w:val="000000"/>
          <w:u w:val="single"/>
        </w:rPr>
      </w:pPr>
    </w:p>
    <w:p w:rsidR="0021531C" w:rsidRPr="006D39D9" w:rsidRDefault="0021531C" w:rsidP="00435384">
      <w:pPr>
        <w:jc w:val="both"/>
        <w:rPr>
          <w:color w:val="000000"/>
        </w:rPr>
      </w:pPr>
      <w:proofErr w:type="gramStart"/>
      <w:r w:rsidRPr="006D39D9">
        <w:rPr>
          <w:rFonts w:eastAsia="HiddenHorzOCR"/>
          <w:color w:val="000000"/>
          <w:u w:val="single"/>
        </w:rPr>
        <w:t>Other PEB Conditions</w:t>
      </w:r>
      <w:r w:rsidRPr="006D39D9">
        <w:rPr>
          <w:rFonts w:eastAsia="HiddenHorzOCR"/>
          <w:color w:val="000000"/>
        </w:rPr>
        <w:t>.</w:t>
      </w:r>
      <w:proofErr w:type="gramEnd"/>
      <w:r w:rsidRPr="006D39D9">
        <w:rPr>
          <w:rFonts w:eastAsia="HiddenHorzOCR"/>
          <w:color w:val="000000"/>
        </w:rPr>
        <w:t xml:space="preserve">  </w:t>
      </w:r>
      <w:r w:rsidRPr="006D39D9">
        <w:rPr>
          <w:color w:val="000000"/>
        </w:rPr>
        <w:t>One other condition</w:t>
      </w:r>
      <w:r w:rsidR="00AB0FCE" w:rsidRPr="006D39D9">
        <w:rPr>
          <w:color w:val="000000"/>
        </w:rPr>
        <w:t>,</w:t>
      </w:r>
      <w:r w:rsidRPr="006D39D9">
        <w:rPr>
          <w:color w:val="000000"/>
        </w:rPr>
        <w:t xml:space="preserve"> </w:t>
      </w:r>
      <w:r w:rsidR="00AB0FCE" w:rsidRPr="006D39D9">
        <w:rPr>
          <w:color w:val="000000"/>
        </w:rPr>
        <w:t xml:space="preserve">a left shoulder injury, was </w:t>
      </w:r>
      <w:r w:rsidRPr="006D39D9">
        <w:rPr>
          <w:color w:val="000000"/>
        </w:rPr>
        <w:t xml:space="preserve">forwarded by the MEB and adjudicated as not unfitting by the PEB.  </w:t>
      </w:r>
      <w:r w:rsidR="00BA68CE" w:rsidRPr="006D39D9">
        <w:rPr>
          <w:color w:val="000000"/>
        </w:rPr>
        <w:t>The CI had a remote history of shoulder dislocation managed conservatively.  This condition was clinically inactive throughout the MEB period; the most recent outpatient treatment note was 14 months prior to separation.</w:t>
      </w:r>
      <w:r w:rsidR="006D39D9" w:rsidRPr="006D39D9">
        <w:rPr>
          <w:color w:val="000000"/>
        </w:rPr>
        <w:t xml:space="preserve"> </w:t>
      </w:r>
      <w:r w:rsidR="00BA68CE" w:rsidRPr="006D39D9">
        <w:rPr>
          <w:color w:val="000000"/>
        </w:rPr>
        <w:t xml:space="preserve"> At that time, the pain was described as “intermittent</w:t>
      </w:r>
      <w:r w:rsidR="00BA0ED9">
        <w:rPr>
          <w:color w:val="000000"/>
        </w:rPr>
        <w:t>;”</w:t>
      </w:r>
      <w:r w:rsidR="00BA68CE" w:rsidRPr="006D39D9">
        <w:rPr>
          <w:color w:val="000000"/>
        </w:rPr>
        <w:t xml:space="preserve"> active ROM was normal; and, “no present instability” was documented.  The VA pre-separation </w:t>
      </w:r>
      <w:r w:rsidR="00BA0ED9">
        <w:rPr>
          <w:color w:val="000000"/>
        </w:rPr>
        <w:t xml:space="preserve">Compensation and Pension </w:t>
      </w:r>
      <w:r w:rsidR="00BA68CE" w:rsidRPr="006D39D9">
        <w:rPr>
          <w:color w:val="000000"/>
        </w:rPr>
        <w:t xml:space="preserve">examination documented full ROM of both shoulders without instability or other significant findings.  The MEB physical documented a normal upper extremity examination.  </w:t>
      </w:r>
      <w:r w:rsidRPr="006D39D9">
        <w:rPr>
          <w:color w:val="000000"/>
        </w:rPr>
        <w:t>This conditio</w:t>
      </w:r>
      <w:r w:rsidR="00BA68CE" w:rsidRPr="006D39D9">
        <w:rPr>
          <w:color w:val="000000"/>
        </w:rPr>
        <w:t>n was not profiled or</w:t>
      </w:r>
      <w:r w:rsidRPr="006D39D9">
        <w:rPr>
          <w:color w:val="000000"/>
        </w:rPr>
        <w:t xml:space="preserve"> implicated in th</w:t>
      </w:r>
      <w:r w:rsidR="00A42820" w:rsidRPr="006D39D9">
        <w:rPr>
          <w:color w:val="000000"/>
        </w:rPr>
        <w:t>e c</w:t>
      </w:r>
      <w:r w:rsidRPr="006D39D9">
        <w:rPr>
          <w:color w:val="000000"/>
        </w:rPr>
        <w:t>ommander’s statement</w:t>
      </w:r>
      <w:r w:rsidR="00BA68CE" w:rsidRPr="006D39D9">
        <w:rPr>
          <w:color w:val="000000"/>
        </w:rPr>
        <w:t>; and, it was judged by the MEB to</w:t>
      </w:r>
      <w:r w:rsidRPr="006D39D9">
        <w:rPr>
          <w:color w:val="000000"/>
        </w:rPr>
        <w:t xml:space="preserve"> </w:t>
      </w:r>
      <w:r w:rsidR="00BA68CE" w:rsidRPr="006D39D9">
        <w:rPr>
          <w:color w:val="000000"/>
        </w:rPr>
        <w:t>meet</w:t>
      </w:r>
      <w:r w:rsidRPr="006D39D9">
        <w:rPr>
          <w:color w:val="000000"/>
        </w:rPr>
        <w:t xml:space="preserve"> retention standards.  It was reviewe</w:t>
      </w:r>
      <w:r w:rsidRPr="00BA0ED9">
        <w:rPr>
          <w:color w:val="000000"/>
        </w:rPr>
        <w:t xml:space="preserve">d by the </w:t>
      </w:r>
      <w:r w:rsidR="00BA0ED9" w:rsidRPr="00BA0ED9">
        <w:rPr>
          <w:color w:val="000000"/>
        </w:rPr>
        <w:t>action o</w:t>
      </w:r>
      <w:r w:rsidR="00BA68CE" w:rsidRPr="00BA0ED9">
        <w:rPr>
          <w:color w:val="000000"/>
        </w:rPr>
        <w:t xml:space="preserve">fficer </w:t>
      </w:r>
      <w:r w:rsidRPr="00BA0ED9">
        <w:rPr>
          <w:color w:val="000000"/>
        </w:rPr>
        <w:t>and cons</w:t>
      </w:r>
      <w:r w:rsidRPr="006D39D9">
        <w:rPr>
          <w:color w:val="000000"/>
        </w:rPr>
        <w:t>idered by the Board.  There was no indication from the record that this condition significantly interfered with satisfactory duty performance.  All evidence considered</w:t>
      </w:r>
      <w:proofErr w:type="gramStart"/>
      <w:r w:rsidRPr="006D39D9">
        <w:rPr>
          <w:color w:val="000000"/>
        </w:rPr>
        <w:t>,</w:t>
      </w:r>
      <w:proofErr w:type="gramEnd"/>
      <w:r w:rsidRPr="006D39D9">
        <w:rPr>
          <w:color w:val="000000"/>
        </w:rPr>
        <w:t xml:space="preserve"> there is not reasonable doubt in the CI’s favor supporting </w:t>
      </w:r>
      <w:proofErr w:type="spellStart"/>
      <w:r w:rsidRPr="006D39D9">
        <w:rPr>
          <w:color w:val="000000"/>
        </w:rPr>
        <w:t>recharacterization</w:t>
      </w:r>
      <w:proofErr w:type="spellEnd"/>
      <w:r w:rsidRPr="006D39D9">
        <w:rPr>
          <w:color w:val="000000"/>
        </w:rPr>
        <w:t xml:space="preserve"> of the PEB fitness adjudication for </w:t>
      </w:r>
      <w:r w:rsidR="00A42820" w:rsidRPr="006D39D9">
        <w:rPr>
          <w:color w:val="000000"/>
        </w:rPr>
        <w:t>the shoulder</w:t>
      </w:r>
      <w:r w:rsidRPr="006D39D9">
        <w:rPr>
          <w:color w:val="000000"/>
        </w:rPr>
        <w:t xml:space="preserve"> condition</w:t>
      </w:r>
      <w:r w:rsidR="00A42820" w:rsidRPr="006D39D9">
        <w:rPr>
          <w:color w:val="000000"/>
        </w:rPr>
        <w:t>(s)</w:t>
      </w:r>
      <w:r w:rsidRPr="006D39D9">
        <w:rPr>
          <w:color w:val="000000"/>
        </w:rPr>
        <w:t>.</w:t>
      </w:r>
    </w:p>
    <w:p w:rsidR="0021531C" w:rsidRPr="006D39D9" w:rsidRDefault="0021531C" w:rsidP="00435384">
      <w:pPr>
        <w:jc w:val="both"/>
        <w:rPr>
          <w:rFonts w:eastAsia="HiddenHorzOCR"/>
          <w:color w:val="000000"/>
          <w:u w:val="single"/>
        </w:rPr>
      </w:pPr>
    </w:p>
    <w:p w:rsidR="0021531C" w:rsidRPr="006D39D9" w:rsidRDefault="0021531C" w:rsidP="00435384">
      <w:pPr>
        <w:jc w:val="both"/>
        <w:rPr>
          <w:rFonts w:eastAsia="Calibri" w:cs="Times New Roman"/>
          <w:color w:val="auto"/>
          <w:szCs w:val="24"/>
        </w:rPr>
      </w:pPr>
      <w:proofErr w:type="gramStart"/>
      <w:r w:rsidRPr="006D39D9">
        <w:rPr>
          <w:rFonts w:eastAsia="HiddenHorzOCR"/>
          <w:color w:val="000000"/>
          <w:u w:val="single"/>
        </w:rPr>
        <w:t>Other Contended Conditions</w:t>
      </w:r>
      <w:r w:rsidRPr="006D39D9">
        <w:rPr>
          <w:rFonts w:eastAsia="HiddenHorzOCR"/>
          <w:color w:val="000000"/>
        </w:rPr>
        <w:t>.</w:t>
      </w:r>
      <w:proofErr w:type="gramEnd"/>
      <w:r w:rsidRPr="006D39D9">
        <w:rPr>
          <w:rFonts w:eastAsia="HiddenHorzOCR"/>
          <w:color w:val="000000"/>
        </w:rPr>
        <w:t xml:space="preserve">  The CI’s application asserts that compensable ratings should be considered for a hernia repair and hearing loss.  </w:t>
      </w:r>
      <w:r w:rsidR="00D65FAB" w:rsidRPr="006D39D9">
        <w:rPr>
          <w:rFonts w:eastAsia="Calibri" w:cs="Times New Roman"/>
          <w:color w:val="auto"/>
          <w:szCs w:val="24"/>
        </w:rPr>
        <w:t>Neither</w:t>
      </w:r>
      <w:r w:rsidR="000E22D2" w:rsidRPr="006D39D9">
        <w:rPr>
          <w:rFonts w:eastAsia="Calibri" w:cs="Times New Roman"/>
          <w:color w:val="auto"/>
          <w:szCs w:val="24"/>
        </w:rPr>
        <w:t xml:space="preserve"> of these conditions </w:t>
      </w:r>
      <w:r w:rsidR="00BA68CE" w:rsidRPr="006D39D9">
        <w:rPr>
          <w:rFonts w:eastAsia="Calibri" w:cs="Times New Roman"/>
          <w:color w:val="auto"/>
          <w:szCs w:val="24"/>
        </w:rPr>
        <w:t>was</w:t>
      </w:r>
      <w:r w:rsidR="000E22D2" w:rsidRPr="006D39D9">
        <w:rPr>
          <w:rFonts w:eastAsia="Calibri" w:cs="Times New Roman"/>
          <w:color w:val="auto"/>
          <w:szCs w:val="24"/>
        </w:rPr>
        <w:t xml:space="preserve"> significantly clinically or occupationally active during the MEB period; </w:t>
      </w:r>
      <w:r w:rsidR="00D65FAB" w:rsidRPr="006D39D9">
        <w:rPr>
          <w:rFonts w:eastAsia="Calibri" w:cs="Times New Roman"/>
          <w:color w:val="auto"/>
          <w:szCs w:val="24"/>
        </w:rPr>
        <w:t>neither</w:t>
      </w:r>
      <w:r w:rsidR="000E22D2" w:rsidRPr="006D39D9">
        <w:rPr>
          <w:rFonts w:eastAsia="Calibri" w:cs="Times New Roman"/>
          <w:color w:val="auto"/>
          <w:szCs w:val="24"/>
        </w:rPr>
        <w:t xml:space="preserve"> carried attached profiles; and, </w:t>
      </w:r>
      <w:r w:rsidR="00D65FAB" w:rsidRPr="006D39D9">
        <w:rPr>
          <w:rFonts w:eastAsia="Calibri" w:cs="Times New Roman"/>
          <w:color w:val="auto"/>
          <w:szCs w:val="24"/>
        </w:rPr>
        <w:t>neither</w:t>
      </w:r>
      <w:r w:rsidR="000E22D2" w:rsidRPr="006D39D9">
        <w:rPr>
          <w:rFonts w:eastAsia="Calibri" w:cs="Times New Roman"/>
          <w:color w:val="auto"/>
          <w:szCs w:val="24"/>
        </w:rPr>
        <w:t xml:space="preserve"> </w:t>
      </w:r>
      <w:r w:rsidR="00D65FAB" w:rsidRPr="006D39D9">
        <w:rPr>
          <w:rFonts w:eastAsia="Calibri" w:cs="Times New Roman"/>
          <w:color w:val="auto"/>
          <w:szCs w:val="24"/>
        </w:rPr>
        <w:t>was</w:t>
      </w:r>
      <w:r w:rsidR="000E22D2" w:rsidRPr="006D39D9">
        <w:rPr>
          <w:rFonts w:eastAsia="Calibri" w:cs="Times New Roman"/>
          <w:color w:val="auto"/>
          <w:szCs w:val="24"/>
        </w:rPr>
        <w:t xml:space="preserve"> implicate</w:t>
      </w:r>
      <w:r w:rsidR="00A42820" w:rsidRPr="006D39D9">
        <w:rPr>
          <w:rFonts w:eastAsia="Calibri" w:cs="Times New Roman"/>
          <w:color w:val="auto"/>
          <w:szCs w:val="24"/>
        </w:rPr>
        <w:t>d in the c</w:t>
      </w:r>
      <w:r w:rsidR="00D65FAB" w:rsidRPr="006D39D9">
        <w:rPr>
          <w:rFonts w:eastAsia="Calibri" w:cs="Times New Roman"/>
          <w:color w:val="auto"/>
          <w:szCs w:val="24"/>
        </w:rPr>
        <w:t>ommander’s statement.</w:t>
      </w:r>
      <w:r w:rsidR="000E22D2" w:rsidRPr="006D39D9">
        <w:rPr>
          <w:rFonts w:eastAsia="Calibri" w:cs="Times New Roman"/>
          <w:color w:val="auto"/>
          <w:szCs w:val="24"/>
        </w:rPr>
        <w:t xml:space="preserve">  </w:t>
      </w:r>
      <w:r w:rsidR="00D65FAB" w:rsidRPr="006D39D9">
        <w:rPr>
          <w:rFonts w:eastAsia="Calibri" w:cs="Times New Roman"/>
          <w:color w:val="auto"/>
          <w:szCs w:val="24"/>
        </w:rPr>
        <w:t>Both of these</w:t>
      </w:r>
      <w:r w:rsidR="000E22D2" w:rsidRPr="006D39D9">
        <w:rPr>
          <w:rFonts w:eastAsia="Calibri" w:cs="Times New Roman"/>
          <w:color w:val="auto"/>
          <w:szCs w:val="24"/>
        </w:rPr>
        <w:t xml:space="preserve"> conditions were reviewed by the </w:t>
      </w:r>
      <w:r w:rsidR="00BA0ED9">
        <w:rPr>
          <w:rFonts w:eastAsia="Calibri" w:cs="Times New Roman"/>
          <w:color w:val="auto"/>
          <w:szCs w:val="24"/>
        </w:rPr>
        <w:t>action officer</w:t>
      </w:r>
      <w:r w:rsidR="000E22D2" w:rsidRPr="006D39D9">
        <w:rPr>
          <w:rFonts w:eastAsia="Calibri" w:cs="Times New Roman"/>
          <w:color w:val="auto"/>
          <w:szCs w:val="24"/>
        </w:rPr>
        <w:t xml:space="preserve"> and considered by the Board.  </w:t>
      </w:r>
      <w:r w:rsidRPr="006D39D9">
        <w:rPr>
          <w:color w:val="000000"/>
        </w:rPr>
        <w:t xml:space="preserve">The Board determined therefore that neither of the stated conditions </w:t>
      </w:r>
      <w:r w:rsidR="00D65FAB" w:rsidRPr="006D39D9">
        <w:rPr>
          <w:color w:val="000000"/>
        </w:rPr>
        <w:t>was</w:t>
      </w:r>
      <w:r w:rsidRPr="006D39D9">
        <w:rPr>
          <w:color w:val="000000"/>
        </w:rPr>
        <w:t xml:space="preserve"> subject to service disability rating.</w:t>
      </w:r>
    </w:p>
    <w:p w:rsidR="0021531C" w:rsidRPr="006D39D9" w:rsidRDefault="0021531C" w:rsidP="00BF0E94">
      <w:pPr>
        <w:jc w:val="both"/>
        <w:rPr>
          <w:color w:val="000000"/>
        </w:rPr>
      </w:pPr>
    </w:p>
    <w:p w:rsidR="0021531C" w:rsidRPr="006D39D9" w:rsidRDefault="0021531C" w:rsidP="00BF0E94">
      <w:pPr>
        <w:jc w:val="both"/>
        <w:rPr>
          <w:rFonts w:eastAsia="Calibri" w:cs="Times New Roman"/>
          <w:color w:val="auto"/>
          <w:szCs w:val="24"/>
        </w:rPr>
      </w:pPr>
      <w:proofErr w:type="gramStart"/>
      <w:r w:rsidRPr="006D39D9">
        <w:rPr>
          <w:color w:val="000000"/>
          <w:u w:val="single"/>
        </w:rPr>
        <w:t>Remaining Conditions</w:t>
      </w:r>
      <w:r w:rsidRPr="006D39D9">
        <w:rPr>
          <w:color w:val="000000"/>
        </w:rPr>
        <w:t>.</w:t>
      </w:r>
      <w:proofErr w:type="gramEnd"/>
      <w:r w:rsidRPr="006D39D9">
        <w:rPr>
          <w:color w:val="000000"/>
        </w:rPr>
        <w:t xml:space="preserve">  Several additional non-acute conditions or medical complaints were also documented</w:t>
      </w:r>
      <w:r w:rsidR="007E651C" w:rsidRPr="006D39D9">
        <w:rPr>
          <w:color w:val="000000"/>
        </w:rPr>
        <w:t xml:space="preserve"> in the DES file</w:t>
      </w:r>
      <w:r w:rsidRPr="006D39D9">
        <w:rPr>
          <w:color w:val="000000"/>
        </w:rPr>
        <w:t xml:space="preserve">.  </w:t>
      </w:r>
      <w:r w:rsidR="00D65FAB" w:rsidRPr="006D39D9">
        <w:rPr>
          <w:rFonts w:eastAsia="Calibri" w:cs="Times New Roman"/>
          <w:color w:val="auto"/>
          <w:szCs w:val="24"/>
        </w:rPr>
        <w:t>None of these conditions were significantly clinically or occupationally active during the MEB period; none carried attached profiles; an</w:t>
      </w:r>
      <w:r w:rsidR="00A42820" w:rsidRPr="006D39D9">
        <w:rPr>
          <w:rFonts w:eastAsia="Calibri" w:cs="Times New Roman"/>
          <w:color w:val="auto"/>
          <w:szCs w:val="24"/>
        </w:rPr>
        <w:t>d, none were implicated in the c</w:t>
      </w:r>
      <w:r w:rsidR="00D65FAB" w:rsidRPr="006D39D9">
        <w:rPr>
          <w:rFonts w:eastAsia="Calibri" w:cs="Times New Roman"/>
          <w:color w:val="auto"/>
          <w:szCs w:val="24"/>
        </w:rPr>
        <w:t xml:space="preserve">ommander’s statement.   These conditions were reviewed by the </w:t>
      </w:r>
      <w:r w:rsidR="00BA0ED9">
        <w:rPr>
          <w:rFonts w:eastAsia="Calibri" w:cs="Times New Roman"/>
          <w:color w:val="auto"/>
          <w:szCs w:val="24"/>
        </w:rPr>
        <w:t>action officer</w:t>
      </w:r>
      <w:r w:rsidR="00BA0ED9" w:rsidRPr="006D39D9">
        <w:rPr>
          <w:rFonts w:eastAsia="Calibri" w:cs="Times New Roman"/>
          <w:color w:val="auto"/>
          <w:szCs w:val="24"/>
        </w:rPr>
        <w:t xml:space="preserve"> </w:t>
      </w:r>
      <w:r w:rsidR="00D65FAB" w:rsidRPr="006D39D9">
        <w:rPr>
          <w:rFonts w:eastAsia="Calibri" w:cs="Times New Roman"/>
          <w:color w:val="auto"/>
          <w:szCs w:val="24"/>
        </w:rPr>
        <w:t xml:space="preserve">and considered by the Board.  </w:t>
      </w:r>
      <w:r w:rsidRPr="006D39D9">
        <w:rPr>
          <w:color w:val="000000"/>
        </w:rPr>
        <w:t>It was determined that none could be argued as unfitting and subject to separation rating.  Additionally right shoulder strain</w:t>
      </w:r>
      <w:r w:rsidR="00AB0FCE" w:rsidRPr="006D39D9">
        <w:rPr>
          <w:color w:val="000000"/>
        </w:rPr>
        <w:t>, tinnitus, anxiety disorder</w:t>
      </w:r>
      <w:r w:rsidRPr="006D39D9">
        <w:rPr>
          <w:color w:val="000000"/>
        </w:rPr>
        <w:t xml:space="preserve"> and several other non-acute conditions were noted in the VA exam proximal to separation, but were not documented in the DES file.  The Board does not have the authority under </w:t>
      </w:r>
      <w:proofErr w:type="spellStart"/>
      <w:r w:rsidRPr="006D39D9">
        <w:rPr>
          <w:color w:val="000000"/>
        </w:rPr>
        <w:t>DoDI</w:t>
      </w:r>
      <w:proofErr w:type="spellEnd"/>
      <w:r w:rsidRPr="006D39D9">
        <w:rPr>
          <w:color w:val="000000"/>
        </w:rPr>
        <w:t xml:space="preserve"> 6040.44 to render fitness or rating recommendations for any conditions not considered by the DES.  The Board therefore has no reasonable basis for recommending any additional unfitting conditions for separation rating.</w:t>
      </w:r>
    </w:p>
    <w:p w:rsidR="0021531C" w:rsidRPr="006D39D9" w:rsidRDefault="0021531C" w:rsidP="00BF0E94">
      <w:pPr>
        <w:pBdr>
          <w:bottom w:val="single" w:sz="12" w:space="1" w:color="auto"/>
        </w:pBdr>
        <w:tabs>
          <w:tab w:val="left" w:pos="288"/>
          <w:tab w:val="left" w:pos="4752"/>
        </w:tabs>
        <w:jc w:val="both"/>
        <w:rPr>
          <w:color w:val="000000"/>
        </w:rPr>
      </w:pPr>
    </w:p>
    <w:p w:rsidR="002B1A3A" w:rsidRPr="006D39D9" w:rsidRDefault="002B1A3A" w:rsidP="00435384">
      <w:pPr>
        <w:jc w:val="both"/>
        <w:rPr>
          <w:color w:val="000000"/>
        </w:rPr>
      </w:pPr>
    </w:p>
    <w:p w:rsidR="0021531C" w:rsidRPr="006D39D9" w:rsidRDefault="0021531C" w:rsidP="00435384">
      <w:pPr>
        <w:jc w:val="both"/>
        <w:rPr>
          <w:rFonts w:eastAsia="Calibri" w:cs="Times New Roman"/>
          <w:color w:val="auto"/>
          <w:szCs w:val="24"/>
        </w:rPr>
      </w:pPr>
      <w:r w:rsidRPr="006D39D9">
        <w:rPr>
          <w:color w:val="000000"/>
          <w:u w:val="single"/>
        </w:rPr>
        <w:t>BOARD FINDINGS</w:t>
      </w:r>
      <w:r w:rsidRPr="006D39D9">
        <w:rPr>
          <w:color w:val="000000"/>
        </w:rPr>
        <w:t xml:space="preserve">:  IAW </w:t>
      </w:r>
      <w:proofErr w:type="spellStart"/>
      <w:r w:rsidRPr="006D39D9">
        <w:rPr>
          <w:color w:val="000000"/>
        </w:rPr>
        <w:t>DoDI</w:t>
      </w:r>
      <w:proofErr w:type="spellEnd"/>
      <w:r w:rsidRPr="006D39D9">
        <w:rPr>
          <w:color w:val="000000"/>
        </w:rPr>
        <w:t xml:space="preserve"> 6040.44, provisions of </w:t>
      </w:r>
      <w:proofErr w:type="spellStart"/>
      <w:r w:rsidRPr="006D39D9">
        <w:rPr>
          <w:color w:val="000000"/>
        </w:rPr>
        <w:t>DoD</w:t>
      </w:r>
      <w:proofErr w:type="spellEnd"/>
      <w:r w:rsidRPr="006D39D9">
        <w:rPr>
          <w:color w:val="000000"/>
        </w:rPr>
        <w:t xml:space="preserve"> or Military Department regulations or guidelines relied upon by the PEB will not be considered by the Board to the extent they were inconsistent with the VASRD in effect at the time of the adjudication</w:t>
      </w:r>
      <w:r w:rsidRPr="006D39D9">
        <w:rPr>
          <w:rFonts w:cs="Times New Roman"/>
          <w:color w:val="auto"/>
        </w:rPr>
        <w:t xml:space="preserve">.  </w:t>
      </w:r>
      <w:r w:rsidR="00AB0FCE" w:rsidRPr="006D39D9">
        <w:rPr>
          <w:rFonts w:cs="Times New Roman"/>
          <w:color w:val="auto"/>
        </w:rPr>
        <w:t xml:space="preserve">The Board did not </w:t>
      </w:r>
      <w:r w:rsidR="00AB0FCE" w:rsidRPr="006D39D9">
        <w:rPr>
          <w:rFonts w:cs="Times New Roman"/>
          <w:color w:val="auto"/>
        </w:rPr>
        <w:lastRenderedPageBreak/>
        <w:t xml:space="preserve">surmise from the record or PEB ruling in this case that any prerogatives outside the VASRD were exercised.  </w:t>
      </w:r>
      <w:r w:rsidRPr="006D39D9">
        <w:rPr>
          <w:rFonts w:cs="Times New Roman"/>
          <w:color w:val="auto"/>
        </w:rPr>
        <w:t xml:space="preserve">In the matter of the </w:t>
      </w:r>
      <w:r w:rsidR="00176E20" w:rsidRPr="006D39D9">
        <w:rPr>
          <w:rFonts w:cs="Times New Roman"/>
          <w:color w:val="auto"/>
        </w:rPr>
        <w:t>lumbar spine</w:t>
      </w:r>
      <w:r w:rsidRPr="006D39D9">
        <w:rPr>
          <w:rFonts w:cs="Times New Roman"/>
          <w:color w:val="auto"/>
        </w:rPr>
        <w:t xml:space="preserve"> condition and IAW VASRD §4.71a, the Board unanimously recommends no change in the PEB adjudication.  In the matter of the left shoulder condition, the Board unanimously recommends no change from the PEB adjudication as not unfitting.  In the matter of the </w:t>
      </w:r>
      <w:r w:rsidR="00176E20" w:rsidRPr="006D39D9">
        <w:rPr>
          <w:rFonts w:cs="Times New Roman"/>
          <w:color w:val="auto"/>
        </w:rPr>
        <w:t xml:space="preserve">contended inguinal </w:t>
      </w:r>
      <w:r w:rsidRPr="006D39D9">
        <w:rPr>
          <w:rFonts w:cs="Times New Roman"/>
          <w:color w:val="auto"/>
        </w:rPr>
        <w:t>hernia and hearing loss conditions</w:t>
      </w:r>
      <w:r w:rsidR="00176E20" w:rsidRPr="006D39D9">
        <w:rPr>
          <w:rFonts w:cs="Times New Roman"/>
          <w:color w:val="auto"/>
        </w:rPr>
        <w:t>,</w:t>
      </w:r>
      <w:r w:rsidRPr="006D39D9">
        <w:rPr>
          <w:rFonts w:cs="Times New Roman"/>
          <w:color w:val="auto"/>
        </w:rPr>
        <w:t xml:space="preserve"> the Board unanimously agrees that it cannot</w:t>
      </w:r>
      <w:r w:rsidRPr="006D39D9">
        <w:rPr>
          <w:rFonts w:cs="Times New Roman"/>
          <w:color w:val="000080"/>
        </w:rPr>
        <w:t xml:space="preserve"> </w:t>
      </w:r>
      <w:r w:rsidRPr="006D39D9">
        <w:rPr>
          <w:rFonts w:cs="Times New Roman"/>
          <w:color w:val="auto"/>
        </w:rPr>
        <w:t xml:space="preserve">recommend any findings of unfit for additional rating at separation.  </w:t>
      </w:r>
      <w:r w:rsidR="00176E20" w:rsidRPr="006D39D9">
        <w:rPr>
          <w:rFonts w:eastAsia="Calibri" w:cs="Times New Roman"/>
          <w:color w:val="auto"/>
          <w:szCs w:val="24"/>
        </w:rPr>
        <w:t>The Board unanimously agrees that there were no other conditions eligible for Board consideration which could be recommended as additionally unfitting for rating at separation.</w:t>
      </w:r>
    </w:p>
    <w:p w:rsidR="0021531C" w:rsidRPr="006D39D9" w:rsidRDefault="0021531C" w:rsidP="00BF0E94">
      <w:pPr>
        <w:pBdr>
          <w:bottom w:val="single" w:sz="12" w:space="1" w:color="auto"/>
        </w:pBdr>
        <w:tabs>
          <w:tab w:val="left" w:pos="288"/>
          <w:tab w:val="left" w:pos="4752"/>
        </w:tabs>
        <w:jc w:val="both"/>
        <w:rPr>
          <w:color w:val="000000"/>
        </w:rPr>
      </w:pPr>
    </w:p>
    <w:p w:rsidR="0021531C" w:rsidRPr="006D39D9" w:rsidRDefault="0021531C" w:rsidP="006364ED">
      <w:pPr>
        <w:jc w:val="left"/>
        <w:rPr>
          <w:color w:val="000000"/>
        </w:rPr>
      </w:pPr>
    </w:p>
    <w:p w:rsidR="0021531C" w:rsidRPr="001F29F9" w:rsidRDefault="0021531C" w:rsidP="00BF0E94">
      <w:pPr>
        <w:jc w:val="both"/>
        <w:rPr>
          <w:color w:val="000000"/>
        </w:rPr>
      </w:pPr>
      <w:r w:rsidRPr="006D39D9">
        <w:rPr>
          <w:color w:val="000000"/>
          <w:u w:val="single"/>
        </w:rPr>
        <w:t>RECOMMENDATION</w:t>
      </w:r>
      <w:r w:rsidRPr="006D39D9">
        <w:rPr>
          <w:color w:val="000000"/>
        </w:rPr>
        <w:t>:</w:t>
      </w:r>
      <w:r w:rsidRPr="006D39D9">
        <w:rPr>
          <w:color w:val="FF0000"/>
          <w:sz w:val="20"/>
        </w:rPr>
        <w:t xml:space="preserve"> </w:t>
      </w:r>
      <w:r w:rsidRPr="006D39D9">
        <w:rPr>
          <w:color w:val="000000"/>
        </w:rPr>
        <w:t xml:space="preserve"> The Board, therefore, recommends that there be no </w:t>
      </w:r>
      <w:proofErr w:type="spellStart"/>
      <w:r w:rsidRPr="006D39D9">
        <w:rPr>
          <w:color w:val="000000"/>
        </w:rPr>
        <w:t>recharacterization</w:t>
      </w:r>
      <w:proofErr w:type="spellEnd"/>
      <w:r w:rsidRPr="006D39D9">
        <w:rPr>
          <w:color w:val="000000"/>
        </w:rPr>
        <w:t xml:space="preserve"> of the CI’s disability and separation determination, as follows:</w:t>
      </w:r>
      <w:r w:rsidRPr="001F29F9">
        <w:rPr>
          <w:color w:val="000000"/>
        </w:rPr>
        <w:t xml:space="preserve"> </w:t>
      </w:r>
    </w:p>
    <w:p w:rsidR="0021531C" w:rsidRPr="001F29F9" w:rsidRDefault="0021531C" w:rsidP="00BF0E94">
      <w:pPr>
        <w:tabs>
          <w:tab w:val="left" w:pos="288"/>
          <w:tab w:val="left" w:pos="4752"/>
        </w:tabs>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88"/>
        <w:gridCol w:w="1530"/>
        <w:gridCol w:w="1044"/>
      </w:tblGrid>
      <w:tr w:rsidR="0021531C" w:rsidRPr="000D5DBE" w:rsidTr="008A6A7B">
        <w:trPr>
          <w:trHeight w:val="233"/>
          <w:jc w:val="center"/>
        </w:trPr>
        <w:tc>
          <w:tcPr>
            <w:tcW w:w="6588" w:type="dxa"/>
            <w:shd w:val="clear" w:color="auto" w:fill="D9D9D9"/>
            <w:vAlign w:val="center"/>
          </w:tcPr>
          <w:p w:rsidR="0021531C" w:rsidRPr="000D5DBE" w:rsidRDefault="0021531C"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21531C" w:rsidRPr="000D5DBE" w:rsidRDefault="0021531C" w:rsidP="00BF0E94">
            <w:pPr>
              <w:tabs>
                <w:tab w:val="left" w:pos="288"/>
                <w:tab w:val="left" w:pos="4752"/>
              </w:tabs>
              <w:rPr>
                <w:b/>
                <w:color w:val="000000"/>
              </w:rPr>
            </w:pPr>
            <w:r w:rsidRPr="000D5DBE">
              <w:rPr>
                <w:b/>
                <w:color w:val="000000"/>
              </w:rPr>
              <w:t>VASRD CODE</w:t>
            </w:r>
          </w:p>
        </w:tc>
        <w:tc>
          <w:tcPr>
            <w:tcW w:w="1044" w:type="dxa"/>
            <w:shd w:val="clear" w:color="auto" w:fill="D9D9D9"/>
            <w:vAlign w:val="center"/>
          </w:tcPr>
          <w:p w:rsidR="0021531C" w:rsidRPr="000D5DBE" w:rsidRDefault="0021531C" w:rsidP="00BF0E94">
            <w:pPr>
              <w:tabs>
                <w:tab w:val="left" w:pos="288"/>
                <w:tab w:val="left" w:pos="4752"/>
              </w:tabs>
              <w:rPr>
                <w:b/>
                <w:color w:val="000000"/>
              </w:rPr>
            </w:pPr>
            <w:r w:rsidRPr="000D5DBE">
              <w:rPr>
                <w:b/>
                <w:color w:val="000000"/>
              </w:rPr>
              <w:t>RATING</w:t>
            </w:r>
          </w:p>
        </w:tc>
      </w:tr>
      <w:tr w:rsidR="0021531C" w:rsidRPr="000D5DBE" w:rsidTr="008A6A7B">
        <w:trPr>
          <w:jc w:val="center"/>
        </w:trPr>
        <w:tc>
          <w:tcPr>
            <w:tcW w:w="6588" w:type="dxa"/>
            <w:vAlign w:val="center"/>
          </w:tcPr>
          <w:p w:rsidR="0021531C" w:rsidRPr="000D5DBE" w:rsidRDefault="0021531C" w:rsidP="00BF0E94">
            <w:pPr>
              <w:tabs>
                <w:tab w:val="left" w:pos="288"/>
                <w:tab w:val="left" w:pos="4752"/>
              </w:tabs>
              <w:jc w:val="left"/>
              <w:rPr>
                <w:color w:val="000000"/>
              </w:rPr>
            </w:pPr>
            <w:r w:rsidRPr="000D5DBE">
              <w:rPr>
                <w:color w:val="000000"/>
              </w:rPr>
              <w:t>Low Back Pain</w:t>
            </w:r>
          </w:p>
        </w:tc>
        <w:tc>
          <w:tcPr>
            <w:tcW w:w="1530" w:type="dxa"/>
            <w:vAlign w:val="center"/>
          </w:tcPr>
          <w:p w:rsidR="0021531C" w:rsidRPr="000D5DBE" w:rsidRDefault="0021531C" w:rsidP="00BF0E94">
            <w:pPr>
              <w:tabs>
                <w:tab w:val="left" w:pos="288"/>
                <w:tab w:val="left" w:pos="4752"/>
              </w:tabs>
              <w:rPr>
                <w:color w:val="000000"/>
              </w:rPr>
            </w:pPr>
            <w:r w:rsidRPr="000D5DBE">
              <w:rPr>
                <w:color w:val="000000"/>
              </w:rPr>
              <w:t>5299-5237</w:t>
            </w:r>
          </w:p>
        </w:tc>
        <w:tc>
          <w:tcPr>
            <w:tcW w:w="1044" w:type="dxa"/>
            <w:vAlign w:val="center"/>
          </w:tcPr>
          <w:p w:rsidR="0021531C" w:rsidRPr="00435384" w:rsidRDefault="0021531C" w:rsidP="00BF0E94">
            <w:pPr>
              <w:tabs>
                <w:tab w:val="left" w:pos="288"/>
                <w:tab w:val="left" w:pos="4752"/>
              </w:tabs>
              <w:rPr>
                <w:color w:val="000000"/>
              </w:rPr>
            </w:pPr>
            <w:r w:rsidRPr="00435384">
              <w:rPr>
                <w:color w:val="000000"/>
              </w:rPr>
              <w:t>10%</w:t>
            </w:r>
          </w:p>
        </w:tc>
      </w:tr>
      <w:tr w:rsidR="0021531C" w:rsidRPr="000D5DBE" w:rsidTr="008A6A7B">
        <w:tblPrEx>
          <w:tblLook w:val="0000"/>
        </w:tblPrEx>
        <w:trPr>
          <w:gridBefore w:val="1"/>
          <w:wBefore w:w="6588" w:type="dxa"/>
          <w:trHeight w:val="152"/>
          <w:jc w:val="center"/>
        </w:trPr>
        <w:tc>
          <w:tcPr>
            <w:tcW w:w="1530" w:type="dxa"/>
            <w:tcBorders>
              <w:left w:val="single" w:sz="4" w:space="0" w:color="auto"/>
            </w:tcBorders>
            <w:shd w:val="clear" w:color="auto" w:fill="D9D9D9"/>
            <w:vAlign w:val="center"/>
          </w:tcPr>
          <w:p w:rsidR="0021531C" w:rsidRPr="000D5DBE" w:rsidRDefault="0021531C" w:rsidP="00BF0E94">
            <w:pPr>
              <w:tabs>
                <w:tab w:val="left" w:pos="288"/>
                <w:tab w:val="left" w:pos="4752"/>
              </w:tabs>
              <w:rPr>
                <w:b/>
                <w:color w:val="000000"/>
              </w:rPr>
            </w:pPr>
            <w:r w:rsidRPr="000D5DBE">
              <w:rPr>
                <w:b/>
                <w:color w:val="000000"/>
              </w:rPr>
              <w:t>COMBINED</w:t>
            </w:r>
          </w:p>
        </w:tc>
        <w:tc>
          <w:tcPr>
            <w:tcW w:w="1044" w:type="dxa"/>
            <w:shd w:val="clear" w:color="auto" w:fill="D9D9D9"/>
            <w:vAlign w:val="center"/>
          </w:tcPr>
          <w:p w:rsidR="0021531C" w:rsidRPr="00435384" w:rsidRDefault="0021531C" w:rsidP="00BF0E94">
            <w:pPr>
              <w:tabs>
                <w:tab w:val="left" w:pos="288"/>
                <w:tab w:val="left" w:pos="4752"/>
              </w:tabs>
              <w:rPr>
                <w:b/>
                <w:color w:val="000000"/>
              </w:rPr>
            </w:pPr>
            <w:r w:rsidRPr="00435384">
              <w:rPr>
                <w:b/>
                <w:color w:val="000000"/>
              </w:rPr>
              <w:t>10%</w:t>
            </w:r>
          </w:p>
        </w:tc>
      </w:tr>
    </w:tbl>
    <w:p w:rsidR="00176E20" w:rsidRPr="001F29F9" w:rsidRDefault="00176E20" w:rsidP="00BF0E94">
      <w:pPr>
        <w:pBdr>
          <w:bottom w:val="single" w:sz="12" w:space="1" w:color="auto"/>
        </w:pBdr>
        <w:tabs>
          <w:tab w:val="left" w:pos="288"/>
          <w:tab w:val="left" w:pos="4752"/>
        </w:tabs>
        <w:jc w:val="both"/>
        <w:rPr>
          <w:color w:val="000000"/>
        </w:rPr>
      </w:pPr>
    </w:p>
    <w:p w:rsidR="0021531C" w:rsidRPr="001F29F9" w:rsidRDefault="0021531C" w:rsidP="00BF0E94">
      <w:pPr>
        <w:rPr>
          <w:color w:val="000000"/>
        </w:rPr>
      </w:pPr>
    </w:p>
    <w:p w:rsidR="0021531C" w:rsidRPr="001F29F9" w:rsidRDefault="0021531C" w:rsidP="00BF0E94">
      <w:pPr>
        <w:tabs>
          <w:tab w:val="left" w:pos="288"/>
          <w:tab w:val="left" w:pos="4752"/>
        </w:tabs>
        <w:jc w:val="both"/>
        <w:rPr>
          <w:color w:val="000000"/>
        </w:rPr>
      </w:pPr>
      <w:r w:rsidRPr="001F29F9">
        <w:rPr>
          <w:color w:val="000000"/>
        </w:rPr>
        <w:t>The following documentary evidence was considered:</w:t>
      </w:r>
    </w:p>
    <w:p w:rsidR="0021531C" w:rsidRPr="001F29F9" w:rsidRDefault="0021531C" w:rsidP="00BF0E94">
      <w:pPr>
        <w:tabs>
          <w:tab w:val="left" w:pos="288"/>
          <w:tab w:val="left" w:pos="4752"/>
        </w:tabs>
        <w:jc w:val="both"/>
        <w:rPr>
          <w:color w:val="000000"/>
        </w:rPr>
      </w:pPr>
    </w:p>
    <w:p w:rsidR="0021531C" w:rsidRPr="00006186" w:rsidRDefault="0021531C" w:rsidP="00510F9C">
      <w:pPr>
        <w:tabs>
          <w:tab w:val="left" w:pos="288"/>
          <w:tab w:val="left" w:pos="4752"/>
        </w:tabs>
        <w:jc w:val="both"/>
        <w:rPr>
          <w:color w:val="auto"/>
        </w:rPr>
      </w:pPr>
      <w:r>
        <w:rPr>
          <w:color w:val="auto"/>
        </w:rPr>
        <w:t>Exhibit A.  DD Fo</w:t>
      </w:r>
      <w:r w:rsidR="00BA0ED9">
        <w:rPr>
          <w:color w:val="auto"/>
        </w:rPr>
        <w:t>rm 294, dated 20110527, w/</w:t>
      </w:r>
      <w:proofErr w:type="spellStart"/>
      <w:r w:rsidR="00BA0ED9">
        <w:rPr>
          <w:color w:val="auto"/>
        </w:rPr>
        <w:t>atchs</w:t>
      </w:r>
      <w:proofErr w:type="spellEnd"/>
    </w:p>
    <w:p w:rsidR="0021531C" w:rsidRPr="00006186" w:rsidRDefault="0021531C" w:rsidP="00510F9C">
      <w:pPr>
        <w:tabs>
          <w:tab w:val="left" w:pos="288"/>
          <w:tab w:val="left" w:pos="4752"/>
        </w:tabs>
        <w:jc w:val="both"/>
        <w:rPr>
          <w:color w:val="auto"/>
        </w:rPr>
      </w:pPr>
      <w:r>
        <w:rPr>
          <w:color w:val="auto"/>
        </w:rPr>
        <w:t>Exhib</w:t>
      </w:r>
      <w:r w:rsidR="00BA0ED9">
        <w:rPr>
          <w:color w:val="auto"/>
        </w:rPr>
        <w:t>it B.  Service Treatment Record</w:t>
      </w:r>
    </w:p>
    <w:p w:rsidR="0021531C" w:rsidRPr="00006186" w:rsidRDefault="0021531C" w:rsidP="00510F9C">
      <w:pPr>
        <w:tabs>
          <w:tab w:val="left" w:pos="288"/>
          <w:tab w:val="left" w:pos="4752"/>
        </w:tabs>
        <w:jc w:val="both"/>
        <w:rPr>
          <w:color w:val="auto"/>
        </w:rPr>
      </w:pPr>
      <w:r>
        <w:rPr>
          <w:color w:val="auto"/>
        </w:rPr>
        <w:t>Exhibit C.  Department of Vet</w:t>
      </w:r>
      <w:r w:rsidR="00BA0ED9">
        <w:rPr>
          <w:color w:val="auto"/>
        </w:rPr>
        <w:t>erans' Affairs Treatment Record</w:t>
      </w:r>
    </w:p>
    <w:p w:rsidR="004E171D" w:rsidRDefault="004E171D">
      <w:pPr>
        <w:spacing w:line="240" w:lineRule="auto"/>
        <w:jc w:val="left"/>
        <w:rPr>
          <w:color w:val="000000"/>
        </w:rPr>
      </w:pPr>
      <w:r>
        <w:rPr>
          <w:color w:val="000000"/>
        </w:rPr>
        <w:br w:type="page"/>
      </w:r>
    </w:p>
    <w:p w:rsidR="004E171D" w:rsidRPr="00D4131B" w:rsidRDefault="004E171D" w:rsidP="004E171D">
      <w:pPr>
        <w:pStyle w:val="Header"/>
        <w:tabs>
          <w:tab w:val="clear" w:pos="4320"/>
          <w:tab w:val="clear" w:pos="8640"/>
        </w:tabs>
        <w:jc w:val="left"/>
        <w:rPr>
          <w:color w:val="auto"/>
        </w:rPr>
      </w:pPr>
      <w:r w:rsidRPr="00D4131B">
        <w:rPr>
          <w:color w:val="auto"/>
        </w:rPr>
        <w:lastRenderedPageBreak/>
        <w:t>SFMR-RB</w:t>
      </w:r>
      <w:r w:rsidRPr="00D4131B">
        <w:rPr>
          <w:color w:val="auto"/>
        </w:rPr>
        <w:tab/>
      </w:r>
      <w:r w:rsidRPr="00D4131B">
        <w:rPr>
          <w:color w:val="auto"/>
        </w:rPr>
        <w:tab/>
      </w:r>
      <w:r w:rsidRPr="00D4131B">
        <w:rPr>
          <w:color w:val="auto"/>
        </w:rPr>
        <w:tab/>
      </w:r>
      <w:r w:rsidRPr="00D4131B">
        <w:rPr>
          <w:color w:val="auto"/>
        </w:rPr>
        <w:tab/>
      </w:r>
      <w:r w:rsidRPr="00D4131B">
        <w:rPr>
          <w:color w:val="auto"/>
        </w:rPr>
        <w:tab/>
      </w:r>
      <w:r w:rsidRPr="00D4131B">
        <w:rPr>
          <w:color w:val="auto"/>
        </w:rPr>
        <w:tab/>
      </w:r>
      <w:r w:rsidRPr="00D4131B">
        <w:rPr>
          <w:color w:val="auto"/>
        </w:rPr>
        <w:tab/>
      </w:r>
      <w:r w:rsidRPr="00D4131B">
        <w:rPr>
          <w:color w:val="auto"/>
        </w:rPr>
        <w:tab/>
      </w:r>
      <w:r w:rsidRPr="00D4131B">
        <w:rPr>
          <w:color w:val="auto"/>
        </w:rPr>
        <w:tab/>
      </w:r>
    </w:p>
    <w:p w:rsidR="004E171D" w:rsidRPr="00D4131B" w:rsidRDefault="004E171D" w:rsidP="004E171D">
      <w:pPr>
        <w:pStyle w:val="Header"/>
        <w:tabs>
          <w:tab w:val="clear" w:pos="4320"/>
          <w:tab w:val="clear" w:pos="8640"/>
        </w:tabs>
        <w:jc w:val="left"/>
        <w:rPr>
          <w:color w:val="auto"/>
        </w:rPr>
      </w:pPr>
    </w:p>
    <w:p w:rsidR="004E171D" w:rsidRPr="00D4131B" w:rsidRDefault="004E171D" w:rsidP="004E171D">
      <w:pPr>
        <w:jc w:val="left"/>
        <w:rPr>
          <w:color w:val="auto"/>
        </w:rPr>
      </w:pPr>
    </w:p>
    <w:p w:rsidR="004E171D" w:rsidRPr="00D4131B" w:rsidRDefault="004E171D" w:rsidP="004E171D">
      <w:pPr>
        <w:jc w:val="left"/>
        <w:rPr>
          <w:color w:val="auto"/>
        </w:rPr>
      </w:pPr>
      <w:r w:rsidRPr="00D4131B">
        <w:rPr>
          <w:color w:val="auto"/>
        </w:rPr>
        <w:t xml:space="preserve">MEMORANDUM FOR Commander, US Army Physical Disability Agency </w:t>
      </w:r>
    </w:p>
    <w:p w:rsidR="004E171D" w:rsidRPr="00D4131B" w:rsidRDefault="004E171D" w:rsidP="004E171D">
      <w:pPr>
        <w:jc w:val="left"/>
        <w:rPr>
          <w:color w:val="auto"/>
        </w:rPr>
      </w:pPr>
      <w:r w:rsidRPr="00D4131B">
        <w:rPr>
          <w:color w:val="auto"/>
        </w:rPr>
        <w:t>Crystal Drive, Suite 300, Arlington, VA 22202</w:t>
      </w:r>
    </w:p>
    <w:p w:rsidR="004E171D" w:rsidRPr="00D4131B" w:rsidRDefault="004E171D" w:rsidP="004E171D">
      <w:pPr>
        <w:jc w:val="left"/>
        <w:rPr>
          <w:color w:val="auto"/>
        </w:rPr>
      </w:pPr>
    </w:p>
    <w:p w:rsidR="004E171D" w:rsidRPr="00D4131B" w:rsidRDefault="004E171D" w:rsidP="004E171D">
      <w:pPr>
        <w:ind w:right="-180"/>
        <w:jc w:val="left"/>
        <w:rPr>
          <w:color w:val="auto"/>
        </w:rPr>
      </w:pPr>
      <w:r w:rsidRPr="00D4131B">
        <w:rPr>
          <w:color w:val="auto"/>
        </w:rPr>
        <w:t>SUBJECT:  Department of Defense Physical Disability Board of Review Recommendation for (PD201100381)</w:t>
      </w:r>
    </w:p>
    <w:p w:rsidR="004E171D" w:rsidRPr="00D4131B" w:rsidRDefault="004E171D" w:rsidP="004E171D">
      <w:pPr>
        <w:pStyle w:val="Header"/>
        <w:tabs>
          <w:tab w:val="clear" w:pos="4320"/>
          <w:tab w:val="clear" w:pos="8640"/>
        </w:tabs>
        <w:jc w:val="left"/>
        <w:rPr>
          <w:color w:val="auto"/>
        </w:rPr>
      </w:pPr>
    </w:p>
    <w:p w:rsidR="004E171D" w:rsidRPr="00D4131B" w:rsidRDefault="004E171D" w:rsidP="004E171D">
      <w:pPr>
        <w:jc w:val="left"/>
        <w:rPr>
          <w:color w:val="auto"/>
        </w:rPr>
      </w:pPr>
    </w:p>
    <w:p w:rsidR="004E171D" w:rsidRPr="00D4131B" w:rsidRDefault="004E171D" w:rsidP="004E171D">
      <w:pPr>
        <w:jc w:val="left"/>
        <w:rPr>
          <w:color w:val="auto"/>
        </w:rPr>
      </w:pPr>
      <w:r w:rsidRPr="00D4131B">
        <w:rPr>
          <w:color w:val="auto"/>
        </w:rPr>
        <w:t>I have reviewed the enclosed Department of Defense Physical Disability Board of Review (</w:t>
      </w:r>
      <w:proofErr w:type="spellStart"/>
      <w:r w:rsidRPr="00D4131B">
        <w:rPr>
          <w:color w:val="auto"/>
        </w:rPr>
        <w:t>DoD</w:t>
      </w:r>
      <w:proofErr w:type="spellEnd"/>
      <w:r w:rsidRPr="00D4131B">
        <w:rPr>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4E171D" w:rsidRPr="00D4131B" w:rsidRDefault="004E171D" w:rsidP="004E171D">
      <w:pPr>
        <w:jc w:val="left"/>
        <w:rPr>
          <w:color w:val="auto"/>
        </w:rPr>
      </w:pPr>
      <w:r w:rsidRPr="00D4131B">
        <w:rPr>
          <w:color w:val="auto"/>
        </w:rPr>
        <w:t>This decision is final.  The individual concerned, counsel (if any), and any Members of Congress who have shown interest in this application have been notified of this decision by mail.</w:t>
      </w:r>
    </w:p>
    <w:p w:rsidR="004E171D" w:rsidRPr="00D4131B" w:rsidRDefault="004E171D" w:rsidP="004E171D">
      <w:pPr>
        <w:jc w:val="left"/>
        <w:rPr>
          <w:color w:val="auto"/>
        </w:rPr>
      </w:pPr>
    </w:p>
    <w:p w:rsidR="004E171D" w:rsidRPr="00D4131B" w:rsidRDefault="004E171D" w:rsidP="004E171D">
      <w:pPr>
        <w:jc w:val="left"/>
        <w:rPr>
          <w:color w:val="auto"/>
        </w:rPr>
      </w:pPr>
      <w:r w:rsidRPr="00D4131B">
        <w:rPr>
          <w:color w:val="auto"/>
        </w:rPr>
        <w:t xml:space="preserve"> BY ORDER OF THE SECRETARY OF THE ARMY:</w:t>
      </w:r>
    </w:p>
    <w:p w:rsidR="004E171D" w:rsidRPr="00D4131B" w:rsidRDefault="004E171D" w:rsidP="004E171D">
      <w:pPr>
        <w:jc w:val="left"/>
        <w:rPr>
          <w:color w:val="auto"/>
        </w:rPr>
      </w:pPr>
    </w:p>
    <w:p w:rsidR="004E171D" w:rsidRPr="00D4131B" w:rsidRDefault="004E171D" w:rsidP="004E171D">
      <w:pPr>
        <w:jc w:val="left"/>
        <w:rPr>
          <w:color w:val="auto"/>
        </w:rPr>
      </w:pPr>
    </w:p>
    <w:p w:rsidR="004E171D" w:rsidRPr="00D4131B" w:rsidRDefault="004E171D" w:rsidP="004E171D">
      <w:pPr>
        <w:pStyle w:val="Header"/>
        <w:tabs>
          <w:tab w:val="clear" w:pos="4320"/>
          <w:tab w:val="clear" w:pos="8640"/>
        </w:tabs>
        <w:jc w:val="left"/>
        <w:rPr>
          <w:color w:val="auto"/>
        </w:rPr>
      </w:pPr>
    </w:p>
    <w:p w:rsidR="004E171D" w:rsidRPr="00D4131B" w:rsidRDefault="004E171D" w:rsidP="004E171D">
      <w:pPr>
        <w:jc w:val="left"/>
        <w:rPr>
          <w:color w:val="auto"/>
        </w:rPr>
      </w:pPr>
    </w:p>
    <w:p w:rsidR="004E171D" w:rsidRPr="00D4131B" w:rsidRDefault="004E171D" w:rsidP="004E171D">
      <w:pPr>
        <w:jc w:val="left"/>
        <w:rPr>
          <w:color w:val="auto"/>
        </w:rPr>
      </w:pPr>
      <w:bookmarkStart w:id="0" w:name="OLE_LINK3"/>
      <w:bookmarkStart w:id="1" w:name="OLE_LINK4"/>
      <w:r w:rsidRPr="00D4131B">
        <w:rPr>
          <w:color w:val="auto"/>
        </w:rPr>
        <w:t>Encl</w:t>
      </w:r>
      <w:r w:rsidRPr="00D4131B">
        <w:rPr>
          <w:color w:val="auto"/>
        </w:rPr>
        <w:tab/>
      </w:r>
      <w:r w:rsidRPr="00D4131B">
        <w:rPr>
          <w:color w:val="auto"/>
        </w:rPr>
        <w:tab/>
      </w:r>
      <w:r w:rsidRPr="00D4131B">
        <w:rPr>
          <w:color w:val="auto"/>
        </w:rPr>
        <w:tab/>
      </w:r>
      <w:r w:rsidRPr="00D4131B">
        <w:rPr>
          <w:color w:val="auto"/>
        </w:rPr>
        <w:tab/>
      </w:r>
      <w:r w:rsidRPr="00D4131B">
        <w:rPr>
          <w:color w:val="auto"/>
        </w:rPr>
        <w:tab/>
      </w:r>
      <w:r w:rsidRPr="00D4131B">
        <w:rPr>
          <w:color w:val="auto"/>
        </w:rPr>
        <w:tab/>
        <w:t xml:space="preserve">    </w:t>
      </w:r>
      <w:bookmarkEnd w:id="0"/>
      <w:bookmarkEnd w:id="1"/>
    </w:p>
    <w:p w:rsidR="004E171D" w:rsidRPr="00D4131B" w:rsidRDefault="004E171D" w:rsidP="004E171D">
      <w:pPr>
        <w:jc w:val="left"/>
        <w:rPr>
          <w:color w:val="auto"/>
        </w:rPr>
      </w:pPr>
    </w:p>
    <w:p w:rsidR="004E171D" w:rsidRPr="00D4131B" w:rsidRDefault="004E171D" w:rsidP="004E171D">
      <w:pPr>
        <w:jc w:val="left"/>
        <w:rPr>
          <w:color w:val="auto"/>
        </w:rPr>
      </w:pPr>
      <w:r w:rsidRPr="00D4131B">
        <w:rPr>
          <w:color w:val="auto"/>
        </w:rPr>
        <w:t xml:space="preserve">CF: </w:t>
      </w:r>
    </w:p>
    <w:p w:rsidR="004E171D" w:rsidRPr="00D4131B" w:rsidRDefault="004E171D" w:rsidP="004E171D">
      <w:pPr>
        <w:jc w:val="left"/>
        <w:rPr>
          <w:color w:val="auto"/>
        </w:rPr>
      </w:pPr>
      <w:r w:rsidRPr="00D4131B">
        <w:rPr>
          <w:color w:val="auto"/>
        </w:rPr>
        <w:t xml:space="preserve">(  ) </w:t>
      </w:r>
      <w:proofErr w:type="spellStart"/>
      <w:proofErr w:type="gramStart"/>
      <w:r w:rsidRPr="00D4131B">
        <w:rPr>
          <w:color w:val="auto"/>
        </w:rPr>
        <w:t>DoD</w:t>
      </w:r>
      <w:proofErr w:type="spellEnd"/>
      <w:proofErr w:type="gramEnd"/>
      <w:r w:rsidRPr="00D4131B">
        <w:rPr>
          <w:color w:val="auto"/>
        </w:rPr>
        <w:t xml:space="preserve"> PDBR</w:t>
      </w:r>
    </w:p>
    <w:p w:rsidR="004E171D" w:rsidRPr="00D4131B" w:rsidRDefault="004E171D" w:rsidP="004E171D">
      <w:pPr>
        <w:jc w:val="left"/>
        <w:rPr>
          <w:color w:val="auto"/>
        </w:rPr>
      </w:pPr>
      <w:r w:rsidRPr="00D4131B">
        <w:rPr>
          <w:color w:val="auto"/>
        </w:rPr>
        <w:t>(  ) DVA</w:t>
      </w:r>
    </w:p>
    <w:p w:rsidR="004E171D" w:rsidRDefault="004E171D" w:rsidP="004E171D"/>
    <w:p w:rsidR="0021531C" w:rsidRPr="001F29F9" w:rsidRDefault="0021531C" w:rsidP="00BF0E94">
      <w:pPr>
        <w:tabs>
          <w:tab w:val="left" w:pos="288"/>
          <w:tab w:val="left" w:pos="4752"/>
        </w:tabs>
        <w:jc w:val="both"/>
        <w:rPr>
          <w:color w:val="000000"/>
        </w:rPr>
      </w:pPr>
    </w:p>
    <w:sectPr w:rsidR="0021531C" w:rsidRPr="001F29F9" w:rsidSect="00E7016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BB6" w:rsidRDefault="00DE1BB6">
      <w:r>
        <w:separator/>
      </w:r>
    </w:p>
  </w:endnote>
  <w:endnote w:type="continuationSeparator" w:id="0">
    <w:p w:rsidR="00DE1BB6" w:rsidRDefault="00DE1B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1C" w:rsidRPr="00374247" w:rsidRDefault="0021531C" w:rsidP="00374247">
    <w:pPr>
      <w:pStyle w:val="Footer"/>
      <w:ind w:firstLine="4320"/>
      <w:rPr>
        <w:color w:val="auto"/>
      </w:rPr>
    </w:pPr>
    <w:r w:rsidRPr="00374247">
      <w:rPr>
        <w:color w:val="auto"/>
      </w:rPr>
      <w:t xml:space="preserve">   </w:t>
    </w:r>
    <w:r w:rsidR="005712ED" w:rsidRPr="005712ED">
      <w:fldChar w:fldCharType="begin"/>
    </w:r>
    <w:r w:rsidR="000A3DC2">
      <w:instrText xml:space="preserve"> PAGE   \* MERGEFORMAT </w:instrText>
    </w:r>
    <w:r w:rsidR="005712ED" w:rsidRPr="005712ED">
      <w:fldChar w:fldCharType="separate"/>
    </w:r>
    <w:r w:rsidR="00D4131B" w:rsidRPr="00D4131B">
      <w:rPr>
        <w:noProof/>
        <w:color w:val="auto"/>
      </w:rPr>
      <w:t>5</w:t>
    </w:r>
    <w:r w:rsidR="005712ED">
      <w:rPr>
        <w:noProof/>
        <w:color w:val="auto"/>
      </w:rPr>
      <w:fldChar w:fldCharType="end"/>
    </w:r>
    <w:r w:rsidRPr="00374247">
      <w:rPr>
        <w:color w:val="auto"/>
      </w:rPr>
      <w:t xml:space="preserve">                                                           </w:t>
    </w:r>
    <w:r w:rsidRPr="001D64F3">
      <w:rPr>
        <w:color w:val="auto"/>
      </w:rPr>
      <w:t>PD</w:t>
    </w:r>
    <w:r w:rsidRPr="0068240A">
      <w:rPr>
        <w:color w:val="auto"/>
      </w:rPr>
      <w:t>110</w:t>
    </w:r>
    <w:r w:rsidRPr="001D64F3">
      <w:rPr>
        <w:color w:val="auto"/>
      </w:rPr>
      <w:t>0381</w:t>
    </w:r>
  </w:p>
  <w:p w:rsidR="0021531C" w:rsidRPr="00684CE6" w:rsidRDefault="0021531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BB6" w:rsidRDefault="00DE1BB6">
      <w:r>
        <w:separator/>
      </w:r>
    </w:p>
  </w:footnote>
  <w:footnote w:type="continuationSeparator" w:id="0">
    <w:p w:rsidR="00DE1BB6" w:rsidRDefault="00DE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DCE"/>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877F7"/>
    <w:rsid w:val="00092619"/>
    <w:rsid w:val="00092C66"/>
    <w:rsid w:val="000949DD"/>
    <w:rsid w:val="00094E4F"/>
    <w:rsid w:val="000A2BCE"/>
    <w:rsid w:val="000A31E2"/>
    <w:rsid w:val="000A33C8"/>
    <w:rsid w:val="000A3DC2"/>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D55"/>
    <w:rsid w:val="000E0993"/>
    <w:rsid w:val="000E22D2"/>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68A9"/>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73B"/>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6E20"/>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19C"/>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06F0"/>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31C"/>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57F9F"/>
    <w:rsid w:val="00260531"/>
    <w:rsid w:val="00260B9A"/>
    <w:rsid w:val="00262EA5"/>
    <w:rsid w:val="0026318D"/>
    <w:rsid w:val="00264148"/>
    <w:rsid w:val="002660AF"/>
    <w:rsid w:val="00270864"/>
    <w:rsid w:val="002712F7"/>
    <w:rsid w:val="0027159C"/>
    <w:rsid w:val="002722F2"/>
    <w:rsid w:val="00272E9F"/>
    <w:rsid w:val="00274549"/>
    <w:rsid w:val="00274E46"/>
    <w:rsid w:val="002752AE"/>
    <w:rsid w:val="00275AFD"/>
    <w:rsid w:val="002769AF"/>
    <w:rsid w:val="00276C86"/>
    <w:rsid w:val="00276FD0"/>
    <w:rsid w:val="00277217"/>
    <w:rsid w:val="002810A4"/>
    <w:rsid w:val="0028144F"/>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1A3A"/>
    <w:rsid w:val="002B2645"/>
    <w:rsid w:val="002B303A"/>
    <w:rsid w:val="002B32E9"/>
    <w:rsid w:val="002B4E22"/>
    <w:rsid w:val="002B5606"/>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2FD7"/>
    <w:rsid w:val="00344A4F"/>
    <w:rsid w:val="00344D17"/>
    <w:rsid w:val="0034669F"/>
    <w:rsid w:val="003470C4"/>
    <w:rsid w:val="0034740B"/>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829"/>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5384"/>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411B"/>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7C9"/>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171D"/>
    <w:rsid w:val="004E21A3"/>
    <w:rsid w:val="004E32EA"/>
    <w:rsid w:val="004E3517"/>
    <w:rsid w:val="004E6866"/>
    <w:rsid w:val="004F0C58"/>
    <w:rsid w:val="004F11B4"/>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29B6"/>
    <w:rsid w:val="0051333F"/>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2ECD"/>
    <w:rsid w:val="00555259"/>
    <w:rsid w:val="00555C66"/>
    <w:rsid w:val="005569EF"/>
    <w:rsid w:val="00556BDE"/>
    <w:rsid w:val="00560D57"/>
    <w:rsid w:val="00562A94"/>
    <w:rsid w:val="00563FAD"/>
    <w:rsid w:val="005701C1"/>
    <w:rsid w:val="005703BF"/>
    <w:rsid w:val="00570754"/>
    <w:rsid w:val="005709F7"/>
    <w:rsid w:val="00570EAA"/>
    <w:rsid w:val="005710A9"/>
    <w:rsid w:val="005712ED"/>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51B1"/>
    <w:rsid w:val="005A62FC"/>
    <w:rsid w:val="005A6C99"/>
    <w:rsid w:val="005A7D5D"/>
    <w:rsid w:val="005B0040"/>
    <w:rsid w:val="005B011A"/>
    <w:rsid w:val="005B0283"/>
    <w:rsid w:val="005B1ADA"/>
    <w:rsid w:val="005B1D09"/>
    <w:rsid w:val="005B1D8F"/>
    <w:rsid w:val="005B1E94"/>
    <w:rsid w:val="005B5B3D"/>
    <w:rsid w:val="005B5BE9"/>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5CD"/>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A41"/>
    <w:rsid w:val="00671EB4"/>
    <w:rsid w:val="00673CDC"/>
    <w:rsid w:val="0067443B"/>
    <w:rsid w:val="006770AA"/>
    <w:rsid w:val="0068098E"/>
    <w:rsid w:val="006810BD"/>
    <w:rsid w:val="0068240A"/>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3027"/>
    <w:rsid w:val="006D39D9"/>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103"/>
    <w:rsid w:val="00780378"/>
    <w:rsid w:val="0078085E"/>
    <w:rsid w:val="00781BD4"/>
    <w:rsid w:val="00782562"/>
    <w:rsid w:val="007828B4"/>
    <w:rsid w:val="00784832"/>
    <w:rsid w:val="00784EA0"/>
    <w:rsid w:val="00785C75"/>
    <w:rsid w:val="00785D77"/>
    <w:rsid w:val="00786111"/>
    <w:rsid w:val="00787A29"/>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2D73"/>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51C"/>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9A5"/>
    <w:rsid w:val="00823D6A"/>
    <w:rsid w:val="0082466B"/>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72A"/>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6A7B"/>
    <w:rsid w:val="008A7073"/>
    <w:rsid w:val="008A79F0"/>
    <w:rsid w:val="008A7F7E"/>
    <w:rsid w:val="008B019A"/>
    <w:rsid w:val="008B04DB"/>
    <w:rsid w:val="008B09B4"/>
    <w:rsid w:val="008B1B11"/>
    <w:rsid w:val="008B1DF4"/>
    <w:rsid w:val="008B27FD"/>
    <w:rsid w:val="008B2FDB"/>
    <w:rsid w:val="008B3AF2"/>
    <w:rsid w:val="008B446D"/>
    <w:rsid w:val="008B515D"/>
    <w:rsid w:val="008B5D31"/>
    <w:rsid w:val="008B6705"/>
    <w:rsid w:val="008C22F3"/>
    <w:rsid w:val="008C3223"/>
    <w:rsid w:val="008C3C6C"/>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9EF"/>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0F4A"/>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4F1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48EF"/>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31C"/>
    <w:rsid w:val="00A305AD"/>
    <w:rsid w:val="00A31FE2"/>
    <w:rsid w:val="00A32743"/>
    <w:rsid w:val="00A37AAC"/>
    <w:rsid w:val="00A40356"/>
    <w:rsid w:val="00A407E5"/>
    <w:rsid w:val="00A40FFB"/>
    <w:rsid w:val="00A41468"/>
    <w:rsid w:val="00A414A9"/>
    <w:rsid w:val="00A42820"/>
    <w:rsid w:val="00A44141"/>
    <w:rsid w:val="00A44CCA"/>
    <w:rsid w:val="00A44D75"/>
    <w:rsid w:val="00A47CF1"/>
    <w:rsid w:val="00A50418"/>
    <w:rsid w:val="00A50B17"/>
    <w:rsid w:val="00A514CD"/>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778"/>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0FCE"/>
    <w:rsid w:val="00AB1754"/>
    <w:rsid w:val="00AB1F8D"/>
    <w:rsid w:val="00AB27DD"/>
    <w:rsid w:val="00AB4BA4"/>
    <w:rsid w:val="00AB592E"/>
    <w:rsid w:val="00AC05B3"/>
    <w:rsid w:val="00AC0C1C"/>
    <w:rsid w:val="00AC1305"/>
    <w:rsid w:val="00AC37BE"/>
    <w:rsid w:val="00AC439D"/>
    <w:rsid w:val="00AC62CC"/>
    <w:rsid w:val="00AC713F"/>
    <w:rsid w:val="00AC7329"/>
    <w:rsid w:val="00AC7D96"/>
    <w:rsid w:val="00AD00E4"/>
    <w:rsid w:val="00AD067E"/>
    <w:rsid w:val="00AD168B"/>
    <w:rsid w:val="00AD17C5"/>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09F"/>
    <w:rsid w:val="00AF01B2"/>
    <w:rsid w:val="00AF1103"/>
    <w:rsid w:val="00AF1668"/>
    <w:rsid w:val="00AF1DBB"/>
    <w:rsid w:val="00AF25B2"/>
    <w:rsid w:val="00AF28DE"/>
    <w:rsid w:val="00AF41EE"/>
    <w:rsid w:val="00AF4FA5"/>
    <w:rsid w:val="00AF5BB4"/>
    <w:rsid w:val="00AF6B0E"/>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8A4"/>
    <w:rsid w:val="00B83F87"/>
    <w:rsid w:val="00B8478F"/>
    <w:rsid w:val="00B84F93"/>
    <w:rsid w:val="00B91676"/>
    <w:rsid w:val="00B9322B"/>
    <w:rsid w:val="00B93640"/>
    <w:rsid w:val="00B955D5"/>
    <w:rsid w:val="00B95833"/>
    <w:rsid w:val="00BA0ED9"/>
    <w:rsid w:val="00BA1824"/>
    <w:rsid w:val="00BA2D98"/>
    <w:rsid w:val="00BA2F0C"/>
    <w:rsid w:val="00BA30D1"/>
    <w:rsid w:val="00BA30E1"/>
    <w:rsid w:val="00BA4609"/>
    <w:rsid w:val="00BA5BE2"/>
    <w:rsid w:val="00BA68CE"/>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A1D"/>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1D3"/>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6F9"/>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9BE"/>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7ED"/>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0EB"/>
    <w:rsid w:val="00D02596"/>
    <w:rsid w:val="00D0280D"/>
    <w:rsid w:val="00D02AEF"/>
    <w:rsid w:val="00D03EC9"/>
    <w:rsid w:val="00D05669"/>
    <w:rsid w:val="00D061EB"/>
    <w:rsid w:val="00D06952"/>
    <w:rsid w:val="00D07A72"/>
    <w:rsid w:val="00D10577"/>
    <w:rsid w:val="00D12405"/>
    <w:rsid w:val="00D12A4E"/>
    <w:rsid w:val="00D1323B"/>
    <w:rsid w:val="00D14BAE"/>
    <w:rsid w:val="00D14DF7"/>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131B"/>
    <w:rsid w:val="00D42DD0"/>
    <w:rsid w:val="00D43978"/>
    <w:rsid w:val="00D43CBD"/>
    <w:rsid w:val="00D4493E"/>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435"/>
    <w:rsid w:val="00D65FAB"/>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319"/>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286D"/>
    <w:rsid w:val="00DD2CAF"/>
    <w:rsid w:val="00DD3593"/>
    <w:rsid w:val="00DD64E0"/>
    <w:rsid w:val="00DD775C"/>
    <w:rsid w:val="00DD7BE0"/>
    <w:rsid w:val="00DE0C67"/>
    <w:rsid w:val="00DE1BB6"/>
    <w:rsid w:val="00DE3555"/>
    <w:rsid w:val="00DE3AAD"/>
    <w:rsid w:val="00DE598A"/>
    <w:rsid w:val="00DE687D"/>
    <w:rsid w:val="00DE6952"/>
    <w:rsid w:val="00DE6FBE"/>
    <w:rsid w:val="00DE7A7D"/>
    <w:rsid w:val="00DE7E74"/>
    <w:rsid w:val="00DF0669"/>
    <w:rsid w:val="00DF071B"/>
    <w:rsid w:val="00DF44C6"/>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3E5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481"/>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5808"/>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55D"/>
    <w:rsid w:val="00F70B44"/>
    <w:rsid w:val="00F71436"/>
    <w:rsid w:val="00F718A8"/>
    <w:rsid w:val="00F7207E"/>
    <w:rsid w:val="00F72183"/>
    <w:rsid w:val="00F75C12"/>
    <w:rsid w:val="00F76096"/>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C2D"/>
    <w:rsid w:val="00FD7B23"/>
    <w:rsid w:val="00FE2A48"/>
    <w:rsid w:val="00FE2DEF"/>
    <w:rsid w:val="00FE323C"/>
    <w:rsid w:val="00FE3A27"/>
    <w:rsid w:val="00FE48A6"/>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19</cp:revision>
  <cp:lastPrinted>2012-01-09T15:26:00Z</cp:lastPrinted>
  <dcterms:created xsi:type="dcterms:W3CDTF">2012-01-09T16:35:00Z</dcterms:created>
  <dcterms:modified xsi:type="dcterms:W3CDTF">2012-03-02T13:32:00Z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