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69" w:rsidRPr="00396779" w:rsidRDefault="00700069" w:rsidP="00510F9C">
      <w:pPr>
        <w:tabs>
          <w:tab w:val="left" w:pos="288"/>
          <w:tab w:val="left" w:pos="4752"/>
        </w:tabs>
        <w:spacing w:line="240" w:lineRule="exact"/>
        <w:jc w:val="center"/>
        <w:rPr>
          <w:color w:val="auto"/>
        </w:rPr>
      </w:pPr>
      <w:r w:rsidRPr="00396779">
        <w:rPr>
          <w:color w:val="auto"/>
        </w:rPr>
        <w:t>RECORD OF PROCEEDINGS</w:t>
      </w:r>
    </w:p>
    <w:p w:rsidR="00700069" w:rsidRPr="00396779" w:rsidRDefault="00700069" w:rsidP="00510F9C">
      <w:pPr>
        <w:tabs>
          <w:tab w:val="left" w:pos="288"/>
          <w:tab w:val="left" w:pos="4752"/>
        </w:tabs>
        <w:spacing w:line="240" w:lineRule="exact"/>
        <w:jc w:val="center"/>
        <w:rPr>
          <w:color w:val="auto"/>
        </w:rPr>
      </w:pPr>
      <w:r w:rsidRPr="00396779">
        <w:rPr>
          <w:color w:val="auto"/>
        </w:rPr>
        <w:t>PHYSICAL DISABILITY BOARD OF REVIEW</w:t>
      </w:r>
    </w:p>
    <w:p w:rsidR="00700069" w:rsidRPr="00396779" w:rsidRDefault="00700069" w:rsidP="00510F9C">
      <w:pPr>
        <w:tabs>
          <w:tab w:val="left" w:pos="288"/>
          <w:tab w:val="left" w:pos="4752"/>
        </w:tabs>
        <w:spacing w:line="240" w:lineRule="exact"/>
        <w:jc w:val="both"/>
        <w:rPr>
          <w:caps/>
          <w:color w:val="auto"/>
        </w:rPr>
      </w:pPr>
    </w:p>
    <w:p w:rsidR="00700069" w:rsidRPr="00B00EE6" w:rsidRDefault="00700069" w:rsidP="00694A57">
      <w:pPr>
        <w:tabs>
          <w:tab w:val="right" w:pos="9270"/>
        </w:tabs>
        <w:spacing w:line="240" w:lineRule="exact"/>
        <w:jc w:val="both"/>
        <w:rPr>
          <w:caps/>
          <w:color w:val="auto"/>
        </w:rPr>
      </w:pPr>
      <w:r w:rsidRPr="00B00EE6">
        <w:rPr>
          <w:caps/>
          <w:color w:val="auto"/>
        </w:rPr>
        <w:t xml:space="preserve">NAME: </w:t>
      </w:r>
      <w:r w:rsidR="007E63F8">
        <w:rPr>
          <w:caps/>
          <w:color w:val="auto"/>
        </w:rPr>
        <w:t xml:space="preserve"> </w:t>
      </w:r>
      <w:r w:rsidRPr="00B00EE6">
        <w:rPr>
          <w:caps/>
          <w:color w:val="auto"/>
        </w:rPr>
        <w:t xml:space="preserve">            </w:t>
      </w:r>
      <w:r w:rsidRPr="00B00EE6">
        <w:rPr>
          <w:caps/>
          <w:color w:val="auto"/>
        </w:rPr>
        <w:tab/>
        <w:t xml:space="preserve">                BRANCH OF SERVICE:  Army </w:t>
      </w:r>
    </w:p>
    <w:p w:rsidR="00700069" w:rsidRDefault="00700069" w:rsidP="00694A57">
      <w:pPr>
        <w:tabs>
          <w:tab w:val="right" w:pos="9270"/>
        </w:tabs>
        <w:spacing w:line="240" w:lineRule="exact"/>
        <w:jc w:val="both"/>
        <w:rPr>
          <w:caps/>
          <w:color w:val="auto"/>
        </w:rPr>
      </w:pPr>
      <w:r w:rsidRPr="00B00EE6">
        <w:rPr>
          <w:caps/>
          <w:color w:val="auto"/>
        </w:rPr>
        <w:t>CASE NUMBER:  PD1100380</w:t>
      </w:r>
      <w:r w:rsidRPr="00DE3AAD">
        <w:rPr>
          <w:color w:val="auto"/>
        </w:rPr>
        <w:t xml:space="preserve"> </w:t>
      </w:r>
      <w:r>
        <w:rPr>
          <w:color w:val="auto"/>
        </w:rPr>
        <w:tab/>
        <w:t xml:space="preserve">                       </w:t>
      </w:r>
      <w:r w:rsidRPr="00DE3AAD">
        <w:rPr>
          <w:color w:val="auto"/>
        </w:rPr>
        <w:t>SEPARATION DATE:  20080630</w:t>
      </w:r>
    </w:p>
    <w:p w:rsidR="00700069" w:rsidRPr="00784EA0" w:rsidRDefault="00700069" w:rsidP="006B54DC">
      <w:pPr>
        <w:tabs>
          <w:tab w:val="left" w:pos="288"/>
          <w:tab w:val="left" w:pos="3600"/>
          <w:tab w:val="left" w:pos="5130"/>
        </w:tabs>
        <w:spacing w:line="240" w:lineRule="exact"/>
        <w:rPr>
          <w:caps/>
          <w:color w:val="auto"/>
        </w:rPr>
      </w:pPr>
      <w:r w:rsidRPr="00FD6C41">
        <w:rPr>
          <w:caps/>
          <w:color w:val="auto"/>
        </w:rPr>
        <w:t xml:space="preserve">BOARD DATE: </w:t>
      </w:r>
      <w:r>
        <w:rPr>
          <w:caps/>
          <w:color w:val="auto"/>
        </w:rPr>
        <w:t xml:space="preserve"> </w:t>
      </w:r>
      <w:r w:rsidR="008924F4">
        <w:rPr>
          <w:caps/>
          <w:color w:val="auto"/>
        </w:rPr>
        <w:t>2012</w:t>
      </w:r>
      <w:r w:rsidR="00550401" w:rsidRPr="00550401">
        <w:rPr>
          <w:caps/>
          <w:color w:val="auto"/>
        </w:rPr>
        <w:t xml:space="preserve">0120  </w:t>
      </w:r>
      <w:r w:rsidRPr="00550401">
        <w:rPr>
          <w:caps/>
          <w:color w:val="auto"/>
        </w:rPr>
        <w:t xml:space="preserve"> </w:t>
      </w:r>
    </w:p>
    <w:p w:rsidR="00700069" w:rsidRDefault="00700069" w:rsidP="00510F9C">
      <w:pPr>
        <w:pBdr>
          <w:bottom w:val="single" w:sz="12" w:space="1" w:color="auto"/>
        </w:pBdr>
        <w:tabs>
          <w:tab w:val="left" w:pos="288"/>
          <w:tab w:val="left" w:pos="4752"/>
        </w:tabs>
        <w:spacing w:line="240" w:lineRule="exact"/>
        <w:jc w:val="both"/>
        <w:rPr>
          <w:color w:val="auto"/>
          <w:u w:val="single"/>
        </w:rPr>
      </w:pPr>
    </w:p>
    <w:p w:rsidR="00700069" w:rsidRDefault="00700069" w:rsidP="00510F9C">
      <w:pPr>
        <w:tabs>
          <w:tab w:val="left" w:pos="288"/>
          <w:tab w:val="left" w:pos="4752"/>
        </w:tabs>
        <w:spacing w:line="240" w:lineRule="exact"/>
        <w:jc w:val="both"/>
        <w:rPr>
          <w:color w:val="auto"/>
        </w:rPr>
      </w:pPr>
    </w:p>
    <w:p w:rsidR="00700069" w:rsidRPr="00C472C7" w:rsidRDefault="00700069"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was an active duty</w:t>
      </w:r>
      <w:r>
        <w:rPr>
          <w:color w:val="auto"/>
        </w:rPr>
        <w:t xml:space="preserve"> </w:t>
      </w:r>
      <w:r w:rsidRPr="00AD7F8F">
        <w:rPr>
          <w:color w:val="auto"/>
        </w:rPr>
        <w:t>S</w:t>
      </w:r>
      <w:r w:rsidR="00C81C23">
        <w:rPr>
          <w:color w:val="auto"/>
        </w:rPr>
        <w:t>GT</w:t>
      </w:r>
      <w:r w:rsidRPr="00AD7F8F">
        <w:rPr>
          <w:color w:val="auto"/>
        </w:rPr>
        <w:t>/E-5 (</w:t>
      </w:r>
      <w:r w:rsidR="00694A57">
        <w:rPr>
          <w:color w:val="auto"/>
        </w:rPr>
        <w:t>68W, Combat M</w:t>
      </w:r>
      <w:r>
        <w:rPr>
          <w:color w:val="auto"/>
        </w:rPr>
        <w:t>edic</w:t>
      </w:r>
      <w:r w:rsidRPr="00AD7F8F">
        <w:rPr>
          <w:color w:val="auto"/>
        </w:rPr>
        <w:t>)</w:t>
      </w:r>
      <w:r>
        <w:rPr>
          <w:color w:val="auto"/>
        </w:rPr>
        <w:t xml:space="preserve">, </w:t>
      </w:r>
      <w:r w:rsidRPr="00AD7F8F">
        <w:rPr>
          <w:color w:val="auto"/>
        </w:rPr>
        <w:t>medically separated for bilateral shoulder pain</w:t>
      </w:r>
      <w:r>
        <w:rPr>
          <w:i/>
          <w:color w:val="auto"/>
        </w:rPr>
        <w:t>.</w:t>
      </w:r>
      <w:r>
        <w:rPr>
          <w:color w:val="auto"/>
        </w:rPr>
        <w:t xml:space="preserve">  The CI first experienced shoulder pain during field exercises in 2003.  </w:t>
      </w:r>
      <w:r w:rsidR="008924F4">
        <w:rPr>
          <w:color w:val="auto"/>
        </w:rPr>
        <w:t xml:space="preserve">He suffered recurrent dislocations of both shoulders, with surgical repairs </w:t>
      </w:r>
      <w:r w:rsidR="000437BF">
        <w:rPr>
          <w:color w:val="auto"/>
        </w:rPr>
        <w:t>for each joint</w:t>
      </w:r>
      <w:r w:rsidR="008924F4">
        <w:rPr>
          <w:color w:val="auto"/>
        </w:rPr>
        <w:t xml:space="preserve">.  </w:t>
      </w:r>
      <w:r w:rsidR="009E5001">
        <w:rPr>
          <w:color w:val="auto"/>
        </w:rPr>
        <w:t>Despite rehabilitation he</w:t>
      </w:r>
      <w:r w:rsidRPr="00B00EE6">
        <w:rPr>
          <w:color w:val="auto"/>
        </w:rPr>
        <w:t xml:space="preserve"> did not respond adequately to </w:t>
      </w:r>
      <w:r w:rsidR="009E5001">
        <w:rPr>
          <w:color w:val="auto"/>
        </w:rPr>
        <w:t xml:space="preserve">fully </w:t>
      </w:r>
      <w:r w:rsidRPr="00B00EE6">
        <w:rPr>
          <w:color w:val="auto"/>
        </w:rPr>
        <w:t xml:space="preserve">perform within his Military Occupational Specialty (MOS) or meet physical fitness standards.  He was issued a permanent U3 profile and </w:t>
      </w:r>
      <w:r w:rsidR="008924F4">
        <w:rPr>
          <w:color w:val="auto"/>
        </w:rPr>
        <w:t>referred for</w:t>
      </w:r>
      <w:r w:rsidRPr="00B00EE6">
        <w:rPr>
          <w:color w:val="auto"/>
        </w:rPr>
        <w:t xml:space="preserve"> a Medical Evaluation Board (MEB).  Bilateral shoulder pain was forwarded to the Physical Evaluation Board (PEB) as medically unacceptable IAW AR 40-501.  </w:t>
      </w:r>
      <w:r w:rsidR="009709C3">
        <w:rPr>
          <w:color w:val="auto"/>
        </w:rPr>
        <w:t>S</w:t>
      </w:r>
      <w:r w:rsidR="008924F4">
        <w:rPr>
          <w:color w:val="auto"/>
        </w:rPr>
        <w:t>leep disorder with</w:t>
      </w:r>
      <w:r w:rsidR="00DB51ED">
        <w:rPr>
          <w:color w:val="auto"/>
        </w:rPr>
        <w:t xml:space="preserve"> insomnia</w:t>
      </w:r>
      <w:r w:rsidRPr="00B00EE6">
        <w:rPr>
          <w:color w:val="auto"/>
        </w:rPr>
        <w:t xml:space="preserve"> </w:t>
      </w:r>
      <w:r w:rsidR="009709C3">
        <w:rPr>
          <w:color w:val="auto"/>
        </w:rPr>
        <w:t>was</w:t>
      </w:r>
      <w:r w:rsidRPr="00B00EE6">
        <w:rPr>
          <w:color w:val="auto"/>
        </w:rPr>
        <w:t xml:space="preserve"> </w:t>
      </w:r>
      <w:r w:rsidR="00DB51ED">
        <w:rPr>
          <w:color w:val="auto"/>
        </w:rPr>
        <w:t xml:space="preserve">also evaluated by the MEB, and </w:t>
      </w:r>
      <w:r w:rsidRPr="00B00EE6">
        <w:rPr>
          <w:color w:val="auto"/>
        </w:rPr>
        <w:t xml:space="preserve">forwarded </w:t>
      </w:r>
      <w:r w:rsidR="00DB51ED">
        <w:rPr>
          <w:color w:val="auto"/>
        </w:rPr>
        <w:t>as</w:t>
      </w:r>
      <w:r w:rsidR="009709C3">
        <w:rPr>
          <w:color w:val="auto"/>
        </w:rPr>
        <w:t xml:space="preserve"> </w:t>
      </w:r>
      <w:r w:rsidR="00DB51ED">
        <w:rPr>
          <w:color w:val="auto"/>
        </w:rPr>
        <w:t xml:space="preserve">a </w:t>
      </w:r>
      <w:r w:rsidRPr="00B00EE6">
        <w:rPr>
          <w:color w:val="auto"/>
        </w:rPr>
        <w:t xml:space="preserve">medically acceptable condition.  </w:t>
      </w:r>
      <w:r w:rsidR="009709C3" w:rsidRPr="009709C3">
        <w:rPr>
          <w:color w:val="auto"/>
        </w:rPr>
        <w:t>T</w:t>
      </w:r>
      <w:r w:rsidR="009709C3">
        <w:rPr>
          <w:color w:val="auto"/>
        </w:rPr>
        <w:t>hree</w:t>
      </w:r>
      <w:r w:rsidR="009709C3" w:rsidRPr="009709C3">
        <w:rPr>
          <w:color w:val="auto"/>
        </w:rPr>
        <w:t xml:space="preserve"> additional </w:t>
      </w:r>
      <w:r w:rsidR="00DB51ED">
        <w:rPr>
          <w:color w:val="auto"/>
        </w:rPr>
        <w:t xml:space="preserve">Axis I </w:t>
      </w:r>
      <w:r w:rsidR="009709C3" w:rsidRPr="009709C3">
        <w:rPr>
          <w:color w:val="auto"/>
        </w:rPr>
        <w:t xml:space="preserve">conditions </w:t>
      </w:r>
      <w:r w:rsidR="00DB51ED">
        <w:rPr>
          <w:color w:val="auto"/>
        </w:rPr>
        <w:t xml:space="preserve">(as per the chart below) were forwarded on the MEB’s DA Form 3947; but </w:t>
      </w:r>
      <w:r w:rsidR="009709C3" w:rsidRPr="009709C3">
        <w:rPr>
          <w:color w:val="auto"/>
        </w:rPr>
        <w:t xml:space="preserve">are not ratable conditions IAW </w:t>
      </w:r>
      <w:proofErr w:type="spellStart"/>
      <w:r w:rsidR="009709C3" w:rsidRPr="009709C3">
        <w:rPr>
          <w:color w:val="auto"/>
        </w:rPr>
        <w:t>DoD</w:t>
      </w:r>
      <w:proofErr w:type="spellEnd"/>
      <w:r w:rsidR="009709C3" w:rsidRPr="009709C3">
        <w:rPr>
          <w:color w:val="auto"/>
        </w:rPr>
        <w:t xml:space="preserve"> and VA regulations and will not be discussed further.</w:t>
      </w:r>
      <w:r w:rsidR="009709C3">
        <w:rPr>
          <w:color w:val="auto"/>
        </w:rPr>
        <w:t xml:space="preserve">  </w:t>
      </w:r>
      <w:r w:rsidR="00694A57">
        <w:rPr>
          <w:color w:val="auto"/>
        </w:rPr>
        <w:t>The PEB</w:t>
      </w:r>
      <w:r w:rsidRPr="00B00EE6">
        <w:rPr>
          <w:color w:val="auto"/>
        </w:rPr>
        <w:t xml:space="preserve"> adjudicated </w:t>
      </w:r>
      <w:r w:rsidR="00DB51ED">
        <w:rPr>
          <w:color w:val="auto"/>
        </w:rPr>
        <w:t xml:space="preserve">separate </w:t>
      </w:r>
      <w:r w:rsidRPr="00B00EE6">
        <w:rPr>
          <w:color w:val="auto"/>
        </w:rPr>
        <w:t xml:space="preserve">right and left shoulder conditions as unfitting, rated 10% </w:t>
      </w:r>
      <w:r w:rsidR="009E5001">
        <w:rPr>
          <w:color w:val="auto"/>
        </w:rPr>
        <w:t>each</w:t>
      </w:r>
      <w:r w:rsidRPr="00B00EE6">
        <w:rPr>
          <w:color w:val="auto"/>
        </w:rPr>
        <w:t>, with application of the Veterans Administration Schedule for Rating Disabilities (VASRD).  The CI made no appeals, and was medically separated with a 20% combined disability rating.</w:t>
      </w:r>
    </w:p>
    <w:p w:rsidR="00700069" w:rsidRDefault="00700069" w:rsidP="00510F9C">
      <w:pPr>
        <w:pBdr>
          <w:bottom w:val="single" w:sz="12" w:space="1" w:color="auto"/>
        </w:pBdr>
        <w:tabs>
          <w:tab w:val="left" w:pos="288"/>
          <w:tab w:val="left" w:pos="4752"/>
        </w:tabs>
        <w:spacing w:line="240" w:lineRule="exact"/>
        <w:jc w:val="both"/>
        <w:rPr>
          <w:color w:val="auto"/>
        </w:rPr>
      </w:pPr>
    </w:p>
    <w:p w:rsidR="00700069" w:rsidRDefault="00700069" w:rsidP="00510F9C">
      <w:pPr>
        <w:tabs>
          <w:tab w:val="left" w:pos="288"/>
          <w:tab w:val="left" w:pos="4752"/>
        </w:tabs>
        <w:spacing w:line="240" w:lineRule="exact"/>
        <w:jc w:val="both"/>
        <w:rPr>
          <w:color w:val="auto"/>
          <w:u w:val="single"/>
        </w:rPr>
      </w:pPr>
    </w:p>
    <w:p w:rsidR="00700069" w:rsidRPr="005C4D72" w:rsidRDefault="00700069"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Army’s PEB determined that I was unfit due to chronic pain and instability for my right and left shoulders; rated at 20% disability; to be separated with disability severance pay.  I was not diagnosed for PTSD while on active duty, but rather diagnosed for a different condition.  I have PTSD</w:t>
      </w:r>
      <w:r w:rsidR="00EB4308">
        <w:rPr>
          <w:color w:val="auto"/>
        </w:rPr>
        <w:t xml:space="preserve"> [post-traumatic stress disorder]</w:t>
      </w:r>
      <w:r w:rsidRPr="00057019">
        <w:rPr>
          <w:color w:val="auto"/>
        </w:rPr>
        <w:t xml:space="preserve">, I am diagnosed with PTSD by the Veterans Affairs Medical Center, Memphis, TN and am receiving Veterans Affairs service connection compensation for this condition rated at 30% and overall receiving service connection compensation 60%.  I am currently in the PTSD residential program at the VA Memphis Medical Center…. Request my SEVPAY 20% be upgraded to Temporary Disability Retirement List </w:t>
      </w:r>
      <w:r w:rsidR="00181711">
        <w:rPr>
          <w:color w:val="auto"/>
        </w:rPr>
        <w:t xml:space="preserve">[TDRL] </w:t>
      </w:r>
      <w:r w:rsidRPr="00057019">
        <w:rPr>
          <w:color w:val="auto"/>
        </w:rPr>
        <w:t>at a minimum of 50% rating due to PTSD to be effective the date of discharge of 30 June 2010, and then be transferred to the Permanent Disability Retirement List effective 6 months from that date, with a percentage appropriate to my injury/illness.”</w:t>
      </w:r>
      <w:r>
        <w:rPr>
          <w:color w:val="auto"/>
        </w:rPr>
        <w:t xml:space="preserve">  </w:t>
      </w:r>
    </w:p>
    <w:p w:rsidR="00700069" w:rsidRDefault="00700069" w:rsidP="00510F9C">
      <w:pPr>
        <w:pBdr>
          <w:bottom w:val="single" w:sz="12" w:space="1" w:color="auto"/>
        </w:pBdr>
        <w:spacing w:line="240" w:lineRule="exact"/>
        <w:rPr>
          <w:color w:val="auto"/>
          <w:u w:val="single"/>
        </w:rPr>
      </w:pPr>
    </w:p>
    <w:p w:rsidR="00700069" w:rsidRDefault="00700069" w:rsidP="00510F9C">
      <w:pPr>
        <w:spacing w:line="240" w:lineRule="exact"/>
        <w:rPr>
          <w:color w:val="auto"/>
          <w:u w:val="single"/>
        </w:rPr>
      </w:pPr>
    </w:p>
    <w:p w:rsidR="00700069" w:rsidRDefault="00700069" w:rsidP="00B00EE6">
      <w:pPr>
        <w:spacing w:line="240" w:lineRule="exact"/>
        <w:rPr>
          <w:color w:val="auto"/>
        </w:rPr>
      </w:pPr>
      <w:r>
        <w:rPr>
          <w:color w:val="auto"/>
          <w:u w:val="single"/>
        </w:rPr>
        <w:t>R</w:t>
      </w:r>
      <w:r w:rsidRPr="00326C08">
        <w:rPr>
          <w:color w:val="auto"/>
          <w:u w:val="single"/>
        </w:rPr>
        <w:t>ATING COMPARISON</w:t>
      </w:r>
      <w:r w:rsidRPr="00326C08">
        <w:rPr>
          <w:color w:val="auto"/>
        </w:rPr>
        <w:t>:</w:t>
      </w:r>
    </w:p>
    <w:p w:rsidR="00700069" w:rsidRPr="002A4119" w:rsidRDefault="00700069" w:rsidP="00510F9C">
      <w:pPr>
        <w:spacing w:line="240" w:lineRule="exact"/>
        <w:rPr>
          <w:color w:val="auto"/>
        </w:rPr>
      </w:pPr>
    </w:p>
    <w:tbl>
      <w:tblPr>
        <w:tblStyle w:val="TableGrid"/>
        <w:tblW w:w="9417" w:type="dxa"/>
        <w:jc w:val="center"/>
        <w:tblInd w:w="58" w:type="dxa"/>
        <w:tblLayout w:type="fixed"/>
        <w:tblLook w:val="00A0"/>
      </w:tblPr>
      <w:tblGrid>
        <w:gridCol w:w="2279"/>
        <w:gridCol w:w="1011"/>
        <w:gridCol w:w="810"/>
        <w:gridCol w:w="2380"/>
        <w:gridCol w:w="1080"/>
        <w:gridCol w:w="810"/>
        <w:gridCol w:w="1047"/>
      </w:tblGrid>
      <w:tr w:rsidR="00700069" w:rsidRPr="002A4119" w:rsidTr="00AC56AE">
        <w:trPr>
          <w:trHeight w:val="170"/>
          <w:jc w:val="center"/>
        </w:trPr>
        <w:tc>
          <w:tcPr>
            <w:tcW w:w="4100" w:type="dxa"/>
            <w:gridSpan w:val="3"/>
            <w:tcBorders>
              <w:right w:val="thinThickThinSmallGap" w:sz="24" w:space="0" w:color="auto"/>
            </w:tcBorders>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Service IPEB – Dated 20080305</w:t>
            </w:r>
          </w:p>
        </w:tc>
        <w:tc>
          <w:tcPr>
            <w:tcW w:w="5317" w:type="dxa"/>
            <w:gridSpan w:val="4"/>
            <w:tcBorders>
              <w:left w:val="thinThickThinSmallGap" w:sz="24" w:space="0" w:color="auto"/>
            </w:tcBorders>
            <w:shd w:val="clear" w:color="auto" w:fill="D9D9D9"/>
            <w:vAlign w:val="center"/>
          </w:tcPr>
          <w:p w:rsidR="00700069" w:rsidRPr="008B66E0" w:rsidRDefault="00C9342C" w:rsidP="008924F4">
            <w:pPr>
              <w:spacing w:line="240" w:lineRule="exact"/>
              <w:contextualSpacing/>
              <w:jc w:val="center"/>
              <w:rPr>
                <w:b/>
                <w:color w:val="auto"/>
                <w:sz w:val="20"/>
              </w:rPr>
            </w:pPr>
            <w:r>
              <w:rPr>
                <w:b/>
                <w:color w:val="auto"/>
                <w:sz w:val="20"/>
              </w:rPr>
              <w:t>VA (1 Mo. Pre</w:t>
            </w:r>
            <w:r w:rsidR="00700069" w:rsidRPr="008B66E0">
              <w:rPr>
                <w:b/>
                <w:color w:val="auto"/>
                <w:sz w:val="20"/>
              </w:rPr>
              <w:t>-Separation) – All Effective 20080701</w:t>
            </w:r>
          </w:p>
        </w:tc>
      </w:tr>
      <w:tr w:rsidR="00700069" w:rsidRPr="002A4119" w:rsidTr="00AC56AE">
        <w:trPr>
          <w:trHeight w:val="143"/>
          <w:jc w:val="center"/>
        </w:trPr>
        <w:tc>
          <w:tcPr>
            <w:tcW w:w="2279" w:type="dxa"/>
            <w:tcBorders>
              <w:right w:val="single" w:sz="4" w:space="0" w:color="auto"/>
            </w:tcBorders>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Condition</w:t>
            </w:r>
          </w:p>
        </w:tc>
        <w:tc>
          <w:tcPr>
            <w:tcW w:w="1011" w:type="dxa"/>
            <w:tcBorders>
              <w:left w:val="single" w:sz="4" w:space="0" w:color="auto"/>
            </w:tcBorders>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Code</w:t>
            </w:r>
          </w:p>
        </w:tc>
        <w:tc>
          <w:tcPr>
            <w:tcW w:w="810" w:type="dxa"/>
            <w:tcBorders>
              <w:right w:val="thinThickThinSmallGap" w:sz="24" w:space="0" w:color="auto"/>
            </w:tcBorders>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Rating</w:t>
            </w:r>
          </w:p>
        </w:tc>
        <w:tc>
          <w:tcPr>
            <w:tcW w:w="2380" w:type="dxa"/>
            <w:tcBorders>
              <w:left w:val="thinThickThinSmallGap" w:sz="24" w:space="0" w:color="auto"/>
            </w:tcBorders>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Condition</w:t>
            </w:r>
          </w:p>
        </w:tc>
        <w:tc>
          <w:tcPr>
            <w:tcW w:w="1080" w:type="dxa"/>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Code</w:t>
            </w:r>
          </w:p>
        </w:tc>
        <w:tc>
          <w:tcPr>
            <w:tcW w:w="810" w:type="dxa"/>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Rating</w:t>
            </w:r>
          </w:p>
        </w:tc>
        <w:tc>
          <w:tcPr>
            <w:tcW w:w="1047" w:type="dxa"/>
            <w:shd w:val="clear" w:color="auto" w:fill="D9D9D9"/>
            <w:vAlign w:val="center"/>
          </w:tcPr>
          <w:p w:rsidR="00700069" w:rsidRPr="008B66E0" w:rsidRDefault="00700069" w:rsidP="008924F4">
            <w:pPr>
              <w:spacing w:line="240" w:lineRule="exact"/>
              <w:contextualSpacing/>
              <w:jc w:val="center"/>
              <w:rPr>
                <w:b/>
                <w:color w:val="auto"/>
                <w:sz w:val="20"/>
              </w:rPr>
            </w:pPr>
            <w:r w:rsidRPr="008B66E0">
              <w:rPr>
                <w:b/>
                <w:color w:val="auto"/>
                <w:sz w:val="20"/>
              </w:rPr>
              <w:t>Exam</w:t>
            </w:r>
          </w:p>
        </w:tc>
      </w:tr>
      <w:tr w:rsidR="00700069" w:rsidRPr="002A4119" w:rsidTr="00AC56AE">
        <w:trPr>
          <w:trHeight w:val="107"/>
          <w:jc w:val="center"/>
        </w:trPr>
        <w:tc>
          <w:tcPr>
            <w:tcW w:w="2279" w:type="dxa"/>
            <w:tcBorders>
              <w:right w:val="single" w:sz="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Chronic Right Shoulder Pain</w:t>
            </w:r>
          </w:p>
        </w:tc>
        <w:tc>
          <w:tcPr>
            <w:tcW w:w="1011" w:type="dxa"/>
            <w:tcBorders>
              <w:left w:val="single" w:sz="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5099-5003</w:t>
            </w:r>
          </w:p>
        </w:tc>
        <w:tc>
          <w:tcPr>
            <w:tcW w:w="810" w:type="dxa"/>
            <w:tcBorders>
              <w:righ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10%</w:t>
            </w:r>
          </w:p>
        </w:tc>
        <w:tc>
          <w:tcPr>
            <w:tcW w:w="2380" w:type="dxa"/>
            <w:tcBorders>
              <w:left w:val="thinThickThinSmallGap" w:sz="2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Right Shoulder</w:t>
            </w:r>
          </w:p>
        </w:tc>
        <w:tc>
          <w:tcPr>
            <w:tcW w:w="1080"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5201-5024</w:t>
            </w:r>
          </w:p>
        </w:tc>
        <w:tc>
          <w:tcPr>
            <w:tcW w:w="810"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10%</w:t>
            </w:r>
          </w:p>
        </w:tc>
        <w:tc>
          <w:tcPr>
            <w:tcW w:w="1047"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20080519</w:t>
            </w:r>
          </w:p>
        </w:tc>
      </w:tr>
      <w:tr w:rsidR="00700069" w:rsidRPr="002A4119" w:rsidTr="00AC56AE">
        <w:trPr>
          <w:trHeight w:val="53"/>
          <w:jc w:val="center"/>
        </w:trPr>
        <w:tc>
          <w:tcPr>
            <w:tcW w:w="2279" w:type="dxa"/>
            <w:tcBorders>
              <w:right w:val="single" w:sz="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Chronic Left Shoulder Pain</w:t>
            </w:r>
          </w:p>
        </w:tc>
        <w:tc>
          <w:tcPr>
            <w:tcW w:w="1011" w:type="dxa"/>
            <w:tcBorders>
              <w:left w:val="single" w:sz="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5099-5003</w:t>
            </w:r>
          </w:p>
        </w:tc>
        <w:tc>
          <w:tcPr>
            <w:tcW w:w="810" w:type="dxa"/>
            <w:tcBorders>
              <w:righ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10%</w:t>
            </w:r>
          </w:p>
        </w:tc>
        <w:tc>
          <w:tcPr>
            <w:tcW w:w="2380" w:type="dxa"/>
            <w:tcBorders>
              <w:left w:val="thinThickThinSmallGap" w:sz="24" w:space="0" w:color="auto"/>
              <w:right w:val="single" w:sz="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Left Shoulder</w:t>
            </w:r>
          </w:p>
        </w:tc>
        <w:tc>
          <w:tcPr>
            <w:tcW w:w="1080" w:type="dxa"/>
            <w:tcBorders>
              <w:left w:val="single" w:sz="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5201-5024</w:t>
            </w:r>
          </w:p>
        </w:tc>
        <w:tc>
          <w:tcPr>
            <w:tcW w:w="810"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10%</w:t>
            </w:r>
          </w:p>
        </w:tc>
        <w:tc>
          <w:tcPr>
            <w:tcW w:w="1047"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20080519</w:t>
            </w:r>
          </w:p>
        </w:tc>
      </w:tr>
      <w:tr w:rsidR="009E5001" w:rsidRPr="002A4119" w:rsidTr="00AC56AE">
        <w:trPr>
          <w:trHeight w:val="152"/>
          <w:jc w:val="center"/>
        </w:trPr>
        <w:tc>
          <w:tcPr>
            <w:tcW w:w="2279" w:type="dxa"/>
            <w:tcBorders>
              <w:right w:val="single" w:sz="4" w:space="0" w:color="auto"/>
            </w:tcBorders>
            <w:shd w:val="clear" w:color="auto" w:fill="FFFFFF"/>
            <w:vAlign w:val="center"/>
          </w:tcPr>
          <w:p w:rsidR="009E5001" w:rsidRPr="008B66E0" w:rsidRDefault="009E5001" w:rsidP="00AC5462">
            <w:pPr>
              <w:spacing w:line="180" w:lineRule="exact"/>
              <w:contextualSpacing/>
              <w:rPr>
                <w:color w:val="auto"/>
                <w:sz w:val="18"/>
              </w:rPr>
            </w:pPr>
            <w:r w:rsidRPr="008B66E0">
              <w:rPr>
                <w:color w:val="auto"/>
                <w:sz w:val="18"/>
              </w:rPr>
              <w:t>Sleep Disorder, Insomnia</w:t>
            </w:r>
          </w:p>
        </w:tc>
        <w:tc>
          <w:tcPr>
            <w:tcW w:w="1821" w:type="dxa"/>
            <w:gridSpan w:val="2"/>
            <w:tcBorders>
              <w:left w:val="single" w:sz="4" w:space="0" w:color="auto"/>
              <w:right w:val="thinThickThinSmallGap" w:sz="24" w:space="0" w:color="auto"/>
            </w:tcBorders>
            <w:shd w:val="clear" w:color="auto" w:fill="FFFFFF"/>
            <w:vAlign w:val="center"/>
          </w:tcPr>
          <w:p w:rsidR="009E5001" w:rsidRPr="008B66E0" w:rsidRDefault="009E5001" w:rsidP="00AC5462">
            <w:pPr>
              <w:spacing w:line="180" w:lineRule="exact"/>
              <w:jc w:val="center"/>
              <w:rPr>
                <w:color w:val="auto"/>
                <w:sz w:val="18"/>
              </w:rPr>
            </w:pPr>
            <w:r w:rsidRPr="008B66E0">
              <w:rPr>
                <w:color w:val="auto"/>
                <w:sz w:val="18"/>
              </w:rPr>
              <w:t>Not Unfitting</w:t>
            </w:r>
          </w:p>
        </w:tc>
        <w:tc>
          <w:tcPr>
            <w:tcW w:w="2380" w:type="dxa"/>
            <w:vMerge w:val="restart"/>
            <w:tcBorders>
              <w:left w:val="thinThickThinSmallGap" w:sz="24" w:space="0" w:color="auto"/>
              <w:right w:val="single" w:sz="4" w:space="0" w:color="auto"/>
            </w:tcBorders>
            <w:shd w:val="clear" w:color="auto" w:fill="FFFFFF"/>
            <w:vAlign w:val="center"/>
          </w:tcPr>
          <w:p w:rsidR="009E5001" w:rsidRPr="008B66E0" w:rsidRDefault="009E5001" w:rsidP="00AC5462">
            <w:pPr>
              <w:spacing w:line="180" w:lineRule="exact"/>
              <w:contextualSpacing/>
              <w:rPr>
                <w:color w:val="auto"/>
                <w:sz w:val="18"/>
              </w:rPr>
            </w:pPr>
            <w:r w:rsidRPr="008B66E0">
              <w:rPr>
                <w:color w:val="auto"/>
                <w:sz w:val="18"/>
              </w:rPr>
              <w:t xml:space="preserve">Mixed Anxiety/Depressive </w:t>
            </w:r>
            <w:r>
              <w:rPr>
                <w:color w:val="auto"/>
                <w:sz w:val="18"/>
              </w:rPr>
              <w:t>Disorder</w:t>
            </w:r>
            <w:r w:rsidR="00DB51ED">
              <w:rPr>
                <w:color w:val="auto"/>
                <w:sz w:val="18"/>
              </w:rPr>
              <w:t>*</w:t>
            </w:r>
          </w:p>
        </w:tc>
        <w:tc>
          <w:tcPr>
            <w:tcW w:w="1080" w:type="dxa"/>
            <w:vMerge w:val="restart"/>
            <w:tcBorders>
              <w:left w:val="single" w:sz="4" w:space="0" w:color="auto"/>
              <w:right w:val="single" w:sz="4" w:space="0" w:color="auto"/>
            </w:tcBorders>
            <w:shd w:val="clear" w:color="auto" w:fill="FFFFFF"/>
            <w:vAlign w:val="center"/>
          </w:tcPr>
          <w:p w:rsidR="009E5001" w:rsidRPr="008B66E0" w:rsidRDefault="009E5001" w:rsidP="00AC5462">
            <w:pPr>
              <w:spacing w:line="180" w:lineRule="exact"/>
              <w:contextualSpacing/>
              <w:jc w:val="center"/>
              <w:rPr>
                <w:color w:val="auto"/>
                <w:sz w:val="18"/>
              </w:rPr>
            </w:pPr>
            <w:r w:rsidRPr="008B66E0">
              <w:rPr>
                <w:color w:val="auto"/>
                <w:sz w:val="18"/>
              </w:rPr>
              <w:t>*9400</w:t>
            </w:r>
          </w:p>
        </w:tc>
        <w:tc>
          <w:tcPr>
            <w:tcW w:w="810" w:type="dxa"/>
            <w:vMerge w:val="restart"/>
            <w:tcBorders>
              <w:left w:val="single" w:sz="4" w:space="0" w:color="auto"/>
            </w:tcBorders>
            <w:shd w:val="clear" w:color="auto" w:fill="FFFFFF"/>
            <w:vAlign w:val="center"/>
          </w:tcPr>
          <w:p w:rsidR="009E5001" w:rsidRPr="008B66E0" w:rsidRDefault="009E5001" w:rsidP="00AC5462">
            <w:pPr>
              <w:spacing w:line="180" w:lineRule="exact"/>
              <w:contextualSpacing/>
              <w:jc w:val="center"/>
              <w:rPr>
                <w:color w:val="auto"/>
                <w:sz w:val="18"/>
              </w:rPr>
            </w:pPr>
            <w:r w:rsidRPr="008B66E0">
              <w:rPr>
                <w:color w:val="auto"/>
                <w:sz w:val="18"/>
              </w:rPr>
              <w:t>10%</w:t>
            </w:r>
          </w:p>
        </w:tc>
        <w:tc>
          <w:tcPr>
            <w:tcW w:w="1047" w:type="dxa"/>
            <w:vMerge w:val="restart"/>
            <w:shd w:val="clear" w:color="auto" w:fill="FFFFFF"/>
            <w:vAlign w:val="center"/>
          </w:tcPr>
          <w:p w:rsidR="009E5001" w:rsidRPr="008B66E0" w:rsidRDefault="009E5001" w:rsidP="00AC5462">
            <w:pPr>
              <w:spacing w:line="180" w:lineRule="exact"/>
              <w:contextualSpacing/>
              <w:jc w:val="center"/>
              <w:rPr>
                <w:color w:val="auto"/>
                <w:sz w:val="18"/>
              </w:rPr>
            </w:pPr>
            <w:r w:rsidRPr="008B66E0">
              <w:rPr>
                <w:color w:val="auto"/>
                <w:sz w:val="18"/>
              </w:rPr>
              <w:t>20080516</w:t>
            </w:r>
          </w:p>
        </w:tc>
      </w:tr>
      <w:tr w:rsidR="009E5001" w:rsidRPr="002A4119" w:rsidTr="00AC56AE">
        <w:trPr>
          <w:trHeight w:val="53"/>
          <w:jc w:val="center"/>
        </w:trPr>
        <w:tc>
          <w:tcPr>
            <w:tcW w:w="2279" w:type="dxa"/>
            <w:tcBorders>
              <w:right w:val="single" w:sz="4" w:space="0" w:color="auto"/>
            </w:tcBorders>
            <w:shd w:val="clear" w:color="auto" w:fill="FFFFFF"/>
            <w:vAlign w:val="center"/>
          </w:tcPr>
          <w:p w:rsidR="009E5001" w:rsidRPr="008B66E0" w:rsidRDefault="009E5001" w:rsidP="00AC5462">
            <w:pPr>
              <w:spacing w:line="180" w:lineRule="exact"/>
              <w:contextualSpacing/>
              <w:rPr>
                <w:color w:val="auto"/>
                <w:sz w:val="18"/>
              </w:rPr>
            </w:pPr>
            <w:r w:rsidRPr="008B66E0">
              <w:rPr>
                <w:color w:val="auto"/>
                <w:sz w:val="18"/>
              </w:rPr>
              <w:t>Adjustment Disorder</w:t>
            </w:r>
          </w:p>
        </w:tc>
        <w:tc>
          <w:tcPr>
            <w:tcW w:w="1821" w:type="dxa"/>
            <w:gridSpan w:val="2"/>
            <w:tcBorders>
              <w:left w:val="single" w:sz="4" w:space="0" w:color="auto"/>
              <w:right w:val="thinThickThinSmallGap" w:sz="24" w:space="0" w:color="auto"/>
            </w:tcBorders>
            <w:shd w:val="clear" w:color="auto" w:fill="FFFFFF"/>
            <w:vAlign w:val="center"/>
          </w:tcPr>
          <w:p w:rsidR="009E5001" w:rsidRPr="008B66E0" w:rsidRDefault="009E5001" w:rsidP="00AC5462">
            <w:pPr>
              <w:spacing w:line="180" w:lineRule="exact"/>
              <w:contextualSpacing/>
              <w:jc w:val="center"/>
              <w:rPr>
                <w:color w:val="auto"/>
                <w:sz w:val="18"/>
              </w:rPr>
            </w:pPr>
            <w:r w:rsidRPr="008B66E0">
              <w:rPr>
                <w:color w:val="auto"/>
                <w:sz w:val="18"/>
              </w:rPr>
              <w:t>Not Unfitting</w:t>
            </w:r>
          </w:p>
        </w:tc>
        <w:tc>
          <w:tcPr>
            <w:tcW w:w="2380" w:type="dxa"/>
            <w:vMerge/>
            <w:tcBorders>
              <w:left w:val="thinThickThinSmallGap" w:sz="24" w:space="0" w:color="auto"/>
              <w:right w:val="single" w:sz="4" w:space="0" w:color="auto"/>
            </w:tcBorders>
            <w:shd w:val="clear" w:color="auto" w:fill="FFFFFF"/>
            <w:vAlign w:val="center"/>
          </w:tcPr>
          <w:p w:rsidR="009E5001" w:rsidRPr="008B66E0" w:rsidRDefault="009E5001" w:rsidP="00AC5462">
            <w:pPr>
              <w:spacing w:line="180" w:lineRule="exact"/>
              <w:contextualSpacing/>
              <w:jc w:val="center"/>
              <w:rPr>
                <w:color w:val="auto"/>
                <w:sz w:val="18"/>
              </w:rPr>
            </w:pPr>
          </w:p>
        </w:tc>
        <w:tc>
          <w:tcPr>
            <w:tcW w:w="1080" w:type="dxa"/>
            <w:vMerge/>
            <w:tcBorders>
              <w:left w:val="single" w:sz="4" w:space="0" w:color="auto"/>
              <w:right w:val="single" w:sz="4" w:space="0" w:color="auto"/>
            </w:tcBorders>
            <w:shd w:val="clear" w:color="auto" w:fill="FFFFFF"/>
            <w:vAlign w:val="center"/>
          </w:tcPr>
          <w:p w:rsidR="009E5001" w:rsidRPr="008B66E0" w:rsidRDefault="009E5001" w:rsidP="00AC5462">
            <w:pPr>
              <w:spacing w:line="180" w:lineRule="exact"/>
              <w:contextualSpacing/>
              <w:jc w:val="center"/>
              <w:rPr>
                <w:color w:val="auto"/>
                <w:sz w:val="18"/>
              </w:rPr>
            </w:pPr>
          </w:p>
        </w:tc>
        <w:tc>
          <w:tcPr>
            <w:tcW w:w="810" w:type="dxa"/>
            <w:vMerge/>
            <w:tcBorders>
              <w:left w:val="single" w:sz="4" w:space="0" w:color="auto"/>
            </w:tcBorders>
            <w:shd w:val="clear" w:color="auto" w:fill="FFFFFF"/>
            <w:vAlign w:val="center"/>
          </w:tcPr>
          <w:p w:rsidR="009E5001" w:rsidRPr="008B66E0" w:rsidRDefault="009E5001" w:rsidP="00AC5462">
            <w:pPr>
              <w:spacing w:line="180" w:lineRule="exact"/>
              <w:contextualSpacing/>
              <w:jc w:val="center"/>
              <w:rPr>
                <w:color w:val="auto"/>
                <w:sz w:val="18"/>
              </w:rPr>
            </w:pPr>
          </w:p>
        </w:tc>
        <w:tc>
          <w:tcPr>
            <w:tcW w:w="1047" w:type="dxa"/>
            <w:vMerge/>
            <w:shd w:val="clear" w:color="auto" w:fill="FFFFFF"/>
            <w:vAlign w:val="center"/>
          </w:tcPr>
          <w:p w:rsidR="009E5001" w:rsidRPr="008B66E0" w:rsidRDefault="009E5001" w:rsidP="00AC5462">
            <w:pPr>
              <w:spacing w:line="180" w:lineRule="exact"/>
              <w:contextualSpacing/>
              <w:jc w:val="center"/>
              <w:rPr>
                <w:color w:val="auto"/>
                <w:sz w:val="18"/>
                <w:highlight w:val="yellow"/>
              </w:rPr>
            </w:pPr>
          </w:p>
        </w:tc>
      </w:tr>
      <w:tr w:rsidR="00700069" w:rsidRPr="002A4119" w:rsidTr="00AC56AE">
        <w:trPr>
          <w:trHeight w:val="66"/>
          <w:jc w:val="center"/>
        </w:trPr>
        <w:tc>
          <w:tcPr>
            <w:tcW w:w="2279" w:type="dxa"/>
            <w:tcBorders>
              <w:right w:val="single" w:sz="4" w:space="0" w:color="auto"/>
            </w:tcBorders>
            <w:shd w:val="clear" w:color="auto" w:fill="FFFFFF"/>
            <w:vAlign w:val="center"/>
          </w:tcPr>
          <w:p w:rsidR="00700069" w:rsidRPr="008B66E0" w:rsidRDefault="008924F4" w:rsidP="00AC5462">
            <w:pPr>
              <w:spacing w:line="180" w:lineRule="exact"/>
              <w:contextualSpacing/>
              <w:rPr>
                <w:color w:val="auto"/>
                <w:sz w:val="18"/>
              </w:rPr>
            </w:pPr>
            <w:r>
              <w:rPr>
                <w:color w:val="auto"/>
                <w:sz w:val="18"/>
              </w:rPr>
              <w:t>Sedative</w:t>
            </w:r>
            <w:r w:rsidR="009709C3" w:rsidRPr="008B66E0">
              <w:rPr>
                <w:color w:val="auto"/>
                <w:sz w:val="18"/>
              </w:rPr>
              <w:t xml:space="preserve"> Abuse</w:t>
            </w:r>
          </w:p>
        </w:tc>
        <w:tc>
          <w:tcPr>
            <w:tcW w:w="1821" w:type="dxa"/>
            <w:gridSpan w:val="2"/>
            <w:tcBorders>
              <w:left w:val="single" w:sz="4" w:space="0" w:color="auto"/>
              <w:right w:val="thinThickThinSmallGap" w:sz="24" w:space="0" w:color="auto"/>
            </w:tcBorders>
            <w:shd w:val="clear" w:color="auto" w:fill="FFFFFF"/>
            <w:vAlign w:val="center"/>
          </w:tcPr>
          <w:p w:rsidR="00700069" w:rsidRPr="008B66E0" w:rsidRDefault="00700069" w:rsidP="00AC5462">
            <w:pPr>
              <w:spacing w:line="180" w:lineRule="exact"/>
              <w:jc w:val="center"/>
            </w:pPr>
            <w:r w:rsidRPr="008B66E0">
              <w:rPr>
                <w:color w:val="auto"/>
                <w:sz w:val="18"/>
              </w:rPr>
              <w:t>Not Unfitting</w:t>
            </w:r>
          </w:p>
        </w:tc>
        <w:tc>
          <w:tcPr>
            <w:tcW w:w="4270" w:type="dxa"/>
            <w:gridSpan w:val="3"/>
            <w:tcBorders>
              <w:lef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No VA Entry</w:t>
            </w:r>
          </w:p>
        </w:tc>
        <w:tc>
          <w:tcPr>
            <w:tcW w:w="1047" w:type="dxa"/>
            <w:shd w:val="clear" w:color="auto" w:fill="FFFFFF"/>
            <w:vAlign w:val="center"/>
          </w:tcPr>
          <w:p w:rsidR="00700069" w:rsidRPr="008B66E0" w:rsidRDefault="00700069" w:rsidP="00AC5462">
            <w:pPr>
              <w:spacing w:line="180" w:lineRule="exact"/>
              <w:jc w:val="center"/>
            </w:pPr>
            <w:r w:rsidRPr="008B66E0">
              <w:rPr>
                <w:color w:val="auto"/>
                <w:sz w:val="18"/>
              </w:rPr>
              <w:t>20080519</w:t>
            </w:r>
          </w:p>
        </w:tc>
      </w:tr>
      <w:tr w:rsidR="00700069" w:rsidRPr="002A4119" w:rsidTr="00AC56AE">
        <w:trPr>
          <w:trHeight w:val="80"/>
          <w:jc w:val="center"/>
        </w:trPr>
        <w:tc>
          <w:tcPr>
            <w:tcW w:w="2279" w:type="dxa"/>
            <w:tcBorders>
              <w:right w:val="single" w:sz="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 xml:space="preserve">Alcohol </w:t>
            </w:r>
            <w:r w:rsidR="009709C3" w:rsidRPr="008B66E0">
              <w:rPr>
                <w:color w:val="auto"/>
                <w:sz w:val="18"/>
              </w:rPr>
              <w:t>Dependence</w:t>
            </w:r>
          </w:p>
        </w:tc>
        <w:tc>
          <w:tcPr>
            <w:tcW w:w="1821" w:type="dxa"/>
            <w:gridSpan w:val="2"/>
            <w:tcBorders>
              <w:left w:val="single" w:sz="4" w:space="0" w:color="auto"/>
              <w:right w:val="thinThickThinSmallGap" w:sz="24" w:space="0" w:color="auto"/>
            </w:tcBorders>
            <w:shd w:val="clear" w:color="auto" w:fill="FFFFFF"/>
            <w:vAlign w:val="center"/>
          </w:tcPr>
          <w:p w:rsidR="00700069" w:rsidRPr="008B66E0" w:rsidRDefault="00700069" w:rsidP="00AC5462">
            <w:pPr>
              <w:spacing w:line="180" w:lineRule="exact"/>
              <w:jc w:val="center"/>
            </w:pPr>
            <w:r w:rsidRPr="008B66E0">
              <w:rPr>
                <w:color w:val="auto"/>
                <w:sz w:val="18"/>
              </w:rPr>
              <w:t>Not Unfitting</w:t>
            </w:r>
          </w:p>
        </w:tc>
        <w:tc>
          <w:tcPr>
            <w:tcW w:w="4270" w:type="dxa"/>
            <w:gridSpan w:val="3"/>
            <w:tcBorders>
              <w:lef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No VA Entry</w:t>
            </w:r>
          </w:p>
        </w:tc>
        <w:tc>
          <w:tcPr>
            <w:tcW w:w="1047" w:type="dxa"/>
            <w:shd w:val="clear" w:color="auto" w:fill="FFFFFF"/>
            <w:vAlign w:val="center"/>
          </w:tcPr>
          <w:p w:rsidR="00700069" w:rsidRPr="008B66E0" w:rsidRDefault="00700069" w:rsidP="00AC5462">
            <w:pPr>
              <w:spacing w:line="180" w:lineRule="exact"/>
              <w:jc w:val="center"/>
            </w:pPr>
            <w:r w:rsidRPr="008B66E0">
              <w:rPr>
                <w:color w:val="auto"/>
                <w:sz w:val="18"/>
              </w:rPr>
              <w:t>20080519</w:t>
            </w:r>
          </w:p>
        </w:tc>
      </w:tr>
      <w:tr w:rsidR="00700069" w:rsidRPr="002A4119" w:rsidTr="002F59C5">
        <w:trPr>
          <w:trHeight w:val="62"/>
          <w:jc w:val="center"/>
        </w:trPr>
        <w:tc>
          <w:tcPr>
            <w:tcW w:w="4100" w:type="dxa"/>
            <w:gridSpan w:val="3"/>
            <w:vMerge w:val="restart"/>
            <w:tcBorders>
              <w:righ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↓No Additional MEB/PEB Entries↓</w:t>
            </w:r>
          </w:p>
        </w:tc>
        <w:tc>
          <w:tcPr>
            <w:tcW w:w="2380" w:type="dxa"/>
            <w:tcBorders>
              <w:left w:val="thinThickThinSmallGap" w:sz="24" w:space="0" w:color="auto"/>
              <w:right w:val="single" w:sz="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Lumbar Strain</w:t>
            </w:r>
          </w:p>
        </w:tc>
        <w:tc>
          <w:tcPr>
            <w:tcW w:w="1080" w:type="dxa"/>
            <w:tcBorders>
              <w:left w:val="single" w:sz="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5237</w:t>
            </w:r>
          </w:p>
        </w:tc>
        <w:tc>
          <w:tcPr>
            <w:tcW w:w="810"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10%</w:t>
            </w:r>
          </w:p>
        </w:tc>
        <w:tc>
          <w:tcPr>
            <w:tcW w:w="1047"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20080519</w:t>
            </w:r>
          </w:p>
        </w:tc>
      </w:tr>
      <w:tr w:rsidR="00700069" w:rsidRPr="002A4119" w:rsidTr="00AC56AE">
        <w:trPr>
          <w:trHeight w:val="53"/>
          <w:jc w:val="center"/>
        </w:trPr>
        <w:tc>
          <w:tcPr>
            <w:tcW w:w="4100" w:type="dxa"/>
            <w:gridSpan w:val="3"/>
            <w:vMerge/>
            <w:tcBorders>
              <w:righ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p>
        </w:tc>
        <w:tc>
          <w:tcPr>
            <w:tcW w:w="2380" w:type="dxa"/>
            <w:tcBorders>
              <w:left w:val="thinThickThinSmallGap" w:sz="24" w:space="0" w:color="auto"/>
              <w:right w:val="single" w:sz="4" w:space="0" w:color="auto"/>
            </w:tcBorders>
            <w:shd w:val="clear" w:color="auto" w:fill="FFFFFF"/>
            <w:vAlign w:val="center"/>
          </w:tcPr>
          <w:p w:rsidR="00700069" w:rsidRPr="008B66E0" w:rsidRDefault="00700069" w:rsidP="00AC5462">
            <w:pPr>
              <w:spacing w:line="180" w:lineRule="exact"/>
              <w:contextualSpacing/>
              <w:rPr>
                <w:color w:val="auto"/>
                <w:sz w:val="18"/>
              </w:rPr>
            </w:pPr>
            <w:r w:rsidRPr="008B66E0">
              <w:rPr>
                <w:color w:val="auto"/>
                <w:sz w:val="18"/>
              </w:rPr>
              <w:t>Tinnitus</w:t>
            </w:r>
          </w:p>
        </w:tc>
        <w:tc>
          <w:tcPr>
            <w:tcW w:w="1080" w:type="dxa"/>
            <w:tcBorders>
              <w:left w:val="single" w:sz="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6260</w:t>
            </w:r>
          </w:p>
        </w:tc>
        <w:tc>
          <w:tcPr>
            <w:tcW w:w="810"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10%</w:t>
            </w:r>
          </w:p>
        </w:tc>
        <w:tc>
          <w:tcPr>
            <w:tcW w:w="1047" w:type="dxa"/>
            <w:shd w:val="clear" w:color="auto" w:fill="FFFFFF"/>
            <w:vAlign w:val="center"/>
          </w:tcPr>
          <w:p w:rsidR="00700069" w:rsidRPr="008B66E0" w:rsidRDefault="00700069" w:rsidP="00AC5462">
            <w:pPr>
              <w:spacing w:line="180" w:lineRule="exact"/>
              <w:contextualSpacing/>
              <w:jc w:val="center"/>
              <w:rPr>
                <w:color w:val="auto"/>
                <w:sz w:val="18"/>
              </w:rPr>
            </w:pPr>
            <w:r w:rsidRPr="008B66E0">
              <w:rPr>
                <w:color w:val="auto"/>
                <w:sz w:val="18"/>
              </w:rPr>
              <w:t>20080624</w:t>
            </w:r>
          </w:p>
        </w:tc>
      </w:tr>
      <w:tr w:rsidR="00700069" w:rsidRPr="002A4119" w:rsidTr="00AC56AE">
        <w:trPr>
          <w:trHeight w:val="134"/>
          <w:jc w:val="center"/>
        </w:trPr>
        <w:tc>
          <w:tcPr>
            <w:tcW w:w="4100" w:type="dxa"/>
            <w:gridSpan w:val="3"/>
            <w:vMerge/>
            <w:tcBorders>
              <w:right w:val="thinThickThinSmallGap" w:sz="24" w:space="0" w:color="auto"/>
            </w:tcBorders>
            <w:shd w:val="clear" w:color="auto" w:fill="FFFFFF"/>
            <w:vAlign w:val="center"/>
          </w:tcPr>
          <w:p w:rsidR="00700069" w:rsidRPr="008B66E0" w:rsidRDefault="00700069" w:rsidP="00AC5462">
            <w:pPr>
              <w:spacing w:line="180" w:lineRule="exact"/>
              <w:contextualSpacing/>
              <w:jc w:val="center"/>
              <w:rPr>
                <w:color w:val="auto"/>
                <w:sz w:val="18"/>
              </w:rPr>
            </w:pPr>
          </w:p>
        </w:tc>
        <w:tc>
          <w:tcPr>
            <w:tcW w:w="4270" w:type="dxa"/>
            <w:gridSpan w:val="3"/>
            <w:tcBorders>
              <w:left w:val="thinThickThinSmallGap" w:sz="24" w:space="0" w:color="auto"/>
            </w:tcBorders>
            <w:shd w:val="clear" w:color="auto" w:fill="FFFFFF"/>
            <w:vAlign w:val="center"/>
          </w:tcPr>
          <w:p w:rsidR="00700069" w:rsidRPr="008B66E0" w:rsidRDefault="00C9342C" w:rsidP="00AC5462">
            <w:pPr>
              <w:spacing w:line="180" w:lineRule="exact"/>
              <w:contextualSpacing/>
              <w:jc w:val="center"/>
              <w:rPr>
                <w:color w:val="auto"/>
                <w:sz w:val="18"/>
              </w:rPr>
            </w:pPr>
            <w:r w:rsidRPr="008B66E0">
              <w:rPr>
                <w:color w:val="auto"/>
                <w:sz w:val="18"/>
              </w:rPr>
              <w:t xml:space="preserve">No Additional </w:t>
            </w:r>
            <w:r>
              <w:rPr>
                <w:color w:val="auto"/>
                <w:sz w:val="18"/>
              </w:rPr>
              <w:t>VA</w:t>
            </w:r>
            <w:r w:rsidRPr="008B66E0">
              <w:rPr>
                <w:color w:val="auto"/>
                <w:sz w:val="18"/>
              </w:rPr>
              <w:t xml:space="preserve"> Entries</w:t>
            </w:r>
          </w:p>
        </w:tc>
        <w:tc>
          <w:tcPr>
            <w:tcW w:w="1047" w:type="dxa"/>
            <w:shd w:val="clear" w:color="auto" w:fill="FFFFFF"/>
            <w:vAlign w:val="center"/>
          </w:tcPr>
          <w:p w:rsidR="00700069" w:rsidRPr="008B66E0" w:rsidRDefault="00700069" w:rsidP="00AC5462">
            <w:pPr>
              <w:spacing w:line="180" w:lineRule="exact"/>
              <w:contextualSpacing/>
              <w:jc w:val="center"/>
              <w:rPr>
                <w:color w:val="auto"/>
                <w:sz w:val="18"/>
                <w:highlight w:val="yellow"/>
              </w:rPr>
            </w:pPr>
            <w:r w:rsidRPr="008B66E0">
              <w:rPr>
                <w:color w:val="auto"/>
                <w:sz w:val="18"/>
              </w:rPr>
              <w:t>20080519</w:t>
            </w:r>
          </w:p>
        </w:tc>
      </w:tr>
      <w:tr w:rsidR="00700069" w:rsidRPr="002A4119" w:rsidTr="00AC56AE">
        <w:trPr>
          <w:trHeight w:val="116"/>
          <w:jc w:val="center"/>
        </w:trPr>
        <w:tc>
          <w:tcPr>
            <w:tcW w:w="4100" w:type="dxa"/>
            <w:gridSpan w:val="3"/>
            <w:tcBorders>
              <w:right w:val="thinThickThinSmallGap" w:sz="24" w:space="0" w:color="auto"/>
            </w:tcBorders>
            <w:shd w:val="clear" w:color="auto" w:fill="D9D9D9"/>
          </w:tcPr>
          <w:p w:rsidR="00700069" w:rsidRPr="008B66E0" w:rsidRDefault="00700069" w:rsidP="00AC56AE">
            <w:pPr>
              <w:spacing w:line="240" w:lineRule="exact"/>
              <w:contextualSpacing/>
              <w:jc w:val="center"/>
              <w:rPr>
                <w:b/>
                <w:color w:val="auto"/>
                <w:sz w:val="20"/>
              </w:rPr>
            </w:pPr>
            <w:r w:rsidRPr="008B66E0">
              <w:rPr>
                <w:b/>
                <w:color w:val="auto"/>
                <w:sz w:val="20"/>
              </w:rPr>
              <w:t>Combined:  20%</w:t>
            </w:r>
          </w:p>
        </w:tc>
        <w:tc>
          <w:tcPr>
            <w:tcW w:w="5317" w:type="dxa"/>
            <w:gridSpan w:val="4"/>
            <w:tcBorders>
              <w:left w:val="thinThickThinSmallGap" w:sz="24" w:space="0" w:color="auto"/>
            </w:tcBorders>
            <w:shd w:val="clear" w:color="auto" w:fill="D9D9D9"/>
          </w:tcPr>
          <w:p w:rsidR="00700069" w:rsidRPr="008B66E0" w:rsidRDefault="00700069" w:rsidP="00AC56AE">
            <w:pPr>
              <w:spacing w:line="240" w:lineRule="exact"/>
              <w:contextualSpacing/>
              <w:jc w:val="center"/>
              <w:rPr>
                <w:b/>
                <w:color w:val="auto"/>
                <w:sz w:val="20"/>
              </w:rPr>
            </w:pPr>
            <w:r w:rsidRPr="008B66E0">
              <w:rPr>
                <w:b/>
                <w:color w:val="auto"/>
                <w:sz w:val="20"/>
              </w:rPr>
              <w:t>Combined:  40%</w:t>
            </w:r>
          </w:p>
        </w:tc>
      </w:tr>
    </w:tbl>
    <w:p w:rsidR="00AC56AE" w:rsidRPr="00AC56AE" w:rsidRDefault="00AC56AE" w:rsidP="00694A57">
      <w:pPr>
        <w:pBdr>
          <w:bottom w:val="single" w:sz="12" w:space="1" w:color="auto"/>
        </w:pBdr>
        <w:spacing w:line="240" w:lineRule="exact"/>
        <w:jc w:val="both"/>
        <w:rPr>
          <w:color w:val="auto"/>
          <w:sz w:val="18"/>
          <w:szCs w:val="18"/>
        </w:rPr>
      </w:pPr>
      <w:r w:rsidRPr="00AC56AE">
        <w:rPr>
          <w:color w:val="auto"/>
          <w:sz w:val="18"/>
          <w:szCs w:val="18"/>
        </w:rPr>
        <w:t>* Changed</w:t>
      </w:r>
      <w:r>
        <w:rPr>
          <w:color w:val="auto"/>
          <w:sz w:val="18"/>
          <w:szCs w:val="18"/>
        </w:rPr>
        <w:t xml:space="preserve"> to PTSD (9411), rated 10%, effective 20080701; and, increased to 30% effective 20091117 (16 mo. post-separation).</w:t>
      </w:r>
    </w:p>
    <w:p w:rsidR="00AC5462" w:rsidRDefault="00AC5462" w:rsidP="00B00EE6">
      <w:pPr>
        <w:spacing w:line="240" w:lineRule="exact"/>
        <w:jc w:val="both"/>
        <w:rPr>
          <w:color w:val="auto"/>
          <w:u w:val="single"/>
        </w:rPr>
      </w:pPr>
    </w:p>
    <w:p w:rsidR="009A2F5B" w:rsidRDefault="00700069" w:rsidP="00B00EE6">
      <w:pPr>
        <w:spacing w:line="240" w:lineRule="exact"/>
        <w:jc w:val="both"/>
        <w:rPr>
          <w:color w:val="auto"/>
        </w:rPr>
      </w:pPr>
      <w:r w:rsidRPr="00396779">
        <w:rPr>
          <w:color w:val="auto"/>
          <w:u w:val="single"/>
        </w:rPr>
        <w:lastRenderedPageBreak/>
        <w:t>ANALYSIS SUMMARY</w:t>
      </w:r>
      <w:r w:rsidRPr="00396779">
        <w:rPr>
          <w:color w:val="auto"/>
        </w:rPr>
        <w:t>:</w:t>
      </w:r>
      <w:r w:rsidRPr="00B00EE6">
        <w:rPr>
          <w:rFonts w:cs="Calibri"/>
          <w:color w:val="000000"/>
          <w:sz w:val="23"/>
        </w:rPr>
        <w:t xml:space="preserve">  </w:t>
      </w:r>
      <w:r w:rsidRPr="00B00EE6">
        <w:rPr>
          <w:color w:val="auto"/>
        </w:rPr>
        <w:t xml:space="preserve">The Board acknowledges the presence of PTSD as a currently rated condition by the VA, but notes that the scope of its recommendation does not extend to conditions which were not diagnosed or in evidence at the time of medical separation.  This includes conditions which may have had early manifestations during active service, since such sub-clinical conditions cannot be correlated with a fitness determination requisite for a service rating.  The Board </w:t>
      </w:r>
      <w:r w:rsidR="009A2F5B" w:rsidRPr="009A2F5B">
        <w:rPr>
          <w:color w:val="auto"/>
        </w:rPr>
        <w:t>is subject to the same laws for Service disability entitlements as</w:t>
      </w:r>
      <w:r w:rsidR="00694A57">
        <w:rPr>
          <w:color w:val="auto"/>
        </w:rPr>
        <w:t xml:space="preserve"> those under which the Disability Evaluation System (</w:t>
      </w:r>
      <w:r w:rsidR="009A2F5B" w:rsidRPr="009A2F5B">
        <w:rPr>
          <w:color w:val="auto"/>
        </w:rPr>
        <w:t xml:space="preserve">DES) operates.  While the </w:t>
      </w:r>
      <w:r w:rsidR="00694A57">
        <w:rPr>
          <w:color w:val="auto"/>
        </w:rPr>
        <w:t>DES</w:t>
      </w:r>
      <w:r w:rsidR="009A2F5B" w:rsidRPr="009A2F5B">
        <w:rPr>
          <w:color w:val="auto"/>
        </w:rPr>
        <w:t xml:space="preserve"> considers all of the </w:t>
      </w:r>
      <w:r w:rsidR="00694A57">
        <w:rPr>
          <w:color w:val="auto"/>
        </w:rPr>
        <w:t>s</w:t>
      </w:r>
      <w:r w:rsidR="009A2F5B" w:rsidRPr="009A2F5B">
        <w:rPr>
          <w:color w:val="auto"/>
        </w:rPr>
        <w:t>ervice member's medical conditions, compensation can only be offered for those medica</w:t>
      </w:r>
      <w:r w:rsidR="00694A57">
        <w:rPr>
          <w:color w:val="auto"/>
        </w:rPr>
        <w:t>l conditions that cut  short a s</w:t>
      </w:r>
      <w:r w:rsidR="009A2F5B" w:rsidRPr="009A2F5B">
        <w:rPr>
          <w:color w:val="auto"/>
        </w:rPr>
        <w:t>ervice member’s career, and then only to the degree of severity present at the time of final disposition.  However</w:t>
      </w:r>
      <w:r w:rsidR="00694A57">
        <w:rPr>
          <w:color w:val="auto"/>
        </w:rPr>
        <w:t>,</w:t>
      </w:r>
      <w:r w:rsidR="009A2F5B" w:rsidRPr="009A2F5B">
        <w:rPr>
          <w:color w:val="auto"/>
        </w:rPr>
        <w:t xml:space="preserve"> the Department of Veteran</w:t>
      </w:r>
      <w:r w:rsidR="00201B2E">
        <w:rPr>
          <w:color w:val="auto"/>
        </w:rPr>
        <w:t>s</w:t>
      </w:r>
      <w:r w:rsidR="00694A57">
        <w:rPr>
          <w:color w:val="auto"/>
        </w:rPr>
        <w:t>’</w:t>
      </w:r>
      <w:r w:rsidR="009A2F5B" w:rsidRPr="009A2F5B">
        <w:rPr>
          <w:color w:val="auto"/>
        </w:rPr>
        <w:t xml:space="preserve"> Affairs (DVA), operating under a different set of laws (Title 38, United States Code), is empowered to compensate </w:t>
      </w:r>
      <w:r w:rsidR="009A2F5B">
        <w:rPr>
          <w:color w:val="auto"/>
        </w:rPr>
        <w:t xml:space="preserve">all </w:t>
      </w:r>
      <w:r w:rsidR="009A2F5B" w:rsidRPr="009A2F5B">
        <w:rPr>
          <w:color w:val="auto"/>
        </w:rPr>
        <w:t>service</w:t>
      </w:r>
      <w:r w:rsidR="00694A57">
        <w:rPr>
          <w:color w:val="auto"/>
        </w:rPr>
        <w:t>-</w:t>
      </w:r>
      <w:r w:rsidR="009A2F5B" w:rsidRPr="009A2F5B">
        <w:rPr>
          <w:color w:val="auto"/>
        </w:rPr>
        <w:t>connected conditions and to periodically re-evaluate said conditions fo</w:t>
      </w:r>
      <w:r w:rsidR="00694A57">
        <w:rPr>
          <w:color w:val="auto"/>
        </w:rPr>
        <w:t>r the purpose of adjusting the V</w:t>
      </w:r>
      <w:r w:rsidR="009A2F5B" w:rsidRPr="009A2F5B">
        <w:rPr>
          <w:color w:val="auto"/>
        </w:rPr>
        <w:t>etera</w:t>
      </w:r>
      <w:r w:rsidR="00694A57">
        <w:rPr>
          <w:color w:val="auto"/>
        </w:rPr>
        <w:t>n’s disability rating should the</w:t>
      </w:r>
      <w:r w:rsidR="009A2F5B" w:rsidRPr="009A2F5B">
        <w:rPr>
          <w:color w:val="auto"/>
        </w:rPr>
        <w:t xml:space="preserve"> degree of impairment vary over time.  The Board utilizes </w:t>
      </w:r>
      <w:r w:rsidR="00694A57">
        <w:rPr>
          <w:color w:val="auto"/>
        </w:rPr>
        <w:t>D</w:t>
      </w:r>
      <w:r w:rsidR="009A2F5B" w:rsidRPr="009A2F5B">
        <w:rPr>
          <w:color w:val="auto"/>
        </w:rPr>
        <w:t xml:space="preserve">VA evidence proximal to separation in arriving at its recommendations; and, </w:t>
      </w:r>
      <w:proofErr w:type="spellStart"/>
      <w:r w:rsidR="009A2F5B" w:rsidRPr="009A2F5B">
        <w:rPr>
          <w:color w:val="auto"/>
        </w:rPr>
        <w:t>DoDI</w:t>
      </w:r>
      <w:proofErr w:type="spellEnd"/>
      <w:r w:rsidR="009A2F5B" w:rsidRPr="009A2F5B">
        <w:rPr>
          <w:color w:val="auto"/>
        </w:rPr>
        <w:t xml:space="preserve"> 6040.44 defines a 12</w:t>
      </w:r>
      <w:r w:rsidR="00694A57">
        <w:rPr>
          <w:color w:val="auto"/>
        </w:rPr>
        <w:t>-</w:t>
      </w:r>
      <w:r w:rsidR="009A2F5B" w:rsidRPr="009A2F5B">
        <w:rPr>
          <w:color w:val="auto"/>
        </w:rPr>
        <w:t xml:space="preserve">month interval for special consideration to post-separation evidence.  The Board’s authority as defined in </w:t>
      </w:r>
      <w:proofErr w:type="spellStart"/>
      <w:r w:rsidR="009A2F5B" w:rsidRPr="009A2F5B">
        <w:rPr>
          <w:color w:val="auto"/>
        </w:rPr>
        <w:t>DoDI</w:t>
      </w:r>
      <w:proofErr w:type="spellEnd"/>
      <w:r w:rsidR="009A2F5B" w:rsidRPr="009A2F5B">
        <w:rPr>
          <w:color w:val="auto"/>
        </w:rPr>
        <w:t xml:space="preserve">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700069" w:rsidRDefault="00700069" w:rsidP="00510F9C">
      <w:pPr>
        <w:spacing w:line="240" w:lineRule="exact"/>
        <w:rPr>
          <w:color w:val="auto"/>
        </w:rPr>
      </w:pPr>
    </w:p>
    <w:p w:rsidR="00700069" w:rsidDel="00FC1173" w:rsidRDefault="00700069" w:rsidP="00380576">
      <w:pPr>
        <w:tabs>
          <w:tab w:val="left" w:pos="288"/>
          <w:tab w:val="left" w:pos="4752"/>
        </w:tabs>
        <w:spacing w:line="240" w:lineRule="exact"/>
        <w:jc w:val="both"/>
        <w:rPr>
          <w:color w:val="auto"/>
        </w:rPr>
      </w:pPr>
      <w:r w:rsidRPr="00776BAB">
        <w:rPr>
          <w:color w:val="auto"/>
          <w:u w:val="single"/>
        </w:rPr>
        <w:t>Shoulder Condition</w:t>
      </w:r>
      <w:r w:rsidR="00725D07">
        <w:rPr>
          <w:color w:val="auto"/>
          <w:u w:val="single"/>
        </w:rPr>
        <w:t>s</w:t>
      </w:r>
      <w:r w:rsidRPr="00725D07">
        <w:rPr>
          <w:color w:val="auto"/>
        </w:rPr>
        <w:t>.</w:t>
      </w:r>
      <w:r w:rsidRPr="00664296">
        <w:rPr>
          <w:color w:val="auto"/>
        </w:rPr>
        <w:t xml:space="preserve">  </w:t>
      </w:r>
      <w:r w:rsidR="00725D07">
        <w:rPr>
          <w:color w:val="auto"/>
        </w:rPr>
        <w:t xml:space="preserve">The pathology and clinical features of the separate shoulder joint conditions were equivalent, and they followed parallel clinical courses; thus, they will be discussed together.  </w:t>
      </w:r>
      <w:r w:rsidR="00687FAE">
        <w:rPr>
          <w:color w:val="auto"/>
        </w:rPr>
        <w:t xml:space="preserve">The CI first dislocated his right shoulder in October of 2003 </w:t>
      </w:r>
      <w:r w:rsidR="000437BF">
        <w:rPr>
          <w:color w:val="auto"/>
        </w:rPr>
        <w:t xml:space="preserve">and his left shoulder in March 2004.  Both were managed conservatively, but were unstable; and, the CI suffered multiple recurrent dislocations of each joint.  Each joint ultimately required surgical repair and capsular stabilization; the right in December 2006, and the left in </w:t>
      </w:r>
      <w:r w:rsidR="000437BF" w:rsidRPr="00591815">
        <w:rPr>
          <w:color w:val="auto"/>
        </w:rPr>
        <w:t>August 2007</w:t>
      </w:r>
      <w:r w:rsidR="000437BF">
        <w:rPr>
          <w:color w:val="auto"/>
        </w:rPr>
        <w:t xml:space="preserve">.  Stability </w:t>
      </w:r>
      <w:r w:rsidR="00181711">
        <w:rPr>
          <w:color w:val="auto"/>
        </w:rPr>
        <w:t>was restored for both shoulders;</w:t>
      </w:r>
      <w:r w:rsidR="000437BF">
        <w:rPr>
          <w:color w:val="auto"/>
        </w:rPr>
        <w:t xml:space="preserve"> but </w:t>
      </w:r>
      <w:r w:rsidR="00181711">
        <w:rPr>
          <w:color w:val="auto"/>
        </w:rPr>
        <w:t>chronic pain,</w:t>
      </w:r>
      <w:r w:rsidR="000437BF">
        <w:rPr>
          <w:color w:val="auto"/>
        </w:rPr>
        <w:t xml:space="preserve"> </w:t>
      </w:r>
      <w:r w:rsidR="00181711">
        <w:rPr>
          <w:color w:val="auto"/>
        </w:rPr>
        <w:t xml:space="preserve">incompatible with the physical demand of the MOS, persisted.  </w:t>
      </w:r>
      <w:r w:rsidRPr="00664296">
        <w:rPr>
          <w:color w:val="auto"/>
        </w:rPr>
        <w:t xml:space="preserve">There were </w:t>
      </w:r>
      <w:r>
        <w:rPr>
          <w:color w:val="auto"/>
        </w:rPr>
        <w:t>two</w:t>
      </w:r>
      <w:r w:rsidRPr="00664296">
        <w:rPr>
          <w:color w:val="auto"/>
        </w:rPr>
        <w:t xml:space="preserve"> </w:t>
      </w:r>
      <w:r w:rsidRPr="00776BAB">
        <w:rPr>
          <w:color w:val="auto"/>
        </w:rPr>
        <w:t>goniometric</w:t>
      </w:r>
      <w:r w:rsidR="00694A57">
        <w:rPr>
          <w:color w:val="auto"/>
        </w:rPr>
        <w:t xml:space="preserve"> </w:t>
      </w:r>
      <w:proofErr w:type="gramStart"/>
      <w:r w:rsidR="00694A57">
        <w:rPr>
          <w:color w:val="auto"/>
        </w:rPr>
        <w:t>range</w:t>
      </w:r>
      <w:proofErr w:type="gramEnd"/>
      <w:r w:rsidR="00694A57">
        <w:rPr>
          <w:color w:val="auto"/>
        </w:rPr>
        <w:t xml:space="preserve"> of </w:t>
      </w:r>
      <w:r w:rsidRPr="00664296">
        <w:rPr>
          <w:color w:val="auto"/>
        </w:rPr>
        <w:t>motion (ROM) evaluations in evidence</w:t>
      </w:r>
      <w:r w:rsidR="00181711">
        <w:rPr>
          <w:color w:val="auto"/>
        </w:rPr>
        <w:t xml:space="preserve"> for both shoulders</w:t>
      </w:r>
      <w:r w:rsidRPr="00664296">
        <w:rPr>
          <w:color w:val="auto"/>
        </w:rPr>
        <w:t>, with documentation of additional ratable criteria, which the Board weighed in arriving at its rating recommendation</w:t>
      </w:r>
      <w:r w:rsidRPr="00776BAB">
        <w:rPr>
          <w:color w:val="auto"/>
        </w:rPr>
        <w:t xml:space="preserve">. </w:t>
      </w:r>
    </w:p>
    <w:p w:rsidR="00700069" w:rsidRPr="00664296" w:rsidRDefault="00700069" w:rsidP="00380576">
      <w:pPr>
        <w:tabs>
          <w:tab w:val="left" w:pos="288"/>
          <w:tab w:val="left" w:pos="4752"/>
        </w:tabs>
        <w:spacing w:line="240" w:lineRule="exact"/>
        <w:jc w:val="both"/>
        <w:rPr>
          <w:color w:val="auto"/>
        </w:rPr>
      </w:pPr>
    </w:p>
    <w:tbl>
      <w:tblPr>
        <w:tblW w:w="7544" w:type="dxa"/>
        <w:jc w:val="center"/>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2"/>
        <w:gridCol w:w="1080"/>
        <w:gridCol w:w="990"/>
        <w:gridCol w:w="1530"/>
        <w:gridCol w:w="1432"/>
      </w:tblGrid>
      <w:tr w:rsidR="00B92E96" w:rsidRPr="00FB42B7" w:rsidTr="00725D07">
        <w:trPr>
          <w:trHeight w:val="237"/>
          <w:jc w:val="center"/>
        </w:trPr>
        <w:tc>
          <w:tcPr>
            <w:tcW w:w="2512" w:type="dxa"/>
            <w:vMerge w:val="restart"/>
            <w:shd w:val="clear" w:color="auto" w:fill="D9D9D9"/>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Shoulder ROM</w:t>
            </w:r>
          </w:p>
        </w:tc>
        <w:tc>
          <w:tcPr>
            <w:tcW w:w="2070" w:type="dxa"/>
            <w:gridSpan w:val="2"/>
            <w:tcBorders>
              <w:bottom w:val="single" w:sz="4" w:space="0" w:color="auto"/>
            </w:tcBorders>
            <w:shd w:val="clear" w:color="auto" w:fill="D9D9D9"/>
            <w:vAlign w:val="center"/>
          </w:tcPr>
          <w:p w:rsidR="00B92E96" w:rsidRPr="00725D07" w:rsidRDefault="00181711" w:rsidP="00725D07">
            <w:pPr>
              <w:spacing w:line="240" w:lineRule="exact"/>
              <w:contextualSpacing/>
              <w:jc w:val="center"/>
              <w:rPr>
                <w:color w:val="auto"/>
                <w:sz w:val="22"/>
                <w:szCs w:val="22"/>
              </w:rPr>
            </w:pPr>
            <w:r>
              <w:rPr>
                <w:color w:val="auto"/>
                <w:sz w:val="22"/>
                <w:szCs w:val="22"/>
              </w:rPr>
              <w:t>MEB ~</w:t>
            </w:r>
            <w:r w:rsidR="00B92E96" w:rsidRPr="00725D07">
              <w:rPr>
                <w:color w:val="auto"/>
                <w:sz w:val="22"/>
                <w:szCs w:val="22"/>
              </w:rPr>
              <w:t>5 Mo. Pre-Sep</w:t>
            </w:r>
          </w:p>
        </w:tc>
        <w:tc>
          <w:tcPr>
            <w:tcW w:w="2962" w:type="dxa"/>
            <w:gridSpan w:val="2"/>
            <w:tcBorders>
              <w:bottom w:val="single" w:sz="4" w:space="0" w:color="auto"/>
            </w:tcBorders>
            <w:shd w:val="clear" w:color="auto" w:fill="D9D9D9"/>
            <w:vAlign w:val="center"/>
          </w:tcPr>
          <w:p w:rsidR="00B92E96" w:rsidRPr="00725D07" w:rsidRDefault="00181711" w:rsidP="00725D07">
            <w:pPr>
              <w:spacing w:line="240" w:lineRule="exact"/>
              <w:contextualSpacing/>
              <w:jc w:val="center"/>
              <w:rPr>
                <w:color w:val="auto"/>
                <w:sz w:val="22"/>
                <w:szCs w:val="22"/>
              </w:rPr>
            </w:pPr>
            <w:r>
              <w:rPr>
                <w:color w:val="auto"/>
                <w:sz w:val="22"/>
                <w:szCs w:val="22"/>
              </w:rPr>
              <w:t>VA C&amp;P ~</w:t>
            </w:r>
            <w:r w:rsidR="00B92E96" w:rsidRPr="00725D07">
              <w:rPr>
                <w:color w:val="auto"/>
                <w:sz w:val="22"/>
                <w:szCs w:val="22"/>
              </w:rPr>
              <w:t>1 Mo. Pre-Sep</w:t>
            </w:r>
          </w:p>
        </w:tc>
      </w:tr>
      <w:tr w:rsidR="00B92E96" w:rsidRPr="00FB42B7" w:rsidTr="00725D07">
        <w:trPr>
          <w:trHeight w:val="154"/>
          <w:jc w:val="center"/>
        </w:trPr>
        <w:tc>
          <w:tcPr>
            <w:tcW w:w="2512" w:type="dxa"/>
            <w:vMerge/>
            <w:shd w:val="clear" w:color="auto" w:fill="D9D9D9"/>
            <w:vAlign w:val="center"/>
          </w:tcPr>
          <w:p w:rsidR="00B92E96" w:rsidRPr="00725D07" w:rsidRDefault="00B92E96" w:rsidP="00725D07">
            <w:pPr>
              <w:spacing w:line="240" w:lineRule="exact"/>
              <w:contextualSpacing/>
              <w:jc w:val="center"/>
              <w:rPr>
                <w:color w:val="auto"/>
                <w:sz w:val="22"/>
                <w:szCs w:val="22"/>
              </w:rPr>
            </w:pPr>
          </w:p>
        </w:tc>
        <w:tc>
          <w:tcPr>
            <w:tcW w:w="1080" w:type="dxa"/>
            <w:tcBorders>
              <w:top w:val="single" w:sz="4" w:space="0" w:color="auto"/>
              <w:right w:val="single" w:sz="4" w:space="0" w:color="auto"/>
            </w:tcBorders>
            <w:shd w:val="clear" w:color="auto" w:fill="D9D9D9"/>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Right</w:t>
            </w:r>
          </w:p>
        </w:tc>
        <w:tc>
          <w:tcPr>
            <w:tcW w:w="990" w:type="dxa"/>
            <w:tcBorders>
              <w:top w:val="single" w:sz="4" w:space="0" w:color="auto"/>
              <w:left w:val="single" w:sz="4" w:space="0" w:color="auto"/>
            </w:tcBorders>
            <w:shd w:val="clear" w:color="auto" w:fill="D9D9D9"/>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Left</w:t>
            </w:r>
          </w:p>
        </w:tc>
        <w:tc>
          <w:tcPr>
            <w:tcW w:w="1530" w:type="dxa"/>
            <w:tcBorders>
              <w:top w:val="single" w:sz="4" w:space="0" w:color="auto"/>
              <w:right w:val="single" w:sz="4" w:space="0" w:color="auto"/>
            </w:tcBorders>
            <w:shd w:val="clear" w:color="auto" w:fill="D9D9D9"/>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Right</w:t>
            </w:r>
          </w:p>
        </w:tc>
        <w:tc>
          <w:tcPr>
            <w:tcW w:w="1432" w:type="dxa"/>
            <w:tcBorders>
              <w:top w:val="single" w:sz="4" w:space="0" w:color="auto"/>
              <w:left w:val="single" w:sz="4" w:space="0" w:color="auto"/>
            </w:tcBorders>
            <w:shd w:val="clear" w:color="auto" w:fill="D9D9D9"/>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Left</w:t>
            </w:r>
          </w:p>
        </w:tc>
      </w:tr>
      <w:tr w:rsidR="00B92E96" w:rsidRPr="00C34CEB" w:rsidTr="00725D07">
        <w:trPr>
          <w:jc w:val="center"/>
        </w:trPr>
        <w:tc>
          <w:tcPr>
            <w:tcW w:w="2512" w:type="dxa"/>
            <w:vAlign w:val="center"/>
          </w:tcPr>
          <w:p w:rsidR="00B92E96" w:rsidRPr="00725D07" w:rsidRDefault="00B92E96" w:rsidP="00725D07">
            <w:pPr>
              <w:pStyle w:val="ListParagraph"/>
              <w:spacing w:after="0" w:line="240" w:lineRule="exact"/>
              <w:ind w:left="0"/>
              <w:jc w:val="center"/>
            </w:pPr>
            <w:r w:rsidRPr="00725D07">
              <w:t>Flexion (180</w:t>
            </w:r>
            <w:r w:rsidRPr="00725D07">
              <w:rPr>
                <w:rFonts w:cs="Calibri"/>
              </w:rPr>
              <w:t>⁰</w:t>
            </w:r>
            <w:r w:rsidRPr="00725D07">
              <w:t xml:space="preserve"> Normal)</w:t>
            </w:r>
          </w:p>
        </w:tc>
        <w:tc>
          <w:tcPr>
            <w:tcW w:w="1080" w:type="dxa"/>
            <w:tcBorders>
              <w:righ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160⁰</w:t>
            </w:r>
          </w:p>
        </w:tc>
        <w:tc>
          <w:tcPr>
            <w:tcW w:w="990" w:type="dxa"/>
            <w:tcBorders>
              <w:lef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170⁰</w:t>
            </w:r>
          </w:p>
        </w:tc>
        <w:tc>
          <w:tcPr>
            <w:tcW w:w="1530" w:type="dxa"/>
            <w:tcBorders>
              <w:righ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180⁰</w:t>
            </w:r>
          </w:p>
        </w:tc>
        <w:tc>
          <w:tcPr>
            <w:tcW w:w="1432" w:type="dxa"/>
            <w:tcBorders>
              <w:lef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180⁰</w:t>
            </w:r>
          </w:p>
        </w:tc>
      </w:tr>
      <w:tr w:rsidR="00B92E96" w:rsidRPr="00C34CEB" w:rsidTr="00725D07">
        <w:trPr>
          <w:trHeight w:val="79"/>
          <w:jc w:val="center"/>
        </w:trPr>
        <w:tc>
          <w:tcPr>
            <w:tcW w:w="2512" w:type="dxa"/>
            <w:vAlign w:val="center"/>
          </w:tcPr>
          <w:p w:rsidR="00B92E96" w:rsidRPr="00725D07" w:rsidRDefault="00B92E96" w:rsidP="00725D07">
            <w:pPr>
              <w:pStyle w:val="ListParagraph"/>
              <w:spacing w:after="0" w:line="240" w:lineRule="exact"/>
              <w:ind w:left="0"/>
              <w:jc w:val="center"/>
            </w:pPr>
            <w:r w:rsidRPr="00725D07">
              <w:t>Abduction (180</w:t>
            </w:r>
            <w:r w:rsidRPr="00725D07">
              <w:rPr>
                <w:rFonts w:cs="Calibri"/>
              </w:rPr>
              <w:t>⁰</w:t>
            </w:r>
            <w:r w:rsidRPr="00725D07">
              <w:t xml:space="preserve"> Normal)</w:t>
            </w:r>
          </w:p>
        </w:tc>
        <w:tc>
          <w:tcPr>
            <w:tcW w:w="1080" w:type="dxa"/>
            <w:tcBorders>
              <w:righ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150⁰</w:t>
            </w:r>
          </w:p>
        </w:tc>
        <w:tc>
          <w:tcPr>
            <w:tcW w:w="990" w:type="dxa"/>
            <w:tcBorders>
              <w:lef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160⁰</w:t>
            </w:r>
          </w:p>
        </w:tc>
        <w:tc>
          <w:tcPr>
            <w:tcW w:w="1530" w:type="dxa"/>
            <w:tcBorders>
              <w:righ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120⁰</w:t>
            </w:r>
          </w:p>
        </w:tc>
        <w:tc>
          <w:tcPr>
            <w:tcW w:w="1432" w:type="dxa"/>
            <w:tcBorders>
              <w:left w:val="single" w:sz="4" w:space="0" w:color="auto"/>
            </w:tcBorders>
            <w:vAlign w:val="center"/>
          </w:tcPr>
          <w:p w:rsidR="00B92E96" w:rsidRPr="00725D07" w:rsidRDefault="00B92E96" w:rsidP="00725D07">
            <w:pPr>
              <w:spacing w:line="240" w:lineRule="exact"/>
              <w:contextualSpacing/>
              <w:jc w:val="center"/>
              <w:rPr>
                <w:color w:val="auto"/>
                <w:sz w:val="22"/>
                <w:szCs w:val="22"/>
              </w:rPr>
            </w:pPr>
            <w:r w:rsidRPr="00725D07">
              <w:rPr>
                <w:color w:val="auto"/>
                <w:sz w:val="22"/>
                <w:szCs w:val="22"/>
              </w:rPr>
              <w:t>120⁰</w:t>
            </w:r>
          </w:p>
        </w:tc>
      </w:tr>
      <w:tr w:rsidR="00725D07" w:rsidRPr="00C34CEB" w:rsidTr="00725D07">
        <w:trPr>
          <w:jc w:val="center"/>
        </w:trPr>
        <w:tc>
          <w:tcPr>
            <w:tcW w:w="2512" w:type="dxa"/>
            <w:vAlign w:val="center"/>
          </w:tcPr>
          <w:p w:rsidR="00725D07" w:rsidRPr="00725D07" w:rsidRDefault="00725D07" w:rsidP="00725D07">
            <w:pPr>
              <w:tabs>
                <w:tab w:val="left" w:pos="288"/>
                <w:tab w:val="left" w:pos="4752"/>
              </w:tabs>
              <w:spacing w:line="240" w:lineRule="exact"/>
              <w:jc w:val="center"/>
              <w:rPr>
                <w:color w:val="auto"/>
                <w:sz w:val="22"/>
                <w:szCs w:val="22"/>
              </w:rPr>
            </w:pPr>
            <w:r w:rsidRPr="00725D07">
              <w:rPr>
                <w:color w:val="auto"/>
                <w:sz w:val="22"/>
                <w:szCs w:val="22"/>
              </w:rPr>
              <w:t>Comment</w:t>
            </w:r>
          </w:p>
        </w:tc>
        <w:tc>
          <w:tcPr>
            <w:tcW w:w="2070" w:type="dxa"/>
            <w:gridSpan w:val="2"/>
            <w:vAlign w:val="center"/>
          </w:tcPr>
          <w:p w:rsidR="00725D07" w:rsidRPr="00725D07" w:rsidRDefault="00725D07" w:rsidP="00725D07">
            <w:pPr>
              <w:tabs>
                <w:tab w:val="left" w:pos="288"/>
                <w:tab w:val="left" w:pos="4752"/>
              </w:tabs>
              <w:spacing w:line="240" w:lineRule="exact"/>
              <w:jc w:val="center"/>
              <w:rPr>
                <w:color w:val="auto"/>
                <w:sz w:val="22"/>
                <w:szCs w:val="22"/>
              </w:rPr>
            </w:pPr>
            <w:r w:rsidRPr="00725D07">
              <w:rPr>
                <w:color w:val="auto"/>
                <w:sz w:val="22"/>
                <w:szCs w:val="22"/>
              </w:rPr>
              <w:t>Pain with motion.</w:t>
            </w:r>
          </w:p>
        </w:tc>
        <w:tc>
          <w:tcPr>
            <w:tcW w:w="2962" w:type="dxa"/>
            <w:gridSpan w:val="2"/>
            <w:vAlign w:val="center"/>
          </w:tcPr>
          <w:p w:rsidR="00725D07" w:rsidRPr="00725D07" w:rsidRDefault="00725D07" w:rsidP="00725D07">
            <w:pPr>
              <w:tabs>
                <w:tab w:val="left" w:pos="288"/>
                <w:tab w:val="left" w:pos="4752"/>
              </w:tabs>
              <w:spacing w:line="240" w:lineRule="exact"/>
              <w:jc w:val="center"/>
              <w:rPr>
                <w:color w:val="auto"/>
                <w:sz w:val="22"/>
                <w:szCs w:val="22"/>
              </w:rPr>
            </w:pPr>
            <w:r w:rsidRPr="00725D07">
              <w:rPr>
                <w:color w:val="auto"/>
                <w:sz w:val="22"/>
                <w:szCs w:val="22"/>
              </w:rPr>
              <w:t>Pain/resistance on abduction.</w:t>
            </w:r>
          </w:p>
        </w:tc>
      </w:tr>
      <w:tr w:rsidR="00B92E96" w:rsidRPr="00C34CEB" w:rsidTr="00725D07">
        <w:trPr>
          <w:jc w:val="center"/>
        </w:trPr>
        <w:tc>
          <w:tcPr>
            <w:tcW w:w="2512" w:type="dxa"/>
            <w:vAlign w:val="center"/>
          </w:tcPr>
          <w:p w:rsidR="00B92E96" w:rsidRPr="00725D07" w:rsidRDefault="00B92E96" w:rsidP="00725D07">
            <w:pPr>
              <w:tabs>
                <w:tab w:val="left" w:pos="288"/>
                <w:tab w:val="left" w:pos="4752"/>
              </w:tabs>
              <w:spacing w:line="240" w:lineRule="exact"/>
              <w:jc w:val="center"/>
              <w:rPr>
                <w:color w:val="auto"/>
                <w:sz w:val="22"/>
                <w:szCs w:val="22"/>
              </w:rPr>
            </w:pPr>
            <w:r w:rsidRPr="00725D07">
              <w:rPr>
                <w:color w:val="auto"/>
                <w:sz w:val="22"/>
                <w:szCs w:val="22"/>
              </w:rPr>
              <w:t>§4.71a Rating</w:t>
            </w:r>
            <w:r w:rsidR="00725D07">
              <w:rPr>
                <w:color w:val="auto"/>
                <w:sz w:val="22"/>
                <w:szCs w:val="22"/>
              </w:rPr>
              <w:t>*</w:t>
            </w:r>
          </w:p>
        </w:tc>
        <w:tc>
          <w:tcPr>
            <w:tcW w:w="1080" w:type="dxa"/>
            <w:tcBorders>
              <w:right w:val="single" w:sz="4" w:space="0" w:color="auto"/>
            </w:tcBorders>
            <w:vAlign w:val="center"/>
          </w:tcPr>
          <w:p w:rsidR="00B92E96" w:rsidRPr="00725D07" w:rsidRDefault="00B92E96" w:rsidP="00725D07">
            <w:pPr>
              <w:tabs>
                <w:tab w:val="left" w:pos="288"/>
                <w:tab w:val="left" w:pos="4752"/>
              </w:tabs>
              <w:spacing w:line="240" w:lineRule="exact"/>
              <w:jc w:val="center"/>
              <w:rPr>
                <w:color w:val="auto"/>
                <w:sz w:val="22"/>
                <w:szCs w:val="22"/>
              </w:rPr>
            </w:pPr>
            <w:r w:rsidRPr="00725D07">
              <w:rPr>
                <w:color w:val="auto"/>
                <w:sz w:val="22"/>
                <w:szCs w:val="22"/>
              </w:rPr>
              <w:t>10%</w:t>
            </w:r>
          </w:p>
        </w:tc>
        <w:tc>
          <w:tcPr>
            <w:tcW w:w="990" w:type="dxa"/>
            <w:tcBorders>
              <w:left w:val="single" w:sz="4" w:space="0" w:color="auto"/>
            </w:tcBorders>
            <w:vAlign w:val="center"/>
          </w:tcPr>
          <w:p w:rsidR="00B92E96" w:rsidRPr="00725D07" w:rsidRDefault="00B92E96" w:rsidP="00725D07">
            <w:pPr>
              <w:tabs>
                <w:tab w:val="left" w:pos="288"/>
                <w:tab w:val="left" w:pos="4752"/>
              </w:tabs>
              <w:spacing w:line="240" w:lineRule="exact"/>
              <w:jc w:val="center"/>
              <w:rPr>
                <w:color w:val="auto"/>
                <w:sz w:val="22"/>
                <w:szCs w:val="22"/>
              </w:rPr>
            </w:pPr>
            <w:r w:rsidRPr="00725D07">
              <w:rPr>
                <w:color w:val="auto"/>
                <w:sz w:val="22"/>
                <w:szCs w:val="22"/>
              </w:rPr>
              <w:t>10%</w:t>
            </w:r>
          </w:p>
        </w:tc>
        <w:tc>
          <w:tcPr>
            <w:tcW w:w="1530" w:type="dxa"/>
            <w:tcBorders>
              <w:right w:val="single" w:sz="4" w:space="0" w:color="auto"/>
            </w:tcBorders>
            <w:vAlign w:val="center"/>
          </w:tcPr>
          <w:p w:rsidR="00B92E96" w:rsidRPr="00725D07" w:rsidRDefault="00B92E96" w:rsidP="00725D07">
            <w:pPr>
              <w:tabs>
                <w:tab w:val="left" w:pos="288"/>
                <w:tab w:val="left" w:pos="4752"/>
              </w:tabs>
              <w:spacing w:line="240" w:lineRule="exact"/>
              <w:jc w:val="center"/>
              <w:rPr>
                <w:color w:val="auto"/>
                <w:sz w:val="22"/>
                <w:szCs w:val="22"/>
              </w:rPr>
            </w:pPr>
            <w:r w:rsidRPr="00725D07">
              <w:rPr>
                <w:color w:val="auto"/>
                <w:sz w:val="22"/>
                <w:szCs w:val="22"/>
              </w:rPr>
              <w:t>10%</w:t>
            </w:r>
          </w:p>
        </w:tc>
        <w:tc>
          <w:tcPr>
            <w:tcW w:w="1432" w:type="dxa"/>
            <w:tcBorders>
              <w:left w:val="single" w:sz="4" w:space="0" w:color="auto"/>
            </w:tcBorders>
            <w:vAlign w:val="center"/>
          </w:tcPr>
          <w:p w:rsidR="00B92E96" w:rsidRPr="00725D07" w:rsidRDefault="00B92E96" w:rsidP="00725D07">
            <w:pPr>
              <w:tabs>
                <w:tab w:val="left" w:pos="288"/>
                <w:tab w:val="left" w:pos="4752"/>
              </w:tabs>
              <w:spacing w:line="240" w:lineRule="exact"/>
              <w:jc w:val="center"/>
              <w:rPr>
                <w:color w:val="auto"/>
                <w:sz w:val="22"/>
                <w:szCs w:val="22"/>
              </w:rPr>
            </w:pPr>
            <w:r w:rsidRPr="00725D07">
              <w:rPr>
                <w:color w:val="auto"/>
                <w:sz w:val="22"/>
                <w:szCs w:val="22"/>
              </w:rPr>
              <w:t>10%</w:t>
            </w:r>
          </w:p>
        </w:tc>
      </w:tr>
    </w:tbl>
    <w:p w:rsidR="00700069" w:rsidRPr="00725D07" w:rsidRDefault="00725D07" w:rsidP="00C24EAF">
      <w:pPr>
        <w:tabs>
          <w:tab w:val="left" w:pos="4590"/>
        </w:tabs>
        <w:spacing w:line="240" w:lineRule="exact"/>
        <w:rPr>
          <w:bCs/>
          <w:color w:val="auto"/>
          <w:sz w:val="22"/>
          <w:szCs w:val="22"/>
        </w:rPr>
      </w:pPr>
      <w:r>
        <w:rPr>
          <w:bCs/>
          <w:color w:val="auto"/>
          <w:sz w:val="18"/>
        </w:rPr>
        <w:t xml:space="preserve">                     </w:t>
      </w:r>
      <w:r w:rsidR="00700069" w:rsidRPr="00725D07">
        <w:rPr>
          <w:bCs/>
          <w:color w:val="auto"/>
          <w:sz w:val="22"/>
          <w:szCs w:val="22"/>
        </w:rPr>
        <w:t xml:space="preserve"> * Conceding §4.59 (painful motion) as below.</w:t>
      </w:r>
    </w:p>
    <w:p w:rsidR="00700069" w:rsidRPr="00725D07" w:rsidRDefault="00700069" w:rsidP="00591815">
      <w:pPr>
        <w:tabs>
          <w:tab w:val="left" w:pos="288"/>
          <w:tab w:val="left" w:pos="4752"/>
        </w:tabs>
        <w:spacing w:line="240" w:lineRule="exact"/>
        <w:rPr>
          <w:color w:val="auto"/>
          <w:sz w:val="22"/>
          <w:szCs w:val="22"/>
        </w:rPr>
      </w:pPr>
    </w:p>
    <w:p w:rsidR="001A1D31" w:rsidRDefault="001A1D31" w:rsidP="006536A5">
      <w:pPr>
        <w:tabs>
          <w:tab w:val="left" w:pos="288"/>
          <w:tab w:val="left" w:pos="4752"/>
        </w:tabs>
        <w:spacing w:line="240" w:lineRule="exact"/>
        <w:jc w:val="both"/>
        <w:rPr>
          <w:rFonts w:eastAsia="Calibri"/>
          <w:color w:val="auto"/>
          <w:szCs w:val="24"/>
        </w:rPr>
      </w:pPr>
      <w:r>
        <w:rPr>
          <w:color w:val="auto"/>
        </w:rPr>
        <w:t>At</w:t>
      </w:r>
      <w:r w:rsidR="00700069" w:rsidRPr="00591815">
        <w:rPr>
          <w:color w:val="auto"/>
        </w:rPr>
        <w:t xml:space="preserve"> the MEB examination, the CI reported occasional pain in the shoulder</w:t>
      </w:r>
      <w:r>
        <w:rPr>
          <w:color w:val="auto"/>
        </w:rPr>
        <w:t>s</w:t>
      </w:r>
      <w:r w:rsidR="00700069" w:rsidRPr="00591815">
        <w:rPr>
          <w:color w:val="auto"/>
        </w:rPr>
        <w:t xml:space="preserve">.  </w:t>
      </w:r>
      <w:r>
        <w:rPr>
          <w:color w:val="auto"/>
        </w:rPr>
        <w:t>This was exacerbated by such a</w:t>
      </w:r>
      <w:r w:rsidR="00700069" w:rsidRPr="00591815">
        <w:rPr>
          <w:color w:val="auto"/>
        </w:rPr>
        <w:t xml:space="preserve">ctivities </w:t>
      </w:r>
      <w:r>
        <w:rPr>
          <w:color w:val="auto"/>
        </w:rPr>
        <w:t>as</w:t>
      </w:r>
      <w:r w:rsidR="00700069" w:rsidRPr="00591815">
        <w:rPr>
          <w:color w:val="auto"/>
        </w:rPr>
        <w:t xml:space="preserve"> raising his arm overhead, throwing, lifting more than twenty pounds, and climbing ladders.  </w:t>
      </w:r>
      <w:r>
        <w:rPr>
          <w:color w:val="auto"/>
        </w:rPr>
        <w:t>On physical</w:t>
      </w:r>
      <w:r w:rsidR="00700069" w:rsidRPr="00591815">
        <w:rPr>
          <w:color w:val="auto"/>
        </w:rPr>
        <w:t xml:space="preserve"> examination, the MEB physician noted </w:t>
      </w:r>
      <w:r>
        <w:rPr>
          <w:color w:val="auto"/>
        </w:rPr>
        <w:t>the modest ROM limitations documented above, mild tenderness on the left, and pain with motion of both shoulders</w:t>
      </w:r>
      <w:r w:rsidR="00700069" w:rsidRPr="00591815">
        <w:rPr>
          <w:color w:val="auto"/>
        </w:rPr>
        <w:t xml:space="preserve">.  </w:t>
      </w:r>
      <w:r w:rsidR="00550401">
        <w:rPr>
          <w:color w:val="auto"/>
        </w:rPr>
        <w:t>There</w:t>
      </w:r>
      <w:r w:rsidRPr="00591815">
        <w:rPr>
          <w:color w:val="auto"/>
        </w:rPr>
        <w:t xml:space="preserve"> was </w:t>
      </w:r>
      <w:r w:rsidR="00550401">
        <w:rPr>
          <w:color w:val="auto"/>
        </w:rPr>
        <w:t>no</w:t>
      </w:r>
      <w:r w:rsidRPr="00591815">
        <w:rPr>
          <w:color w:val="auto"/>
        </w:rPr>
        <w:t xml:space="preserve"> tender</w:t>
      </w:r>
      <w:r w:rsidR="00550401">
        <w:rPr>
          <w:color w:val="auto"/>
        </w:rPr>
        <w:t>ness, but</w:t>
      </w:r>
      <w:r w:rsidRPr="00591815">
        <w:rPr>
          <w:color w:val="auto"/>
        </w:rPr>
        <w:t xml:space="preserve"> pain</w:t>
      </w:r>
      <w:r w:rsidR="00550401">
        <w:rPr>
          <w:color w:val="auto"/>
        </w:rPr>
        <w:t>ful</w:t>
      </w:r>
      <w:r w:rsidRPr="00591815">
        <w:rPr>
          <w:color w:val="auto"/>
        </w:rPr>
        <w:t xml:space="preserve"> motion</w:t>
      </w:r>
      <w:r w:rsidR="00550401">
        <w:rPr>
          <w:color w:val="auto"/>
        </w:rPr>
        <w:t xml:space="preserve"> was documented</w:t>
      </w:r>
      <w:r w:rsidRPr="00591815">
        <w:rPr>
          <w:color w:val="auto"/>
        </w:rPr>
        <w:t xml:space="preserve">.  </w:t>
      </w:r>
      <w:r>
        <w:rPr>
          <w:color w:val="auto"/>
        </w:rPr>
        <w:t>Although the CI noted “feelings of instability</w:t>
      </w:r>
      <w:r w:rsidR="00694A57">
        <w:rPr>
          <w:color w:val="auto"/>
        </w:rPr>
        <w:t xml:space="preserve">,” </w:t>
      </w:r>
      <w:r>
        <w:rPr>
          <w:color w:val="auto"/>
        </w:rPr>
        <w:t xml:space="preserve">there was no objective instability to stress testing of either joint.  At the pre-separation VA </w:t>
      </w:r>
      <w:r w:rsidR="00002417" w:rsidRPr="00002417">
        <w:rPr>
          <w:rFonts w:eastAsia="Calibri"/>
          <w:color w:val="auto"/>
          <w:szCs w:val="24"/>
        </w:rPr>
        <w:t>Compensation and Pension (C&amp;P)</w:t>
      </w:r>
      <w:r w:rsidR="00002417">
        <w:rPr>
          <w:rFonts w:eastAsia="Calibri"/>
          <w:color w:val="auto"/>
          <w:szCs w:val="24"/>
        </w:rPr>
        <w:t xml:space="preserve"> examination four months later, the CI reported constant severe pain (7-8 on the 10 scale).  It was exacerbated by “physical activity” and treated with narcotic analgesics, although the examiner stated that the CI “can function without medication</w:t>
      </w:r>
      <w:r w:rsidR="00694A57">
        <w:rPr>
          <w:rFonts w:eastAsia="Calibri"/>
          <w:color w:val="auto"/>
          <w:szCs w:val="24"/>
        </w:rPr>
        <w:t>.</w:t>
      </w:r>
      <w:r w:rsidR="00002417">
        <w:rPr>
          <w:rFonts w:eastAsia="Calibri"/>
          <w:color w:val="auto"/>
          <w:szCs w:val="24"/>
        </w:rPr>
        <w:t>”  Physical findings were tenderness, apprehension with abduction on the right, and the limitations in abduction recorded above.  Repetition elicited “pain and weakness</w:t>
      </w:r>
      <w:r w:rsidR="00694A57">
        <w:rPr>
          <w:rFonts w:eastAsia="Calibri"/>
          <w:color w:val="auto"/>
          <w:szCs w:val="24"/>
        </w:rPr>
        <w:t>,</w:t>
      </w:r>
      <w:r w:rsidR="00002417">
        <w:rPr>
          <w:rFonts w:eastAsia="Calibri"/>
          <w:color w:val="auto"/>
          <w:szCs w:val="24"/>
        </w:rPr>
        <w:t>”</w:t>
      </w:r>
      <w:r w:rsidR="000C178C">
        <w:rPr>
          <w:rFonts w:eastAsia="Calibri"/>
          <w:color w:val="auto"/>
          <w:szCs w:val="24"/>
        </w:rPr>
        <w:t xml:space="preserve"> but no decrement in ROM.  Both shoulders were stable to stress testing by the VA examiner, akin to the MEB evaluation.</w:t>
      </w:r>
    </w:p>
    <w:p w:rsidR="000C178C" w:rsidRDefault="000C178C" w:rsidP="006536A5">
      <w:pPr>
        <w:tabs>
          <w:tab w:val="left" w:pos="288"/>
          <w:tab w:val="left" w:pos="4752"/>
        </w:tabs>
        <w:spacing w:line="240" w:lineRule="exact"/>
        <w:jc w:val="both"/>
        <w:rPr>
          <w:rFonts w:eastAsia="Calibri"/>
          <w:color w:val="auto"/>
          <w:szCs w:val="24"/>
        </w:rPr>
      </w:pPr>
    </w:p>
    <w:p w:rsidR="00700069" w:rsidRPr="00E956E4" w:rsidRDefault="000C178C" w:rsidP="006536A5">
      <w:pPr>
        <w:tabs>
          <w:tab w:val="left" w:pos="288"/>
          <w:tab w:val="left" w:pos="4752"/>
        </w:tabs>
        <w:spacing w:line="240" w:lineRule="exact"/>
        <w:jc w:val="both"/>
        <w:rPr>
          <w:color w:val="auto"/>
        </w:rPr>
      </w:pPr>
      <w:r>
        <w:rPr>
          <w:rFonts w:eastAsia="Calibri"/>
          <w:color w:val="auto"/>
          <w:szCs w:val="24"/>
        </w:rPr>
        <w:lastRenderedPageBreak/>
        <w:t xml:space="preserve">The Board directs its attention to its rating recommendations based on the evidence just presented.  </w:t>
      </w:r>
      <w:r w:rsidR="00687FAE">
        <w:rPr>
          <w:color w:val="auto"/>
        </w:rPr>
        <w:t>T</w:t>
      </w:r>
      <w:r w:rsidR="00700069" w:rsidRPr="00591815">
        <w:rPr>
          <w:color w:val="auto"/>
        </w:rPr>
        <w:t xml:space="preserve">he Board notes that </w:t>
      </w:r>
      <w:r w:rsidR="00687FAE">
        <w:rPr>
          <w:color w:val="auto"/>
        </w:rPr>
        <w:t>both the MEB and</w:t>
      </w:r>
      <w:r w:rsidR="00700069" w:rsidRPr="00591815">
        <w:rPr>
          <w:color w:val="auto"/>
        </w:rPr>
        <w:t xml:space="preserve"> VA exam</w:t>
      </w:r>
      <w:r w:rsidR="00687FAE">
        <w:rPr>
          <w:color w:val="auto"/>
        </w:rPr>
        <w:t>s were complete, well documented, and s</w:t>
      </w:r>
      <w:r>
        <w:rPr>
          <w:color w:val="auto"/>
        </w:rPr>
        <w:t>imilar in terms of ratable data;</w:t>
      </w:r>
      <w:r w:rsidR="00687FAE">
        <w:rPr>
          <w:color w:val="auto"/>
        </w:rPr>
        <w:t xml:space="preserve"> and</w:t>
      </w:r>
      <w:r>
        <w:rPr>
          <w:color w:val="auto"/>
        </w:rPr>
        <w:t>,</w:t>
      </w:r>
      <w:r w:rsidR="00687FAE">
        <w:rPr>
          <w:color w:val="auto"/>
        </w:rPr>
        <w:t xml:space="preserve"> therefore assigns </w:t>
      </w:r>
      <w:r w:rsidR="00550401">
        <w:rPr>
          <w:color w:val="auto"/>
        </w:rPr>
        <w:t xml:space="preserve">them </w:t>
      </w:r>
      <w:r w:rsidR="00687FAE">
        <w:rPr>
          <w:color w:val="auto"/>
        </w:rPr>
        <w:t xml:space="preserve">equal </w:t>
      </w:r>
      <w:r w:rsidR="00700069" w:rsidRPr="00591815">
        <w:rPr>
          <w:color w:val="auto"/>
        </w:rPr>
        <w:t xml:space="preserve">probative value. </w:t>
      </w:r>
      <w:r w:rsidR="00700069" w:rsidRPr="00380576">
        <w:rPr>
          <w:color w:val="auto"/>
        </w:rPr>
        <w:t xml:space="preserve"> </w:t>
      </w:r>
      <w:r w:rsidR="00700069" w:rsidRPr="00FC1173">
        <w:rPr>
          <w:color w:val="auto"/>
        </w:rPr>
        <w:t xml:space="preserve">The PEB and VA chose </w:t>
      </w:r>
      <w:r w:rsidR="00CF7188">
        <w:rPr>
          <w:color w:val="auto"/>
        </w:rPr>
        <w:t>similar</w:t>
      </w:r>
      <w:r w:rsidR="00700069" w:rsidRPr="00FC1173">
        <w:rPr>
          <w:color w:val="auto"/>
        </w:rPr>
        <w:t xml:space="preserve"> c</w:t>
      </w:r>
      <w:r w:rsidR="00CF7188">
        <w:rPr>
          <w:color w:val="auto"/>
        </w:rPr>
        <w:t>oding options for the condition</w:t>
      </w:r>
      <w:r>
        <w:rPr>
          <w:color w:val="auto"/>
        </w:rPr>
        <w:t>, i.e., analogous to 5003 (degenerative arthritis)</w:t>
      </w:r>
      <w:r w:rsidR="00700069" w:rsidRPr="00FC1173">
        <w:rPr>
          <w:color w:val="auto"/>
        </w:rPr>
        <w:t xml:space="preserve">.  </w:t>
      </w:r>
      <w:r w:rsidR="00CF7188">
        <w:rPr>
          <w:color w:val="auto"/>
        </w:rPr>
        <w:t>Both the PEB and VA recognized non</w:t>
      </w:r>
      <w:r>
        <w:rPr>
          <w:color w:val="auto"/>
        </w:rPr>
        <w:t>-</w:t>
      </w:r>
      <w:r w:rsidR="00CF7188">
        <w:rPr>
          <w:color w:val="auto"/>
        </w:rPr>
        <w:t>compen</w:t>
      </w:r>
      <w:r>
        <w:rPr>
          <w:color w:val="auto"/>
        </w:rPr>
        <w:t>s</w:t>
      </w:r>
      <w:r w:rsidR="00CF7188">
        <w:rPr>
          <w:color w:val="auto"/>
        </w:rPr>
        <w:t xml:space="preserve">able loss of ROM for the </w:t>
      </w:r>
      <w:r>
        <w:rPr>
          <w:color w:val="auto"/>
        </w:rPr>
        <w:t>each</w:t>
      </w:r>
      <w:r w:rsidR="00CF7188">
        <w:rPr>
          <w:color w:val="auto"/>
        </w:rPr>
        <w:t xml:space="preserve"> shoulder</w:t>
      </w:r>
      <w:r w:rsidR="00550401">
        <w:rPr>
          <w:color w:val="auto"/>
        </w:rPr>
        <w:t>,</w:t>
      </w:r>
      <w:r w:rsidR="00CF7188">
        <w:rPr>
          <w:color w:val="auto"/>
        </w:rPr>
        <w:t xml:space="preserve"> </w:t>
      </w:r>
      <w:r w:rsidR="00550401">
        <w:rPr>
          <w:color w:val="auto"/>
        </w:rPr>
        <w:t xml:space="preserve">but </w:t>
      </w:r>
      <w:r w:rsidR="00C81C23">
        <w:rPr>
          <w:color w:val="auto"/>
        </w:rPr>
        <w:t>acknowledged</w:t>
      </w:r>
      <w:r w:rsidR="00CF7188">
        <w:rPr>
          <w:color w:val="auto"/>
        </w:rPr>
        <w:t xml:space="preserve"> pain</w:t>
      </w:r>
      <w:r w:rsidR="00550401">
        <w:rPr>
          <w:color w:val="auto"/>
        </w:rPr>
        <w:t>ful</w:t>
      </w:r>
      <w:r w:rsidR="00CF7188">
        <w:rPr>
          <w:color w:val="auto"/>
        </w:rPr>
        <w:t xml:space="preserve"> motion.  </w:t>
      </w:r>
      <w:r w:rsidR="00700069">
        <w:rPr>
          <w:color w:val="auto"/>
        </w:rPr>
        <w:t xml:space="preserve">The </w:t>
      </w:r>
      <w:r w:rsidR="00CF7188">
        <w:rPr>
          <w:color w:val="auto"/>
        </w:rPr>
        <w:t>PEB specifically cited VASRD</w:t>
      </w:r>
      <w:r w:rsidR="00700069">
        <w:rPr>
          <w:color w:val="auto"/>
        </w:rPr>
        <w:t xml:space="preserve"> </w:t>
      </w:r>
      <w:r w:rsidR="00700069">
        <w:rPr>
          <w:rFonts w:cs="Calibri"/>
          <w:color w:val="auto"/>
        </w:rPr>
        <w:t>§</w:t>
      </w:r>
      <w:r w:rsidR="00700069">
        <w:rPr>
          <w:color w:val="auto"/>
        </w:rPr>
        <w:t>4.59 (painful motion)</w:t>
      </w:r>
      <w:r w:rsidR="00CF7188">
        <w:rPr>
          <w:color w:val="auto"/>
        </w:rPr>
        <w:t xml:space="preserve"> in support of </w:t>
      </w:r>
      <w:r>
        <w:rPr>
          <w:color w:val="auto"/>
        </w:rPr>
        <w:t xml:space="preserve">the </w:t>
      </w:r>
      <w:r w:rsidR="00CF7188">
        <w:rPr>
          <w:color w:val="auto"/>
        </w:rPr>
        <w:t xml:space="preserve">minimal compensable rating </w:t>
      </w:r>
      <w:r>
        <w:rPr>
          <w:color w:val="auto"/>
        </w:rPr>
        <w:t>for each joint; and, t</w:t>
      </w:r>
      <w:r w:rsidR="00700069">
        <w:rPr>
          <w:color w:val="auto"/>
        </w:rPr>
        <w:t xml:space="preserve">he </w:t>
      </w:r>
      <w:r w:rsidR="006536A5">
        <w:rPr>
          <w:color w:val="auto"/>
        </w:rPr>
        <w:t xml:space="preserve">VA cited </w:t>
      </w:r>
      <w:r w:rsidR="00700069">
        <w:rPr>
          <w:color w:val="auto"/>
        </w:rPr>
        <w:t xml:space="preserve">5003 </w:t>
      </w:r>
      <w:r w:rsidR="006536A5">
        <w:rPr>
          <w:color w:val="auto"/>
        </w:rPr>
        <w:t xml:space="preserve">rating language directly as justification of </w:t>
      </w:r>
      <w:r>
        <w:rPr>
          <w:color w:val="auto"/>
        </w:rPr>
        <w:t>its</w:t>
      </w:r>
      <w:r w:rsidR="006536A5">
        <w:rPr>
          <w:color w:val="auto"/>
        </w:rPr>
        <w:t xml:space="preserve"> minimal compensable rating</w:t>
      </w:r>
      <w:r>
        <w:rPr>
          <w:color w:val="auto"/>
        </w:rPr>
        <w:t>s</w:t>
      </w:r>
      <w:r w:rsidR="006536A5">
        <w:rPr>
          <w:color w:val="auto"/>
        </w:rPr>
        <w:t xml:space="preserve"> “</w:t>
      </w:r>
      <w:r w:rsidR="006536A5" w:rsidRPr="006536A5">
        <w:rPr>
          <w:color w:val="auto"/>
        </w:rPr>
        <w:t>for painful or limited motion of a major joint or group of</w:t>
      </w:r>
      <w:r w:rsidR="006536A5">
        <w:rPr>
          <w:color w:val="auto"/>
        </w:rPr>
        <w:t xml:space="preserve"> </w:t>
      </w:r>
      <w:r w:rsidR="006536A5" w:rsidRPr="006536A5">
        <w:rPr>
          <w:color w:val="auto"/>
        </w:rPr>
        <w:t>minor</w:t>
      </w:r>
      <w:r w:rsidR="006536A5">
        <w:rPr>
          <w:color w:val="auto"/>
        </w:rPr>
        <w:t xml:space="preserve"> </w:t>
      </w:r>
      <w:r w:rsidR="006536A5" w:rsidRPr="006536A5">
        <w:rPr>
          <w:color w:val="auto"/>
        </w:rPr>
        <w:t>joints</w:t>
      </w:r>
      <w:r w:rsidR="00694A57">
        <w:rPr>
          <w:color w:val="auto"/>
        </w:rPr>
        <w:t>.</w:t>
      </w:r>
      <w:r w:rsidR="006536A5">
        <w:rPr>
          <w:color w:val="auto"/>
        </w:rPr>
        <w:t>”</w:t>
      </w:r>
      <w:r w:rsidR="00700069">
        <w:rPr>
          <w:color w:val="auto"/>
        </w:rPr>
        <w:t xml:space="preserve"> </w:t>
      </w:r>
      <w:r w:rsidR="006536A5">
        <w:rPr>
          <w:color w:val="auto"/>
        </w:rPr>
        <w:t xml:space="preserve"> T</w:t>
      </w:r>
      <w:r w:rsidR="00700069">
        <w:rPr>
          <w:color w:val="auto"/>
        </w:rPr>
        <w:t xml:space="preserve">here is no evidence of incapacitating episodes to support a </w:t>
      </w:r>
      <w:r w:rsidR="006536A5">
        <w:rPr>
          <w:color w:val="auto"/>
        </w:rPr>
        <w:t>20%</w:t>
      </w:r>
      <w:r w:rsidR="00700069">
        <w:rPr>
          <w:color w:val="auto"/>
        </w:rPr>
        <w:t xml:space="preserve"> rating</w:t>
      </w:r>
      <w:r w:rsidR="006536A5">
        <w:rPr>
          <w:color w:val="auto"/>
        </w:rPr>
        <w:t xml:space="preserve"> under the 5003 code</w:t>
      </w:r>
      <w:r w:rsidR="00700069">
        <w:rPr>
          <w:color w:val="auto"/>
        </w:rPr>
        <w:t xml:space="preserve">.  </w:t>
      </w:r>
      <w:r w:rsidR="00700069" w:rsidRPr="003C53E8">
        <w:rPr>
          <w:color w:val="auto"/>
        </w:rPr>
        <w:t xml:space="preserve">There was no clinical or radiologic evidence </w:t>
      </w:r>
      <w:r>
        <w:rPr>
          <w:color w:val="auto"/>
        </w:rPr>
        <w:t>for either joint supporting</w:t>
      </w:r>
      <w:r w:rsidR="00700069" w:rsidRPr="003C53E8">
        <w:rPr>
          <w:color w:val="auto"/>
        </w:rPr>
        <w:t xml:space="preserve"> </w:t>
      </w:r>
      <w:proofErr w:type="spellStart"/>
      <w:r w:rsidR="00700069" w:rsidRPr="003C53E8">
        <w:rPr>
          <w:color w:val="auto"/>
        </w:rPr>
        <w:t>ankylosis</w:t>
      </w:r>
      <w:proofErr w:type="spellEnd"/>
      <w:r w:rsidR="00700069" w:rsidRPr="003C53E8">
        <w:rPr>
          <w:color w:val="auto"/>
        </w:rPr>
        <w:t xml:space="preserve">, loss of the humeral head, nonunion, </w:t>
      </w:r>
      <w:proofErr w:type="spellStart"/>
      <w:r w:rsidR="00700069" w:rsidRPr="003C53E8">
        <w:rPr>
          <w:color w:val="auto"/>
        </w:rPr>
        <w:t>malunion</w:t>
      </w:r>
      <w:proofErr w:type="spellEnd"/>
      <w:r w:rsidR="00700069" w:rsidRPr="003C53E8">
        <w:rPr>
          <w:color w:val="auto"/>
        </w:rPr>
        <w:t xml:space="preserve">, fibrous union, </w:t>
      </w:r>
      <w:r w:rsidR="00700069">
        <w:rPr>
          <w:color w:val="auto"/>
        </w:rPr>
        <w:t xml:space="preserve">or </w:t>
      </w:r>
      <w:r w:rsidR="00700069" w:rsidRPr="003C53E8">
        <w:rPr>
          <w:color w:val="auto"/>
        </w:rPr>
        <w:t>deformity</w:t>
      </w:r>
      <w:r w:rsidR="00700069">
        <w:rPr>
          <w:color w:val="auto"/>
        </w:rPr>
        <w:t xml:space="preserve"> of the </w:t>
      </w:r>
      <w:proofErr w:type="spellStart"/>
      <w:r w:rsidR="00700069">
        <w:rPr>
          <w:color w:val="auto"/>
        </w:rPr>
        <w:t>humerus</w:t>
      </w:r>
      <w:proofErr w:type="spellEnd"/>
      <w:r w:rsidR="00700069">
        <w:rPr>
          <w:color w:val="auto"/>
        </w:rPr>
        <w:t xml:space="preserve">.  </w:t>
      </w:r>
      <w:r w:rsidR="00700069" w:rsidRPr="003C53E8">
        <w:rPr>
          <w:color w:val="auto"/>
        </w:rPr>
        <w:t xml:space="preserve">There was </w:t>
      </w:r>
      <w:r w:rsidR="006542F0">
        <w:rPr>
          <w:color w:val="auto"/>
        </w:rPr>
        <w:t>further</w:t>
      </w:r>
      <w:r w:rsidR="00700069">
        <w:rPr>
          <w:color w:val="auto"/>
        </w:rPr>
        <w:t xml:space="preserve"> </w:t>
      </w:r>
      <w:r w:rsidR="00700069" w:rsidRPr="003C53E8">
        <w:rPr>
          <w:color w:val="auto"/>
        </w:rPr>
        <w:t xml:space="preserve">no clinical or radiologic evidence </w:t>
      </w:r>
      <w:r w:rsidR="006542F0">
        <w:rPr>
          <w:color w:val="auto"/>
        </w:rPr>
        <w:t xml:space="preserve">for either joint </w:t>
      </w:r>
      <w:r w:rsidR="00700069" w:rsidRPr="003C53E8">
        <w:rPr>
          <w:color w:val="auto"/>
        </w:rPr>
        <w:t>that suggested</w:t>
      </w:r>
      <w:r w:rsidR="00700069">
        <w:rPr>
          <w:color w:val="auto"/>
        </w:rPr>
        <w:t xml:space="preserve"> </w:t>
      </w:r>
      <w:r w:rsidR="00700069" w:rsidRPr="003C53E8">
        <w:rPr>
          <w:color w:val="auto"/>
        </w:rPr>
        <w:t>dislocation of</w:t>
      </w:r>
      <w:r w:rsidR="00700069">
        <w:rPr>
          <w:color w:val="auto"/>
        </w:rPr>
        <w:t>, nonunion of</w:t>
      </w:r>
      <w:r w:rsidR="006542F0">
        <w:rPr>
          <w:color w:val="auto"/>
        </w:rPr>
        <w:t>,</w:t>
      </w:r>
      <w:r w:rsidR="00700069">
        <w:rPr>
          <w:color w:val="auto"/>
        </w:rPr>
        <w:t xml:space="preserve"> or </w:t>
      </w:r>
      <w:proofErr w:type="spellStart"/>
      <w:r w:rsidR="00700069">
        <w:rPr>
          <w:color w:val="auto"/>
        </w:rPr>
        <w:t>malunion</w:t>
      </w:r>
      <w:proofErr w:type="spellEnd"/>
      <w:r w:rsidR="00700069">
        <w:rPr>
          <w:color w:val="auto"/>
        </w:rPr>
        <w:t xml:space="preserve"> of </w:t>
      </w:r>
      <w:r w:rsidR="00700069" w:rsidRPr="003C53E8">
        <w:rPr>
          <w:color w:val="auto"/>
        </w:rPr>
        <w:t xml:space="preserve">the </w:t>
      </w:r>
      <w:r w:rsidR="00700069">
        <w:rPr>
          <w:color w:val="auto"/>
        </w:rPr>
        <w:t xml:space="preserve">clavicle or </w:t>
      </w:r>
      <w:r w:rsidR="00700069" w:rsidRPr="003C53E8">
        <w:rPr>
          <w:color w:val="auto"/>
        </w:rPr>
        <w:t>scapula</w:t>
      </w:r>
      <w:r w:rsidR="00700069">
        <w:rPr>
          <w:color w:val="auto"/>
        </w:rPr>
        <w:t xml:space="preserve">.  The </w:t>
      </w:r>
      <w:r w:rsidR="00700069" w:rsidRPr="003C53E8">
        <w:rPr>
          <w:color w:val="auto"/>
        </w:rPr>
        <w:t xml:space="preserve">recurrent dislocations of the </w:t>
      </w:r>
      <w:proofErr w:type="spellStart"/>
      <w:r w:rsidR="00700069" w:rsidRPr="003C53E8">
        <w:rPr>
          <w:color w:val="auto"/>
        </w:rPr>
        <w:t>humerus</w:t>
      </w:r>
      <w:proofErr w:type="spellEnd"/>
      <w:r w:rsidR="00700069">
        <w:rPr>
          <w:color w:val="auto"/>
        </w:rPr>
        <w:t xml:space="preserve"> were resolved with the surgery.  Hence, no alternative shoulder code </w:t>
      </w:r>
      <w:r w:rsidR="006542F0">
        <w:rPr>
          <w:color w:val="auto"/>
        </w:rPr>
        <w:t>is supported in justification of</w:t>
      </w:r>
      <w:r w:rsidR="00700069" w:rsidRPr="003C53E8">
        <w:rPr>
          <w:color w:val="auto"/>
        </w:rPr>
        <w:t xml:space="preserve"> a</w:t>
      </w:r>
      <w:r w:rsidR="00700069">
        <w:rPr>
          <w:color w:val="auto"/>
        </w:rPr>
        <w:t xml:space="preserve"> </w:t>
      </w:r>
      <w:r w:rsidR="00700069" w:rsidRPr="003C53E8">
        <w:rPr>
          <w:color w:val="auto"/>
        </w:rPr>
        <w:t>rating</w:t>
      </w:r>
      <w:r w:rsidR="006542F0" w:rsidRPr="006542F0">
        <w:rPr>
          <w:color w:val="auto"/>
        </w:rPr>
        <w:t xml:space="preserve"> </w:t>
      </w:r>
      <w:r w:rsidR="006542F0" w:rsidRPr="003C53E8">
        <w:rPr>
          <w:color w:val="auto"/>
        </w:rPr>
        <w:t>higher</w:t>
      </w:r>
      <w:r w:rsidR="006542F0">
        <w:rPr>
          <w:color w:val="auto"/>
        </w:rPr>
        <w:t xml:space="preserve"> than 10% for each joint</w:t>
      </w:r>
      <w:r w:rsidR="00700069" w:rsidRPr="003C53E8">
        <w:rPr>
          <w:color w:val="auto"/>
        </w:rPr>
        <w:t xml:space="preserve">.  </w:t>
      </w:r>
      <w:r w:rsidR="00CF7188" w:rsidRPr="00FC1173">
        <w:rPr>
          <w:color w:val="auto"/>
        </w:rPr>
        <w:t xml:space="preserve">There was no evidence of ratable peripheral nerve impairment which would provide for additional or higher rating.  </w:t>
      </w:r>
      <w:r w:rsidR="00700069" w:rsidRPr="00E956E4">
        <w:rPr>
          <w:color w:val="auto"/>
        </w:rPr>
        <w:t xml:space="preserve">After due deliberation, considering all of the evidence and mindful of VASRD §4.3 (reasonable doubt), the Board unanimously recommends no change from the PEB’s adjudication of the right </w:t>
      </w:r>
      <w:r w:rsidR="006542F0">
        <w:rPr>
          <w:color w:val="auto"/>
        </w:rPr>
        <w:t xml:space="preserve">and left </w:t>
      </w:r>
      <w:r w:rsidR="00700069" w:rsidRPr="00E956E4">
        <w:rPr>
          <w:color w:val="auto"/>
        </w:rPr>
        <w:t>shoulder condition</w:t>
      </w:r>
      <w:r w:rsidR="006542F0">
        <w:rPr>
          <w:color w:val="auto"/>
        </w:rPr>
        <w:t>s</w:t>
      </w:r>
      <w:r w:rsidR="00700069" w:rsidRPr="00E956E4">
        <w:rPr>
          <w:color w:val="auto"/>
        </w:rPr>
        <w:t>.</w:t>
      </w:r>
    </w:p>
    <w:p w:rsidR="00706A04" w:rsidRDefault="00706A04" w:rsidP="002B3960">
      <w:pPr>
        <w:spacing w:line="240" w:lineRule="exact"/>
        <w:jc w:val="both"/>
        <w:rPr>
          <w:rFonts w:eastAsia="HiddenHorzOCR"/>
          <w:color w:val="auto"/>
          <w:u w:val="single"/>
        </w:rPr>
      </w:pPr>
    </w:p>
    <w:p w:rsidR="002B3960" w:rsidRPr="00664296" w:rsidRDefault="00700069" w:rsidP="002B3960">
      <w:pPr>
        <w:spacing w:line="240" w:lineRule="exact"/>
        <w:jc w:val="both"/>
        <w:rPr>
          <w:rFonts w:eastAsia="HiddenHorzOCR"/>
          <w:color w:val="auto"/>
        </w:rPr>
      </w:pPr>
      <w:r w:rsidRPr="00B00EE6">
        <w:rPr>
          <w:rFonts w:eastAsia="HiddenHorzOCR"/>
          <w:color w:val="auto"/>
          <w:u w:val="single"/>
        </w:rPr>
        <w:t xml:space="preserve">Other </w:t>
      </w:r>
      <w:proofErr w:type="gramStart"/>
      <w:r w:rsidRPr="00B00EE6">
        <w:rPr>
          <w:rFonts w:eastAsia="HiddenHorzOCR"/>
          <w:color w:val="auto"/>
          <w:u w:val="single"/>
        </w:rPr>
        <w:t>PEB  Conditions</w:t>
      </w:r>
      <w:proofErr w:type="gramEnd"/>
      <w:r w:rsidRPr="00B00EE6">
        <w:rPr>
          <w:rFonts w:eastAsia="HiddenHorzOCR"/>
          <w:color w:val="auto"/>
        </w:rPr>
        <w:t>.  The other conditions forwarded by the MEB adjudicated as not unfitting by the PEB were sleep disorder</w:t>
      </w:r>
      <w:r w:rsidR="006536A5">
        <w:rPr>
          <w:rFonts w:eastAsia="HiddenHorzOCR"/>
          <w:color w:val="auto"/>
        </w:rPr>
        <w:t>/insomnia</w:t>
      </w:r>
      <w:r w:rsidRPr="00B00EE6">
        <w:rPr>
          <w:rFonts w:eastAsia="HiddenHorzOCR"/>
          <w:color w:val="auto"/>
        </w:rPr>
        <w:t xml:space="preserve"> </w:t>
      </w:r>
      <w:r w:rsidR="009A2F5B">
        <w:rPr>
          <w:rFonts w:eastAsia="HiddenHorzOCR"/>
          <w:color w:val="auto"/>
        </w:rPr>
        <w:t xml:space="preserve">and </w:t>
      </w:r>
      <w:r w:rsidR="002B3960">
        <w:rPr>
          <w:rFonts w:eastAsia="HiddenHorzOCR"/>
          <w:color w:val="auto"/>
        </w:rPr>
        <w:t>the non-ratable conditions</w:t>
      </w:r>
      <w:r w:rsidR="009A2F5B">
        <w:rPr>
          <w:rFonts w:eastAsia="HiddenHorzOCR"/>
          <w:color w:val="auto"/>
        </w:rPr>
        <w:t xml:space="preserve"> </w:t>
      </w:r>
      <w:r w:rsidR="002B3960">
        <w:rPr>
          <w:rFonts w:eastAsia="HiddenHorzOCR"/>
          <w:color w:val="auto"/>
        </w:rPr>
        <w:t>previously noted</w:t>
      </w:r>
      <w:r w:rsidRPr="00B00EE6">
        <w:rPr>
          <w:rFonts w:eastAsia="HiddenHorzOCR"/>
          <w:color w:val="auto"/>
        </w:rPr>
        <w:t xml:space="preserve">.  </w:t>
      </w:r>
      <w:r w:rsidR="009A2F5B" w:rsidRPr="009A2F5B">
        <w:rPr>
          <w:rFonts w:eastAsia="Calibri"/>
          <w:color w:val="auto"/>
          <w:szCs w:val="24"/>
        </w:rPr>
        <w:t xml:space="preserve">The Board’s main charge in respect to </w:t>
      </w:r>
      <w:r w:rsidR="009A2F5B">
        <w:rPr>
          <w:rFonts w:eastAsia="Calibri"/>
          <w:color w:val="auto"/>
          <w:szCs w:val="24"/>
        </w:rPr>
        <w:t>the sleep disturbance</w:t>
      </w:r>
      <w:r w:rsidR="009A2F5B" w:rsidRPr="009A2F5B">
        <w:rPr>
          <w:rFonts w:eastAsia="Calibri"/>
          <w:color w:val="auto"/>
          <w:szCs w:val="24"/>
        </w:rPr>
        <w:t xml:space="preserve"> condition is an assessment of the appropriateness of the PEB’s fitness adjudication.  The Board’s threshold for countering DES fitness determinations is higher than the VASRD §4.3 (reasonable doubt) standard used for its rating recommendations, but remains adherent to the </w:t>
      </w:r>
      <w:proofErr w:type="spellStart"/>
      <w:r w:rsidR="009A2F5B" w:rsidRPr="009A2F5B">
        <w:rPr>
          <w:rFonts w:eastAsia="Calibri"/>
          <w:color w:val="auto"/>
          <w:szCs w:val="24"/>
        </w:rPr>
        <w:t>DoDI</w:t>
      </w:r>
      <w:proofErr w:type="spellEnd"/>
      <w:r w:rsidR="009A2F5B" w:rsidRPr="009A2F5B">
        <w:rPr>
          <w:rFonts w:eastAsia="Calibri"/>
          <w:color w:val="auto"/>
          <w:szCs w:val="24"/>
        </w:rPr>
        <w:t xml:space="preserve"> 6040.44 “fair and equitable” standard.  </w:t>
      </w:r>
      <w:r w:rsidR="009A2F5B">
        <w:rPr>
          <w:rFonts w:eastAsia="Calibri"/>
          <w:color w:val="auto"/>
          <w:szCs w:val="24"/>
        </w:rPr>
        <w:t>This condition was not profiled</w:t>
      </w:r>
      <w:r w:rsidR="00694A57">
        <w:rPr>
          <w:rFonts w:eastAsia="Calibri"/>
          <w:color w:val="auto"/>
          <w:szCs w:val="24"/>
        </w:rPr>
        <w:t xml:space="preserve">, </w:t>
      </w:r>
      <w:r w:rsidR="00550401">
        <w:rPr>
          <w:rFonts w:eastAsia="HiddenHorzOCR"/>
          <w:color w:val="auto"/>
        </w:rPr>
        <w:t>implicated in the c</w:t>
      </w:r>
      <w:r w:rsidRPr="00B00EE6">
        <w:rPr>
          <w:rFonts w:eastAsia="HiddenHorzOCR"/>
          <w:color w:val="auto"/>
        </w:rPr>
        <w:t>ommander’s statement</w:t>
      </w:r>
      <w:r w:rsidR="009A2F5B">
        <w:rPr>
          <w:rFonts w:eastAsia="HiddenHorzOCR"/>
          <w:color w:val="auto"/>
        </w:rPr>
        <w:t xml:space="preserve"> </w:t>
      </w:r>
      <w:r w:rsidR="00694A57">
        <w:rPr>
          <w:rFonts w:eastAsia="HiddenHorzOCR"/>
          <w:color w:val="auto"/>
        </w:rPr>
        <w:t xml:space="preserve">and was </w:t>
      </w:r>
      <w:r w:rsidR="009A2F5B">
        <w:rPr>
          <w:rFonts w:eastAsia="HiddenHorzOCR"/>
          <w:color w:val="auto"/>
        </w:rPr>
        <w:t>judged by the MEB to meet retention</w:t>
      </w:r>
      <w:r w:rsidRPr="00B00EE6">
        <w:rPr>
          <w:rFonts w:eastAsia="HiddenHorzOCR"/>
          <w:color w:val="auto"/>
        </w:rPr>
        <w:t xml:space="preserve"> standards.  </w:t>
      </w:r>
      <w:r w:rsidR="002B3960">
        <w:rPr>
          <w:rFonts w:eastAsia="HiddenHorzOCR"/>
          <w:color w:val="auto"/>
        </w:rPr>
        <w:t>The condition was</w:t>
      </w:r>
      <w:r w:rsidRPr="00B00EE6">
        <w:rPr>
          <w:rFonts w:eastAsia="HiddenHorzOCR"/>
          <w:color w:val="auto"/>
        </w:rPr>
        <w:t xml:space="preserve"> reviewed by the </w:t>
      </w:r>
      <w:r w:rsidR="00694A57">
        <w:rPr>
          <w:rFonts w:eastAsia="HiddenHorzOCR"/>
          <w:color w:val="auto"/>
        </w:rPr>
        <w:t>action o</w:t>
      </w:r>
      <w:r w:rsidR="002B3960" w:rsidRPr="00B00EE6">
        <w:rPr>
          <w:rFonts w:eastAsia="HiddenHorzOCR"/>
          <w:color w:val="auto"/>
        </w:rPr>
        <w:t xml:space="preserve">fficer </w:t>
      </w:r>
      <w:r w:rsidRPr="00B00EE6">
        <w:rPr>
          <w:rFonts w:eastAsia="HiddenHorzOCR"/>
          <w:color w:val="auto"/>
        </w:rPr>
        <w:t>and considered by the Board.  There was no indication from the record that any of these conditions significantly interfered with satisfactory duty performance.  All evidence considered</w:t>
      </w:r>
      <w:proofErr w:type="gramStart"/>
      <w:r w:rsidRPr="00B00EE6">
        <w:rPr>
          <w:rFonts w:eastAsia="HiddenHorzOCR"/>
          <w:color w:val="auto"/>
        </w:rPr>
        <w:t>,</w:t>
      </w:r>
      <w:proofErr w:type="gramEnd"/>
      <w:r w:rsidRPr="00B00EE6">
        <w:rPr>
          <w:rFonts w:eastAsia="HiddenHorzOCR"/>
          <w:color w:val="auto"/>
        </w:rPr>
        <w:t xml:space="preserve"> there is not reasonable doubt in the CI’s favor supporting </w:t>
      </w:r>
      <w:r w:rsidR="002B3960">
        <w:rPr>
          <w:rFonts w:eastAsia="HiddenHorzOCR"/>
          <w:color w:val="auto"/>
        </w:rPr>
        <w:t>a change in</w:t>
      </w:r>
      <w:r w:rsidRPr="00B00EE6">
        <w:rPr>
          <w:rFonts w:eastAsia="HiddenHorzOCR"/>
          <w:color w:val="auto"/>
        </w:rPr>
        <w:t xml:space="preserve"> the PEB fitness adjudication for </w:t>
      </w:r>
      <w:r w:rsidR="002B3960">
        <w:rPr>
          <w:rFonts w:eastAsia="HiddenHorzOCR"/>
          <w:color w:val="auto"/>
        </w:rPr>
        <w:t xml:space="preserve">the sleep </w:t>
      </w:r>
      <w:r w:rsidR="00550401">
        <w:rPr>
          <w:rFonts w:eastAsia="HiddenHorzOCR"/>
          <w:color w:val="auto"/>
        </w:rPr>
        <w:t>disorder</w:t>
      </w:r>
      <w:r w:rsidR="002B3960">
        <w:rPr>
          <w:rFonts w:eastAsia="HiddenHorzOCR"/>
          <w:color w:val="auto"/>
        </w:rPr>
        <w:t>.</w:t>
      </w:r>
    </w:p>
    <w:p w:rsidR="002B3960" w:rsidRPr="00664296" w:rsidRDefault="002B3960" w:rsidP="002B3960">
      <w:pPr>
        <w:spacing w:line="240" w:lineRule="exact"/>
        <w:jc w:val="both"/>
        <w:rPr>
          <w:rFonts w:eastAsia="HiddenHorzOCR"/>
          <w:color w:val="auto"/>
        </w:rPr>
      </w:pPr>
    </w:p>
    <w:p w:rsidR="002B3960" w:rsidRPr="00D25B82" w:rsidRDefault="00700069" w:rsidP="00B00EE6">
      <w:pPr>
        <w:spacing w:line="240" w:lineRule="exact"/>
        <w:jc w:val="both"/>
        <w:rPr>
          <w:color w:val="auto"/>
        </w:rPr>
      </w:pPr>
      <w:proofErr w:type="gramStart"/>
      <w:r w:rsidRPr="00664296">
        <w:rPr>
          <w:rFonts w:eastAsia="HiddenHorzOCR"/>
          <w:color w:val="auto"/>
          <w:u w:val="single"/>
        </w:rPr>
        <w:t xml:space="preserve">Contended </w:t>
      </w:r>
      <w:r w:rsidR="002B3960">
        <w:rPr>
          <w:rFonts w:eastAsia="HiddenHorzOCR"/>
          <w:color w:val="auto"/>
          <w:u w:val="single"/>
        </w:rPr>
        <w:t xml:space="preserve">PTSD </w:t>
      </w:r>
      <w:r w:rsidRPr="00664296">
        <w:rPr>
          <w:rFonts w:eastAsia="HiddenHorzOCR"/>
          <w:color w:val="auto"/>
          <w:u w:val="single"/>
        </w:rPr>
        <w:t>Condition</w:t>
      </w:r>
      <w:r w:rsidRPr="00664296">
        <w:rPr>
          <w:rFonts w:eastAsia="HiddenHorzOCR"/>
          <w:color w:val="auto"/>
        </w:rPr>
        <w:t>.</w:t>
      </w:r>
      <w:proofErr w:type="gramEnd"/>
      <w:r w:rsidRPr="00664296">
        <w:rPr>
          <w:rFonts w:eastAsia="HiddenHorzOCR"/>
          <w:color w:val="auto"/>
        </w:rPr>
        <w:t xml:space="preserve">  </w:t>
      </w:r>
      <w:r w:rsidR="002B3960">
        <w:rPr>
          <w:rFonts w:eastAsia="HiddenHorzOCR"/>
          <w:color w:val="auto"/>
        </w:rPr>
        <w:t xml:space="preserve">Especially given the presumptive post-separation evolution of </w:t>
      </w:r>
      <w:r w:rsidR="00D25B82">
        <w:rPr>
          <w:rFonts w:eastAsia="HiddenHorzOCR"/>
          <w:color w:val="auto"/>
        </w:rPr>
        <w:t>the</w:t>
      </w:r>
      <w:r w:rsidR="002B3960">
        <w:rPr>
          <w:rFonts w:eastAsia="HiddenHorzOCR"/>
          <w:color w:val="auto"/>
        </w:rPr>
        <w:t xml:space="preserve"> sleep </w:t>
      </w:r>
      <w:r w:rsidR="00550401">
        <w:rPr>
          <w:rFonts w:eastAsia="HiddenHorzOCR"/>
          <w:color w:val="auto"/>
        </w:rPr>
        <w:t xml:space="preserve">disorder </w:t>
      </w:r>
      <w:r w:rsidR="00D25B82">
        <w:rPr>
          <w:rFonts w:eastAsia="HiddenHorzOCR"/>
          <w:color w:val="auto"/>
        </w:rPr>
        <w:t xml:space="preserve">just discussed </w:t>
      </w:r>
      <w:r w:rsidR="002B3960">
        <w:rPr>
          <w:rFonts w:eastAsia="HiddenHorzOCR"/>
          <w:color w:val="auto"/>
        </w:rPr>
        <w:t>(and possibly some or all of the non-ratable conditions as well) into the diagnosis of PTSD, the Board specifically addressed the question as to whether there was unfitting psychiatric impairment at the time of discharge.</w:t>
      </w:r>
      <w:r w:rsidR="003C4C24">
        <w:rPr>
          <w:rFonts w:eastAsia="HiddenHorzOCR"/>
          <w:color w:val="auto"/>
        </w:rPr>
        <w:t xml:space="preserve">  The CI first presented to Behavioral Health in early 2007. He was diagnosed with adjustment disorder, started on medication, and followed as an outpatient.  A mental health note in July 2007 stated </w:t>
      </w:r>
      <w:r w:rsidR="00694A57">
        <w:rPr>
          <w:rFonts w:eastAsia="HiddenHorzOCR"/>
          <w:color w:val="auto"/>
        </w:rPr>
        <w:t>“SM [S</w:t>
      </w:r>
      <w:r w:rsidR="006D7908">
        <w:rPr>
          <w:rFonts w:eastAsia="HiddenHorzOCR"/>
          <w:color w:val="auto"/>
        </w:rPr>
        <w:t xml:space="preserve">ervice member] has stopped all </w:t>
      </w:r>
      <w:r w:rsidR="00550401">
        <w:rPr>
          <w:rFonts w:eastAsia="HiddenHorzOCR"/>
          <w:color w:val="auto"/>
        </w:rPr>
        <w:t>medication and remains symptom</w:t>
      </w:r>
      <w:r w:rsidR="006D7908">
        <w:rPr>
          <w:rFonts w:eastAsia="HiddenHorzOCR"/>
          <w:color w:val="auto"/>
        </w:rPr>
        <w:t xml:space="preserve"> free.” </w:t>
      </w:r>
      <w:r w:rsidR="00694A57">
        <w:rPr>
          <w:rFonts w:eastAsia="HiddenHorzOCR"/>
          <w:color w:val="auto"/>
        </w:rPr>
        <w:t xml:space="preserve"> </w:t>
      </w:r>
      <w:r w:rsidR="006D7908">
        <w:rPr>
          <w:rFonts w:eastAsia="HiddenHorzOCR"/>
          <w:color w:val="auto"/>
        </w:rPr>
        <w:t>A note in December 2007 stated “</w:t>
      </w:r>
      <w:r w:rsidR="00694A57">
        <w:rPr>
          <w:rFonts w:eastAsia="HiddenHorzOCR"/>
          <w:color w:val="auto"/>
        </w:rPr>
        <w:t>p</w:t>
      </w:r>
      <w:r w:rsidR="006D7908">
        <w:rPr>
          <w:rFonts w:eastAsia="HiddenHorzOCR"/>
          <w:color w:val="auto"/>
        </w:rPr>
        <w:t xml:space="preserve">atient has not been seen in the clinic for 90 days.  Case closed.” </w:t>
      </w:r>
      <w:r w:rsidR="00694A57">
        <w:rPr>
          <w:rFonts w:eastAsia="HiddenHorzOCR"/>
          <w:color w:val="auto"/>
        </w:rPr>
        <w:t xml:space="preserve"> </w:t>
      </w:r>
      <w:r w:rsidR="006D7908">
        <w:rPr>
          <w:rFonts w:eastAsia="HiddenHorzOCR"/>
          <w:color w:val="auto"/>
        </w:rPr>
        <w:t xml:space="preserve">The subsequent referral for alcohol and substance abuse stated that the CI had been “self-medicating” for his shoulder pain. </w:t>
      </w:r>
      <w:r w:rsidR="00694A57">
        <w:rPr>
          <w:rFonts w:eastAsia="HiddenHorzOCR"/>
          <w:color w:val="auto"/>
        </w:rPr>
        <w:t xml:space="preserve"> </w:t>
      </w:r>
      <w:r w:rsidR="00D25B82">
        <w:rPr>
          <w:rFonts w:eastAsia="HiddenHorzOCR"/>
          <w:color w:val="auto"/>
        </w:rPr>
        <w:t>The psychiatric addendum to the narrative sum</w:t>
      </w:r>
      <w:r w:rsidR="00D25B82" w:rsidRPr="00694A57">
        <w:rPr>
          <w:rFonts w:eastAsia="HiddenHorzOCR"/>
          <w:color w:val="auto"/>
        </w:rPr>
        <w:t>mary (NARSUM),</w:t>
      </w:r>
      <w:r w:rsidR="00D25B82">
        <w:rPr>
          <w:rFonts w:eastAsia="HiddenHorzOCR"/>
          <w:color w:val="auto"/>
        </w:rPr>
        <w:t xml:space="preserve"> which yielded the Axis I diagnoses submitted by the MEB, documented a “bitter attitude</w:t>
      </w:r>
      <w:r w:rsidR="00694A57">
        <w:rPr>
          <w:rFonts w:eastAsia="HiddenHorzOCR"/>
          <w:color w:val="auto"/>
        </w:rPr>
        <w:t>,</w:t>
      </w:r>
      <w:r w:rsidR="00D25B82">
        <w:rPr>
          <w:rFonts w:eastAsia="HiddenHorzOCR"/>
          <w:color w:val="auto"/>
        </w:rPr>
        <w:t xml:space="preserve">” but a normal mental status examination </w:t>
      </w:r>
      <w:r w:rsidR="00E76FB2">
        <w:rPr>
          <w:rFonts w:eastAsia="HiddenHorzOCR"/>
          <w:color w:val="auto"/>
        </w:rPr>
        <w:t xml:space="preserve">(MSE) </w:t>
      </w:r>
      <w:r w:rsidR="00D25B82">
        <w:rPr>
          <w:rFonts w:eastAsia="HiddenHorzOCR"/>
          <w:color w:val="auto"/>
        </w:rPr>
        <w:t xml:space="preserve">and cognitive functioning.  A VA </w:t>
      </w:r>
      <w:proofErr w:type="spellStart"/>
      <w:r w:rsidR="00E76FB2">
        <w:rPr>
          <w:rFonts w:eastAsia="HiddenHorzOCR"/>
          <w:color w:val="auto"/>
        </w:rPr>
        <w:t>psychodiagnostic</w:t>
      </w:r>
      <w:proofErr w:type="spellEnd"/>
      <w:r w:rsidR="00E76FB2">
        <w:rPr>
          <w:rFonts w:eastAsia="HiddenHorzOCR"/>
          <w:color w:val="auto"/>
        </w:rPr>
        <w:t xml:space="preserve"> interview performed 12 days prior to separation likewise documented a normal MSE and cognitive functioning.  The MEB psychiatrist opined that all of the Axis I diagnoses w</w:t>
      </w:r>
      <w:r w:rsidR="00AC02A5">
        <w:rPr>
          <w:rFonts w:eastAsia="HiddenHorzOCR"/>
          <w:color w:val="auto"/>
        </w:rPr>
        <w:t>ere medically acceptable.  The c</w:t>
      </w:r>
      <w:r w:rsidR="00E76FB2">
        <w:rPr>
          <w:rFonts w:eastAsia="HiddenHorzOCR"/>
          <w:color w:val="auto"/>
        </w:rPr>
        <w:t>ommander’s statement described the CI as “motivated” and “successful in his role” as line medic; stating that his “physical condition prevents him from performing his duties</w:t>
      </w:r>
      <w:r w:rsidR="00BE7AC9">
        <w:rPr>
          <w:rFonts w:eastAsia="HiddenHorzOCR"/>
          <w:color w:val="auto"/>
        </w:rPr>
        <w:t>.</w:t>
      </w:r>
      <w:r w:rsidR="00E76FB2">
        <w:rPr>
          <w:rFonts w:eastAsia="HiddenHorzOCR"/>
          <w:color w:val="auto"/>
        </w:rPr>
        <w:t>”  There was no psychiatric profile at any point in the CI’s military career.  The Board, therefore, has no support for recommending any unfitting psychiatric condition for Service rating.</w:t>
      </w:r>
    </w:p>
    <w:p w:rsidR="00D25B82" w:rsidRDefault="00D25B82" w:rsidP="00B00EE6">
      <w:pPr>
        <w:spacing w:line="240" w:lineRule="exact"/>
        <w:jc w:val="both"/>
        <w:rPr>
          <w:rFonts w:eastAsia="HiddenHorzOCR"/>
          <w:color w:val="auto"/>
        </w:rPr>
      </w:pPr>
    </w:p>
    <w:p w:rsidR="002B3960" w:rsidRDefault="0044650B" w:rsidP="00B00EE6">
      <w:pPr>
        <w:spacing w:line="240" w:lineRule="exact"/>
        <w:jc w:val="both"/>
        <w:rPr>
          <w:rFonts w:eastAsia="HiddenHorzOCR"/>
          <w:color w:val="auto"/>
        </w:rPr>
      </w:pPr>
      <w:r>
        <w:rPr>
          <w:rFonts w:eastAsia="HiddenHorzOCR"/>
          <w:color w:val="auto"/>
        </w:rPr>
        <w:lastRenderedPageBreak/>
        <w:t>That said</w:t>
      </w:r>
      <w:r w:rsidR="00BE7AC9">
        <w:rPr>
          <w:rFonts w:eastAsia="HiddenHorzOCR"/>
          <w:color w:val="auto"/>
        </w:rPr>
        <w:t>;</w:t>
      </w:r>
      <w:r>
        <w:rPr>
          <w:rFonts w:eastAsia="HiddenHorzOCR"/>
          <w:color w:val="auto"/>
        </w:rPr>
        <w:t xml:space="preserve"> a </w:t>
      </w:r>
      <w:r w:rsidR="00B065DA">
        <w:rPr>
          <w:rFonts w:eastAsia="HiddenHorzOCR"/>
          <w:color w:val="auto"/>
        </w:rPr>
        <w:t xml:space="preserve">specific </w:t>
      </w:r>
      <w:r>
        <w:rPr>
          <w:rFonts w:eastAsia="HiddenHorzOCR"/>
          <w:color w:val="auto"/>
        </w:rPr>
        <w:t xml:space="preserve">diagnosis of PTSD cannot be established in Service.  Repeated entries in the Service mental health notes, the MEB psychiatrist addendum, and the VA </w:t>
      </w:r>
      <w:proofErr w:type="spellStart"/>
      <w:r>
        <w:rPr>
          <w:rFonts w:eastAsia="HiddenHorzOCR"/>
          <w:color w:val="auto"/>
        </w:rPr>
        <w:t>psychodiagnostic</w:t>
      </w:r>
      <w:proofErr w:type="spellEnd"/>
      <w:r>
        <w:rPr>
          <w:rFonts w:eastAsia="HiddenHorzOCR"/>
          <w:color w:val="auto"/>
        </w:rPr>
        <w:t xml:space="preserve"> interview conducted on the eve of separation all specifically stated that diagnostic criteria for PTSD were not met.  N</w:t>
      </w:r>
      <w:r w:rsidR="00D25B82">
        <w:rPr>
          <w:rFonts w:eastAsia="HiddenHorzOCR"/>
          <w:color w:val="auto"/>
        </w:rPr>
        <w:t>o Crite</w:t>
      </w:r>
      <w:r>
        <w:rPr>
          <w:rFonts w:eastAsia="HiddenHorzOCR"/>
          <w:color w:val="auto"/>
        </w:rPr>
        <w:t xml:space="preserve">rion A stressors </w:t>
      </w:r>
      <w:proofErr w:type="gramStart"/>
      <w:r w:rsidR="00B065DA">
        <w:rPr>
          <w:rFonts w:eastAsia="HiddenHorzOCR"/>
          <w:color w:val="auto"/>
        </w:rPr>
        <w:t>were</w:t>
      </w:r>
      <w:proofErr w:type="gramEnd"/>
      <w:r>
        <w:rPr>
          <w:rFonts w:eastAsia="HiddenHorzOCR"/>
          <w:color w:val="auto"/>
        </w:rPr>
        <w:t xml:space="preserve"> documented and the psychiatric symptoms manifested in Service </w:t>
      </w:r>
      <w:r w:rsidR="00D25B82">
        <w:rPr>
          <w:rFonts w:eastAsia="HiddenHorzOCR"/>
          <w:color w:val="auto"/>
        </w:rPr>
        <w:t>were correlated exclusively to relationship issues and the s</w:t>
      </w:r>
      <w:r>
        <w:rPr>
          <w:rFonts w:eastAsia="HiddenHorzOCR"/>
          <w:color w:val="auto"/>
        </w:rPr>
        <w:t>tress of the MEB process.</w:t>
      </w:r>
      <w:r w:rsidR="00D25B82">
        <w:rPr>
          <w:rFonts w:eastAsia="HiddenHorzOCR"/>
          <w:color w:val="auto"/>
        </w:rPr>
        <w:t xml:space="preserve"> </w:t>
      </w:r>
      <w:r>
        <w:rPr>
          <w:rFonts w:eastAsia="HiddenHorzOCR"/>
          <w:color w:val="auto"/>
        </w:rPr>
        <w:t xml:space="preserve"> </w:t>
      </w:r>
      <w:r w:rsidR="00717965">
        <w:rPr>
          <w:rFonts w:eastAsia="HiddenHorzOCR"/>
          <w:color w:val="auto"/>
        </w:rPr>
        <w:t>The diagnosis of PTSD was made greater than one</w:t>
      </w:r>
      <w:r w:rsidR="00BE7AC9">
        <w:rPr>
          <w:rFonts w:eastAsia="HiddenHorzOCR"/>
          <w:color w:val="auto"/>
        </w:rPr>
        <w:t>-</w:t>
      </w:r>
      <w:r w:rsidR="00B065DA">
        <w:rPr>
          <w:rFonts w:eastAsia="HiddenHorzOCR"/>
          <w:color w:val="auto"/>
        </w:rPr>
        <w:t>year after separation by the VA;</w:t>
      </w:r>
      <w:r w:rsidR="00717965">
        <w:rPr>
          <w:rFonts w:eastAsia="HiddenHorzOCR"/>
          <w:color w:val="auto"/>
        </w:rPr>
        <w:t xml:space="preserve"> and</w:t>
      </w:r>
      <w:r w:rsidR="00B065DA">
        <w:rPr>
          <w:rFonts w:eastAsia="HiddenHorzOCR"/>
          <w:color w:val="auto"/>
        </w:rPr>
        <w:t>,</w:t>
      </w:r>
      <w:r w:rsidR="00717965">
        <w:rPr>
          <w:rFonts w:eastAsia="HiddenHorzOCR"/>
          <w:color w:val="auto"/>
        </w:rPr>
        <w:t xml:space="preserve"> </w:t>
      </w:r>
      <w:r w:rsidR="00B065DA">
        <w:rPr>
          <w:rFonts w:eastAsia="HiddenHorzOCR"/>
          <w:color w:val="auto"/>
        </w:rPr>
        <w:t>o</w:t>
      </w:r>
      <w:r w:rsidR="00717965">
        <w:rPr>
          <w:rFonts w:eastAsia="HiddenHorzOCR"/>
          <w:color w:val="auto"/>
        </w:rPr>
        <w:t xml:space="preserve">f note, </w:t>
      </w:r>
      <w:r w:rsidR="00B065DA">
        <w:rPr>
          <w:rFonts w:eastAsia="HiddenHorzOCR"/>
          <w:color w:val="auto"/>
        </w:rPr>
        <w:t xml:space="preserve">a VA mental health entry </w:t>
      </w:r>
      <w:r w:rsidR="00717965">
        <w:rPr>
          <w:rFonts w:eastAsia="HiddenHorzOCR"/>
          <w:color w:val="auto"/>
        </w:rPr>
        <w:t>even 12 months after separation state</w:t>
      </w:r>
      <w:r w:rsidR="00B065DA">
        <w:rPr>
          <w:rFonts w:eastAsia="HiddenHorzOCR"/>
          <w:color w:val="auto"/>
        </w:rPr>
        <w:t>d</w:t>
      </w:r>
      <w:r w:rsidR="00717965">
        <w:rPr>
          <w:rFonts w:eastAsia="HiddenHorzOCR"/>
          <w:color w:val="auto"/>
        </w:rPr>
        <w:t>, “</w:t>
      </w:r>
      <w:proofErr w:type="gramStart"/>
      <w:r w:rsidR="00717965">
        <w:rPr>
          <w:rFonts w:eastAsia="HiddenHorzOCR"/>
          <w:color w:val="auto"/>
        </w:rPr>
        <w:t>it</w:t>
      </w:r>
      <w:proofErr w:type="gramEnd"/>
      <w:r w:rsidR="00717965">
        <w:rPr>
          <w:rFonts w:eastAsia="HiddenHorzOCR"/>
          <w:color w:val="auto"/>
        </w:rPr>
        <w:t xml:space="preserve"> does not appear [th</w:t>
      </w:r>
      <w:r w:rsidR="002B3960">
        <w:rPr>
          <w:rFonts w:eastAsia="HiddenHorzOCR"/>
          <w:color w:val="auto"/>
        </w:rPr>
        <w:t>e CI] meets criteria for PTSD</w:t>
      </w:r>
      <w:r w:rsidR="00BE7AC9">
        <w:rPr>
          <w:rFonts w:eastAsia="HiddenHorzOCR"/>
          <w:color w:val="auto"/>
        </w:rPr>
        <w:t>.</w:t>
      </w:r>
      <w:r w:rsidR="002B3960">
        <w:rPr>
          <w:rFonts w:eastAsia="HiddenHorzOCR"/>
          <w:color w:val="auto"/>
        </w:rPr>
        <w:t>”</w:t>
      </w:r>
      <w:r w:rsidR="00717965">
        <w:rPr>
          <w:rFonts w:eastAsia="HiddenHorzOCR"/>
          <w:color w:val="auto"/>
        </w:rPr>
        <w:t xml:space="preserve">  </w:t>
      </w:r>
      <w:r w:rsidR="00B065DA">
        <w:rPr>
          <w:rFonts w:eastAsia="HiddenHorzOCR"/>
          <w:color w:val="auto"/>
        </w:rPr>
        <w:t xml:space="preserve">PTSD, as a specific condition, therefore remained </w:t>
      </w:r>
      <w:proofErr w:type="spellStart"/>
      <w:r w:rsidR="00B065DA">
        <w:rPr>
          <w:rFonts w:eastAsia="HiddenHorzOCR"/>
          <w:color w:val="auto"/>
        </w:rPr>
        <w:t>unadjudicated</w:t>
      </w:r>
      <w:proofErr w:type="spellEnd"/>
      <w:r w:rsidR="00B065DA">
        <w:rPr>
          <w:rFonts w:eastAsia="HiddenHorzOCR"/>
          <w:color w:val="auto"/>
        </w:rPr>
        <w:t xml:space="preserve"> by the PEB.  </w:t>
      </w:r>
      <w:r w:rsidR="00717965" w:rsidRPr="00717965">
        <w:rPr>
          <w:rFonts w:eastAsia="HiddenHorzOCR"/>
          <w:color w:val="auto"/>
        </w:rPr>
        <w:t xml:space="preserve">By policy and precedent the Board has limited its jurisdiction for recommending </w:t>
      </w:r>
      <w:proofErr w:type="spellStart"/>
      <w:r w:rsidR="00717965" w:rsidRPr="00717965">
        <w:rPr>
          <w:rFonts w:eastAsia="HiddenHorzOCR"/>
          <w:color w:val="auto"/>
        </w:rPr>
        <w:t>unadjudicated</w:t>
      </w:r>
      <w:proofErr w:type="spellEnd"/>
      <w:r w:rsidR="00717965" w:rsidRPr="00717965">
        <w:rPr>
          <w:rFonts w:eastAsia="HiddenHorzOCR"/>
          <w:color w:val="auto"/>
        </w:rPr>
        <w:t xml:space="preserve"> conditions as unfitting and subject to additional separation rating to those conditions which are evidenced in the core DES file. The core DES file consists of the MEB referral document (DA Form 3947 for Army cases), the PEB adjudication document (DA Form 199 for Army cases), the NARSUM (including any addendums or referenced examination</w:t>
      </w:r>
      <w:r w:rsidR="00BE7AC9">
        <w:rPr>
          <w:rFonts w:eastAsia="HiddenHorzOCR"/>
          <w:color w:val="auto"/>
        </w:rPr>
        <w:t>s), the MEB physical exam, the c</w:t>
      </w:r>
      <w:r w:rsidR="00717965" w:rsidRPr="00717965">
        <w:rPr>
          <w:rFonts w:eastAsia="HiddenHorzOCR"/>
          <w:color w:val="auto"/>
        </w:rPr>
        <w:t xml:space="preserve">ommander’s statement, the physical profile(s), and any written appeals or internal DES correspondence. </w:t>
      </w:r>
      <w:r w:rsidR="00181711">
        <w:rPr>
          <w:rFonts w:eastAsia="HiddenHorzOCR"/>
          <w:color w:val="auto"/>
        </w:rPr>
        <w:t xml:space="preserve">PTSD, with the commiserate TDRL and permanent separation ratings as contended, is thus ineligible for consideration by the Board.  </w:t>
      </w:r>
      <w:r w:rsidR="00717965" w:rsidRPr="00717965">
        <w:rPr>
          <w:rFonts w:eastAsia="HiddenHorzOCR"/>
          <w:color w:val="auto"/>
        </w:rPr>
        <w:t>Contended conditions which are not eligible for Board recommendations on this basis remain eligible for submission t</w:t>
      </w:r>
      <w:r w:rsidR="00BE7AC9">
        <w:rPr>
          <w:rFonts w:eastAsia="HiddenHorzOCR"/>
          <w:color w:val="auto"/>
        </w:rPr>
        <w:t>o the Army Board for Correction</w:t>
      </w:r>
      <w:r w:rsidR="00717965" w:rsidRPr="00717965">
        <w:rPr>
          <w:rFonts w:eastAsia="HiddenHorzOCR"/>
          <w:color w:val="auto"/>
        </w:rPr>
        <w:t xml:space="preserve"> of Military Records (ABCMR).</w:t>
      </w:r>
      <w:r w:rsidR="00181711">
        <w:rPr>
          <w:rFonts w:eastAsia="HiddenHorzOCR"/>
          <w:color w:val="auto"/>
        </w:rPr>
        <w:t xml:space="preserve">  </w:t>
      </w:r>
      <w:r w:rsidR="002B3960" w:rsidRPr="002B3960">
        <w:rPr>
          <w:rFonts w:eastAsia="HiddenHorzOCR"/>
          <w:color w:val="auto"/>
        </w:rPr>
        <w:t xml:space="preserve"> </w:t>
      </w:r>
    </w:p>
    <w:p w:rsidR="00700069" w:rsidRPr="00664296" w:rsidRDefault="00700069" w:rsidP="00664296">
      <w:pPr>
        <w:spacing w:line="240" w:lineRule="exact"/>
        <w:rPr>
          <w:color w:val="auto"/>
          <w:u w:val="single"/>
        </w:rPr>
      </w:pPr>
    </w:p>
    <w:p w:rsidR="00700069" w:rsidRPr="006542F0" w:rsidRDefault="00700069" w:rsidP="00B00EE6">
      <w:pPr>
        <w:spacing w:line="240" w:lineRule="exact"/>
        <w:jc w:val="both"/>
        <w:rPr>
          <w:rFonts w:eastAsia="Calibri"/>
          <w:color w:val="auto"/>
          <w:szCs w:val="24"/>
        </w:rPr>
      </w:pPr>
      <w:proofErr w:type="gramStart"/>
      <w:r w:rsidRPr="00664296">
        <w:rPr>
          <w:color w:val="auto"/>
          <w:u w:val="single"/>
        </w:rPr>
        <w:t>Remaining Conditions</w:t>
      </w:r>
      <w:r w:rsidRPr="00664296">
        <w:rPr>
          <w:color w:val="auto"/>
        </w:rPr>
        <w:t>.</w:t>
      </w:r>
      <w:proofErr w:type="gramEnd"/>
      <w:r w:rsidRPr="00664296">
        <w:rPr>
          <w:color w:val="auto"/>
        </w:rPr>
        <w:t xml:space="preserve">  Several additional non-acute conditions or medical complaints were also documented</w:t>
      </w:r>
      <w:r>
        <w:rPr>
          <w:color w:val="auto"/>
        </w:rPr>
        <w:t xml:space="preserve">. </w:t>
      </w:r>
      <w:r w:rsidRPr="006B54DC">
        <w:rPr>
          <w:color w:val="auto"/>
        </w:rPr>
        <w:t xml:space="preserve"> </w:t>
      </w:r>
      <w:r w:rsidR="006542F0" w:rsidRPr="006542F0">
        <w:rPr>
          <w:rFonts w:eastAsia="Calibri"/>
          <w:color w:val="auto"/>
          <w:szCs w:val="24"/>
        </w:rPr>
        <w:t>None of these conditions were significantly clinically or occupationally active during the MEB period; none carried attached profiles; an</w:t>
      </w:r>
      <w:r w:rsidR="003616F4">
        <w:rPr>
          <w:rFonts w:eastAsia="Calibri"/>
          <w:color w:val="auto"/>
          <w:szCs w:val="24"/>
        </w:rPr>
        <w:t>d, none were implicated in the c</w:t>
      </w:r>
      <w:r w:rsidR="00D8609C">
        <w:rPr>
          <w:rFonts w:eastAsia="Calibri"/>
          <w:color w:val="auto"/>
          <w:szCs w:val="24"/>
        </w:rPr>
        <w:t xml:space="preserve">ommander’s statement. </w:t>
      </w:r>
      <w:r w:rsidR="006542F0" w:rsidRPr="006542F0">
        <w:rPr>
          <w:rFonts w:eastAsia="Calibri"/>
          <w:color w:val="auto"/>
          <w:szCs w:val="24"/>
        </w:rPr>
        <w:t xml:space="preserve"> These conditions were reviewed by the </w:t>
      </w:r>
      <w:r w:rsidR="00694A57">
        <w:rPr>
          <w:rFonts w:eastAsia="HiddenHorzOCR"/>
          <w:color w:val="auto"/>
        </w:rPr>
        <w:t>action o</w:t>
      </w:r>
      <w:r w:rsidR="00694A57" w:rsidRPr="00B00EE6">
        <w:rPr>
          <w:rFonts w:eastAsia="HiddenHorzOCR"/>
          <w:color w:val="auto"/>
        </w:rPr>
        <w:t>fficer</w:t>
      </w:r>
      <w:r w:rsidR="006542F0" w:rsidRPr="006542F0">
        <w:rPr>
          <w:rFonts w:eastAsia="Calibri"/>
          <w:color w:val="auto"/>
          <w:szCs w:val="24"/>
        </w:rPr>
        <w:t xml:space="preserve"> and considered by the Board.  </w:t>
      </w:r>
      <w:r w:rsidRPr="00664296">
        <w:rPr>
          <w:color w:val="auto"/>
        </w:rPr>
        <w:t xml:space="preserve">It was determined that none could be argued as unfitting and subject to separation rating.  </w:t>
      </w:r>
      <w:r w:rsidR="00717965" w:rsidRPr="00717965">
        <w:rPr>
          <w:color w:val="auto"/>
        </w:rPr>
        <w:t xml:space="preserve">Additionally </w:t>
      </w:r>
      <w:r w:rsidR="00717965">
        <w:rPr>
          <w:color w:val="auto"/>
        </w:rPr>
        <w:t>lumbar strain</w:t>
      </w:r>
      <w:r w:rsidR="00717965" w:rsidRPr="00717965">
        <w:rPr>
          <w:color w:val="auto"/>
        </w:rPr>
        <w:t xml:space="preserve"> and </w:t>
      </w:r>
      <w:r w:rsidR="00717965">
        <w:rPr>
          <w:color w:val="auto"/>
        </w:rPr>
        <w:t>tinnitus</w:t>
      </w:r>
      <w:r w:rsidR="00717965" w:rsidRPr="00717965">
        <w:rPr>
          <w:color w:val="auto"/>
        </w:rPr>
        <w:t xml:space="preserve"> were noted in the VA rating decision proximal to separation, but were not documented in the DES file.  The Board does not have the authority under </w:t>
      </w:r>
      <w:proofErr w:type="spellStart"/>
      <w:r w:rsidR="00717965" w:rsidRPr="00717965">
        <w:rPr>
          <w:color w:val="auto"/>
        </w:rPr>
        <w:t>DoDI</w:t>
      </w:r>
      <w:proofErr w:type="spellEnd"/>
      <w:r w:rsidR="00717965" w:rsidRPr="00717965">
        <w:rPr>
          <w:color w:val="auto"/>
        </w:rPr>
        <w:t xml:space="preserve"> 6040.44 to render fitness or rating recommendations for any conditions not considered by the DES.  The Board, therefore, has no reasonable basis for recommending any additional unfitting conditions for separation rating.</w:t>
      </w:r>
    </w:p>
    <w:p w:rsidR="00700069" w:rsidRPr="00391858" w:rsidRDefault="00700069" w:rsidP="00F1737C">
      <w:pPr>
        <w:pBdr>
          <w:bottom w:val="single" w:sz="12" w:space="1" w:color="auto"/>
        </w:pBdr>
        <w:tabs>
          <w:tab w:val="left" w:pos="288"/>
          <w:tab w:val="left" w:pos="4752"/>
        </w:tabs>
        <w:spacing w:line="240" w:lineRule="exact"/>
        <w:jc w:val="both"/>
        <w:rPr>
          <w:b/>
          <w:color w:val="auto"/>
          <w:u w:val="single"/>
        </w:rPr>
      </w:pPr>
    </w:p>
    <w:p w:rsidR="00700069" w:rsidRDefault="00700069" w:rsidP="00F1737C">
      <w:pPr>
        <w:spacing w:line="240" w:lineRule="exact"/>
        <w:rPr>
          <w:b/>
          <w:color w:val="auto"/>
          <w:u w:val="single"/>
        </w:rPr>
      </w:pPr>
    </w:p>
    <w:p w:rsidR="00700069" w:rsidRPr="00664296" w:rsidRDefault="00700069" w:rsidP="00380576">
      <w:pPr>
        <w:spacing w:line="240" w:lineRule="exact"/>
        <w:jc w:val="both"/>
        <w:rPr>
          <w:color w:val="auto"/>
        </w:rPr>
      </w:pPr>
      <w:r w:rsidRPr="009C78FD">
        <w:rPr>
          <w:color w:val="auto"/>
          <w:u w:val="single"/>
        </w:rPr>
        <w:t>BOARD FINDINGS</w:t>
      </w:r>
      <w:r w:rsidRPr="009C78FD">
        <w:rPr>
          <w:color w:val="auto"/>
        </w:rPr>
        <w:t xml:space="preserve">:  IAW </w:t>
      </w:r>
      <w:proofErr w:type="spellStart"/>
      <w:r w:rsidRPr="009C78FD">
        <w:rPr>
          <w:color w:val="auto"/>
        </w:rPr>
        <w:t>DoDI</w:t>
      </w:r>
      <w:proofErr w:type="spellEnd"/>
      <w:r w:rsidRPr="009C78FD">
        <w:rPr>
          <w:color w:val="auto"/>
        </w:rPr>
        <w:t xml:space="preserve"> 6040.44, provisions of </w:t>
      </w:r>
      <w:proofErr w:type="spellStart"/>
      <w:r w:rsidRPr="009C78FD">
        <w:rPr>
          <w:color w:val="auto"/>
        </w:rPr>
        <w:t>DoD</w:t>
      </w:r>
      <w:proofErr w:type="spellEnd"/>
      <w:r w:rsidRPr="009C78FD">
        <w:rPr>
          <w:color w:val="auto"/>
        </w:rPr>
        <w:t xml:space="preserve"> or Military Department regulations or guidelines relied upon by the PEB will not be considered by the Board to the extent they were inconsistent with the VASRD in effect at the time of the adjudication.</w:t>
      </w:r>
      <w:r>
        <w:rPr>
          <w:color w:val="auto"/>
        </w:rPr>
        <w:t xml:space="preserve">  </w:t>
      </w:r>
      <w:r w:rsidRPr="00664296">
        <w:rPr>
          <w:color w:val="auto"/>
        </w:rPr>
        <w:t xml:space="preserve">The Board did not surmise from the record or PEB ruling in this case that any prerogatives outside the VASRD were </w:t>
      </w:r>
      <w:r w:rsidRPr="003F4A07">
        <w:rPr>
          <w:color w:val="auto"/>
        </w:rPr>
        <w:t>exercised.  In the matter of the right and left shoulder conditions and IAW VASRD §4.71a, the Board unanimously recommends no change in the PEB adjudication</w:t>
      </w:r>
      <w:r w:rsidR="006542F0" w:rsidRPr="003F4A07">
        <w:rPr>
          <w:color w:val="auto"/>
        </w:rPr>
        <w:t>s</w:t>
      </w:r>
      <w:r w:rsidRPr="003F4A07">
        <w:rPr>
          <w:color w:val="auto"/>
        </w:rPr>
        <w:t xml:space="preserve">.  In the matter of the </w:t>
      </w:r>
      <w:r w:rsidRPr="003F4A07">
        <w:rPr>
          <w:rFonts w:eastAsia="HiddenHorzOCR"/>
          <w:color w:val="auto"/>
        </w:rPr>
        <w:t xml:space="preserve">sleep disorder, adjustment disorder, </w:t>
      </w:r>
      <w:r w:rsidR="00706A04" w:rsidRPr="003F4A07">
        <w:rPr>
          <w:rFonts w:eastAsia="HiddenHorzOCR"/>
          <w:color w:val="auto"/>
        </w:rPr>
        <w:t>sedative</w:t>
      </w:r>
      <w:r w:rsidRPr="003F4A07">
        <w:rPr>
          <w:rFonts w:eastAsia="HiddenHorzOCR"/>
          <w:color w:val="auto"/>
        </w:rPr>
        <w:t xml:space="preserve"> abuse, and alcohol dependence</w:t>
      </w:r>
      <w:r w:rsidR="00706A04" w:rsidRPr="003F4A07">
        <w:rPr>
          <w:color w:val="auto"/>
        </w:rPr>
        <w:t xml:space="preserve"> conditions;</w:t>
      </w:r>
      <w:r w:rsidRPr="003F4A07">
        <w:rPr>
          <w:color w:val="auto"/>
        </w:rPr>
        <w:t xml:space="preserve"> the Board unanimously recommends no change from the PEB adjudications as not unfitting.  </w:t>
      </w:r>
      <w:r w:rsidR="00717965" w:rsidRPr="003F4A07">
        <w:rPr>
          <w:color w:val="auto"/>
        </w:rPr>
        <w:t xml:space="preserve">In the matter of the contended </w:t>
      </w:r>
      <w:r w:rsidR="00BE7AC9">
        <w:rPr>
          <w:color w:val="auto"/>
        </w:rPr>
        <w:t>PTSD</w:t>
      </w:r>
      <w:r w:rsidR="00717965" w:rsidRPr="003F4A07">
        <w:rPr>
          <w:color w:val="auto"/>
        </w:rPr>
        <w:t xml:space="preserve"> condition, the Board unanimously agrees that it is not eligible for Board consideration</w:t>
      </w:r>
      <w:r w:rsidR="008A6BDF" w:rsidRPr="003F4A07">
        <w:rPr>
          <w:color w:val="auto"/>
        </w:rPr>
        <w:t>; although, the Board does unanimously agree that there was no unfitting psychiatric impairment at separation</w:t>
      </w:r>
      <w:r w:rsidR="00717965" w:rsidRPr="003F4A07">
        <w:rPr>
          <w:color w:val="auto"/>
        </w:rPr>
        <w:t xml:space="preserve">.  </w:t>
      </w:r>
      <w:r w:rsidRPr="003F4A07">
        <w:rPr>
          <w:color w:val="auto"/>
        </w:rPr>
        <w:t>The Board unanimously agrees that there were no other conditions eligible for Board consideration which could be recommended as additionally unfitting for rating at separation.</w:t>
      </w:r>
    </w:p>
    <w:p w:rsidR="00700069" w:rsidRPr="00391858" w:rsidRDefault="00700069" w:rsidP="00F1737C">
      <w:pPr>
        <w:pBdr>
          <w:bottom w:val="single" w:sz="12" w:space="1" w:color="auto"/>
        </w:pBdr>
        <w:tabs>
          <w:tab w:val="left" w:pos="288"/>
          <w:tab w:val="left" w:pos="4752"/>
        </w:tabs>
        <w:spacing w:line="240" w:lineRule="exact"/>
        <w:jc w:val="both"/>
        <w:rPr>
          <w:b/>
          <w:color w:val="auto"/>
          <w:u w:val="single"/>
        </w:rPr>
      </w:pPr>
    </w:p>
    <w:p w:rsidR="00BE7AC9" w:rsidRDefault="00BE7AC9">
      <w:pPr>
        <w:rPr>
          <w:b/>
          <w:color w:val="auto"/>
          <w:u w:val="single"/>
        </w:rPr>
      </w:pPr>
      <w:r>
        <w:rPr>
          <w:b/>
          <w:color w:val="auto"/>
          <w:u w:val="single"/>
        </w:rPr>
        <w:br w:type="page"/>
      </w:r>
    </w:p>
    <w:p w:rsidR="00700069" w:rsidRPr="00AF01B2" w:rsidRDefault="00700069" w:rsidP="00510F9C">
      <w:pPr>
        <w:spacing w:line="240" w:lineRule="exact"/>
        <w:jc w:val="both"/>
        <w:rPr>
          <w:color w:val="auto"/>
        </w:rPr>
      </w:pPr>
      <w:r w:rsidRPr="00396779">
        <w:rPr>
          <w:color w:val="auto"/>
          <w:u w:val="single"/>
        </w:rPr>
        <w:lastRenderedPageBreak/>
        <w:t>RECOMMENDATION</w:t>
      </w:r>
      <w:r w:rsidRPr="00396779">
        <w:rPr>
          <w:color w:val="auto"/>
        </w:rPr>
        <w:t>:</w:t>
      </w:r>
      <w:r w:rsidRPr="00396779">
        <w:rPr>
          <w:color w:val="000080"/>
        </w:rPr>
        <w:t xml:space="preserve">  </w:t>
      </w:r>
      <w:r w:rsidRPr="00396779">
        <w:rPr>
          <w:color w:val="auto"/>
        </w:rPr>
        <w:t>The Board</w:t>
      </w:r>
      <w:r>
        <w:rPr>
          <w:color w:val="auto"/>
        </w:rPr>
        <w:t>,</w:t>
      </w:r>
      <w:r w:rsidRPr="00396779">
        <w:rPr>
          <w:color w:val="auto"/>
        </w:rPr>
        <w:t xml:space="preserve"> therefore</w:t>
      </w:r>
      <w:r>
        <w:rPr>
          <w:color w:val="auto"/>
        </w:rPr>
        <w:t>,</w:t>
      </w:r>
      <w:r w:rsidRPr="00396779">
        <w:rPr>
          <w:color w:val="auto"/>
        </w:rPr>
        <w:t xml:space="preserve"> recommends that there be no </w:t>
      </w:r>
      <w:proofErr w:type="spellStart"/>
      <w:r w:rsidRPr="00396779">
        <w:rPr>
          <w:color w:val="auto"/>
        </w:rPr>
        <w:t>recharacterization</w:t>
      </w:r>
      <w:proofErr w:type="spellEnd"/>
      <w:r w:rsidRPr="00396779">
        <w:rPr>
          <w:color w:val="auto"/>
        </w:rPr>
        <w:t xml:space="preserve"> of the CI’s </w:t>
      </w:r>
      <w:r w:rsidRPr="00B427BB">
        <w:rPr>
          <w:color w:val="auto"/>
        </w:rPr>
        <w:t>disability and separation determination</w:t>
      </w:r>
      <w:r>
        <w:rPr>
          <w:color w:val="auto"/>
        </w:rPr>
        <w:t xml:space="preserve">, as follows: </w:t>
      </w:r>
    </w:p>
    <w:p w:rsidR="00700069" w:rsidRPr="00AF01B2" w:rsidRDefault="00700069" w:rsidP="00510F9C">
      <w:pPr>
        <w:tabs>
          <w:tab w:val="left" w:pos="288"/>
          <w:tab w:val="left" w:pos="4752"/>
        </w:tabs>
        <w:spacing w:line="240" w:lineRule="exact"/>
        <w:jc w:val="both"/>
        <w:rPr>
          <w:color w:val="auto"/>
        </w:rPr>
      </w:pPr>
    </w:p>
    <w:tbl>
      <w:tblPr>
        <w:tblW w:w="0" w:type="auto"/>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0"/>
        <w:gridCol w:w="1917"/>
        <w:gridCol w:w="1530"/>
        <w:gridCol w:w="1017"/>
      </w:tblGrid>
      <w:tr w:rsidR="00700069" w:rsidRPr="00AF01B2" w:rsidTr="00706A04">
        <w:trPr>
          <w:trHeight w:val="206"/>
          <w:jc w:val="center"/>
        </w:trPr>
        <w:tc>
          <w:tcPr>
            <w:tcW w:w="6867" w:type="dxa"/>
            <w:gridSpan w:val="2"/>
            <w:tcBorders>
              <w:right w:val="single" w:sz="4" w:space="0" w:color="auto"/>
            </w:tcBorders>
            <w:shd w:val="clear" w:color="auto" w:fill="D9D9D9"/>
            <w:vAlign w:val="center"/>
          </w:tcPr>
          <w:p w:rsidR="00700069" w:rsidRPr="00AF01B2" w:rsidRDefault="00700069" w:rsidP="00103948">
            <w:pPr>
              <w:tabs>
                <w:tab w:val="left" w:pos="288"/>
                <w:tab w:val="left" w:pos="4752"/>
              </w:tabs>
              <w:spacing w:line="240" w:lineRule="exact"/>
              <w:jc w:val="center"/>
              <w:rPr>
                <w:b/>
                <w:color w:val="auto"/>
              </w:rPr>
            </w:pPr>
            <w:r w:rsidRPr="00AF01B2">
              <w:rPr>
                <w:b/>
                <w:color w:val="auto"/>
              </w:rPr>
              <w:t>UNFITTING CONDITION</w:t>
            </w:r>
          </w:p>
        </w:tc>
        <w:tc>
          <w:tcPr>
            <w:tcW w:w="1530" w:type="dxa"/>
            <w:tcBorders>
              <w:left w:val="single" w:sz="4" w:space="0" w:color="auto"/>
            </w:tcBorders>
            <w:shd w:val="clear" w:color="auto" w:fill="D9D9D9"/>
            <w:vAlign w:val="center"/>
          </w:tcPr>
          <w:p w:rsidR="00700069" w:rsidRPr="00AF01B2" w:rsidRDefault="00700069" w:rsidP="00103948">
            <w:pPr>
              <w:tabs>
                <w:tab w:val="left" w:pos="288"/>
                <w:tab w:val="left" w:pos="4752"/>
              </w:tabs>
              <w:spacing w:line="240" w:lineRule="exact"/>
              <w:jc w:val="center"/>
              <w:rPr>
                <w:b/>
                <w:color w:val="auto"/>
              </w:rPr>
            </w:pPr>
            <w:r w:rsidRPr="00AF01B2">
              <w:rPr>
                <w:b/>
                <w:color w:val="auto"/>
              </w:rPr>
              <w:t>VASRD CODE</w:t>
            </w:r>
          </w:p>
        </w:tc>
        <w:tc>
          <w:tcPr>
            <w:tcW w:w="1017" w:type="dxa"/>
            <w:shd w:val="clear" w:color="auto" w:fill="D9D9D9"/>
            <w:vAlign w:val="center"/>
          </w:tcPr>
          <w:p w:rsidR="00700069" w:rsidRPr="00AF01B2" w:rsidRDefault="00700069" w:rsidP="00103948">
            <w:pPr>
              <w:tabs>
                <w:tab w:val="left" w:pos="288"/>
                <w:tab w:val="left" w:pos="4752"/>
              </w:tabs>
              <w:spacing w:line="240" w:lineRule="exact"/>
              <w:jc w:val="center"/>
              <w:rPr>
                <w:b/>
                <w:color w:val="auto"/>
              </w:rPr>
            </w:pPr>
            <w:r w:rsidRPr="00AF01B2">
              <w:rPr>
                <w:b/>
                <w:color w:val="auto"/>
              </w:rPr>
              <w:t>RATING</w:t>
            </w:r>
          </w:p>
        </w:tc>
      </w:tr>
      <w:tr w:rsidR="00700069" w:rsidRPr="00AF01B2" w:rsidTr="00706A04">
        <w:trPr>
          <w:trHeight w:val="123"/>
          <w:jc w:val="center"/>
        </w:trPr>
        <w:tc>
          <w:tcPr>
            <w:tcW w:w="6867" w:type="dxa"/>
            <w:gridSpan w:val="2"/>
            <w:tcBorders>
              <w:right w:val="single" w:sz="4" w:space="0" w:color="auto"/>
            </w:tcBorders>
            <w:vAlign w:val="center"/>
          </w:tcPr>
          <w:p w:rsidR="00700069" w:rsidRPr="00380576" w:rsidRDefault="00706A04" w:rsidP="00706A04">
            <w:pPr>
              <w:tabs>
                <w:tab w:val="left" w:pos="288"/>
                <w:tab w:val="left" w:pos="4752"/>
              </w:tabs>
              <w:spacing w:line="240" w:lineRule="exact"/>
              <w:rPr>
                <w:color w:val="auto"/>
              </w:rPr>
            </w:pPr>
            <w:r>
              <w:rPr>
                <w:color w:val="auto"/>
              </w:rPr>
              <w:t xml:space="preserve">Chronic </w:t>
            </w:r>
            <w:r w:rsidRPr="00380576">
              <w:rPr>
                <w:color w:val="auto"/>
              </w:rPr>
              <w:t>Pain</w:t>
            </w:r>
            <w:r>
              <w:rPr>
                <w:color w:val="auto"/>
              </w:rPr>
              <w:t>,</w:t>
            </w:r>
            <w:r w:rsidRPr="00380576">
              <w:rPr>
                <w:color w:val="auto"/>
              </w:rPr>
              <w:t xml:space="preserve"> </w:t>
            </w:r>
            <w:r w:rsidR="00700069" w:rsidRPr="00380576">
              <w:rPr>
                <w:color w:val="auto"/>
              </w:rPr>
              <w:t xml:space="preserve">Right Shoulder </w:t>
            </w:r>
          </w:p>
        </w:tc>
        <w:tc>
          <w:tcPr>
            <w:tcW w:w="1530" w:type="dxa"/>
            <w:tcBorders>
              <w:left w:val="single" w:sz="4" w:space="0" w:color="auto"/>
            </w:tcBorders>
            <w:vAlign w:val="center"/>
          </w:tcPr>
          <w:p w:rsidR="00700069" w:rsidRPr="00380576" w:rsidRDefault="00700069" w:rsidP="00103948">
            <w:pPr>
              <w:tabs>
                <w:tab w:val="left" w:pos="288"/>
                <w:tab w:val="left" w:pos="4752"/>
              </w:tabs>
              <w:spacing w:line="240" w:lineRule="exact"/>
              <w:jc w:val="center"/>
              <w:rPr>
                <w:color w:val="auto"/>
              </w:rPr>
            </w:pPr>
            <w:r w:rsidRPr="00380576">
              <w:rPr>
                <w:color w:val="auto"/>
              </w:rPr>
              <w:t>5099-5003</w:t>
            </w:r>
          </w:p>
        </w:tc>
        <w:tc>
          <w:tcPr>
            <w:tcW w:w="1017" w:type="dxa"/>
            <w:vAlign w:val="center"/>
          </w:tcPr>
          <w:p w:rsidR="00700069" w:rsidRPr="00380576" w:rsidRDefault="00700069" w:rsidP="00103948">
            <w:pPr>
              <w:tabs>
                <w:tab w:val="left" w:pos="288"/>
                <w:tab w:val="left" w:pos="4752"/>
              </w:tabs>
              <w:spacing w:line="240" w:lineRule="exact"/>
              <w:jc w:val="center"/>
              <w:rPr>
                <w:color w:val="auto"/>
              </w:rPr>
            </w:pPr>
            <w:r w:rsidRPr="00380576">
              <w:rPr>
                <w:color w:val="auto"/>
              </w:rPr>
              <w:t>10%</w:t>
            </w:r>
          </w:p>
        </w:tc>
      </w:tr>
      <w:tr w:rsidR="00700069" w:rsidRPr="00AF01B2" w:rsidTr="00706A04">
        <w:trPr>
          <w:trHeight w:val="122"/>
          <w:jc w:val="center"/>
        </w:trPr>
        <w:tc>
          <w:tcPr>
            <w:tcW w:w="6867" w:type="dxa"/>
            <w:gridSpan w:val="2"/>
            <w:tcBorders>
              <w:right w:val="single" w:sz="4" w:space="0" w:color="auto"/>
            </w:tcBorders>
            <w:vAlign w:val="center"/>
          </w:tcPr>
          <w:p w:rsidR="00700069" w:rsidRPr="00380576" w:rsidRDefault="00706A04" w:rsidP="00706A04">
            <w:pPr>
              <w:tabs>
                <w:tab w:val="left" w:pos="288"/>
                <w:tab w:val="left" w:pos="4752"/>
              </w:tabs>
              <w:spacing w:line="240" w:lineRule="exact"/>
              <w:rPr>
                <w:color w:val="auto"/>
              </w:rPr>
            </w:pPr>
            <w:r>
              <w:rPr>
                <w:color w:val="auto"/>
              </w:rPr>
              <w:t xml:space="preserve">Chronic </w:t>
            </w:r>
            <w:r w:rsidRPr="00380576">
              <w:rPr>
                <w:color w:val="auto"/>
              </w:rPr>
              <w:t>Pain</w:t>
            </w:r>
            <w:r>
              <w:rPr>
                <w:color w:val="auto"/>
              </w:rPr>
              <w:t>,</w:t>
            </w:r>
            <w:r w:rsidRPr="00380576">
              <w:rPr>
                <w:color w:val="auto"/>
              </w:rPr>
              <w:t xml:space="preserve"> </w:t>
            </w:r>
            <w:r w:rsidR="00700069" w:rsidRPr="00380576">
              <w:rPr>
                <w:color w:val="auto"/>
              </w:rPr>
              <w:t xml:space="preserve">Left Shoulder </w:t>
            </w:r>
          </w:p>
        </w:tc>
        <w:tc>
          <w:tcPr>
            <w:tcW w:w="1530" w:type="dxa"/>
            <w:tcBorders>
              <w:left w:val="single" w:sz="4" w:space="0" w:color="auto"/>
            </w:tcBorders>
            <w:vAlign w:val="center"/>
          </w:tcPr>
          <w:p w:rsidR="00700069" w:rsidRPr="00380576" w:rsidRDefault="00700069" w:rsidP="00103948">
            <w:pPr>
              <w:tabs>
                <w:tab w:val="left" w:pos="288"/>
                <w:tab w:val="left" w:pos="4752"/>
              </w:tabs>
              <w:spacing w:line="240" w:lineRule="exact"/>
              <w:jc w:val="center"/>
              <w:rPr>
                <w:color w:val="auto"/>
              </w:rPr>
            </w:pPr>
            <w:r w:rsidRPr="00380576">
              <w:rPr>
                <w:color w:val="auto"/>
              </w:rPr>
              <w:t>5099-5003</w:t>
            </w:r>
          </w:p>
        </w:tc>
        <w:tc>
          <w:tcPr>
            <w:tcW w:w="1017" w:type="dxa"/>
            <w:vAlign w:val="center"/>
          </w:tcPr>
          <w:p w:rsidR="00700069" w:rsidRPr="00380576" w:rsidRDefault="00700069" w:rsidP="00103948">
            <w:pPr>
              <w:tabs>
                <w:tab w:val="left" w:pos="288"/>
                <w:tab w:val="left" w:pos="4752"/>
              </w:tabs>
              <w:spacing w:line="240" w:lineRule="exact"/>
              <w:jc w:val="center"/>
              <w:rPr>
                <w:color w:val="auto"/>
              </w:rPr>
            </w:pPr>
            <w:r w:rsidRPr="00380576">
              <w:rPr>
                <w:color w:val="auto"/>
              </w:rPr>
              <w:t>10%</w:t>
            </w:r>
          </w:p>
        </w:tc>
      </w:tr>
      <w:tr w:rsidR="00700069" w:rsidRPr="00AF01B2" w:rsidTr="00706A04">
        <w:tblPrEx>
          <w:tblLook w:val="0000"/>
        </w:tblPrEx>
        <w:trPr>
          <w:gridBefore w:val="1"/>
          <w:wBefore w:w="4950" w:type="dxa"/>
          <w:trHeight w:val="143"/>
          <w:jc w:val="center"/>
        </w:trPr>
        <w:tc>
          <w:tcPr>
            <w:tcW w:w="3447" w:type="dxa"/>
            <w:gridSpan w:val="2"/>
            <w:tcBorders>
              <w:left w:val="single" w:sz="4" w:space="0" w:color="auto"/>
              <w:bottom w:val="single" w:sz="4" w:space="0" w:color="auto"/>
            </w:tcBorders>
            <w:shd w:val="clear" w:color="auto" w:fill="D9D9D9"/>
            <w:vAlign w:val="center"/>
          </w:tcPr>
          <w:p w:rsidR="00700069" w:rsidRPr="00AF01B2" w:rsidRDefault="00700069" w:rsidP="00103948">
            <w:pPr>
              <w:tabs>
                <w:tab w:val="left" w:pos="288"/>
                <w:tab w:val="left" w:pos="4752"/>
              </w:tabs>
              <w:spacing w:line="240" w:lineRule="exact"/>
              <w:jc w:val="center"/>
              <w:rPr>
                <w:b/>
                <w:color w:val="auto"/>
              </w:rPr>
            </w:pPr>
            <w:r w:rsidRPr="00AF01B2">
              <w:rPr>
                <w:b/>
                <w:color w:val="auto"/>
              </w:rPr>
              <w:t>COMBINED (Incorporating BLF)</w:t>
            </w:r>
          </w:p>
        </w:tc>
        <w:tc>
          <w:tcPr>
            <w:tcW w:w="1017" w:type="dxa"/>
            <w:shd w:val="clear" w:color="auto" w:fill="D9D9D9"/>
            <w:vAlign w:val="center"/>
          </w:tcPr>
          <w:p w:rsidR="00700069" w:rsidRPr="00AF01B2" w:rsidRDefault="00700069" w:rsidP="00103948">
            <w:pPr>
              <w:tabs>
                <w:tab w:val="left" w:pos="288"/>
                <w:tab w:val="left" w:pos="4752"/>
              </w:tabs>
              <w:spacing w:line="240" w:lineRule="exact"/>
              <w:jc w:val="center"/>
              <w:rPr>
                <w:b/>
                <w:color w:val="auto"/>
              </w:rPr>
            </w:pPr>
            <w:r>
              <w:rPr>
                <w:b/>
                <w:color w:val="auto"/>
              </w:rPr>
              <w:t>20</w:t>
            </w:r>
            <w:r w:rsidRPr="00AF01B2">
              <w:rPr>
                <w:b/>
                <w:color w:val="auto"/>
              </w:rPr>
              <w:t>%</w:t>
            </w:r>
          </w:p>
        </w:tc>
      </w:tr>
    </w:tbl>
    <w:p w:rsidR="00700069" w:rsidRPr="00391858" w:rsidRDefault="00700069"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700069" w:rsidRPr="00391858" w:rsidRDefault="00700069" w:rsidP="00510F9C">
      <w:pPr>
        <w:tabs>
          <w:tab w:val="left" w:pos="288"/>
          <w:tab w:val="left" w:pos="4752"/>
        </w:tabs>
        <w:spacing w:line="240" w:lineRule="exact"/>
        <w:rPr>
          <w:b/>
          <w:color w:val="auto"/>
        </w:rPr>
      </w:pPr>
    </w:p>
    <w:p w:rsidR="00700069" w:rsidRPr="00006186" w:rsidRDefault="00700069" w:rsidP="00510F9C">
      <w:pPr>
        <w:tabs>
          <w:tab w:val="left" w:pos="288"/>
          <w:tab w:val="left" w:pos="4752"/>
        </w:tabs>
        <w:spacing w:line="240" w:lineRule="exact"/>
        <w:jc w:val="both"/>
        <w:rPr>
          <w:color w:val="auto"/>
        </w:rPr>
      </w:pPr>
      <w:r>
        <w:rPr>
          <w:color w:val="auto"/>
        </w:rPr>
        <w:t>The following documentary evidence was considered:</w:t>
      </w:r>
    </w:p>
    <w:p w:rsidR="00700069" w:rsidRPr="00006186" w:rsidRDefault="00700069" w:rsidP="00510F9C">
      <w:pPr>
        <w:tabs>
          <w:tab w:val="left" w:pos="288"/>
          <w:tab w:val="left" w:pos="4752"/>
        </w:tabs>
        <w:spacing w:line="240" w:lineRule="exact"/>
        <w:jc w:val="both"/>
        <w:rPr>
          <w:color w:val="auto"/>
        </w:rPr>
      </w:pPr>
    </w:p>
    <w:p w:rsidR="00700069" w:rsidRPr="00006186" w:rsidRDefault="00700069" w:rsidP="00510F9C">
      <w:pPr>
        <w:tabs>
          <w:tab w:val="left" w:pos="288"/>
          <w:tab w:val="left" w:pos="4752"/>
        </w:tabs>
        <w:spacing w:line="240" w:lineRule="exact"/>
        <w:jc w:val="both"/>
        <w:rPr>
          <w:color w:val="auto"/>
        </w:rPr>
      </w:pPr>
      <w:r>
        <w:rPr>
          <w:color w:val="auto"/>
        </w:rPr>
        <w:t>Exhibit A.  DD Fo</w:t>
      </w:r>
      <w:r w:rsidR="00BE7AC9">
        <w:rPr>
          <w:color w:val="auto"/>
        </w:rPr>
        <w:t>rm 294, dated 20110511, w/</w:t>
      </w:r>
      <w:proofErr w:type="spellStart"/>
      <w:r w:rsidR="00BE7AC9">
        <w:rPr>
          <w:color w:val="auto"/>
        </w:rPr>
        <w:t>atchs</w:t>
      </w:r>
      <w:proofErr w:type="spellEnd"/>
    </w:p>
    <w:p w:rsidR="00700069" w:rsidRPr="00006186" w:rsidRDefault="00700069" w:rsidP="00510F9C">
      <w:pPr>
        <w:tabs>
          <w:tab w:val="left" w:pos="288"/>
          <w:tab w:val="left" w:pos="4752"/>
        </w:tabs>
        <w:spacing w:line="240" w:lineRule="exact"/>
        <w:jc w:val="both"/>
        <w:rPr>
          <w:color w:val="auto"/>
        </w:rPr>
      </w:pPr>
      <w:r>
        <w:rPr>
          <w:color w:val="auto"/>
        </w:rPr>
        <w:t>Exhib</w:t>
      </w:r>
      <w:r w:rsidR="00BE7AC9">
        <w:rPr>
          <w:color w:val="auto"/>
        </w:rPr>
        <w:t>it B.  Service Treatment Record</w:t>
      </w:r>
    </w:p>
    <w:p w:rsidR="00700069" w:rsidRPr="00006186" w:rsidRDefault="00700069" w:rsidP="00510F9C">
      <w:pPr>
        <w:tabs>
          <w:tab w:val="left" w:pos="288"/>
          <w:tab w:val="left" w:pos="4752"/>
        </w:tabs>
        <w:spacing w:line="240" w:lineRule="exact"/>
        <w:jc w:val="both"/>
        <w:rPr>
          <w:color w:val="auto"/>
        </w:rPr>
      </w:pPr>
      <w:r>
        <w:rPr>
          <w:color w:val="auto"/>
        </w:rPr>
        <w:t xml:space="preserve">Exhibit C.  Department of Veterans' </w:t>
      </w:r>
      <w:r w:rsidR="00BE7AC9">
        <w:rPr>
          <w:color w:val="auto"/>
        </w:rPr>
        <w:t>Affairs Treatment Record</w:t>
      </w:r>
    </w:p>
    <w:p w:rsidR="00700069" w:rsidRPr="00006186" w:rsidRDefault="00700069" w:rsidP="00510F9C">
      <w:pPr>
        <w:tabs>
          <w:tab w:val="left" w:pos="288"/>
          <w:tab w:val="left" w:pos="4752"/>
        </w:tabs>
        <w:spacing w:line="240" w:lineRule="exact"/>
        <w:jc w:val="both"/>
        <w:rPr>
          <w:color w:val="auto"/>
        </w:rPr>
      </w:pPr>
    </w:p>
    <w:p w:rsidR="00700069" w:rsidRPr="00006186" w:rsidRDefault="00700069" w:rsidP="00510F9C">
      <w:pPr>
        <w:tabs>
          <w:tab w:val="left" w:pos="288"/>
          <w:tab w:val="left" w:pos="4752"/>
        </w:tabs>
        <w:spacing w:line="240" w:lineRule="exact"/>
        <w:jc w:val="both"/>
        <w:rPr>
          <w:color w:val="auto"/>
        </w:rPr>
      </w:pPr>
    </w:p>
    <w:p w:rsidR="00700069" w:rsidRPr="00006186" w:rsidRDefault="00700069" w:rsidP="00510F9C">
      <w:pPr>
        <w:tabs>
          <w:tab w:val="left" w:pos="288"/>
          <w:tab w:val="left" w:pos="4752"/>
        </w:tabs>
        <w:spacing w:line="240" w:lineRule="exact"/>
        <w:jc w:val="both"/>
        <w:rPr>
          <w:color w:val="auto"/>
        </w:rPr>
      </w:pPr>
    </w:p>
    <w:p w:rsidR="007E63F8" w:rsidRDefault="007E63F8">
      <w:pPr>
        <w:rPr>
          <w:color w:val="auto"/>
          <w:u w:val="single"/>
        </w:rPr>
      </w:pPr>
      <w:r>
        <w:rPr>
          <w:color w:val="auto"/>
          <w:u w:val="single"/>
        </w:rPr>
        <w:br w:type="page"/>
      </w:r>
    </w:p>
    <w:p w:rsidR="007E63F8" w:rsidRPr="003D6CF2" w:rsidRDefault="007E63F8" w:rsidP="007E63F8">
      <w:pPr>
        <w:pStyle w:val="Header"/>
        <w:tabs>
          <w:tab w:val="clear" w:pos="4320"/>
          <w:tab w:val="clear" w:pos="8640"/>
        </w:tabs>
        <w:rPr>
          <w:color w:val="auto"/>
        </w:rPr>
      </w:pPr>
      <w:r w:rsidRPr="003D6CF2">
        <w:rPr>
          <w:color w:val="auto"/>
        </w:rPr>
        <w:lastRenderedPageBreak/>
        <w:t>SFMR-RB</w:t>
      </w:r>
      <w:r w:rsidRPr="003D6CF2">
        <w:rPr>
          <w:color w:val="auto"/>
        </w:rPr>
        <w:tab/>
      </w:r>
      <w:r w:rsidRPr="003D6CF2">
        <w:rPr>
          <w:color w:val="auto"/>
        </w:rPr>
        <w:tab/>
      </w:r>
      <w:r w:rsidRPr="003D6CF2">
        <w:rPr>
          <w:color w:val="auto"/>
        </w:rPr>
        <w:tab/>
      </w:r>
      <w:r w:rsidRPr="003D6CF2">
        <w:rPr>
          <w:color w:val="auto"/>
        </w:rPr>
        <w:tab/>
      </w:r>
      <w:r w:rsidRPr="003D6CF2">
        <w:rPr>
          <w:color w:val="auto"/>
        </w:rPr>
        <w:tab/>
      </w:r>
      <w:r w:rsidRPr="003D6CF2">
        <w:rPr>
          <w:color w:val="auto"/>
        </w:rPr>
        <w:tab/>
      </w:r>
      <w:r w:rsidRPr="003D6CF2">
        <w:rPr>
          <w:color w:val="auto"/>
        </w:rPr>
        <w:tab/>
      </w:r>
      <w:r w:rsidRPr="003D6CF2">
        <w:rPr>
          <w:color w:val="auto"/>
        </w:rPr>
        <w:tab/>
      </w:r>
      <w:r w:rsidRPr="003D6CF2">
        <w:rPr>
          <w:color w:val="auto"/>
        </w:rPr>
        <w:tab/>
      </w:r>
    </w:p>
    <w:p w:rsidR="007E63F8" w:rsidRPr="003D6CF2" w:rsidRDefault="007E63F8" w:rsidP="007E63F8">
      <w:pPr>
        <w:pStyle w:val="Header"/>
        <w:tabs>
          <w:tab w:val="clear" w:pos="4320"/>
          <w:tab w:val="clear" w:pos="8640"/>
        </w:tabs>
        <w:rPr>
          <w:color w:val="auto"/>
        </w:rPr>
      </w:pPr>
    </w:p>
    <w:p w:rsidR="007E63F8" w:rsidRPr="003D6CF2" w:rsidRDefault="007E63F8" w:rsidP="007E63F8">
      <w:pPr>
        <w:rPr>
          <w:color w:val="auto"/>
        </w:rPr>
      </w:pPr>
    </w:p>
    <w:p w:rsidR="007E63F8" w:rsidRPr="003D6CF2" w:rsidRDefault="007E63F8" w:rsidP="007E63F8">
      <w:pPr>
        <w:rPr>
          <w:color w:val="auto"/>
        </w:rPr>
      </w:pPr>
      <w:r w:rsidRPr="003D6CF2">
        <w:rPr>
          <w:color w:val="auto"/>
        </w:rPr>
        <w:t xml:space="preserve">MEMORANDUM FOR Commander, US Army Physical Disability Agency </w:t>
      </w:r>
    </w:p>
    <w:p w:rsidR="007E63F8" w:rsidRPr="003D6CF2" w:rsidRDefault="007E63F8" w:rsidP="007E63F8">
      <w:pPr>
        <w:rPr>
          <w:color w:val="auto"/>
        </w:rPr>
      </w:pPr>
      <w:r w:rsidRPr="003D6CF2">
        <w:rPr>
          <w:color w:val="auto"/>
        </w:rPr>
        <w:t>Crystal Drive, Suite 300, Arlington, VA 22202</w:t>
      </w:r>
    </w:p>
    <w:p w:rsidR="007E63F8" w:rsidRPr="003D6CF2" w:rsidRDefault="007E63F8" w:rsidP="007E63F8">
      <w:pPr>
        <w:rPr>
          <w:color w:val="auto"/>
        </w:rPr>
      </w:pPr>
    </w:p>
    <w:p w:rsidR="007E63F8" w:rsidRPr="003D6CF2" w:rsidRDefault="007E63F8" w:rsidP="007E63F8">
      <w:pPr>
        <w:ind w:right="-180"/>
        <w:rPr>
          <w:color w:val="auto"/>
        </w:rPr>
      </w:pPr>
      <w:r w:rsidRPr="003D6CF2">
        <w:rPr>
          <w:color w:val="auto"/>
        </w:rPr>
        <w:t>SUBJECT:  Department of Defense Physical Disability Board of Review Recommendation for (PD201100380)</w:t>
      </w:r>
    </w:p>
    <w:p w:rsidR="007E63F8" w:rsidRPr="003D6CF2" w:rsidRDefault="007E63F8" w:rsidP="007E63F8">
      <w:pPr>
        <w:pStyle w:val="Header"/>
        <w:tabs>
          <w:tab w:val="clear" w:pos="4320"/>
          <w:tab w:val="clear" w:pos="8640"/>
        </w:tabs>
        <w:rPr>
          <w:color w:val="auto"/>
        </w:rPr>
      </w:pPr>
    </w:p>
    <w:p w:rsidR="007E63F8" w:rsidRPr="003D6CF2" w:rsidRDefault="007E63F8" w:rsidP="007E63F8">
      <w:pPr>
        <w:rPr>
          <w:color w:val="auto"/>
        </w:rPr>
      </w:pPr>
    </w:p>
    <w:p w:rsidR="007E63F8" w:rsidRPr="003D6CF2" w:rsidRDefault="007E63F8" w:rsidP="007E63F8">
      <w:pPr>
        <w:rPr>
          <w:color w:val="auto"/>
        </w:rPr>
      </w:pPr>
      <w:r w:rsidRPr="003D6CF2">
        <w:rPr>
          <w:color w:val="auto"/>
        </w:rPr>
        <w:t>I have reviewed the enclosed Department of Defense Physical Disability Board of Review (</w:t>
      </w:r>
      <w:proofErr w:type="spellStart"/>
      <w:r w:rsidRPr="003D6CF2">
        <w:rPr>
          <w:color w:val="auto"/>
        </w:rPr>
        <w:t>DoD</w:t>
      </w:r>
      <w:proofErr w:type="spellEnd"/>
      <w:r w:rsidRPr="003D6CF2">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7E63F8" w:rsidRPr="003D6CF2" w:rsidRDefault="007E63F8" w:rsidP="007E63F8">
      <w:pPr>
        <w:rPr>
          <w:color w:val="auto"/>
        </w:rPr>
      </w:pPr>
      <w:r w:rsidRPr="003D6CF2">
        <w:rPr>
          <w:color w:val="auto"/>
        </w:rPr>
        <w:t>This decision is final.  The individual concerned, counsel (if any), and any Members of Congress who have shown interest in this application have been notified of this decision by mail.</w:t>
      </w:r>
    </w:p>
    <w:p w:rsidR="007E63F8" w:rsidRPr="003D6CF2" w:rsidRDefault="007E63F8" w:rsidP="007E63F8">
      <w:pPr>
        <w:rPr>
          <w:color w:val="auto"/>
        </w:rPr>
      </w:pPr>
    </w:p>
    <w:p w:rsidR="007E63F8" w:rsidRPr="003D6CF2" w:rsidRDefault="007E63F8" w:rsidP="007E63F8">
      <w:pPr>
        <w:rPr>
          <w:color w:val="auto"/>
        </w:rPr>
      </w:pPr>
      <w:r w:rsidRPr="003D6CF2">
        <w:rPr>
          <w:color w:val="auto"/>
        </w:rPr>
        <w:t xml:space="preserve"> BY ORDER OF THE SECRETARY OF THE ARMY:</w:t>
      </w:r>
    </w:p>
    <w:p w:rsidR="007E63F8" w:rsidRPr="003D6CF2" w:rsidRDefault="007E63F8" w:rsidP="007E63F8">
      <w:pPr>
        <w:rPr>
          <w:color w:val="auto"/>
        </w:rPr>
      </w:pPr>
    </w:p>
    <w:p w:rsidR="007E63F8" w:rsidRPr="003D6CF2" w:rsidRDefault="007E63F8" w:rsidP="007E63F8">
      <w:pPr>
        <w:rPr>
          <w:color w:val="auto"/>
        </w:rPr>
      </w:pPr>
    </w:p>
    <w:p w:rsidR="007E63F8" w:rsidRPr="003D6CF2" w:rsidRDefault="007E63F8" w:rsidP="007E63F8">
      <w:pPr>
        <w:pStyle w:val="Header"/>
        <w:tabs>
          <w:tab w:val="clear" w:pos="4320"/>
          <w:tab w:val="clear" w:pos="8640"/>
        </w:tabs>
        <w:rPr>
          <w:color w:val="auto"/>
        </w:rPr>
      </w:pPr>
    </w:p>
    <w:p w:rsidR="007E63F8" w:rsidRPr="003D6CF2" w:rsidRDefault="007E63F8" w:rsidP="007E63F8">
      <w:pPr>
        <w:rPr>
          <w:color w:val="auto"/>
        </w:rPr>
      </w:pPr>
    </w:p>
    <w:p w:rsidR="007E63F8" w:rsidRPr="003D6CF2" w:rsidRDefault="007E63F8" w:rsidP="007E63F8">
      <w:pPr>
        <w:rPr>
          <w:color w:val="auto"/>
        </w:rPr>
      </w:pPr>
      <w:bookmarkStart w:id="0" w:name="OLE_LINK3"/>
      <w:bookmarkStart w:id="1" w:name="OLE_LINK4"/>
      <w:r w:rsidRPr="003D6CF2">
        <w:rPr>
          <w:color w:val="auto"/>
        </w:rPr>
        <w:t>Encl</w:t>
      </w:r>
      <w:r w:rsidRPr="003D6CF2">
        <w:rPr>
          <w:color w:val="auto"/>
        </w:rPr>
        <w:tab/>
      </w:r>
      <w:r w:rsidRPr="003D6CF2">
        <w:rPr>
          <w:color w:val="auto"/>
        </w:rPr>
        <w:tab/>
      </w:r>
      <w:r w:rsidRPr="003D6CF2">
        <w:rPr>
          <w:color w:val="auto"/>
        </w:rPr>
        <w:tab/>
      </w:r>
      <w:r w:rsidRPr="003D6CF2">
        <w:rPr>
          <w:color w:val="auto"/>
        </w:rPr>
        <w:tab/>
      </w:r>
      <w:r w:rsidRPr="003D6CF2">
        <w:rPr>
          <w:color w:val="auto"/>
        </w:rPr>
        <w:tab/>
      </w:r>
      <w:r w:rsidRPr="003D6CF2">
        <w:rPr>
          <w:color w:val="auto"/>
        </w:rPr>
        <w:tab/>
        <w:t xml:space="preserve">    </w:t>
      </w:r>
      <w:bookmarkEnd w:id="0"/>
      <w:bookmarkEnd w:id="1"/>
    </w:p>
    <w:p w:rsidR="007E63F8" w:rsidRPr="003D6CF2" w:rsidRDefault="007E63F8" w:rsidP="007E63F8">
      <w:pPr>
        <w:rPr>
          <w:color w:val="auto"/>
        </w:rPr>
      </w:pPr>
    </w:p>
    <w:p w:rsidR="007E63F8" w:rsidRPr="003D6CF2" w:rsidRDefault="007E63F8" w:rsidP="007E63F8">
      <w:pPr>
        <w:rPr>
          <w:color w:val="auto"/>
        </w:rPr>
      </w:pPr>
      <w:r w:rsidRPr="003D6CF2">
        <w:rPr>
          <w:color w:val="auto"/>
        </w:rPr>
        <w:t xml:space="preserve">CF: </w:t>
      </w:r>
    </w:p>
    <w:p w:rsidR="007E63F8" w:rsidRPr="003D6CF2" w:rsidRDefault="007E63F8" w:rsidP="007E63F8">
      <w:pPr>
        <w:rPr>
          <w:color w:val="auto"/>
        </w:rPr>
      </w:pPr>
      <w:r w:rsidRPr="003D6CF2">
        <w:rPr>
          <w:color w:val="auto"/>
        </w:rPr>
        <w:t xml:space="preserve">(  ) </w:t>
      </w:r>
      <w:proofErr w:type="spellStart"/>
      <w:proofErr w:type="gramStart"/>
      <w:r w:rsidRPr="003D6CF2">
        <w:rPr>
          <w:color w:val="auto"/>
        </w:rPr>
        <w:t>DoD</w:t>
      </w:r>
      <w:proofErr w:type="spellEnd"/>
      <w:proofErr w:type="gramEnd"/>
      <w:r w:rsidRPr="003D6CF2">
        <w:rPr>
          <w:color w:val="auto"/>
        </w:rPr>
        <w:t xml:space="preserve"> PDBR</w:t>
      </w:r>
    </w:p>
    <w:p w:rsidR="007E63F8" w:rsidRPr="003D6CF2" w:rsidRDefault="007E63F8" w:rsidP="007E63F8">
      <w:pPr>
        <w:rPr>
          <w:color w:val="auto"/>
        </w:rPr>
      </w:pPr>
      <w:r w:rsidRPr="003D6CF2">
        <w:rPr>
          <w:color w:val="auto"/>
        </w:rPr>
        <w:t>(  ) DVA</w:t>
      </w:r>
    </w:p>
    <w:p w:rsidR="007E63F8" w:rsidRPr="003D6CF2" w:rsidRDefault="007E63F8" w:rsidP="007E63F8">
      <w:pPr>
        <w:rPr>
          <w:color w:val="auto"/>
        </w:rPr>
      </w:pPr>
    </w:p>
    <w:p w:rsidR="00700069" w:rsidRDefault="00700069" w:rsidP="00057019">
      <w:pPr>
        <w:tabs>
          <w:tab w:val="left" w:pos="288"/>
          <w:tab w:val="left" w:pos="4752"/>
        </w:tabs>
        <w:spacing w:line="240" w:lineRule="exact"/>
        <w:jc w:val="both"/>
        <w:rPr>
          <w:color w:val="auto"/>
          <w:u w:val="single"/>
        </w:rPr>
      </w:pPr>
    </w:p>
    <w:p w:rsidR="00700069" w:rsidRDefault="00700069" w:rsidP="00380576">
      <w:pPr>
        <w:tabs>
          <w:tab w:val="left" w:pos="288"/>
          <w:tab w:val="left" w:pos="4752"/>
        </w:tabs>
        <w:spacing w:line="240" w:lineRule="exact"/>
        <w:jc w:val="both"/>
        <w:rPr>
          <w:rFonts w:ascii="Times New Roman" w:hAnsi="Times New Roman"/>
          <w:b/>
          <w:color w:val="auto"/>
        </w:rPr>
      </w:pPr>
    </w:p>
    <w:sectPr w:rsidR="00700069"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0D" w:rsidRDefault="0059580D">
      <w:r>
        <w:separator/>
      </w:r>
    </w:p>
  </w:endnote>
  <w:endnote w:type="continuationSeparator" w:id="0">
    <w:p w:rsidR="0059580D" w:rsidRDefault="00595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69" w:rsidRPr="00684CE6" w:rsidRDefault="000E503F" w:rsidP="00F65ED5">
    <w:pPr>
      <w:pStyle w:val="Footer"/>
      <w:jc w:val="right"/>
      <w:rPr>
        <w:color w:val="auto"/>
      </w:rPr>
    </w:pPr>
    <w:fldSimple w:instr=" PAGE   \* MERGEFORMAT ">
      <w:r w:rsidR="003D6CF2" w:rsidRPr="003D6CF2">
        <w:rPr>
          <w:noProof/>
          <w:color w:val="auto"/>
        </w:rPr>
        <w:t>6</w:t>
      </w:r>
    </w:fldSimple>
    <w:r w:rsidR="00700069" w:rsidRPr="00684CE6">
      <w:rPr>
        <w:color w:val="auto"/>
      </w:rPr>
      <w:t xml:space="preserve">                                                                   PD</w:t>
    </w:r>
    <w:r w:rsidR="00700069" w:rsidRPr="00C51962">
      <w:rPr>
        <w:color w:val="auto"/>
      </w:rPr>
      <w:t>1100380</w:t>
    </w:r>
  </w:p>
  <w:p w:rsidR="00700069" w:rsidRPr="00684CE6" w:rsidRDefault="0070006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0D" w:rsidRDefault="0059580D">
      <w:r>
        <w:separator/>
      </w:r>
    </w:p>
  </w:footnote>
  <w:footnote w:type="continuationSeparator" w:id="0">
    <w:p w:rsidR="0059580D" w:rsidRDefault="00595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17"/>
    <w:rsid w:val="000024F5"/>
    <w:rsid w:val="000059FA"/>
    <w:rsid w:val="00006186"/>
    <w:rsid w:val="00006F87"/>
    <w:rsid w:val="00007107"/>
    <w:rsid w:val="00010ABA"/>
    <w:rsid w:val="00010B0F"/>
    <w:rsid w:val="00012428"/>
    <w:rsid w:val="00012733"/>
    <w:rsid w:val="00013417"/>
    <w:rsid w:val="000145C2"/>
    <w:rsid w:val="0001473F"/>
    <w:rsid w:val="00014A9E"/>
    <w:rsid w:val="00016EB7"/>
    <w:rsid w:val="00021361"/>
    <w:rsid w:val="00022CF3"/>
    <w:rsid w:val="00023913"/>
    <w:rsid w:val="00023D43"/>
    <w:rsid w:val="00024DE7"/>
    <w:rsid w:val="00026092"/>
    <w:rsid w:val="00030776"/>
    <w:rsid w:val="00032E07"/>
    <w:rsid w:val="000332CA"/>
    <w:rsid w:val="0003374E"/>
    <w:rsid w:val="000344D8"/>
    <w:rsid w:val="000344E6"/>
    <w:rsid w:val="00035C3A"/>
    <w:rsid w:val="00036738"/>
    <w:rsid w:val="00036E4B"/>
    <w:rsid w:val="00037929"/>
    <w:rsid w:val="000379D0"/>
    <w:rsid w:val="00040FC4"/>
    <w:rsid w:val="000416F8"/>
    <w:rsid w:val="00042C26"/>
    <w:rsid w:val="00043382"/>
    <w:rsid w:val="000437BF"/>
    <w:rsid w:val="00044623"/>
    <w:rsid w:val="000452D7"/>
    <w:rsid w:val="0004689B"/>
    <w:rsid w:val="00051622"/>
    <w:rsid w:val="00051A11"/>
    <w:rsid w:val="00052234"/>
    <w:rsid w:val="00053D7C"/>
    <w:rsid w:val="000555EF"/>
    <w:rsid w:val="00057019"/>
    <w:rsid w:val="000575C5"/>
    <w:rsid w:val="000577C9"/>
    <w:rsid w:val="00060FFD"/>
    <w:rsid w:val="0006431E"/>
    <w:rsid w:val="000652EA"/>
    <w:rsid w:val="00065E21"/>
    <w:rsid w:val="000673ED"/>
    <w:rsid w:val="00070DED"/>
    <w:rsid w:val="00072433"/>
    <w:rsid w:val="0007488B"/>
    <w:rsid w:val="00074D2E"/>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78C"/>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03F"/>
    <w:rsid w:val="000E5577"/>
    <w:rsid w:val="000E5D13"/>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0021"/>
    <w:rsid w:val="00161642"/>
    <w:rsid w:val="00161761"/>
    <w:rsid w:val="00166182"/>
    <w:rsid w:val="0017139A"/>
    <w:rsid w:val="001724C8"/>
    <w:rsid w:val="001732C4"/>
    <w:rsid w:val="001745DD"/>
    <w:rsid w:val="00174FDE"/>
    <w:rsid w:val="00174FE3"/>
    <w:rsid w:val="00177659"/>
    <w:rsid w:val="001779E5"/>
    <w:rsid w:val="00180826"/>
    <w:rsid w:val="00181240"/>
    <w:rsid w:val="00181711"/>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1D31"/>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4E02"/>
    <w:rsid w:val="001F60D6"/>
    <w:rsid w:val="00200AA0"/>
    <w:rsid w:val="00201B2E"/>
    <w:rsid w:val="00202325"/>
    <w:rsid w:val="00202736"/>
    <w:rsid w:val="00202EFA"/>
    <w:rsid w:val="00203652"/>
    <w:rsid w:val="00204562"/>
    <w:rsid w:val="002052A5"/>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283"/>
    <w:rsid w:val="0025183C"/>
    <w:rsid w:val="00252351"/>
    <w:rsid w:val="002528EC"/>
    <w:rsid w:val="00253EAA"/>
    <w:rsid w:val="00255049"/>
    <w:rsid w:val="00257AFF"/>
    <w:rsid w:val="00257DE5"/>
    <w:rsid w:val="00260531"/>
    <w:rsid w:val="00260B9A"/>
    <w:rsid w:val="00262EA5"/>
    <w:rsid w:val="0026318D"/>
    <w:rsid w:val="00264148"/>
    <w:rsid w:val="00264275"/>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960"/>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9C5"/>
    <w:rsid w:val="002F6AD8"/>
    <w:rsid w:val="002F7F81"/>
    <w:rsid w:val="00300A36"/>
    <w:rsid w:val="00301B45"/>
    <w:rsid w:val="00305856"/>
    <w:rsid w:val="0030678B"/>
    <w:rsid w:val="00306D16"/>
    <w:rsid w:val="00307595"/>
    <w:rsid w:val="00310CD7"/>
    <w:rsid w:val="00311B72"/>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16F4"/>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576"/>
    <w:rsid w:val="00380FD4"/>
    <w:rsid w:val="00381E16"/>
    <w:rsid w:val="003821E1"/>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FF8"/>
    <w:rsid w:val="003B17AC"/>
    <w:rsid w:val="003B227A"/>
    <w:rsid w:val="003B2947"/>
    <w:rsid w:val="003B34DE"/>
    <w:rsid w:val="003B3570"/>
    <w:rsid w:val="003B3A77"/>
    <w:rsid w:val="003B4319"/>
    <w:rsid w:val="003B5854"/>
    <w:rsid w:val="003B6764"/>
    <w:rsid w:val="003B7A8B"/>
    <w:rsid w:val="003C294B"/>
    <w:rsid w:val="003C4C24"/>
    <w:rsid w:val="003C5046"/>
    <w:rsid w:val="003C53E8"/>
    <w:rsid w:val="003C6068"/>
    <w:rsid w:val="003C7AEC"/>
    <w:rsid w:val="003D2BA3"/>
    <w:rsid w:val="003D316B"/>
    <w:rsid w:val="003D3C22"/>
    <w:rsid w:val="003D56A0"/>
    <w:rsid w:val="003D69F5"/>
    <w:rsid w:val="003D6CF2"/>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A07"/>
    <w:rsid w:val="003F58B0"/>
    <w:rsid w:val="003F776F"/>
    <w:rsid w:val="0040049A"/>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4650B"/>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0D0E"/>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01E"/>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0401"/>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815"/>
    <w:rsid w:val="00593043"/>
    <w:rsid w:val="005940B3"/>
    <w:rsid w:val="0059580D"/>
    <w:rsid w:val="00595B60"/>
    <w:rsid w:val="00595BF0"/>
    <w:rsid w:val="00595D2E"/>
    <w:rsid w:val="00597E16"/>
    <w:rsid w:val="005A0B1D"/>
    <w:rsid w:val="005A1846"/>
    <w:rsid w:val="005A258C"/>
    <w:rsid w:val="005A3560"/>
    <w:rsid w:val="005A464E"/>
    <w:rsid w:val="005A62FC"/>
    <w:rsid w:val="005A6C99"/>
    <w:rsid w:val="005A7D5D"/>
    <w:rsid w:val="005B0040"/>
    <w:rsid w:val="005B011A"/>
    <w:rsid w:val="005B0283"/>
    <w:rsid w:val="005B1060"/>
    <w:rsid w:val="005B1ADA"/>
    <w:rsid w:val="005B1D8F"/>
    <w:rsid w:val="005B1E94"/>
    <w:rsid w:val="005B5B3D"/>
    <w:rsid w:val="005B64CF"/>
    <w:rsid w:val="005B7A1A"/>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622"/>
    <w:rsid w:val="006418C9"/>
    <w:rsid w:val="00642BD6"/>
    <w:rsid w:val="00645046"/>
    <w:rsid w:val="0064527A"/>
    <w:rsid w:val="006458FD"/>
    <w:rsid w:val="00645B96"/>
    <w:rsid w:val="00645EA2"/>
    <w:rsid w:val="00651E6D"/>
    <w:rsid w:val="006536A5"/>
    <w:rsid w:val="00653D2D"/>
    <w:rsid w:val="006542F0"/>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5BA4"/>
    <w:rsid w:val="00687C7E"/>
    <w:rsid w:val="00687FAE"/>
    <w:rsid w:val="00690569"/>
    <w:rsid w:val="00690FDA"/>
    <w:rsid w:val="00691E61"/>
    <w:rsid w:val="00692656"/>
    <w:rsid w:val="006937C6"/>
    <w:rsid w:val="00693C5E"/>
    <w:rsid w:val="00693CEE"/>
    <w:rsid w:val="00694A57"/>
    <w:rsid w:val="00694EEA"/>
    <w:rsid w:val="006955B4"/>
    <w:rsid w:val="00695DEF"/>
    <w:rsid w:val="00696476"/>
    <w:rsid w:val="00696C74"/>
    <w:rsid w:val="006A10FA"/>
    <w:rsid w:val="006A162F"/>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D7908"/>
    <w:rsid w:val="006E06D1"/>
    <w:rsid w:val="006E12C1"/>
    <w:rsid w:val="006E1313"/>
    <w:rsid w:val="006E2DC8"/>
    <w:rsid w:val="006E7356"/>
    <w:rsid w:val="006E77C8"/>
    <w:rsid w:val="006F0F9C"/>
    <w:rsid w:val="006F149D"/>
    <w:rsid w:val="006F1A46"/>
    <w:rsid w:val="006F4F06"/>
    <w:rsid w:val="006F5A4E"/>
    <w:rsid w:val="006F5D37"/>
    <w:rsid w:val="006F6005"/>
    <w:rsid w:val="00700069"/>
    <w:rsid w:val="007005EA"/>
    <w:rsid w:val="00703B6C"/>
    <w:rsid w:val="00703BB0"/>
    <w:rsid w:val="00704519"/>
    <w:rsid w:val="00704C88"/>
    <w:rsid w:val="00704EA1"/>
    <w:rsid w:val="00705C40"/>
    <w:rsid w:val="00706482"/>
    <w:rsid w:val="00706754"/>
    <w:rsid w:val="00706A04"/>
    <w:rsid w:val="00706BEF"/>
    <w:rsid w:val="00707ECE"/>
    <w:rsid w:val="00710CE8"/>
    <w:rsid w:val="00711350"/>
    <w:rsid w:val="007116BC"/>
    <w:rsid w:val="00711961"/>
    <w:rsid w:val="00711CA6"/>
    <w:rsid w:val="007165CE"/>
    <w:rsid w:val="00717965"/>
    <w:rsid w:val="00717CEB"/>
    <w:rsid w:val="0072035D"/>
    <w:rsid w:val="00720968"/>
    <w:rsid w:val="00721705"/>
    <w:rsid w:val="00721B7A"/>
    <w:rsid w:val="00721D12"/>
    <w:rsid w:val="00721F8B"/>
    <w:rsid w:val="007237CE"/>
    <w:rsid w:val="00724688"/>
    <w:rsid w:val="00725D07"/>
    <w:rsid w:val="007272F1"/>
    <w:rsid w:val="0073062D"/>
    <w:rsid w:val="0073093B"/>
    <w:rsid w:val="0073254D"/>
    <w:rsid w:val="00732D5E"/>
    <w:rsid w:val="007335F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71043"/>
    <w:rsid w:val="00773AF7"/>
    <w:rsid w:val="00774C80"/>
    <w:rsid w:val="00774FFD"/>
    <w:rsid w:val="00776BAB"/>
    <w:rsid w:val="00780378"/>
    <w:rsid w:val="0078085E"/>
    <w:rsid w:val="00781BD4"/>
    <w:rsid w:val="00782562"/>
    <w:rsid w:val="007828B4"/>
    <w:rsid w:val="00784832"/>
    <w:rsid w:val="00784EA0"/>
    <w:rsid w:val="00785D77"/>
    <w:rsid w:val="00786111"/>
    <w:rsid w:val="00790963"/>
    <w:rsid w:val="0079154B"/>
    <w:rsid w:val="00791B62"/>
    <w:rsid w:val="00791F1E"/>
    <w:rsid w:val="007927BE"/>
    <w:rsid w:val="0079315F"/>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07DC"/>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63F8"/>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2A28"/>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4F4"/>
    <w:rsid w:val="00892B90"/>
    <w:rsid w:val="00896535"/>
    <w:rsid w:val="00896683"/>
    <w:rsid w:val="00896E71"/>
    <w:rsid w:val="0089750B"/>
    <w:rsid w:val="00897589"/>
    <w:rsid w:val="008A0D4F"/>
    <w:rsid w:val="008A2D08"/>
    <w:rsid w:val="008A39D7"/>
    <w:rsid w:val="008A55DE"/>
    <w:rsid w:val="008A5C34"/>
    <w:rsid w:val="008A63A9"/>
    <w:rsid w:val="008A6BDF"/>
    <w:rsid w:val="008A7073"/>
    <w:rsid w:val="008A79F0"/>
    <w:rsid w:val="008A7F7E"/>
    <w:rsid w:val="008B04DB"/>
    <w:rsid w:val="008B09B4"/>
    <w:rsid w:val="008B1DF4"/>
    <w:rsid w:val="008B27FD"/>
    <w:rsid w:val="008B2FDB"/>
    <w:rsid w:val="008B3AF2"/>
    <w:rsid w:val="008B446D"/>
    <w:rsid w:val="008B515D"/>
    <w:rsid w:val="008B5D31"/>
    <w:rsid w:val="008B66E0"/>
    <w:rsid w:val="008B6705"/>
    <w:rsid w:val="008C22F3"/>
    <w:rsid w:val="008C3FD0"/>
    <w:rsid w:val="008C4F01"/>
    <w:rsid w:val="008C6A22"/>
    <w:rsid w:val="008D1484"/>
    <w:rsid w:val="008D29E7"/>
    <w:rsid w:val="008D3C07"/>
    <w:rsid w:val="008D5104"/>
    <w:rsid w:val="008D75F4"/>
    <w:rsid w:val="008D795D"/>
    <w:rsid w:val="008D7B07"/>
    <w:rsid w:val="008E0D8F"/>
    <w:rsid w:val="008E0F4E"/>
    <w:rsid w:val="008E1E94"/>
    <w:rsid w:val="008E2D99"/>
    <w:rsid w:val="008E30D4"/>
    <w:rsid w:val="008E38B0"/>
    <w:rsid w:val="008E4A60"/>
    <w:rsid w:val="008E7191"/>
    <w:rsid w:val="008E744D"/>
    <w:rsid w:val="008F1E08"/>
    <w:rsid w:val="008F49DC"/>
    <w:rsid w:val="008F6FC8"/>
    <w:rsid w:val="0090045D"/>
    <w:rsid w:val="00900D8F"/>
    <w:rsid w:val="009014E3"/>
    <w:rsid w:val="009020ED"/>
    <w:rsid w:val="009026E8"/>
    <w:rsid w:val="00902FDD"/>
    <w:rsid w:val="00905EEF"/>
    <w:rsid w:val="00906EB7"/>
    <w:rsid w:val="009102BF"/>
    <w:rsid w:val="00911490"/>
    <w:rsid w:val="009115F2"/>
    <w:rsid w:val="00911948"/>
    <w:rsid w:val="00911B11"/>
    <w:rsid w:val="00914ADB"/>
    <w:rsid w:val="00917182"/>
    <w:rsid w:val="00923B25"/>
    <w:rsid w:val="0092402E"/>
    <w:rsid w:val="009246B0"/>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09C3"/>
    <w:rsid w:val="00972996"/>
    <w:rsid w:val="009732B8"/>
    <w:rsid w:val="00974647"/>
    <w:rsid w:val="009748D6"/>
    <w:rsid w:val="0097514A"/>
    <w:rsid w:val="009759C2"/>
    <w:rsid w:val="00975C72"/>
    <w:rsid w:val="00976869"/>
    <w:rsid w:val="00977740"/>
    <w:rsid w:val="00977CB4"/>
    <w:rsid w:val="009809B8"/>
    <w:rsid w:val="00981086"/>
    <w:rsid w:val="009818AF"/>
    <w:rsid w:val="00981AAB"/>
    <w:rsid w:val="00981B1C"/>
    <w:rsid w:val="0098222D"/>
    <w:rsid w:val="00985099"/>
    <w:rsid w:val="00985D32"/>
    <w:rsid w:val="00986514"/>
    <w:rsid w:val="00986BD7"/>
    <w:rsid w:val="00986D2A"/>
    <w:rsid w:val="00986FCC"/>
    <w:rsid w:val="00990B88"/>
    <w:rsid w:val="009935C3"/>
    <w:rsid w:val="0099421F"/>
    <w:rsid w:val="00994FC8"/>
    <w:rsid w:val="009A0DE3"/>
    <w:rsid w:val="009A1643"/>
    <w:rsid w:val="009A215A"/>
    <w:rsid w:val="009A2F5B"/>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16D"/>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001"/>
    <w:rsid w:val="009E5789"/>
    <w:rsid w:val="009E57B1"/>
    <w:rsid w:val="009E6379"/>
    <w:rsid w:val="009F020F"/>
    <w:rsid w:val="009F0FA4"/>
    <w:rsid w:val="009F3B63"/>
    <w:rsid w:val="009F43E2"/>
    <w:rsid w:val="009F46E4"/>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370B"/>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31A"/>
    <w:rsid w:val="00A73B84"/>
    <w:rsid w:val="00A7411D"/>
    <w:rsid w:val="00A756C4"/>
    <w:rsid w:val="00A7592B"/>
    <w:rsid w:val="00A76094"/>
    <w:rsid w:val="00A768E2"/>
    <w:rsid w:val="00A82C52"/>
    <w:rsid w:val="00A838E8"/>
    <w:rsid w:val="00A83C15"/>
    <w:rsid w:val="00A84EC4"/>
    <w:rsid w:val="00A86CB6"/>
    <w:rsid w:val="00A90537"/>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02A5"/>
    <w:rsid w:val="00AC37BE"/>
    <w:rsid w:val="00AC439D"/>
    <w:rsid w:val="00AC5462"/>
    <w:rsid w:val="00AC56AE"/>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AF7"/>
    <w:rsid w:val="00AE4B3E"/>
    <w:rsid w:val="00AE5E14"/>
    <w:rsid w:val="00AE6115"/>
    <w:rsid w:val="00AE625B"/>
    <w:rsid w:val="00AF01B2"/>
    <w:rsid w:val="00AF1103"/>
    <w:rsid w:val="00AF1668"/>
    <w:rsid w:val="00AF28DE"/>
    <w:rsid w:val="00AF4FA5"/>
    <w:rsid w:val="00AF6ECC"/>
    <w:rsid w:val="00B00EE6"/>
    <w:rsid w:val="00B022DC"/>
    <w:rsid w:val="00B04562"/>
    <w:rsid w:val="00B0472F"/>
    <w:rsid w:val="00B065DA"/>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2E9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AC9"/>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2A84"/>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4EAF"/>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535B"/>
    <w:rsid w:val="00C665FE"/>
    <w:rsid w:val="00C71BEC"/>
    <w:rsid w:val="00C74D3A"/>
    <w:rsid w:val="00C75F3D"/>
    <w:rsid w:val="00C80511"/>
    <w:rsid w:val="00C81C23"/>
    <w:rsid w:val="00C826F5"/>
    <w:rsid w:val="00C83740"/>
    <w:rsid w:val="00C84AD1"/>
    <w:rsid w:val="00C85579"/>
    <w:rsid w:val="00C862F1"/>
    <w:rsid w:val="00C863E5"/>
    <w:rsid w:val="00C87BE6"/>
    <w:rsid w:val="00C87F76"/>
    <w:rsid w:val="00C931FC"/>
    <w:rsid w:val="00C932C5"/>
    <w:rsid w:val="00C9342C"/>
    <w:rsid w:val="00C94CB6"/>
    <w:rsid w:val="00C94D9E"/>
    <w:rsid w:val="00C95299"/>
    <w:rsid w:val="00C95A72"/>
    <w:rsid w:val="00C9650E"/>
    <w:rsid w:val="00C97000"/>
    <w:rsid w:val="00C975BD"/>
    <w:rsid w:val="00CA068D"/>
    <w:rsid w:val="00CA1228"/>
    <w:rsid w:val="00CA1C73"/>
    <w:rsid w:val="00CA282D"/>
    <w:rsid w:val="00CA3BD4"/>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CF7188"/>
    <w:rsid w:val="00D000A9"/>
    <w:rsid w:val="00D00384"/>
    <w:rsid w:val="00D005DB"/>
    <w:rsid w:val="00D0064E"/>
    <w:rsid w:val="00D00981"/>
    <w:rsid w:val="00D02596"/>
    <w:rsid w:val="00D0280D"/>
    <w:rsid w:val="00D02AEF"/>
    <w:rsid w:val="00D04E49"/>
    <w:rsid w:val="00D05669"/>
    <w:rsid w:val="00D061EB"/>
    <w:rsid w:val="00D06952"/>
    <w:rsid w:val="00D07A72"/>
    <w:rsid w:val="00D10577"/>
    <w:rsid w:val="00D12405"/>
    <w:rsid w:val="00D12A4E"/>
    <w:rsid w:val="00D1323B"/>
    <w:rsid w:val="00D13782"/>
    <w:rsid w:val="00D14BAE"/>
    <w:rsid w:val="00D1648B"/>
    <w:rsid w:val="00D165FD"/>
    <w:rsid w:val="00D16819"/>
    <w:rsid w:val="00D17DD9"/>
    <w:rsid w:val="00D20AC0"/>
    <w:rsid w:val="00D2288F"/>
    <w:rsid w:val="00D2321B"/>
    <w:rsid w:val="00D23350"/>
    <w:rsid w:val="00D237E7"/>
    <w:rsid w:val="00D23DE4"/>
    <w:rsid w:val="00D25A5C"/>
    <w:rsid w:val="00D25B82"/>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09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1E0B"/>
    <w:rsid w:val="00DA27F3"/>
    <w:rsid w:val="00DA2D1E"/>
    <w:rsid w:val="00DA3EC8"/>
    <w:rsid w:val="00DA40C1"/>
    <w:rsid w:val="00DA5510"/>
    <w:rsid w:val="00DA5564"/>
    <w:rsid w:val="00DA6B55"/>
    <w:rsid w:val="00DA6B97"/>
    <w:rsid w:val="00DA6CEE"/>
    <w:rsid w:val="00DB0015"/>
    <w:rsid w:val="00DB0359"/>
    <w:rsid w:val="00DB0ABB"/>
    <w:rsid w:val="00DB2AAD"/>
    <w:rsid w:val="00DB44E2"/>
    <w:rsid w:val="00DB4A6D"/>
    <w:rsid w:val="00DB51E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7A43"/>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6FB2"/>
    <w:rsid w:val="00E771AF"/>
    <w:rsid w:val="00E80386"/>
    <w:rsid w:val="00E809C3"/>
    <w:rsid w:val="00E81A1A"/>
    <w:rsid w:val="00E81C3E"/>
    <w:rsid w:val="00E82359"/>
    <w:rsid w:val="00E82B6D"/>
    <w:rsid w:val="00E83187"/>
    <w:rsid w:val="00E831E9"/>
    <w:rsid w:val="00E8608F"/>
    <w:rsid w:val="00E86C1D"/>
    <w:rsid w:val="00E956E4"/>
    <w:rsid w:val="00E9763D"/>
    <w:rsid w:val="00EA1177"/>
    <w:rsid w:val="00EA118B"/>
    <w:rsid w:val="00EA11B6"/>
    <w:rsid w:val="00EA2181"/>
    <w:rsid w:val="00EA2DD8"/>
    <w:rsid w:val="00EA4475"/>
    <w:rsid w:val="00EA52FE"/>
    <w:rsid w:val="00EA681F"/>
    <w:rsid w:val="00EB04C6"/>
    <w:rsid w:val="00EB06A6"/>
    <w:rsid w:val="00EB3307"/>
    <w:rsid w:val="00EB3823"/>
    <w:rsid w:val="00EB4308"/>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2C22"/>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173"/>
    <w:rsid w:val="00FC1627"/>
    <w:rsid w:val="00FC1E67"/>
    <w:rsid w:val="00FC2A13"/>
    <w:rsid w:val="00FC4284"/>
    <w:rsid w:val="00FC4576"/>
    <w:rsid w:val="00FC5FF5"/>
    <w:rsid w:val="00FC6285"/>
    <w:rsid w:val="00FC78FB"/>
    <w:rsid w:val="00FC7DBC"/>
    <w:rsid w:val="00FD076A"/>
    <w:rsid w:val="00FD0AA0"/>
    <w:rsid w:val="00FD1D5A"/>
    <w:rsid w:val="00FD5059"/>
    <w:rsid w:val="00FD509C"/>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6B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9</cp:revision>
  <cp:lastPrinted>2012-01-09T13:37:00Z</cp:lastPrinted>
  <dcterms:created xsi:type="dcterms:W3CDTF">2012-01-23T18:01:00Z</dcterms:created>
  <dcterms:modified xsi:type="dcterms:W3CDTF">2012-03-02T13:32:00Z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