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7F7" w:rsidRPr="00396779" w:rsidRDefault="005617F7" w:rsidP="00510F9C">
      <w:pPr>
        <w:tabs>
          <w:tab w:val="left" w:pos="288"/>
          <w:tab w:val="left" w:pos="4752"/>
        </w:tabs>
        <w:spacing w:line="240" w:lineRule="exact"/>
        <w:jc w:val="center"/>
        <w:rPr>
          <w:color w:val="auto"/>
        </w:rPr>
      </w:pPr>
      <w:r w:rsidRPr="00396779">
        <w:rPr>
          <w:color w:val="auto"/>
        </w:rPr>
        <w:t>RECORD OF PROCEEDINGS</w:t>
      </w:r>
    </w:p>
    <w:p w:rsidR="005617F7" w:rsidRPr="00396779" w:rsidRDefault="005617F7" w:rsidP="00510F9C">
      <w:pPr>
        <w:tabs>
          <w:tab w:val="left" w:pos="288"/>
          <w:tab w:val="left" w:pos="4752"/>
        </w:tabs>
        <w:spacing w:line="240" w:lineRule="exact"/>
        <w:jc w:val="center"/>
        <w:rPr>
          <w:color w:val="auto"/>
        </w:rPr>
      </w:pPr>
      <w:r w:rsidRPr="00396779">
        <w:rPr>
          <w:color w:val="auto"/>
        </w:rPr>
        <w:t>PHYSICAL DISABILITY BOARD OF REVIEW</w:t>
      </w:r>
    </w:p>
    <w:p w:rsidR="005617F7" w:rsidRPr="00396779" w:rsidRDefault="005617F7" w:rsidP="00510F9C">
      <w:pPr>
        <w:tabs>
          <w:tab w:val="left" w:pos="288"/>
          <w:tab w:val="left" w:pos="4752"/>
        </w:tabs>
        <w:spacing w:line="240" w:lineRule="exact"/>
        <w:jc w:val="both"/>
        <w:rPr>
          <w:caps/>
          <w:color w:val="auto"/>
        </w:rPr>
      </w:pPr>
    </w:p>
    <w:p w:rsidR="005617F7" w:rsidRPr="001313D5" w:rsidRDefault="005617F7" w:rsidP="006405BC">
      <w:pPr>
        <w:tabs>
          <w:tab w:val="left" w:pos="288"/>
          <w:tab w:val="left" w:pos="6300"/>
          <w:tab w:val="left" w:pos="9270"/>
        </w:tabs>
        <w:spacing w:line="240" w:lineRule="exact"/>
        <w:jc w:val="both"/>
        <w:rPr>
          <w:caps/>
          <w:color w:val="auto"/>
        </w:rPr>
      </w:pPr>
      <w:r w:rsidRPr="001313D5">
        <w:rPr>
          <w:caps/>
          <w:color w:val="auto"/>
        </w:rPr>
        <w:t xml:space="preserve">NAME:  </w:t>
      </w:r>
      <w:r w:rsidR="009566CC">
        <w:rPr>
          <w:caps/>
          <w:color w:val="auto"/>
        </w:rPr>
        <w:t xml:space="preserve"> </w:t>
      </w:r>
      <w:r w:rsidR="006405BC">
        <w:rPr>
          <w:caps/>
          <w:color w:val="auto"/>
        </w:rPr>
        <w:tab/>
      </w:r>
      <w:r w:rsidRPr="001313D5">
        <w:rPr>
          <w:caps/>
          <w:color w:val="auto"/>
        </w:rPr>
        <w:t xml:space="preserve">BRANCH OF SERVICE:  Army </w:t>
      </w:r>
    </w:p>
    <w:p w:rsidR="005617F7" w:rsidRDefault="005617F7" w:rsidP="006405BC">
      <w:pPr>
        <w:tabs>
          <w:tab w:val="left" w:pos="288"/>
          <w:tab w:val="left" w:pos="6300"/>
          <w:tab w:val="left" w:pos="9270"/>
        </w:tabs>
        <w:spacing w:line="240" w:lineRule="exact"/>
        <w:jc w:val="both"/>
        <w:rPr>
          <w:caps/>
          <w:color w:val="auto"/>
        </w:rPr>
      </w:pPr>
      <w:r w:rsidRPr="001313D5">
        <w:rPr>
          <w:caps/>
          <w:color w:val="auto"/>
        </w:rPr>
        <w:t>CASE NUMBER:  PD1100356</w:t>
      </w:r>
      <w:r w:rsidR="006405BC">
        <w:rPr>
          <w:caps/>
          <w:color w:val="auto"/>
        </w:rPr>
        <w:tab/>
      </w:r>
      <w:r w:rsidRPr="00DE3AAD">
        <w:rPr>
          <w:color w:val="auto"/>
        </w:rPr>
        <w:t>SEPARATION DATE:  20080702</w:t>
      </w:r>
    </w:p>
    <w:p w:rsidR="005617F7" w:rsidRPr="00784EA0" w:rsidRDefault="005617F7" w:rsidP="006B54DC">
      <w:pPr>
        <w:tabs>
          <w:tab w:val="left" w:pos="288"/>
          <w:tab w:val="left" w:pos="3600"/>
          <w:tab w:val="left" w:pos="5130"/>
        </w:tabs>
        <w:spacing w:line="240" w:lineRule="exact"/>
        <w:rPr>
          <w:caps/>
          <w:color w:val="auto"/>
        </w:rPr>
      </w:pPr>
      <w:r w:rsidRPr="00FD6C41">
        <w:rPr>
          <w:caps/>
          <w:color w:val="auto"/>
        </w:rPr>
        <w:t xml:space="preserve">BOARD DATE: </w:t>
      </w:r>
      <w:r>
        <w:rPr>
          <w:caps/>
          <w:color w:val="auto"/>
        </w:rPr>
        <w:t xml:space="preserve"> </w:t>
      </w:r>
      <w:r w:rsidR="007F07BB">
        <w:rPr>
          <w:caps/>
          <w:color w:val="auto"/>
        </w:rPr>
        <w:t>2012</w:t>
      </w:r>
      <w:r w:rsidR="00233B3B">
        <w:rPr>
          <w:caps/>
          <w:color w:val="auto"/>
        </w:rPr>
        <w:t>0109</w:t>
      </w:r>
    </w:p>
    <w:p w:rsidR="005617F7" w:rsidRDefault="005617F7" w:rsidP="00510F9C">
      <w:pPr>
        <w:pBdr>
          <w:bottom w:val="single" w:sz="12" w:space="1" w:color="auto"/>
        </w:pBdr>
        <w:tabs>
          <w:tab w:val="left" w:pos="288"/>
          <w:tab w:val="left" w:pos="4752"/>
        </w:tabs>
        <w:spacing w:line="240" w:lineRule="exact"/>
        <w:jc w:val="both"/>
        <w:rPr>
          <w:color w:val="auto"/>
          <w:u w:val="single"/>
        </w:rPr>
      </w:pPr>
    </w:p>
    <w:p w:rsidR="005617F7" w:rsidRDefault="005617F7" w:rsidP="00510F9C">
      <w:pPr>
        <w:tabs>
          <w:tab w:val="left" w:pos="288"/>
          <w:tab w:val="left" w:pos="4752"/>
        </w:tabs>
        <w:spacing w:line="240" w:lineRule="exact"/>
        <w:jc w:val="both"/>
        <w:rPr>
          <w:color w:val="auto"/>
        </w:rPr>
      </w:pPr>
    </w:p>
    <w:p w:rsidR="005617F7" w:rsidRDefault="005617F7" w:rsidP="00510F9C">
      <w:pPr>
        <w:tabs>
          <w:tab w:val="left" w:pos="288"/>
          <w:tab w:val="left" w:pos="4752"/>
        </w:tabs>
        <w:spacing w:line="240" w:lineRule="exact"/>
        <w:jc w:val="both"/>
        <w:rPr>
          <w:color w:val="auto"/>
        </w:rPr>
      </w:pPr>
      <w:r w:rsidRPr="0085006A">
        <w:rPr>
          <w:color w:val="auto"/>
          <w:u w:val="single"/>
        </w:rPr>
        <w:t>SUMMARY OF CASE</w:t>
      </w:r>
      <w:r w:rsidRPr="0085006A">
        <w:rPr>
          <w:color w:val="auto"/>
        </w:rPr>
        <w:t>:</w:t>
      </w:r>
      <w:r w:rsidRPr="00EC337D">
        <w:rPr>
          <w:color w:val="auto"/>
        </w:rPr>
        <w:t xml:space="preserve">  Data extracted from the available evidence of record reflects that this covered individual (CI) </w:t>
      </w:r>
      <w:r w:rsidRPr="00AD7F8F">
        <w:rPr>
          <w:color w:val="auto"/>
        </w:rPr>
        <w:t>was an active duty</w:t>
      </w:r>
      <w:r>
        <w:rPr>
          <w:color w:val="auto"/>
        </w:rPr>
        <w:t xml:space="preserve"> member,</w:t>
      </w:r>
      <w:r w:rsidRPr="00AD7F8F">
        <w:rPr>
          <w:color w:val="auto"/>
        </w:rPr>
        <w:t xml:space="preserve"> </w:t>
      </w:r>
      <w:r w:rsidR="003B40B1">
        <w:rPr>
          <w:color w:val="auto"/>
        </w:rPr>
        <w:t>SPC</w:t>
      </w:r>
      <w:r w:rsidRPr="00AD7F8F">
        <w:rPr>
          <w:color w:val="auto"/>
        </w:rPr>
        <w:t>/E-4 (</w:t>
      </w:r>
      <w:r>
        <w:rPr>
          <w:color w:val="auto"/>
        </w:rPr>
        <w:t>94P, MLRS Technician</w:t>
      </w:r>
      <w:r w:rsidRPr="00AD7F8F">
        <w:rPr>
          <w:color w:val="auto"/>
        </w:rPr>
        <w:t>)</w:t>
      </w:r>
      <w:r>
        <w:rPr>
          <w:color w:val="auto"/>
        </w:rPr>
        <w:t xml:space="preserve">, </w:t>
      </w:r>
      <w:r w:rsidRPr="00AD7F8F">
        <w:rPr>
          <w:color w:val="auto"/>
        </w:rPr>
        <w:t xml:space="preserve">medically separated for </w:t>
      </w:r>
      <w:r w:rsidRPr="001313D5">
        <w:rPr>
          <w:color w:val="auto"/>
        </w:rPr>
        <w:t xml:space="preserve">cervical disc </w:t>
      </w:r>
      <w:r w:rsidR="004414F9">
        <w:rPr>
          <w:color w:val="auto"/>
        </w:rPr>
        <w:t>disease</w:t>
      </w:r>
      <w:r w:rsidRPr="001313D5">
        <w:rPr>
          <w:color w:val="auto"/>
        </w:rPr>
        <w:t>.  The CI first injured his cervical spin</w:t>
      </w:r>
      <w:r w:rsidR="003B40B1">
        <w:rPr>
          <w:color w:val="auto"/>
        </w:rPr>
        <w:t xml:space="preserve">e while participating in combat </w:t>
      </w:r>
      <w:r w:rsidRPr="001313D5">
        <w:rPr>
          <w:color w:val="auto"/>
        </w:rPr>
        <w:t xml:space="preserve">in 2005.  He was treated with medications, physical therapy, and chiropractic care with no improvement.  An MRI in 2006 found severe multi-level degenerative disc disease (DDD).  The soldier opted </w:t>
      </w:r>
      <w:r w:rsidR="00F112E4">
        <w:rPr>
          <w:color w:val="auto"/>
        </w:rPr>
        <w:t xml:space="preserve">out of surgical intervention; and, </w:t>
      </w:r>
      <w:r w:rsidRPr="00C472C7">
        <w:rPr>
          <w:color w:val="auto"/>
        </w:rPr>
        <w:t xml:space="preserve">did not </w:t>
      </w:r>
      <w:r w:rsidRPr="001313D5">
        <w:rPr>
          <w:color w:val="auto"/>
        </w:rPr>
        <w:t xml:space="preserve">respond adequately to conservative </w:t>
      </w:r>
      <w:r w:rsidR="00F112E4">
        <w:rPr>
          <w:color w:val="auto"/>
        </w:rPr>
        <w:t>measures</w:t>
      </w:r>
      <w:r w:rsidRPr="001313D5">
        <w:rPr>
          <w:color w:val="auto"/>
        </w:rPr>
        <w:t xml:space="preserve"> to </w:t>
      </w:r>
      <w:r w:rsidR="006405BC">
        <w:rPr>
          <w:color w:val="auto"/>
        </w:rPr>
        <w:t xml:space="preserve">fully </w:t>
      </w:r>
      <w:r w:rsidRPr="001313D5">
        <w:rPr>
          <w:color w:val="auto"/>
        </w:rPr>
        <w:t>perform within his Military Occupational Specialty (MOS) or meet physical fitness standards.  He was issued a permanent U3 profile and underwent a Medical Evaluation Board (MEB).</w:t>
      </w:r>
      <w:r w:rsidRPr="00C472C7">
        <w:rPr>
          <w:color w:val="auto"/>
        </w:rPr>
        <w:t xml:space="preserve">  </w:t>
      </w:r>
      <w:r w:rsidRPr="00D93A41">
        <w:rPr>
          <w:color w:val="auto"/>
        </w:rPr>
        <w:t xml:space="preserve">Cervicalgia, C3-4 cervical disc protrusion, and cervical </w:t>
      </w:r>
      <w:r w:rsidRPr="001313D5">
        <w:rPr>
          <w:color w:val="auto"/>
        </w:rPr>
        <w:t xml:space="preserve">radiculitis were forwarded to the Physical Evaluation Board (PEB) as </w:t>
      </w:r>
      <w:r w:rsidR="00F112E4">
        <w:rPr>
          <w:color w:val="auto"/>
        </w:rPr>
        <w:t xml:space="preserve">separate </w:t>
      </w:r>
      <w:r w:rsidRPr="001313D5">
        <w:rPr>
          <w:color w:val="auto"/>
        </w:rPr>
        <w:t xml:space="preserve">medically unacceptable </w:t>
      </w:r>
      <w:r w:rsidR="00F112E4">
        <w:rPr>
          <w:color w:val="auto"/>
        </w:rPr>
        <w:t xml:space="preserve">conditions </w:t>
      </w:r>
      <w:r w:rsidRPr="001313D5">
        <w:rPr>
          <w:color w:val="auto"/>
        </w:rPr>
        <w:t>IAW AR 40-501.</w:t>
      </w:r>
      <w:r w:rsidRPr="00C472C7">
        <w:rPr>
          <w:color w:val="auto"/>
        </w:rPr>
        <w:t xml:space="preserve">  </w:t>
      </w:r>
      <w:r w:rsidR="00BE4E2F">
        <w:rPr>
          <w:color w:val="auto"/>
        </w:rPr>
        <w:t xml:space="preserve">Low back pain </w:t>
      </w:r>
      <w:r w:rsidRPr="00C95299">
        <w:rPr>
          <w:color w:val="auto"/>
        </w:rPr>
        <w:t xml:space="preserve">was </w:t>
      </w:r>
      <w:r w:rsidR="00F112E4">
        <w:rPr>
          <w:color w:val="auto"/>
        </w:rPr>
        <w:t xml:space="preserve">also </w:t>
      </w:r>
      <w:r w:rsidRPr="00C472C7">
        <w:rPr>
          <w:color w:val="auto"/>
        </w:rPr>
        <w:t xml:space="preserve">forwarded </w:t>
      </w:r>
      <w:r w:rsidR="00F112E4">
        <w:rPr>
          <w:color w:val="auto"/>
        </w:rPr>
        <w:t>by</w:t>
      </w:r>
      <w:r w:rsidRPr="00C472C7">
        <w:rPr>
          <w:color w:val="auto"/>
        </w:rPr>
        <w:t xml:space="preserve"> the MEB</w:t>
      </w:r>
      <w:r w:rsidR="00F112E4">
        <w:rPr>
          <w:color w:val="auto"/>
        </w:rPr>
        <w:t>,</w:t>
      </w:r>
      <w:r w:rsidRPr="00C472C7">
        <w:rPr>
          <w:color w:val="auto"/>
        </w:rPr>
        <w:t xml:space="preserve"> </w:t>
      </w:r>
      <w:r w:rsidR="00F112E4">
        <w:rPr>
          <w:color w:val="auto"/>
        </w:rPr>
        <w:t>as</w:t>
      </w:r>
      <w:r w:rsidRPr="00C472C7">
        <w:rPr>
          <w:color w:val="auto"/>
        </w:rPr>
        <w:t xml:space="preserve"> a medically acceptable condition.  </w:t>
      </w:r>
      <w:r w:rsidR="00F112E4">
        <w:rPr>
          <w:color w:val="auto"/>
        </w:rPr>
        <w:t>An</w:t>
      </w:r>
      <w:r w:rsidRPr="00C472C7">
        <w:rPr>
          <w:color w:val="auto"/>
        </w:rPr>
        <w:t xml:space="preserve"> </w:t>
      </w:r>
      <w:r w:rsidR="00F112E4">
        <w:rPr>
          <w:color w:val="auto"/>
        </w:rPr>
        <w:t>informal PEB</w:t>
      </w:r>
      <w:r w:rsidRPr="00C472C7">
        <w:rPr>
          <w:color w:val="auto"/>
        </w:rPr>
        <w:t xml:space="preserve"> adjudicated the cervical </w:t>
      </w:r>
      <w:r w:rsidR="00F112E4">
        <w:rPr>
          <w:color w:val="auto"/>
        </w:rPr>
        <w:t>discopathy</w:t>
      </w:r>
      <w:r>
        <w:rPr>
          <w:color w:val="auto"/>
        </w:rPr>
        <w:t xml:space="preserve"> </w:t>
      </w:r>
      <w:r w:rsidR="00F112E4">
        <w:rPr>
          <w:color w:val="auto"/>
        </w:rPr>
        <w:t xml:space="preserve">(appropriately combining the 3 inter-related conditions forwarded by the MEB, and affirming the absence of a separately ratable radiculopathy) </w:t>
      </w:r>
      <w:r w:rsidRPr="00C472C7">
        <w:rPr>
          <w:color w:val="auto"/>
        </w:rPr>
        <w:t xml:space="preserve">as </w:t>
      </w:r>
      <w:r w:rsidR="00F112E4">
        <w:rPr>
          <w:color w:val="auto"/>
        </w:rPr>
        <w:t xml:space="preserve">a single </w:t>
      </w:r>
      <w:r w:rsidRPr="00C472C7">
        <w:rPr>
          <w:color w:val="auto"/>
        </w:rPr>
        <w:t>unfitting</w:t>
      </w:r>
      <w:r w:rsidR="00F112E4">
        <w:rPr>
          <w:color w:val="auto"/>
        </w:rPr>
        <w:t xml:space="preserve"> condition</w:t>
      </w:r>
      <w:r w:rsidRPr="00C472C7">
        <w:rPr>
          <w:color w:val="auto"/>
        </w:rPr>
        <w:t xml:space="preserve">, rated </w:t>
      </w:r>
      <w:r w:rsidRPr="001313D5">
        <w:rPr>
          <w:color w:val="auto"/>
        </w:rPr>
        <w:t>20%, with application of the Veterans Administration Schedule for Rating Disabilities (VASRD).</w:t>
      </w:r>
      <w:r w:rsidRPr="00C472C7">
        <w:rPr>
          <w:color w:val="auto"/>
        </w:rPr>
        <w:t xml:space="preserve">  The CI made no appeals, and was medically separated with a </w:t>
      </w:r>
      <w:r w:rsidRPr="00B37345">
        <w:rPr>
          <w:color w:val="auto"/>
        </w:rPr>
        <w:t>20</w:t>
      </w:r>
      <w:r w:rsidRPr="00C472C7">
        <w:rPr>
          <w:color w:val="auto"/>
        </w:rPr>
        <w:t>% disability rating.</w:t>
      </w:r>
    </w:p>
    <w:p w:rsidR="005617F7" w:rsidRDefault="005617F7" w:rsidP="00510F9C">
      <w:pPr>
        <w:pBdr>
          <w:bottom w:val="single" w:sz="12" w:space="1" w:color="auto"/>
        </w:pBdr>
        <w:tabs>
          <w:tab w:val="left" w:pos="288"/>
          <w:tab w:val="left" w:pos="4752"/>
        </w:tabs>
        <w:spacing w:line="240" w:lineRule="exact"/>
        <w:jc w:val="both"/>
        <w:rPr>
          <w:color w:val="auto"/>
        </w:rPr>
      </w:pPr>
    </w:p>
    <w:p w:rsidR="005617F7" w:rsidRDefault="005617F7" w:rsidP="00510F9C">
      <w:pPr>
        <w:tabs>
          <w:tab w:val="left" w:pos="288"/>
          <w:tab w:val="left" w:pos="4752"/>
        </w:tabs>
        <w:spacing w:line="240" w:lineRule="exact"/>
        <w:jc w:val="both"/>
        <w:rPr>
          <w:color w:val="auto"/>
          <w:u w:val="single"/>
        </w:rPr>
      </w:pPr>
    </w:p>
    <w:p w:rsidR="005617F7" w:rsidRDefault="005617F7" w:rsidP="00510F9C">
      <w:pPr>
        <w:tabs>
          <w:tab w:val="left" w:pos="288"/>
          <w:tab w:val="left" w:pos="4752"/>
        </w:tabs>
        <w:spacing w:line="240" w:lineRule="exact"/>
        <w:jc w:val="both"/>
        <w:rPr>
          <w:color w:val="auto"/>
        </w:rPr>
      </w:pPr>
      <w:r w:rsidRPr="00326C08">
        <w:rPr>
          <w:color w:val="auto"/>
          <w:u w:val="single"/>
        </w:rPr>
        <w:t>CI CONTENTION</w:t>
      </w:r>
      <w:r w:rsidRPr="00326C08">
        <w:rPr>
          <w:color w:val="auto"/>
        </w:rPr>
        <w:t>:</w:t>
      </w:r>
      <w:r>
        <w:rPr>
          <w:color w:val="auto"/>
        </w:rPr>
        <w:t xml:space="preserve"> </w:t>
      </w:r>
      <w:r w:rsidRPr="00E60DDC">
        <w:rPr>
          <w:rFonts w:cs="Arial"/>
          <w:color w:val="auto"/>
        </w:rPr>
        <w:t>“The VA has dete</w:t>
      </w:r>
      <w:r>
        <w:rPr>
          <w:rFonts w:cs="Arial"/>
          <w:color w:val="auto"/>
        </w:rPr>
        <w:t>rmined</w:t>
      </w:r>
      <w:r w:rsidRPr="00E60DDC">
        <w:rPr>
          <w:rFonts w:cs="Arial"/>
          <w:color w:val="auto"/>
        </w:rPr>
        <w:t xml:space="preserve"> the following service connected condition </w:t>
      </w:r>
      <w:r w:rsidRPr="00E60DDC">
        <w:rPr>
          <w:color w:val="auto"/>
        </w:rPr>
        <w:t xml:space="preserve">has </w:t>
      </w:r>
      <w:r w:rsidRPr="00E60DDC">
        <w:rPr>
          <w:rFonts w:cs="Arial"/>
          <w:color w:val="auto"/>
        </w:rPr>
        <w:t>worsened, and awarded an in</w:t>
      </w:r>
      <w:r>
        <w:rPr>
          <w:rFonts w:cs="Arial"/>
          <w:color w:val="auto"/>
        </w:rPr>
        <w:t xml:space="preserve">crease.  </w:t>
      </w:r>
      <w:r w:rsidRPr="00E60DDC">
        <w:rPr>
          <w:rFonts w:cs="Arial"/>
          <w:color w:val="auto"/>
        </w:rPr>
        <w:t>The evaluation of cervical spine,</w:t>
      </w:r>
      <w:r>
        <w:rPr>
          <w:rFonts w:cs="Arial"/>
          <w:color w:val="auto"/>
        </w:rPr>
        <w:t xml:space="preserve"> </w:t>
      </w:r>
      <w:r w:rsidRPr="00E60DDC">
        <w:rPr>
          <w:rFonts w:cs="Arial"/>
          <w:color w:val="auto"/>
        </w:rPr>
        <w:t>bulging and stenosis/int</w:t>
      </w:r>
      <w:r>
        <w:rPr>
          <w:rFonts w:cs="Arial"/>
          <w:color w:val="auto"/>
        </w:rPr>
        <w:t>e</w:t>
      </w:r>
      <w:r w:rsidRPr="00E60DDC">
        <w:rPr>
          <w:rFonts w:cs="Arial"/>
          <w:color w:val="auto"/>
        </w:rPr>
        <w:t xml:space="preserve">rvertebral disc syndrome, cervical spine </w:t>
      </w:r>
      <w:r w:rsidRPr="00E60DDC">
        <w:rPr>
          <w:color w:val="auto"/>
        </w:rPr>
        <w:t xml:space="preserve">has </w:t>
      </w:r>
      <w:r w:rsidRPr="00E60DDC">
        <w:rPr>
          <w:rFonts w:cs="Arial"/>
          <w:color w:val="auto"/>
        </w:rPr>
        <w:t>increased to 20</w:t>
      </w:r>
      <w:r>
        <w:rPr>
          <w:rFonts w:cs="Arial"/>
          <w:color w:val="auto"/>
        </w:rPr>
        <w:t xml:space="preserve">% </w:t>
      </w:r>
      <w:r w:rsidRPr="00E60DDC">
        <w:rPr>
          <w:rFonts w:cs="Arial"/>
          <w:color w:val="auto"/>
        </w:rPr>
        <w:t>(from 10%) disabling effective January 12,</w:t>
      </w:r>
      <w:r>
        <w:rPr>
          <w:rFonts w:cs="Arial"/>
          <w:color w:val="auto"/>
        </w:rPr>
        <w:t xml:space="preserve"> </w:t>
      </w:r>
      <w:r w:rsidRPr="00E60DDC">
        <w:rPr>
          <w:rFonts w:cs="Arial"/>
          <w:color w:val="auto"/>
        </w:rPr>
        <w:t>2010.</w:t>
      </w:r>
      <w:r w:rsidR="002960E9">
        <w:rPr>
          <w:rFonts w:cs="Arial"/>
          <w:color w:val="auto"/>
        </w:rPr>
        <w:t xml:space="preserve"> </w:t>
      </w:r>
      <w:r w:rsidRPr="00E60DDC">
        <w:rPr>
          <w:rFonts w:cs="Arial"/>
          <w:color w:val="auto"/>
        </w:rPr>
        <w:t xml:space="preserve"> At the</w:t>
      </w:r>
      <w:r>
        <w:rPr>
          <w:rFonts w:cs="Arial"/>
          <w:color w:val="auto"/>
        </w:rPr>
        <w:t xml:space="preserve"> </w:t>
      </w:r>
      <w:r w:rsidRPr="00E60DDC">
        <w:rPr>
          <w:rFonts w:cs="Arial"/>
          <w:color w:val="auto"/>
        </w:rPr>
        <w:t>time of</w:t>
      </w:r>
      <w:r>
        <w:rPr>
          <w:rFonts w:cs="Arial"/>
          <w:color w:val="auto"/>
        </w:rPr>
        <w:t xml:space="preserve"> </w:t>
      </w:r>
      <w:r w:rsidRPr="00E60DDC">
        <w:rPr>
          <w:rFonts w:cs="Arial"/>
          <w:color w:val="auto"/>
        </w:rPr>
        <w:t>MEB SM was released from armed services awarded with 20% for the sa</w:t>
      </w:r>
      <w:r>
        <w:rPr>
          <w:rFonts w:cs="Arial"/>
          <w:color w:val="auto"/>
        </w:rPr>
        <w:t>me</w:t>
      </w:r>
      <w:r w:rsidRPr="00E60DDC">
        <w:rPr>
          <w:rFonts w:cs="Arial"/>
          <w:color w:val="auto"/>
        </w:rPr>
        <w:t xml:space="preserve"> unfitting condition, now it ha</w:t>
      </w:r>
      <w:r>
        <w:rPr>
          <w:rFonts w:cs="Arial"/>
          <w:color w:val="auto"/>
        </w:rPr>
        <w:t>s</w:t>
      </w:r>
      <w:r w:rsidRPr="00E60DDC">
        <w:rPr>
          <w:rFonts w:cs="Arial"/>
          <w:color w:val="auto"/>
        </w:rPr>
        <w:t xml:space="preserve"> been increa</w:t>
      </w:r>
      <w:r>
        <w:rPr>
          <w:rFonts w:cs="Arial"/>
          <w:color w:val="auto"/>
        </w:rPr>
        <w:t>sed</w:t>
      </w:r>
      <w:r w:rsidRPr="00E60DDC">
        <w:rPr>
          <w:rFonts w:cs="Arial"/>
          <w:color w:val="auto"/>
        </w:rPr>
        <w:t xml:space="preserve"> via VA.</w:t>
      </w:r>
      <w:r w:rsidR="002960E9">
        <w:rPr>
          <w:rFonts w:cs="Arial"/>
          <w:color w:val="auto"/>
        </w:rPr>
        <w:t xml:space="preserve">” The CI continues with an elaboration of ratable VA evidence, as presented below. </w:t>
      </w:r>
      <w:r w:rsidRPr="00E60DDC">
        <w:rPr>
          <w:rFonts w:cs="Arial"/>
          <w:color w:val="auto"/>
        </w:rPr>
        <w:t xml:space="preserve"> </w:t>
      </w:r>
      <w:r w:rsidRPr="00BE407E">
        <w:rPr>
          <w:color w:val="auto"/>
        </w:rPr>
        <w:t>He additionally</w:t>
      </w:r>
      <w:r w:rsidRPr="005C4D72">
        <w:rPr>
          <w:color w:val="auto"/>
        </w:rPr>
        <w:t xml:space="preserve"> lists all of his VA conditions and ratings as per the rating chart below.  A contention for their inclusion in the separation rating is therefore implied.</w:t>
      </w:r>
    </w:p>
    <w:p w:rsidR="005617F7" w:rsidRDefault="005617F7" w:rsidP="00510F9C">
      <w:pPr>
        <w:pBdr>
          <w:bottom w:val="single" w:sz="12" w:space="1" w:color="auto"/>
        </w:pBdr>
        <w:spacing w:line="240" w:lineRule="exact"/>
        <w:rPr>
          <w:color w:val="auto"/>
          <w:u w:val="single"/>
        </w:rPr>
      </w:pPr>
    </w:p>
    <w:p w:rsidR="005617F7" w:rsidRDefault="005617F7" w:rsidP="00510F9C">
      <w:pPr>
        <w:spacing w:line="240" w:lineRule="exact"/>
        <w:rPr>
          <w:color w:val="auto"/>
          <w:u w:val="single"/>
        </w:rPr>
      </w:pPr>
    </w:p>
    <w:p w:rsidR="005617F7" w:rsidRPr="002960E9" w:rsidRDefault="005617F7" w:rsidP="002960E9">
      <w:pPr>
        <w:rPr>
          <w:color w:val="auto"/>
          <w:u w:val="single"/>
        </w:rPr>
      </w:pPr>
      <w:r>
        <w:rPr>
          <w:color w:val="auto"/>
          <w:u w:val="single"/>
        </w:rPr>
        <w:t>R</w:t>
      </w:r>
      <w:r w:rsidRPr="00326C08">
        <w:rPr>
          <w:color w:val="auto"/>
          <w:u w:val="single"/>
        </w:rPr>
        <w:t>ATING COMPARISON</w:t>
      </w:r>
      <w:r w:rsidRPr="00326C08">
        <w:rPr>
          <w:color w:val="auto"/>
        </w:rPr>
        <w:t>:</w:t>
      </w:r>
    </w:p>
    <w:p w:rsidR="005617F7" w:rsidRPr="002A4119" w:rsidRDefault="005617F7" w:rsidP="00510F9C">
      <w:pPr>
        <w:spacing w:line="240" w:lineRule="exact"/>
        <w:rPr>
          <w:color w:val="auto"/>
        </w:rPr>
      </w:pPr>
    </w:p>
    <w:tbl>
      <w:tblPr>
        <w:tblStyle w:val="TableGrid"/>
        <w:tblW w:w="9288" w:type="dxa"/>
        <w:jc w:val="center"/>
        <w:tblLayout w:type="fixed"/>
        <w:tblLook w:val="00A0"/>
      </w:tblPr>
      <w:tblGrid>
        <w:gridCol w:w="2268"/>
        <w:gridCol w:w="1080"/>
        <w:gridCol w:w="810"/>
        <w:gridCol w:w="2250"/>
        <w:gridCol w:w="1080"/>
        <w:gridCol w:w="810"/>
        <w:gridCol w:w="990"/>
      </w:tblGrid>
      <w:tr w:rsidR="005617F7" w:rsidRPr="002A4119" w:rsidTr="00415B88">
        <w:trPr>
          <w:trHeight w:val="170"/>
          <w:jc w:val="center"/>
        </w:trPr>
        <w:tc>
          <w:tcPr>
            <w:tcW w:w="4158" w:type="dxa"/>
            <w:gridSpan w:val="3"/>
            <w:tcBorders>
              <w:right w:val="thinThickThinSmallGap" w:sz="24" w:space="0" w:color="auto"/>
            </w:tcBorders>
            <w:shd w:val="clear" w:color="auto" w:fill="D9D9D9"/>
            <w:vAlign w:val="center"/>
          </w:tcPr>
          <w:p w:rsidR="005617F7" w:rsidRPr="004867C2" w:rsidRDefault="00F112E4" w:rsidP="00967F7D">
            <w:pPr>
              <w:spacing w:line="220" w:lineRule="exact"/>
              <w:contextualSpacing/>
              <w:jc w:val="center"/>
              <w:rPr>
                <w:b/>
                <w:color w:val="auto"/>
                <w:sz w:val="20"/>
              </w:rPr>
            </w:pPr>
            <w:r>
              <w:rPr>
                <w:b/>
                <w:color w:val="auto"/>
                <w:sz w:val="20"/>
              </w:rPr>
              <w:t xml:space="preserve">Service </w:t>
            </w:r>
            <w:r w:rsidR="005617F7" w:rsidRPr="004867C2">
              <w:rPr>
                <w:b/>
                <w:color w:val="auto"/>
                <w:sz w:val="20"/>
              </w:rPr>
              <w:t>PEB – Dated 20080227</w:t>
            </w:r>
          </w:p>
        </w:tc>
        <w:tc>
          <w:tcPr>
            <w:tcW w:w="5130" w:type="dxa"/>
            <w:gridSpan w:val="4"/>
            <w:tcBorders>
              <w:left w:val="thinThickThinSmallGap" w:sz="24" w:space="0" w:color="auto"/>
            </w:tcBorders>
            <w:shd w:val="clear" w:color="auto" w:fill="D9D9D9"/>
            <w:vAlign w:val="center"/>
          </w:tcPr>
          <w:p w:rsidR="005617F7" w:rsidRPr="004867C2" w:rsidRDefault="005617F7" w:rsidP="00967F7D">
            <w:pPr>
              <w:spacing w:line="220" w:lineRule="exact"/>
              <w:contextualSpacing/>
              <w:jc w:val="center"/>
              <w:rPr>
                <w:b/>
                <w:color w:val="auto"/>
                <w:sz w:val="20"/>
              </w:rPr>
            </w:pPr>
            <w:r w:rsidRPr="004867C2">
              <w:rPr>
                <w:b/>
                <w:color w:val="auto"/>
                <w:sz w:val="20"/>
              </w:rPr>
              <w:t>VA (5 Mo. Pre Separation) – All Effective 20080703</w:t>
            </w:r>
          </w:p>
        </w:tc>
      </w:tr>
      <w:tr w:rsidR="005617F7" w:rsidRPr="002A4119" w:rsidTr="00415B88">
        <w:trPr>
          <w:trHeight w:val="143"/>
          <w:jc w:val="center"/>
        </w:trPr>
        <w:tc>
          <w:tcPr>
            <w:tcW w:w="2268" w:type="dxa"/>
            <w:tcBorders>
              <w:right w:val="single" w:sz="4" w:space="0" w:color="auto"/>
            </w:tcBorders>
            <w:shd w:val="clear" w:color="auto" w:fill="D9D9D9"/>
            <w:vAlign w:val="center"/>
          </w:tcPr>
          <w:p w:rsidR="005617F7" w:rsidRPr="004867C2" w:rsidRDefault="005617F7" w:rsidP="00967F7D">
            <w:pPr>
              <w:spacing w:line="220" w:lineRule="exact"/>
              <w:contextualSpacing/>
              <w:jc w:val="center"/>
              <w:rPr>
                <w:b/>
                <w:color w:val="auto"/>
                <w:sz w:val="20"/>
              </w:rPr>
            </w:pPr>
            <w:r w:rsidRPr="004867C2">
              <w:rPr>
                <w:b/>
                <w:color w:val="auto"/>
                <w:sz w:val="20"/>
              </w:rPr>
              <w:t>Condition</w:t>
            </w:r>
          </w:p>
        </w:tc>
        <w:tc>
          <w:tcPr>
            <w:tcW w:w="1080" w:type="dxa"/>
            <w:tcBorders>
              <w:left w:val="single" w:sz="4" w:space="0" w:color="auto"/>
            </w:tcBorders>
            <w:shd w:val="clear" w:color="auto" w:fill="D9D9D9"/>
            <w:vAlign w:val="center"/>
          </w:tcPr>
          <w:p w:rsidR="005617F7" w:rsidRPr="004867C2" w:rsidRDefault="005617F7" w:rsidP="00967F7D">
            <w:pPr>
              <w:spacing w:line="220" w:lineRule="exact"/>
              <w:contextualSpacing/>
              <w:jc w:val="center"/>
              <w:rPr>
                <w:b/>
                <w:color w:val="auto"/>
                <w:sz w:val="20"/>
              </w:rPr>
            </w:pPr>
            <w:r w:rsidRPr="004867C2">
              <w:rPr>
                <w:b/>
                <w:color w:val="auto"/>
                <w:sz w:val="20"/>
              </w:rPr>
              <w:t>Code</w:t>
            </w:r>
          </w:p>
        </w:tc>
        <w:tc>
          <w:tcPr>
            <w:tcW w:w="810" w:type="dxa"/>
            <w:tcBorders>
              <w:right w:val="thinThickThinSmallGap" w:sz="24" w:space="0" w:color="auto"/>
            </w:tcBorders>
            <w:shd w:val="clear" w:color="auto" w:fill="D9D9D9"/>
            <w:vAlign w:val="center"/>
          </w:tcPr>
          <w:p w:rsidR="005617F7" w:rsidRPr="004867C2" w:rsidRDefault="005617F7" w:rsidP="00967F7D">
            <w:pPr>
              <w:spacing w:line="220" w:lineRule="exact"/>
              <w:contextualSpacing/>
              <w:jc w:val="center"/>
              <w:rPr>
                <w:b/>
                <w:color w:val="auto"/>
                <w:sz w:val="20"/>
              </w:rPr>
            </w:pPr>
            <w:r w:rsidRPr="004867C2">
              <w:rPr>
                <w:b/>
                <w:color w:val="auto"/>
                <w:sz w:val="20"/>
              </w:rPr>
              <w:t>Rating</w:t>
            </w:r>
          </w:p>
        </w:tc>
        <w:tc>
          <w:tcPr>
            <w:tcW w:w="2250" w:type="dxa"/>
            <w:tcBorders>
              <w:left w:val="thinThickThinSmallGap" w:sz="24" w:space="0" w:color="auto"/>
            </w:tcBorders>
            <w:shd w:val="clear" w:color="auto" w:fill="D9D9D9"/>
            <w:vAlign w:val="center"/>
          </w:tcPr>
          <w:p w:rsidR="005617F7" w:rsidRPr="004867C2" w:rsidRDefault="005617F7" w:rsidP="00967F7D">
            <w:pPr>
              <w:spacing w:line="220" w:lineRule="exact"/>
              <w:contextualSpacing/>
              <w:jc w:val="center"/>
              <w:rPr>
                <w:b/>
                <w:color w:val="auto"/>
                <w:sz w:val="20"/>
              </w:rPr>
            </w:pPr>
            <w:r w:rsidRPr="004867C2">
              <w:rPr>
                <w:b/>
                <w:color w:val="auto"/>
                <w:sz w:val="20"/>
              </w:rPr>
              <w:t>Condition</w:t>
            </w:r>
          </w:p>
        </w:tc>
        <w:tc>
          <w:tcPr>
            <w:tcW w:w="1080" w:type="dxa"/>
            <w:shd w:val="clear" w:color="auto" w:fill="D9D9D9"/>
            <w:vAlign w:val="center"/>
          </w:tcPr>
          <w:p w:rsidR="005617F7" w:rsidRPr="004867C2" w:rsidRDefault="005617F7" w:rsidP="00967F7D">
            <w:pPr>
              <w:spacing w:line="220" w:lineRule="exact"/>
              <w:contextualSpacing/>
              <w:jc w:val="center"/>
              <w:rPr>
                <w:b/>
                <w:color w:val="auto"/>
                <w:sz w:val="20"/>
              </w:rPr>
            </w:pPr>
            <w:r w:rsidRPr="004867C2">
              <w:rPr>
                <w:b/>
                <w:color w:val="auto"/>
                <w:sz w:val="20"/>
              </w:rPr>
              <w:t>Code</w:t>
            </w:r>
          </w:p>
        </w:tc>
        <w:tc>
          <w:tcPr>
            <w:tcW w:w="810" w:type="dxa"/>
            <w:shd w:val="clear" w:color="auto" w:fill="D9D9D9"/>
            <w:vAlign w:val="center"/>
          </w:tcPr>
          <w:p w:rsidR="005617F7" w:rsidRPr="004867C2" w:rsidRDefault="005617F7" w:rsidP="00967F7D">
            <w:pPr>
              <w:spacing w:line="220" w:lineRule="exact"/>
              <w:contextualSpacing/>
              <w:jc w:val="center"/>
              <w:rPr>
                <w:b/>
                <w:color w:val="auto"/>
                <w:sz w:val="20"/>
              </w:rPr>
            </w:pPr>
            <w:r w:rsidRPr="004867C2">
              <w:rPr>
                <w:b/>
                <w:color w:val="auto"/>
                <w:sz w:val="20"/>
              </w:rPr>
              <w:t>Rating</w:t>
            </w:r>
          </w:p>
        </w:tc>
        <w:tc>
          <w:tcPr>
            <w:tcW w:w="990" w:type="dxa"/>
            <w:shd w:val="clear" w:color="auto" w:fill="D9D9D9"/>
            <w:vAlign w:val="center"/>
          </w:tcPr>
          <w:p w:rsidR="005617F7" w:rsidRPr="004867C2" w:rsidRDefault="005617F7" w:rsidP="00967F7D">
            <w:pPr>
              <w:spacing w:line="220" w:lineRule="exact"/>
              <w:contextualSpacing/>
              <w:jc w:val="center"/>
              <w:rPr>
                <w:b/>
                <w:color w:val="auto"/>
                <w:sz w:val="20"/>
              </w:rPr>
            </w:pPr>
            <w:r w:rsidRPr="004867C2">
              <w:rPr>
                <w:b/>
                <w:color w:val="auto"/>
                <w:sz w:val="20"/>
              </w:rPr>
              <w:t>Exam</w:t>
            </w:r>
          </w:p>
        </w:tc>
      </w:tr>
      <w:tr w:rsidR="005617F7" w:rsidRPr="002A4119" w:rsidTr="00415B88">
        <w:trPr>
          <w:trHeight w:val="89"/>
          <w:jc w:val="center"/>
        </w:trPr>
        <w:tc>
          <w:tcPr>
            <w:tcW w:w="2268" w:type="dxa"/>
            <w:vMerge w:val="restart"/>
            <w:tcBorders>
              <w:right w:val="single" w:sz="4" w:space="0" w:color="auto"/>
            </w:tcBorders>
            <w:shd w:val="clear" w:color="auto" w:fill="FFFFFF"/>
            <w:vAlign w:val="center"/>
          </w:tcPr>
          <w:p w:rsidR="005617F7" w:rsidRPr="003B40B1" w:rsidRDefault="005617F7" w:rsidP="003B40B1">
            <w:pPr>
              <w:spacing w:line="180" w:lineRule="exact"/>
              <w:contextualSpacing/>
              <w:rPr>
                <w:rFonts w:asciiTheme="majorHAnsi" w:hAnsiTheme="majorHAnsi" w:cstheme="majorHAnsi"/>
                <w:color w:val="auto"/>
                <w:sz w:val="18"/>
                <w:szCs w:val="18"/>
              </w:rPr>
            </w:pPr>
            <w:r w:rsidRPr="003B40B1">
              <w:rPr>
                <w:rFonts w:asciiTheme="majorHAnsi" w:hAnsiTheme="majorHAnsi" w:cstheme="majorHAnsi"/>
                <w:color w:val="auto"/>
                <w:sz w:val="18"/>
                <w:szCs w:val="18"/>
              </w:rPr>
              <w:t>Disc Protrusion @ C3-4 and Disc Bulging @ C4-5/C5-6</w:t>
            </w:r>
          </w:p>
        </w:tc>
        <w:tc>
          <w:tcPr>
            <w:tcW w:w="1080" w:type="dxa"/>
            <w:vMerge w:val="restart"/>
            <w:tcBorders>
              <w:left w:val="single" w:sz="4" w:space="0" w:color="auto"/>
            </w:tcBorders>
            <w:shd w:val="clear" w:color="auto" w:fill="FFFFFF"/>
            <w:vAlign w:val="center"/>
          </w:tcPr>
          <w:p w:rsidR="005617F7" w:rsidRPr="003B40B1" w:rsidRDefault="005617F7" w:rsidP="003B40B1">
            <w:pPr>
              <w:spacing w:line="180" w:lineRule="exact"/>
              <w:contextualSpacing/>
              <w:jc w:val="center"/>
              <w:rPr>
                <w:rFonts w:asciiTheme="majorHAnsi" w:hAnsiTheme="majorHAnsi" w:cstheme="majorHAnsi"/>
                <w:color w:val="auto"/>
                <w:sz w:val="18"/>
                <w:szCs w:val="18"/>
              </w:rPr>
            </w:pPr>
            <w:r w:rsidRPr="003B40B1">
              <w:rPr>
                <w:rFonts w:asciiTheme="majorHAnsi" w:hAnsiTheme="majorHAnsi" w:cstheme="majorHAnsi"/>
                <w:color w:val="auto"/>
                <w:sz w:val="18"/>
                <w:szCs w:val="18"/>
              </w:rPr>
              <w:t>5299-5243</w:t>
            </w:r>
          </w:p>
        </w:tc>
        <w:tc>
          <w:tcPr>
            <w:tcW w:w="810" w:type="dxa"/>
            <w:vMerge w:val="restart"/>
            <w:tcBorders>
              <w:right w:val="thinThickThinSmallGap" w:sz="24" w:space="0" w:color="auto"/>
            </w:tcBorders>
            <w:shd w:val="clear" w:color="auto" w:fill="FFFFFF"/>
            <w:vAlign w:val="center"/>
          </w:tcPr>
          <w:p w:rsidR="005617F7" w:rsidRPr="003B40B1" w:rsidRDefault="005617F7" w:rsidP="003B40B1">
            <w:pPr>
              <w:spacing w:line="180" w:lineRule="exact"/>
              <w:contextualSpacing/>
              <w:jc w:val="center"/>
              <w:rPr>
                <w:rFonts w:asciiTheme="majorHAnsi" w:hAnsiTheme="majorHAnsi" w:cstheme="majorHAnsi"/>
                <w:color w:val="auto"/>
                <w:sz w:val="18"/>
                <w:szCs w:val="18"/>
              </w:rPr>
            </w:pPr>
            <w:r w:rsidRPr="003B40B1">
              <w:rPr>
                <w:rFonts w:asciiTheme="majorHAnsi" w:hAnsiTheme="majorHAnsi" w:cstheme="majorHAnsi"/>
                <w:color w:val="auto"/>
                <w:sz w:val="18"/>
                <w:szCs w:val="18"/>
              </w:rPr>
              <w:t>20%</w:t>
            </w:r>
          </w:p>
        </w:tc>
        <w:tc>
          <w:tcPr>
            <w:tcW w:w="2250" w:type="dxa"/>
            <w:tcBorders>
              <w:left w:val="thinThickThinSmallGap" w:sz="24" w:space="0" w:color="auto"/>
            </w:tcBorders>
            <w:shd w:val="clear" w:color="auto" w:fill="FFFFFF"/>
            <w:vAlign w:val="center"/>
          </w:tcPr>
          <w:p w:rsidR="005617F7" w:rsidRPr="003B40B1" w:rsidRDefault="005617F7" w:rsidP="003B40B1">
            <w:pPr>
              <w:spacing w:line="180" w:lineRule="exact"/>
              <w:contextualSpacing/>
              <w:rPr>
                <w:rFonts w:asciiTheme="majorHAnsi" w:hAnsiTheme="majorHAnsi" w:cstheme="majorHAnsi"/>
                <w:color w:val="auto"/>
                <w:sz w:val="18"/>
                <w:szCs w:val="18"/>
              </w:rPr>
            </w:pPr>
            <w:r w:rsidRPr="003B40B1">
              <w:rPr>
                <w:rFonts w:asciiTheme="majorHAnsi" w:hAnsiTheme="majorHAnsi" w:cstheme="majorHAnsi"/>
                <w:color w:val="auto"/>
                <w:sz w:val="18"/>
                <w:szCs w:val="18"/>
              </w:rPr>
              <w:t>Cervical Spine</w:t>
            </w:r>
            <w:r w:rsidR="00415B88" w:rsidRPr="003B40B1">
              <w:rPr>
                <w:rFonts w:asciiTheme="majorHAnsi" w:hAnsiTheme="majorHAnsi" w:cstheme="majorHAnsi"/>
                <w:color w:val="auto"/>
                <w:sz w:val="18"/>
                <w:szCs w:val="18"/>
              </w:rPr>
              <w:t xml:space="preserve"> …</w:t>
            </w:r>
          </w:p>
        </w:tc>
        <w:tc>
          <w:tcPr>
            <w:tcW w:w="1080" w:type="dxa"/>
            <w:shd w:val="clear" w:color="auto" w:fill="FFFFFF"/>
            <w:vAlign w:val="center"/>
          </w:tcPr>
          <w:p w:rsidR="005617F7" w:rsidRPr="003B40B1" w:rsidRDefault="005617F7" w:rsidP="003B40B1">
            <w:pPr>
              <w:spacing w:line="180" w:lineRule="exact"/>
              <w:contextualSpacing/>
              <w:jc w:val="center"/>
              <w:rPr>
                <w:rFonts w:asciiTheme="majorHAnsi" w:hAnsiTheme="majorHAnsi" w:cstheme="majorHAnsi"/>
                <w:color w:val="auto"/>
                <w:sz w:val="18"/>
                <w:szCs w:val="18"/>
              </w:rPr>
            </w:pPr>
            <w:r w:rsidRPr="003B40B1">
              <w:rPr>
                <w:rFonts w:asciiTheme="majorHAnsi" w:hAnsiTheme="majorHAnsi" w:cstheme="majorHAnsi"/>
                <w:color w:val="auto"/>
                <w:sz w:val="18"/>
                <w:szCs w:val="18"/>
              </w:rPr>
              <w:t>5299-5243</w:t>
            </w:r>
          </w:p>
        </w:tc>
        <w:tc>
          <w:tcPr>
            <w:tcW w:w="810" w:type="dxa"/>
            <w:shd w:val="clear" w:color="auto" w:fill="FFFFFF"/>
            <w:vAlign w:val="center"/>
          </w:tcPr>
          <w:p w:rsidR="005617F7" w:rsidRPr="003B40B1" w:rsidRDefault="005617F7" w:rsidP="003B40B1">
            <w:pPr>
              <w:spacing w:line="180" w:lineRule="exact"/>
              <w:contextualSpacing/>
              <w:jc w:val="center"/>
              <w:rPr>
                <w:rFonts w:asciiTheme="majorHAnsi" w:hAnsiTheme="majorHAnsi" w:cstheme="majorHAnsi"/>
                <w:color w:val="auto"/>
                <w:sz w:val="18"/>
                <w:szCs w:val="18"/>
              </w:rPr>
            </w:pPr>
            <w:r w:rsidRPr="003B40B1">
              <w:rPr>
                <w:rFonts w:asciiTheme="majorHAnsi" w:hAnsiTheme="majorHAnsi" w:cstheme="majorHAnsi"/>
                <w:color w:val="auto"/>
                <w:sz w:val="18"/>
                <w:szCs w:val="18"/>
              </w:rPr>
              <w:t>10%*</w:t>
            </w:r>
          </w:p>
        </w:tc>
        <w:tc>
          <w:tcPr>
            <w:tcW w:w="990" w:type="dxa"/>
            <w:shd w:val="clear" w:color="auto" w:fill="FFFFFF"/>
            <w:vAlign w:val="center"/>
          </w:tcPr>
          <w:p w:rsidR="005617F7" w:rsidRPr="003B40B1" w:rsidRDefault="005617F7" w:rsidP="003B40B1">
            <w:pPr>
              <w:spacing w:line="180" w:lineRule="exact"/>
              <w:contextualSpacing/>
              <w:jc w:val="center"/>
              <w:rPr>
                <w:rFonts w:asciiTheme="majorHAnsi" w:hAnsiTheme="majorHAnsi" w:cstheme="majorHAnsi"/>
                <w:color w:val="auto"/>
                <w:sz w:val="18"/>
                <w:szCs w:val="18"/>
              </w:rPr>
            </w:pPr>
            <w:r w:rsidRPr="003B40B1">
              <w:rPr>
                <w:rFonts w:asciiTheme="majorHAnsi" w:hAnsiTheme="majorHAnsi" w:cstheme="majorHAnsi"/>
                <w:color w:val="auto"/>
                <w:sz w:val="18"/>
                <w:szCs w:val="18"/>
              </w:rPr>
              <w:t>20080209</w:t>
            </w:r>
          </w:p>
        </w:tc>
      </w:tr>
      <w:tr w:rsidR="005617F7" w:rsidRPr="002A4119" w:rsidTr="00415B88">
        <w:trPr>
          <w:trHeight w:val="52"/>
          <w:jc w:val="center"/>
        </w:trPr>
        <w:tc>
          <w:tcPr>
            <w:tcW w:w="2268" w:type="dxa"/>
            <w:vMerge/>
            <w:tcBorders>
              <w:right w:val="single" w:sz="4" w:space="0" w:color="auto"/>
            </w:tcBorders>
            <w:shd w:val="clear" w:color="auto" w:fill="FFFFFF"/>
            <w:vAlign w:val="center"/>
          </w:tcPr>
          <w:p w:rsidR="005617F7" w:rsidRPr="003B40B1" w:rsidRDefault="005617F7" w:rsidP="003B40B1">
            <w:pPr>
              <w:spacing w:line="180" w:lineRule="exact"/>
              <w:contextualSpacing/>
              <w:rPr>
                <w:rFonts w:asciiTheme="majorHAnsi" w:hAnsiTheme="majorHAnsi" w:cstheme="majorHAnsi"/>
                <w:color w:val="auto"/>
                <w:sz w:val="18"/>
                <w:szCs w:val="18"/>
              </w:rPr>
            </w:pPr>
          </w:p>
        </w:tc>
        <w:tc>
          <w:tcPr>
            <w:tcW w:w="1080" w:type="dxa"/>
            <w:vMerge/>
            <w:tcBorders>
              <w:left w:val="single" w:sz="4" w:space="0" w:color="auto"/>
            </w:tcBorders>
            <w:shd w:val="clear" w:color="auto" w:fill="FFFFFF"/>
            <w:vAlign w:val="center"/>
          </w:tcPr>
          <w:p w:rsidR="005617F7" w:rsidRPr="003B40B1" w:rsidRDefault="005617F7" w:rsidP="003B40B1">
            <w:pPr>
              <w:spacing w:line="180" w:lineRule="exact"/>
              <w:contextualSpacing/>
              <w:jc w:val="center"/>
              <w:rPr>
                <w:rFonts w:asciiTheme="majorHAnsi" w:hAnsiTheme="majorHAnsi" w:cstheme="majorHAnsi"/>
                <w:color w:val="auto"/>
                <w:sz w:val="18"/>
                <w:szCs w:val="18"/>
              </w:rPr>
            </w:pPr>
          </w:p>
        </w:tc>
        <w:tc>
          <w:tcPr>
            <w:tcW w:w="810" w:type="dxa"/>
            <w:vMerge/>
            <w:tcBorders>
              <w:right w:val="thinThickThinSmallGap" w:sz="24" w:space="0" w:color="auto"/>
            </w:tcBorders>
            <w:shd w:val="clear" w:color="auto" w:fill="FFFFFF"/>
            <w:vAlign w:val="center"/>
          </w:tcPr>
          <w:p w:rsidR="005617F7" w:rsidRPr="003B40B1" w:rsidRDefault="005617F7" w:rsidP="003B40B1">
            <w:pPr>
              <w:spacing w:line="180" w:lineRule="exact"/>
              <w:contextualSpacing/>
              <w:jc w:val="center"/>
              <w:rPr>
                <w:rFonts w:asciiTheme="majorHAnsi" w:hAnsiTheme="majorHAnsi" w:cstheme="majorHAnsi"/>
                <w:color w:val="auto"/>
                <w:sz w:val="18"/>
                <w:szCs w:val="18"/>
                <w:highlight w:val="yellow"/>
              </w:rPr>
            </w:pPr>
          </w:p>
        </w:tc>
        <w:tc>
          <w:tcPr>
            <w:tcW w:w="2250" w:type="dxa"/>
            <w:tcBorders>
              <w:left w:val="thinThickThinSmallGap" w:sz="24" w:space="0" w:color="auto"/>
              <w:right w:val="single" w:sz="4" w:space="0" w:color="auto"/>
            </w:tcBorders>
            <w:shd w:val="clear" w:color="auto" w:fill="FFFFFF"/>
            <w:vAlign w:val="center"/>
          </w:tcPr>
          <w:p w:rsidR="005617F7" w:rsidRPr="003B40B1" w:rsidRDefault="005617F7" w:rsidP="003B40B1">
            <w:pPr>
              <w:spacing w:line="180" w:lineRule="exact"/>
              <w:contextualSpacing/>
              <w:rPr>
                <w:rFonts w:asciiTheme="majorHAnsi" w:hAnsiTheme="majorHAnsi" w:cstheme="majorHAnsi"/>
                <w:color w:val="auto"/>
                <w:sz w:val="18"/>
                <w:szCs w:val="18"/>
              </w:rPr>
            </w:pPr>
            <w:r w:rsidRPr="003B40B1">
              <w:rPr>
                <w:rFonts w:asciiTheme="majorHAnsi" w:hAnsiTheme="majorHAnsi" w:cstheme="majorHAnsi"/>
                <w:color w:val="auto"/>
                <w:sz w:val="18"/>
                <w:szCs w:val="18"/>
              </w:rPr>
              <w:t xml:space="preserve">Radiculopathy, LUE </w:t>
            </w:r>
          </w:p>
        </w:tc>
        <w:tc>
          <w:tcPr>
            <w:tcW w:w="1080" w:type="dxa"/>
            <w:tcBorders>
              <w:left w:val="single" w:sz="4" w:space="0" w:color="auto"/>
            </w:tcBorders>
            <w:shd w:val="clear" w:color="auto" w:fill="FFFFFF"/>
            <w:vAlign w:val="center"/>
          </w:tcPr>
          <w:p w:rsidR="005617F7" w:rsidRPr="003B40B1" w:rsidRDefault="005617F7" w:rsidP="003B40B1">
            <w:pPr>
              <w:spacing w:line="180" w:lineRule="exact"/>
              <w:contextualSpacing/>
              <w:jc w:val="center"/>
              <w:rPr>
                <w:rFonts w:asciiTheme="majorHAnsi" w:hAnsiTheme="majorHAnsi" w:cstheme="majorHAnsi"/>
                <w:color w:val="auto"/>
                <w:sz w:val="18"/>
                <w:szCs w:val="18"/>
              </w:rPr>
            </w:pPr>
            <w:r w:rsidRPr="003B40B1">
              <w:rPr>
                <w:rFonts w:asciiTheme="majorHAnsi" w:hAnsiTheme="majorHAnsi" w:cstheme="majorHAnsi"/>
                <w:color w:val="auto"/>
                <w:sz w:val="18"/>
                <w:szCs w:val="18"/>
              </w:rPr>
              <w:t>8799-8714</w:t>
            </w:r>
          </w:p>
        </w:tc>
        <w:tc>
          <w:tcPr>
            <w:tcW w:w="810" w:type="dxa"/>
            <w:shd w:val="clear" w:color="auto" w:fill="FFFFFF"/>
            <w:vAlign w:val="center"/>
          </w:tcPr>
          <w:p w:rsidR="005617F7" w:rsidRPr="003B40B1" w:rsidRDefault="005617F7" w:rsidP="003B40B1">
            <w:pPr>
              <w:spacing w:line="180" w:lineRule="exact"/>
              <w:contextualSpacing/>
              <w:jc w:val="center"/>
              <w:rPr>
                <w:rFonts w:asciiTheme="majorHAnsi" w:hAnsiTheme="majorHAnsi" w:cstheme="majorHAnsi"/>
                <w:color w:val="auto"/>
                <w:sz w:val="18"/>
                <w:szCs w:val="18"/>
              </w:rPr>
            </w:pPr>
            <w:r w:rsidRPr="003B40B1">
              <w:rPr>
                <w:rFonts w:asciiTheme="majorHAnsi" w:hAnsiTheme="majorHAnsi" w:cstheme="majorHAnsi"/>
                <w:color w:val="auto"/>
                <w:sz w:val="18"/>
                <w:szCs w:val="18"/>
              </w:rPr>
              <w:t>20%</w:t>
            </w:r>
          </w:p>
        </w:tc>
        <w:tc>
          <w:tcPr>
            <w:tcW w:w="990" w:type="dxa"/>
            <w:shd w:val="clear" w:color="auto" w:fill="FFFFFF"/>
            <w:vAlign w:val="center"/>
          </w:tcPr>
          <w:p w:rsidR="005617F7" w:rsidRPr="003B40B1" w:rsidRDefault="005617F7" w:rsidP="003B40B1">
            <w:pPr>
              <w:spacing w:line="180" w:lineRule="exact"/>
              <w:contextualSpacing/>
              <w:jc w:val="center"/>
              <w:rPr>
                <w:rFonts w:asciiTheme="majorHAnsi" w:hAnsiTheme="majorHAnsi" w:cstheme="majorHAnsi"/>
                <w:color w:val="auto"/>
                <w:sz w:val="18"/>
                <w:szCs w:val="18"/>
                <w:highlight w:val="yellow"/>
              </w:rPr>
            </w:pPr>
            <w:r w:rsidRPr="003B40B1">
              <w:rPr>
                <w:rFonts w:asciiTheme="majorHAnsi" w:hAnsiTheme="majorHAnsi" w:cstheme="majorHAnsi"/>
                <w:color w:val="auto"/>
                <w:sz w:val="18"/>
                <w:szCs w:val="18"/>
              </w:rPr>
              <w:t>20080209</w:t>
            </w:r>
          </w:p>
        </w:tc>
      </w:tr>
      <w:tr w:rsidR="005617F7" w:rsidRPr="002A4119" w:rsidTr="00415B88">
        <w:trPr>
          <w:trHeight w:val="62"/>
          <w:jc w:val="center"/>
        </w:trPr>
        <w:tc>
          <w:tcPr>
            <w:tcW w:w="2268" w:type="dxa"/>
            <w:tcBorders>
              <w:right w:val="single" w:sz="4" w:space="0" w:color="auto"/>
            </w:tcBorders>
            <w:shd w:val="clear" w:color="auto" w:fill="FFFFFF"/>
            <w:vAlign w:val="center"/>
          </w:tcPr>
          <w:p w:rsidR="005617F7" w:rsidRPr="003B40B1" w:rsidRDefault="005617F7" w:rsidP="003B40B1">
            <w:pPr>
              <w:spacing w:line="180" w:lineRule="exact"/>
              <w:contextualSpacing/>
              <w:rPr>
                <w:rFonts w:asciiTheme="majorHAnsi" w:hAnsiTheme="majorHAnsi" w:cstheme="majorHAnsi"/>
                <w:color w:val="auto"/>
                <w:sz w:val="18"/>
                <w:szCs w:val="18"/>
              </w:rPr>
            </w:pPr>
            <w:r w:rsidRPr="003B40B1">
              <w:rPr>
                <w:rFonts w:asciiTheme="majorHAnsi" w:hAnsiTheme="majorHAnsi" w:cstheme="majorHAnsi"/>
                <w:color w:val="auto"/>
                <w:sz w:val="18"/>
                <w:szCs w:val="18"/>
              </w:rPr>
              <w:t xml:space="preserve">Low Back Pain </w:t>
            </w:r>
          </w:p>
        </w:tc>
        <w:tc>
          <w:tcPr>
            <w:tcW w:w="1890" w:type="dxa"/>
            <w:gridSpan w:val="2"/>
            <w:tcBorders>
              <w:left w:val="single" w:sz="4" w:space="0" w:color="auto"/>
              <w:right w:val="thinThickThinSmallGap" w:sz="24" w:space="0" w:color="auto"/>
            </w:tcBorders>
            <w:shd w:val="clear" w:color="auto" w:fill="FFFFFF"/>
            <w:vAlign w:val="center"/>
          </w:tcPr>
          <w:p w:rsidR="005617F7" w:rsidRPr="003B40B1" w:rsidRDefault="005617F7" w:rsidP="003B40B1">
            <w:pPr>
              <w:spacing w:line="180" w:lineRule="exact"/>
              <w:contextualSpacing/>
              <w:jc w:val="center"/>
              <w:rPr>
                <w:rFonts w:asciiTheme="majorHAnsi" w:hAnsiTheme="majorHAnsi" w:cstheme="majorHAnsi"/>
                <w:color w:val="auto"/>
                <w:sz w:val="18"/>
                <w:szCs w:val="18"/>
              </w:rPr>
            </w:pPr>
            <w:r w:rsidRPr="003B40B1">
              <w:rPr>
                <w:rFonts w:asciiTheme="majorHAnsi" w:hAnsiTheme="majorHAnsi" w:cstheme="majorHAnsi"/>
                <w:color w:val="auto"/>
                <w:sz w:val="18"/>
                <w:szCs w:val="18"/>
              </w:rPr>
              <w:t>Not Unfitting</w:t>
            </w:r>
          </w:p>
        </w:tc>
        <w:tc>
          <w:tcPr>
            <w:tcW w:w="2250" w:type="dxa"/>
            <w:tcBorders>
              <w:left w:val="thinThickThinSmallGap" w:sz="24" w:space="0" w:color="auto"/>
              <w:right w:val="single" w:sz="4" w:space="0" w:color="auto"/>
            </w:tcBorders>
            <w:shd w:val="clear" w:color="auto" w:fill="FFFFFF"/>
            <w:vAlign w:val="center"/>
          </w:tcPr>
          <w:p w:rsidR="005617F7" w:rsidRPr="003B40B1" w:rsidRDefault="005617F7" w:rsidP="003B40B1">
            <w:pPr>
              <w:spacing w:line="180" w:lineRule="exact"/>
              <w:contextualSpacing/>
              <w:rPr>
                <w:rFonts w:asciiTheme="majorHAnsi" w:hAnsiTheme="majorHAnsi" w:cstheme="majorHAnsi"/>
                <w:color w:val="auto"/>
                <w:sz w:val="18"/>
                <w:szCs w:val="18"/>
              </w:rPr>
            </w:pPr>
            <w:r w:rsidRPr="003B40B1">
              <w:rPr>
                <w:rFonts w:asciiTheme="majorHAnsi" w:hAnsiTheme="majorHAnsi" w:cstheme="majorHAnsi"/>
                <w:color w:val="auto"/>
                <w:sz w:val="18"/>
                <w:szCs w:val="18"/>
              </w:rPr>
              <w:t>Thoracolumbar Spondylosis</w:t>
            </w:r>
          </w:p>
        </w:tc>
        <w:tc>
          <w:tcPr>
            <w:tcW w:w="1080" w:type="dxa"/>
            <w:tcBorders>
              <w:left w:val="single" w:sz="4" w:space="0" w:color="auto"/>
              <w:right w:val="single" w:sz="4" w:space="0" w:color="auto"/>
            </w:tcBorders>
            <w:shd w:val="clear" w:color="auto" w:fill="FFFFFF"/>
            <w:vAlign w:val="center"/>
          </w:tcPr>
          <w:p w:rsidR="005617F7" w:rsidRPr="003B40B1" w:rsidRDefault="005617F7" w:rsidP="003B40B1">
            <w:pPr>
              <w:spacing w:line="180" w:lineRule="exact"/>
              <w:contextualSpacing/>
              <w:jc w:val="center"/>
              <w:rPr>
                <w:rFonts w:asciiTheme="majorHAnsi" w:hAnsiTheme="majorHAnsi" w:cstheme="majorHAnsi"/>
                <w:color w:val="auto"/>
                <w:sz w:val="18"/>
                <w:szCs w:val="18"/>
              </w:rPr>
            </w:pPr>
            <w:r w:rsidRPr="003B40B1">
              <w:rPr>
                <w:rFonts w:asciiTheme="majorHAnsi" w:hAnsiTheme="majorHAnsi" w:cstheme="majorHAnsi"/>
                <w:color w:val="auto"/>
                <w:sz w:val="18"/>
                <w:szCs w:val="18"/>
              </w:rPr>
              <w:t>5299-5242</w:t>
            </w:r>
          </w:p>
        </w:tc>
        <w:tc>
          <w:tcPr>
            <w:tcW w:w="810" w:type="dxa"/>
            <w:tcBorders>
              <w:left w:val="single" w:sz="4" w:space="0" w:color="auto"/>
            </w:tcBorders>
            <w:shd w:val="clear" w:color="auto" w:fill="FFFFFF"/>
            <w:vAlign w:val="center"/>
          </w:tcPr>
          <w:p w:rsidR="005617F7" w:rsidRPr="003B40B1" w:rsidRDefault="005617F7" w:rsidP="003B40B1">
            <w:pPr>
              <w:spacing w:line="180" w:lineRule="exact"/>
              <w:contextualSpacing/>
              <w:jc w:val="center"/>
              <w:rPr>
                <w:rFonts w:asciiTheme="majorHAnsi" w:hAnsiTheme="majorHAnsi" w:cstheme="majorHAnsi"/>
                <w:color w:val="auto"/>
                <w:sz w:val="18"/>
                <w:szCs w:val="18"/>
              </w:rPr>
            </w:pPr>
            <w:r w:rsidRPr="003B40B1">
              <w:rPr>
                <w:rFonts w:asciiTheme="majorHAnsi" w:hAnsiTheme="majorHAnsi" w:cstheme="majorHAnsi"/>
                <w:color w:val="auto"/>
                <w:sz w:val="18"/>
                <w:szCs w:val="18"/>
              </w:rPr>
              <w:t>10%</w:t>
            </w:r>
          </w:p>
        </w:tc>
        <w:tc>
          <w:tcPr>
            <w:tcW w:w="990" w:type="dxa"/>
            <w:shd w:val="clear" w:color="auto" w:fill="FFFFFF"/>
            <w:vAlign w:val="center"/>
          </w:tcPr>
          <w:p w:rsidR="005617F7" w:rsidRPr="003B40B1" w:rsidRDefault="005617F7" w:rsidP="003B40B1">
            <w:pPr>
              <w:spacing w:line="180" w:lineRule="exact"/>
              <w:contextualSpacing/>
              <w:jc w:val="center"/>
              <w:rPr>
                <w:rFonts w:asciiTheme="majorHAnsi" w:hAnsiTheme="majorHAnsi" w:cstheme="majorHAnsi"/>
                <w:color w:val="auto"/>
                <w:sz w:val="18"/>
                <w:szCs w:val="18"/>
                <w:highlight w:val="yellow"/>
              </w:rPr>
            </w:pPr>
            <w:r w:rsidRPr="003B40B1">
              <w:rPr>
                <w:rFonts w:asciiTheme="majorHAnsi" w:hAnsiTheme="majorHAnsi" w:cstheme="majorHAnsi"/>
                <w:color w:val="auto"/>
                <w:sz w:val="18"/>
                <w:szCs w:val="18"/>
              </w:rPr>
              <w:t>20080209</w:t>
            </w:r>
          </w:p>
        </w:tc>
      </w:tr>
      <w:tr w:rsidR="005617F7" w:rsidRPr="002A4119" w:rsidTr="003B40B1">
        <w:trPr>
          <w:trHeight w:val="52"/>
          <w:jc w:val="center"/>
        </w:trPr>
        <w:tc>
          <w:tcPr>
            <w:tcW w:w="4158" w:type="dxa"/>
            <w:gridSpan w:val="3"/>
            <w:vMerge w:val="restart"/>
            <w:tcBorders>
              <w:right w:val="thinThickThinSmallGap" w:sz="24" w:space="0" w:color="auto"/>
            </w:tcBorders>
            <w:shd w:val="clear" w:color="auto" w:fill="FFFFFF"/>
            <w:vAlign w:val="center"/>
          </w:tcPr>
          <w:p w:rsidR="005617F7" w:rsidRPr="003B40B1" w:rsidRDefault="005617F7" w:rsidP="003B40B1">
            <w:pPr>
              <w:spacing w:line="180" w:lineRule="exact"/>
              <w:contextualSpacing/>
              <w:jc w:val="center"/>
              <w:rPr>
                <w:rFonts w:asciiTheme="majorHAnsi" w:hAnsiTheme="majorHAnsi" w:cstheme="majorHAnsi"/>
                <w:color w:val="auto"/>
                <w:sz w:val="18"/>
                <w:szCs w:val="18"/>
              </w:rPr>
            </w:pPr>
            <w:r w:rsidRPr="003B40B1">
              <w:rPr>
                <w:rFonts w:asciiTheme="majorHAnsi" w:hAnsiTheme="majorHAnsi" w:cstheme="majorHAnsi"/>
                <w:color w:val="auto"/>
                <w:sz w:val="18"/>
                <w:szCs w:val="18"/>
              </w:rPr>
              <w:t>↓No Additional MEB/PEB Entries↓</w:t>
            </w:r>
          </w:p>
        </w:tc>
        <w:tc>
          <w:tcPr>
            <w:tcW w:w="2250" w:type="dxa"/>
            <w:tcBorders>
              <w:left w:val="thinThickThinSmallGap" w:sz="24" w:space="0" w:color="auto"/>
              <w:right w:val="single" w:sz="4" w:space="0" w:color="auto"/>
            </w:tcBorders>
            <w:shd w:val="clear" w:color="auto" w:fill="FFFFFF"/>
            <w:vAlign w:val="center"/>
          </w:tcPr>
          <w:p w:rsidR="005617F7" w:rsidRPr="003B40B1" w:rsidRDefault="005617F7" w:rsidP="003B40B1">
            <w:pPr>
              <w:spacing w:line="180" w:lineRule="exact"/>
              <w:contextualSpacing/>
              <w:rPr>
                <w:rFonts w:asciiTheme="majorHAnsi" w:hAnsiTheme="majorHAnsi" w:cstheme="majorHAnsi"/>
                <w:color w:val="auto"/>
                <w:sz w:val="18"/>
                <w:szCs w:val="18"/>
              </w:rPr>
            </w:pPr>
            <w:r w:rsidRPr="003B40B1">
              <w:rPr>
                <w:rFonts w:asciiTheme="majorHAnsi" w:hAnsiTheme="majorHAnsi" w:cstheme="majorHAnsi"/>
                <w:color w:val="auto"/>
                <w:sz w:val="18"/>
                <w:szCs w:val="18"/>
              </w:rPr>
              <w:t>Pseudofolliculitis Barbae</w:t>
            </w:r>
          </w:p>
        </w:tc>
        <w:tc>
          <w:tcPr>
            <w:tcW w:w="1080" w:type="dxa"/>
            <w:tcBorders>
              <w:left w:val="single" w:sz="4" w:space="0" w:color="auto"/>
            </w:tcBorders>
            <w:shd w:val="clear" w:color="auto" w:fill="FFFFFF"/>
            <w:vAlign w:val="center"/>
          </w:tcPr>
          <w:p w:rsidR="005617F7" w:rsidRPr="003B40B1" w:rsidRDefault="005617F7" w:rsidP="003B40B1">
            <w:pPr>
              <w:spacing w:line="180" w:lineRule="exact"/>
              <w:contextualSpacing/>
              <w:jc w:val="center"/>
              <w:rPr>
                <w:rFonts w:asciiTheme="majorHAnsi" w:hAnsiTheme="majorHAnsi" w:cstheme="majorHAnsi"/>
                <w:color w:val="auto"/>
                <w:sz w:val="18"/>
                <w:szCs w:val="18"/>
              </w:rPr>
            </w:pPr>
            <w:r w:rsidRPr="003B40B1">
              <w:rPr>
                <w:rFonts w:asciiTheme="majorHAnsi" w:hAnsiTheme="majorHAnsi" w:cstheme="majorHAnsi"/>
                <w:color w:val="auto"/>
                <w:sz w:val="18"/>
                <w:szCs w:val="18"/>
              </w:rPr>
              <w:t>7813-7806</w:t>
            </w:r>
          </w:p>
        </w:tc>
        <w:tc>
          <w:tcPr>
            <w:tcW w:w="810" w:type="dxa"/>
            <w:shd w:val="clear" w:color="auto" w:fill="FFFFFF"/>
            <w:vAlign w:val="center"/>
          </w:tcPr>
          <w:p w:rsidR="005617F7" w:rsidRPr="003B40B1" w:rsidRDefault="005617F7" w:rsidP="003B40B1">
            <w:pPr>
              <w:spacing w:line="180" w:lineRule="exact"/>
              <w:contextualSpacing/>
              <w:jc w:val="center"/>
              <w:rPr>
                <w:rFonts w:asciiTheme="majorHAnsi" w:hAnsiTheme="majorHAnsi" w:cstheme="majorHAnsi"/>
                <w:color w:val="auto"/>
                <w:sz w:val="18"/>
                <w:szCs w:val="18"/>
              </w:rPr>
            </w:pPr>
            <w:r w:rsidRPr="003B40B1">
              <w:rPr>
                <w:rFonts w:asciiTheme="majorHAnsi" w:hAnsiTheme="majorHAnsi" w:cstheme="majorHAnsi"/>
                <w:color w:val="auto"/>
                <w:sz w:val="18"/>
                <w:szCs w:val="18"/>
              </w:rPr>
              <w:t>60%</w:t>
            </w:r>
            <w:r w:rsidR="00967F7D" w:rsidRPr="003B40B1">
              <w:rPr>
                <w:rFonts w:asciiTheme="majorHAnsi" w:hAnsiTheme="majorHAnsi" w:cstheme="majorHAnsi"/>
                <w:color w:val="auto"/>
                <w:sz w:val="18"/>
                <w:szCs w:val="18"/>
              </w:rPr>
              <w:t>**</w:t>
            </w:r>
          </w:p>
        </w:tc>
        <w:tc>
          <w:tcPr>
            <w:tcW w:w="990" w:type="dxa"/>
            <w:shd w:val="clear" w:color="auto" w:fill="FFFFFF"/>
            <w:vAlign w:val="center"/>
          </w:tcPr>
          <w:p w:rsidR="005617F7" w:rsidRPr="003B40B1" w:rsidRDefault="005617F7" w:rsidP="003B40B1">
            <w:pPr>
              <w:spacing w:line="180" w:lineRule="exact"/>
              <w:contextualSpacing/>
              <w:jc w:val="center"/>
              <w:rPr>
                <w:rFonts w:asciiTheme="majorHAnsi" w:hAnsiTheme="majorHAnsi" w:cstheme="majorHAnsi"/>
                <w:color w:val="auto"/>
                <w:sz w:val="18"/>
                <w:szCs w:val="18"/>
              </w:rPr>
            </w:pPr>
            <w:r w:rsidRPr="003B40B1">
              <w:rPr>
                <w:rFonts w:asciiTheme="majorHAnsi" w:hAnsiTheme="majorHAnsi" w:cstheme="majorHAnsi"/>
                <w:color w:val="auto"/>
                <w:sz w:val="18"/>
                <w:szCs w:val="18"/>
              </w:rPr>
              <w:t>20080209</w:t>
            </w:r>
          </w:p>
        </w:tc>
      </w:tr>
      <w:tr w:rsidR="005617F7" w:rsidRPr="002A4119" w:rsidTr="00415B88">
        <w:trPr>
          <w:trHeight w:val="53"/>
          <w:jc w:val="center"/>
        </w:trPr>
        <w:tc>
          <w:tcPr>
            <w:tcW w:w="4158" w:type="dxa"/>
            <w:gridSpan w:val="3"/>
            <w:vMerge/>
            <w:tcBorders>
              <w:right w:val="thinThickThinSmallGap" w:sz="24" w:space="0" w:color="auto"/>
            </w:tcBorders>
            <w:shd w:val="clear" w:color="auto" w:fill="FFFFFF"/>
            <w:vAlign w:val="center"/>
          </w:tcPr>
          <w:p w:rsidR="005617F7" w:rsidRPr="003B40B1" w:rsidRDefault="005617F7" w:rsidP="003B40B1">
            <w:pPr>
              <w:spacing w:line="180" w:lineRule="exact"/>
              <w:contextualSpacing/>
              <w:jc w:val="center"/>
              <w:rPr>
                <w:rFonts w:asciiTheme="majorHAnsi" w:hAnsiTheme="majorHAnsi" w:cstheme="majorHAnsi"/>
                <w:color w:val="auto"/>
                <w:sz w:val="18"/>
                <w:szCs w:val="18"/>
              </w:rPr>
            </w:pPr>
          </w:p>
        </w:tc>
        <w:tc>
          <w:tcPr>
            <w:tcW w:w="2250" w:type="dxa"/>
            <w:tcBorders>
              <w:left w:val="thinThickThinSmallGap" w:sz="24" w:space="0" w:color="auto"/>
              <w:right w:val="single" w:sz="4" w:space="0" w:color="auto"/>
            </w:tcBorders>
            <w:shd w:val="clear" w:color="auto" w:fill="FFFFFF"/>
            <w:vAlign w:val="center"/>
          </w:tcPr>
          <w:p w:rsidR="005617F7" w:rsidRPr="003B40B1" w:rsidRDefault="005617F7" w:rsidP="003B40B1">
            <w:pPr>
              <w:spacing w:line="180" w:lineRule="exact"/>
              <w:contextualSpacing/>
              <w:rPr>
                <w:rFonts w:asciiTheme="majorHAnsi" w:hAnsiTheme="majorHAnsi" w:cstheme="majorHAnsi"/>
                <w:color w:val="auto"/>
                <w:sz w:val="18"/>
                <w:szCs w:val="18"/>
              </w:rPr>
            </w:pPr>
            <w:r w:rsidRPr="003B40B1">
              <w:rPr>
                <w:rFonts w:asciiTheme="majorHAnsi" w:hAnsiTheme="majorHAnsi" w:cstheme="majorHAnsi"/>
                <w:color w:val="auto"/>
                <w:sz w:val="18"/>
                <w:szCs w:val="18"/>
              </w:rPr>
              <w:t>Chronic Sinusitis</w:t>
            </w:r>
          </w:p>
        </w:tc>
        <w:tc>
          <w:tcPr>
            <w:tcW w:w="1080" w:type="dxa"/>
            <w:tcBorders>
              <w:left w:val="single" w:sz="4" w:space="0" w:color="auto"/>
            </w:tcBorders>
            <w:shd w:val="clear" w:color="auto" w:fill="FFFFFF"/>
            <w:vAlign w:val="center"/>
          </w:tcPr>
          <w:p w:rsidR="005617F7" w:rsidRPr="003B40B1" w:rsidRDefault="005617F7" w:rsidP="003B40B1">
            <w:pPr>
              <w:spacing w:line="180" w:lineRule="exact"/>
              <w:contextualSpacing/>
              <w:jc w:val="center"/>
              <w:rPr>
                <w:rFonts w:asciiTheme="majorHAnsi" w:hAnsiTheme="majorHAnsi" w:cstheme="majorHAnsi"/>
                <w:color w:val="auto"/>
                <w:sz w:val="18"/>
                <w:szCs w:val="18"/>
              </w:rPr>
            </w:pPr>
            <w:r w:rsidRPr="003B40B1">
              <w:rPr>
                <w:rFonts w:asciiTheme="majorHAnsi" w:hAnsiTheme="majorHAnsi" w:cstheme="majorHAnsi"/>
                <w:color w:val="auto"/>
                <w:sz w:val="18"/>
                <w:szCs w:val="18"/>
              </w:rPr>
              <w:t>6599-6513</w:t>
            </w:r>
          </w:p>
        </w:tc>
        <w:tc>
          <w:tcPr>
            <w:tcW w:w="810" w:type="dxa"/>
            <w:shd w:val="clear" w:color="auto" w:fill="FFFFFF"/>
            <w:vAlign w:val="center"/>
          </w:tcPr>
          <w:p w:rsidR="005617F7" w:rsidRPr="003B40B1" w:rsidRDefault="005617F7" w:rsidP="003B40B1">
            <w:pPr>
              <w:spacing w:line="180" w:lineRule="exact"/>
              <w:contextualSpacing/>
              <w:jc w:val="center"/>
              <w:rPr>
                <w:rFonts w:asciiTheme="majorHAnsi" w:hAnsiTheme="majorHAnsi" w:cstheme="majorHAnsi"/>
                <w:color w:val="auto"/>
                <w:sz w:val="18"/>
                <w:szCs w:val="18"/>
              </w:rPr>
            </w:pPr>
            <w:r w:rsidRPr="003B40B1">
              <w:rPr>
                <w:rFonts w:asciiTheme="majorHAnsi" w:hAnsiTheme="majorHAnsi" w:cstheme="majorHAnsi"/>
                <w:color w:val="auto"/>
                <w:sz w:val="18"/>
                <w:szCs w:val="18"/>
              </w:rPr>
              <w:t>30%</w:t>
            </w:r>
          </w:p>
        </w:tc>
        <w:tc>
          <w:tcPr>
            <w:tcW w:w="990" w:type="dxa"/>
            <w:shd w:val="clear" w:color="auto" w:fill="FFFFFF"/>
            <w:vAlign w:val="center"/>
          </w:tcPr>
          <w:p w:rsidR="005617F7" w:rsidRPr="003B40B1" w:rsidRDefault="005617F7" w:rsidP="003B40B1">
            <w:pPr>
              <w:spacing w:line="180" w:lineRule="exact"/>
              <w:contextualSpacing/>
              <w:jc w:val="center"/>
              <w:rPr>
                <w:rFonts w:asciiTheme="majorHAnsi" w:hAnsiTheme="majorHAnsi" w:cstheme="majorHAnsi"/>
                <w:color w:val="auto"/>
                <w:sz w:val="18"/>
                <w:szCs w:val="18"/>
                <w:highlight w:val="yellow"/>
              </w:rPr>
            </w:pPr>
            <w:r w:rsidRPr="003B40B1">
              <w:rPr>
                <w:rFonts w:asciiTheme="majorHAnsi" w:hAnsiTheme="majorHAnsi" w:cstheme="majorHAnsi"/>
                <w:color w:val="auto"/>
                <w:sz w:val="18"/>
                <w:szCs w:val="18"/>
              </w:rPr>
              <w:t>20080209</w:t>
            </w:r>
          </w:p>
        </w:tc>
      </w:tr>
      <w:tr w:rsidR="005617F7" w:rsidRPr="002A4119" w:rsidTr="00415B88">
        <w:trPr>
          <w:trHeight w:val="52"/>
          <w:jc w:val="center"/>
        </w:trPr>
        <w:tc>
          <w:tcPr>
            <w:tcW w:w="4158" w:type="dxa"/>
            <w:gridSpan w:val="3"/>
            <w:vMerge/>
            <w:tcBorders>
              <w:right w:val="thinThickThinSmallGap" w:sz="24" w:space="0" w:color="auto"/>
            </w:tcBorders>
            <w:shd w:val="clear" w:color="auto" w:fill="FFFFFF"/>
            <w:vAlign w:val="center"/>
          </w:tcPr>
          <w:p w:rsidR="005617F7" w:rsidRPr="003B40B1" w:rsidRDefault="005617F7" w:rsidP="003B40B1">
            <w:pPr>
              <w:spacing w:line="180" w:lineRule="exact"/>
              <w:contextualSpacing/>
              <w:jc w:val="center"/>
              <w:rPr>
                <w:rFonts w:asciiTheme="majorHAnsi" w:hAnsiTheme="majorHAnsi" w:cstheme="majorHAnsi"/>
                <w:color w:val="auto"/>
                <w:sz w:val="18"/>
                <w:szCs w:val="18"/>
              </w:rPr>
            </w:pPr>
          </w:p>
        </w:tc>
        <w:tc>
          <w:tcPr>
            <w:tcW w:w="2250" w:type="dxa"/>
            <w:tcBorders>
              <w:left w:val="thinThickThinSmallGap" w:sz="24" w:space="0" w:color="auto"/>
              <w:right w:val="single" w:sz="4" w:space="0" w:color="auto"/>
            </w:tcBorders>
            <w:shd w:val="clear" w:color="auto" w:fill="FFFFFF"/>
            <w:vAlign w:val="center"/>
          </w:tcPr>
          <w:p w:rsidR="005617F7" w:rsidRPr="003B40B1" w:rsidRDefault="005617F7" w:rsidP="003B40B1">
            <w:pPr>
              <w:spacing w:line="180" w:lineRule="exact"/>
              <w:contextualSpacing/>
              <w:rPr>
                <w:rFonts w:asciiTheme="majorHAnsi" w:hAnsiTheme="majorHAnsi" w:cstheme="majorHAnsi"/>
                <w:color w:val="auto"/>
                <w:sz w:val="18"/>
                <w:szCs w:val="18"/>
              </w:rPr>
            </w:pPr>
            <w:r w:rsidRPr="003B40B1">
              <w:rPr>
                <w:rFonts w:asciiTheme="majorHAnsi" w:hAnsiTheme="majorHAnsi" w:cstheme="majorHAnsi"/>
                <w:color w:val="auto"/>
                <w:sz w:val="18"/>
                <w:szCs w:val="18"/>
              </w:rPr>
              <w:t>Migraine Headaches</w:t>
            </w:r>
          </w:p>
        </w:tc>
        <w:tc>
          <w:tcPr>
            <w:tcW w:w="1080" w:type="dxa"/>
            <w:tcBorders>
              <w:left w:val="single" w:sz="4" w:space="0" w:color="auto"/>
            </w:tcBorders>
            <w:shd w:val="clear" w:color="auto" w:fill="FFFFFF"/>
            <w:vAlign w:val="center"/>
          </w:tcPr>
          <w:p w:rsidR="005617F7" w:rsidRPr="003B40B1" w:rsidRDefault="005617F7" w:rsidP="003B40B1">
            <w:pPr>
              <w:spacing w:line="180" w:lineRule="exact"/>
              <w:contextualSpacing/>
              <w:jc w:val="center"/>
              <w:rPr>
                <w:rFonts w:asciiTheme="majorHAnsi" w:hAnsiTheme="majorHAnsi" w:cstheme="majorHAnsi"/>
                <w:color w:val="auto"/>
                <w:sz w:val="18"/>
                <w:szCs w:val="18"/>
              </w:rPr>
            </w:pPr>
            <w:r w:rsidRPr="003B40B1">
              <w:rPr>
                <w:rFonts w:asciiTheme="majorHAnsi" w:hAnsiTheme="majorHAnsi" w:cstheme="majorHAnsi"/>
                <w:color w:val="auto"/>
                <w:sz w:val="18"/>
                <w:szCs w:val="18"/>
              </w:rPr>
              <w:t>8100</w:t>
            </w:r>
          </w:p>
        </w:tc>
        <w:tc>
          <w:tcPr>
            <w:tcW w:w="810" w:type="dxa"/>
            <w:shd w:val="clear" w:color="auto" w:fill="FFFFFF"/>
            <w:vAlign w:val="center"/>
          </w:tcPr>
          <w:p w:rsidR="005617F7" w:rsidRPr="003B40B1" w:rsidRDefault="005617F7" w:rsidP="003B40B1">
            <w:pPr>
              <w:spacing w:line="180" w:lineRule="exact"/>
              <w:contextualSpacing/>
              <w:jc w:val="center"/>
              <w:rPr>
                <w:rFonts w:asciiTheme="majorHAnsi" w:hAnsiTheme="majorHAnsi" w:cstheme="majorHAnsi"/>
                <w:color w:val="auto"/>
                <w:sz w:val="18"/>
                <w:szCs w:val="18"/>
              </w:rPr>
            </w:pPr>
            <w:r w:rsidRPr="003B40B1">
              <w:rPr>
                <w:rFonts w:asciiTheme="majorHAnsi" w:hAnsiTheme="majorHAnsi" w:cstheme="majorHAnsi"/>
                <w:color w:val="auto"/>
                <w:sz w:val="18"/>
                <w:szCs w:val="18"/>
              </w:rPr>
              <w:t>30%</w:t>
            </w:r>
          </w:p>
        </w:tc>
        <w:tc>
          <w:tcPr>
            <w:tcW w:w="990" w:type="dxa"/>
            <w:shd w:val="clear" w:color="auto" w:fill="FFFFFF"/>
            <w:vAlign w:val="center"/>
          </w:tcPr>
          <w:p w:rsidR="005617F7" w:rsidRPr="003B40B1" w:rsidRDefault="005617F7" w:rsidP="003B40B1">
            <w:pPr>
              <w:spacing w:line="180" w:lineRule="exact"/>
              <w:contextualSpacing/>
              <w:jc w:val="center"/>
              <w:rPr>
                <w:rFonts w:asciiTheme="majorHAnsi" w:hAnsiTheme="majorHAnsi" w:cstheme="majorHAnsi"/>
                <w:color w:val="auto"/>
                <w:sz w:val="18"/>
                <w:szCs w:val="18"/>
                <w:highlight w:val="yellow"/>
              </w:rPr>
            </w:pPr>
            <w:r w:rsidRPr="003B40B1">
              <w:rPr>
                <w:rFonts w:asciiTheme="majorHAnsi" w:hAnsiTheme="majorHAnsi" w:cstheme="majorHAnsi"/>
                <w:color w:val="auto"/>
                <w:sz w:val="18"/>
                <w:szCs w:val="18"/>
              </w:rPr>
              <w:t>20080209</w:t>
            </w:r>
          </w:p>
        </w:tc>
      </w:tr>
      <w:tr w:rsidR="005617F7" w:rsidRPr="002A4119" w:rsidTr="00415B88">
        <w:trPr>
          <w:trHeight w:val="116"/>
          <w:jc w:val="center"/>
        </w:trPr>
        <w:tc>
          <w:tcPr>
            <w:tcW w:w="4158" w:type="dxa"/>
            <w:gridSpan w:val="3"/>
            <w:vMerge/>
            <w:tcBorders>
              <w:right w:val="thinThickThinSmallGap" w:sz="24" w:space="0" w:color="auto"/>
            </w:tcBorders>
            <w:shd w:val="clear" w:color="auto" w:fill="FFFFFF"/>
            <w:vAlign w:val="center"/>
          </w:tcPr>
          <w:p w:rsidR="005617F7" w:rsidRPr="003B40B1" w:rsidRDefault="005617F7" w:rsidP="003B40B1">
            <w:pPr>
              <w:spacing w:line="180" w:lineRule="exact"/>
              <w:contextualSpacing/>
              <w:jc w:val="center"/>
              <w:rPr>
                <w:rFonts w:asciiTheme="majorHAnsi" w:hAnsiTheme="majorHAnsi" w:cstheme="majorHAnsi"/>
                <w:color w:val="auto"/>
                <w:sz w:val="18"/>
                <w:szCs w:val="18"/>
              </w:rPr>
            </w:pPr>
          </w:p>
        </w:tc>
        <w:tc>
          <w:tcPr>
            <w:tcW w:w="2250" w:type="dxa"/>
            <w:tcBorders>
              <w:left w:val="thinThickThinSmallGap" w:sz="24" w:space="0" w:color="auto"/>
              <w:right w:val="single" w:sz="4" w:space="0" w:color="auto"/>
            </w:tcBorders>
            <w:shd w:val="clear" w:color="auto" w:fill="FFFFFF"/>
            <w:vAlign w:val="center"/>
          </w:tcPr>
          <w:p w:rsidR="005617F7" w:rsidRPr="003B40B1" w:rsidRDefault="005617F7" w:rsidP="003B40B1">
            <w:pPr>
              <w:spacing w:line="180" w:lineRule="exact"/>
              <w:contextualSpacing/>
              <w:rPr>
                <w:rFonts w:asciiTheme="majorHAnsi" w:hAnsiTheme="majorHAnsi" w:cstheme="majorHAnsi"/>
                <w:color w:val="auto"/>
                <w:sz w:val="18"/>
                <w:szCs w:val="18"/>
              </w:rPr>
            </w:pPr>
            <w:r w:rsidRPr="003B40B1">
              <w:rPr>
                <w:rFonts w:asciiTheme="majorHAnsi" w:hAnsiTheme="majorHAnsi" w:cstheme="majorHAnsi"/>
                <w:color w:val="auto"/>
                <w:sz w:val="18"/>
                <w:szCs w:val="18"/>
              </w:rPr>
              <w:t>Right Ankle Sprain</w:t>
            </w:r>
          </w:p>
        </w:tc>
        <w:tc>
          <w:tcPr>
            <w:tcW w:w="1080" w:type="dxa"/>
            <w:tcBorders>
              <w:left w:val="single" w:sz="4" w:space="0" w:color="auto"/>
            </w:tcBorders>
            <w:shd w:val="clear" w:color="auto" w:fill="FFFFFF"/>
            <w:vAlign w:val="center"/>
          </w:tcPr>
          <w:p w:rsidR="005617F7" w:rsidRPr="003B40B1" w:rsidRDefault="005617F7" w:rsidP="003B40B1">
            <w:pPr>
              <w:spacing w:line="180" w:lineRule="exact"/>
              <w:contextualSpacing/>
              <w:jc w:val="center"/>
              <w:rPr>
                <w:rFonts w:asciiTheme="majorHAnsi" w:hAnsiTheme="majorHAnsi" w:cstheme="majorHAnsi"/>
                <w:color w:val="auto"/>
                <w:sz w:val="18"/>
                <w:szCs w:val="18"/>
              </w:rPr>
            </w:pPr>
            <w:r w:rsidRPr="003B40B1">
              <w:rPr>
                <w:rFonts w:asciiTheme="majorHAnsi" w:hAnsiTheme="majorHAnsi" w:cstheme="majorHAnsi"/>
                <w:color w:val="auto"/>
                <w:sz w:val="18"/>
                <w:szCs w:val="18"/>
              </w:rPr>
              <w:t>5299-5271</w:t>
            </w:r>
          </w:p>
        </w:tc>
        <w:tc>
          <w:tcPr>
            <w:tcW w:w="810" w:type="dxa"/>
            <w:shd w:val="clear" w:color="auto" w:fill="FFFFFF"/>
            <w:vAlign w:val="center"/>
          </w:tcPr>
          <w:p w:rsidR="005617F7" w:rsidRPr="003B40B1" w:rsidRDefault="005617F7" w:rsidP="003B40B1">
            <w:pPr>
              <w:spacing w:line="180" w:lineRule="exact"/>
              <w:contextualSpacing/>
              <w:jc w:val="center"/>
              <w:rPr>
                <w:rFonts w:asciiTheme="majorHAnsi" w:hAnsiTheme="majorHAnsi" w:cstheme="majorHAnsi"/>
                <w:color w:val="auto"/>
                <w:sz w:val="18"/>
                <w:szCs w:val="18"/>
              </w:rPr>
            </w:pPr>
            <w:r w:rsidRPr="003B40B1">
              <w:rPr>
                <w:rFonts w:asciiTheme="majorHAnsi" w:hAnsiTheme="majorHAnsi" w:cstheme="majorHAnsi"/>
                <w:color w:val="auto"/>
                <w:sz w:val="18"/>
                <w:szCs w:val="18"/>
              </w:rPr>
              <w:t>10%</w:t>
            </w:r>
          </w:p>
        </w:tc>
        <w:tc>
          <w:tcPr>
            <w:tcW w:w="990" w:type="dxa"/>
            <w:shd w:val="clear" w:color="auto" w:fill="FFFFFF"/>
            <w:vAlign w:val="center"/>
          </w:tcPr>
          <w:p w:rsidR="005617F7" w:rsidRPr="003B40B1" w:rsidRDefault="005617F7" w:rsidP="003B40B1">
            <w:pPr>
              <w:spacing w:line="180" w:lineRule="exact"/>
              <w:contextualSpacing/>
              <w:jc w:val="center"/>
              <w:rPr>
                <w:rFonts w:asciiTheme="majorHAnsi" w:hAnsiTheme="majorHAnsi" w:cstheme="majorHAnsi"/>
                <w:color w:val="auto"/>
                <w:sz w:val="18"/>
                <w:szCs w:val="18"/>
                <w:highlight w:val="yellow"/>
              </w:rPr>
            </w:pPr>
            <w:r w:rsidRPr="003B40B1">
              <w:rPr>
                <w:rFonts w:asciiTheme="majorHAnsi" w:hAnsiTheme="majorHAnsi" w:cstheme="majorHAnsi"/>
                <w:color w:val="auto"/>
                <w:sz w:val="18"/>
                <w:szCs w:val="18"/>
              </w:rPr>
              <w:t>20080209</w:t>
            </w:r>
          </w:p>
        </w:tc>
      </w:tr>
      <w:tr w:rsidR="005617F7" w:rsidRPr="002A4119" w:rsidTr="00415B88">
        <w:trPr>
          <w:trHeight w:val="107"/>
          <w:jc w:val="center"/>
        </w:trPr>
        <w:tc>
          <w:tcPr>
            <w:tcW w:w="4158" w:type="dxa"/>
            <w:gridSpan w:val="3"/>
            <w:vMerge/>
            <w:tcBorders>
              <w:right w:val="thinThickThinSmallGap" w:sz="24" w:space="0" w:color="auto"/>
            </w:tcBorders>
            <w:shd w:val="clear" w:color="auto" w:fill="FFFFFF"/>
            <w:vAlign w:val="center"/>
          </w:tcPr>
          <w:p w:rsidR="005617F7" w:rsidRPr="003B40B1" w:rsidRDefault="005617F7" w:rsidP="003B40B1">
            <w:pPr>
              <w:spacing w:line="180" w:lineRule="exact"/>
              <w:contextualSpacing/>
              <w:jc w:val="center"/>
              <w:rPr>
                <w:rFonts w:asciiTheme="majorHAnsi" w:hAnsiTheme="majorHAnsi" w:cstheme="majorHAnsi"/>
                <w:color w:val="auto"/>
                <w:sz w:val="18"/>
                <w:szCs w:val="18"/>
              </w:rPr>
            </w:pPr>
          </w:p>
        </w:tc>
        <w:tc>
          <w:tcPr>
            <w:tcW w:w="2250" w:type="dxa"/>
            <w:tcBorders>
              <w:left w:val="thinThickThinSmallGap" w:sz="24" w:space="0" w:color="auto"/>
              <w:right w:val="single" w:sz="4" w:space="0" w:color="auto"/>
            </w:tcBorders>
            <w:shd w:val="clear" w:color="auto" w:fill="FFFFFF"/>
            <w:vAlign w:val="center"/>
          </w:tcPr>
          <w:p w:rsidR="005617F7" w:rsidRPr="003B40B1" w:rsidRDefault="005617F7" w:rsidP="003B40B1">
            <w:pPr>
              <w:spacing w:line="180" w:lineRule="exact"/>
              <w:contextualSpacing/>
              <w:rPr>
                <w:rFonts w:asciiTheme="majorHAnsi" w:hAnsiTheme="majorHAnsi" w:cstheme="majorHAnsi"/>
                <w:color w:val="auto"/>
                <w:sz w:val="18"/>
                <w:szCs w:val="18"/>
              </w:rPr>
            </w:pPr>
            <w:r w:rsidRPr="003B40B1">
              <w:rPr>
                <w:rFonts w:asciiTheme="majorHAnsi" w:hAnsiTheme="majorHAnsi" w:cstheme="majorHAnsi"/>
                <w:color w:val="auto"/>
                <w:sz w:val="18"/>
                <w:szCs w:val="18"/>
              </w:rPr>
              <w:t>Tinnitus</w:t>
            </w:r>
          </w:p>
        </w:tc>
        <w:tc>
          <w:tcPr>
            <w:tcW w:w="1080" w:type="dxa"/>
            <w:tcBorders>
              <w:left w:val="single" w:sz="4" w:space="0" w:color="auto"/>
            </w:tcBorders>
            <w:shd w:val="clear" w:color="auto" w:fill="FFFFFF"/>
            <w:vAlign w:val="center"/>
          </w:tcPr>
          <w:p w:rsidR="005617F7" w:rsidRPr="003B40B1" w:rsidRDefault="005617F7" w:rsidP="003B40B1">
            <w:pPr>
              <w:spacing w:line="180" w:lineRule="exact"/>
              <w:contextualSpacing/>
              <w:jc w:val="center"/>
              <w:rPr>
                <w:rFonts w:asciiTheme="majorHAnsi" w:hAnsiTheme="majorHAnsi" w:cstheme="majorHAnsi"/>
                <w:color w:val="auto"/>
                <w:sz w:val="18"/>
                <w:szCs w:val="18"/>
              </w:rPr>
            </w:pPr>
            <w:r w:rsidRPr="003B40B1">
              <w:rPr>
                <w:rFonts w:asciiTheme="majorHAnsi" w:hAnsiTheme="majorHAnsi" w:cstheme="majorHAnsi"/>
                <w:color w:val="auto"/>
                <w:sz w:val="18"/>
                <w:szCs w:val="18"/>
              </w:rPr>
              <w:t>6260</w:t>
            </w:r>
          </w:p>
        </w:tc>
        <w:tc>
          <w:tcPr>
            <w:tcW w:w="810" w:type="dxa"/>
            <w:shd w:val="clear" w:color="auto" w:fill="FFFFFF"/>
            <w:vAlign w:val="center"/>
          </w:tcPr>
          <w:p w:rsidR="005617F7" w:rsidRPr="003B40B1" w:rsidRDefault="005617F7" w:rsidP="003B40B1">
            <w:pPr>
              <w:spacing w:line="180" w:lineRule="exact"/>
              <w:contextualSpacing/>
              <w:jc w:val="center"/>
              <w:rPr>
                <w:rFonts w:asciiTheme="majorHAnsi" w:hAnsiTheme="majorHAnsi" w:cstheme="majorHAnsi"/>
                <w:color w:val="auto"/>
                <w:sz w:val="18"/>
                <w:szCs w:val="18"/>
              </w:rPr>
            </w:pPr>
            <w:r w:rsidRPr="003B40B1">
              <w:rPr>
                <w:rFonts w:asciiTheme="majorHAnsi" w:hAnsiTheme="majorHAnsi" w:cstheme="majorHAnsi"/>
                <w:color w:val="auto"/>
                <w:sz w:val="18"/>
                <w:szCs w:val="18"/>
              </w:rPr>
              <w:t>10%</w:t>
            </w:r>
          </w:p>
        </w:tc>
        <w:tc>
          <w:tcPr>
            <w:tcW w:w="990" w:type="dxa"/>
            <w:shd w:val="clear" w:color="auto" w:fill="FFFFFF"/>
            <w:vAlign w:val="center"/>
          </w:tcPr>
          <w:p w:rsidR="005617F7" w:rsidRPr="003B40B1" w:rsidRDefault="005617F7" w:rsidP="003B40B1">
            <w:pPr>
              <w:spacing w:line="180" w:lineRule="exact"/>
              <w:contextualSpacing/>
              <w:jc w:val="center"/>
              <w:rPr>
                <w:rFonts w:asciiTheme="majorHAnsi" w:hAnsiTheme="majorHAnsi" w:cstheme="majorHAnsi"/>
                <w:color w:val="auto"/>
                <w:sz w:val="18"/>
                <w:szCs w:val="18"/>
              </w:rPr>
            </w:pPr>
            <w:r w:rsidRPr="003B40B1">
              <w:rPr>
                <w:rFonts w:asciiTheme="majorHAnsi" w:hAnsiTheme="majorHAnsi" w:cstheme="majorHAnsi"/>
                <w:color w:val="auto"/>
                <w:sz w:val="18"/>
                <w:szCs w:val="18"/>
              </w:rPr>
              <w:t>20080206</w:t>
            </w:r>
          </w:p>
        </w:tc>
      </w:tr>
      <w:tr w:rsidR="005617F7" w:rsidRPr="002A4119" w:rsidTr="00415B88">
        <w:trPr>
          <w:trHeight w:val="52"/>
          <w:jc w:val="center"/>
        </w:trPr>
        <w:tc>
          <w:tcPr>
            <w:tcW w:w="4158" w:type="dxa"/>
            <w:gridSpan w:val="3"/>
            <w:vMerge/>
            <w:tcBorders>
              <w:right w:val="thinThickThinSmallGap" w:sz="24" w:space="0" w:color="auto"/>
            </w:tcBorders>
            <w:shd w:val="clear" w:color="auto" w:fill="FFFFFF"/>
            <w:vAlign w:val="center"/>
          </w:tcPr>
          <w:p w:rsidR="005617F7" w:rsidRPr="003B40B1" w:rsidRDefault="005617F7" w:rsidP="003B40B1">
            <w:pPr>
              <w:spacing w:line="180" w:lineRule="exact"/>
              <w:contextualSpacing/>
              <w:jc w:val="center"/>
              <w:rPr>
                <w:rFonts w:asciiTheme="majorHAnsi" w:hAnsiTheme="majorHAnsi" w:cstheme="majorHAnsi"/>
                <w:color w:val="auto"/>
                <w:sz w:val="18"/>
                <w:szCs w:val="18"/>
              </w:rPr>
            </w:pPr>
          </w:p>
        </w:tc>
        <w:tc>
          <w:tcPr>
            <w:tcW w:w="2250" w:type="dxa"/>
            <w:tcBorders>
              <w:left w:val="thinThickThinSmallGap" w:sz="24" w:space="0" w:color="auto"/>
              <w:right w:val="single" w:sz="4" w:space="0" w:color="auto"/>
            </w:tcBorders>
            <w:shd w:val="clear" w:color="auto" w:fill="FFFFFF"/>
            <w:vAlign w:val="center"/>
          </w:tcPr>
          <w:p w:rsidR="005617F7" w:rsidRPr="003B40B1" w:rsidRDefault="005617F7" w:rsidP="003B40B1">
            <w:pPr>
              <w:spacing w:line="180" w:lineRule="exact"/>
              <w:contextualSpacing/>
              <w:rPr>
                <w:rFonts w:asciiTheme="majorHAnsi" w:hAnsiTheme="majorHAnsi" w:cstheme="majorHAnsi"/>
                <w:color w:val="auto"/>
                <w:sz w:val="18"/>
                <w:szCs w:val="18"/>
              </w:rPr>
            </w:pPr>
            <w:r w:rsidRPr="003B40B1">
              <w:rPr>
                <w:rFonts w:asciiTheme="majorHAnsi" w:hAnsiTheme="majorHAnsi" w:cstheme="majorHAnsi"/>
                <w:color w:val="auto"/>
                <w:sz w:val="18"/>
                <w:szCs w:val="18"/>
              </w:rPr>
              <w:t>Hiatal Hernia</w:t>
            </w:r>
          </w:p>
        </w:tc>
        <w:tc>
          <w:tcPr>
            <w:tcW w:w="1080" w:type="dxa"/>
            <w:tcBorders>
              <w:left w:val="single" w:sz="4" w:space="0" w:color="auto"/>
            </w:tcBorders>
            <w:shd w:val="clear" w:color="auto" w:fill="FFFFFF"/>
            <w:vAlign w:val="center"/>
          </w:tcPr>
          <w:p w:rsidR="005617F7" w:rsidRPr="003B40B1" w:rsidRDefault="005617F7" w:rsidP="003B40B1">
            <w:pPr>
              <w:spacing w:line="180" w:lineRule="exact"/>
              <w:contextualSpacing/>
              <w:jc w:val="center"/>
              <w:rPr>
                <w:rFonts w:asciiTheme="majorHAnsi" w:hAnsiTheme="majorHAnsi" w:cstheme="majorHAnsi"/>
                <w:color w:val="auto"/>
                <w:sz w:val="18"/>
                <w:szCs w:val="18"/>
              </w:rPr>
            </w:pPr>
            <w:r w:rsidRPr="003B40B1">
              <w:rPr>
                <w:rFonts w:asciiTheme="majorHAnsi" w:hAnsiTheme="majorHAnsi" w:cstheme="majorHAnsi"/>
                <w:color w:val="auto"/>
                <w:sz w:val="18"/>
                <w:szCs w:val="18"/>
              </w:rPr>
              <w:t>7399-7346</w:t>
            </w:r>
          </w:p>
        </w:tc>
        <w:tc>
          <w:tcPr>
            <w:tcW w:w="810" w:type="dxa"/>
            <w:shd w:val="clear" w:color="auto" w:fill="FFFFFF"/>
            <w:vAlign w:val="center"/>
          </w:tcPr>
          <w:p w:rsidR="005617F7" w:rsidRPr="003B40B1" w:rsidRDefault="005617F7" w:rsidP="003B40B1">
            <w:pPr>
              <w:spacing w:line="180" w:lineRule="exact"/>
              <w:contextualSpacing/>
              <w:jc w:val="center"/>
              <w:rPr>
                <w:rFonts w:asciiTheme="majorHAnsi" w:hAnsiTheme="majorHAnsi" w:cstheme="majorHAnsi"/>
                <w:color w:val="auto"/>
                <w:sz w:val="18"/>
                <w:szCs w:val="18"/>
              </w:rPr>
            </w:pPr>
            <w:r w:rsidRPr="003B40B1">
              <w:rPr>
                <w:rFonts w:asciiTheme="majorHAnsi" w:hAnsiTheme="majorHAnsi" w:cstheme="majorHAnsi"/>
                <w:color w:val="auto"/>
                <w:sz w:val="18"/>
                <w:szCs w:val="18"/>
              </w:rPr>
              <w:t>10%</w:t>
            </w:r>
          </w:p>
        </w:tc>
        <w:tc>
          <w:tcPr>
            <w:tcW w:w="990" w:type="dxa"/>
            <w:shd w:val="clear" w:color="auto" w:fill="FFFFFF"/>
            <w:vAlign w:val="center"/>
          </w:tcPr>
          <w:p w:rsidR="005617F7" w:rsidRPr="003B40B1" w:rsidRDefault="005617F7" w:rsidP="003B40B1">
            <w:pPr>
              <w:spacing w:line="180" w:lineRule="exact"/>
              <w:contextualSpacing/>
              <w:jc w:val="center"/>
              <w:rPr>
                <w:rFonts w:asciiTheme="majorHAnsi" w:hAnsiTheme="majorHAnsi" w:cstheme="majorHAnsi"/>
                <w:color w:val="auto"/>
                <w:sz w:val="18"/>
                <w:szCs w:val="18"/>
                <w:highlight w:val="yellow"/>
              </w:rPr>
            </w:pPr>
            <w:r w:rsidRPr="003B40B1">
              <w:rPr>
                <w:rFonts w:asciiTheme="majorHAnsi" w:hAnsiTheme="majorHAnsi" w:cstheme="majorHAnsi"/>
                <w:color w:val="auto"/>
                <w:sz w:val="18"/>
                <w:szCs w:val="18"/>
              </w:rPr>
              <w:t>20080209</w:t>
            </w:r>
          </w:p>
        </w:tc>
      </w:tr>
      <w:tr w:rsidR="005617F7" w:rsidRPr="002A4119" w:rsidTr="00415B88">
        <w:trPr>
          <w:trHeight w:val="52"/>
          <w:jc w:val="center"/>
        </w:trPr>
        <w:tc>
          <w:tcPr>
            <w:tcW w:w="4158" w:type="dxa"/>
            <w:gridSpan w:val="3"/>
            <w:vMerge/>
            <w:tcBorders>
              <w:right w:val="thinThickThinSmallGap" w:sz="24" w:space="0" w:color="auto"/>
            </w:tcBorders>
            <w:shd w:val="clear" w:color="auto" w:fill="FFFFFF"/>
            <w:vAlign w:val="center"/>
          </w:tcPr>
          <w:p w:rsidR="005617F7" w:rsidRPr="003B40B1" w:rsidRDefault="005617F7" w:rsidP="003B40B1">
            <w:pPr>
              <w:spacing w:line="180" w:lineRule="exact"/>
              <w:contextualSpacing/>
              <w:jc w:val="center"/>
              <w:rPr>
                <w:rFonts w:asciiTheme="majorHAnsi" w:hAnsiTheme="majorHAnsi" w:cstheme="majorHAnsi"/>
                <w:color w:val="auto"/>
                <w:sz w:val="18"/>
                <w:szCs w:val="18"/>
              </w:rPr>
            </w:pPr>
          </w:p>
        </w:tc>
        <w:tc>
          <w:tcPr>
            <w:tcW w:w="2250" w:type="dxa"/>
            <w:tcBorders>
              <w:left w:val="thinThickThinSmallGap" w:sz="24" w:space="0" w:color="auto"/>
              <w:right w:val="single" w:sz="4" w:space="0" w:color="auto"/>
            </w:tcBorders>
            <w:shd w:val="clear" w:color="auto" w:fill="FFFFFF"/>
            <w:vAlign w:val="center"/>
          </w:tcPr>
          <w:p w:rsidR="005617F7" w:rsidRPr="003B40B1" w:rsidRDefault="005617F7" w:rsidP="003B40B1">
            <w:pPr>
              <w:spacing w:line="180" w:lineRule="exact"/>
              <w:contextualSpacing/>
              <w:rPr>
                <w:rFonts w:asciiTheme="majorHAnsi" w:hAnsiTheme="majorHAnsi" w:cstheme="majorHAnsi"/>
                <w:color w:val="auto"/>
                <w:sz w:val="18"/>
                <w:szCs w:val="18"/>
              </w:rPr>
            </w:pPr>
            <w:r w:rsidRPr="003B40B1">
              <w:rPr>
                <w:rFonts w:asciiTheme="majorHAnsi" w:hAnsiTheme="majorHAnsi" w:cstheme="majorHAnsi"/>
                <w:color w:val="auto"/>
                <w:sz w:val="18"/>
                <w:szCs w:val="18"/>
              </w:rPr>
              <w:t>Left Elbow Tendonitis</w:t>
            </w:r>
          </w:p>
        </w:tc>
        <w:tc>
          <w:tcPr>
            <w:tcW w:w="1080" w:type="dxa"/>
            <w:tcBorders>
              <w:left w:val="single" w:sz="4" w:space="0" w:color="auto"/>
            </w:tcBorders>
            <w:shd w:val="clear" w:color="auto" w:fill="FFFFFF"/>
            <w:vAlign w:val="center"/>
          </w:tcPr>
          <w:p w:rsidR="005617F7" w:rsidRPr="003B40B1" w:rsidRDefault="005617F7" w:rsidP="003B40B1">
            <w:pPr>
              <w:spacing w:line="180" w:lineRule="exact"/>
              <w:contextualSpacing/>
              <w:jc w:val="center"/>
              <w:rPr>
                <w:rFonts w:asciiTheme="majorHAnsi" w:hAnsiTheme="majorHAnsi" w:cstheme="majorHAnsi"/>
                <w:color w:val="auto"/>
                <w:sz w:val="18"/>
                <w:szCs w:val="18"/>
              </w:rPr>
            </w:pPr>
            <w:r w:rsidRPr="003B40B1">
              <w:rPr>
                <w:rFonts w:asciiTheme="majorHAnsi" w:hAnsiTheme="majorHAnsi" w:cstheme="majorHAnsi"/>
                <w:color w:val="auto"/>
                <w:sz w:val="18"/>
                <w:szCs w:val="18"/>
              </w:rPr>
              <w:t>5299-5206</w:t>
            </w:r>
          </w:p>
        </w:tc>
        <w:tc>
          <w:tcPr>
            <w:tcW w:w="810" w:type="dxa"/>
            <w:shd w:val="clear" w:color="auto" w:fill="FFFFFF"/>
            <w:vAlign w:val="center"/>
          </w:tcPr>
          <w:p w:rsidR="005617F7" w:rsidRPr="003B40B1" w:rsidRDefault="005617F7" w:rsidP="003B40B1">
            <w:pPr>
              <w:spacing w:line="180" w:lineRule="exact"/>
              <w:contextualSpacing/>
              <w:jc w:val="center"/>
              <w:rPr>
                <w:rFonts w:asciiTheme="majorHAnsi" w:hAnsiTheme="majorHAnsi" w:cstheme="majorHAnsi"/>
                <w:color w:val="auto"/>
                <w:sz w:val="18"/>
                <w:szCs w:val="18"/>
              </w:rPr>
            </w:pPr>
            <w:r w:rsidRPr="003B40B1">
              <w:rPr>
                <w:rFonts w:asciiTheme="majorHAnsi" w:hAnsiTheme="majorHAnsi" w:cstheme="majorHAnsi"/>
                <w:color w:val="auto"/>
                <w:sz w:val="18"/>
                <w:szCs w:val="18"/>
              </w:rPr>
              <w:t>10%</w:t>
            </w:r>
          </w:p>
        </w:tc>
        <w:tc>
          <w:tcPr>
            <w:tcW w:w="990" w:type="dxa"/>
            <w:shd w:val="clear" w:color="auto" w:fill="FFFFFF"/>
            <w:vAlign w:val="center"/>
          </w:tcPr>
          <w:p w:rsidR="005617F7" w:rsidRPr="003B40B1" w:rsidRDefault="005617F7" w:rsidP="003B40B1">
            <w:pPr>
              <w:spacing w:line="180" w:lineRule="exact"/>
              <w:contextualSpacing/>
              <w:jc w:val="center"/>
              <w:rPr>
                <w:rFonts w:asciiTheme="majorHAnsi" w:hAnsiTheme="majorHAnsi" w:cstheme="majorHAnsi"/>
                <w:color w:val="auto"/>
                <w:sz w:val="18"/>
                <w:szCs w:val="18"/>
                <w:highlight w:val="yellow"/>
              </w:rPr>
            </w:pPr>
            <w:r w:rsidRPr="003B40B1">
              <w:rPr>
                <w:rFonts w:asciiTheme="majorHAnsi" w:hAnsiTheme="majorHAnsi" w:cstheme="majorHAnsi"/>
                <w:color w:val="auto"/>
                <w:sz w:val="18"/>
                <w:szCs w:val="18"/>
              </w:rPr>
              <w:t>20080209</w:t>
            </w:r>
          </w:p>
        </w:tc>
      </w:tr>
      <w:tr w:rsidR="005617F7" w:rsidRPr="002A4119" w:rsidTr="00415B88">
        <w:trPr>
          <w:trHeight w:val="80"/>
          <w:jc w:val="center"/>
        </w:trPr>
        <w:tc>
          <w:tcPr>
            <w:tcW w:w="4158" w:type="dxa"/>
            <w:gridSpan w:val="3"/>
            <w:vMerge/>
            <w:tcBorders>
              <w:right w:val="thinThickThinSmallGap" w:sz="24" w:space="0" w:color="auto"/>
            </w:tcBorders>
            <w:shd w:val="clear" w:color="auto" w:fill="FFFFFF"/>
          </w:tcPr>
          <w:p w:rsidR="005617F7" w:rsidRPr="003B40B1" w:rsidRDefault="005617F7" w:rsidP="003B40B1">
            <w:pPr>
              <w:spacing w:line="180" w:lineRule="exact"/>
              <w:contextualSpacing/>
              <w:jc w:val="center"/>
              <w:rPr>
                <w:rFonts w:asciiTheme="majorHAnsi" w:hAnsiTheme="majorHAnsi" w:cstheme="majorHAnsi"/>
                <w:color w:val="auto"/>
                <w:sz w:val="18"/>
                <w:szCs w:val="18"/>
              </w:rPr>
            </w:pPr>
          </w:p>
        </w:tc>
        <w:tc>
          <w:tcPr>
            <w:tcW w:w="4140" w:type="dxa"/>
            <w:gridSpan w:val="3"/>
            <w:tcBorders>
              <w:left w:val="thinThickThinSmallGap" w:sz="24" w:space="0" w:color="auto"/>
            </w:tcBorders>
            <w:shd w:val="clear" w:color="auto" w:fill="FFFFFF"/>
            <w:vAlign w:val="center"/>
          </w:tcPr>
          <w:p w:rsidR="005617F7" w:rsidRPr="003B40B1" w:rsidRDefault="005617F7" w:rsidP="003B40B1">
            <w:pPr>
              <w:spacing w:line="180" w:lineRule="exact"/>
              <w:contextualSpacing/>
              <w:jc w:val="center"/>
              <w:rPr>
                <w:rFonts w:asciiTheme="majorHAnsi" w:hAnsiTheme="majorHAnsi" w:cstheme="majorHAnsi"/>
                <w:color w:val="auto"/>
                <w:sz w:val="18"/>
                <w:szCs w:val="18"/>
              </w:rPr>
            </w:pPr>
            <w:r w:rsidRPr="003B40B1">
              <w:rPr>
                <w:rFonts w:asciiTheme="majorHAnsi" w:hAnsiTheme="majorHAnsi" w:cstheme="majorHAnsi"/>
                <w:color w:val="auto"/>
                <w:sz w:val="18"/>
                <w:szCs w:val="18"/>
              </w:rPr>
              <w:t>0% x 4</w:t>
            </w:r>
            <w:r w:rsidR="00967F7D" w:rsidRPr="003B40B1">
              <w:rPr>
                <w:rFonts w:asciiTheme="majorHAnsi" w:hAnsiTheme="majorHAnsi" w:cstheme="majorHAnsi"/>
                <w:color w:val="auto"/>
                <w:sz w:val="18"/>
                <w:szCs w:val="18"/>
              </w:rPr>
              <w:t xml:space="preserve"> </w:t>
            </w:r>
            <w:r w:rsidRPr="003B40B1">
              <w:rPr>
                <w:rFonts w:asciiTheme="majorHAnsi" w:hAnsiTheme="majorHAnsi" w:cstheme="majorHAnsi"/>
                <w:color w:val="auto"/>
                <w:sz w:val="18"/>
                <w:szCs w:val="18"/>
              </w:rPr>
              <w:t>/</w:t>
            </w:r>
            <w:r w:rsidR="00967F7D" w:rsidRPr="003B40B1">
              <w:rPr>
                <w:rFonts w:asciiTheme="majorHAnsi" w:hAnsiTheme="majorHAnsi" w:cstheme="majorHAnsi"/>
                <w:color w:val="auto"/>
                <w:sz w:val="18"/>
                <w:szCs w:val="18"/>
              </w:rPr>
              <w:t xml:space="preserve"> </w:t>
            </w:r>
            <w:r w:rsidRPr="003B40B1">
              <w:rPr>
                <w:rFonts w:asciiTheme="majorHAnsi" w:hAnsiTheme="majorHAnsi" w:cstheme="majorHAnsi"/>
                <w:color w:val="auto"/>
                <w:sz w:val="18"/>
                <w:szCs w:val="18"/>
              </w:rPr>
              <w:t>Not Service Connected x 2</w:t>
            </w:r>
          </w:p>
        </w:tc>
        <w:tc>
          <w:tcPr>
            <w:tcW w:w="990" w:type="dxa"/>
            <w:shd w:val="clear" w:color="auto" w:fill="FFFFFF"/>
            <w:vAlign w:val="center"/>
          </w:tcPr>
          <w:p w:rsidR="005617F7" w:rsidRPr="003B40B1" w:rsidRDefault="005617F7" w:rsidP="003B40B1">
            <w:pPr>
              <w:spacing w:line="180" w:lineRule="exact"/>
              <w:contextualSpacing/>
              <w:jc w:val="center"/>
              <w:rPr>
                <w:rFonts w:asciiTheme="majorHAnsi" w:hAnsiTheme="majorHAnsi" w:cstheme="majorHAnsi"/>
                <w:color w:val="auto"/>
                <w:sz w:val="18"/>
                <w:szCs w:val="18"/>
                <w:highlight w:val="yellow"/>
              </w:rPr>
            </w:pPr>
            <w:r w:rsidRPr="003B40B1">
              <w:rPr>
                <w:rFonts w:asciiTheme="majorHAnsi" w:hAnsiTheme="majorHAnsi" w:cstheme="majorHAnsi"/>
                <w:color w:val="auto"/>
                <w:sz w:val="18"/>
                <w:szCs w:val="18"/>
              </w:rPr>
              <w:t>20080209</w:t>
            </w:r>
          </w:p>
        </w:tc>
      </w:tr>
      <w:tr w:rsidR="005617F7" w:rsidRPr="002A4119" w:rsidTr="00967F7D">
        <w:trPr>
          <w:trHeight w:val="62"/>
          <w:jc w:val="center"/>
        </w:trPr>
        <w:tc>
          <w:tcPr>
            <w:tcW w:w="4158" w:type="dxa"/>
            <w:gridSpan w:val="3"/>
            <w:tcBorders>
              <w:right w:val="thinThickThinSmallGap" w:sz="24" w:space="0" w:color="auto"/>
            </w:tcBorders>
            <w:shd w:val="clear" w:color="auto" w:fill="D9D9D9"/>
          </w:tcPr>
          <w:p w:rsidR="005617F7" w:rsidRPr="004867C2" w:rsidRDefault="005617F7" w:rsidP="00967F7D">
            <w:pPr>
              <w:spacing w:line="220" w:lineRule="exact"/>
              <w:contextualSpacing/>
              <w:jc w:val="center"/>
              <w:rPr>
                <w:b/>
                <w:color w:val="auto"/>
                <w:sz w:val="20"/>
              </w:rPr>
            </w:pPr>
            <w:r w:rsidRPr="004867C2">
              <w:rPr>
                <w:b/>
                <w:color w:val="auto"/>
                <w:sz w:val="20"/>
              </w:rPr>
              <w:t>Combined: 20%</w:t>
            </w:r>
          </w:p>
        </w:tc>
        <w:tc>
          <w:tcPr>
            <w:tcW w:w="5130" w:type="dxa"/>
            <w:gridSpan w:val="4"/>
            <w:tcBorders>
              <w:left w:val="thinThickThinSmallGap" w:sz="24" w:space="0" w:color="auto"/>
            </w:tcBorders>
            <w:shd w:val="clear" w:color="auto" w:fill="D9D9D9"/>
          </w:tcPr>
          <w:p w:rsidR="005617F7" w:rsidRPr="004867C2" w:rsidRDefault="005617F7" w:rsidP="00967F7D">
            <w:pPr>
              <w:spacing w:line="220" w:lineRule="exact"/>
              <w:contextualSpacing/>
              <w:jc w:val="center"/>
              <w:rPr>
                <w:b/>
                <w:color w:val="auto"/>
                <w:sz w:val="20"/>
              </w:rPr>
            </w:pPr>
            <w:r w:rsidRPr="004867C2">
              <w:rPr>
                <w:b/>
                <w:color w:val="auto"/>
                <w:sz w:val="20"/>
              </w:rPr>
              <w:t>Combined:  90%</w:t>
            </w:r>
          </w:p>
        </w:tc>
      </w:tr>
    </w:tbl>
    <w:p w:rsidR="00967F7D" w:rsidRDefault="00967F7D" w:rsidP="00967F7D">
      <w:pPr>
        <w:spacing w:line="180" w:lineRule="exact"/>
        <w:jc w:val="both"/>
        <w:rPr>
          <w:color w:val="auto"/>
          <w:sz w:val="18"/>
          <w:szCs w:val="18"/>
        </w:rPr>
      </w:pPr>
      <w:r w:rsidRPr="00967F7D">
        <w:rPr>
          <w:color w:val="auto"/>
          <w:sz w:val="18"/>
          <w:szCs w:val="18"/>
        </w:rPr>
        <w:t xml:space="preserve">* </w:t>
      </w:r>
      <w:r>
        <w:rPr>
          <w:color w:val="auto"/>
          <w:sz w:val="18"/>
          <w:szCs w:val="18"/>
        </w:rPr>
        <w:t xml:space="preserve">  VA increased rating to 20% effective 20100112 based on C&amp;P performed 20100326 (20 mo. post-separation).</w:t>
      </w:r>
    </w:p>
    <w:p w:rsidR="00B8060C" w:rsidRDefault="00967F7D" w:rsidP="00B8060C">
      <w:pPr>
        <w:spacing w:line="180" w:lineRule="exact"/>
        <w:jc w:val="both"/>
        <w:rPr>
          <w:color w:val="auto"/>
          <w:sz w:val="18"/>
          <w:szCs w:val="18"/>
        </w:rPr>
      </w:pPr>
      <w:r>
        <w:rPr>
          <w:color w:val="auto"/>
          <w:sz w:val="18"/>
          <w:szCs w:val="18"/>
        </w:rPr>
        <w:t xml:space="preserve">** Rating criteria derived from use of </w:t>
      </w:r>
      <w:r w:rsidRPr="00B8060C">
        <w:rPr>
          <w:i/>
          <w:color w:val="auto"/>
          <w:sz w:val="18"/>
          <w:szCs w:val="18"/>
        </w:rPr>
        <w:t>systemic</w:t>
      </w:r>
      <w:r>
        <w:rPr>
          <w:color w:val="auto"/>
          <w:sz w:val="18"/>
          <w:szCs w:val="18"/>
        </w:rPr>
        <w:t xml:space="preserve"> </w:t>
      </w:r>
      <w:r w:rsidR="00B8060C">
        <w:rPr>
          <w:color w:val="auto"/>
          <w:sz w:val="18"/>
          <w:szCs w:val="18"/>
        </w:rPr>
        <w:t xml:space="preserve">corticosteroids; medication log reflects only </w:t>
      </w:r>
      <w:r w:rsidR="00B8060C" w:rsidRPr="00B8060C">
        <w:rPr>
          <w:i/>
          <w:color w:val="auto"/>
          <w:sz w:val="18"/>
          <w:szCs w:val="18"/>
        </w:rPr>
        <w:t>topical</w:t>
      </w:r>
      <w:r w:rsidR="00B8060C">
        <w:rPr>
          <w:color w:val="auto"/>
          <w:sz w:val="18"/>
          <w:szCs w:val="18"/>
        </w:rPr>
        <w:t xml:space="preserve"> corticosteroids.</w:t>
      </w:r>
    </w:p>
    <w:p w:rsidR="003B40B1" w:rsidRDefault="003B40B1" w:rsidP="00B8060C">
      <w:pPr>
        <w:tabs>
          <w:tab w:val="left" w:pos="288"/>
          <w:tab w:val="left" w:pos="4752"/>
        </w:tabs>
        <w:spacing w:line="240" w:lineRule="exact"/>
        <w:jc w:val="both"/>
        <w:rPr>
          <w:color w:val="auto"/>
          <w:u w:val="single"/>
        </w:rPr>
      </w:pPr>
    </w:p>
    <w:p w:rsidR="005617F7" w:rsidRPr="00B8060C" w:rsidRDefault="005617F7" w:rsidP="00B8060C">
      <w:pPr>
        <w:tabs>
          <w:tab w:val="left" w:pos="288"/>
          <w:tab w:val="left" w:pos="4752"/>
        </w:tabs>
        <w:spacing w:line="240" w:lineRule="exact"/>
        <w:jc w:val="both"/>
        <w:rPr>
          <w:color w:val="auto"/>
        </w:rPr>
      </w:pPr>
      <w:r w:rsidRPr="00B8060C">
        <w:rPr>
          <w:color w:val="auto"/>
          <w:u w:val="single"/>
        </w:rPr>
        <w:lastRenderedPageBreak/>
        <w:t>ANALYSIS SUMMARY</w:t>
      </w:r>
      <w:r w:rsidRPr="00B8060C">
        <w:rPr>
          <w:color w:val="auto"/>
        </w:rPr>
        <w:t xml:space="preserve">:  </w:t>
      </w:r>
      <w:r w:rsidR="00BE4E2F" w:rsidRPr="00B8060C">
        <w:rPr>
          <w:color w:val="auto"/>
        </w:rPr>
        <w:t>The Board acknowledges the sentiment implied in the CI’s application, i.e., that there should be additional disability assigned for conditions which will predictably worsen over time.  The Board also acknowledges the CI’s contention that suggests service ratings should have been conferred for other conditions documented at the time of separation. The Board wishes to clarify that it is subject to the same laws for service disability entitlements as those under which the Disability Evaluation System (DES) operates. While the DES considers all of the service member's medical conditions, compensation can only be offered for those medical conditions that cut short a service member’s career, and then only to the degree of severity present at the time of final disposition. However the Department of Veteran</w:t>
      </w:r>
      <w:r w:rsidR="00BE440C">
        <w:rPr>
          <w:color w:val="auto"/>
        </w:rPr>
        <w:t>s’</w:t>
      </w:r>
      <w:r w:rsidR="00BE4E2F" w:rsidRPr="00B8060C">
        <w:rPr>
          <w:color w:val="auto"/>
        </w:rPr>
        <w:t xml:space="preserve"> Affairs (DVA), operating under a different set of laws (Title 38, United States Code), is empowered to compensate all service connected conditions and to periodically reevaluate said conditions for the purpose of adjusting the </w:t>
      </w:r>
      <w:r w:rsidR="00BE440C">
        <w:rPr>
          <w:color w:val="auto"/>
        </w:rPr>
        <w:t>V</w:t>
      </w:r>
      <w:r w:rsidR="00BE4E2F" w:rsidRPr="00B8060C">
        <w:rPr>
          <w:color w:val="auto"/>
        </w:rPr>
        <w:t xml:space="preserve">eteran’s disability rating should his degree of impairment vary over time. </w:t>
      </w:r>
    </w:p>
    <w:p w:rsidR="005617F7" w:rsidRDefault="005617F7" w:rsidP="00510F9C">
      <w:pPr>
        <w:spacing w:line="240" w:lineRule="exact"/>
        <w:rPr>
          <w:color w:val="auto"/>
        </w:rPr>
      </w:pPr>
    </w:p>
    <w:p w:rsidR="002634B6" w:rsidRPr="003B0DBD" w:rsidRDefault="005617F7" w:rsidP="002634B6">
      <w:pPr>
        <w:tabs>
          <w:tab w:val="left" w:pos="288"/>
          <w:tab w:val="left" w:pos="4752"/>
        </w:tabs>
        <w:spacing w:line="240" w:lineRule="exact"/>
        <w:jc w:val="both"/>
        <w:rPr>
          <w:color w:val="auto"/>
        </w:rPr>
      </w:pPr>
      <w:proofErr w:type="gramStart"/>
      <w:r w:rsidRPr="00664296">
        <w:rPr>
          <w:color w:val="auto"/>
          <w:u w:val="single"/>
        </w:rPr>
        <w:t>Cervical Spine Condition</w:t>
      </w:r>
      <w:r w:rsidRPr="00664296">
        <w:rPr>
          <w:color w:val="auto"/>
        </w:rPr>
        <w:t>.</w:t>
      </w:r>
      <w:proofErr w:type="gramEnd"/>
      <w:r w:rsidRPr="00664296">
        <w:rPr>
          <w:color w:val="auto"/>
        </w:rPr>
        <w:t xml:space="preserve">  </w:t>
      </w:r>
      <w:r w:rsidR="003B0DBD" w:rsidRPr="003B0DBD">
        <w:rPr>
          <w:color w:val="auto"/>
        </w:rPr>
        <w:t>Imaging studies showed degenerative changes and a “large left paracentral and forami</w:t>
      </w:r>
      <w:r w:rsidR="00BE440C">
        <w:rPr>
          <w:color w:val="auto"/>
        </w:rPr>
        <w:t>nal disc extrusion at C3-4 with</w:t>
      </w:r>
      <w:r w:rsidR="003B0DBD" w:rsidRPr="003B0DBD">
        <w:rPr>
          <w:color w:val="auto"/>
        </w:rPr>
        <w:t xml:space="preserve">... mild-to-moderate posterior displacement of the left side of the spinal cord at the level of the disc extrusion.”  Electrodiagnostic </w:t>
      </w:r>
      <w:r w:rsidR="005D28FD">
        <w:rPr>
          <w:color w:val="auto"/>
        </w:rPr>
        <w:t xml:space="preserve">(EMG) </w:t>
      </w:r>
      <w:r w:rsidR="003B0DBD" w:rsidRPr="003B0DBD">
        <w:rPr>
          <w:color w:val="auto"/>
        </w:rPr>
        <w:t xml:space="preserve">studies prior to separation were consistent with C6-7 cervical radiculopathy on the left, but a repeated study six months after separation was interpreted as normal.  </w:t>
      </w:r>
      <w:r w:rsidR="00F06309">
        <w:rPr>
          <w:color w:val="auto"/>
        </w:rPr>
        <w:t xml:space="preserve">The CI submitted a rebuttal to the MEB </w:t>
      </w:r>
      <w:r w:rsidR="005D28FD">
        <w:rPr>
          <w:color w:val="auto"/>
        </w:rPr>
        <w:t xml:space="preserve">regarding the effect of radiculitis on all of his extremities.  The MEB physician responded with acknowledgement of the prior EMG finding, with subsequent resolution, and noted the absence of any concurrent outpatient complaints of extremity pain.  </w:t>
      </w:r>
      <w:r w:rsidR="002634B6" w:rsidRPr="003B0DBD">
        <w:rPr>
          <w:color w:val="auto"/>
        </w:rPr>
        <w:t>There were 2 goniometric range-of-motion (ROM) evaluations in evidence which the Board weighed in arriving at its rating recommendation.  Both of these exams are summarized in the chart below.</w:t>
      </w:r>
      <w:r w:rsidR="003B0DBD" w:rsidRPr="003B0DBD">
        <w:rPr>
          <w:color w:val="auto"/>
        </w:rPr>
        <w:t xml:space="preserve"> </w:t>
      </w:r>
      <w:r w:rsidR="003B0DBD">
        <w:rPr>
          <w:color w:val="auto"/>
        </w:rPr>
        <w:t xml:space="preserve"> </w:t>
      </w:r>
      <w:r w:rsidR="003B0DBD" w:rsidRPr="003B0DBD">
        <w:rPr>
          <w:color w:val="auto"/>
        </w:rPr>
        <w:t xml:space="preserve">An orthopedic surgery consultation three months after separation documented similar findings.  </w:t>
      </w:r>
    </w:p>
    <w:p w:rsidR="002634B6" w:rsidRPr="003B0DBD" w:rsidRDefault="002634B6" w:rsidP="002634B6">
      <w:pPr>
        <w:tabs>
          <w:tab w:val="left" w:pos="288"/>
          <w:tab w:val="left" w:pos="4752"/>
        </w:tabs>
        <w:spacing w:line="240" w:lineRule="exact"/>
        <w:rPr>
          <w:color w:val="auto"/>
        </w:rPr>
      </w:pPr>
    </w:p>
    <w:tbl>
      <w:tblPr>
        <w:tblW w:w="7261" w:type="dxa"/>
        <w:jc w:val="center"/>
        <w:tblInd w:w="-1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38"/>
        <w:gridCol w:w="2353"/>
        <w:gridCol w:w="2370"/>
      </w:tblGrid>
      <w:tr w:rsidR="002634B6" w:rsidRPr="003B0DBD" w:rsidTr="003B0DBD">
        <w:trPr>
          <w:trHeight w:val="260"/>
          <w:jc w:val="center"/>
        </w:trPr>
        <w:tc>
          <w:tcPr>
            <w:tcW w:w="2538" w:type="dxa"/>
            <w:shd w:val="clear" w:color="auto" w:fill="D9D9D9"/>
            <w:vAlign w:val="center"/>
          </w:tcPr>
          <w:p w:rsidR="002634B6" w:rsidRPr="003B0DBD" w:rsidRDefault="002634B6" w:rsidP="00B40114">
            <w:pPr>
              <w:spacing w:line="240" w:lineRule="exact"/>
              <w:contextualSpacing/>
              <w:jc w:val="center"/>
              <w:rPr>
                <w:color w:val="auto"/>
                <w:sz w:val="22"/>
              </w:rPr>
            </w:pPr>
            <w:r w:rsidRPr="003B0DBD">
              <w:rPr>
                <w:color w:val="auto"/>
                <w:sz w:val="22"/>
              </w:rPr>
              <w:t>Cervical ROM</w:t>
            </w:r>
          </w:p>
        </w:tc>
        <w:tc>
          <w:tcPr>
            <w:tcW w:w="2353" w:type="dxa"/>
            <w:shd w:val="clear" w:color="auto" w:fill="D9D9D9"/>
            <w:vAlign w:val="center"/>
          </w:tcPr>
          <w:p w:rsidR="002634B6" w:rsidRPr="003B0DBD" w:rsidRDefault="003B0DBD" w:rsidP="00B40114">
            <w:pPr>
              <w:spacing w:line="240" w:lineRule="exact"/>
              <w:contextualSpacing/>
              <w:jc w:val="center"/>
              <w:rPr>
                <w:color w:val="auto"/>
                <w:sz w:val="22"/>
              </w:rPr>
            </w:pPr>
            <w:r>
              <w:rPr>
                <w:color w:val="auto"/>
                <w:sz w:val="22"/>
              </w:rPr>
              <w:t>MEB ~5 Mo.</w:t>
            </w:r>
            <w:r w:rsidR="002634B6" w:rsidRPr="003B0DBD">
              <w:rPr>
                <w:color w:val="auto"/>
                <w:sz w:val="22"/>
              </w:rPr>
              <w:t xml:space="preserve"> Pre-Sep</w:t>
            </w:r>
          </w:p>
        </w:tc>
        <w:tc>
          <w:tcPr>
            <w:tcW w:w="2370" w:type="dxa"/>
            <w:tcBorders>
              <w:right w:val="single" w:sz="4" w:space="0" w:color="auto"/>
            </w:tcBorders>
            <w:shd w:val="clear" w:color="auto" w:fill="D9D9D9"/>
            <w:vAlign w:val="center"/>
          </w:tcPr>
          <w:p w:rsidR="002634B6" w:rsidRPr="003B0DBD" w:rsidRDefault="003B0DBD" w:rsidP="00B40114">
            <w:pPr>
              <w:spacing w:line="240" w:lineRule="exact"/>
              <w:contextualSpacing/>
              <w:jc w:val="center"/>
              <w:rPr>
                <w:color w:val="auto"/>
                <w:sz w:val="22"/>
              </w:rPr>
            </w:pPr>
            <w:r>
              <w:rPr>
                <w:color w:val="auto"/>
                <w:sz w:val="22"/>
              </w:rPr>
              <w:t>VA C&amp;P ~5 Mo.</w:t>
            </w:r>
            <w:r w:rsidR="002634B6" w:rsidRPr="003B0DBD">
              <w:rPr>
                <w:color w:val="auto"/>
                <w:sz w:val="22"/>
              </w:rPr>
              <w:t xml:space="preserve"> Pre-Sep</w:t>
            </w:r>
          </w:p>
        </w:tc>
      </w:tr>
      <w:tr w:rsidR="002634B6" w:rsidRPr="003B0DBD" w:rsidTr="003B0DBD">
        <w:trPr>
          <w:trHeight w:val="170"/>
          <w:jc w:val="center"/>
        </w:trPr>
        <w:tc>
          <w:tcPr>
            <w:tcW w:w="2538" w:type="dxa"/>
            <w:vAlign w:val="center"/>
          </w:tcPr>
          <w:p w:rsidR="002634B6" w:rsidRPr="003B0DBD" w:rsidRDefault="002634B6" w:rsidP="00B40114">
            <w:pPr>
              <w:spacing w:line="240" w:lineRule="exact"/>
              <w:contextualSpacing/>
              <w:jc w:val="center"/>
              <w:rPr>
                <w:color w:val="auto"/>
                <w:sz w:val="22"/>
              </w:rPr>
            </w:pPr>
            <w:r w:rsidRPr="003B0DBD">
              <w:rPr>
                <w:color w:val="auto"/>
                <w:sz w:val="22"/>
              </w:rPr>
              <w:t xml:space="preserve">Flexion </w:t>
            </w:r>
            <w:r w:rsidR="003B0DBD">
              <w:rPr>
                <w:color w:val="auto"/>
                <w:sz w:val="22"/>
              </w:rPr>
              <w:t>(</w:t>
            </w:r>
            <w:r w:rsidRPr="003B0DBD">
              <w:rPr>
                <w:color w:val="auto"/>
                <w:sz w:val="22"/>
              </w:rPr>
              <w:t>45⁰</w:t>
            </w:r>
            <w:r w:rsidR="003B0DBD">
              <w:rPr>
                <w:color w:val="auto"/>
                <w:sz w:val="22"/>
              </w:rPr>
              <w:t xml:space="preserve"> Normal)</w:t>
            </w:r>
          </w:p>
        </w:tc>
        <w:tc>
          <w:tcPr>
            <w:tcW w:w="2353" w:type="dxa"/>
            <w:vAlign w:val="center"/>
          </w:tcPr>
          <w:p w:rsidR="002634B6" w:rsidRPr="003B0DBD" w:rsidRDefault="002634B6" w:rsidP="00B40114">
            <w:pPr>
              <w:spacing w:line="240" w:lineRule="exact"/>
              <w:contextualSpacing/>
              <w:jc w:val="center"/>
              <w:rPr>
                <w:color w:val="auto"/>
                <w:sz w:val="22"/>
              </w:rPr>
            </w:pPr>
            <w:r w:rsidRPr="003B0DBD">
              <w:rPr>
                <w:color w:val="auto"/>
                <w:sz w:val="22"/>
              </w:rPr>
              <w:t>20⁰</w:t>
            </w:r>
          </w:p>
        </w:tc>
        <w:tc>
          <w:tcPr>
            <w:tcW w:w="2370" w:type="dxa"/>
            <w:tcBorders>
              <w:right w:val="single" w:sz="4" w:space="0" w:color="auto"/>
            </w:tcBorders>
            <w:vAlign w:val="center"/>
          </w:tcPr>
          <w:p w:rsidR="002634B6" w:rsidRPr="003B0DBD" w:rsidRDefault="002634B6" w:rsidP="00B40114">
            <w:pPr>
              <w:spacing w:line="240" w:lineRule="exact"/>
              <w:contextualSpacing/>
              <w:jc w:val="center"/>
              <w:rPr>
                <w:color w:val="auto"/>
                <w:sz w:val="22"/>
              </w:rPr>
            </w:pPr>
            <w:r w:rsidRPr="003B0DBD">
              <w:rPr>
                <w:color w:val="auto"/>
                <w:sz w:val="22"/>
              </w:rPr>
              <w:t>45⁰</w:t>
            </w:r>
          </w:p>
        </w:tc>
      </w:tr>
      <w:tr w:rsidR="002634B6" w:rsidRPr="003B0DBD" w:rsidTr="003B0DBD">
        <w:trPr>
          <w:trHeight w:val="52"/>
          <w:jc w:val="center"/>
        </w:trPr>
        <w:tc>
          <w:tcPr>
            <w:tcW w:w="2538" w:type="dxa"/>
            <w:vAlign w:val="center"/>
          </w:tcPr>
          <w:p w:rsidR="002634B6" w:rsidRPr="003B0DBD" w:rsidRDefault="002634B6" w:rsidP="00B40114">
            <w:pPr>
              <w:spacing w:line="240" w:lineRule="exact"/>
              <w:contextualSpacing/>
              <w:jc w:val="center"/>
              <w:rPr>
                <w:color w:val="auto"/>
                <w:sz w:val="22"/>
              </w:rPr>
            </w:pPr>
            <w:r w:rsidRPr="003B0DBD">
              <w:rPr>
                <w:color w:val="auto"/>
                <w:sz w:val="22"/>
              </w:rPr>
              <w:t xml:space="preserve">Combined </w:t>
            </w:r>
            <w:r w:rsidR="003B0DBD">
              <w:rPr>
                <w:color w:val="auto"/>
                <w:sz w:val="22"/>
              </w:rPr>
              <w:t>(</w:t>
            </w:r>
            <w:r w:rsidRPr="003B0DBD">
              <w:rPr>
                <w:color w:val="auto"/>
                <w:sz w:val="22"/>
              </w:rPr>
              <w:t>340⁰</w:t>
            </w:r>
            <w:r w:rsidR="003B0DBD">
              <w:rPr>
                <w:color w:val="auto"/>
                <w:sz w:val="22"/>
              </w:rPr>
              <w:t xml:space="preserve"> Normal)</w:t>
            </w:r>
          </w:p>
        </w:tc>
        <w:tc>
          <w:tcPr>
            <w:tcW w:w="2353" w:type="dxa"/>
            <w:vAlign w:val="center"/>
          </w:tcPr>
          <w:p w:rsidR="002634B6" w:rsidRPr="003B0DBD" w:rsidRDefault="002634B6" w:rsidP="00B40114">
            <w:pPr>
              <w:spacing w:line="240" w:lineRule="exact"/>
              <w:contextualSpacing/>
              <w:jc w:val="center"/>
              <w:rPr>
                <w:color w:val="auto"/>
                <w:sz w:val="22"/>
              </w:rPr>
            </w:pPr>
            <w:r w:rsidRPr="003B0DBD">
              <w:rPr>
                <w:color w:val="auto"/>
                <w:sz w:val="22"/>
              </w:rPr>
              <w:t>70⁰</w:t>
            </w:r>
          </w:p>
        </w:tc>
        <w:tc>
          <w:tcPr>
            <w:tcW w:w="2370" w:type="dxa"/>
            <w:tcBorders>
              <w:right w:val="single" w:sz="4" w:space="0" w:color="auto"/>
            </w:tcBorders>
            <w:vAlign w:val="center"/>
          </w:tcPr>
          <w:p w:rsidR="002634B6" w:rsidRPr="003B0DBD" w:rsidRDefault="002634B6" w:rsidP="00B40114">
            <w:pPr>
              <w:spacing w:line="240" w:lineRule="exact"/>
              <w:contextualSpacing/>
              <w:jc w:val="center"/>
              <w:rPr>
                <w:color w:val="auto"/>
                <w:sz w:val="22"/>
              </w:rPr>
            </w:pPr>
            <w:r w:rsidRPr="003B0DBD">
              <w:rPr>
                <w:color w:val="auto"/>
                <w:sz w:val="22"/>
              </w:rPr>
              <w:t>340⁰</w:t>
            </w:r>
          </w:p>
        </w:tc>
      </w:tr>
      <w:tr w:rsidR="002634B6" w:rsidRPr="003B0DBD" w:rsidTr="003B0DBD">
        <w:trPr>
          <w:trHeight w:val="52"/>
          <w:jc w:val="center"/>
        </w:trPr>
        <w:tc>
          <w:tcPr>
            <w:tcW w:w="2538" w:type="dxa"/>
            <w:vAlign w:val="center"/>
          </w:tcPr>
          <w:p w:rsidR="002634B6" w:rsidRPr="003B0DBD" w:rsidRDefault="002634B6" w:rsidP="00B40114">
            <w:pPr>
              <w:tabs>
                <w:tab w:val="left" w:pos="288"/>
                <w:tab w:val="left" w:pos="4752"/>
              </w:tabs>
              <w:spacing w:line="240" w:lineRule="exact"/>
              <w:jc w:val="center"/>
              <w:rPr>
                <w:color w:val="auto"/>
                <w:sz w:val="22"/>
              </w:rPr>
            </w:pPr>
            <w:r w:rsidRPr="003B0DBD">
              <w:rPr>
                <w:color w:val="auto"/>
                <w:sz w:val="22"/>
              </w:rPr>
              <w:t>Comments</w:t>
            </w:r>
          </w:p>
        </w:tc>
        <w:tc>
          <w:tcPr>
            <w:tcW w:w="2353" w:type="dxa"/>
          </w:tcPr>
          <w:p w:rsidR="002634B6" w:rsidRPr="003B0DBD" w:rsidRDefault="002634B6" w:rsidP="00B40114">
            <w:pPr>
              <w:tabs>
                <w:tab w:val="left" w:pos="288"/>
                <w:tab w:val="left" w:pos="4752"/>
              </w:tabs>
              <w:spacing w:line="240" w:lineRule="exact"/>
              <w:jc w:val="center"/>
              <w:rPr>
                <w:color w:val="auto"/>
                <w:sz w:val="22"/>
              </w:rPr>
            </w:pPr>
            <w:r w:rsidRPr="003B0DBD">
              <w:rPr>
                <w:color w:val="auto"/>
                <w:sz w:val="22"/>
              </w:rPr>
              <w:t>Tenderness w/o spasm</w:t>
            </w:r>
            <w:r w:rsidR="003B0DBD">
              <w:rPr>
                <w:color w:val="auto"/>
                <w:sz w:val="22"/>
              </w:rPr>
              <w:t>.</w:t>
            </w:r>
          </w:p>
        </w:tc>
        <w:tc>
          <w:tcPr>
            <w:tcW w:w="2370" w:type="dxa"/>
            <w:tcBorders>
              <w:right w:val="single" w:sz="4" w:space="0" w:color="auto"/>
            </w:tcBorders>
          </w:tcPr>
          <w:p w:rsidR="002634B6" w:rsidRPr="003B0DBD" w:rsidRDefault="002634B6" w:rsidP="00B40114">
            <w:pPr>
              <w:tabs>
                <w:tab w:val="left" w:pos="288"/>
                <w:tab w:val="left" w:pos="4752"/>
              </w:tabs>
              <w:spacing w:line="240" w:lineRule="exact"/>
              <w:jc w:val="center"/>
              <w:rPr>
                <w:color w:val="auto"/>
                <w:sz w:val="22"/>
              </w:rPr>
            </w:pPr>
            <w:r w:rsidRPr="003B0DBD">
              <w:rPr>
                <w:color w:val="auto"/>
                <w:sz w:val="22"/>
              </w:rPr>
              <w:t>Pain at limits of motion</w:t>
            </w:r>
            <w:r w:rsidR="003B0DBD">
              <w:rPr>
                <w:color w:val="auto"/>
                <w:sz w:val="22"/>
              </w:rPr>
              <w:t>.</w:t>
            </w:r>
          </w:p>
        </w:tc>
      </w:tr>
      <w:tr w:rsidR="002634B6" w:rsidRPr="003B0DBD" w:rsidTr="003B0DBD">
        <w:trPr>
          <w:trHeight w:val="70"/>
          <w:jc w:val="center"/>
        </w:trPr>
        <w:tc>
          <w:tcPr>
            <w:tcW w:w="2538" w:type="dxa"/>
          </w:tcPr>
          <w:p w:rsidR="002634B6" w:rsidRPr="003B0DBD" w:rsidRDefault="002634B6" w:rsidP="00B40114">
            <w:pPr>
              <w:tabs>
                <w:tab w:val="left" w:pos="288"/>
                <w:tab w:val="left" w:pos="4752"/>
              </w:tabs>
              <w:spacing w:line="240" w:lineRule="exact"/>
              <w:jc w:val="center"/>
              <w:rPr>
                <w:color w:val="auto"/>
                <w:sz w:val="22"/>
              </w:rPr>
            </w:pPr>
            <w:r w:rsidRPr="003B0DBD">
              <w:rPr>
                <w:color w:val="auto"/>
                <w:sz w:val="22"/>
              </w:rPr>
              <w:t>§4.71a Rating</w:t>
            </w:r>
          </w:p>
        </w:tc>
        <w:tc>
          <w:tcPr>
            <w:tcW w:w="2353" w:type="dxa"/>
          </w:tcPr>
          <w:p w:rsidR="002634B6" w:rsidRPr="003B0DBD" w:rsidRDefault="002634B6" w:rsidP="00B40114">
            <w:pPr>
              <w:tabs>
                <w:tab w:val="left" w:pos="288"/>
                <w:tab w:val="left" w:pos="4752"/>
              </w:tabs>
              <w:spacing w:line="240" w:lineRule="exact"/>
              <w:jc w:val="center"/>
              <w:rPr>
                <w:color w:val="auto"/>
                <w:sz w:val="22"/>
              </w:rPr>
            </w:pPr>
            <w:r w:rsidRPr="003B0DBD">
              <w:rPr>
                <w:color w:val="auto"/>
                <w:sz w:val="22"/>
              </w:rPr>
              <w:t>20%</w:t>
            </w:r>
          </w:p>
        </w:tc>
        <w:tc>
          <w:tcPr>
            <w:tcW w:w="2370" w:type="dxa"/>
            <w:tcBorders>
              <w:right w:val="single" w:sz="4" w:space="0" w:color="auto"/>
            </w:tcBorders>
          </w:tcPr>
          <w:p w:rsidR="002634B6" w:rsidRPr="003B0DBD" w:rsidRDefault="002634B6" w:rsidP="00B40114">
            <w:pPr>
              <w:tabs>
                <w:tab w:val="left" w:pos="288"/>
                <w:tab w:val="left" w:pos="4752"/>
              </w:tabs>
              <w:spacing w:line="240" w:lineRule="exact"/>
              <w:jc w:val="center"/>
              <w:rPr>
                <w:color w:val="auto"/>
                <w:sz w:val="22"/>
              </w:rPr>
            </w:pPr>
            <w:r w:rsidRPr="003B0DBD">
              <w:rPr>
                <w:color w:val="auto"/>
                <w:sz w:val="22"/>
              </w:rPr>
              <w:t>10%*</w:t>
            </w:r>
          </w:p>
        </w:tc>
      </w:tr>
    </w:tbl>
    <w:p w:rsidR="002634B6" w:rsidRPr="003B0DBD" w:rsidRDefault="002634B6" w:rsidP="002634B6">
      <w:pPr>
        <w:tabs>
          <w:tab w:val="left" w:pos="4590"/>
        </w:tabs>
        <w:spacing w:line="240" w:lineRule="exact"/>
        <w:jc w:val="both"/>
        <w:rPr>
          <w:bCs/>
          <w:color w:val="auto"/>
          <w:sz w:val="18"/>
        </w:rPr>
      </w:pPr>
      <w:r w:rsidRPr="003B0DBD">
        <w:rPr>
          <w:bCs/>
          <w:color w:val="auto"/>
          <w:sz w:val="18"/>
        </w:rPr>
        <w:t xml:space="preserve">      </w:t>
      </w:r>
      <w:r w:rsidRPr="003B0DBD">
        <w:rPr>
          <w:bCs/>
          <w:color w:val="auto"/>
          <w:sz w:val="18"/>
        </w:rPr>
        <w:tab/>
      </w:r>
      <w:r w:rsidR="004414F9">
        <w:rPr>
          <w:bCs/>
          <w:color w:val="auto"/>
          <w:sz w:val="18"/>
        </w:rPr>
        <w:t xml:space="preserve">        </w:t>
      </w:r>
      <w:r w:rsidRPr="003B0DBD">
        <w:rPr>
          <w:bCs/>
          <w:color w:val="auto"/>
          <w:sz w:val="18"/>
        </w:rPr>
        <w:t xml:space="preserve">* Conceding §4.59 (painful motion) as below. </w:t>
      </w:r>
    </w:p>
    <w:p w:rsidR="002634B6" w:rsidRPr="003B0DBD" w:rsidRDefault="002634B6" w:rsidP="002634B6">
      <w:pPr>
        <w:tabs>
          <w:tab w:val="left" w:pos="288"/>
          <w:tab w:val="left" w:pos="4752"/>
        </w:tabs>
        <w:spacing w:line="240" w:lineRule="exact"/>
        <w:rPr>
          <w:color w:val="auto"/>
        </w:rPr>
      </w:pPr>
    </w:p>
    <w:p w:rsidR="00EC5833" w:rsidRDefault="005D28FD" w:rsidP="002634B6">
      <w:pPr>
        <w:tabs>
          <w:tab w:val="left" w:pos="288"/>
          <w:tab w:val="left" w:pos="4752"/>
        </w:tabs>
        <w:spacing w:line="240" w:lineRule="exact"/>
        <w:jc w:val="both"/>
        <w:rPr>
          <w:color w:val="auto"/>
        </w:rPr>
      </w:pPr>
      <w:r>
        <w:rPr>
          <w:color w:val="auto"/>
        </w:rPr>
        <w:t>T</w:t>
      </w:r>
      <w:r w:rsidR="002634B6" w:rsidRPr="003B0DBD">
        <w:rPr>
          <w:color w:val="auto"/>
        </w:rPr>
        <w:t xml:space="preserve">he MEB </w:t>
      </w:r>
      <w:r>
        <w:rPr>
          <w:color w:val="auto"/>
        </w:rPr>
        <w:t xml:space="preserve">evaluation </w:t>
      </w:r>
      <w:r w:rsidR="002634B6" w:rsidRPr="003B0DBD">
        <w:rPr>
          <w:color w:val="auto"/>
        </w:rPr>
        <w:t xml:space="preserve">and VA Compensation and Pension (C&amp;P) exam were </w:t>
      </w:r>
      <w:r>
        <w:rPr>
          <w:color w:val="auto"/>
        </w:rPr>
        <w:t>performed nine days apart</w:t>
      </w:r>
      <w:r w:rsidR="002634B6" w:rsidRPr="003B0DBD">
        <w:rPr>
          <w:color w:val="auto"/>
        </w:rPr>
        <w:t xml:space="preserve">.  The MEB physician noted a ROM significantly limited by pain.  There was tightness and tenderness to palpation of the left paracervical musculature without frank spasm.  There was no muscle atrophy of the paraspinal cervical or thoracic musculature, </w:t>
      </w:r>
      <w:proofErr w:type="gramStart"/>
      <w:r w:rsidR="00BE440C">
        <w:rPr>
          <w:color w:val="auto"/>
        </w:rPr>
        <w:t>n</w:t>
      </w:r>
      <w:r w:rsidR="00BE440C" w:rsidRPr="003B0DBD">
        <w:rPr>
          <w:color w:val="auto"/>
        </w:rPr>
        <w:t>or</w:t>
      </w:r>
      <w:proofErr w:type="gramEnd"/>
      <w:r w:rsidR="002634B6" w:rsidRPr="003B0DBD">
        <w:rPr>
          <w:color w:val="auto"/>
        </w:rPr>
        <w:t xml:space="preserve"> of the shoulder or upper extremities.  The sensory and motor exams of the upper extremities were normal.  The </w:t>
      </w:r>
      <w:r w:rsidR="00D7326B" w:rsidRPr="003B0DBD">
        <w:rPr>
          <w:color w:val="auto"/>
        </w:rPr>
        <w:t xml:space="preserve">C&amp;P </w:t>
      </w:r>
      <w:r w:rsidR="002634B6" w:rsidRPr="003B0DBD">
        <w:rPr>
          <w:color w:val="auto"/>
        </w:rPr>
        <w:t xml:space="preserve">examiner </w:t>
      </w:r>
      <w:r w:rsidR="00F06309">
        <w:rPr>
          <w:color w:val="auto"/>
        </w:rPr>
        <w:t>documented</w:t>
      </w:r>
      <w:r w:rsidR="002634B6" w:rsidRPr="003B0DBD">
        <w:rPr>
          <w:color w:val="auto"/>
        </w:rPr>
        <w:t xml:space="preserve"> a n</w:t>
      </w:r>
      <w:r w:rsidR="00D7326B" w:rsidRPr="003B0DBD">
        <w:rPr>
          <w:color w:val="auto"/>
        </w:rPr>
        <w:t>ormal posture and gait</w:t>
      </w:r>
      <w:r w:rsidR="00F06309">
        <w:rPr>
          <w:color w:val="auto"/>
        </w:rPr>
        <w:t>, but noted cervical</w:t>
      </w:r>
      <w:r w:rsidR="00D7326B" w:rsidRPr="003B0DBD">
        <w:rPr>
          <w:color w:val="auto"/>
        </w:rPr>
        <w:t xml:space="preserve"> m</w:t>
      </w:r>
      <w:r w:rsidR="00F06309">
        <w:rPr>
          <w:color w:val="auto"/>
        </w:rPr>
        <w:t>uscle spasm</w:t>
      </w:r>
      <w:r w:rsidR="00D7326B" w:rsidRPr="003B0DBD">
        <w:rPr>
          <w:color w:val="auto"/>
        </w:rPr>
        <w:t xml:space="preserve">.  The ROM was full with pain at the extremes of motion, and </w:t>
      </w:r>
      <w:r>
        <w:rPr>
          <w:color w:val="auto"/>
        </w:rPr>
        <w:t xml:space="preserve">there was </w:t>
      </w:r>
      <w:r w:rsidR="00D7326B" w:rsidRPr="003B0DBD">
        <w:rPr>
          <w:color w:val="auto"/>
        </w:rPr>
        <w:t xml:space="preserve">no </w:t>
      </w:r>
      <w:r>
        <w:rPr>
          <w:color w:val="auto"/>
        </w:rPr>
        <w:t>decrement</w:t>
      </w:r>
      <w:r w:rsidR="00D7326B" w:rsidRPr="003B0DBD">
        <w:rPr>
          <w:color w:val="auto"/>
        </w:rPr>
        <w:t xml:space="preserve"> with repetitions</w:t>
      </w:r>
      <w:r w:rsidR="002634B6" w:rsidRPr="003B0DBD">
        <w:rPr>
          <w:color w:val="auto"/>
        </w:rPr>
        <w:t xml:space="preserve">.  </w:t>
      </w:r>
      <w:r w:rsidR="001601B5" w:rsidRPr="003B0DBD">
        <w:rPr>
          <w:color w:val="auto"/>
        </w:rPr>
        <w:t xml:space="preserve">There were no motor or sensory deficits.  </w:t>
      </w:r>
      <w:r w:rsidR="002634B6" w:rsidRPr="003B0DBD">
        <w:rPr>
          <w:color w:val="auto"/>
        </w:rPr>
        <w:t xml:space="preserve">The Board first considered the VA’s rating of 10% under 5243 </w:t>
      </w:r>
      <w:r w:rsidR="002634B6" w:rsidRPr="003B0DBD">
        <w:rPr>
          <w:bCs/>
          <w:color w:val="auto"/>
        </w:rPr>
        <w:t>(intervertebral disc syndrome</w:t>
      </w:r>
      <w:r w:rsidR="002634B6" w:rsidRPr="003B0DBD">
        <w:rPr>
          <w:color w:val="auto"/>
        </w:rPr>
        <w:t xml:space="preserve">).  Without any documentation of incapacitating episodes, a rating under this code is only warranted based on the ROM in evidence.  The VA’s rating of 10% is justified based on the full but painful ROM recorded in the VA exam with application of </w:t>
      </w:r>
      <w:r w:rsidR="002634B6" w:rsidRPr="003B0DBD">
        <w:rPr>
          <w:bCs/>
          <w:color w:val="auto"/>
        </w:rPr>
        <w:t xml:space="preserve">§4.59 (painful motion). </w:t>
      </w:r>
      <w:r w:rsidR="002634B6" w:rsidRPr="003B0DBD">
        <w:rPr>
          <w:color w:val="auto"/>
        </w:rPr>
        <w:t xml:space="preserve"> The PEB’s </w:t>
      </w:r>
      <w:r w:rsidRPr="003B0DBD">
        <w:rPr>
          <w:color w:val="auto"/>
        </w:rPr>
        <w:t xml:space="preserve">20% </w:t>
      </w:r>
      <w:r w:rsidR="002634B6" w:rsidRPr="003B0DBD">
        <w:rPr>
          <w:color w:val="auto"/>
        </w:rPr>
        <w:t xml:space="preserve">rating under this code is </w:t>
      </w:r>
      <w:r w:rsidR="00EC5833">
        <w:rPr>
          <w:color w:val="auto"/>
        </w:rPr>
        <w:t>supported by the ROMs submitted by the MEB</w:t>
      </w:r>
      <w:r w:rsidR="002634B6" w:rsidRPr="003B0DBD">
        <w:rPr>
          <w:color w:val="auto"/>
        </w:rPr>
        <w:t xml:space="preserve">.  </w:t>
      </w:r>
      <w:r w:rsidR="00EC5833">
        <w:rPr>
          <w:color w:val="auto"/>
        </w:rPr>
        <w:t xml:space="preserve">IAW DoDI 6040.44, the Board does not have the latitude to recommend a lower rating than conferred by the PEB; thus, probative value assignment to these contemporary examinations is moot. </w:t>
      </w:r>
      <w:r w:rsidR="00EC5833" w:rsidRPr="003B0DBD">
        <w:rPr>
          <w:color w:val="auto"/>
        </w:rPr>
        <w:t>All evidence considered</w:t>
      </w:r>
      <w:proofErr w:type="gramStart"/>
      <w:r w:rsidR="00887B51">
        <w:rPr>
          <w:color w:val="auto"/>
        </w:rPr>
        <w:t>,</w:t>
      </w:r>
      <w:proofErr w:type="gramEnd"/>
      <w:r w:rsidR="00887B51">
        <w:rPr>
          <w:color w:val="auto"/>
        </w:rPr>
        <w:t xml:space="preserve"> </w:t>
      </w:r>
      <w:r w:rsidR="00EC5833" w:rsidRPr="003B0DBD">
        <w:rPr>
          <w:color w:val="auto"/>
        </w:rPr>
        <w:t xml:space="preserve">there is not reasonable doubt in the CI’s favor supporting a change from the PEB’s </w:t>
      </w:r>
      <w:r w:rsidR="00EC5833">
        <w:rPr>
          <w:color w:val="auto"/>
        </w:rPr>
        <w:t>adjudication of</w:t>
      </w:r>
      <w:r w:rsidR="00EC5833" w:rsidRPr="003B0DBD">
        <w:rPr>
          <w:color w:val="auto"/>
        </w:rPr>
        <w:t xml:space="preserve"> the cervical spine condition.</w:t>
      </w:r>
    </w:p>
    <w:p w:rsidR="00EC5833" w:rsidRDefault="00EC5833" w:rsidP="002634B6">
      <w:pPr>
        <w:tabs>
          <w:tab w:val="left" w:pos="288"/>
          <w:tab w:val="left" w:pos="4752"/>
        </w:tabs>
        <w:spacing w:line="240" w:lineRule="exact"/>
        <w:jc w:val="both"/>
        <w:rPr>
          <w:color w:val="auto"/>
        </w:rPr>
      </w:pPr>
    </w:p>
    <w:p w:rsidR="002634B6" w:rsidRDefault="002634B6" w:rsidP="002634B6">
      <w:pPr>
        <w:tabs>
          <w:tab w:val="left" w:pos="288"/>
          <w:tab w:val="left" w:pos="4752"/>
        </w:tabs>
        <w:spacing w:line="240" w:lineRule="exact"/>
        <w:jc w:val="both"/>
        <w:rPr>
          <w:color w:val="auto"/>
        </w:rPr>
      </w:pPr>
      <w:r w:rsidRPr="003B0DBD">
        <w:rPr>
          <w:color w:val="auto"/>
        </w:rPr>
        <w:lastRenderedPageBreak/>
        <w:t xml:space="preserve">The Board </w:t>
      </w:r>
      <w:r w:rsidR="00EC5833">
        <w:rPr>
          <w:color w:val="auto"/>
        </w:rPr>
        <w:t>further</w:t>
      </w:r>
      <w:r w:rsidRPr="003B0DBD">
        <w:rPr>
          <w:color w:val="auto"/>
        </w:rPr>
        <w:t xml:space="preserve"> considered whether an additional rating for peripheral neuropathy was warranted in this case</w:t>
      </w:r>
      <w:r w:rsidR="00EC5833">
        <w:rPr>
          <w:color w:val="auto"/>
        </w:rPr>
        <w:t>, as per the CI’s rebuttal noted above</w:t>
      </w:r>
      <w:r w:rsidR="00887B51">
        <w:rPr>
          <w:color w:val="auto"/>
        </w:rPr>
        <w:t xml:space="preserve"> </w:t>
      </w:r>
      <w:r w:rsidR="00EC5833">
        <w:rPr>
          <w:color w:val="auto"/>
        </w:rPr>
        <w:t>and acknowledging the VA’s additional rating for a left cervical neuropathy</w:t>
      </w:r>
      <w:r w:rsidRPr="003B0DBD">
        <w:rPr>
          <w:color w:val="auto"/>
        </w:rPr>
        <w:t>.  Board precedent is that a functional impairment tied to fitness is required to support a recommendation for addition of a peripheral nerve rating at separation.</w:t>
      </w:r>
      <w:r w:rsidR="00EC5833">
        <w:rPr>
          <w:color w:val="auto"/>
        </w:rPr>
        <w:t xml:space="preserve"> </w:t>
      </w:r>
      <w:r w:rsidRPr="003B0DBD">
        <w:rPr>
          <w:color w:val="auto"/>
        </w:rPr>
        <w:t xml:space="preserve"> The pain component of a radiculopathy is subsumed under the general spine rating as specified in §4.71a. </w:t>
      </w:r>
      <w:r w:rsidR="00EC5833">
        <w:rPr>
          <w:color w:val="auto"/>
        </w:rPr>
        <w:t xml:space="preserve"> </w:t>
      </w:r>
      <w:r w:rsidRPr="003B0DBD">
        <w:rPr>
          <w:color w:val="auto"/>
        </w:rPr>
        <w:t xml:space="preserve">There was no motor impairment or sensory deficit component in this case that could be linked to significant physical impairment. </w:t>
      </w:r>
      <w:r w:rsidR="00EC5833">
        <w:rPr>
          <w:color w:val="auto"/>
        </w:rPr>
        <w:t xml:space="preserve"> </w:t>
      </w:r>
      <w:r w:rsidRPr="003B0DBD">
        <w:rPr>
          <w:color w:val="auto"/>
        </w:rPr>
        <w:t xml:space="preserve">Since no evidence of functional impairment exists in this case, the Board cannot support a recommendation for additional rating based on peripheral nerve impairment.  </w:t>
      </w:r>
    </w:p>
    <w:p w:rsidR="005617F7" w:rsidRPr="00664296" w:rsidRDefault="005617F7" w:rsidP="00664296">
      <w:pPr>
        <w:tabs>
          <w:tab w:val="left" w:pos="288"/>
          <w:tab w:val="left" w:pos="4752"/>
        </w:tabs>
        <w:spacing w:line="240" w:lineRule="exact"/>
        <w:rPr>
          <w:color w:val="auto"/>
        </w:rPr>
      </w:pPr>
    </w:p>
    <w:p w:rsidR="005617F7" w:rsidRPr="00664296" w:rsidRDefault="005617F7" w:rsidP="0079315F">
      <w:pPr>
        <w:spacing w:line="240" w:lineRule="exact"/>
        <w:jc w:val="both"/>
        <w:rPr>
          <w:rFonts w:eastAsia="HiddenHorzOCR"/>
          <w:color w:val="auto"/>
        </w:rPr>
      </w:pPr>
      <w:r w:rsidRPr="00664296">
        <w:rPr>
          <w:rFonts w:eastAsia="HiddenHorzOCR"/>
          <w:color w:val="auto"/>
          <w:u w:val="single"/>
        </w:rPr>
        <w:t xml:space="preserve">Other </w:t>
      </w:r>
      <w:proofErr w:type="gramStart"/>
      <w:r w:rsidRPr="00664296">
        <w:rPr>
          <w:rFonts w:eastAsia="HiddenHorzOCR"/>
          <w:color w:val="auto"/>
          <w:u w:val="single"/>
        </w:rPr>
        <w:t>PEB  Conditions</w:t>
      </w:r>
      <w:proofErr w:type="gramEnd"/>
      <w:r w:rsidRPr="00664296">
        <w:rPr>
          <w:rFonts w:eastAsia="HiddenHorzOCR"/>
          <w:color w:val="auto"/>
        </w:rPr>
        <w:t xml:space="preserve">.  The other condition forwarded by the MEB and adjudicated as not unfitting by the PEB was low back pain.  This condition was not profiled, implicated in the </w:t>
      </w:r>
      <w:r w:rsidR="00887B51">
        <w:rPr>
          <w:rFonts w:eastAsia="HiddenHorzOCR"/>
          <w:color w:val="auto"/>
        </w:rPr>
        <w:t>c</w:t>
      </w:r>
      <w:r w:rsidRPr="0079315F">
        <w:rPr>
          <w:rFonts w:eastAsia="HiddenHorzOCR"/>
          <w:color w:val="auto"/>
        </w:rPr>
        <w:t>ommander’s statement</w:t>
      </w:r>
      <w:r w:rsidRPr="00664296">
        <w:rPr>
          <w:rFonts w:eastAsia="HiddenHorzOCR"/>
          <w:color w:val="auto"/>
        </w:rPr>
        <w:t xml:space="preserve"> or noted as failing retention standards.  It was reviewed by the </w:t>
      </w:r>
      <w:r w:rsidR="00887B51">
        <w:rPr>
          <w:rFonts w:eastAsia="HiddenHorzOCR"/>
          <w:color w:val="auto"/>
        </w:rPr>
        <w:t>a</w:t>
      </w:r>
      <w:r w:rsidR="00FF6C8F" w:rsidRPr="00664296">
        <w:rPr>
          <w:rFonts w:eastAsia="HiddenHorzOCR"/>
          <w:color w:val="auto"/>
        </w:rPr>
        <w:t xml:space="preserve">ction </w:t>
      </w:r>
      <w:r w:rsidR="00887B51">
        <w:rPr>
          <w:rFonts w:eastAsia="HiddenHorzOCR"/>
          <w:color w:val="auto"/>
        </w:rPr>
        <w:t>o</w:t>
      </w:r>
      <w:r w:rsidR="00FF6C8F" w:rsidRPr="00664296">
        <w:rPr>
          <w:rFonts w:eastAsia="HiddenHorzOCR"/>
          <w:color w:val="auto"/>
        </w:rPr>
        <w:t xml:space="preserve">fficer </w:t>
      </w:r>
      <w:r w:rsidRPr="00664296">
        <w:rPr>
          <w:rFonts w:eastAsia="HiddenHorzOCR"/>
          <w:color w:val="auto"/>
        </w:rPr>
        <w:t xml:space="preserve">and considered by the Board.  There was no indication from the record that this condition significantly interfered with satisfactory duty </w:t>
      </w:r>
      <w:r w:rsidRPr="0079315F">
        <w:rPr>
          <w:rFonts w:eastAsia="HiddenHorzOCR"/>
          <w:color w:val="auto"/>
        </w:rPr>
        <w:t>performance</w:t>
      </w:r>
      <w:r w:rsidRPr="00664296">
        <w:rPr>
          <w:rFonts w:eastAsia="HiddenHorzOCR"/>
          <w:color w:val="auto"/>
        </w:rPr>
        <w:t>.  All evidence considered</w:t>
      </w:r>
      <w:proofErr w:type="gramStart"/>
      <w:r w:rsidRPr="00664296">
        <w:rPr>
          <w:rFonts w:eastAsia="HiddenHorzOCR"/>
          <w:color w:val="auto"/>
        </w:rPr>
        <w:t>,</w:t>
      </w:r>
      <w:proofErr w:type="gramEnd"/>
      <w:r w:rsidRPr="00664296">
        <w:rPr>
          <w:rFonts w:eastAsia="HiddenHorzOCR"/>
          <w:color w:val="auto"/>
        </w:rPr>
        <w:t xml:space="preserve"> there is not reasonable doubt in the CI’s favor supporting recharacterization of the PEB fitness adjudication for this condition.</w:t>
      </w:r>
    </w:p>
    <w:p w:rsidR="005617F7" w:rsidRPr="00664296" w:rsidRDefault="005617F7" w:rsidP="00664296">
      <w:pPr>
        <w:spacing w:line="240" w:lineRule="exact"/>
        <w:jc w:val="both"/>
        <w:rPr>
          <w:rFonts w:eastAsia="HiddenHorzOCR"/>
          <w:color w:val="auto"/>
        </w:rPr>
      </w:pPr>
    </w:p>
    <w:p w:rsidR="005617F7" w:rsidRPr="00664296" w:rsidRDefault="005617F7" w:rsidP="0079315F">
      <w:pPr>
        <w:spacing w:line="240" w:lineRule="exact"/>
        <w:jc w:val="both"/>
        <w:rPr>
          <w:color w:val="auto"/>
        </w:rPr>
      </w:pPr>
      <w:proofErr w:type="gramStart"/>
      <w:r w:rsidRPr="004F6FF9">
        <w:rPr>
          <w:color w:val="auto"/>
          <w:u w:val="single"/>
        </w:rPr>
        <w:t>Remaining Conditions</w:t>
      </w:r>
      <w:r w:rsidRPr="004F6FF9">
        <w:rPr>
          <w:color w:val="auto"/>
        </w:rPr>
        <w:t>.</w:t>
      </w:r>
      <w:proofErr w:type="gramEnd"/>
      <w:r w:rsidRPr="004F6FF9">
        <w:rPr>
          <w:color w:val="auto"/>
        </w:rPr>
        <w:t xml:space="preserve">  </w:t>
      </w:r>
      <w:r w:rsidR="00BE4E2F" w:rsidRPr="004F6FF9">
        <w:rPr>
          <w:color w:val="auto"/>
        </w:rPr>
        <w:t xml:space="preserve">Other conditions identified in the DES file were </w:t>
      </w:r>
      <w:r w:rsidR="004F6FF9" w:rsidRPr="004F6FF9">
        <w:rPr>
          <w:rFonts w:eastAsia="HiddenHorzOCR"/>
          <w:color w:val="auto"/>
        </w:rPr>
        <w:t>migraine headaches</w:t>
      </w:r>
      <w:r w:rsidR="00BE4E2F" w:rsidRPr="004F6FF9">
        <w:rPr>
          <w:color w:val="auto"/>
        </w:rPr>
        <w:t xml:space="preserve">, </w:t>
      </w:r>
      <w:r w:rsidR="004F6FF9" w:rsidRPr="004F6FF9">
        <w:rPr>
          <w:rFonts w:eastAsia="HiddenHorzOCR"/>
          <w:color w:val="auto"/>
        </w:rPr>
        <w:t>right ankle sprain,</w:t>
      </w:r>
      <w:r w:rsidR="004F6FF9" w:rsidRPr="004F6FF9">
        <w:rPr>
          <w:color w:val="auto"/>
        </w:rPr>
        <w:t xml:space="preserve"> </w:t>
      </w:r>
      <w:r w:rsidR="004F6FF9" w:rsidRPr="004F6FF9">
        <w:rPr>
          <w:rFonts w:eastAsia="HiddenHorzOCR"/>
          <w:color w:val="auto"/>
        </w:rPr>
        <w:t>hiatal hernia</w:t>
      </w:r>
      <w:r w:rsidR="004F6FF9" w:rsidRPr="004F6FF9">
        <w:rPr>
          <w:color w:val="auto"/>
        </w:rPr>
        <w:t xml:space="preserve"> </w:t>
      </w:r>
      <w:r w:rsidR="00BE4E2F" w:rsidRPr="00A75062">
        <w:rPr>
          <w:color w:val="auto"/>
        </w:rPr>
        <w:t xml:space="preserve">and </w:t>
      </w:r>
      <w:r w:rsidR="00A75062" w:rsidRPr="00A75062">
        <w:rPr>
          <w:color w:val="auto"/>
        </w:rPr>
        <w:t>pseudofolliculitis barbae</w:t>
      </w:r>
      <w:r w:rsidR="00BE4E2F" w:rsidRPr="00A75062">
        <w:rPr>
          <w:color w:val="auto"/>
        </w:rPr>
        <w:t>.  Several additional</w:t>
      </w:r>
      <w:r w:rsidR="00BE4E2F" w:rsidRPr="004F6FF9">
        <w:rPr>
          <w:color w:val="auto"/>
        </w:rPr>
        <w:t xml:space="preserve"> non-acute conditions or medical complaints were also documented.  None of these conditions were significantly clinically or occupational</w:t>
      </w:r>
      <w:r w:rsidR="00FF6C8F">
        <w:rPr>
          <w:color w:val="auto"/>
        </w:rPr>
        <w:t>ly active during the MEB period;</w:t>
      </w:r>
      <w:r w:rsidR="00BE4E2F" w:rsidRPr="004F6FF9">
        <w:rPr>
          <w:color w:val="auto"/>
        </w:rPr>
        <w:t xml:space="preserve"> none carried attached </w:t>
      </w:r>
      <w:r w:rsidR="004F6FF9" w:rsidRPr="004F6FF9">
        <w:rPr>
          <w:color w:val="auto"/>
        </w:rPr>
        <w:t xml:space="preserve">permanent </w:t>
      </w:r>
      <w:r w:rsidR="00FF6C8F">
        <w:rPr>
          <w:color w:val="auto"/>
        </w:rPr>
        <w:t>profiles;</w:t>
      </w:r>
      <w:r w:rsidR="00BE4E2F" w:rsidRPr="004F6FF9">
        <w:rPr>
          <w:color w:val="auto"/>
        </w:rPr>
        <w:t xml:space="preserve"> and</w:t>
      </w:r>
      <w:r w:rsidR="00FF6C8F">
        <w:rPr>
          <w:color w:val="auto"/>
        </w:rPr>
        <w:t xml:space="preserve">, none were implicated in the </w:t>
      </w:r>
      <w:r w:rsidR="00BE440C">
        <w:rPr>
          <w:color w:val="auto"/>
        </w:rPr>
        <w:t>c</w:t>
      </w:r>
      <w:r w:rsidR="00BE4E2F" w:rsidRPr="004F6FF9">
        <w:rPr>
          <w:color w:val="auto"/>
        </w:rPr>
        <w:t xml:space="preserve">ommander’s statement.  These conditions were reviewed by the </w:t>
      </w:r>
      <w:r w:rsidR="00BE440C">
        <w:rPr>
          <w:rFonts w:eastAsia="HiddenHorzOCR"/>
          <w:color w:val="auto"/>
        </w:rPr>
        <w:t>action o</w:t>
      </w:r>
      <w:r w:rsidR="00FF6C8F" w:rsidRPr="00664296">
        <w:rPr>
          <w:rFonts w:eastAsia="HiddenHorzOCR"/>
          <w:color w:val="auto"/>
        </w:rPr>
        <w:t>fficer</w:t>
      </w:r>
      <w:r w:rsidR="00BE4E2F" w:rsidRPr="004F6FF9">
        <w:rPr>
          <w:color w:val="auto"/>
        </w:rPr>
        <w:t xml:space="preserve"> and considered by the Board.  It was determined that none could be argued as unfitting and subject to separation rating.  Additionally</w:t>
      </w:r>
      <w:r w:rsidR="00BE4E2F" w:rsidRPr="004F6FF9">
        <w:rPr>
          <w:rFonts w:eastAsia="HiddenHorzOCR"/>
          <w:color w:val="auto"/>
        </w:rPr>
        <w:t>, tinnitus,</w:t>
      </w:r>
      <w:r w:rsidR="004F6FF9" w:rsidRPr="004F6FF9">
        <w:rPr>
          <w:rFonts w:eastAsia="HiddenHorzOCR"/>
          <w:color w:val="auto"/>
        </w:rPr>
        <w:t xml:space="preserve"> </w:t>
      </w:r>
      <w:r w:rsidR="00BE4E2F" w:rsidRPr="004F6FF9">
        <w:rPr>
          <w:rFonts w:eastAsia="HiddenHorzOCR"/>
          <w:color w:val="auto"/>
        </w:rPr>
        <w:t xml:space="preserve">bilateral pes planus, hearing loss, traumatic nasal </w:t>
      </w:r>
      <w:proofErr w:type="spellStart"/>
      <w:r w:rsidR="00BE4E2F" w:rsidRPr="004F6FF9">
        <w:rPr>
          <w:rFonts w:eastAsia="HiddenHorzOCR"/>
          <w:color w:val="auto"/>
        </w:rPr>
        <w:t>septal</w:t>
      </w:r>
      <w:proofErr w:type="spellEnd"/>
      <w:r w:rsidR="00BE4E2F" w:rsidRPr="004F6FF9">
        <w:rPr>
          <w:rFonts w:eastAsia="HiddenHorzOCR"/>
          <w:color w:val="auto"/>
        </w:rPr>
        <w:t xml:space="preserve"> deviation, erectile dysfunction, a scar on the upper left leg </w:t>
      </w:r>
      <w:r w:rsidR="00BE4E2F" w:rsidRPr="004F6FF9">
        <w:rPr>
          <w:color w:val="auto"/>
        </w:rPr>
        <w:t xml:space="preserve">and several other non-acute conditions were noted </w:t>
      </w:r>
      <w:r w:rsidR="00FF6C8F">
        <w:rPr>
          <w:color w:val="auto"/>
        </w:rPr>
        <w:t>by</w:t>
      </w:r>
      <w:r w:rsidR="00BE4E2F" w:rsidRPr="004F6FF9">
        <w:rPr>
          <w:color w:val="auto"/>
        </w:rPr>
        <w:t xml:space="preserve"> the VA proximal to separation, but were not documented in the DES file.  The Board does not have the authority under DoDI 6040.44 to render fitness or rating recommendations for any conditions not considered by the DES.  The Board therefore has no reasonable basis for recommending any additional unfitting conditions for separation rating.</w:t>
      </w:r>
    </w:p>
    <w:p w:rsidR="005617F7" w:rsidRPr="00391858" w:rsidRDefault="005617F7" w:rsidP="00F1737C">
      <w:pPr>
        <w:pBdr>
          <w:bottom w:val="single" w:sz="12" w:space="1" w:color="auto"/>
        </w:pBdr>
        <w:tabs>
          <w:tab w:val="left" w:pos="288"/>
          <w:tab w:val="left" w:pos="4752"/>
        </w:tabs>
        <w:spacing w:line="240" w:lineRule="exact"/>
        <w:jc w:val="both"/>
        <w:rPr>
          <w:b/>
          <w:color w:val="auto"/>
          <w:u w:val="single"/>
        </w:rPr>
      </w:pPr>
    </w:p>
    <w:p w:rsidR="005617F7" w:rsidRDefault="005617F7" w:rsidP="00F1737C">
      <w:pPr>
        <w:spacing w:line="240" w:lineRule="exact"/>
        <w:rPr>
          <w:b/>
          <w:color w:val="auto"/>
          <w:u w:val="single"/>
        </w:rPr>
      </w:pPr>
    </w:p>
    <w:p w:rsidR="005617F7" w:rsidRPr="00664296" w:rsidRDefault="005617F7" w:rsidP="0079315F">
      <w:pPr>
        <w:spacing w:line="240" w:lineRule="exact"/>
        <w:jc w:val="both"/>
        <w:rPr>
          <w:color w:val="auto"/>
        </w:rPr>
      </w:pPr>
      <w:r w:rsidRPr="009C78FD">
        <w:rPr>
          <w:color w:val="auto"/>
          <w:u w:val="single"/>
        </w:rPr>
        <w:t>BOARD FINDINGS</w:t>
      </w:r>
      <w:r w:rsidRPr="009C78FD">
        <w:rPr>
          <w:color w:val="auto"/>
        </w:rPr>
        <w:t>:  IAW DoDI 6040.44, provisions of DoD or Military Department regulations or guidelines relied upon by the PEB will not be considered by the Board to the extent they were inconsistent with the VASRD in effect at the time of the adjudication.</w:t>
      </w:r>
      <w:r>
        <w:rPr>
          <w:color w:val="auto"/>
        </w:rPr>
        <w:t xml:space="preserve">  </w:t>
      </w:r>
      <w:r w:rsidR="004F6FF9" w:rsidRPr="004F6FF9">
        <w:rPr>
          <w:color w:val="auto"/>
        </w:rPr>
        <w:t>The Board did not surmise from the record or PEB ruling in this case that any prerogatives outside the VASRD were exercised.</w:t>
      </w:r>
      <w:r w:rsidR="004F6FF9">
        <w:rPr>
          <w:color w:val="auto"/>
        </w:rPr>
        <w:t xml:space="preserve">  </w:t>
      </w:r>
      <w:r w:rsidRPr="00664296">
        <w:rPr>
          <w:color w:val="auto"/>
        </w:rPr>
        <w:t xml:space="preserve">In the matter of the cervical </w:t>
      </w:r>
      <w:r w:rsidR="00967F7D">
        <w:rPr>
          <w:color w:val="auto"/>
        </w:rPr>
        <w:t>disc</w:t>
      </w:r>
      <w:r w:rsidRPr="00664296">
        <w:rPr>
          <w:color w:val="auto"/>
        </w:rPr>
        <w:t xml:space="preserve"> condition and IAW </w:t>
      </w:r>
      <w:r w:rsidRPr="0079315F">
        <w:rPr>
          <w:color w:val="auto"/>
        </w:rPr>
        <w:t>VASRD §4.71a, the Board unanimously</w:t>
      </w:r>
      <w:r w:rsidRPr="00664296">
        <w:rPr>
          <w:color w:val="auto"/>
        </w:rPr>
        <w:t xml:space="preserve"> recommends no change in the PEB adjudication.  </w:t>
      </w:r>
      <w:r w:rsidRPr="0079315F">
        <w:rPr>
          <w:color w:val="auto"/>
        </w:rPr>
        <w:t xml:space="preserve">In the matter of the low back condition, the Board unanimously recommends no change from the PEB adjudication as not unfitting.  In the matter of the </w:t>
      </w:r>
      <w:r w:rsidRPr="0079315F">
        <w:rPr>
          <w:rFonts w:eastAsia="HiddenHorzOCR"/>
          <w:color w:val="auto"/>
        </w:rPr>
        <w:t>migraine headaches, right ankle sprain,</w:t>
      </w:r>
      <w:r w:rsidRPr="0079315F">
        <w:rPr>
          <w:color w:val="auto"/>
        </w:rPr>
        <w:t xml:space="preserve"> </w:t>
      </w:r>
      <w:r w:rsidR="004F6FF9" w:rsidRPr="004F6FF9">
        <w:rPr>
          <w:rFonts w:eastAsia="HiddenHorzOCR"/>
          <w:color w:val="auto"/>
        </w:rPr>
        <w:t>hiatal hernia</w:t>
      </w:r>
      <w:r w:rsidR="004F6FF9">
        <w:rPr>
          <w:rFonts w:eastAsia="HiddenHorzOCR"/>
          <w:color w:val="auto"/>
        </w:rPr>
        <w:t>,</w:t>
      </w:r>
      <w:r w:rsidR="004F6FF9" w:rsidRPr="004F6FF9">
        <w:rPr>
          <w:color w:val="auto"/>
        </w:rPr>
        <w:t xml:space="preserve"> </w:t>
      </w:r>
      <w:r w:rsidR="00A75062" w:rsidRPr="00A75062">
        <w:rPr>
          <w:color w:val="auto"/>
        </w:rPr>
        <w:t>pseudofolliculitis barbae</w:t>
      </w:r>
      <w:r w:rsidR="004F6FF9" w:rsidRPr="0079315F">
        <w:rPr>
          <w:color w:val="auto"/>
        </w:rPr>
        <w:t xml:space="preserve"> </w:t>
      </w:r>
      <w:r w:rsidRPr="0079315F">
        <w:rPr>
          <w:color w:val="auto"/>
        </w:rPr>
        <w:t>or any other medical conditions eligible for Board consideration; the Board unanimously agrees that it cannot</w:t>
      </w:r>
      <w:r w:rsidRPr="0079315F">
        <w:rPr>
          <w:color w:val="000080"/>
        </w:rPr>
        <w:t xml:space="preserve"> </w:t>
      </w:r>
      <w:r w:rsidRPr="0079315F">
        <w:rPr>
          <w:color w:val="auto"/>
        </w:rPr>
        <w:t>recommend any findings of unfit for additional rating at separation.  The Board unanimously agrees that there were no other conditions eligible for Board consideration which could be recommended as additionally unfitting for rating at separation.</w:t>
      </w:r>
    </w:p>
    <w:p w:rsidR="005617F7" w:rsidRPr="00391858" w:rsidRDefault="005617F7" w:rsidP="00664296">
      <w:pPr>
        <w:pBdr>
          <w:bottom w:val="single" w:sz="12" w:space="1" w:color="auto"/>
        </w:pBdr>
        <w:tabs>
          <w:tab w:val="left" w:pos="288"/>
          <w:tab w:val="left" w:pos="4752"/>
        </w:tabs>
        <w:spacing w:line="240" w:lineRule="exact"/>
        <w:jc w:val="both"/>
        <w:rPr>
          <w:b/>
          <w:color w:val="auto"/>
          <w:u w:val="single"/>
        </w:rPr>
      </w:pPr>
    </w:p>
    <w:p w:rsidR="005617F7" w:rsidRDefault="005617F7" w:rsidP="00664296">
      <w:pPr>
        <w:spacing w:line="240" w:lineRule="exact"/>
        <w:rPr>
          <w:b/>
          <w:color w:val="auto"/>
          <w:u w:val="single"/>
        </w:rPr>
      </w:pPr>
    </w:p>
    <w:p w:rsidR="00233B3B" w:rsidRDefault="00233B3B">
      <w:pPr>
        <w:rPr>
          <w:color w:val="auto"/>
          <w:u w:val="single"/>
        </w:rPr>
      </w:pPr>
      <w:r>
        <w:rPr>
          <w:color w:val="auto"/>
          <w:u w:val="single"/>
        </w:rPr>
        <w:br w:type="page"/>
      </w:r>
    </w:p>
    <w:p w:rsidR="005617F7" w:rsidRDefault="005617F7" w:rsidP="0079315F">
      <w:pPr>
        <w:spacing w:line="240" w:lineRule="exact"/>
        <w:rPr>
          <w:color w:val="auto"/>
        </w:rPr>
      </w:pPr>
      <w:r w:rsidRPr="00396779">
        <w:rPr>
          <w:color w:val="auto"/>
          <w:u w:val="single"/>
        </w:rPr>
        <w:lastRenderedPageBreak/>
        <w:t>RECOMMENDATION</w:t>
      </w:r>
      <w:r w:rsidRPr="00396779">
        <w:rPr>
          <w:color w:val="auto"/>
        </w:rPr>
        <w:t>:</w:t>
      </w:r>
      <w:r w:rsidRPr="00396779">
        <w:rPr>
          <w:color w:val="000080"/>
        </w:rPr>
        <w:t xml:space="preserve"> </w:t>
      </w:r>
      <w:r w:rsidRPr="00B427BB">
        <w:rPr>
          <w:color w:val="auto"/>
        </w:rPr>
        <w:t xml:space="preserve"> </w:t>
      </w:r>
      <w:r w:rsidRPr="00396779">
        <w:rPr>
          <w:color w:val="auto"/>
        </w:rPr>
        <w:t>The Board</w:t>
      </w:r>
      <w:r>
        <w:rPr>
          <w:color w:val="auto"/>
        </w:rPr>
        <w:t>,</w:t>
      </w:r>
      <w:r w:rsidRPr="00396779">
        <w:rPr>
          <w:color w:val="auto"/>
        </w:rPr>
        <w:t xml:space="preserve"> therefore</w:t>
      </w:r>
      <w:r>
        <w:rPr>
          <w:color w:val="auto"/>
        </w:rPr>
        <w:t>,</w:t>
      </w:r>
      <w:r w:rsidRPr="00396779">
        <w:rPr>
          <w:color w:val="auto"/>
        </w:rPr>
        <w:t xml:space="preserve"> recommends that there be no recharacterization of the CI’s </w:t>
      </w:r>
      <w:r w:rsidRPr="00B427BB">
        <w:rPr>
          <w:color w:val="auto"/>
        </w:rPr>
        <w:t>disability and separation determination</w:t>
      </w:r>
      <w:r>
        <w:rPr>
          <w:color w:val="auto"/>
        </w:rPr>
        <w:t xml:space="preserve">, as follows: </w:t>
      </w:r>
    </w:p>
    <w:p w:rsidR="005617F7" w:rsidRDefault="005617F7" w:rsidP="00510F9C">
      <w:pPr>
        <w:spacing w:line="240" w:lineRule="exact"/>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0"/>
        <w:gridCol w:w="1530"/>
        <w:gridCol w:w="1080"/>
      </w:tblGrid>
      <w:tr w:rsidR="005617F7" w:rsidRPr="00AF01B2" w:rsidTr="00A75062">
        <w:trPr>
          <w:trHeight w:val="233"/>
          <w:jc w:val="center"/>
        </w:trPr>
        <w:tc>
          <w:tcPr>
            <w:tcW w:w="6750" w:type="dxa"/>
            <w:shd w:val="clear" w:color="auto" w:fill="D9D9D9"/>
            <w:vAlign w:val="center"/>
          </w:tcPr>
          <w:p w:rsidR="005617F7" w:rsidRPr="00AF01B2" w:rsidRDefault="005617F7" w:rsidP="00103948">
            <w:pPr>
              <w:tabs>
                <w:tab w:val="left" w:pos="288"/>
                <w:tab w:val="left" w:pos="4752"/>
              </w:tabs>
              <w:spacing w:line="240" w:lineRule="exact"/>
              <w:jc w:val="center"/>
              <w:rPr>
                <w:b/>
                <w:color w:val="auto"/>
              </w:rPr>
            </w:pPr>
            <w:r w:rsidRPr="00AF01B2">
              <w:rPr>
                <w:b/>
                <w:color w:val="auto"/>
              </w:rPr>
              <w:t>UNFITTING CONDITION</w:t>
            </w:r>
          </w:p>
        </w:tc>
        <w:tc>
          <w:tcPr>
            <w:tcW w:w="1530" w:type="dxa"/>
            <w:shd w:val="clear" w:color="auto" w:fill="D9D9D9"/>
            <w:vAlign w:val="center"/>
          </w:tcPr>
          <w:p w:rsidR="005617F7" w:rsidRPr="00AF01B2" w:rsidRDefault="005617F7" w:rsidP="00103948">
            <w:pPr>
              <w:tabs>
                <w:tab w:val="left" w:pos="288"/>
                <w:tab w:val="left" w:pos="4752"/>
              </w:tabs>
              <w:spacing w:line="240" w:lineRule="exact"/>
              <w:jc w:val="center"/>
              <w:rPr>
                <w:b/>
                <w:color w:val="auto"/>
              </w:rPr>
            </w:pPr>
            <w:r w:rsidRPr="00AF01B2">
              <w:rPr>
                <w:b/>
                <w:color w:val="auto"/>
              </w:rPr>
              <w:t>VASRD CODE</w:t>
            </w:r>
          </w:p>
        </w:tc>
        <w:tc>
          <w:tcPr>
            <w:tcW w:w="1080" w:type="dxa"/>
            <w:shd w:val="clear" w:color="auto" w:fill="D9D9D9"/>
            <w:vAlign w:val="center"/>
          </w:tcPr>
          <w:p w:rsidR="005617F7" w:rsidRPr="00AF01B2" w:rsidRDefault="005617F7" w:rsidP="00103948">
            <w:pPr>
              <w:tabs>
                <w:tab w:val="left" w:pos="288"/>
                <w:tab w:val="left" w:pos="4752"/>
              </w:tabs>
              <w:spacing w:line="240" w:lineRule="exact"/>
              <w:jc w:val="center"/>
              <w:rPr>
                <w:b/>
                <w:color w:val="auto"/>
              </w:rPr>
            </w:pPr>
            <w:r w:rsidRPr="00AF01B2">
              <w:rPr>
                <w:b/>
                <w:color w:val="auto"/>
              </w:rPr>
              <w:t>RATING</w:t>
            </w:r>
          </w:p>
        </w:tc>
      </w:tr>
      <w:tr w:rsidR="005617F7" w:rsidRPr="00AF01B2" w:rsidTr="00A75062">
        <w:trPr>
          <w:jc w:val="center"/>
        </w:trPr>
        <w:tc>
          <w:tcPr>
            <w:tcW w:w="6750" w:type="dxa"/>
            <w:vAlign w:val="center"/>
          </w:tcPr>
          <w:p w:rsidR="005617F7" w:rsidRPr="00AF01B2" w:rsidRDefault="00A75062" w:rsidP="00A75062">
            <w:pPr>
              <w:tabs>
                <w:tab w:val="left" w:pos="288"/>
                <w:tab w:val="left" w:pos="4752"/>
              </w:tabs>
              <w:spacing w:line="240" w:lineRule="exact"/>
              <w:rPr>
                <w:color w:val="auto"/>
              </w:rPr>
            </w:pPr>
            <w:r>
              <w:rPr>
                <w:color w:val="auto"/>
              </w:rPr>
              <w:t xml:space="preserve">Degenerative Disc Disease, </w:t>
            </w:r>
            <w:r w:rsidR="005617F7" w:rsidRPr="00AF01B2">
              <w:rPr>
                <w:color w:val="auto"/>
              </w:rPr>
              <w:t>Cervical Spine</w:t>
            </w:r>
          </w:p>
        </w:tc>
        <w:tc>
          <w:tcPr>
            <w:tcW w:w="1530" w:type="dxa"/>
            <w:vAlign w:val="center"/>
          </w:tcPr>
          <w:p w:rsidR="005617F7" w:rsidRPr="00AF01B2" w:rsidRDefault="005617F7" w:rsidP="00103948">
            <w:pPr>
              <w:tabs>
                <w:tab w:val="left" w:pos="288"/>
                <w:tab w:val="left" w:pos="4752"/>
              </w:tabs>
              <w:spacing w:line="240" w:lineRule="exact"/>
              <w:jc w:val="center"/>
              <w:rPr>
                <w:color w:val="auto"/>
              </w:rPr>
            </w:pPr>
            <w:r>
              <w:rPr>
                <w:color w:val="auto"/>
              </w:rPr>
              <w:t>5243</w:t>
            </w:r>
          </w:p>
        </w:tc>
        <w:tc>
          <w:tcPr>
            <w:tcW w:w="1080" w:type="dxa"/>
            <w:vAlign w:val="center"/>
          </w:tcPr>
          <w:p w:rsidR="005617F7" w:rsidRPr="00AF01B2" w:rsidRDefault="005617F7" w:rsidP="00103948">
            <w:pPr>
              <w:tabs>
                <w:tab w:val="left" w:pos="288"/>
                <w:tab w:val="left" w:pos="4752"/>
              </w:tabs>
              <w:spacing w:line="240" w:lineRule="exact"/>
              <w:jc w:val="center"/>
              <w:rPr>
                <w:color w:val="auto"/>
              </w:rPr>
            </w:pPr>
            <w:r>
              <w:rPr>
                <w:color w:val="auto"/>
              </w:rPr>
              <w:t>20</w:t>
            </w:r>
            <w:r w:rsidRPr="00AF01B2">
              <w:rPr>
                <w:color w:val="auto"/>
              </w:rPr>
              <w:t>%</w:t>
            </w:r>
          </w:p>
        </w:tc>
      </w:tr>
      <w:tr w:rsidR="005617F7" w:rsidRPr="00AF01B2" w:rsidTr="00A75062">
        <w:tblPrEx>
          <w:tblLook w:val="0000"/>
        </w:tblPrEx>
        <w:trPr>
          <w:gridBefore w:val="1"/>
          <w:wBefore w:w="6750" w:type="dxa"/>
          <w:trHeight w:val="152"/>
          <w:jc w:val="center"/>
        </w:trPr>
        <w:tc>
          <w:tcPr>
            <w:tcW w:w="1530" w:type="dxa"/>
            <w:tcBorders>
              <w:left w:val="single" w:sz="4" w:space="0" w:color="auto"/>
            </w:tcBorders>
            <w:shd w:val="clear" w:color="auto" w:fill="D9D9D9"/>
            <w:vAlign w:val="center"/>
          </w:tcPr>
          <w:p w:rsidR="005617F7" w:rsidRPr="00AF01B2" w:rsidRDefault="005617F7" w:rsidP="00103948">
            <w:pPr>
              <w:tabs>
                <w:tab w:val="left" w:pos="288"/>
                <w:tab w:val="left" w:pos="4752"/>
              </w:tabs>
              <w:spacing w:line="240" w:lineRule="exact"/>
              <w:jc w:val="center"/>
              <w:rPr>
                <w:b/>
                <w:color w:val="auto"/>
              </w:rPr>
            </w:pPr>
            <w:r w:rsidRPr="00AF01B2">
              <w:rPr>
                <w:b/>
                <w:color w:val="auto"/>
              </w:rPr>
              <w:t>COMBINED</w:t>
            </w:r>
          </w:p>
        </w:tc>
        <w:tc>
          <w:tcPr>
            <w:tcW w:w="1080" w:type="dxa"/>
            <w:shd w:val="clear" w:color="auto" w:fill="D9D9D9"/>
            <w:vAlign w:val="center"/>
          </w:tcPr>
          <w:p w:rsidR="005617F7" w:rsidRPr="00AF01B2" w:rsidRDefault="005617F7" w:rsidP="00103948">
            <w:pPr>
              <w:tabs>
                <w:tab w:val="left" w:pos="288"/>
                <w:tab w:val="left" w:pos="4752"/>
              </w:tabs>
              <w:spacing w:line="240" w:lineRule="exact"/>
              <w:jc w:val="center"/>
              <w:rPr>
                <w:b/>
                <w:color w:val="auto"/>
              </w:rPr>
            </w:pPr>
            <w:r>
              <w:rPr>
                <w:b/>
                <w:color w:val="auto"/>
              </w:rPr>
              <w:t>20</w:t>
            </w:r>
            <w:r w:rsidRPr="00AF01B2">
              <w:rPr>
                <w:b/>
                <w:color w:val="auto"/>
              </w:rPr>
              <w:t>%</w:t>
            </w:r>
          </w:p>
        </w:tc>
      </w:tr>
    </w:tbl>
    <w:p w:rsidR="004F6FF9" w:rsidRPr="00391858" w:rsidRDefault="004F6FF9" w:rsidP="004F6FF9">
      <w:pPr>
        <w:pBdr>
          <w:bottom w:val="single" w:sz="12" w:space="1" w:color="auto"/>
        </w:pBdr>
        <w:tabs>
          <w:tab w:val="left" w:pos="288"/>
          <w:tab w:val="left" w:pos="4752"/>
        </w:tabs>
        <w:spacing w:line="240" w:lineRule="exact"/>
        <w:jc w:val="both"/>
        <w:rPr>
          <w:b/>
          <w:color w:val="auto"/>
          <w:u w:val="single"/>
        </w:rPr>
      </w:pPr>
    </w:p>
    <w:p w:rsidR="004F6FF9" w:rsidRDefault="004F6FF9" w:rsidP="004F6FF9">
      <w:pPr>
        <w:spacing w:line="240" w:lineRule="exact"/>
        <w:rPr>
          <w:b/>
          <w:color w:val="auto"/>
          <w:u w:val="single"/>
        </w:rPr>
      </w:pPr>
    </w:p>
    <w:p w:rsidR="005617F7" w:rsidRPr="00006186" w:rsidRDefault="005617F7" w:rsidP="00510F9C">
      <w:pPr>
        <w:tabs>
          <w:tab w:val="left" w:pos="288"/>
          <w:tab w:val="left" w:pos="4752"/>
        </w:tabs>
        <w:spacing w:line="240" w:lineRule="exact"/>
        <w:jc w:val="both"/>
        <w:rPr>
          <w:color w:val="auto"/>
        </w:rPr>
      </w:pPr>
      <w:r>
        <w:rPr>
          <w:color w:val="auto"/>
        </w:rPr>
        <w:t>The following documentary evidence was considered:</w:t>
      </w:r>
    </w:p>
    <w:p w:rsidR="005617F7" w:rsidRPr="00006186" w:rsidRDefault="005617F7" w:rsidP="00510F9C">
      <w:pPr>
        <w:tabs>
          <w:tab w:val="left" w:pos="288"/>
          <w:tab w:val="left" w:pos="4752"/>
        </w:tabs>
        <w:spacing w:line="240" w:lineRule="exact"/>
        <w:jc w:val="both"/>
        <w:rPr>
          <w:color w:val="auto"/>
        </w:rPr>
      </w:pPr>
    </w:p>
    <w:p w:rsidR="005617F7" w:rsidRPr="00006186" w:rsidRDefault="005617F7" w:rsidP="00510F9C">
      <w:pPr>
        <w:tabs>
          <w:tab w:val="left" w:pos="288"/>
          <w:tab w:val="left" w:pos="4752"/>
        </w:tabs>
        <w:spacing w:line="240" w:lineRule="exact"/>
        <w:jc w:val="both"/>
        <w:rPr>
          <w:color w:val="auto"/>
        </w:rPr>
      </w:pPr>
      <w:r>
        <w:rPr>
          <w:color w:val="auto"/>
        </w:rPr>
        <w:t>Exhibit A.  DD Fo</w:t>
      </w:r>
      <w:r w:rsidR="00BE440C">
        <w:rPr>
          <w:color w:val="auto"/>
        </w:rPr>
        <w:t>rm 294, dated 20110426, w/</w:t>
      </w:r>
      <w:proofErr w:type="spellStart"/>
      <w:r w:rsidR="00BE440C">
        <w:rPr>
          <w:color w:val="auto"/>
        </w:rPr>
        <w:t>atchs</w:t>
      </w:r>
      <w:proofErr w:type="spellEnd"/>
    </w:p>
    <w:p w:rsidR="005617F7" w:rsidRPr="00006186" w:rsidRDefault="005617F7" w:rsidP="00510F9C">
      <w:pPr>
        <w:tabs>
          <w:tab w:val="left" w:pos="288"/>
          <w:tab w:val="left" w:pos="4752"/>
        </w:tabs>
        <w:spacing w:line="240" w:lineRule="exact"/>
        <w:jc w:val="both"/>
        <w:rPr>
          <w:color w:val="auto"/>
        </w:rPr>
      </w:pPr>
      <w:r>
        <w:rPr>
          <w:color w:val="auto"/>
        </w:rPr>
        <w:t>Exhib</w:t>
      </w:r>
      <w:r w:rsidR="00BE440C">
        <w:rPr>
          <w:color w:val="auto"/>
        </w:rPr>
        <w:t>it B.  Service Treatment Record</w:t>
      </w:r>
    </w:p>
    <w:p w:rsidR="005617F7" w:rsidRPr="00006186" w:rsidRDefault="005617F7" w:rsidP="00510F9C">
      <w:pPr>
        <w:tabs>
          <w:tab w:val="left" w:pos="288"/>
          <w:tab w:val="left" w:pos="4752"/>
        </w:tabs>
        <w:spacing w:line="240" w:lineRule="exact"/>
        <w:jc w:val="both"/>
        <w:rPr>
          <w:color w:val="auto"/>
        </w:rPr>
      </w:pPr>
      <w:r>
        <w:rPr>
          <w:color w:val="auto"/>
        </w:rPr>
        <w:t>Exhibit C.  Department of Vet</w:t>
      </w:r>
      <w:r w:rsidR="00BE440C">
        <w:rPr>
          <w:color w:val="auto"/>
        </w:rPr>
        <w:t>erans' Affairs Treatment Record</w:t>
      </w:r>
    </w:p>
    <w:p w:rsidR="005617F7" w:rsidRPr="00006186" w:rsidRDefault="005617F7" w:rsidP="00510F9C">
      <w:pPr>
        <w:tabs>
          <w:tab w:val="left" w:pos="288"/>
          <w:tab w:val="left" w:pos="4752"/>
        </w:tabs>
        <w:spacing w:line="240" w:lineRule="exact"/>
        <w:jc w:val="both"/>
        <w:rPr>
          <w:color w:val="auto"/>
        </w:rPr>
      </w:pPr>
    </w:p>
    <w:p w:rsidR="005617F7" w:rsidRPr="00006186" w:rsidRDefault="005617F7" w:rsidP="00510F9C">
      <w:pPr>
        <w:tabs>
          <w:tab w:val="left" w:pos="288"/>
          <w:tab w:val="left" w:pos="4752"/>
        </w:tabs>
        <w:spacing w:line="240" w:lineRule="exact"/>
        <w:jc w:val="both"/>
        <w:rPr>
          <w:color w:val="auto"/>
        </w:rPr>
      </w:pPr>
    </w:p>
    <w:p w:rsidR="005617F7" w:rsidRPr="00006186" w:rsidRDefault="005617F7" w:rsidP="00510F9C">
      <w:pPr>
        <w:tabs>
          <w:tab w:val="left" w:pos="288"/>
          <w:tab w:val="left" w:pos="4752"/>
        </w:tabs>
        <w:spacing w:line="240" w:lineRule="exact"/>
        <w:jc w:val="both"/>
        <w:rPr>
          <w:color w:val="auto"/>
        </w:rPr>
      </w:pPr>
    </w:p>
    <w:p w:rsidR="005617F7" w:rsidRPr="00006186" w:rsidRDefault="005617F7" w:rsidP="00510F9C">
      <w:pPr>
        <w:tabs>
          <w:tab w:val="left" w:pos="288"/>
          <w:tab w:val="left" w:pos="4752"/>
        </w:tabs>
        <w:spacing w:line="240" w:lineRule="exact"/>
        <w:jc w:val="both"/>
        <w:rPr>
          <w:color w:val="auto"/>
        </w:rPr>
      </w:pPr>
    </w:p>
    <w:p w:rsidR="009566CC" w:rsidRDefault="005617F7" w:rsidP="009566CC">
      <w:pPr>
        <w:tabs>
          <w:tab w:val="left" w:pos="0"/>
          <w:tab w:val="left" w:pos="4320"/>
        </w:tabs>
        <w:spacing w:line="240" w:lineRule="exact"/>
        <w:jc w:val="both"/>
        <w:rPr>
          <w:color w:val="auto"/>
        </w:rPr>
      </w:pPr>
      <w:r>
        <w:rPr>
          <w:color w:val="auto"/>
        </w:rPr>
        <w:t xml:space="preserve">                             </w:t>
      </w:r>
      <w:r>
        <w:rPr>
          <w:color w:val="auto"/>
        </w:rPr>
        <w:tab/>
      </w:r>
      <w:r>
        <w:rPr>
          <w:color w:val="auto"/>
        </w:rPr>
        <w:tab/>
      </w:r>
    </w:p>
    <w:p w:rsidR="009566CC" w:rsidRDefault="009566CC">
      <w:pPr>
        <w:rPr>
          <w:color w:val="auto"/>
        </w:rPr>
      </w:pPr>
      <w:r>
        <w:rPr>
          <w:color w:val="auto"/>
        </w:rPr>
        <w:br w:type="page"/>
      </w:r>
    </w:p>
    <w:p w:rsidR="009566CC" w:rsidRPr="009566CC" w:rsidRDefault="009566CC" w:rsidP="009566CC">
      <w:pPr>
        <w:tabs>
          <w:tab w:val="left" w:pos="0"/>
          <w:tab w:val="left" w:pos="4320"/>
        </w:tabs>
        <w:spacing w:line="240" w:lineRule="exact"/>
        <w:jc w:val="both"/>
        <w:rPr>
          <w:color w:val="auto"/>
        </w:rPr>
      </w:pPr>
      <w:r w:rsidRPr="009566CC">
        <w:rPr>
          <w:color w:val="auto"/>
        </w:rPr>
        <w:lastRenderedPageBreak/>
        <w:t>SFMR-RB</w:t>
      </w:r>
      <w:r w:rsidRPr="009566CC">
        <w:rPr>
          <w:color w:val="auto"/>
        </w:rPr>
        <w:tab/>
      </w:r>
      <w:r w:rsidRPr="009566CC">
        <w:rPr>
          <w:color w:val="auto"/>
        </w:rPr>
        <w:tab/>
      </w:r>
      <w:r w:rsidRPr="009566CC">
        <w:rPr>
          <w:color w:val="auto"/>
        </w:rPr>
        <w:tab/>
      </w:r>
      <w:r w:rsidRPr="009566CC">
        <w:rPr>
          <w:color w:val="auto"/>
        </w:rPr>
        <w:tab/>
      </w:r>
      <w:r w:rsidRPr="009566CC">
        <w:rPr>
          <w:color w:val="auto"/>
        </w:rPr>
        <w:tab/>
      </w:r>
      <w:r w:rsidRPr="009566CC">
        <w:rPr>
          <w:color w:val="auto"/>
        </w:rPr>
        <w:tab/>
      </w:r>
      <w:r w:rsidRPr="009566CC">
        <w:rPr>
          <w:color w:val="auto"/>
        </w:rPr>
        <w:tab/>
      </w:r>
      <w:r w:rsidRPr="009566CC">
        <w:rPr>
          <w:color w:val="auto"/>
        </w:rPr>
        <w:tab/>
      </w:r>
      <w:r w:rsidRPr="009566CC">
        <w:rPr>
          <w:color w:val="auto"/>
        </w:rPr>
        <w:tab/>
      </w:r>
    </w:p>
    <w:p w:rsidR="009566CC" w:rsidRPr="009566CC" w:rsidRDefault="009566CC" w:rsidP="009566CC">
      <w:pPr>
        <w:tabs>
          <w:tab w:val="left" w:pos="0"/>
          <w:tab w:val="left" w:pos="4320"/>
        </w:tabs>
        <w:spacing w:line="240" w:lineRule="exact"/>
        <w:jc w:val="both"/>
        <w:rPr>
          <w:color w:val="auto"/>
        </w:rPr>
      </w:pPr>
    </w:p>
    <w:p w:rsidR="009566CC" w:rsidRPr="009566CC" w:rsidRDefault="009566CC" w:rsidP="009566CC">
      <w:pPr>
        <w:tabs>
          <w:tab w:val="left" w:pos="0"/>
          <w:tab w:val="left" w:pos="4320"/>
        </w:tabs>
        <w:spacing w:line="240" w:lineRule="exact"/>
        <w:jc w:val="both"/>
        <w:rPr>
          <w:color w:val="auto"/>
        </w:rPr>
      </w:pPr>
    </w:p>
    <w:p w:rsidR="009566CC" w:rsidRPr="009566CC" w:rsidRDefault="009566CC" w:rsidP="009566CC">
      <w:pPr>
        <w:tabs>
          <w:tab w:val="left" w:pos="0"/>
          <w:tab w:val="left" w:pos="4320"/>
        </w:tabs>
        <w:spacing w:line="240" w:lineRule="exact"/>
        <w:jc w:val="both"/>
        <w:rPr>
          <w:color w:val="auto"/>
        </w:rPr>
      </w:pPr>
      <w:r w:rsidRPr="009566CC">
        <w:rPr>
          <w:color w:val="auto"/>
        </w:rPr>
        <w:t xml:space="preserve">MEMORANDUM FOR Commander, US Army Physical Disability Agency </w:t>
      </w:r>
    </w:p>
    <w:p w:rsidR="009566CC" w:rsidRPr="009566CC" w:rsidRDefault="009566CC" w:rsidP="009566CC">
      <w:pPr>
        <w:tabs>
          <w:tab w:val="left" w:pos="0"/>
          <w:tab w:val="left" w:pos="4320"/>
        </w:tabs>
        <w:spacing w:line="240" w:lineRule="exact"/>
        <w:jc w:val="both"/>
        <w:rPr>
          <w:color w:val="auto"/>
        </w:rPr>
      </w:pPr>
      <w:r w:rsidRPr="009566CC">
        <w:rPr>
          <w:color w:val="auto"/>
        </w:rPr>
        <w:t>Crystal Drive, Suite 300, Arlington, VA 22202</w:t>
      </w:r>
    </w:p>
    <w:p w:rsidR="009566CC" w:rsidRPr="009566CC" w:rsidRDefault="009566CC" w:rsidP="009566CC">
      <w:pPr>
        <w:tabs>
          <w:tab w:val="left" w:pos="0"/>
          <w:tab w:val="left" w:pos="4320"/>
        </w:tabs>
        <w:spacing w:line="240" w:lineRule="exact"/>
        <w:jc w:val="both"/>
        <w:rPr>
          <w:color w:val="auto"/>
        </w:rPr>
      </w:pPr>
    </w:p>
    <w:p w:rsidR="009566CC" w:rsidRPr="009566CC" w:rsidRDefault="009566CC" w:rsidP="009566CC">
      <w:pPr>
        <w:tabs>
          <w:tab w:val="left" w:pos="0"/>
          <w:tab w:val="left" w:pos="4320"/>
        </w:tabs>
        <w:spacing w:line="240" w:lineRule="exact"/>
        <w:jc w:val="both"/>
        <w:rPr>
          <w:color w:val="auto"/>
        </w:rPr>
      </w:pPr>
      <w:r w:rsidRPr="009566CC">
        <w:rPr>
          <w:color w:val="auto"/>
        </w:rPr>
        <w:t>SUBJECT:  Department of Defense Physical Disability Board of Review Recommendation for (PD201100356)</w:t>
      </w:r>
    </w:p>
    <w:p w:rsidR="009566CC" w:rsidRPr="009566CC" w:rsidRDefault="009566CC" w:rsidP="009566CC">
      <w:pPr>
        <w:tabs>
          <w:tab w:val="left" w:pos="0"/>
          <w:tab w:val="left" w:pos="4320"/>
        </w:tabs>
        <w:spacing w:line="240" w:lineRule="exact"/>
        <w:jc w:val="both"/>
        <w:rPr>
          <w:color w:val="auto"/>
        </w:rPr>
      </w:pPr>
    </w:p>
    <w:p w:rsidR="009566CC" w:rsidRPr="009566CC" w:rsidRDefault="009566CC" w:rsidP="009566CC">
      <w:pPr>
        <w:tabs>
          <w:tab w:val="left" w:pos="0"/>
          <w:tab w:val="left" w:pos="4320"/>
        </w:tabs>
        <w:spacing w:line="240" w:lineRule="exact"/>
        <w:jc w:val="both"/>
        <w:rPr>
          <w:color w:val="auto"/>
        </w:rPr>
      </w:pPr>
    </w:p>
    <w:p w:rsidR="009566CC" w:rsidRDefault="009566CC" w:rsidP="009566CC">
      <w:pPr>
        <w:tabs>
          <w:tab w:val="left" w:pos="0"/>
          <w:tab w:val="left" w:pos="4320"/>
        </w:tabs>
        <w:spacing w:line="240" w:lineRule="exact"/>
        <w:jc w:val="both"/>
        <w:rPr>
          <w:color w:val="auto"/>
        </w:rPr>
      </w:pPr>
      <w:r w:rsidRPr="009566CC">
        <w:rPr>
          <w:color w:val="auto"/>
        </w:rPr>
        <w:t>I have reviewed the enclosed Department of Defense Physical Disability Board of Review (</w:t>
      </w:r>
      <w:proofErr w:type="spellStart"/>
      <w:r w:rsidRPr="009566CC">
        <w:rPr>
          <w:color w:val="auto"/>
        </w:rPr>
        <w:t>DoD</w:t>
      </w:r>
      <w:proofErr w:type="spellEnd"/>
      <w:r w:rsidRPr="009566CC">
        <w:rPr>
          <w:color w:val="auto"/>
        </w:rPr>
        <w:t xml:space="preserve"> PDBR) recommendation and record of proceedings pertaining to the subject individual.  Under the authority of Title 10, United States Code, section 1554a,   I accept the Board’s recommendation and hereby deny the individual’s application.  </w:t>
      </w:r>
    </w:p>
    <w:p w:rsidR="009566CC" w:rsidRPr="009566CC" w:rsidRDefault="009566CC" w:rsidP="009566CC">
      <w:pPr>
        <w:tabs>
          <w:tab w:val="left" w:pos="0"/>
          <w:tab w:val="left" w:pos="4320"/>
        </w:tabs>
        <w:spacing w:line="240" w:lineRule="exact"/>
        <w:jc w:val="both"/>
        <w:rPr>
          <w:color w:val="auto"/>
        </w:rPr>
      </w:pPr>
    </w:p>
    <w:p w:rsidR="009566CC" w:rsidRPr="009566CC" w:rsidRDefault="009566CC" w:rsidP="009566CC">
      <w:pPr>
        <w:tabs>
          <w:tab w:val="left" w:pos="0"/>
          <w:tab w:val="left" w:pos="4320"/>
        </w:tabs>
        <w:spacing w:line="240" w:lineRule="exact"/>
        <w:jc w:val="both"/>
        <w:rPr>
          <w:color w:val="auto"/>
        </w:rPr>
      </w:pPr>
      <w:r w:rsidRPr="009566CC">
        <w:rPr>
          <w:color w:val="auto"/>
        </w:rPr>
        <w:t>This decision is final.  The individual concerned, counsel (if any), and any Members of Congress who have shown interest in this application have been notified of this decision by mail.</w:t>
      </w:r>
    </w:p>
    <w:p w:rsidR="009566CC" w:rsidRPr="009566CC" w:rsidRDefault="009566CC" w:rsidP="009566CC">
      <w:pPr>
        <w:tabs>
          <w:tab w:val="left" w:pos="0"/>
          <w:tab w:val="left" w:pos="4320"/>
        </w:tabs>
        <w:spacing w:line="240" w:lineRule="exact"/>
        <w:jc w:val="both"/>
        <w:rPr>
          <w:color w:val="auto"/>
        </w:rPr>
      </w:pPr>
    </w:p>
    <w:p w:rsidR="009566CC" w:rsidRPr="009566CC" w:rsidRDefault="009566CC" w:rsidP="009566CC">
      <w:pPr>
        <w:tabs>
          <w:tab w:val="left" w:pos="0"/>
          <w:tab w:val="left" w:pos="4320"/>
        </w:tabs>
        <w:spacing w:line="240" w:lineRule="exact"/>
        <w:jc w:val="both"/>
        <w:rPr>
          <w:color w:val="auto"/>
        </w:rPr>
      </w:pPr>
      <w:r w:rsidRPr="009566CC">
        <w:rPr>
          <w:color w:val="auto"/>
        </w:rPr>
        <w:t xml:space="preserve"> BY ORDER OF THE SECRETARY OF THE ARMY:</w:t>
      </w:r>
    </w:p>
    <w:p w:rsidR="009566CC" w:rsidRPr="009566CC" w:rsidRDefault="009566CC" w:rsidP="009566CC">
      <w:pPr>
        <w:tabs>
          <w:tab w:val="left" w:pos="0"/>
          <w:tab w:val="left" w:pos="4320"/>
        </w:tabs>
        <w:spacing w:line="240" w:lineRule="exact"/>
        <w:jc w:val="both"/>
        <w:rPr>
          <w:color w:val="auto"/>
        </w:rPr>
      </w:pPr>
    </w:p>
    <w:p w:rsidR="009566CC" w:rsidRPr="009566CC" w:rsidRDefault="009566CC" w:rsidP="009566CC">
      <w:pPr>
        <w:tabs>
          <w:tab w:val="left" w:pos="0"/>
          <w:tab w:val="left" w:pos="4320"/>
        </w:tabs>
        <w:spacing w:line="240" w:lineRule="exact"/>
        <w:jc w:val="both"/>
        <w:rPr>
          <w:color w:val="auto"/>
        </w:rPr>
      </w:pPr>
    </w:p>
    <w:p w:rsidR="009566CC" w:rsidRPr="009566CC" w:rsidRDefault="009566CC" w:rsidP="009566CC">
      <w:pPr>
        <w:tabs>
          <w:tab w:val="left" w:pos="0"/>
          <w:tab w:val="left" w:pos="4320"/>
        </w:tabs>
        <w:spacing w:line="240" w:lineRule="exact"/>
        <w:jc w:val="both"/>
        <w:rPr>
          <w:color w:val="auto"/>
        </w:rPr>
      </w:pPr>
    </w:p>
    <w:p w:rsidR="009566CC" w:rsidRPr="009566CC" w:rsidRDefault="009566CC" w:rsidP="009566CC">
      <w:pPr>
        <w:tabs>
          <w:tab w:val="left" w:pos="0"/>
          <w:tab w:val="left" w:pos="4320"/>
        </w:tabs>
        <w:spacing w:line="240" w:lineRule="exact"/>
        <w:jc w:val="both"/>
        <w:rPr>
          <w:color w:val="auto"/>
        </w:rPr>
      </w:pPr>
    </w:p>
    <w:p w:rsidR="009566CC" w:rsidRDefault="009566CC" w:rsidP="009566CC">
      <w:pPr>
        <w:tabs>
          <w:tab w:val="left" w:pos="0"/>
          <w:tab w:val="left" w:pos="4320"/>
        </w:tabs>
        <w:spacing w:line="240" w:lineRule="exact"/>
        <w:jc w:val="both"/>
        <w:rPr>
          <w:color w:val="auto"/>
        </w:rPr>
      </w:pPr>
      <w:bookmarkStart w:id="0" w:name="OLE_LINK4"/>
      <w:bookmarkStart w:id="1" w:name="OLE_LINK3"/>
      <w:r w:rsidRPr="009566CC">
        <w:rPr>
          <w:color w:val="auto"/>
        </w:rPr>
        <w:t>Encl</w:t>
      </w:r>
      <w:r w:rsidRPr="009566CC">
        <w:rPr>
          <w:color w:val="auto"/>
        </w:rPr>
        <w:tab/>
      </w:r>
      <w:r w:rsidRPr="009566CC">
        <w:rPr>
          <w:color w:val="auto"/>
        </w:rPr>
        <w:tab/>
      </w:r>
      <w:r w:rsidRPr="009566CC">
        <w:rPr>
          <w:color w:val="auto"/>
        </w:rPr>
        <w:tab/>
      </w:r>
      <w:r w:rsidRPr="009566CC">
        <w:rPr>
          <w:color w:val="auto"/>
        </w:rPr>
        <w:tab/>
      </w:r>
      <w:r w:rsidRPr="009566CC">
        <w:rPr>
          <w:color w:val="auto"/>
        </w:rPr>
        <w:tab/>
      </w:r>
      <w:r w:rsidRPr="009566CC">
        <w:rPr>
          <w:color w:val="auto"/>
        </w:rPr>
        <w:tab/>
      </w:r>
      <w:bookmarkEnd w:id="0"/>
      <w:bookmarkEnd w:id="1"/>
    </w:p>
    <w:p w:rsidR="009566CC" w:rsidRPr="009566CC" w:rsidRDefault="009566CC" w:rsidP="009566CC">
      <w:pPr>
        <w:tabs>
          <w:tab w:val="left" w:pos="0"/>
          <w:tab w:val="left" w:pos="4320"/>
        </w:tabs>
        <w:spacing w:line="240" w:lineRule="exact"/>
        <w:jc w:val="both"/>
        <w:rPr>
          <w:color w:val="auto"/>
        </w:rPr>
      </w:pPr>
    </w:p>
    <w:p w:rsidR="009566CC" w:rsidRPr="009566CC" w:rsidRDefault="009566CC" w:rsidP="009566CC">
      <w:pPr>
        <w:tabs>
          <w:tab w:val="left" w:pos="0"/>
          <w:tab w:val="left" w:pos="4320"/>
        </w:tabs>
        <w:spacing w:line="240" w:lineRule="exact"/>
        <w:jc w:val="both"/>
        <w:rPr>
          <w:color w:val="auto"/>
        </w:rPr>
      </w:pPr>
      <w:r w:rsidRPr="009566CC">
        <w:rPr>
          <w:color w:val="auto"/>
        </w:rPr>
        <w:t xml:space="preserve">CF: </w:t>
      </w:r>
    </w:p>
    <w:p w:rsidR="009566CC" w:rsidRPr="009566CC" w:rsidRDefault="009566CC" w:rsidP="009566CC">
      <w:pPr>
        <w:tabs>
          <w:tab w:val="left" w:pos="0"/>
          <w:tab w:val="left" w:pos="4320"/>
        </w:tabs>
        <w:spacing w:line="240" w:lineRule="exact"/>
        <w:jc w:val="both"/>
        <w:rPr>
          <w:color w:val="auto"/>
        </w:rPr>
      </w:pPr>
      <w:r w:rsidRPr="009566CC">
        <w:rPr>
          <w:color w:val="auto"/>
        </w:rPr>
        <w:t xml:space="preserve">(  ) </w:t>
      </w:r>
      <w:proofErr w:type="spellStart"/>
      <w:proofErr w:type="gramStart"/>
      <w:r w:rsidRPr="009566CC">
        <w:rPr>
          <w:color w:val="auto"/>
        </w:rPr>
        <w:t>DoD</w:t>
      </w:r>
      <w:proofErr w:type="spellEnd"/>
      <w:proofErr w:type="gramEnd"/>
      <w:r w:rsidRPr="009566CC">
        <w:rPr>
          <w:color w:val="auto"/>
        </w:rPr>
        <w:t xml:space="preserve"> PDBR</w:t>
      </w:r>
    </w:p>
    <w:p w:rsidR="009566CC" w:rsidRPr="009566CC" w:rsidRDefault="009566CC" w:rsidP="009566CC">
      <w:pPr>
        <w:tabs>
          <w:tab w:val="left" w:pos="0"/>
          <w:tab w:val="left" w:pos="4320"/>
        </w:tabs>
        <w:spacing w:line="240" w:lineRule="exact"/>
        <w:jc w:val="both"/>
        <w:rPr>
          <w:color w:val="auto"/>
        </w:rPr>
      </w:pPr>
      <w:r w:rsidRPr="009566CC">
        <w:rPr>
          <w:color w:val="auto"/>
        </w:rPr>
        <w:t>(  ) DVA</w:t>
      </w:r>
    </w:p>
    <w:p w:rsidR="009566CC" w:rsidRPr="009566CC" w:rsidRDefault="009566CC" w:rsidP="009566CC">
      <w:pPr>
        <w:tabs>
          <w:tab w:val="left" w:pos="0"/>
          <w:tab w:val="left" w:pos="4320"/>
        </w:tabs>
        <w:spacing w:line="240" w:lineRule="exact"/>
        <w:jc w:val="both"/>
        <w:rPr>
          <w:color w:val="auto"/>
        </w:rPr>
      </w:pPr>
    </w:p>
    <w:p w:rsidR="005617F7" w:rsidRPr="00006186" w:rsidRDefault="005617F7" w:rsidP="009566CC">
      <w:pPr>
        <w:tabs>
          <w:tab w:val="left" w:pos="0"/>
          <w:tab w:val="left" w:pos="4320"/>
        </w:tabs>
        <w:spacing w:line="240" w:lineRule="exact"/>
        <w:jc w:val="both"/>
        <w:rPr>
          <w:color w:val="auto"/>
        </w:rPr>
      </w:pPr>
    </w:p>
    <w:sectPr w:rsidR="005617F7" w:rsidRPr="00006186" w:rsidSect="002A5C3C">
      <w:footerReference w:type="default" r:id="rId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A5F" w:rsidRDefault="004E2A5F">
      <w:r>
        <w:separator/>
      </w:r>
    </w:p>
  </w:endnote>
  <w:endnote w:type="continuationSeparator" w:id="0">
    <w:p w:rsidR="004E2A5F" w:rsidRDefault="004E2A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7F7" w:rsidRPr="00684CE6" w:rsidRDefault="008E1ADE" w:rsidP="00F65ED5">
    <w:pPr>
      <w:pStyle w:val="Footer"/>
      <w:jc w:val="right"/>
      <w:rPr>
        <w:color w:val="auto"/>
      </w:rPr>
    </w:pPr>
    <w:fldSimple w:instr=" PAGE   \* MERGEFORMAT ">
      <w:r w:rsidR="009566CC" w:rsidRPr="009566CC">
        <w:rPr>
          <w:noProof/>
          <w:color w:val="auto"/>
        </w:rPr>
        <w:t>4</w:t>
      </w:r>
    </w:fldSimple>
    <w:r w:rsidR="005617F7" w:rsidRPr="00684CE6">
      <w:rPr>
        <w:color w:val="auto"/>
      </w:rPr>
      <w:t xml:space="preserve">                                                                   PD1100356</w:t>
    </w:r>
  </w:p>
  <w:p w:rsidR="005617F7" w:rsidRPr="00684CE6" w:rsidRDefault="005617F7">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A5F" w:rsidRDefault="004E2A5F">
      <w:r>
        <w:separator/>
      </w:r>
    </w:p>
  </w:footnote>
  <w:footnote w:type="continuationSeparator" w:id="0">
    <w:p w:rsidR="004E2A5F" w:rsidRDefault="004E2A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18"/>
  </w:num>
  <w:num w:numId="16">
    <w:abstractNumId w:val="1"/>
  </w:num>
  <w:num w:numId="17">
    <w:abstractNumId w:val="16"/>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3"/>
  <w:doNotDisplayPageBoundaries/>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9E"/>
    <w:rsid w:val="00021361"/>
    <w:rsid w:val="00022CF3"/>
    <w:rsid w:val="00023913"/>
    <w:rsid w:val="00023D43"/>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7019"/>
    <w:rsid w:val="000575C5"/>
    <w:rsid w:val="000577C9"/>
    <w:rsid w:val="00060FFD"/>
    <w:rsid w:val="0006431E"/>
    <w:rsid w:val="000652EA"/>
    <w:rsid w:val="00065E21"/>
    <w:rsid w:val="000673ED"/>
    <w:rsid w:val="00070DED"/>
    <w:rsid w:val="00072433"/>
    <w:rsid w:val="0007488B"/>
    <w:rsid w:val="00075702"/>
    <w:rsid w:val="00075A0C"/>
    <w:rsid w:val="00076DC5"/>
    <w:rsid w:val="000775C2"/>
    <w:rsid w:val="000806AD"/>
    <w:rsid w:val="00080BDF"/>
    <w:rsid w:val="000815A7"/>
    <w:rsid w:val="00082482"/>
    <w:rsid w:val="00084CF2"/>
    <w:rsid w:val="00085D7B"/>
    <w:rsid w:val="0008708B"/>
    <w:rsid w:val="000874D3"/>
    <w:rsid w:val="00092619"/>
    <w:rsid w:val="00092C66"/>
    <w:rsid w:val="000933EC"/>
    <w:rsid w:val="000949DD"/>
    <w:rsid w:val="00094E4F"/>
    <w:rsid w:val="000A2BCE"/>
    <w:rsid w:val="000A33C8"/>
    <w:rsid w:val="000A41E3"/>
    <w:rsid w:val="000A4BBA"/>
    <w:rsid w:val="000A5071"/>
    <w:rsid w:val="000B0AD2"/>
    <w:rsid w:val="000B1022"/>
    <w:rsid w:val="000B2FB8"/>
    <w:rsid w:val="000B4C99"/>
    <w:rsid w:val="000C06F6"/>
    <w:rsid w:val="000C1D34"/>
    <w:rsid w:val="000C2362"/>
    <w:rsid w:val="000C2FA8"/>
    <w:rsid w:val="000C3C13"/>
    <w:rsid w:val="000C4D5F"/>
    <w:rsid w:val="000C53F9"/>
    <w:rsid w:val="000C5813"/>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BF"/>
    <w:rsid w:val="000E5577"/>
    <w:rsid w:val="000E7034"/>
    <w:rsid w:val="000F02BE"/>
    <w:rsid w:val="000F0928"/>
    <w:rsid w:val="000F427B"/>
    <w:rsid w:val="000F43D0"/>
    <w:rsid w:val="000F4F18"/>
    <w:rsid w:val="000F688E"/>
    <w:rsid w:val="000F7181"/>
    <w:rsid w:val="001007CE"/>
    <w:rsid w:val="001008C1"/>
    <w:rsid w:val="001023DB"/>
    <w:rsid w:val="00102B8D"/>
    <w:rsid w:val="00103948"/>
    <w:rsid w:val="00103CCF"/>
    <w:rsid w:val="0010417F"/>
    <w:rsid w:val="001042D2"/>
    <w:rsid w:val="0010530E"/>
    <w:rsid w:val="00105B8A"/>
    <w:rsid w:val="00105C07"/>
    <w:rsid w:val="00106AD8"/>
    <w:rsid w:val="00107EC5"/>
    <w:rsid w:val="001103CD"/>
    <w:rsid w:val="00113D2A"/>
    <w:rsid w:val="00114F20"/>
    <w:rsid w:val="0011590B"/>
    <w:rsid w:val="001211AF"/>
    <w:rsid w:val="001219DF"/>
    <w:rsid w:val="0012220B"/>
    <w:rsid w:val="001222C6"/>
    <w:rsid w:val="00122ABE"/>
    <w:rsid w:val="001231DC"/>
    <w:rsid w:val="0012489B"/>
    <w:rsid w:val="001272AE"/>
    <w:rsid w:val="00130756"/>
    <w:rsid w:val="00130C56"/>
    <w:rsid w:val="001313D5"/>
    <w:rsid w:val="001315DD"/>
    <w:rsid w:val="0013525F"/>
    <w:rsid w:val="00135385"/>
    <w:rsid w:val="001364D1"/>
    <w:rsid w:val="001374C7"/>
    <w:rsid w:val="001421FD"/>
    <w:rsid w:val="001425C8"/>
    <w:rsid w:val="00142EBA"/>
    <w:rsid w:val="00143B79"/>
    <w:rsid w:val="00145965"/>
    <w:rsid w:val="00150779"/>
    <w:rsid w:val="00150B8A"/>
    <w:rsid w:val="00150DCB"/>
    <w:rsid w:val="00151912"/>
    <w:rsid w:val="00153740"/>
    <w:rsid w:val="00153D88"/>
    <w:rsid w:val="001541C5"/>
    <w:rsid w:val="0015623F"/>
    <w:rsid w:val="00156585"/>
    <w:rsid w:val="00156BA9"/>
    <w:rsid w:val="001601B5"/>
    <w:rsid w:val="00161642"/>
    <w:rsid w:val="00161761"/>
    <w:rsid w:val="00166182"/>
    <w:rsid w:val="0017139A"/>
    <w:rsid w:val="001724C8"/>
    <w:rsid w:val="001732C4"/>
    <w:rsid w:val="001745DD"/>
    <w:rsid w:val="00174FDE"/>
    <w:rsid w:val="00174FE3"/>
    <w:rsid w:val="00177659"/>
    <w:rsid w:val="001779E5"/>
    <w:rsid w:val="00180826"/>
    <w:rsid w:val="00181240"/>
    <w:rsid w:val="00182A4C"/>
    <w:rsid w:val="00183F77"/>
    <w:rsid w:val="00183FB3"/>
    <w:rsid w:val="001844D8"/>
    <w:rsid w:val="00185DA8"/>
    <w:rsid w:val="00185ECB"/>
    <w:rsid w:val="001865E0"/>
    <w:rsid w:val="001870F0"/>
    <w:rsid w:val="00190E48"/>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4C0B"/>
    <w:rsid w:val="001B4EC2"/>
    <w:rsid w:val="001B5B59"/>
    <w:rsid w:val="001B60E0"/>
    <w:rsid w:val="001B647C"/>
    <w:rsid w:val="001B755A"/>
    <w:rsid w:val="001B7C8C"/>
    <w:rsid w:val="001C0688"/>
    <w:rsid w:val="001C181A"/>
    <w:rsid w:val="001C1877"/>
    <w:rsid w:val="001C2053"/>
    <w:rsid w:val="001C252F"/>
    <w:rsid w:val="001C28D1"/>
    <w:rsid w:val="001C3473"/>
    <w:rsid w:val="001C3EC4"/>
    <w:rsid w:val="001C5BDA"/>
    <w:rsid w:val="001C5CFC"/>
    <w:rsid w:val="001C7231"/>
    <w:rsid w:val="001C7418"/>
    <w:rsid w:val="001C7EBE"/>
    <w:rsid w:val="001D0051"/>
    <w:rsid w:val="001D169A"/>
    <w:rsid w:val="001D2224"/>
    <w:rsid w:val="001D31AA"/>
    <w:rsid w:val="001D3DC0"/>
    <w:rsid w:val="001D4F88"/>
    <w:rsid w:val="001D68CF"/>
    <w:rsid w:val="001D6A8C"/>
    <w:rsid w:val="001D6E67"/>
    <w:rsid w:val="001D7A56"/>
    <w:rsid w:val="001E15C0"/>
    <w:rsid w:val="001E18E0"/>
    <w:rsid w:val="001E18E2"/>
    <w:rsid w:val="001E19D0"/>
    <w:rsid w:val="001E2A30"/>
    <w:rsid w:val="001E2FF1"/>
    <w:rsid w:val="001E41FE"/>
    <w:rsid w:val="001E635C"/>
    <w:rsid w:val="001F0297"/>
    <w:rsid w:val="001F4E02"/>
    <w:rsid w:val="00200AA0"/>
    <w:rsid w:val="00202325"/>
    <w:rsid w:val="00202736"/>
    <w:rsid w:val="00202EFA"/>
    <w:rsid w:val="00203652"/>
    <w:rsid w:val="00204562"/>
    <w:rsid w:val="00205B4F"/>
    <w:rsid w:val="002060B6"/>
    <w:rsid w:val="002066B5"/>
    <w:rsid w:val="00211612"/>
    <w:rsid w:val="002119B6"/>
    <w:rsid w:val="00212B40"/>
    <w:rsid w:val="00213BD0"/>
    <w:rsid w:val="00214DBA"/>
    <w:rsid w:val="002151AB"/>
    <w:rsid w:val="0021548C"/>
    <w:rsid w:val="00215C4C"/>
    <w:rsid w:val="00215ED6"/>
    <w:rsid w:val="00216049"/>
    <w:rsid w:val="002163FA"/>
    <w:rsid w:val="00217606"/>
    <w:rsid w:val="0021785B"/>
    <w:rsid w:val="00217C09"/>
    <w:rsid w:val="00220F5C"/>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AC4"/>
    <w:rsid w:val="00233B3B"/>
    <w:rsid w:val="00233FE5"/>
    <w:rsid w:val="00234B3B"/>
    <w:rsid w:val="00234D98"/>
    <w:rsid w:val="00236018"/>
    <w:rsid w:val="002374C9"/>
    <w:rsid w:val="0024174E"/>
    <w:rsid w:val="00242238"/>
    <w:rsid w:val="0024227D"/>
    <w:rsid w:val="00242D14"/>
    <w:rsid w:val="002432F4"/>
    <w:rsid w:val="00246860"/>
    <w:rsid w:val="002468D9"/>
    <w:rsid w:val="00246DFF"/>
    <w:rsid w:val="00246E89"/>
    <w:rsid w:val="00247283"/>
    <w:rsid w:val="0025183C"/>
    <w:rsid w:val="00252351"/>
    <w:rsid w:val="002528EC"/>
    <w:rsid w:val="00253EAA"/>
    <w:rsid w:val="00255049"/>
    <w:rsid w:val="00257AFF"/>
    <w:rsid w:val="00257DE5"/>
    <w:rsid w:val="00260531"/>
    <w:rsid w:val="00260B9A"/>
    <w:rsid w:val="00262EA5"/>
    <w:rsid w:val="0026318D"/>
    <w:rsid w:val="002634B6"/>
    <w:rsid w:val="00264148"/>
    <w:rsid w:val="002660AF"/>
    <w:rsid w:val="00270864"/>
    <w:rsid w:val="002712F7"/>
    <w:rsid w:val="0027159C"/>
    <w:rsid w:val="002722F2"/>
    <w:rsid w:val="00274549"/>
    <w:rsid w:val="00274E46"/>
    <w:rsid w:val="002752AE"/>
    <w:rsid w:val="002769AF"/>
    <w:rsid w:val="00276C86"/>
    <w:rsid w:val="00276FD0"/>
    <w:rsid w:val="00277217"/>
    <w:rsid w:val="002810A4"/>
    <w:rsid w:val="00282DB6"/>
    <w:rsid w:val="00284A26"/>
    <w:rsid w:val="00284E5A"/>
    <w:rsid w:val="00285095"/>
    <w:rsid w:val="00287006"/>
    <w:rsid w:val="00292397"/>
    <w:rsid w:val="00292AB2"/>
    <w:rsid w:val="00293DB6"/>
    <w:rsid w:val="00293FE8"/>
    <w:rsid w:val="00294437"/>
    <w:rsid w:val="002960E9"/>
    <w:rsid w:val="00297A45"/>
    <w:rsid w:val="00297E20"/>
    <w:rsid w:val="002A1CCE"/>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B7645"/>
    <w:rsid w:val="002C0DEA"/>
    <w:rsid w:val="002C34F6"/>
    <w:rsid w:val="002C3B6D"/>
    <w:rsid w:val="002C492D"/>
    <w:rsid w:val="002C5D9D"/>
    <w:rsid w:val="002C5F10"/>
    <w:rsid w:val="002C6E5B"/>
    <w:rsid w:val="002D08F3"/>
    <w:rsid w:val="002D18B4"/>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F0D6A"/>
    <w:rsid w:val="002F0E28"/>
    <w:rsid w:val="002F287E"/>
    <w:rsid w:val="002F2981"/>
    <w:rsid w:val="002F2D63"/>
    <w:rsid w:val="002F6AD8"/>
    <w:rsid w:val="002F7F81"/>
    <w:rsid w:val="00300A36"/>
    <w:rsid w:val="00301B45"/>
    <w:rsid w:val="00305856"/>
    <w:rsid w:val="0030678B"/>
    <w:rsid w:val="00306D16"/>
    <w:rsid w:val="00307595"/>
    <w:rsid w:val="00310CD7"/>
    <w:rsid w:val="00313D7A"/>
    <w:rsid w:val="0031549C"/>
    <w:rsid w:val="0032136A"/>
    <w:rsid w:val="00323A90"/>
    <w:rsid w:val="00323E70"/>
    <w:rsid w:val="003258A7"/>
    <w:rsid w:val="00325BA2"/>
    <w:rsid w:val="003262BD"/>
    <w:rsid w:val="00326B1C"/>
    <w:rsid w:val="00326C08"/>
    <w:rsid w:val="00326F7F"/>
    <w:rsid w:val="00330311"/>
    <w:rsid w:val="00330D55"/>
    <w:rsid w:val="003320E8"/>
    <w:rsid w:val="003328FD"/>
    <w:rsid w:val="00332DE3"/>
    <w:rsid w:val="0033334F"/>
    <w:rsid w:val="00334514"/>
    <w:rsid w:val="0033555E"/>
    <w:rsid w:val="00336805"/>
    <w:rsid w:val="00337351"/>
    <w:rsid w:val="00341A54"/>
    <w:rsid w:val="00344A4F"/>
    <w:rsid w:val="00344D17"/>
    <w:rsid w:val="0034669F"/>
    <w:rsid w:val="00350428"/>
    <w:rsid w:val="00351498"/>
    <w:rsid w:val="00352B22"/>
    <w:rsid w:val="00352CBF"/>
    <w:rsid w:val="00354547"/>
    <w:rsid w:val="003549F5"/>
    <w:rsid w:val="003567DE"/>
    <w:rsid w:val="003574F3"/>
    <w:rsid w:val="00357831"/>
    <w:rsid w:val="003604A5"/>
    <w:rsid w:val="0036319E"/>
    <w:rsid w:val="003632A4"/>
    <w:rsid w:val="00363362"/>
    <w:rsid w:val="00365767"/>
    <w:rsid w:val="003659C0"/>
    <w:rsid w:val="003660DF"/>
    <w:rsid w:val="00367D4F"/>
    <w:rsid w:val="00370743"/>
    <w:rsid w:val="00370EF5"/>
    <w:rsid w:val="0037135B"/>
    <w:rsid w:val="00372251"/>
    <w:rsid w:val="00373F64"/>
    <w:rsid w:val="00374EA1"/>
    <w:rsid w:val="0037520D"/>
    <w:rsid w:val="00375724"/>
    <w:rsid w:val="00375809"/>
    <w:rsid w:val="00375CF1"/>
    <w:rsid w:val="0037628C"/>
    <w:rsid w:val="00376B81"/>
    <w:rsid w:val="00376E08"/>
    <w:rsid w:val="00377BD2"/>
    <w:rsid w:val="00380FD4"/>
    <w:rsid w:val="00381E16"/>
    <w:rsid w:val="003821E1"/>
    <w:rsid w:val="003823DC"/>
    <w:rsid w:val="003840F6"/>
    <w:rsid w:val="00384866"/>
    <w:rsid w:val="003857D4"/>
    <w:rsid w:val="00385D6F"/>
    <w:rsid w:val="00386D43"/>
    <w:rsid w:val="00387095"/>
    <w:rsid w:val="00387E95"/>
    <w:rsid w:val="00390092"/>
    <w:rsid w:val="00391858"/>
    <w:rsid w:val="00392A25"/>
    <w:rsid w:val="00393651"/>
    <w:rsid w:val="00394926"/>
    <w:rsid w:val="00394FF9"/>
    <w:rsid w:val="00395651"/>
    <w:rsid w:val="00395E12"/>
    <w:rsid w:val="003962A8"/>
    <w:rsid w:val="00396779"/>
    <w:rsid w:val="003967E0"/>
    <w:rsid w:val="00397DB7"/>
    <w:rsid w:val="003A27B2"/>
    <w:rsid w:val="003A40B4"/>
    <w:rsid w:val="003A41BA"/>
    <w:rsid w:val="003A5491"/>
    <w:rsid w:val="003A5958"/>
    <w:rsid w:val="003A6A99"/>
    <w:rsid w:val="003A6E60"/>
    <w:rsid w:val="003A7FF8"/>
    <w:rsid w:val="003B0DBD"/>
    <w:rsid w:val="003B17AC"/>
    <w:rsid w:val="003B227A"/>
    <w:rsid w:val="003B2947"/>
    <w:rsid w:val="003B34DE"/>
    <w:rsid w:val="003B3A77"/>
    <w:rsid w:val="003B40B1"/>
    <w:rsid w:val="003B4319"/>
    <w:rsid w:val="003B5854"/>
    <w:rsid w:val="003B6764"/>
    <w:rsid w:val="003B7A8B"/>
    <w:rsid w:val="003C294B"/>
    <w:rsid w:val="003C5046"/>
    <w:rsid w:val="003C6068"/>
    <w:rsid w:val="003C7AEC"/>
    <w:rsid w:val="003D2BA3"/>
    <w:rsid w:val="003D316B"/>
    <w:rsid w:val="003D3C22"/>
    <w:rsid w:val="003D4250"/>
    <w:rsid w:val="003D56A0"/>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8DB"/>
    <w:rsid w:val="003F2EEE"/>
    <w:rsid w:val="003F58B0"/>
    <w:rsid w:val="003F776F"/>
    <w:rsid w:val="004007E9"/>
    <w:rsid w:val="00400810"/>
    <w:rsid w:val="00401825"/>
    <w:rsid w:val="00401BBC"/>
    <w:rsid w:val="00403BFB"/>
    <w:rsid w:val="00404B45"/>
    <w:rsid w:val="00405BCF"/>
    <w:rsid w:val="00406CC5"/>
    <w:rsid w:val="004074A4"/>
    <w:rsid w:val="004101B2"/>
    <w:rsid w:val="004123D7"/>
    <w:rsid w:val="00412658"/>
    <w:rsid w:val="004129DA"/>
    <w:rsid w:val="00412C51"/>
    <w:rsid w:val="00415B88"/>
    <w:rsid w:val="00415EA4"/>
    <w:rsid w:val="0041604B"/>
    <w:rsid w:val="004172DB"/>
    <w:rsid w:val="00420A1D"/>
    <w:rsid w:val="00421485"/>
    <w:rsid w:val="004216DA"/>
    <w:rsid w:val="00422B75"/>
    <w:rsid w:val="00423148"/>
    <w:rsid w:val="00424612"/>
    <w:rsid w:val="0042528C"/>
    <w:rsid w:val="00425672"/>
    <w:rsid w:val="00425A6A"/>
    <w:rsid w:val="00427F54"/>
    <w:rsid w:val="004316FD"/>
    <w:rsid w:val="00433F36"/>
    <w:rsid w:val="00434860"/>
    <w:rsid w:val="0043503A"/>
    <w:rsid w:val="00437B8A"/>
    <w:rsid w:val="00437D18"/>
    <w:rsid w:val="00437D77"/>
    <w:rsid w:val="004414F9"/>
    <w:rsid w:val="004435BE"/>
    <w:rsid w:val="0044384F"/>
    <w:rsid w:val="004439CD"/>
    <w:rsid w:val="0044411E"/>
    <w:rsid w:val="00444472"/>
    <w:rsid w:val="00444F80"/>
    <w:rsid w:val="00445599"/>
    <w:rsid w:val="00446018"/>
    <w:rsid w:val="00447D02"/>
    <w:rsid w:val="0045027B"/>
    <w:rsid w:val="004504E7"/>
    <w:rsid w:val="00451F9D"/>
    <w:rsid w:val="00453167"/>
    <w:rsid w:val="004543BC"/>
    <w:rsid w:val="0045645D"/>
    <w:rsid w:val="004574C6"/>
    <w:rsid w:val="0045766A"/>
    <w:rsid w:val="00457743"/>
    <w:rsid w:val="00457BCF"/>
    <w:rsid w:val="00457DCE"/>
    <w:rsid w:val="00460E3F"/>
    <w:rsid w:val="0046111A"/>
    <w:rsid w:val="00462F68"/>
    <w:rsid w:val="0046369B"/>
    <w:rsid w:val="004640E9"/>
    <w:rsid w:val="00466CED"/>
    <w:rsid w:val="00466EB5"/>
    <w:rsid w:val="00467592"/>
    <w:rsid w:val="00467690"/>
    <w:rsid w:val="004718E7"/>
    <w:rsid w:val="00472289"/>
    <w:rsid w:val="00472535"/>
    <w:rsid w:val="004761CC"/>
    <w:rsid w:val="004766C9"/>
    <w:rsid w:val="00480D4A"/>
    <w:rsid w:val="00481DA1"/>
    <w:rsid w:val="00483A2B"/>
    <w:rsid w:val="00484212"/>
    <w:rsid w:val="00484BA9"/>
    <w:rsid w:val="0048599A"/>
    <w:rsid w:val="004867C2"/>
    <w:rsid w:val="00486818"/>
    <w:rsid w:val="00487EE2"/>
    <w:rsid w:val="00491784"/>
    <w:rsid w:val="0049255F"/>
    <w:rsid w:val="0049445D"/>
    <w:rsid w:val="00495350"/>
    <w:rsid w:val="00495E3C"/>
    <w:rsid w:val="00497156"/>
    <w:rsid w:val="004A0C79"/>
    <w:rsid w:val="004A24D2"/>
    <w:rsid w:val="004A3214"/>
    <w:rsid w:val="004A4136"/>
    <w:rsid w:val="004A417B"/>
    <w:rsid w:val="004A4378"/>
    <w:rsid w:val="004A712D"/>
    <w:rsid w:val="004B03F3"/>
    <w:rsid w:val="004B0CC9"/>
    <w:rsid w:val="004B2536"/>
    <w:rsid w:val="004B46D7"/>
    <w:rsid w:val="004B668F"/>
    <w:rsid w:val="004B6AF3"/>
    <w:rsid w:val="004B715E"/>
    <w:rsid w:val="004B7169"/>
    <w:rsid w:val="004B79C9"/>
    <w:rsid w:val="004C00DD"/>
    <w:rsid w:val="004C05CF"/>
    <w:rsid w:val="004C0776"/>
    <w:rsid w:val="004C1EF8"/>
    <w:rsid w:val="004C2063"/>
    <w:rsid w:val="004C24C5"/>
    <w:rsid w:val="004C47D5"/>
    <w:rsid w:val="004C4CAF"/>
    <w:rsid w:val="004C5E33"/>
    <w:rsid w:val="004C60A3"/>
    <w:rsid w:val="004C6148"/>
    <w:rsid w:val="004C6CDA"/>
    <w:rsid w:val="004D10D4"/>
    <w:rsid w:val="004D16BD"/>
    <w:rsid w:val="004D2AAB"/>
    <w:rsid w:val="004D6E90"/>
    <w:rsid w:val="004D6F2B"/>
    <w:rsid w:val="004E0248"/>
    <w:rsid w:val="004E21A3"/>
    <w:rsid w:val="004E2A5F"/>
    <w:rsid w:val="004E32EA"/>
    <w:rsid w:val="004E6866"/>
    <w:rsid w:val="004F0C58"/>
    <w:rsid w:val="004F3222"/>
    <w:rsid w:val="004F3639"/>
    <w:rsid w:val="004F3BFA"/>
    <w:rsid w:val="004F4E3C"/>
    <w:rsid w:val="004F5A1A"/>
    <w:rsid w:val="004F6FF9"/>
    <w:rsid w:val="004F77A3"/>
    <w:rsid w:val="005000AB"/>
    <w:rsid w:val="00500F3C"/>
    <w:rsid w:val="005025EE"/>
    <w:rsid w:val="00503DDF"/>
    <w:rsid w:val="00505524"/>
    <w:rsid w:val="00506688"/>
    <w:rsid w:val="00510588"/>
    <w:rsid w:val="00510F9C"/>
    <w:rsid w:val="0051146C"/>
    <w:rsid w:val="0051220B"/>
    <w:rsid w:val="00512253"/>
    <w:rsid w:val="00512484"/>
    <w:rsid w:val="00514449"/>
    <w:rsid w:val="00515419"/>
    <w:rsid w:val="005157BD"/>
    <w:rsid w:val="005214A3"/>
    <w:rsid w:val="005222E7"/>
    <w:rsid w:val="00523A8B"/>
    <w:rsid w:val="00523E04"/>
    <w:rsid w:val="00525003"/>
    <w:rsid w:val="0052590B"/>
    <w:rsid w:val="00526591"/>
    <w:rsid w:val="00527178"/>
    <w:rsid w:val="005278CB"/>
    <w:rsid w:val="00534D42"/>
    <w:rsid w:val="005350A5"/>
    <w:rsid w:val="00536379"/>
    <w:rsid w:val="00537238"/>
    <w:rsid w:val="005400C5"/>
    <w:rsid w:val="005404CD"/>
    <w:rsid w:val="00540BE0"/>
    <w:rsid w:val="00540BEF"/>
    <w:rsid w:val="00542C9A"/>
    <w:rsid w:val="005436C2"/>
    <w:rsid w:val="005442D4"/>
    <w:rsid w:val="005456CD"/>
    <w:rsid w:val="0054586A"/>
    <w:rsid w:val="0054631F"/>
    <w:rsid w:val="00546C24"/>
    <w:rsid w:val="005471BA"/>
    <w:rsid w:val="00547BE6"/>
    <w:rsid w:val="0055034F"/>
    <w:rsid w:val="0055288D"/>
    <w:rsid w:val="00555259"/>
    <w:rsid w:val="00555C66"/>
    <w:rsid w:val="0055604A"/>
    <w:rsid w:val="005569EF"/>
    <w:rsid w:val="00556BDE"/>
    <w:rsid w:val="00560D57"/>
    <w:rsid w:val="005617F7"/>
    <w:rsid w:val="00562A94"/>
    <w:rsid w:val="00563FAD"/>
    <w:rsid w:val="005701C1"/>
    <w:rsid w:val="005703BF"/>
    <w:rsid w:val="00570754"/>
    <w:rsid w:val="005709F7"/>
    <w:rsid w:val="005710A9"/>
    <w:rsid w:val="00571B11"/>
    <w:rsid w:val="00571D1B"/>
    <w:rsid w:val="00571DA3"/>
    <w:rsid w:val="005738F5"/>
    <w:rsid w:val="00573D34"/>
    <w:rsid w:val="00575963"/>
    <w:rsid w:val="00575EBE"/>
    <w:rsid w:val="0058039C"/>
    <w:rsid w:val="00580A63"/>
    <w:rsid w:val="00583379"/>
    <w:rsid w:val="0058417C"/>
    <w:rsid w:val="00586EC6"/>
    <w:rsid w:val="00587DDE"/>
    <w:rsid w:val="00591815"/>
    <w:rsid w:val="00593043"/>
    <w:rsid w:val="0059387F"/>
    <w:rsid w:val="00595B60"/>
    <w:rsid w:val="00595BF0"/>
    <w:rsid w:val="00597E16"/>
    <w:rsid w:val="005A0B1D"/>
    <w:rsid w:val="005A1846"/>
    <w:rsid w:val="005A258C"/>
    <w:rsid w:val="005A3560"/>
    <w:rsid w:val="005A464E"/>
    <w:rsid w:val="005A62FC"/>
    <w:rsid w:val="005A6C99"/>
    <w:rsid w:val="005A7D5D"/>
    <w:rsid w:val="005B0040"/>
    <w:rsid w:val="005B011A"/>
    <w:rsid w:val="005B0283"/>
    <w:rsid w:val="005B1451"/>
    <w:rsid w:val="005B1ADA"/>
    <w:rsid w:val="005B1D8F"/>
    <w:rsid w:val="005B1E94"/>
    <w:rsid w:val="005B5B3D"/>
    <w:rsid w:val="005B64CF"/>
    <w:rsid w:val="005C0E87"/>
    <w:rsid w:val="005C16F3"/>
    <w:rsid w:val="005C3758"/>
    <w:rsid w:val="005C4D72"/>
    <w:rsid w:val="005C50C1"/>
    <w:rsid w:val="005C6045"/>
    <w:rsid w:val="005C62C2"/>
    <w:rsid w:val="005D2306"/>
    <w:rsid w:val="005D28FD"/>
    <w:rsid w:val="005D4A74"/>
    <w:rsid w:val="005D5E91"/>
    <w:rsid w:val="005D67EF"/>
    <w:rsid w:val="005D6FC2"/>
    <w:rsid w:val="005E3064"/>
    <w:rsid w:val="005E6AEE"/>
    <w:rsid w:val="005E72B2"/>
    <w:rsid w:val="005F1115"/>
    <w:rsid w:val="005F1AB6"/>
    <w:rsid w:val="005F27F2"/>
    <w:rsid w:val="005F2989"/>
    <w:rsid w:val="005F2B27"/>
    <w:rsid w:val="005F3567"/>
    <w:rsid w:val="005F3AFE"/>
    <w:rsid w:val="005F424D"/>
    <w:rsid w:val="005F55F5"/>
    <w:rsid w:val="005F5EC1"/>
    <w:rsid w:val="005F67A9"/>
    <w:rsid w:val="005F6B6D"/>
    <w:rsid w:val="006008F8"/>
    <w:rsid w:val="00605AAB"/>
    <w:rsid w:val="00606BEB"/>
    <w:rsid w:val="0061014A"/>
    <w:rsid w:val="0061054B"/>
    <w:rsid w:val="00612FB0"/>
    <w:rsid w:val="0061356D"/>
    <w:rsid w:val="00613E26"/>
    <w:rsid w:val="00615641"/>
    <w:rsid w:val="00616959"/>
    <w:rsid w:val="0062036E"/>
    <w:rsid w:val="006211D0"/>
    <w:rsid w:val="00621595"/>
    <w:rsid w:val="0062359D"/>
    <w:rsid w:val="00623634"/>
    <w:rsid w:val="00624D0C"/>
    <w:rsid w:val="006274B4"/>
    <w:rsid w:val="00627719"/>
    <w:rsid w:val="006307BA"/>
    <w:rsid w:val="006315BA"/>
    <w:rsid w:val="00634C4A"/>
    <w:rsid w:val="0063532E"/>
    <w:rsid w:val="00637063"/>
    <w:rsid w:val="0063737C"/>
    <w:rsid w:val="00637BDC"/>
    <w:rsid w:val="006405BC"/>
    <w:rsid w:val="00640622"/>
    <w:rsid w:val="006418C9"/>
    <w:rsid w:val="00642BD6"/>
    <w:rsid w:val="00645046"/>
    <w:rsid w:val="0064527A"/>
    <w:rsid w:val="006458FD"/>
    <w:rsid w:val="00645EA2"/>
    <w:rsid w:val="006465F6"/>
    <w:rsid w:val="00651E6D"/>
    <w:rsid w:val="006522B5"/>
    <w:rsid w:val="00653D2D"/>
    <w:rsid w:val="00655258"/>
    <w:rsid w:val="006555E7"/>
    <w:rsid w:val="006560B6"/>
    <w:rsid w:val="006573F2"/>
    <w:rsid w:val="00662AD0"/>
    <w:rsid w:val="00662F08"/>
    <w:rsid w:val="00663589"/>
    <w:rsid w:val="00664296"/>
    <w:rsid w:val="006649CD"/>
    <w:rsid w:val="00665D75"/>
    <w:rsid w:val="006702BE"/>
    <w:rsid w:val="006708E3"/>
    <w:rsid w:val="00670DDC"/>
    <w:rsid w:val="00671389"/>
    <w:rsid w:val="00671EB4"/>
    <w:rsid w:val="00673CDC"/>
    <w:rsid w:val="0067443B"/>
    <w:rsid w:val="006770AA"/>
    <w:rsid w:val="00682486"/>
    <w:rsid w:val="00684CE6"/>
    <w:rsid w:val="00684E2B"/>
    <w:rsid w:val="00687C7E"/>
    <w:rsid w:val="00690569"/>
    <w:rsid w:val="00690FDA"/>
    <w:rsid w:val="00691E61"/>
    <w:rsid w:val="00692656"/>
    <w:rsid w:val="006937C6"/>
    <w:rsid w:val="00693C5E"/>
    <w:rsid w:val="00693CEE"/>
    <w:rsid w:val="00694EEA"/>
    <w:rsid w:val="006955B4"/>
    <w:rsid w:val="00695DEF"/>
    <w:rsid w:val="00696476"/>
    <w:rsid w:val="00696C74"/>
    <w:rsid w:val="006A10FA"/>
    <w:rsid w:val="006A40E6"/>
    <w:rsid w:val="006A516B"/>
    <w:rsid w:val="006A5362"/>
    <w:rsid w:val="006A543A"/>
    <w:rsid w:val="006A5C07"/>
    <w:rsid w:val="006A75FA"/>
    <w:rsid w:val="006B07D5"/>
    <w:rsid w:val="006B1309"/>
    <w:rsid w:val="006B31E6"/>
    <w:rsid w:val="006B3923"/>
    <w:rsid w:val="006B3F3E"/>
    <w:rsid w:val="006B4AA2"/>
    <w:rsid w:val="006B53C4"/>
    <w:rsid w:val="006B54DC"/>
    <w:rsid w:val="006B586B"/>
    <w:rsid w:val="006B5923"/>
    <w:rsid w:val="006B67D9"/>
    <w:rsid w:val="006B6C14"/>
    <w:rsid w:val="006B715E"/>
    <w:rsid w:val="006C1D6E"/>
    <w:rsid w:val="006C2EF6"/>
    <w:rsid w:val="006C3A68"/>
    <w:rsid w:val="006C3B08"/>
    <w:rsid w:val="006C4B9D"/>
    <w:rsid w:val="006C6AB1"/>
    <w:rsid w:val="006C6E6B"/>
    <w:rsid w:val="006D145F"/>
    <w:rsid w:val="006D1D34"/>
    <w:rsid w:val="006D2000"/>
    <w:rsid w:val="006D2D39"/>
    <w:rsid w:val="006D2F31"/>
    <w:rsid w:val="006D4250"/>
    <w:rsid w:val="006D4E0E"/>
    <w:rsid w:val="006D5861"/>
    <w:rsid w:val="006D5CE2"/>
    <w:rsid w:val="006D7854"/>
    <w:rsid w:val="006E06D1"/>
    <w:rsid w:val="006E1313"/>
    <w:rsid w:val="006E2DC8"/>
    <w:rsid w:val="006E7356"/>
    <w:rsid w:val="006E77C8"/>
    <w:rsid w:val="006F0F9C"/>
    <w:rsid w:val="006F149D"/>
    <w:rsid w:val="006F1A46"/>
    <w:rsid w:val="006F4F06"/>
    <w:rsid w:val="006F5A4E"/>
    <w:rsid w:val="006F5D37"/>
    <w:rsid w:val="006F6005"/>
    <w:rsid w:val="007005EA"/>
    <w:rsid w:val="00703B6C"/>
    <w:rsid w:val="00703BB0"/>
    <w:rsid w:val="00704519"/>
    <w:rsid w:val="00704C88"/>
    <w:rsid w:val="00704EA1"/>
    <w:rsid w:val="00705C40"/>
    <w:rsid w:val="00706482"/>
    <w:rsid w:val="00706754"/>
    <w:rsid w:val="00706BEF"/>
    <w:rsid w:val="00707ECE"/>
    <w:rsid w:val="00710CE8"/>
    <w:rsid w:val="00711350"/>
    <w:rsid w:val="007116BC"/>
    <w:rsid w:val="00711961"/>
    <w:rsid w:val="00711CA6"/>
    <w:rsid w:val="007165CE"/>
    <w:rsid w:val="00717CEB"/>
    <w:rsid w:val="0072035D"/>
    <w:rsid w:val="00720968"/>
    <w:rsid w:val="00721705"/>
    <w:rsid w:val="00721B7A"/>
    <w:rsid w:val="00721D12"/>
    <w:rsid w:val="00721F8B"/>
    <w:rsid w:val="007237CE"/>
    <w:rsid w:val="00724688"/>
    <w:rsid w:val="007272F1"/>
    <w:rsid w:val="0073062D"/>
    <w:rsid w:val="0073093B"/>
    <w:rsid w:val="0073254D"/>
    <w:rsid w:val="00732D5E"/>
    <w:rsid w:val="007340F3"/>
    <w:rsid w:val="00735704"/>
    <w:rsid w:val="007358CD"/>
    <w:rsid w:val="00736A49"/>
    <w:rsid w:val="007419A1"/>
    <w:rsid w:val="00743B71"/>
    <w:rsid w:val="00743C2D"/>
    <w:rsid w:val="00743E36"/>
    <w:rsid w:val="00743F05"/>
    <w:rsid w:val="007441C1"/>
    <w:rsid w:val="007446F7"/>
    <w:rsid w:val="00744EBB"/>
    <w:rsid w:val="00745B0A"/>
    <w:rsid w:val="00745DBE"/>
    <w:rsid w:val="007468AC"/>
    <w:rsid w:val="00746AE2"/>
    <w:rsid w:val="00750C82"/>
    <w:rsid w:val="00750E3A"/>
    <w:rsid w:val="00752035"/>
    <w:rsid w:val="0076100C"/>
    <w:rsid w:val="007612A5"/>
    <w:rsid w:val="007622CD"/>
    <w:rsid w:val="00763CAE"/>
    <w:rsid w:val="00763F95"/>
    <w:rsid w:val="007651ED"/>
    <w:rsid w:val="00766C87"/>
    <w:rsid w:val="00771043"/>
    <w:rsid w:val="00773AF7"/>
    <w:rsid w:val="00774FFD"/>
    <w:rsid w:val="00780378"/>
    <w:rsid w:val="0078085E"/>
    <w:rsid w:val="00781BD4"/>
    <w:rsid w:val="00782562"/>
    <w:rsid w:val="007828B4"/>
    <w:rsid w:val="00784832"/>
    <w:rsid w:val="00784EA0"/>
    <w:rsid w:val="00785D77"/>
    <w:rsid w:val="00786111"/>
    <w:rsid w:val="00790963"/>
    <w:rsid w:val="0079154B"/>
    <w:rsid w:val="00791B62"/>
    <w:rsid w:val="00791F1E"/>
    <w:rsid w:val="007927BE"/>
    <w:rsid w:val="0079315F"/>
    <w:rsid w:val="007935B8"/>
    <w:rsid w:val="00794ADE"/>
    <w:rsid w:val="00794F3D"/>
    <w:rsid w:val="00795CE9"/>
    <w:rsid w:val="00796045"/>
    <w:rsid w:val="007968AC"/>
    <w:rsid w:val="007969AB"/>
    <w:rsid w:val="007973D8"/>
    <w:rsid w:val="00797801"/>
    <w:rsid w:val="007A0B39"/>
    <w:rsid w:val="007A14A4"/>
    <w:rsid w:val="007A168F"/>
    <w:rsid w:val="007A2346"/>
    <w:rsid w:val="007A28E4"/>
    <w:rsid w:val="007A3BB3"/>
    <w:rsid w:val="007A3F91"/>
    <w:rsid w:val="007A5AD1"/>
    <w:rsid w:val="007A5B7B"/>
    <w:rsid w:val="007A65A9"/>
    <w:rsid w:val="007B0128"/>
    <w:rsid w:val="007B0A06"/>
    <w:rsid w:val="007B0B24"/>
    <w:rsid w:val="007B1C83"/>
    <w:rsid w:val="007B4181"/>
    <w:rsid w:val="007B5C5C"/>
    <w:rsid w:val="007B6CE0"/>
    <w:rsid w:val="007B7B37"/>
    <w:rsid w:val="007B7C41"/>
    <w:rsid w:val="007C05C5"/>
    <w:rsid w:val="007C11E9"/>
    <w:rsid w:val="007C433E"/>
    <w:rsid w:val="007C4452"/>
    <w:rsid w:val="007C4B3C"/>
    <w:rsid w:val="007C4DB1"/>
    <w:rsid w:val="007C6046"/>
    <w:rsid w:val="007C6F0C"/>
    <w:rsid w:val="007D0292"/>
    <w:rsid w:val="007D136C"/>
    <w:rsid w:val="007D21AC"/>
    <w:rsid w:val="007D24B0"/>
    <w:rsid w:val="007D3882"/>
    <w:rsid w:val="007D39E4"/>
    <w:rsid w:val="007D3FE7"/>
    <w:rsid w:val="007D568A"/>
    <w:rsid w:val="007D574E"/>
    <w:rsid w:val="007D57C0"/>
    <w:rsid w:val="007D67CB"/>
    <w:rsid w:val="007D6BFE"/>
    <w:rsid w:val="007E2046"/>
    <w:rsid w:val="007E3883"/>
    <w:rsid w:val="007E397D"/>
    <w:rsid w:val="007E4876"/>
    <w:rsid w:val="007E48CD"/>
    <w:rsid w:val="007E4ACB"/>
    <w:rsid w:val="007E4FBB"/>
    <w:rsid w:val="007E55BF"/>
    <w:rsid w:val="007E59E3"/>
    <w:rsid w:val="007E5E39"/>
    <w:rsid w:val="007E71B1"/>
    <w:rsid w:val="007E7B4E"/>
    <w:rsid w:val="007E7F02"/>
    <w:rsid w:val="007F0292"/>
    <w:rsid w:val="007F07BB"/>
    <w:rsid w:val="007F0AB7"/>
    <w:rsid w:val="007F0CE2"/>
    <w:rsid w:val="007F0EFF"/>
    <w:rsid w:val="007F1375"/>
    <w:rsid w:val="007F1AFD"/>
    <w:rsid w:val="007F30E4"/>
    <w:rsid w:val="0080064F"/>
    <w:rsid w:val="00801B85"/>
    <w:rsid w:val="00803850"/>
    <w:rsid w:val="008039E8"/>
    <w:rsid w:val="00804385"/>
    <w:rsid w:val="00804E0E"/>
    <w:rsid w:val="00805AFD"/>
    <w:rsid w:val="008078D8"/>
    <w:rsid w:val="0080798E"/>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24D9"/>
    <w:rsid w:val="00833418"/>
    <w:rsid w:val="0083387F"/>
    <w:rsid w:val="00834458"/>
    <w:rsid w:val="00834AEA"/>
    <w:rsid w:val="00835129"/>
    <w:rsid w:val="00835841"/>
    <w:rsid w:val="00835BF8"/>
    <w:rsid w:val="00835FB7"/>
    <w:rsid w:val="00837465"/>
    <w:rsid w:val="0084002E"/>
    <w:rsid w:val="00840159"/>
    <w:rsid w:val="00840621"/>
    <w:rsid w:val="00841243"/>
    <w:rsid w:val="00841457"/>
    <w:rsid w:val="0084374E"/>
    <w:rsid w:val="00844842"/>
    <w:rsid w:val="00844A53"/>
    <w:rsid w:val="00844B99"/>
    <w:rsid w:val="00844DD0"/>
    <w:rsid w:val="008455C8"/>
    <w:rsid w:val="00846407"/>
    <w:rsid w:val="0085006A"/>
    <w:rsid w:val="0085089F"/>
    <w:rsid w:val="0085206E"/>
    <w:rsid w:val="00852273"/>
    <w:rsid w:val="0085293D"/>
    <w:rsid w:val="00852AD4"/>
    <w:rsid w:val="00852BA8"/>
    <w:rsid w:val="00852BF0"/>
    <w:rsid w:val="00853718"/>
    <w:rsid w:val="008541EF"/>
    <w:rsid w:val="00856AC7"/>
    <w:rsid w:val="00856FA4"/>
    <w:rsid w:val="00860E60"/>
    <w:rsid w:val="0086102A"/>
    <w:rsid w:val="0086162B"/>
    <w:rsid w:val="00861710"/>
    <w:rsid w:val="00861D5C"/>
    <w:rsid w:val="00861E7C"/>
    <w:rsid w:val="00865207"/>
    <w:rsid w:val="008656A7"/>
    <w:rsid w:val="00865FA3"/>
    <w:rsid w:val="00866231"/>
    <w:rsid w:val="00871262"/>
    <w:rsid w:val="0087170E"/>
    <w:rsid w:val="00871D4E"/>
    <w:rsid w:val="00871E7B"/>
    <w:rsid w:val="008721BB"/>
    <w:rsid w:val="0087566D"/>
    <w:rsid w:val="00875B50"/>
    <w:rsid w:val="00875B51"/>
    <w:rsid w:val="00875F2D"/>
    <w:rsid w:val="008764DC"/>
    <w:rsid w:val="008815CA"/>
    <w:rsid w:val="00882CC2"/>
    <w:rsid w:val="0088325A"/>
    <w:rsid w:val="00883930"/>
    <w:rsid w:val="00884535"/>
    <w:rsid w:val="00887B51"/>
    <w:rsid w:val="008902BE"/>
    <w:rsid w:val="0089038F"/>
    <w:rsid w:val="00890CDA"/>
    <w:rsid w:val="00891BBA"/>
    <w:rsid w:val="00892079"/>
    <w:rsid w:val="00892B90"/>
    <w:rsid w:val="00896535"/>
    <w:rsid w:val="00896683"/>
    <w:rsid w:val="00896E71"/>
    <w:rsid w:val="0089750B"/>
    <w:rsid w:val="00897589"/>
    <w:rsid w:val="008A0D4F"/>
    <w:rsid w:val="008A2D08"/>
    <w:rsid w:val="008A39D7"/>
    <w:rsid w:val="008A55DE"/>
    <w:rsid w:val="008A5C34"/>
    <w:rsid w:val="008A63A9"/>
    <w:rsid w:val="008A7073"/>
    <w:rsid w:val="008A79F0"/>
    <w:rsid w:val="008A7F7E"/>
    <w:rsid w:val="008B04DB"/>
    <w:rsid w:val="008B09B4"/>
    <w:rsid w:val="008B1DF4"/>
    <w:rsid w:val="008B27FD"/>
    <w:rsid w:val="008B2FDB"/>
    <w:rsid w:val="008B3AF2"/>
    <w:rsid w:val="008B446D"/>
    <w:rsid w:val="008B515D"/>
    <w:rsid w:val="008B5D31"/>
    <w:rsid w:val="008B6705"/>
    <w:rsid w:val="008C22F3"/>
    <w:rsid w:val="008C2F89"/>
    <w:rsid w:val="008C3FD0"/>
    <w:rsid w:val="008C4F01"/>
    <w:rsid w:val="008D0EF4"/>
    <w:rsid w:val="008D1484"/>
    <w:rsid w:val="008D29E7"/>
    <w:rsid w:val="008D3C07"/>
    <w:rsid w:val="008D5104"/>
    <w:rsid w:val="008D5B7D"/>
    <w:rsid w:val="008D75F4"/>
    <w:rsid w:val="008D795D"/>
    <w:rsid w:val="008D7B07"/>
    <w:rsid w:val="008E0D8F"/>
    <w:rsid w:val="008E0F4E"/>
    <w:rsid w:val="008E1ADE"/>
    <w:rsid w:val="008E1E94"/>
    <w:rsid w:val="008E2D99"/>
    <w:rsid w:val="008E30D4"/>
    <w:rsid w:val="008E38B0"/>
    <w:rsid w:val="008E4A60"/>
    <w:rsid w:val="008E744D"/>
    <w:rsid w:val="008F1E08"/>
    <w:rsid w:val="008F49DC"/>
    <w:rsid w:val="008F6FC8"/>
    <w:rsid w:val="0090045D"/>
    <w:rsid w:val="00900D8F"/>
    <w:rsid w:val="009014E3"/>
    <w:rsid w:val="009020ED"/>
    <w:rsid w:val="009026E8"/>
    <w:rsid w:val="00902FDD"/>
    <w:rsid w:val="00905EEF"/>
    <w:rsid w:val="00906EB7"/>
    <w:rsid w:val="009102BF"/>
    <w:rsid w:val="00911490"/>
    <w:rsid w:val="009115F2"/>
    <w:rsid w:val="00911B11"/>
    <w:rsid w:val="00914ADB"/>
    <w:rsid w:val="00917182"/>
    <w:rsid w:val="00923B25"/>
    <w:rsid w:val="0092402E"/>
    <w:rsid w:val="0092496C"/>
    <w:rsid w:val="009259BA"/>
    <w:rsid w:val="00926FCB"/>
    <w:rsid w:val="009303BB"/>
    <w:rsid w:val="0093108A"/>
    <w:rsid w:val="0093311A"/>
    <w:rsid w:val="0093341E"/>
    <w:rsid w:val="009346D0"/>
    <w:rsid w:val="00941268"/>
    <w:rsid w:val="009419B4"/>
    <w:rsid w:val="00941A4C"/>
    <w:rsid w:val="00942645"/>
    <w:rsid w:val="009461E6"/>
    <w:rsid w:val="00950A3A"/>
    <w:rsid w:val="0095340A"/>
    <w:rsid w:val="00953AF6"/>
    <w:rsid w:val="0095423E"/>
    <w:rsid w:val="00954530"/>
    <w:rsid w:val="00954581"/>
    <w:rsid w:val="0095466C"/>
    <w:rsid w:val="00954E5B"/>
    <w:rsid w:val="00955316"/>
    <w:rsid w:val="00955E45"/>
    <w:rsid w:val="009566CC"/>
    <w:rsid w:val="009576BC"/>
    <w:rsid w:val="00957899"/>
    <w:rsid w:val="00960357"/>
    <w:rsid w:val="0096168C"/>
    <w:rsid w:val="00961840"/>
    <w:rsid w:val="009625E3"/>
    <w:rsid w:val="00962F2D"/>
    <w:rsid w:val="00963A7A"/>
    <w:rsid w:val="009672CD"/>
    <w:rsid w:val="00967F7D"/>
    <w:rsid w:val="009710AD"/>
    <w:rsid w:val="00972996"/>
    <w:rsid w:val="009732B8"/>
    <w:rsid w:val="00974647"/>
    <w:rsid w:val="0097514A"/>
    <w:rsid w:val="009759C2"/>
    <w:rsid w:val="00975C72"/>
    <w:rsid w:val="00976869"/>
    <w:rsid w:val="00977740"/>
    <w:rsid w:val="00977CB4"/>
    <w:rsid w:val="009809B8"/>
    <w:rsid w:val="00981086"/>
    <w:rsid w:val="009818AF"/>
    <w:rsid w:val="00981B1C"/>
    <w:rsid w:val="0098222D"/>
    <w:rsid w:val="00985099"/>
    <w:rsid w:val="00985D32"/>
    <w:rsid w:val="00986514"/>
    <w:rsid w:val="00986D2A"/>
    <w:rsid w:val="00986FCC"/>
    <w:rsid w:val="009935C3"/>
    <w:rsid w:val="0099421F"/>
    <w:rsid w:val="00994FC8"/>
    <w:rsid w:val="009A0DE3"/>
    <w:rsid w:val="009A1643"/>
    <w:rsid w:val="009A215A"/>
    <w:rsid w:val="009A49D3"/>
    <w:rsid w:val="009A4F1B"/>
    <w:rsid w:val="009A66C5"/>
    <w:rsid w:val="009A66E7"/>
    <w:rsid w:val="009A79BA"/>
    <w:rsid w:val="009B14D1"/>
    <w:rsid w:val="009B1534"/>
    <w:rsid w:val="009B4963"/>
    <w:rsid w:val="009B4A3B"/>
    <w:rsid w:val="009B69D3"/>
    <w:rsid w:val="009B7BA7"/>
    <w:rsid w:val="009B7C01"/>
    <w:rsid w:val="009C0938"/>
    <w:rsid w:val="009C0C22"/>
    <w:rsid w:val="009C15D9"/>
    <w:rsid w:val="009C22C8"/>
    <w:rsid w:val="009C3F82"/>
    <w:rsid w:val="009C582A"/>
    <w:rsid w:val="009C5C56"/>
    <w:rsid w:val="009C72DD"/>
    <w:rsid w:val="009C78FD"/>
    <w:rsid w:val="009C7DF5"/>
    <w:rsid w:val="009D056C"/>
    <w:rsid w:val="009D060F"/>
    <w:rsid w:val="009D0C20"/>
    <w:rsid w:val="009D1ADE"/>
    <w:rsid w:val="009D3652"/>
    <w:rsid w:val="009D37CA"/>
    <w:rsid w:val="009D4229"/>
    <w:rsid w:val="009D4268"/>
    <w:rsid w:val="009E09D0"/>
    <w:rsid w:val="009E1283"/>
    <w:rsid w:val="009E3A7F"/>
    <w:rsid w:val="009E4C9B"/>
    <w:rsid w:val="009E4DFC"/>
    <w:rsid w:val="009E5789"/>
    <w:rsid w:val="009E57B1"/>
    <w:rsid w:val="009E6379"/>
    <w:rsid w:val="009F020F"/>
    <w:rsid w:val="009F3B63"/>
    <w:rsid w:val="009F43E2"/>
    <w:rsid w:val="009F6292"/>
    <w:rsid w:val="009F7809"/>
    <w:rsid w:val="009F7AF5"/>
    <w:rsid w:val="00A006F1"/>
    <w:rsid w:val="00A007A7"/>
    <w:rsid w:val="00A00D14"/>
    <w:rsid w:val="00A01408"/>
    <w:rsid w:val="00A02457"/>
    <w:rsid w:val="00A03190"/>
    <w:rsid w:val="00A0404B"/>
    <w:rsid w:val="00A06F66"/>
    <w:rsid w:val="00A0798C"/>
    <w:rsid w:val="00A07BDD"/>
    <w:rsid w:val="00A07F12"/>
    <w:rsid w:val="00A1105B"/>
    <w:rsid w:val="00A1213C"/>
    <w:rsid w:val="00A130E8"/>
    <w:rsid w:val="00A14E4F"/>
    <w:rsid w:val="00A15B6B"/>
    <w:rsid w:val="00A15EB4"/>
    <w:rsid w:val="00A16172"/>
    <w:rsid w:val="00A16876"/>
    <w:rsid w:val="00A200AA"/>
    <w:rsid w:val="00A20558"/>
    <w:rsid w:val="00A211DD"/>
    <w:rsid w:val="00A2186F"/>
    <w:rsid w:val="00A2270B"/>
    <w:rsid w:val="00A23B89"/>
    <w:rsid w:val="00A23FE3"/>
    <w:rsid w:val="00A248C3"/>
    <w:rsid w:val="00A2496E"/>
    <w:rsid w:val="00A2515A"/>
    <w:rsid w:val="00A253E8"/>
    <w:rsid w:val="00A258B7"/>
    <w:rsid w:val="00A25A0C"/>
    <w:rsid w:val="00A25A83"/>
    <w:rsid w:val="00A262B6"/>
    <w:rsid w:val="00A31FE2"/>
    <w:rsid w:val="00A32743"/>
    <w:rsid w:val="00A40FFB"/>
    <w:rsid w:val="00A41468"/>
    <w:rsid w:val="00A414A9"/>
    <w:rsid w:val="00A44141"/>
    <w:rsid w:val="00A44CCA"/>
    <w:rsid w:val="00A44D75"/>
    <w:rsid w:val="00A47CF1"/>
    <w:rsid w:val="00A50418"/>
    <w:rsid w:val="00A54A47"/>
    <w:rsid w:val="00A56D26"/>
    <w:rsid w:val="00A571A7"/>
    <w:rsid w:val="00A5749A"/>
    <w:rsid w:val="00A57674"/>
    <w:rsid w:val="00A57BA8"/>
    <w:rsid w:val="00A608FB"/>
    <w:rsid w:val="00A60D83"/>
    <w:rsid w:val="00A60F68"/>
    <w:rsid w:val="00A63DF3"/>
    <w:rsid w:val="00A65C78"/>
    <w:rsid w:val="00A660A8"/>
    <w:rsid w:val="00A66A45"/>
    <w:rsid w:val="00A67591"/>
    <w:rsid w:val="00A67CA6"/>
    <w:rsid w:val="00A70E7B"/>
    <w:rsid w:val="00A717EA"/>
    <w:rsid w:val="00A73B84"/>
    <w:rsid w:val="00A7411D"/>
    <w:rsid w:val="00A75062"/>
    <w:rsid w:val="00A756C4"/>
    <w:rsid w:val="00A7592B"/>
    <w:rsid w:val="00A76094"/>
    <w:rsid w:val="00A768E2"/>
    <w:rsid w:val="00A82C52"/>
    <w:rsid w:val="00A838E8"/>
    <w:rsid w:val="00A83C15"/>
    <w:rsid w:val="00A84EC4"/>
    <w:rsid w:val="00A85F69"/>
    <w:rsid w:val="00A86CB6"/>
    <w:rsid w:val="00A90D55"/>
    <w:rsid w:val="00A91664"/>
    <w:rsid w:val="00A944D8"/>
    <w:rsid w:val="00A959E7"/>
    <w:rsid w:val="00A95BBA"/>
    <w:rsid w:val="00A961EE"/>
    <w:rsid w:val="00AA04B3"/>
    <w:rsid w:val="00AA1253"/>
    <w:rsid w:val="00AA1ED0"/>
    <w:rsid w:val="00AA1F5B"/>
    <w:rsid w:val="00AA28EF"/>
    <w:rsid w:val="00AA3593"/>
    <w:rsid w:val="00AA38CA"/>
    <w:rsid w:val="00AA493E"/>
    <w:rsid w:val="00AA73AF"/>
    <w:rsid w:val="00AB0A8A"/>
    <w:rsid w:val="00AB1754"/>
    <w:rsid w:val="00AB1F8D"/>
    <w:rsid w:val="00AB232E"/>
    <w:rsid w:val="00AB27DD"/>
    <w:rsid w:val="00AB592E"/>
    <w:rsid w:val="00AB71C1"/>
    <w:rsid w:val="00AC0120"/>
    <w:rsid w:val="00AC37BE"/>
    <w:rsid w:val="00AC439D"/>
    <w:rsid w:val="00AC62CC"/>
    <w:rsid w:val="00AC713F"/>
    <w:rsid w:val="00AC7329"/>
    <w:rsid w:val="00AC7D96"/>
    <w:rsid w:val="00AD00E4"/>
    <w:rsid w:val="00AD067E"/>
    <w:rsid w:val="00AD168B"/>
    <w:rsid w:val="00AD1B4E"/>
    <w:rsid w:val="00AD2801"/>
    <w:rsid w:val="00AD3496"/>
    <w:rsid w:val="00AD49A1"/>
    <w:rsid w:val="00AD5771"/>
    <w:rsid w:val="00AD6870"/>
    <w:rsid w:val="00AD68C5"/>
    <w:rsid w:val="00AD7F8F"/>
    <w:rsid w:val="00AE0BF9"/>
    <w:rsid w:val="00AE1273"/>
    <w:rsid w:val="00AE18C5"/>
    <w:rsid w:val="00AE2CF4"/>
    <w:rsid w:val="00AE2D29"/>
    <w:rsid w:val="00AE2F15"/>
    <w:rsid w:val="00AE4624"/>
    <w:rsid w:val="00AE4AF7"/>
    <w:rsid w:val="00AE4B3E"/>
    <w:rsid w:val="00AE5E14"/>
    <w:rsid w:val="00AE6115"/>
    <w:rsid w:val="00AE625B"/>
    <w:rsid w:val="00AF01B2"/>
    <w:rsid w:val="00AF1103"/>
    <w:rsid w:val="00AF1668"/>
    <w:rsid w:val="00AF28DE"/>
    <w:rsid w:val="00AF4FA5"/>
    <w:rsid w:val="00AF6ECC"/>
    <w:rsid w:val="00B01CE4"/>
    <w:rsid w:val="00B022DC"/>
    <w:rsid w:val="00B04562"/>
    <w:rsid w:val="00B0472F"/>
    <w:rsid w:val="00B06930"/>
    <w:rsid w:val="00B0773A"/>
    <w:rsid w:val="00B07955"/>
    <w:rsid w:val="00B1176B"/>
    <w:rsid w:val="00B140B8"/>
    <w:rsid w:val="00B14FAA"/>
    <w:rsid w:val="00B15BED"/>
    <w:rsid w:val="00B15D30"/>
    <w:rsid w:val="00B16D18"/>
    <w:rsid w:val="00B177DE"/>
    <w:rsid w:val="00B20624"/>
    <w:rsid w:val="00B22AFD"/>
    <w:rsid w:val="00B23436"/>
    <w:rsid w:val="00B237F1"/>
    <w:rsid w:val="00B23F10"/>
    <w:rsid w:val="00B24328"/>
    <w:rsid w:val="00B24ED4"/>
    <w:rsid w:val="00B24F33"/>
    <w:rsid w:val="00B26354"/>
    <w:rsid w:val="00B26CA0"/>
    <w:rsid w:val="00B30BC4"/>
    <w:rsid w:val="00B31965"/>
    <w:rsid w:val="00B32179"/>
    <w:rsid w:val="00B32341"/>
    <w:rsid w:val="00B32C2B"/>
    <w:rsid w:val="00B33007"/>
    <w:rsid w:val="00B331A9"/>
    <w:rsid w:val="00B33498"/>
    <w:rsid w:val="00B33598"/>
    <w:rsid w:val="00B36569"/>
    <w:rsid w:val="00B37345"/>
    <w:rsid w:val="00B37F53"/>
    <w:rsid w:val="00B40A05"/>
    <w:rsid w:val="00B40A3E"/>
    <w:rsid w:val="00B427BB"/>
    <w:rsid w:val="00B43BA2"/>
    <w:rsid w:val="00B449EE"/>
    <w:rsid w:val="00B454AE"/>
    <w:rsid w:val="00B50227"/>
    <w:rsid w:val="00B50510"/>
    <w:rsid w:val="00B505B2"/>
    <w:rsid w:val="00B51AB2"/>
    <w:rsid w:val="00B522CD"/>
    <w:rsid w:val="00B55143"/>
    <w:rsid w:val="00B555C8"/>
    <w:rsid w:val="00B5591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C72"/>
    <w:rsid w:val="00B72ED9"/>
    <w:rsid w:val="00B731E4"/>
    <w:rsid w:val="00B751CE"/>
    <w:rsid w:val="00B75A8B"/>
    <w:rsid w:val="00B75B61"/>
    <w:rsid w:val="00B76796"/>
    <w:rsid w:val="00B771E0"/>
    <w:rsid w:val="00B7793B"/>
    <w:rsid w:val="00B77EE7"/>
    <w:rsid w:val="00B8060C"/>
    <w:rsid w:val="00B80EDD"/>
    <w:rsid w:val="00B812BD"/>
    <w:rsid w:val="00B81964"/>
    <w:rsid w:val="00B82277"/>
    <w:rsid w:val="00B83F87"/>
    <w:rsid w:val="00B8478F"/>
    <w:rsid w:val="00B91676"/>
    <w:rsid w:val="00B9322B"/>
    <w:rsid w:val="00B955D5"/>
    <w:rsid w:val="00B95833"/>
    <w:rsid w:val="00BA1824"/>
    <w:rsid w:val="00BA2D98"/>
    <w:rsid w:val="00BA2F0C"/>
    <w:rsid w:val="00BA30D1"/>
    <w:rsid w:val="00BA30E1"/>
    <w:rsid w:val="00BA4609"/>
    <w:rsid w:val="00BA5BE2"/>
    <w:rsid w:val="00BA7F46"/>
    <w:rsid w:val="00BB0A0A"/>
    <w:rsid w:val="00BB133C"/>
    <w:rsid w:val="00BB1F04"/>
    <w:rsid w:val="00BB32E9"/>
    <w:rsid w:val="00BB45B5"/>
    <w:rsid w:val="00BB4DDE"/>
    <w:rsid w:val="00BB6064"/>
    <w:rsid w:val="00BB65CE"/>
    <w:rsid w:val="00BB7012"/>
    <w:rsid w:val="00BC09D1"/>
    <w:rsid w:val="00BC1CF3"/>
    <w:rsid w:val="00BC2BE0"/>
    <w:rsid w:val="00BC3573"/>
    <w:rsid w:val="00BC7F82"/>
    <w:rsid w:val="00BD2A49"/>
    <w:rsid w:val="00BD3683"/>
    <w:rsid w:val="00BD40AB"/>
    <w:rsid w:val="00BD6297"/>
    <w:rsid w:val="00BD6806"/>
    <w:rsid w:val="00BD7433"/>
    <w:rsid w:val="00BD7831"/>
    <w:rsid w:val="00BD7C10"/>
    <w:rsid w:val="00BE046F"/>
    <w:rsid w:val="00BE0DEB"/>
    <w:rsid w:val="00BE2AB8"/>
    <w:rsid w:val="00BE2FC1"/>
    <w:rsid w:val="00BE3142"/>
    <w:rsid w:val="00BE4039"/>
    <w:rsid w:val="00BE407E"/>
    <w:rsid w:val="00BE440C"/>
    <w:rsid w:val="00BE4E2F"/>
    <w:rsid w:val="00BE6365"/>
    <w:rsid w:val="00BF01B7"/>
    <w:rsid w:val="00BF0B7F"/>
    <w:rsid w:val="00BF2988"/>
    <w:rsid w:val="00BF4720"/>
    <w:rsid w:val="00BF4F49"/>
    <w:rsid w:val="00BF6759"/>
    <w:rsid w:val="00BF70A6"/>
    <w:rsid w:val="00BF7B4F"/>
    <w:rsid w:val="00BF7B63"/>
    <w:rsid w:val="00C00458"/>
    <w:rsid w:val="00C0359D"/>
    <w:rsid w:val="00C038EC"/>
    <w:rsid w:val="00C05C6D"/>
    <w:rsid w:val="00C072D7"/>
    <w:rsid w:val="00C104DB"/>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E7C"/>
    <w:rsid w:val="00C276CD"/>
    <w:rsid w:val="00C27827"/>
    <w:rsid w:val="00C30A97"/>
    <w:rsid w:val="00C31DDC"/>
    <w:rsid w:val="00C3223A"/>
    <w:rsid w:val="00C34168"/>
    <w:rsid w:val="00C34326"/>
    <w:rsid w:val="00C34CEB"/>
    <w:rsid w:val="00C36201"/>
    <w:rsid w:val="00C368E8"/>
    <w:rsid w:val="00C36C3D"/>
    <w:rsid w:val="00C372C7"/>
    <w:rsid w:val="00C40BD5"/>
    <w:rsid w:val="00C42443"/>
    <w:rsid w:val="00C42CBA"/>
    <w:rsid w:val="00C4338C"/>
    <w:rsid w:val="00C43C2B"/>
    <w:rsid w:val="00C45B27"/>
    <w:rsid w:val="00C472C7"/>
    <w:rsid w:val="00C5019E"/>
    <w:rsid w:val="00C51962"/>
    <w:rsid w:val="00C5377C"/>
    <w:rsid w:val="00C53E8A"/>
    <w:rsid w:val="00C54DF3"/>
    <w:rsid w:val="00C560A7"/>
    <w:rsid w:val="00C56FC8"/>
    <w:rsid w:val="00C60F23"/>
    <w:rsid w:val="00C6170B"/>
    <w:rsid w:val="00C62EB2"/>
    <w:rsid w:val="00C64C87"/>
    <w:rsid w:val="00C665FE"/>
    <w:rsid w:val="00C70FE6"/>
    <w:rsid w:val="00C71BEC"/>
    <w:rsid w:val="00C74D3A"/>
    <w:rsid w:val="00C75F3D"/>
    <w:rsid w:val="00C7614A"/>
    <w:rsid w:val="00C80511"/>
    <w:rsid w:val="00C826F5"/>
    <w:rsid w:val="00C83740"/>
    <w:rsid w:val="00C84AD1"/>
    <w:rsid w:val="00C85579"/>
    <w:rsid w:val="00C862F1"/>
    <w:rsid w:val="00C863E5"/>
    <w:rsid w:val="00C87BE6"/>
    <w:rsid w:val="00C87F76"/>
    <w:rsid w:val="00C931FC"/>
    <w:rsid w:val="00C932C5"/>
    <w:rsid w:val="00C94CB6"/>
    <w:rsid w:val="00C95299"/>
    <w:rsid w:val="00C95880"/>
    <w:rsid w:val="00C95A72"/>
    <w:rsid w:val="00C9650E"/>
    <w:rsid w:val="00C97000"/>
    <w:rsid w:val="00C975BD"/>
    <w:rsid w:val="00CA068D"/>
    <w:rsid w:val="00CA1228"/>
    <w:rsid w:val="00CA1C73"/>
    <w:rsid w:val="00CA282D"/>
    <w:rsid w:val="00CA3F73"/>
    <w:rsid w:val="00CA4670"/>
    <w:rsid w:val="00CA5006"/>
    <w:rsid w:val="00CA5F89"/>
    <w:rsid w:val="00CA6B1A"/>
    <w:rsid w:val="00CB1B18"/>
    <w:rsid w:val="00CB20DC"/>
    <w:rsid w:val="00CB23DC"/>
    <w:rsid w:val="00CB2487"/>
    <w:rsid w:val="00CB28E2"/>
    <w:rsid w:val="00CB2F20"/>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E02E8"/>
    <w:rsid w:val="00CE069E"/>
    <w:rsid w:val="00CE0DE0"/>
    <w:rsid w:val="00CE3722"/>
    <w:rsid w:val="00CF158D"/>
    <w:rsid w:val="00CF2166"/>
    <w:rsid w:val="00CF4340"/>
    <w:rsid w:val="00CF4394"/>
    <w:rsid w:val="00CF48B4"/>
    <w:rsid w:val="00D000A9"/>
    <w:rsid w:val="00D00384"/>
    <w:rsid w:val="00D005DB"/>
    <w:rsid w:val="00D0064E"/>
    <w:rsid w:val="00D00981"/>
    <w:rsid w:val="00D02596"/>
    <w:rsid w:val="00D0280D"/>
    <w:rsid w:val="00D02AEF"/>
    <w:rsid w:val="00D05669"/>
    <w:rsid w:val="00D061EB"/>
    <w:rsid w:val="00D06952"/>
    <w:rsid w:val="00D07A72"/>
    <w:rsid w:val="00D10577"/>
    <w:rsid w:val="00D10F9B"/>
    <w:rsid w:val="00D12405"/>
    <w:rsid w:val="00D12A4E"/>
    <w:rsid w:val="00D1323B"/>
    <w:rsid w:val="00D14BAE"/>
    <w:rsid w:val="00D1648B"/>
    <w:rsid w:val="00D165FD"/>
    <w:rsid w:val="00D16819"/>
    <w:rsid w:val="00D17DD9"/>
    <w:rsid w:val="00D20AC0"/>
    <w:rsid w:val="00D2288F"/>
    <w:rsid w:val="00D2321B"/>
    <w:rsid w:val="00D23350"/>
    <w:rsid w:val="00D237E7"/>
    <w:rsid w:val="00D23DE4"/>
    <w:rsid w:val="00D25A5C"/>
    <w:rsid w:val="00D26873"/>
    <w:rsid w:val="00D31683"/>
    <w:rsid w:val="00D336C8"/>
    <w:rsid w:val="00D339E8"/>
    <w:rsid w:val="00D3654A"/>
    <w:rsid w:val="00D3662E"/>
    <w:rsid w:val="00D40B1F"/>
    <w:rsid w:val="00D40D75"/>
    <w:rsid w:val="00D43978"/>
    <w:rsid w:val="00D43CBD"/>
    <w:rsid w:val="00D449F0"/>
    <w:rsid w:val="00D462D7"/>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2410"/>
    <w:rsid w:val="00D7326B"/>
    <w:rsid w:val="00D73D53"/>
    <w:rsid w:val="00D7408A"/>
    <w:rsid w:val="00D74261"/>
    <w:rsid w:val="00D7441B"/>
    <w:rsid w:val="00D75589"/>
    <w:rsid w:val="00D76AB2"/>
    <w:rsid w:val="00D80490"/>
    <w:rsid w:val="00D829AD"/>
    <w:rsid w:val="00D82EE2"/>
    <w:rsid w:val="00D83D1B"/>
    <w:rsid w:val="00D84061"/>
    <w:rsid w:val="00D84133"/>
    <w:rsid w:val="00D84B5E"/>
    <w:rsid w:val="00D8545C"/>
    <w:rsid w:val="00D86E57"/>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C07B7"/>
    <w:rsid w:val="00DC0BF1"/>
    <w:rsid w:val="00DC17F2"/>
    <w:rsid w:val="00DC41C3"/>
    <w:rsid w:val="00DC4A3C"/>
    <w:rsid w:val="00DC4FA4"/>
    <w:rsid w:val="00DC5028"/>
    <w:rsid w:val="00DC5B37"/>
    <w:rsid w:val="00DD286D"/>
    <w:rsid w:val="00DD2CAF"/>
    <w:rsid w:val="00DD3593"/>
    <w:rsid w:val="00DD63EF"/>
    <w:rsid w:val="00DD64E0"/>
    <w:rsid w:val="00DD7BE0"/>
    <w:rsid w:val="00DE0C67"/>
    <w:rsid w:val="00DE3AAD"/>
    <w:rsid w:val="00DE598A"/>
    <w:rsid w:val="00DE6952"/>
    <w:rsid w:val="00DE7E74"/>
    <w:rsid w:val="00DF071B"/>
    <w:rsid w:val="00DF2E06"/>
    <w:rsid w:val="00DF3747"/>
    <w:rsid w:val="00DF5C84"/>
    <w:rsid w:val="00DF6EF8"/>
    <w:rsid w:val="00DF7548"/>
    <w:rsid w:val="00E00A69"/>
    <w:rsid w:val="00E017BC"/>
    <w:rsid w:val="00E017F0"/>
    <w:rsid w:val="00E01A0E"/>
    <w:rsid w:val="00E0346A"/>
    <w:rsid w:val="00E041E4"/>
    <w:rsid w:val="00E04AEE"/>
    <w:rsid w:val="00E1012B"/>
    <w:rsid w:val="00E103C8"/>
    <w:rsid w:val="00E1085B"/>
    <w:rsid w:val="00E1308B"/>
    <w:rsid w:val="00E14581"/>
    <w:rsid w:val="00E14623"/>
    <w:rsid w:val="00E15539"/>
    <w:rsid w:val="00E16541"/>
    <w:rsid w:val="00E17EC9"/>
    <w:rsid w:val="00E202F4"/>
    <w:rsid w:val="00E207C3"/>
    <w:rsid w:val="00E21386"/>
    <w:rsid w:val="00E242AF"/>
    <w:rsid w:val="00E24849"/>
    <w:rsid w:val="00E2536E"/>
    <w:rsid w:val="00E25B8A"/>
    <w:rsid w:val="00E25EF8"/>
    <w:rsid w:val="00E2632B"/>
    <w:rsid w:val="00E26F75"/>
    <w:rsid w:val="00E27423"/>
    <w:rsid w:val="00E322F7"/>
    <w:rsid w:val="00E3369B"/>
    <w:rsid w:val="00E362D2"/>
    <w:rsid w:val="00E36D76"/>
    <w:rsid w:val="00E40478"/>
    <w:rsid w:val="00E405EA"/>
    <w:rsid w:val="00E408B7"/>
    <w:rsid w:val="00E41637"/>
    <w:rsid w:val="00E42789"/>
    <w:rsid w:val="00E43F59"/>
    <w:rsid w:val="00E464F0"/>
    <w:rsid w:val="00E46EF3"/>
    <w:rsid w:val="00E47370"/>
    <w:rsid w:val="00E473E9"/>
    <w:rsid w:val="00E47B47"/>
    <w:rsid w:val="00E50830"/>
    <w:rsid w:val="00E50BEB"/>
    <w:rsid w:val="00E548FA"/>
    <w:rsid w:val="00E57703"/>
    <w:rsid w:val="00E57ED4"/>
    <w:rsid w:val="00E57FED"/>
    <w:rsid w:val="00E6092F"/>
    <w:rsid w:val="00E60BD0"/>
    <w:rsid w:val="00E60DDC"/>
    <w:rsid w:val="00E62049"/>
    <w:rsid w:val="00E629DA"/>
    <w:rsid w:val="00E64374"/>
    <w:rsid w:val="00E6469F"/>
    <w:rsid w:val="00E65D39"/>
    <w:rsid w:val="00E670F8"/>
    <w:rsid w:val="00E6733C"/>
    <w:rsid w:val="00E6741B"/>
    <w:rsid w:val="00E67FAC"/>
    <w:rsid w:val="00E7200B"/>
    <w:rsid w:val="00E738CB"/>
    <w:rsid w:val="00E73C88"/>
    <w:rsid w:val="00E74437"/>
    <w:rsid w:val="00E7443D"/>
    <w:rsid w:val="00E75ACE"/>
    <w:rsid w:val="00E771AF"/>
    <w:rsid w:val="00E80386"/>
    <w:rsid w:val="00E809C3"/>
    <w:rsid w:val="00E81A1A"/>
    <w:rsid w:val="00E81C3E"/>
    <w:rsid w:val="00E82359"/>
    <w:rsid w:val="00E82B6D"/>
    <w:rsid w:val="00E83187"/>
    <w:rsid w:val="00E831E9"/>
    <w:rsid w:val="00E8608F"/>
    <w:rsid w:val="00E86C1D"/>
    <w:rsid w:val="00E9763D"/>
    <w:rsid w:val="00EA1177"/>
    <w:rsid w:val="00EA118B"/>
    <w:rsid w:val="00EA11B6"/>
    <w:rsid w:val="00EA2181"/>
    <w:rsid w:val="00EA2DD8"/>
    <w:rsid w:val="00EA3581"/>
    <w:rsid w:val="00EA4475"/>
    <w:rsid w:val="00EA52FE"/>
    <w:rsid w:val="00EA681F"/>
    <w:rsid w:val="00EB04C6"/>
    <w:rsid w:val="00EB06A6"/>
    <w:rsid w:val="00EB3307"/>
    <w:rsid w:val="00EB3823"/>
    <w:rsid w:val="00EB47D8"/>
    <w:rsid w:val="00EB57D3"/>
    <w:rsid w:val="00EB5EFD"/>
    <w:rsid w:val="00EB679F"/>
    <w:rsid w:val="00EB76E4"/>
    <w:rsid w:val="00EC0E65"/>
    <w:rsid w:val="00EC1251"/>
    <w:rsid w:val="00EC2938"/>
    <w:rsid w:val="00EC337D"/>
    <w:rsid w:val="00EC38EF"/>
    <w:rsid w:val="00EC3F06"/>
    <w:rsid w:val="00EC50C9"/>
    <w:rsid w:val="00EC5833"/>
    <w:rsid w:val="00EC58B4"/>
    <w:rsid w:val="00EC5BB2"/>
    <w:rsid w:val="00ED12F0"/>
    <w:rsid w:val="00ED290C"/>
    <w:rsid w:val="00ED2A6C"/>
    <w:rsid w:val="00ED4773"/>
    <w:rsid w:val="00ED5284"/>
    <w:rsid w:val="00ED664B"/>
    <w:rsid w:val="00ED6A61"/>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3525"/>
    <w:rsid w:val="00F0424D"/>
    <w:rsid w:val="00F04957"/>
    <w:rsid w:val="00F04997"/>
    <w:rsid w:val="00F05807"/>
    <w:rsid w:val="00F06309"/>
    <w:rsid w:val="00F06451"/>
    <w:rsid w:val="00F07052"/>
    <w:rsid w:val="00F0706C"/>
    <w:rsid w:val="00F112E4"/>
    <w:rsid w:val="00F11EBE"/>
    <w:rsid w:val="00F12293"/>
    <w:rsid w:val="00F12BA8"/>
    <w:rsid w:val="00F130D0"/>
    <w:rsid w:val="00F14933"/>
    <w:rsid w:val="00F1516A"/>
    <w:rsid w:val="00F15EE5"/>
    <w:rsid w:val="00F171F9"/>
    <w:rsid w:val="00F1737C"/>
    <w:rsid w:val="00F22A26"/>
    <w:rsid w:val="00F24072"/>
    <w:rsid w:val="00F26432"/>
    <w:rsid w:val="00F3197A"/>
    <w:rsid w:val="00F32139"/>
    <w:rsid w:val="00F32504"/>
    <w:rsid w:val="00F33D56"/>
    <w:rsid w:val="00F34E08"/>
    <w:rsid w:val="00F41D91"/>
    <w:rsid w:val="00F41F52"/>
    <w:rsid w:val="00F42363"/>
    <w:rsid w:val="00F427C4"/>
    <w:rsid w:val="00F43D6C"/>
    <w:rsid w:val="00F46964"/>
    <w:rsid w:val="00F46F9A"/>
    <w:rsid w:val="00F470FD"/>
    <w:rsid w:val="00F50F30"/>
    <w:rsid w:val="00F5126A"/>
    <w:rsid w:val="00F5126E"/>
    <w:rsid w:val="00F516EF"/>
    <w:rsid w:val="00F51755"/>
    <w:rsid w:val="00F5580D"/>
    <w:rsid w:val="00F56EA1"/>
    <w:rsid w:val="00F606D5"/>
    <w:rsid w:val="00F611B3"/>
    <w:rsid w:val="00F6196E"/>
    <w:rsid w:val="00F624DD"/>
    <w:rsid w:val="00F629C0"/>
    <w:rsid w:val="00F63FC7"/>
    <w:rsid w:val="00F65E1F"/>
    <w:rsid w:val="00F65ED5"/>
    <w:rsid w:val="00F6608B"/>
    <w:rsid w:val="00F6636A"/>
    <w:rsid w:val="00F667C5"/>
    <w:rsid w:val="00F66927"/>
    <w:rsid w:val="00F67E31"/>
    <w:rsid w:val="00F718A8"/>
    <w:rsid w:val="00F72183"/>
    <w:rsid w:val="00F76D01"/>
    <w:rsid w:val="00F80B43"/>
    <w:rsid w:val="00F81C35"/>
    <w:rsid w:val="00F82981"/>
    <w:rsid w:val="00F8311F"/>
    <w:rsid w:val="00F83248"/>
    <w:rsid w:val="00F83376"/>
    <w:rsid w:val="00F853AE"/>
    <w:rsid w:val="00F86F6C"/>
    <w:rsid w:val="00F908D5"/>
    <w:rsid w:val="00F913B9"/>
    <w:rsid w:val="00F93C74"/>
    <w:rsid w:val="00F93DCC"/>
    <w:rsid w:val="00F9435D"/>
    <w:rsid w:val="00F966F9"/>
    <w:rsid w:val="00F96F61"/>
    <w:rsid w:val="00F97740"/>
    <w:rsid w:val="00FA0C8F"/>
    <w:rsid w:val="00FA2DEF"/>
    <w:rsid w:val="00FA2F7B"/>
    <w:rsid w:val="00FA3C97"/>
    <w:rsid w:val="00FA3D30"/>
    <w:rsid w:val="00FA4B49"/>
    <w:rsid w:val="00FA54F8"/>
    <w:rsid w:val="00FA78C8"/>
    <w:rsid w:val="00FA7A2F"/>
    <w:rsid w:val="00FB09FE"/>
    <w:rsid w:val="00FB0E80"/>
    <w:rsid w:val="00FB101D"/>
    <w:rsid w:val="00FB1725"/>
    <w:rsid w:val="00FB2493"/>
    <w:rsid w:val="00FB42B7"/>
    <w:rsid w:val="00FB4484"/>
    <w:rsid w:val="00FB4A63"/>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6C41"/>
    <w:rsid w:val="00FD7B23"/>
    <w:rsid w:val="00FE2A48"/>
    <w:rsid w:val="00FE5D0A"/>
    <w:rsid w:val="00FE6469"/>
    <w:rsid w:val="00FF05D0"/>
    <w:rsid w:val="00FF06CE"/>
    <w:rsid w:val="00FF0FF7"/>
    <w:rsid w:val="00FF1022"/>
    <w:rsid w:val="00FF10A2"/>
    <w:rsid w:val="00FF1438"/>
    <w:rsid w:val="00FF3A38"/>
    <w:rsid w:val="00FF3C25"/>
    <w:rsid w:val="00FF4129"/>
    <w:rsid w:val="00FF44F7"/>
    <w:rsid w:val="00FF4C90"/>
    <w:rsid w:val="00FF5806"/>
    <w:rsid w:val="00FF61BD"/>
    <w:rsid w:val="00FF6C8F"/>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rPr>
      <w:color w:val="008080"/>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202EFA"/>
    <w:rPr>
      <w:rFonts w:cs="Times New Roman"/>
      <w:color w:val="008080"/>
      <w:sz w:val="24"/>
    </w:rPr>
  </w:style>
  <w:style w:type="paragraph" w:styleId="BodyText">
    <w:name w:val="Body Text"/>
    <w:basedOn w:val="Normal"/>
    <w:link w:val="BodyTextChar"/>
    <w:uiPriority w:val="99"/>
    <w:rsid w:val="005436C2"/>
    <w:pPr>
      <w:tabs>
        <w:tab w:val="left" w:pos="720"/>
      </w:tabs>
      <w:spacing w:line="240" w:lineRule="exact"/>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202EFA"/>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spacing w:line="240" w:lineRule="exact"/>
      <w:ind w:right="-360"/>
      <w:jc w:val="both"/>
    </w:pPr>
    <w:rPr>
      <w:color w:val="000080"/>
    </w:rPr>
  </w:style>
  <w:style w:type="character" w:customStyle="1" w:styleId="BodyText3Char">
    <w:name w:val="Body Text 3 Char"/>
    <w:basedOn w:val="DefaultParagraphFont"/>
    <w:link w:val="BodyText3"/>
    <w:uiPriority w:val="99"/>
    <w:semiHidden/>
    <w:rsid w:val="00202EFA"/>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59"/>
    <w:rsid w:val="006F1A46"/>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526591"/>
    <w:pPr>
      <w:spacing w:after="200" w:line="276" w:lineRule="auto"/>
      <w:ind w:left="720"/>
      <w:contextualSpacing/>
    </w:pPr>
    <w:rPr>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b/>
      <w:bCs/>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table" w:customStyle="1" w:styleId="TableGrid1">
    <w:name w:val="Table Grid1"/>
    <w:basedOn w:val="TableNormal"/>
    <w:next w:val="TableGrid"/>
    <w:uiPriority w:val="59"/>
    <w:rsid w:val="00A75062"/>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50836964">
      <w:bodyDiv w:val="1"/>
      <w:marLeft w:val="0"/>
      <w:marRight w:val="0"/>
      <w:marTop w:val="0"/>
      <w:marBottom w:val="0"/>
      <w:divBdr>
        <w:top w:val="none" w:sz="0" w:space="0" w:color="auto"/>
        <w:left w:val="none" w:sz="0" w:space="0" w:color="auto"/>
        <w:bottom w:val="none" w:sz="0" w:space="0" w:color="auto"/>
        <w:right w:val="none" w:sz="0" w:space="0" w:color="auto"/>
      </w:divBdr>
    </w:div>
    <w:div w:id="1965303857">
      <w:bodyDiv w:val="1"/>
      <w:marLeft w:val="0"/>
      <w:marRight w:val="0"/>
      <w:marTop w:val="0"/>
      <w:marBottom w:val="0"/>
      <w:divBdr>
        <w:top w:val="none" w:sz="0" w:space="0" w:color="auto"/>
        <w:left w:val="none" w:sz="0" w:space="0" w:color="auto"/>
        <w:bottom w:val="none" w:sz="0" w:space="0" w:color="auto"/>
        <w:right w:val="none" w:sz="0" w:space="0" w:color="auto"/>
      </w:divBdr>
    </w:div>
    <w:div w:id="19876647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1822</Words>
  <Characters>10386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12184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2</cp:revision>
  <cp:lastPrinted>2012-01-12T18:47:00Z</cp:lastPrinted>
  <dcterms:created xsi:type="dcterms:W3CDTF">2012-02-16T22:13:00Z</dcterms:created>
  <dcterms:modified xsi:type="dcterms:W3CDTF">2012-02-16T22:13:00Z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