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686AE1" w:rsidRDefault="00F629C0" w:rsidP="001F7A8D">
      <w:pPr>
        <w:tabs>
          <w:tab w:val="left" w:pos="288"/>
          <w:tab w:val="left" w:pos="4752"/>
          <w:tab w:val="left" w:pos="5130"/>
          <w:tab w:val="left" w:pos="6300"/>
          <w:tab w:val="left" w:pos="9270"/>
        </w:tabs>
        <w:jc w:val="both"/>
        <w:rPr>
          <w:caps/>
          <w:color w:val="000000"/>
        </w:rPr>
      </w:pPr>
      <w:r w:rsidRPr="001F29F9">
        <w:rPr>
          <w:caps/>
          <w:color w:val="000000"/>
        </w:rPr>
        <w:t xml:space="preserve">NAME:  </w:t>
      </w:r>
      <w:r w:rsidR="00A27DE6">
        <w:rPr>
          <w:caps/>
          <w:color w:val="000000"/>
        </w:rPr>
        <w:t>XXXXXXX</w:t>
      </w:r>
      <w:r w:rsidR="004216DA" w:rsidRPr="001F29F9">
        <w:rPr>
          <w:caps/>
          <w:color w:val="000000"/>
        </w:rPr>
        <w:t xml:space="preserve">             </w:t>
      </w:r>
      <w:r w:rsidR="00332DE3" w:rsidRPr="001F29F9">
        <w:rPr>
          <w:caps/>
          <w:color w:val="000000"/>
        </w:rPr>
        <w:t xml:space="preserve"> </w:t>
      </w:r>
      <w:r w:rsidR="004216DA" w:rsidRPr="001F29F9">
        <w:rPr>
          <w:caps/>
          <w:color w:val="000000"/>
        </w:rPr>
        <w:t xml:space="preserve">  </w:t>
      </w:r>
      <w:r w:rsidR="002D283D">
        <w:rPr>
          <w:caps/>
          <w:color w:val="000000"/>
        </w:rPr>
        <w:t xml:space="preserve">                                    </w:t>
      </w:r>
      <w:r w:rsidR="00406A87">
        <w:rPr>
          <w:caps/>
          <w:color w:val="000000"/>
        </w:rPr>
        <w:t xml:space="preserve">  </w:t>
      </w:r>
      <w:r w:rsidR="002D283D">
        <w:rPr>
          <w:caps/>
          <w:color w:val="000000"/>
        </w:rPr>
        <w:t xml:space="preserve">    </w:t>
      </w:r>
      <w:r w:rsidR="00A8152C">
        <w:rPr>
          <w:caps/>
          <w:color w:val="000000"/>
        </w:rPr>
        <w:t xml:space="preserve"> </w:t>
      </w:r>
      <w:r w:rsidR="001F7A8D">
        <w:rPr>
          <w:caps/>
          <w:color w:val="000000"/>
        </w:rPr>
        <w:t xml:space="preserve">        </w:t>
      </w:r>
      <w:r w:rsidR="001F7A8D">
        <w:rPr>
          <w:caps/>
          <w:color w:val="000000"/>
        </w:rPr>
        <w:tab/>
      </w:r>
      <w:r w:rsidRPr="001F29F9">
        <w:rPr>
          <w:caps/>
          <w:color w:val="000000"/>
        </w:rPr>
        <w:t>BRANCH OF SERVICE</w:t>
      </w:r>
      <w:r w:rsidRPr="00686AE1">
        <w:rPr>
          <w:caps/>
          <w:color w:val="000000"/>
        </w:rPr>
        <w:t xml:space="preserve">: </w:t>
      </w:r>
      <w:r w:rsidR="004C24C5" w:rsidRPr="00686AE1">
        <w:rPr>
          <w:caps/>
          <w:color w:val="000000"/>
        </w:rPr>
        <w:t xml:space="preserve"> </w:t>
      </w:r>
      <w:r w:rsidR="00A8152C">
        <w:rPr>
          <w:caps/>
          <w:color w:val="000000"/>
        </w:rPr>
        <w:t>Army</w:t>
      </w:r>
    </w:p>
    <w:p w:rsidR="00DE3AAD" w:rsidRPr="00686AE1" w:rsidRDefault="00012733" w:rsidP="001F7A8D">
      <w:pPr>
        <w:tabs>
          <w:tab w:val="left" w:pos="288"/>
          <w:tab w:val="left" w:pos="4166"/>
          <w:tab w:val="left" w:pos="4752"/>
          <w:tab w:val="left" w:pos="5130"/>
          <w:tab w:val="left" w:pos="6300"/>
          <w:tab w:val="left" w:pos="9270"/>
        </w:tabs>
        <w:jc w:val="both"/>
        <w:rPr>
          <w:caps/>
          <w:color w:val="000000"/>
        </w:rPr>
      </w:pPr>
      <w:r w:rsidRPr="00686AE1">
        <w:rPr>
          <w:caps/>
          <w:color w:val="000000"/>
        </w:rPr>
        <w:t>C</w:t>
      </w:r>
      <w:r w:rsidR="00DE3AAD" w:rsidRPr="00686AE1">
        <w:rPr>
          <w:caps/>
          <w:color w:val="000000"/>
        </w:rPr>
        <w:t>ASE NUMBER:  PD</w:t>
      </w:r>
      <w:r w:rsidR="008F58E1" w:rsidRPr="00686AE1">
        <w:rPr>
          <w:caps/>
          <w:color w:val="000000"/>
        </w:rPr>
        <w:t>11</w:t>
      </w:r>
      <w:r w:rsidR="00DE3AAD" w:rsidRPr="00686AE1">
        <w:rPr>
          <w:caps/>
          <w:color w:val="000000"/>
        </w:rPr>
        <w:t>00</w:t>
      </w:r>
      <w:r w:rsidR="002D283D" w:rsidRPr="00686AE1">
        <w:rPr>
          <w:caps/>
          <w:color w:val="000000"/>
        </w:rPr>
        <w:t>353</w:t>
      </w:r>
      <w:r w:rsidR="00DE3AAD" w:rsidRPr="00686AE1">
        <w:rPr>
          <w:color w:val="000000"/>
        </w:rPr>
        <w:t xml:space="preserve"> </w:t>
      </w:r>
      <w:r w:rsidR="00DE3AAD" w:rsidRPr="00686AE1">
        <w:rPr>
          <w:color w:val="000000"/>
        </w:rPr>
        <w:tab/>
      </w:r>
      <w:r w:rsidR="0068098E" w:rsidRPr="00686AE1">
        <w:rPr>
          <w:color w:val="000000"/>
        </w:rPr>
        <w:tab/>
      </w:r>
      <w:r w:rsidR="00DE3AAD" w:rsidRPr="00686AE1">
        <w:rPr>
          <w:color w:val="000000"/>
        </w:rPr>
        <w:t xml:space="preserve">         </w:t>
      </w:r>
      <w:r w:rsidR="00E0346A" w:rsidRPr="00686AE1">
        <w:rPr>
          <w:color w:val="000000"/>
        </w:rPr>
        <w:t xml:space="preserve">                 </w:t>
      </w:r>
      <w:r w:rsidR="00A8152C">
        <w:rPr>
          <w:color w:val="000000"/>
        </w:rPr>
        <w:t xml:space="preserve"> </w:t>
      </w:r>
      <w:r w:rsidR="001F7A8D">
        <w:rPr>
          <w:color w:val="000000"/>
        </w:rPr>
        <w:t xml:space="preserve"> </w:t>
      </w:r>
      <w:r w:rsidR="001F7A8D">
        <w:rPr>
          <w:color w:val="000000"/>
        </w:rPr>
        <w:tab/>
      </w:r>
      <w:r w:rsidR="00DE3AAD" w:rsidRPr="00686AE1">
        <w:rPr>
          <w:color w:val="000000"/>
        </w:rPr>
        <w:t>SEPARATION DATE:  200</w:t>
      </w:r>
      <w:r w:rsidR="00C40F00">
        <w:rPr>
          <w:color w:val="000000"/>
        </w:rPr>
        <w:t>810</w:t>
      </w:r>
      <w:r w:rsidR="002D283D" w:rsidRPr="00686AE1">
        <w:rPr>
          <w:color w:val="000000"/>
        </w:rPr>
        <w:t>19</w:t>
      </w:r>
    </w:p>
    <w:p w:rsidR="003B2143" w:rsidRPr="00686AE1" w:rsidRDefault="00573E39" w:rsidP="00BF0E94">
      <w:pPr>
        <w:tabs>
          <w:tab w:val="left" w:pos="288"/>
          <w:tab w:val="left" w:pos="5130"/>
        </w:tabs>
        <w:jc w:val="both"/>
        <w:rPr>
          <w:color w:val="000000"/>
        </w:rPr>
      </w:pPr>
      <w:r>
        <w:rPr>
          <w:caps/>
          <w:color w:val="000000"/>
        </w:rPr>
        <w:t>BOARD DATE:  2012</w:t>
      </w:r>
      <w:r w:rsidR="00847CDA">
        <w:rPr>
          <w:caps/>
          <w:color w:val="000000"/>
        </w:rPr>
        <w:t>0419</w:t>
      </w:r>
    </w:p>
    <w:p w:rsidR="00827B29" w:rsidRPr="00686AE1" w:rsidRDefault="00827B29" w:rsidP="00573E39">
      <w:pPr>
        <w:pBdr>
          <w:bottom w:val="single" w:sz="12" w:space="1" w:color="auto"/>
        </w:pBdr>
        <w:tabs>
          <w:tab w:val="left" w:pos="288"/>
          <w:tab w:val="left" w:pos="5130"/>
        </w:tabs>
        <w:jc w:val="both"/>
        <w:rPr>
          <w:caps/>
          <w:color w:val="000000"/>
        </w:rPr>
      </w:pPr>
    </w:p>
    <w:p w:rsidR="00FF4C90" w:rsidRPr="00686AE1" w:rsidRDefault="00FF4C90" w:rsidP="002D283D">
      <w:pPr>
        <w:tabs>
          <w:tab w:val="left" w:pos="288"/>
          <w:tab w:val="left" w:pos="4680"/>
          <w:tab w:val="left" w:pos="5130"/>
        </w:tabs>
        <w:jc w:val="left"/>
        <w:rPr>
          <w:color w:val="000000"/>
        </w:rPr>
      </w:pPr>
    </w:p>
    <w:p w:rsidR="002F2981" w:rsidRPr="00EB2414" w:rsidRDefault="00FB0E80" w:rsidP="00BF0E94">
      <w:pPr>
        <w:tabs>
          <w:tab w:val="left" w:pos="288"/>
          <w:tab w:val="left" w:pos="4752"/>
        </w:tabs>
        <w:jc w:val="both"/>
        <w:rPr>
          <w:color w:val="auto"/>
          <w:szCs w:val="24"/>
        </w:rPr>
      </w:pPr>
      <w:r w:rsidRPr="00AF5A12">
        <w:rPr>
          <w:color w:val="000000"/>
          <w:u w:val="single"/>
        </w:rPr>
        <w:t>SUMMARY OF CASE</w:t>
      </w:r>
      <w:r w:rsidRPr="00AF5A12">
        <w:rPr>
          <w:color w:val="000000"/>
        </w:rPr>
        <w:t xml:space="preserve">:  </w:t>
      </w:r>
      <w:r w:rsidR="009759C2" w:rsidRPr="00847CDA">
        <w:rPr>
          <w:color w:val="000000"/>
        </w:rPr>
        <w:t>Data extracted from the available evidence of record reflects that this covered individual (CI)</w:t>
      </w:r>
      <w:r w:rsidR="00570754" w:rsidRPr="00847CDA">
        <w:rPr>
          <w:color w:val="000000"/>
        </w:rPr>
        <w:t xml:space="preserve"> </w:t>
      </w:r>
      <w:r w:rsidR="002C6E5B" w:rsidRPr="00847CDA">
        <w:rPr>
          <w:color w:val="000000"/>
          <w:szCs w:val="24"/>
        </w:rPr>
        <w:t xml:space="preserve">was </w:t>
      </w:r>
      <w:r w:rsidR="00E322F7" w:rsidRPr="00847CDA">
        <w:rPr>
          <w:color w:val="000000"/>
          <w:szCs w:val="24"/>
        </w:rPr>
        <w:t xml:space="preserve">a </w:t>
      </w:r>
      <w:r w:rsidR="006D4E0E" w:rsidRPr="00847CDA">
        <w:rPr>
          <w:color w:val="000000"/>
          <w:szCs w:val="24"/>
        </w:rPr>
        <w:t xml:space="preserve">National Guard </w:t>
      </w:r>
      <w:r w:rsidR="00661BA2" w:rsidRPr="00847CDA">
        <w:rPr>
          <w:color w:val="000000"/>
          <w:szCs w:val="24"/>
        </w:rPr>
        <w:t>S</w:t>
      </w:r>
      <w:r w:rsidR="00D14088" w:rsidRPr="00847CDA">
        <w:rPr>
          <w:color w:val="000000"/>
          <w:szCs w:val="24"/>
        </w:rPr>
        <w:t>PC</w:t>
      </w:r>
      <w:r w:rsidR="00661BA2" w:rsidRPr="00847CDA">
        <w:rPr>
          <w:color w:val="000000"/>
          <w:szCs w:val="24"/>
        </w:rPr>
        <w:t>/E-</w:t>
      </w:r>
      <w:r w:rsidR="00D14088" w:rsidRPr="00847CDA">
        <w:rPr>
          <w:color w:val="000000"/>
          <w:szCs w:val="24"/>
        </w:rPr>
        <w:t>4</w:t>
      </w:r>
      <w:r w:rsidR="00705C40" w:rsidRPr="00847CDA">
        <w:rPr>
          <w:color w:val="000000"/>
          <w:szCs w:val="24"/>
        </w:rPr>
        <w:t xml:space="preserve"> (</w:t>
      </w:r>
      <w:r w:rsidR="00D14088" w:rsidRPr="00847CDA">
        <w:rPr>
          <w:color w:val="000000"/>
          <w:szCs w:val="24"/>
        </w:rPr>
        <w:t>11B</w:t>
      </w:r>
      <w:r w:rsidR="00C75F3D" w:rsidRPr="00847CDA">
        <w:rPr>
          <w:color w:val="000000"/>
          <w:szCs w:val="24"/>
        </w:rPr>
        <w:t xml:space="preserve"> / </w:t>
      </w:r>
      <w:r w:rsidR="00D14088" w:rsidRPr="00847CDA">
        <w:rPr>
          <w:color w:val="000000"/>
          <w:szCs w:val="24"/>
        </w:rPr>
        <w:t>Infantryman</w:t>
      </w:r>
      <w:r w:rsidR="00E322F7" w:rsidRPr="00847CDA">
        <w:rPr>
          <w:color w:val="000000"/>
          <w:szCs w:val="24"/>
        </w:rPr>
        <w:t>)</w:t>
      </w:r>
      <w:r w:rsidR="00C75F3D" w:rsidRPr="00847CDA">
        <w:rPr>
          <w:color w:val="000000"/>
          <w:szCs w:val="24"/>
        </w:rPr>
        <w:t xml:space="preserve">, </w:t>
      </w:r>
      <w:r w:rsidR="002C6E5B" w:rsidRPr="00847CDA">
        <w:rPr>
          <w:color w:val="000000"/>
          <w:szCs w:val="24"/>
        </w:rPr>
        <w:t xml:space="preserve">medically separated for </w:t>
      </w:r>
      <w:r w:rsidR="00ED1A76" w:rsidRPr="00847CDA">
        <w:rPr>
          <w:color w:val="000000"/>
          <w:szCs w:val="24"/>
        </w:rPr>
        <w:t>left shoulder pain and left knee degenerative joint disease</w:t>
      </w:r>
      <w:r w:rsidR="005D25B9" w:rsidRPr="00847CDA">
        <w:rPr>
          <w:color w:val="000000"/>
          <w:szCs w:val="24"/>
        </w:rPr>
        <w:t xml:space="preserve"> (DJD)</w:t>
      </w:r>
      <w:r w:rsidR="00C75F3D" w:rsidRPr="00847CDA">
        <w:rPr>
          <w:color w:val="000000"/>
          <w:szCs w:val="24"/>
        </w:rPr>
        <w:t>.</w:t>
      </w:r>
      <w:r w:rsidR="00CF1BB7" w:rsidRPr="00847CDA">
        <w:rPr>
          <w:color w:val="000000"/>
          <w:szCs w:val="24"/>
        </w:rPr>
        <w:t xml:space="preserve">  </w:t>
      </w:r>
      <w:r w:rsidR="00824827" w:rsidRPr="00847CDA">
        <w:rPr>
          <w:color w:val="auto"/>
          <w:szCs w:val="24"/>
        </w:rPr>
        <w:t xml:space="preserve">The CI injured his left shoulder </w:t>
      </w:r>
      <w:r w:rsidR="00B80679" w:rsidRPr="00847CDA">
        <w:rPr>
          <w:color w:val="auto"/>
          <w:szCs w:val="24"/>
        </w:rPr>
        <w:t xml:space="preserve">during combative training in July 2007.  He was diagnosed with a complete rotator cuff tear and underwent surgical repair in October 2007.  Despite surgery and physical therapy rehabilitation, the CI continued to experience pain and weakness that limited his ability to lift or work above shoulder height with the left upper extremity.  The CI was diagnosed with left knee </w:t>
      </w:r>
      <w:r w:rsidR="00356497">
        <w:rPr>
          <w:color w:val="auto"/>
          <w:szCs w:val="24"/>
        </w:rPr>
        <w:t>DJD</w:t>
      </w:r>
      <w:r w:rsidR="00B80679" w:rsidRPr="00847CDA">
        <w:rPr>
          <w:color w:val="auto"/>
          <w:szCs w:val="24"/>
        </w:rPr>
        <w:t xml:space="preserve"> after he injured</w:t>
      </w:r>
      <w:r w:rsidR="00824827" w:rsidRPr="00847CDA">
        <w:rPr>
          <w:color w:val="auto"/>
          <w:szCs w:val="24"/>
        </w:rPr>
        <w:t xml:space="preserve"> his left knee </w:t>
      </w:r>
      <w:r w:rsidR="00B80679" w:rsidRPr="00847CDA">
        <w:rPr>
          <w:color w:val="auto"/>
          <w:szCs w:val="24"/>
        </w:rPr>
        <w:t xml:space="preserve">during a road march in July 2007.  </w:t>
      </w:r>
      <w:r w:rsidR="00EB2414" w:rsidRPr="00847CDA">
        <w:rPr>
          <w:color w:val="auto"/>
          <w:szCs w:val="24"/>
        </w:rPr>
        <w:t>He was treated with physical therapy</w:t>
      </w:r>
      <w:r w:rsidR="00151439" w:rsidRPr="00847CDA">
        <w:rPr>
          <w:color w:val="auto"/>
          <w:szCs w:val="24"/>
        </w:rPr>
        <w:t>,</w:t>
      </w:r>
      <w:r w:rsidR="00EB2414" w:rsidRPr="00847CDA">
        <w:rPr>
          <w:color w:val="auto"/>
          <w:szCs w:val="24"/>
        </w:rPr>
        <w:t xml:space="preserve"> but continued to experience knee pain that limited his ability to walk up and down stairs and prohibited running.  The CI </w:t>
      </w:r>
      <w:r w:rsidR="00643C8F" w:rsidRPr="00847CDA">
        <w:rPr>
          <w:color w:val="auto"/>
          <w:szCs w:val="24"/>
        </w:rPr>
        <w:t>did not respond adequately to treatment and was unable to perform within his Military Occupational Specialty (MOS)</w:t>
      </w:r>
      <w:r w:rsidR="00997332" w:rsidRPr="00847CDA">
        <w:rPr>
          <w:color w:val="auto"/>
          <w:szCs w:val="24"/>
        </w:rPr>
        <w:t xml:space="preserve"> </w:t>
      </w:r>
      <w:r w:rsidR="00643C8F" w:rsidRPr="00847CDA">
        <w:rPr>
          <w:color w:val="auto"/>
          <w:szCs w:val="24"/>
        </w:rPr>
        <w:t xml:space="preserve">or meet physical fitness standards.  He was issued a permanent </w:t>
      </w:r>
      <w:r w:rsidR="00CF1BB7" w:rsidRPr="00847CDA">
        <w:rPr>
          <w:color w:val="auto"/>
          <w:szCs w:val="24"/>
        </w:rPr>
        <w:t xml:space="preserve">P3U3L3 </w:t>
      </w:r>
      <w:r w:rsidR="00643C8F" w:rsidRPr="00847CDA">
        <w:rPr>
          <w:color w:val="auto"/>
          <w:szCs w:val="24"/>
        </w:rPr>
        <w:t>profile and</w:t>
      </w:r>
      <w:r w:rsidR="00643C8F" w:rsidRPr="00847CDA">
        <w:rPr>
          <w:color w:val="000000"/>
          <w:szCs w:val="24"/>
        </w:rPr>
        <w:t xml:space="preserve"> underwent a Medical Evaluation Board (MEB).</w:t>
      </w:r>
      <w:r w:rsidR="00997332" w:rsidRPr="00847CDA">
        <w:rPr>
          <w:color w:val="000000"/>
          <w:szCs w:val="24"/>
        </w:rPr>
        <w:t xml:space="preserve">  </w:t>
      </w:r>
      <w:r w:rsidR="00CF1BB7" w:rsidRPr="00847CDA">
        <w:rPr>
          <w:color w:val="000000"/>
          <w:szCs w:val="24"/>
        </w:rPr>
        <w:t xml:space="preserve">Diabetes mellitus, chronic left shoulder pain </w:t>
      </w:r>
      <w:r w:rsidR="00D25707" w:rsidRPr="00847CDA">
        <w:rPr>
          <w:color w:val="000000"/>
          <w:szCs w:val="24"/>
        </w:rPr>
        <w:t>(</w:t>
      </w:r>
      <w:r w:rsidR="00CF1BB7" w:rsidRPr="00847CDA">
        <w:rPr>
          <w:color w:val="000000"/>
          <w:szCs w:val="24"/>
        </w:rPr>
        <w:t>status-post rotator cuff repair</w:t>
      </w:r>
      <w:r w:rsidR="00D25707" w:rsidRPr="00847CDA">
        <w:rPr>
          <w:color w:val="000000"/>
          <w:szCs w:val="24"/>
        </w:rPr>
        <w:t>)</w:t>
      </w:r>
      <w:r w:rsidR="00CF1BB7" w:rsidRPr="00847CDA">
        <w:rPr>
          <w:color w:val="000000"/>
          <w:szCs w:val="24"/>
        </w:rPr>
        <w:t xml:space="preserve">, and chronic left knee pain </w:t>
      </w:r>
      <w:r w:rsidR="00D25707" w:rsidRPr="00847CDA">
        <w:rPr>
          <w:color w:val="000000"/>
          <w:szCs w:val="24"/>
        </w:rPr>
        <w:t>(</w:t>
      </w:r>
      <w:r w:rsidR="00915D82" w:rsidRPr="00847CDA">
        <w:rPr>
          <w:color w:val="000000"/>
          <w:szCs w:val="24"/>
        </w:rPr>
        <w:t xml:space="preserve">due </w:t>
      </w:r>
      <w:r w:rsidR="00CF1BB7" w:rsidRPr="00847CDA">
        <w:rPr>
          <w:color w:val="000000"/>
          <w:szCs w:val="24"/>
        </w:rPr>
        <w:t xml:space="preserve">to </w:t>
      </w:r>
      <w:r w:rsidR="00356497">
        <w:rPr>
          <w:color w:val="000000"/>
          <w:szCs w:val="24"/>
        </w:rPr>
        <w:t>DJD</w:t>
      </w:r>
      <w:r w:rsidR="00D25707" w:rsidRPr="00847CDA">
        <w:rPr>
          <w:color w:val="000000"/>
          <w:szCs w:val="24"/>
        </w:rPr>
        <w:t>)</w:t>
      </w:r>
      <w:r w:rsidR="00CF1BB7" w:rsidRPr="00847CDA">
        <w:rPr>
          <w:color w:val="000000"/>
          <w:szCs w:val="24"/>
        </w:rPr>
        <w:t xml:space="preserve"> </w:t>
      </w:r>
      <w:r w:rsidR="000A33C8" w:rsidRPr="00847CDA">
        <w:rPr>
          <w:color w:val="000000"/>
          <w:szCs w:val="24"/>
        </w:rPr>
        <w:t>were forwarded to the Physical Evaluation Board (PEB) as medically unacceptable IAW AR 40-501</w:t>
      </w:r>
      <w:r w:rsidR="00376E08" w:rsidRPr="00847CDA">
        <w:rPr>
          <w:color w:val="000000"/>
          <w:szCs w:val="24"/>
        </w:rPr>
        <w:t>.</w:t>
      </w:r>
      <w:r w:rsidR="00154E2B" w:rsidRPr="00847CDA">
        <w:rPr>
          <w:color w:val="000000"/>
          <w:szCs w:val="24"/>
        </w:rPr>
        <w:t xml:space="preserve">  Hypertension and o</w:t>
      </w:r>
      <w:r w:rsidR="00CF1BB7" w:rsidRPr="00847CDA">
        <w:rPr>
          <w:color w:val="000000"/>
          <w:szCs w:val="24"/>
        </w:rPr>
        <w:t>besity</w:t>
      </w:r>
      <w:r w:rsidR="00954E5B" w:rsidRPr="00847CDA">
        <w:rPr>
          <w:color w:val="000000"/>
          <w:szCs w:val="24"/>
        </w:rPr>
        <w:t xml:space="preserve"> were forwarded on the </w:t>
      </w:r>
      <w:r w:rsidR="00B04562" w:rsidRPr="00847CDA">
        <w:rPr>
          <w:color w:val="000000"/>
          <w:szCs w:val="24"/>
        </w:rPr>
        <w:t xml:space="preserve">MEB submission </w:t>
      </w:r>
      <w:r w:rsidR="00954E5B" w:rsidRPr="00847CDA">
        <w:rPr>
          <w:color w:val="000000"/>
          <w:szCs w:val="24"/>
        </w:rPr>
        <w:t>as medically acceptable conditions</w:t>
      </w:r>
      <w:r w:rsidR="00B04562" w:rsidRPr="00847CDA">
        <w:rPr>
          <w:color w:val="000000"/>
          <w:szCs w:val="24"/>
        </w:rPr>
        <w:t>.</w:t>
      </w:r>
      <w:r w:rsidR="00CF1BB7" w:rsidRPr="00847CDA">
        <w:rPr>
          <w:color w:val="000000"/>
          <w:szCs w:val="24"/>
        </w:rPr>
        <w:t xml:space="preserve">  </w:t>
      </w:r>
      <w:r w:rsidR="00154E2B" w:rsidRPr="00847CDA">
        <w:rPr>
          <w:color w:val="000000"/>
          <w:szCs w:val="24"/>
        </w:rPr>
        <w:t xml:space="preserve">The PEB </w:t>
      </w:r>
      <w:r w:rsidR="00842BAA" w:rsidRPr="00847CDA">
        <w:rPr>
          <w:color w:val="000000"/>
          <w:szCs w:val="24"/>
        </w:rPr>
        <w:t xml:space="preserve">adjudicated the </w:t>
      </w:r>
      <w:r w:rsidR="00CF1BB7" w:rsidRPr="00847CDA">
        <w:rPr>
          <w:color w:val="000000"/>
          <w:szCs w:val="24"/>
        </w:rPr>
        <w:t xml:space="preserve">left shoulder pain and left knee </w:t>
      </w:r>
      <w:r w:rsidR="00356497">
        <w:rPr>
          <w:color w:val="000000"/>
          <w:szCs w:val="24"/>
        </w:rPr>
        <w:t>DJD</w:t>
      </w:r>
      <w:r w:rsidR="00842BAA" w:rsidRPr="00847CDA">
        <w:rPr>
          <w:color w:val="000000"/>
          <w:szCs w:val="24"/>
        </w:rPr>
        <w:t xml:space="preserve"> condition</w:t>
      </w:r>
      <w:r w:rsidR="00CF1BB7" w:rsidRPr="00847CDA">
        <w:rPr>
          <w:color w:val="000000"/>
          <w:szCs w:val="24"/>
        </w:rPr>
        <w:t>s</w:t>
      </w:r>
      <w:r w:rsidR="00842BAA" w:rsidRPr="00847CDA">
        <w:rPr>
          <w:color w:val="000000"/>
          <w:szCs w:val="24"/>
        </w:rPr>
        <w:t xml:space="preserve"> as unfitting, rated </w:t>
      </w:r>
      <w:r w:rsidR="00CF1BB7" w:rsidRPr="00847CDA">
        <w:rPr>
          <w:color w:val="000000"/>
          <w:szCs w:val="24"/>
        </w:rPr>
        <w:t>10</w:t>
      </w:r>
      <w:r w:rsidR="00842BAA" w:rsidRPr="00847CDA">
        <w:rPr>
          <w:color w:val="000000"/>
          <w:szCs w:val="24"/>
        </w:rPr>
        <w:t xml:space="preserve">% and </w:t>
      </w:r>
      <w:r w:rsidR="00CF1BB7" w:rsidRPr="00847CDA">
        <w:rPr>
          <w:color w:val="000000"/>
          <w:szCs w:val="24"/>
        </w:rPr>
        <w:t>10</w:t>
      </w:r>
      <w:r w:rsidR="00842BAA" w:rsidRPr="00847CDA">
        <w:rPr>
          <w:color w:val="000000"/>
          <w:szCs w:val="24"/>
        </w:rPr>
        <w:t>% respectively; with application of the Veterans Administration Schedule for Rating Disabilities (VASRD).</w:t>
      </w:r>
      <w:r w:rsidR="00CF1BB7" w:rsidRPr="00847CDA">
        <w:rPr>
          <w:color w:val="000000"/>
          <w:szCs w:val="24"/>
        </w:rPr>
        <w:t xml:space="preserve">  </w:t>
      </w:r>
      <w:r w:rsidR="00437D77" w:rsidRPr="00847CDA">
        <w:rPr>
          <w:color w:val="000000"/>
        </w:rPr>
        <w:t xml:space="preserve">The CI </w:t>
      </w:r>
      <w:r w:rsidR="0019349D" w:rsidRPr="00847CDA">
        <w:rPr>
          <w:color w:val="000000"/>
        </w:rPr>
        <w:t>rebutted the findings of the PEB, requesting the addition of hypertension, back pain and erectile dysfunction as unfitting conditions, and requesting further evaluation for hearing loss and blurry vision</w:t>
      </w:r>
      <w:r w:rsidR="00356497">
        <w:rPr>
          <w:color w:val="000000"/>
        </w:rPr>
        <w:t xml:space="preserve"> due to diabetes.  The </w:t>
      </w:r>
      <w:r w:rsidR="003217C8" w:rsidRPr="00847CDA">
        <w:rPr>
          <w:color w:val="000000"/>
        </w:rPr>
        <w:t xml:space="preserve">PEB response </w:t>
      </w:r>
      <w:r w:rsidR="00B80679" w:rsidRPr="00847CDA">
        <w:rPr>
          <w:color w:val="000000"/>
        </w:rPr>
        <w:t>noted</w:t>
      </w:r>
      <w:r w:rsidR="003217C8" w:rsidRPr="00847CDA">
        <w:rPr>
          <w:color w:val="000000"/>
        </w:rPr>
        <w:t xml:space="preserve"> that the diabetes condition </w:t>
      </w:r>
      <w:r w:rsidR="00151439" w:rsidRPr="00847CDA">
        <w:rPr>
          <w:color w:val="000000"/>
        </w:rPr>
        <w:t xml:space="preserve">(adjudicated as not unfitting) </w:t>
      </w:r>
      <w:r w:rsidR="003217C8" w:rsidRPr="00847CDA">
        <w:rPr>
          <w:color w:val="000000"/>
        </w:rPr>
        <w:t>existed prior to service (EPTS) and thus any residuals w</w:t>
      </w:r>
      <w:r w:rsidR="00151439" w:rsidRPr="00847CDA">
        <w:rPr>
          <w:color w:val="000000"/>
        </w:rPr>
        <w:t>ould</w:t>
      </w:r>
      <w:r w:rsidR="003217C8" w:rsidRPr="00847CDA">
        <w:rPr>
          <w:color w:val="000000"/>
        </w:rPr>
        <w:t xml:space="preserve"> also be EPTS</w:t>
      </w:r>
      <w:r w:rsidR="003217C8" w:rsidRPr="00847CDA">
        <w:rPr>
          <w:color w:val="auto"/>
        </w:rPr>
        <w:t>.  The</w:t>
      </w:r>
      <w:r w:rsidR="00EB2414" w:rsidRPr="00847CDA">
        <w:rPr>
          <w:color w:val="auto"/>
        </w:rPr>
        <w:t xml:space="preserve"> </w:t>
      </w:r>
      <w:r w:rsidR="003217C8" w:rsidRPr="00847CDA">
        <w:rPr>
          <w:color w:val="auto"/>
        </w:rPr>
        <w:t>CI</w:t>
      </w:r>
      <w:r w:rsidR="0019349D" w:rsidRPr="00847CDA">
        <w:rPr>
          <w:color w:val="auto"/>
        </w:rPr>
        <w:t xml:space="preserve"> </w:t>
      </w:r>
      <w:r w:rsidR="00437D77" w:rsidRPr="00847CDA">
        <w:rPr>
          <w:color w:val="auto"/>
        </w:rPr>
        <w:t xml:space="preserve">appealed to </w:t>
      </w:r>
      <w:r w:rsidR="00CF1BB7" w:rsidRPr="00847CDA">
        <w:rPr>
          <w:color w:val="auto"/>
        </w:rPr>
        <w:t xml:space="preserve">the </w:t>
      </w:r>
      <w:r w:rsidR="00437D77" w:rsidRPr="00847CDA">
        <w:rPr>
          <w:color w:val="auto"/>
        </w:rPr>
        <w:t>F</w:t>
      </w:r>
      <w:r w:rsidR="00154E2B" w:rsidRPr="00847CDA">
        <w:rPr>
          <w:color w:val="auto"/>
        </w:rPr>
        <w:t xml:space="preserve">ormal </w:t>
      </w:r>
      <w:r w:rsidR="00437D77" w:rsidRPr="00847CDA">
        <w:rPr>
          <w:color w:val="auto"/>
        </w:rPr>
        <w:t>PEB</w:t>
      </w:r>
      <w:r w:rsidR="00154E2B" w:rsidRPr="00847CDA">
        <w:rPr>
          <w:color w:val="auto"/>
        </w:rPr>
        <w:t xml:space="preserve"> (FPEB)</w:t>
      </w:r>
      <w:r w:rsidR="00954278" w:rsidRPr="00847CDA">
        <w:rPr>
          <w:color w:val="auto"/>
        </w:rPr>
        <w:t>,</w:t>
      </w:r>
      <w:r w:rsidR="00EB2414" w:rsidRPr="00847CDA">
        <w:rPr>
          <w:color w:val="auto"/>
        </w:rPr>
        <w:t xml:space="preserve"> contending for the addition of thoracic back pain as an unfitting condition.  The FPEB </w:t>
      </w:r>
      <w:r w:rsidR="003E509C" w:rsidRPr="00847CDA">
        <w:rPr>
          <w:color w:val="auto"/>
        </w:rPr>
        <w:t xml:space="preserve">determined that there was </w:t>
      </w:r>
      <w:r w:rsidR="00954278" w:rsidRPr="00847CDA">
        <w:rPr>
          <w:color w:val="auto"/>
        </w:rPr>
        <w:t xml:space="preserve">no evidence that the thoracic back pain limited duty performance and </w:t>
      </w:r>
      <w:r w:rsidR="00151439" w:rsidRPr="00847CDA">
        <w:rPr>
          <w:color w:val="auto"/>
        </w:rPr>
        <w:t xml:space="preserve">adjudicated the diabetes condition </w:t>
      </w:r>
      <w:r w:rsidR="00EB2414" w:rsidRPr="00847CDA">
        <w:rPr>
          <w:color w:val="auto"/>
        </w:rPr>
        <w:t>as not separately unfitting</w:t>
      </w:r>
      <w:r w:rsidR="00954278" w:rsidRPr="00847CDA">
        <w:rPr>
          <w:color w:val="auto"/>
        </w:rPr>
        <w:t xml:space="preserve">. </w:t>
      </w:r>
      <w:r w:rsidR="00EB2414" w:rsidRPr="00847CDA">
        <w:rPr>
          <w:color w:val="auto"/>
        </w:rPr>
        <w:t xml:space="preserve"> </w:t>
      </w:r>
      <w:r w:rsidR="00954278" w:rsidRPr="00847CDA">
        <w:rPr>
          <w:color w:val="auto"/>
        </w:rPr>
        <w:t>There was no</w:t>
      </w:r>
      <w:r w:rsidR="00730DBC" w:rsidRPr="00847CDA">
        <w:rPr>
          <w:color w:val="auto"/>
        </w:rPr>
        <w:t xml:space="preserve"> change in </w:t>
      </w:r>
      <w:r w:rsidR="00954278" w:rsidRPr="00847CDA">
        <w:rPr>
          <w:color w:val="auto"/>
        </w:rPr>
        <w:t xml:space="preserve">the </w:t>
      </w:r>
      <w:r w:rsidR="00730DBC" w:rsidRPr="00847CDA">
        <w:rPr>
          <w:color w:val="auto"/>
        </w:rPr>
        <w:t xml:space="preserve">final </w:t>
      </w:r>
      <w:r w:rsidR="00954278" w:rsidRPr="00847CDA">
        <w:rPr>
          <w:color w:val="auto"/>
        </w:rPr>
        <w:t>rating</w:t>
      </w:r>
      <w:r w:rsidR="0012077C" w:rsidRPr="00847CDA">
        <w:rPr>
          <w:color w:val="auto"/>
        </w:rPr>
        <w:t xml:space="preserve"> and </w:t>
      </w:r>
      <w:r w:rsidR="00954278" w:rsidRPr="00847CDA">
        <w:rPr>
          <w:color w:val="auto"/>
        </w:rPr>
        <w:t xml:space="preserve">the CI </w:t>
      </w:r>
      <w:r w:rsidR="00730DBC" w:rsidRPr="00847CDA">
        <w:rPr>
          <w:color w:val="auto"/>
        </w:rPr>
        <w:t>was</w:t>
      </w:r>
      <w:r w:rsidR="00437D77" w:rsidRPr="00847CDA">
        <w:rPr>
          <w:color w:val="auto"/>
        </w:rPr>
        <w:t xml:space="preserve"> medically separated with a </w:t>
      </w:r>
      <w:r w:rsidR="00CF1BB7" w:rsidRPr="00847CDA">
        <w:rPr>
          <w:color w:val="auto"/>
        </w:rPr>
        <w:t>20</w:t>
      </w:r>
      <w:r w:rsidR="00437D77" w:rsidRPr="00847CDA">
        <w:rPr>
          <w:color w:val="auto"/>
        </w:rPr>
        <w:t>% combined disability rating.</w:t>
      </w:r>
      <w:r w:rsidR="00730DBC" w:rsidRPr="00EB2414">
        <w:rPr>
          <w:color w:val="auto"/>
        </w:rPr>
        <w:t xml:space="preserve">  </w:t>
      </w:r>
    </w:p>
    <w:p w:rsidR="004174F0" w:rsidRPr="00EB2414" w:rsidRDefault="004174F0" w:rsidP="00BF0E94">
      <w:pPr>
        <w:pBdr>
          <w:bottom w:val="single" w:sz="12" w:space="1" w:color="auto"/>
        </w:pBdr>
        <w:tabs>
          <w:tab w:val="left" w:pos="288"/>
          <w:tab w:val="left" w:pos="4752"/>
        </w:tabs>
        <w:jc w:val="both"/>
        <w:rPr>
          <w:color w:val="auto"/>
        </w:rPr>
      </w:pPr>
    </w:p>
    <w:p w:rsidR="004174F0" w:rsidRPr="001F29F9" w:rsidRDefault="004174F0" w:rsidP="00BF0E94">
      <w:pPr>
        <w:tabs>
          <w:tab w:val="left" w:pos="288"/>
          <w:tab w:val="left" w:pos="4752"/>
        </w:tabs>
        <w:jc w:val="both"/>
        <w:rPr>
          <w:color w:val="000000"/>
        </w:rPr>
      </w:pPr>
    </w:p>
    <w:p w:rsidR="00ED5284" w:rsidRPr="001F29F9" w:rsidRDefault="002C6E5B" w:rsidP="00BF0E94">
      <w:pPr>
        <w:tabs>
          <w:tab w:val="left" w:pos="288"/>
          <w:tab w:val="left" w:pos="4752"/>
        </w:tabs>
        <w:jc w:val="both"/>
        <w:rPr>
          <w:rFonts w:eastAsia="Calibri"/>
          <w:color w:val="000000"/>
          <w:szCs w:val="24"/>
        </w:rPr>
      </w:pPr>
      <w:r w:rsidRPr="001F29F9">
        <w:rPr>
          <w:color w:val="000000"/>
          <w:u w:val="single"/>
        </w:rPr>
        <w:t>CI CONTENTION</w:t>
      </w:r>
      <w:r w:rsidRPr="001F29F9">
        <w:rPr>
          <w:color w:val="000000"/>
        </w:rPr>
        <w:t>:</w:t>
      </w:r>
      <w:r w:rsidR="00E12C55">
        <w:rPr>
          <w:color w:val="000000"/>
        </w:rPr>
        <w:t xml:space="preserve">  </w:t>
      </w:r>
      <w:r w:rsidR="0080593C">
        <w:rPr>
          <w:color w:val="000000"/>
        </w:rPr>
        <w:t>“</w:t>
      </w:r>
      <w:r w:rsidR="0080593C" w:rsidRPr="0080593C">
        <w:rPr>
          <w:color w:val="000000"/>
        </w:rPr>
        <w:t xml:space="preserve">I </w:t>
      </w:r>
      <w:r w:rsidR="0080593C" w:rsidRPr="00847CDA">
        <w:rPr>
          <w:color w:val="000000"/>
        </w:rPr>
        <w:t>was rated below what my injuries were.  Also, I started to have back problems while on active duty</w:t>
      </w:r>
      <w:r w:rsidR="00151439" w:rsidRPr="00847CDA">
        <w:rPr>
          <w:color w:val="000000"/>
        </w:rPr>
        <w:t>, but was told to l</w:t>
      </w:r>
      <w:r w:rsidR="00841A10" w:rsidRPr="00847CDA">
        <w:rPr>
          <w:color w:val="000000"/>
        </w:rPr>
        <w:t>ate</w:t>
      </w:r>
      <w:r w:rsidR="0080593C" w:rsidRPr="00847CDA">
        <w:rPr>
          <w:color w:val="000000"/>
        </w:rPr>
        <w:t xml:space="preserve"> </w:t>
      </w:r>
      <w:r w:rsidR="00841A10" w:rsidRPr="00847CDA">
        <w:rPr>
          <w:color w:val="000000"/>
        </w:rPr>
        <w:t xml:space="preserve">in the process to continue any further action.  </w:t>
      </w:r>
      <w:r w:rsidR="0080593C" w:rsidRPr="00847CDA">
        <w:rPr>
          <w:color w:val="000000"/>
        </w:rPr>
        <w:t>M</w:t>
      </w:r>
      <w:r w:rsidR="00841A10" w:rsidRPr="00847CDA">
        <w:rPr>
          <w:color w:val="000000"/>
        </w:rPr>
        <w:t xml:space="preserve">y </w:t>
      </w:r>
      <w:r w:rsidR="00B01422" w:rsidRPr="00847CDA">
        <w:rPr>
          <w:color w:val="000000"/>
        </w:rPr>
        <w:t>diabetes</w:t>
      </w:r>
      <w:r w:rsidR="00841A10" w:rsidRPr="00847CDA">
        <w:rPr>
          <w:color w:val="000000"/>
        </w:rPr>
        <w:t xml:space="preserve"> flared out of control while on active duty.”  </w:t>
      </w:r>
      <w:r w:rsidR="00ED5284" w:rsidRPr="00847CDA">
        <w:rPr>
          <w:rFonts w:eastAsia="Calibri"/>
          <w:color w:val="000000"/>
          <w:szCs w:val="24"/>
        </w:rPr>
        <w:t>He elaborates no specific contentions regarding rating or coding and mentions no additionally contended conditions.</w:t>
      </w:r>
      <w:r w:rsidR="00E037ED" w:rsidRPr="00847CDA">
        <w:rPr>
          <w:rFonts w:eastAsia="Calibri"/>
          <w:color w:val="000000"/>
          <w:szCs w:val="24"/>
        </w:rPr>
        <w:t xml:space="preserve">  Note:  Application </w:t>
      </w:r>
      <w:r w:rsidR="00151439" w:rsidRPr="00847CDA">
        <w:rPr>
          <w:rFonts w:eastAsia="Calibri"/>
          <w:color w:val="000000"/>
          <w:szCs w:val="24"/>
        </w:rPr>
        <w:t xml:space="preserve">was </w:t>
      </w:r>
      <w:r w:rsidR="00E037ED" w:rsidRPr="00847CDA">
        <w:rPr>
          <w:rFonts w:eastAsia="Calibri"/>
          <w:color w:val="000000"/>
          <w:szCs w:val="24"/>
        </w:rPr>
        <w:t>signed by surviving spouse</w:t>
      </w:r>
      <w:r w:rsidR="00151439" w:rsidRPr="00847CDA">
        <w:rPr>
          <w:rFonts w:eastAsia="Calibri"/>
          <w:color w:val="000000"/>
          <w:szCs w:val="24"/>
        </w:rPr>
        <w:t>;</w:t>
      </w:r>
      <w:r w:rsidR="00E037ED" w:rsidRPr="00847CDA">
        <w:rPr>
          <w:rFonts w:eastAsia="Calibri"/>
          <w:color w:val="000000"/>
          <w:szCs w:val="24"/>
        </w:rPr>
        <w:t xml:space="preserve"> CI certificate of death 20110429 for immediate cause of hypertensive cardiovascular disease</w:t>
      </w:r>
      <w:r w:rsidR="00151439" w:rsidRPr="00847CDA">
        <w:rPr>
          <w:rFonts w:eastAsia="Calibri"/>
          <w:color w:val="000000"/>
          <w:szCs w:val="24"/>
        </w:rPr>
        <w:t xml:space="preserve"> was in the record</w:t>
      </w:r>
      <w:r w:rsidR="00E037ED" w:rsidRPr="00847CDA">
        <w:rPr>
          <w:rFonts w:eastAsia="Calibri"/>
          <w:color w:val="000000"/>
          <w:szCs w:val="24"/>
        </w:rPr>
        <w:t>.</w:t>
      </w:r>
      <w:r w:rsidR="00E037ED">
        <w:rPr>
          <w:rFonts w:eastAsia="Calibri"/>
          <w:color w:val="000000"/>
          <w:szCs w:val="24"/>
        </w:rPr>
        <w:t xml:space="preserve">  </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2151AB" w:rsidRDefault="00881088" w:rsidP="00924F60">
      <w:pPr>
        <w:jc w:val="both"/>
        <w:rPr>
          <w:color w:val="000000"/>
        </w:rPr>
      </w:pPr>
      <w:r>
        <w:rPr>
          <w:color w:val="000000"/>
          <w:u w:val="single"/>
        </w:rPr>
        <w:br w:type="page"/>
      </w:r>
      <w:r w:rsidR="007F0AB7" w:rsidRPr="001F29F9">
        <w:rPr>
          <w:color w:val="000000"/>
          <w:u w:val="single"/>
        </w:rPr>
        <w:lastRenderedPageBreak/>
        <w:t>R</w:t>
      </w:r>
      <w:r w:rsidR="002C6E5B" w:rsidRPr="001F29F9">
        <w:rPr>
          <w:color w:val="000000"/>
          <w:u w:val="single"/>
        </w:rPr>
        <w:t>ATING COMPARISON</w:t>
      </w:r>
      <w:r w:rsidR="002C6E5B" w:rsidRPr="001F29F9">
        <w:rPr>
          <w:color w:val="000000"/>
        </w:rPr>
        <w:t>:</w:t>
      </w:r>
      <w:r w:rsidR="00924F60">
        <w:rPr>
          <w:color w:val="000000"/>
        </w:rPr>
        <w:t xml:space="preserve">  </w:t>
      </w:r>
    </w:p>
    <w:p w:rsidR="00847CDA" w:rsidRPr="00C654BE" w:rsidRDefault="00847CDA" w:rsidP="00924F60">
      <w:pPr>
        <w:jc w:val="both"/>
        <w:rPr>
          <w:color w:val="auto"/>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080"/>
        <w:gridCol w:w="810"/>
        <w:gridCol w:w="2700"/>
        <w:gridCol w:w="810"/>
        <w:gridCol w:w="810"/>
        <w:gridCol w:w="1055"/>
        <w:gridCol w:w="25"/>
      </w:tblGrid>
      <w:tr w:rsidR="002B4E22" w:rsidRPr="00C654BE" w:rsidTr="000D22F6">
        <w:trPr>
          <w:trHeight w:val="233"/>
          <w:jc w:val="center"/>
        </w:trPr>
        <w:tc>
          <w:tcPr>
            <w:tcW w:w="3978" w:type="dxa"/>
            <w:gridSpan w:val="3"/>
            <w:tcBorders>
              <w:right w:val="thinThickThinSmallGap" w:sz="24" w:space="0" w:color="auto"/>
            </w:tcBorders>
            <w:shd w:val="clear" w:color="auto" w:fill="D9D9D9"/>
            <w:vAlign w:val="center"/>
          </w:tcPr>
          <w:p w:rsidR="002B4E22" w:rsidRPr="00C654BE" w:rsidRDefault="00B731E4" w:rsidP="007636AE">
            <w:pPr>
              <w:spacing w:line="180" w:lineRule="exact"/>
              <w:contextualSpacing/>
              <w:rPr>
                <w:rFonts w:eastAsia="Calibri"/>
                <w:b/>
                <w:color w:val="auto"/>
                <w:sz w:val="18"/>
                <w:szCs w:val="18"/>
              </w:rPr>
            </w:pPr>
            <w:r w:rsidRPr="00C654BE">
              <w:rPr>
                <w:rFonts w:eastAsia="Calibri"/>
                <w:b/>
                <w:color w:val="auto"/>
                <w:sz w:val="18"/>
                <w:szCs w:val="18"/>
              </w:rPr>
              <w:t xml:space="preserve">Service </w:t>
            </w:r>
            <w:r w:rsidR="00E12C55" w:rsidRPr="00C654BE">
              <w:rPr>
                <w:rFonts w:eastAsia="Calibri"/>
                <w:b/>
                <w:color w:val="auto"/>
                <w:sz w:val="18"/>
                <w:szCs w:val="18"/>
              </w:rPr>
              <w:t>F</w:t>
            </w:r>
            <w:r w:rsidRPr="00C654BE">
              <w:rPr>
                <w:rFonts w:eastAsia="Calibri"/>
                <w:b/>
                <w:color w:val="auto"/>
                <w:sz w:val="18"/>
                <w:szCs w:val="18"/>
              </w:rPr>
              <w:t>PEB – Dated 200</w:t>
            </w:r>
            <w:r w:rsidR="00E12C55" w:rsidRPr="00C654BE">
              <w:rPr>
                <w:rFonts w:eastAsia="Calibri"/>
                <w:b/>
                <w:color w:val="auto"/>
                <w:sz w:val="18"/>
                <w:szCs w:val="18"/>
              </w:rPr>
              <w:t>80819</w:t>
            </w:r>
          </w:p>
        </w:tc>
        <w:tc>
          <w:tcPr>
            <w:tcW w:w="5400" w:type="dxa"/>
            <w:gridSpan w:val="5"/>
            <w:tcBorders>
              <w:left w:val="thinThickThinSmallGap" w:sz="24" w:space="0" w:color="auto"/>
            </w:tcBorders>
            <w:shd w:val="clear" w:color="auto" w:fill="D9D9D9"/>
            <w:vAlign w:val="center"/>
          </w:tcPr>
          <w:p w:rsidR="002B4E22" w:rsidRPr="00C654BE" w:rsidRDefault="002B4E22" w:rsidP="007636AE">
            <w:pPr>
              <w:spacing w:line="180" w:lineRule="exact"/>
              <w:contextualSpacing/>
              <w:rPr>
                <w:rFonts w:eastAsia="Calibri"/>
                <w:b/>
                <w:color w:val="auto"/>
                <w:sz w:val="18"/>
                <w:szCs w:val="18"/>
              </w:rPr>
            </w:pPr>
            <w:r w:rsidRPr="00C654BE">
              <w:rPr>
                <w:rFonts w:eastAsia="Calibri"/>
                <w:b/>
                <w:color w:val="auto"/>
                <w:sz w:val="18"/>
                <w:szCs w:val="18"/>
              </w:rPr>
              <w:t>VA (</w:t>
            </w:r>
            <w:r w:rsidR="00B50FEE" w:rsidRPr="00C654BE">
              <w:rPr>
                <w:rFonts w:eastAsia="Calibri"/>
                <w:b/>
                <w:color w:val="auto"/>
                <w:sz w:val="18"/>
                <w:szCs w:val="18"/>
              </w:rPr>
              <w:t>4</w:t>
            </w:r>
            <w:r w:rsidR="0079154B" w:rsidRPr="00C654BE">
              <w:rPr>
                <w:rFonts w:eastAsia="Calibri"/>
                <w:b/>
                <w:color w:val="auto"/>
                <w:sz w:val="18"/>
                <w:szCs w:val="18"/>
              </w:rPr>
              <w:t xml:space="preserve"> </w:t>
            </w:r>
            <w:r w:rsidRPr="00C654BE">
              <w:rPr>
                <w:rFonts w:eastAsia="Calibri"/>
                <w:b/>
                <w:color w:val="auto"/>
                <w:sz w:val="18"/>
                <w:szCs w:val="18"/>
              </w:rPr>
              <w:t>Mo</w:t>
            </w:r>
            <w:r w:rsidR="002F56F3" w:rsidRPr="00C654BE">
              <w:rPr>
                <w:rFonts w:eastAsia="Calibri"/>
                <w:b/>
                <w:color w:val="auto"/>
                <w:sz w:val="18"/>
                <w:szCs w:val="18"/>
              </w:rPr>
              <w:t>s</w:t>
            </w:r>
            <w:r w:rsidRPr="00C654BE">
              <w:rPr>
                <w:rFonts w:eastAsia="Calibri"/>
                <w:b/>
                <w:color w:val="auto"/>
                <w:sz w:val="18"/>
                <w:szCs w:val="18"/>
              </w:rPr>
              <w:t xml:space="preserve">. After Separation) – All Effective Date </w:t>
            </w:r>
            <w:r w:rsidR="002D08F3" w:rsidRPr="00C654BE">
              <w:rPr>
                <w:rFonts w:eastAsia="Calibri"/>
                <w:b/>
                <w:color w:val="auto"/>
                <w:sz w:val="18"/>
                <w:szCs w:val="18"/>
              </w:rPr>
              <w:t>200</w:t>
            </w:r>
            <w:r w:rsidR="002F56F3" w:rsidRPr="00C654BE">
              <w:rPr>
                <w:rFonts w:eastAsia="Calibri"/>
                <w:b/>
                <w:color w:val="auto"/>
                <w:sz w:val="18"/>
                <w:szCs w:val="18"/>
              </w:rPr>
              <w:t>81020</w:t>
            </w:r>
          </w:p>
        </w:tc>
      </w:tr>
      <w:tr w:rsidR="002B4E22" w:rsidRPr="00C654BE" w:rsidTr="001F7A8D">
        <w:trPr>
          <w:gridAfter w:val="1"/>
          <w:wAfter w:w="25" w:type="dxa"/>
          <w:trHeight w:val="251"/>
          <w:jc w:val="center"/>
        </w:trPr>
        <w:tc>
          <w:tcPr>
            <w:tcW w:w="2088" w:type="dxa"/>
            <w:tcBorders>
              <w:bottom w:val="single" w:sz="4" w:space="0" w:color="000000"/>
              <w:right w:val="single" w:sz="4" w:space="0" w:color="auto"/>
            </w:tcBorders>
            <w:shd w:val="clear" w:color="auto" w:fill="D9D9D9"/>
            <w:vAlign w:val="center"/>
          </w:tcPr>
          <w:p w:rsidR="002B4E22" w:rsidRPr="00847CDA" w:rsidRDefault="002B4E22" w:rsidP="001F7A8D">
            <w:pPr>
              <w:spacing w:line="180" w:lineRule="exact"/>
              <w:contextualSpacing/>
              <w:rPr>
                <w:rFonts w:eastAsia="Calibri"/>
                <w:b/>
                <w:color w:val="auto"/>
                <w:sz w:val="18"/>
                <w:szCs w:val="18"/>
              </w:rPr>
            </w:pPr>
            <w:r w:rsidRPr="00847CDA">
              <w:rPr>
                <w:rFonts w:eastAsia="Calibr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847CDA" w:rsidRDefault="002B4E22" w:rsidP="001F7A8D">
            <w:pPr>
              <w:spacing w:line="180" w:lineRule="exact"/>
              <w:contextualSpacing/>
              <w:rPr>
                <w:rFonts w:eastAsia="Calibri"/>
                <w:b/>
                <w:color w:val="auto"/>
                <w:sz w:val="18"/>
                <w:szCs w:val="18"/>
              </w:rPr>
            </w:pPr>
            <w:r w:rsidRPr="00847CDA">
              <w:rPr>
                <w:rFonts w:eastAsia="Calibri"/>
                <w:b/>
                <w:color w:val="auto"/>
                <w:sz w:val="18"/>
                <w:szCs w:val="18"/>
              </w:rPr>
              <w:t>Code</w:t>
            </w:r>
          </w:p>
        </w:tc>
        <w:tc>
          <w:tcPr>
            <w:tcW w:w="810" w:type="dxa"/>
            <w:tcBorders>
              <w:bottom w:val="single" w:sz="4" w:space="0" w:color="000000"/>
              <w:right w:val="thinThickThinSmallGap" w:sz="24" w:space="0" w:color="auto"/>
            </w:tcBorders>
            <w:shd w:val="clear" w:color="auto" w:fill="D9D9D9"/>
            <w:vAlign w:val="center"/>
          </w:tcPr>
          <w:p w:rsidR="002B4E22" w:rsidRPr="00847CDA" w:rsidRDefault="002B4E22" w:rsidP="001F7A8D">
            <w:pPr>
              <w:spacing w:line="180" w:lineRule="exact"/>
              <w:contextualSpacing/>
              <w:rPr>
                <w:rFonts w:eastAsia="Calibri"/>
                <w:b/>
                <w:color w:val="auto"/>
                <w:sz w:val="18"/>
                <w:szCs w:val="18"/>
              </w:rPr>
            </w:pPr>
            <w:r w:rsidRPr="00847CDA">
              <w:rPr>
                <w:rFonts w:eastAsia="Calibri"/>
                <w:b/>
                <w:color w:val="auto"/>
                <w:sz w:val="18"/>
                <w:szCs w:val="18"/>
              </w:rPr>
              <w:t>Rating</w:t>
            </w:r>
          </w:p>
        </w:tc>
        <w:tc>
          <w:tcPr>
            <w:tcW w:w="2700" w:type="dxa"/>
            <w:tcBorders>
              <w:left w:val="thinThickThinSmallGap" w:sz="24" w:space="0" w:color="auto"/>
              <w:bottom w:val="single" w:sz="4" w:space="0" w:color="000000"/>
            </w:tcBorders>
            <w:shd w:val="clear" w:color="auto" w:fill="D9D9D9"/>
            <w:vAlign w:val="center"/>
          </w:tcPr>
          <w:p w:rsidR="002B4E22" w:rsidRPr="00847CDA" w:rsidRDefault="002B4E22" w:rsidP="001F7A8D">
            <w:pPr>
              <w:spacing w:line="180" w:lineRule="exact"/>
              <w:contextualSpacing/>
              <w:rPr>
                <w:rFonts w:eastAsia="Calibri"/>
                <w:b/>
                <w:color w:val="auto"/>
                <w:sz w:val="18"/>
                <w:szCs w:val="18"/>
              </w:rPr>
            </w:pPr>
            <w:r w:rsidRPr="00847CDA">
              <w:rPr>
                <w:rFonts w:eastAsia="Calibri"/>
                <w:b/>
                <w:color w:val="auto"/>
                <w:sz w:val="18"/>
                <w:szCs w:val="18"/>
              </w:rPr>
              <w:t>Condition</w:t>
            </w:r>
          </w:p>
        </w:tc>
        <w:tc>
          <w:tcPr>
            <w:tcW w:w="810" w:type="dxa"/>
            <w:tcBorders>
              <w:bottom w:val="single" w:sz="4" w:space="0" w:color="000000"/>
            </w:tcBorders>
            <w:shd w:val="clear" w:color="auto" w:fill="D9D9D9"/>
            <w:vAlign w:val="center"/>
          </w:tcPr>
          <w:p w:rsidR="002B4E22" w:rsidRPr="00847CDA" w:rsidRDefault="002B4E22" w:rsidP="001F7A8D">
            <w:pPr>
              <w:spacing w:line="180" w:lineRule="exact"/>
              <w:contextualSpacing/>
              <w:rPr>
                <w:rFonts w:eastAsia="Calibri"/>
                <w:b/>
                <w:color w:val="auto"/>
                <w:sz w:val="18"/>
                <w:szCs w:val="18"/>
              </w:rPr>
            </w:pPr>
            <w:r w:rsidRPr="00847CDA">
              <w:rPr>
                <w:rFonts w:eastAsia="Calibri"/>
                <w:b/>
                <w:color w:val="auto"/>
                <w:sz w:val="18"/>
                <w:szCs w:val="18"/>
              </w:rPr>
              <w:t>Code</w:t>
            </w:r>
          </w:p>
        </w:tc>
        <w:tc>
          <w:tcPr>
            <w:tcW w:w="810" w:type="dxa"/>
            <w:tcBorders>
              <w:bottom w:val="single" w:sz="4" w:space="0" w:color="000000"/>
            </w:tcBorders>
            <w:shd w:val="clear" w:color="auto" w:fill="D9D9D9"/>
            <w:vAlign w:val="center"/>
          </w:tcPr>
          <w:p w:rsidR="002B4E22" w:rsidRPr="00847CDA" w:rsidRDefault="002B4E22" w:rsidP="001F7A8D">
            <w:pPr>
              <w:spacing w:line="180" w:lineRule="exact"/>
              <w:contextualSpacing/>
              <w:rPr>
                <w:rFonts w:eastAsia="Calibri"/>
                <w:b/>
                <w:color w:val="auto"/>
                <w:sz w:val="18"/>
                <w:szCs w:val="18"/>
              </w:rPr>
            </w:pPr>
            <w:r w:rsidRPr="00847CDA">
              <w:rPr>
                <w:rFonts w:eastAsia="Calibri"/>
                <w:b/>
                <w:color w:val="auto"/>
                <w:sz w:val="18"/>
                <w:szCs w:val="18"/>
              </w:rPr>
              <w:t>Rating</w:t>
            </w:r>
          </w:p>
        </w:tc>
        <w:tc>
          <w:tcPr>
            <w:tcW w:w="1055" w:type="dxa"/>
            <w:tcBorders>
              <w:bottom w:val="single" w:sz="4" w:space="0" w:color="000000"/>
            </w:tcBorders>
            <w:shd w:val="clear" w:color="auto" w:fill="D9D9D9"/>
            <w:vAlign w:val="center"/>
          </w:tcPr>
          <w:p w:rsidR="002B4E22" w:rsidRPr="00C654BE" w:rsidRDefault="002B4E22" w:rsidP="001F7A8D">
            <w:pPr>
              <w:spacing w:line="180" w:lineRule="exact"/>
              <w:contextualSpacing/>
              <w:rPr>
                <w:rFonts w:eastAsia="Calibri"/>
                <w:b/>
                <w:color w:val="auto"/>
                <w:sz w:val="18"/>
                <w:szCs w:val="18"/>
              </w:rPr>
            </w:pPr>
            <w:r w:rsidRPr="00C654BE">
              <w:rPr>
                <w:rFonts w:eastAsia="Calibri"/>
                <w:b/>
                <w:color w:val="auto"/>
                <w:sz w:val="18"/>
                <w:szCs w:val="18"/>
              </w:rPr>
              <w:t>Exam</w:t>
            </w:r>
          </w:p>
        </w:tc>
      </w:tr>
      <w:tr w:rsidR="00E5603E" w:rsidRPr="00C654BE" w:rsidTr="001F7A8D">
        <w:trPr>
          <w:trHeight w:val="242"/>
          <w:jc w:val="center"/>
        </w:trPr>
        <w:tc>
          <w:tcPr>
            <w:tcW w:w="2088" w:type="dxa"/>
            <w:vMerge w:val="restart"/>
            <w:tcBorders>
              <w:right w:val="single" w:sz="4" w:space="0" w:color="auto"/>
            </w:tcBorders>
            <w:shd w:val="clear" w:color="auto" w:fill="FFFFFF"/>
            <w:vAlign w:val="center"/>
          </w:tcPr>
          <w:p w:rsidR="00E5603E" w:rsidRPr="00847CDA" w:rsidRDefault="00E5603E" w:rsidP="001F7A8D">
            <w:pPr>
              <w:spacing w:line="180" w:lineRule="exact"/>
              <w:contextualSpacing/>
              <w:jc w:val="left"/>
              <w:rPr>
                <w:color w:val="auto"/>
                <w:sz w:val="18"/>
                <w:szCs w:val="18"/>
              </w:rPr>
            </w:pPr>
            <w:r w:rsidRPr="00847CDA">
              <w:rPr>
                <w:rFonts w:eastAsia="Calibri"/>
                <w:color w:val="auto"/>
                <w:sz w:val="18"/>
                <w:szCs w:val="18"/>
              </w:rPr>
              <w:t>Left Shoulder Pain</w:t>
            </w:r>
          </w:p>
        </w:tc>
        <w:tc>
          <w:tcPr>
            <w:tcW w:w="1080" w:type="dxa"/>
            <w:vMerge w:val="restart"/>
            <w:tcBorders>
              <w:left w:val="single" w:sz="4" w:space="0" w:color="auto"/>
            </w:tcBorders>
            <w:shd w:val="clear" w:color="auto" w:fill="FFFFFF"/>
            <w:vAlign w:val="center"/>
          </w:tcPr>
          <w:p w:rsidR="00E5603E" w:rsidRPr="00847CDA" w:rsidRDefault="00E5603E" w:rsidP="001F7A8D">
            <w:pPr>
              <w:spacing w:line="180" w:lineRule="exact"/>
              <w:contextualSpacing/>
              <w:rPr>
                <w:color w:val="auto"/>
                <w:sz w:val="18"/>
                <w:szCs w:val="18"/>
              </w:rPr>
            </w:pPr>
            <w:r w:rsidRPr="00847CDA">
              <w:rPr>
                <w:rFonts w:eastAsia="Calibri"/>
                <w:color w:val="auto"/>
                <w:sz w:val="18"/>
                <w:szCs w:val="18"/>
              </w:rPr>
              <w:t>5099-5003</w:t>
            </w:r>
          </w:p>
        </w:tc>
        <w:tc>
          <w:tcPr>
            <w:tcW w:w="810" w:type="dxa"/>
            <w:vMerge w:val="restart"/>
            <w:tcBorders>
              <w:right w:val="thinThickThinSmallGap" w:sz="24" w:space="0" w:color="auto"/>
            </w:tcBorders>
            <w:shd w:val="clear" w:color="auto" w:fill="FFFFFF"/>
            <w:vAlign w:val="center"/>
          </w:tcPr>
          <w:p w:rsidR="00E5603E" w:rsidRPr="00847CDA" w:rsidRDefault="00E5603E" w:rsidP="001F7A8D">
            <w:pPr>
              <w:spacing w:line="180" w:lineRule="exact"/>
              <w:rPr>
                <w:color w:val="auto"/>
                <w:sz w:val="18"/>
                <w:szCs w:val="18"/>
              </w:rPr>
            </w:pPr>
            <w:r w:rsidRPr="00847CDA">
              <w:rPr>
                <w:rFonts w:eastAsia="Calibri"/>
                <w:color w:val="auto"/>
                <w:sz w:val="18"/>
                <w:szCs w:val="18"/>
              </w:rPr>
              <w:t>10%</w:t>
            </w:r>
          </w:p>
        </w:tc>
        <w:tc>
          <w:tcPr>
            <w:tcW w:w="2700" w:type="dxa"/>
            <w:tcBorders>
              <w:left w:val="thinThickThinSmallGap" w:sz="24" w:space="0" w:color="auto"/>
            </w:tcBorders>
            <w:shd w:val="clear" w:color="auto" w:fill="FFFFFF"/>
            <w:vAlign w:val="center"/>
          </w:tcPr>
          <w:p w:rsidR="00E5603E" w:rsidRPr="00847CDA" w:rsidRDefault="00E5603E" w:rsidP="001F7A8D">
            <w:pPr>
              <w:spacing w:line="180" w:lineRule="exact"/>
              <w:contextualSpacing/>
              <w:jc w:val="left"/>
              <w:rPr>
                <w:color w:val="auto"/>
                <w:sz w:val="18"/>
                <w:szCs w:val="18"/>
              </w:rPr>
            </w:pPr>
            <w:r w:rsidRPr="00847CDA">
              <w:rPr>
                <w:rFonts w:eastAsia="Calibri"/>
                <w:color w:val="auto"/>
                <w:sz w:val="18"/>
                <w:szCs w:val="18"/>
              </w:rPr>
              <w:t>Left Shoulder Injury</w:t>
            </w:r>
          </w:p>
        </w:tc>
        <w:tc>
          <w:tcPr>
            <w:tcW w:w="810" w:type="dxa"/>
            <w:shd w:val="clear" w:color="auto" w:fill="FFFFFF"/>
            <w:vAlign w:val="center"/>
          </w:tcPr>
          <w:p w:rsidR="00E5603E" w:rsidRPr="00847CDA" w:rsidRDefault="00E5603E" w:rsidP="001F7A8D">
            <w:pPr>
              <w:spacing w:line="180" w:lineRule="exact"/>
              <w:contextualSpacing/>
              <w:rPr>
                <w:color w:val="auto"/>
                <w:sz w:val="18"/>
                <w:szCs w:val="18"/>
              </w:rPr>
            </w:pPr>
            <w:r w:rsidRPr="00847CDA">
              <w:rPr>
                <w:rFonts w:eastAsia="Calibri"/>
                <w:color w:val="auto"/>
                <w:sz w:val="18"/>
                <w:szCs w:val="18"/>
              </w:rPr>
              <w:t>5202</w:t>
            </w:r>
          </w:p>
        </w:tc>
        <w:tc>
          <w:tcPr>
            <w:tcW w:w="810" w:type="dxa"/>
            <w:shd w:val="clear" w:color="auto" w:fill="FFFFFF"/>
            <w:vAlign w:val="center"/>
          </w:tcPr>
          <w:p w:rsidR="00E5603E" w:rsidRPr="00847CDA" w:rsidRDefault="00E5603E" w:rsidP="001F7A8D">
            <w:pPr>
              <w:spacing w:line="180" w:lineRule="exact"/>
              <w:contextualSpacing/>
              <w:rPr>
                <w:color w:val="auto"/>
                <w:sz w:val="18"/>
                <w:szCs w:val="18"/>
              </w:rPr>
            </w:pPr>
            <w:r w:rsidRPr="00847CDA">
              <w:rPr>
                <w:rFonts w:eastAsia="Calibri"/>
                <w:color w:val="auto"/>
                <w:sz w:val="18"/>
                <w:szCs w:val="18"/>
              </w:rPr>
              <w:t>20%</w:t>
            </w:r>
          </w:p>
        </w:tc>
        <w:tc>
          <w:tcPr>
            <w:tcW w:w="1080" w:type="dxa"/>
            <w:gridSpan w:val="2"/>
            <w:shd w:val="clear" w:color="auto" w:fill="FFFFFF"/>
            <w:vAlign w:val="center"/>
          </w:tcPr>
          <w:p w:rsidR="00E5603E" w:rsidRPr="00C654BE" w:rsidRDefault="00E5603E" w:rsidP="001F7A8D">
            <w:pPr>
              <w:spacing w:line="180" w:lineRule="exact"/>
              <w:contextualSpacing/>
              <w:rPr>
                <w:color w:val="auto"/>
                <w:sz w:val="18"/>
                <w:szCs w:val="18"/>
              </w:rPr>
            </w:pPr>
            <w:r w:rsidRPr="00C654BE">
              <w:rPr>
                <w:rFonts w:eastAsia="Calibri"/>
                <w:color w:val="auto"/>
                <w:sz w:val="18"/>
                <w:szCs w:val="18"/>
              </w:rPr>
              <w:t>20090205</w:t>
            </w:r>
          </w:p>
        </w:tc>
      </w:tr>
      <w:tr w:rsidR="00E5603E" w:rsidRPr="00C654BE" w:rsidTr="001F7A8D">
        <w:trPr>
          <w:trHeight w:val="215"/>
          <w:jc w:val="center"/>
        </w:trPr>
        <w:tc>
          <w:tcPr>
            <w:tcW w:w="2088" w:type="dxa"/>
            <w:vMerge/>
            <w:tcBorders>
              <w:right w:val="single" w:sz="4" w:space="0" w:color="auto"/>
            </w:tcBorders>
            <w:shd w:val="clear" w:color="auto" w:fill="FFFFFF"/>
            <w:vAlign w:val="center"/>
          </w:tcPr>
          <w:p w:rsidR="00E5603E" w:rsidRPr="00847CDA" w:rsidRDefault="00E5603E" w:rsidP="001F7A8D">
            <w:pPr>
              <w:spacing w:line="180" w:lineRule="exact"/>
              <w:contextualSpacing/>
              <w:jc w:val="left"/>
              <w:rPr>
                <w:color w:val="auto"/>
                <w:sz w:val="18"/>
                <w:szCs w:val="18"/>
              </w:rPr>
            </w:pPr>
          </w:p>
        </w:tc>
        <w:tc>
          <w:tcPr>
            <w:tcW w:w="1080" w:type="dxa"/>
            <w:vMerge/>
            <w:tcBorders>
              <w:left w:val="single" w:sz="4" w:space="0" w:color="auto"/>
            </w:tcBorders>
            <w:shd w:val="clear" w:color="auto" w:fill="FFFFFF"/>
            <w:vAlign w:val="center"/>
          </w:tcPr>
          <w:p w:rsidR="00E5603E" w:rsidRPr="00847CDA" w:rsidRDefault="00E5603E" w:rsidP="001F7A8D">
            <w:pPr>
              <w:spacing w:line="180" w:lineRule="exact"/>
              <w:contextualSpacing/>
              <w:rPr>
                <w:color w:val="auto"/>
                <w:sz w:val="18"/>
                <w:szCs w:val="18"/>
              </w:rPr>
            </w:pPr>
          </w:p>
        </w:tc>
        <w:tc>
          <w:tcPr>
            <w:tcW w:w="810" w:type="dxa"/>
            <w:vMerge/>
            <w:tcBorders>
              <w:right w:val="thinThickThinSmallGap" w:sz="24" w:space="0" w:color="auto"/>
            </w:tcBorders>
            <w:shd w:val="clear" w:color="auto" w:fill="FFFFFF"/>
            <w:vAlign w:val="center"/>
          </w:tcPr>
          <w:p w:rsidR="00E5603E" w:rsidRPr="00847CDA" w:rsidRDefault="00E5603E" w:rsidP="001F7A8D">
            <w:pPr>
              <w:spacing w:line="180" w:lineRule="exact"/>
              <w:rPr>
                <w:color w:val="auto"/>
                <w:sz w:val="18"/>
                <w:szCs w:val="18"/>
              </w:rPr>
            </w:pPr>
          </w:p>
        </w:tc>
        <w:tc>
          <w:tcPr>
            <w:tcW w:w="2700" w:type="dxa"/>
            <w:tcBorders>
              <w:left w:val="thinThickThinSmallGap" w:sz="24" w:space="0" w:color="auto"/>
            </w:tcBorders>
            <w:shd w:val="clear" w:color="auto" w:fill="FFFFFF"/>
            <w:vAlign w:val="center"/>
          </w:tcPr>
          <w:p w:rsidR="00E5603E" w:rsidRPr="00847CDA" w:rsidRDefault="00E5603E" w:rsidP="001F7A8D">
            <w:pPr>
              <w:spacing w:line="180" w:lineRule="exact"/>
              <w:contextualSpacing/>
              <w:jc w:val="left"/>
              <w:rPr>
                <w:color w:val="auto"/>
                <w:sz w:val="18"/>
                <w:szCs w:val="18"/>
              </w:rPr>
            </w:pPr>
            <w:r w:rsidRPr="00847CDA">
              <w:rPr>
                <w:color w:val="auto"/>
                <w:sz w:val="18"/>
                <w:szCs w:val="18"/>
              </w:rPr>
              <w:t>Surgical Scars, Left Shoulder</w:t>
            </w:r>
          </w:p>
        </w:tc>
        <w:tc>
          <w:tcPr>
            <w:tcW w:w="810" w:type="dxa"/>
            <w:shd w:val="clear" w:color="auto" w:fill="FFFFFF"/>
            <w:vAlign w:val="center"/>
          </w:tcPr>
          <w:p w:rsidR="00E5603E" w:rsidRPr="00847CDA" w:rsidRDefault="00E5603E" w:rsidP="001F7A8D">
            <w:pPr>
              <w:spacing w:line="180" w:lineRule="exact"/>
              <w:contextualSpacing/>
              <w:rPr>
                <w:color w:val="auto"/>
                <w:sz w:val="18"/>
                <w:szCs w:val="18"/>
              </w:rPr>
            </w:pPr>
            <w:r w:rsidRPr="00847CDA">
              <w:rPr>
                <w:color w:val="auto"/>
                <w:sz w:val="18"/>
                <w:szCs w:val="18"/>
              </w:rPr>
              <w:t>7804</w:t>
            </w:r>
          </w:p>
        </w:tc>
        <w:tc>
          <w:tcPr>
            <w:tcW w:w="810" w:type="dxa"/>
            <w:shd w:val="clear" w:color="auto" w:fill="FFFFFF"/>
            <w:vAlign w:val="center"/>
          </w:tcPr>
          <w:p w:rsidR="00E5603E" w:rsidRPr="00847CDA" w:rsidRDefault="00E5603E" w:rsidP="001F7A8D">
            <w:pPr>
              <w:spacing w:line="180" w:lineRule="exact"/>
              <w:contextualSpacing/>
              <w:rPr>
                <w:color w:val="auto"/>
                <w:sz w:val="18"/>
                <w:szCs w:val="18"/>
              </w:rPr>
            </w:pPr>
            <w:r w:rsidRPr="00847CDA">
              <w:rPr>
                <w:color w:val="auto"/>
                <w:sz w:val="18"/>
                <w:szCs w:val="18"/>
              </w:rPr>
              <w:t>10%</w:t>
            </w:r>
          </w:p>
        </w:tc>
        <w:tc>
          <w:tcPr>
            <w:tcW w:w="1080" w:type="dxa"/>
            <w:gridSpan w:val="2"/>
            <w:shd w:val="clear" w:color="auto" w:fill="FFFFFF"/>
            <w:vAlign w:val="center"/>
          </w:tcPr>
          <w:p w:rsidR="00E5603E" w:rsidRPr="00C654BE" w:rsidRDefault="00E5603E" w:rsidP="001F7A8D">
            <w:pPr>
              <w:spacing w:line="180" w:lineRule="exact"/>
              <w:contextualSpacing/>
              <w:rPr>
                <w:color w:val="auto"/>
                <w:sz w:val="18"/>
                <w:szCs w:val="18"/>
              </w:rPr>
            </w:pPr>
            <w:r w:rsidRPr="00C654BE">
              <w:rPr>
                <w:color w:val="auto"/>
                <w:sz w:val="18"/>
                <w:szCs w:val="18"/>
              </w:rPr>
              <w:t>20090205</w:t>
            </w:r>
          </w:p>
        </w:tc>
      </w:tr>
      <w:tr w:rsidR="00E5603E" w:rsidRPr="00C654BE" w:rsidTr="001F7A8D">
        <w:trPr>
          <w:trHeight w:val="188"/>
          <w:jc w:val="center"/>
        </w:trPr>
        <w:tc>
          <w:tcPr>
            <w:tcW w:w="2088" w:type="dxa"/>
            <w:tcBorders>
              <w:right w:val="single" w:sz="4" w:space="0" w:color="auto"/>
            </w:tcBorders>
            <w:shd w:val="clear" w:color="auto" w:fill="FFFFFF"/>
            <w:vAlign w:val="center"/>
          </w:tcPr>
          <w:p w:rsidR="00E5603E" w:rsidRPr="00847CDA" w:rsidRDefault="00E5603E" w:rsidP="001F7A8D">
            <w:pPr>
              <w:spacing w:line="180" w:lineRule="exact"/>
              <w:contextualSpacing/>
              <w:jc w:val="left"/>
              <w:rPr>
                <w:color w:val="auto"/>
                <w:sz w:val="18"/>
                <w:szCs w:val="18"/>
              </w:rPr>
            </w:pPr>
            <w:r w:rsidRPr="00847CDA">
              <w:rPr>
                <w:rFonts w:eastAsia="Calibri"/>
                <w:color w:val="auto"/>
                <w:sz w:val="18"/>
                <w:szCs w:val="18"/>
              </w:rPr>
              <w:t>Left Knee DJD</w:t>
            </w:r>
          </w:p>
        </w:tc>
        <w:tc>
          <w:tcPr>
            <w:tcW w:w="1080" w:type="dxa"/>
            <w:tcBorders>
              <w:left w:val="single" w:sz="4" w:space="0" w:color="auto"/>
            </w:tcBorders>
            <w:shd w:val="clear" w:color="auto" w:fill="FFFFFF"/>
            <w:vAlign w:val="center"/>
          </w:tcPr>
          <w:p w:rsidR="00E5603E" w:rsidRPr="00847CDA" w:rsidRDefault="00E5603E" w:rsidP="001F7A8D">
            <w:pPr>
              <w:spacing w:line="180" w:lineRule="exact"/>
              <w:contextualSpacing/>
              <w:rPr>
                <w:color w:val="auto"/>
                <w:sz w:val="18"/>
                <w:szCs w:val="18"/>
              </w:rPr>
            </w:pPr>
            <w:r w:rsidRPr="00847CDA">
              <w:rPr>
                <w:rFonts w:eastAsia="Calibri"/>
                <w:color w:val="auto"/>
                <w:sz w:val="18"/>
                <w:szCs w:val="18"/>
              </w:rPr>
              <w:t>5003</w:t>
            </w:r>
          </w:p>
        </w:tc>
        <w:tc>
          <w:tcPr>
            <w:tcW w:w="810" w:type="dxa"/>
            <w:tcBorders>
              <w:right w:val="thinThickThinSmallGap" w:sz="24" w:space="0" w:color="auto"/>
            </w:tcBorders>
            <w:shd w:val="clear" w:color="auto" w:fill="FFFFFF"/>
            <w:vAlign w:val="center"/>
          </w:tcPr>
          <w:p w:rsidR="00E5603E" w:rsidRPr="00847CDA" w:rsidRDefault="00E5603E" w:rsidP="001F7A8D">
            <w:pPr>
              <w:spacing w:line="180" w:lineRule="exact"/>
              <w:rPr>
                <w:color w:val="auto"/>
                <w:sz w:val="18"/>
                <w:szCs w:val="18"/>
              </w:rPr>
            </w:pPr>
            <w:r w:rsidRPr="00847CDA">
              <w:rPr>
                <w:rFonts w:eastAsia="Calibri"/>
                <w:color w:val="auto"/>
                <w:sz w:val="18"/>
                <w:szCs w:val="18"/>
              </w:rPr>
              <w:t>10%</w:t>
            </w:r>
          </w:p>
        </w:tc>
        <w:tc>
          <w:tcPr>
            <w:tcW w:w="2700" w:type="dxa"/>
            <w:tcBorders>
              <w:left w:val="thinThickThinSmallGap" w:sz="24" w:space="0" w:color="auto"/>
              <w:bottom w:val="single" w:sz="4" w:space="0" w:color="000000"/>
              <w:right w:val="single" w:sz="4" w:space="0" w:color="auto"/>
            </w:tcBorders>
            <w:shd w:val="clear" w:color="auto" w:fill="FFFFFF"/>
            <w:vAlign w:val="center"/>
          </w:tcPr>
          <w:p w:rsidR="00E5603E" w:rsidRPr="00847CDA" w:rsidRDefault="00E5603E" w:rsidP="001F7A8D">
            <w:pPr>
              <w:spacing w:line="180" w:lineRule="exact"/>
              <w:contextualSpacing/>
              <w:jc w:val="left"/>
              <w:rPr>
                <w:color w:val="auto"/>
                <w:sz w:val="18"/>
                <w:szCs w:val="18"/>
              </w:rPr>
            </w:pPr>
            <w:r w:rsidRPr="00847CDA">
              <w:rPr>
                <w:rFonts w:eastAsia="Calibri"/>
                <w:color w:val="auto"/>
                <w:sz w:val="18"/>
                <w:szCs w:val="18"/>
              </w:rPr>
              <w:t>Left Knee Injury</w:t>
            </w:r>
          </w:p>
        </w:tc>
        <w:tc>
          <w:tcPr>
            <w:tcW w:w="810" w:type="dxa"/>
            <w:tcBorders>
              <w:left w:val="single" w:sz="4" w:space="0" w:color="auto"/>
              <w:bottom w:val="single" w:sz="4" w:space="0" w:color="000000"/>
            </w:tcBorders>
            <w:shd w:val="clear" w:color="auto" w:fill="FFFFFF"/>
            <w:vAlign w:val="center"/>
          </w:tcPr>
          <w:p w:rsidR="00E5603E" w:rsidRPr="00847CDA" w:rsidRDefault="00E5603E" w:rsidP="001F7A8D">
            <w:pPr>
              <w:spacing w:line="180" w:lineRule="exact"/>
              <w:contextualSpacing/>
              <w:rPr>
                <w:color w:val="auto"/>
                <w:sz w:val="18"/>
                <w:szCs w:val="18"/>
              </w:rPr>
            </w:pPr>
            <w:r w:rsidRPr="00847CDA">
              <w:rPr>
                <w:rFonts w:eastAsia="Calibri"/>
                <w:color w:val="auto"/>
                <w:sz w:val="18"/>
                <w:szCs w:val="18"/>
              </w:rPr>
              <w:t>5262</w:t>
            </w:r>
          </w:p>
        </w:tc>
        <w:tc>
          <w:tcPr>
            <w:tcW w:w="810" w:type="dxa"/>
            <w:tcBorders>
              <w:bottom w:val="single" w:sz="4" w:space="0" w:color="000000"/>
            </w:tcBorders>
            <w:shd w:val="clear" w:color="auto" w:fill="FFFFFF"/>
            <w:vAlign w:val="center"/>
          </w:tcPr>
          <w:p w:rsidR="00E5603E" w:rsidRPr="00847CDA" w:rsidRDefault="00E5603E" w:rsidP="001F7A8D">
            <w:pPr>
              <w:spacing w:line="180" w:lineRule="exact"/>
              <w:contextualSpacing/>
              <w:rPr>
                <w:color w:val="auto"/>
                <w:sz w:val="18"/>
                <w:szCs w:val="18"/>
              </w:rPr>
            </w:pPr>
            <w:r w:rsidRPr="00847CDA">
              <w:rPr>
                <w:rFonts w:eastAsia="Calibri"/>
                <w:color w:val="auto"/>
                <w:sz w:val="18"/>
                <w:szCs w:val="18"/>
              </w:rPr>
              <w:t>10%</w:t>
            </w:r>
          </w:p>
        </w:tc>
        <w:tc>
          <w:tcPr>
            <w:tcW w:w="1080" w:type="dxa"/>
            <w:gridSpan w:val="2"/>
            <w:shd w:val="clear" w:color="auto" w:fill="FFFFFF"/>
            <w:vAlign w:val="center"/>
          </w:tcPr>
          <w:p w:rsidR="00E5603E" w:rsidRPr="00C654BE" w:rsidRDefault="00E5603E" w:rsidP="001F7A8D">
            <w:pPr>
              <w:spacing w:line="180" w:lineRule="exact"/>
              <w:contextualSpacing/>
              <w:rPr>
                <w:color w:val="auto"/>
                <w:sz w:val="18"/>
                <w:szCs w:val="18"/>
              </w:rPr>
            </w:pPr>
            <w:r w:rsidRPr="00C654BE">
              <w:rPr>
                <w:rFonts w:eastAsia="Calibri"/>
                <w:color w:val="auto"/>
                <w:sz w:val="18"/>
                <w:szCs w:val="18"/>
              </w:rPr>
              <w:t>20090205</w:t>
            </w:r>
          </w:p>
        </w:tc>
      </w:tr>
      <w:tr w:rsidR="00632A96" w:rsidRPr="00C654BE" w:rsidTr="001F7A8D">
        <w:trPr>
          <w:trHeight w:val="251"/>
          <w:jc w:val="center"/>
        </w:trPr>
        <w:tc>
          <w:tcPr>
            <w:tcW w:w="2088" w:type="dxa"/>
            <w:tcBorders>
              <w:right w:val="single" w:sz="4" w:space="0" w:color="auto"/>
            </w:tcBorders>
            <w:shd w:val="clear" w:color="auto" w:fill="FFFFFF"/>
            <w:vAlign w:val="center"/>
          </w:tcPr>
          <w:p w:rsidR="00632A96" w:rsidRPr="00847CDA" w:rsidRDefault="00632A96" w:rsidP="001F7A8D">
            <w:pPr>
              <w:spacing w:line="180" w:lineRule="exact"/>
              <w:contextualSpacing/>
              <w:jc w:val="left"/>
              <w:rPr>
                <w:color w:val="auto"/>
                <w:sz w:val="18"/>
                <w:szCs w:val="18"/>
              </w:rPr>
            </w:pPr>
            <w:r w:rsidRPr="00847CDA">
              <w:rPr>
                <w:rFonts w:eastAsia="Calibri"/>
                <w:color w:val="auto"/>
                <w:sz w:val="18"/>
                <w:szCs w:val="18"/>
              </w:rPr>
              <w:t>Diabetes Mellitus, Type 2</w:t>
            </w:r>
          </w:p>
        </w:tc>
        <w:tc>
          <w:tcPr>
            <w:tcW w:w="1890" w:type="dxa"/>
            <w:gridSpan w:val="2"/>
            <w:tcBorders>
              <w:left w:val="single" w:sz="4" w:space="0" w:color="auto"/>
              <w:right w:val="thinThickThinSmallGap" w:sz="24" w:space="0" w:color="auto"/>
            </w:tcBorders>
            <w:shd w:val="clear" w:color="auto" w:fill="FFFFFF"/>
            <w:vAlign w:val="center"/>
          </w:tcPr>
          <w:p w:rsidR="00632A96" w:rsidRPr="00847CDA" w:rsidRDefault="00632A96" w:rsidP="001F7A8D">
            <w:pPr>
              <w:spacing w:line="180" w:lineRule="exact"/>
              <w:contextualSpacing/>
              <w:rPr>
                <w:color w:val="auto"/>
                <w:sz w:val="18"/>
                <w:szCs w:val="18"/>
              </w:rPr>
            </w:pPr>
            <w:r w:rsidRPr="00847CDA">
              <w:rPr>
                <w:rFonts w:eastAsia="Calibri"/>
                <w:color w:val="auto"/>
                <w:sz w:val="18"/>
                <w:szCs w:val="18"/>
              </w:rPr>
              <w:t>Not Unfitting</w:t>
            </w:r>
          </w:p>
        </w:tc>
        <w:tc>
          <w:tcPr>
            <w:tcW w:w="2700" w:type="dxa"/>
            <w:tcBorders>
              <w:left w:val="thinThickThinSmallGap" w:sz="24" w:space="0" w:color="auto"/>
              <w:bottom w:val="single" w:sz="4" w:space="0" w:color="auto"/>
              <w:right w:val="single" w:sz="4" w:space="0" w:color="auto"/>
            </w:tcBorders>
            <w:shd w:val="clear" w:color="auto" w:fill="FFFFFF"/>
            <w:vAlign w:val="center"/>
          </w:tcPr>
          <w:p w:rsidR="00632A96" w:rsidRPr="00847CDA" w:rsidRDefault="00632A96" w:rsidP="001F7A8D">
            <w:pPr>
              <w:spacing w:line="180" w:lineRule="exact"/>
              <w:contextualSpacing/>
              <w:jc w:val="left"/>
              <w:rPr>
                <w:color w:val="auto"/>
                <w:sz w:val="18"/>
                <w:szCs w:val="18"/>
              </w:rPr>
            </w:pPr>
            <w:r w:rsidRPr="00847CDA">
              <w:rPr>
                <w:color w:val="auto"/>
                <w:sz w:val="18"/>
                <w:szCs w:val="18"/>
              </w:rPr>
              <w:t>Diabetes Mellitus w/Retinopathy</w:t>
            </w:r>
          </w:p>
        </w:tc>
        <w:tc>
          <w:tcPr>
            <w:tcW w:w="810" w:type="dxa"/>
            <w:tcBorders>
              <w:left w:val="single" w:sz="4" w:space="0" w:color="auto"/>
              <w:bottom w:val="single" w:sz="4" w:space="0" w:color="auto"/>
              <w:right w:val="single" w:sz="4" w:space="0" w:color="auto"/>
            </w:tcBorders>
            <w:shd w:val="clear" w:color="auto" w:fill="FFFFFF"/>
            <w:vAlign w:val="center"/>
          </w:tcPr>
          <w:p w:rsidR="00632A96" w:rsidRPr="00847CDA" w:rsidRDefault="00632A96" w:rsidP="001F7A8D">
            <w:pPr>
              <w:spacing w:line="180" w:lineRule="exact"/>
              <w:contextualSpacing/>
              <w:rPr>
                <w:color w:val="auto"/>
                <w:sz w:val="18"/>
                <w:szCs w:val="18"/>
              </w:rPr>
            </w:pPr>
            <w:r w:rsidRPr="00847CDA">
              <w:rPr>
                <w:color w:val="auto"/>
                <w:sz w:val="18"/>
                <w:szCs w:val="18"/>
              </w:rPr>
              <w:t>7913</w:t>
            </w:r>
          </w:p>
        </w:tc>
        <w:tc>
          <w:tcPr>
            <w:tcW w:w="810" w:type="dxa"/>
            <w:tcBorders>
              <w:left w:val="single" w:sz="4" w:space="0" w:color="auto"/>
              <w:bottom w:val="single" w:sz="4" w:space="0" w:color="auto"/>
              <w:right w:val="single" w:sz="4" w:space="0" w:color="auto"/>
            </w:tcBorders>
            <w:shd w:val="clear" w:color="auto" w:fill="FFFFFF"/>
            <w:vAlign w:val="center"/>
          </w:tcPr>
          <w:p w:rsidR="00632A96" w:rsidRPr="00847CDA" w:rsidRDefault="00632A96" w:rsidP="001F7A8D">
            <w:pPr>
              <w:spacing w:line="180" w:lineRule="exact"/>
              <w:contextualSpacing/>
              <w:rPr>
                <w:color w:val="auto"/>
                <w:sz w:val="18"/>
                <w:szCs w:val="18"/>
              </w:rPr>
            </w:pPr>
            <w:r w:rsidRPr="00847CDA">
              <w:rPr>
                <w:color w:val="auto"/>
                <w:sz w:val="18"/>
                <w:szCs w:val="18"/>
              </w:rPr>
              <w:t>NSC</w:t>
            </w:r>
          </w:p>
        </w:tc>
        <w:tc>
          <w:tcPr>
            <w:tcW w:w="1080" w:type="dxa"/>
            <w:gridSpan w:val="2"/>
            <w:tcBorders>
              <w:left w:val="single" w:sz="4" w:space="0" w:color="auto"/>
              <w:bottom w:val="single" w:sz="4" w:space="0" w:color="auto"/>
            </w:tcBorders>
            <w:shd w:val="clear" w:color="auto" w:fill="FFFFFF"/>
            <w:vAlign w:val="center"/>
          </w:tcPr>
          <w:p w:rsidR="00632A96" w:rsidRPr="00C654BE" w:rsidRDefault="00632A96" w:rsidP="001F7A8D">
            <w:pPr>
              <w:spacing w:line="180" w:lineRule="exact"/>
              <w:contextualSpacing/>
              <w:rPr>
                <w:rFonts w:eastAsia="Calibri"/>
                <w:color w:val="auto"/>
                <w:sz w:val="18"/>
                <w:szCs w:val="18"/>
                <w:highlight w:val="yellow"/>
              </w:rPr>
            </w:pPr>
            <w:r w:rsidRPr="00C654BE">
              <w:rPr>
                <w:rFonts w:eastAsia="Calibri"/>
                <w:color w:val="auto"/>
                <w:sz w:val="18"/>
                <w:szCs w:val="18"/>
              </w:rPr>
              <w:t>20090210</w:t>
            </w:r>
          </w:p>
        </w:tc>
      </w:tr>
      <w:tr w:rsidR="00632A96" w:rsidRPr="00C654BE" w:rsidTr="001F7A8D">
        <w:trPr>
          <w:trHeight w:val="224"/>
          <w:jc w:val="center"/>
        </w:trPr>
        <w:tc>
          <w:tcPr>
            <w:tcW w:w="2088" w:type="dxa"/>
            <w:tcBorders>
              <w:right w:val="single" w:sz="4" w:space="0" w:color="auto"/>
            </w:tcBorders>
            <w:shd w:val="clear" w:color="auto" w:fill="FFFFFF"/>
            <w:vAlign w:val="center"/>
          </w:tcPr>
          <w:p w:rsidR="00632A96" w:rsidRPr="00847CDA" w:rsidRDefault="00632A96" w:rsidP="001F7A8D">
            <w:pPr>
              <w:spacing w:line="180" w:lineRule="exact"/>
              <w:contextualSpacing/>
              <w:jc w:val="left"/>
              <w:rPr>
                <w:color w:val="auto"/>
                <w:sz w:val="18"/>
                <w:szCs w:val="18"/>
              </w:rPr>
            </w:pPr>
            <w:r w:rsidRPr="00847CDA">
              <w:rPr>
                <w:rFonts w:eastAsia="Calibri"/>
                <w:color w:val="auto"/>
                <w:sz w:val="18"/>
                <w:szCs w:val="18"/>
              </w:rPr>
              <w:t>Hypertension</w:t>
            </w:r>
          </w:p>
        </w:tc>
        <w:tc>
          <w:tcPr>
            <w:tcW w:w="1890" w:type="dxa"/>
            <w:gridSpan w:val="2"/>
            <w:tcBorders>
              <w:left w:val="single" w:sz="4" w:space="0" w:color="auto"/>
              <w:right w:val="thinThickThinSmallGap" w:sz="24" w:space="0" w:color="auto"/>
            </w:tcBorders>
            <w:shd w:val="clear" w:color="auto" w:fill="FFFFFF"/>
            <w:vAlign w:val="center"/>
          </w:tcPr>
          <w:p w:rsidR="00632A96" w:rsidRPr="00847CDA" w:rsidRDefault="00632A96" w:rsidP="001F7A8D">
            <w:pPr>
              <w:spacing w:line="180" w:lineRule="exact"/>
              <w:contextualSpacing/>
              <w:rPr>
                <w:color w:val="auto"/>
                <w:sz w:val="18"/>
                <w:szCs w:val="18"/>
              </w:rPr>
            </w:pPr>
            <w:r w:rsidRPr="00847CDA">
              <w:rPr>
                <w:rFonts w:eastAsia="Calibri"/>
                <w:color w:val="auto"/>
                <w:sz w:val="18"/>
                <w:szCs w:val="18"/>
              </w:rPr>
              <w:t>Not Unfitting</w:t>
            </w:r>
          </w:p>
        </w:tc>
        <w:tc>
          <w:tcPr>
            <w:tcW w:w="2700" w:type="dxa"/>
            <w:tcBorders>
              <w:top w:val="single" w:sz="4" w:space="0" w:color="auto"/>
              <w:left w:val="thinThickThinSmallGap" w:sz="24" w:space="0" w:color="auto"/>
              <w:bottom w:val="single" w:sz="4" w:space="0" w:color="auto"/>
              <w:right w:val="single" w:sz="4" w:space="0" w:color="auto"/>
            </w:tcBorders>
            <w:shd w:val="clear" w:color="auto" w:fill="FFFFFF"/>
            <w:vAlign w:val="center"/>
          </w:tcPr>
          <w:p w:rsidR="00632A96" w:rsidRPr="00847CDA" w:rsidRDefault="00632A96" w:rsidP="001F7A8D">
            <w:pPr>
              <w:spacing w:line="180" w:lineRule="exact"/>
              <w:contextualSpacing/>
              <w:jc w:val="left"/>
              <w:rPr>
                <w:rFonts w:eastAsia="Calibri"/>
                <w:color w:val="auto"/>
                <w:sz w:val="18"/>
                <w:szCs w:val="18"/>
              </w:rPr>
            </w:pPr>
            <w:r w:rsidRPr="00847CDA">
              <w:rPr>
                <w:rFonts w:eastAsia="Calibri"/>
                <w:color w:val="auto"/>
                <w:sz w:val="18"/>
                <w:szCs w:val="18"/>
              </w:rPr>
              <w:t>Hypertension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32A96" w:rsidRPr="00847CDA" w:rsidRDefault="00632A96" w:rsidP="001F7A8D">
            <w:pPr>
              <w:spacing w:line="180" w:lineRule="exact"/>
              <w:contextualSpacing/>
              <w:rPr>
                <w:rFonts w:eastAsia="Calibri"/>
                <w:color w:val="auto"/>
                <w:sz w:val="18"/>
                <w:szCs w:val="18"/>
              </w:rPr>
            </w:pPr>
            <w:r w:rsidRPr="00847CDA">
              <w:rPr>
                <w:rFonts w:eastAsia="Calibri"/>
                <w:color w:val="auto"/>
                <w:sz w:val="18"/>
                <w:szCs w:val="18"/>
              </w:rPr>
              <w:t>7101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632A96" w:rsidRPr="00847CDA" w:rsidRDefault="00632A96" w:rsidP="001F7A8D">
            <w:pPr>
              <w:spacing w:line="180" w:lineRule="exact"/>
              <w:contextualSpacing/>
              <w:rPr>
                <w:rFonts w:eastAsia="Calibri"/>
                <w:color w:val="auto"/>
                <w:sz w:val="18"/>
                <w:szCs w:val="18"/>
              </w:rPr>
            </w:pPr>
            <w:r w:rsidRPr="00847CDA">
              <w:rPr>
                <w:rFonts w:eastAsia="Calibri"/>
                <w:color w:val="auto"/>
                <w:sz w:val="18"/>
                <w:szCs w:val="18"/>
              </w:rPr>
              <w:t>NSC</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632A96" w:rsidRPr="00C654BE" w:rsidRDefault="00632A96" w:rsidP="001F7A8D">
            <w:pPr>
              <w:spacing w:line="180" w:lineRule="exact"/>
              <w:contextualSpacing/>
              <w:rPr>
                <w:rFonts w:eastAsia="Calibri"/>
                <w:color w:val="auto"/>
                <w:sz w:val="18"/>
                <w:szCs w:val="18"/>
                <w:highlight w:val="yellow"/>
              </w:rPr>
            </w:pPr>
            <w:r w:rsidRPr="00C654BE">
              <w:rPr>
                <w:rFonts w:eastAsia="Calibri"/>
                <w:color w:val="auto"/>
                <w:sz w:val="18"/>
                <w:szCs w:val="18"/>
              </w:rPr>
              <w:t>20090210</w:t>
            </w:r>
          </w:p>
        </w:tc>
      </w:tr>
      <w:tr w:rsidR="00E5603E" w:rsidRPr="00C654BE" w:rsidTr="001F7A8D">
        <w:trPr>
          <w:trHeight w:val="197"/>
          <w:jc w:val="center"/>
        </w:trPr>
        <w:tc>
          <w:tcPr>
            <w:tcW w:w="2088" w:type="dxa"/>
            <w:tcBorders>
              <w:right w:val="single" w:sz="4" w:space="0" w:color="auto"/>
            </w:tcBorders>
            <w:shd w:val="clear" w:color="auto" w:fill="FFFFFF"/>
            <w:vAlign w:val="center"/>
          </w:tcPr>
          <w:p w:rsidR="00E5603E" w:rsidRPr="00847CDA" w:rsidRDefault="00E5603E" w:rsidP="001F7A8D">
            <w:pPr>
              <w:spacing w:line="180" w:lineRule="exact"/>
              <w:contextualSpacing/>
              <w:jc w:val="left"/>
              <w:rPr>
                <w:rFonts w:eastAsia="Calibri"/>
                <w:color w:val="auto"/>
                <w:sz w:val="18"/>
                <w:szCs w:val="18"/>
              </w:rPr>
            </w:pPr>
            <w:r w:rsidRPr="00847CDA">
              <w:rPr>
                <w:rFonts w:eastAsia="Calibri"/>
                <w:color w:val="auto"/>
                <w:sz w:val="18"/>
                <w:szCs w:val="18"/>
              </w:rPr>
              <w:t>Obesity</w:t>
            </w:r>
          </w:p>
        </w:tc>
        <w:tc>
          <w:tcPr>
            <w:tcW w:w="1890" w:type="dxa"/>
            <w:gridSpan w:val="2"/>
            <w:tcBorders>
              <w:left w:val="single" w:sz="4" w:space="0" w:color="auto"/>
              <w:right w:val="thinThickThinSmallGap" w:sz="24" w:space="0" w:color="auto"/>
            </w:tcBorders>
            <w:shd w:val="clear" w:color="auto" w:fill="FFFFFF"/>
            <w:vAlign w:val="center"/>
          </w:tcPr>
          <w:p w:rsidR="00E5603E" w:rsidRPr="00847CDA" w:rsidRDefault="00E5603E" w:rsidP="001F7A8D">
            <w:pPr>
              <w:spacing w:line="180" w:lineRule="exact"/>
              <w:contextualSpacing/>
              <w:rPr>
                <w:rFonts w:eastAsia="Calibri"/>
                <w:color w:val="auto"/>
                <w:sz w:val="18"/>
                <w:szCs w:val="18"/>
              </w:rPr>
            </w:pPr>
            <w:r w:rsidRPr="00847CDA">
              <w:rPr>
                <w:rFonts w:eastAsia="Calibri"/>
                <w:color w:val="auto"/>
                <w:sz w:val="18"/>
                <w:szCs w:val="18"/>
              </w:rPr>
              <w:t>Not Unfitting</w:t>
            </w:r>
          </w:p>
        </w:tc>
        <w:tc>
          <w:tcPr>
            <w:tcW w:w="4320" w:type="dxa"/>
            <w:gridSpan w:val="3"/>
            <w:tcBorders>
              <w:top w:val="single" w:sz="4" w:space="0" w:color="auto"/>
              <w:left w:val="thinThickThinSmallGap" w:sz="24" w:space="0" w:color="auto"/>
              <w:bottom w:val="single" w:sz="4" w:space="0" w:color="auto"/>
              <w:right w:val="single" w:sz="4" w:space="0" w:color="auto"/>
            </w:tcBorders>
            <w:shd w:val="clear" w:color="auto" w:fill="FFFFFF"/>
            <w:vAlign w:val="center"/>
          </w:tcPr>
          <w:p w:rsidR="00E5603E" w:rsidRPr="00847CDA" w:rsidRDefault="003C43AC" w:rsidP="001F7A8D">
            <w:pPr>
              <w:spacing w:line="180" w:lineRule="exact"/>
              <w:contextualSpacing/>
              <w:rPr>
                <w:rFonts w:eastAsia="Calibri"/>
                <w:color w:val="auto"/>
                <w:sz w:val="18"/>
                <w:szCs w:val="18"/>
              </w:rPr>
            </w:pPr>
            <w:r w:rsidRPr="00847CDA">
              <w:rPr>
                <w:rFonts w:eastAsia="Calibri"/>
                <w:color w:val="auto"/>
                <w:sz w:val="18"/>
                <w:szCs w:val="18"/>
              </w:rPr>
              <w:t>No VA Entry</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E5603E" w:rsidRPr="00C654BE" w:rsidRDefault="003C43AC" w:rsidP="001F7A8D">
            <w:pPr>
              <w:spacing w:line="180" w:lineRule="exact"/>
              <w:contextualSpacing/>
              <w:rPr>
                <w:rFonts w:eastAsia="Calibri"/>
                <w:color w:val="auto"/>
                <w:sz w:val="18"/>
                <w:szCs w:val="18"/>
                <w:highlight w:val="yellow"/>
              </w:rPr>
            </w:pPr>
            <w:r w:rsidRPr="00C654BE">
              <w:rPr>
                <w:rFonts w:eastAsia="Calibri"/>
                <w:color w:val="auto"/>
                <w:sz w:val="18"/>
                <w:szCs w:val="18"/>
              </w:rPr>
              <w:t>200902</w:t>
            </w:r>
            <w:r w:rsidR="00856BE8" w:rsidRPr="00C654BE">
              <w:rPr>
                <w:rFonts w:eastAsia="Calibri"/>
                <w:color w:val="auto"/>
                <w:sz w:val="18"/>
                <w:szCs w:val="18"/>
              </w:rPr>
              <w:t>10</w:t>
            </w:r>
          </w:p>
        </w:tc>
      </w:tr>
      <w:tr w:rsidR="00730DBC" w:rsidRPr="00C654BE" w:rsidTr="001F7A8D">
        <w:trPr>
          <w:trHeight w:val="260"/>
          <w:jc w:val="center"/>
        </w:trPr>
        <w:tc>
          <w:tcPr>
            <w:tcW w:w="2088" w:type="dxa"/>
            <w:tcBorders>
              <w:right w:val="single" w:sz="4" w:space="0" w:color="auto"/>
            </w:tcBorders>
            <w:shd w:val="clear" w:color="auto" w:fill="FFFFFF"/>
            <w:vAlign w:val="center"/>
          </w:tcPr>
          <w:p w:rsidR="00730DBC" w:rsidRPr="00847CDA" w:rsidRDefault="00730DBC" w:rsidP="001F7A8D">
            <w:pPr>
              <w:spacing w:line="180" w:lineRule="exact"/>
              <w:contextualSpacing/>
              <w:jc w:val="left"/>
              <w:rPr>
                <w:rFonts w:eastAsia="Calibri"/>
                <w:color w:val="auto"/>
                <w:sz w:val="18"/>
                <w:szCs w:val="18"/>
              </w:rPr>
            </w:pPr>
            <w:r w:rsidRPr="00847CDA">
              <w:rPr>
                <w:rFonts w:eastAsia="Calibri"/>
                <w:color w:val="auto"/>
                <w:sz w:val="18"/>
                <w:szCs w:val="18"/>
              </w:rPr>
              <w:t>Thoracic Back Pain</w:t>
            </w:r>
          </w:p>
        </w:tc>
        <w:tc>
          <w:tcPr>
            <w:tcW w:w="1890" w:type="dxa"/>
            <w:gridSpan w:val="2"/>
            <w:tcBorders>
              <w:left w:val="single" w:sz="4" w:space="0" w:color="auto"/>
              <w:right w:val="thinThickThinSmallGap" w:sz="24" w:space="0" w:color="auto"/>
            </w:tcBorders>
            <w:shd w:val="clear" w:color="auto" w:fill="FFFFFF"/>
            <w:vAlign w:val="center"/>
          </w:tcPr>
          <w:p w:rsidR="00730DBC" w:rsidRPr="00847CDA" w:rsidRDefault="00730DBC" w:rsidP="001F7A8D">
            <w:pPr>
              <w:spacing w:line="180" w:lineRule="exact"/>
              <w:contextualSpacing/>
              <w:rPr>
                <w:rFonts w:eastAsia="Calibri"/>
                <w:color w:val="auto"/>
                <w:sz w:val="18"/>
                <w:szCs w:val="18"/>
              </w:rPr>
            </w:pPr>
            <w:r w:rsidRPr="00847CDA">
              <w:rPr>
                <w:rFonts w:eastAsia="Calibri"/>
                <w:color w:val="auto"/>
                <w:sz w:val="18"/>
                <w:szCs w:val="18"/>
              </w:rPr>
              <w:t>Not Unfitting</w:t>
            </w:r>
          </w:p>
        </w:tc>
        <w:tc>
          <w:tcPr>
            <w:tcW w:w="2700" w:type="dxa"/>
            <w:tcBorders>
              <w:top w:val="single" w:sz="4" w:space="0" w:color="auto"/>
              <w:left w:val="thinThickThinSmallGap" w:sz="24" w:space="0" w:color="auto"/>
              <w:bottom w:val="single" w:sz="4" w:space="0" w:color="auto"/>
              <w:right w:val="single" w:sz="4" w:space="0" w:color="auto"/>
            </w:tcBorders>
            <w:shd w:val="clear" w:color="auto" w:fill="FFFFFF"/>
            <w:vAlign w:val="center"/>
          </w:tcPr>
          <w:p w:rsidR="00730DBC" w:rsidRPr="00847CDA" w:rsidRDefault="00730DBC" w:rsidP="001F7A8D">
            <w:pPr>
              <w:spacing w:line="180" w:lineRule="exact"/>
              <w:contextualSpacing/>
              <w:jc w:val="left"/>
              <w:rPr>
                <w:rFonts w:eastAsia="Calibri"/>
                <w:color w:val="auto"/>
                <w:sz w:val="18"/>
                <w:szCs w:val="18"/>
              </w:rPr>
            </w:pPr>
            <w:r w:rsidRPr="00847CDA">
              <w:rPr>
                <w:rFonts w:eastAsia="Calibri"/>
                <w:color w:val="auto"/>
                <w:sz w:val="18"/>
                <w:szCs w:val="18"/>
              </w:rPr>
              <w:t>Back Injury</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30DBC" w:rsidRPr="00847CDA" w:rsidRDefault="00730DBC" w:rsidP="001F7A8D">
            <w:pPr>
              <w:spacing w:line="180" w:lineRule="exact"/>
              <w:contextualSpacing/>
              <w:rPr>
                <w:rFonts w:eastAsia="Calibri"/>
                <w:color w:val="auto"/>
                <w:sz w:val="18"/>
                <w:szCs w:val="18"/>
              </w:rPr>
            </w:pPr>
            <w:r w:rsidRPr="00847CDA">
              <w:rPr>
                <w:rFonts w:eastAsia="Calibri"/>
                <w:color w:val="auto"/>
                <w:sz w:val="18"/>
                <w:szCs w:val="18"/>
              </w:rPr>
              <w:t>5237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30DBC" w:rsidRPr="00847CDA" w:rsidRDefault="00730DBC" w:rsidP="001F7A8D">
            <w:pPr>
              <w:spacing w:line="180" w:lineRule="exact"/>
              <w:contextualSpacing/>
              <w:rPr>
                <w:rFonts w:eastAsia="Calibri"/>
                <w:color w:val="auto"/>
                <w:sz w:val="18"/>
                <w:szCs w:val="18"/>
              </w:rPr>
            </w:pPr>
            <w:r w:rsidRPr="00847CDA">
              <w:rPr>
                <w:rFonts w:eastAsia="Calibri"/>
                <w:color w:val="auto"/>
                <w:sz w:val="18"/>
                <w:szCs w:val="18"/>
              </w:rPr>
              <w:t>NSC</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730DBC" w:rsidRPr="00C654BE" w:rsidRDefault="00730DBC" w:rsidP="001F7A8D">
            <w:pPr>
              <w:spacing w:line="180" w:lineRule="exact"/>
              <w:contextualSpacing/>
              <w:rPr>
                <w:rFonts w:eastAsia="Calibri"/>
                <w:color w:val="auto"/>
                <w:sz w:val="18"/>
                <w:szCs w:val="18"/>
              </w:rPr>
            </w:pPr>
            <w:r w:rsidRPr="00C654BE">
              <w:rPr>
                <w:rFonts w:eastAsia="Calibri"/>
                <w:color w:val="auto"/>
                <w:sz w:val="18"/>
                <w:szCs w:val="18"/>
              </w:rPr>
              <w:t>20090205</w:t>
            </w:r>
          </w:p>
        </w:tc>
      </w:tr>
      <w:tr w:rsidR="003C43AC" w:rsidRPr="00C654BE" w:rsidTr="001F7A8D">
        <w:trPr>
          <w:trHeight w:val="233"/>
          <w:jc w:val="center"/>
        </w:trPr>
        <w:tc>
          <w:tcPr>
            <w:tcW w:w="3978" w:type="dxa"/>
            <w:gridSpan w:val="3"/>
            <w:tcBorders>
              <w:bottom w:val="single" w:sz="4" w:space="0" w:color="000000"/>
              <w:right w:val="thinThickThinSmallGap" w:sz="24" w:space="0" w:color="auto"/>
            </w:tcBorders>
            <w:shd w:val="clear" w:color="auto" w:fill="FFFFFF"/>
            <w:vAlign w:val="center"/>
          </w:tcPr>
          <w:p w:rsidR="003C43AC" w:rsidRPr="00847CDA" w:rsidRDefault="003C43AC" w:rsidP="001F7A8D">
            <w:pPr>
              <w:spacing w:line="180" w:lineRule="exact"/>
              <w:contextualSpacing/>
              <w:rPr>
                <w:color w:val="auto"/>
                <w:sz w:val="18"/>
                <w:szCs w:val="18"/>
              </w:rPr>
            </w:pPr>
            <w:r w:rsidRPr="00847CDA">
              <w:rPr>
                <w:rFonts w:eastAsia="Calibri"/>
                <w:color w:val="auto"/>
                <w:sz w:val="18"/>
                <w:szCs w:val="18"/>
              </w:rPr>
              <w:t>↓No Additional MEB/PEB Entries↓</w:t>
            </w:r>
          </w:p>
        </w:tc>
        <w:tc>
          <w:tcPr>
            <w:tcW w:w="4320" w:type="dxa"/>
            <w:gridSpan w:val="3"/>
            <w:tcBorders>
              <w:top w:val="single" w:sz="4" w:space="0" w:color="auto"/>
              <w:left w:val="thinThickThinSmallGap" w:sz="24" w:space="0" w:color="auto"/>
              <w:bottom w:val="single" w:sz="4" w:space="0" w:color="000000"/>
              <w:right w:val="single" w:sz="4" w:space="0" w:color="auto"/>
            </w:tcBorders>
            <w:shd w:val="clear" w:color="auto" w:fill="FFFFFF"/>
            <w:vAlign w:val="center"/>
          </w:tcPr>
          <w:p w:rsidR="003C43AC" w:rsidRPr="00847CDA" w:rsidRDefault="00356497" w:rsidP="001F7A8D">
            <w:pPr>
              <w:spacing w:line="180" w:lineRule="exact"/>
              <w:contextualSpacing/>
              <w:rPr>
                <w:color w:val="auto"/>
                <w:sz w:val="18"/>
                <w:szCs w:val="18"/>
              </w:rPr>
            </w:pPr>
            <w:r>
              <w:rPr>
                <w:rFonts w:eastAsia="Calibri"/>
                <w:color w:val="auto"/>
                <w:sz w:val="18"/>
                <w:szCs w:val="18"/>
              </w:rPr>
              <w:t>0% x 1/Not Service-</w:t>
            </w:r>
            <w:r w:rsidR="003C43AC" w:rsidRPr="00847CDA">
              <w:rPr>
                <w:rFonts w:eastAsia="Calibri"/>
                <w:color w:val="auto"/>
                <w:sz w:val="18"/>
                <w:szCs w:val="18"/>
              </w:rPr>
              <w:t xml:space="preserve">Connected x </w:t>
            </w:r>
            <w:r w:rsidR="003E509C" w:rsidRPr="00847CDA">
              <w:rPr>
                <w:rFonts w:eastAsia="Calibri"/>
                <w:color w:val="auto"/>
                <w:sz w:val="18"/>
                <w:szCs w:val="18"/>
              </w:rPr>
              <w:t>6</w:t>
            </w:r>
          </w:p>
        </w:tc>
        <w:tc>
          <w:tcPr>
            <w:tcW w:w="1080" w:type="dxa"/>
            <w:gridSpan w:val="2"/>
            <w:tcBorders>
              <w:top w:val="single" w:sz="4" w:space="0" w:color="auto"/>
              <w:left w:val="single" w:sz="4" w:space="0" w:color="auto"/>
              <w:bottom w:val="single" w:sz="4" w:space="0" w:color="000000"/>
            </w:tcBorders>
            <w:shd w:val="clear" w:color="auto" w:fill="FFFFFF"/>
            <w:vAlign w:val="center"/>
          </w:tcPr>
          <w:p w:rsidR="003C43AC" w:rsidRPr="00C654BE" w:rsidRDefault="003C43AC" w:rsidP="001F7A8D">
            <w:pPr>
              <w:spacing w:line="180" w:lineRule="exact"/>
              <w:contextualSpacing/>
              <w:rPr>
                <w:rFonts w:eastAsia="Calibri"/>
                <w:color w:val="auto"/>
                <w:sz w:val="18"/>
                <w:szCs w:val="18"/>
              </w:rPr>
            </w:pPr>
            <w:r w:rsidRPr="00C654BE">
              <w:rPr>
                <w:rFonts w:eastAsia="Calibri"/>
                <w:color w:val="auto"/>
                <w:sz w:val="18"/>
                <w:szCs w:val="18"/>
              </w:rPr>
              <w:t>200902</w:t>
            </w:r>
            <w:r w:rsidR="00856BE8" w:rsidRPr="00C654BE">
              <w:rPr>
                <w:rFonts w:eastAsia="Calibri"/>
                <w:color w:val="auto"/>
                <w:sz w:val="18"/>
                <w:szCs w:val="18"/>
              </w:rPr>
              <w:t>10</w:t>
            </w:r>
          </w:p>
        </w:tc>
      </w:tr>
      <w:tr w:rsidR="00E5603E" w:rsidRPr="00C654BE" w:rsidTr="000D22F6">
        <w:trPr>
          <w:trHeight w:val="242"/>
          <w:jc w:val="center"/>
        </w:trPr>
        <w:tc>
          <w:tcPr>
            <w:tcW w:w="3978" w:type="dxa"/>
            <w:gridSpan w:val="3"/>
            <w:tcBorders>
              <w:right w:val="thinThickThinSmallGap" w:sz="24" w:space="0" w:color="auto"/>
            </w:tcBorders>
            <w:shd w:val="clear" w:color="auto" w:fill="D9D9D9"/>
            <w:vAlign w:val="center"/>
          </w:tcPr>
          <w:p w:rsidR="00E5603E" w:rsidRPr="00C654BE" w:rsidRDefault="00E5603E" w:rsidP="007636AE">
            <w:pPr>
              <w:spacing w:line="180" w:lineRule="exact"/>
              <w:contextualSpacing/>
              <w:rPr>
                <w:rFonts w:eastAsia="Calibri"/>
                <w:b/>
                <w:color w:val="auto"/>
                <w:sz w:val="18"/>
                <w:szCs w:val="18"/>
              </w:rPr>
            </w:pPr>
            <w:r w:rsidRPr="00C654BE">
              <w:rPr>
                <w:rFonts w:eastAsia="Calibri"/>
                <w:b/>
                <w:color w:val="auto"/>
                <w:sz w:val="18"/>
                <w:szCs w:val="18"/>
              </w:rPr>
              <w:t>Combined:  20%</w:t>
            </w:r>
          </w:p>
        </w:tc>
        <w:tc>
          <w:tcPr>
            <w:tcW w:w="5400" w:type="dxa"/>
            <w:gridSpan w:val="5"/>
            <w:tcBorders>
              <w:left w:val="thinThickThinSmallGap" w:sz="24" w:space="0" w:color="auto"/>
            </w:tcBorders>
            <w:shd w:val="clear" w:color="auto" w:fill="D9D9D9"/>
            <w:vAlign w:val="center"/>
          </w:tcPr>
          <w:p w:rsidR="00E5603E" w:rsidRPr="00C654BE" w:rsidRDefault="00E5603E" w:rsidP="007636AE">
            <w:pPr>
              <w:spacing w:line="180" w:lineRule="exact"/>
              <w:contextualSpacing/>
              <w:rPr>
                <w:rFonts w:eastAsia="Calibri"/>
                <w:b/>
                <w:color w:val="auto"/>
                <w:sz w:val="18"/>
                <w:szCs w:val="18"/>
              </w:rPr>
            </w:pPr>
            <w:r w:rsidRPr="00C654BE">
              <w:rPr>
                <w:rFonts w:eastAsia="Calibri"/>
                <w:b/>
                <w:color w:val="auto"/>
                <w:sz w:val="18"/>
                <w:szCs w:val="18"/>
              </w:rPr>
              <w:t>Combined:  40%</w:t>
            </w:r>
          </w:p>
        </w:tc>
      </w:tr>
    </w:tbl>
    <w:p w:rsidR="00A97CD9" w:rsidRPr="00C654BE" w:rsidRDefault="00A97CD9" w:rsidP="00A97CD9">
      <w:pPr>
        <w:pBdr>
          <w:bottom w:val="single" w:sz="12" w:space="1" w:color="auto"/>
        </w:pBdr>
        <w:tabs>
          <w:tab w:val="left" w:pos="288"/>
          <w:tab w:val="left" w:pos="4752"/>
        </w:tabs>
        <w:jc w:val="both"/>
        <w:rPr>
          <w:color w:val="auto"/>
          <w:szCs w:val="24"/>
        </w:rPr>
      </w:pPr>
    </w:p>
    <w:p w:rsidR="009369A6" w:rsidRPr="001F29F9" w:rsidRDefault="009369A6" w:rsidP="00E267B4">
      <w:pPr>
        <w:jc w:val="left"/>
        <w:rPr>
          <w:color w:val="000000"/>
        </w:rPr>
      </w:pPr>
    </w:p>
    <w:p w:rsidR="00BF616F" w:rsidRPr="00325B6E" w:rsidRDefault="002C6E5B" w:rsidP="00241EE5">
      <w:pPr>
        <w:jc w:val="both"/>
        <w:rPr>
          <w:color w:val="auto"/>
          <w:szCs w:val="24"/>
        </w:rPr>
      </w:pPr>
      <w:r w:rsidRPr="001F29F9">
        <w:rPr>
          <w:color w:val="000000"/>
          <w:szCs w:val="24"/>
          <w:u w:val="single"/>
        </w:rPr>
        <w:t>ANALYSIS SUMMARY</w:t>
      </w:r>
      <w:r w:rsidRPr="001F29F9">
        <w:rPr>
          <w:color w:val="000000"/>
          <w:szCs w:val="24"/>
        </w:rPr>
        <w:t>:</w:t>
      </w:r>
      <w:r w:rsidR="00881088">
        <w:rPr>
          <w:color w:val="000000"/>
          <w:szCs w:val="24"/>
        </w:rPr>
        <w:t xml:space="preserve"> </w:t>
      </w:r>
      <w:r w:rsidR="00325B6E">
        <w:rPr>
          <w:color w:val="000000"/>
          <w:szCs w:val="24"/>
        </w:rPr>
        <w:t xml:space="preserve"> </w:t>
      </w:r>
      <w:r w:rsidR="00DD4046" w:rsidRPr="00325B6E">
        <w:rPr>
          <w:color w:val="auto"/>
          <w:szCs w:val="24"/>
        </w:rPr>
        <w:t xml:space="preserve">The Board acknowledges the sentiment expressed in the CI’s application regarding the significant impairment with which his service-incurred condition </w:t>
      </w:r>
      <w:r w:rsidR="00151439">
        <w:rPr>
          <w:color w:val="auto"/>
          <w:szCs w:val="24"/>
        </w:rPr>
        <w:t>had</w:t>
      </w:r>
      <w:r w:rsidR="00DD4046" w:rsidRPr="00325B6E">
        <w:rPr>
          <w:color w:val="auto"/>
          <w:szCs w:val="24"/>
        </w:rPr>
        <w:t xml:space="preserve"> burden</w:t>
      </w:r>
      <w:r w:rsidR="00151439">
        <w:rPr>
          <w:color w:val="auto"/>
          <w:szCs w:val="24"/>
        </w:rPr>
        <w:t>ed</w:t>
      </w:r>
      <w:r w:rsidR="00DD4046" w:rsidRPr="00325B6E">
        <w:rPr>
          <w:color w:val="auto"/>
          <w:szCs w:val="24"/>
        </w:rPr>
        <w:t xml:space="preserve"> him. </w:t>
      </w:r>
      <w:r w:rsidR="00325B6E">
        <w:rPr>
          <w:color w:val="auto"/>
          <w:szCs w:val="24"/>
        </w:rPr>
        <w:t xml:space="preserve"> </w:t>
      </w:r>
      <w:r w:rsidR="00DD4046" w:rsidRPr="00325B6E">
        <w:rPr>
          <w:color w:val="auto"/>
          <w:szCs w:val="24"/>
        </w:rPr>
        <w:t xml:space="preserve">The Board wishes to clarify that it is subject to the same laws for service disability entitlements as those under which the Disability Evaluation System (DES) operates. </w:t>
      </w:r>
      <w:r w:rsidR="00325B6E">
        <w:rPr>
          <w:color w:val="auto"/>
          <w:szCs w:val="24"/>
        </w:rPr>
        <w:t xml:space="preserve"> </w:t>
      </w:r>
      <w:r w:rsidR="00DD4046" w:rsidRPr="00325B6E">
        <w:rPr>
          <w:color w:val="auto"/>
          <w:szCs w:val="24"/>
        </w:rPr>
        <w:t xml:space="preserve">The DES has neither the role nor the authority to compensate service members for anticipated future severity or potential complications of conditions resulting in medical separation. </w:t>
      </w:r>
      <w:r w:rsidR="00325B6E">
        <w:rPr>
          <w:color w:val="auto"/>
          <w:szCs w:val="24"/>
        </w:rPr>
        <w:t xml:space="preserve"> </w:t>
      </w:r>
      <w:r w:rsidR="00DD4046" w:rsidRPr="00325B6E">
        <w:rPr>
          <w:color w:val="auto"/>
          <w:szCs w:val="24"/>
        </w:rPr>
        <w:t>That role and authority is granted by Congress to the Department of Veteran</w:t>
      </w:r>
      <w:r w:rsidR="00356497">
        <w:rPr>
          <w:color w:val="auto"/>
          <w:szCs w:val="24"/>
        </w:rPr>
        <w:t>s’</w:t>
      </w:r>
      <w:r w:rsidR="00DD4046" w:rsidRPr="00325B6E">
        <w:rPr>
          <w:color w:val="auto"/>
          <w:szCs w:val="24"/>
        </w:rPr>
        <w:t xml:space="preserve"> Affairs (DVA), operating under a different set of laws (Title 38, United States Code). </w:t>
      </w:r>
      <w:r w:rsidR="00325B6E">
        <w:rPr>
          <w:color w:val="auto"/>
          <w:szCs w:val="24"/>
        </w:rPr>
        <w:t xml:space="preserve"> </w:t>
      </w:r>
      <w:r w:rsidR="00DD4046" w:rsidRPr="00325B6E">
        <w:rPr>
          <w:color w:val="auto"/>
          <w:szCs w:val="24"/>
        </w:rPr>
        <w:t xml:space="preserve">The Board evaluates </w:t>
      </w:r>
      <w:r w:rsidR="00356497">
        <w:rPr>
          <w:color w:val="auto"/>
          <w:szCs w:val="24"/>
        </w:rPr>
        <w:t>D</w:t>
      </w:r>
      <w:r w:rsidR="00DD4046" w:rsidRPr="00325B6E">
        <w:rPr>
          <w:color w:val="auto"/>
          <w:szCs w:val="24"/>
        </w:rPr>
        <w:t xml:space="preserve">VA evidence proximal to separation in arriving at its recommendations, but its authority resides in evaluating the fairness of DES fitness decisions and rating determinations for disability at the time of separation.  The Board also acknowledges the CI's contention suggesting that service ratings should have been conferred for other conditions documented at the time of separation. </w:t>
      </w:r>
      <w:r w:rsidR="00325B6E">
        <w:rPr>
          <w:color w:val="auto"/>
          <w:szCs w:val="24"/>
        </w:rPr>
        <w:t xml:space="preserve"> </w:t>
      </w:r>
      <w:r w:rsidR="00DD4046" w:rsidRPr="00325B6E">
        <w:rPr>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356497">
        <w:rPr>
          <w:color w:val="auto"/>
          <w:szCs w:val="24"/>
        </w:rPr>
        <w:t>empowered to compensate service-</w:t>
      </w:r>
      <w:r w:rsidR="00DD4046" w:rsidRPr="00325B6E">
        <w:rPr>
          <w:color w:val="auto"/>
          <w:szCs w:val="24"/>
        </w:rPr>
        <w:t xml:space="preserve">connected conditions and to periodically re-evaluate said conditions for the purpose of adjusting the </w:t>
      </w:r>
      <w:r w:rsidR="00356497">
        <w:rPr>
          <w:color w:val="auto"/>
          <w:szCs w:val="24"/>
        </w:rPr>
        <w:t>V</w:t>
      </w:r>
      <w:r w:rsidR="00DD4046" w:rsidRPr="00325B6E">
        <w:rPr>
          <w:color w:val="auto"/>
          <w:szCs w:val="24"/>
        </w:rPr>
        <w:t xml:space="preserve">eteran’s disability rating should </w:t>
      </w:r>
      <w:r w:rsidR="00424BBA">
        <w:rPr>
          <w:color w:val="auto"/>
          <w:szCs w:val="24"/>
        </w:rPr>
        <w:t>the</w:t>
      </w:r>
      <w:r w:rsidR="00DD4046" w:rsidRPr="00325B6E">
        <w:rPr>
          <w:color w:val="auto"/>
          <w:szCs w:val="24"/>
        </w:rPr>
        <w:t xml:space="preserve"> degree of impairment vary over time.  </w:t>
      </w:r>
    </w:p>
    <w:p w:rsidR="00241EE5" w:rsidRDefault="00241EE5" w:rsidP="00241EE5">
      <w:pPr>
        <w:jc w:val="both"/>
        <w:rPr>
          <w:color w:val="000000"/>
          <w:szCs w:val="24"/>
          <w:u w:val="single"/>
        </w:rPr>
      </w:pPr>
    </w:p>
    <w:p w:rsidR="00F609B8" w:rsidRPr="00072588" w:rsidRDefault="00DD4046" w:rsidP="007B2CAC">
      <w:pPr>
        <w:jc w:val="both"/>
        <w:rPr>
          <w:color w:val="auto"/>
          <w:szCs w:val="24"/>
        </w:rPr>
      </w:pPr>
      <w:proofErr w:type="gramStart"/>
      <w:r>
        <w:rPr>
          <w:color w:val="000000"/>
          <w:szCs w:val="24"/>
          <w:u w:val="single"/>
        </w:rPr>
        <w:t>Left Shoulder Pain</w:t>
      </w:r>
      <w:r w:rsidRPr="00DD4046">
        <w:rPr>
          <w:color w:val="000000"/>
          <w:szCs w:val="24"/>
        </w:rPr>
        <w:t>.</w:t>
      </w:r>
      <w:proofErr w:type="gramEnd"/>
      <w:r w:rsidRPr="00DD4046">
        <w:rPr>
          <w:color w:val="000000"/>
          <w:szCs w:val="24"/>
        </w:rPr>
        <w:t xml:space="preserve">  </w:t>
      </w:r>
      <w:r w:rsidR="00325B6E">
        <w:rPr>
          <w:color w:val="000000"/>
          <w:szCs w:val="24"/>
        </w:rPr>
        <w:t xml:space="preserve">The CI </w:t>
      </w:r>
      <w:r w:rsidR="00325B6E" w:rsidRPr="00847CDA">
        <w:rPr>
          <w:color w:val="000000"/>
          <w:szCs w:val="24"/>
        </w:rPr>
        <w:t>was left hand dominant.  He</w:t>
      </w:r>
      <w:r w:rsidRPr="00847CDA">
        <w:rPr>
          <w:color w:val="000000"/>
          <w:szCs w:val="24"/>
        </w:rPr>
        <w:t xml:space="preserve"> </w:t>
      </w:r>
      <w:r w:rsidR="00BE077B" w:rsidRPr="00847CDA">
        <w:rPr>
          <w:color w:val="000000"/>
          <w:szCs w:val="24"/>
        </w:rPr>
        <w:t>injured his</w:t>
      </w:r>
      <w:r w:rsidRPr="00847CDA">
        <w:rPr>
          <w:color w:val="000000"/>
          <w:szCs w:val="24"/>
        </w:rPr>
        <w:t xml:space="preserve"> left shoulder during combative training exercises in July 2007.  </w:t>
      </w:r>
      <w:r w:rsidR="002B56C4" w:rsidRPr="00847CDA">
        <w:rPr>
          <w:color w:val="000000"/>
          <w:szCs w:val="24"/>
        </w:rPr>
        <w:t>His pain persisted despite physical therapy and he was subsequently diagnosed with a complete tear of the left rotator cuff.</w:t>
      </w:r>
      <w:r w:rsidR="002B56C4">
        <w:rPr>
          <w:color w:val="000000"/>
          <w:szCs w:val="24"/>
        </w:rPr>
        <w:t xml:space="preserve">  Following arthroscopic repair of the left rotator cuff in October 2007, the CI had significant improvement </w:t>
      </w:r>
      <w:r w:rsidR="002B56C4" w:rsidRPr="00847CDA">
        <w:rPr>
          <w:color w:val="000000"/>
          <w:szCs w:val="24"/>
        </w:rPr>
        <w:t>in his range of motion</w:t>
      </w:r>
      <w:r w:rsidR="00F609B8" w:rsidRPr="00847CDA">
        <w:rPr>
          <w:color w:val="000000"/>
          <w:szCs w:val="24"/>
        </w:rPr>
        <w:t xml:space="preserve">.  The </w:t>
      </w:r>
      <w:r w:rsidR="00356497">
        <w:rPr>
          <w:color w:val="000000"/>
          <w:szCs w:val="24"/>
        </w:rPr>
        <w:t>narrative summary (</w:t>
      </w:r>
      <w:r w:rsidR="00F609B8" w:rsidRPr="00847CDA">
        <w:rPr>
          <w:color w:val="000000"/>
          <w:szCs w:val="24"/>
        </w:rPr>
        <w:t>NARSUM</w:t>
      </w:r>
      <w:r w:rsidR="00356497">
        <w:rPr>
          <w:color w:val="000000"/>
          <w:szCs w:val="24"/>
        </w:rPr>
        <w:t>)</w:t>
      </w:r>
      <w:r w:rsidR="00F609B8" w:rsidRPr="00847CDA">
        <w:rPr>
          <w:color w:val="000000"/>
          <w:szCs w:val="24"/>
        </w:rPr>
        <w:t xml:space="preserve"> indicated </w:t>
      </w:r>
      <w:r w:rsidR="00F609B8" w:rsidRPr="00847CDA">
        <w:rPr>
          <w:color w:val="auto"/>
          <w:szCs w:val="24"/>
        </w:rPr>
        <w:t>“</w:t>
      </w:r>
      <w:r w:rsidR="00356497">
        <w:rPr>
          <w:color w:val="auto"/>
          <w:szCs w:val="24"/>
        </w:rPr>
        <w:t>h</w:t>
      </w:r>
      <w:r w:rsidR="00F609B8" w:rsidRPr="00847CDA">
        <w:rPr>
          <w:color w:val="auto"/>
          <w:szCs w:val="24"/>
        </w:rPr>
        <w:t>e still has pain in his left shoulder and says he feels pain with any attempts at doing exercises above shoulder height with his left arm.  He says also that he notices he has f</w:t>
      </w:r>
      <w:r w:rsidR="00356497">
        <w:rPr>
          <w:color w:val="auto"/>
          <w:szCs w:val="24"/>
        </w:rPr>
        <w:t>airly good range-of-</w:t>
      </w:r>
      <w:r w:rsidR="00F609B8" w:rsidRPr="00847CDA">
        <w:rPr>
          <w:color w:val="auto"/>
          <w:szCs w:val="24"/>
        </w:rPr>
        <w:t xml:space="preserve">motion </w:t>
      </w:r>
      <w:r w:rsidR="00356497">
        <w:rPr>
          <w:color w:val="auto"/>
          <w:szCs w:val="24"/>
        </w:rPr>
        <w:t xml:space="preserve">(ROM) </w:t>
      </w:r>
      <w:r w:rsidR="00F609B8" w:rsidRPr="00847CDA">
        <w:rPr>
          <w:color w:val="auto"/>
          <w:szCs w:val="24"/>
        </w:rPr>
        <w:t>but it does hurt when</w:t>
      </w:r>
      <w:r w:rsidR="00F609B8" w:rsidRPr="00072588">
        <w:rPr>
          <w:color w:val="auto"/>
          <w:szCs w:val="24"/>
        </w:rPr>
        <w:t xml:space="preserve"> he performs range of motion exercises</w:t>
      </w:r>
      <w:r w:rsidR="00F609B8">
        <w:rPr>
          <w:color w:val="auto"/>
          <w:szCs w:val="24"/>
        </w:rPr>
        <w:t xml:space="preserve">.”  </w:t>
      </w:r>
    </w:p>
    <w:p w:rsidR="00F609B8" w:rsidRDefault="00F609B8" w:rsidP="003E509C">
      <w:pPr>
        <w:jc w:val="both"/>
        <w:rPr>
          <w:color w:val="000000"/>
          <w:szCs w:val="24"/>
        </w:rPr>
      </w:pPr>
    </w:p>
    <w:p w:rsidR="002B56C4" w:rsidRDefault="00F13FF2" w:rsidP="00424BBA">
      <w:pPr>
        <w:jc w:val="both"/>
        <w:rPr>
          <w:color w:val="000000"/>
          <w:szCs w:val="24"/>
        </w:rPr>
      </w:pPr>
      <w:r w:rsidRPr="00F13FF2">
        <w:rPr>
          <w:color w:val="000000"/>
          <w:szCs w:val="24"/>
        </w:rPr>
        <w:t xml:space="preserve">There were </w:t>
      </w:r>
      <w:r w:rsidR="002B56C4">
        <w:rPr>
          <w:color w:val="000000"/>
          <w:szCs w:val="24"/>
        </w:rPr>
        <w:t>t</w:t>
      </w:r>
      <w:r w:rsidR="008D10D0">
        <w:rPr>
          <w:color w:val="000000"/>
          <w:szCs w:val="24"/>
        </w:rPr>
        <w:t>hree</w:t>
      </w:r>
      <w:r w:rsidRPr="00F13FF2">
        <w:rPr>
          <w:color w:val="000000"/>
          <w:szCs w:val="24"/>
        </w:rPr>
        <w:t xml:space="preserve"> </w:t>
      </w:r>
      <w:r w:rsidR="002B56C4">
        <w:rPr>
          <w:color w:val="000000"/>
          <w:szCs w:val="24"/>
        </w:rPr>
        <w:t xml:space="preserve">comprehensive shoulder evaluations, </w:t>
      </w:r>
      <w:r w:rsidR="008D10D0">
        <w:rPr>
          <w:color w:val="000000"/>
          <w:szCs w:val="24"/>
        </w:rPr>
        <w:t xml:space="preserve">two </w:t>
      </w:r>
      <w:r w:rsidR="002B56C4">
        <w:rPr>
          <w:color w:val="000000"/>
          <w:szCs w:val="24"/>
        </w:rPr>
        <w:t xml:space="preserve">with </w:t>
      </w:r>
      <w:r w:rsidR="00356497">
        <w:rPr>
          <w:color w:val="000000"/>
          <w:szCs w:val="24"/>
        </w:rPr>
        <w:t>ROM</w:t>
      </w:r>
      <w:r w:rsidR="00881088" w:rsidRPr="00F13FF2">
        <w:rPr>
          <w:color w:val="000000"/>
          <w:szCs w:val="24"/>
        </w:rPr>
        <w:t xml:space="preserve"> </w:t>
      </w:r>
      <w:r w:rsidR="002B56C4">
        <w:rPr>
          <w:color w:val="000000"/>
          <w:szCs w:val="24"/>
        </w:rPr>
        <w:t xml:space="preserve">measurements, in evidence </w:t>
      </w:r>
      <w:r w:rsidR="00881088" w:rsidRPr="00F13FF2">
        <w:rPr>
          <w:color w:val="000000"/>
          <w:szCs w:val="24"/>
        </w:rPr>
        <w:t>which the Board weighed in arriving at its rating recommendation</w:t>
      </w:r>
      <w:r w:rsidR="0096288B" w:rsidRPr="00F13FF2">
        <w:rPr>
          <w:color w:val="000000"/>
          <w:szCs w:val="24"/>
        </w:rPr>
        <w:t>.</w:t>
      </w:r>
      <w:r w:rsidR="002B56C4">
        <w:rPr>
          <w:color w:val="000000"/>
          <w:szCs w:val="24"/>
        </w:rPr>
        <w:t xml:space="preserve">  </w:t>
      </w:r>
      <w:r w:rsidR="008D10D0">
        <w:rPr>
          <w:color w:val="000000"/>
          <w:szCs w:val="24"/>
        </w:rPr>
        <w:t xml:space="preserve">These examinations were an orthopedics post-operative evaluation, the MEB </w:t>
      </w:r>
      <w:r w:rsidR="00356497">
        <w:rPr>
          <w:color w:val="000000"/>
          <w:szCs w:val="24"/>
        </w:rPr>
        <w:t xml:space="preserve">NARSUM </w:t>
      </w:r>
      <w:r w:rsidR="008D10D0">
        <w:rPr>
          <w:color w:val="000000"/>
          <w:szCs w:val="24"/>
        </w:rPr>
        <w:t xml:space="preserve">exam (with </w:t>
      </w:r>
      <w:r w:rsidR="00356497">
        <w:rPr>
          <w:color w:val="000000"/>
          <w:szCs w:val="24"/>
        </w:rPr>
        <w:t>p</w:t>
      </w:r>
      <w:r w:rsidR="008D10D0">
        <w:rPr>
          <w:color w:val="000000"/>
          <w:szCs w:val="24"/>
        </w:rPr>
        <w:t xml:space="preserve">hysical </w:t>
      </w:r>
      <w:r w:rsidR="00356497">
        <w:rPr>
          <w:color w:val="000000"/>
          <w:szCs w:val="24"/>
        </w:rPr>
        <w:t>t</w:t>
      </w:r>
      <w:r w:rsidR="008D10D0">
        <w:rPr>
          <w:color w:val="000000"/>
          <w:szCs w:val="24"/>
        </w:rPr>
        <w:t>he</w:t>
      </w:r>
      <w:r w:rsidR="00356497">
        <w:rPr>
          <w:color w:val="000000"/>
          <w:szCs w:val="24"/>
        </w:rPr>
        <w:t xml:space="preserve">rapy ROM measurements) and the </w:t>
      </w:r>
      <w:r w:rsidR="008D10D0">
        <w:rPr>
          <w:color w:val="000000"/>
          <w:szCs w:val="24"/>
        </w:rPr>
        <w:t xml:space="preserve">VA </w:t>
      </w:r>
      <w:r w:rsidR="00356497">
        <w:rPr>
          <w:color w:val="000000"/>
          <w:szCs w:val="24"/>
        </w:rPr>
        <w:t>C</w:t>
      </w:r>
      <w:r w:rsidR="008D10D0">
        <w:rPr>
          <w:color w:val="000000"/>
          <w:szCs w:val="24"/>
        </w:rPr>
        <w:t xml:space="preserve">ompensation and </w:t>
      </w:r>
      <w:r w:rsidR="00356497">
        <w:rPr>
          <w:color w:val="000000"/>
          <w:szCs w:val="24"/>
        </w:rPr>
        <w:t>P</w:t>
      </w:r>
      <w:r w:rsidR="008D10D0">
        <w:rPr>
          <w:color w:val="000000"/>
          <w:szCs w:val="24"/>
        </w:rPr>
        <w:t xml:space="preserve">ension (C&amp;P) exam.  </w:t>
      </w:r>
      <w:r w:rsidR="002B56C4">
        <w:rPr>
          <w:color w:val="000000"/>
          <w:szCs w:val="24"/>
        </w:rPr>
        <w:t>The exam findings are summarized in the chart below.</w:t>
      </w:r>
      <w:r w:rsidR="00424BBA">
        <w:rPr>
          <w:color w:val="000000"/>
          <w:szCs w:val="24"/>
        </w:rPr>
        <w:t xml:space="preserve">  </w:t>
      </w:r>
    </w:p>
    <w:p w:rsidR="00F609B8" w:rsidRDefault="00F609B8" w:rsidP="00424BBA">
      <w:pPr>
        <w:jc w:val="both"/>
        <w:rPr>
          <w:color w:val="000000"/>
          <w:szCs w:val="24"/>
          <w:highlight w:val="yellow"/>
        </w:rPr>
      </w:pPr>
    </w:p>
    <w:p w:rsidR="007B2CAC" w:rsidRDefault="007B2CAC" w:rsidP="00424BBA">
      <w:pPr>
        <w:jc w:val="both"/>
        <w:rPr>
          <w:color w:val="000000"/>
          <w:szCs w:val="24"/>
          <w:highlight w:val="yellow"/>
        </w:rPr>
      </w:pPr>
    </w:p>
    <w:p w:rsidR="007B2CAC" w:rsidRDefault="007B2CAC" w:rsidP="00424BBA">
      <w:pPr>
        <w:jc w:val="both"/>
        <w:rPr>
          <w:color w:val="000000"/>
          <w:szCs w:val="24"/>
          <w:highlight w:val="yellow"/>
        </w:rPr>
      </w:pPr>
    </w:p>
    <w:p w:rsidR="007B2CAC" w:rsidRDefault="007B2CAC" w:rsidP="00424BBA">
      <w:pPr>
        <w:jc w:val="both"/>
        <w:rPr>
          <w:color w:val="000000"/>
          <w:szCs w:val="24"/>
          <w:highlight w:val="yellow"/>
        </w:rPr>
      </w:pP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1"/>
        <w:gridCol w:w="2009"/>
        <w:gridCol w:w="2430"/>
        <w:gridCol w:w="2670"/>
      </w:tblGrid>
      <w:tr w:rsidR="00B46DBC" w:rsidRPr="007B1F97" w:rsidTr="007B2CAC">
        <w:trPr>
          <w:trHeight w:val="404"/>
          <w:jc w:val="center"/>
        </w:trPr>
        <w:tc>
          <w:tcPr>
            <w:tcW w:w="2011" w:type="dxa"/>
            <w:shd w:val="clear" w:color="auto" w:fill="D9D9D9"/>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lastRenderedPageBreak/>
              <w:t>Goniometric ROM – Left Shoulder</w:t>
            </w:r>
          </w:p>
        </w:tc>
        <w:tc>
          <w:tcPr>
            <w:tcW w:w="2009" w:type="dxa"/>
            <w:shd w:val="clear" w:color="auto" w:fill="D9D9D9"/>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Ortho ~ 6 Mo. Pre-Sep</w:t>
            </w:r>
          </w:p>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(20080404)</w:t>
            </w:r>
          </w:p>
        </w:tc>
        <w:tc>
          <w:tcPr>
            <w:tcW w:w="2430" w:type="dxa"/>
            <w:shd w:val="clear" w:color="auto" w:fill="D9D9D9"/>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MEB ~4 Mo. Pre-Sep</w:t>
            </w:r>
          </w:p>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(20080619)</w:t>
            </w:r>
          </w:p>
        </w:tc>
        <w:tc>
          <w:tcPr>
            <w:tcW w:w="2670" w:type="dxa"/>
            <w:shd w:val="clear" w:color="auto" w:fill="D9D9D9"/>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VA C&amp;P ~4 Mo. After-Sep</w:t>
            </w:r>
          </w:p>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(20090205)</w:t>
            </w:r>
          </w:p>
        </w:tc>
      </w:tr>
      <w:tr w:rsidR="00B46DBC" w:rsidRPr="007B1F97" w:rsidTr="007B2CAC">
        <w:trPr>
          <w:trHeight w:val="179"/>
          <w:jc w:val="center"/>
        </w:trPr>
        <w:tc>
          <w:tcPr>
            <w:tcW w:w="2011" w:type="dxa"/>
            <w:vAlign w:val="center"/>
          </w:tcPr>
          <w:p w:rsidR="00B46DBC" w:rsidRPr="007B1F97" w:rsidRDefault="00B46DBC" w:rsidP="000D22F6">
            <w:pPr>
              <w:pStyle w:val="ListParagraph"/>
              <w:spacing w:after="0" w:line="180" w:lineRule="exact"/>
              <w:ind w:left="0"/>
              <w:rPr>
                <w:rFonts w:cs="Calibri"/>
                <w:sz w:val="18"/>
                <w:szCs w:val="18"/>
              </w:rPr>
            </w:pPr>
            <w:r w:rsidRPr="007B1F97">
              <w:rPr>
                <w:rFonts w:cs="Calibri"/>
                <w:sz w:val="18"/>
                <w:szCs w:val="18"/>
              </w:rPr>
              <w:t>Flexion (0-180)</w:t>
            </w:r>
          </w:p>
        </w:tc>
        <w:tc>
          <w:tcPr>
            <w:tcW w:w="2009" w:type="dxa"/>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“FROM”</w:t>
            </w:r>
          </w:p>
        </w:tc>
        <w:tc>
          <w:tcPr>
            <w:tcW w:w="2430" w:type="dxa"/>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170⁰</w:t>
            </w:r>
          </w:p>
        </w:tc>
        <w:tc>
          <w:tcPr>
            <w:tcW w:w="2670" w:type="dxa"/>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180⁰</w:t>
            </w:r>
          </w:p>
        </w:tc>
      </w:tr>
      <w:tr w:rsidR="00B46DBC" w:rsidRPr="007B1F97" w:rsidTr="00CD22F3">
        <w:trPr>
          <w:trHeight w:val="93"/>
          <w:jc w:val="center"/>
        </w:trPr>
        <w:tc>
          <w:tcPr>
            <w:tcW w:w="2011" w:type="dxa"/>
            <w:vAlign w:val="center"/>
          </w:tcPr>
          <w:p w:rsidR="00B46DBC" w:rsidRPr="007B1F97" w:rsidRDefault="00B46DBC" w:rsidP="000D22F6">
            <w:pPr>
              <w:pStyle w:val="ListParagraph"/>
              <w:spacing w:after="0" w:line="180" w:lineRule="exact"/>
              <w:ind w:left="0"/>
              <w:rPr>
                <w:rFonts w:cs="Calibri"/>
                <w:sz w:val="18"/>
                <w:szCs w:val="18"/>
              </w:rPr>
            </w:pPr>
            <w:r w:rsidRPr="007B1F97">
              <w:rPr>
                <w:rFonts w:cs="Calibri"/>
                <w:sz w:val="18"/>
                <w:szCs w:val="18"/>
              </w:rPr>
              <w:t>Abduction (0-180)</w:t>
            </w:r>
          </w:p>
        </w:tc>
        <w:tc>
          <w:tcPr>
            <w:tcW w:w="2009" w:type="dxa"/>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“FROM”</w:t>
            </w:r>
          </w:p>
        </w:tc>
        <w:tc>
          <w:tcPr>
            <w:tcW w:w="2430" w:type="dxa"/>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150⁰</w:t>
            </w:r>
          </w:p>
        </w:tc>
        <w:tc>
          <w:tcPr>
            <w:tcW w:w="2670" w:type="dxa"/>
            <w:vAlign w:val="center"/>
          </w:tcPr>
          <w:p w:rsidR="00B46DBC" w:rsidRPr="007B1F97" w:rsidRDefault="00B46DBC" w:rsidP="000D22F6">
            <w:pPr>
              <w:spacing w:line="180" w:lineRule="exact"/>
              <w:contextualSpacing/>
              <w:rPr>
                <w:rFonts w:eastAsia="Calibri"/>
                <w:color w:val="auto"/>
                <w:sz w:val="18"/>
                <w:szCs w:val="18"/>
              </w:rPr>
            </w:pPr>
            <w:r w:rsidRPr="007B1F97">
              <w:rPr>
                <w:rFonts w:eastAsia="Calibri"/>
                <w:color w:val="auto"/>
                <w:sz w:val="18"/>
                <w:szCs w:val="18"/>
              </w:rPr>
              <w:t>180⁰</w:t>
            </w:r>
          </w:p>
        </w:tc>
      </w:tr>
      <w:tr w:rsidR="00B46DBC" w:rsidRPr="007B1F97" w:rsidTr="00CD22F3">
        <w:trPr>
          <w:trHeight w:val="562"/>
          <w:jc w:val="center"/>
        </w:trPr>
        <w:tc>
          <w:tcPr>
            <w:tcW w:w="2011" w:type="dxa"/>
            <w:vAlign w:val="center"/>
          </w:tcPr>
          <w:p w:rsidR="00B46DBC" w:rsidRPr="007B1F97" w:rsidRDefault="00B46DBC" w:rsidP="00424BBA">
            <w:pPr>
              <w:tabs>
                <w:tab w:val="left" w:pos="288"/>
                <w:tab w:val="left" w:pos="4752"/>
              </w:tabs>
              <w:spacing w:line="180" w:lineRule="exact"/>
              <w:rPr>
                <w:rFonts w:eastAsia="Calibri"/>
                <w:color w:val="auto"/>
                <w:sz w:val="18"/>
                <w:szCs w:val="18"/>
              </w:rPr>
            </w:pPr>
            <w:r w:rsidRPr="007B1F97">
              <w:rPr>
                <w:rFonts w:eastAsia="Calibri"/>
                <w:color w:val="auto"/>
                <w:sz w:val="18"/>
                <w:szCs w:val="18"/>
              </w:rPr>
              <w:t>Comment:  Surgery 20071017</w:t>
            </w:r>
          </w:p>
        </w:tc>
        <w:tc>
          <w:tcPr>
            <w:tcW w:w="2009" w:type="dxa"/>
            <w:vAlign w:val="center"/>
          </w:tcPr>
          <w:p w:rsidR="00B46DBC" w:rsidRPr="007B1F97" w:rsidRDefault="00B46DBC" w:rsidP="00CD22F3">
            <w:pPr>
              <w:tabs>
                <w:tab w:val="left" w:pos="288"/>
                <w:tab w:val="left" w:pos="4752"/>
              </w:tabs>
              <w:spacing w:line="180" w:lineRule="exact"/>
              <w:jc w:val="left"/>
              <w:rPr>
                <w:rFonts w:eastAsia="Calibri"/>
                <w:color w:val="auto"/>
                <w:sz w:val="18"/>
                <w:szCs w:val="18"/>
              </w:rPr>
            </w:pPr>
            <w:r w:rsidRPr="007B1F97">
              <w:rPr>
                <w:rFonts w:eastAsia="Calibri"/>
                <w:color w:val="auto"/>
                <w:sz w:val="18"/>
                <w:szCs w:val="18"/>
              </w:rPr>
              <w:t>4-/5 strength on external rotation and abduction.</w:t>
            </w:r>
          </w:p>
        </w:tc>
        <w:tc>
          <w:tcPr>
            <w:tcW w:w="2430" w:type="dxa"/>
            <w:vAlign w:val="center"/>
          </w:tcPr>
          <w:p w:rsidR="00B46DBC" w:rsidRPr="007B1F97" w:rsidRDefault="00B46DBC" w:rsidP="00CD22F3">
            <w:pPr>
              <w:tabs>
                <w:tab w:val="left" w:pos="288"/>
                <w:tab w:val="left" w:pos="4752"/>
              </w:tabs>
              <w:spacing w:line="180" w:lineRule="exact"/>
              <w:jc w:val="left"/>
              <w:rPr>
                <w:rFonts w:eastAsia="Calibri"/>
                <w:color w:val="auto"/>
                <w:sz w:val="18"/>
                <w:szCs w:val="18"/>
              </w:rPr>
            </w:pPr>
            <w:r w:rsidRPr="007B1F97">
              <w:rPr>
                <w:rFonts w:eastAsia="Calibri"/>
                <w:color w:val="auto"/>
                <w:sz w:val="18"/>
                <w:szCs w:val="18"/>
              </w:rPr>
              <w:t>External rotation limited to 40 degrees; 5/5 biceps and triceps strength; painful motion</w:t>
            </w:r>
          </w:p>
        </w:tc>
        <w:tc>
          <w:tcPr>
            <w:tcW w:w="2670" w:type="dxa"/>
            <w:vAlign w:val="center"/>
          </w:tcPr>
          <w:p w:rsidR="00B46DBC" w:rsidRPr="007B1F97" w:rsidRDefault="00B46DBC" w:rsidP="00CD22F3">
            <w:pPr>
              <w:tabs>
                <w:tab w:val="left" w:pos="288"/>
                <w:tab w:val="left" w:pos="4752"/>
              </w:tabs>
              <w:spacing w:line="180" w:lineRule="exact"/>
              <w:jc w:val="left"/>
              <w:rPr>
                <w:rFonts w:eastAsia="Calibri"/>
                <w:color w:val="auto"/>
                <w:sz w:val="18"/>
                <w:szCs w:val="18"/>
              </w:rPr>
            </w:pPr>
            <w:r w:rsidRPr="007B1F97">
              <w:rPr>
                <w:rFonts w:eastAsia="Calibri"/>
                <w:color w:val="auto"/>
                <w:sz w:val="18"/>
                <w:szCs w:val="18"/>
              </w:rPr>
              <w:t>Weakness and pain from 90 – 180 degrees; external rotation limited to 45 degrees and painful; no Deluca; tenderness biceps groove</w:t>
            </w:r>
          </w:p>
        </w:tc>
      </w:tr>
      <w:tr w:rsidR="00B46DBC" w:rsidRPr="007B1F97" w:rsidTr="007B2CAC">
        <w:trPr>
          <w:trHeight w:val="269"/>
          <w:jc w:val="center"/>
        </w:trPr>
        <w:tc>
          <w:tcPr>
            <w:tcW w:w="2011" w:type="dxa"/>
            <w:vAlign w:val="center"/>
          </w:tcPr>
          <w:p w:rsidR="00B46DBC" w:rsidRPr="007B1F97" w:rsidRDefault="00B46DBC" w:rsidP="000D22F6">
            <w:pPr>
              <w:tabs>
                <w:tab w:val="left" w:pos="288"/>
                <w:tab w:val="left" w:pos="4752"/>
              </w:tabs>
              <w:spacing w:line="180" w:lineRule="exact"/>
              <w:rPr>
                <w:rFonts w:eastAsia="Calibri"/>
                <w:color w:val="auto"/>
                <w:sz w:val="18"/>
                <w:szCs w:val="18"/>
              </w:rPr>
            </w:pPr>
            <w:r w:rsidRPr="007B1F97">
              <w:rPr>
                <w:rFonts w:eastAsia="Calibri"/>
                <w:color w:val="auto"/>
                <w:sz w:val="18"/>
                <w:szCs w:val="18"/>
              </w:rPr>
              <w:t>§4.71a Rating</w:t>
            </w:r>
          </w:p>
        </w:tc>
        <w:tc>
          <w:tcPr>
            <w:tcW w:w="2009" w:type="dxa"/>
            <w:vAlign w:val="center"/>
          </w:tcPr>
          <w:p w:rsidR="00B46DBC" w:rsidRPr="007B1F97" w:rsidRDefault="00B46DBC" w:rsidP="000D22F6">
            <w:pPr>
              <w:tabs>
                <w:tab w:val="left" w:pos="288"/>
                <w:tab w:val="left" w:pos="4752"/>
              </w:tabs>
              <w:spacing w:line="180" w:lineRule="exact"/>
              <w:rPr>
                <w:rFonts w:eastAsia="Calibri"/>
                <w:color w:val="auto"/>
                <w:sz w:val="18"/>
                <w:szCs w:val="18"/>
              </w:rPr>
            </w:pPr>
            <w:r w:rsidRPr="007B1F97">
              <w:rPr>
                <w:rFonts w:eastAsia="Calibri"/>
                <w:color w:val="auto"/>
                <w:sz w:val="18"/>
                <w:szCs w:val="18"/>
              </w:rPr>
              <w:t>10%</w:t>
            </w:r>
          </w:p>
        </w:tc>
        <w:tc>
          <w:tcPr>
            <w:tcW w:w="2430" w:type="dxa"/>
            <w:vAlign w:val="center"/>
          </w:tcPr>
          <w:p w:rsidR="00B46DBC" w:rsidRPr="007B1F97" w:rsidRDefault="00B46DBC" w:rsidP="000D22F6">
            <w:pPr>
              <w:tabs>
                <w:tab w:val="left" w:pos="288"/>
                <w:tab w:val="left" w:pos="4752"/>
              </w:tabs>
              <w:spacing w:line="180" w:lineRule="exact"/>
              <w:rPr>
                <w:rFonts w:eastAsia="Calibri"/>
                <w:color w:val="auto"/>
                <w:sz w:val="18"/>
                <w:szCs w:val="18"/>
              </w:rPr>
            </w:pPr>
            <w:r w:rsidRPr="007B1F97">
              <w:rPr>
                <w:rFonts w:eastAsia="Calibri"/>
                <w:color w:val="auto"/>
                <w:sz w:val="18"/>
                <w:szCs w:val="18"/>
              </w:rPr>
              <w:t>10%</w:t>
            </w:r>
          </w:p>
        </w:tc>
        <w:tc>
          <w:tcPr>
            <w:tcW w:w="2670" w:type="dxa"/>
            <w:vAlign w:val="center"/>
          </w:tcPr>
          <w:p w:rsidR="00B46DBC" w:rsidRPr="007B1F97" w:rsidRDefault="00B46DBC" w:rsidP="000D22F6">
            <w:pPr>
              <w:tabs>
                <w:tab w:val="left" w:pos="288"/>
                <w:tab w:val="left" w:pos="4752"/>
              </w:tabs>
              <w:spacing w:line="180" w:lineRule="exact"/>
              <w:rPr>
                <w:rFonts w:eastAsia="Calibri"/>
                <w:color w:val="auto"/>
                <w:sz w:val="18"/>
                <w:szCs w:val="18"/>
              </w:rPr>
            </w:pPr>
            <w:r w:rsidRPr="007B1F97">
              <w:rPr>
                <w:rFonts w:eastAsia="Calibri"/>
                <w:color w:val="auto"/>
                <w:sz w:val="18"/>
                <w:szCs w:val="18"/>
              </w:rPr>
              <w:t>10%</w:t>
            </w:r>
            <w:r w:rsidR="00671C8D" w:rsidRPr="007B1F97">
              <w:rPr>
                <w:rFonts w:eastAsia="Calibri"/>
                <w:color w:val="auto"/>
                <w:sz w:val="18"/>
                <w:szCs w:val="18"/>
              </w:rPr>
              <w:t>-20%</w:t>
            </w:r>
            <w:r w:rsidRPr="007B1F97">
              <w:rPr>
                <w:rFonts w:eastAsia="Calibri"/>
                <w:color w:val="auto"/>
                <w:sz w:val="18"/>
                <w:szCs w:val="18"/>
              </w:rPr>
              <w:t xml:space="preserve"> (VA - 20%)</w:t>
            </w:r>
          </w:p>
        </w:tc>
      </w:tr>
    </w:tbl>
    <w:p w:rsidR="00125BE2" w:rsidRPr="007B1F97" w:rsidRDefault="00125BE2" w:rsidP="00BF0E94">
      <w:pPr>
        <w:jc w:val="left"/>
        <w:rPr>
          <w:color w:val="auto"/>
          <w:szCs w:val="24"/>
          <w:highlight w:val="yellow"/>
          <w:u w:val="single"/>
        </w:rPr>
      </w:pPr>
    </w:p>
    <w:p w:rsidR="00072588" w:rsidRPr="00117435" w:rsidRDefault="0019619B" w:rsidP="00072588">
      <w:pPr>
        <w:jc w:val="both"/>
        <w:rPr>
          <w:color w:val="000000"/>
          <w:szCs w:val="24"/>
        </w:rPr>
      </w:pPr>
      <w:r w:rsidRPr="007B1F97">
        <w:rPr>
          <w:color w:val="auto"/>
          <w:szCs w:val="24"/>
        </w:rPr>
        <w:t>Pre-operative plain films of the left shoulder (</w:t>
      </w:r>
      <w:r w:rsidR="00356497">
        <w:rPr>
          <w:color w:val="auto"/>
          <w:szCs w:val="24"/>
        </w:rPr>
        <w:t>6 July 2007</w:t>
      </w:r>
      <w:r w:rsidRPr="007B1F97">
        <w:rPr>
          <w:color w:val="auto"/>
          <w:szCs w:val="24"/>
        </w:rPr>
        <w:t xml:space="preserve"> – pre-op) noted mild arthritic</w:t>
      </w:r>
      <w:r>
        <w:rPr>
          <w:color w:val="000000"/>
          <w:szCs w:val="24"/>
        </w:rPr>
        <w:t xml:space="preserve"> changes and a pre-operative MRI </w:t>
      </w:r>
      <w:proofErr w:type="spellStart"/>
      <w:r>
        <w:rPr>
          <w:color w:val="000000"/>
          <w:szCs w:val="24"/>
        </w:rPr>
        <w:t>arthrogram</w:t>
      </w:r>
      <w:proofErr w:type="spellEnd"/>
      <w:r>
        <w:rPr>
          <w:color w:val="000000"/>
          <w:szCs w:val="24"/>
        </w:rPr>
        <w:t xml:space="preserve"> </w:t>
      </w:r>
      <w:r w:rsidRPr="00847CDA">
        <w:rPr>
          <w:color w:val="000000"/>
          <w:szCs w:val="24"/>
        </w:rPr>
        <w:t>(</w:t>
      </w:r>
      <w:r w:rsidR="00356497">
        <w:rPr>
          <w:color w:val="000000"/>
          <w:szCs w:val="24"/>
        </w:rPr>
        <w:t>20 September 2007</w:t>
      </w:r>
      <w:r w:rsidRPr="00847CDA">
        <w:rPr>
          <w:color w:val="000000"/>
          <w:szCs w:val="24"/>
        </w:rPr>
        <w:t>)</w:t>
      </w:r>
      <w:r>
        <w:rPr>
          <w:color w:val="000000"/>
          <w:szCs w:val="24"/>
        </w:rPr>
        <w:t xml:space="preserve"> documented partial tears of the </w:t>
      </w:r>
      <w:r w:rsidR="00072588">
        <w:rPr>
          <w:color w:val="000000"/>
          <w:szCs w:val="24"/>
        </w:rPr>
        <w:t>supraspinatus</w:t>
      </w:r>
      <w:r>
        <w:rPr>
          <w:color w:val="000000"/>
          <w:szCs w:val="24"/>
        </w:rPr>
        <w:t xml:space="preserve"> and subscapularis tendons.  </w:t>
      </w:r>
      <w:r w:rsidR="00072588">
        <w:rPr>
          <w:color w:val="000000"/>
          <w:szCs w:val="24"/>
        </w:rPr>
        <w:t xml:space="preserve">Surgery included </w:t>
      </w:r>
      <w:r w:rsidR="00072588" w:rsidRPr="00117435">
        <w:rPr>
          <w:color w:val="000000"/>
          <w:szCs w:val="24"/>
        </w:rPr>
        <w:t xml:space="preserve">subacromial space bursectomy and arthroscopic </w:t>
      </w:r>
      <w:r w:rsidR="00072588" w:rsidRPr="00847CDA">
        <w:rPr>
          <w:color w:val="000000"/>
          <w:szCs w:val="24"/>
        </w:rPr>
        <w:t>subacromial decompression</w:t>
      </w:r>
      <w:r w:rsidR="00072588">
        <w:rPr>
          <w:color w:val="000000"/>
          <w:szCs w:val="24"/>
        </w:rPr>
        <w:t xml:space="preserve"> as well as rotator cuff repair and tendon debridement.  </w:t>
      </w:r>
    </w:p>
    <w:p w:rsidR="00072588" w:rsidRDefault="00072588" w:rsidP="00117435">
      <w:pPr>
        <w:jc w:val="both"/>
        <w:rPr>
          <w:color w:val="000000"/>
          <w:szCs w:val="24"/>
        </w:rPr>
      </w:pPr>
    </w:p>
    <w:p w:rsidR="007636AE" w:rsidRDefault="00EF75F4" w:rsidP="00BF7BCC">
      <w:pPr>
        <w:jc w:val="both"/>
        <w:rPr>
          <w:color w:val="000000"/>
          <w:szCs w:val="24"/>
        </w:rPr>
      </w:pPr>
      <w:r>
        <w:rPr>
          <w:color w:val="000000"/>
          <w:szCs w:val="24"/>
        </w:rPr>
        <w:t xml:space="preserve">The orthopedics evaluation noted full </w:t>
      </w:r>
      <w:r w:rsidR="00356497">
        <w:rPr>
          <w:color w:val="000000"/>
          <w:szCs w:val="24"/>
        </w:rPr>
        <w:t>ROM</w:t>
      </w:r>
      <w:r w:rsidR="00424BBA">
        <w:rPr>
          <w:color w:val="000000"/>
          <w:szCs w:val="24"/>
        </w:rPr>
        <w:t>,</w:t>
      </w:r>
      <w:r>
        <w:rPr>
          <w:color w:val="000000"/>
          <w:szCs w:val="24"/>
        </w:rPr>
        <w:t xml:space="preserve"> but documented </w:t>
      </w:r>
      <w:r w:rsidR="007636AE">
        <w:rPr>
          <w:color w:val="000000"/>
          <w:szCs w:val="24"/>
        </w:rPr>
        <w:t xml:space="preserve">slight </w:t>
      </w:r>
      <w:r>
        <w:rPr>
          <w:color w:val="000000"/>
          <w:szCs w:val="24"/>
        </w:rPr>
        <w:t xml:space="preserve">weakness (4-/5) on external rotation and on abduction.  </w:t>
      </w:r>
      <w:r w:rsidR="008D10D0">
        <w:rPr>
          <w:color w:val="000000"/>
          <w:szCs w:val="24"/>
        </w:rPr>
        <w:t xml:space="preserve">The MEB exam documented painful limitation of flexion, abduction and </w:t>
      </w:r>
      <w:r w:rsidR="008D10D0" w:rsidRPr="007B1F97">
        <w:rPr>
          <w:color w:val="000000"/>
          <w:szCs w:val="24"/>
        </w:rPr>
        <w:t xml:space="preserve">external rotation, but did not comment on rotator cuff muscle strength.  </w:t>
      </w:r>
      <w:r w:rsidR="0019619B" w:rsidRPr="007B1F97">
        <w:rPr>
          <w:color w:val="000000"/>
          <w:szCs w:val="24"/>
        </w:rPr>
        <w:t xml:space="preserve">A physical therapy note </w:t>
      </w:r>
      <w:r w:rsidR="00072588" w:rsidRPr="007B1F97">
        <w:rPr>
          <w:color w:val="000000"/>
          <w:szCs w:val="24"/>
        </w:rPr>
        <w:t>(</w:t>
      </w:r>
      <w:r w:rsidR="00356497">
        <w:rPr>
          <w:color w:val="000000"/>
          <w:szCs w:val="24"/>
        </w:rPr>
        <w:t>2 June 2008</w:t>
      </w:r>
      <w:r w:rsidR="00072588">
        <w:rPr>
          <w:color w:val="000000"/>
          <w:szCs w:val="24"/>
        </w:rPr>
        <w:t xml:space="preserve">) </w:t>
      </w:r>
      <w:r w:rsidR="0019619B">
        <w:rPr>
          <w:color w:val="000000"/>
          <w:szCs w:val="24"/>
        </w:rPr>
        <w:t xml:space="preserve">from </w:t>
      </w:r>
      <w:r w:rsidR="00072588">
        <w:rPr>
          <w:color w:val="000000"/>
          <w:szCs w:val="24"/>
        </w:rPr>
        <w:t>3</w:t>
      </w:r>
      <w:r w:rsidR="0019619B">
        <w:rPr>
          <w:color w:val="000000"/>
          <w:szCs w:val="24"/>
        </w:rPr>
        <w:t xml:space="preserve"> weeks </w:t>
      </w:r>
      <w:r w:rsidR="00072588">
        <w:rPr>
          <w:color w:val="000000"/>
          <w:szCs w:val="24"/>
        </w:rPr>
        <w:t xml:space="preserve">prior to the MEB exam </w:t>
      </w:r>
      <w:r w:rsidR="0019619B">
        <w:rPr>
          <w:color w:val="000000"/>
          <w:szCs w:val="24"/>
        </w:rPr>
        <w:t>showed full active ROM for flexion and abduction with resisted tests of flexion and abduction at 90 degrees of 4-/5 (</w:t>
      </w:r>
      <w:r w:rsidR="0019619B" w:rsidRPr="007B1F97">
        <w:rPr>
          <w:color w:val="000000"/>
          <w:szCs w:val="24"/>
        </w:rPr>
        <w:t xml:space="preserve">indicating slight weakness).  </w:t>
      </w:r>
      <w:r w:rsidR="00E95F5D" w:rsidRPr="007B1F97">
        <w:rPr>
          <w:color w:val="000000"/>
          <w:szCs w:val="24"/>
        </w:rPr>
        <w:t>Restriction was no lifting over 20 pounds with the left upper extremity.</w:t>
      </w:r>
      <w:r w:rsidR="00E95F5D">
        <w:rPr>
          <w:color w:val="000000"/>
          <w:szCs w:val="24"/>
        </w:rPr>
        <w:t xml:space="preserve">  </w:t>
      </w:r>
      <w:r w:rsidR="008D10D0">
        <w:rPr>
          <w:color w:val="000000"/>
          <w:szCs w:val="24"/>
        </w:rPr>
        <w:t>At the VA C&amp;P exam,</w:t>
      </w:r>
      <w:r w:rsidR="005B47F8">
        <w:rPr>
          <w:color w:val="000000"/>
          <w:szCs w:val="24"/>
        </w:rPr>
        <w:t xml:space="preserve"> </w:t>
      </w:r>
      <w:r w:rsidR="00F609B8">
        <w:rPr>
          <w:color w:val="000000"/>
          <w:szCs w:val="24"/>
        </w:rPr>
        <w:t>t</w:t>
      </w:r>
      <w:r w:rsidR="00B46DBC">
        <w:rPr>
          <w:color w:val="000000"/>
          <w:szCs w:val="24"/>
        </w:rPr>
        <w:t xml:space="preserve">he </w:t>
      </w:r>
      <w:r w:rsidR="00DA42F5">
        <w:rPr>
          <w:color w:val="000000"/>
          <w:szCs w:val="24"/>
        </w:rPr>
        <w:t xml:space="preserve">history indicated a rotator cuff repair with distal clavicle resection.  The findings for flexion and extension ROM were:  </w:t>
      </w:r>
      <w:r w:rsidR="00B46DBC">
        <w:rPr>
          <w:color w:val="000000"/>
          <w:szCs w:val="24"/>
        </w:rPr>
        <w:t>“</w:t>
      </w:r>
      <w:r w:rsidR="00356497">
        <w:rPr>
          <w:color w:val="000000"/>
          <w:szCs w:val="24"/>
        </w:rPr>
        <w:t>a</w:t>
      </w:r>
      <w:r w:rsidR="00B46DBC" w:rsidRPr="00B46DBC">
        <w:rPr>
          <w:color w:val="000000"/>
          <w:szCs w:val="24"/>
        </w:rPr>
        <w:t xml:space="preserve">bduction and forward flexion are 0-180 </w:t>
      </w:r>
      <w:r w:rsidR="00B46DBC" w:rsidRPr="007B1F97">
        <w:rPr>
          <w:color w:val="000000"/>
          <w:szCs w:val="24"/>
        </w:rPr>
        <w:t>degrees with weakness and pain from 90-180 degrees.  There are no additional limitations following repetitive use other than</w:t>
      </w:r>
      <w:r w:rsidR="00117435" w:rsidRPr="007B1F97">
        <w:rPr>
          <w:color w:val="000000"/>
          <w:szCs w:val="24"/>
        </w:rPr>
        <w:t xml:space="preserve"> </w:t>
      </w:r>
      <w:r w:rsidR="00B46DBC" w:rsidRPr="007B1F97">
        <w:rPr>
          <w:color w:val="000000"/>
          <w:szCs w:val="24"/>
        </w:rPr>
        <w:t>increased pain without further loss of motion.</w:t>
      </w:r>
      <w:r w:rsidR="00E416BF" w:rsidRPr="007B1F97">
        <w:rPr>
          <w:color w:val="000000"/>
          <w:szCs w:val="24"/>
        </w:rPr>
        <w:t xml:space="preserve">  There are no flare-ups.  There is no effect of incoordination, fatigue, weakness or lack of endurance on his joint function.</w:t>
      </w:r>
      <w:r w:rsidR="00B46DBC" w:rsidRPr="007B1F97">
        <w:rPr>
          <w:color w:val="000000"/>
          <w:szCs w:val="24"/>
        </w:rPr>
        <w:t>”</w:t>
      </w:r>
      <w:r w:rsidR="00117435" w:rsidRPr="007B1F97">
        <w:rPr>
          <w:color w:val="000000"/>
          <w:szCs w:val="24"/>
        </w:rPr>
        <w:t xml:space="preserve">  </w:t>
      </w:r>
      <w:r w:rsidR="001813AA" w:rsidRPr="007B1F97">
        <w:rPr>
          <w:color w:val="000000"/>
          <w:szCs w:val="24"/>
        </w:rPr>
        <w:t>The diagnosis was “left shoulder impingement status post rotator cuff repair with biceps tend</w:t>
      </w:r>
      <w:r w:rsidR="001813AA">
        <w:rPr>
          <w:color w:val="000000"/>
          <w:szCs w:val="24"/>
        </w:rPr>
        <w:t xml:space="preserve">onitis.”  </w:t>
      </w:r>
    </w:p>
    <w:p w:rsidR="007636AE" w:rsidRDefault="007636AE" w:rsidP="00BF7BCC">
      <w:pPr>
        <w:jc w:val="both"/>
        <w:rPr>
          <w:color w:val="000000"/>
          <w:szCs w:val="24"/>
        </w:rPr>
      </w:pPr>
    </w:p>
    <w:p w:rsidR="001813AA" w:rsidRDefault="005B47F8" w:rsidP="00BF7BCC">
      <w:pPr>
        <w:jc w:val="both"/>
        <w:rPr>
          <w:color w:val="000000"/>
          <w:szCs w:val="24"/>
        </w:rPr>
      </w:pPr>
      <w:r w:rsidRPr="005B47F8">
        <w:rPr>
          <w:color w:val="000000"/>
          <w:szCs w:val="24"/>
        </w:rPr>
        <w:t>The</w:t>
      </w:r>
      <w:r>
        <w:rPr>
          <w:color w:val="000000"/>
          <w:szCs w:val="24"/>
        </w:rPr>
        <w:t xml:space="preserve"> PEB and the VA applied different codes and arrived at different ratings</w:t>
      </w:r>
      <w:r w:rsidRPr="005B47F8">
        <w:rPr>
          <w:color w:val="000000"/>
          <w:szCs w:val="24"/>
        </w:rPr>
        <w:t xml:space="preserve"> </w:t>
      </w:r>
      <w:r>
        <w:rPr>
          <w:color w:val="000000"/>
          <w:szCs w:val="24"/>
        </w:rPr>
        <w:t>for the left shoulder condition</w:t>
      </w:r>
      <w:r w:rsidR="00BC1DF0">
        <w:rPr>
          <w:color w:val="000000"/>
          <w:szCs w:val="24"/>
        </w:rPr>
        <w:t>.  The PEB coded analogous to</w:t>
      </w:r>
      <w:r>
        <w:rPr>
          <w:color w:val="000000"/>
          <w:szCs w:val="24"/>
        </w:rPr>
        <w:t xml:space="preserve"> degenerative arthritis and rated 10% based upon periarticular pathology </w:t>
      </w:r>
      <w:r w:rsidRPr="007B1F97">
        <w:rPr>
          <w:color w:val="000000"/>
          <w:szCs w:val="24"/>
        </w:rPr>
        <w:t>with painful limitation of motion</w:t>
      </w:r>
      <w:r w:rsidR="00DA42F5" w:rsidRPr="007B1F97">
        <w:rPr>
          <w:color w:val="000000"/>
          <w:szCs w:val="24"/>
        </w:rPr>
        <w:t xml:space="preserve"> of flexion 170 and abduction 150 degrees (beyond 90 degrees)</w:t>
      </w:r>
      <w:r w:rsidRPr="007B1F97">
        <w:rPr>
          <w:color w:val="000000"/>
          <w:szCs w:val="24"/>
        </w:rPr>
        <w:t xml:space="preserve">.  The VA coded for other impairment of the humerus and rated 20% for </w:t>
      </w:r>
      <w:r w:rsidR="001813AA" w:rsidRPr="007B1F97">
        <w:rPr>
          <w:color w:val="000000"/>
          <w:szCs w:val="24"/>
        </w:rPr>
        <w:t>“</w:t>
      </w:r>
      <w:r w:rsidR="00356497">
        <w:rPr>
          <w:color w:val="000000"/>
          <w:szCs w:val="24"/>
        </w:rPr>
        <w:t>in</w:t>
      </w:r>
      <w:r w:rsidRPr="007B1F97">
        <w:rPr>
          <w:color w:val="000000"/>
          <w:szCs w:val="24"/>
        </w:rPr>
        <w:t>frequent episodes of dislocation of the scaphohumeral joint with guarding of arm movements only at the shoulder level.</w:t>
      </w:r>
      <w:r w:rsidR="001813AA" w:rsidRPr="007B1F97">
        <w:rPr>
          <w:color w:val="000000"/>
          <w:szCs w:val="24"/>
        </w:rPr>
        <w:t>”</w:t>
      </w:r>
      <w:r>
        <w:rPr>
          <w:color w:val="000000"/>
          <w:szCs w:val="24"/>
        </w:rPr>
        <w:t xml:space="preserve">  </w:t>
      </w:r>
    </w:p>
    <w:p w:rsidR="001813AA" w:rsidRDefault="001813AA" w:rsidP="00BF7BCC">
      <w:pPr>
        <w:jc w:val="both"/>
        <w:rPr>
          <w:color w:val="000000"/>
          <w:szCs w:val="24"/>
        </w:rPr>
      </w:pPr>
    </w:p>
    <w:p w:rsidR="00AE7456" w:rsidRDefault="003A67A2" w:rsidP="007B1F97">
      <w:pPr>
        <w:tabs>
          <w:tab w:val="left" w:pos="288"/>
          <w:tab w:val="left" w:pos="4752"/>
        </w:tabs>
        <w:jc w:val="both"/>
        <w:rPr>
          <w:rFonts w:cs="Arial"/>
          <w:bCs/>
          <w:color w:val="000000"/>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Pr>
          <w:rFonts w:cs="Arial"/>
          <w:bCs/>
          <w:color w:val="000000"/>
          <w:szCs w:val="24"/>
        </w:rPr>
        <w:t xml:space="preserve">There were no symptoms or evidence of </w:t>
      </w:r>
      <w:proofErr w:type="gramStart"/>
      <w:r>
        <w:rPr>
          <w:rFonts w:cs="Arial"/>
          <w:bCs/>
          <w:color w:val="000000"/>
          <w:szCs w:val="24"/>
        </w:rPr>
        <w:t>an unfitting</w:t>
      </w:r>
      <w:proofErr w:type="gramEnd"/>
      <w:r>
        <w:rPr>
          <w:rFonts w:cs="Arial"/>
          <w:bCs/>
          <w:color w:val="000000"/>
          <w:szCs w:val="24"/>
        </w:rPr>
        <w:t xml:space="preserve"> peripheral nerve impairment and there was no evidence that left shoulder surgical scars interfered with duty performance to a degree that could be considered unfi</w:t>
      </w:r>
      <w:r w:rsidRPr="003A67A2">
        <w:rPr>
          <w:rFonts w:cs="Arial"/>
          <w:bCs/>
          <w:color w:val="000000"/>
          <w:szCs w:val="24"/>
        </w:rPr>
        <w:t xml:space="preserve">tting.  </w:t>
      </w:r>
      <w:r w:rsidR="00AE7456" w:rsidRPr="003A67A2">
        <w:rPr>
          <w:color w:val="000000"/>
          <w:szCs w:val="24"/>
        </w:rPr>
        <w:t xml:space="preserve">The Board considered application of </w:t>
      </w:r>
      <w:r w:rsidR="00F609B8" w:rsidRPr="003A67A2">
        <w:rPr>
          <w:color w:val="000000"/>
          <w:szCs w:val="24"/>
        </w:rPr>
        <w:t xml:space="preserve">the </w:t>
      </w:r>
      <w:r w:rsidR="00AE7456" w:rsidRPr="003A67A2">
        <w:rPr>
          <w:color w:val="000000"/>
          <w:szCs w:val="24"/>
        </w:rPr>
        <w:t xml:space="preserve">5202 coding </w:t>
      </w:r>
      <w:r w:rsidR="00F609B8" w:rsidRPr="003A67A2">
        <w:rPr>
          <w:color w:val="000000"/>
          <w:szCs w:val="24"/>
        </w:rPr>
        <w:t>(</w:t>
      </w:r>
      <w:proofErr w:type="spellStart"/>
      <w:r w:rsidR="00356497">
        <w:rPr>
          <w:color w:val="000000"/>
          <w:szCs w:val="24"/>
        </w:rPr>
        <w:t>h</w:t>
      </w:r>
      <w:r w:rsidR="00F609B8" w:rsidRPr="003A67A2">
        <w:rPr>
          <w:color w:val="000000"/>
          <w:szCs w:val="24"/>
        </w:rPr>
        <w:t>umerus</w:t>
      </w:r>
      <w:proofErr w:type="spellEnd"/>
      <w:r w:rsidR="00F609B8" w:rsidRPr="003A67A2">
        <w:rPr>
          <w:color w:val="000000"/>
          <w:szCs w:val="24"/>
        </w:rPr>
        <w:t xml:space="preserve">, other impairment of) </w:t>
      </w:r>
      <w:r w:rsidR="00AE7456" w:rsidRPr="003A67A2">
        <w:rPr>
          <w:color w:val="000000"/>
          <w:szCs w:val="24"/>
        </w:rPr>
        <w:t>used by the VA</w:t>
      </w:r>
      <w:r w:rsidR="00DA42F5" w:rsidRPr="003A67A2">
        <w:rPr>
          <w:color w:val="000000"/>
          <w:szCs w:val="24"/>
        </w:rPr>
        <w:t xml:space="preserve"> (20%</w:t>
      </w:r>
      <w:r w:rsidR="00F609B8" w:rsidRPr="003A67A2">
        <w:rPr>
          <w:color w:val="000000"/>
          <w:szCs w:val="24"/>
        </w:rPr>
        <w:t>-Moderate</w:t>
      </w:r>
      <w:r w:rsidR="00DA42F5" w:rsidRPr="003A67A2">
        <w:rPr>
          <w:color w:val="000000"/>
          <w:szCs w:val="24"/>
        </w:rPr>
        <w:t>).  The CI had subacromial decompression which may be analogous to clavicular resection</w:t>
      </w:r>
      <w:r w:rsidR="00F609B8" w:rsidRPr="003A67A2">
        <w:rPr>
          <w:color w:val="000000"/>
          <w:szCs w:val="24"/>
        </w:rPr>
        <w:t xml:space="preserve"> for analogous coding of 5202.</w:t>
      </w:r>
      <w:r w:rsidR="00DA42F5" w:rsidRPr="003A67A2">
        <w:rPr>
          <w:color w:val="000000"/>
          <w:szCs w:val="24"/>
        </w:rPr>
        <w:t xml:space="preserve"> </w:t>
      </w:r>
      <w:r w:rsidR="00F609B8" w:rsidRPr="003A67A2">
        <w:rPr>
          <w:color w:val="000000"/>
          <w:szCs w:val="24"/>
        </w:rPr>
        <w:t xml:space="preserve"> Analogous coding for rotator cuff pathology under 5203 (</w:t>
      </w:r>
      <w:r w:rsidR="00356497">
        <w:rPr>
          <w:color w:val="000000"/>
          <w:szCs w:val="24"/>
        </w:rPr>
        <w:t>i</w:t>
      </w:r>
      <w:r w:rsidR="00F609B8" w:rsidRPr="003A67A2">
        <w:rPr>
          <w:color w:val="000000"/>
          <w:szCs w:val="24"/>
        </w:rPr>
        <w:t>mpairment of clavicle or scapula) or 5304 (</w:t>
      </w:r>
      <w:r w:rsidR="00356497">
        <w:rPr>
          <w:color w:val="000000"/>
          <w:szCs w:val="24"/>
        </w:rPr>
        <w:t>g</w:t>
      </w:r>
      <w:r w:rsidR="00F609B8" w:rsidRPr="003A67A2">
        <w:rPr>
          <w:color w:val="000000"/>
          <w:szCs w:val="24"/>
        </w:rPr>
        <w:t>roup IV, moderate) was also considered</w:t>
      </w:r>
      <w:r w:rsidR="00F609B8">
        <w:rPr>
          <w:color w:val="000000"/>
          <w:szCs w:val="24"/>
        </w:rPr>
        <w:t xml:space="preserve">.  The crux of the rating is if the CI’s ROMs were considered limited </w:t>
      </w:r>
      <w:r>
        <w:rPr>
          <w:color w:val="000000"/>
          <w:szCs w:val="24"/>
        </w:rPr>
        <w:t xml:space="preserve">or guarded </w:t>
      </w:r>
      <w:r w:rsidR="00F609B8">
        <w:rPr>
          <w:color w:val="000000"/>
          <w:szCs w:val="24"/>
        </w:rPr>
        <w:t xml:space="preserve">at 90 degrees due to weakness </w:t>
      </w:r>
      <w:r>
        <w:rPr>
          <w:color w:val="000000"/>
          <w:szCs w:val="24"/>
        </w:rPr>
        <w:t xml:space="preserve">and pain </w:t>
      </w:r>
      <w:r w:rsidR="00F609B8">
        <w:rPr>
          <w:color w:val="000000"/>
          <w:szCs w:val="24"/>
        </w:rPr>
        <w:t>at 90 degrees</w:t>
      </w:r>
      <w:r w:rsidR="001813AA">
        <w:rPr>
          <w:color w:val="000000"/>
          <w:szCs w:val="24"/>
        </w:rPr>
        <w:t xml:space="preserve"> abduction</w:t>
      </w:r>
      <w:r w:rsidR="00F609B8">
        <w:rPr>
          <w:color w:val="000000"/>
          <w:szCs w:val="24"/>
        </w:rPr>
        <w:t>, or if the pain and weakness with tende</w:t>
      </w:r>
      <w:r w:rsidR="001813AA">
        <w:rPr>
          <w:color w:val="000000"/>
          <w:szCs w:val="24"/>
        </w:rPr>
        <w:t>r</w:t>
      </w:r>
      <w:r w:rsidR="00F609B8">
        <w:rPr>
          <w:color w:val="000000"/>
          <w:szCs w:val="24"/>
        </w:rPr>
        <w:t xml:space="preserve">ness equated to a </w:t>
      </w:r>
      <w:r w:rsidR="00F609B8" w:rsidRPr="007B1F97">
        <w:rPr>
          <w:color w:val="000000"/>
          <w:szCs w:val="24"/>
        </w:rPr>
        <w:t xml:space="preserve">moderate </w:t>
      </w:r>
      <w:r w:rsidRPr="007B1F97">
        <w:rPr>
          <w:color w:val="000000"/>
          <w:szCs w:val="24"/>
        </w:rPr>
        <w:t xml:space="preserve">(20%) </w:t>
      </w:r>
      <w:r w:rsidR="001813AA" w:rsidRPr="007B1F97">
        <w:rPr>
          <w:color w:val="000000"/>
          <w:szCs w:val="24"/>
        </w:rPr>
        <w:t xml:space="preserve">functional impairment </w:t>
      </w:r>
      <w:proofErr w:type="gramStart"/>
      <w:r w:rsidR="001813AA" w:rsidRPr="007B1F97">
        <w:rPr>
          <w:color w:val="000000"/>
          <w:szCs w:val="24"/>
        </w:rPr>
        <w:t>under</w:t>
      </w:r>
      <w:proofErr w:type="gramEnd"/>
      <w:r w:rsidR="001813AA" w:rsidRPr="007B1F97">
        <w:rPr>
          <w:color w:val="000000"/>
          <w:szCs w:val="24"/>
        </w:rPr>
        <w:t xml:space="preserve"> 5202.  </w:t>
      </w:r>
      <w:r w:rsidRPr="007B1F97">
        <w:rPr>
          <w:color w:val="000000"/>
          <w:szCs w:val="24"/>
        </w:rPr>
        <w:t>The Board considered VASRD §4.40 (Functional loss) and the phrase “</w:t>
      </w:r>
      <w:r w:rsidR="00356497">
        <w:rPr>
          <w:color w:val="000000"/>
          <w:szCs w:val="24"/>
        </w:rPr>
        <w:t>w</w:t>
      </w:r>
      <w:r w:rsidRPr="007B1F97">
        <w:rPr>
          <w:color w:val="000000"/>
          <w:szCs w:val="24"/>
        </w:rPr>
        <w:t xml:space="preserve">eakness is as important as limitation of motion, and a part which becomes painful on use must be regarded as seriously disabled.”  </w:t>
      </w:r>
      <w:r w:rsidR="001813AA" w:rsidRPr="007B1F97">
        <w:rPr>
          <w:color w:val="000000"/>
          <w:szCs w:val="24"/>
        </w:rPr>
        <w:t xml:space="preserve">The CI had full active flexion and abduction ROM of the left shoulder, </w:t>
      </w:r>
      <w:r w:rsidR="007636AE">
        <w:rPr>
          <w:color w:val="000000"/>
          <w:szCs w:val="24"/>
        </w:rPr>
        <w:t>and</w:t>
      </w:r>
      <w:r w:rsidR="001813AA" w:rsidRPr="007B1F97">
        <w:rPr>
          <w:color w:val="000000"/>
          <w:szCs w:val="24"/>
        </w:rPr>
        <w:t xml:space="preserve"> displayed pain and weakness </w:t>
      </w:r>
      <w:r w:rsidRPr="007B1F97">
        <w:rPr>
          <w:color w:val="000000"/>
          <w:szCs w:val="24"/>
        </w:rPr>
        <w:t xml:space="preserve">(service 4-/5; VA unspecified) </w:t>
      </w:r>
      <w:r w:rsidR="001813AA" w:rsidRPr="007B1F97">
        <w:rPr>
          <w:color w:val="000000"/>
          <w:szCs w:val="24"/>
        </w:rPr>
        <w:t>beyond 90 degrees without additional limitation of ROM with repetitive use.</w:t>
      </w:r>
      <w:r w:rsidR="001813AA">
        <w:rPr>
          <w:color w:val="000000"/>
          <w:szCs w:val="24"/>
        </w:rPr>
        <w:t xml:space="preserve">  </w:t>
      </w:r>
      <w:r w:rsidR="0038595C">
        <w:rPr>
          <w:color w:val="000000"/>
          <w:szCs w:val="24"/>
        </w:rPr>
        <w:t xml:space="preserve">The 20 pound lifting restriction for the CI’s dominant (“major” IAW </w:t>
      </w:r>
      <w:r w:rsidR="0038595C" w:rsidRPr="0038595C">
        <w:rPr>
          <w:color w:val="000000"/>
          <w:szCs w:val="24"/>
        </w:rPr>
        <w:t>§</w:t>
      </w:r>
      <w:r w:rsidR="0038595C">
        <w:rPr>
          <w:color w:val="000000"/>
          <w:szCs w:val="24"/>
        </w:rPr>
        <w:t xml:space="preserve">4.71a.) hand was also considered.  </w:t>
      </w:r>
      <w:r w:rsidR="0001637A" w:rsidRPr="00A05CEE">
        <w:rPr>
          <w:rFonts w:cs="Arial"/>
          <w:bCs/>
          <w:color w:val="000000"/>
          <w:szCs w:val="24"/>
        </w:rPr>
        <w:t xml:space="preserve">All </w:t>
      </w:r>
      <w:r w:rsidR="0001637A" w:rsidRPr="007B1F97">
        <w:rPr>
          <w:rFonts w:cs="Arial"/>
          <w:bCs/>
          <w:color w:val="000000"/>
          <w:szCs w:val="24"/>
        </w:rPr>
        <w:t>evidence considered</w:t>
      </w:r>
      <w:proofErr w:type="gramStart"/>
      <w:r w:rsidR="0001637A" w:rsidRPr="007B1F97">
        <w:rPr>
          <w:rFonts w:cs="Arial"/>
          <w:bCs/>
          <w:color w:val="000000"/>
          <w:szCs w:val="24"/>
        </w:rPr>
        <w:t>,</w:t>
      </w:r>
      <w:proofErr w:type="gramEnd"/>
      <w:r w:rsidR="0001637A" w:rsidRPr="007B1F97">
        <w:rPr>
          <w:rFonts w:cs="Arial"/>
          <w:bCs/>
          <w:color w:val="000000"/>
          <w:szCs w:val="24"/>
        </w:rPr>
        <w:t xml:space="preserve"> there is </w:t>
      </w:r>
      <w:r w:rsidR="0001637A" w:rsidRPr="007B1F97">
        <w:rPr>
          <w:rFonts w:cs="Arial"/>
          <w:bCs/>
          <w:color w:val="000000"/>
          <w:szCs w:val="24"/>
        </w:rPr>
        <w:lastRenderedPageBreak/>
        <w:t>not reasonable doubt in the CI’s favor supporting a change from the PEB’s coding or rating decision for the left shoulder</w:t>
      </w:r>
      <w:r w:rsidR="0001637A">
        <w:rPr>
          <w:rFonts w:cs="Arial"/>
          <w:bCs/>
          <w:color w:val="000000"/>
          <w:szCs w:val="24"/>
        </w:rPr>
        <w:t xml:space="preserve"> </w:t>
      </w:r>
      <w:r w:rsidR="0001637A" w:rsidRPr="00A05CEE">
        <w:rPr>
          <w:rFonts w:cs="Arial"/>
          <w:bCs/>
          <w:color w:val="000000"/>
          <w:szCs w:val="24"/>
        </w:rPr>
        <w:t>condition.</w:t>
      </w:r>
      <w:r w:rsidR="0001637A">
        <w:rPr>
          <w:rFonts w:cs="Arial"/>
          <w:bCs/>
          <w:color w:val="000000"/>
          <w:szCs w:val="24"/>
        </w:rPr>
        <w:t xml:space="preserve">  </w:t>
      </w:r>
    </w:p>
    <w:p w:rsidR="00356497" w:rsidRDefault="00356497" w:rsidP="007B1F97">
      <w:pPr>
        <w:tabs>
          <w:tab w:val="left" w:pos="288"/>
          <w:tab w:val="left" w:pos="4752"/>
        </w:tabs>
        <w:jc w:val="both"/>
        <w:rPr>
          <w:color w:val="000000"/>
          <w:szCs w:val="24"/>
        </w:rPr>
      </w:pPr>
    </w:p>
    <w:p w:rsidR="00615A66" w:rsidRDefault="003724CE" w:rsidP="00BF7BCC">
      <w:pPr>
        <w:jc w:val="both"/>
        <w:rPr>
          <w:color w:val="000000"/>
          <w:szCs w:val="24"/>
        </w:rPr>
      </w:pPr>
      <w:proofErr w:type="gramStart"/>
      <w:r w:rsidRPr="003B0A82">
        <w:rPr>
          <w:color w:val="000000"/>
          <w:szCs w:val="24"/>
          <w:u w:val="single"/>
        </w:rPr>
        <w:t>Left</w:t>
      </w:r>
      <w:r w:rsidR="003F2EEE" w:rsidRPr="003B0A82">
        <w:rPr>
          <w:color w:val="000000"/>
          <w:szCs w:val="24"/>
          <w:u w:val="single"/>
        </w:rPr>
        <w:t xml:space="preserve"> </w:t>
      </w:r>
      <w:r w:rsidR="0080588E" w:rsidRPr="003B0A82">
        <w:rPr>
          <w:color w:val="000000"/>
          <w:szCs w:val="24"/>
          <w:u w:val="single"/>
        </w:rPr>
        <w:t xml:space="preserve">Knee </w:t>
      </w:r>
      <w:r w:rsidRPr="003B0A82">
        <w:rPr>
          <w:color w:val="000000"/>
          <w:szCs w:val="24"/>
          <w:u w:val="single"/>
        </w:rPr>
        <w:t>D</w:t>
      </w:r>
      <w:r w:rsidR="00BF7BCC">
        <w:rPr>
          <w:color w:val="000000"/>
          <w:szCs w:val="24"/>
          <w:u w:val="single"/>
        </w:rPr>
        <w:t>egenerative Joint Disease</w:t>
      </w:r>
      <w:r w:rsidR="003F2EEE" w:rsidRPr="003B0A82">
        <w:rPr>
          <w:color w:val="000000"/>
          <w:szCs w:val="24"/>
        </w:rPr>
        <w:t>.</w:t>
      </w:r>
      <w:proofErr w:type="gramEnd"/>
      <w:r w:rsidR="003F2EEE" w:rsidRPr="003B0A82">
        <w:rPr>
          <w:color w:val="000000"/>
          <w:szCs w:val="24"/>
        </w:rPr>
        <w:t xml:space="preserve">  </w:t>
      </w:r>
      <w:r w:rsidR="0001637A">
        <w:rPr>
          <w:color w:val="000000"/>
          <w:szCs w:val="24"/>
        </w:rPr>
        <w:t>The CI inju</w:t>
      </w:r>
      <w:r w:rsidR="0001637A" w:rsidRPr="00847CDA">
        <w:rPr>
          <w:color w:val="000000"/>
          <w:szCs w:val="24"/>
        </w:rPr>
        <w:t>red his left knee during a</w:t>
      </w:r>
      <w:r w:rsidR="0001637A">
        <w:rPr>
          <w:color w:val="000000"/>
          <w:szCs w:val="24"/>
        </w:rPr>
        <w:t xml:space="preserve"> three mile march during training in July 2007.  Despite treatment with physical therapy his pain persisted</w:t>
      </w:r>
      <w:r w:rsidR="00557A61">
        <w:rPr>
          <w:color w:val="000000"/>
          <w:szCs w:val="24"/>
        </w:rPr>
        <w:t>, restricting his ability to use stairs, run or meet physical fitness standards.</w:t>
      </w:r>
      <w:r w:rsidR="007B2CAC">
        <w:rPr>
          <w:color w:val="000000"/>
          <w:szCs w:val="24"/>
        </w:rPr>
        <w:t xml:space="preserve"> </w:t>
      </w:r>
      <w:r w:rsidR="00557A61">
        <w:rPr>
          <w:color w:val="000000"/>
          <w:szCs w:val="24"/>
        </w:rPr>
        <w:t xml:space="preserve"> </w:t>
      </w:r>
      <w:r w:rsidR="00BC1DF0">
        <w:rPr>
          <w:color w:val="000000"/>
          <w:szCs w:val="24"/>
        </w:rPr>
        <w:t xml:space="preserve">Although it was noted that the CI would eventually require </w:t>
      </w:r>
      <w:proofErr w:type="spellStart"/>
      <w:r w:rsidR="00BC1DF0">
        <w:rPr>
          <w:color w:val="000000"/>
          <w:szCs w:val="24"/>
        </w:rPr>
        <w:t>arthroplasty</w:t>
      </w:r>
      <w:proofErr w:type="spellEnd"/>
      <w:r w:rsidR="00BC1DF0">
        <w:rPr>
          <w:color w:val="000000"/>
          <w:szCs w:val="24"/>
        </w:rPr>
        <w:t xml:space="preserve">, it was not felt that the left knee would require surgical intervention in the </w:t>
      </w:r>
      <w:r w:rsidR="007B1F97">
        <w:rPr>
          <w:color w:val="000000"/>
          <w:szCs w:val="24"/>
        </w:rPr>
        <w:t>foreseeable</w:t>
      </w:r>
      <w:r w:rsidR="00BC1DF0">
        <w:rPr>
          <w:color w:val="000000"/>
          <w:szCs w:val="24"/>
        </w:rPr>
        <w:t xml:space="preserve"> future.  </w:t>
      </w:r>
      <w:r w:rsidR="00F13FF2">
        <w:rPr>
          <w:color w:val="000000"/>
          <w:szCs w:val="24"/>
        </w:rPr>
        <w:t xml:space="preserve">There were </w:t>
      </w:r>
      <w:r w:rsidR="004F6156" w:rsidRPr="004F6156">
        <w:rPr>
          <w:color w:val="000000"/>
          <w:szCs w:val="24"/>
        </w:rPr>
        <w:t xml:space="preserve">two comprehensive </w:t>
      </w:r>
      <w:r w:rsidR="004F6156">
        <w:rPr>
          <w:color w:val="000000"/>
          <w:szCs w:val="24"/>
        </w:rPr>
        <w:t xml:space="preserve">knee evaluations, with </w:t>
      </w:r>
      <w:r w:rsidR="00356497">
        <w:rPr>
          <w:color w:val="000000"/>
          <w:szCs w:val="24"/>
        </w:rPr>
        <w:t>ROM</w:t>
      </w:r>
      <w:r w:rsidR="00A57C35" w:rsidRPr="00F13FF2">
        <w:rPr>
          <w:color w:val="000000"/>
          <w:szCs w:val="24"/>
        </w:rPr>
        <w:t xml:space="preserve"> </w:t>
      </w:r>
      <w:r w:rsidR="004F6156">
        <w:rPr>
          <w:color w:val="000000"/>
          <w:szCs w:val="24"/>
        </w:rPr>
        <w:t xml:space="preserve">measurements, in evidence </w:t>
      </w:r>
      <w:r w:rsidR="00A57C35" w:rsidRPr="00F13FF2">
        <w:rPr>
          <w:color w:val="000000"/>
          <w:szCs w:val="24"/>
        </w:rPr>
        <w:t>which the Board weighed in arriving at its rating recommendation.</w:t>
      </w:r>
      <w:r w:rsidR="004F6156">
        <w:rPr>
          <w:color w:val="000000"/>
          <w:szCs w:val="24"/>
        </w:rPr>
        <w:t xml:space="preserve">  These examinations</w:t>
      </w:r>
      <w:r w:rsidR="00356497">
        <w:rPr>
          <w:color w:val="000000"/>
          <w:szCs w:val="24"/>
        </w:rPr>
        <w:t xml:space="preserve"> were the MEB NARSUM</w:t>
      </w:r>
      <w:r w:rsidR="00557A61">
        <w:rPr>
          <w:color w:val="000000"/>
          <w:szCs w:val="24"/>
        </w:rPr>
        <w:t xml:space="preserve"> exam and the VA C&amp;P exam.  The exam findings</w:t>
      </w:r>
      <w:r w:rsidR="004F6156">
        <w:rPr>
          <w:color w:val="000000"/>
          <w:szCs w:val="24"/>
        </w:rPr>
        <w:t xml:space="preserve"> are summarized in the chart below.</w:t>
      </w:r>
    </w:p>
    <w:p w:rsidR="00125BE2" w:rsidRPr="00CD22F3" w:rsidRDefault="00125BE2" w:rsidP="00557A86">
      <w:pPr>
        <w:jc w:val="both"/>
        <w:rPr>
          <w:color w:val="auto"/>
          <w:szCs w:val="24"/>
          <w:u w:val="single"/>
        </w:rPr>
      </w:pPr>
    </w:p>
    <w:tbl>
      <w:tblPr>
        <w:tblW w:w="7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3"/>
        <w:gridCol w:w="2460"/>
        <w:gridCol w:w="3155"/>
      </w:tblGrid>
      <w:tr w:rsidR="004F6156" w:rsidRPr="00CD22F3" w:rsidTr="00CD22F3">
        <w:trPr>
          <w:trHeight w:val="440"/>
          <w:jc w:val="center"/>
        </w:trPr>
        <w:tc>
          <w:tcPr>
            <w:tcW w:w="2353" w:type="dxa"/>
            <w:shd w:val="clear" w:color="auto" w:fill="D9D9D9"/>
            <w:vAlign w:val="center"/>
          </w:tcPr>
          <w:p w:rsidR="004F6156" w:rsidRPr="00CD22F3" w:rsidRDefault="004F6156" w:rsidP="000D22F6">
            <w:pPr>
              <w:spacing w:line="180" w:lineRule="exact"/>
              <w:contextualSpacing/>
              <w:rPr>
                <w:rFonts w:eastAsia="Calibri"/>
                <w:color w:val="auto"/>
                <w:sz w:val="18"/>
                <w:szCs w:val="18"/>
              </w:rPr>
            </w:pPr>
            <w:r w:rsidRPr="00CD22F3">
              <w:rPr>
                <w:rFonts w:eastAsia="Calibri"/>
                <w:color w:val="auto"/>
                <w:sz w:val="18"/>
                <w:szCs w:val="18"/>
              </w:rPr>
              <w:t>Goniometric ROM –</w:t>
            </w:r>
          </w:p>
          <w:p w:rsidR="004F6156" w:rsidRPr="00CD22F3" w:rsidRDefault="004F6156" w:rsidP="000D22F6">
            <w:pPr>
              <w:spacing w:line="180" w:lineRule="exact"/>
              <w:contextualSpacing/>
              <w:rPr>
                <w:rFonts w:eastAsia="Calibri"/>
                <w:color w:val="auto"/>
                <w:sz w:val="18"/>
                <w:szCs w:val="18"/>
              </w:rPr>
            </w:pPr>
            <w:r w:rsidRPr="00CD22F3">
              <w:rPr>
                <w:rFonts w:eastAsia="Calibri"/>
                <w:color w:val="auto"/>
                <w:sz w:val="18"/>
                <w:szCs w:val="18"/>
              </w:rPr>
              <w:t>Left Knee</w:t>
            </w:r>
          </w:p>
        </w:tc>
        <w:tc>
          <w:tcPr>
            <w:tcW w:w="2460" w:type="dxa"/>
            <w:shd w:val="clear" w:color="auto" w:fill="D9D9D9"/>
            <w:vAlign w:val="center"/>
          </w:tcPr>
          <w:p w:rsidR="004F6156" w:rsidRPr="00CD22F3" w:rsidRDefault="004F6156" w:rsidP="000D22F6">
            <w:pPr>
              <w:spacing w:line="180" w:lineRule="exact"/>
              <w:contextualSpacing/>
              <w:rPr>
                <w:rFonts w:eastAsia="Calibri"/>
                <w:color w:val="auto"/>
                <w:sz w:val="18"/>
                <w:szCs w:val="18"/>
              </w:rPr>
            </w:pPr>
            <w:r w:rsidRPr="00CD22F3">
              <w:rPr>
                <w:rFonts w:eastAsia="Calibri"/>
                <w:color w:val="auto"/>
                <w:sz w:val="18"/>
                <w:szCs w:val="18"/>
              </w:rPr>
              <w:t>MEB ~4 Mo. Pre-Sep</w:t>
            </w:r>
          </w:p>
          <w:p w:rsidR="004F6156" w:rsidRPr="00CD22F3" w:rsidRDefault="004F6156" w:rsidP="000D22F6">
            <w:pPr>
              <w:spacing w:line="180" w:lineRule="exact"/>
              <w:contextualSpacing/>
              <w:rPr>
                <w:rFonts w:eastAsia="Calibri"/>
                <w:color w:val="auto"/>
                <w:sz w:val="18"/>
                <w:szCs w:val="18"/>
              </w:rPr>
            </w:pPr>
            <w:r w:rsidRPr="00CD22F3">
              <w:rPr>
                <w:rFonts w:eastAsia="Calibri"/>
                <w:color w:val="auto"/>
                <w:sz w:val="18"/>
                <w:szCs w:val="18"/>
              </w:rPr>
              <w:t>(20080619)</w:t>
            </w:r>
          </w:p>
        </w:tc>
        <w:tc>
          <w:tcPr>
            <w:tcW w:w="3155" w:type="dxa"/>
            <w:shd w:val="clear" w:color="auto" w:fill="D9D9D9"/>
            <w:vAlign w:val="center"/>
          </w:tcPr>
          <w:p w:rsidR="004F6156" w:rsidRPr="00CD22F3" w:rsidRDefault="004F6156" w:rsidP="000D22F6">
            <w:pPr>
              <w:spacing w:line="180" w:lineRule="exact"/>
              <w:contextualSpacing/>
              <w:rPr>
                <w:rFonts w:eastAsia="Calibri"/>
                <w:color w:val="auto"/>
                <w:sz w:val="18"/>
                <w:szCs w:val="18"/>
              </w:rPr>
            </w:pPr>
            <w:r w:rsidRPr="00CD22F3">
              <w:rPr>
                <w:rFonts w:eastAsia="Calibri"/>
                <w:color w:val="auto"/>
                <w:sz w:val="18"/>
                <w:szCs w:val="18"/>
              </w:rPr>
              <w:t>VA C&amp;P ~ 4 Mo. After-Sep</w:t>
            </w:r>
          </w:p>
          <w:p w:rsidR="004F6156" w:rsidRPr="00CD22F3" w:rsidRDefault="004F6156" w:rsidP="000D22F6">
            <w:pPr>
              <w:spacing w:line="180" w:lineRule="exact"/>
              <w:contextualSpacing/>
              <w:rPr>
                <w:rFonts w:eastAsia="Calibri"/>
                <w:color w:val="auto"/>
                <w:sz w:val="18"/>
                <w:szCs w:val="18"/>
              </w:rPr>
            </w:pPr>
            <w:r w:rsidRPr="00CD22F3">
              <w:rPr>
                <w:rFonts w:eastAsia="Calibri"/>
                <w:color w:val="auto"/>
                <w:sz w:val="18"/>
                <w:szCs w:val="18"/>
              </w:rPr>
              <w:t>(20090205)</w:t>
            </w:r>
          </w:p>
        </w:tc>
      </w:tr>
      <w:tr w:rsidR="004F6156" w:rsidRPr="00CD22F3" w:rsidTr="004F6156">
        <w:trPr>
          <w:trHeight w:val="275"/>
          <w:jc w:val="center"/>
        </w:trPr>
        <w:tc>
          <w:tcPr>
            <w:tcW w:w="2353" w:type="dxa"/>
            <w:vAlign w:val="center"/>
          </w:tcPr>
          <w:p w:rsidR="004F6156" w:rsidRPr="00847CDA" w:rsidRDefault="004F6156" w:rsidP="000D22F6">
            <w:pPr>
              <w:spacing w:line="180" w:lineRule="exact"/>
              <w:contextualSpacing/>
              <w:rPr>
                <w:rFonts w:eastAsia="Calibri"/>
                <w:color w:val="auto"/>
                <w:sz w:val="18"/>
                <w:szCs w:val="18"/>
              </w:rPr>
            </w:pPr>
            <w:r w:rsidRPr="00847CDA">
              <w:rPr>
                <w:rFonts w:eastAsia="Calibri"/>
                <w:color w:val="auto"/>
                <w:sz w:val="18"/>
                <w:szCs w:val="18"/>
              </w:rPr>
              <w:t>Flexion (140⁰ normal)</w:t>
            </w:r>
          </w:p>
        </w:tc>
        <w:tc>
          <w:tcPr>
            <w:tcW w:w="2460" w:type="dxa"/>
            <w:vAlign w:val="center"/>
          </w:tcPr>
          <w:p w:rsidR="004F6156" w:rsidRPr="00847CDA" w:rsidRDefault="004F6156" w:rsidP="000D22F6">
            <w:pPr>
              <w:spacing w:line="180" w:lineRule="exact"/>
              <w:contextualSpacing/>
              <w:rPr>
                <w:rFonts w:eastAsia="Calibri"/>
                <w:color w:val="auto"/>
                <w:sz w:val="18"/>
                <w:szCs w:val="18"/>
              </w:rPr>
            </w:pPr>
            <w:r w:rsidRPr="00847CDA">
              <w:rPr>
                <w:rFonts w:eastAsia="Calibri"/>
                <w:color w:val="auto"/>
                <w:sz w:val="18"/>
                <w:szCs w:val="18"/>
              </w:rPr>
              <w:t>110⁰</w:t>
            </w:r>
          </w:p>
        </w:tc>
        <w:tc>
          <w:tcPr>
            <w:tcW w:w="3155" w:type="dxa"/>
            <w:vAlign w:val="center"/>
          </w:tcPr>
          <w:p w:rsidR="004F6156" w:rsidRPr="00847CDA" w:rsidRDefault="004F6156" w:rsidP="000D22F6">
            <w:pPr>
              <w:spacing w:line="180" w:lineRule="exact"/>
              <w:contextualSpacing/>
              <w:rPr>
                <w:rFonts w:eastAsia="Calibri"/>
                <w:color w:val="auto"/>
                <w:sz w:val="18"/>
                <w:szCs w:val="18"/>
              </w:rPr>
            </w:pPr>
            <w:r w:rsidRPr="00847CDA">
              <w:rPr>
                <w:rFonts w:eastAsia="Calibri"/>
                <w:color w:val="auto"/>
                <w:sz w:val="18"/>
                <w:szCs w:val="18"/>
              </w:rPr>
              <w:t>130⁰</w:t>
            </w:r>
          </w:p>
        </w:tc>
      </w:tr>
      <w:tr w:rsidR="004F6156" w:rsidRPr="00CD22F3" w:rsidTr="004F6156">
        <w:trPr>
          <w:trHeight w:val="267"/>
          <w:jc w:val="center"/>
        </w:trPr>
        <w:tc>
          <w:tcPr>
            <w:tcW w:w="2353" w:type="dxa"/>
            <w:tcBorders>
              <w:bottom w:val="single" w:sz="4" w:space="0" w:color="auto"/>
            </w:tcBorders>
            <w:vAlign w:val="center"/>
          </w:tcPr>
          <w:p w:rsidR="004F6156" w:rsidRPr="00847CDA" w:rsidRDefault="004F6156" w:rsidP="000D22F6">
            <w:pPr>
              <w:spacing w:line="180" w:lineRule="exact"/>
              <w:contextualSpacing/>
              <w:rPr>
                <w:rFonts w:eastAsia="Calibri"/>
                <w:color w:val="auto"/>
                <w:sz w:val="18"/>
                <w:szCs w:val="18"/>
              </w:rPr>
            </w:pPr>
            <w:r w:rsidRPr="00847CDA">
              <w:rPr>
                <w:rFonts w:eastAsia="Calibri"/>
                <w:color w:val="auto"/>
                <w:sz w:val="18"/>
                <w:szCs w:val="18"/>
              </w:rPr>
              <w:t>Extension (0⁰ normal)</w:t>
            </w:r>
          </w:p>
        </w:tc>
        <w:tc>
          <w:tcPr>
            <w:tcW w:w="2460" w:type="dxa"/>
            <w:tcBorders>
              <w:bottom w:val="single" w:sz="4" w:space="0" w:color="auto"/>
            </w:tcBorders>
            <w:vAlign w:val="center"/>
          </w:tcPr>
          <w:p w:rsidR="004F6156" w:rsidRPr="00847CDA" w:rsidRDefault="004F6156" w:rsidP="000D22F6">
            <w:pPr>
              <w:spacing w:line="180" w:lineRule="exact"/>
              <w:contextualSpacing/>
              <w:rPr>
                <w:rFonts w:eastAsia="Calibri"/>
                <w:color w:val="auto"/>
                <w:sz w:val="18"/>
                <w:szCs w:val="18"/>
              </w:rPr>
            </w:pPr>
            <w:r w:rsidRPr="00847CDA">
              <w:rPr>
                <w:rFonts w:eastAsia="Calibri"/>
                <w:color w:val="auto"/>
                <w:sz w:val="18"/>
                <w:szCs w:val="18"/>
              </w:rPr>
              <w:t>0⁰</w:t>
            </w:r>
          </w:p>
        </w:tc>
        <w:tc>
          <w:tcPr>
            <w:tcW w:w="3155" w:type="dxa"/>
            <w:tcBorders>
              <w:bottom w:val="single" w:sz="4" w:space="0" w:color="auto"/>
            </w:tcBorders>
            <w:vAlign w:val="center"/>
          </w:tcPr>
          <w:p w:rsidR="004F6156" w:rsidRPr="00847CDA" w:rsidRDefault="004F6156" w:rsidP="000D22F6">
            <w:pPr>
              <w:spacing w:line="180" w:lineRule="exact"/>
              <w:contextualSpacing/>
              <w:rPr>
                <w:rFonts w:eastAsia="Calibri"/>
                <w:color w:val="auto"/>
                <w:sz w:val="18"/>
                <w:szCs w:val="18"/>
              </w:rPr>
            </w:pPr>
            <w:r w:rsidRPr="00847CDA">
              <w:rPr>
                <w:rFonts w:eastAsia="Calibri"/>
                <w:color w:val="auto"/>
                <w:sz w:val="18"/>
                <w:szCs w:val="18"/>
              </w:rPr>
              <w:t>0⁰</w:t>
            </w:r>
          </w:p>
        </w:tc>
      </w:tr>
      <w:tr w:rsidR="004F6156" w:rsidRPr="00CD22F3" w:rsidTr="004F6156">
        <w:trPr>
          <w:trHeight w:val="267"/>
          <w:jc w:val="center"/>
        </w:trPr>
        <w:tc>
          <w:tcPr>
            <w:tcW w:w="2353" w:type="dxa"/>
            <w:tcBorders>
              <w:top w:val="single" w:sz="4" w:space="0" w:color="auto"/>
              <w:left w:val="single" w:sz="4" w:space="0" w:color="auto"/>
              <w:bottom w:val="single" w:sz="4" w:space="0" w:color="auto"/>
              <w:right w:val="single" w:sz="4" w:space="0" w:color="auto"/>
            </w:tcBorders>
            <w:vAlign w:val="center"/>
          </w:tcPr>
          <w:p w:rsidR="004F6156" w:rsidRPr="00847CDA" w:rsidRDefault="004F6156" w:rsidP="000D22F6">
            <w:pPr>
              <w:tabs>
                <w:tab w:val="left" w:pos="288"/>
                <w:tab w:val="left" w:pos="4752"/>
              </w:tabs>
              <w:spacing w:line="180" w:lineRule="exact"/>
              <w:rPr>
                <w:rFonts w:eastAsia="Calibri"/>
                <w:color w:val="auto"/>
                <w:sz w:val="18"/>
                <w:szCs w:val="18"/>
              </w:rPr>
            </w:pPr>
            <w:r w:rsidRPr="00847CDA">
              <w:rPr>
                <w:rFonts w:eastAsia="Calibri"/>
                <w:color w:val="auto"/>
                <w:sz w:val="18"/>
                <w:szCs w:val="18"/>
              </w:rPr>
              <w:t>Comment</w:t>
            </w:r>
          </w:p>
        </w:tc>
        <w:tc>
          <w:tcPr>
            <w:tcW w:w="2460" w:type="dxa"/>
            <w:tcBorders>
              <w:top w:val="single" w:sz="4" w:space="0" w:color="auto"/>
              <w:left w:val="single" w:sz="4" w:space="0" w:color="auto"/>
              <w:bottom w:val="single" w:sz="4" w:space="0" w:color="auto"/>
              <w:right w:val="single" w:sz="4" w:space="0" w:color="auto"/>
            </w:tcBorders>
            <w:vAlign w:val="center"/>
          </w:tcPr>
          <w:p w:rsidR="004F6156" w:rsidRPr="00847CDA" w:rsidRDefault="004F6156" w:rsidP="000D22F6">
            <w:pPr>
              <w:tabs>
                <w:tab w:val="left" w:pos="288"/>
                <w:tab w:val="left" w:pos="4752"/>
              </w:tabs>
              <w:spacing w:line="180" w:lineRule="exact"/>
              <w:jc w:val="left"/>
              <w:rPr>
                <w:rFonts w:eastAsia="Calibri"/>
                <w:color w:val="auto"/>
                <w:sz w:val="18"/>
                <w:szCs w:val="18"/>
              </w:rPr>
            </w:pPr>
            <w:r w:rsidRPr="00847CDA">
              <w:rPr>
                <w:rFonts w:eastAsia="Calibri"/>
                <w:color w:val="auto"/>
                <w:sz w:val="18"/>
                <w:szCs w:val="18"/>
              </w:rPr>
              <w:t>Normal gait; painful flexion</w:t>
            </w:r>
          </w:p>
        </w:tc>
        <w:tc>
          <w:tcPr>
            <w:tcW w:w="3155" w:type="dxa"/>
            <w:tcBorders>
              <w:top w:val="single" w:sz="4" w:space="0" w:color="auto"/>
              <w:left w:val="single" w:sz="4" w:space="0" w:color="auto"/>
              <w:bottom w:val="single" w:sz="4" w:space="0" w:color="auto"/>
              <w:right w:val="single" w:sz="4" w:space="0" w:color="auto"/>
            </w:tcBorders>
            <w:vAlign w:val="center"/>
          </w:tcPr>
          <w:p w:rsidR="004F6156" w:rsidRPr="00847CDA" w:rsidRDefault="00273445" w:rsidP="007B1F97">
            <w:pPr>
              <w:tabs>
                <w:tab w:val="left" w:pos="288"/>
                <w:tab w:val="left" w:pos="4752"/>
              </w:tabs>
              <w:spacing w:line="180" w:lineRule="exact"/>
              <w:jc w:val="left"/>
              <w:rPr>
                <w:rFonts w:eastAsia="Calibri"/>
                <w:color w:val="auto"/>
                <w:sz w:val="18"/>
                <w:szCs w:val="18"/>
              </w:rPr>
            </w:pPr>
            <w:r w:rsidRPr="00847CDA">
              <w:rPr>
                <w:rFonts w:eastAsia="Calibri"/>
                <w:color w:val="auto"/>
                <w:sz w:val="18"/>
                <w:szCs w:val="18"/>
              </w:rPr>
              <w:t>No flare-ups; normal gait; Pain and crepitus throughout range; tenderness; small effusion; no instability</w:t>
            </w:r>
            <w:r w:rsidR="00BC1DF0" w:rsidRPr="00847CDA">
              <w:rPr>
                <w:rFonts w:eastAsia="Calibri"/>
                <w:color w:val="auto"/>
                <w:sz w:val="18"/>
                <w:szCs w:val="18"/>
              </w:rPr>
              <w:t xml:space="preserve">; </w:t>
            </w:r>
            <w:proofErr w:type="spellStart"/>
            <w:r w:rsidR="00BC1DF0" w:rsidRPr="00847CDA">
              <w:rPr>
                <w:rFonts w:eastAsia="Calibri"/>
                <w:color w:val="auto"/>
                <w:sz w:val="18"/>
                <w:szCs w:val="18"/>
              </w:rPr>
              <w:t>Neg</w:t>
            </w:r>
            <w:proofErr w:type="spellEnd"/>
            <w:r w:rsidR="00BC1DF0" w:rsidRPr="00847CDA">
              <w:rPr>
                <w:rFonts w:eastAsia="Calibri"/>
                <w:color w:val="auto"/>
                <w:sz w:val="18"/>
                <w:szCs w:val="18"/>
              </w:rPr>
              <w:t xml:space="preserve"> Lachman’s</w:t>
            </w:r>
          </w:p>
        </w:tc>
      </w:tr>
      <w:tr w:rsidR="004F6156" w:rsidRPr="00CD22F3" w:rsidTr="00CD22F3">
        <w:trPr>
          <w:trHeight w:val="413"/>
          <w:jc w:val="center"/>
        </w:trPr>
        <w:tc>
          <w:tcPr>
            <w:tcW w:w="2353" w:type="dxa"/>
            <w:tcBorders>
              <w:top w:val="single" w:sz="4" w:space="0" w:color="auto"/>
              <w:left w:val="single" w:sz="4" w:space="0" w:color="auto"/>
              <w:bottom w:val="single" w:sz="4" w:space="0" w:color="auto"/>
              <w:right w:val="single" w:sz="4" w:space="0" w:color="auto"/>
            </w:tcBorders>
            <w:vAlign w:val="center"/>
          </w:tcPr>
          <w:p w:rsidR="004F6156" w:rsidRPr="00847CDA" w:rsidRDefault="004F6156" w:rsidP="000D22F6">
            <w:pPr>
              <w:tabs>
                <w:tab w:val="left" w:pos="288"/>
                <w:tab w:val="left" w:pos="4752"/>
              </w:tabs>
              <w:spacing w:line="180" w:lineRule="exact"/>
              <w:rPr>
                <w:rFonts w:eastAsia="Calibri"/>
                <w:color w:val="auto"/>
                <w:sz w:val="18"/>
                <w:szCs w:val="18"/>
              </w:rPr>
            </w:pPr>
            <w:r w:rsidRPr="00847CDA">
              <w:rPr>
                <w:rFonts w:eastAsia="Calibri"/>
                <w:color w:val="auto"/>
                <w:sz w:val="18"/>
                <w:szCs w:val="18"/>
              </w:rPr>
              <w:t>§4.71a Rating</w:t>
            </w:r>
          </w:p>
        </w:tc>
        <w:tc>
          <w:tcPr>
            <w:tcW w:w="2460" w:type="dxa"/>
            <w:tcBorders>
              <w:top w:val="single" w:sz="4" w:space="0" w:color="auto"/>
              <w:left w:val="single" w:sz="4" w:space="0" w:color="auto"/>
              <w:bottom w:val="single" w:sz="4" w:space="0" w:color="auto"/>
              <w:right w:val="single" w:sz="4" w:space="0" w:color="auto"/>
            </w:tcBorders>
            <w:vAlign w:val="center"/>
          </w:tcPr>
          <w:p w:rsidR="004F6156" w:rsidRPr="00847CDA" w:rsidRDefault="004F6156" w:rsidP="000D22F6">
            <w:pPr>
              <w:tabs>
                <w:tab w:val="left" w:pos="288"/>
                <w:tab w:val="left" w:pos="4752"/>
              </w:tabs>
              <w:spacing w:line="180" w:lineRule="exact"/>
              <w:rPr>
                <w:rFonts w:eastAsia="Calibri"/>
                <w:color w:val="auto"/>
                <w:sz w:val="18"/>
                <w:szCs w:val="18"/>
              </w:rPr>
            </w:pPr>
            <w:r w:rsidRPr="00847CDA">
              <w:rPr>
                <w:rFonts w:eastAsia="Calibri"/>
                <w:color w:val="auto"/>
                <w:sz w:val="18"/>
                <w:szCs w:val="18"/>
              </w:rPr>
              <w:t>10%</w:t>
            </w:r>
          </w:p>
        </w:tc>
        <w:tc>
          <w:tcPr>
            <w:tcW w:w="3155" w:type="dxa"/>
            <w:tcBorders>
              <w:top w:val="single" w:sz="4" w:space="0" w:color="auto"/>
              <w:left w:val="single" w:sz="4" w:space="0" w:color="auto"/>
              <w:bottom w:val="single" w:sz="4" w:space="0" w:color="auto"/>
              <w:right w:val="single" w:sz="4" w:space="0" w:color="auto"/>
            </w:tcBorders>
            <w:vAlign w:val="center"/>
          </w:tcPr>
          <w:p w:rsidR="00557A61" w:rsidRPr="00847CDA" w:rsidRDefault="004F6156" w:rsidP="000D22F6">
            <w:pPr>
              <w:tabs>
                <w:tab w:val="left" w:pos="288"/>
                <w:tab w:val="left" w:pos="4752"/>
              </w:tabs>
              <w:spacing w:line="180" w:lineRule="exact"/>
              <w:rPr>
                <w:rFonts w:eastAsia="Calibri"/>
                <w:color w:val="auto"/>
                <w:sz w:val="18"/>
                <w:szCs w:val="18"/>
              </w:rPr>
            </w:pPr>
            <w:r w:rsidRPr="00847CDA">
              <w:rPr>
                <w:rFonts w:eastAsia="Calibri"/>
                <w:color w:val="auto"/>
                <w:sz w:val="18"/>
                <w:szCs w:val="18"/>
              </w:rPr>
              <w:t>10%</w:t>
            </w:r>
            <w:r w:rsidR="00325B6E" w:rsidRPr="00847CDA">
              <w:rPr>
                <w:rFonts w:eastAsia="Calibri"/>
                <w:color w:val="auto"/>
                <w:sz w:val="18"/>
                <w:szCs w:val="18"/>
              </w:rPr>
              <w:t xml:space="preserve"> </w:t>
            </w:r>
          </w:p>
          <w:p w:rsidR="004F6156" w:rsidRPr="00847CDA" w:rsidRDefault="00325B6E" w:rsidP="00E416BF">
            <w:pPr>
              <w:tabs>
                <w:tab w:val="left" w:pos="288"/>
                <w:tab w:val="left" w:pos="4752"/>
              </w:tabs>
              <w:spacing w:line="180" w:lineRule="exact"/>
              <w:rPr>
                <w:rFonts w:eastAsia="Calibri"/>
                <w:color w:val="auto"/>
                <w:sz w:val="18"/>
                <w:szCs w:val="18"/>
              </w:rPr>
            </w:pPr>
            <w:r w:rsidRPr="00847CDA">
              <w:rPr>
                <w:rFonts w:eastAsia="Calibri"/>
                <w:color w:val="auto"/>
                <w:sz w:val="18"/>
                <w:szCs w:val="18"/>
              </w:rPr>
              <w:t>(VA 20% w/reduction to 10% for EPTS</w:t>
            </w:r>
            <w:r w:rsidR="00557A61" w:rsidRPr="00847CDA">
              <w:rPr>
                <w:rFonts w:eastAsia="Calibri"/>
                <w:color w:val="auto"/>
                <w:sz w:val="18"/>
                <w:szCs w:val="18"/>
              </w:rPr>
              <w:t>)</w:t>
            </w:r>
          </w:p>
        </w:tc>
      </w:tr>
    </w:tbl>
    <w:p w:rsidR="00557A61" w:rsidRPr="00CD22F3" w:rsidRDefault="00557A61" w:rsidP="00557A61">
      <w:pPr>
        <w:jc w:val="both"/>
        <w:rPr>
          <w:color w:val="auto"/>
          <w:szCs w:val="24"/>
        </w:rPr>
      </w:pPr>
    </w:p>
    <w:p w:rsidR="00557A61" w:rsidRPr="00BC1DF0" w:rsidRDefault="00557A61" w:rsidP="00BF7BCC">
      <w:pPr>
        <w:jc w:val="both"/>
        <w:rPr>
          <w:color w:val="000000"/>
          <w:szCs w:val="24"/>
        </w:rPr>
      </w:pPr>
      <w:r>
        <w:rPr>
          <w:color w:val="000000"/>
          <w:szCs w:val="24"/>
        </w:rPr>
        <w:t>Both exams documented a normal gait, knee joint tenderness and painful limitation of knee flexion.  The VA exam additionally noted crepitus and a small effusion.  There was no evidence of instability</w:t>
      </w:r>
      <w:r w:rsidR="00BC1DF0">
        <w:rPr>
          <w:color w:val="000000"/>
          <w:szCs w:val="24"/>
        </w:rPr>
        <w:t xml:space="preserve"> and Lachman’s was negative</w:t>
      </w:r>
      <w:r>
        <w:rPr>
          <w:color w:val="000000"/>
          <w:szCs w:val="24"/>
        </w:rPr>
        <w:t>.</w:t>
      </w:r>
      <w:r w:rsidR="00BC1DF0">
        <w:rPr>
          <w:color w:val="000000"/>
          <w:szCs w:val="24"/>
        </w:rPr>
        <w:t xml:space="preserve">  Plain films</w:t>
      </w:r>
      <w:r w:rsidR="00BC1DF0">
        <w:rPr>
          <w:i/>
          <w:color w:val="000000"/>
          <w:sz w:val="20"/>
        </w:rPr>
        <w:t xml:space="preserve"> </w:t>
      </w:r>
      <w:r w:rsidR="00BC1DF0" w:rsidRPr="00BC1DF0">
        <w:rPr>
          <w:color w:val="000000"/>
          <w:szCs w:val="24"/>
        </w:rPr>
        <w:t>d</w:t>
      </w:r>
      <w:r w:rsidR="00BC1DF0">
        <w:rPr>
          <w:color w:val="000000"/>
          <w:szCs w:val="24"/>
        </w:rPr>
        <w:t xml:space="preserve">ocumented prominent arthritic changes.  </w:t>
      </w:r>
    </w:p>
    <w:p w:rsidR="00557A61" w:rsidRDefault="00557A61" w:rsidP="00BF7BCC">
      <w:pPr>
        <w:jc w:val="both"/>
        <w:rPr>
          <w:color w:val="000000"/>
          <w:szCs w:val="24"/>
        </w:rPr>
      </w:pPr>
    </w:p>
    <w:p w:rsidR="00E416BF" w:rsidRDefault="00BC1DF0" w:rsidP="00BF7BCC">
      <w:pPr>
        <w:jc w:val="both"/>
        <w:rPr>
          <w:color w:val="000000"/>
          <w:szCs w:val="24"/>
        </w:rPr>
      </w:pPr>
      <w:r>
        <w:rPr>
          <w:color w:val="000000"/>
          <w:szCs w:val="24"/>
        </w:rPr>
        <w:t xml:space="preserve">The PEB and the VA utilized </w:t>
      </w:r>
      <w:r w:rsidRPr="00847CDA">
        <w:rPr>
          <w:color w:val="000000"/>
          <w:szCs w:val="24"/>
        </w:rPr>
        <w:t>different coding</w:t>
      </w:r>
      <w:r w:rsidR="00E416BF" w:rsidRPr="00847CDA">
        <w:rPr>
          <w:color w:val="000000"/>
          <w:szCs w:val="24"/>
        </w:rPr>
        <w:t xml:space="preserve"> and rationale,</w:t>
      </w:r>
      <w:r w:rsidRPr="00847CDA">
        <w:rPr>
          <w:color w:val="000000"/>
          <w:szCs w:val="24"/>
        </w:rPr>
        <w:t xml:space="preserve"> but arrived at the same final rating recommendation for the condition.  The PEB coded for degenerative arthritis and rated at 10% for painful limitation of motion.  The VA coded for</w:t>
      </w:r>
      <w:r w:rsidR="00384393">
        <w:rPr>
          <w:color w:val="000000"/>
          <w:szCs w:val="24"/>
        </w:rPr>
        <w:t xml:space="preserve"> impairment of the tibia and fibula and rated </w:t>
      </w:r>
      <w:r w:rsidR="00E416BF">
        <w:rPr>
          <w:color w:val="000000"/>
          <w:szCs w:val="24"/>
        </w:rPr>
        <w:t xml:space="preserve">their exam </w:t>
      </w:r>
      <w:r w:rsidR="00384393">
        <w:rPr>
          <w:color w:val="000000"/>
          <w:szCs w:val="24"/>
        </w:rPr>
        <w:t>at 20% for moderate knee disability</w:t>
      </w:r>
      <w:r w:rsidR="00E416BF">
        <w:rPr>
          <w:color w:val="000000"/>
          <w:szCs w:val="24"/>
        </w:rPr>
        <w:t xml:space="preserve"> with a 10% deduction for pre-service disability (</w:t>
      </w:r>
      <w:r w:rsidR="00384393">
        <w:rPr>
          <w:color w:val="000000"/>
          <w:szCs w:val="24"/>
        </w:rPr>
        <w:t xml:space="preserve">the CI’s 1983 VARD had determined that the left knee injury had </w:t>
      </w:r>
      <w:r w:rsidR="00356497">
        <w:rPr>
          <w:color w:val="000000"/>
          <w:szCs w:val="24"/>
        </w:rPr>
        <w:t>EPTS) for a final 10% service-</w:t>
      </w:r>
      <w:r w:rsidR="00E416BF">
        <w:rPr>
          <w:color w:val="000000"/>
          <w:szCs w:val="24"/>
        </w:rPr>
        <w:t>connected disability</w:t>
      </w:r>
      <w:r w:rsidR="00BB4CE3">
        <w:rPr>
          <w:color w:val="000000"/>
          <w:szCs w:val="24"/>
        </w:rPr>
        <w:t xml:space="preserve">.  </w:t>
      </w:r>
    </w:p>
    <w:p w:rsidR="00E416BF" w:rsidRDefault="00E416BF" w:rsidP="00BF7BCC">
      <w:pPr>
        <w:jc w:val="both"/>
        <w:rPr>
          <w:color w:val="000000"/>
          <w:szCs w:val="24"/>
        </w:rPr>
      </w:pPr>
    </w:p>
    <w:p w:rsidR="00BB4CE3" w:rsidRDefault="00BB4CE3" w:rsidP="00BF7BCC">
      <w:pPr>
        <w:jc w:val="both"/>
        <w:rPr>
          <w:color w:val="000000"/>
          <w:szCs w:val="24"/>
        </w:rPr>
      </w:pPr>
      <w:r>
        <w:rPr>
          <w:color w:val="000000"/>
          <w:szCs w:val="24"/>
        </w:rPr>
        <w:t>Neither the MEB nor the VA exam documented</w:t>
      </w:r>
      <w:r w:rsidRPr="00BB4CE3">
        <w:rPr>
          <w:color w:val="000000"/>
          <w:szCs w:val="24"/>
        </w:rPr>
        <w:t xml:space="preserve"> compensable ROM impairment </w:t>
      </w:r>
      <w:r>
        <w:rPr>
          <w:color w:val="000000"/>
          <w:szCs w:val="24"/>
        </w:rPr>
        <w:t>of the left</w:t>
      </w:r>
      <w:r w:rsidRPr="00BB4CE3">
        <w:rPr>
          <w:color w:val="000000"/>
          <w:szCs w:val="24"/>
        </w:rPr>
        <w:t xml:space="preserve"> knee</w:t>
      </w:r>
      <w:r>
        <w:rPr>
          <w:color w:val="000000"/>
          <w:szCs w:val="24"/>
        </w:rPr>
        <w:t xml:space="preserve"> under 5260, limitation of flexion, coding</w:t>
      </w:r>
      <w:r w:rsidRPr="00BB4CE3">
        <w:rPr>
          <w:color w:val="000000"/>
          <w:szCs w:val="24"/>
        </w:rPr>
        <w:t xml:space="preserve">. </w:t>
      </w:r>
      <w:r>
        <w:rPr>
          <w:color w:val="000000"/>
          <w:szCs w:val="24"/>
        </w:rPr>
        <w:t xml:space="preserve"> </w:t>
      </w:r>
      <w:r w:rsidR="00E95F5D" w:rsidRPr="00BB4CE3">
        <w:rPr>
          <w:color w:val="000000"/>
          <w:szCs w:val="24"/>
        </w:rPr>
        <w:t xml:space="preserve">The MEB and VA evaluations documented the absence of mechanical instability, locking or frequent effusions. </w:t>
      </w:r>
      <w:r w:rsidR="00E95F5D">
        <w:rPr>
          <w:color w:val="000000"/>
          <w:szCs w:val="24"/>
        </w:rPr>
        <w:t xml:space="preserve"> There were no symptoms or findings of </w:t>
      </w:r>
      <w:proofErr w:type="gramStart"/>
      <w:r w:rsidR="00E95F5D">
        <w:rPr>
          <w:color w:val="000000"/>
          <w:szCs w:val="24"/>
        </w:rPr>
        <w:t>an unfitting</w:t>
      </w:r>
      <w:proofErr w:type="gramEnd"/>
      <w:r w:rsidR="00E95F5D">
        <w:rPr>
          <w:color w:val="000000"/>
          <w:szCs w:val="24"/>
        </w:rPr>
        <w:t xml:space="preserve"> peripheral nerve impairment.  </w:t>
      </w:r>
      <w:r>
        <w:rPr>
          <w:color w:val="000000"/>
          <w:szCs w:val="24"/>
        </w:rPr>
        <w:t xml:space="preserve">With a normal gait and no flare-ups, the CI’s </w:t>
      </w:r>
      <w:r w:rsidRPr="00847CDA">
        <w:rPr>
          <w:color w:val="000000"/>
          <w:szCs w:val="24"/>
        </w:rPr>
        <w:t>knee impairment w</w:t>
      </w:r>
      <w:r w:rsidR="00E95F5D" w:rsidRPr="00847CDA">
        <w:rPr>
          <w:color w:val="000000"/>
          <w:szCs w:val="24"/>
        </w:rPr>
        <w:t xml:space="preserve">as adjudged to be at the slight versus the moderate knee disability level </w:t>
      </w:r>
      <w:r w:rsidRPr="00847CDA">
        <w:rPr>
          <w:color w:val="000000"/>
          <w:szCs w:val="24"/>
        </w:rPr>
        <w:t xml:space="preserve">under the 5262 coding.  </w:t>
      </w:r>
      <w:r w:rsidRPr="00847CDA">
        <w:rPr>
          <w:rFonts w:cs="Arial"/>
          <w:bCs/>
          <w:color w:val="000000"/>
          <w:szCs w:val="24"/>
        </w:rPr>
        <w:t>All evidence considered</w:t>
      </w:r>
      <w:proofErr w:type="gramStart"/>
      <w:r w:rsidRPr="00847CDA">
        <w:rPr>
          <w:rFonts w:cs="Arial"/>
          <w:bCs/>
          <w:color w:val="000000"/>
          <w:szCs w:val="24"/>
        </w:rPr>
        <w:t>,</w:t>
      </w:r>
      <w:proofErr w:type="gramEnd"/>
      <w:r w:rsidRPr="00847CDA">
        <w:rPr>
          <w:rFonts w:cs="Arial"/>
          <w:bCs/>
          <w:color w:val="000000"/>
          <w:szCs w:val="24"/>
        </w:rPr>
        <w:t xml:space="preserve"> there is not reasonable doubt in the CI’s favor supporting a change from the PEB’s coding or rating decision for the left </w:t>
      </w:r>
      <w:r w:rsidR="00BF7BCC" w:rsidRPr="00847CDA">
        <w:rPr>
          <w:rFonts w:cs="Arial"/>
          <w:bCs/>
          <w:color w:val="000000"/>
          <w:szCs w:val="24"/>
        </w:rPr>
        <w:t>knee degenerative joint disease</w:t>
      </w:r>
      <w:r w:rsidRPr="00847CDA">
        <w:rPr>
          <w:rFonts w:cs="Arial"/>
          <w:bCs/>
          <w:color w:val="000000"/>
          <w:szCs w:val="24"/>
        </w:rPr>
        <w:t xml:space="preserve"> condition</w:t>
      </w:r>
      <w:r w:rsidRPr="00A05CEE">
        <w:rPr>
          <w:rFonts w:cs="Arial"/>
          <w:bCs/>
          <w:color w:val="000000"/>
          <w:szCs w:val="24"/>
        </w:rPr>
        <w:t>.</w:t>
      </w:r>
      <w:r>
        <w:rPr>
          <w:rFonts w:cs="Arial"/>
          <w:bCs/>
          <w:color w:val="000000"/>
          <w:szCs w:val="24"/>
        </w:rPr>
        <w:t xml:space="preserve">  </w:t>
      </w:r>
    </w:p>
    <w:p w:rsidR="00EB19D5" w:rsidRDefault="00EB19D5" w:rsidP="00BF7BCC">
      <w:pPr>
        <w:jc w:val="both"/>
        <w:rPr>
          <w:color w:val="000000"/>
        </w:rPr>
      </w:pPr>
    </w:p>
    <w:p w:rsidR="00DB4487" w:rsidRPr="007B1F97" w:rsidRDefault="004C60A3" w:rsidP="00C654BE">
      <w:pPr>
        <w:pStyle w:val="Default"/>
        <w:spacing w:line="240" w:lineRule="exact"/>
        <w:jc w:val="both"/>
      </w:pPr>
      <w:proofErr w:type="gramStart"/>
      <w:r w:rsidRPr="001F29F9">
        <w:rPr>
          <w:rFonts w:eastAsia="HiddenHorzOCR"/>
          <w:u w:val="single"/>
        </w:rPr>
        <w:t>Ot</w:t>
      </w:r>
      <w:r w:rsidR="003604A5" w:rsidRPr="001F29F9">
        <w:rPr>
          <w:rFonts w:eastAsia="HiddenHorzOCR"/>
          <w:u w:val="single"/>
        </w:rPr>
        <w:t xml:space="preserve">her </w:t>
      </w:r>
      <w:r w:rsidR="008F30F4" w:rsidRPr="001F29F9">
        <w:rPr>
          <w:rFonts w:eastAsia="HiddenHorzOCR"/>
          <w:u w:val="single"/>
        </w:rPr>
        <w:t xml:space="preserve">PEB </w:t>
      </w:r>
      <w:r w:rsidR="003604A5" w:rsidRPr="001F29F9">
        <w:rPr>
          <w:rFonts w:eastAsia="HiddenHorzOCR"/>
          <w:u w:val="single"/>
        </w:rPr>
        <w:t>Conditions</w:t>
      </w:r>
      <w:r w:rsidR="003604A5" w:rsidRPr="001F29F9">
        <w:rPr>
          <w:rFonts w:eastAsia="HiddenHorzOCR"/>
        </w:rPr>
        <w:t>.</w:t>
      </w:r>
      <w:proofErr w:type="gramEnd"/>
      <w:r w:rsidR="002F2981" w:rsidRPr="001F29F9">
        <w:rPr>
          <w:rFonts w:eastAsia="HiddenHorzOCR"/>
        </w:rPr>
        <w:t xml:space="preserve"> </w:t>
      </w:r>
      <w:r w:rsidR="003C5B54" w:rsidRPr="001F29F9">
        <w:rPr>
          <w:rFonts w:eastAsia="HiddenHorzOCR"/>
        </w:rPr>
        <w:t xml:space="preserve"> </w:t>
      </w:r>
      <w:r w:rsidR="008C3223" w:rsidRPr="00847CDA">
        <w:t>The other conditions forwarded by the MEB and adjudicated as not unfitting by the PEB were</w:t>
      </w:r>
      <w:r w:rsidR="008C413D" w:rsidRPr="00847CDA">
        <w:t xml:space="preserve"> hypertension</w:t>
      </w:r>
      <w:r w:rsidR="001E4330" w:rsidRPr="00847CDA">
        <w:t xml:space="preserve">, </w:t>
      </w:r>
      <w:r w:rsidR="00DB4487" w:rsidRPr="00847CDA">
        <w:t xml:space="preserve">obesity </w:t>
      </w:r>
      <w:r w:rsidR="007B4FBD" w:rsidRPr="00847CDA">
        <w:t xml:space="preserve">and </w:t>
      </w:r>
      <w:r w:rsidR="00DB4487" w:rsidRPr="00847CDA">
        <w:t>diabetes mellitus</w:t>
      </w:r>
      <w:r w:rsidR="008C413D" w:rsidRPr="00847CDA">
        <w:t xml:space="preserve">.  </w:t>
      </w:r>
      <w:r w:rsidR="00DB4487" w:rsidRPr="00847CDA">
        <w:t xml:space="preserve">Additionally, the condition of thoracic back pain, which developed after the MEB and IPEB </w:t>
      </w:r>
      <w:r w:rsidR="0038595C" w:rsidRPr="00847CDA">
        <w:t>proceedings</w:t>
      </w:r>
      <w:r w:rsidR="00DB4487" w:rsidRPr="00847CDA">
        <w:t xml:space="preserve">, was addressed by the FPEB.  </w:t>
      </w:r>
      <w:r w:rsidR="0057608D" w:rsidRPr="00847CDA">
        <w:rPr>
          <w:rFonts w:eastAsia="HiddenHorzOCR"/>
        </w:rPr>
        <w:t xml:space="preserve">The condition of obesity does not constitute a physical disability IAW DoDI 1332.38.  </w:t>
      </w:r>
      <w:r w:rsidR="00DB4487" w:rsidRPr="00847CDA">
        <w:rPr>
          <w:rFonts w:eastAsia="HiddenHorzOCR"/>
        </w:rPr>
        <w:t>The condition of hypertension was fairly well</w:t>
      </w:r>
      <w:r w:rsidR="00DB4487" w:rsidRPr="0057608D">
        <w:rPr>
          <w:rFonts w:eastAsia="HiddenHorzOCR"/>
        </w:rPr>
        <w:t xml:space="preserve"> controlled on medication</w:t>
      </w:r>
      <w:r w:rsidR="0057608D">
        <w:rPr>
          <w:rFonts w:eastAsia="HiddenHorzOCR"/>
        </w:rPr>
        <w:t xml:space="preserve">.  </w:t>
      </w:r>
      <w:r w:rsidR="00DB4487" w:rsidRPr="0057608D">
        <w:rPr>
          <w:rFonts w:eastAsia="HiddenHorzOCR"/>
        </w:rPr>
        <w:t>There</w:t>
      </w:r>
      <w:r w:rsidR="00DB4487">
        <w:rPr>
          <w:rFonts w:eastAsia="HiddenHorzOCR"/>
        </w:rPr>
        <w:t xml:space="preserve"> was no diagnosis of any associated end-organ damage</w:t>
      </w:r>
      <w:r w:rsidR="0057608D">
        <w:rPr>
          <w:rFonts w:eastAsia="HiddenHorzOCR"/>
        </w:rPr>
        <w:t>, this condition was not noted as failing retention standards and it was not implicated in the commander’s statement</w:t>
      </w:r>
      <w:r w:rsidR="00DB4487">
        <w:rPr>
          <w:rFonts w:eastAsia="HiddenHorzOCR"/>
        </w:rPr>
        <w:t>.</w:t>
      </w:r>
      <w:r w:rsidR="0057608D">
        <w:rPr>
          <w:rFonts w:eastAsia="HiddenHorzOCR"/>
        </w:rPr>
        <w:t xml:space="preserve">  </w:t>
      </w:r>
      <w:r w:rsidR="003E509C" w:rsidRPr="003E509C">
        <w:rPr>
          <w:rFonts w:eastAsia="HiddenHorzOCR"/>
        </w:rPr>
        <w:t xml:space="preserve">The CI developed thoracic back pain </w:t>
      </w:r>
      <w:r w:rsidR="009F536A">
        <w:rPr>
          <w:rFonts w:eastAsia="HiddenHorzOCR"/>
        </w:rPr>
        <w:t>a</w:t>
      </w:r>
      <w:r w:rsidR="003E509C" w:rsidRPr="003E509C">
        <w:rPr>
          <w:rFonts w:eastAsia="HiddenHorzOCR"/>
        </w:rPr>
        <w:t xml:space="preserve"> month prior to the FPEB </w:t>
      </w:r>
      <w:r w:rsidR="0038595C" w:rsidRPr="003E509C">
        <w:rPr>
          <w:rFonts w:eastAsia="HiddenHorzOCR"/>
        </w:rPr>
        <w:t>proceedings</w:t>
      </w:r>
      <w:r w:rsidR="003E509C" w:rsidRPr="003E509C">
        <w:rPr>
          <w:rFonts w:eastAsia="HiddenHorzOCR"/>
        </w:rPr>
        <w:t xml:space="preserve">, and he petitioned for this to be added as an unfitting condition.  There was scant documentation in the </w:t>
      </w:r>
      <w:r w:rsidR="00356497">
        <w:rPr>
          <w:rFonts w:eastAsia="HiddenHorzOCR"/>
        </w:rPr>
        <w:t>service treatment records (</w:t>
      </w:r>
      <w:r w:rsidR="003E509C" w:rsidRPr="003E509C">
        <w:rPr>
          <w:rFonts w:eastAsia="HiddenHorzOCR"/>
        </w:rPr>
        <w:t>STRs</w:t>
      </w:r>
      <w:r w:rsidR="00356497">
        <w:rPr>
          <w:rFonts w:eastAsia="HiddenHorzOCR"/>
        </w:rPr>
        <w:t>)</w:t>
      </w:r>
      <w:r w:rsidR="003E509C" w:rsidRPr="003E509C">
        <w:rPr>
          <w:rFonts w:eastAsia="HiddenHorzOCR"/>
        </w:rPr>
        <w:t xml:space="preserve"> on the thoracic back pain condition and there was insufficient evidence that this condition resulted in any duty limitations.  </w:t>
      </w:r>
      <w:r w:rsidR="0067743F">
        <w:rPr>
          <w:rFonts w:eastAsia="HiddenHorzOCR"/>
        </w:rPr>
        <w:t xml:space="preserve">The FPEB noted that the </w:t>
      </w:r>
      <w:r w:rsidR="007B1F97">
        <w:rPr>
          <w:rFonts w:eastAsia="HiddenHorzOCR"/>
        </w:rPr>
        <w:t>thoracic</w:t>
      </w:r>
      <w:r w:rsidR="0067743F">
        <w:rPr>
          <w:rFonts w:eastAsia="HiddenHorzOCR"/>
        </w:rPr>
        <w:t xml:space="preserve"> back pain condition </w:t>
      </w:r>
      <w:r w:rsidR="0067743F">
        <w:rPr>
          <w:rFonts w:eastAsia="HiddenHorzOCR"/>
        </w:rPr>
        <w:lastRenderedPageBreak/>
        <w:t>was of recent onset and likely transient.  With respect to the thoracic back pain condition, t</w:t>
      </w:r>
      <w:r w:rsidR="007B03EE">
        <w:rPr>
          <w:rFonts w:eastAsia="HiddenHorzOCR"/>
        </w:rPr>
        <w:t>he Board notes that i</w:t>
      </w:r>
      <w:r w:rsidR="003E509C" w:rsidRPr="003E509C">
        <w:rPr>
          <w:rFonts w:eastAsia="HiddenHorzOCR"/>
        </w:rPr>
        <w:t xml:space="preserve">t is not uncommon for members to be separated for an established unfitting condition with pending treatment issues for conditions unrelated to the reason for a MEB. </w:t>
      </w:r>
      <w:r w:rsidR="003E509C">
        <w:rPr>
          <w:rFonts w:eastAsia="HiddenHorzOCR"/>
        </w:rPr>
        <w:t xml:space="preserve"> </w:t>
      </w:r>
      <w:r w:rsidR="003E509C" w:rsidRPr="003E509C">
        <w:rPr>
          <w:rFonts w:eastAsia="HiddenHorzOCR"/>
        </w:rPr>
        <w:t xml:space="preserve">The service’s responsibility in such cases is to assure that there are no safety concerns with transfer of care, not to see all conditions through to their maximal resolution. </w:t>
      </w:r>
      <w:r w:rsidR="003E509C">
        <w:rPr>
          <w:rFonts w:eastAsia="HiddenHorzOCR"/>
        </w:rPr>
        <w:t xml:space="preserve"> </w:t>
      </w:r>
      <w:r w:rsidR="003E509C" w:rsidRPr="003E509C">
        <w:rPr>
          <w:rFonts w:eastAsia="HiddenHorzOCR"/>
        </w:rPr>
        <w:t xml:space="preserve">When assessing the fitness implications of these collateral conditions, the PEB acknowledges that the member is not remaining on active duty for other reasons. </w:t>
      </w:r>
      <w:r w:rsidR="003E509C">
        <w:rPr>
          <w:rFonts w:eastAsia="HiddenHorzOCR"/>
        </w:rPr>
        <w:t xml:space="preserve"> </w:t>
      </w:r>
      <w:r w:rsidR="003E509C" w:rsidRPr="003E509C">
        <w:rPr>
          <w:rFonts w:eastAsia="HiddenHorzOCR"/>
        </w:rPr>
        <w:t xml:space="preserve">It must therefore anticipate the typical clinical course and expected impact on long-term MOS performance. </w:t>
      </w:r>
      <w:r w:rsidR="003E509C">
        <w:rPr>
          <w:rFonts w:eastAsia="HiddenHorzOCR"/>
        </w:rPr>
        <w:t xml:space="preserve"> </w:t>
      </w:r>
      <w:r w:rsidR="003E509C" w:rsidRPr="003E509C">
        <w:rPr>
          <w:rFonts w:eastAsia="HiddenHorzOCR"/>
        </w:rPr>
        <w:t>The Board must judge the fairness of the PEB’s fitness adjudication in such cases on the basis of that principle, not on the particulars in effect on the day of separation.</w:t>
      </w:r>
      <w:r w:rsidR="003E509C">
        <w:rPr>
          <w:rFonts w:eastAsia="HiddenHorzOCR"/>
        </w:rPr>
        <w:t xml:space="preserve">  </w:t>
      </w:r>
      <w:r w:rsidR="00AE6C33">
        <w:rPr>
          <w:rFonts w:eastAsia="HiddenHorzOCR"/>
        </w:rPr>
        <w:t xml:space="preserve">The conditions of hypertension and thoracic back pain </w:t>
      </w:r>
      <w:r w:rsidR="00AE6C33" w:rsidRPr="001F29F9">
        <w:t xml:space="preserve">were reviewed by the action officer and considered by the Board.  There was no indication from the record that </w:t>
      </w:r>
      <w:r w:rsidR="00AE6C33">
        <w:t xml:space="preserve">either </w:t>
      </w:r>
      <w:r w:rsidR="00AE6C33" w:rsidRPr="001F29F9">
        <w:t>of these conditions significantly interfered with satisfactory duty performance.  All evidence considered</w:t>
      </w:r>
      <w:proofErr w:type="gramStart"/>
      <w:r w:rsidR="00AE6C33" w:rsidRPr="001F29F9">
        <w:t>,</w:t>
      </w:r>
      <w:proofErr w:type="gramEnd"/>
      <w:r w:rsidR="00AE6C33" w:rsidRPr="001F29F9">
        <w:t xml:space="preserve"> there is not reasonable doubt in the CI’s favor supporting recharacterization of the PEB fitness </w:t>
      </w:r>
      <w:r w:rsidR="00AE6C33" w:rsidRPr="007B1F97">
        <w:t xml:space="preserve">adjudication for </w:t>
      </w:r>
      <w:r w:rsidR="003E509C" w:rsidRPr="007B1F97">
        <w:t>the hypertension or thoracic back pain</w:t>
      </w:r>
      <w:r w:rsidR="00AE6C33" w:rsidRPr="007B1F97">
        <w:t xml:space="preserve"> conditions.</w:t>
      </w:r>
      <w:r w:rsidR="0038595C" w:rsidRPr="007B1F97">
        <w:t xml:space="preserve">  </w:t>
      </w:r>
    </w:p>
    <w:p w:rsidR="00AE6C33" w:rsidRPr="007B1F97" w:rsidRDefault="00AE6C33" w:rsidP="00C654BE">
      <w:pPr>
        <w:pStyle w:val="Default"/>
        <w:spacing w:line="240" w:lineRule="exact"/>
        <w:jc w:val="both"/>
        <w:rPr>
          <w:szCs w:val="23"/>
        </w:rPr>
      </w:pPr>
    </w:p>
    <w:p w:rsidR="00AC4F91" w:rsidRDefault="00EC3F85" w:rsidP="00604A0D">
      <w:pPr>
        <w:jc w:val="both"/>
        <w:rPr>
          <w:rFonts w:eastAsia="HiddenHorzOCR"/>
          <w:color w:val="auto"/>
          <w:szCs w:val="24"/>
        </w:rPr>
      </w:pPr>
      <w:r w:rsidRPr="007B1F97">
        <w:rPr>
          <w:rFonts w:eastAsia="HiddenHorzOCR"/>
          <w:color w:val="auto"/>
          <w:szCs w:val="24"/>
        </w:rPr>
        <w:t xml:space="preserve">The </w:t>
      </w:r>
      <w:r w:rsidR="00BF7BCC" w:rsidRPr="007B1F97">
        <w:rPr>
          <w:rFonts w:eastAsia="HiddenHorzOCR"/>
          <w:color w:val="auto"/>
          <w:szCs w:val="24"/>
        </w:rPr>
        <w:t>C</w:t>
      </w:r>
      <w:r w:rsidR="00BF7BCC" w:rsidRPr="007B1F97">
        <w:rPr>
          <w:rFonts w:eastAsia="HiddenHorzOCR"/>
          <w:color w:val="000000"/>
          <w:szCs w:val="24"/>
        </w:rPr>
        <w:t xml:space="preserve">I was </w:t>
      </w:r>
      <w:r w:rsidR="00604A0D" w:rsidRPr="007B1F97">
        <w:rPr>
          <w:rFonts w:eastAsia="HiddenHorzOCR"/>
          <w:color w:val="000000"/>
          <w:szCs w:val="24"/>
        </w:rPr>
        <w:t xml:space="preserve">initially diagnosed with diabetes in 2004.  He had a diagnosis of </w:t>
      </w:r>
      <w:r w:rsidR="00BF7BCC" w:rsidRPr="007B1F97">
        <w:rPr>
          <w:rFonts w:eastAsia="HiddenHorzOCR"/>
          <w:color w:val="000000"/>
          <w:szCs w:val="24"/>
        </w:rPr>
        <w:t>mildly symptomatic</w:t>
      </w:r>
      <w:r w:rsidRPr="007B1F97">
        <w:rPr>
          <w:rFonts w:eastAsia="HiddenHorzOCR"/>
          <w:color w:val="000000"/>
          <w:szCs w:val="24"/>
        </w:rPr>
        <w:t>,</w:t>
      </w:r>
      <w:r w:rsidR="00BF7BCC" w:rsidRPr="007B1F97">
        <w:rPr>
          <w:rFonts w:eastAsia="HiddenHorzOCR"/>
          <w:color w:val="000000"/>
          <w:szCs w:val="24"/>
        </w:rPr>
        <w:t xml:space="preserve"> new onset type </w:t>
      </w:r>
      <w:r w:rsidR="00356497">
        <w:rPr>
          <w:rFonts w:eastAsia="HiddenHorzOCR"/>
          <w:color w:val="000000"/>
          <w:szCs w:val="24"/>
        </w:rPr>
        <w:t>II</w:t>
      </w:r>
      <w:r w:rsidR="00BF7BCC" w:rsidRPr="007B1F97">
        <w:rPr>
          <w:rFonts w:eastAsia="HiddenHorzOCR"/>
          <w:color w:val="000000"/>
          <w:szCs w:val="24"/>
        </w:rPr>
        <w:t xml:space="preserve"> diabetes mellitus in February 2008 after a January 2008 ophthalmology exam found evidence of diabetic retino</w:t>
      </w:r>
      <w:r w:rsidR="00BF7BCC">
        <w:rPr>
          <w:rFonts w:eastAsia="HiddenHorzOCR"/>
          <w:color w:val="000000"/>
          <w:szCs w:val="24"/>
        </w:rPr>
        <w:t xml:space="preserve">pathy.  </w:t>
      </w:r>
      <w:r w:rsidR="00E34A55">
        <w:rPr>
          <w:rFonts w:eastAsia="HiddenHorzOCR"/>
          <w:color w:val="000000"/>
          <w:szCs w:val="24"/>
        </w:rPr>
        <w:t xml:space="preserve">At the time of the February 2008 diagnosis, </w:t>
      </w:r>
      <w:r w:rsidR="00770FEB">
        <w:rPr>
          <w:rFonts w:eastAsia="HiddenHorzOCR"/>
          <w:color w:val="000000"/>
          <w:szCs w:val="24"/>
        </w:rPr>
        <w:t xml:space="preserve">the CI complained of blurry vision, malaise, </w:t>
      </w:r>
      <w:proofErr w:type="spellStart"/>
      <w:r w:rsidR="00770FEB">
        <w:rPr>
          <w:rFonts w:eastAsia="HiddenHorzOCR"/>
          <w:color w:val="000000"/>
          <w:szCs w:val="24"/>
        </w:rPr>
        <w:t>polydipsia</w:t>
      </w:r>
      <w:proofErr w:type="spellEnd"/>
      <w:r w:rsidR="00770FEB">
        <w:rPr>
          <w:rFonts w:eastAsia="HiddenHorzOCR"/>
          <w:color w:val="000000"/>
          <w:szCs w:val="24"/>
        </w:rPr>
        <w:t xml:space="preserve"> and a recent five pound weight loss.  His fasting glucose was 267, the </w:t>
      </w:r>
      <w:proofErr w:type="spellStart"/>
      <w:r w:rsidR="00770FEB">
        <w:rPr>
          <w:rFonts w:eastAsia="HiddenHorzOCR"/>
          <w:color w:val="000000"/>
          <w:szCs w:val="24"/>
        </w:rPr>
        <w:t>glycated</w:t>
      </w:r>
      <w:proofErr w:type="spellEnd"/>
      <w:r w:rsidR="00770FEB">
        <w:rPr>
          <w:rFonts w:eastAsia="HiddenHorzOCR"/>
          <w:color w:val="000000"/>
          <w:szCs w:val="24"/>
        </w:rPr>
        <w:t xml:space="preserve"> hemoglobin (HgA1c) level was 13.3%, and he was spilling </w:t>
      </w:r>
      <w:proofErr w:type="gramStart"/>
      <w:r w:rsidR="00770FEB">
        <w:rPr>
          <w:rFonts w:eastAsia="HiddenHorzOCR"/>
          <w:color w:val="000000"/>
          <w:szCs w:val="24"/>
        </w:rPr>
        <w:t>4+ glucose</w:t>
      </w:r>
      <w:proofErr w:type="gramEnd"/>
      <w:r w:rsidR="00770FEB">
        <w:rPr>
          <w:rFonts w:eastAsia="HiddenHorzOCR"/>
          <w:color w:val="000000"/>
          <w:szCs w:val="24"/>
        </w:rPr>
        <w:t xml:space="preserve"> in his urine.  T</w:t>
      </w:r>
      <w:r w:rsidR="00E34A55">
        <w:rPr>
          <w:rFonts w:eastAsia="HiddenHorzOCR"/>
          <w:color w:val="000000"/>
          <w:szCs w:val="24"/>
        </w:rPr>
        <w:t>he endocrinologist noted likely beta cell failure that required initial treatment with an intensive insulin regimen</w:t>
      </w:r>
      <w:r w:rsidR="00D65EDA">
        <w:rPr>
          <w:rFonts w:eastAsia="HiddenHorzOCR"/>
          <w:color w:val="000000"/>
          <w:szCs w:val="24"/>
        </w:rPr>
        <w:t xml:space="preserve"> for a period of three to </w:t>
      </w:r>
      <w:r w:rsidR="009F536A">
        <w:rPr>
          <w:rFonts w:eastAsia="HiddenHorzOCR"/>
          <w:color w:val="000000"/>
          <w:szCs w:val="24"/>
        </w:rPr>
        <w:t>6</w:t>
      </w:r>
      <w:r w:rsidR="00D65EDA">
        <w:rPr>
          <w:rFonts w:eastAsia="HiddenHorzOCR"/>
          <w:color w:val="000000"/>
          <w:szCs w:val="24"/>
        </w:rPr>
        <w:t xml:space="preserve"> months</w:t>
      </w:r>
      <w:r w:rsidR="009C01BA">
        <w:rPr>
          <w:rFonts w:eastAsia="HiddenHorzOCR"/>
          <w:color w:val="000000"/>
          <w:szCs w:val="24"/>
        </w:rPr>
        <w:t>.</w:t>
      </w:r>
      <w:r w:rsidR="00FF4538">
        <w:rPr>
          <w:rFonts w:eastAsia="HiddenHorzOCR"/>
          <w:color w:val="000000"/>
          <w:szCs w:val="24"/>
        </w:rPr>
        <w:t xml:space="preserve"> </w:t>
      </w:r>
      <w:r w:rsidR="003B41B9">
        <w:rPr>
          <w:rFonts w:eastAsia="HiddenHorzOCR"/>
          <w:color w:val="000000"/>
          <w:szCs w:val="24"/>
        </w:rPr>
        <w:t xml:space="preserve"> </w:t>
      </w:r>
      <w:r w:rsidR="00D65EDA">
        <w:rPr>
          <w:rFonts w:eastAsia="HiddenHorzOCR"/>
          <w:color w:val="000000"/>
          <w:szCs w:val="24"/>
        </w:rPr>
        <w:t xml:space="preserve">At the time of </w:t>
      </w:r>
      <w:r w:rsidR="009C01BA">
        <w:rPr>
          <w:rFonts w:eastAsia="HiddenHorzOCR"/>
          <w:color w:val="000000"/>
          <w:szCs w:val="24"/>
        </w:rPr>
        <w:t xml:space="preserve">endocrinology </w:t>
      </w:r>
      <w:r w:rsidR="00D65EDA">
        <w:rPr>
          <w:rFonts w:eastAsia="HiddenHorzOCR"/>
          <w:color w:val="000000"/>
          <w:szCs w:val="24"/>
        </w:rPr>
        <w:t xml:space="preserve">reevaluation in June 2008, the CI’s blood sugars were under better control and the HgA1c had decreased to 8.2.  </w:t>
      </w:r>
      <w:r w:rsidR="00495FF3">
        <w:rPr>
          <w:rFonts w:eastAsia="HiddenHorzOCR"/>
          <w:color w:val="000000"/>
          <w:szCs w:val="24"/>
        </w:rPr>
        <w:t>In response to the CI’s improving diabetes control, t</w:t>
      </w:r>
      <w:r w:rsidR="00D65EDA">
        <w:rPr>
          <w:rFonts w:eastAsia="HiddenHorzOCR"/>
          <w:color w:val="000000"/>
          <w:szCs w:val="24"/>
        </w:rPr>
        <w:t xml:space="preserve">he endocrinologist </w:t>
      </w:r>
      <w:r w:rsidR="003B41B9">
        <w:rPr>
          <w:rFonts w:eastAsia="HiddenHorzOCR"/>
          <w:color w:val="000000"/>
          <w:szCs w:val="24"/>
        </w:rPr>
        <w:t>initiated a plan to</w:t>
      </w:r>
      <w:r w:rsidR="00D65EDA">
        <w:rPr>
          <w:rFonts w:eastAsia="HiddenHorzOCR"/>
          <w:color w:val="000000"/>
          <w:szCs w:val="24"/>
        </w:rPr>
        <w:t xml:space="preserve"> transition </w:t>
      </w:r>
      <w:r w:rsidR="00495FF3">
        <w:rPr>
          <w:rFonts w:eastAsia="HiddenHorzOCR"/>
          <w:color w:val="000000"/>
          <w:szCs w:val="24"/>
        </w:rPr>
        <w:t>off of insulin therapy and on</w:t>
      </w:r>
      <w:r w:rsidR="00D65EDA">
        <w:rPr>
          <w:rFonts w:eastAsia="HiddenHorzOCR"/>
          <w:color w:val="000000"/>
          <w:szCs w:val="24"/>
        </w:rPr>
        <w:t>to oral medication</w:t>
      </w:r>
      <w:r w:rsidR="00FF4538">
        <w:rPr>
          <w:rFonts w:eastAsia="HiddenHorzOCR"/>
          <w:color w:val="000000"/>
          <w:szCs w:val="24"/>
        </w:rPr>
        <w:t>s</w:t>
      </w:r>
      <w:r w:rsidR="00495FF3">
        <w:rPr>
          <w:rFonts w:eastAsia="HiddenHorzOCR"/>
          <w:color w:val="000000"/>
          <w:szCs w:val="24"/>
        </w:rPr>
        <w:t>.</w:t>
      </w:r>
      <w:r w:rsidR="00FF4538">
        <w:rPr>
          <w:rFonts w:eastAsia="HiddenHorzOCR"/>
          <w:color w:val="000000"/>
          <w:szCs w:val="24"/>
        </w:rPr>
        <w:t xml:space="preserve"> </w:t>
      </w:r>
      <w:r w:rsidR="0038595C">
        <w:rPr>
          <w:rFonts w:eastAsia="HiddenHorzOCR"/>
          <w:color w:val="000000"/>
          <w:szCs w:val="24"/>
        </w:rPr>
        <w:t xml:space="preserve"> </w:t>
      </w:r>
      <w:r w:rsidR="00495FF3">
        <w:rPr>
          <w:rFonts w:eastAsia="HiddenHorzOCR"/>
          <w:color w:val="000000"/>
          <w:szCs w:val="24"/>
        </w:rPr>
        <w:t xml:space="preserve">At the time of the MEB exam, it was noted that the CI’s diabetes control was </w:t>
      </w:r>
      <w:r w:rsidR="00495FF3" w:rsidRPr="007B1F97">
        <w:rPr>
          <w:rFonts w:eastAsia="HiddenHorzOCR"/>
          <w:color w:val="000000"/>
          <w:szCs w:val="24"/>
        </w:rPr>
        <w:t xml:space="preserve">improving and that his insulin therapy was being discontinued.  He had not had any problems with insulin reaction and denied any problems with his oral diabetes medication.  </w:t>
      </w:r>
      <w:r w:rsidR="00604A0D" w:rsidRPr="007B1F97">
        <w:rPr>
          <w:rFonts w:eastAsia="HiddenHorzOCR"/>
          <w:color w:val="000000"/>
          <w:szCs w:val="24"/>
        </w:rPr>
        <w:t xml:space="preserve">The MEB examiner noted that the CI had been previously diagnosed with diabetes in 2004 and in 2006, but had not followed up with treatment.  The </w:t>
      </w:r>
      <w:r w:rsidR="009F536A">
        <w:rPr>
          <w:rFonts w:eastAsia="HiddenHorzOCR"/>
          <w:color w:val="000000"/>
          <w:szCs w:val="24"/>
        </w:rPr>
        <w:t>STRs</w:t>
      </w:r>
      <w:r w:rsidR="00604A0D" w:rsidRPr="007B1F97">
        <w:rPr>
          <w:rFonts w:eastAsia="HiddenHorzOCR"/>
          <w:color w:val="000000"/>
          <w:szCs w:val="24"/>
        </w:rPr>
        <w:t xml:space="preserve"> documented that while activated in March 2005, the CI had </w:t>
      </w:r>
      <w:r w:rsidR="00604A0D" w:rsidRPr="007B1F97">
        <w:rPr>
          <w:rFonts w:eastAsia="HiddenHorzOCR"/>
          <w:color w:val="auto"/>
          <w:szCs w:val="24"/>
        </w:rPr>
        <w:t>been placed on a permanent P2 profile for diabetes treated with oral medication</w:t>
      </w:r>
      <w:r w:rsidR="00604A0D" w:rsidRPr="00604A0D">
        <w:rPr>
          <w:rFonts w:eastAsia="HiddenHorzOCR"/>
          <w:color w:val="auto"/>
          <w:szCs w:val="24"/>
        </w:rPr>
        <w:t xml:space="preserve">.  </w:t>
      </w:r>
    </w:p>
    <w:p w:rsidR="00AC4F91" w:rsidRDefault="00AC4F91" w:rsidP="00604A0D">
      <w:pPr>
        <w:jc w:val="both"/>
        <w:rPr>
          <w:rFonts w:eastAsia="HiddenHorzOCR"/>
          <w:color w:val="auto"/>
          <w:szCs w:val="24"/>
        </w:rPr>
      </w:pPr>
    </w:p>
    <w:p w:rsidR="00604A0D" w:rsidRDefault="00AC4F91" w:rsidP="00604A0D">
      <w:pPr>
        <w:jc w:val="both"/>
        <w:rPr>
          <w:rFonts w:eastAsia="HiddenHorzOCR"/>
          <w:color w:val="000000"/>
          <w:szCs w:val="24"/>
        </w:rPr>
      </w:pPr>
      <w:r w:rsidRPr="007E1D1E">
        <w:rPr>
          <w:rFonts w:eastAsia="HiddenHorzOCR"/>
          <w:color w:val="auto"/>
          <w:szCs w:val="24"/>
        </w:rPr>
        <w:t>The VA exam 4 months after separation</w:t>
      </w:r>
      <w:r w:rsidR="00356497">
        <w:rPr>
          <w:rFonts w:eastAsia="HiddenHorzOCR"/>
          <w:color w:val="auto"/>
          <w:szCs w:val="24"/>
        </w:rPr>
        <w:t>,</w:t>
      </w:r>
      <w:r w:rsidRPr="007E1D1E">
        <w:rPr>
          <w:rFonts w:eastAsia="HiddenHorzOCR"/>
          <w:color w:val="auto"/>
          <w:szCs w:val="24"/>
        </w:rPr>
        <w:t xml:space="preserve"> </w:t>
      </w:r>
      <w:r w:rsidR="00356497">
        <w:rPr>
          <w:rFonts w:eastAsia="HiddenHorzOCR"/>
          <w:color w:val="auto"/>
          <w:szCs w:val="24"/>
        </w:rPr>
        <w:t>on 10 February 2009</w:t>
      </w:r>
      <w:r w:rsidRPr="007E1D1E">
        <w:rPr>
          <w:rFonts w:eastAsia="HiddenHorzOCR"/>
          <w:color w:val="auto"/>
          <w:szCs w:val="24"/>
        </w:rPr>
        <w:t xml:space="preserve">, indicated the CI was taking insulin, </w:t>
      </w:r>
      <w:r w:rsidR="007E1D1E">
        <w:rPr>
          <w:rFonts w:eastAsia="HiddenHorzOCR"/>
          <w:color w:val="auto"/>
          <w:szCs w:val="24"/>
        </w:rPr>
        <w:t xml:space="preserve">and </w:t>
      </w:r>
      <w:r w:rsidRPr="007E1D1E">
        <w:rPr>
          <w:rFonts w:eastAsia="HiddenHorzOCR"/>
          <w:color w:val="auto"/>
          <w:szCs w:val="24"/>
        </w:rPr>
        <w:t xml:space="preserve">had not been hospitalized or had any activity restrictions due to diabetes.  There were no peripheral nerve findings (some ocular findings with record of diabetic retinopathy).  Blood glucose was 299 mg/dl (70-109), HgA1c was 11.7% (4.2-5.8), and there was glucose and microalbumin in the urine.  The diagnosis was diabetes mellitus type </w:t>
      </w:r>
      <w:r w:rsidR="00356497">
        <w:rPr>
          <w:rFonts w:eastAsia="HiddenHorzOCR"/>
          <w:color w:val="auto"/>
          <w:szCs w:val="24"/>
        </w:rPr>
        <w:t>II</w:t>
      </w:r>
      <w:r w:rsidRPr="007E1D1E">
        <w:rPr>
          <w:rFonts w:eastAsia="HiddenHorzOCR"/>
          <w:color w:val="auto"/>
          <w:szCs w:val="24"/>
        </w:rPr>
        <w:t xml:space="preserve"> with poor control.  </w:t>
      </w:r>
      <w:r w:rsidR="00604A0D" w:rsidRPr="00604A0D">
        <w:rPr>
          <w:rFonts w:eastAsia="HiddenHorzOCR"/>
          <w:color w:val="auto"/>
          <w:szCs w:val="24"/>
        </w:rPr>
        <w:t>VA review indicated “</w:t>
      </w:r>
      <w:r w:rsidR="00356497">
        <w:rPr>
          <w:rFonts w:eastAsia="HiddenHorzOCR"/>
          <w:color w:val="auto"/>
          <w:szCs w:val="24"/>
        </w:rPr>
        <w:t>STRs</w:t>
      </w:r>
      <w:r w:rsidR="00604A0D" w:rsidRPr="00604A0D">
        <w:rPr>
          <w:rFonts w:eastAsia="HiddenHorzOCR"/>
          <w:color w:val="auto"/>
          <w:szCs w:val="24"/>
        </w:rPr>
        <w:t xml:space="preserve"> from July 16, 1980 through March 30, 1983 and from May 14, 2007 to October 19, 2008 show diabetes mellitus on medication at entrance examination on May 20, 2007.”  </w:t>
      </w:r>
      <w:r w:rsidR="00604A0D">
        <w:rPr>
          <w:rFonts w:eastAsia="HiddenHorzOCR"/>
          <w:color w:val="000000"/>
          <w:szCs w:val="24"/>
        </w:rPr>
        <w:t xml:space="preserve">The VA rating was </w:t>
      </w:r>
      <w:r w:rsidR="007E1D1E">
        <w:rPr>
          <w:rFonts w:eastAsia="HiddenHorzOCR"/>
          <w:color w:val="000000"/>
          <w:szCs w:val="24"/>
        </w:rPr>
        <w:t>“</w:t>
      </w:r>
      <w:r w:rsidR="00832AB6">
        <w:rPr>
          <w:rFonts w:eastAsia="HiddenHorzOCR"/>
          <w:color w:val="000000"/>
          <w:szCs w:val="24"/>
        </w:rPr>
        <w:t>n</w:t>
      </w:r>
      <w:r w:rsidR="007E1D1E" w:rsidRPr="007E1D1E">
        <w:rPr>
          <w:rFonts w:eastAsia="HiddenHorzOCR"/>
          <w:color w:val="000000"/>
          <w:szCs w:val="24"/>
        </w:rPr>
        <w:t xml:space="preserve">ot </w:t>
      </w:r>
      <w:r w:rsidR="00832AB6">
        <w:rPr>
          <w:rFonts w:eastAsia="HiddenHorzOCR"/>
          <w:color w:val="000000"/>
          <w:szCs w:val="24"/>
        </w:rPr>
        <w:t>service-c</w:t>
      </w:r>
      <w:r w:rsidR="007E1D1E" w:rsidRPr="007E1D1E">
        <w:rPr>
          <w:rFonts w:eastAsia="HiddenHorzOCR"/>
          <w:color w:val="000000"/>
          <w:szCs w:val="24"/>
        </w:rPr>
        <w:t xml:space="preserve">onnected, </w:t>
      </w:r>
      <w:r w:rsidR="00832AB6">
        <w:rPr>
          <w:rFonts w:eastAsia="HiddenHorzOCR"/>
          <w:color w:val="000000"/>
          <w:szCs w:val="24"/>
        </w:rPr>
        <w:t>n</w:t>
      </w:r>
      <w:r w:rsidR="007E1D1E" w:rsidRPr="007E1D1E">
        <w:rPr>
          <w:rFonts w:eastAsia="HiddenHorzOCR"/>
          <w:color w:val="000000"/>
          <w:szCs w:val="24"/>
        </w:rPr>
        <w:t xml:space="preserve">ot </w:t>
      </w:r>
      <w:r w:rsidR="00832AB6">
        <w:rPr>
          <w:rFonts w:eastAsia="HiddenHorzOCR"/>
          <w:color w:val="000000"/>
          <w:szCs w:val="24"/>
        </w:rPr>
        <w:t>a</w:t>
      </w:r>
      <w:r w:rsidR="007E1D1E" w:rsidRPr="007E1D1E">
        <w:rPr>
          <w:rFonts w:eastAsia="HiddenHorzOCR"/>
          <w:color w:val="000000"/>
          <w:szCs w:val="24"/>
        </w:rPr>
        <w:t xml:space="preserve">ggravated by </w:t>
      </w:r>
      <w:r w:rsidR="00832AB6">
        <w:rPr>
          <w:rFonts w:eastAsia="HiddenHorzOCR"/>
          <w:color w:val="000000"/>
          <w:szCs w:val="24"/>
        </w:rPr>
        <w:t>s</w:t>
      </w:r>
      <w:r w:rsidR="007E1D1E" w:rsidRPr="007E1D1E">
        <w:rPr>
          <w:rFonts w:eastAsia="HiddenHorzOCR"/>
          <w:color w:val="000000"/>
          <w:szCs w:val="24"/>
        </w:rPr>
        <w:t>ervice</w:t>
      </w:r>
      <w:r w:rsidR="00406A87">
        <w:rPr>
          <w:rFonts w:eastAsia="HiddenHorzOCR"/>
          <w:color w:val="000000"/>
          <w:szCs w:val="24"/>
        </w:rPr>
        <w:t>:</w:t>
      </w:r>
      <w:r w:rsidR="007E1D1E">
        <w:rPr>
          <w:rFonts w:eastAsia="HiddenHorzOCR"/>
          <w:color w:val="000000"/>
          <w:szCs w:val="24"/>
        </w:rPr>
        <w:t>”</w:t>
      </w:r>
      <w:r w:rsidR="007E1D1E" w:rsidRPr="007E1D1E">
        <w:rPr>
          <w:rFonts w:eastAsia="HiddenHorzOCR"/>
          <w:color w:val="000000"/>
          <w:szCs w:val="24"/>
        </w:rPr>
        <w:t xml:space="preserve"> </w:t>
      </w:r>
      <w:r w:rsidR="00604A0D">
        <w:rPr>
          <w:rFonts w:eastAsia="HiddenHorzOCR"/>
          <w:color w:val="000000"/>
          <w:szCs w:val="24"/>
        </w:rPr>
        <w:t xml:space="preserve"> “</w:t>
      </w:r>
      <w:r w:rsidR="00604A0D" w:rsidRPr="00604A0D">
        <w:rPr>
          <w:rFonts w:eastAsia="HiddenHorzOCR"/>
          <w:color w:val="000000"/>
          <w:szCs w:val="24"/>
        </w:rPr>
        <w:t>Although the veteran was treated for diabetes mellitus during service, there is</w:t>
      </w:r>
      <w:r w:rsidR="00604A0D">
        <w:rPr>
          <w:rFonts w:eastAsia="HiddenHorzOCR"/>
          <w:color w:val="000000"/>
          <w:szCs w:val="24"/>
        </w:rPr>
        <w:t xml:space="preserve"> </w:t>
      </w:r>
      <w:r w:rsidR="00604A0D" w:rsidRPr="00604A0D">
        <w:rPr>
          <w:rFonts w:eastAsia="HiddenHorzOCR"/>
          <w:color w:val="000000"/>
          <w:szCs w:val="24"/>
        </w:rPr>
        <w:t>no evidence of aggravation beyond normal progression of the disease during service.</w:t>
      </w:r>
      <w:r w:rsidR="00604A0D">
        <w:rPr>
          <w:rFonts w:eastAsia="HiddenHorzOCR"/>
          <w:color w:val="000000"/>
          <w:szCs w:val="24"/>
        </w:rPr>
        <w:t xml:space="preserve">  </w:t>
      </w:r>
      <w:r w:rsidR="00604A0D" w:rsidRPr="00604A0D">
        <w:rPr>
          <w:rFonts w:eastAsia="HiddenHorzOCR"/>
          <w:color w:val="000000"/>
          <w:szCs w:val="24"/>
        </w:rPr>
        <w:t>There must be objective evidence of worsening of a pre-existing condition in</w:t>
      </w:r>
      <w:r w:rsidR="00604A0D">
        <w:rPr>
          <w:rFonts w:eastAsia="HiddenHorzOCR"/>
          <w:color w:val="000000"/>
          <w:szCs w:val="24"/>
        </w:rPr>
        <w:t xml:space="preserve"> </w:t>
      </w:r>
      <w:r w:rsidR="00832AB6">
        <w:rPr>
          <w:rFonts w:eastAsia="HiddenHorzOCR"/>
          <w:color w:val="000000"/>
          <w:szCs w:val="24"/>
        </w:rPr>
        <w:t>order to establish service-</w:t>
      </w:r>
      <w:r w:rsidR="00604A0D" w:rsidRPr="00604A0D">
        <w:rPr>
          <w:rFonts w:eastAsia="HiddenHorzOCR"/>
          <w:color w:val="000000"/>
          <w:szCs w:val="24"/>
        </w:rPr>
        <w:t>connection by aggravation.</w:t>
      </w:r>
      <w:r w:rsidR="00604A0D">
        <w:rPr>
          <w:rFonts w:eastAsia="HiddenHorzOCR"/>
          <w:color w:val="000000"/>
          <w:szCs w:val="24"/>
        </w:rPr>
        <w:t xml:space="preserve">  </w:t>
      </w:r>
      <w:r w:rsidR="00604A0D" w:rsidRPr="00604A0D">
        <w:rPr>
          <w:rFonts w:eastAsia="HiddenHorzOCR"/>
          <w:color w:val="000000"/>
          <w:szCs w:val="24"/>
        </w:rPr>
        <w:t>There is no evidence that the</w:t>
      </w:r>
      <w:r w:rsidR="00604A0D">
        <w:rPr>
          <w:rFonts w:eastAsia="HiddenHorzOCR"/>
          <w:color w:val="000000"/>
          <w:szCs w:val="24"/>
        </w:rPr>
        <w:t xml:space="preserve"> </w:t>
      </w:r>
      <w:r w:rsidR="00604A0D" w:rsidRPr="00604A0D">
        <w:rPr>
          <w:rFonts w:eastAsia="HiddenHorzOCR"/>
          <w:color w:val="000000"/>
          <w:szCs w:val="24"/>
        </w:rPr>
        <w:t>condition permanently worsened as a result of service.</w:t>
      </w:r>
      <w:r w:rsidR="00604A0D">
        <w:rPr>
          <w:rFonts w:eastAsia="HiddenHorzOCR"/>
          <w:color w:val="000000"/>
          <w:szCs w:val="24"/>
        </w:rPr>
        <w:t xml:space="preserve">”  </w:t>
      </w:r>
    </w:p>
    <w:p w:rsidR="00604A0D" w:rsidRDefault="00604A0D" w:rsidP="005A44CB">
      <w:pPr>
        <w:jc w:val="both"/>
        <w:rPr>
          <w:rFonts w:eastAsia="HiddenHorzOCR"/>
          <w:color w:val="000000"/>
          <w:szCs w:val="24"/>
        </w:rPr>
      </w:pPr>
    </w:p>
    <w:p w:rsidR="004008A9" w:rsidRDefault="00495FF3" w:rsidP="004008A9">
      <w:pPr>
        <w:jc w:val="both"/>
        <w:rPr>
          <w:rFonts w:eastAsia="Calibri" w:cs="Times New Roman"/>
          <w:color w:val="auto"/>
          <w:szCs w:val="24"/>
        </w:rPr>
      </w:pPr>
      <w:r w:rsidRPr="00495FF3">
        <w:rPr>
          <w:rFonts w:eastAsia="HiddenHorzOCR"/>
          <w:color w:val="000000"/>
          <w:szCs w:val="24"/>
        </w:rPr>
        <w:t>The diabetes mellitus requiring oral medication condition was designated by the MEB as not meeting AR 40-50 standards, although that fact does not establish whether or not a condition is unfitting.  The PEB arrives at that determination through a performance-based assessment.  The Board’s threshold for countering DES fitness determinations is higher than the VASRD §4.3 (reasonable doubt) standard used for its rating recommendations, but remains adherent to the DoDI 6040.44 “fair and equitable” standard</w:t>
      </w:r>
      <w:r w:rsidR="0038595C">
        <w:rPr>
          <w:rFonts w:eastAsia="HiddenHorzOCR"/>
          <w:color w:val="000000"/>
          <w:szCs w:val="24"/>
        </w:rPr>
        <w:t xml:space="preserve"> as discussed above</w:t>
      </w:r>
      <w:r w:rsidRPr="00495FF3">
        <w:rPr>
          <w:rFonts w:eastAsia="HiddenHorzOCR"/>
          <w:color w:val="000000"/>
          <w:szCs w:val="24"/>
        </w:rPr>
        <w:t>.</w:t>
      </w:r>
      <w:r w:rsidR="00806318">
        <w:rPr>
          <w:rFonts w:eastAsia="HiddenHorzOCR"/>
          <w:color w:val="000000"/>
          <w:szCs w:val="24"/>
        </w:rPr>
        <w:t xml:space="preserve">  The PEB noted that the CI’s diabetes mellitus condition was improving and that he was being treated with oral medications.  As there was no longer a requirement for insulin, the PEB concluded “there is no reason that </w:t>
      </w:r>
      <w:r w:rsidR="00806318">
        <w:rPr>
          <w:rFonts w:eastAsia="HiddenHorzOCR"/>
          <w:color w:val="000000"/>
          <w:szCs w:val="24"/>
        </w:rPr>
        <w:lastRenderedPageBreak/>
        <w:t xml:space="preserve">this should interfere with the performance of his duties.”  </w:t>
      </w:r>
      <w:r w:rsidR="00DC7EC7">
        <w:rPr>
          <w:rFonts w:eastAsia="HiddenHorzOCR"/>
          <w:color w:val="000000"/>
          <w:szCs w:val="24"/>
        </w:rPr>
        <w:t>The endocrinology clinic notes confirm</w:t>
      </w:r>
      <w:r w:rsidR="007E1D1E">
        <w:rPr>
          <w:rFonts w:eastAsia="HiddenHorzOCR"/>
          <w:color w:val="000000"/>
          <w:szCs w:val="24"/>
        </w:rPr>
        <w:t>ed</w:t>
      </w:r>
      <w:r w:rsidR="00DC7EC7">
        <w:rPr>
          <w:rFonts w:eastAsia="HiddenHorzOCR"/>
          <w:color w:val="000000"/>
          <w:szCs w:val="24"/>
        </w:rPr>
        <w:t xml:space="preserve"> improvement of the diabetes condition and the </w:t>
      </w:r>
      <w:r w:rsidR="00832AB6">
        <w:rPr>
          <w:rFonts w:eastAsia="HiddenHorzOCR"/>
          <w:color w:val="000000"/>
          <w:szCs w:val="24"/>
        </w:rPr>
        <w:t>STRs</w:t>
      </w:r>
      <w:r w:rsidR="00DC7EC7">
        <w:rPr>
          <w:rFonts w:eastAsia="HiddenHorzOCR"/>
          <w:color w:val="000000"/>
          <w:szCs w:val="24"/>
        </w:rPr>
        <w:t xml:space="preserve"> </w:t>
      </w:r>
      <w:r w:rsidR="00DC7EC7" w:rsidRPr="007B1F97">
        <w:rPr>
          <w:rFonts w:eastAsia="HiddenHorzOCR"/>
          <w:color w:val="000000"/>
          <w:szCs w:val="24"/>
        </w:rPr>
        <w:t>(</w:t>
      </w:r>
      <w:r w:rsidR="00832AB6">
        <w:rPr>
          <w:rFonts w:eastAsia="HiddenHorzOCR"/>
          <w:color w:val="000000"/>
          <w:szCs w:val="24"/>
        </w:rPr>
        <w:t>on 28 July 2008</w:t>
      </w:r>
      <w:r w:rsidR="00DC7EC7" w:rsidRPr="007B1F97">
        <w:rPr>
          <w:rFonts w:eastAsia="HiddenHorzOCR"/>
          <w:color w:val="000000"/>
          <w:szCs w:val="24"/>
        </w:rPr>
        <w:t>)</w:t>
      </w:r>
      <w:r w:rsidR="00DC7EC7">
        <w:rPr>
          <w:rFonts w:eastAsia="HiddenHorzOCR"/>
          <w:color w:val="000000"/>
          <w:szCs w:val="24"/>
        </w:rPr>
        <w:t xml:space="preserve"> confirm</w:t>
      </w:r>
      <w:r w:rsidR="00832AB6">
        <w:rPr>
          <w:rFonts w:eastAsia="HiddenHorzOCR"/>
          <w:color w:val="000000"/>
          <w:szCs w:val="24"/>
        </w:rPr>
        <w:t>ed</w:t>
      </w:r>
      <w:r w:rsidR="00DC7EC7">
        <w:rPr>
          <w:rFonts w:eastAsia="HiddenHorzOCR"/>
          <w:color w:val="000000"/>
          <w:szCs w:val="24"/>
        </w:rPr>
        <w:t xml:space="preserve"> that the CI was no longer being treated with insulin.  </w:t>
      </w:r>
      <w:r w:rsidR="005A44CB">
        <w:rPr>
          <w:rFonts w:eastAsia="HiddenHorzOCR"/>
          <w:color w:val="000000"/>
          <w:szCs w:val="24"/>
        </w:rPr>
        <w:t xml:space="preserve">There was no documentation of duty limiting impairment due to the medications or the diabetic retinopathy.  </w:t>
      </w:r>
      <w:r w:rsidR="007E1D1E">
        <w:rPr>
          <w:rFonts w:eastAsia="HiddenHorzOCR"/>
          <w:color w:val="000000"/>
          <w:szCs w:val="24"/>
        </w:rPr>
        <w:t xml:space="preserve">The VA record within </w:t>
      </w:r>
      <w:r w:rsidR="009F536A">
        <w:rPr>
          <w:rFonts w:eastAsia="HiddenHorzOCR"/>
          <w:color w:val="000000"/>
          <w:szCs w:val="24"/>
        </w:rPr>
        <w:t>4</w:t>
      </w:r>
      <w:r w:rsidR="007E1D1E">
        <w:rPr>
          <w:rFonts w:eastAsia="HiddenHorzOCR"/>
          <w:color w:val="000000"/>
          <w:szCs w:val="24"/>
        </w:rPr>
        <w:t xml:space="preserve"> months </w:t>
      </w:r>
      <w:r w:rsidR="009F536A">
        <w:rPr>
          <w:rFonts w:eastAsia="HiddenHorzOCR"/>
          <w:color w:val="000000"/>
          <w:szCs w:val="24"/>
        </w:rPr>
        <w:t>prior to</w:t>
      </w:r>
      <w:r w:rsidR="007E1D1E">
        <w:rPr>
          <w:rFonts w:eastAsia="HiddenHorzOCR"/>
          <w:color w:val="000000"/>
          <w:szCs w:val="24"/>
        </w:rPr>
        <w:t xml:space="preserve"> separation indicated the CI’s diabetes required insulin and was in poor control.  This may indicate worsening </w:t>
      </w:r>
      <w:r w:rsidR="00832AB6">
        <w:rPr>
          <w:rFonts w:eastAsia="HiddenHorzOCR"/>
          <w:color w:val="000000"/>
          <w:szCs w:val="24"/>
        </w:rPr>
        <w:t xml:space="preserve">after separation </w:t>
      </w:r>
      <w:r w:rsidR="007E1D1E">
        <w:rPr>
          <w:rFonts w:eastAsia="HiddenHorzOCR"/>
          <w:color w:val="000000"/>
          <w:szCs w:val="24"/>
        </w:rPr>
        <w:t xml:space="preserve">or that the CI’s in-service transition to oral medications was only transiently effective (akin to a honeymoon period).  </w:t>
      </w:r>
      <w:r w:rsidR="004008A9">
        <w:rPr>
          <w:rFonts w:eastAsia="Calibri" w:cs="Times New Roman"/>
          <w:color w:val="auto"/>
          <w:szCs w:val="24"/>
        </w:rPr>
        <w:t>After due deliberation</w:t>
      </w:r>
      <w:r w:rsidR="004008A9" w:rsidRPr="00241B01">
        <w:rPr>
          <w:rFonts w:eastAsia="Calibri" w:cs="Times New Roman"/>
          <w:color w:val="auto"/>
          <w:szCs w:val="24"/>
        </w:rPr>
        <w:t xml:space="preserve"> </w:t>
      </w:r>
      <w:r w:rsidR="004008A9">
        <w:rPr>
          <w:rFonts w:eastAsia="Calibri" w:cs="Times New Roman"/>
          <w:color w:val="auto"/>
          <w:szCs w:val="24"/>
        </w:rPr>
        <w:t>in consideration of the preponderance</w:t>
      </w:r>
      <w:r w:rsidR="004008A9" w:rsidRPr="00241B01">
        <w:rPr>
          <w:rFonts w:eastAsia="Calibri" w:cs="Times New Roman"/>
          <w:color w:val="auto"/>
          <w:szCs w:val="24"/>
        </w:rPr>
        <w:t xml:space="preserve"> of the evidence, the Board concluded that there was insufficient cause to recommend a change in the PEB adjudication for the </w:t>
      </w:r>
      <w:r w:rsidR="004008A9">
        <w:rPr>
          <w:rFonts w:eastAsia="HiddenHorzOCR"/>
          <w:color w:val="000000"/>
          <w:szCs w:val="24"/>
        </w:rPr>
        <w:t xml:space="preserve">diabetes mellitus </w:t>
      </w:r>
      <w:r w:rsidR="004008A9" w:rsidRPr="00241B01">
        <w:rPr>
          <w:rFonts w:eastAsia="Calibri" w:cs="Times New Roman"/>
          <w:color w:val="auto"/>
          <w:szCs w:val="24"/>
        </w:rPr>
        <w:t>condition.</w:t>
      </w:r>
      <w:r w:rsidR="004008A9">
        <w:rPr>
          <w:rFonts w:eastAsia="Calibri" w:cs="Times New Roman"/>
          <w:color w:val="auto"/>
          <w:szCs w:val="24"/>
        </w:rPr>
        <w:t xml:space="preserve">  </w:t>
      </w:r>
    </w:p>
    <w:p w:rsidR="000930B1" w:rsidRPr="00D25707" w:rsidRDefault="000930B1" w:rsidP="00A02AA8">
      <w:pPr>
        <w:jc w:val="both"/>
        <w:rPr>
          <w:color w:val="000000"/>
          <w:szCs w:val="24"/>
        </w:rPr>
      </w:pPr>
    </w:p>
    <w:p w:rsidR="00A02AA8" w:rsidRPr="001F29F9" w:rsidRDefault="003C5B54" w:rsidP="00A02AA8">
      <w:pPr>
        <w:jc w:val="both"/>
        <w:rPr>
          <w:color w:val="000000"/>
          <w:szCs w:val="24"/>
        </w:rPr>
      </w:pPr>
      <w:proofErr w:type="gramStart"/>
      <w:r w:rsidRPr="001F29F9">
        <w:rPr>
          <w:color w:val="000000"/>
          <w:szCs w:val="24"/>
          <w:u w:val="single"/>
        </w:rPr>
        <w:t>Remaining Conditions</w:t>
      </w:r>
      <w:r w:rsidRPr="007B4FBD">
        <w:rPr>
          <w:color w:val="000000"/>
          <w:szCs w:val="24"/>
        </w:rPr>
        <w:t>.</w:t>
      </w:r>
      <w:proofErr w:type="gramEnd"/>
      <w:r w:rsidRPr="001F29F9">
        <w:rPr>
          <w:color w:val="000000"/>
          <w:szCs w:val="24"/>
        </w:rPr>
        <w:t xml:space="preserve">  </w:t>
      </w:r>
      <w:r w:rsidR="002A6963">
        <w:rPr>
          <w:color w:val="000000"/>
          <w:szCs w:val="24"/>
        </w:rPr>
        <w:t>The condition of left shoulder scars</w:t>
      </w:r>
      <w:r w:rsidR="00A02AA8" w:rsidRPr="001F29F9">
        <w:rPr>
          <w:color w:val="000000"/>
          <w:szCs w:val="24"/>
        </w:rPr>
        <w:t xml:space="preserve"> </w:t>
      </w:r>
      <w:r w:rsidR="002A6963">
        <w:rPr>
          <w:color w:val="000000"/>
          <w:szCs w:val="24"/>
        </w:rPr>
        <w:t>due to the arthroscopic rotator cuff surgery w</w:t>
      </w:r>
      <w:r w:rsidR="004008A9">
        <w:rPr>
          <w:color w:val="000000"/>
          <w:szCs w:val="24"/>
        </w:rPr>
        <w:t>as</w:t>
      </w:r>
      <w:r w:rsidR="002A6963">
        <w:rPr>
          <w:color w:val="000000"/>
          <w:szCs w:val="24"/>
        </w:rPr>
        <w:t xml:space="preserve"> </w:t>
      </w:r>
      <w:r w:rsidR="00A02AA8" w:rsidRPr="001F29F9">
        <w:rPr>
          <w:color w:val="000000"/>
          <w:szCs w:val="24"/>
        </w:rPr>
        <w:t xml:space="preserve">identified in the </w:t>
      </w:r>
      <w:r w:rsidR="002A6963">
        <w:rPr>
          <w:color w:val="000000"/>
          <w:szCs w:val="24"/>
        </w:rPr>
        <w:t>VARD proximal to separation but w</w:t>
      </w:r>
      <w:r w:rsidR="004008A9">
        <w:rPr>
          <w:color w:val="000000"/>
          <w:szCs w:val="24"/>
        </w:rPr>
        <w:t>as</w:t>
      </w:r>
      <w:r w:rsidR="002A6963">
        <w:rPr>
          <w:color w:val="000000"/>
          <w:szCs w:val="24"/>
        </w:rPr>
        <w:t xml:space="preserve"> not documented as causing any duty limitations in the STRs</w:t>
      </w:r>
      <w:r w:rsidR="00A02AA8" w:rsidRPr="001F29F9">
        <w:rPr>
          <w:color w:val="000000"/>
          <w:szCs w:val="24"/>
        </w:rPr>
        <w:t xml:space="preserve">.  </w:t>
      </w:r>
      <w:r w:rsidR="00AE6C33" w:rsidRPr="00AE6C33">
        <w:rPr>
          <w:color w:val="000000"/>
          <w:szCs w:val="24"/>
        </w:rPr>
        <w:t>By precedent, the Board does not recommend separation rating for scars unless their presence imposes a direct limitation on fitness.</w:t>
      </w:r>
      <w:r w:rsidR="00AE6C33">
        <w:rPr>
          <w:color w:val="000000"/>
          <w:szCs w:val="24"/>
        </w:rPr>
        <w:t xml:space="preserve">  </w:t>
      </w:r>
      <w:r w:rsidR="00A02AA8" w:rsidRPr="00D173AB">
        <w:rPr>
          <w:color w:val="000000"/>
          <w:szCs w:val="24"/>
        </w:rPr>
        <w:t>Several</w:t>
      </w:r>
      <w:r w:rsidR="00A02AA8" w:rsidRPr="001F29F9">
        <w:rPr>
          <w:color w:val="000000"/>
          <w:szCs w:val="24"/>
        </w:rPr>
        <w:t xml:space="preserve"> additional non-acute conditions or medical complaints were also documented.  </w:t>
      </w:r>
      <w:r w:rsidR="00A02AA8" w:rsidRPr="00D173AB">
        <w:rPr>
          <w:color w:val="000000"/>
          <w:szCs w:val="24"/>
        </w:rPr>
        <w:t>None of these conditions were significantly clinically or occupationally active during the MEB period</w:t>
      </w:r>
      <w:r w:rsidR="0080588E" w:rsidRPr="00D173AB">
        <w:rPr>
          <w:color w:val="000000"/>
          <w:szCs w:val="24"/>
        </w:rPr>
        <w:t>,</w:t>
      </w:r>
      <w:r w:rsidR="00A02AA8" w:rsidRPr="00D173AB">
        <w:rPr>
          <w:color w:val="000000"/>
          <w:szCs w:val="24"/>
        </w:rPr>
        <w:t xml:space="preserve"> none carried attached profiles</w:t>
      </w:r>
      <w:r w:rsidR="0080588E" w:rsidRPr="00D173AB">
        <w:rPr>
          <w:color w:val="000000"/>
          <w:szCs w:val="24"/>
        </w:rPr>
        <w:t>,</w:t>
      </w:r>
      <w:r w:rsidR="00A02AA8" w:rsidRPr="00D173AB">
        <w:rPr>
          <w:color w:val="000000"/>
          <w:szCs w:val="24"/>
        </w:rPr>
        <w:t xml:space="preserve"> and none </w:t>
      </w:r>
      <w:r w:rsidR="00D173AB" w:rsidRPr="00D173AB">
        <w:rPr>
          <w:color w:val="000000"/>
          <w:szCs w:val="24"/>
        </w:rPr>
        <w:t>w</w:t>
      </w:r>
      <w:r w:rsidR="00A02AA8" w:rsidRPr="00D173AB">
        <w:rPr>
          <w:color w:val="000000"/>
          <w:szCs w:val="24"/>
        </w:rPr>
        <w:t xml:space="preserve">ere implicated in the </w:t>
      </w:r>
      <w:r w:rsidR="0080588E" w:rsidRPr="00D173AB">
        <w:rPr>
          <w:color w:val="000000"/>
          <w:szCs w:val="24"/>
        </w:rPr>
        <w:t>c</w:t>
      </w:r>
      <w:r w:rsidR="00A02AA8" w:rsidRPr="00D173AB">
        <w:rPr>
          <w:color w:val="000000"/>
          <w:szCs w:val="24"/>
        </w:rPr>
        <w:t>ommander’s statement.</w:t>
      </w:r>
      <w:r w:rsidR="00A02AA8" w:rsidRPr="001F29F9">
        <w:rPr>
          <w:color w:val="000000"/>
          <w:szCs w:val="24"/>
        </w:rPr>
        <w:t xml:space="preserve">  These conditions were reviewed by the </w:t>
      </w:r>
      <w:r w:rsidR="0080588E" w:rsidRPr="001F29F9">
        <w:rPr>
          <w:color w:val="000000"/>
          <w:szCs w:val="24"/>
        </w:rPr>
        <w:t xml:space="preserve">action officer </w:t>
      </w:r>
      <w:r w:rsidR="00A02AA8" w:rsidRPr="001F29F9">
        <w:rPr>
          <w:color w:val="000000"/>
          <w:szCs w:val="24"/>
        </w:rPr>
        <w:t>and considered by the Board.  It was determined that none could be argued as unfitting and</w:t>
      </w:r>
      <w:r w:rsidR="002A6963">
        <w:rPr>
          <w:color w:val="000000"/>
          <w:szCs w:val="24"/>
        </w:rPr>
        <w:t xml:space="preserve"> subject to separation rating.  </w:t>
      </w:r>
      <w:r w:rsidR="00A02AA8" w:rsidRPr="001F29F9">
        <w:rPr>
          <w:color w:val="000000"/>
          <w:szCs w:val="24"/>
        </w:rPr>
        <w:t>The Board therefore has no reasonable basis for recommending any additional unfitting conditions for separation rating.</w:t>
      </w:r>
      <w:r w:rsidR="004008A9">
        <w:rPr>
          <w:color w:val="000000"/>
          <w:szCs w:val="24"/>
        </w:rPr>
        <w:t xml:space="preserve">  </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C654BE">
      <w:pPr>
        <w:jc w:val="both"/>
        <w:rPr>
          <w:color w:val="000000"/>
          <w:szCs w:val="24"/>
        </w:rPr>
      </w:pPr>
    </w:p>
    <w:p w:rsidR="0067743F" w:rsidRPr="0014258E" w:rsidRDefault="00C56FC8" w:rsidP="00C654BE">
      <w:pPr>
        <w:jc w:val="both"/>
        <w:rPr>
          <w:rFonts w:eastAsia="Calibri"/>
          <w:color w:val="000000"/>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Pr="0014258E">
        <w:rPr>
          <w:rFonts w:eastAsia="Calibri"/>
          <w:color w:val="auto"/>
          <w:szCs w:val="24"/>
        </w:rPr>
        <w:t>.</w:t>
      </w:r>
      <w:r w:rsidR="0014258E" w:rsidRPr="0014258E">
        <w:rPr>
          <w:color w:val="auto"/>
        </w:rPr>
        <w:t xml:space="preserve"> </w:t>
      </w:r>
      <w:r w:rsidR="0014258E">
        <w:rPr>
          <w:color w:val="auto"/>
        </w:rPr>
        <w:t xml:space="preserve"> </w:t>
      </w:r>
      <w:r w:rsidR="0014258E" w:rsidRPr="0014258E">
        <w:rPr>
          <w:rFonts w:eastAsia="Calibri"/>
          <w:color w:val="auto"/>
          <w:szCs w:val="24"/>
        </w:rPr>
        <w:t>T</w:t>
      </w:r>
      <w:r w:rsidR="0014258E" w:rsidRPr="0014258E">
        <w:rPr>
          <w:rFonts w:eastAsia="Calibri"/>
          <w:color w:val="000000"/>
          <w:szCs w:val="24"/>
        </w:rPr>
        <w:t xml:space="preserve">he Board did not surmise from the record or PEB ruling in this case that any prerogatives outside the VASRD were </w:t>
      </w:r>
      <w:r w:rsidR="0014258E" w:rsidRPr="007636AE">
        <w:rPr>
          <w:rFonts w:eastAsia="Calibri"/>
          <w:color w:val="000000"/>
          <w:szCs w:val="24"/>
        </w:rPr>
        <w:t xml:space="preserve">exercised.  </w:t>
      </w:r>
      <w:r w:rsidR="0067743F" w:rsidRPr="007636AE">
        <w:rPr>
          <w:rFonts w:eastAsia="Calibri"/>
          <w:color w:val="000000"/>
          <w:szCs w:val="24"/>
        </w:rPr>
        <w:t xml:space="preserve">In the matter of the </w:t>
      </w:r>
      <w:r w:rsidR="007910A8" w:rsidRPr="007636AE">
        <w:rPr>
          <w:rFonts w:eastAsia="Calibri"/>
          <w:color w:val="000000"/>
          <w:szCs w:val="24"/>
        </w:rPr>
        <w:t xml:space="preserve">left shoulder </w:t>
      </w:r>
      <w:r w:rsidR="0067743F" w:rsidRPr="007636AE">
        <w:rPr>
          <w:rFonts w:eastAsia="Calibri"/>
          <w:color w:val="000000"/>
          <w:szCs w:val="24"/>
        </w:rPr>
        <w:t>condition and IAW VASRD §4.71a, the Board unanimously recommends no change in the PEB adjudication at separation.</w:t>
      </w:r>
      <w:r w:rsidR="007910A8" w:rsidRPr="007636AE">
        <w:rPr>
          <w:rFonts w:eastAsia="Calibri"/>
          <w:color w:val="000000"/>
          <w:szCs w:val="24"/>
        </w:rPr>
        <w:t xml:space="preserve">  </w:t>
      </w:r>
      <w:r w:rsidR="0067743F" w:rsidRPr="007636AE">
        <w:rPr>
          <w:rFonts w:eastAsia="Calibri"/>
          <w:color w:val="000000"/>
          <w:szCs w:val="24"/>
        </w:rPr>
        <w:t xml:space="preserve">In the matter of the left knee degenerative joint disease condition and IAW VASRD §4.71a, the Board unanimously recommends no change in the PEB adjudication at separation. </w:t>
      </w:r>
      <w:r w:rsidR="007910A8" w:rsidRPr="007636AE">
        <w:rPr>
          <w:rFonts w:eastAsia="Calibri"/>
          <w:color w:val="000000"/>
          <w:szCs w:val="24"/>
        </w:rPr>
        <w:t xml:space="preserve"> </w:t>
      </w:r>
      <w:r w:rsidR="0067743F" w:rsidRPr="007636AE">
        <w:rPr>
          <w:rFonts w:eastAsia="Calibri"/>
          <w:color w:val="000000"/>
          <w:szCs w:val="24"/>
        </w:rPr>
        <w:t xml:space="preserve">In the matter of the diabetes mellitus (type </w:t>
      </w:r>
      <w:r w:rsidR="00832AB6">
        <w:rPr>
          <w:rFonts w:eastAsia="Calibri"/>
          <w:color w:val="000000"/>
          <w:szCs w:val="24"/>
        </w:rPr>
        <w:t>II</w:t>
      </w:r>
      <w:r w:rsidR="0067743F" w:rsidRPr="007636AE">
        <w:rPr>
          <w:rFonts w:eastAsia="Calibri"/>
          <w:color w:val="000000"/>
          <w:szCs w:val="24"/>
        </w:rPr>
        <w:t>), hypertension and thoracic back pain conditions, the Board unanimously recommends no change from the PEB adjudications as not unfitting.</w:t>
      </w:r>
      <w:r w:rsidR="007910A8" w:rsidRPr="007636AE">
        <w:rPr>
          <w:rFonts w:eastAsia="Calibri"/>
          <w:color w:val="000000"/>
          <w:szCs w:val="24"/>
        </w:rPr>
        <w:t xml:space="preserve">  </w:t>
      </w:r>
      <w:r w:rsidR="0067743F" w:rsidRPr="007636AE">
        <w:rPr>
          <w:rFonts w:eastAsia="Calibri"/>
          <w:color w:val="000000"/>
          <w:szCs w:val="24"/>
        </w:rPr>
        <w:t>In the matter of the left shoulder surgical scar condition or any other medical conditions eligible for Board consideration, the Board unanimousl</w:t>
      </w:r>
      <w:r w:rsidR="0067743F" w:rsidRPr="0067743F">
        <w:rPr>
          <w:rFonts w:eastAsia="Calibri"/>
          <w:color w:val="000000"/>
          <w:szCs w:val="24"/>
        </w:rPr>
        <w:t>y agrees that it cannot recommend any findings of unfit for additional rating at separation.</w:t>
      </w:r>
      <w:r w:rsidR="0067743F">
        <w:rPr>
          <w:rFonts w:eastAsia="Calibri"/>
          <w:color w:val="000000"/>
          <w:szCs w:val="24"/>
        </w:rPr>
        <w:t xml:space="preserve"> </w:t>
      </w:r>
      <w:r w:rsidR="00C654BE">
        <w:rPr>
          <w:rFonts w:eastAsia="Calibri"/>
          <w:color w:val="000000"/>
          <w:szCs w:val="24"/>
        </w:rPr>
        <w:t xml:space="preserve"> </w:t>
      </w:r>
    </w:p>
    <w:p w:rsidR="00F1737C" w:rsidRPr="001F29F9" w:rsidRDefault="00F1737C"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6B4AA2" w:rsidRPr="007636AE" w:rsidRDefault="00C56FC8" w:rsidP="007636AE">
      <w:pPr>
        <w:tabs>
          <w:tab w:val="left" w:pos="288"/>
          <w:tab w:val="left" w:pos="4752"/>
        </w:tabs>
        <w:jc w:val="both"/>
        <w:rPr>
          <w:color w:val="000000"/>
        </w:rPr>
      </w:pPr>
      <w:r w:rsidRPr="001F29F9">
        <w:rPr>
          <w:color w:val="000000"/>
          <w:szCs w:val="24"/>
          <w:u w:val="single"/>
        </w:rPr>
        <w:t>RECOMMENDATION</w:t>
      </w:r>
      <w:r w:rsidRPr="001F29F9">
        <w:rPr>
          <w:color w:val="000000"/>
          <w:szCs w:val="24"/>
        </w:rPr>
        <w:t>:</w:t>
      </w:r>
      <w:r w:rsidR="007910A8">
        <w:rPr>
          <w:color w:val="000000"/>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w:t>
      </w:r>
      <w:r w:rsidRPr="007636AE">
        <w:rPr>
          <w:color w:val="000000"/>
          <w:szCs w:val="24"/>
        </w:rPr>
        <w:t xml:space="preserve">that there be no </w:t>
      </w:r>
      <w:proofErr w:type="spellStart"/>
      <w:r w:rsidRPr="007636AE">
        <w:rPr>
          <w:color w:val="000000"/>
          <w:szCs w:val="24"/>
        </w:rPr>
        <w:t>recharacterization</w:t>
      </w:r>
      <w:proofErr w:type="spellEnd"/>
      <w:r w:rsidRPr="007636AE">
        <w:rPr>
          <w:color w:val="000000"/>
          <w:szCs w:val="24"/>
        </w:rPr>
        <w:t xml:space="preserve"> of the CI’s disability and separation determination</w:t>
      </w:r>
      <w:r w:rsidR="008C3FD0" w:rsidRPr="007636AE">
        <w:rPr>
          <w:color w:val="000000"/>
          <w:szCs w:val="24"/>
        </w:rPr>
        <w:t>,</w:t>
      </w:r>
      <w:r w:rsidR="00BD2A49" w:rsidRPr="007636AE">
        <w:rPr>
          <w:color w:val="000000"/>
          <w:szCs w:val="24"/>
        </w:rPr>
        <w:t xml:space="preserve"> as follows:</w:t>
      </w:r>
      <w:r w:rsidR="003604A5" w:rsidRPr="007636AE">
        <w:rPr>
          <w:color w:val="000000"/>
          <w:szCs w:val="24"/>
        </w:rPr>
        <w:t xml:space="preserve"> </w:t>
      </w:r>
      <w:r w:rsidR="00C654BE" w:rsidRPr="007636AE">
        <w:rPr>
          <w:color w:val="000000"/>
          <w:szCs w:val="24"/>
        </w:rPr>
        <w:t xml:space="preserve"> </w:t>
      </w:r>
    </w:p>
    <w:p w:rsidR="001E3FE1" w:rsidRPr="007636AE" w:rsidRDefault="001E3FE1" w:rsidP="00BF0E94">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2"/>
        <w:gridCol w:w="1724"/>
        <w:gridCol w:w="1084"/>
      </w:tblGrid>
      <w:tr w:rsidR="004101B2" w:rsidRPr="007636AE" w:rsidTr="009636A5">
        <w:trPr>
          <w:trHeight w:val="206"/>
          <w:jc w:val="center"/>
        </w:trPr>
        <w:tc>
          <w:tcPr>
            <w:tcW w:w="6462" w:type="dxa"/>
            <w:tcBorders>
              <w:right w:val="single" w:sz="4" w:space="0" w:color="auto"/>
            </w:tcBorders>
            <w:shd w:val="clear" w:color="auto" w:fill="D9D9D9"/>
            <w:vAlign w:val="center"/>
          </w:tcPr>
          <w:p w:rsidR="004101B2" w:rsidRPr="007636AE" w:rsidRDefault="004101B2" w:rsidP="009636A5">
            <w:pPr>
              <w:tabs>
                <w:tab w:val="left" w:pos="288"/>
                <w:tab w:val="left" w:pos="4752"/>
              </w:tabs>
              <w:rPr>
                <w:b/>
                <w:color w:val="auto"/>
                <w:szCs w:val="24"/>
              </w:rPr>
            </w:pPr>
            <w:r w:rsidRPr="007636AE">
              <w:rPr>
                <w:b/>
                <w:color w:val="auto"/>
                <w:szCs w:val="24"/>
              </w:rPr>
              <w:t>UNFITTING CONDITION</w:t>
            </w:r>
          </w:p>
        </w:tc>
        <w:tc>
          <w:tcPr>
            <w:tcW w:w="1724" w:type="dxa"/>
            <w:tcBorders>
              <w:left w:val="single" w:sz="4" w:space="0" w:color="auto"/>
            </w:tcBorders>
            <w:shd w:val="clear" w:color="auto" w:fill="D9D9D9"/>
            <w:vAlign w:val="center"/>
          </w:tcPr>
          <w:p w:rsidR="004101B2" w:rsidRPr="007636AE" w:rsidRDefault="004101B2" w:rsidP="009636A5">
            <w:pPr>
              <w:tabs>
                <w:tab w:val="left" w:pos="288"/>
                <w:tab w:val="left" w:pos="4752"/>
              </w:tabs>
              <w:rPr>
                <w:b/>
                <w:color w:val="auto"/>
                <w:szCs w:val="24"/>
              </w:rPr>
            </w:pPr>
            <w:r w:rsidRPr="007636AE">
              <w:rPr>
                <w:b/>
                <w:color w:val="auto"/>
                <w:szCs w:val="24"/>
              </w:rPr>
              <w:t>VASRD CODE</w:t>
            </w:r>
          </w:p>
        </w:tc>
        <w:tc>
          <w:tcPr>
            <w:tcW w:w="1084" w:type="dxa"/>
            <w:shd w:val="clear" w:color="auto" w:fill="D9D9D9"/>
            <w:vAlign w:val="center"/>
          </w:tcPr>
          <w:p w:rsidR="004101B2" w:rsidRPr="007636AE" w:rsidRDefault="004101B2" w:rsidP="009636A5">
            <w:pPr>
              <w:tabs>
                <w:tab w:val="left" w:pos="288"/>
                <w:tab w:val="left" w:pos="4752"/>
              </w:tabs>
              <w:rPr>
                <w:b/>
                <w:color w:val="auto"/>
                <w:szCs w:val="24"/>
              </w:rPr>
            </w:pPr>
            <w:r w:rsidRPr="007636AE">
              <w:rPr>
                <w:b/>
                <w:color w:val="auto"/>
                <w:szCs w:val="24"/>
              </w:rPr>
              <w:t>RATING</w:t>
            </w:r>
          </w:p>
        </w:tc>
      </w:tr>
      <w:tr w:rsidR="00F13FF2" w:rsidRPr="007636AE" w:rsidTr="009636A5">
        <w:trPr>
          <w:jc w:val="center"/>
        </w:trPr>
        <w:tc>
          <w:tcPr>
            <w:tcW w:w="6462" w:type="dxa"/>
            <w:tcBorders>
              <w:right w:val="single" w:sz="4" w:space="0" w:color="auto"/>
            </w:tcBorders>
            <w:vAlign w:val="center"/>
          </w:tcPr>
          <w:p w:rsidR="00F13FF2" w:rsidRPr="007636AE" w:rsidRDefault="00F13FF2" w:rsidP="009636A5">
            <w:pPr>
              <w:contextualSpacing/>
              <w:jc w:val="left"/>
              <w:rPr>
                <w:color w:val="auto"/>
                <w:szCs w:val="18"/>
              </w:rPr>
            </w:pPr>
            <w:r w:rsidRPr="007636AE">
              <w:rPr>
                <w:color w:val="auto"/>
                <w:szCs w:val="18"/>
              </w:rPr>
              <w:t>Left Shoulder Pain</w:t>
            </w:r>
          </w:p>
        </w:tc>
        <w:tc>
          <w:tcPr>
            <w:tcW w:w="1724" w:type="dxa"/>
            <w:tcBorders>
              <w:left w:val="single" w:sz="4" w:space="0" w:color="auto"/>
            </w:tcBorders>
            <w:vAlign w:val="center"/>
          </w:tcPr>
          <w:p w:rsidR="00F13FF2" w:rsidRPr="007636AE" w:rsidRDefault="00F13FF2" w:rsidP="009636A5">
            <w:pPr>
              <w:contextualSpacing/>
              <w:rPr>
                <w:color w:val="auto"/>
                <w:szCs w:val="18"/>
              </w:rPr>
            </w:pPr>
            <w:r w:rsidRPr="007636AE">
              <w:rPr>
                <w:color w:val="auto"/>
                <w:szCs w:val="18"/>
              </w:rPr>
              <w:t>5099-5003</w:t>
            </w:r>
          </w:p>
        </w:tc>
        <w:tc>
          <w:tcPr>
            <w:tcW w:w="1084" w:type="dxa"/>
            <w:vAlign w:val="center"/>
          </w:tcPr>
          <w:p w:rsidR="00F13FF2" w:rsidRPr="007636AE" w:rsidRDefault="00F13FF2" w:rsidP="009636A5">
            <w:pPr>
              <w:rPr>
                <w:color w:val="auto"/>
                <w:szCs w:val="18"/>
              </w:rPr>
            </w:pPr>
            <w:r w:rsidRPr="007636AE">
              <w:rPr>
                <w:color w:val="auto"/>
                <w:szCs w:val="18"/>
              </w:rPr>
              <w:t>10%</w:t>
            </w:r>
          </w:p>
        </w:tc>
      </w:tr>
      <w:tr w:rsidR="00F13FF2" w:rsidRPr="007636AE" w:rsidTr="009636A5">
        <w:trPr>
          <w:jc w:val="center"/>
        </w:trPr>
        <w:tc>
          <w:tcPr>
            <w:tcW w:w="6462" w:type="dxa"/>
            <w:tcBorders>
              <w:right w:val="single" w:sz="4" w:space="0" w:color="auto"/>
            </w:tcBorders>
            <w:vAlign w:val="center"/>
          </w:tcPr>
          <w:p w:rsidR="00F13FF2" w:rsidRPr="007636AE" w:rsidRDefault="00F13FF2" w:rsidP="009636A5">
            <w:pPr>
              <w:contextualSpacing/>
              <w:jc w:val="left"/>
              <w:rPr>
                <w:color w:val="auto"/>
                <w:szCs w:val="18"/>
              </w:rPr>
            </w:pPr>
            <w:r w:rsidRPr="007636AE">
              <w:rPr>
                <w:color w:val="auto"/>
                <w:szCs w:val="18"/>
              </w:rPr>
              <w:t>Left Knee DJD</w:t>
            </w:r>
          </w:p>
        </w:tc>
        <w:tc>
          <w:tcPr>
            <w:tcW w:w="1724" w:type="dxa"/>
            <w:tcBorders>
              <w:left w:val="single" w:sz="4" w:space="0" w:color="auto"/>
            </w:tcBorders>
            <w:vAlign w:val="center"/>
          </w:tcPr>
          <w:p w:rsidR="00F13FF2" w:rsidRPr="007636AE" w:rsidRDefault="00F13FF2" w:rsidP="009636A5">
            <w:pPr>
              <w:contextualSpacing/>
              <w:rPr>
                <w:color w:val="auto"/>
                <w:szCs w:val="18"/>
              </w:rPr>
            </w:pPr>
            <w:r w:rsidRPr="007636AE">
              <w:rPr>
                <w:color w:val="auto"/>
                <w:szCs w:val="18"/>
              </w:rPr>
              <w:t>5003</w:t>
            </w:r>
          </w:p>
        </w:tc>
        <w:tc>
          <w:tcPr>
            <w:tcW w:w="1084" w:type="dxa"/>
            <w:vAlign w:val="center"/>
          </w:tcPr>
          <w:p w:rsidR="00F13FF2" w:rsidRPr="007636AE" w:rsidRDefault="00F13FF2" w:rsidP="009636A5">
            <w:pPr>
              <w:rPr>
                <w:color w:val="auto"/>
                <w:szCs w:val="18"/>
              </w:rPr>
            </w:pPr>
            <w:r w:rsidRPr="007636AE">
              <w:rPr>
                <w:color w:val="auto"/>
                <w:szCs w:val="18"/>
              </w:rPr>
              <w:t>10%</w:t>
            </w:r>
          </w:p>
        </w:tc>
      </w:tr>
      <w:tr w:rsidR="00F13FF2" w:rsidRPr="00C654BE" w:rsidTr="009636A5">
        <w:tblPrEx>
          <w:tblLook w:val="0000"/>
        </w:tblPrEx>
        <w:trPr>
          <w:gridBefore w:val="1"/>
          <w:wBefore w:w="6462" w:type="dxa"/>
          <w:trHeight w:val="256"/>
          <w:jc w:val="center"/>
        </w:trPr>
        <w:tc>
          <w:tcPr>
            <w:tcW w:w="1724" w:type="dxa"/>
            <w:tcBorders>
              <w:left w:val="single" w:sz="4" w:space="0" w:color="auto"/>
              <w:bottom w:val="single" w:sz="4" w:space="0" w:color="auto"/>
            </w:tcBorders>
            <w:shd w:val="clear" w:color="auto" w:fill="D9D9D9"/>
            <w:vAlign w:val="center"/>
          </w:tcPr>
          <w:p w:rsidR="00F13FF2" w:rsidRPr="007636AE" w:rsidRDefault="00F13FF2" w:rsidP="009636A5">
            <w:pPr>
              <w:contextualSpacing/>
              <w:rPr>
                <w:color w:val="auto"/>
                <w:szCs w:val="18"/>
              </w:rPr>
            </w:pPr>
            <w:r w:rsidRPr="007636AE">
              <w:rPr>
                <w:b/>
                <w:color w:val="auto"/>
                <w:szCs w:val="24"/>
              </w:rPr>
              <w:t>COMBINED</w:t>
            </w:r>
          </w:p>
        </w:tc>
        <w:tc>
          <w:tcPr>
            <w:tcW w:w="1084" w:type="dxa"/>
            <w:tcBorders>
              <w:bottom w:val="single" w:sz="4" w:space="0" w:color="000000"/>
            </w:tcBorders>
            <w:shd w:val="clear" w:color="auto" w:fill="D9D9D9"/>
            <w:vAlign w:val="center"/>
          </w:tcPr>
          <w:p w:rsidR="00F13FF2" w:rsidRPr="007636AE" w:rsidRDefault="00F13FF2" w:rsidP="009636A5">
            <w:pPr>
              <w:contextualSpacing/>
              <w:rPr>
                <w:color w:val="auto"/>
                <w:szCs w:val="18"/>
              </w:rPr>
            </w:pPr>
            <w:r w:rsidRPr="007636AE">
              <w:rPr>
                <w:color w:val="auto"/>
                <w:szCs w:val="18"/>
              </w:rPr>
              <w:t>20%</w:t>
            </w:r>
          </w:p>
        </w:tc>
      </w:tr>
    </w:tbl>
    <w:p w:rsidR="005B1D09" w:rsidRPr="00C654BE" w:rsidRDefault="005B1D09" w:rsidP="009636A5">
      <w:pPr>
        <w:pBdr>
          <w:bottom w:val="single" w:sz="12" w:space="1" w:color="auto"/>
        </w:pBdr>
        <w:tabs>
          <w:tab w:val="left" w:pos="288"/>
          <w:tab w:val="left" w:pos="4752"/>
        </w:tabs>
        <w:jc w:val="both"/>
        <w:rPr>
          <w:color w:val="auto"/>
        </w:rPr>
      </w:pPr>
    </w:p>
    <w:p w:rsidR="005B1D09" w:rsidRPr="001F29F9" w:rsidRDefault="00406A87" w:rsidP="009636A5">
      <w:pPr>
        <w:jc w:val="both"/>
        <w:rPr>
          <w:color w:val="000000"/>
          <w:szCs w:val="24"/>
        </w:rPr>
      </w:pPr>
      <w:r>
        <w:rPr>
          <w:color w:val="000000"/>
          <w:szCs w:val="24"/>
        </w:rPr>
        <w:br w:type="page"/>
      </w:r>
    </w:p>
    <w:p w:rsidR="00D91DA6" w:rsidRPr="001F29F9" w:rsidRDefault="00FB1725" w:rsidP="009636A5">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9636A5">
      <w:pPr>
        <w:tabs>
          <w:tab w:val="left" w:pos="288"/>
          <w:tab w:val="left" w:pos="4752"/>
        </w:tabs>
        <w:jc w:val="both"/>
        <w:rPr>
          <w:color w:val="000000"/>
        </w:rPr>
      </w:pPr>
    </w:p>
    <w:p w:rsidR="00114F20" w:rsidRPr="001F29F9" w:rsidRDefault="00FB1725" w:rsidP="009636A5">
      <w:pPr>
        <w:tabs>
          <w:tab w:val="left" w:pos="288"/>
          <w:tab w:val="left" w:pos="4752"/>
        </w:tabs>
        <w:jc w:val="both"/>
        <w:rPr>
          <w:color w:val="000000"/>
        </w:rPr>
      </w:pPr>
      <w:r w:rsidRPr="001F29F9">
        <w:rPr>
          <w:color w:val="000000"/>
        </w:rPr>
        <w:t xml:space="preserve">Exhibit A.  DD Form 294, </w:t>
      </w:r>
      <w:r w:rsidRPr="001F29F9">
        <w:rPr>
          <w:color w:val="000000"/>
          <w:szCs w:val="24"/>
        </w:rPr>
        <w:t>dated 20</w:t>
      </w:r>
      <w:r w:rsidR="001215DF" w:rsidRPr="001F29F9">
        <w:rPr>
          <w:color w:val="000000"/>
          <w:szCs w:val="24"/>
        </w:rPr>
        <w:t>1</w:t>
      </w:r>
      <w:r w:rsidR="00053D41">
        <w:rPr>
          <w:color w:val="000000"/>
          <w:szCs w:val="24"/>
        </w:rPr>
        <w:t>20209</w:t>
      </w:r>
      <w:r w:rsidR="00832AB6">
        <w:rPr>
          <w:color w:val="000000"/>
        </w:rPr>
        <w:t>, w/</w:t>
      </w:r>
      <w:proofErr w:type="spellStart"/>
      <w:r w:rsidR="00832AB6">
        <w:rPr>
          <w:color w:val="000000"/>
        </w:rPr>
        <w:t>atchs</w:t>
      </w:r>
      <w:proofErr w:type="spellEnd"/>
    </w:p>
    <w:p w:rsidR="00114F20" w:rsidRPr="001F29F9" w:rsidRDefault="00FB1725" w:rsidP="009636A5">
      <w:pPr>
        <w:tabs>
          <w:tab w:val="left" w:pos="288"/>
          <w:tab w:val="left" w:pos="4752"/>
        </w:tabs>
        <w:jc w:val="both"/>
        <w:rPr>
          <w:color w:val="000000"/>
        </w:rPr>
      </w:pPr>
      <w:r w:rsidRPr="001F29F9">
        <w:rPr>
          <w:color w:val="000000"/>
        </w:rPr>
        <w:t>Exhib</w:t>
      </w:r>
      <w:r w:rsidR="00832AB6">
        <w:rPr>
          <w:color w:val="000000"/>
        </w:rPr>
        <w:t>it B.  Service Treatment Record</w:t>
      </w:r>
    </w:p>
    <w:p w:rsidR="00114F20" w:rsidRPr="001F29F9" w:rsidRDefault="00FB1725" w:rsidP="00BF0E94">
      <w:pPr>
        <w:tabs>
          <w:tab w:val="left" w:pos="288"/>
          <w:tab w:val="left" w:pos="4752"/>
        </w:tabs>
        <w:jc w:val="both"/>
        <w:rPr>
          <w:color w:val="000000"/>
        </w:rPr>
      </w:pPr>
      <w:r w:rsidRPr="001F29F9">
        <w:rPr>
          <w:color w:val="000000"/>
        </w:rPr>
        <w:t>Exhibit C.  Department of Ve</w:t>
      </w:r>
      <w:r w:rsidR="00832AB6">
        <w:rPr>
          <w:color w:val="000000"/>
        </w:rPr>
        <w:t>terans Affairs Treatment Record</w:t>
      </w:r>
    </w:p>
    <w:p w:rsidR="00D91DA6" w:rsidRPr="001F29F9" w:rsidRDefault="00D91DA6"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A27DE6">
        <w:rPr>
          <w:color w:val="000000"/>
          <w:szCs w:val="24"/>
        </w:rPr>
        <w:t>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A27DE6"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A27DE6" w:rsidRDefault="00A27DE6" w:rsidP="00A27DE6">
      <w:r>
        <w:rPr>
          <w:color w:val="000000"/>
          <w:szCs w:val="24"/>
        </w:rPr>
        <w:br w:type="page"/>
      </w:r>
      <w:r>
        <w:lastRenderedPageBreak/>
        <w:t>SFMR-RB</w:t>
      </w:r>
      <w:r>
        <w:tab/>
      </w:r>
      <w:r>
        <w:tab/>
      </w:r>
      <w:r>
        <w:tab/>
      </w:r>
      <w:r>
        <w:tab/>
      </w:r>
      <w:r>
        <w:tab/>
      </w:r>
      <w:r>
        <w:tab/>
      </w:r>
      <w:r>
        <w:tab/>
      </w:r>
      <w:r>
        <w:tab/>
      </w:r>
      <w:r>
        <w:tab/>
      </w:r>
    </w:p>
    <w:p w:rsidR="00A27DE6" w:rsidRDefault="00A27DE6" w:rsidP="00A27DE6">
      <w:pPr>
        <w:pStyle w:val="Header"/>
        <w:tabs>
          <w:tab w:val="left" w:pos="720"/>
        </w:tabs>
        <w:jc w:val="left"/>
      </w:pPr>
    </w:p>
    <w:p w:rsidR="00A27DE6" w:rsidRDefault="00A27DE6" w:rsidP="00A27DE6">
      <w:pPr>
        <w:jc w:val="left"/>
      </w:pPr>
    </w:p>
    <w:p w:rsidR="00A27DE6" w:rsidRDefault="00A27DE6" w:rsidP="00A27DE6">
      <w:pPr>
        <w:jc w:val="left"/>
      </w:pPr>
      <w:r>
        <w:t xml:space="preserve">MEMORANDUM FOR Commander, US Army Physical Disability Agency </w:t>
      </w:r>
    </w:p>
    <w:p w:rsidR="00A27DE6" w:rsidRDefault="00A27DE6" w:rsidP="00A27DE6">
      <w:pPr>
        <w:jc w:val="left"/>
      </w:pPr>
      <w:r>
        <w:t>(TAPD-ZB /), 2900 Crystal Drive, Suite 300, Arlington, VA  22202</w:t>
      </w:r>
    </w:p>
    <w:p w:rsidR="00A27DE6" w:rsidRDefault="00A27DE6" w:rsidP="00A27DE6">
      <w:pPr>
        <w:jc w:val="left"/>
      </w:pPr>
    </w:p>
    <w:p w:rsidR="00A27DE6" w:rsidRDefault="00A27DE6" w:rsidP="00A27DE6">
      <w:pPr>
        <w:ind w:right="-180"/>
        <w:jc w:val="left"/>
      </w:pPr>
      <w:r>
        <w:t>SUBJECT:  Department of Defense Physical Disability Board of Review Recommendation for XXXXXXXXXXXX, AR20120008206 (PD201100353)</w:t>
      </w:r>
    </w:p>
    <w:p w:rsidR="00A27DE6" w:rsidRDefault="00A27DE6" w:rsidP="00A27DE6">
      <w:pPr>
        <w:pStyle w:val="Header"/>
        <w:tabs>
          <w:tab w:val="left" w:pos="720"/>
        </w:tabs>
        <w:jc w:val="left"/>
      </w:pPr>
    </w:p>
    <w:p w:rsidR="00A27DE6" w:rsidRDefault="00A27DE6" w:rsidP="00A27DE6">
      <w:pPr>
        <w:jc w:val="left"/>
      </w:pPr>
    </w:p>
    <w:p w:rsidR="00A27DE6" w:rsidRDefault="00A27DE6" w:rsidP="00A27DE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27DE6" w:rsidRDefault="00A27DE6" w:rsidP="00A27DE6">
      <w:pPr>
        <w:jc w:val="left"/>
      </w:pPr>
      <w:r>
        <w:t>This decision is final.  The individual’s spouse, counsel (if any), and any Members of Congress who have shown interest in this application have been notified of this decision by mail.</w:t>
      </w:r>
    </w:p>
    <w:p w:rsidR="00A27DE6" w:rsidRDefault="00A27DE6" w:rsidP="00A27DE6">
      <w:pPr>
        <w:jc w:val="left"/>
      </w:pPr>
    </w:p>
    <w:p w:rsidR="00A27DE6" w:rsidRDefault="00A27DE6" w:rsidP="00A27DE6">
      <w:pPr>
        <w:jc w:val="left"/>
      </w:pPr>
      <w:r>
        <w:t xml:space="preserve"> BY ORDER OF THE SECRETARY OF THE ARMY:</w:t>
      </w:r>
    </w:p>
    <w:p w:rsidR="00A27DE6" w:rsidRDefault="00A27DE6" w:rsidP="00A27DE6">
      <w:pPr>
        <w:jc w:val="left"/>
      </w:pPr>
    </w:p>
    <w:p w:rsidR="00A27DE6" w:rsidRDefault="00A27DE6" w:rsidP="00A27DE6">
      <w:pPr>
        <w:jc w:val="left"/>
      </w:pPr>
    </w:p>
    <w:p w:rsidR="00A27DE6" w:rsidRDefault="00A27DE6" w:rsidP="00A27DE6">
      <w:pPr>
        <w:pStyle w:val="Header"/>
        <w:tabs>
          <w:tab w:val="left" w:pos="720"/>
        </w:tabs>
        <w:jc w:val="left"/>
      </w:pPr>
    </w:p>
    <w:p w:rsidR="00A27DE6" w:rsidRDefault="00A27DE6" w:rsidP="00A27DE6">
      <w:pPr>
        <w:jc w:val="left"/>
      </w:pPr>
    </w:p>
    <w:p w:rsidR="00A27DE6" w:rsidRDefault="00A27DE6" w:rsidP="00A27DE6">
      <w:pPr>
        <w:jc w:val="left"/>
      </w:pPr>
      <w:bookmarkStart w:id="0" w:name="OLE_LINK4"/>
      <w:bookmarkStart w:id="1" w:name="OLE_LINK3"/>
      <w:r>
        <w:t>Encl</w:t>
      </w:r>
      <w:r>
        <w:tab/>
      </w:r>
      <w:r>
        <w:tab/>
      </w:r>
      <w:r>
        <w:tab/>
      </w:r>
      <w:r>
        <w:tab/>
      </w:r>
      <w:r>
        <w:tab/>
      </w:r>
      <w:r>
        <w:tab/>
        <w:t xml:space="preserve">     XXXXXXXXXXX</w:t>
      </w:r>
    </w:p>
    <w:p w:rsidR="00A27DE6" w:rsidRDefault="00A27DE6" w:rsidP="00A27DE6">
      <w:pPr>
        <w:jc w:val="left"/>
      </w:pPr>
      <w:r>
        <w:tab/>
      </w:r>
      <w:r>
        <w:tab/>
      </w:r>
      <w:r>
        <w:tab/>
      </w:r>
      <w:r>
        <w:tab/>
      </w:r>
      <w:r>
        <w:tab/>
      </w:r>
      <w:r>
        <w:tab/>
        <w:t xml:space="preserve">     Deputy Assistant Secretary</w:t>
      </w:r>
    </w:p>
    <w:p w:rsidR="00A27DE6" w:rsidRDefault="00A27DE6" w:rsidP="00A27DE6">
      <w:pPr>
        <w:jc w:val="left"/>
      </w:pPr>
      <w:r>
        <w:tab/>
      </w:r>
      <w:r>
        <w:tab/>
      </w:r>
      <w:r>
        <w:tab/>
      </w:r>
      <w:r>
        <w:tab/>
      </w:r>
      <w:r>
        <w:tab/>
      </w:r>
      <w:r>
        <w:tab/>
        <w:t xml:space="preserve">         (Army Review Boards)</w:t>
      </w:r>
      <w:bookmarkEnd w:id="0"/>
      <w:bookmarkEnd w:id="1"/>
    </w:p>
    <w:p w:rsidR="00A27DE6" w:rsidRDefault="00A27DE6" w:rsidP="00A27DE6">
      <w:pPr>
        <w:jc w:val="left"/>
      </w:pPr>
    </w:p>
    <w:p w:rsidR="00A27DE6" w:rsidRDefault="00A27DE6" w:rsidP="00A27DE6">
      <w:pPr>
        <w:jc w:val="left"/>
      </w:pPr>
      <w:r>
        <w:t xml:space="preserve">CF: </w:t>
      </w:r>
    </w:p>
    <w:p w:rsidR="00A27DE6" w:rsidRDefault="00A27DE6" w:rsidP="00A27DE6">
      <w:pPr>
        <w:jc w:val="left"/>
      </w:pPr>
      <w:r>
        <w:t xml:space="preserve">(  ) </w:t>
      </w:r>
      <w:proofErr w:type="spellStart"/>
      <w:proofErr w:type="gramStart"/>
      <w:r>
        <w:t>DoD</w:t>
      </w:r>
      <w:proofErr w:type="spellEnd"/>
      <w:proofErr w:type="gramEnd"/>
      <w:r>
        <w:t xml:space="preserve"> PDBR</w:t>
      </w:r>
    </w:p>
    <w:p w:rsidR="00A27DE6" w:rsidRDefault="00A27DE6" w:rsidP="00A27DE6">
      <w:pPr>
        <w:jc w:val="left"/>
      </w:pPr>
      <w:r>
        <w:t>(  ) DVA</w:t>
      </w:r>
    </w:p>
    <w:p w:rsidR="00A27DE6" w:rsidRDefault="00A27DE6" w:rsidP="00A27DE6">
      <w:pPr>
        <w:jc w:val="left"/>
      </w:pPr>
    </w:p>
    <w:p w:rsidR="00E3077F" w:rsidRPr="001F29F9" w:rsidRDefault="00E3077F" w:rsidP="00A27DE6">
      <w:pPr>
        <w:tabs>
          <w:tab w:val="left" w:pos="0"/>
          <w:tab w:val="left" w:pos="4320"/>
        </w:tabs>
        <w:jc w:val="left"/>
        <w:rPr>
          <w:color w:val="000000"/>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A7" w:rsidRDefault="00F958A7">
      <w:r>
        <w:separator/>
      </w:r>
    </w:p>
  </w:endnote>
  <w:endnote w:type="continuationSeparator" w:id="0">
    <w:p w:rsidR="00F958A7" w:rsidRDefault="00F95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AB" w:rsidRPr="00374247" w:rsidRDefault="009B6AAB" w:rsidP="00374247">
    <w:pPr>
      <w:pStyle w:val="Footer"/>
      <w:ind w:firstLine="4320"/>
      <w:rPr>
        <w:color w:val="auto"/>
        <w:szCs w:val="24"/>
      </w:rPr>
    </w:pPr>
    <w:r w:rsidRPr="00374247">
      <w:rPr>
        <w:color w:val="auto"/>
        <w:szCs w:val="24"/>
      </w:rPr>
      <w:t xml:space="preserve">   </w:t>
    </w:r>
    <w:r w:rsidR="00E3523B" w:rsidRPr="00374247">
      <w:rPr>
        <w:color w:val="auto"/>
        <w:szCs w:val="24"/>
      </w:rPr>
      <w:fldChar w:fldCharType="begin"/>
    </w:r>
    <w:r w:rsidRPr="00374247">
      <w:rPr>
        <w:color w:val="auto"/>
        <w:szCs w:val="24"/>
      </w:rPr>
      <w:instrText xml:space="preserve"> PAGE   \* MERGEFORMAT </w:instrText>
    </w:r>
    <w:r w:rsidR="00E3523B" w:rsidRPr="00374247">
      <w:rPr>
        <w:color w:val="auto"/>
        <w:szCs w:val="24"/>
      </w:rPr>
      <w:fldChar w:fldCharType="separate"/>
    </w:r>
    <w:r w:rsidR="00A27DE6" w:rsidRPr="00A27DE6">
      <w:rPr>
        <w:noProof/>
        <w:color w:val="auto"/>
      </w:rPr>
      <w:t>2</w:t>
    </w:r>
    <w:r w:rsidR="00E3523B" w:rsidRPr="00374247">
      <w:rPr>
        <w:color w:val="auto"/>
        <w:szCs w:val="24"/>
      </w:rPr>
      <w:fldChar w:fldCharType="end"/>
    </w:r>
    <w:r w:rsidRPr="00374247">
      <w:rPr>
        <w:color w:val="auto"/>
        <w:szCs w:val="24"/>
      </w:rPr>
      <w:t xml:space="preserve">                                                           </w:t>
    </w:r>
    <w:r w:rsidRPr="009F7092">
      <w:rPr>
        <w:color w:val="auto"/>
        <w:szCs w:val="24"/>
      </w:rPr>
      <w:t>PD1100353</w:t>
    </w:r>
  </w:p>
  <w:p w:rsidR="009B6AAB" w:rsidRPr="00684CE6" w:rsidRDefault="009B6AA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A7" w:rsidRDefault="00F958A7">
      <w:r>
        <w:separator/>
      </w:r>
    </w:p>
  </w:footnote>
  <w:footnote w:type="continuationSeparator" w:id="0">
    <w:p w:rsidR="00F958A7" w:rsidRDefault="00F95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5298"/>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07307"/>
    <w:rsid w:val="00010ABA"/>
    <w:rsid w:val="00010B0F"/>
    <w:rsid w:val="00012428"/>
    <w:rsid w:val="00012733"/>
    <w:rsid w:val="00013417"/>
    <w:rsid w:val="000145C2"/>
    <w:rsid w:val="0001473F"/>
    <w:rsid w:val="00014A47"/>
    <w:rsid w:val="00014A9E"/>
    <w:rsid w:val="0001637A"/>
    <w:rsid w:val="00017778"/>
    <w:rsid w:val="00021361"/>
    <w:rsid w:val="00022CF3"/>
    <w:rsid w:val="00023913"/>
    <w:rsid w:val="00023D43"/>
    <w:rsid w:val="00024002"/>
    <w:rsid w:val="00024DE7"/>
    <w:rsid w:val="00025FB1"/>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41"/>
    <w:rsid w:val="00053D7C"/>
    <w:rsid w:val="000575C5"/>
    <w:rsid w:val="000577C9"/>
    <w:rsid w:val="00060FFD"/>
    <w:rsid w:val="00061D69"/>
    <w:rsid w:val="0006431E"/>
    <w:rsid w:val="000652EA"/>
    <w:rsid w:val="00065D32"/>
    <w:rsid w:val="00065E21"/>
    <w:rsid w:val="00066D80"/>
    <w:rsid w:val="000673ED"/>
    <w:rsid w:val="00067854"/>
    <w:rsid w:val="00070DED"/>
    <w:rsid w:val="00072433"/>
    <w:rsid w:val="00072588"/>
    <w:rsid w:val="00072B3E"/>
    <w:rsid w:val="0007388C"/>
    <w:rsid w:val="0007488B"/>
    <w:rsid w:val="00075294"/>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30B1"/>
    <w:rsid w:val="00093BBE"/>
    <w:rsid w:val="000949DD"/>
    <w:rsid w:val="00094E4F"/>
    <w:rsid w:val="00096580"/>
    <w:rsid w:val="000A2BCE"/>
    <w:rsid w:val="000A31E2"/>
    <w:rsid w:val="000A33C8"/>
    <w:rsid w:val="000A41E3"/>
    <w:rsid w:val="000A4BBA"/>
    <w:rsid w:val="000A5071"/>
    <w:rsid w:val="000A6E2C"/>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2F6"/>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5DE6"/>
    <w:rsid w:val="000E7034"/>
    <w:rsid w:val="000F02BE"/>
    <w:rsid w:val="000F0928"/>
    <w:rsid w:val="000F0B3D"/>
    <w:rsid w:val="000F1E65"/>
    <w:rsid w:val="000F41AF"/>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435"/>
    <w:rsid w:val="0012077C"/>
    <w:rsid w:val="001211AF"/>
    <w:rsid w:val="001215DF"/>
    <w:rsid w:val="001219DF"/>
    <w:rsid w:val="0012220B"/>
    <w:rsid w:val="00122ABE"/>
    <w:rsid w:val="001231DC"/>
    <w:rsid w:val="0012453A"/>
    <w:rsid w:val="0012489B"/>
    <w:rsid w:val="00125BE2"/>
    <w:rsid w:val="001272AE"/>
    <w:rsid w:val="00130756"/>
    <w:rsid w:val="001315DD"/>
    <w:rsid w:val="00132C98"/>
    <w:rsid w:val="0013525F"/>
    <w:rsid w:val="00135385"/>
    <w:rsid w:val="00136204"/>
    <w:rsid w:val="001364D1"/>
    <w:rsid w:val="001374C7"/>
    <w:rsid w:val="00140FA4"/>
    <w:rsid w:val="00141BC9"/>
    <w:rsid w:val="001421FD"/>
    <w:rsid w:val="0014258E"/>
    <w:rsid w:val="001425C8"/>
    <w:rsid w:val="00142EBA"/>
    <w:rsid w:val="00143B79"/>
    <w:rsid w:val="00145965"/>
    <w:rsid w:val="00150B8A"/>
    <w:rsid w:val="00150DCB"/>
    <w:rsid w:val="00151439"/>
    <w:rsid w:val="00151912"/>
    <w:rsid w:val="00153740"/>
    <w:rsid w:val="001537D8"/>
    <w:rsid w:val="00153D88"/>
    <w:rsid w:val="001541C5"/>
    <w:rsid w:val="00154E2B"/>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6EDA"/>
    <w:rsid w:val="00177659"/>
    <w:rsid w:val="001779E5"/>
    <w:rsid w:val="00180826"/>
    <w:rsid w:val="00181240"/>
    <w:rsid w:val="001813AA"/>
    <w:rsid w:val="00182A4C"/>
    <w:rsid w:val="00183ED6"/>
    <w:rsid w:val="00183F77"/>
    <w:rsid w:val="00183FB3"/>
    <w:rsid w:val="001844D8"/>
    <w:rsid w:val="00185DA8"/>
    <w:rsid w:val="00185ECB"/>
    <w:rsid w:val="0018607C"/>
    <w:rsid w:val="001865E0"/>
    <w:rsid w:val="001870F0"/>
    <w:rsid w:val="00190E48"/>
    <w:rsid w:val="0019114B"/>
    <w:rsid w:val="0019273F"/>
    <w:rsid w:val="0019349D"/>
    <w:rsid w:val="00193814"/>
    <w:rsid w:val="00193AAB"/>
    <w:rsid w:val="00193AD5"/>
    <w:rsid w:val="00194930"/>
    <w:rsid w:val="00194E44"/>
    <w:rsid w:val="00195AAC"/>
    <w:rsid w:val="0019619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431"/>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330"/>
    <w:rsid w:val="001E635C"/>
    <w:rsid w:val="001F0297"/>
    <w:rsid w:val="001F29F9"/>
    <w:rsid w:val="001F6E0B"/>
    <w:rsid w:val="001F7A8D"/>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0B2"/>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EE5"/>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282"/>
    <w:rsid w:val="00262EA5"/>
    <w:rsid w:val="0026318D"/>
    <w:rsid w:val="00264148"/>
    <w:rsid w:val="002660AF"/>
    <w:rsid w:val="00270864"/>
    <w:rsid w:val="002712F7"/>
    <w:rsid w:val="0027159C"/>
    <w:rsid w:val="002722F2"/>
    <w:rsid w:val="00273445"/>
    <w:rsid w:val="00274549"/>
    <w:rsid w:val="00274E46"/>
    <w:rsid w:val="002752AE"/>
    <w:rsid w:val="00275AFD"/>
    <w:rsid w:val="002769AF"/>
    <w:rsid w:val="00276C86"/>
    <w:rsid w:val="00276FD0"/>
    <w:rsid w:val="00277217"/>
    <w:rsid w:val="002810A4"/>
    <w:rsid w:val="002813A1"/>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963"/>
    <w:rsid w:val="002A72C7"/>
    <w:rsid w:val="002B0204"/>
    <w:rsid w:val="002B03B2"/>
    <w:rsid w:val="002B0749"/>
    <w:rsid w:val="002B2645"/>
    <w:rsid w:val="002B303A"/>
    <w:rsid w:val="002B32E9"/>
    <w:rsid w:val="002B3705"/>
    <w:rsid w:val="002B4E22"/>
    <w:rsid w:val="002B56C4"/>
    <w:rsid w:val="002B6FA0"/>
    <w:rsid w:val="002B7710"/>
    <w:rsid w:val="002C0DEA"/>
    <w:rsid w:val="002C19DB"/>
    <w:rsid w:val="002C34F6"/>
    <w:rsid w:val="002C3B6D"/>
    <w:rsid w:val="002C3F59"/>
    <w:rsid w:val="002C5D5C"/>
    <w:rsid w:val="002C5D9D"/>
    <w:rsid w:val="002C5F10"/>
    <w:rsid w:val="002C6E5B"/>
    <w:rsid w:val="002D08F3"/>
    <w:rsid w:val="002D18B4"/>
    <w:rsid w:val="002D2058"/>
    <w:rsid w:val="002D231A"/>
    <w:rsid w:val="002D283D"/>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864"/>
    <w:rsid w:val="002F56F3"/>
    <w:rsid w:val="002F6AD8"/>
    <w:rsid w:val="002F7F81"/>
    <w:rsid w:val="00300A36"/>
    <w:rsid w:val="00301B45"/>
    <w:rsid w:val="00305856"/>
    <w:rsid w:val="00305867"/>
    <w:rsid w:val="0030678B"/>
    <w:rsid w:val="00306D16"/>
    <w:rsid w:val="00307595"/>
    <w:rsid w:val="00307DA6"/>
    <w:rsid w:val="00310CD7"/>
    <w:rsid w:val="00311C21"/>
    <w:rsid w:val="00313C3A"/>
    <w:rsid w:val="00313D7A"/>
    <w:rsid w:val="003155FB"/>
    <w:rsid w:val="0032136A"/>
    <w:rsid w:val="003217C8"/>
    <w:rsid w:val="003224D8"/>
    <w:rsid w:val="00323A90"/>
    <w:rsid w:val="00323E70"/>
    <w:rsid w:val="003258A7"/>
    <w:rsid w:val="00325B6E"/>
    <w:rsid w:val="00325BA2"/>
    <w:rsid w:val="003262BD"/>
    <w:rsid w:val="00326798"/>
    <w:rsid w:val="00326B1C"/>
    <w:rsid w:val="00326C08"/>
    <w:rsid w:val="00326F7F"/>
    <w:rsid w:val="00327616"/>
    <w:rsid w:val="003301CD"/>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497"/>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4CE"/>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967"/>
    <w:rsid w:val="003840F6"/>
    <w:rsid w:val="00384393"/>
    <w:rsid w:val="00384866"/>
    <w:rsid w:val="003851BA"/>
    <w:rsid w:val="003857D4"/>
    <w:rsid w:val="0038595C"/>
    <w:rsid w:val="00385D6F"/>
    <w:rsid w:val="00386D43"/>
    <w:rsid w:val="00387095"/>
    <w:rsid w:val="00387E95"/>
    <w:rsid w:val="00390092"/>
    <w:rsid w:val="00390CFA"/>
    <w:rsid w:val="00391858"/>
    <w:rsid w:val="0039251E"/>
    <w:rsid w:val="00393651"/>
    <w:rsid w:val="00394926"/>
    <w:rsid w:val="00394FF9"/>
    <w:rsid w:val="00395651"/>
    <w:rsid w:val="00395E12"/>
    <w:rsid w:val="003962A8"/>
    <w:rsid w:val="00396779"/>
    <w:rsid w:val="00397DB7"/>
    <w:rsid w:val="003A27B2"/>
    <w:rsid w:val="003A40B4"/>
    <w:rsid w:val="003A41BA"/>
    <w:rsid w:val="003A5491"/>
    <w:rsid w:val="003A5958"/>
    <w:rsid w:val="003A667D"/>
    <w:rsid w:val="003A67A2"/>
    <w:rsid w:val="003A6A99"/>
    <w:rsid w:val="003A6E60"/>
    <w:rsid w:val="003A76AB"/>
    <w:rsid w:val="003A7FF8"/>
    <w:rsid w:val="003B0A82"/>
    <w:rsid w:val="003B1009"/>
    <w:rsid w:val="003B17AC"/>
    <w:rsid w:val="003B2143"/>
    <w:rsid w:val="003B227A"/>
    <w:rsid w:val="003B3A77"/>
    <w:rsid w:val="003B41B9"/>
    <w:rsid w:val="003B4319"/>
    <w:rsid w:val="003B536C"/>
    <w:rsid w:val="003B5854"/>
    <w:rsid w:val="003B6764"/>
    <w:rsid w:val="003B6F4E"/>
    <w:rsid w:val="003B7A8B"/>
    <w:rsid w:val="003C247E"/>
    <w:rsid w:val="003C294B"/>
    <w:rsid w:val="003C43AC"/>
    <w:rsid w:val="003C5046"/>
    <w:rsid w:val="003C5B54"/>
    <w:rsid w:val="003C6068"/>
    <w:rsid w:val="003C7AEC"/>
    <w:rsid w:val="003D2421"/>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09C"/>
    <w:rsid w:val="003E6214"/>
    <w:rsid w:val="003F070E"/>
    <w:rsid w:val="003F1206"/>
    <w:rsid w:val="003F2409"/>
    <w:rsid w:val="003F2418"/>
    <w:rsid w:val="003F28DB"/>
    <w:rsid w:val="003F2D47"/>
    <w:rsid w:val="003F2EEE"/>
    <w:rsid w:val="003F58B0"/>
    <w:rsid w:val="003F776F"/>
    <w:rsid w:val="004007E9"/>
    <w:rsid w:val="00400810"/>
    <w:rsid w:val="004008A9"/>
    <w:rsid w:val="00401825"/>
    <w:rsid w:val="00401BBC"/>
    <w:rsid w:val="004026FC"/>
    <w:rsid w:val="00403BFB"/>
    <w:rsid w:val="00404B45"/>
    <w:rsid w:val="00405BCF"/>
    <w:rsid w:val="004068E0"/>
    <w:rsid w:val="00406A8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4BBA"/>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BC8"/>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28B"/>
    <w:rsid w:val="00472535"/>
    <w:rsid w:val="00475CBF"/>
    <w:rsid w:val="004761CC"/>
    <w:rsid w:val="004766C9"/>
    <w:rsid w:val="00480D4A"/>
    <w:rsid w:val="00481DA1"/>
    <w:rsid w:val="00483A2B"/>
    <w:rsid w:val="00484034"/>
    <w:rsid w:val="00484212"/>
    <w:rsid w:val="004848C3"/>
    <w:rsid w:val="00484BA9"/>
    <w:rsid w:val="0048599A"/>
    <w:rsid w:val="00486818"/>
    <w:rsid w:val="0049255F"/>
    <w:rsid w:val="0049445D"/>
    <w:rsid w:val="00494D39"/>
    <w:rsid w:val="00495350"/>
    <w:rsid w:val="00495E3C"/>
    <w:rsid w:val="00495FF3"/>
    <w:rsid w:val="00496041"/>
    <w:rsid w:val="00497156"/>
    <w:rsid w:val="004A0C79"/>
    <w:rsid w:val="004A242C"/>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26FB"/>
    <w:rsid w:val="004F3222"/>
    <w:rsid w:val="004F3639"/>
    <w:rsid w:val="004F3BFA"/>
    <w:rsid w:val="004F4E3C"/>
    <w:rsid w:val="004F5A1A"/>
    <w:rsid w:val="004F6156"/>
    <w:rsid w:val="004F77A3"/>
    <w:rsid w:val="005000AB"/>
    <w:rsid w:val="00500EAF"/>
    <w:rsid w:val="00500F3C"/>
    <w:rsid w:val="0050195B"/>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6F9"/>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A61"/>
    <w:rsid w:val="00557A86"/>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3E39"/>
    <w:rsid w:val="00574A1B"/>
    <w:rsid w:val="00575786"/>
    <w:rsid w:val="00575963"/>
    <w:rsid w:val="00575EBE"/>
    <w:rsid w:val="0057608D"/>
    <w:rsid w:val="0058039C"/>
    <w:rsid w:val="00580A63"/>
    <w:rsid w:val="00583379"/>
    <w:rsid w:val="0058417C"/>
    <w:rsid w:val="005854F9"/>
    <w:rsid w:val="0058563B"/>
    <w:rsid w:val="00586EC6"/>
    <w:rsid w:val="00587DDE"/>
    <w:rsid w:val="00593043"/>
    <w:rsid w:val="00595B60"/>
    <w:rsid w:val="00595B63"/>
    <w:rsid w:val="00595BF0"/>
    <w:rsid w:val="00597E16"/>
    <w:rsid w:val="005A0B1D"/>
    <w:rsid w:val="005A1846"/>
    <w:rsid w:val="005A258C"/>
    <w:rsid w:val="005A3560"/>
    <w:rsid w:val="005A44CB"/>
    <w:rsid w:val="005A464E"/>
    <w:rsid w:val="005A62FC"/>
    <w:rsid w:val="005A6C99"/>
    <w:rsid w:val="005A7D5D"/>
    <w:rsid w:val="005B0040"/>
    <w:rsid w:val="005B011A"/>
    <w:rsid w:val="005B0283"/>
    <w:rsid w:val="005B1ADA"/>
    <w:rsid w:val="005B1D09"/>
    <w:rsid w:val="005B1D8F"/>
    <w:rsid w:val="005B1E94"/>
    <w:rsid w:val="005B47F8"/>
    <w:rsid w:val="005B5B3D"/>
    <w:rsid w:val="005B5E8F"/>
    <w:rsid w:val="005B64CF"/>
    <w:rsid w:val="005B72DA"/>
    <w:rsid w:val="005C0226"/>
    <w:rsid w:val="005C0E87"/>
    <w:rsid w:val="005C1398"/>
    <w:rsid w:val="005C16F3"/>
    <w:rsid w:val="005C3758"/>
    <w:rsid w:val="005C4D72"/>
    <w:rsid w:val="005C50C1"/>
    <w:rsid w:val="005C59E5"/>
    <w:rsid w:val="005C62C2"/>
    <w:rsid w:val="005D2306"/>
    <w:rsid w:val="005D2562"/>
    <w:rsid w:val="005D25B9"/>
    <w:rsid w:val="005D2666"/>
    <w:rsid w:val="005D4548"/>
    <w:rsid w:val="005D4A74"/>
    <w:rsid w:val="005D5E91"/>
    <w:rsid w:val="005D6419"/>
    <w:rsid w:val="005D67EF"/>
    <w:rsid w:val="005D6D44"/>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DC8"/>
    <w:rsid w:val="005F73CA"/>
    <w:rsid w:val="006008F8"/>
    <w:rsid w:val="006036C2"/>
    <w:rsid w:val="00604A0D"/>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6ABE"/>
    <w:rsid w:val="006274B4"/>
    <w:rsid w:val="006307BA"/>
    <w:rsid w:val="006315BA"/>
    <w:rsid w:val="00632A96"/>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C8D"/>
    <w:rsid w:val="00671EB4"/>
    <w:rsid w:val="00673CDC"/>
    <w:rsid w:val="0067443B"/>
    <w:rsid w:val="006770AA"/>
    <w:rsid w:val="0067743F"/>
    <w:rsid w:val="0068098E"/>
    <w:rsid w:val="006810BD"/>
    <w:rsid w:val="006820AB"/>
    <w:rsid w:val="00682486"/>
    <w:rsid w:val="006833A7"/>
    <w:rsid w:val="00684CE6"/>
    <w:rsid w:val="00684E2B"/>
    <w:rsid w:val="0068549E"/>
    <w:rsid w:val="006857A0"/>
    <w:rsid w:val="00686AE1"/>
    <w:rsid w:val="00687C7E"/>
    <w:rsid w:val="00687D3D"/>
    <w:rsid w:val="00690569"/>
    <w:rsid w:val="00690FDA"/>
    <w:rsid w:val="00691E61"/>
    <w:rsid w:val="006937C6"/>
    <w:rsid w:val="00693C5E"/>
    <w:rsid w:val="00693CEE"/>
    <w:rsid w:val="00694EEA"/>
    <w:rsid w:val="006955B4"/>
    <w:rsid w:val="00695DEF"/>
    <w:rsid w:val="00696476"/>
    <w:rsid w:val="00696C74"/>
    <w:rsid w:val="00696EBC"/>
    <w:rsid w:val="00697C9B"/>
    <w:rsid w:val="006A10FA"/>
    <w:rsid w:val="006A12E0"/>
    <w:rsid w:val="006A40E6"/>
    <w:rsid w:val="006A516B"/>
    <w:rsid w:val="006A5362"/>
    <w:rsid w:val="006A543A"/>
    <w:rsid w:val="006A5C07"/>
    <w:rsid w:val="006A75FA"/>
    <w:rsid w:val="006B010F"/>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047"/>
    <w:rsid w:val="006C1D6E"/>
    <w:rsid w:val="006C2EF6"/>
    <w:rsid w:val="006C3A68"/>
    <w:rsid w:val="006C3B08"/>
    <w:rsid w:val="006C6AB1"/>
    <w:rsid w:val="006C6E6B"/>
    <w:rsid w:val="006C73D4"/>
    <w:rsid w:val="006D12B4"/>
    <w:rsid w:val="006D145F"/>
    <w:rsid w:val="006D1EE9"/>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2958"/>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0C65"/>
    <w:rsid w:val="00730DBC"/>
    <w:rsid w:val="0073254D"/>
    <w:rsid w:val="007340F3"/>
    <w:rsid w:val="007347BB"/>
    <w:rsid w:val="00735704"/>
    <w:rsid w:val="00736A49"/>
    <w:rsid w:val="00737A0C"/>
    <w:rsid w:val="007419A1"/>
    <w:rsid w:val="00743B71"/>
    <w:rsid w:val="00743C2D"/>
    <w:rsid w:val="00743C3A"/>
    <w:rsid w:val="00743E36"/>
    <w:rsid w:val="00743F05"/>
    <w:rsid w:val="007441C1"/>
    <w:rsid w:val="007446F7"/>
    <w:rsid w:val="00744EBB"/>
    <w:rsid w:val="00745B0A"/>
    <w:rsid w:val="00745DBE"/>
    <w:rsid w:val="007468AC"/>
    <w:rsid w:val="00746AE2"/>
    <w:rsid w:val="00746C31"/>
    <w:rsid w:val="00750C82"/>
    <w:rsid w:val="00750E3A"/>
    <w:rsid w:val="00752035"/>
    <w:rsid w:val="0076100C"/>
    <w:rsid w:val="007612A5"/>
    <w:rsid w:val="007636AE"/>
    <w:rsid w:val="00763CAE"/>
    <w:rsid w:val="00763F95"/>
    <w:rsid w:val="0076428D"/>
    <w:rsid w:val="007651ED"/>
    <w:rsid w:val="00766C87"/>
    <w:rsid w:val="00770FEB"/>
    <w:rsid w:val="00771043"/>
    <w:rsid w:val="0077272B"/>
    <w:rsid w:val="007732BA"/>
    <w:rsid w:val="00773AF7"/>
    <w:rsid w:val="00774FFD"/>
    <w:rsid w:val="00776AEF"/>
    <w:rsid w:val="00777CC8"/>
    <w:rsid w:val="00780378"/>
    <w:rsid w:val="0078085E"/>
    <w:rsid w:val="00781BD4"/>
    <w:rsid w:val="00782562"/>
    <w:rsid w:val="007828B4"/>
    <w:rsid w:val="00784832"/>
    <w:rsid w:val="00784EA0"/>
    <w:rsid w:val="00785D1F"/>
    <w:rsid w:val="00785D77"/>
    <w:rsid w:val="00786111"/>
    <w:rsid w:val="00790963"/>
    <w:rsid w:val="007910A8"/>
    <w:rsid w:val="0079150B"/>
    <w:rsid w:val="0079154B"/>
    <w:rsid w:val="00791CBA"/>
    <w:rsid w:val="00791EED"/>
    <w:rsid w:val="00791F1E"/>
    <w:rsid w:val="007927BE"/>
    <w:rsid w:val="007935B8"/>
    <w:rsid w:val="00794ADE"/>
    <w:rsid w:val="00794F3D"/>
    <w:rsid w:val="00795331"/>
    <w:rsid w:val="00795CE9"/>
    <w:rsid w:val="00796045"/>
    <w:rsid w:val="007968AC"/>
    <w:rsid w:val="007969AB"/>
    <w:rsid w:val="007973D8"/>
    <w:rsid w:val="00797801"/>
    <w:rsid w:val="007A0861"/>
    <w:rsid w:val="007A0B39"/>
    <w:rsid w:val="007A1350"/>
    <w:rsid w:val="007A14A4"/>
    <w:rsid w:val="007A168F"/>
    <w:rsid w:val="007A2346"/>
    <w:rsid w:val="007A28E4"/>
    <w:rsid w:val="007A3BB3"/>
    <w:rsid w:val="007A3F58"/>
    <w:rsid w:val="007A3F91"/>
    <w:rsid w:val="007A3F9C"/>
    <w:rsid w:val="007A5AD1"/>
    <w:rsid w:val="007A5B7B"/>
    <w:rsid w:val="007A65A9"/>
    <w:rsid w:val="007A7FD8"/>
    <w:rsid w:val="007B0128"/>
    <w:rsid w:val="007B03EE"/>
    <w:rsid w:val="007B0635"/>
    <w:rsid w:val="007B0A06"/>
    <w:rsid w:val="007B0B24"/>
    <w:rsid w:val="007B0F8B"/>
    <w:rsid w:val="007B1C83"/>
    <w:rsid w:val="007B1F97"/>
    <w:rsid w:val="007B2CAC"/>
    <w:rsid w:val="007B4181"/>
    <w:rsid w:val="007B4FBD"/>
    <w:rsid w:val="007B5746"/>
    <w:rsid w:val="007B5C5C"/>
    <w:rsid w:val="007B64F2"/>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B37"/>
    <w:rsid w:val="007D136C"/>
    <w:rsid w:val="007D1FCE"/>
    <w:rsid w:val="007D21AC"/>
    <w:rsid w:val="007D24B0"/>
    <w:rsid w:val="007D3882"/>
    <w:rsid w:val="007D39E4"/>
    <w:rsid w:val="007D3FE7"/>
    <w:rsid w:val="007D4CFC"/>
    <w:rsid w:val="007D568A"/>
    <w:rsid w:val="007D574E"/>
    <w:rsid w:val="007D57C0"/>
    <w:rsid w:val="007D5EEB"/>
    <w:rsid w:val="007D67CB"/>
    <w:rsid w:val="007D6BFE"/>
    <w:rsid w:val="007E176C"/>
    <w:rsid w:val="007E1D1E"/>
    <w:rsid w:val="007E2046"/>
    <w:rsid w:val="007E3883"/>
    <w:rsid w:val="007E4876"/>
    <w:rsid w:val="007E48CD"/>
    <w:rsid w:val="007E4ACB"/>
    <w:rsid w:val="007E4FBB"/>
    <w:rsid w:val="007E55BF"/>
    <w:rsid w:val="007E57DC"/>
    <w:rsid w:val="007E59E3"/>
    <w:rsid w:val="007E5E39"/>
    <w:rsid w:val="007E71B1"/>
    <w:rsid w:val="007E7B4E"/>
    <w:rsid w:val="007E7F02"/>
    <w:rsid w:val="007F0292"/>
    <w:rsid w:val="007F0722"/>
    <w:rsid w:val="007F0AB7"/>
    <w:rsid w:val="007F0CE2"/>
    <w:rsid w:val="007F0EFF"/>
    <w:rsid w:val="007F1375"/>
    <w:rsid w:val="007F1AFD"/>
    <w:rsid w:val="007F30E4"/>
    <w:rsid w:val="007F7CF8"/>
    <w:rsid w:val="0080064F"/>
    <w:rsid w:val="00801B85"/>
    <w:rsid w:val="00802575"/>
    <w:rsid w:val="00803850"/>
    <w:rsid w:val="008039E8"/>
    <w:rsid w:val="00804385"/>
    <w:rsid w:val="00804E0E"/>
    <w:rsid w:val="008051EB"/>
    <w:rsid w:val="0080588E"/>
    <w:rsid w:val="0080593C"/>
    <w:rsid w:val="00805AFD"/>
    <w:rsid w:val="00806318"/>
    <w:rsid w:val="00806397"/>
    <w:rsid w:val="008078D8"/>
    <w:rsid w:val="0080798E"/>
    <w:rsid w:val="00811BD9"/>
    <w:rsid w:val="00811D5B"/>
    <w:rsid w:val="00813C51"/>
    <w:rsid w:val="00816CCB"/>
    <w:rsid w:val="00817572"/>
    <w:rsid w:val="00817713"/>
    <w:rsid w:val="008208C3"/>
    <w:rsid w:val="008220F1"/>
    <w:rsid w:val="0082340B"/>
    <w:rsid w:val="00823D6A"/>
    <w:rsid w:val="00824827"/>
    <w:rsid w:val="00827B29"/>
    <w:rsid w:val="00827DB6"/>
    <w:rsid w:val="008304B2"/>
    <w:rsid w:val="00830999"/>
    <w:rsid w:val="00830D5E"/>
    <w:rsid w:val="00830F69"/>
    <w:rsid w:val="00831940"/>
    <w:rsid w:val="008324D9"/>
    <w:rsid w:val="00832AB6"/>
    <w:rsid w:val="00833418"/>
    <w:rsid w:val="0083387F"/>
    <w:rsid w:val="00834458"/>
    <w:rsid w:val="00834AEA"/>
    <w:rsid w:val="00835841"/>
    <w:rsid w:val="00835BF8"/>
    <w:rsid w:val="00835FB7"/>
    <w:rsid w:val="00837465"/>
    <w:rsid w:val="0084002E"/>
    <w:rsid w:val="00840159"/>
    <w:rsid w:val="00840621"/>
    <w:rsid w:val="00841243"/>
    <w:rsid w:val="00841457"/>
    <w:rsid w:val="00841A10"/>
    <w:rsid w:val="00842BAA"/>
    <w:rsid w:val="00842D8F"/>
    <w:rsid w:val="0084374E"/>
    <w:rsid w:val="00844842"/>
    <w:rsid w:val="0084493E"/>
    <w:rsid w:val="00844A53"/>
    <w:rsid w:val="00844B99"/>
    <w:rsid w:val="00844DD0"/>
    <w:rsid w:val="008455C8"/>
    <w:rsid w:val="00846407"/>
    <w:rsid w:val="00847CDA"/>
    <w:rsid w:val="0085006A"/>
    <w:rsid w:val="00850127"/>
    <w:rsid w:val="0085078F"/>
    <w:rsid w:val="0085089F"/>
    <w:rsid w:val="0085206E"/>
    <w:rsid w:val="00852273"/>
    <w:rsid w:val="0085293D"/>
    <w:rsid w:val="00852AD4"/>
    <w:rsid w:val="00852BA8"/>
    <w:rsid w:val="00852BF0"/>
    <w:rsid w:val="00853718"/>
    <w:rsid w:val="008541EF"/>
    <w:rsid w:val="00856428"/>
    <w:rsid w:val="00856AC7"/>
    <w:rsid w:val="00856BE8"/>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DE7"/>
    <w:rsid w:val="00881088"/>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13D"/>
    <w:rsid w:val="008C4F01"/>
    <w:rsid w:val="008C5152"/>
    <w:rsid w:val="008C710E"/>
    <w:rsid w:val="008D10D0"/>
    <w:rsid w:val="008D1484"/>
    <w:rsid w:val="008D29E7"/>
    <w:rsid w:val="008D3E00"/>
    <w:rsid w:val="008D5104"/>
    <w:rsid w:val="008D75F4"/>
    <w:rsid w:val="008D795D"/>
    <w:rsid w:val="008D7B07"/>
    <w:rsid w:val="008E0D8F"/>
    <w:rsid w:val="008E0F4E"/>
    <w:rsid w:val="008E1BCC"/>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C02"/>
    <w:rsid w:val="00905EEF"/>
    <w:rsid w:val="00906EB7"/>
    <w:rsid w:val="00907FE6"/>
    <w:rsid w:val="009102BF"/>
    <w:rsid w:val="00911490"/>
    <w:rsid w:val="009115F2"/>
    <w:rsid w:val="00911B11"/>
    <w:rsid w:val="00912B2B"/>
    <w:rsid w:val="00914ADB"/>
    <w:rsid w:val="00915D82"/>
    <w:rsid w:val="00917182"/>
    <w:rsid w:val="00920251"/>
    <w:rsid w:val="00921CFD"/>
    <w:rsid w:val="00923B25"/>
    <w:rsid w:val="0092402E"/>
    <w:rsid w:val="00924F60"/>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278"/>
    <w:rsid w:val="00954581"/>
    <w:rsid w:val="0095466C"/>
    <w:rsid w:val="00954E5B"/>
    <w:rsid w:val="00955100"/>
    <w:rsid w:val="00955316"/>
    <w:rsid w:val="00955E45"/>
    <w:rsid w:val="009576BC"/>
    <w:rsid w:val="00957899"/>
    <w:rsid w:val="00957927"/>
    <w:rsid w:val="00960357"/>
    <w:rsid w:val="0096168C"/>
    <w:rsid w:val="00961840"/>
    <w:rsid w:val="009625E3"/>
    <w:rsid w:val="0096288B"/>
    <w:rsid w:val="00962F2D"/>
    <w:rsid w:val="009636A5"/>
    <w:rsid w:val="00963A7A"/>
    <w:rsid w:val="009672CD"/>
    <w:rsid w:val="00971810"/>
    <w:rsid w:val="00972996"/>
    <w:rsid w:val="009730B4"/>
    <w:rsid w:val="0097320E"/>
    <w:rsid w:val="009732B8"/>
    <w:rsid w:val="00973B7A"/>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8DB"/>
    <w:rsid w:val="00990FD6"/>
    <w:rsid w:val="009935C3"/>
    <w:rsid w:val="009935D7"/>
    <w:rsid w:val="0099421F"/>
    <w:rsid w:val="00994FC8"/>
    <w:rsid w:val="00997332"/>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7E"/>
    <w:rsid w:val="009B6023"/>
    <w:rsid w:val="009B69D3"/>
    <w:rsid w:val="009B6AAB"/>
    <w:rsid w:val="009B721E"/>
    <w:rsid w:val="009B7BA7"/>
    <w:rsid w:val="009B7C01"/>
    <w:rsid w:val="009C01BA"/>
    <w:rsid w:val="009C0938"/>
    <w:rsid w:val="009C0C22"/>
    <w:rsid w:val="009C15D9"/>
    <w:rsid w:val="009C1A1D"/>
    <w:rsid w:val="009C22C8"/>
    <w:rsid w:val="009C27D5"/>
    <w:rsid w:val="009C3F82"/>
    <w:rsid w:val="009C582A"/>
    <w:rsid w:val="009C5C56"/>
    <w:rsid w:val="009C72DD"/>
    <w:rsid w:val="009C78FD"/>
    <w:rsid w:val="009C7AB9"/>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36A"/>
    <w:rsid w:val="009F6292"/>
    <w:rsid w:val="009F70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DE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4E9"/>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647"/>
    <w:rsid w:val="00A70E7B"/>
    <w:rsid w:val="00A717EA"/>
    <w:rsid w:val="00A730B0"/>
    <w:rsid w:val="00A73B84"/>
    <w:rsid w:val="00A7411D"/>
    <w:rsid w:val="00A756C4"/>
    <w:rsid w:val="00A7592B"/>
    <w:rsid w:val="00A75ED7"/>
    <w:rsid w:val="00A76094"/>
    <w:rsid w:val="00A768E2"/>
    <w:rsid w:val="00A8152C"/>
    <w:rsid w:val="00A82C52"/>
    <w:rsid w:val="00A838E8"/>
    <w:rsid w:val="00A83C15"/>
    <w:rsid w:val="00A84EC4"/>
    <w:rsid w:val="00A862F3"/>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F91"/>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C33"/>
    <w:rsid w:val="00AE7456"/>
    <w:rsid w:val="00AF01B2"/>
    <w:rsid w:val="00AF1103"/>
    <w:rsid w:val="00AF1668"/>
    <w:rsid w:val="00AF25B2"/>
    <w:rsid w:val="00AF28DE"/>
    <w:rsid w:val="00AF41EE"/>
    <w:rsid w:val="00AF4FA5"/>
    <w:rsid w:val="00AF5A12"/>
    <w:rsid w:val="00AF5BB4"/>
    <w:rsid w:val="00AF6ECC"/>
    <w:rsid w:val="00B01422"/>
    <w:rsid w:val="00B02145"/>
    <w:rsid w:val="00B022DC"/>
    <w:rsid w:val="00B04562"/>
    <w:rsid w:val="00B0472F"/>
    <w:rsid w:val="00B06002"/>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EF4"/>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4DD"/>
    <w:rsid w:val="00B40A05"/>
    <w:rsid w:val="00B40A3E"/>
    <w:rsid w:val="00B427BB"/>
    <w:rsid w:val="00B43BA2"/>
    <w:rsid w:val="00B449EE"/>
    <w:rsid w:val="00B454AE"/>
    <w:rsid w:val="00B46DBC"/>
    <w:rsid w:val="00B50227"/>
    <w:rsid w:val="00B50510"/>
    <w:rsid w:val="00B50FEE"/>
    <w:rsid w:val="00B522CD"/>
    <w:rsid w:val="00B54DDC"/>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679"/>
    <w:rsid w:val="00B80EDD"/>
    <w:rsid w:val="00B812BD"/>
    <w:rsid w:val="00B81964"/>
    <w:rsid w:val="00B81F91"/>
    <w:rsid w:val="00B82277"/>
    <w:rsid w:val="00B83F87"/>
    <w:rsid w:val="00B8478F"/>
    <w:rsid w:val="00B84F93"/>
    <w:rsid w:val="00B86614"/>
    <w:rsid w:val="00B91676"/>
    <w:rsid w:val="00B9322B"/>
    <w:rsid w:val="00B93640"/>
    <w:rsid w:val="00B955D5"/>
    <w:rsid w:val="00B95833"/>
    <w:rsid w:val="00B95A5F"/>
    <w:rsid w:val="00BA1824"/>
    <w:rsid w:val="00BA2D98"/>
    <w:rsid w:val="00BA2F0C"/>
    <w:rsid w:val="00BA30D1"/>
    <w:rsid w:val="00BA30E1"/>
    <w:rsid w:val="00BA4609"/>
    <w:rsid w:val="00BA5BE2"/>
    <w:rsid w:val="00BA6A9C"/>
    <w:rsid w:val="00BA7F46"/>
    <w:rsid w:val="00BB0388"/>
    <w:rsid w:val="00BB0A0A"/>
    <w:rsid w:val="00BB0D28"/>
    <w:rsid w:val="00BB133C"/>
    <w:rsid w:val="00BB1F04"/>
    <w:rsid w:val="00BB45B5"/>
    <w:rsid w:val="00BB4CE3"/>
    <w:rsid w:val="00BB4DDE"/>
    <w:rsid w:val="00BB6064"/>
    <w:rsid w:val="00BB65CE"/>
    <w:rsid w:val="00BB7012"/>
    <w:rsid w:val="00BC09D1"/>
    <w:rsid w:val="00BC1CF3"/>
    <w:rsid w:val="00BC1DF0"/>
    <w:rsid w:val="00BC2BE0"/>
    <w:rsid w:val="00BC3573"/>
    <w:rsid w:val="00BC5860"/>
    <w:rsid w:val="00BC7F82"/>
    <w:rsid w:val="00BD1844"/>
    <w:rsid w:val="00BD2A49"/>
    <w:rsid w:val="00BD3683"/>
    <w:rsid w:val="00BD40AB"/>
    <w:rsid w:val="00BD40DE"/>
    <w:rsid w:val="00BD6297"/>
    <w:rsid w:val="00BD676F"/>
    <w:rsid w:val="00BD6806"/>
    <w:rsid w:val="00BD6939"/>
    <w:rsid w:val="00BD6B33"/>
    <w:rsid w:val="00BD7433"/>
    <w:rsid w:val="00BD7831"/>
    <w:rsid w:val="00BD7C10"/>
    <w:rsid w:val="00BE046F"/>
    <w:rsid w:val="00BE077B"/>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16F"/>
    <w:rsid w:val="00BF6759"/>
    <w:rsid w:val="00BF70A6"/>
    <w:rsid w:val="00BF7B4F"/>
    <w:rsid w:val="00BF7B63"/>
    <w:rsid w:val="00BF7BCC"/>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4C8C"/>
    <w:rsid w:val="00C157AA"/>
    <w:rsid w:val="00C162E1"/>
    <w:rsid w:val="00C16570"/>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2795B"/>
    <w:rsid w:val="00C30A97"/>
    <w:rsid w:val="00C31DDC"/>
    <w:rsid w:val="00C3223A"/>
    <w:rsid w:val="00C336DB"/>
    <w:rsid w:val="00C34168"/>
    <w:rsid w:val="00C34247"/>
    <w:rsid w:val="00C34326"/>
    <w:rsid w:val="00C34CEB"/>
    <w:rsid w:val="00C36201"/>
    <w:rsid w:val="00C368E8"/>
    <w:rsid w:val="00C36A2D"/>
    <w:rsid w:val="00C36C3D"/>
    <w:rsid w:val="00C36F12"/>
    <w:rsid w:val="00C372C7"/>
    <w:rsid w:val="00C376A7"/>
    <w:rsid w:val="00C40F00"/>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4BE"/>
    <w:rsid w:val="00C655C1"/>
    <w:rsid w:val="00C665FE"/>
    <w:rsid w:val="00C70759"/>
    <w:rsid w:val="00C71BEC"/>
    <w:rsid w:val="00C73942"/>
    <w:rsid w:val="00C73A83"/>
    <w:rsid w:val="00C74D3A"/>
    <w:rsid w:val="00C75F3D"/>
    <w:rsid w:val="00C764FB"/>
    <w:rsid w:val="00C7686F"/>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01A"/>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22F3"/>
    <w:rsid w:val="00CD32BD"/>
    <w:rsid w:val="00CD34C7"/>
    <w:rsid w:val="00CD5653"/>
    <w:rsid w:val="00CD5E6D"/>
    <w:rsid w:val="00CD63C8"/>
    <w:rsid w:val="00CD70EB"/>
    <w:rsid w:val="00CD76F8"/>
    <w:rsid w:val="00CD78A5"/>
    <w:rsid w:val="00CE02E8"/>
    <w:rsid w:val="00CE069E"/>
    <w:rsid w:val="00CE0DE0"/>
    <w:rsid w:val="00CE2CC2"/>
    <w:rsid w:val="00CE3722"/>
    <w:rsid w:val="00CF0856"/>
    <w:rsid w:val="00CF158D"/>
    <w:rsid w:val="00CF1BB7"/>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088"/>
    <w:rsid w:val="00D14BAE"/>
    <w:rsid w:val="00D15107"/>
    <w:rsid w:val="00D1648B"/>
    <w:rsid w:val="00D16819"/>
    <w:rsid w:val="00D173AB"/>
    <w:rsid w:val="00D17DD9"/>
    <w:rsid w:val="00D20AC0"/>
    <w:rsid w:val="00D229E7"/>
    <w:rsid w:val="00D22EB5"/>
    <w:rsid w:val="00D2321B"/>
    <w:rsid w:val="00D23350"/>
    <w:rsid w:val="00D237E7"/>
    <w:rsid w:val="00D23DE4"/>
    <w:rsid w:val="00D25707"/>
    <w:rsid w:val="00D25A5C"/>
    <w:rsid w:val="00D26873"/>
    <w:rsid w:val="00D27184"/>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5AE"/>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EDA"/>
    <w:rsid w:val="00D67FD7"/>
    <w:rsid w:val="00D704E4"/>
    <w:rsid w:val="00D72410"/>
    <w:rsid w:val="00D73D53"/>
    <w:rsid w:val="00D7402C"/>
    <w:rsid w:val="00D7408A"/>
    <w:rsid w:val="00D74261"/>
    <w:rsid w:val="00D7441B"/>
    <w:rsid w:val="00D75589"/>
    <w:rsid w:val="00D76AB2"/>
    <w:rsid w:val="00D774BB"/>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42F5"/>
    <w:rsid w:val="00DA5564"/>
    <w:rsid w:val="00DA6B55"/>
    <w:rsid w:val="00DA6B97"/>
    <w:rsid w:val="00DA6CEE"/>
    <w:rsid w:val="00DB0015"/>
    <w:rsid w:val="00DB0359"/>
    <w:rsid w:val="00DB0ABB"/>
    <w:rsid w:val="00DB2AAD"/>
    <w:rsid w:val="00DB3AAB"/>
    <w:rsid w:val="00DB4487"/>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CAD"/>
    <w:rsid w:val="00DC7EC7"/>
    <w:rsid w:val="00DD286D"/>
    <w:rsid w:val="00DD2CAF"/>
    <w:rsid w:val="00DD3593"/>
    <w:rsid w:val="00DD4046"/>
    <w:rsid w:val="00DD54AB"/>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2FDB"/>
    <w:rsid w:val="00E0346A"/>
    <w:rsid w:val="00E037ED"/>
    <w:rsid w:val="00E041E4"/>
    <w:rsid w:val="00E04AEE"/>
    <w:rsid w:val="00E06BBD"/>
    <w:rsid w:val="00E100E3"/>
    <w:rsid w:val="00E1012B"/>
    <w:rsid w:val="00E103C8"/>
    <w:rsid w:val="00E1085B"/>
    <w:rsid w:val="00E12C55"/>
    <w:rsid w:val="00E1308B"/>
    <w:rsid w:val="00E14581"/>
    <w:rsid w:val="00E14623"/>
    <w:rsid w:val="00E15539"/>
    <w:rsid w:val="00E16541"/>
    <w:rsid w:val="00E17EC9"/>
    <w:rsid w:val="00E202F4"/>
    <w:rsid w:val="00E207C3"/>
    <w:rsid w:val="00E20B35"/>
    <w:rsid w:val="00E21386"/>
    <w:rsid w:val="00E2421B"/>
    <w:rsid w:val="00E242AF"/>
    <w:rsid w:val="00E24849"/>
    <w:rsid w:val="00E2536E"/>
    <w:rsid w:val="00E25A99"/>
    <w:rsid w:val="00E25B8A"/>
    <w:rsid w:val="00E25EF8"/>
    <w:rsid w:val="00E2632B"/>
    <w:rsid w:val="00E267B4"/>
    <w:rsid w:val="00E26F75"/>
    <w:rsid w:val="00E27423"/>
    <w:rsid w:val="00E3077F"/>
    <w:rsid w:val="00E322F7"/>
    <w:rsid w:val="00E3369B"/>
    <w:rsid w:val="00E34A55"/>
    <w:rsid w:val="00E3523B"/>
    <w:rsid w:val="00E362D2"/>
    <w:rsid w:val="00E36D76"/>
    <w:rsid w:val="00E371B2"/>
    <w:rsid w:val="00E40478"/>
    <w:rsid w:val="00E405EA"/>
    <w:rsid w:val="00E408B7"/>
    <w:rsid w:val="00E411A7"/>
    <w:rsid w:val="00E412EB"/>
    <w:rsid w:val="00E41637"/>
    <w:rsid w:val="00E416BF"/>
    <w:rsid w:val="00E42789"/>
    <w:rsid w:val="00E43F59"/>
    <w:rsid w:val="00E454B6"/>
    <w:rsid w:val="00E464F0"/>
    <w:rsid w:val="00E46EF3"/>
    <w:rsid w:val="00E47370"/>
    <w:rsid w:val="00E473E9"/>
    <w:rsid w:val="00E47B47"/>
    <w:rsid w:val="00E50BEB"/>
    <w:rsid w:val="00E53460"/>
    <w:rsid w:val="00E548FA"/>
    <w:rsid w:val="00E55CD9"/>
    <w:rsid w:val="00E5603E"/>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8E9"/>
    <w:rsid w:val="00E771AF"/>
    <w:rsid w:val="00E80386"/>
    <w:rsid w:val="00E8055C"/>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F5D"/>
    <w:rsid w:val="00E9763D"/>
    <w:rsid w:val="00EA1177"/>
    <w:rsid w:val="00EA118B"/>
    <w:rsid w:val="00EA11B6"/>
    <w:rsid w:val="00EA2181"/>
    <w:rsid w:val="00EA2DD8"/>
    <w:rsid w:val="00EA30FC"/>
    <w:rsid w:val="00EA4475"/>
    <w:rsid w:val="00EA52FE"/>
    <w:rsid w:val="00EA681F"/>
    <w:rsid w:val="00EB04C6"/>
    <w:rsid w:val="00EB06A6"/>
    <w:rsid w:val="00EB19D5"/>
    <w:rsid w:val="00EB2414"/>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3F85"/>
    <w:rsid w:val="00EC4BB6"/>
    <w:rsid w:val="00EC50C9"/>
    <w:rsid w:val="00EC58B4"/>
    <w:rsid w:val="00EC5BB2"/>
    <w:rsid w:val="00EC75AF"/>
    <w:rsid w:val="00ED12F0"/>
    <w:rsid w:val="00ED1A76"/>
    <w:rsid w:val="00ED2874"/>
    <w:rsid w:val="00ED290C"/>
    <w:rsid w:val="00ED2A6C"/>
    <w:rsid w:val="00ED4773"/>
    <w:rsid w:val="00ED5284"/>
    <w:rsid w:val="00ED664B"/>
    <w:rsid w:val="00ED6A61"/>
    <w:rsid w:val="00ED768E"/>
    <w:rsid w:val="00ED7DA4"/>
    <w:rsid w:val="00EE03BB"/>
    <w:rsid w:val="00EE0552"/>
    <w:rsid w:val="00EE0B44"/>
    <w:rsid w:val="00EE10E7"/>
    <w:rsid w:val="00EE125D"/>
    <w:rsid w:val="00EE23DE"/>
    <w:rsid w:val="00EE48BB"/>
    <w:rsid w:val="00EE6FE0"/>
    <w:rsid w:val="00EE704A"/>
    <w:rsid w:val="00EE7840"/>
    <w:rsid w:val="00EF2E75"/>
    <w:rsid w:val="00EF4C74"/>
    <w:rsid w:val="00EF5268"/>
    <w:rsid w:val="00EF608E"/>
    <w:rsid w:val="00EF64F4"/>
    <w:rsid w:val="00EF6C4A"/>
    <w:rsid w:val="00EF75F4"/>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FF2"/>
    <w:rsid w:val="00F14933"/>
    <w:rsid w:val="00F1516A"/>
    <w:rsid w:val="00F15EE5"/>
    <w:rsid w:val="00F171F9"/>
    <w:rsid w:val="00F1737C"/>
    <w:rsid w:val="00F173AA"/>
    <w:rsid w:val="00F22739"/>
    <w:rsid w:val="00F22A26"/>
    <w:rsid w:val="00F24072"/>
    <w:rsid w:val="00F25D4B"/>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09B8"/>
    <w:rsid w:val="00F611B3"/>
    <w:rsid w:val="00F6196E"/>
    <w:rsid w:val="00F61CCC"/>
    <w:rsid w:val="00F624DD"/>
    <w:rsid w:val="00F629C0"/>
    <w:rsid w:val="00F63FC7"/>
    <w:rsid w:val="00F65E1F"/>
    <w:rsid w:val="00F65ED5"/>
    <w:rsid w:val="00F6608B"/>
    <w:rsid w:val="00F6636A"/>
    <w:rsid w:val="00F667C5"/>
    <w:rsid w:val="00F67E31"/>
    <w:rsid w:val="00F7018B"/>
    <w:rsid w:val="00F70B44"/>
    <w:rsid w:val="00F71436"/>
    <w:rsid w:val="00F718A8"/>
    <w:rsid w:val="00F7207E"/>
    <w:rsid w:val="00F72183"/>
    <w:rsid w:val="00F75C12"/>
    <w:rsid w:val="00F76D01"/>
    <w:rsid w:val="00F80B43"/>
    <w:rsid w:val="00F80C97"/>
    <w:rsid w:val="00F81C35"/>
    <w:rsid w:val="00F82981"/>
    <w:rsid w:val="00F82A99"/>
    <w:rsid w:val="00F8311F"/>
    <w:rsid w:val="00F83248"/>
    <w:rsid w:val="00F83376"/>
    <w:rsid w:val="00F853AE"/>
    <w:rsid w:val="00F85D56"/>
    <w:rsid w:val="00F86030"/>
    <w:rsid w:val="00F908D5"/>
    <w:rsid w:val="00F913B9"/>
    <w:rsid w:val="00F93C74"/>
    <w:rsid w:val="00F93DCC"/>
    <w:rsid w:val="00F93F02"/>
    <w:rsid w:val="00F9435D"/>
    <w:rsid w:val="00F958A7"/>
    <w:rsid w:val="00F9621E"/>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588"/>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03E3"/>
    <w:rsid w:val="00FE0DDE"/>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538"/>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194E44"/>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194E44"/>
    <w:rPr>
      <w:rFonts w:ascii="Verdana" w:hAnsi="Verdana" w:cs="Times New Roman"/>
      <w:b/>
      <w:bCs/>
      <w:color w:val="800000"/>
      <w:szCs w:val="24"/>
    </w:rPr>
  </w:style>
  <w:style w:type="character" w:styleId="Strong">
    <w:name w:val="Strong"/>
    <w:basedOn w:val="DefaultParagraphFont"/>
    <w:qFormat/>
    <w:rsid w:val="006D1EE9"/>
    <w:rPr>
      <w:b/>
      <w:bCs/>
    </w:rPr>
  </w:style>
  <w:style w:type="character" w:customStyle="1" w:styleId="HeaderChar">
    <w:name w:val="Header Char"/>
    <w:basedOn w:val="DefaultParagraphFont"/>
    <w:link w:val="Header"/>
    <w:uiPriority w:val="99"/>
    <w:rsid w:val="00A27DE6"/>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7704643">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738D-4171-44B5-9989-3704F6A2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3576</Words>
  <Characters>19984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2011-04-08T10:41:00Z</cp:lastPrinted>
  <dcterms:created xsi:type="dcterms:W3CDTF">2012-05-22T16:21:00Z</dcterms:created>
  <dcterms:modified xsi:type="dcterms:W3CDTF">2012-05-22T16:21:00Z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