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5" w:rsidRDefault="00E74CE5" w:rsidP="00E74CE5">
      <w:pPr>
        <w:tabs>
          <w:tab w:val="left" w:pos="288"/>
          <w:tab w:val="left" w:pos="4752"/>
        </w:tabs>
        <w:spacing w:line="240" w:lineRule="exact"/>
        <w:jc w:val="center"/>
        <w:rPr>
          <w:color w:val="auto"/>
        </w:rPr>
      </w:pPr>
      <w:r>
        <w:rPr>
          <w:color w:val="auto"/>
        </w:rPr>
        <w:t>RECORD OF PROCEEDINGS</w:t>
      </w:r>
    </w:p>
    <w:p w:rsidR="00E74CE5" w:rsidRDefault="00E74CE5" w:rsidP="00E74CE5">
      <w:pPr>
        <w:tabs>
          <w:tab w:val="left" w:pos="288"/>
          <w:tab w:val="left" w:pos="4752"/>
        </w:tabs>
        <w:spacing w:line="240" w:lineRule="exact"/>
        <w:jc w:val="center"/>
        <w:rPr>
          <w:color w:val="auto"/>
        </w:rPr>
      </w:pPr>
      <w:r>
        <w:rPr>
          <w:color w:val="auto"/>
        </w:rPr>
        <w:t>PHYSICAL DISABILITY BOARD OF REVIEW</w:t>
      </w:r>
    </w:p>
    <w:p w:rsidR="00E74CE5" w:rsidRDefault="00E74CE5" w:rsidP="00E74CE5">
      <w:pPr>
        <w:tabs>
          <w:tab w:val="left" w:pos="288"/>
          <w:tab w:val="left" w:pos="4752"/>
        </w:tabs>
        <w:spacing w:line="240" w:lineRule="exact"/>
        <w:jc w:val="both"/>
        <w:rPr>
          <w:caps/>
          <w:color w:val="auto"/>
        </w:rPr>
      </w:pPr>
    </w:p>
    <w:p w:rsidR="00E74CE5" w:rsidRDefault="00E74CE5" w:rsidP="007A4423">
      <w:pPr>
        <w:tabs>
          <w:tab w:val="left" w:pos="288"/>
          <w:tab w:val="left" w:pos="5940"/>
          <w:tab w:val="left" w:pos="9270"/>
        </w:tabs>
        <w:spacing w:line="240" w:lineRule="exact"/>
        <w:rPr>
          <w:caps/>
          <w:color w:val="auto"/>
        </w:rPr>
      </w:pPr>
      <w:r>
        <w:rPr>
          <w:caps/>
          <w:color w:val="auto"/>
        </w:rPr>
        <w:t xml:space="preserve">NAME:  </w:t>
      </w:r>
      <w:r w:rsidR="005F3E3A">
        <w:rPr>
          <w:caps/>
          <w:color w:val="auto"/>
        </w:rPr>
        <w:t>XXXXXXXXXXXXXX</w:t>
      </w:r>
      <w:r w:rsidR="00532BE9">
        <w:rPr>
          <w:caps/>
          <w:color w:val="auto"/>
        </w:rPr>
        <w:t xml:space="preserve">     </w:t>
      </w:r>
      <w:r w:rsidR="00532BE9">
        <w:rPr>
          <w:caps/>
          <w:color w:val="auto"/>
        </w:rPr>
        <w:tab/>
        <w:t xml:space="preserve">   </w:t>
      </w:r>
      <w:r w:rsidR="007A4423">
        <w:rPr>
          <w:caps/>
          <w:color w:val="auto"/>
        </w:rPr>
        <w:t>BRANCH OF SERVICE:</w:t>
      </w:r>
      <w:r>
        <w:rPr>
          <w:caps/>
          <w:color w:val="auto"/>
        </w:rPr>
        <w:t xml:space="preserve"> </w:t>
      </w:r>
      <w:r w:rsidR="00532BE9">
        <w:rPr>
          <w:caps/>
          <w:color w:val="auto"/>
        </w:rPr>
        <w:t xml:space="preserve"> </w:t>
      </w:r>
      <w:r>
        <w:rPr>
          <w:caps/>
          <w:color w:val="auto"/>
        </w:rPr>
        <w:t>AIR FORCE</w:t>
      </w:r>
    </w:p>
    <w:p w:rsidR="00E74CE5" w:rsidRDefault="00E74CE5" w:rsidP="007A4423">
      <w:pPr>
        <w:tabs>
          <w:tab w:val="left" w:pos="288"/>
          <w:tab w:val="left" w:pos="6030"/>
        </w:tabs>
        <w:spacing w:line="240" w:lineRule="exact"/>
        <w:ind w:right="-900"/>
        <w:rPr>
          <w:caps/>
          <w:color w:val="auto"/>
        </w:rPr>
      </w:pPr>
      <w:r>
        <w:rPr>
          <w:caps/>
          <w:color w:val="auto"/>
        </w:rPr>
        <w:t>CASE NUMBER:  PD1100342</w:t>
      </w:r>
      <w:r w:rsidR="007A4423">
        <w:rPr>
          <w:caps/>
          <w:color w:val="auto"/>
        </w:rPr>
        <w:tab/>
        <w:t xml:space="preserve">  </w:t>
      </w:r>
      <w:r w:rsidR="007A4423">
        <w:rPr>
          <w:caps/>
          <w:color w:val="auto"/>
          <w:sz w:val="20"/>
        </w:rPr>
        <w:t xml:space="preserve"> </w:t>
      </w:r>
      <w:r w:rsidR="00532BE9">
        <w:rPr>
          <w:caps/>
          <w:color w:val="auto"/>
          <w:sz w:val="20"/>
        </w:rPr>
        <w:t xml:space="preserve">    </w:t>
      </w:r>
      <w:r>
        <w:rPr>
          <w:caps/>
          <w:color w:val="auto"/>
        </w:rPr>
        <w:t>SEPARATION DATE:  20050331</w:t>
      </w:r>
    </w:p>
    <w:p w:rsidR="00E74CE5" w:rsidRDefault="00E74CE5" w:rsidP="007A4423">
      <w:pPr>
        <w:tabs>
          <w:tab w:val="left" w:pos="288"/>
          <w:tab w:val="left" w:pos="2430"/>
        </w:tabs>
        <w:spacing w:line="240" w:lineRule="exact"/>
        <w:rPr>
          <w:color w:val="auto"/>
        </w:rPr>
      </w:pPr>
      <w:r>
        <w:rPr>
          <w:caps/>
          <w:color w:val="auto"/>
        </w:rPr>
        <w:t>BOARD DATE:  2011</w:t>
      </w:r>
      <w:r w:rsidR="00135F8B">
        <w:rPr>
          <w:caps/>
          <w:color w:val="auto"/>
        </w:rPr>
        <w:t>1122</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8E0D8F" w:rsidRDefault="00FB0E80" w:rsidP="00C51CB4">
      <w:pPr>
        <w:tabs>
          <w:tab w:val="left" w:pos="288"/>
          <w:tab w:val="left" w:pos="4752"/>
        </w:tabs>
        <w:spacing w:line="240" w:lineRule="exact"/>
        <w:jc w:val="both"/>
        <w:rPr>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AB35E3" w:rsidRPr="007E63E5">
        <w:rPr>
          <w:color w:val="auto"/>
        </w:rPr>
        <w:t xml:space="preserve">Data extracted from the available evidence of record reflects that this covered individual (CI) </w:t>
      </w:r>
      <w:r w:rsidR="00AB35E3" w:rsidRPr="007E63E5">
        <w:rPr>
          <w:color w:val="auto"/>
          <w:szCs w:val="24"/>
        </w:rPr>
        <w:t>was an active duty SS</w:t>
      </w:r>
      <w:r w:rsidR="005D2484">
        <w:rPr>
          <w:color w:val="auto"/>
          <w:szCs w:val="24"/>
        </w:rPr>
        <w:t xml:space="preserve">gt/E5 (3POX1, </w:t>
      </w:r>
      <w:r w:rsidR="007A4423">
        <w:rPr>
          <w:color w:val="auto"/>
          <w:szCs w:val="24"/>
        </w:rPr>
        <w:t>Security Forces)</w:t>
      </w:r>
      <w:r w:rsidR="00AB35E3" w:rsidRPr="007E63E5">
        <w:rPr>
          <w:color w:val="auto"/>
          <w:szCs w:val="24"/>
        </w:rPr>
        <w:t xml:space="preserve"> medically se</w:t>
      </w:r>
      <w:r w:rsidR="00AB35E3">
        <w:rPr>
          <w:color w:val="auto"/>
          <w:szCs w:val="24"/>
        </w:rPr>
        <w:t xml:space="preserve">parated for </w:t>
      </w:r>
      <w:r w:rsidR="00AB35E3" w:rsidRPr="007E63E5">
        <w:rPr>
          <w:color w:val="auto"/>
          <w:szCs w:val="24"/>
        </w:rPr>
        <w:t xml:space="preserve">chronic low back pain. </w:t>
      </w:r>
      <w:r w:rsidR="00AB35E3">
        <w:rPr>
          <w:color w:val="auto"/>
          <w:szCs w:val="24"/>
        </w:rPr>
        <w:t xml:space="preserve"> </w:t>
      </w:r>
      <w:r w:rsidR="00AB35E3" w:rsidRPr="007E63E5">
        <w:rPr>
          <w:color w:val="auto"/>
          <w:szCs w:val="24"/>
        </w:rPr>
        <w:t>He initially injured his back after slipping on the sta</w:t>
      </w:r>
      <w:r w:rsidR="007A4423">
        <w:rPr>
          <w:color w:val="auto"/>
          <w:szCs w:val="24"/>
        </w:rPr>
        <w:t xml:space="preserve">irs while on patrol in February, </w:t>
      </w:r>
      <w:r w:rsidR="00AB35E3" w:rsidRPr="007E63E5">
        <w:rPr>
          <w:color w:val="auto"/>
          <w:szCs w:val="24"/>
        </w:rPr>
        <w:t xml:space="preserve">2003. </w:t>
      </w:r>
      <w:r w:rsidR="00AB35E3">
        <w:rPr>
          <w:color w:val="auto"/>
          <w:szCs w:val="24"/>
        </w:rPr>
        <w:t xml:space="preserve"> </w:t>
      </w:r>
      <w:r w:rsidR="006D0FB1">
        <w:rPr>
          <w:color w:val="auto"/>
          <w:szCs w:val="24"/>
        </w:rPr>
        <w:t xml:space="preserve">Subsequent evaluation revealed non-surgical disc disease (L4/5) without radiculopathy, and the CI failed a protracted course of conservative management which included aggressive doses of narcotic analgesics. He was consequently </w:t>
      </w:r>
      <w:r w:rsidR="00AB35E3" w:rsidRPr="007E63E5">
        <w:rPr>
          <w:color w:val="auto"/>
          <w:szCs w:val="24"/>
        </w:rPr>
        <w:t xml:space="preserve">unable to </w:t>
      </w:r>
      <w:r w:rsidR="005D2484">
        <w:rPr>
          <w:color w:val="auto"/>
          <w:szCs w:val="24"/>
        </w:rPr>
        <w:t xml:space="preserve">fully </w:t>
      </w:r>
      <w:r w:rsidR="00AB35E3" w:rsidRPr="007E63E5">
        <w:rPr>
          <w:color w:val="auto"/>
          <w:szCs w:val="24"/>
        </w:rPr>
        <w:t xml:space="preserve">perform within his </w:t>
      </w:r>
      <w:r w:rsidR="00532BE9">
        <w:rPr>
          <w:color w:val="auto"/>
          <w:szCs w:val="24"/>
        </w:rPr>
        <w:t>career field</w:t>
      </w:r>
      <w:r w:rsidR="005D2484" w:rsidRPr="005D3946">
        <w:rPr>
          <w:color w:val="auto"/>
          <w:szCs w:val="24"/>
        </w:rPr>
        <w:t xml:space="preserve"> or</w:t>
      </w:r>
      <w:r w:rsidR="00AB35E3" w:rsidRPr="005D3946">
        <w:rPr>
          <w:color w:val="auto"/>
          <w:szCs w:val="24"/>
        </w:rPr>
        <w:t xml:space="preserve"> partici</w:t>
      </w:r>
      <w:r w:rsidR="005D2484" w:rsidRPr="005D3946">
        <w:rPr>
          <w:color w:val="auto"/>
          <w:szCs w:val="24"/>
        </w:rPr>
        <w:t>pate in a physical fitness test</w:t>
      </w:r>
      <w:r w:rsidR="006D0FB1">
        <w:rPr>
          <w:color w:val="auto"/>
          <w:szCs w:val="24"/>
        </w:rPr>
        <w:t xml:space="preserve">; </w:t>
      </w:r>
      <w:r w:rsidR="007C352C">
        <w:rPr>
          <w:color w:val="auto"/>
          <w:szCs w:val="24"/>
        </w:rPr>
        <w:t>was issued a permanent L</w:t>
      </w:r>
      <w:r w:rsidR="006D0FB1">
        <w:rPr>
          <w:color w:val="auto"/>
          <w:szCs w:val="24"/>
        </w:rPr>
        <w:t>4 profile;</w:t>
      </w:r>
      <w:r w:rsidR="005D2484">
        <w:rPr>
          <w:color w:val="auto"/>
          <w:szCs w:val="24"/>
        </w:rPr>
        <w:t xml:space="preserve"> and</w:t>
      </w:r>
      <w:r w:rsidR="006D0FB1">
        <w:rPr>
          <w:color w:val="auto"/>
          <w:szCs w:val="24"/>
        </w:rPr>
        <w:t>, was</w:t>
      </w:r>
      <w:r w:rsidR="00AB35E3">
        <w:rPr>
          <w:color w:val="auto"/>
          <w:szCs w:val="24"/>
        </w:rPr>
        <w:t xml:space="preserve"> </w:t>
      </w:r>
      <w:r w:rsidR="006D0FB1">
        <w:rPr>
          <w:color w:val="auto"/>
          <w:szCs w:val="24"/>
        </w:rPr>
        <w:t>referred for</w:t>
      </w:r>
      <w:r w:rsidR="00AB35E3" w:rsidRPr="007E63E5">
        <w:rPr>
          <w:color w:val="auto"/>
          <w:szCs w:val="24"/>
        </w:rPr>
        <w:t xml:space="preserve"> a Medical Evaluation Board (MEB). </w:t>
      </w:r>
      <w:r w:rsidR="00AB35E3">
        <w:rPr>
          <w:color w:val="auto"/>
          <w:szCs w:val="24"/>
        </w:rPr>
        <w:t xml:space="preserve"> </w:t>
      </w:r>
      <w:r w:rsidR="00AB35E3" w:rsidRPr="007E63E5">
        <w:rPr>
          <w:color w:val="auto"/>
          <w:szCs w:val="24"/>
        </w:rPr>
        <w:t>Chronic low back pain was forwarded to the Physical Evaluation Board (PEB) as medically unacceptable IAW AFI 48-123.</w:t>
      </w:r>
      <w:r w:rsidR="00AB35E3">
        <w:rPr>
          <w:color w:val="auto"/>
          <w:szCs w:val="24"/>
        </w:rPr>
        <w:t xml:space="preserve">  </w:t>
      </w:r>
      <w:r w:rsidR="006D0FB1">
        <w:rPr>
          <w:color w:val="auto"/>
          <w:szCs w:val="24"/>
        </w:rPr>
        <w:t>An</w:t>
      </w:r>
      <w:r w:rsidR="00AB35E3" w:rsidRPr="007E63E5">
        <w:rPr>
          <w:color w:val="auto"/>
          <w:szCs w:val="24"/>
        </w:rPr>
        <w:t xml:space="preserve"> </w:t>
      </w:r>
      <w:r w:rsidR="00532BE9">
        <w:rPr>
          <w:color w:val="auto"/>
          <w:szCs w:val="24"/>
        </w:rPr>
        <w:t>I</w:t>
      </w:r>
      <w:r w:rsidR="00AB35E3" w:rsidRPr="007E63E5">
        <w:rPr>
          <w:color w:val="auto"/>
          <w:szCs w:val="24"/>
        </w:rPr>
        <w:t>nformal PEB (IPEB) adjudicated the</w:t>
      </w:r>
      <w:r w:rsidR="00AB35E3">
        <w:rPr>
          <w:color w:val="auto"/>
          <w:szCs w:val="24"/>
        </w:rPr>
        <w:t xml:space="preserve"> </w:t>
      </w:r>
      <w:r w:rsidR="006D0FB1">
        <w:rPr>
          <w:color w:val="auto"/>
          <w:szCs w:val="24"/>
        </w:rPr>
        <w:t>lumbar</w:t>
      </w:r>
      <w:r w:rsidR="00AB35E3">
        <w:rPr>
          <w:color w:val="auto"/>
          <w:szCs w:val="24"/>
        </w:rPr>
        <w:t xml:space="preserve"> condition</w:t>
      </w:r>
      <w:r w:rsidR="006D0FB1">
        <w:rPr>
          <w:color w:val="auto"/>
          <w:szCs w:val="24"/>
        </w:rPr>
        <w:t xml:space="preserve"> as unfitting, rated 10%; and, </w:t>
      </w:r>
      <w:r w:rsidR="00C51CB4">
        <w:rPr>
          <w:color w:val="auto"/>
          <w:szCs w:val="24"/>
        </w:rPr>
        <w:t>t</w:t>
      </w:r>
      <w:r w:rsidR="00AB35E3" w:rsidRPr="007E63E5">
        <w:rPr>
          <w:color w:val="auto"/>
          <w:szCs w:val="24"/>
        </w:rPr>
        <w:t xml:space="preserve">he CI appealed to </w:t>
      </w:r>
      <w:r w:rsidR="00C51CB4">
        <w:rPr>
          <w:color w:val="auto"/>
          <w:szCs w:val="24"/>
        </w:rPr>
        <w:t xml:space="preserve">a </w:t>
      </w:r>
      <w:r w:rsidR="00532BE9">
        <w:rPr>
          <w:color w:val="auto"/>
          <w:szCs w:val="24"/>
        </w:rPr>
        <w:t>F</w:t>
      </w:r>
      <w:r w:rsidR="005D2484">
        <w:rPr>
          <w:color w:val="auto"/>
          <w:szCs w:val="24"/>
        </w:rPr>
        <w:t>ormal PEB (</w:t>
      </w:r>
      <w:r w:rsidR="00AB35E3" w:rsidRPr="007E63E5">
        <w:rPr>
          <w:color w:val="auto"/>
          <w:szCs w:val="24"/>
        </w:rPr>
        <w:t>FPEB</w:t>
      </w:r>
      <w:r w:rsidR="005D2484">
        <w:rPr>
          <w:color w:val="auto"/>
          <w:szCs w:val="24"/>
        </w:rPr>
        <w:t>)</w:t>
      </w:r>
      <w:r w:rsidR="00C51CB4">
        <w:rPr>
          <w:color w:val="auto"/>
          <w:szCs w:val="24"/>
        </w:rPr>
        <w:t xml:space="preserve"> </w:t>
      </w:r>
      <w:r w:rsidR="005D3946">
        <w:rPr>
          <w:color w:val="auto"/>
          <w:szCs w:val="24"/>
        </w:rPr>
        <w:t xml:space="preserve">requesting placement on the </w:t>
      </w:r>
      <w:r w:rsidR="005D3946" w:rsidRPr="005D3946">
        <w:rPr>
          <w:color w:val="auto"/>
          <w:szCs w:val="24"/>
        </w:rPr>
        <w:t>Temporary Disability Retired List (TDRL)</w:t>
      </w:r>
      <w:r w:rsidR="006D0FB1">
        <w:rPr>
          <w:color w:val="auto"/>
          <w:szCs w:val="24"/>
        </w:rPr>
        <w:t xml:space="preserve">.  </w:t>
      </w:r>
      <w:r w:rsidR="00C51CB4">
        <w:rPr>
          <w:color w:val="auto"/>
          <w:szCs w:val="24"/>
        </w:rPr>
        <w:t>The FPEB</w:t>
      </w:r>
      <w:r w:rsidR="00C51CB4" w:rsidRPr="00C51CB4">
        <w:rPr>
          <w:color w:val="auto"/>
          <w:szCs w:val="24"/>
        </w:rPr>
        <w:t xml:space="preserve"> </w:t>
      </w:r>
      <w:r w:rsidR="00C51CB4">
        <w:rPr>
          <w:color w:val="auto"/>
          <w:szCs w:val="24"/>
        </w:rPr>
        <w:t xml:space="preserve">increased the rating to </w:t>
      </w:r>
      <w:r w:rsidR="00C51CB4" w:rsidRPr="007E63E5">
        <w:rPr>
          <w:color w:val="auto"/>
          <w:szCs w:val="24"/>
        </w:rPr>
        <w:t>20%</w:t>
      </w:r>
      <w:r w:rsidR="00C51CB4">
        <w:rPr>
          <w:color w:val="auto"/>
          <w:szCs w:val="24"/>
        </w:rPr>
        <w:t xml:space="preserve">, applying the </w:t>
      </w:r>
      <w:r w:rsidR="00C51CB4" w:rsidRPr="007E63E5">
        <w:rPr>
          <w:color w:val="auto"/>
          <w:szCs w:val="24"/>
        </w:rPr>
        <w:t xml:space="preserve">Veterans Administration Schedule </w:t>
      </w:r>
      <w:r w:rsidR="00C51CB4">
        <w:rPr>
          <w:color w:val="auto"/>
          <w:szCs w:val="24"/>
        </w:rPr>
        <w:t>for Rating Disabilities (VASRD), but</w:t>
      </w:r>
      <w:r w:rsidR="00C51CB4">
        <w:rPr>
          <w:color w:val="auto"/>
        </w:rPr>
        <w:t xml:space="preserve"> </w:t>
      </w:r>
      <w:r w:rsidR="00C51CB4">
        <w:rPr>
          <w:color w:val="auto"/>
          <w:szCs w:val="24"/>
        </w:rPr>
        <w:t xml:space="preserve">effected a medical separation.  </w:t>
      </w:r>
    </w:p>
    <w:p w:rsidR="00C51CB4" w:rsidRDefault="00C51CB4"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F9642F" w:rsidRPr="00F9642F" w:rsidRDefault="00F9642F" w:rsidP="00F9642F">
      <w:pPr>
        <w:tabs>
          <w:tab w:val="left" w:pos="288"/>
          <w:tab w:val="left" w:pos="4752"/>
        </w:tabs>
        <w:spacing w:line="240" w:lineRule="exact"/>
        <w:jc w:val="both"/>
        <w:rPr>
          <w:rFonts w:asciiTheme="minorHAnsi" w:hAnsiTheme="minorHAnsi"/>
          <w:color w:val="auto"/>
          <w:u w:val="single"/>
        </w:rPr>
      </w:pPr>
      <w:r w:rsidRPr="00F9642F">
        <w:rPr>
          <w:rFonts w:asciiTheme="minorHAnsi" w:hAnsiTheme="minorHAnsi"/>
          <w:color w:val="auto"/>
          <w:u w:val="single"/>
        </w:rPr>
        <w:t>CI CONTENTION</w:t>
      </w:r>
      <w:r w:rsidRPr="00AF5DB4">
        <w:rPr>
          <w:rFonts w:asciiTheme="minorHAnsi" w:hAnsiTheme="minorHAnsi"/>
          <w:color w:val="auto"/>
        </w:rPr>
        <w:t xml:space="preserve">:  </w:t>
      </w:r>
      <w:r w:rsidRPr="00F9642F">
        <w:rPr>
          <w:rFonts w:asciiTheme="minorHAnsi" w:hAnsiTheme="minorHAnsi"/>
          <w:color w:val="auto"/>
        </w:rPr>
        <w:t xml:space="preserve">“I was injured in the line of duty and because of my injury I have a chronic spine condition that has permanently disabled me.  I was found to be 70% disabled by the VA effective 1 April 2005.  If the PEB would have rated me at 70% I would have been eligible for retirement for the Air Force as an E5.  I believe the PEB purposely rated me at 20% so that I wouldn’t meet the minimum disability percentage for retirement of 30%.” </w:t>
      </w:r>
      <w:r w:rsidR="006C589A">
        <w:rPr>
          <w:rFonts w:asciiTheme="minorHAnsi" w:hAnsiTheme="minorHAnsi"/>
          <w:color w:val="auto"/>
        </w:rPr>
        <w:t>Although he does not specifically contend for a cervical spine rating in addition to his lumbar rating, the referenced current VA combined rating encompasses ratings for both spinal segments</w:t>
      </w:r>
      <w:r w:rsidRPr="00F9642F">
        <w:rPr>
          <w:rFonts w:asciiTheme="minorHAnsi" w:hAnsiTheme="minorHAnsi"/>
          <w:color w:val="auto"/>
        </w:rPr>
        <w:t>.</w:t>
      </w:r>
      <w:r w:rsidR="006C589A">
        <w:rPr>
          <w:rFonts w:asciiTheme="minorHAnsi" w:hAnsiTheme="minorHAnsi"/>
          <w:color w:val="auto"/>
        </w:rPr>
        <w:t xml:space="preserve">  This is taken as an implied contention for both lumbar and cervical rating.</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AA4C14" w:rsidRPr="007E1263" w:rsidRDefault="00AA4C14" w:rsidP="00AA4C14">
      <w:pPr>
        <w:rPr>
          <w:color w:val="auto"/>
          <w:szCs w:val="24"/>
          <w:u w:val="single"/>
        </w:rPr>
      </w:pPr>
      <w:r>
        <w:rPr>
          <w:color w:val="auto"/>
          <w:u w:val="single"/>
        </w:rPr>
        <w:t>R</w:t>
      </w:r>
      <w:r w:rsidRPr="00326C08">
        <w:rPr>
          <w:color w:val="auto"/>
          <w:u w:val="single"/>
        </w:rPr>
        <w:t>ATING COMPARISON</w:t>
      </w:r>
      <w:r w:rsidRPr="00326C08">
        <w:rPr>
          <w:color w:val="auto"/>
        </w:rPr>
        <w:t>:</w:t>
      </w:r>
    </w:p>
    <w:p w:rsidR="00AA4C14" w:rsidRDefault="00AA4C14" w:rsidP="00AA4C14">
      <w:pPr>
        <w:rPr>
          <w:color w:val="auto"/>
        </w:rPr>
      </w:pPr>
    </w:p>
    <w:tbl>
      <w:tblPr>
        <w:tblW w:w="9375" w:type="dxa"/>
        <w:jc w:val="center"/>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1"/>
        <w:gridCol w:w="797"/>
        <w:gridCol w:w="900"/>
        <w:gridCol w:w="2799"/>
        <w:gridCol w:w="1071"/>
        <w:gridCol w:w="818"/>
        <w:gridCol w:w="989"/>
      </w:tblGrid>
      <w:tr w:rsidR="005D2484" w:rsidRPr="005D2484" w:rsidTr="00C80E40">
        <w:trPr>
          <w:trHeight w:val="233"/>
          <w:jc w:val="center"/>
        </w:trPr>
        <w:tc>
          <w:tcPr>
            <w:tcW w:w="3698" w:type="dxa"/>
            <w:gridSpan w:val="3"/>
            <w:tcBorders>
              <w:top w:val="single" w:sz="4" w:space="0" w:color="000000"/>
              <w:left w:val="single" w:sz="4" w:space="0" w:color="000000"/>
              <w:bottom w:val="single" w:sz="4" w:space="0" w:color="000000"/>
              <w:right w:val="thinThickThinSmallGap" w:sz="24" w:space="0" w:color="auto"/>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Service FPEB – Dated 20050222</w:t>
            </w:r>
          </w:p>
        </w:tc>
        <w:tc>
          <w:tcPr>
            <w:tcW w:w="5677" w:type="dxa"/>
            <w:gridSpan w:val="4"/>
            <w:tcBorders>
              <w:top w:val="single" w:sz="4" w:space="0" w:color="000000"/>
              <w:left w:val="thinThickThinSmallGap" w:sz="24" w:space="0" w:color="auto"/>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VA (</w:t>
            </w:r>
            <w:r>
              <w:rPr>
                <w:b/>
                <w:color w:val="auto"/>
                <w:sz w:val="20"/>
              </w:rPr>
              <w:t>Based on</w:t>
            </w:r>
            <w:r w:rsidRPr="005D2484">
              <w:rPr>
                <w:b/>
                <w:color w:val="auto"/>
                <w:sz w:val="20"/>
              </w:rPr>
              <w:t xml:space="preserve"> S</w:t>
            </w:r>
            <w:r w:rsidR="00BB165C">
              <w:rPr>
                <w:b/>
                <w:color w:val="auto"/>
                <w:sz w:val="20"/>
              </w:rPr>
              <w:t xml:space="preserve">ervice </w:t>
            </w:r>
            <w:r w:rsidRPr="005D2484">
              <w:rPr>
                <w:b/>
                <w:color w:val="auto"/>
                <w:sz w:val="20"/>
              </w:rPr>
              <w:t>T</w:t>
            </w:r>
            <w:r w:rsidR="00BB165C">
              <w:rPr>
                <w:b/>
                <w:color w:val="auto"/>
                <w:sz w:val="20"/>
              </w:rPr>
              <w:t xml:space="preserve">reatment </w:t>
            </w:r>
            <w:r w:rsidRPr="005D2484">
              <w:rPr>
                <w:b/>
                <w:color w:val="auto"/>
                <w:sz w:val="20"/>
              </w:rPr>
              <w:t>R</w:t>
            </w:r>
            <w:r w:rsidR="00BB165C">
              <w:rPr>
                <w:b/>
                <w:color w:val="auto"/>
                <w:sz w:val="20"/>
              </w:rPr>
              <w:t>ecord</w:t>
            </w:r>
            <w:r w:rsidRPr="005D2484">
              <w:rPr>
                <w:b/>
                <w:color w:val="auto"/>
                <w:sz w:val="20"/>
              </w:rPr>
              <w:t>) – All Effective 20050401</w:t>
            </w:r>
          </w:p>
        </w:tc>
      </w:tr>
      <w:tr w:rsidR="005D2484" w:rsidRPr="005D2484" w:rsidTr="00C80E40">
        <w:trPr>
          <w:trHeight w:val="188"/>
          <w:jc w:val="center"/>
        </w:trPr>
        <w:tc>
          <w:tcPr>
            <w:tcW w:w="2001" w:type="dxa"/>
            <w:tcBorders>
              <w:top w:val="single" w:sz="4" w:space="0" w:color="000000"/>
              <w:left w:val="single" w:sz="4" w:space="0" w:color="000000"/>
              <w:bottom w:val="single" w:sz="4" w:space="0" w:color="000000"/>
              <w:right w:val="single" w:sz="4" w:space="0" w:color="auto"/>
            </w:tcBorders>
            <w:shd w:val="clear" w:color="auto" w:fill="D9D9D9"/>
            <w:hideMark/>
          </w:tcPr>
          <w:p w:rsidR="005D2484" w:rsidRPr="005D2484" w:rsidRDefault="005D2484" w:rsidP="00C80E40">
            <w:pPr>
              <w:tabs>
                <w:tab w:val="center" w:pos="4320"/>
                <w:tab w:val="right" w:pos="8640"/>
              </w:tabs>
              <w:spacing w:line="200" w:lineRule="exact"/>
              <w:jc w:val="center"/>
              <w:rPr>
                <w:b/>
                <w:color w:val="auto"/>
                <w:sz w:val="20"/>
              </w:rPr>
            </w:pPr>
            <w:r w:rsidRPr="005D2484">
              <w:rPr>
                <w:b/>
                <w:color w:val="auto"/>
                <w:sz w:val="20"/>
              </w:rPr>
              <w:t>Condition</w:t>
            </w:r>
          </w:p>
        </w:tc>
        <w:tc>
          <w:tcPr>
            <w:tcW w:w="797" w:type="dxa"/>
            <w:tcBorders>
              <w:top w:val="single" w:sz="4" w:space="0" w:color="000000"/>
              <w:left w:val="single" w:sz="4" w:space="0" w:color="auto"/>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00" w:lineRule="exact"/>
              <w:jc w:val="center"/>
              <w:rPr>
                <w:b/>
                <w:color w:val="auto"/>
                <w:sz w:val="20"/>
              </w:rPr>
            </w:pPr>
            <w:r w:rsidRPr="005D2484">
              <w:rPr>
                <w:b/>
                <w:color w:val="auto"/>
                <w:sz w:val="20"/>
              </w:rPr>
              <w:t>Code</w:t>
            </w:r>
          </w:p>
        </w:tc>
        <w:tc>
          <w:tcPr>
            <w:tcW w:w="900" w:type="dxa"/>
            <w:tcBorders>
              <w:top w:val="single" w:sz="4" w:space="0" w:color="000000"/>
              <w:left w:val="single" w:sz="4" w:space="0" w:color="000000"/>
              <w:bottom w:val="single" w:sz="4" w:space="0" w:color="000000"/>
              <w:right w:val="thinThickThinSmallGap" w:sz="24" w:space="0" w:color="auto"/>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Rating</w:t>
            </w:r>
          </w:p>
        </w:tc>
        <w:tc>
          <w:tcPr>
            <w:tcW w:w="2799" w:type="dxa"/>
            <w:tcBorders>
              <w:top w:val="single" w:sz="4" w:space="0" w:color="000000"/>
              <w:left w:val="thinThickThinSmallGap" w:sz="24" w:space="0" w:color="auto"/>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Condition</w:t>
            </w:r>
          </w:p>
        </w:tc>
        <w:tc>
          <w:tcPr>
            <w:tcW w:w="1071" w:type="dxa"/>
            <w:tcBorders>
              <w:top w:val="single" w:sz="4" w:space="0" w:color="000000"/>
              <w:left w:val="single" w:sz="4" w:space="0" w:color="000000"/>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Code</w:t>
            </w:r>
          </w:p>
        </w:tc>
        <w:tc>
          <w:tcPr>
            <w:tcW w:w="818" w:type="dxa"/>
            <w:tcBorders>
              <w:top w:val="single" w:sz="4" w:space="0" w:color="000000"/>
              <w:left w:val="single" w:sz="4" w:space="0" w:color="000000"/>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Rating</w:t>
            </w:r>
          </w:p>
        </w:tc>
        <w:tc>
          <w:tcPr>
            <w:tcW w:w="989" w:type="dxa"/>
            <w:tcBorders>
              <w:top w:val="single" w:sz="4" w:space="0" w:color="000000"/>
              <w:left w:val="single" w:sz="4" w:space="0" w:color="000000"/>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Exam</w:t>
            </w:r>
          </w:p>
        </w:tc>
      </w:tr>
      <w:tr w:rsidR="005D2484" w:rsidRPr="005D2484" w:rsidTr="00C80E40">
        <w:trPr>
          <w:trHeight w:val="62"/>
          <w:jc w:val="center"/>
        </w:trPr>
        <w:tc>
          <w:tcPr>
            <w:tcW w:w="2001" w:type="dxa"/>
            <w:tcBorders>
              <w:top w:val="single" w:sz="4" w:space="0" w:color="000000"/>
              <w:left w:val="single" w:sz="4" w:space="0" w:color="000000"/>
              <w:bottom w:val="single" w:sz="4" w:space="0" w:color="000000"/>
              <w:right w:val="single" w:sz="4" w:space="0" w:color="auto"/>
            </w:tcBorders>
            <w:shd w:val="clear" w:color="auto" w:fill="FFFFFF"/>
            <w:hideMark/>
          </w:tcPr>
          <w:p w:rsidR="005D2484" w:rsidRPr="005D2484" w:rsidRDefault="005D2484" w:rsidP="00C80E40">
            <w:pPr>
              <w:tabs>
                <w:tab w:val="center" w:pos="4320"/>
                <w:tab w:val="right" w:pos="8640"/>
              </w:tabs>
              <w:spacing w:line="220" w:lineRule="exact"/>
              <w:rPr>
                <w:color w:val="auto"/>
                <w:sz w:val="18"/>
                <w:szCs w:val="18"/>
              </w:rPr>
            </w:pPr>
            <w:r w:rsidRPr="005D2484">
              <w:rPr>
                <w:color w:val="auto"/>
                <w:sz w:val="18"/>
                <w:szCs w:val="18"/>
              </w:rPr>
              <w:t>Low Back Pain</w:t>
            </w:r>
          </w:p>
        </w:tc>
        <w:tc>
          <w:tcPr>
            <w:tcW w:w="797" w:type="dxa"/>
            <w:tcBorders>
              <w:top w:val="single" w:sz="4" w:space="0" w:color="000000"/>
              <w:left w:val="single" w:sz="4" w:space="0" w:color="auto"/>
              <w:bottom w:val="single" w:sz="4" w:space="0" w:color="000000"/>
              <w:right w:val="single" w:sz="4" w:space="0" w:color="000000"/>
            </w:tcBorders>
            <w:shd w:val="clear" w:color="auto" w:fill="FFFFFF"/>
            <w:hideMark/>
          </w:tcPr>
          <w:p w:rsidR="005D2484" w:rsidRPr="005D2484" w:rsidRDefault="005D2484" w:rsidP="00C80E40">
            <w:pPr>
              <w:tabs>
                <w:tab w:val="center" w:pos="4320"/>
                <w:tab w:val="right" w:pos="8640"/>
              </w:tabs>
              <w:spacing w:line="220" w:lineRule="exact"/>
              <w:jc w:val="center"/>
              <w:rPr>
                <w:color w:val="auto"/>
                <w:sz w:val="18"/>
                <w:szCs w:val="18"/>
              </w:rPr>
            </w:pPr>
            <w:r w:rsidRPr="005D2484">
              <w:rPr>
                <w:color w:val="auto"/>
                <w:sz w:val="18"/>
                <w:szCs w:val="18"/>
              </w:rPr>
              <w:t>5237</w:t>
            </w:r>
          </w:p>
        </w:tc>
        <w:tc>
          <w:tcPr>
            <w:tcW w:w="900" w:type="dxa"/>
            <w:tcBorders>
              <w:top w:val="single" w:sz="4" w:space="0" w:color="000000"/>
              <w:left w:val="single" w:sz="4" w:space="0" w:color="000000"/>
              <w:bottom w:val="single" w:sz="4" w:space="0" w:color="000000"/>
              <w:right w:val="thinThickThinSmallGap" w:sz="24" w:space="0" w:color="auto"/>
            </w:tcBorders>
            <w:shd w:val="clear" w:color="auto" w:fill="FFFFFF"/>
            <w:hideMark/>
          </w:tcPr>
          <w:p w:rsidR="005D2484" w:rsidRPr="005D2484" w:rsidRDefault="005D2484" w:rsidP="00C80E40">
            <w:pPr>
              <w:tabs>
                <w:tab w:val="center" w:pos="4320"/>
                <w:tab w:val="right" w:pos="8640"/>
              </w:tabs>
              <w:spacing w:line="220" w:lineRule="exact"/>
              <w:jc w:val="center"/>
              <w:rPr>
                <w:color w:val="auto"/>
                <w:sz w:val="18"/>
                <w:szCs w:val="18"/>
              </w:rPr>
            </w:pPr>
            <w:r w:rsidRPr="005D2484">
              <w:rPr>
                <w:color w:val="auto"/>
                <w:sz w:val="18"/>
                <w:szCs w:val="18"/>
              </w:rPr>
              <w:t>20%</w:t>
            </w:r>
          </w:p>
        </w:tc>
        <w:tc>
          <w:tcPr>
            <w:tcW w:w="2799" w:type="dxa"/>
            <w:tcBorders>
              <w:top w:val="single" w:sz="4" w:space="0" w:color="000000"/>
              <w:left w:val="thinThickThinSmallGap" w:sz="24" w:space="0" w:color="auto"/>
              <w:bottom w:val="single" w:sz="4" w:space="0" w:color="000000"/>
              <w:right w:val="single" w:sz="4" w:space="0" w:color="000000"/>
            </w:tcBorders>
            <w:shd w:val="clear" w:color="auto" w:fill="FFFFFF"/>
            <w:hideMark/>
          </w:tcPr>
          <w:p w:rsidR="005D2484" w:rsidRPr="005D2484" w:rsidRDefault="00BB165C" w:rsidP="00C80E40">
            <w:pPr>
              <w:tabs>
                <w:tab w:val="center" w:pos="4320"/>
                <w:tab w:val="right" w:pos="8640"/>
              </w:tabs>
              <w:spacing w:line="220" w:lineRule="exact"/>
              <w:rPr>
                <w:color w:val="auto"/>
                <w:sz w:val="18"/>
                <w:szCs w:val="18"/>
              </w:rPr>
            </w:pPr>
            <w:r>
              <w:rPr>
                <w:color w:val="auto"/>
                <w:sz w:val="18"/>
                <w:szCs w:val="18"/>
              </w:rPr>
              <w:t xml:space="preserve">Lumbar </w:t>
            </w:r>
            <w:r w:rsidR="005D2484" w:rsidRPr="005D2484">
              <w:rPr>
                <w:color w:val="auto"/>
                <w:sz w:val="18"/>
                <w:szCs w:val="18"/>
              </w:rPr>
              <w:t>Intervertebral Disc Disease</w:t>
            </w:r>
          </w:p>
        </w:tc>
        <w:tc>
          <w:tcPr>
            <w:tcW w:w="1071" w:type="dxa"/>
            <w:tcBorders>
              <w:top w:val="single" w:sz="4" w:space="0" w:color="000000"/>
              <w:left w:val="single" w:sz="4" w:space="0" w:color="000000"/>
              <w:bottom w:val="single" w:sz="4" w:space="0" w:color="000000"/>
              <w:right w:val="single" w:sz="4" w:space="0" w:color="000000"/>
            </w:tcBorders>
            <w:shd w:val="clear" w:color="auto" w:fill="FFFFFF"/>
            <w:hideMark/>
          </w:tcPr>
          <w:p w:rsidR="005D2484" w:rsidRPr="005D2484" w:rsidRDefault="005D2484" w:rsidP="00C80E40">
            <w:pPr>
              <w:tabs>
                <w:tab w:val="center" w:pos="4320"/>
                <w:tab w:val="right" w:pos="8640"/>
              </w:tabs>
              <w:spacing w:line="220" w:lineRule="exact"/>
              <w:jc w:val="center"/>
              <w:rPr>
                <w:color w:val="auto"/>
                <w:sz w:val="18"/>
                <w:szCs w:val="18"/>
              </w:rPr>
            </w:pPr>
            <w:r w:rsidRPr="005D2484">
              <w:rPr>
                <w:color w:val="auto"/>
                <w:sz w:val="18"/>
                <w:szCs w:val="18"/>
              </w:rPr>
              <w:t>5243</w:t>
            </w:r>
          </w:p>
        </w:tc>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5D2484" w:rsidRPr="005D2484" w:rsidRDefault="002217AA" w:rsidP="00C80E40">
            <w:pPr>
              <w:tabs>
                <w:tab w:val="center" w:pos="4320"/>
                <w:tab w:val="right" w:pos="8640"/>
              </w:tabs>
              <w:spacing w:line="220" w:lineRule="exact"/>
              <w:jc w:val="center"/>
              <w:rPr>
                <w:color w:val="auto"/>
                <w:sz w:val="18"/>
                <w:szCs w:val="18"/>
              </w:rPr>
            </w:pPr>
            <w:r>
              <w:rPr>
                <w:color w:val="auto"/>
                <w:sz w:val="18"/>
                <w:szCs w:val="18"/>
              </w:rPr>
              <w:t>1</w:t>
            </w:r>
            <w:r w:rsidR="005D2484" w:rsidRPr="005D2484">
              <w:rPr>
                <w:color w:val="auto"/>
                <w:sz w:val="18"/>
                <w:szCs w:val="18"/>
              </w:rPr>
              <w:t>0%</w:t>
            </w:r>
            <w:r w:rsidRPr="005D2484">
              <w:rPr>
                <w:color w:val="auto"/>
                <w:sz w:val="18"/>
                <w:szCs w:val="18"/>
              </w:rPr>
              <w:t>*</w:t>
            </w:r>
          </w:p>
        </w:tc>
        <w:tc>
          <w:tcPr>
            <w:tcW w:w="989" w:type="dxa"/>
            <w:tcBorders>
              <w:top w:val="single" w:sz="4" w:space="0" w:color="000000"/>
              <w:left w:val="single" w:sz="4" w:space="0" w:color="000000"/>
              <w:bottom w:val="single" w:sz="4" w:space="0" w:color="000000"/>
              <w:right w:val="single" w:sz="4" w:space="0" w:color="000000"/>
            </w:tcBorders>
            <w:shd w:val="clear" w:color="auto" w:fill="FFFFFF"/>
            <w:hideMark/>
          </w:tcPr>
          <w:p w:rsidR="005D2484" w:rsidRPr="005D2484" w:rsidRDefault="005D2484" w:rsidP="00C80E40">
            <w:pPr>
              <w:tabs>
                <w:tab w:val="center" w:pos="4320"/>
                <w:tab w:val="right" w:pos="8640"/>
              </w:tabs>
              <w:spacing w:line="220" w:lineRule="exact"/>
              <w:jc w:val="center"/>
              <w:rPr>
                <w:color w:val="auto"/>
                <w:sz w:val="18"/>
                <w:szCs w:val="18"/>
              </w:rPr>
            </w:pPr>
            <w:r w:rsidRPr="005D2484">
              <w:rPr>
                <w:color w:val="auto"/>
                <w:sz w:val="18"/>
                <w:szCs w:val="18"/>
              </w:rPr>
              <w:t>STR</w:t>
            </w:r>
            <w:r w:rsidR="00C538E1">
              <w:rPr>
                <w:color w:val="auto"/>
                <w:sz w:val="18"/>
                <w:szCs w:val="18"/>
              </w:rPr>
              <w:t>**</w:t>
            </w:r>
          </w:p>
        </w:tc>
      </w:tr>
      <w:tr w:rsidR="00BB165C" w:rsidRPr="005D2484" w:rsidTr="00C80E40">
        <w:trPr>
          <w:trHeight w:val="143"/>
          <w:jc w:val="center"/>
        </w:trPr>
        <w:tc>
          <w:tcPr>
            <w:tcW w:w="3698" w:type="dxa"/>
            <w:gridSpan w:val="3"/>
            <w:vMerge w:val="restart"/>
            <w:tcBorders>
              <w:top w:val="single" w:sz="4" w:space="0" w:color="000000"/>
              <w:left w:val="single" w:sz="4" w:space="0" w:color="000000"/>
              <w:right w:val="thinThickThinSmallGap" w:sz="24" w:space="0" w:color="auto"/>
            </w:tcBorders>
            <w:shd w:val="clear" w:color="auto" w:fill="FFFFFF"/>
          </w:tcPr>
          <w:p w:rsidR="00BB165C" w:rsidRPr="005D2484" w:rsidRDefault="00BB165C" w:rsidP="00C80E40">
            <w:pPr>
              <w:tabs>
                <w:tab w:val="center" w:pos="4320"/>
                <w:tab w:val="right" w:pos="8640"/>
              </w:tabs>
              <w:spacing w:line="220" w:lineRule="exact"/>
              <w:jc w:val="center"/>
              <w:rPr>
                <w:color w:val="auto"/>
                <w:sz w:val="18"/>
                <w:szCs w:val="18"/>
              </w:rPr>
            </w:pPr>
            <w:r w:rsidRPr="005D2484">
              <w:rPr>
                <w:color w:val="auto"/>
                <w:sz w:val="18"/>
                <w:szCs w:val="18"/>
              </w:rPr>
              <w:t>↓No Additional MEB/PEB Entries↓</w:t>
            </w:r>
          </w:p>
        </w:tc>
        <w:tc>
          <w:tcPr>
            <w:tcW w:w="2799" w:type="dxa"/>
            <w:tcBorders>
              <w:top w:val="single" w:sz="4" w:space="0" w:color="000000"/>
              <w:left w:val="thinThickThinSmallGap" w:sz="24" w:space="0" w:color="auto"/>
              <w:bottom w:val="single" w:sz="4" w:space="0" w:color="000000"/>
              <w:right w:val="single" w:sz="4" w:space="0" w:color="auto"/>
            </w:tcBorders>
            <w:shd w:val="clear" w:color="auto" w:fill="FFFFFF"/>
            <w:hideMark/>
          </w:tcPr>
          <w:p w:rsidR="00BB165C" w:rsidRPr="005D2484" w:rsidRDefault="00FA4BF5" w:rsidP="00C80E40">
            <w:pPr>
              <w:tabs>
                <w:tab w:val="center" w:pos="4320"/>
                <w:tab w:val="right" w:pos="8640"/>
              </w:tabs>
              <w:spacing w:line="220" w:lineRule="exact"/>
              <w:rPr>
                <w:color w:val="auto"/>
                <w:sz w:val="18"/>
                <w:szCs w:val="18"/>
              </w:rPr>
            </w:pPr>
            <w:r>
              <w:rPr>
                <w:color w:val="auto"/>
                <w:sz w:val="18"/>
                <w:szCs w:val="18"/>
              </w:rPr>
              <w:t>Cervical</w:t>
            </w:r>
            <w:r w:rsidR="00BB165C" w:rsidRPr="005D2484">
              <w:rPr>
                <w:color w:val="auto"/>
                <w:sz w:val="18"/>
                <w:szCs w:val="18"/>
              </w:rPr>
              <w:t xml:space="preserve"> Spine</w:t>
            </w:r>
            <w:r>
              <w:rPr>
                <w:color w:val="auto"/>
                <w:sz w:val="18"/>
                <w:szCs w:val="18"/>
              </w:rPr>
              <w:t xml:space="preserve"> Degenerative Disc…</w:t>
            </w:r>
          </w:p>
        </w:tc>
        <w:tc>
          <w:tcPr>
            <w:tcW w:w="1071" w:type="dxa"/>
            <w:tcBorders>
              <w:top w:val="single" w:sz="4" w:space="0" w:color="000000"/>
              <w:left w:val="single" w:sz="4" w:space="0" w:color="auto"/>
              <w:bottom w:val="single" w:sz="4" w:space="0" w:color="000000"/>
              <w:right w:val="single" w:sz="4" w:space="0" w:color="000000"/>
            </w:tcBorders>
            <w:shd w:val="clear" w:color="auto" w:fill="FFFFFF"/>
            <w:hideMark/>
          </w:tcPr>
          <w:p w:rsidR="00BB165C" w:rsidRPr="005D2484" w:rsidRDefault="00BB165C" w:rsidP="00C80E40">
            <w:pPr>
              <w:tabs>
                <w:tab w:val="center" w:pos="4320"/>
                <w:tab w:val="right" w:pos="8640"/>
              </w:tabs>
              <w:spacing w:line="220" w:lineRule="exact"/>
              <w:jc w:val="center"/>
              <w:rPr>
                <w:color w:val="auto"/>
                <w:sz w:val="18"/>
                <w:szCs w:val="18"/>
              </w:rPr>
            </w:pPr>
            <w:r w:rsidRPr="005D2484">
              <w:rPr>
                <w:color w:val="auto"/>
                <w:sz w:val="18"/>
                <w:szCs w:val="18"/>
              </w:rPr>
              <w:t>5242</w:t>
            </w:r>
          </w:p>
        </w:tc>
        <w:tc>
          <w:tcPr>
            <w:tcW w:w="818" w:type="dxa"/>
            <w:tcBorders>
              <w:top w:val="single" w:sz="4" w:space="0" w:color="000000"/>
              <w:left w:val="single" w:sz="4" w:space="0" w:color="000000"/>
              <w:bottom w:val="single" w:sz="4" w:space="0" w:color="000000"/>
              <w:right w:val="single" w:sz="4" w:space="0" w:color="auto"/>
            </w:tcBorders>
            <w:shd w:val="clear" w:color="auto" w:fill="FFFFFF"/>
            <w:hideMark/>
          </w:tcPr>
          <w:p w:rsidR="00BB165C" w:rsidRPr="005D2484" w:rsidRDefault="002217AA" w:rsidP="00C80E40">
            <w:pPr>
              <w:tabs>
                <w:tab w:val="center" w:pos="4320"/>
                <w:tab w:val="right" w:pos="8640"/>
              </w:tabs>
              <w:spacing w:line="220" w:lineRule="exact"/>
              <w:jc w:val="center"/>
              <w:rPr>
                <w:color w:val="auto"/>
                <w:sz w:val="18"/>
                <w:szCs w:val="18"/>
              </w:rPr>
            </w:pPr>
            <w:r>
              <w:rPr>
                <w:color w:val="auto"/>
                <w:sz w:val="18"/>
                <w:szCs w:val="18"/>
              </w:rPr>
              <w:t>1</w:t>
            </w:r>
            <w:r w:rsidR="00BB165C" w:rsidRPr="005D2484">
              <w:rPr>
                <w:color w:val="auto"/>
                <w:sz w:val="18"/>
                <w:szCs w:val="18"/>
              </w:rPr>
              <w:t>0%</w:t>
            </w:r>
            <w:r w:rsidR="005046D6">
              <w:rPr>
                <w:color w:val="auto"/>
                <w:sz w:val="18"/>
                <w:szCs w:val="18"/>
              </w:rPr>
              <w:t>*</w:t>
            </w:r>
          </w:p>
        </w:tc>
        <w:tc>
          <w:tcPr>
            <w:tcW w:w="989" w:type="dxa"/>
            <w:tcBorders>
              <w:top w:val="single" w:sz="4" w:space="0" w:color="000000"/>
              <w:left w:val="single" w:sz="4" w:space="0" w:color="auto"/>
              <w:bottom w:val="single" w:sz="4" w:space="0" w:color="000000"/>
              <w:right w:val="single" w:sz="4" w:space="0" w:color="000000"/>
            </w:tcBorders>
            <w:shd w:val="clear" w:color="auto" w:fill="FFFFFF"/>
            <w:hideMark/>
          </w:tcPr>
          <w:p w:rsidR="00BB165C" w:rsidRPr="005D2484" w:rsidRDefault="00BB165C" w:rsidP="00C80E40">
            <w:pPr>
              <w:tabs>
                <w:tab w:val="center" w:pos="4320"/>
                <w:tab w:val="right" w:pos="8640"/>
              </w:tabs>
              <w:spacing w:line="220" w:lineRule="exact"/>
              <w:jc w:val="center"/>
              <w:rPr>
                <w:color w:val="auto"/>
                <w:sz w:val="18"/>
                <w:szCs w:val="18"/>
              </w:rPr>
            </w:pPr>
            <w:r w:rsidRPr="005D2484">
              <w:rPr>
                <w:color w:val="auto"/>
                <w:sz w:val="18"/>
                <w:szCs w:val="18"/>
              </w:rPr>
              <w:t>STR</w:t>
            </w:r>
          </w:p>
        </w:tc>
      </w:tr>
      <w:tr w:rsidR="00BB165C" w:rsidRPr="005D2484" w:rsidTr="00C80E40">
        <w:trPr>
          <w:trHeight w:val="134"/>
          <w:jc w:val="center"/>
        </w:trPr>
        <w:tc>
          <w:tcPr>
            <w:tcW w:w="3698" w:type="dxa"/>
            <w:gridSpan w:val="3"/>
            <w:vMerge/>
            <w:tcBorders>
              <w:left w:val="single" w:sz="4" w:space="0" w:color="000000"/>
              <w:bottom w:val="single" w:sz="4" w:space="0" w:color="000000"/>
              <w:right w:val="thinThickThinSmallGap" w:sz="24" w:space="0" w:color="auto"/>
            </w:tcBorders>
            <w:shd w:val="clear" w:color="auto" w:fill="FFFFFF"/>
            <w:hideMark/>
          </w:tcPr>
          <w:p w:rsidR="00BB165C" w:rsidRPr="005D2484" w:rsidRDefault="00BB165C" w:rsidP="00C80E40">
            <w:pPr>
              <w:tabs>
                <w:tab w:val="center" w:pos="4320"/>
                <w:tab w:val="right" w:pos="8640"/>
              </w:tabs>
              <w:spacing w:line="220" w:lineRule="exact"/>
              <w:jc w:val="center"/>
              <w:rPr>
                <w:color w:val="auto"/>
                <w:sz w:val="18"/>
                <w:szCs w:val="18"/>
              </w:rPr>
            </w:pPr>
          </w:p>
        </w:tc>
        <w:tc>
          <w:tcPr>
            <w:tcW w:w="4688" w:type="dxa"/>
            <w:gridSpan w:val="3"/>
            <w:tcBorders>
              <w:top w:val="single" w:sz="4" w:space="0" w:color="000000"/>
              <w:left w:val="thinThickThinSmallGap" w:sz="24" w:space="0" w:color="auto"/>
              <w:bottom w:val="single" w:sz="4" w:space="0" w:color="000000"/>
              <w:right w:val="single" w:sz="4" w:space="0" w:color="auto"/>
            </w:tcBorders>
            <w:shd w:val="clear" w:color="auto" w:fill="FFFFFF"/>
          </w:tcPr>
          <w:p w:rsidR="00BB165C" w:rsidRPr="005D2484" w:rsidRDefault="00BB165C" w:rsidP="00C80E40">
            <w:pPr>
              <w:tabs>
                <w:tab w:val="center" w:pos="4320"/>
                <w:tab w:val="right" w:pos="8640"/>
              </w:tabs>
              <w:spacing w:line="220" w:lineRule="exact"/>
              <w:jc w:val="center"/>
              <w:rPr>
                <w:color w:val="auto"/>
                <w:sz w:val="18"/>
                <w:szCs w:val="18"/>
              </w:rPr>
            </w:pPr>
            <w:r w:rsidRPr="005D2484">
              <w:rPr>
                <w:color w:val="auto"/>
                <w:sz w:val="18"/>
                <w:szCs w:val="18"/>
              </w:rPr>
              <w:t>Not Service Connected x 13</w:t>
            </w:r>
          </w:p>
        </w:tc>
        <w:tc>
          <w:tcPr>
            <w:tcW w:w="989" w:type="dxa"/>
            <w:tcBorders>
              <w:top w:val="single" w:sz="4" w:space="0" w:color="000000"/>
              <w:left w:val="single" w:sz="4" w:space="0" w:color="auto"/>
              <w:bottom w:val="single" w:sz="4" w:space="0" w:color="000000"/>
              <w:right w:val="single" w:sz="4" w:space="0" w:color="000000"/>
            </w:tcBorders>
            <w:shd w:val="clear" w:color="auto" w:fill="FFFFFF"/>
          </w:tcPr>
          <w:p w:rsidR="00BB165C" w:rsidRPr="005D2484" w:rsidRDefault="00BB165C" w:rsidP="00C80E40">
            <w:pPr>
              <w:tabs>
                <w:tab w:val="center" w:pos="4320"/>
                <w:tab w:val="right" w:pos="8640"/>
              </w:tabs>
              <w:spacing w:line="220" w:lineRule="exact"/>
              <w:jc w:val="center"/>
              <w:rPr>
                <w:color w:val="auto"/>
                <w:sz w:val="18"/>
                <w:szCs w:val="18"/>
              </w:rPr>
            </w:pPr>
            <w:r w:rsidRPr="005D2484">
              <w:rPr>
                <w:color w:val="auto"/>
                <w:sz w:val="18"/>
                <w:szCs w:val="18"/>
              </w:rPr>
              <w:t>STR</w:t>
            </w:r>
          </w:p>
        </w:tc>
      </w:tr>
      <w:tr w:rsidR="005D2484" w:rsidRPr="005D2484" w:rsidTr="00C80E40">
        <w:trPr>
          <w:trHeight w:val="242"/>
          <w:jc w:val="center"/>
        </w:trPr>
        <w:tc>
          <w:tcPr>
            <w:tcW w:w="3698" w:type="dxa"/>
            <w:gridSpan w:val="3"/>
            <w:tcBorders>
              <w:top w:val="single" w:sz="4" w:space="0" w:color="000000"/>
              <w:left w:val="single" w:sz="4" w:space="0" w:color="000000"/>
              <w:bottom w:val="single" w:sz="4" w:space="0" w:color="000000"/>
              <w:right w:val="thinThickThinSmallGap" w:sz="24" w:space="0" w:color="auto"/>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Combined:  20%</w:t>
            </w:r>
          </w:p>
        </w:tc>
        <w:tc>
          <w:tcPr>
            <w:tcW w:w="5677" w:type="dxa"/>
            <w:gridSpan w:val="4"/>
            <w:tcBorders>
              <w:top w:val="single" w:sz="4" w:space="0" w:color="000000"/>
              <w:left w:val="thinThickThinSmallGap" w:sz="24" w:space="0" w:color="auto"/>
              <w:bottom w:val="single" w:sz="4" w:space="0" w:color="000000"/>
              <w:right w:val="single" w:sz="4" w:space="0" w:color="000000"/>
            </w:tcBorders>
            <w:shd w:val="clear" w:color="auto" w:fill="D9D9D9"/>
            <w:hideMark/>
          </w:tcPr>
          <w:p w:rsidR="005D2484" w:rsidRPr="005D2484" w:rsidRDefault="005D2484" w:rsidP="00C80E40">
            <w:pPr>
              <w:tabs>
                <w:tab w:val="center" w:pos="4320"/>
                <w:tab w:val="right" w:pos="8640"/>
              </w:tabs>
              <w:spacing w:line="240" w:lineRule="exact"/>
              <w:jc w:val="center"/>
              <w:rPr>
                <w:b/>
                <w:color w:val="auto"/>
                <w:sz w:val="20"/>
              </w:rPr>
            </w:pPr>
            <w:r w:rsidRPr="005D2484">
              <w:rPr>
                <w:b/>
                <w:color w:val="auto"/>
                <w:sz w:val="20"/>
              </w:rPr>
              <w:t>Combined:  20%</w:t>
            </w:r>
            <w:r w:rsidR="00894A06">
              <w:rPr>
                <w:b/>
                <w:color w:val="auto"/>
                <w:sz w:val="20"/>
              </w:rPr>
              <w:t>*</w:t>
            </w:r>
          </w:p>
        </w:tc>
      </w:tr>
    </w:tbl>
    <w:p w:rsidR="00BB165C" w:rsidRDefault="00BB165C" w:rsidP="0048114C">
      <w:pPr>
        <w:rPr>
          <w:color w:val="auto"/>
          <w:sz w:val="18"/>
          <w:szCs w:val="18"/>
        </w:rPr>
      </w:pPr>
      <w:r>
        <w:rPr>
          <w:color w:val="auto"/>
          <w:sz w:val="18"/>
          <w:szCs w:val="18"/>
        </w:rPr>
        <w:t>*</w:t>
      </w:r>
      <w:r w:rsidR="00894A06">
        <w:rPr>
          <w:color w:val="auto"/>
          <w:sz w:val="18"/>
          <w:szCs w:val="18"/>
        </w:rPr>
        <w:t>Initial</w:t>
      </w:r>
      <w:r>
        <w:rPr>
          <w:color w:val="auto"/>
          <w:sz w:val="18"/>
          <w:szCs w:val="18"/>
        </w:rPr>
        <w:t xml:space="preserve"> VA </w:t>
      </w:r>
      <w:r w:rsidR="00153B3D">
        <w:rPr>
          <w:color w:val="auto"/>
          <w:sz w:val="18"/>
          <w:szCs w:val="18"/>
        </w:rPr>
        <w:t xml:space="preserve">lumbar </w:t>
      </w:r>
      <w:r>
        <w:rPr>
          <w:color w:val="auto"/>
          <w:sz w:val="18"/>
          <w:szCs w:val="18"/>
        </w:rPr>
        <w:t xml:space="preserve">rating </w:t>
      </w:r>
      <w:r w:rsidR="00153B3D">
        <w:rPr>
          <w:color w:val="auto"/>
          <w:sz w:val="18"/>
          <w:szCs w:val="18"/>
        </w:rPr>
        <w:t xml:space="preserve">was </w:t>
      </w:r>
      <w:r w:rsidR="00894A06">
        <w:rPr>
          <w:color w:val="auto"/>
          <w:sz w:val="18"/>
          <w:szCs w:val="18"/>
        </w:rPr>
        <w:t xml:space="preserve">increased to 20% after back surgery, effective 20051101.  This rating was upheld in VA rating decisions as late as 20080624.  A 20091020 DRO ruling increased the Lumbar rating to 40% </w:t>
      </w:r>
      <w:r w:rsidR="00F57B75">
        <w:rPr>
          <w:color w:val="auto"/>
          <w:sz w:val="18"/>
          <w:szCs w:val="18"/>
        </w:rPr>
        <w:t xml:space="preserve">based on post-surgical data </w:t>
      </w:r>
      <w:r w:rsidR="00090491">
        <w:rPr>
          <w:color w:val="auto"/>
          <w:sz w:val="18"/>
          <w:szCs w:val="18"/>
        </w:rPr>
        <w:t xml:space="preserve">and </w:t>
      </w:r>
      <w:r w:rsidR="00153B3D">
        <w:rPr>
          <w:color w:val="auto"/>
          <w:sz w:val="18"/>
          <w:szCs w:val="18"/>
        </w:rPr>
        <w:t xml:space="preserve">increased </w:t>
      </w:r>
      <w:r w:rsidR="00090491">
        <w:rPr>
          <w:color w:val="auto"/>
          <w:sz w:val="18"/>
          <w:szCs w:val="18"/>
        </w:rPr>
        <w:t>the cervical rating to 30%</w:t>
      </w:r>
      <w:r w:rsidR="00472A93">
        <w:rPr>
          <w:color w:val="auto"/>
          <w:sz w:val="18"/>
          <w:szCs w:val="18"/>
        </w:rPr>
        <w:t xml:space="preserve"> based on 2009 data</w:t>
      </w:r>
      <w:r w:rsidR="00F57B75">
        <w:rPr>
          <w:color w:val="auto"/>
          <w:sz w:val="18"/>
          <w:szCs w:val="18"/>
        </w:rPr>
        <w:t>, both</w:t>
      </w:r>
      <w:r w:rsidR="00153B3D">
        <w:rPr>
          <w:color w:val="auto"/>
          <w:sz w:val="18"/>
          <w:szCs w:val="18"/>
        </w:rPr>
        <w:t xml:space="preserve"> </w:t>
      </w:r>
      <w:r w:rsidR="00AF5DB4">
        <w:rPr>
          <w:color w:val="auto"/>
          <w:sz w:val="18"/>
          <w:szCs w:val="18"/>
        </w:rPr>
        <w:t>retro</w:t>
      </w:r>
      <w:r w:rsidR="00B2479D">
        <w:rPr>
          <w:color w:val="auto"/>
          <w:sz w:val="18"/>
          <w:szCs w:val="18"/>
        </w:rPr>
        <w:t>active</w:t>
      </w:r>
      <w:r w:rsidR="00894A06">
        <w:rPr>
          <w:color w:val="auto"/>
          <w:sz w:val="18"/>
          <w:szCs w:val="18"/>
        </w:rPr>
        <w:t xml:space="preserve"> </w:t>
      </w:r>
      <w:r w:rsidR="00AF5DB4">
        <w:rPr>
          <w:color w:val="auto"/>
          <w:sz w:val="18"/>
          <w:szCs w:val="18"/>
        </w:rPr>
        <w:t>to</w:t>
      </w:r>
      <w:r w:rsidR="00090491">
        <w:rPr>
          <w:color w:val="auto"/>
          <w:sz w:val="18"/>
          <w:szCs w:val="18"/>
        </w:rPr>
        <w:t xml:space="preserve"> separation</w:t>
      </w:r>
      <w:r>
        <w:rPr>
          <w:color w:val="auto"/>
          <w:sz w:val="18"/>
          <w:szCs w:val="18"/>
        </w:rPr>
        <w:t xml:space="preserve">. </w:t>
      </w:r>
      <w:r w:rsidR="00C538E1">
        <w:rPr>
          <w:color w:val="auto"/>
          <w:sz w:val="18"/>
          <w:szCs w:val="18"/>
        </w:rPr>
        <w:t xml:space="preserve"> ** STR = Service Treatment Record.</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4C60A3" w:rsidRDefault="002C6E5B" w:rsidP="00FA4BF5">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7E79F3" w:rsidRPr="007E79F3">
        <w:rPr>
          <w:rFonts w:cs="Calibri"/>
          <w:color w:val="000000"/>
          <w:sz w:val="23"/>
          <w:szCs w:val="23"/>
        </w:rPr>
        <w:t xml:space="preserve"> </w:t>
      </w:r>
      <w:r w:rsidR="00532BE9">
        <w:rPr>
          <w:rFonts w:cs="Calibri"/>
          <w:color w:val="000000"/>
          <w:sz w:val="23"/>
          <w:szCs w:val="23"/>
        </w:rPr>
        <w:t xml:space="preserve"> </w:t>
      </w:r>
      <w:r w:rsidR="007E79F3" w:rsidRPr="007E79F3">
        <w:rPr>
          <w:rFonts w:asciiTheme="minorHAnsi" w:hAnsiTheme="minorHAnsi"/>
          <w:color w:val="auto"/>
          <w:szCs w:val="24"/>
        </w:rPr>
        <w:t xml:space="preserve">The Board acknowledges the sentiment expressed in the CI’s application regarding the significant impairment with which his service-incurred </w:t>
      </w:r>
      <w:r w:rsidR="007E79F3">
        <w:rPr>
          <w:rFonts w:asciiTheme="minorHAnsi" w:hAnsiTheme="minorHAnsi"/>
          <w:color w:val="auto"/>
          <w:szCs w:val="24"/>
        </w:rPr>
        <w:t xml:space="preserve">low back </w:t>
      </w:r>
      <w:r w:rsidR="007E79F3" w:rsidRPr="007E79F3">
        <w:rPr>
          <w:rFonts w:asciiTheme="minorHAnsi" w:hAnsiTheme="minorHAnsi"/>
          <w:color w:val="auto"/>
          <w:szCs w:val="24"/>
        </w:rPr>
        <w:t>condition continues to burden him</w:t>
      </w:r>
      <w:r w:rsidR="007E79F3">
        <w:rPr>
          <w:rFonts w:asciiTheme="minorHAnsi" w:hAnsiTheme="minorHAnsi"/>
          <w:color w:val="auto"/>
          <w:szCs w:val="24"/>
        </w:rPr>
        <w:t xml:space="preserve">.  </w:t>
      </w:r>
      <w:r w:rsidR="007E79F3" w:rsidRPr="007E79F3">
        <w:rPr>
          <w:rFonts w:asciiTheme="minorHAnsi" w:hAnsiTheme="minorHAnsi"/>
          <w:color w:val="auto"/>
          <w:szCs w:val="24"/>
        </w:rPr>
        <w:t xml:space="preserve">It is a fact, however, that the </w:t>
      </w:r>
      <w:r w:rsidR="00532BE9">
        <w:rPr>
          <w:rFonts w:asciiTheme="minorHAnsi" w:hAnsiTheme="minorHAnsi"/>
          <w:color w:val="auto"/>
          <w:szCs w:val="24"/>
        </w:rPr>
        <w:t>Disability Evaluation System (</w:t>
      </w:r>
      <w:r w:rsidR="007E79F3" w:rsidRPr="007E79F3">
        <w:rPr>
          <w:rFonts w:asciiTheme="minorHAnsi" w:hAnsiTheme="minorHAnsi"/>
          <w:color w:val="auto"/>
          <w:szCs w:val="24"/>
        </w:rPr>
        <w:t>DES</w:t>
      </w:r>
      <w:r w:rsidR="00532BE9">
        <w:rPr>
          <w:rFonts w:asciiTheme="minorHAnsi" w:hAnsiTheme="minorHAnsi"/>
          <w:color w:val="auto"/>
          <w:szCs w:val="24"/>
        </w:rPr>
        <w:t>)</w:t>
      </w:r>
      <w:r w:rsidR="007E79F3" w:rsidRPr="007E79F3">
        <w:rPr>
          <w:rFonts w:asciiTheme="minorHAnsi" w:hAnsiTheme="minorHAnsi"/>
          <w:color w:val="auto"/>
          <w:szCs w:val="24"/>
        </w:rPr>
        <w:t xml:space="preserve"> has neither the role nor the authority to compensate service members for anticipated future severity or potential complications of conditions resulting in medical separation. </w:t>
      </w:r>
      <w:r w:rsidR="00BB165C">
        <w:rPr>
          <w:rFonts w:asciiTheme="minorHAnsi" w:hAnsiTheme="minorHAnsi"/>
          <w:color w:val="auto"/>
          <w:szCs w:val="24"/>
        </w:rPr>
        <w:t xml:space="preserve"> </w:t>
      </w:r>
      <w:r w:rsidR="007E79F3" w:rsidRPr="007E79F3">
        <w:rPr>
          <w:rFonts w:asciiTheme="minorHAnsi" w:hAnsiTheme="minorHAnsi"/>
          <w:color w:val="auto"/>
          <w:szCs w:val="24"/>
        </w:rPr>
        <w:t xml:space="preserve">This role and authority is granted by Congress to the </w:t>
      </w:r>
      <w:r w:rsidR="002A4EFB">
        <w:rPr>
          <w:rFonts w:asciiTheme="minorHAnsi" w:hAnsiTheme="minorHAnsi"/>
          <w:color w:val="auto"/>
          <w:szCs w:val="24"/>
        </w:rPr>
        <w:t>Department of Veterans’ Affairs (VA)</w:t>
      </w:r>
      <w:r w:rsidR="007E79F3" w:rsidRPr="007E79F3">
        <w:rPr>
          <w:rFonts w:asciiTheme="minorHAnsi" w:hAnsiTheme="minorHAnsi"/>
          <w:color w:val="auto"/>
          <w:szCs w:val="24"/>
        </w:rPr>
        <w:t xml:space="preserve">. </w:t>
      </w:r>
      <w:r w:rsidR="007E79F3" w:rsidRPr="00BB165C">
        <w:rPr>
          <w:rFonts w:asciiTheme="minorHAnsi" w:hAnsiTheme="minorHAnsi"/>
          <w:color w:val="auto"/>
          <w:szCs w:val="24"/>
        </w:rPr>
        <w:t xml:space="preserve"> The Board utilizes </w:t>
      </w:r>
      <w:r w:rsidR="007E79F3" w:rsidRPr="00BB165C">
        <w:rPr>
          <w:rFonts w:asciiTheme="minorHAnsi" w:hAnsiTheme="minorHAnsi"/>
          <w:color w:val="auto"/>
          <w:szCs w:val="24"/>
        </w:rPr>
        <w:lastRenderedPageBreak/>
        <w:t>VA evidence proximal to separation in arriving at its recommendations; and, DoDI 6040.44 defines a 12</w:t>
      </w:r>
      <w:r w:rsidR="00532BE9">
        <w:rPr>
          <w:rFonts w:asciiTheme="minorHAnsi" w:hAnsiTheme="minorHAnsi"/>
          <w:color w:val="auto"/>
          <w:szCs w:val="24"/>
        </w:rPr>
        <w:t>-</w:t>
      </w:r>
      <w:r w:rsidR="007E79F3" w:rsidRPr="00BB165C">
        <w:rPr>
          <w:rFonts w:asciiTheme="minorHAnsi" w:hAnsiTheme="minorHAnsi"/>
          <w:color w:val="auto"/>
          <w:szCs w:val="24"/>
        </w:rPr>
        <w:t xml:space="preserve">month interval for special consideration to post-separation evidence. </w:t>
      </w:r>
      <w:r w:rsidR="00BB165C">
        <w:rPr>
          <w:rFonts w:asciiTheme="minorHAnsi" w:hAnsiTheme="minorHAnsi"/>
          <w:color w:val="auto"/>
          <w:szCs w:val="24"/>
        </w:rPr>
        <w:t xml:space="preserve"> </w:t>
      </w:r>
      <w:r w:rsidR="007E79F3" w:rsidRPr="00BB165C">
        <w:rPr>
          <w:rFonts w:asciiTheme="minorHAnsi" w:hAnsiTheme="minorHAnsi"/>
          <w:color w:val="auto"/>
          <w:szCs w:val="24"/>
        </w:rPr>
        <w:t>The Board’s authority, however, resides in evaluating the fairness of DES fitness determinations and rating decisions for disability at the time of separation.</w:t>
      </w:r>
      <w:r w:rsidR="0094769D" w:rsidRPr="00BB165C">
        <w:rPr>
          <w:rFonts w:asciiTheme="minorHAnsi" w:hAnsiTheme="minorHAnsi"/>
          <w:color w:val="auto"/>
          <w:szCs w:val="24"/>
        </w:rPr>
        <w:t xml:space="preserve"> </w:t>
      </w:r>
      <w:r w:rsidR="007E79F3" w:rsidRPr="00BB165C">
        <w:rPr>
          <w:rFonts w:asciiTheme="minorHAnsi" w:hAnsiTheme="minorHAnsi"/>
          <w:color w:val="auto"/>
          <w:szCs w:val="24"/>
        </w:rPr>
        <w:t xml:space="preserve"> Post-separation evidence is </w:t>
      </w:r>
      <w:r w:rsidR="00C51CB4">
        <w:rPr>
          <w:rFonts w:asciiTheme="minorHAnsi" w:hAnsiTheme="minorHAnsi"/>
          <w:color w:val="auto"/>
          <w:szCs w:val="24"/>
        </w:rPr>
        <w:t xml:space="preserve">thus </w:t>
      </w:r>
      <w:r w:rsidR="007E79F3" w:rsidRPr="00BB165C">
        <w:rPr>
          <w:rFonts w:asciiTheme="minorHAnsi" w:hAnsiTheme="minorHAnsi"/>
          <w:color w:val="auto"/>
          <w:szCs w:val="24"/>
        </w:rPr>
        <w:t>probative only to the extent that it reasonably reflects the disability and fitness implications at the time of separation.</w:t>
      </w:r>
      <w:r w:rsidR="0047685C">
        <w:rPr>
          <w:rFonts w:asciiTheme="minorHAnsi" w:hAnsiTheme="minorHAnsi"/>
          <w:color w:val="auto"/>
          <w:szCs w:val="24"/>
        </w:rPr>
        <w:t xml:space="preserve">  </w:t>
      </w:r>
    </w:p>
    <w:p w:rsidR="00E34D37" w:rsidRDefault="00E34D37" w:rsidP="00FA4BF5">
      <w:pPr>
        <w:spacing w:line="240" w:lineRule="exact"/>
        <w:jc w:val="both"/>
        <w:rPr>
          <w:rFonts w:asciiTheme="minorHAnsi" w:hAnsiTheme="minorHAnsi"/>
          <w:color w:val="auto"/>
          <w:szCs w:val="24"/>
        </w:rPr>
      </w:pPr>
    </w:p>
    <w:p w:rsidR="00664296" w:rsidRPr="00664296" w:rsidRDefault="009A236E" w:rsidP="00FA4BF5">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00664296" w:rsidRPr="00664296">
        <w:rPr>
          <w:rFonts w:asciiTheme="minorHAnsi" w:hAnsiTheme="minorHAnsi"/>
          <w:color w:val="auto"/>
          <w:szCs w:val="24"/>
          <w:u w:val="single"/>
        </w:rPr>
        <w:t>Back Condition</w:t>
      </w:r>
      <w:r w:rsidR="00664296" w:rsidRPr="00664296">
        <w:rPr>
          <w:rFonts w:asciiTheme="minorHAnsi" w:hAnsiTheme="minorHAnsi"/>
          <w:color w:val="auto"/>
          <w:szCs w:val="24"/>
        </w:rPr>
        <w:t>.</w:t>
      </w:r>
      <w:proofErr w:type="gramEnd"/>
      <w:r w:rsidR="00664296" w:rsidRPr="00664296">
        <w:rPr>
          <w:rFonts w:asciiTheme="minorHAnsi" w:hAnsiTheme="minorHAnsi"/>
          <w:color w:val="auto"/>
          <w:szCs w:val="24"/>
        </w:rPr>
        <w:t xml:space="preserve">  </w:t>
      </w:r>
      <w:r w:rsidR="00B06F1A">
        <w:rPr>
          <w:color w:val="auto"/>
          <w:szCs w:val="24"/>
        </w:rPr>
        <w:t xml:space="preserve">The CI </w:t>
      </w:r>
      <w:r w:rsidR="00B06F1A" w:rsidRPr="007E63E5">
        <w:rPr>
          <w:color w:val="auto"/>
          <w:szCs w:val="24"/>
        </w:rPr>
        <w:t xml:space="preserve">initially injured his back after slipping on the stairs while on patrol in February 2003. </w:t>
      </w:r>
      <w:r w:rsidR="00B06F1A">
        <w:rPr>
          <w:color w:val="auto"/>
          <w:szCs w:val="24"/>
        </w:rPr>
        <w:t xml:space="preserve"> He made numerous visits to clinics and emergency rooms for complaints of back pain that radiated to both his lower extremities.   He was managed conservatively with </w:t>
      </w:r>
      <w:r w:rsidR="0041756A">
        <w:rPr>
          <w:color w:val="auto"/>
          <w:szCs w:val="24"/>
        </w:rPr>
        <w:t>analgesics</w:t>
      </w:r>
      <w:r w:rsidR="00B06F1A">
        <w:rPr>
          <w:color w:val="auto"/>
          <w:szCs w:val="24"/>
        </w:rPr>
        <w:t xml:space="preserve">, </w:t>
      </w:r>
      <w:r w:rsidR="0041756A">
        <w:rPr>
          <w:color w:val="auto"/>
          <w:szCs w:val="24"/>
        </w:rPr>
        <w:t>and pursued rehabilitation with Physical Therapy and Physical Medicine.</w:t>
      </w:r>
      <w:r w:rsidR="00B06F1A">
        <w:rPr>
          <w:color w:val="auto"/>
          <w:szCs w:val="24"/>
        </w:rPr>
        <w:t xml:space="preserve"> </w:t>
      </w:r>
      <w:r w:rsidR="0041756A">
        <w:rPr>
          <w:color w:val="auto"/>
          <w:szCs w:val="24"/>
        </w:rPr>
        <w:t xml:space="preserve"> </w:t>
      </w:r>
      <w:r w:rsidR="00B06F1A">
        <w:rPr>
          <w:color w:val="auto"/>
          <w:szCs w:val="24"/>
        </w:rPr>
        <w:t>He was offered steroid intra-articular injections</w:t>
      </w:r>
      <w:r w:rsidR="0041756A">
        <w:rPr>
          <w:color w:val="auto"/>
          <w:szCs w:val="24"/>
        </w:rPr>
        <w:t>,</w:t>
      </w:r>
      <w:r w:rsidR="00B06F1A">
        <w:rPr>
          <w:color w:val="auto"/>
          <w:szCs w:val="24"/>
        </w:rPr>
        <w:t xml:space="preserve"> but declined stating a preference for surgery.  </w:t>
      </w:r>
      <w:r w:rsidR="0041756A">
        <w:rPr>
          <w:color w:val="auto"/>
          <w:szCs w:val="24"/>
        </w:rPr>
        <w:t xml:space="preserve">He did undergo a laminectomy/discectomy soon after separation.  </w:t>
      </w:r>
      <w:r w:rsidR="00664296" w:rsidRPr="00664296">
        <w:rPr>
          <w:rFonts w:asciiTheme="minorHAnsi" w:hAnsiTheme="minorHAnsi"/>
          <w:color w:val="auto"/>
          <w:szCs w:val="24"/>
        </w:rPr>
        <w:t xml:space="preserve">There were </w:t>
      </w:r>
      <w:r>
        <w:rPr>
          <w:rFonts w:asciiTheme="minorHAnsi" w:hAnsiTheme="minorHAnsi"/>
          <w:color w:val="auto"/>
          <w:szCs w:val="24"/>
        </w:rPr>
        <w:t>two</w:t>
      </w:r>
      <w:r w:rsidR="00664296" w:rsidRPr="00664296">
        <w:rPr>
          <w:rFonts w:asciiTheme="minorHAnsi" w:hAnsiTheme="minorHAnsi"/>
          <w:color w:val="auto"/>
          <w:szCs w:val="24"/>
        </w:rPr>
        <w:t xml:space="preserve"> </w:t>
      </w:r>
      <w:r w:rsidR="00664296" w:rsidRPr="0094769D">
        <w:rPr>
          <w:rFonts w:asciiTheme="minorHAnsi" w:hAnsiTheme="minorHAnsi"/>
          <w:color w:val="auto"/>
          <w:szCs w:val="24"/>
        </w:rPr>
        <w:t>goniometric</w:t>
      </w:r>
      <w:r w:rsidR="00664296" w:rsidRPr="00664296">
        <w:rPr>
          <w:rFonts w:asciiTheme="minorHAnsi" w:hAnsiTheme="minorHAnsi"/>
          <w:color w:val="auto"/>
          <w:szCs w:val="24"/>
        </w:rPr>
        <w:t xml:space="preserve"> </w:t>
      </w:r>
      <w:proofErr w:type="gramStart"/>
      <w:r w:rsidR="00664296" w:rsidRPr="00664296">
        <w:rPr>
          <w:rFonts w:asciiTheme="minorHAnsi" w:hAnsiTheme="minorHAnsi"/>
          <w:color w:val="auto"/>
          <w:szCs w:val="24"/>
        </w:rPr>
        <w:t>range</w:t>
      </w:r>
      <w:proofErr w:type="gramEnd"/>
      <w:r w:rsidR="00532BE9">
        <w:rPr>
          <w:rFonts w:asciiTheme="minorHAnsi" w:hAnsiTheme="minorHAnsi"/>
          <w:color w:val="auto"/>
          <w:szCs w:val="24"/>
        </w:rPr>
        <w:t xml:space="preserve"> </w:t>
      </w:r>
      <w:r w:rsidR="00664296" w:rsidRPr="00664296">
        <w:rPr>
          <w:rFonts w:asciiTheme="minorHAnsi" w:hAnsiTheme="minorHAnsi"/>
          <w:color w:val="auto"/>
          <w:szCs w:val="24"/>
        </w:rPr>
        <w:t>of</w:t>
      </w:r>
      <w:r w:rsidR="00532BE9">
        <w:rPr>
          <w:rFonts w:asciiTheme="minorHAnsi" w:hAnsiTheme="minorHAnsi"/>
          <w:color w:val="auto"/>
          <w:szCs w:val="24"/>
        </w:rPr>
        <w:t xml:space="preserve"> </w:t>
      </w:r>
      <w:r w:rsidR="00664296" w:rsidRPr="00664296">
        <w:rPr>
          <w:rFonts w:asciiTheme="minorHAnsi" w:hAnsiTheme="minorHAnsi"/>
          <w:color w:val="auto"/>
          <w:szCs w:val="24"/>
        </w:rPr>
        <w:t>motion (ROM) evaluations in evidence which the Board weighed in arriving at its ra</w:t>
      </w:r>
      <w:r>
        <w:rPr>
          <w:rFonts w:asciiTheme="minorHAnsi" w:hAnsiTheme="minorHAnsi"/>
          <w:color w:val="auto"/>
          <w:szCs w:val="24"/>
        </w:rPr>
        <w:t xml:space="preserve">ting recommendation. </w:t>
      </w:r>
      <w:r w:rsidR="00664296" w:rsidRPr="00664296">
        <w:rPr>
          <w:rFonts w:asciiTheme="minorHAnsi" w:hAnsiTheme="minorHAnsi"/>
          <w:color w:val="auto"/>
          <w:szCs w:val="24"/>
        </w:rPr>
        <w:t xml:space="preserve"> </w:t>
      </w:r>
      <w:r w:rsidR="00664296" w:rsidRPr="009A236E">
        <w:rPr>
          <w:rFonts w:asciiTheme="minorHAnsi" w:hAnsiTheme="minorHAnsi"/>
          <w:color w:val="auto"/>
          <w:szCs w:val="24"/>
        </w:rPr>
        <w:t>Both</w:t>
      </w:r>
      <w:r w:rsidR="00664296" w:rsidRPr="00664296">
        <w:rPr>
          <w:rFonts w:asciiTheme="minorHAnsi" w:hAnsiTheme="minorHAnsi"/>
          <w:color w:val="auto"/>
          <w:szCs w:val="24"/>
        </w:rPr>
        <w:t xml:space="preserve"> of these exams are summarized in the chart below.</w:t>
      </w:r>
    </w:p>
    <w:p w:rsidR="00664296" w:rsidRPr="00664296" w:rsidRDefault="00664296" w:rsidP="00664296">
      <w:pPr>
        <w:tabs>
          <w:tab w:val="left" w:pos="288"/>
          <w:tab w:val="left" w:pos="4752"/>
        </w:tabs>
        <w:spacing w:line="240" w:lineRule="exact"/>
        <w:rPr>
          <w:rFonts w:asciiTheme="minorHAnsi" w:hAnsiTheme="minorHAnsi"/>
          <w:color w:val="auto"/>
          <w:szCs w:val="24"/>
        </w:rPr>
      </w:pPr>
    </w:p>
    <w:tbl>
      <w:tblPr>
        <w:tblW w:w="7018" w:type="dxa"/>
        <w:jc w:val="center"/>
        <w:tblInd w:w="-2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160"/>
        <w:gridCol w:w="2249"/>
      </w:tblGrid>
      <w:tr w:rsidR="00BB165C" w:rsidRPr="009E37A3" w:rsidTr="00532BE9">
        <w:trPr>
          <w:jc w:val="center"/>
        </w:trPr>
        <w:tc>
          <w:tcPr>
            <w:tcW w:w="2609" w:type="dxa"/>
            <w:shd w:val="clear" w:color="auto" w:fill="D9D9D9" w:themeFill="background1" w:themeFillShade="D9"/>
            <w:vAlign w:val="center"/>
          </w:tcPr>
          <w:p w:rsidR="00BB165C" w:rsidRPr="00AF5DB4" w:rsidRDefault="00BB165C" w:rsidP="00AF5DB4">
            <w:pPr>
              <w:spacing w:line="240" w:lineRule="exact"/>
              <w:contextualSpacing/>
              <w:jc w:val="center"/>
              <w:rPr>
                <w:rFonts w:eastAsia="Calibri"/>
                <w:color w:val="auto"/>
                <w:sz w:val="22"/>
                <w:szCs w:val="22"/>
              </w:rPr>
            </w:pPr>
            <w:r w:rsidRPr="00AF5DB4">
              <w:rPr>
                <w:rFonts w:eastAsia="Calibri"/>
                <w:color w:val="auto"/>
                <w:sz w:val="22"/>
                <w:szCs w:val="22"/>
              </w:rPr>
              <w:t>Thoracolumbar ROM</w:t>
            </w:r>
          </w:p>
        </w:tc>
        <w:tc>
          <w:tcPr>
            <w:tcW w:w="2160" w:type="dxa"/>
            <w:shd w:val="clear" w:color="auto" w:fill="D9D9D9" w:themeFill="background1" w:themeFillShade="D9"/>
            <w:vAlign w:val="center"/>
          </w:tcPr>
          <w:p w:rsidR="00BB165C" w:rsidRPr="00AF5DB4" w:rsidRDefault="00AF5DB4" w:rsidP="00AF5DB4">
            <w:pPr>
              <w:spacing w:line="240" w:lineRule="exact"/>
              <w:contextualSpacing/>
              <w:jc w:val="center"/>
              <w:rPr>
                <w:rFonts w:eastAsia="Calibri"/>
                <w:color w:val="auto"/>
                <w:sz w:val="22"/>
                <w:szCs w:val="22"/>
              </w:rPr>
            </w:pPr>
            <w:r>
              <w:rPr>
                <w:rFonts w:eastAsia="Calibri"/>
                <w:color w:val="auto"/>
                <w:sz w:val="22"/>
                <w:szCs w:val="22"/>
              </w:rPr>
              <w:t>PT ~</w:t>
            </w:r>
            <w:r w:rsidR="00BB165C" w:rsidRPr="00AF5DB4">
              <w:rPr>
                <w:rFonts w:eastAsia="Calibri"/>
                <w:color w:val="auto"/>
                <w:sz w:val="22"/>
                <w:szCs w:val="22"/>
              </w:rPr>
              <w:t>6 M</w:t>
            </w:r>
            <w:r>
              <w:rPr>
                <w:rFonts w:eastAsia="Calibri"/>
                <w:color w:val="auto"/>
                <w:sz w:val="22"/>
                <w:szCs w:val="22"/>
              </w:rPr>
              <w:t>o. Pre-</w:t>
            </w:r>
            <w:r w:rsidR="00BB165C" w:rsidRPr="00AF5DB4">
              <w:rPr>
                <w:rFonts w:eastAsia="Calibri"/>
                <w:color w:val="auto"/>
                <w:sz w:val="22"/>
                <w:szCs w:val="22"/>
              </w:rPr>
              <w:t>Sep</w:t>
            </w:r>
          </w:p>
        </w:tc>
        <w:tc>
          <w:tcPr>
            <w:tcW w:w="2249" w:type="dxa"/>
            <w:shd w:val="clear" w:color="auto" w:fill="D9D9D9" w:themeFill="background1" w:themeFillShade="D9"/>
            <w:vAlign w:val="center"/>
          </w:tcPr>
          <w:p w:rsidR="00BB165C" w:rsidRPr="00AF5DB4" w:rsidRDefault="00BB165C" w:rsidP="00AF5DB4">
            <w:pPr>
              <w:spacing w:line="240" w:lineRule="exact"/>
              <w:contextualSpacing/>
              <w:jc w:val="center"/>
              <w:rPr>
                <w:rFonts w:eastAsia="Calibri"/>
                <w:color w:val="auto"/>
                <w:sz w:val="22"/>
                <w:szCs w:val="22"/>
              </w:rPr>
            </w:pPr>
            <w:r w:rsidRPr="00AF5DB4">
              <w:rPr>
                <w:rFonts w:eastAsia="Calibri"/>
                <w:color w:val="auto"/>
                <w:sz w:val="22"/>
                <w:szCs w:val="22"/>
              </w:rPr>
              <w:t xml:space="preserve">Phys Med </w:t>
            </w:r>
            <w:r w:rsidR="00AF5DB4">
              <w:rPr>
                <w:rFonts w:eastAsia="Calibri"/>
                <w:color w:val="auto"/>
                <w:sz w:val="22"/>
                <w:szCs w:val="22"/>
              </w:rPr>
              <w:t>~</w:t>
            </w:r>
            <w:r w:rsidR="00AF5DB4" w:rsidRPr="00AF5DB4">
              <w:rPr>
                <w:rFonts w:eastAsia="Calibri"/>
                <w:color w:val="auto"/>
                <w:sz w:val="22"/>
                <w:szCs w:val="22"/>
              </w:rPr>
              <w:t>6 M</w:t>
            </w:r>
            <w:r w:rsidR="00AF5DB4">
              <w:rPr>
                <w:rFonts w:eastAsia="Calibri"/>
                <w:color w:val="auto"/>
                <w:sz w:val="22"/>
                <w:szCs w:val="22"/>
              </w:rPr>
              <w:t>o. Pre-</w:t>
            </w:r>
            <w:r w:rsidR="00AF5DB4" w:rsidRPr="00AF5DB4">
              <w:rPr>
                <w:rFonts w:eastAsia="Calibri"/>
                <w:color w:val="auto"/>
                <w:sz w:val="22"/>
                <w:szCs w:val="22"/>
              </w:rPr>
              <w:t>Sep</w:t>
            </w:r>
          </w:p>
        </w:tc>
      </w:tr>
      <w:tr w:rsidR="00BB165C" w:rsidRPr="009E37A3" w:rsidTr="00532BE9">
        <w:trPr>
          <w:trHeight w:val="188"/>
          <w:jc w:val="center"/>
        </w:trPr>
        <w:tc>
          <w:tcPr>
            <w:tcW w:w="2609" w:type="dxa"/>
            <w:vAlign w:val="center"/>
          </w:tcPr>
          <w:p w:rsidR="00BB165C" w:rsidRPr="00AF5DB4" w:rsidRDefault="00AF5DB4" w:rsidP="00532BE9">
            <w:pPr>
              <w:spacing w:line="240" w:lineRule="exact"/>
              <w:contextualSpacing/>
              <w:rPr>
                <w:rFonts w:eastAsia="Calibri"/>
                <w:color w:val="auto"/>
                <w:sz w:val="22"/>
                <w:szCs w:val="22"/>
              </w:rPr>
            </w:pPr>
            <w:r>
              <w:rPr>
                <w:rFonts w:eastAsia="Calibri"/>
                <w:color w:val="auto"/>
                <w:sz w:val="22"/>
                <w:szCs w:val="22"/>
              </w:rPr>
              <w:t>Flexion (</w:t>
            </w:r>
            <w:r w:rsidR="00BB165C" w:rsidRPr="00AF5DB4">
              <w:rPr>
                <w:rFonts w:eastAsia="Calibri"/>
                <w:color w:val="auto"/>
                <w:sz w:val="22"/>
                <w:szCs w:val="22"/>
              </w:rPr>
              <w:t xml:space="preserve">90⁰ </w:t>
            </w:r>
            <w:r>
              <w:rPr>
                <w:rFonts w:eastAsia="Calibri"/>
                <w:color w:val="auto"/>
                <w:sz w:val="22"/>
                <w:szCs w:val="22"/>
              </w:rPr>
              <w:t>N</w:t>
            </w:r>
            <w:r w:rsidR="00BB165C" w:rsidRPr="00AF5DB4">
              <w:rPr>
                <w:rFonts w:eastAsia="Calibri"/>
                <w:color w:val="auto"/>
                <w:sz w:val="22"/>
                <w:szCs w:val="22"/>
              </w:rPr>
              <w:t>ormal</w:t>
            </w:r>
            <w:r>
              <w:rPr>
                <w:rFonts w:eastAsia="Calibri"/>
                <w:color w:val="auto"/>
                <w:sz w:val="22"/>
                <w:szCs w:val="22"/>
              </w:rPr>
              <w:t>)</w:t>
            </w:r>
          </w:p>
        </w:tc>
        <w:tc>
          <w:tcPr>
            <w:tcW w:w="2160" w:type="dxa"/>
            <w:vAlign w:val="center"/>
          </w:tcPr>
          <w:p w:rsidR="00BB165C" w:rsidRPr="00AF5DB4" w:rsidRDefault="00BB165C" w:rsidP="00AF5DB4">
            <w:pPr>
              <w:spacing w:line="240" w:lineRule="exact"/>
              <w:contextualSpacing/>
              <w:jc w:val="center"/>
              <w:rPr>
                <w:rFonts w:eastAsia="Calibri"/>
                <w:color w:val="auto"/>
                <w:sz w:val="22"/>
                <w:szCs w:val="22"/>
              </w:rPr>
            </w:pPr>
            <w:r w:rsidRPr="00AF5DB4">
              <w:rPr>
                <w:rFonts w:eastAsia="Calibri"/>
                <w:color w:val="auto"/>
                <w:sz w:val="22"/>
                <w:szCs w:val="22"/>
              </w:rPr>
              <w:t>65⁰</w:t>
            </w:r>
          </w:p>
        </w:tc>
        <w:tc>
          <w:tcPr>
            <w:tcW w:w="2249" w:type="dxa"/>
            <w:vAlign w:val="center"/>
          </w:tcPr>
          <w:p w:rsidR="00BB165C" w:rsidRPr="00AF5DB4" w:rsidRDefault="00BB165C" w:rsidP="00AF5DB4">
            <w:pPr>
              <w:spacing w:line="240" w:lineRule="exact"/>
              <w:contextualSpacing/>
              <w:jc w:val="center"/>
              <w:rPr>
                <w:rFonts w:eastAsia="Calibri"/>
                <w:color w:val="auto"/>
                <w:sz w:val="22"/>
                <w:szCs w:val="22"/>
              </w:rPr>
            </w:pPr>
            <w:r w:rsidRPr="00AF5DB4">
              <w:rPr>
                <w:rFonts w:eastAsia="Calibri"/>
                <w:color w:val="auto"/>
                <w:sz w:val="22"/>
                <w:szCs w:val="22"/>
              </w:rPr>
              <w:t>40⁰</w:t>
            </w:r>
          </w:p>
        </w:tc>
      </w:tr>
      <w:tr w:rsidR="00BB165C" w:rsidRPr="009E37A3" w:rsidTr="00532BE9">
        <w:trPr>
          <w:trHeight w:val="161"/>
          <w:jc w:val="center"/>
        </w:trPr>
        <w:tc>
          <w:tcPr>
            <w:tcW w:w="2609" w:type="dxa"/>
            <w:vAlign w:val="center"/>
          </w:tcPr>
          <w:p w:rsidR="00BB165C" w:rsidRPr="00AF5DB4" w:rsidRDefault="00BB165C" w:rsidP="00532BE9">
            <w:pPr>
              <w:spacing w:line="240" w:lineRule="exact"/>
              <w:contextualSpacing/>
              <w:rPr>
                <w:rFonts w:eastAsia="Calibri"/>
                <w:color w:val="auto"/>
                <w:sz w:val="22"/>
                <w:szCs w:val="22"/>
              </w:rPr>
            </w:pPr>
            <w:r w:rsidRPr="00AF5DB4">
              <w:rPr>
                <w:rFonts w:eastAsia="Calibri"/>
                <w:color w:val="auto"/>
                <w:sz w:val="22"/>
                <w:szCs w:val="22"/>
              </w:rPr>
              <w:t xml:space="preserve">Combined </w:t>
            </w:r>
            <w:r w:rsidR="00AF5DB4">
              <w:rPr>
                <w:rFonts w:eastAsia="Calibri"/>
                <w:color w:val="auto"/>
                <w:sz w:val="22"/>
                <w:szCs w:val="22"/>
              </w:rPr>
              <w:t>(240⁰ N</w:t>
            </w:r>
            <w:r w:rsidRPr="00AF5DB4">
              <w:rPr>
                <w:rFonts w:eastAsia="Calibri"/>
                <w:color w:val="auto"/>
                <w:sz w:val="22"/>
                <w:szCs w:val="22"/>
              </w:rPr>
              <w:t>ormal</w:t>
            </w:r>
            <w:r w:rsidR="00AF5DB4">
              <w:rPr>
                <w:rFonts w:eastAsia="Calibri"/>
                <w:color w:val="auto"/>
                <w:sz w:val="22"/>
                <w:szCs w:val="22"/>
              </w:rPr>
              <w:t>)</w:t>
            </w:r>
          </w:p>
        </w:tc>
        <w:tc>
          <w:tcPr>
            <w:tcW w:w="2160" w:type="dxa"/>
            <w:vAlign w:val="center"/>
          </w:tcPr>
          <w:p w:rsidR="00BB165C" w:rsidRPr="00AF5DB4" w:rsidRDefault="009E37A3" w:rsidP="00AF5DB4">
            <w:pPr>
              <w:spacing w:line="240" w:lineRule="exact"/>
              <w:contextualSpacing/>
              <w:jc w:val="center"/>
              <w:rPr>
                <w:rFonts w:eastAsia="Calibri"/>
                <w:color w:val="auto"/>
                <w:sz w:val="22"/>
                <w:szCs w:val="22"/>
              </w:rPr>
            </w:pPr>
            <w:r w:rsidRPr="00AF5DB4">
              <w:rPr>
                <w:rFonts w:eastAsia="Calibri"/>
                <w:color w:val="auto"/>
                <w:sz w:val="22"/>
                <w:szCs w:val="22"/>
              </w:rPr>
              <w:t>155</w:t>
            </w:r>
            <w:r w:rsidR="00BB165C" w:rsidRPr="00AF5DB4">
              <w:rPr>
                <w:rFonts w:eastAsia="Calibri"/>
                <w:color w:val="auto"/>
                <w:sz w:val="22"/>
                <w:szCs w:val="22"/>
              </w:rPr>
              <w:t>⁰</w:t>
            </w:r>
          </w:p>
        </w:tc>
        <w:tc>
          <w:tcPr>
            <w:tcW w:w="2249" w:type="dxa"/>
            <w:vAlign w:val="center"/>
          </w:tcPr>
          <w:p w:rsidR="00BB165C" w:rsidRPr="00AF5DB4" w:rsidRDefault="009E37A3" w:rsidP="00AF5DB4">
            <w:pPr>
              <w:spacing w:line="240" w:lineRule="exact"/>
              <w:contextualSpacing/>
              <w:jc w:val="center"/>
              <w:rPr>
                <w:rFonts w:eastAsia="Calibri"/>
                <w:color w:val="auto"/>
                <w:sz w:val="22"/>
                <w:szCs w:val="22"/>
              </w:rPr>
            </w:pPr>
            <w:r w:rsidRPr="00AF5DB4">
              <w:rPr>
                <w:rFonts w:eastAsia="Calibri"/>
                <w:color w:val="auto"/>
                <w:sz w:val="22"/>
                <w:szCs w:val="22"/>
              </w:rPr>
              <w:t>Incomplete</w:t>
            </w:r>
          </w:p>
        </w:tc>
      </w:tr>
      <w:tr w:rsidR="00BB165C" w:rsidRPr="009E37A3" w:rsidTr="00532BE9">
        <w:trPr>
          <w:trHeight w:val="134"/>
          <w:jc w:val="center"/>
        </w:trPr>
        <w:tc>
          <w:tcPr>
            <w:tcW w:w="2609" w:type="dxa"/>
            <w:vAlign w:val="center"/>
          </w:tcPr>
          <w:p w:rsidR="00BB165C" w:rsidRPr="00AF5DB4" w:rsidRDefault="00BB165C" w:rsidP="00532BE9">
            <w:pPr>
              <w:tabs>
                <w:tab w:val="left" w:pos="288"/>
                <w:tab w:val="left" w:pos="4752"/>
              </w:tabs>
              <w:spacing w:line="240" w:lineRule="exact"/>
              <w:rPr>
                <w:rFonts w:asciiTheme="minorHAnsi" w:eastAsiaTheme="minorHAnsi" w:hAnsiTheme="minorHAnsi"/>
                <w:color w:val="auto"/>
                <w:sz w:val="22"/>
                <w:szCs w:val="22"/>
              </w:rPr>
            </w:pPr>
            <w:r w:rsidRPr="00AF5DB4">
              <w:rPr>
                <w:rFonts w:asciiTheme="minorHAnsi" w:eastAsiaTheme="minorHAnsi" w:hAnsiTheme="minorHAnsi"/>
                <w:color w:val="auto"/>
                <w:sz w:val="22"/>
                <w:szCs w:val="22"/>
              </w:rPr>
              <w:t>§4.71a Rating</w:t>
            </w:r>
          </w:p>
        </w:tc>
        <w:tc>
          <w:tcPr>
            <w:tcW w:w="2160" w:type="dxa"/>
            <w:vAlign w:val="center"/>
          </w:tcPr>
          <w:p w:rsidR="00BB165C" w:rsidRPr="00AF5DB4" w:rsidRDefault="00BB165C" w:rsidP="00AF5DB4">
            <w:pPr>
              <w:tabs>
                <w:tab w:val="left" w:pos="288"/>
                <w:tab w:val="left" w:pos="4752"/>
              </w:tabs>
              <w:spacing w:line="240" w:lineRule="exact"/>
              <w:jc w:val="center"/>
              <w:rPr>
                <w:rFonts w:asciiTheme="minorHAnsi" w:eastAsiaTheme="minorHAnsi" w:hAnsiTheme="minorHAnsi"/>
                <w:color w:val="auto"/>
                <w:sz w:val="22"/>
                <w:szCs w:val="22"/>
              </w:rPr>
            </w:pPr>
            <w:r w:rsidRPr="00AF5DB4">
              <w:rPr>
                <w:rFonts w:asciiTheme="minorHAnsi" w:eastAsiaTheme="minorHAnsi" w:hAnsiTheme="minorHAnsi"/>
                <w:color w:val="auto"/>
                <w:sz w:val="22"/>
                <w:szCs w:val="22"/>
              </w:rPr>
              <w:t>10%</w:t>
            </w:r>
          </w:p>
        </w:tc>
        <w:tc>
          <w:tcPr>
            <w:tcW w:w="2249" w:type="dxa"/>
            <w:vAlign w:val="center"/>
          </w:tcPr>
          <w:p w:rsidR="00BB165C" w:rsidRPr="00AF5DB4" w:rsidRDefault="00BB165C" w:rsidP="00AF5DB4">
            <w:pPr>
              <w:tabs>
                <w:tab w:val="left" w:pos="288"/>
                <w:tab w:val="left" w:pos="4752"/>
              </w:tabs>
              <w:spacing w:line="240" w:lineRule="exact"/>
              <w:jc w:val="center"/>
              <w:rPr>
                <w:rFonts w:asciiTheme="minorHAnsi" w:eastAsiaTheme="minorHAnsi" w:hAnsiTheme="minorHAnsi"/>
                <w:color w:val="auto"/>
                <w:sz w:val="22"/>
                <w:szCs w:val="22"/>
              </w:rPr>
            </w:pPr>
            <w:r w:rsidRPr="00AF5DB4">
              <w:rPr>
                <w:rFonts w:asciiTheme="minorHAnsi" w:eastAsiaTheme="minorHAnsi" w:hAnsiTheme="minorHAnsi"/>
                <w:color w:val="auto"/>
                <w:sz w:val="22"/>
                <w:szCs w:val="22"/>
              </w:rPr>
              <w:t>20%</w:t>
            </w:r>
          </w:p>
        </w:tc>
      </w:tr>
    </w:tbl>
    <w:p w:rsidR="00664296" w:rsidRPr="00664296" w:rsidRDefault="00664296" w:rsidP="00664296">
      <w:pPr>
        <w:tabs>
          <w:tab w:val="left" w:pos="288"/>
          <w:tab w:val="left" w:pos="4752"/>
        </w:tabs>
        <w:spacing w:line="240" w:lineRule="exact"/>
        <w:rPr>
          <w:rFonts w:asciiTheme="minorHAnsi" w:hAnsiTheme="minorHAnsi"/>
          <w:color w:val="auto"/>
          <w:szCs w:val="24"/>
        </w:rPr>
      </w:pPr>
    </w:p>
    <w:p w:rsidR="00664296" w:rsidRPr="008A0AFA" w:rsidRDefault="009E37A3" w:rsidP="00FA4BF5">
      <w:pPr>
        <w:tabs>
          <w:tab w:val="left" w:pos="288"/>
          <w:tab w:val="left" w:pos="4752"/>
        </w:tabs>
        <w:spacing w:line="240" w:lineRule="exact"/>
        <w:jc w:val="both"/>
        <w:rPr>
          <w:color w:val="auto"/>
          <w:szCs w:val="24"/>
        </w:rPr>
      </w:pPr>
      <w:r>
        <w:rPr>
          <w:color w:val="auto"/>
          <w:szCs w:val="24"/>
        </w:rPr>
        <w:t xml:space="preserve">Although the </w:t>
      </w:r>
      <w:r w:rsidR="00532BE9">
        <w:rPr>
          <w:color w:val="auto"/>
          <w:szCs w:val="24"/>
        </w:rPr>
        <w:t xml:space="preserve">physical therapy </w:t>
      </w:r>
      <w:r>
        <w:rPr>
          <w:color w:val="auto"/>
          <w:szCs w:val="24"/>
        </w:rPr>
        <w:t>ROM was slightly more proximal to separation</w:t>
      </w:r>
      <w:r w:rsidR="00B06F1A">
        <w:rPr>
          <w:color w:val="auto"/>
          <w:szCs w:val="24"/>
        </w:rPr>
        <w:t xml:space="preserve"> and did provide measurements in all planes</w:t>
      </w:r>
      <w:r>
        <w:rPr>
          <w:color w:val="auto"/>
          <w:szCs w:val="24"/>
        </w:rPr>
        <w:t xml:space="preserve">, the Board considered the </w:t>
      </w:r>
      <w:r w:rsidR="00135F8B">
        <w:rPr>
          <w:color w:val="auto"/>
          <w:szCs w:val="24"/>
        </w:rPr>
        <w:t>Physical Medicine exam</w:t>
      </w:r>
      <w:r w:rsidR="00ED2DB4">
        <w:rPr>
          <w:color w:val="auto"/>
          <w:szCs w:val="24"/>
        </w:rPr>
        <w:t xml:space="preserve"> </w:t>
      </w:r>
      <w:r>
        <w:rPr>
          <w:color w:val="auto"/>
          <w:szCs w:val="24"/>
        </w:rPr>
        <w:t xml:space="preserve">to be more probative for </w:t>
      </w:r>
      <w:r w:rsidR="00C42431">
        <w:rPr>
          <w:color w:val="auto"/>
          <w:szCs w:val="24"/>
        </w:rPr>
        <w:t xml:space="preserve">rating </w:t>
      </w:r>
      <w:r>
        <w:rPr>
          <w:color w:val="auto"/>
          <w:szCs w:val="24"/>
        </w:rPr>
        <w:t>in that it was more comprehensive of ratable parameters</w:t>
      </w:r>
      <w:r w:rsidR="00B06F1A">
        <w:rPr>
          <w:color w:val="auto"/>
          <w:szCs w:val="24"/>
        </w:rPr>
        <w:t xml:space="preserve"> and performed by a specialist</w:t>
      </w:r>
      <w:r>
        <w:rPr>
          <w:color w:val="auto"/>
          <w:szCs w:val="24"/>
        </w:rPr>
        <w:t xml:space="preserve">.  </w:t>
      </w:r>
      <w:r w:rsidR="00B06F1A">
        <w:rPr>
          <w:color w:val="auto"/>
          <w:szCs w:val="24"/>
        </w:rPr>
        <w:t>That</w:t>
      </w:r>
      <w:r w:rsidR="00C42431">
        <w:rPr>
          <w:color w:val="auto"/>
          <w:szCs w:val="24"/>
        </w:rPr>
        <w:t xml:space="preserve"> exam revealed tight hamstrings, 2-3/5 </w:t>
      </w:r>
      <w:r>
        <w:rPr>
          <w:color w:val="auto"/>
          <w:szCs w:val="24"/>
        </w:rPr>
        <w:t>Waddell’s signs</w:t>
      </w:r>
      <w:r w:rsidR="00B06F1A">
        <w:rPr>
          <w:color w:val="auto"/>
          <w:szCs w:val="24"/>
        </w:rPr>
        <w:t xml:space="preserve"> (without elaboration)</w:t>
      </w:r>
      <w:r w:rsidR="00C42431">
        <w:rPr>
          <w:color w:val="auto"/>
          <w:szCs w:val="24"/>
        </w:rPr>
        <w:t xml:space="preserve">, and tenderness </w:t>
      </w:r>
      <w:r>
        <w:rPr>
          <w:color w:val="auto"/>
          <w:szCs w:val="24"/>
        </w:rPr>
        <w:t>of the low back</w:t>
      </w:r>
      <w:r w:rsidR="000720B8">
        <w:rPr>
          <w:color w:val="auto"/>
          <w:szCs w:val="24"/>
        </w:rPr>
        <w:t>.  The</w:t>
      </w:r>
      <w:r w:rsidR="005D3946">
        <w:rPr>
          <w:color w:val="auto"/>
          <w:szCs w:val="24"/>
        </w:rPr>
        <w:t xml:space="preserve"> motor and sensory</w:t>
      </w:r>
      <w:r w:rsidR="000720B8">
        <w:rPr>
          <w:color w:val="auto"/>
          <w:szCs w:val="24"/>
        </w:rPr>
        <w:t xml:space="preserve"> exam was normal</w:t>
      </w:r>
      <w:r w:rsidR="005D3946">
        <w:rPr>
          <w:color w:val="auto"/>
          <w:szCs w:val="24"/>
        </w:rPr>
        <w:t>, and there was no clinical evidence of herniated disc or radiculopathy</w:t>
      </w:r>
      <w:r w:rsidR="000720B8">
        <w:rPr>
          <w:color w:val="auto"/>
          <w:szCs w:val="24"/>
        </w:rPr>
        <w:t>.  There was no comment on gait</w:t>
      </w:r>
      <w:r w:rsidR="005D3946">
        <w:rPr>
          <w:color w:val="auto"/>
          <w:szCs w:val="24"/>
        </w:rPr>
        <w:t>, posture, or spinal contour</w:t>
      </w:r>
      <w:r w:rsidR="00B06F1A">
        <w:rPr>
          <w:color w:val="auto"/>
          <w:szCs w:val="24"/>
        </w:rPr>
        <w:t xml:space="preserve">; although, neither the </w:t>
      </w:r>
      <w:r w:rsidR="00532BE9">
        <w:rPr>
          <w:color w:val="auto"/>
          <w:szCs w:val="24"/>
        </w:rPr>
        <w:t>physical therapy</w:t>
      </w:r>
      <w:r w:rsidR="00B06F1A">
        <w:rPr>
          <w:color w:val="auto"/>
          <w:szCs w:val="24"/>
        </w:rPr>
        <w:t xml:space="preserve"> exam nor other outpatient entries provided evidence for </w:t>
      </w:r>
      <w:r w:rsidR="00B06F1A">
        <w:rPr>
          <w:rFonts w:cs="Calibri"/>
          <w:color w:val="auto"/>
          <w:szCs w:val="24"/>
        </w:rPr>
        <w:t>§</w:t>
      </w:r>
      <w:r w:rsidR="00B06F1A">
        <w:rPr>
          <w:color w:val="auto"/>
          <w:szCs w:val="24"/>
        </w:rPr>
        <w:t>4.71a rating consideration of these parameters</w:t>
      </w:r>
      <w:r w:rsidR="000720B8">
        <w:rPr>
          <w:color w:val="auto"/>
          <w:szCs w:val="24"/>
        </w:rPr>
        <w:t>.</w:t>
      </w:r>
      <w:r w:rsidR="00C42431">
        <w:rPr>
          <w:color w:val="auto"/>
          <w:szCs w:val="24"/>
        </w:rPr>
        <w:t xml:space="preserve">  </w:t>
      </w:r>
      <w:r w:rsidR="0048114C">
        <w:rPr>
          <w:color w:val="auto"/>
          <w:szCs w:val="24"/>
        </w:rPr>
        <w:t>Imaging studies</w:t>
      </w:r>
      <w:r w:rsidR="0094769D">
        <w:rPr>
          <w:color w:val="auto"/>
          <w:szCs w:val="24"/>
        </w:rPr>
        <w:t xml:space="preserve"> revealed</w:t>
      </w:r>
      <w:r w:rsidR="0094769D" w:rsidRPr="008859F5">
        <w:rPr>
          <w:color w:val="auto"/>
          <w:szCs w:val="24"/>
        </w:rPr>
        <w:t xml:space="preserve"> broad-based disc bulging at L4-5</w:t>
      </w:r>
      <w:r w:rsidR="0094769D">
        <w:rPr>
          <w:color w:val="auto"/>
          <w:szCs w:val="24"/>
        </w:rPr>
        <w:t>.</w:t>
      </w:r>
      <w:r w:rsidR="000720B8">
        <w:rPr>
          <w:color w:val="auto"/>
          <w:szCs w:val="24"/>
        </w:rPr>
        <w:t xml:space="preserve">  </w:t>
      </w:r>
      <w:r w:rsidR="0048114C">
        <w:rPr>
          <w:color w:val="auto"/>
          <w:szCs w:val="24"/>
        </w:rPr>
        <w:t>Electrodiagnostic studies were normal.</w:t>
      </w:r>
      <w:r w:rsidR="00C538E1">
        <w:rPr>
          <w:color w:val="auto"/>
          <w:szCs w:val="24"/>
        </w:rPr>
        <w:t xml:space="preserve"> </w:t>
      </w:r>
      <w:r w:rsidR="00135F8B" w:rsidRPr="00135F8B">
        <w:rPr>
          <w:color w:val="auto"/>
          <w:szCs w:val="24"/>
        </w:rPr>
        <w:t xml:space="preserve"> </w:t>
      </w:r>
      <w:r w:rsidR="00664296" w:rsidRPr="00664296">
        <w:rPr>
          <w:rFonts w:asciiTheme="minorHAnsi" w:hAnsiTheme="minorHAnsi"/>
          <w:color w:val="auto"/>
          <w:szCs w:val="24"/>
        </w:rPr>
        <w:t>The PEB and VA chose cod</w:t>
      </w:r>
      <w:r w:rsidR="005D3946">
        <w:rPr>
          <w:rFonts w:asciiTheme="minorHAnsi" w:hAnsiTheme="minorHAnsi"/>
          <w:color w:val="auto"/>
          <w:szCs w:val="24"/>
        </w:rPr>
        <w:t>es</w:t>
      </w:r>
      <w:r w:rsidR="00664296" w:rsidRPr="00664296">
        <w:rPr>
          <w:rFonts w:asciiTheme="minorHAnsi" w:hAnsiTheme="minorHAnsi"/>
          <w:color w:val="auto"/>
          <w:szCs w:val="24"/>
        </w:rPr>
        <w:t xml:space="preserve"> </w:t>
      </w:r>
      <w:r w:rsidR="005D3946">
        <w:rPr>
          <w:rFonts w:asciiTheme="minorHAnsi" w:hAnsiTheme="minorHAnsi"/>
          <w:color w:val="auto"/>
          <w:szCs w:val="24"/>
        </w:rPr>
        <w:t>rated under the same general schedule</w:t>
      </w:r>
      <w:r w:rsidR="00664296" w:rsidRPr="00664296">
        <w:rPr>
          <w:rFonts w:asciiTheme="minorHAnsi" w:hAnsiTheme="minorHAnsi"/>
          <w:color w:val="auto"/>
          <w:szCs w:val="24"/>
        </w:rPr>
        <w:t xml:space="preserve">, but </w:t>
      </w:r>
      <w:r w:rsidR="005D3946">
        <w:rPr>
          <w:rFonts w:asciiTheme="minorHAnsi" w:hAnsiTheme="minorHAnsi"/>
          <w:color w:val="auto"/>
          <w:szCs w:val="24"/>
        </w:rPr>
        <w:t>arrived at different ratings</w:t>
      </w:r>
      <w:r w:rsidR="00664296" w:rsidRPr="00664296">
        <w:rPr>
          <w:rFonts w:asciiTheme="minorHAnsi" w:hAnsiTheme="minorHAnsi"/>
          <w:color w:val="auto"/>
          <w:szCs w:val="24"/>
        </w:rPr>
        <w:t xml:space="preserve">.  </w:t>
      </w:r>
      <w:r w:rsidR="00153B3D">
        <w:rPr>
          <w:rFonts w:asciiTheme="minorHAnsi" w:hAnsiTheme="minorHAnsi"/>
          <w:color w:val="auto"/>
          <w:szCs w:val="24"/>
        </w:rPr>
        <w:t xml:space="preserve">The VA rating decision, </w:t>
      </w:r>
      <w:r w:rsidR="008A0AFA">
        <w:rPr>
          <w:rFonts w:asciiTheme="minorHAnsi" w:hAnsiTheme="minorHAnsi"/>
          <w:color w:val="auto"/>
          <w:szCs w:val="24"/>
        </w:rPr>
        <w:t>which premised its</w:t>
      </w:r>
      <w:r w:rsidR="00153B3D">
        <w:rPr>
          <w:rFonts w:asciiTheme="minorHAnsi" w:hAnsiTheme="minorHAnsi"/>
          <w:color w:val="auto"/>
          <w:szCs w:val="24"/>
        </w:rPr>
        <w:t xml:space="preserve"> </w:t>
      </w:r>
      <w:r w:rsidR="008A0AFA">
        <w:rPr>
          <w:rFonts w:asciiTheme="minorHAnsi" w:hAnsiTheme="minorHAnsi"/>
          <w:color w:val="auto"/>
          <w:szCs w:val="24"/>
        </w:rPr>
        <w:t>10%</w:t>
      </w:r>
      <w:r w:rsidR="00153B3D">
        <w:rPr>
          <w:rFonts w:asciiTheme="minorHAnsi" w:hAnsiTheme="minorHAnsi"/>
          <w:color w:val="auto"/>
          <w:szCs w:val="24"/>
        </w:rPr>
        <w:t xml:space="preserve"> rating </w:t>
      </w:r>
      <w:r w:rsidR="008A0AFA">
        <w:rPr>
          <w:rFonts w:asciiTheme="minorHAnsi" w:hAnsiTheme="minorHAnsi"/>
          <w:color w:val="auto"/>
          <w:szCs w:val="24"/>
        </w:rPr>
        <w:t>on the 65</w:t>
      </w:r>
      <w:r w:rsidR="008A0AFA">
        <w:rPr>
          <w:rFonts w:asciiTheme="minorHAnsi" w:hAnsiTheme="minorHAnsi" w:cstheme="minorHAnsi"/>
          <w:color w:val="auto"/>
          <w:szCs w:val="24"/>
        </w:rPr>
        <w:t>⁰</w:t>
      </w:r>
      <w:r w:rsidR="008A0AFA">
        <w:rPr>
          <w:rFonts w:asciiTheme="minorHAnsi" w:hAnsiTheme="minorHAnsi"/>
          <w:color w:val="auto"/>
          <w:szCs w:val="24"/>
        </w:rPr>
        <w:t xml:space="preserve"> MEB</w:t>
      </w:r>
      <w:r w:rsidR="00153B3D">
        <w:rPr>
          <w:rFonts w:asciiTheme="minorHAnsi" w:hAnsiTheme="minorHAnsi"/>
          <w:color w:val="auto"/>
          <w:szCs w:val="24"/>
        </w:rPr>
        <w:t xml:space="preserve"> ROM’s, </w:t>
      </w:r>
      <w:r w:rsidR="008A0AFA">
        <w:rPr>
          <w:rFonts w:asciiTheme="minorHAnsi" w:hAnsiTheme="minorHAnsi"/>
          <w:color w:val="auto"/>
          <w:szCs w:val="24"/>
        </w:rPr>
        <w:t xml:space="preserve">also </w:t>
      </w:r>
      <w:r w:rsidR="00153B3D">
        <w:rPr>
          <w:rFonts w:asciiTheme="minorHAnsi" w:hAnsiTheme="minorHAnsi"/>
          <w:color w:val="auto"/>
          <w:szCs w:val="24"/>
        </w:rPr>
        <w:t>invoked content from a non-goniometric evaluation by a VA contract provider ~</w:t>
      </w:r>
      <w:r w:rsidR="00532BE9">
        <w:rPr>
          <w:rFonts w:asciiTheme="minorHAnsi" w:hAnsiTheme="minorHAnsi"/>
          <w:color w:val="auto"/>
          <w:szCs w:val="24"/>
        </w:rPr>
        <w:t>four</w:t>
      </w:r>
      <w:r w:rsidR="00153B3D">
        <w:rPr>
          <w:rFonts w:asciiTheme="minorHAnsi" w:hAnsiTheme="minorHAnsi"/>
          <w:color w:val="auto"/>
          <w:szCs w:val="24"/>
        </w:rPr>
        <w:t xml:space="preserve"> months post-separation.  This provider stated, “</w:t>
      </w:r>
      <w:r w:rsidR="00153B3D" w:rsidRPr="00027632">
        <w:rPr>
          <w:color w:val="auto"/>
          <w:szCs w:val="24"/>
        </w:rPr>
        <w:t>Patient seems to exaggerate his pain in my office. For example he was limping and grimacing in my office, later when I watched him from a distance he was not limping and his posture was quite natural.</w:t>
      </w:r>
      <w:r w:rsidR="008A0AFA">
        <w:rPr>
          <w:color w:val="auto"/>
          <w:szCs w:val="24"/>
        </w:rPr>
        <w:t>”  Although this comment (and the Waddel’s entry noted above) does pose some probative value questions, the Board</w:t>
      </w:r>
      <w:r w:rsidR="008A0AFA">
        <w:rPr>
          <w:rFonts w:asciiTheme="minorHAnsi" w:hAnsiTheme="minorHAnsi"/>
          <w:color w:val="auto"/>
          <w:szCs w:val="24"/>
        </w:rPr>
        <w:t xml:space="preserve"> disregarded such speculation in its endorsement of the </w:t>
      </w:r>
      <w:r w:rsidR="008A0AFA">
        <w:rPr>
          <w:color w:val="auto"/>
          <w:szCs w:val="24"/>
        </w:rPr>
        <w:t xml:space="preserve">Physical Medicine exam </w:t>
      </w:r>
      <w:r w:rsidR="00BB0760">
        <w:rPr>
          <w:color w:val="auto"/>
          <w:szCs w:val="24"/>
        </w:rPr>
        <w:t>(more favorable to rating) as most probative for its recommendation.</w:t>
      </w:r>
      <w:r w:rsidR="00135F8B">
        <w:rPr>
          <w:color w:val="auto"/>
          <w:szCs w:val="24"/>
        </w:rPr>
        <w:t xml:space="preserve">  </w:t>
      </w:r>
      <w:r w:rsidR="00BB0760">
        <w:rPr>
          <w:color w:val="auto"/>
          <w:szCs w:val="24"/>
        </w:rPr>
        <w:t xml:space="preserve">Likewise, </w:t>
      </w:r>
      <w:r w:rsidR="00BB0760">
        <w:rPr>
          <w:rFonts w:asciiTheme="minorHAnsi" w:hAnsiTheme="minorHAnsi"/>
          <w:color w:val="auto"/>
          <w:szCs w:val="24"/>
        </w:rPr>
        <w:t>t</w:t>
      </w:r>
      <w:r w:rsidR="005D3946">
        <w:rPr>
          <w:rFonts w:asciiTheme="minorHAnsi" w:hAnsiTheme="minorHAnsi"/>
          <w:color w:val="auto"/>
          <w:szCs w:val="24"/>
        </w:rPr>
        <w:t>he PEB’s AF Form 356 cites thoracolumbar flexion to 40</w:t>
      </w:r>
      <w:r w:rsidR="005D3946" w:rsidRPr="005D3946">
        <w:rPr>
          <w:rFonts w:asciiTheme="minorHAnsi" w:hAnsiTheme="minorHAnsi"/>
          <w:color w:val="auto"/>
          <w:szCs w:val="24"/>
        </w:rPr>
        <w:t>⁰</w:t>
      </w:r>
      <w:r w:rsidR="005D3946">
        <w:rPr>
          <w:rFonts w:asciiTheme="minorHAnsi" w:hAnsiTheme="minorHAnsi"/>
          <w:color w:val="auto"/>
          <w:szCs w:val="24"/>
        </w:rPr>
        <w:t xml:space="preserve"> with the presence of spasm as justification for its</w:t>
      </w:r>
      <w:r w:rsidR="0047685C">
        <w:rPr>
          <w:rFonts w:asciiTheme="minorHAnsi" w:hAnsiTheme="minorHAnsi"/>
          <w:color w:val="auto"/>
          <w:szCs w:val="24"/>
        </w:rPr>
        <w:t xml:space="preserve"> 20</w:t>
      </w:r>
      <w:r w:rsidR="00B06F1A">
        <w:rPr>
          <w:rFonts w:asciiTheme="minorHAnsi" w:hAnsiTheme="minorHAnsi"/>
          <w:color w:val="auto"/>
          <w:szCs w:val="24"/>
        </w:rPr>
        <w:t>%</w:t>
      </w:r>
      <w:r w:rsidR="0047685C">
        <w:rPr>
          <w:rFonts w:asciiTheme="minorHAnsi" w:hAnsiTheme="minorHAnsi"/>
          <w:color w:val="auto"/>
          <w:szCs w:val="24"/>
        </w:rPr>
        <w:t xml:space="preserve"> rating.  </w:t>
      </w:r>
      <w:r w:rsidR="00664296" w:rsidRPr="00664296">
        <w:rPr>
          <w:rFonts w:asciiTheme="minorHAnsi" w:hAnsiTheme="minorHAnsi"/>
          <w:color w:val="auto"/>
          <w:szCs w:val="24"/>
        </w:rPr>
        <w:t xml:space="preserve">There was no evidence of ratable peripheral nerve impairment </w:t>
      </w:r>
      <w:r w:rsidR="00BB0760">
        <w:rPr>
          <w:rFonts w:asciiTheme="minorHAnsi" w:hAnsiTheme="minorHAnsi"/>
          <w:color w:val="auto"/>
          <w:szCs w:val="24"/>
        </w:rPr>
        <w:t>or documentation of incapacitating episodes which would provide for additional or higher rating</w:t>
      </w:r>
      <w:r w:rsidR="00664296" w:rsidRPr="00664296">
        <w:rPr>
          <w:rFonts w:asciiTheme="minorHAnsi" w:hAnsiTheme="minorHAnsi"/>
          <w:color w:val="auto"/>
          <w:szCs w:val="24"/>
        </w:rPr>
        <w:t xml:space="preserve">.  There is not reasonable doubt in the CI’s favor therefore to justify a Board recommendation for other than the </w:t>
      </w:r>
      <w:r w:rsidR="00E154F1" w:rsidRPr="00E154F1">
        <w:rPr>
          <w:rFonts w:asciiTheme="minorHAnsi" w:hAnsiTheme="minorHAnsi"/>
          <w:color w:val="auto"/>
          <w:szCs w:val="24"/>
        </w:rPr>
        <w:t>2</w:t>
      </w:r>
      <w:r w:rsidR="00664296" w:rsidRPr="00E154F1">
        <w:rPr>
          <w:rFonts w:asciiTheme="minorHAnsi" w:hAnsiTheme="minorHAnsi"/>
          <w:color w:val="auto"/>
          <w:szCs w:val="24"/>
        </w:rPr>
        <w:t>0%</w:t>
      </w:r>
      <w:r w:rsidR="00664296" w:rsidRPr="00664296">
        <w:rPr>
          <w:rFonts w:asciiTheme="minorHAnsi" w:hAnsiTheme="minorHAnsi"/>
          <w:color w:val="auto"/>
          <w:szCs w:val="24"/>
        </w:rPr>
        <w:t xml:space="preserve"> rating assigned by the </w:t>
      </w:r>
      <w:r w:rsidR="00D14F46">
        <w:rPr>
          <w:rFonts w:asciiTheme="minorHAnsi" w:hAnsiTheme="minorHAnsi"/>
          <w:color w:val="auto"/>
          <w:szCs w:val="24"/>
        </w:rPr>
        <w:t>F</w:t>
      </w:r>
      <w:r w:rsidR="00664296" w:rsidRPr="00664296">
        <w:rPr>
          <w:rFonts w:asciiTheme="minorHAnsi" w:hAnsiTheme="minorHAnsi"/>
          <w:color w:val="auto"/>
          <w:szCs w:val="24"/>
        </w:rPr>
        <w:t xml:space="preserve">PEB for the </w:t>
      </w:r>
      <w:r w:rsidR="00E154F1">
        <w:rPr>
          <w:rFonts w:asciiTheme="minorHAnsi" w:hAnsiTheme="minorHAnsi"/>
          <w:color w:val="auto"/>
          <w:szCs w:val="24"/>
        </w:rPr>
        <w:t xml:space="preserve">low </w:t>
      </w:r>
      <w:r w:rsidR="00664296" w:rsidRPr="00E154F1">
        <w:rPr>
          <w:rFonts w:asciiTheme="minorHAnsi" w:hAnsiTheme="minorHAnsi"/>
          <w:color w:val="auto"/>
          <w:szCs w:val="24"/>
        </w:rPr>
        <w:t>back</w:t>
      </w:r>
      <w:r w:rsidR="00664296" w:rsidRPr="00664296">
        <w:rPr>
          <w:rFonts w:asciiTheme="minorHAnsi" w:hAnsiTheme="minorHAnsi"/>
          <w:color w:val="auto"/>
          <w:szCs w:val="24"/>
        </w:rPr>
        <w:t xml:space="preserve"> condition.  </w:t>
      </w:r>
      <w:r w:rsidR="006C589A">
        <w:rPr>
          <w:rFonts w:asciiTheme="minorHAnsi" w:hAnsiTheme="minorHAnsi"/>
          <w:color w:val="auto"/>
          <w:szCs w:val="24"/>
        </w:rPr>
        <w:t>The FPEB’s coding choice has no bearing on rating, and is applicable</w:t>
      </w:r>
      <w:r w:rsidR="001465D9">
        <w:rPr>
          <w:rFonts w:asciiTheme="minorHAnsi" w:hAnsiTheme="minorHAnsi"/>
          <w:color w:val="auto"/>
          <w:szCs w:val="24"/>
        </w:rPr>
        <w:t xml:space="preserve"> to the case.</w:t>
      </w:r>
    </w:p>
    <w:p w:rsidR="00664296" w:rsidRPr="00664296" w:rsidRDefault="00664296" w:rsidP="00FA4BF5">
      <w:pPr>
        <w:spacing w:line="240" w:lineRule="exact"/>
        <w:jc w:val="both"/>
        <w:rPr>
          <w:rFonts w:asciiTheme="minorHAnsi" w:eastAsia="HiddenHorzOCR" w:hAnsiTheme="minorHAnsi"/>
          <w:color w:val="auto"/>
          <w:szCs w:val="24"/>
        </w:rPr>
      </w:pPr>
    </w:p>
    <w:p w:rsidR="006C589A" w:rsidRDefault="00664296" w:rsidP="006C589A">
      <w:pPr>
        <w:spacing w:line="240" w:lineRule="exact"/>
        <w:jc w:val="both"/>
        <w:rPr>
          <w:rFonts w:asciiTheme="minorHAnsi" w:hAnsiTheme="minorHAnsi"/>
          <w:color w:val="auto"/>
          <w:szCs w:val="24"/>
        </w:rPr>
      </w:pPr>
      <w:proofErr w:type="gramStart"/>
      <w:r w:rsidRPr="00664296">
        <w:rPr>
          <w:rFonts w:asciiTheme="minorHAnsi" w:eastAsia="HiddenHorzOCR" w:hAnsiTheme="minorHAnsi"/>
          <w:color w:val="auto"/>
          <w:szCs w:val="24"/>
          <w:u w:val="single"/>
        </w:rPr>
        <w:t xml:space="preserve">Contended </w:t>
      </w:r>
      <w:r w:rsidR="006C589A">
        <w:rPr>
          <w:rFonts w:asciiTheme="minorHAnsi" w:eastAsia="HiddenHorzOCR" w:hAnsiTheme="minorHAnsi"/>
          <w:color w:val="auto"/>
          <w:szCs w:val="24"/>
          <w:u w:val="single"/>
        </w:rPr>
        <w:t>Cervical Spine Rating</w:t>
      </w:r>
      <w:r w:rsidR="00FA4BF5">
        <w:rPr>
          <w:rFonts w:asciiTheme="minorHAnsi" w:eastAsia="HiddenHorzOCR" w:hAnsiTheme="minorHAnsi"/>
          <w:color w:val="auto"/>
          <w:szCs w:val="24"/>
        </w:rPr>
        <w:t>.</w:t>
      </w:r>
      <w:proofErr w:type="gramEnd"/>
      <w:r w:rsidR="00D14F46" w:rsidRPr="00D14F46">
        <w:rPr>
          <w:rFonts w:eastAsia="HiddenHorzOCR"/>
          <w:color w:val="auto"/>
          <w:szCs w:val="24"/>
        </w:rPr>
        <w:t xml:space="preserve"> </w:t>
      </w:r>
      <w:r w:rsidR="00532BE9">
        <w:rPr>
          <w:rFonts w:eastAsia="HiddenHorzOCR"/>
          <w:color w:val="auto"/>
          <w:szCs w:val="24"/>
        </w:rPr>
        <w:t xml:space="preserve"> </w:t>
      </w:r>
      <w:r w:rsidR="00D14F46" w:rsidRPr="00EC337D">
        <w:rPr>
          <w:rFonts w:eastAsia="HiddenHorzOCR"/>
          <w:color w:val="auto"/>
          <w:szCs w:val="24"/>
        </w:rPr>
        <w:t xml:space="preserve">The CI’s application </w:t>
      </w:r>
      <w:r w:rsidR="006C589A">
        <w:rPr>
          <w:rFonts w:eastAsia="HiddenHorzOCR"/>
          <w:color w:val="auto"/>
          <w:szCs w:val="24"/>
        </w:rPr>
        <w:t>implies</w:t>
      </w:r>
      <w:r w:rsidR="00D14F46" w:rsidRPr="00EC337D">
        <w:rPr>
          <w:rFonts w:eastAsia="HiddenHorzOCR"/>
          <w:color w:val="auto"/>
          <w:szCs w:val="24"/>
        </w:rPr>
        <w:t xml:space="preserve"> that </w:t>
      </w:r>
      <w:r w:rsidR="006C589A">
        <w:rPr>
          <w:rFonts w:eastAsia="HiddenHorzOCR"/>
          <w:color w:val="auto"/>
          <w:szCs w:val="24"/>
        </w:rPr>
        <w:t>a compensable rating</w:t>
      </w:r>
      <w:r w:rsidR="00D14F46" w:rsidRPr="00EC337D">
        <w:rPr>
          <w:rFonts w:eastAsia="HiddenHorzOCR"/>
          <w:color w:val="auto"/>
          <w:szCs w:val="24"/>
        </w:rPr>
        <w:t xml:space="preserve"> should be considered for </w:t>
      </w:r>
      <w:r w:rsidR="00D14F46">
        <w:rPr>
          <w:rFonts w:eastAsia="HiddenHorzOCR"/>
          <w:color w:val="auto"/>
          <w:szCs w:val="24"/>
        </w:rPr>
        <w:t>degenerative disc disease, cervical spine</w:t>
      </w:r>
      <w:r w:rsidR="00D14F46" w:rsidRPr="00EC337D">
        <w:rPr>
          <w:rFonts w:eastAsia="HiddenHorzOCR"/>
          <w:color w:val="auto"/>
          <w:szCs w:val="24"/>
        </w:rPr>
        <w:t xml:space="preserve">. </w:t>
      </w:r>
      <w:r w:rsidR="00D14F46">
        <w:rPr>
          <w:rFonts w:eastAsia="HiddenHorzOCR"/>
          <w:color w:val="auto"/>
          <w:szCs w:val="24"/>
        </w:rPr>
        <w:t xml:space="preserve"> This condition</w:t>
      </w:r>
      <w:r w:rsidR="00D14F46" w:rsidRPr="00766776">
        <w:rPr>
          <w:rFonts w:eastAsia="HiddenHorzOCR"/>
          <w:color w:val="auto"/>
          <w:szCs w:val="24"/>
        </w:rPr>
        <w:t xml:space="preserve"> was noted in the VA rating </w:t>
      </w:r>
      <w:r w:rsidR="006C589A">
        <w:rPr>
          <w:rFonts w:eastAsia="HiddenHorzOCR"/>
          <w:color w:val="auto"/>
          <w:szCs w:val="24"/>
        </w:rPr>
        <w:t>decision proximal to separation</w:t>
      </w:r>
      <w:r w:rsidR="00532BE9">
        <w:rPr>
          <w:rFonts w:eastAsia="HiddenHorzOCR"/>
          <w:color w:val="auto"/>
          <w:szCs w:val="24"/>
        </w:rPr>
        <w:t>,</w:t>
      </w:r>
      <w:r w:rsidR="00D14F46" w:rsidRPr="00766776">
        <w:rPr>
          <w:rFonts w:eastAsia="HiddenHorzOCR"/>
          <w:color w:val="auto"/>
          <w:szCs w:val="24"/>
        </w:rPr>
        <w:t xml:space="preserve"> </w:t>
      </w:r>
      <w:r w:rsidR="00FA4BF5">
        <w:rPr>
          <w:rFonts w:eastAsia="HiddenHorzOCR"/>
          <w:color w:val="auto"/>
          <w:szCs w:val="24"/>
        </w:rPr>
        <w:t xml:space="preserve">and although </w:t>
      </w:r>
      <w:r w:rsidR="006C589A">
        <w:rPr>
          <w:rFonts w:eastAsia="HiddenHorzOCR"/>
          <w:color w:val="auto"/>
          <w:szCs w:val="24"/>
        </w:rPr>
        <w:t>discoverable</w:t>
      </w:r>
      <w:r w:rsidR="00FA4BF5">
        <w:rPr>
          <w:rFonts w:eastAsia="HiddenHorzOCR"/>
          <w:color w:val="auto"/>
          <w:szCs w:val="24"/>
        </w:rPr>
        <w:t xml:space="preserve"> in the service treatment record</w:t>
      </w:r>
      <w:r w:rsidR="006C589A">
        <w:rPr>
          <w:rFonts w:eastAsia="HiddenHorzOCR"/>
          <w:color w:val="auto"/>
          <w:szCs w:val="24"/>
        </w:rPr>
        <w:t>s,</w:t>
      </w:r>
      <w:r w:rsidR="00D14F46" w:rsidRPr="00766776">
        <w:rPr>
          <w:rFonts w:eastAsia="HiddenHorzOCR"/>
          <w:color w:val="auto"/>
          <w:szCs w:val="24"/>
        </w:rPr>
        <w:t xml:space="preserve"> </w:t>
      </w:r>
      <w:r w:rsidR="006C589A">
        <w:rPr>
          <w:rFonts w:eastAsia="HiddenHorzOCR"/>
          <w:color w:val="auto"/>
          <w:szCs w:val="24"/>
        </w:rPr>
        <w:t xml:space="preserve">it </w:t>
      </w:r>
      <w:r w:rsidR="00D14F46" w:rsidRPr="00766776">
        <w:rPr>
          <w:rFonts w:eastAsia="HiddenHorzOCR"/>
          <w:color w:val="auto"/>
          <w:szCs w:val="24"/>
        </w:rPr>
        <w:t xml:space="preserve">was not documented in the </w:t>
      </w:r>
      <w:r w:rsidR="006C589A">
        <w:rPr>
          <w:rFonts w:eastAsia="HiddenHorzOCR"/>
          <w:color w:val="auto"/>
          <w:szCs w:val="24"/>
        </w:rPr>
        <w:t xml:space="preserve">core </w:t>
      </w:r>
      <w:r w:rsidR="00D14F46" w:rsidRPr="00766776">
        <w:rPr>
          <w:rFonts w:eastAsia="HiddenHorzOCR"/>
          <w:color w:val="auto"/>
          <w:szCs w:val="24"/>
        </w:rPr>
        <w:t xml:space="preserve">DES file.  </w:t>
      </w:r>
      <w:r w:rsidR="006C589A" w:rsidRPr="0047685C">
        <w:rPr>
          <w:rFonts w:asciiTheme="minorHAnsi" w:hAnsiTheme="minorHAnsi"/>
          <w:color w:val="auto"/>
          <w:szCs w:val="24"/>
        </w:rPr>
        <w:t>By policy and precedent</w:t>
      </w:r>
      <w:r w:rsidR="00532BE9">
        <w:rPr>
          <w:rFonts w:asciiTheme="minorHAnsi" w:hAnsiTheme="minorHAnsi"/>
          <w:color w:val="auto"/>
          <w:szCs w:val="24"/>
        </w:rPr>
        <w:t>,</w:t>
      </w:r>
      <w:r w:rsidR="006C589A" w:rsidRPr="0047685C">
        <w:rPr>
          <w:rFonts w:asciiTheme="minorHAnsi" w:hAnsiTheme="minorHAnsi"/>
          <w:color w:val="auto"/>
          <w:szCs w:val="24"/>
        </w:rPr>
        <w:t xml:space="preserve"> the Board has limited its jurisdiction for recommending unadjudicated conditions as unfitting and subject to additional separation rating to those conditions which are evidenced in the core DES file. </w:t>
      </w:r>
      <w:r w:rsidR="006C589A">
        <w:rPr>
          <w:rFonts w:asciiTheme="minorHAnsi" w:hAnsiTheme="minorHAnsi"/>
          <w:color w:val="auto"/>
          <w:szCs w:val="24"/>
        </w:rPr>
        <w:t xml:space="preserve"> </w:t>
      </w:r>
      <w:r w:rsidR="006C589A" w:rsidRPr="0047685C">
        <w:rPr>
          <w:rFonts w:asciiTheme="minorHAnsi" w:hAnsiTheme="minorHAnsi"/>
          <w:color w:val="auto"/>
          <w:szCs w:val="24"/>
        </w:rPr>
        <w:t xml:space="preserve">The </w:t>
      </w:r>
      <w:r w:rsidR="006C589A" w:rsidRPr="0047685C">
        <w:rPr>
          <w:rFonts w:asciiTheme="minorHAnsi" w:hAnsiTheme="minorHAnsi"/>
          <w:color w:val="auto"/>
          <w:szCs w:val="24"/>
        </w:rPr>
        <w:lastRenderedPageBreak/>
        <w:t xml:space="preserve">core DES file consists of the MEB referral document, the PEB adjudication document, the </w:t>
      </w:r>
      <w:r w:rsidR="00532BE9">
        <w:rPr>
          <w:rFonts w:asciiTheme="minorHAnsi" w:hAnsiTheme="minorHAnsi"/>
          <w:color w:val="auto"/>
          <w:szCs w:val="24"/>
        </w:rPr>
        <w:t>narrative summary</w:t>
      </w:r>
      <w:r w:rsidR="006C589A" w:rsidRPr="0047685C">
        <w:rPr>
          <w:rFonts w:asciiTheme="minorHAnsi" w:hAnsiTheme="minorHAnsi"/>
          <w:color w:val="auto"/>
          <w:szCs w:val="24"/>
        </w:rPr>
        <w:t xml:space="preserve"> (including any addendums or referenced examinations), the MEB physical exam, the commander’s statement, the physical profiles, and any written appeals or internal DES correspondence. </w:t>
      </w:r>
      <w:r w:rsidR="006C589A">
        <w:rPr>
          <w:rFonts w:asciiTheme="minorHAnsi" w:hAnsiTheme="minorHAnsi"/>
          <w:color w:val="auto"/>
          <w:szCs w:val="24"/>
        </w:rPr>
        <w:t xml:space="preserve"> </w:t>
      </w:r>
      <w:r w:rsidR="006C589A" w:rsidRPr="0047685C">
        <w:rPr>
          <w:rFonts w:asciiTheme="minorHAnsi" w:hAnsiTheme="minorHAnsi"/>
          <w:color w:val="auto"/>
          <w:szCs w:val="24"/>
        </w:rPr>
        <w:t xml:space="preserve">Contended conditions which are not eligible for Board recommendations on this basis remain eligible for submission to </w:t>
      </w:r>
      <w:r w:rsidR="006C589A" w:rsidRPr="00530F0D">
        <w:rPr>
          <w:rFonts w:asciiTheme="minorHAnsi" w:hAnsiTheme="minorHAnsi"/>
          <w:color w:val="auto"/>
          <w:szCs w:val="24"/>
        </w:rPr>
        <w:t>the Air Force Board for Corrections of Military Records.</w:t>
      </w:r>
    </w:p>
    <w:p w:rsidR="006C589A" w:rsidRDefault="006C589A" w:rsidP="00FA4BF5">
      <w:pPr>
        <w:spacing w:line="240" w:lineRule="exact"/>
        <w:jc w:val="both"/>
        <w:rPr>
          <w:rFonts w:asciiTheme="minorHAnsi" w:hAnsiTheme="minorHAnsi"/>
          <w:color w:val="auto"/>
          <w:szCs w:val="24"/>
          <w:u w:val="single"/>
        </w:rPr>
      </w:pPr>
    </w:p>
    <w:p w:rsidR="00F1737C" w:rsidRPr="002058FE" w:rsidRDefault="00664296" w:rsidP="00FA4BF5">
      <w:pPr>
        <w:spacing w:line="240" w:lineRule="exact"/>
        <w:jc w:val="both"/>
        <w:rPr>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w:t>
      </w:r>
      <w:r w:rsidR="002058FE">
        <w:rPr>
          <w:color w:val="auto"/>
          <w:szCs w:val="24"/>
        </w:rPr>
        <w:t>Right ankle pain</w:t>
      </w:r>
      <w:r w:rsidR="00FA4BF5">
        <w:rPr>
          <w:color w:val="auto"/>
          <w:szCs w:val="24"/>
        </w:rPr>
        <w:t>,</w:t>
      </w:r>
      <w:r w:rsidR="002058FE">
        <w:rPr>
          <w:color w:val="auto"/>
          <w:szCs w:val="24"/>
        </w:rPr>
        <w:t xml:space="preserve"> </w:t>
      </w:r>
      <w:r w:rsidR="00FA4BF5">
        <w:rPr>
          <w:color w:val="auto"/>
          <w:szCs w:val="24"/>
        </w:rPr>
        <w:t>c</w:t>
      </w:r>
      <w:r w:rsidR="002058FE">
        <w:rPr>
          <w:color w:val="auto"/>
          <w:szCs w:val="24"/>
        </w:rPr>
        <w:t xml:space="preserve">hest pain </w:t>
      </w:r>
      <w:r w:rsidR="00FA4BF5">
        <w:rPr>
          <w:color w:val="auto"/>
          <w:szCs w:val="24"/>
        </w:rPr>
        <w:t>and s</w:t>
      </w:r>
      <w:r w:rsidR="00FA4BF5" w:rsidRPr="00EC337D">
        <w:rPr>
          <w:color w:val="auto"/>
          <w:szCs w:val="24"/>
        </w:rPr>
        <w:t xml:space="preserve">everal additional non-acute conditions or medical complaints </w:t>
      </w:r>
      <w:r w:rsidR="002058FE">
        <w:rPr>
          <w:color w:val="auto"/>
          <w:szCs w:val="24"/>
        </w:rPr>
        <w:t>were identified in the DES file.</w:t>
      </w:r>
      <w:r w:rsidR="00D14F46" w:rsidRPr="00EC337D">
        <w:rPr>
          <w:color w:val="auto"/>
          <w:szCs w:val="24"/>
        </w:rPr>
        <w:t xml:space="preserve">  </w:t>
      </w:r>
      <w:r w:rsidR="00FA4BF5" w:rsidRPr="00FA4BF5">
        <w:rPr>
          <w:color w:val="auto"/>
          <w:szCs w:val="24"/>
        </w:rPr>
        <w:t>None of these conditions were significantly clinically or occupational</w:t>
      </w:r>
      <w:r w:rsidR="006C589A">
        <w:rPr>
          <w:color w:val="auto"/>
          <w:szCs w:val="24"/>
        </w:rPr>
        <w:t>ly active during the MEB period</w:t>
      </w:r>
      <w:r w:rsidR="00532BE9">
        <w:rPr>
          <w:color w:val="auto"/>
          <w:szCs w:val="24"/>
        </w:rPr>
        <w:t>,</w:t>
      </w:r>
      <w:r w:rsidR="00FA4BF5" w:rsidRPr="00FA4BF5">
        <w:rPr>
          <w:color w:val="auto"/>
          <w:szCs w:val="24"/>
        </w:rPr>
        <w:t xml:space="preserve"> none carried att</w:t>
      </w:r>
      <w:r w:rsidR="006C589A">
        <w:rPr>
          <w:color w:val="auto"/>
          <w:szCs w:val="24"/>
        </w:rPr>
        <w:t>ached profiles</w:t>
      </w:r>
      <w:r w:rsidR="00532BE9">
        <w:rPr>
          <w:color w:val="auto"/>
          <w:szCs w:val="24"/>
        </w:rPr>
        <w:t>,</w:t>
      </w:r>
      <w:r w:rsidR="00FA4BF5" w:rsidRPr="00FA4BF5">
        <w:rPr>
          <w:color w:val="auto"/>
          <w:szCs w:val="24"/>
        </w:rPr>
        <w:t xml:space="preserve"> and</w:t>
      </w:r>
      <w:r w:rsidR="006C589A">
        <w:rPr>
          <w:color w:val="auto"/>
          <w:szCs w:val="24"/>
        </w:rPr>
        <w:t xml:space="preserve"> none were implicated in the </w:t>
      </w:r>
      <w:r w:rsidR="00532BE9">
        <w:rPr>
          <w:color w:val="auto"/>
          <w:szCs w:val="24"/>
        </w:rPr>
        <w:t>c</w:t>
      </w:r>
      <w:r w:rsidR="00FA4BF5" w:rsidRPr="00FA4BF5">
        <w:rPr>
          <w:color w:val="auto"/>
          <w:szCs w:val="24"/>
        </w:rPr>
        <w:t xml:space="preserve">ommander’s statement.   </w:t>
      </w:r>
      <w:r w:rsidR="00D14F46" w:rsidRPr="00EC337D">
        <w:rPr>
          <w:color w:val="auto"/>
          <w:szCs w:val="24"/>
        </w:rPr>
        <w:t xml:space="preserve">These conditions were reviewed by the </w:t>
      </w:r>
      <w:r w:rsidR="00532BE9" w:rsidRPr="00EC337D">
        <w:rPr>
          <w:color w:val="auto"/>
          <w:szCs w:val="24"/>
        </w:rPr>
        <w:t xml:space="preserve">action officer </w:t>
      </w:r>
      <w:r w:rsidR="00D14F46" w:rsidRPr="00EC337D">
        <w:rPr>
          <w:color w:val="auto"/>
          <w:szCs w:val="24"/>
        </w:rPr>
        <w:t>and considered by the Board.  It was determined that none could be argued as unfitting and</w:t>
      </w:r>
      <w:r w:rsidR="002058FE">
        <w:rPr>
          <w:color w:val="auto"/>
          <w:szCs w:val="24"/>
        </w:rPr>
        <w:t xml:space="preserve"> subject to separation rating. </w:t>
      </w:r>
      <w:r w:rsidR="00FA4BF5">
        <w:rPr>
          <w:color w:val="auto"/>
          <w:szCs w:val="24"/>
        </w:rPr>
        <w:t xml:space="preserve"> </w:t>
      </w:r>
      <w:r w:rsidR="00FA4BF5" w:rsidRPr="00FA4BF5">
        <w:rPr>
          <w:color w:val="auto"/>
          <w:szCs w:val="24"/>
        </w:rPr>
        <w:t xml:space="preserve">No other conditions were service connected with a compensable rating by the VA within </w:t>
      </w:r>
      <w:r w:rsidR="00532BE9">
        <w:rPr>
          <w:color w:val="auto"/>
          <w:szCs w:val="24"/>
        </w:rPr>
        <w:t>12</w:t>
      </w:r>
      <w:r w:rsidR="00FA4BF5" w:rsidRPr="00FA4BF5">
        <w:rPr>
          <w:color w:val="auto"/>
          <w:szCs w:val="24"/>
        </w:rPr>
        <w:t xml:space="preserve"> months of separation or contended by the CI.  The Board therefore has no reasonable basis for recommending any additional unfitting conditions for separation rating.</w:t>
      </w:r>
    </w:p>
    <w:p w:rsidR="00F1737C" w:rsidRPr="00391858" w:rsidRDefault="00F1737C" w:rsidP="00FA4BF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A4BF5">
      <w:pPr>
        <w:spacing w:line="240" w:lineRule="exact"/>
        <w:jc w:val="both"/>
        <w:rPr>
          <w:rFonts w:asciiTheme="minorHAnsi" w:hAnsiTheme="minorHAnsi"/>
          <w:b/>
          <w:color w:val="auto"/>
          <w:szCs w:val="24"/>
          <w:u w:val="single"/>
        </w:rPr>
      </w:pPr>
    </w:p>
    <w:p w:rsidR="00664296" w:rsidRDefault="00C56FC8" w:rsidP="00FA4BF5">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w:t>
      </w:r>
      <w:r w:rsidRPr="00135F8B">
        <w:rPr>
          <w:rFonts w:asciiTheme="minorHAnsi" w:eastAsiaTheme="minorHAnsi" w:hAnsiTheme="minorHAnsi"/>
          <w:color w:val="auto"/>
          <w:szCs w:val="24"/>
        </w:rPr>
        <w:t xml:space="preserve">IAW DoDI 6040.44, provisions of DoD or Military Department regulations or guidelines relied upon by the </w:t>
      </w:r>
      <w:r w:rsidR="003D521B" w:rsidRPr="00135F8B">
        <w:rPr>
          <w:rFonts w:asciiTheme="minorHAnsi" w:eastAsiaTheme="minorHAnsi" w:hAnsiTheme="minorHAnsi"/>
          <w:color w:val="auto"/>
          <w:szCs w:val="24"/>
        </w:rPr>
        <w:t>F</w:t>
      </w:r>
      <w:r w:rsidRPr="00135F8B">
        <w:rPr>
          <w:rFonts w:asciiTheme="minorHAnsi" w:eastAsiaTheme="minorHAnsi" w:hAnsiTheme="minorHAnsi"/>
          <w:color w:val="auto"/>
          <w:szCs w:val="24"/>
        </w:rPr>
        <w:t>PEB will not be considered by the Board to the extent they were inconsistent with the VASRD in effect at the time of the adjudication.</w:t>
      </w:r>
      <w:r w:rsidR="00664296" w:rsidRPr="00135F8B">
        <w:rPr>
          <w:rFonts w:asciiTheme="minorHAnsi" w:eastAsiaTheme="minorHAnsi" w:hAnsiTheme="minorHAnsi"/>
          <w:color w:val="auto"/>
          <w:szCs w:val="24"/>
        </w:rPr>
        <w:t xml:space="preserve">  The Board did not surmise from the record or </w:t>
      </w:r>
      <w:r w:rsidR="003D521B" w:rsidRPr="00135F8B">
        <w:rPr>
          <w:rFonts w:asciiTheme="minorHAnsi" w:eastAsiaTheme="minorHAnsi" w:hAnsiTheme="minorHAnsi"/>
          <w:color w:val="auto"/>
          <w:szCs w:val="24"/>
        </w:rPr>
        <w:t>F</w:t>
      </w:r>
      <w:r w:rsidR="00664296" w:rsidRPr="00135F8B">
        <w:rPr>
          <w:rFonts w:asciiTheme="minorHAnsi" w:eastAsiaTheme="minorHAnsi" w:hAnsiTheme="minorHAnsi"/>
          <w:color w:val="auto"/>
          <w:szCs w:val="24"/>
        </w:rPr>
        <w:t>PEB ruling in this case that any prerogatives outside the VASRD were exercised.</w:t>
      </w:r>
      <w:r w:rsidR="00664296" w:rsidRPr="00135F8B">
        <w:rPr>
          <w:rFonts w:asciiTheme="minorHAnsi" w:eastAsiaTheme="minorHAnsi" w:hAnsiTheme="minorHAnsi"/>
          <w:color w:val="FF0000"/>
          <w:szCs w:val="24"/>
        </w:rPr>
        <w:t xml:space="preserve">  </w:t>
      </w:r>
      <w:r w:rsidR="00664296" w:rsidRPr="00135F8B">
        <w:rPr>
          <w:rFonts w:asciiTheme="minorHAnsi" w:eastAsiaTheme="minorHAnsi" w:hAnsiTheme="minorHAnsi"/>
          <w:color w:val="auto"/>
          <w:szCs w:val="24"/>
        </w:rPr>
        <w:t xml:space="preserve">In the matter of </w:t>
      </w:r>
      <w:r w:rsidR="002058FE" w:rsidRPr="00135F8B">
        <w:rPr>
          <w:rFonts w:asciiTheme="minorHAnsi" w:eastAsiaTheme="minorHAnsi" w:hAnsiTheme="minorHAnsi"/>
          <w:color w:val="auto"/>
          <w:szCs w:val="24"/>
        </w:rPr>
        <w:t>the low back condition</w:t>
      </w:r>
      <w:r w:rsidR="00664296" w:rsidRPr="00135F8B">
        <w:rPr>
          <w:rFonts w:asciiTheme="minorHAnsi" w:eastAsiaTheme="minorHAnsi" w:hAnsiTheme="minorHAnsi"/>
          <w:color w:val="auto"/>
          <w:szCs w:val="24"/>
        </w:rPr>
        <w:t xml:space="preserve"> and </w:t>
      </w:r>
      <w:r w:rsidR="00664296" w:rsidRPr="00135F8B">
        <w:rPr>
          <w:rFonts w:asciiTheme="minorHAnsi" w:hAnsiTheme="minorHAnsi"/>
          <w:color w:val="auto"/>
          <w:szCs w:val="24"/>
        </w:rPr>
        <w:t>IAW VASRD §4.71a</w:t>
      </w:r>
      <w:r w:rsidR="00664296" w:rsidRPr="00135F8B">
        <w:rPr>
          <w:rFonts w:asciiTheme="minorHAnsi" w:eastAsiaTheme="minorHAnsi" w:hAnsiTheme="minorHAnsi"/>
          <w:color w:val="auto"/>
          <w:szCs w:val="24"/>
        </w:rPr>
        <w:t xml:space="preserve">, the Board unanimously recommends </w:t>
      </w:r>
      <w:r w:rsidR="001465D9" w:rsidRPr="00135F8B">
        <w:rPr>
          <w:rFonts w:asciiTheme="minorHAnsi" w:eastAsiaTheme="minorHAnsi" w:hAnsiTheme="minorHAnsi"/>
          <w:color w:val="auto"/>
          <w:szCs w:val="24"/>
        </w:rPr>
        <w:t>no change in the PEB adjudication</w:t>
      </w:r>
      <w:r w:rsidR="003D521B" w:rsidRPr="00135F8B">
        <w:rPr>
          <w:rFonts w:asciiTheme="minorHAnsi" w:hAnsiTheme="minorHAnsi"/>
          <w:color w:val="auto"/>
          <w:szCs w:val="24"/>
        </w:rPr>
        <w:t>.</w:t>
      </w:r>
      <w:r w:rsidR="00664296" w:rsidRPr="00135F8B">
        <w:rPr>
          <w:rFonts w:asciiTheme="minorHAnsi" w:hAnsiTheme="minorHAnsi"/>
          <w:color w:val="auto"/>
          <w:szCs w:val="24"/>
        </w:rPr>
        <w:t xml:space="preserve">  </w:t>
      </w:r>
      <w:r w:rsidR="001465D9" w:rsidRPr="00135F8B">
        <w:rPr>
          <w:rFonts w:asciiTheme="minorHAnsi" w:hAnsiTheme="minorHAnsi"/>
          <w:color w:val="auto"/>
          <w:szCs w:val="24"/>
        </w:rPr>
        <w:t>The Board unanimously agrees that there were no other conditions eligible for Board</w:t>
      </w:r>
      <w:r w:rsidR="001465D9" w:rsidRPr="001465D9">
        <w:rPr>
          <w:rFonts w:asciiTheme="minorHAnsi" w:hAnsiTheme="minorHAnsi"/>
          <w:color w:val="auto"/>
          <w:szCs w:val="24"/>
        </w:rPr>
        <w:t xml:space="preserve"> consideration which could be recommended as additionally unfitting for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6B4AA2" w:rsidRDefault="00C56FC8" w:rsidP="00532BE9">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A4BF5">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no recharacterization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6B4AA2"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0"/>
        <w:gridCol w:w="1530"/>
        <w:gridCol w:w="1080"/>
      </w:tblGrid>
      <w:tr w:rsidR="00A95BBA" w:rsidRPr="00AF01B2" w:rsidTr="001465D9">
        <w:trPr>
          <w:trHeight w:val="233"/>
          <w:jc w:val="center"/>
        </w:trPr>
        <w:tc>
          <w:tcPr>
            <w:tcW w:w="675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53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465D9">
        <w:trPr>
          <w:jc w:val="center"/>
        </w:trPr>
        <w:tc>
          <w:tcPr>
            <w:tcW w:w="6750" w:type="dxa"/>
            <w:vAlign w:val="center"/>
          </w:tcPr>
          <w:p w:rsidR="00A95BBA" w:rsidRPr="00AF01B2" w:rsidRDefault="001465D9"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3D521B" w:rsidRPr="00FA4BF5">
              <w:rPr>
                <w:rFonts w:asciiTheme="minorHAnsi" w:hAnsiTheme="minorHAnsi"/>
                <w:color w:val="auto"/>
                <w:szCs w:val="24"/>
              </w:rPr>
              <w:t>Low Back Pain</w:t>
            </w:r>
          </w:p>
        </w:tc>
        <w:tc>
          <w:tcPr>
            <w:tcW w:w="1530" w:type="dxa"/>
            <w:vAlign w:val="center"/>
          </w:tcPr>
          <w:p w:rsidR="00A95BBA" w:rsidRPr="00AF01B2" w:rsidRDefault="003D521B" w:rsidP="00FA4BF5">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w:t>
            </w:r>
            <w:r w:rsidR="00FA4BF5">
              <w:rPr>
                <w:rFonts w:asciiTheme="minorHAnsi" w:hAnsiTheme="minorHAnsi"/>
                <w:color w:val="auto"/>
                <w:szCs w:val="24"/>
              </w:rPr>
              <w:t>37</w:t>
            </w:r>
          </w:p>
        </w:tc>
        <w:tc>
          <w:tcPr>
            <w:tcW w:w="1080" w:type="dxa"/>
            <w:vAlign w:val="center"/>
          </w:tcPr>
          <w:p w:rsidR="00A95BBA" w:rsidRPr="00AF01B2" w:rsidRDefault="003D521B" w:rsidP="003D521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465D9">
        <w:tblPrEx>
          <w:tblLook w:val="0000"/>
        </w:tblPrEx>
        <w:trPr>
          <w:gridBefore w:val="1"/>
          <w:wBefore w:w="675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AF01B2" w:rsidRDefault="003D521B"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F53670" w:rsidRPr="00135F8B" w:rsidRDefault="00F53670" w:rsidP="000D1CF4">
      <w:pPr>
        <w:tabs>
          <w:tab w:val="left" w:pos="288"/>
          <w:tab w:val="left" w:pos="1710"/>
        </w:tabs>
        <w:spacing w:line="240" w:lineRule="exact"/>
        <w:jc w:val="both"/>
        <w:rPr>
          <w:rFonts w:asciiTheme="minorHAnsi" w:hAnsiTheme="minorHAnsi"/>
          <w:color w:val="auto"/>
          <w:szCs w:val="24"/>
        </w:rPr>
      </w:pPr>
    </w:p>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3D521B" w:rsidRPr="003D521B" w:rsidRDefault="003D521B" w:rsidP="003D521B">
      <w:pPr>
        <w:tabs>
          <w:tab w:val="left" w:pos="288"/>
          <w:tab w:val="left" w:pos="4752"/>
        </w:tabs>
        <w:spacing w:line="240" w:lineRule="exact"/>
        <w:jc w:val="both"/>
        <w:rPr>
          <w:rFonts w:asciiTheme="minorHAnsi" w:hAnsiTheme="minorHAnsi"/>
          <w:color w:val="auto"/>
        </w:rPr>
      </w:pPr>
      <w:r w:rsidRPr="003D521B">
        <w:rPr>
          <w:rFonts w:asciiTheme="minorHAnsi" w:hAnsiTheme="minorHAnsi"/>
          <w:color w:val="auto"/>
        </w:rPr>
        <w:t xml:space="preserve">Exhibit A.  DD Form </w:t>
      </w:r>
      <w:proofErr w:type="gramStart"/>
      <w:r w:rsidRPr="003D521B">
        <w:rPr>
          <w:rFonts w:asciiTheme="minorHAnsi" w:hAnsiTheme="minorHAnsi"/>
          <w:color w:val="auto"/>
        </w:rPr>
        <w:t>294,</w:t>
      </w:r>
      <w:proofErr w:type="gramEnd"/>
      <w:r w:rsidRPr="003D521B">
        <w:rPr>
          <w:rFonts w:asciiTheme="minorHAnsi" w:hAnsiTheme="minorHAnsi"/>
          <w:color w:val="auto"/>
        </w:rPr>
        <w:t xml:space="preserve"> dated 20110114, w/atchs.</w:t>
      </w:r>
    </w:p>
    <w:p w:rsidR="003D521B" w:rsidRPr="003D521B" w:rsidRDefault="003D521B" w:rsidP="003D521B">
      <w:pPr>
        <w:tabs>
          <w:tab w:val="left" w:pos="288"/>
          <w:tab w:val="left" w:pos="4752"/>
        </w:tabs>
        <w:spacing w:line="240" w:lineRule="exact"/>
        <w:jc w:val="both"/>
        <w:rPr>
          <w:rFonts w:asciiTheme="minorHAnsi" w:hAnsiTheme="minorHAnsi"/>
          <w:color w:val="auto"/>
        </w:rPr>
      </w:pPr>
      <w:r w:rsidRPr="003D521B">
        <w:rPr>
          <w:rFonts w:asciiTheme="minorHAnsi" w:hAnsiTheme="minorHAnsi"/>
          <w:color w:val="auto"/>
        </w:rPr>
        <w:t xml:space="preserve">Exhibit B.  </w:t>
      </w:r>
      <w:proofErr w:type="gramStart"/>
      <w:r w:rsidRPr="003D521B">
        <w:rPr>
          <w:rFonts w:asciiTheme="minorHAnsi" w:hAnsiTheme="minorHAnsi"/>
          <w:color w:val="auto"/>
        </w:rPr>
        <w:t>Service Treatment Record.</w:t>
      </w:r>
      <w:proofErr w:type="gramEnd"/>
    </w:p>
    <w:p w:rsidR="00114F20" w:rsidRPr="00006186" w:rsidRDefault="003D521B" w:rsidP="003D521B">
      <w:pPr>
        <w:tabs>
          <w:tab w:val="left" w:pos="288"/>
          <w:tab w:val="left" w:pos="4752"/>
        </w:tabs>
        <w:spacing w:line="240" w:lineRule="exact"/>
        <w:jc w:val="both"/>
        <w:rPr>
          <w:rFonts w:asciiTheme="minorHAnsi" w:hAnsiTheme="minorHAnsi"/>
          <w:color w:val="auto"/>
        </w:rPr>
      </w:pPr>
      <w:r w:rsidRPr="003D521B">
        <w:rPr>
          <w:rFonts w:asciiTheme="minorHAnsi" w:hAnsiTheme="minorHAnsi"/>
          <w:color w:val="auto"/>
        </w:rPr>
        <w:t xml:space="preserve">Exhibit C.  </w:t>
      </w:r>
      <w:proofErr w:type="gramStart"/>
      <w:r w:rsidRPr="003D521B">
        <w:rPr>
          <w:rFonts w:asciiTheme="minorHAnsi" w:hAnsiTheme="minorHAnsi"/>
          <w:color w:val="auto"/>
        </w:rPr>
        <w:t>Department of Veterans' Affairs Treatment Record</w:t>
      </w:r>
      <w:r w:rsidR="00FB1725">
        <w:rPr>
          <w:rFonts w:asciiTheme="minorHAnsi" w:hAnsiTheme="minorHAnsi"/>
          <w:color w:val="auto"/>
        </w:rPr>
        <w:t>.</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5F3E3A">
        <w:rPr>
          <w:rFonts w:asciiTheme="minorHAnsi" w:hAnsiTheme="minorHAnsi"/>
          <w:color w:val="auto"/>
        </w:rPr>
        <w:t>XXXXXXX</w:t>
      </w:r>
    </w:p>
    <w:p w:rsidR="005F3E3A" w:rsidRDefault="00DB06C0" w:rsidP="00B2479D">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5F3E3A" w:rsidRDefault="005F3E3A">
      <w:pPr>
        <w:rPr>
          <w:rFonts w:asciiTheme="minorHAnsi" w:hAnsiTheme="minorHAnsi"/>
          <w:color w:val="auto"/>
        </w:rPr>
      </w:pPr>
      <w:r>
        <w:rPr>
          <w:rFonts w:asciiTheme="minorHAnsi" w:hAnsiTheme="minorHAnsi"/>
          <w:color w:val="auto"/>
        </w:rPr>
        <w:br w:type="page"/>
      </w:r>
    </w:p>
    <w:p w:rsidR="005F3E3A" w:rsidRDefault="005F3E3A" w:rsidP="005F3E3A">
      <w:pPr>
        <w:tabs>
          <w:tab w:val="left" w:pos="576"/>
        </w:tabs>
        <w:spacing w:line="240" w:lineRule="exact"/>
        <w:ind w:right="-1080"/>
        <w:rPr>
          <w:rFonts w:ascii="Times New Roman" w:hAnsi="Times New Roman"/>
          <w:color w:val="000080"/>
        </w:rPr>
      </w:pPr>
      <w:r>
        <w:rPr>
          <w:rFonts w:ascii="Times New Roman" w:hAnsi="Times New Roman"/>
          <w:color w:val="000080"/>
        </w:rPr>
        <w:lastRenderedPageBreak/>
        <w:t>SAF/MRB</w:t>
      </w:r>
    </w:p>
    <w:p w:rsidR="005F3E3A" w:rsidRDefault="005F3E3A" w:rsidP="005F3E3A">
      <w:pPr>
        <w:tabs>
          <w:tab w:val="left" w:pos="576"/>
        </w:tabs>
        <w:spacing w:line="240" w:lineRule="exact"/>
        <w:ind w:right="-1080"/>
        <w:rPr>
          <w:rFonts w:ascii="Times New Roman" w:hAnsi="Times New Roman"/>
          <w:color w:val="000080"/>
        </w:rPr>
      </w:pPr>
      <w:r>
        <w:rPr>
          <w:rFonts w:ascii="Times New Roman" w:hAnsi="Times New Roman"/>
          <w:color w:val="000080"/>
        </w:rPr>
        <w:t>1500 West Perimeter Road, Suite 3700</w:t>
      </w:r>
    </w:p>
    <w:p w:rsidR="005F3E3A" w:rsidRDefault="005F3E3A" w:rsidP="005F3E3A">
      <w:pPr>
        <w:tabs>
          <w:tab w:val="left" w:pos="576"/>
        </w:tabs>
        <w:spacing w:line="240" w:lineRule="exact"/>
        <w:ind w:right="-1080"/>
        <w:rPr>
          <w:rFonts w:ascii="Times New Roman" w:hAnsi="Times New Roman"/>
          <w:color w:val="000080"/>
        </w:rPr>
      </w:pPr>
      <w:r>
        <w:rPr>
          <w:rFonts w:ascii="Times New Roman" w:hAnsi="Times New Roman"/>
          <w:color w:val="000080"/>
        </w:rPr>
        <w:t>Joint Base Andrews MD  20762</w:t>
      </w:r>
    </w:p>
    <w:p w:rsidR="005F3E3A" w:rsidRDefault="005F3E3A" w:rsidP="005F3E3A">
      <w:pPr>
        <w:tabs>
          <w:tab w:val="left" w:pos="576"/>
        </w:tabs>
        <w:spacing w:line="240" w:lineRule="exact"/>
        <w:ind w:right="-1080"/>
        <w:rPr>
          <w:rFonts w:ascii="Times New Roman" w:hAnsi="Times New Roman"/>
          <w:color w:val="000080"/>
        </w:rPr>
      </w:pPr>
    </w:p>
    <w:p w:rsidR="005F3E3A" w:rsidRDefault="005F3E3A" w:rsidP="005F3E3A">
      <w:pPr>
        <w:tabs>
          <w:tab w:val="left" w:pos="720"/>
        </w:tabs>
        <w:spacing w:line="240" w:lineRule="exact"/>
        <w:ind w:right="-1080"/>
        <w:rPr>
          <w:rFonts w:ascii="Times New Roman" w:hAnsi="Times New Roman"/>
          <w:color w:val="000080"/>
        </w:rPr>
      </w:pPr>
      <w:r>
        <w:rPr>
          <w:rFonts w:ascii="Times New Roman" w:hAnsi="Times New Roman"/>
          <w:color w:val="000080"/>
        </w:rPr>
        <w:t>Dear XXXXXXXXXXXX:</w:t>
      </w: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rPr>
          <w:rFonts w:ascii="Times New Roman" w:hAnsi="Times New Roman"/>
          <w:color w:val="000080"/>
        </w:rPr>
      </w:pPr>
      <w:r>
        <w:rPr>
          <w:rFonts w:ascii="Times New Roman" w:hAnsi="Times New Roman"/>
        </w:rPr>
        <w:tab/>
      </w:r>
      <w:r w:rsidRPr="005F3E3A">
        <w:rPr>
          <w:rFonts w:ascii="Times New Roman" w:hAnsi="Times New Roman"/>
          <w:color w:val="000080"/>
        </w:rPr>
        <w:t>Reference your application submitted under the provisions of DoDI 6040.44 (Section 1554, 10 USC), PDBR Case Number PD-2011-00342.</w:t>
      </w:r>
    </w:p>
    <w:p w:rsidR="005F3E3A" w:rsidRDefault="005F3E3A" w:rsidP="005F3E3A">
      <w:pPr>
        <w:tabs>
          <w:tab w:val="left" w:pos="720"/>
        </w:tabs>
        <w:spacing w:line="240" w:lineRule="exact"/>
        <w:rPr>
          <w:rFonts w:ascii="Times New Roman" w:hAnsi="Times New Roman"/>
          <w:color w:val="000080"/>
        </w:rPr>
      </w:pPr>
    </w:p>
    <w:p w:rsidR="005F3E3A" w:rsidRDefault="005F3E3A" w:rsidP="005F3E3A">
      <w:pPr>
        <w:tabs>
          <w:tab w:val="left" w:pos="720"/>
        </w:tabs>
        <w:spacing w:line="240" w:lineRule="exact"/>
        <w:rPr>
          <w:rFonts w:ascii="Times New Roman" w:hAnsi="Times New Roman"/>
          <w:color w:val="000080"/>
        </w:rPr>
      </w:pPr>
      <w:r w:rsidRPr="005F3E3A">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rPr>
          <w:rFonts w:ascii="Times New Roman" w:hAnsi="Times New Roman"/>
          <w:color w:val="000080"/>
        </w:rPr>
      </w:pPr>
      <w:r>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5F3E3A" w:rsidRDefault="005F3E3A" w:rsidP="005F3E3A">
      <w:pPr>
        <w:pStyle w:val="BodyText2"/>
        <w:rPr>
          <w:rFonts w:ascii="Times New Roman" w:hAnsi="Times New Roman"/>
          <w:color w:val="000080"/>
        </w:rPr>
      </w:pPr>
    </w:p>
    <w:p w:rsidR="005F3E3A" w:rsidRDefault="005F3E3A" w:rsidP="005F3E3A">
      <w:pPr>
        <w:tabs>
          <w:tab w:val="left" w:pos="720"/>
        </w:tabs>
        <w:spacing w:line="240" w:lineRule="exact"/>
        <w:ind w:right="-1080"/>
        <w:rPr>
          <w:rFonts w:ascii="Times New Roman" w:hAnsi="Times New Roman"/>
          <w:color w:val="000080"/>
        </w:rPr>
      </w:pP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r>
      <w:r>
        <w:rPr>
          <w:rFonts w:ascii="Times New Roman" w:hAnsi="Times New Roman"/>
          <w:color w:val="000080"/>
        </w:rPr>
        <w:tab/>
        <w:t>Sincerely,</w:t>
      </w: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ind w:right="-1080"/>
        <w:rPr>
          <w:rFonts w:ascii="Times New Roman" w:hAnsi="Times New Roman"/>
          <w:color w:val="000080"/>
        </w:rPr>
      </w:pPr>
    </w:p>
    <w:p w:rsidR="005F3E3A" w:rsidRDefault="005F3E3A" w:rsidP="005F3E3A">
      <w:pPr>
        <w:tabs>
          <w:tab w:val="left" w:pos="720"/>
        </w:tabs>
        <w:spacing w:line="240" w:lineRule="exact"/>
        <w:ind w:left="5040" w:right="-1080"/>
        <w:rPr>
          <w:rFonts w:ascii="Times New Roman" w:hAnsi="Times New Roman"/>
          <w:color w:val="000080"/>
        </w:rPr>
      </w:pPr>
      <w:r>
        <w:rPr>
          <w:rFonts w:ascii="Times New Roman" w:hAnsi="Times New Roman"/>
          <w:color w:val="000080"/>
        </w:rPr>
        <w:t>XXXXXX</w:t>
      </w:r>
    </w:p>
    <w:p w:rsidR="005F3E3A" w:rsidRDefault="005F3E3A" w:rsidP="005F3E3A">
      <w:pPr>
        <w:tabs>
          <w:tab w:val="left" w:pos="720"/>
        </w:tabs>
        <w:spacing w:line="240" w:lineRule="exact"/>
        <w:ind w:left="5040" w:right="-1080"/>
        <w:rPr>
          <w:rFonts w:ascii="Times New Roman" w:hAnsi="Times New Roman"/>
          <w:color w:val="000080"/>
        </w:rPr>
      </w:pPr>
      <w:r>
        <w:rPr>
          <w:rFonts w:ascii="Times New Roman" w:hAnsi="Times New Roman"/>
          <w:color w:val="000080"/>
        </w:rPr>
        <w:t>Director</w:t>
      </w:r>
    </w:p>
    <w:p w:rsidR="005F3E3A" w:rsidRDefault="005F3E3A" w:rsidP="005F3E3A">
      <w:pPr>
        <w:tabs>
          <w:tab w:val="left" w:pos="720"/>
        </w:tabs>
        <w:spacing w:line="240" w:lineRule="exact"/>
        <w:ind w:left="5040" w:right="-1080"/>
        <w:rPr>
          <w:rFonts w:ascii="Times New Roman" w:hAnsi="Times New Roman"/>
          <w:color w:val="000080"/>
        </w:rPr>
      </w:pPr>
      <w:r>
        <w:rPr>
          <w:rFonts w:ascii="Times New Roman" w:hAnsi="Times New Roman"/>
          <w:color w:val="000080"/>
        </w:rPr>
        <w:t>Air Force Review Boards Agency</w:t>
      </w:r>
    </w:p>
    <w:p w:rsidR="005F3E3A" w:rsidRDefault="005F3E3A" w:rsidP="005F3E3A">
      <w:pPr>
        <w:tabs>
          <w:tab w:val="left" w:pos="720"/>
        </w:tabs>
        <w:spacing w:line="240" w:lineRule="exact"/>
        <w:ind w:right="-1080"/>
        <w:rPr>
          <w:rFonts w:ascii="Times New Roman" w:hAnsi="Times New Roman"/>
          <w:color w:val="000080"/>
        </w:rPr>
      </w:pPr>
    </w:p>
    <w:p w:rsidR="001465D9" w:rsidRDefault="001465D9" w:rsidP="00B2479D">
      <w:pPr>
        <w:tabs>
          <w:tab w:val="left" w:pos="0"/>
          <w:tab w:val="left" w:pos="4320"/>
        </w:tabs>
        <w:spacing w:line="240" w:lineRule="exact"/>
        <w:jc w:val="both"/>
        <w:rPr>
          <w:rFonts w:asciiTheme="minorHAnsi" w:hAnsiTheme="minorHAnsi"/>
          <w:color w:val="auto"/>
        </w:rPr>
      </w:pPr>
    </w:p>
    <w:sectPr w:rsidR="001465D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8E4" w:rsidRDefault="00A578E4">
      <w:r>
        <w:separator/>
      </w:r>
    </w:p>
  </w:endnote>
  <w:endnote w:type="continuationSeparator" w:id="0">
    <w:p w:rsidR="00A578E4" w:rsidRDefault="00A578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A0AFA" w:rsidRPr="00684CE6" w:rsidRDefault="00D03AFB" w:rsidP="00F65ED5">
        <w:pPr>
          <w:pStyle w:val="Footer"/>
          <w:jc w:val="right"/>
          <w:rPr>
            <w:color w:val="auto"/>
          </w:rPr>
        </w:pPr>
        <w:r w:rsidRPr="00684CE6">
          <w:rPr>
            <w:color w:val="auto"/>
          </w:rPr>
          <w:fldChar w:fldCharType="begin"/>
        </w:r>
        <w:r w:rsidR="008A0AFA" w:rsidRPr="00684CE6">
          <w:rPr>
            <w:color w:val="auto"/>
          </w:rPr>
          <w:instrText xml:space="preserve"> PAGE   \* MERGEFORMAT </w:instrText>
        </w:r>
        <w:r w:rsidRPr="00684CE6">
          <w:rPr>
            <w:color w:val="auto"/>
          </w:rPr>
          <w:fldChar w:fldCharType="separate"/>
        </w:r>
        <w:r w:rsidR="005F3E3A">
          <w:rPr>
            <w:noProof/>
            <w:color w:val="auto"/>
          </w:rPr>
          <w:t>4</w:t>
        </w:r>
        <w:r w:rsidRPr="00684CE6">
          <w:rPr>
            <w:color w:val="auto"/>
          </w:rPr>
          <w:fldChar w:fldCharType="end"/>
        </w:r>
        <w:r w:rsidR="008A0AFA" w:rsidRPr="00684CE6">
          <w:rPr>
            <w:color w:val="auto"/>
          </w:rPr>
          <w:t xml:space="preserve">          </w:t>
        </w:r>
        <w:r w:rsidR="008A0AFA">
          <w:rPr>
            <w:color w:val="auto"/>
          </w:rPr>
          <w:t xml:space="preserve">          </w:t>
        </w:r>
        <w:r w:rsidR="008A0AFA" w:rsidRPr="00684CE6">
          <w:rPr>
            <w:color w:val="auto"/>
          </w:rPr>
          <w:t xml:space="preserve">                                                 </w:t>
        </w:r>
        <w:r w:rsidR="008A0AFA">
          <w:rPr>
            <w:caps/>
            <w:color w:val="auto"/>
          </w:rPr>
          <w:t>PD1100342</w:t>
        </w:r>
      </w:p>
    </w:sdtContent>
  </w:sdt>
  <w:p w:rsidR="008A0AFA" w:rsidRPr="00684CE6" w:rsidRDefault="008A0AF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8E4" w:rsidRDefault="00A578E4">
      <w:r>
        <w:separator/>
      </w:r>
    </w:p>
  </w:footnote>
  <w:footnote w:type="continuationSeparator" w:id="0">
    <w:p w:rsidR="00A578E4" w:rsidRDefault="00A57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781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0B8"/>
    <w:rsid w:val="00072433"/>
    <w:rsid w:val="0007488B"/>
    <w:rsid w:val="00075702"/>
    <w:rsid w:val="00075A0C"/>
    <w:rsid w:val="000775C2"/>
    <w:rsid w:val="000806AD"/>
    <w:rsid w:val="00080BDF"/>
    <w:rsid w:val="00082482"/>
    <w:rsid w:val="00084CF2"/>
    <w:rsid w:val="00085D7B"/>
    <w:rsid w:val="0008708B"/>
    <w:rsid w:val="00090491"/>
    <w:rsid w:val="00092619"/>
    <w:rsid w:val="00092C66"/>
    <w:rsid w:val="000933EC"/>
    <w:rsid w:val="000949DD"/>
    <w:rsid w:val="00094E4F"/>
    <w:rsid w:val="000A2BCE"/>
    <w:rsid w:val="000A33C8"/>
    <w:rsid w:val="000A41E3"/>
    <w:rsid w:val="000A4BBA"/>
    <w:rsid w:val="000A5071"/>
    <w:rsid w:val="000A76FB"/>
    <w:rsid w:val="000B0AD2"/>
    <w:rsid w:val="000B1022"/>
    <w:rsid w:val="000B1CE9"/>
    <w:rsid w:val="000B2FB8"/>
    <w:rsid w:val="000B4C99"/>
    <w:rsid w:val="000C06F6"/>
    <w:rsid w:val="000C1D34"/>
    <w:rsid w:val="000C2362"/>
    <w:rsid w:val="000C2FA8"/>
    <w:rsid w:val="000C3263"/>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5F8B"/>
    <w:rsid w:val="001364D1"/>
    <w:rsid w:val="001374C7"/>
    <w:rsid w:val="001421FD"/>
    <w:rsid w:val="001425C8"/>
    <w:rsid w:val="00142EBA"/>
    <w:rsid w:val="00143B79"/>
    <w:rsid w:val="00145965"/>
    <w:rsid w:val="001465D9"/>
    <w:rsid w:val="00147193"/>
    <w:rsid w:val="00150B8A"/>
    <w:rsid w:val="00150DCB"/>
    <w:rsid w:val="00151912"/>
    <w:rsid w:val="00153740"/>
    <w:rsid w:val="00153B3D"/>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1AB1"/>
    <w:rsid w:val="001C2053"/>
    <w:rsid w:val="001C252F"/>
    <w:rsid w:val="001C280C"/>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8FE"/>
    <w:rsid w:val="00205B4F"/>
    <w:rsid w:val="002060B6"/>
    <w:rsid w:val="002066B5"/>
    <w:rsid w:val="00206CD9"/>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7AA"/>
    <w:rsid w:val="00221B9B"/>
    <w:rsid w:val="00222268"/>
    <w:rsid w:val="00225080"/>
    <w:rsid w:val="00225196"/>
    <w:rsid w:val="00225CB4"/>
    <w:rsid w:val="00226B1A"/>
    <w:rsid w:val="00227C12"/>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6A2E"/>
    <w:rsid w:val="00287006"/>
    <w:rsid w:val="00292397"/>
    <w:rsid w:val="00292AB2"/>
    <w:rsid w:val="00293DB6"/>
    <w:rsid w:val="00293FE8"/>
    <w:rsid w:val="00294437"/>
    <w:rsid w:val="00297A45"/>
    <w:rsid w:val="00297E20"/>
    <w:rsid w:val="002A233F"/>
    <w:rsid w:val="002A3237"/>
    <w:rsid w:val="002A4119"/>
    <w:rsid w:val="002A4EFB"/>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185"/>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4EC5"/>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21B"/>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E6F26"/>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1756A"/>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048B"/>
    <w:rsid w:val="004426A4"/>
    <w:rsid w:val="00442E45"/>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2A93"/>
    <w:rsid w:val="004761CC"/>
    <w:rsid w:val="004766C9"/>
    <w:rsid w:val="0047685C"/>
    <w:rsid w:val="00480D4A"/>
    <w:rsid w:val="0048114C"/>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694"/>
    <w:rsid w:val="004F0C58"/>
    <w:rsid w:val="004F3222"/>
    <w:rsid w:val="004F3639"/>
    <w:rsid w:val="004F3BFA"/>
    <w:rsid w:val="004F4E3C"/>
    <w:rsid w:val="004F5A1A"/>
    <w:rsid w:val="004F77A3"/>
    <w:rsid w:val="005000AB"/>
    <w:rsid w:val="00500F3C"/>
    <w:rsid w:val="00501258"/>
    <w:rsid w:val="005025EE"/>
    <w:rsid w:val="00503DDF"/>
    <w:rsid w:val="005046D6"/>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2BE9"/>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4AFB"/>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484"/>
    <w:rsid w:val="005D3946"/>
    <w:rsid w:val="005D3ADD"/>
    <w:rsid w:val="005D4A74"/>
    <w:rsid w:val="005D5E91"/>
    <w:rsid w:val="005D67EF"/>
    <w:rsid w:val="005E3064"/>
    <w:rsid w:val="005E5224"/>
    <w:rsid w:val="005E6AEE"/>
    <w:rsid w:val="005E72B2"/>
    <w:rsid w:val="005F1115"/>
    <w:rsid w:val="005F1AB6"/>
    <w:rsid w:val="005F27F2"/>
    <w:rsid w:val="005F2B27"/>
    <w:rsid w:val="005F3567"/>
    <w:rsid w:val="005F3AFE"/>
    <w:rsid w:val="005F3E3A"/>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955"/>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589A"/>
    <w:rsid w:val="006C6AB1"/>
    <w:rsid w:val="006C6E6B"/>
    <w:rsid w:val="006D0FB1"/>
    <w:rsid w:val="006D145F"/>
    <w:rsid w:val="006D1D34"/>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5F01"/>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4423"/>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352C"/>
    <w:rsid w:val="007C433E"/>
    <w:rsid w:val="007C4452"/>
    <w:rsid w:val="007C4B3C"/>
    <w:rsid w:val="007C4DB1"/>
    <w:rsid w:val="007C6046"/>
    <w:rsid w:val="007C6F0C"/>
    <w:rsid w:val="007C7023"/>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9F3"/>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4A06"/>
    <w:rsid w:val="00896535"/>
    <w:rsid w:val="00896683"/>
    <w:rsid w:val="00896E71"/>
    <w:rsid w:val="0089750B"/>
    <w:rsid w:val="00897589"/>
    <w:rsid w:val="008A0AFA"/>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2496"/>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2058"/>
    <w:rsid w:val="00923B25"/>
    <w:rsid w:val="0092402E"/>
    <w:rsid w:val="009259BA"/>
    <w:rsid w:val="00926FCB"/>
    <w:rsid w:val="009303BB"/>
    <w:rsid w:val="0093108A"/>
    <w:rsid w:val="0093311A"/>
    <w:rsid w:val="009346D0"/>
    <w:rsid w:val="009419B4"/>
    <w:rsid w:val="00941A4C"/>
    <w:rsid w:val="00942645"/>
    <w:rsid w:val="009461E6"/>
    <w:rsid w:val="0094769D"/>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236E"/>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6488"/>
    <w:rsid w:val="009C72DD"/>
    <w:rsid w:val="009C78FD"/>
    <w:rsid w:val="009C7DF5"/>
    <w:rsid w:val="009D056C"/>
    <w:rsid w:val="009D060F"/>
    <w:rsid w:val="009D1ADE"/>
    <w:rsid w:val="009D3652"/>
    <w:rsid w:val="009D37CA"/>
    <w:rsid w:val="009D4229"/>
    <w:rsid w:val="009D4268"/>
    <w:rsid w:val="009E09D0"/>
    <w:rsid w:val="009E1283"/>
    <w:rsid w:val="009E37A3"/>
    <w:rsid w:val="009E3A7F"/>
    <w:rsid w:val="009E4C9B"/>
    <w:rsid w:val="009E4DFC"/>
    <w:rsid w:val="009E5789"/>
    <w:rsid w:val="009E57B1"/>
    <w:rsid w:val="009E6379"/>
    <w:rsid w:val="009F020F"/>
    <w:rsid w:val="009F3A37"/>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8E4"/>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4C14"/>
    <w:rsid w:val="00AA63EC"/>
    <w:rsid w:val="00AA73AF"/>
    <w:rsid w:val="00AB0A8A"/>
    <w:rsid w:val="00AB1754"/>
    <w:rsid w:val="00AB1F8D"/>
    <w:rsid w:val="00AB27DD"/>
    <w:rsid w:val="00AB35E3"/>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5BBB"/>
    <w:rsid w:val="00AF5DB4"/>
    <w:rsid w:val="00AF6ECC"/>
    <w:rsid w:val="00B022DC"/>
    <w:rsid w:val="00B04562"/>
    <w:rsid w:val="00B0472F"/>
    <w:rsid w:val="00B06930"/>
    <w:rsid w:val="00B06F1A"/>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79D"/>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1C"/>
    <w:rsid w:val="00B609F6"/>
    <w:rsid w:val="00B60E75"/>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760"/>
    <w:rsid w:val="00BB0A0A"/>
    <w:rsid w:val="00BB133C"/>
    <w:rsid w:val="00BB165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12C2"/>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31"/>
    <w:rsid w:val="00C42443"/>
    <w:rsid w:val="00C42CBA"/>
    <w:rsid w:val="00C4338C"/>
    <w:rsid w:val="00C43C2B"/>
    <w:rsid w:val="00C45B27"/>
    <w:rsid w:val="00C472C7"/>
    <w:rsid w:val="00C5019E"/>
    <w:rsid w:val="00C51962"/>
    <w:rsid w:val="00C51CB4"/>
    <w:rsid w:val="00C5377C"/>
    <w:rsid w:val="00C538E1"/>
    <w:rsid w:val="00C53E8A"/>
    <w:rsid w:val="00C54DF3"/>
    <w:rsid w:val="00C55E8C"/>
    <w:rsid w:val="00C560A7"/>
    <w:rsid w:val="00C56FC8"/>
    <w:rsid w:val="00C60F23"/>
    <w:rsid w:val="00C6170B"/>
    <w:rsid w:val="00C62EB2"/>
    <w:rsid w:val="00C64C87"/>
    <w:rsid w:val="00C665FE"/>
    <w:rsid w:val="00C71BEC"/>
    <w:rsid w:val="00C74D3A"/>
    <w:rsid w:val="00C75F3D"/>
    <w:rsid w:val="00C80511"/>
    <w:rsid w:val="00C80E40"/>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083"/>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34D2"/>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3AFB"/>
    <w:rsid w:val="00D05669"/>
    <w:rsid w:val="00D061EB"/>
    <w:rsid w:val="00D06952"/>
    <w:rsid w:val="00D07A72"/>
    <w:rsid w:val="00D10577"/>
    <w:rsid w:val="00D12405"/>
    <w:rsid w:val="00D12A4E"/>
    <w:rsid w:val="00D1323B"/>
    <w:rsid w:val="00D14BAE"/>
    <w:rsid w:val="00D14F46"/>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05AC0"/>
    <w:rsid w:val="00E1012B"/>
    <w:rsid w:val="00E103C8"/>
    <w:rsid w:val="00E1085B"/>
    <w:rsid w:val="00E1308B"/>
    <w:rsid w:val="00E14581"/>
    <w:rsid w:val="00E14623"/>
    <w:rsid w:val="00E154F1"/>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4D37"/>
    <w:rsid w:val="00E362D2"/>
    <w:rsid w:val="00E36D76"/>
    <w:rsid w:val="00E40478"/>
    <w:rsid w:val="00E405EA"/>
    <w:rsid w:val="00E408B7"/>
    <w:rsid w:val="00E41637"/>
    <w:rsid w:val="00E42789"/>
    <w:rsid w:val="00E43F59"/>
    <w:rsid w:val="00E464F0"/>
    <w:rsid w:val="00E46EF3"/>
    <w:rsid w:val="00E47370"/>
    <w:rsid w:val="00E473E9"/>
    <w:rsid w:val="00E47B47"/>
    <w:rsid w:val="00E5014E"/>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4CE5"/>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2DB4"/>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DE6"/>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3670"/>
    <w:rsid w:val="00F54C65"/>
    <w:rsid w:val="00F5580D"/>
    <w:rsid w:val="00F56EA1"/>
    <w:rsid w:val="00F57B75"/>
    <w:rsid w:val="00F606D5"/>
    <w:rsid w:val="00F611B3"/>
    <w:rsid w:val="00F6196E"/>
    <w:rsid w:val="00F624DD"/>
    <w:rsid w:val="00F629C0"/>
    <w:rsid w:val="00F63FC7"/>
    <w:rsid w:val="00F647B2"/>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8616B"/>
    <w:rsid w:val="00F908D5"/>
    <w:rsid w:val="00F913B9"/>
    <w:rsid w:val="00F93C74"/>
    <w:rsid w:val="00F93DCC"/>
    <w:rsid w:val="00F9435D"/>
    <w:rsid w:val="00F9642F"/>
    <w:rsid w:val="00F966F9"/>
    <w:rsid w:val="00F96F61"/>
    <w:rsid w:val="00F97740"/>
    <w:rsid w:val="00FA0C8F"/>
    <w:rsid w:val="00FA2DEF"/>
    <w:rsid w:val="00FA2F7B"/>
    <w:rsid w:val="00FA3C97"/>
    <w:rsid w:val="00FA3D30"/>
    <w:rsid w:val="00FA4B49"/>
    <w:rsid w:val="00FA4BF5"/>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BodyText2">
    <w:name w:val="Body Text 2"/>
    <w:basedOn w:val="Normal"/>
    <w:link w:val="BodyText2Char"/>
    <w:rsid w:val="005F3E3A"/>
    <w:pPr>
      <w:spacing w:after="120" w:line="480" w:lineRule="auto"/>
    </w:pPr>
  </w:style>
  <w:style w:type="character" w:customStyle="1" w:styleId="BodyText2Char">
    <w:name w:val="Body Text 2 Char"/>
    <w:basedOn w:val="DefaultParagraphFont"/>
    <w:link w:val="BodyText2"/>
    <w:rsid w:val="005F3E3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36649350">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299843172">
      <w:bodyDiv w:val="1"/>
      <w:marLeft w:val="0"/>
      <w:marRight w:val="0"/>
      <w:marTop w:val="0"/>
      <w:marBottom w:val="0"/>
      <w:divBdr>
        <w:top w:val="none" w:sz="0" w:space="0" w:color="auto"/>
        <w:left w:val="none" w:sz="0" w:space="0" w:color="auto"/>
        <w:bottom w:val="none" w:sz="0" w:space="0" w:color="auto"/>
        <w:right w:val="none" w:sz="0" w:space="0" w:color="auto"/>
      </w:divBdr>
    </w:div>
    <w:div w:id="37978569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20851160">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349989092">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494645942">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589382941">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69303925">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942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A466-B36F-49B4-86DB-CAD1A4CB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2012-05-09T12:44:00Z</dcterms:created>
  <dcterms:modified xsi:type="dcterms:W3CDTF">2012-05-09T12:44:00Z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