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79630A" w:rsidRDefault="00540BEF" w:rsidP="00510F9C">
      <w:pPr>
        <w:tabs>
          <w:tab w:val="left" w:pos="288"/>
          <w:tab w:val="left" w:pos="4752"/>
        </w:tabs>
        <w:spacing w:line="240" w:lineRule="exact"/>
        <w:jc w:val="center"/>
        <w:rPr>
          <w:rFonts w:asciiTheme="minorHAnsi" w:hAnsiTheme="minorHAnsi"/>
          <w:color w:val="auto"/>
        </w:rPr>
      </w:pPr>
      <w:r w:rsidRPr="0079630A">
        <w:rPr>
          <w:rFonts w:asciiTheme="minorHAnsi" w:hAnsiTheme="minorHAnsi"/>
          <w:color w:val="auto"/>
        </w:rPr>
        <w:t>RECORD OF PROCEEDINGS</w:t>
      </w:r>
    </w:p>
    <w:p w:rsidR="00540BEF" w:rsidRPr="0079630A" w:rsidRDefault="00540BEF" w:rsidP="00510F9C">
      <w:pPr>
        <w:tabs>
          <w:tab w:val="left" w:pos="288"/>
          <w:tab w:val="left" w:pos="4752"/>
        </w:tabs>
        <w:spacing w:line="240" w:lineRule="exact"/>
        <w:jc w:val="center"/>
        <w:rPr>
          <w:rFonts w:asciiTheme="minorHAnsi" w:hAnsiTheme="minorHAnsi"/>
          <w:color w:val="auto"/>
        </w:rPr>
      </w:pPr>
      <w:r w:rsidRPr="0079630A">
        <w:rPr>
          <w:rFonts w:asciiTheme="minorHAnsi" w:hAnsiTheme="minorHAnsi"/>
          <w:color w:val="auto"/>
        </w:rPr>
        <w:t>PHYSICAL DISABILITY BOARD OF REVIEW</w:t>
      </w:r>
    </w:p>
    <w:p w:rsidR="00540BEF" w:rsidRPr="0079630A" w:rsidRDefault="00540BEF" w:rsidP="00510F9C">
      <w:pPr>
        <w:tabs>
          <w:tab w:val="left" w:pos="288"/>
          <w:tab w:val="left" w:pos="4752"/>
        </w:tabs>
        <w:spacing w:line="240" w:lineRule="exact"/>
        <w:jc w:val="both"/>
        <w:rPr>
          <w:rFonts w:asciiTheme="minorHAnsi" w:hAnsiTheme="minorHAnsi"/>
          <w:caps/>
          <w:color w:val="auto"/>
        </w:rPr>
      </w:pPr>
    </w:p>
    <w:p w:rsidR="00E0346A" w:rsidRPr="0079630A" w:rsidRDefault="00F629C0" w:rsidP="00E0346A">
      <w:pPr>
        <w:tabs>
          <w:tab w:val="left" w:pos="288"/>
          <w:tab w:val="left" w:pos="4752"/>
          <w:tab w:val="left" w:pos="5130"/>
          <w:tab w:val="left" w:pos="9270"/>
        </w:tabs>
        <w:spacing w:line="240" w:lineRule="exact"/>
        <w:jc w:val="both"/>
        <w:rPr>
          <w:rFonts w:asciiTheme="minorHAnsi" w:hAnsiTheme="minorHAnsi"/>
          <w:caps/>
          <w:color w:val="auto"/>
        </w:rPr>
      </w:pPr>
      <w:r w:rsidRPr="0079630A">
        <w:rPr>
          <w:rFonts w:asciiTheme="minorHAnsi" w:hAnsiTheme="minorHAnsi"/>
          <w:caps/>
          <w:color w:val="auto"/>
        </w:rPr>
        <w:t xml:space="preserve">NAME:  </w:t>
      </w:r>
      <w:r w:rsidR="005E0C3A">
        <w:rPr>
          <w:rFonts w:asciiTheme="minorHAnsi" w:hAnsiTheme="minorHAnsi"/>
          <w:caps/>
          <w:color w:val="auto"/>
        </w:rPr>
        <w:t>XXXXXXXXXXX</w:t>
      </w:r>
      <w:r w:rsidR="002432F4" w:rsidRPr="0079630A">
        <w:rPr>
          <w:rFonts w:asciiTheme="minorHAnsi" w:hAnsiTheme="minorHAnsi"/>
          <w:caps/>
          <w:color w:val="auto"/>
        </w:rPr>
        <w:t>.</w:t>
      </w:r>
      <w:r w:rsidR="00FF58F6" w:rsidRPr="0079630A">
        <w:rPr>
          <w:rFonts w:asciiTheme="minorHAnsi" w:hAnsiTheme="minorHAnsi"/>
          <w:caps/>
          <w:color w:val="auto"/>
        </w:rPr>
        <w:tab/>
      </w:r>
      <w:r w:rsidR="00FF58F6" w:rsidRPr="0079630A">
        <w:rPr>
          <w:rFonts w:asciiTheme="minorHAnsi" w:hAnsiTheme="minorHAnsi"/>
          <w:caps/>
          <w:color w:val="auto"/>
        </w:rPr>
        <w:tab/>
        <w:t xml:space="preserve">                        </w:t>
      </w:r>
      <w:r w:rsidR="00C43084" w:rsidRPr="0079630A">
        <w:rPr>
          <w:rFonts w:asciiTheme="minorHAnsi" w:hAnsiTheme="minorHAnsi"/>
          <w:caps/>
          <w:color w:val="auto"/>
        </w:rPr>
        <w:t xml:space="preserve"> </w:t>
      </w:r>
      <w:r w:rsidR="00FF58F6" w:rsidRPr="0079630A">
        <w:rPr>
          <w:rFonts w:asciiTheme="minorHAnsi" w:hAnsiTheme="minorHAnsi"/>
          <w:caps/>
          <w:color w:val="auto"/>
        </w:rPr>
        <w:t xml:space="preserve"> </w:t>
      </w:r>
      <w:r w:rsidRPr="0079630A">
        <w:rPr>
          <w:rFonts w:asciiTheme="minorHAnsi" w:hAnsiTheme="minorHAnsi"/>
          <w:caps/>
          <w:color w:val="auto"/>
        </w:rPr>
        <w:t xml:space="preserve">BRANCH OF SERVICE: </w:t>
      </w:r>
      <w:r w:rsidR="004C24C5" w:rsidRPr="0079630A">
        <w:rPr>
          <w:rFonts w:asciiTheme="minorHAnsi" w:hAnsiTheme="minorHAnsi"/>
          <w:caps/>
          <w:color w:val="auto"/>
        </w:rPr>
        <w:t xml:space="preserve"> </w:t>
      </w:r>
      <w:r w:rsidR="00390600" w:rsidRPr="0079630A">
        <w:rPr>
          <w:rFonts w:asciiTheme="minorHAnsi" w:hAnsiTheme="minorHAnsi"/>
          <w:caps/>
          <w:color w:val="auto"/>
        </w:rPr>
        <w:t>Army</w:t>
      </w:r>
    </w:p>
    <w:p w:rsidR="00DE3AAD" w:rsidRPr="0079630A" w:rsidRDefault="00012733" w:rsidP="00E0346A">
      <w:pPr>
        <w:tabs>
          <w:tab w:val="left" w:pos="288"/>
          <w:tab w:val="left" w:pos="4752"/>
          <w:tab w:val="left" w:pos="5130"/>
          <w:tab w:val="left" w:pos="9270"/>
        </w:tabs>
        <w:spacing w:line="240" w:lineRule="exact"/>
        <w:jc w:val="both"/>
        <w:rPr>
          <w:rFonts w:asciiTheme="minorHAnsi" w:hAnsiTheme="minorHAnsi"/>
          <w:caps/>
          <w:color w:val="auto"/>
        </w:rPr>
      </w:pPr>
      <w:r w:rsidRPr="0079630A">
        <w:rPr>
          <w:rFonts w:asciiTheme="minorHAnsi" w:hAnsiTheme="minorHAnsi"/>
          <w:caps/>
          <w:color w:val="auto"/>
        </w:rPr>
        <w:t>C</w:t>
      </w:r>
      <w:r w:rsidR="00DE3AAD" w:rsidRPr="0079630A">
        <w:rPr>
          <w:rFonts w:asciiTheme="minorHAnsi" w:hAnsiTheme="minorHAnsi"/>
          <w:caps/>
          <w:color w:val="auto"/>
        </w:rPr>
        <w:t>ASE NUMBER:  PD1</w:t>
      </w:r>
      <w:r w:rsidR="00B006FC" w:rsidRPr="0079630A">
        <w:rPr>
          <w:rFonts w:asciiTheme="minorHAnsi" w:hAnsiTheme="minorHAnsi"/>
          <w:caps/>
          <w:color w:val="auto"/>
        </w:rPr>
        <w:t>1</w:t>
      </w:r>
      <w:r w:rsidR="00DE3AAD" w:rsidRPr="0079630A">
        <w:rPr>
          <w:rFonts w:asciiTheme="minorHAnsi" w:hAnsiTheme="minorHAnsi"/>
          <w:caps/>
          <w:color w:val="auto"/>
        </w:rPr>
        <w:t>00</w:t>
      </w:r>
      <w:r w:rsidR="00B006FC" w:rsidRPr="0079630A">
        <w:rPr>
          <w:rFonts w:asciiTheme="minorHAnsi" w:hAnsiTheme="minorHAnsi"/>
          <w:caps/>
          <w:color w:val="auto"/>
        </w:rPr>
        <w:t>334</w:t>
      </w:r>
      <w:r w:rsidR="00DE3AAD" w:rsidRPr="0079630A">
        <w:rPr>
          <w:rFonts w:asciiTheme="minorHAnsi" w:hAnsiTheme="minorHAnsi"/>
          <w:color w:val="auto"/>
        </w:rPr>
        <w:tab/>
      </w:r>
      <w:r w:rsidR="00FF58F6" w:rsidRPr="0079630A">
        <w:rPr>
          <w:rFonts w:asciiTheme="minorHAnsi" w:hAnsiTheme="minorHAnsi"/>
          <w:color w:val="auto"/>
        </w:rPr>
        <w:tab/>
        <w:t xml:space="preserve">    </w:t>
      </w:r>
      <w:r w:rsidR="00C43084" w:rsidRPr="0079630A">
        <w:rPr>
          <w:rFonts w:asciiTheme="minorHAnsi" w:hAnsiTheme="minorHAnsi"/>
          <w:color w:val="auto"/>
        </w:rPr>
        <w:t xml:space="preserve">                      </w:t>
      </w:r>
      <w:r w:rsidR="009025AD" w:rsidRPr="0079630A">
        <w:rPr>
          <w:rFonts w:asciiTheme="minorHAnsi" w:hAnsiTheme="minorHAnsi"/>
          <w:color w:val="auto"/>
        </w:rPr>
        <w:t>TDRL EXIT</w:t>
      </w:r>
      <w:r w:rsidR="00DE3AAD" w:rsidRPr="0079630A">
        <w:rPr>
          <w:rFonts w:asciiTheme="minorHAnsi" w:hAnsiTheme="minorHAnsi"/>
          <w:color w:val="auto"/>
        </w:rPr>
        <w:t>:  200</w:t>
      </w:r>
      <w:r w:rsidR="009F3DF1" w:rsidRPr="0079630A">
        <w:rPr>
          <w:rFonts w:asciiTheme="minorHAnsi" w:hAnsiTheme="minorHAnsi"/>
          <w:color w:val="auto"/>
        </w:rPr>
        <w:t>6</w:t>
      </w:r>
      <w:r w:rsidR="0014746D" w:rsidRPr="0079630A">
        <w:rPr>
          <w:rFonts w:asciiTheme="minorHAnsi" w:hAnsiTheme="minorHAnsi"/>
          <w:color w:val="auto"/>
        </w:rPr>
        <w:t>0206</w:t>
      </w:r>
    </w:p>
    <w:p w:rsidR="004F3639" w:rsidRPr="0079630A" w:rsidRDefault="004F3639" w:rsidP="00510F9C">
      <w:pPr>
        <w:tabs>
          <w:tab w:val="left" w:pos="288"/>
          <w:tab w:val="left" w:pos="5130"/>
        </w:tabs>
        <w:spacing w:line="240" w:lineRule="exact"/>
        <w:jc w:val="both"/>
        <w:rPr>
          <w:rFonts w:asciiTheme="minorHAnsi" w:hAnsiTheme="minorHAnsi"/>
          <w:color w:val="auto"/>
        </w:rPr>
      </w:pPr>
      <w:r w:rsidRPr="0079630A">
        <w:rPr>
          <w:rFonts w:asciiTheme="minorHAnsi" w:hAnsiTheme="minorHAnsi"/>
          <w:caps/>
          <w:color w:val="auto"/>
        </w:rPr>
        <w:t>BOARD DATE:  201</w:t>
      </w:r>
      <w:r w:rsidR="007703B8" w:rsidRPr="0079630A">
        <w:rPr>
          <w:rFonts w:asciiTheme="minorHAnsi" w:hAnsiTheme="minorHAnsi"/>
          <w:caps/>
          <w:color w:val="auto"/>
        </w:rPr>
        <w:t>2</w:t>
      </w:r>
      <w:r w:rsidR="00FF58F6" w:rsidRPr="0079630A">
        <w:rPr>
          <w:rFonts w:asciiTheme="minorHAnsi" w:hAnsiTheme="minorHAnsi"/>
          <w:caps/>
          <w:color w:val="auto"/>
        </w:rPr>
        <w:t>0224</w:t>
      </w:r>
      <w:r w:rsidR="00FF58F6" w:rsidRPr="0079630A">
        <w:rPr>
          <w:rFonts w:asciiTheme="minorHAnsi" w:hAnsiTheme="minorHAnsi"/>
          <w:caps/>
          <w:color w:val="auto"/>
        </w:rPr>
        <w:tab/>
      </w:r>
      <w:r w:rsidR="00FF58F6" w:rsidRPr="0079630A">
        <w:rPr>
          <w:rFonts w:asciiTheme="minorHAnsi" w:hAnsiTheme="minorHAnsi"/>
          <w:caps/>
          <w:color w:val="auto"/>
        </w:rPr>
        <w:tab/>
      </w:r>
      <w:r w:rsidR="00FF58F6" w:rsidRPr="0079630A">
        <w:rPr>
          <w:rFonts w:asciiTheme="minorHAnsi" w:hAnsiTheme="minorHAnsi"/>
          <w:caps/>
          <w:color w:val="auto"/>
        </w:rPr>
        <w:tab/>
        <w:t xml:space="preserve"> </w:t>
      </w:r>
      <w:r w:rsidR="002D5D17" w:rsidRPr="0079630A">
        <w:rPr>
          <w:rFonts w:asciiTheme="minorHAnsi" w:hAnsiTheme="minorHAnsi"/>
          <w:caps/>
          <w:color w:val="auto"/>
        </w:rPr>
        <w:t xml:space="preserve">TDRL </w:t>
      </w:r>
      <w:r w:rsidR="009025AD" w:rsidRPr="0079630A">
        <w:rPr>
          <w:rFonts w:asciiTheme="minorHAnsi" w:hAnsiTheme="minorHAnsi"/>
          <w:caps/>
          <w:color w:val="auto"/>
        </w:rPr>
        <w:t>ENTRY</w:t>
      </w:r>
      <w:r w:rsidR="002D5D17" w:rsidRPr="0079630A">
        <w:rPr>
          <w:rFonts w:asciiTheme="minorHAnsi" w:hAnsiTheme="minorHAnsi"/>
          <w:caps/>
          <w:color w:val="auto"/>
        </w:rPr>
        <w:t>:  20040515</w:t>
      </w:r>
    </w:p>
    <w:p w:rsidR="0014746D" w:rsidRPr="0079630A" w:rsidRDefault="0014746D" w:rsidP="0014746D">
      <w:pPr>
        <w:pBdr>
          <w:bottom w:val="single" w:sz="12" w:space="1" w:color="auto"/>
        </w:pBdr>
        <w:tabs>
          <w:tab w:val="left" w:pos="288"/>
          <w:tab w:val="left" w:pos="4752"/>
        </w:tabs>
        <w:spacing w:line="240" w:lineRule="exact"/>
        <w:jc w:val="both"/>
        <w:rPr>
          <w:rFonts w:asciiTheme="minorHAnsi" w:hAnsiTheme="minorHAnsi"/>
          <w:color w:val="auto"/>
        </w:rPr>
      </w:pPr>
    </w:p>
    <w:p w:rsidR="0014746D" w:rsidRPr="0079630A" w:rsidRDefault="0014746D" w:rsidP="0014746D">
      <w:pPr>
        <w:tabs>
          <w:tab w:val="left" w:pos="288"/>
          <w:tab w:val="left" w:pos="4752"/>
        </w:tabs>
        <w:spacing w:line="240" w:lineRule="exact"/>
        <w:jc w:val="both"/>
        <w:rPr>
          <w:rFonts w:asciiTheme="minorHAnsi" w:hAnsiTheme="minorHAnsi"/>
          <w:color w:val="auto"/>
          <w:u w:val="single"/>
        </w:rPr>
      </w:pPr>
    </w:p>
    <w:p w:rsidR="00F63FC7" w:rsidRPr="0079630A" w:rsidRDefault="00FB0E80" w:rsidP="00510F9C">
      <w:pPr>
        <w:tabs>
          <w:tab w:val="left" w:pos="288"/>
          <w:tab w:val="left" w:pos="4752"/>
        </w:tabs>
        <w:spacing w:line="240" w:lineRule="exact"/>
        <w:jc w:val="both"/>
        <w:rPr>
          <w:color w:val="auto"/>
          <w:szCs w:val="24"/>
        </w:rPr>
      </w:pPr>
      <w:r w:rsidRPr="0079630A">
        <w:rPr>
          <w:rFonts w:asciiTheme="minorHAnsi" w:hAnsiTheme="minorHAnsi"/>
          <w:color w:val="auto"/>
          <w:u w:val="single"/>
        </w:rPr>
        <w:t>SUMMARY OF CASE</w:t>
      </w:r>
      <w:r w:rsidRPr="0079630A">
        <w:rPr>
          <w:rFonts w:asciiTheme="minorHAnsi" w:hAnsiTheme="minorHAnsi"/>
          <w:color w:val="auto"/>
        </w:rPr>
        <w:t xml:space="preserve">:  </w:t>
      </w:r>
      <w:r w:rsidR="009759C2" w:rsidRPr="0079630A">
        <w:rPr>
          <w:rFonts w:asciiTheme="minorHAnsi" w:hAnsiTheme="minorHAnsi"/>
          <w:color w:val="auto"/>
        </w:rPr>
        <w:t>Data extracted from the available evidence of record reflects that this covered individual (CI)</w:t>
      </w:r>
      <w:r w:rsidR="00570754" w:rsidRPr="0079630A">
        <w:rPr>
          <w:rFonts w:asciiTheme="minorHAnsi" w:hAnsiTheme="minorHAnsi"/>
          <w:color w:val="auto"/>
        </w:rPr>
        <w:t xml:space="preserve"> </w:t>
      </w:r>
      <w:r w:rsidR="002C6E5B" w:rsidRPr="0079630A">
        <w:rPr>
          <w:rFonts w:asciiTheme="minorHAnsi" w:hAnsiTheme="minorHAnsi"/>
          <w:color w:val="auto"/>
          <w:szCs w:val="24"/>
        </w:rPr>
        <w:t xml:space="preserve">was </w:t>
      </w:r>
      <w:r w:rsidR="00E322F7" w:rsidRPr="0079630A">
        <w:rPr>
          <w:rFonts w:asciiTheme="minorHAnsi" w:hAnsiTheme="minorHAnsi"/>
          <w:color w:val="auto"/>
          <w:szCs w:val="24"/>
        </w:rPr>
        <w:t>an active duty</w:t>
      </w:r>
      <w:r w:rsidR="006D4E0E" w:rsidRPr="0079630A">
        <w:rPr>
          <w:rFonts w:asciiTheme="minorHAnsi" w:hAnsiTheme="minorHAnsi"/>
          <w:color w:val="auto"/>
          <w:szCs w:val="24"/>
        </w:rPr>
        <w:t xml:space="preserve"> </w:t>
      </w:r>
      <w:r w:rsidR="002E65E6" w:rsidRPr="0079630A">
        <w:rPr>
          <w:rFonts w:asciiTheme="minorHAnsi" w:hAnsiTheme="minorHAnsi"/>
          <w:color w:val="auto"/>
          <w:szCs w:val="24"/>
        </w:rPr>
        <w:t>member,</w:t>
      </w:r>
      <w:r w:rsidR="006D4E0E" w:rsidRPr="0079630A">
        <w:rPr>
          <w:rFonts w:asciiTheme="minorHAnsi" w:hAnsiTheme="minorHAnsi"/>
          <w:color w:val="auto"/>
          <w:szCs w:val="24"/>
        </w:rPr>
        <w:t xml:space="preserve"> </w:t>
      </w:r>
      <w:r w:rsidR="00A77A02" w:rsidRPr="0079630A">
        <w:rPr>
          <w:rFonts w:asciiTheme="minorHAnsi" w:hAnsiTheme="minorHAnsi"/>
          <w:color w:val="auto"/>
          <w:szCs w:val="24"/>
        </w:rPr>
        <w:t>SPC/E-4</w:t>
      </w:r>
      <w:r w:rsidR="00705C40" w:rsidRPr="0079630A">
        <w:rPr>
          <w:rFonts w:asciiTheme="minorHAnsi" w:hAnsiTheme="minorHAnsi"/>
          <w:color w:val="auto"/>
          <w:szCs w:val="24"/>
        </w:rPr>
        <w:t xml:space="preserve"> (</w:t>
      </w:r>
      <w:r w:rsidR="00A77A02" w:rsidRPr="0079630A">
        <w:rPr>
          <w:rFonts w:asciiTheme="minorHAnsi" w:hAnsiTheme="minorHAnsi"/>
          <w:color w:val="auto"/>
          <w:szCs w:val="24"/>
        </w:rPr>
        <w:t>31U</w:t>
      </w:r>
      <w:r w:rsidR="00C75F3D" w:rsidRPr="0079630A">
        <w:rPr>
          <w:rFonts w:asciiTheme="minorHAnsi" w:hAnsiTheme="minorHAnsi"/>
          <w:color w:val="auto"/>
          <w:szCs w:val="24"/>
        </w:rPr>
        <w:t xml:space="preserve">, </w:t>
      </w:r>
      <w:r w:rsidR="00A77A02" w:rsidRPr="0079630A">
        <w:rPr>
          <w:rFonts w:asciiTheme="minorHAnsi" w:hAnsiTheme="minorHAnsi"/>
          <w:color w:val="auto"/>
          <w:szCs w:val="24"/>
        </w:rPr>
        <w:t>Signal Support System Specialist</w:t>
      </w:r>
      <w:r w:rsidR="00E322F7" w:rsidRPr="0079630A">
        <w:rPr>
          <w:rFonts w:asciiTheme="minorHAnsi" w:hAnsiTheme="minorHAnsi"/>
          <w:color w:val="auto"/>
          <w:szCs w:val="24"/>
        </w:rPr>
        <w:t>)</w:t>
      </w:r>
      <w:r w:rsidR="00C75F3D" w:rsidRPr="0079630A">
        <w:rPr>
          <w:rFonts w:asciiTheme="minorHAnsi" w:hAnsiTheme="minorHAnsi"/>
          <w:color w:val="auto"/>
          <w:szCs w:val="24"/>
        </w:rPr>
        <w:t xml:space="preserve">, </w:t>
      </w:r>
      <w:r w:rsidR="002C6E5B" w:rsidRPr="0079630A">
        <w:rPr>
          <w:rFonts w:asciiTheme="minorHAnsi" w:hAnsiTheme="minorHAnsi"/>
          <w:color w:val="auto"/>
          <w:szCs w:val="24"/>
        </w:rPr>
        <w:t xml:space="preserve">medically separated for </w:t>
      </w:r>
      <w:r w:rsidR="00440405" w:rsidRPr="0079630A">
        <w:rPr>
          <w:rFonts w:asciiTheme="minorHAnsi" w:hAnsiTheme="minorHAnsi"/>
          <w:color w:val="auto"/>
          <w:szCs w:val="24"/>
        </w:rPr>
        <w:t xml:space="preserve">posttraumatic stress disorder (PTSD) and mechanical low back pain </w:t>
      </w:r>
      <w:r w:rsidR="00DA6451" w:rsidRPr="0079630A">
        <w:rPr>
          <w:rFonts w:asciiTheme="minorHAnsi" w:hAnsiTheme="minorHAnsi"/>
          <w:color w:val="auto"/>
          <w:szCs w:val="24"/>
        </w:rPr>
        <w:t xml:space="preserve">(LBP) </w:t>
      </w:r>
      <w:r w:rsidR="00440405" w:rsidRPr="0079630A">
        <w:rPr>
          <w:rFonts w:asciiTheme="minorHAnsi" w:hAnsiTheme="minorHAnsi"/>
          <w:color w:val="auto"/>
          <w:szCs w:val="24"/>
        </w:rPr>
        <w:t>without radiculopathy.</w:t>
      </w:r>
      <w:r w:rsidR="00123E36" w:rsidRPr="0079630A">
        <w:rPr>
          <w:rFonts w:asciiTheme="minorHAnsi" w:hAnsiTheme="minorHAnsi"/>
          <w:color w:val="auto"/>
          <w:szCs w:val="24"/>
        </w:rPr>
        <w:t xml:space="preserve">  </w:t>
      </w:r>
      <w:r w:rsidR="006A0B3B" w:rsidRPr="0079630A">
        <w:rPr>
          <w:rFonts w:asciiTheme="minorHAnsi" w:hAnsiTheme="minorHAnsi"/>
          <w:color w:val="auto"/>
          <w:szCs w:val="24"/>
        </w:rPr>
        <w:t xml:space="preserve">He was diagnosed with PTSD consequent to an Iraq deployment from February to June 2003.  Criterion A combat stressors were documented and the </w:t>
      </w:r>
      <w:r w:rsidR="003370EA">
        <w:rPr>
          <w:rFonts w:asciiTheme="minorHAnsi" w:hAnsiTheme="minorHAnsi"/>
          <w:color w:val="auto"/>
          <w:szCs w:val="24"/>
        </w:rPr>
        <w:t>d</w:t>
      </w:r>
      <w:r w:rsidR="006A0B3B" w:rsidRPr="0079630A">
        <w:rPr>
          <w:rFonts w:asciiTheme="minorHAnsi" w:hAnsiTheme="minorHAnsi"/>
          <w:color w:val="auto"/>
          <w:szCs w:val="24"/>
        </w:rPr>
        <w:t xml:space="preserve">iagnostic and </w:t>
      </w:r>
      <w:r w:rsidR="003370EA">
        <w:rPr>
          <w:rFonts w:asciiTheme="minorHAnsi" w:hAnsiTheme="minorHAnsi"/>
          <w:color w:val="auto"/>
          <w:szCs w:val="24"/>
        </w:rPr>
        <w:t>s</w:t>
      </w:r>
      <w:r w:rsidR="006A0B3B" w:rsidRPr="0079630A">
        <w:rPr>
          <w:rFonts w:asciiTheme="minorHAnsi" w:hAnsiTheme="minorHAnsi"/>
          <w:color w:val="auto"/>
          <w:szCs w:val="24"/>
        </w:rPr>
        <w:t xml:space="preserve">tatistical </w:t>
      </w:r>
      <w:r w:rsidR="003370EA">
        <w:rPr>
          <w:rFonts w:asciiTheme="minorHAnsi" w:hAnsiTheme="minorHAnsi"/>
          <w:color w:val="auto"/>
          <w:szCs w:val="24"/>
        </w:rPr>
        <w:t>m</w:t>
      </w:r>
      <w:r w:rsidR="006A0B3B" w:rsidRPr="0079630A">
        <w:rPr>
          <w:rFonts w:asciiTheme="minorHAnsi" w:hAnsiTheme="minorHAnsi"/>
          <w:color w:val="auto"/>
          <w:szCs w:val="24"/>
        </w:rPr>
        <w:t xml:space="preserve">anual of </w:t>
      </w:r>
      <w:r w:rsidR="003370EA">
        <w:rPr>
          <w:rFonts w:asciiTheme="minorHAnsi" w:hAnsiTheme="minorHAnsi"/>
          <w:color w:val="auto"/>
          <w:szCs w:val="24"/>
        </w:rPr>
        <w:t>m</w:t>
      </w:r>
      <w:r w:rsidR="006A0B3B" w:rsidRPr="0079630A">
        <w:rPr>
          <w:rFonts w:asciiTheme="minorHAnsi" w:hAnsiTheme="minorHAnsi"/>
          <w:color w:val="auto"/>
          <w:szCs w:val="24"/>
        </w:rPr>
        <w:t xml:space="preserve">ental </w:t>
      </w:r>
      <w:r w:rsidR="003370EA">
        <w:rPr>
          <w:rFonts w:asciiTheme="minorHAnsi" w:hAnsiTheme="minorHAnsi"/>
          <w:color w:val="auto"/>
          <w:szCs w:val="24"/>
        </w:rPr>
        <w:t>d</w:t>
      </w:r>
      <w:r w:rsidR="006A0B3B" w:rsidRPr="0079630A">
        <w:rPr>
          <w:rFonts w:asciiTheme="minorHAnsi" w:hAnsiTheme="minorHAnsi"/>
          <w:color w:val="auto"/>
          <w:szCs w:val="24"/>
        </w:rPr>
        <w:t xml:space="preserve">isorders, </w:t>
      </w:r>
      <w:r w:rsidR="003370EA">
        <w:rPr>
          <w:rFonts w:asciiTheme="minorHAnsi" w:hAnsiTheme="minorHAnsi"/>
          <w:color w:val="auto"/>
          <w:szCs w:val="24"/>
        </w:rPr>
        <w:t>f</w:t>
      </w:r>
      <w:r w:rsidR="006A0B3B" w:rsidRPr="0079630A">
        <w:rPr>
          <w:rFonts w:asciiTheme="minorHAnsi" w:hAnsiTheme="minorHAnsi"/>
          <w:color w:val="auto"/>
          <w:szCs w:val="24"/>
        </w:rPr>
        <w:t xml:space="preserve">ourth </w:t>
      </w:r>
      <w:r w:rsidR="003370EA">
        <w:rPr>
          <w:rFonts w:asciiTheme="minorHAnsi" w:hAnsiTheme="minorHAnsi"/>
          <w:color w:val="auto"/>
          <w:szCs w:val="24"/>
        </w:rPr>
        <w:t>e</w:t>
      </w:r>
      <w:r w:rsidR="006A0B3B" w:rsidRPr="0079630A">
        <w:rPr>
          <w:rFonts w:asciiTheme="minorHAnsi" w:hAnsiTheme="minorHAnsi"/>
          <w:color w:val="auto"/>
          <w:szCs w:val="24"/>
        </w:rPr>
        <w:t xml:space="preserve">dition (DSM-IV) criteria for an </w:t>
      </w:r>
      <w:r w:rsidR="003370EA">
        <w:rPr>
          <w:rFonts w:asciiTheme="minorHAnsi" w:hAnsiTheme="minorHAnsi"/>
          <w:color w:val="auto"/>
          <w:szCs w:val="24"/>
        </w:rPr>
        <w:t>a</w:t>
      </w:r>
      <w:r w:rsidR="006A0B3B" w:rsidRPr="0079630A">
        <w:rPr>
          <w:rFonts w:asciiTheme="minorHAnsi" w:hAnsiTheme="minorHAnsi"/>
          <w:color w:val="auto"/>
          <w:szCs w:val="24"/>
        </w:rPr>
        <w:t xml:space="preserve">xis I diagnosis of PTSD were met.  His treatment included medications and outpatient psychotherapy, without significant improvement.  </w:t>
      </w:r>
      <w:r w:rsidR="00123E36" w:rsidRPr="0079630A">
        <w:rPr>
          <w:rFonts w:asciiTheme="minorHAnsi" w:hAnsiTheme="minorHAnsi"/>
          <w:color w:val="auto"/>
          <w:szCs w:val="24"/>
        </w:rPr>
        <w:t xml:space="preserve">The CI’s </w:t>
      </w:r>
      <w:r w:rsidR="00DA6451" w:rsidRPr="0079630A">
        <w:rPr>
          <w:rFonts w:asciiTheme="minorHAnsi" w:hAnsiTheme="minorHAnsi"/>
          <w:color w:val="auto"/>
          <w:szCs w:val="24"/>
        </w:rPr>
        <w:t>LBP</w:t>
      </w:r>
      <w:r w:rsidR="00697B16" w:rsidRPr="0079630A">
        <w:rPr>
          <w:rFonts w:asciiTheme="minorHAnsi" w:hAnsiTheme="minorHAnsi"/>
          <w:color w:val="auto"/>
          <w:szCs w:val="24"/>
        </w:rPr>
        <w:t xml:space="preserve"> with occasional left leg radicular symptoms began in</w:t>
      </w:r>
      <w:r w:rsidR="00123E36" w:rsidRPr="0079630A">
        <w:rPr>
          <w:rFonts w:asciiTheme="minorHAnsi" w:hAnsiTheme="minorHAnsi"/>
          <w:color w:val="auto"/>
          <w:szCs w:val="24"/>
        </w:rPr>
        <w:t xml:space="preserve"> August 2003 without significant trauma.  </w:t>
      </w:r>
      <w:r w:rsidR="00697B16" w:rsidRPr="0079630A">
        <w:rPr>
          <w:rFonts w:asciiTheme="minorHAnsi" w:hAnsiTheme="minorHAnsi"/>
          <w:color w:val="auto"/>
          <w:szCs w:val="24"/>
        </w:rPr>
        <w:t xml:space="preserve">MRI revealed a mild disc bulge at L4-5 without significant spinal or </w:t>
      </w:r>
      <w:proofErr w:type="spellStart"/>
      <w:r w:rsidR="00697B16" w:rsidRPr="0079630A">
        <w:rPr>
          <w:rFonts w:asciiTheme="minorHAnsi" w:hAnsiTheme="minorHAnsi"/>
          <w:color w:val="auto"/>
          <w:szCs w:val="24"/>
        </w:rPr>
        <w:t>neuroforaminal</w:t>
      </w:r>
      <w:proofErr w:type="spellEnd"/>
      <w:r w:rsidR="00697B16" w:rsidRPr="0079630A">
        <w:rPr>
          <w:rFonts w:asciiTheme="minorHAnsi" w:hAnsiTheme="minorHAnsi"/>
          <w:color w:val="auto"/>
          <w:szCs w:val="24"/>
        </w:rPr>
        <w:t xml:space="preserve"> stenosis.  His treatment included medications, physical therapy, and chiropractic manipulation.  </w:t>
      </w:r>
      <w:r w:rsidR="00E322F7" w:rsidRPr="0079630A">
        <w:rPr>
          <w:rFonts w:asciiTheme="minorHAnsi" w:hAnsiTheme="minorHAnsi"/>
          <w:color w:val="auto"/>
          <w:szCs w:val="24"/>
        </w:rPr>
        <w:t xml:space="preserve">He did not respond adequately </w:t>
      </w:r>
      <w:r w:rsidR="00C75F3D" w:rsidRPr="0079630A">
        <w:rPr>
          <w:rFonts w:asciiTheme="minorHAnsi" w:hAnsiTheme="minorHAnsi"/>
          <w:color w:val="auto"/>
          <w:szCs w:val="24"/>
        </w:rPr>
        <w:t xml:space="preserve">to treatment and was unable to </w:t>
      </w:r>
      <w:r w:rsidR="00E322F7" w:rsidRPr="0079630A">
        <w:rPr>
          <w:rFonts w:asciiTheme="minorHAnsi" w:hAnsiTheme="minorHAnsi"/>
          <w:color w:val="auto"/>
          <w:szCs w:val="24"/>
        </w:rPr>
        <w:t xml:space="preserve">perform within his </w:t>
      </w:r>
      <w:r w:rsidR="009020ED" w:rsidRPr="0079630A">
        <w:rPr>
          <w:rFonts w:asciiTheme="minorHAnsi" w:hAnsiTheme="minorHAnsi"/>
          <w:color w:val="auto"/>
          <w:szCs w:val="24"/>
        </w:rPr>
        <w:t>Military O</w:t>
      </w:r>
      <w:r w:rsidR="00705C40" w:rsidRPr="0079630A">
        <w:rPr>
          <w:rFonts w:asciiTheme="minorHAnsi" w:hAnsiTheme="minorHAnsi"/>
          <w:color w:val="auto"/>
          <w:szCs w:val="24"/>
        </w:rPr>
        <w:t xml:space="preserve">ccupational </w:t>
      </w:r>
      <w:r w:rsidR="009020ED" w:rsidRPr="0079630A">
        <w:rPr>
          <w:rFonts w:asciiTheme="minorHAnsi" w:hAnsiTheme="minorHAnsi"/>
          <w:color w:val="auto"/>
          <w:szCs w:val="24"/>
        </w:rPr>
        <w:t>S</w:t>
      </w:r>
      <w:r w:rsidR="003A40B4" w:rsidRPr="0079630A">
        <w:rPr>
          <w:rFonts w:asciiTheme="minorHAnsi" w:hAnsiTheme="minorHAnsi"/>
          <w:color w:val="auto"/>
          <w:szCs w:val="24"/>
        </w:rPr>
        <w:t>pecialty</w:t>
      </w:r>
      <w:r w:rsidR="002752AE" w:rsidRPr="0079630A">
        <w:rPr>
          <w:rFonts w:asciiTheme="minorHAnsi" w:hAnsiTheme="minorHAnsi"/>
          <w:color w:val="auto"/>
          <w:szCs w:val="24"/>
        </w:rPr>
        <w:t xml:space="preserve"> (MOS)</w:t>
      </w:r>
      <w:r w:rsidR="00555C66" w:rsidRPr="0079630A">
        <w:rPr>
          <w:rFonts w:asciiTheme="minorHAnsi" w:hAnsiTheme="minorHAnsi"/>
          <w:color w:val="auto"/>
          <w:szCs w:val="24"/>
        </w:rPr>
        <w:t xml:space="preserve">.  </w:t>
      </w:r>
      <w:r w:rsidR="0014746D" w:rsidRPr="0079630A">
        <w:rPr>
          <w:rFonts w:asciiTheme="minorHAnsi" w:hAnsiTheme="minorHAnsi"/>
          <w:color w:val="auto"/>
          <w:szCs w:val="24"/>
        </w:rPr>
        <w:t>The CI</w:t>
      </w:r>
      <w:r w:rsidR="00555C66" w:rsidRPr="0079630A">
        <w:rPr>
          <w:rFonts w:asciiTheme="minorHAnsi" w:hAnsiTheme="minorHAnsi"/>
          <w:color w:val="auto"/>
          <w:szCs w:val="24"/>
        </w:rPr>
        <w:t xml:space="preserve"> was issued</w:t>
      </w:r>
      <w:r w:rsidR="00E322F7" w:rsidRPr="0079630A">
        <w:rPr>
          <w:rFonts w:asciiTheme="minorHAnsi" w:hAnsiTheme="minorHAnsi"/>
          <w:color w:val="auto"/>
          <w:szCs w:val="24"/>
        </w:rPr>
        <w:t xml:space="preserve"> a permanent </w:t>
      </w:r>
      <w:r w:rsidR="00440405" w:rsidRPr="0079630A">
        <w:rPr>
          <w:rFonts w:asciiTheme="minorHAnsi" w:hAnsiTheme="minorHAnsi"/>
          <w:color w:val="auto"/>
          <w:szCs w:val="24"/>
        </w:rPr>
        <w:t>L3/S3</w:t>
      </w:r>
      <w:r w:rsidR="0044411E" w:rsidRPr="0079630A">
        <w:rPr>
          <w:rFonts w:asciiTheme="minorHAnsi" w:hAnsiTheme="minorHAnsi"/>
          <w:color w:val="auto"/>
          <w:szCs w:val="24"/>
        </w:rPr>
        <w:t xml:space="preserve"> </w:t>
      </w:r>
      <w:r w:rsidR="00E322F7" w:rsidRPr="0079630A">
        <w:rPr>
          <w:rFonts w:asciiTheme="minorHAnsi" w:hAnsiTheme="minorHAnsi"/>
          <w:color w:val="auto"/>
          <w:szCs w:val="24"/>
        </w:rPr>
        <w:t xml:space="preserve">profile and underwent a </w:t>
      </w:r>
      <w:r w:rsidR="00705C40" w:rsidRPr="0079630A">
        <w:rPr>
          <w:rFonts w:asciiTheme="minorHAnsi" w:hAnsiTheme="minorHAnsi"/>
          <w:color w:val="auto"/>
          <w:szCs w:val="24"/>
        </w:rPr>
        <w:t>Medical Evaluation Board (</w:t>
      </w:r>
      <w:r w:rsidR="00E322F7" w:rsidRPr="0079630A">
        <w:rPr>
          <w:rFonts w:asciiTheme="minorHAnsi" w:hAnsiTheme="minorHAnsi"/>
          <w:color w:val="auto"/>
          <w:szCs w:val="24"/>
        </w:rPr>
        <w:t>MEB</w:t>
      </w:r>
      <w:r w:rsidR="00705C40" w:rsidRPr="0079630A">
        <w:rPr>
          <w:rFonts w:asciiTheme="minorHAnsi" w:hAnsiTheme="minorHAnsi"/>
          <w:color w:val="auto"/>
          <w:szCs w:val="24"/>
        </w:rPr>
        <w:t>)</w:t>
      </w:r>
      <w:r w:rsidR="00E322F7" w:rsidRPr="0079630A">
        <w:rPr>
          <w:rFonts w:asciiTheme="minorHAnsi" w:hAnsiTheme="minorHAnsi"/>
          <w:color w:val="auto"/>
          <w:szCs w:val="24"/>
        </w:rPr>
        <w:t>.</w:t>
      </w:r>
      <w:r w:rsidR="00F94D46" w:rsidRPr="0079630A">
        <w:rPr>
          <w:rFonts w:asciiTheme="minorHAnsi" w:hAnsiTheme="minorHAnsi"/>
          <w:color w:val="auto"/>
          <w:szCs w:val="24"/>
        </w:rPr>
        <w:t xml:space="preserve">  </w:t>
      </w:r>
      <w:r w:rsidR="00440405" w:rsidRPr="0079630A">
        <w:rPr>
          <w:rFonts w:asciiTheme="minorHAnsi" w:hAnsiTheme="minorHAnsi"/>
          <w:color w:val="auto"/>
          <w:szCs w:val="24"/>
        </w:rPr>
        <w:t xml:space="preserve">PTSD and </w:t>
      </w:r>
      <w:r w:rsidR="00C644D2" w:rsidRPr="0079630A">
        <w:rPr>
          <w:rFonts w:asciiTheme="minorHAnsi" w:hAnsiTheme="minorHAnsi"/>
          <w:color w:val="auto"/>
          <w:szCs w:val="24"/>
        </w:rPr>
        <w:t xml:space="preserve">mechanical </w:t>
      </w:r>
      <w:r w:rsidR="00DA6451" w:rsidRPr="0079630A">
        <w:rPr>
          <w:rFonts w:asciiTheme="minorHAnsi" w:hAnsiTheme="minorHAnsi"/>
          <w:color w:val="auto"/>
          <w:szCs w:val="24"/>
        </w:rPr>
        <w:t>LBP</w:t>
      </w:r>
      <w:r w:rsidR="000A33C8" w:rsidRPr="0079630A">
        <w:rPr>
          <w:rFonts w:asciiTheme="minorHAnsi" w:hAnsiTheme="minorHAnsi"/>
          <w:color w:val="auto"/>
          <w:szCs w:val="24"/>
        </w:rPr>
        <w:t xml:space="preserve"> were forwarded to the Physical Evaluation Board (PEB) as medically unacceptable IAW AR 40-501</w:t>
      </w:r>
      <w:r w:rsidR="00376E08" w:rsidRPr="0079630A">
        <w:rPr>
          <w:rFonts w:asciiTheme="minorHAnsi" w:hAnsiTheme="minorHAnsi"/>
          <w:color w:val="auto"/>
          <w:szCs w:val="24"/>
        </w:rPr>
        <w:t>.</w:t>
      </w:r>
      <w:r w:rsidR="00F94D46" w:rsidRPr="0079630A">
        <w:rPr>
          <w:rFonts w:asciiTheme="minorHAnsi" w:hAnsiTheme="minorHAnsi"/>
          <w:color w:val="auto"/>
          <w:szCs w:val="24"/>
        </w:rPr>
        <w:t xml:space="preserve">  </w:t>
      </w:r>
      <w:r w:rsidR="001A5E62" w:rsidRPr="0079630A">
        <w:rPr>
          <w:rFonts w:asciiTheme="minorHAnsi" w:hAnsiTheme="minorHAnsi"/>
          <w:color w:val="auto"/>
          <w:szCs w:val="24"/>
        </w:rPr>
        <w:t>No other conditions appeared on the MEB’s submission.  Other conditions included in the</w:t>
      </w:r>
      <w:r w:rsidR="00DC17F2" w:rsidRPr="0079630A">
        <w:rPr>
          <w:rFonts w:asciiTheme="minorHAnsi" w:hAnsiTheme="minorHAnsi"/>
          <w:color w:val="auto"/>
          <w:szCs w:val="24"/>
        </w:rPr>
        <w:t xml:space="preserve"> </w:t>
      </w:r>
      <w:r w:rsidR="00555C66" w:rsidRPr="0079630A">
        <w:rPr>
          <w:rFonts w:asciiTheme="minorHAnsi" w:hAnsiTheme="minorHAnsi"/>
          <w:color w:val="auto"/>
          <w:szCs w:val="24"/>
        </w:rPr>
        <w:t xml:space="preserve">Disability Evaluation System (DES) </w:t>
      </w:r>
      <w:r w:rsidR="00A85BFB" w:rsidRPr="0079630A">
        <w:rPr>
          <w:rFonts w:asciiTheme="minorHAnsi" w:hAnsiTheme="minorHAnsi"/>
          <w:color w:val="auto"/>
          <w:szCs w:val="24"/>
        </w:rPr>
        <w:t>file are</w:t>
      </w:r>
      <w:r w:rsidR="001A5E62" w:rsidRPr="0079630A">
        <w:rPr>
          <w:rFonts w:asciiTheme="minorHAnsi" w:hAnsiTheme="minorHAnsi"/>
          <w:color w:val="auto"/>
          <w:szCs w:val="24"/>
        </w:rPr>
        <w:t xml:space="preserve"> discussed below.</w:t>
      </w:r>
      <w:r w:rsidR="00F94D46" w:rsidRPr="0079630A">
        <w:rPr>
          <w:rFonts w:asciiTheme="minorHAnsi" w:hAnsiTheme="minorHAnsi"/>
          <w:color w:val="auto"/>
          <w:szCs w:val="24"/>
        </w:rPr>
        <w:t xml:space="preserve">  </w:t>
      </w:r>
      <w:r w:rsidR="00B20624" w:rsidRPr="0079630A">
        <w:rPr>
          <w:rFonts w:asciiTheme="minorHAnsi" w:hAnsiTheme="minorHAnsi"/>
          <w:color w:val="auto"/>
          <w:szCs w:val="24"/>
        </w:rPr>
        <w:t>The PEB</w:t>
      </w:r>
      <w:r w:rsidR="007828B4" w:rsidRPr="0079630A">
        <w:rPr>
          <w:rFonts w:asciiTheme="minorHAnsi" w:hAnsiTheme="minorHAnsi"/>
          <w:color w:val="auto"/>
          <w:szCs w:val="24"/>
        </w:rPr>
        <w:t xml:space="preserve"> </w:t>
      </w:r>
      <w:r w:rsidR="00B20624" w:rsidRPr="0079630A">
        <w:rPr>
          <w:rFonts w:asciiTheme="minorHAnsi" w:hAnsiTheme="minorHAnsi"/>
          <w:color w:val="auto"/>
          <w:szCs w:val="24"/>
        </w:rPr>
        <w:t xml:space="preserve">adjudicated the </w:t>
      </w:r>
      <w:r w:rsidR="00440405" w:rsidRPr="0079630A">
        <w:rPr>
          <w:rFonts w:asciiTheme="minorHAnsi" w:hAnsiTheme="minorHAnsi"/>
          <w:color w:val="auto"/>
          <w:szCs w:val="24"/>
        </w:rPr>
        <w:t xml:space="preserve">PTSD and </w:t>
      </w:r>
      <w:r w:rsidR="00DA6451" w:rsidRPr="0079630A">
        <w:rPr>
          <w:rFonts w:asciiTheme="minorHAnsi" w:hAnsiTheme="minorHAnsi"/>
          <w:color w:val="auto"/>
          <w:szCs w:val="24"/>
        </w:rPr>
        <w:t>LBP</w:t>
      </w:r>
      <w:r w:rsidR="00440405" w:rsidRPr="0079630A">
        <w:rPr>
          <w:rFonts w:asciiTheme="minorHAnsi" w:hAnsiTheme="minorHAnsi"/>
          <w:color w:val="auto"/>
          <w:szCs w:val="24"/>
        </w:rPr>
        <w:t xml:space="preserve"> </w:t>
      </w:r>
      <w:r w:rsidR="00C127F2" w:rsidRPr="0079630A">
        <w:rPr>
          <w:rFonts w:asciiTheme="minorHAnsi" w:hAnsiTheme="minorHAnsi"/>
          <w:color w:val="auto"/>
          <w:szCs w:val="24"/>
        </w:rPr>
        <w:t>condition</w:t>
      </w:r>
      <w:r w:rsidR="00440405" w:rsidRPr="0079630A">
        <w:rPr>
          <w:rFonts w:asciiTheme="minorHAnsi" w:hAnsiTheme="minorHAnsi"/>
          <w:color w:val="auto"/>
          <w:szCs w:val="24"/>
        </w:rPr>
        <w:t>s</w:t>
      </w:r>
      <w:r w:rsidR="00C127F2" w:rsidRPr="0079630A">
        <w:rPr>
          <w:rFonts w:asciiTheme="minorHAnsi" w:hAnsiTheme="minorHAnsi"/>
          <w:color w:val="auto"/>
          <w:szCs w:val="24"/>
        </w:rPr>
        <w:t xml:space="preserve"> </w:t>
      </w:r>
      <w:r w:rsidR="00B20624" w:rsidRPr="0079630A">
        <w:rPr>
          <w:rFonts w:asciiTheme="minorHAnsi" w:hAnsiTheme="minorHAnsi"/>
          <w:color w:val="auto"/>
          <w:szCs w:val="24"/>
        </w:rPr>
        <w:t xml:space="preserve">as unfitting, rated </w:t>
      </w:r>
      <w:r w:rsidR="00440405" w:rsidRPr="0079630A">
        <w:rPr>
          <w:rFonts w:asciiTheme="minorHAnsi" w:hAnsiTheme="minorHAnsi"/>
          <w:color w:val="auto"/>
          <w:szCs w:val="24"/>
        </w:rPr>
        <w:t>30</w:t>
      </w:r>
      <w:r w:rsidR="00B20624" w:rsidRPr="0079630A">
        <w:rPr>
          <w:rFonts w:asciiTheme="minorHAnsi" w:hAnsiTheme="minorHAnsi"/>
          <w:color w:val="auto"/>
          <w:szCs w:val="24"/>
        </w:rPr>
        <w:t>%</w:t>
      </w:r>
      <w:r w:rsidR="00B37345" w:rsidRPr="0079630A">
        <w:rPr>
          <w:rFonts w:asciiTheme="minorHAnsi" w:hAnsiTheme="minorHAnsi"/>
          <w:color w:val="auto"/>
          <w:szCs w:val="24"/>
        </w:rPr>
        <w:t xml:space="preserve"> and </w:t>
      </w:r>
      <w:r w:rsidR="00440405" w:rsidRPr="0079630A">
        <w:rPr>
          <w:rFonts w:asciiTheme="minorHAnsi" w:hAnsiTheme="minorHAnsi"/>
          <w:color w:val="auto"/>
          <w:szCs w:val="24"/>
        </w:rPr>
        <w:t>10</w:t>
      </w:r>
      <w:r w:rsidR="00D93A41" w:rsidRPr="0079630A">
        <w:rPr>
          <w:rFonts w:asciiTheme="minorHAnsi" w:hAnsiTheme="minorHAnsi"/>
          <w:color w:val="auto"/>
          <w:szCs w:val="24"/>
        </w:rPr>
        <w:t>% respectively</w:t>
      </w:r>
      <w:r w:rsidR="00B80EDD" w:rsidRPr="0079630A">
        <w:rPr>
          <w:rFonts w:asciiTheme="minorHAnsi" w:hAnsiTheme="minorHAnsi"/>
          <w:color w:val="auto"/>
          <w:szCs w:val="24"/>
        </w:rPr>
        <w:t>,</w:t>
      </w:r>
      <w:r w:rsidR="00B20624" w:rsidRPr="0079630A">
        <w:rPr>
          <w:rFonts w:asciiTheme="minorHAnsi" w:hAnsiTheme="minorHAnsi"/>
          <w:color w:val="auto"/>
          <w:szCs w:val="24"/>
        </w:rPr>
        <w:t xml:space="preserve"> with application of </w:t>
      </w:r>
      <w:r w:rsidR="0017080E" w:rsidRPr="0079630A">
        <w:rPr>
          <w:rFonts w:asciiTheme="minorHAnsi" w:hAnsiTheme="minorHAnsi"/>
          <w:color w:val="auto"/>
          <w:szCs w:val="24"/>
        </w:rPr>
        <w:t xml:space="preserve">Department of Defense Instruction (DoDI) 1332.39 and </w:t>
      </w:r>
      <w:r w:rsidR="00B20624" w:rsidRPr="0079630A">
        <w:rPr>
          <w:rFonts w:asciiTheme="minorHAnsi" w:hAnsiTheme="minorHAnsi"/>
          <w:color w:val="auto"/>
          <w:szCs w:val="24"/>
        </w:rPr>
        <w:t xml:space="preserve">the </w:t>
      </w:r>
      <w:r w:rsidR="00DA6451" w:rsidRPr="0079630A">
        <w:rPr>
          <w:rFonts w:asciiTheme="minorHAnsi" w:hAnsiTheme="minorHAnsi"/>
          <w:color w:val="auto"/>
          <w:szCs w:val="24"/>
        </w:rPr>
        <w:t>Veterans’ Administration Schedule for Rating Disabilities (VASRD)</w:t>
      </w:r>
      <w:r w:rsidR="0017080E" w:rsidRPr="0079630A">
        <w:rPr>
          <w:rFonts w:asciiTheme="minorHAnsi" w:hAnsiTheme="minorHAnsi"/>
          <w:color w:val="auto"/>
          <w:szCs w:val="24"/>
        </w:rPr>
        <w:t xml:space="preserve">, </w:t>
      </w:r>
      <w:r w:rsidR="0091544C" w:rsidRPr="0079630A">
        <w:rPr>
          <w:rFonts w:asciiTheme="minorHAnsi" w:hAnsiTheme="minorHAnsi"/>
          <w:color w:val="auto"/>
          <w:szCs w:val="24"/>
        </w:rPr>
        <w:t>respectively</w:t>
      </w:r>
      <w:r w:rsidR="00B20624" w:rsidRPr="0079630A">
        <w:rPr>
          <w:rFonts w:asciiTheme="minorHAnsi" w:hAnsiTheme="minorHAnsi"/>
          <w:color w:val="auto"/>
          <w:szCs w:val="24"/>
        </w:rPr>
        <w:t>.</w:t>
      </w:r>
      <w:r w:rsidR="00F94D46" w:rsidRPr="0079630A">
        <w:rPr>
          <w:rFonts w:asciiTheme="minorHAnsi" w:hAnsiTheme="minorHAnsi"/>
          <w:color w:val="auto"/>
          <w:szCs w:val="24"/>
        </w:rPr>
        <w:t xml:space="preserve">  </w:t>
      </w:r>
      <w:r w:rsidR="0014746D" w:rsidRPr="0079630A">
        <w:rPr>
          <w:rFonts w:asciiTheme="minorHAnsi" w:hAnsiTheme="minorHAnsi"/>
          <w:color w:val="auto"/>
          <w:szCs w:val="24"/>
        </w:rPr>
        <w:t xml:space="preserve">The </w:t>
      </w:r>
      <w:r w:rsidR="00AD7F8F" w:rsidRPr="0079630A">
        <w:rPr>
          <w:rFonts w:asciiTheme="minorHAnsi" w:hAnsiTheme="minorHAnsi"/>
          <w:color w:val="auto"/>
          <w:szCs w:val="24"/>
        </w:rPr>
        <w:t xml:space="preserve">CI </w:t>
      </w:r>
      <w:r w:rsidR="008B04DB" w:rsidRPr="0079630A">
        <w:rPr>
          <w:rFonts w:asciiTheme="minorHAnsi" w:hAnsiTheme="minorHAnsi"/>
          <w:color w:val="auto"/>
          <w:szCs w:val="24"/>
        </w:rPr>
        <w:t xml:space="preserve">was placed on </w:t>
      </w:r>
      <w:r w:rsidR="00705C40" w:rsidRPr="0079630A">
        <w:rPr>
          <w:rFonts w:asciiTheme="minorHAnsi" w:hAnsiTheme="minorHAnsi"/>
          <w:color w:val="auto"/>
          <w:szCs w:val="24"/>
        </w:rPr>
        <w:t>Temporary Disability Retired List (</w:t>
      </w:r>
      <w:r w:rsidR="008B04DB" w:rsidRPr="0079630A">
        <w:rPr>
          <w:rFonts w:asciiTheme="minorHAnsi" w:hAnsiTheme="minorHAnsi"/>
          <w:color w:val="auto"/>
          <w:szCs w:val="24"/>
        </w:rPr>
        <w:t>TDRL</w:t>
      </w:r>
      <w:r w:rsidR="00705C40" w:rsidRPr="0079630A">
        <w:rPr>
          <w:rFonts w:asciiTheme="minorHAnsi" w:hAnsiTheme="minorHAnsi"/>
          <w:color w:val="auto"/>
          <w:szCs w:val="24"/>
        </w:rPr>
        <w:t>)</w:t>
      </w:r>
      <w:r w:rsidR="002F2981" w:rsidRPr="0079630A">
        <w:rPr>
          <w:rFonts w:asciiTheme="minorHAnsi" w:hAnsiTheme="minorHAnsi"/>
          <w:color w:val="auto"/>
          <w:szCs w:val="24"/>
        </w:rPr>
        <w:t xml:space="preserve"> </w:t>
      </w:r>
      <w:r w:rsidR="008B04DB" w:rsidRPr="0079630A">
        <w:rPr>
          <w:rFonts w:asciiTheme="minorHAnsi" w:hAnsiTheme="minorHAnsi"/>
          <w:color w:val="auto"/>
          <w:szCs w:val="24"/>
        </w:rPr>
        <w:t>with ratings as reflected in the chart below.</w:t>
      </w:r>
      <w:r w:rsidR="00F94D46" w:rsidRPr="0079630A">
        <w:rPr>
          <w:rFonts w:asciiTheme="minorHAnsi" w:hAnsiTheme="minorHAnsi"/>
          <w:color w:val="auto"/>
          <w:szCs w:val="24"/>
        </w:rPr>
        <w:t xml:space="preserve"> </w:t>
      </w:r>
      <w:r w:rsidR="00A85BFB" w:rsidRPr="0079630A">
        <w:rPr>
          <w:rFonts w:asciiTheme="minorHAnsi" w:hAnsiTheme="minorHAnsi"/>
          <w:color w:val="auto"/>
          <w:szCs w:val="24"/>
        </w:rPr>
        <w:t xml:space="preserve"> </w:t>
      </w:r>
      <w:r w:rsidR="003370EA">
        <w:rPr>
          <w:color w:val="auto"/>
          <w:szCs w:val="24"/>
        </w:rPr>
        <w:t xml:space="preserve">A second </w:t>
      </w:r>
      <w:r w:rsidR="00DA6451" w:rsidRPr="0079630A">
        <w:rPr>
          <w:color w:val="auto"/>
          <w:szCs w:val="24"/>
        </w:rPr>
        <w:t>PEB</w:t>
      </w:r>
      <w:r w:rsidR="0014746D" w:rsidRPr="0079630A">
        <w:rPr>
          <w:color w:val="auto"/>
          <w:szCs w:val="24"/>
        </w:rPr>
        <w:t>,</w:t>
      </w:r>
      <w:r w:rsidR="00DA6451" w:rsidRPr="0079630A">
        <w:rPr>
          <w:color w:val="auto"/>
          <w:szCs w:val="24"/>
        </w:rPr>
        <w:t xml:space="preserve"> after approximately 20 months of TDRL</w:t>
      </w:r>
      <w:r w:rsidR="0014746D" w:rsidRPr="0079630A">
        <w:rPr>
          <w:color w:val="auto"/>
          <w:szCs w:val="24"/>
        </w:rPr>
        <w:t>,</w:t>
      </w:r>
      <w:r w:rsidR="00DA6451" w:rsidRPr="0079630A">
        <w:rPr>
          <w:color w:val="auto"/>
          <w:szCs w:val="24"/>
        </w:rPr>
        <w:t xml:space="preserve"> adjudicated the PTSD and LBP conditions as unfitting, rated 10% each, with </w:t>
      </w:r>
      <w:r w:rsidR="00E14686" w:rsidRPr="0079630A">
        <w:rPr>
          <w:color w:val="auto"/>
          <w:szCs w:val="24"/>
        </w:rPr>
        <w:t xml:space="preserve">likely </w:t>
      </w:r>
      <w:r w:rsidR="00DA6451" w:rsidRPr="0079630A">
        <w:rPr>
          <w:color w:val="auto"/>
          <w:szCs w:val="24"/>
        </w:rPr>
        <w:t xml:space="preserve">application of </w:t>
      </w:r>
      <w:r w:rsidR="00E14686" w:rsidRPr="0079630A">
        <w:rPr>
          <w:rFonts w:asciiTheme="minorHAnsi" w:hAnsiTheme="minorHAnsi"/>
          <w:color w:val="auto"/>
          <w:szCs w:val="24"/>
        </w:rPr>
        <w:t>DoDI 1332.39 and the US Army Physical Disability Agency (USAPDA) pain policy respectively.</w:t>
      </w:r>
      <w:r w:rsidR="00DA6451" w:rsidRPr="0079630A">
        <w:rPr>
          <w:rFonts w:asciiTheme="minorHAnsi" w:hAnsiTheme="minorHAnsi"/>
          <w:color w:val="auto"/>
          <w:szCs w:val="24"/>
        </w:rPr>
        <w:t xml:space="preserve">  </w:t>
      </w:r>
      <w:r w:rsidR="00B20624" w:rsidRPr="0079630A">
        <w:rPr>
          <w:rFonts w:asciiTheme="minorHAnsi" w:hAnsiTheme="minorHAnsi"/>
          <w:color w:val="auto"/>
        </w:rPr>
        <w:t xml:space="preserve">The CI </w:t>
      </w:r>
      <w:r w:rsidR="00190E48" w:rsidRPr="0079630A">
        <w:rPr>
          <w:rFonts w:asciiTheme="minorHAnsi" w:hAnsiTheme="minorHAnsi"/>
          <w:color w:val="auto"/>
        </w:rPr>
        <w:t xml:space="preserve">made no appeals, </w:t>
      </w:r>
      <w:r w:rsidR="00B20624" w:rsidRPr="0079630A">
        <w:rPr>
          <w:rFonts w:asciiTheme="minorHAnsi" w:hAnsiTheme="minorHAnsi"/>
          <w:color w:val="auto"/>
        </w:rPr>
        <w:t xml:space="preserve">and was medically separated with a </w:t>
      </w:r>
      <w:r w:rsidR="00440405" w:rsidRPr="0079630A">
        <w:rPr>
          <w:rFonts w:asciiTheme="minorHAnsi" w:hAnsiTheme="minorHAnsi"/>
          <w:color w:val="auto"/>
        </w:rPr>
        <w:t>20</w:t>
      </w:r>
      <w:r w:rsidR="00B20624" w:rsidRPr="0079630A">
        <w:rPr>
          <w:rFonts w:asciiTheme="minorHAnsi" w:hAnsiTheme="minorHAnsi"/>
          <w:color w:val="auto"/>
        </w:rPr>
        <w:t>% combined disability rating.</w:t>
      </w:r>
    </w:p>
    <w:p w:rsidR="008E0D8F" w:rsidRPr="0079630A"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612FB0" w:rsidRPr="0079630A" w:rsidRDefault="00612FB0" w:rsidP="00510F9C">
      <w:pPr>
        <w:tabs>
          <w:tab w:val="left" w:pos="288"/>
          <w:tab w:val="left" w:pos="4752"/>
        </w:tabs>
        <w:spacing w:line="240" w:lineRule="exact"/>
        <w:jc w:val="both"/>
        <w:rPr>
          <w:rFonts w:asciiTheme="minorHAnsi" w:hAnsiTheme="minorHAnsi"/>
          <w:color w:val="auto"/>
          <w:u w:val="single"/>
        </w:rPr>
      </w:pPr>
    </w:p>
    <w:p w:rsidR="005C4D72" w:rsidRPr="0079630A" w:rsidRDefault="002C6E5B" w:rsidP="00F94D46">
      <w:pPr>
        <w:autoSpaceDE w:val="0"/>
        <w:autoSpaceDN w:val="0"/>
        <w:adjustRightInd w:val="0"/>
        <w:spacing w:line="240" w:lineRule="exact"/>
        <w:jc w:val="both"/>
        <w:rPr>
          <w:rFonts w:eastAsiaTheme="minorHAnsi" w:cstheme="minorBidi"/>
          <w:color w:val="auto"/>
          <w:szCs w:val="24"/>
        </w:rPr>
      </w:pPr>
      <w:r w:rsidRPr="0079630A">
        <w:rPr>
          <w:rFonts w:asciiTheme="minorHAnsi" w:hAnsiTheme="minorHAnsi"/>
          <w:color w:val="auto"/>
          <w:u w:val="single"/>
        </w:rPr>
        <w:t>CI CONTENTION</w:t>
      </w:r>
      <w:r w:rsidRPr="0079630A">
        <w:rPr>
          <w:rFonts w:asciiTheme="minorHAnsi" w:hAnsiTheme="minorHAnsi"/>
          <w:color w:val="auto"/>
        </w:rPr>
        <w:t>:</w:t>
      </w:r>
      <w:r w:rsidR="00796695" w:rsidRPr="0079630A">
        <w:rPr>
          <w:rFonts w:asciiTheme="minorHAnsi" w:hAnsiTheme="minorHAnsi"/>
          <w:color w:val="auto"/>
        </w:rPr>
        <w:t xml:space="preserve">  “</w:t>
      </w:r>
      <w:r w:rsidR="00796695" w:rsidRPr="0079630A">
        <w:rPr>
          <w:color w:val="auto"/>
          <w:szCs w:val="24"/>
        </w:rPr>
        <w:t xml:space="preserve">I was assigned less than 50% disability </w:t>
      </w:r>
      <w:r w:rsidR="00796695" w:rsidRPr="0079630A">
        <w:rPr>
          <w:rFonts w:cs="Arial"/>
          <w:color w:val="auto"/>
          <w:szCs w:val="24"/>
        </w:rPr>
        <w:t xml:space="preserve">rating </w:t>
      </w:r>
      <w:r w:rsidR="00796695" w:rsidRPr="0079630A">
        <w:rPr>
          <w:color w:val="auto"/>
          <w:szCs w:val="24"/>
        </w:rPr>
        <w:t xml:space="preserve">by the military </w:t>
      </w:r>
      <w:r w:rsidR="00796695" w:rsidRPr="0079630A">
        <w:rPr>
          <w:rFonts w:cs="Arial"/>
          <w:color w:val="auto"/>
          <w:szCs w:val="24"/>
        </w:rPr>
        <w:t xml:space="preserve">for </w:t>
      </w:r>
      <w:r w:rsidR="00796695" w:rsidRPr="0079630A">
        <w:rPr>
          <w:color w:val="auto"/>
          <w:szCs w:val="24"/>
        </w:rPr>
        <w:t xml:space="preserve">my </w:t>
      </w:r>
      <w:r w:rsidR="00796695" w:rsidRPr="0079630A">
        <w:rPr>
          <w:rFonts w:cs="Arial"/>
          <w:color w:val="auto"/>
          <w:szCs w:val="24"/>
        </w:rPr>
        <w:t xml:space="preserve">unfitting </w:t>
      </w:r>
      <w:r w:rsidR="00796695" w:rsidRPr="0079630A">
        <w:rPr>
          <w:color w:val="auto"/>
          <w:szCs w:val="24"/>
        </w:rPr>
        <w:t xml:space="preserve">PTSD upon discharge </w:t>
      </w:r>
      <w:r w:rsidR="00796695" w:rsidRPr="0079630A">
        <w:rPr>
          <w:rFonts w:cs="Arial"/>
          <w:color w:val="auto"/>
          <w:szCs w:val="24"/>
        </w:rPr>
        <w:t xml:space="preserve">from </w:t>
      </w:r>
      <w:r w:rsidR="00796695" w:rsidRPr="0079630A">
        <w:rPr>
          <w:color w:val="auto"/>
          <w:szCs w:val="24"/>
        </w:rPr>
        <w:t>active duty.</w:t>
      </w:r>
      <w:r w:rsidR="00DC5856" w:rsidRPr="0079630A">
        <w:rPr>
          <w:color w:val="auto"/>
          <w:szCs w:val="24"/>
        </w:rPr>
        <w:t xml:space="preserve"> </w:t>
      </w:r>
      <w:r w:rsidR="00796695" w:rsidRPr="0079630A">
        <w:rPr>
          <w:color w:val="auto"/>
          <w:szCs w:val="24"/>
        </w:rPr>
        <w:t xml:space="preserve"> In accordance with the class</w:t>
      </w:r>
      <w:r w:rsidR="00A77620" w:rsidRPr="0079630A">
        <w:rPr>
          <w:color w:val="auto"/>
          <w:szCs w:val="24"/>
        </w:rPr>
        <w:t xml:space="preserve"> </w:t>
      </w:r>
      <w:r w:rsidR="00796695" w:rsidRPr="0079630A">
        <w:rPr>
          <w:color w:val="auto"/>
          <w:szCs w:val="24"/>
        </w:rPr>
        <w:t>action notice, assign the highest f</w:t>
      </w:r>
      <w:r w:rsidR="00A77620" w:rsidRPr="0079630A">
        <w:rPr>
          <w:color w:val="auto"/>
          <w:szCs w:val="24"/>
        </w:rPr>
        <w:t>in</w:t>
      </w:r>
      <w:r w:rsidR="00796695" w:rsidRPr="0079630A">
        <w:rPr>
          <w:color w:val="auto"/>
          <w:szCs w:val="24"/>
        </w:rPr>
        <w:t xml:space="preserve">al disability rating applicable consistent with 38 CFR4.129 and </w:t>
      </w:r>
      <w:proofErr w:type="gramStart"/>
      <w:r w:rsidR="00796695" w:rsidRPr="0079630A">
        <w:rPr>
          <w:color w:val="auto"/>
          <w:szCs w:val="24"/>
        </w:rPr>
        <w:t>DoD</w:t>
      </w:r>
      <w:proofErr w:type="gramEnd"/>
      <w:r w:rsidR="00796695" w:rsidRPr="0079630A">
        <w:rPr>
          <w:color w:val="auto"/>
          <w:szCs w:val="24"/>
        </w:rPr>
        <w:t>,</w:t>
      </w:r>
      <w:r w:rsidR="00A77620" w:rsidRPr="0079630A">
        <w:rPr>
          <w:color w:val="auto"/>
          <w:szCs w:val="24"/>
        </w:rPr>
        <w:t xml:space="preserve"> </w:t>
      </w:r>
      <w:r w:rsidR="00796695" w:rsidRPr="0079630A">
        <w:rPr>
          <w:color w:val="auto"/>
          <w:szCs w:val="24"/>
        </w:rPr>
        <w:t>p</w:t>
      </w:r>
      <w:r w:rsidR="00A77620" w:rsidRPr="0079630A">
        <w:rPr>
          <w:color w:val="auto"/>
          <w:szCs w:val="24"/>
        </w:rPr>
        <w:t>o</w:t>
      </w:r>
      <w:r w:rsidR="00796695" w:rsidRPr="0079630A">
        <w:rPr>
          <w:color w:val="auto"/>
          <w:szCs w:val="24"/>
        </w:rPr>
        <w:t>licy, to the extent such increase will not</w:t>
      </w:r>
      <w:r w:rsidR="00A77620" w:rsidRPr="0079630A">
        <w:rPr>
          <w:color w:val="auto"/>
          <w:szCs w:val="24"/>
        </w:rPr>
        <w:t xml:space="preserve"> </w:t>
      </w:r>
      <w:r w:rsidR="00796695" w:rsidRPr="0079630A">
        <w:rPr>
          <w:color w:val="auto"/>
          <w:szCs w:val="24"/>
        </w:rPr>
        <w:t>adverse</w:t>
      </w:r>
      <w:r w:rsidR="00A77620" w:rsidRPr="0079630A">
        <w:rPr>
          <w:color w:val="auto"/>
          <w:szCs w:val="24"/>
        </w:rPr>
        <w:t>ly affect my total compensation</w:t>
      </w:r>
      <w:r w:rsidR="00796695" w:rsidRPr="0079630A">
        <w:rPr>
          <w:color w:val="auto"/>
          <w:szCs w:val="24"/>
        </w:rPr>
        <w:t>, including but not limited to compensation pursuant to CRSC</w:t>
      </w:r>
      <w:r w:rsidR="00A77620" w:rsidRPr="0079630A">
        <w:rPr>
          <w:color w:val="auto"/>
          <w:szCs w:val="24"/>
        </w:rPr>
        <w:t xml:space="preserve">. </w:t>
      </w:r>
      <w:r w:rsidR="00DC5856" w:rsidRPr="0079630A">
        <w:rPr>
          <w:color w:val="auto"/>
          <w:szCs w:val="24"/>
        </w:rPr>
        <w:t xml:space="preserve"> </w:t>
      </w:r>
      <w:r w:rsidR="00A77620" w:rsidRPr="0079630A">
        <w:rPr>
          <w:color w:val="auto"/>
          <w:szCs w:val="24"/>
        </w:rPr>
        <w:t>Change the ratings for these conditions to the highest rating possible.”</w:t>
      </w:r>
      <w:r w:rsidR="00FB652B" w:rsidRPr="0079630A">
        <w:rPr>
          <w:color w:val="auto"/>
          <w:szCs w:val="24"/>
        </w:rPr>
        <w:t xml:space="preserve">  </w:t>
      </w:r>
      <w:r w:rsidR="00ED5284" w:rsidRPr="0079630A">
        <w:rPr>
          <w:rFonts w:eastAsiaTheme="minorHAnsi" w:cstheme="minorBidi"/>
          <w:color w:val="auto"/>
          <w:szCs w:val="24"/>
        </w:rPr>
        <w:t>He additionally lists all of his VA conditions and ratings as per the rating chart below.  A contention for their inclusion in the separation rating is therefore implied.</w:t>
      </w:r>
      <w:r w:rsidR="00D6614E" w:rsidRPr="0079630A">
        <w:rPr>
          <w:rFonts w:eastAsiaTheme="minorHAnsi" w:cstheme="minorBidi"/>
          <w:color w:val="auto"/>
          <w:szCs w:val="24"/>
        </w:rPr>
        <w:t xml:space="preserve">  </w:t>
      </w:r>
      <w:r w:rsidR="00D6614E" w:rsidRPr="0079630A">
        <w:rPr>
          <w:color w:val="auto"/>
          <w:szCs w:val="24"/>
        </w:rPr>
        <w:t xml:space="preserve">All service conditions are reviewed by the Board for their potential contribution to its rating recommendations.  This case </w:t>
      </w:r>
      <w:r w:rsidR="0014746D" w:rsidRPr="0079630A">
        <w:rPr>
          <w:color w:val="auto"/>
          <w:szCs w:val="24"/>
        </w:rPr>
        <w:t>wa</w:t>
      </w:r>
      <w:r w:rsidR="00D6614E" w:rsidRPr="0079630A">
        <w:rPr>
          <w:color w:val="auto"/>
          <w:szCs w:val="24"/>
        </w:rPr>
        <w:t xml:space="preserve">s </w:t>
      </w:r>
      <w:r w:rsidR="0014746D" w:rsidRPr="0079630A">
        <w:rPr>
          <w:color w:val="auto"/>
          <w:szCs w:val="24"/>
        </w:rPr>
        <w:t xml:space="preserve">adjudicated following settlement of the </w:t>
      </w:r>
      <w:r w:rsidR="00D6614E" w:rsidRPr="0079630A">
        <w:rPr>
          <w:i/>
          <w:color w:val="auto"/>
          <w:szCs w:val="24"/>
        </w:rPr>
        <w:t>Sabo v. United States</w:t>
      </w:r>
      <w:r w:rsidR="00D6614E" w:rsidRPr="0079630A">
        <w:rPr>
          <w:color w:val="auto"/>
          <w:szCs w:val="24"/>
        </w:rPr>
        <w:t xml:space="preserve"> class action suit</w:t>
      </w:r>
      <w:r w:rsidR="00D6614E" w:rsidRPr="0079630A">
        <w:rPr>
          <w:rFonts w:asciiTheme="minorHAnsi" w:hAnsiTheme="minorHAnsi"/>
          <w:color w:val="auto"/>
          <w:szCs w:val="24"/>
        </w:rPr>
        <w:t>.</w:t>
      </w:r>
    </w:p>
    <w:p w:rsidR="003E1682" w:rsidRPr="0079630A" w:rsidRDefault="003E1682" w:rsidP="00510F9C">
      <w:pPr>
        <w:pBdr>
          <w:bottom w:val="single" w:sz="12" w:space="1" w:color="auto"/>
        </w:pBdr>
        <w:spacing w:line="240" w:lineRule="exact"/>
        <w:rPr>
          <w:rFonts w:asciiTheme="minorHAnsi" w:hAnsiTheme="minorHAnsi"/>
          <w:color w:val="auto"/>
          <w:u w:val="single"/>
        </w:rPr>
      </w:pPr>
    </w:p>
    <w:p w:rsidR="00FB652B" w:rsidRPr="0079630A" w:rsidRDefault="00FB652B" w:rsidP="00510F9C">
      <w:pPr>
        <w:spacing w:line="240" w:lineRule="exact"/>
        <w:rPr>
          <w:rFonts w:asciiTheme="minorHAnsi" w:hAnsiTheme="minorHAnsi"/>
          <w:color w:val="auto"/>
          <w:u w:val="single"/>
        </w:rPr>
      </w:pPr>
    </w:p>
    <w:p w:rsidR="00F94D46" w:rsidRPr="0079630A" w:rsidRDefault="00F94D46">
      <w:pPr>
        <w:rPr>
          <w:rFonts w:asciiTheme="minorHAnsi" w:hAnsiTheme="minorHAnsi"/>
          <w:color w:val="auto"/>
          <w:u w:val="single"/>
        </w:rPr>
      </w:pPr>
      <w:r w:rsidRPr="0079630A">
        <w:rPr>
          <w:rFonts w:asciiTheme="minorHAnsi" w:hAnsiTheme="minorHAnsi"/>
          <w:color w:val="auto"/>
          <w:u w:val="single"/>
        </w:rPr>
        <w:br w:type="page"/>
      </w:r>
    </w:p>
    <w:p w:rsidR="002338CA" w:rsidRPr="0079630A" w:rsidRDefault="007F0AB7" w:rsidP="00510F9C">
      <w:pPr>
        <w:spacing w:line="240" w:lineRule="exact"/>
        <w:rPr>
          <w:rFonts w:asciiTheme="minorHAnsi" w:hAnsiTheme="minorHAnsi"/>
          <w:color w:val="auto"/>
        </w:rPr>
      </w:pPr>
      <w:r w:rsidRPr="0079630A">
        <w:rPr>
          <w:rFonts w:asciiTheme="minorHAnsi" w:hAnsiTheme="minorHAnsi"/>
          <w:color w:val="auto"/>
          <w:u w:val="single"/>
        </w:rPr>
        <w:lastRenderedPageBreak/>
        <w:t>R</w:t>
      </w:r>
      <w:r w:rsidR="002C6E5B" w:rsidRPr="0079630A">
        <w:rPr>
          <w:rFonts w:asciiTheme="minorHAnsi" w:hAnsiTheme="minorHAnsi"/>
          <w:color w:val="auto"/>
          <w:u w:val="single"/>
        </w:rPr>
        <w:t>ATING COMPARISON</w:t>
      </w:r>
      <w:r w:rsidR="002C6E5B" w:rsidRPr="0079630A">
        <w:rPr>
          <w:rFonts w:asciiTheme="minorHAnsi" w:hAnsiTheme="minorHAnsi"/>
          <w:color w:val="auto"/>
        </w:rPr>
        <w:t>:</w:t>
      </w:r>
    </w:p>
    <w:p w:rsidR="000145ED" w:rsidRPr="0079630A" w:rsidRDefault="000145ED" w:rsidP="000145ED">
      <w:pPr>
        <w:tabs>
          <w:tab w:val="left" w:pos="288"/>
          <w:tab w:val="left" w:pos="4752"/>
        </w:tabs>
        <w:spacing w:line="240" w:lineRule="exact"/>
        <w:jc w:val="both"/>
        <w:rPr>
          <w:rFonts w:asciiTheme="minorHAnsi" w:hAnsiTheme="minorHAnsi"/>
          <w:b/>
          <w:color w:val="auto"/>
          <w:szCs w:val="24"/>
          <w:u w:val="single"/>
        </w:rPr>
      </w:pPr>
    </w:p>
    <w:tbl>
      <w:tblPr>
        <w:tblStyle w:val="TableGrid"/>
        <w:tblW w:w="9299" w:type="dxa"/>
        <w:jc w:val="center"/>
        <w:tblInd w:w="196" w:type="dxa"/>
        <w:tblLayout w:type="fixed"/>
        <w:tblLook w:val="04A0"/>
      </w:tblPr>
      <w:tblGrid>
        <w:gridCol w:w="1838"/>
        <w:gridCol w:w="1003"/>
        <w:gridCol w:w="720"/>
        <w:gridCol w:w="630"/>
        <w:gridCol w:w="1350"/>
        <w:gridCol w:w="720"/>
        <w:gridCol w:w="960"/>
        <w:gridCol w:w="300"/>
        <w:gridCol w:w="698"/>
        <w:gridCol w:w="1080"/>
      </w:tblGrid>
      <w:tr w:rsidR="00C56601" w:rsidRPr="0079630A" w:rsidTr="00C43084">
        <w:trPr>
          <w:trHeight w:val="233"/>
          <w:jc w:val="center"/>
        </w:trPr>
        <w:tc>
          <w:tcPr>
            <w:tcW w:w="4191" w:type="dxa"/>
            <w:gridSpan w:val="4"/>
            <w:tcBorders>
              <w:right w:val="thinThickThinSmallGap" w:sz="24" w:space="0" w:color="auto"/>
            </w:tcBorders>
            <w:shd w:val="clear" w:color="auto" w:fill="D9D9D9" w:themeFill="background1" w:themeFillShade="D9"/>
            <w:vAlign w:val="center"/>
          </w:tcPr>
          <w:p w:rsidR="00C56601" w:rsidRPr="0079630A" w:rsidRDefault="00C56601" w:rsidP="00FB652B">
            <w:pPr>
              <w:spacing w:line="200" w:lineRule="exact"/>
              <w:contextualSpacing/>
              <w:jc w:val="center"/>
              <w:rPr>
                <w:b/>
                <w:color w:val="auto"/>
                <w:sz w:val="20"/>
                <w:szCs w:val="20"/>
              </w:rPr>
            </w:pPr>
            <w:r w:rsidRPr="0079630A">
              <w:rPr>
                <w:b/>
                <w:color w:val="auto"/>
                <w:sz w:val="20"/>
                <w:szCs w:val="20"/>
              </w:rPr>
              <w:t>Final Service IPEB – Dated 20060112</w:t>
            </w:r>
          </w:p>
        </w:tc>
        <w:tc>
          <w:tcPr>
            <w:tcW w:w="5108" w:type="dxa"/>
            <w:gridSpan w:val="6"/>
            <w:tcBorders>
              <w:left w:val="thinThickThinSmallGap" w:sz="24" w:space="0" w:color="auto"/>
            </w:tcBorders>
            <w:shd w:val="clear" w:color="auto" w:fill="D9D9D9" w:themeFill="background1" w:themeFillShade="D9"/>
            <w:vAlign w:val="center"/>
          </w:tcPr>
          <w:p w:rsidR="00C56601" w:rsidRPr="0079630A" w:rsidRDefault="00C56601" w:rsidP="00C56601">
            <w:pPr>
              <w:spacing w:line="200" w:lineRule="exact"/>
              <w:contextualSpacing/>
              <w:jc w:val="center"/>
              <w:rPr>
                <w:b/>
                <w:color w:val="auto"/>
                <w:sz w:val="20"/>
              </w:rPr>
            </w:pPr>
            <w:r w:rsidRPr="0079630A">
              <w:rPr>
                <w:b/>
                <w:color w:val="auto"/>
                <w:sz w:val="20"/>
                <w:szCs w:val="20"/>
              </w:rPr>
              <w:t>VA*</w:t>
            </w:r>
          </w:p>
        </w:tc>
      </w:tr>
      <w:tr w:rsidR="00C56601" w:rsidRPr="0079630A" w:rsidTr="00C43084">
        <w:trPr>
          <w:trHeight w:val="233"/>
          <w:jc w:val="center"/>
        </w:trPr>
        <w:tc>
          <w:tcPr>
            <w:tcW w:w="1838" w:type="dxa"/>
            <w:tcBorders>
              <w:bottom w:val="single" w:sz="4" w:space="0" w:color="000000" w:themeColor="text1"/>
            </w:tcBorders>
            <w:shd w:val="clear" w:color="auto" w:fill="D9D9D9" w:themeFill="background1" w:themeFillShade="D9"/>
            <w:vAlign w:val="center"/>
          </w:tcPr>
          <w:p w:rsidR="00C56601" w:rsidRPr="0079630A" w:rsidRDefault="00C56601" w:rsidP="00D046E1">
            <w:pPr>
              <w:spacing w:line="200" w:lineRule="exact"/>
              <w:contextualSpacing/>
              <w:jc w:val="center"/>
              <w:rPr>
                <w:b/>
                <w:color w:val="auto"/>
                <w:sz w:val="20"/>
                <w:szCs w:val="20"/>
              </w:rPr>
            </w:pPr>
            <w:r w:rsidRPr="0079630A">
              <w:rPr>
                <w:b/>
                <w:color w:val="auto"/>
                <w:sz w:val="20"/>
                <w:szCs w:val="20"/>
              </w:rPr>
              <w:t>Condition</w:t>
            </w:r>
          </w:p>
        </w:tc>
        <w:tc>
          <w:tcPr>
            <w:tcW w:w="1003" w:type="dxa"/>
            <w:tcBorders>
              <w:bottom w:val="single" w:sz="4" w:space="0" w:color="000000" w:themeColor="text1"/>
            </w:tcBorders>
            <w:shd w:val="clear" w:color="auto" w:fill="D9D9D9" w:themeFill="background1" w:themeFillShade="D9"/>
            <w:vAlign w:val="center"/>
          </w:tcPr>
          <w:p w:rsidR="00C56601" w:rsidRPr="0079630A" w:rsidRDefault="00C56601" w:rsidP="00D046E1">
            <w:pPr>
              <w:spacing w:line="200" w:lineRule="exact"/>
              <w:contextualSpacing/>
              <w:jc w:val="center"/>
              <w:rPr>
                <w:b/>
                <w:color w:val="auto"/>
                <w:sz w:val="20"/>
                <w:szCs w:val="20"/>
              </w:rPr>
            </w:pPr>
            <w:r w:rsidRPr="0079630A">
              <w:rPr>
                <w:b/>
                <w:color w:val="auto"/>
                <w:sz w:val="20"/>
                <w:szCs w:val="20"/>
              </w:rPr>
              <w:t>Code</w:t>
            </w:r>
          </w:p>
        </w:tc>
        <w:tc>
          <w:tcPr>
            <w:tcW w:w="1350" w:type="dxa"/>
            <w:gridSpan w:val="2"/>
            <w:tcBorders>
              <w:bottom w:val="single" w:sz="4" w:space="0" w:color="000000" w:themeColor="text1"/>
              <w:right w:val="thinThickThinSmallGap" w:sz="24" w:space="0" w:color="auto"/>
            </w:tcBorders>
            <w:shd w:val="clear" w:color="auto" w:fill="D9D9D9" w:themeFill="background1" w:themeFillShade="D9"/>
            <w:vAlign w:val="center"/>
          </w:tcPr>
          <w:p w:rsidR="00C56601" w:rsidRPr="0079630A" w:rsidRDefault="00C56601" w:rsidP="00D046E1">
            <w:pPr>
              <w:spacing w:line="200" w:lineRule="exact"/>
              <w:contextualSpacing/>
              <w:jc w:val="center"/>
              <w:rPr>
                <w:b/>
                <w:color w:val="auto"/>
                <w:sz w:val="20"/>
                <w:szCs w:val="20"/>
              </w:rPr>
            </w:pPr>
            <w:r w:rsidRPr="0079630A">
              <w:rPr>
                <w:b/>
                <w:color w:val="auto"/>
                <w:sz w:val="20"/>
                <w:szCs w:val="20"/>
              </w:rPr>
              <w:t>Rating</w:t>
            </w:r>
          </w:p>
        </w:tc>
        <w:tc>
          <w:tcPr>
            <w:tcW w:w="1350" w:type="dxa"/>
            <w:vMerge w:val="restart"/>
            <w:tcBorders>
              <w:left w:val="thinThickThinSmallGap" w:sz="24" w:space="0" w:color="auto"/>
            </w:tcBorders>
            <w:shd w:val="clear" w:color="auto" w:fill="D9D9D9" w:themeFill="background1" w:themeFillShade="D9"/>
            <w:vAlign w:val="center"/>
          </w:tcPr>
          <w:p w:rsidR="00C56601" w:rsidRPr="0079630A" w:rsidRDefault="00C56601" w:rsidP="00D046E1">
            <w:pPr>
              <w:spacing w:line="200" w:lineRule="exact"/>
              <w:contextualSpacing/>
              <w:jc w:val="center"/>
              <w:rPr>
                <w:b/>
                <w:color w:val="auto"/>
                <w:sz w:val="20"/>
                <w:szCs w:val="20"/>
              </w:rPr>
            </w:pPr>
            <w:r w:rsidRPr="0079630A">
              <w:rPr>
                <w:b/>
                <w:color w:val="auto"/>
                <w:sz w:val="20"/>
                <w:szCs w:val="20"/>
              </w:rPr>
              <w:t>Condition</w:t>
            </w:r>
          </w:p>
        </w:tc>
        <w:tc>
          <w:tcPr>
            <w:tcW w:w="720" w:type="dxa"/>
            <w:vMerge w:val="restart"/>
            <w:shd w:val="clear" w:color="auto" w:fill="D9D9D9" w:themeFill="background1" w:themeFillShade="D9"/>
            <w:vAlign w:val="center"/>
          </w:tcPr>
          <w:p w:rsidR="00C56601" w:rsidRPr="0079630A" w:rsidRDefault="00C56601" w:rsidP="00D046E1">
            <w:pPr>
              <w:spacing w:line="200" w:lineRule="exact"/>
              <w:contextualSpacing/>
              <w:jc w:val="center"/>
              <w:rPr>
                <w:b/>
                <w:color w:val="auto"/>
                <w:sz w:val="20"/>
                <w:szCs w:val="20"/>
              </w:rPr>
            </w:pPr>
            <w:r w:rsidRPr="0079630A">
              <w:rPr>
                <w:b/>
                <w:color w:val="auto"/>
                <w:sz w:val="20"/>
                <w:szCs w:val="20"/>
              </w:rPr>
              <w:t>Code</w:t>
            </w:r>
          </w:p>
        </w:tc>
        <w:tc>
          <w:tcPr>
            <w:tcW w:w="960" w:type="dxa"/>
            <w:vMerge w:val="restart"/>
            <w:shd w:val="clear" w:color="auto" w:fill="D9D9D9" w:themeFill="background1" w:themeFillShade="D9"/>
            <w:vAlign w:val="center"/>
          </w:tcPr>
          <w:p w:rsidR="00C56601" w:rsidRPr="0079630A" w:rsidRDefault="00C56601" w:rsidP="00D046E1">
            <w:pPr>
              <w:spacing w:line="200" w:lineRule="exact"/>
              <w:contextualSpacing/>
              <w:jc w:val="center"/>
              <w:rPr>
                <w:b/>
                <w:color w:val="auto"/>
                <w:sz w:val="20"/>
                <w:szCs w:val="20"/>
              </w:rPr>
            </w:pPr>
            <w:r w:rsidRPr="0079630A">
              <w:rPr>
                <w:b/>
                <w:color w:val="auto"/>
                <w:sz w:val="20"/>
                <w:szCs w:val="20"/>
              </w:rPr>
              <w:t>Rating</w:t>
            </w:r>
          </w:p>
        </w:tc>
        <w:tc>
          <w:tcPr>
            <w:tcW w:w="998" w:type="dxa"/>
            <w:gridSpan w:val="2"/>
            <w:vMerge w:val="restart"/>
            <w:shd w:val="clear" w:color="auto" w:fill="D9D9D9" w:themeFill="background1" w:themeFillShade="D9"/>
            <w:vAlign w:val="center"/>
          </w:tcPr>
          <w:p w:rsidR="00C56601" w:rsidRPr="0079630A" w:rsidRDefault="00C56601" w:rsidP="00D046E1">
            <w:pPr>
              <w:spacing w:line="200" w:lineRule="exact"/>
              <w:contextualSpacing/>
              <w:jc w:val="center"/>
              <w:rPr>
                <w:b/>
                <w:color w:val="auto"/>
                <w:sz w:val="20"/>
                <w:szCs w:val="20"/>
              </w:rPr>
            </w:pPr>
            <w:r w:rsidRPr="0079630A">
              <w:rPr>
                <w:b/>
                <w:color w:val="auto"/>
                <w:sz w:val="20"/>
                <w:szCs w:val="20"/>
              </w:rPr>
              <w:t>Exam</w:t>
            </w:r>
          </w:p>
        </w:tc>
        <w:tc>
          <w:tcPr>
            <w:tcW w:w="1080" w:type="dxa"/>
            <w:vMerge w:val="restart"/>
            <w:shd w:val="clear" w:color="auto" w:fill="D9D9D9" w:themeFill="background1" w:themeFillShade="D9"/>
            <w:vAlign w:val="center"/>
          </w:tcPr>
          <w:p w:rsidR="00C56601" w:rsidRPr="0079630A" w:rsidRDefault="00C56601" w:rsidP="00C56601">
            <w:pPr>
              <w:spacing w:line="200" w:lineRule="exact"/>
              <w:contextualSpacing/>
              <w:jc w:val="center"/>
              <w:rPr>
                <w:b/>
                <w:color w:val="auto"/>
                <w:sz w:val="20"/>
              </w:rPr>
            </w:pPr>
            <w:r w:rsidRPr="0079630A">
              <w:rPr>
                <w:b/>
                <w:color w:val="auto"/>
                <w:sz w:val="20"/>
              </w:rPr>
              <w:t>Effective</w:t>
            </w:r>
          </w:p>
        </w:tc>
      </w:tr>
      <w:tr w:rsidR="00C56601" w:rsidRPr="0079630A" w:rsidTr="00C43084">
        <w:trPr>
          <w:trHeight w:val="152"/>
          <w:jc w:val="center"/>
        </w:trPr>
        <w:tc>
          <w:tcPr>
            <w:tcW w:w="1838" w:type="dxa"/>
            <w:shd w:val="clear" w:color="auto" w:fill="D9D9D9" w:themeFill="background1" w:themeFillShade="D9"/>
            <w:vAlign w:val="center"/>
          </w:tcPr>
          <w:p w:rsidR="00C56601" w:rsidRPr="0079630A" w:rsidRDefault="00C43084" w:rsidP="00C43084">
            <w:pPr>
              <w:spacing w:line="200" w:lineRule="exact"/>
              <w:contextualSpacing/>
              <w:jc w:val="center"/>
              <w:rPr>
                <w:b/>
                <w:color w:val="auto"/>
                <w:sz w:val="20"/>
                <w:szCs w:val="20"/>
              </w:rPr>
            </w:pPr>
            <w:r w:rsidRPr="0079630A">
              <w:rPr>
                <w:b/>
                <w:color w:val="auto"/>
                <w:sz w:val="20"/>
                <w:szCs w:val="20"/>
              </w:rPr>
              <w:t>On TDRL–</w:t>
            </w:r>
            <w:r w:rsidR="00C56601" w:rsidRPr="0079630A">
              <w:rPr>
                <w:b/>
                <w:color w:val="auto"/>
                <w:sz w:val="20"/>
                <w:szCs w:val="20"/>
              </w:rPr>
              <w:t>20040515</w:t>
            </w:r>
          </w:p>
        </w:tc>
        <w:tc>
          <w:tcPr>
            <w:tcW w:w="1003" w:type="dxa"/>
            <w:shd w:val="clear" w:color="auto" w:fill="D9D9D9" w:themeFill="background1" w:themeFillShade="D9"/>
            <w:vAlign w:val="center"/>
          </w:tcPr>
          <w:p w:rsidR="00C56601" w:rsidRPr="0079630A" w:rsidRDefault="00C56601" w:rsidP="00D046E1">
            <w:pPr>
              <w:spacing w:line="200" w:lineRule="exact"/>
              <w:contextualSpacing/>
              <w:jc w:val="center"/>
              <w:rPr>
                <w:color w:val="auto"/>
                <w:sz w:val="20"/>
                <w:szCs w:val="20"/>
              </w:rPr>
            </w:pPr>
          </w:p>
        </w:tc>
        <w:tc>
          <w:tcPr>
            <w:tcW w:w="720" w:type="dxa"/>
            <w:tcBorders>
              <w:right w:val="single" w:sz="4" w:space="0" w:color="auto"/>
            </w:tcBorders>
            <w:shd w:val="clear" w:color="auto" w:fill="D9D9D9" w:themeFill="background1" w:themeFillShade="D9"/>
            <w:vAlign w:val="center"/>
          </w:tcPr>
          <w:p w:rsidR="00C56601" w:rsidRPr="0079630A" w:rsidRDefault="00C56601" w:rsidP="00D046E1">
            <w:pPr>
              <w:spacing w:line="200" w:lineRule="exact"/>
              <w:contextualSpacing/>
              <w:jc w:val="center"/>
              <w:rPr>
                <w:b/>
                <w:color w:val="auto"/>
                <w:sz w:val="20"/>
                <w:szCs w:val="20"/>
              </w:rPr>
            </w:pPr>
            <w:r w:rsidRPr="0079630A">
              <w:rPr>
                <w:b/>
                <w:color w:val="auto"/>
                <w:sz w:val="20"/>
                <w:szCs w:val="20"/>
              </w:rPr>
              <w:t>TDRL</w:t>
            </w:r>
          </w:p>
        </w:tc>
        <w:tc>
          <w:tcPr>
            <w:tcW w:w="630" w:type="dxa"/>
            <w:tcBorders>
              <w:left w:val="single" w:sz="4" w:space="0" w:color="auto"/>
              <w:right w:val="thinThickThinSmallGap" w:sz="24" w:space="0" w:color="auto"/>
            </w:tcBorders>
            <w:shd w:val="clear" w:color="auto" w:fill="D9D9D9" w:themeFill="background1" w:themeFillShade="D9"/>
            <w:vAlign w:val="center"/>
          </w:tcPr>
          <w:p w:rsidR="00C56601" w:rsidRPr="0079630A" w:rsidRDefault="00C56601" w:rsidP="00D046E1">
            <w:pPr>
              <w:tabs>
                <w:tab w:val="left" w:pos="206"/>
                <w:tab w:val="center" w:pos="387"/>
              </w:tabs>
              <w:spacing w:line="200" w:lineRule="exact"/>
              <w:contextualSpacing/>
              <w:jc w:val="center"/>
              <w:rPr>
                <w:b/>
                <w:color w:val="auto"/>
                <w:sz w:val="20"/>
                <w:szCs w:val="20"/>
              </w:rPr>
            </w:pPr>
            <w:r w:rsidRPr="0079630A">
              <w:rPr>
                <w:b/>
                <w:color w:val="auto"/>
                <w:sz w:val="20"/>
                <w:szCs w:val="20"/>
              </w:rPr>
              <w:t>Sep.</w:t>
            </w:r>
          </w:p>
        </w:tc>
        <w:tc>
          <w:tcPr>
            <w:tcW w:w="1350" w:type="dxa"/>
            <w:vMerge/>
            <w:tcBorders>
              <w:left w:val="thinThickThinSmallGap" w:sz="24" w:space="0" w:color="auto"/>
            </w:tcBorders>
            <w:shd w:val="clear" w:color="auto" w:fill="D9D9D9" w:themeFill="background1" w:themeFillShade="D9"/>
            <w:vAlign w:val="center"/>
          </w:tcPr>
          <w:p w:rsidR="00C56601" w:rsidRPr="0079630A" w:rsidRDefault="00C56601" w:rsidP="00D046E1">
            <w:pPr>
              <w:spacing w:line="200" w:lineRule="exact"/>
              <w:contextualSpacing/>
              <w:rPr>
                <w:b/>
                <w:color w:val="auto"/>
                <w:sz w:val="20"/>
                <w:szCs w:val="20"/>
              </w:rPr>
            </w:pPr>
          </w:p>
        </w:tc>
        <w:tc>
          <w:tcPr>
            <w:tcW w:w="720" w:type="dxa"/>
            <w:vMerge/>
            <w:shd w:val="clear" w:color="auto" w:fill="C6D9F1" w:themeFill="text2" w:themeFillTint="33"/>
          </w:tcPr>
          <w:p w:rsidR="00C56601" w:rsidRPr="0079630A" w:rsidRDefault="00C56601" w:rsidP="00D046E1">
            <w:pPr>
              <w:spacing w:line="200" w:lineRule="exact"/>
              <w:contextualSpacing/>
              <w:jc w:val="center"/>
              <w:rPr>
                <w:color w:val="auto"/>
                <w:sz w:val="20"/>
                <w:szCs w:val="20"/>
              </w:rPr>
            </w:pPr>
          </w:p>
        </w:tc>
        <w:tc>
          <w:tcPr>
            <w:tcW w:w="960" w:type="dxa"/>
            <w:vMerge/>
            <w:shd w:val="clear" w:color="auto" w:fill="C6D9F1" w:themeFill="text2" w:themeFillTint="33"/>
          </w:tcPr>
          <w:p w:rsidR="00C56601" w:rsidRPr="0079630A" w:rsidRDefault="00C56601" w:rsidP="00D046E1">
            <w:pPr>
              <w:spacing w:line="200" w:lineRule="exact"/>
              <w:contextualSpacing/>
              <w:jc w:val="center"/>
              <w:rPr>
                <w:color w:val="auto"/>
                <w:sz w:val="20"/>
                <w:szCs w:val="20"/>
              </w:rPr>
            </w:pPr>
          </w:p>
        </w:tc>
        <w:tc>
          <w:tcPr>
            <w:tcW w:w="998" w:type="dxa"/>
            <w:gridSpan w:val="2"/>
            <w:vMerge/>
            <w:shd w:val="clear" w:color="auto" w:fill="C6D9F1" w:themeFill="text2" w:themeFillTint="33"/>
          </w:tcPr>
          <w:p w:rsidR="00C56601" w:rsidRPr="0079630A" w:rsidRDefault="00C56601" w:rsidP="00D046E1">
            <w:pPr>
              <w:spacing w:line="200" w:lineRule="exact"/>
              <w:contextualSpacing/>
              <w:jc w:val="center"/>
              <w:rPr>
                <w:color w:val="auto"/>
                <w:sz w:val="20"/>
                <w:szCs w:val="20"/>
              </w:rPr>
            </w:pPr>
          </w:p>
        </w:tc>
        <w:tc>
          <w:tcPr>
            <w:tcW w:w="1080" w:type="dxa"/>
            <w:vMerge/>
            <w:shd w:val="clear" w:color="auto" w:fill="C6D9F1" w:themeFill="text2" w:themeFillTint="33"/>
          </w:tcPr>
          <w:p w:rsidR="00C56601" w:rsidRPr="0079630A" w:rsidRDefault="00C56601" w:rsidP="00D046E1">
            <w:pPr>
              <w:spacing w:line="200" w:lineRule="exact"/>
              <w:contextualSpacing/>
              <w:jc w:val="center"/>
              <w:rPr>
                <w:color w:val="auto"/>
                <w:sz w:val="20"/>
              </w:rPr>
            </w:pPr>
          </w:p>
        </w:tc>
      </w:tr>
      <w:tr w:rsidR="00C56601" w:rsidRPr="0079630A" w:rsidTr="00C43084">
        <w:trPr>
          <w:trHeight w:val="125"/>
          <w:jc w:val="center"/>
        </w:trPr>
        <w:tc>
          <w:tcPr>
            <w:tcW w:w="1838" w:type="dxa"/>
            <w:vMerge w:val="restart"/>
            <w:tcBorders>
              <w:right w:val="single" w:sz="4" w:space="0" w:color="auto"/>
            </w:tcBorders>
            <w:shd w:val="clear" w:color="auto" w:fill="FFFFFF" w:themeFill="background1"/>
            <w:vAlign w:val="center"/>
          </w:tcPr>
          <w:p w:rsidR="00C56601" w:rsidRPr="0079630A" w:rsidRDefault="00C56601" w:rsidP="00390600">
            <w:pPr>
              <w:spacing w:line="180" w:lineRule="exact"/>
              <w:contextualSpacing/>
              <w:rPr>
                <w:rFonts w:ascii="Calibri" w:hAnsi="Calibri"/>
                <w:color w:val="auto"/>
                <w:sz w:val="18"/>
                <w:szCs w:val="18"/>
              </w:rPr>
            </w:pPr>
            <w:r w:rsidRPr="0079630A">
              <w:rPr>
                <w:rFonts w:ascii="Calibri" w:hAnsi="Calibri"/>
                <w:color w:val="auto"/>
                <w:sz w:val="18"/>
                <w:szCs w:val="18"/>
              </w:rPr>
              <w:t>PTSD</w:t>
            </w:r>
          </w:p>
        </w:tc>
        <w:tc>
          <w:tcPr>
            <w:tcW w:w="1003" w:type="dxa"/>
            <w:vMerge w:val="restart"/>
            <w:tcBorders>
              <w:left w:val="single" w:sz="4" w:space="0" w:color="auto"/>
            </w:tcBorders>
            <w:shd w:val="clear" w:color="auto" w:fill="FFFFFF" w:themeFill="background1"/>
            <w:vAlign w:val="center"/>
          </w:tcPr>
          <w:p w:rsidR="00C56601" w:rsidRPr="0079630A" w:rsidRDefault="00C56601" w:rsidP="00D046E1">
            <w:pPr>
              <w:spacing w:line="180" w:lineRule="exact"/>
              <w:contextualSpacing/>
              <w:jc w:val="center"/>
              <w:rPr>
                <w:rFonts w:ascii="Calibri" w:hAnsi="Calibri"/>
                <w:color w:val="auto"/>
                <w:sz w:val="18"/>
                <w:szCs w:val="18"/>
              </w:rPr>
            </w:pPr>
            <w:r w:rsidRPr="0079630A">
              <w:rPr>
                <w:rFonts w:ascii="Calibri" w:hAnsi="Calibri"/>
                <w:color w:val="auto"/>
                <w:sz w:val="18"/>
                <w:szCs w:val="18"/>
              </w:rPr>
              <w:t>9411</w:t>
            </w:r>
          </w:p>
        </w:tc>
        <w:tc>
          <w:tcPr>
            <w:tcW w:w="720" w:type="dxa"/>
            <w:vMerge w:val="restart"/>
            <w:tcBorders>
              <w:right w:val="single" w:sz="4" w:space="0" w:color="auto"/>
            </w:tcBorders>
            <w:shd w:val="clear" w:color="auto" w:fill="FFFFFF" w:themeFill="background1"/>
            <w:vAlign w:val="center"/>
          </w:tcPr>
          <w:p w:rsidR="00C56601" w:rsidRPr="0079630A" w:rsidRDefault="00C56601" w:rsidP="00D046E1">
            <w:pPr>
              <w:jc w:val="center"/>
              <w:rPr>
                <w:rFonts w:ascii="Calibri" w:hAnsi="Calibri"/>
                <w:color w:val="auto"/>
              </w:rPr>
            </w:pPr>
            <w:r w:rsidRPr="0079630A">
              <w:rPr>
                <w:rFonts w:ascii="Calibri" w:hAnsi="Calibri"/>
                <w:color w:val="auto"/>
                <w:sz w:val="18"/>
                <w:szCs w:val="18"/>
              </w:rPr>
              <w:t>30%</w:t>
            </w:r>
          </w:p>
        </w:tc>
        <w:tc>
          <w:tcPr>
            <w:tcW w:w="630" w:type="dxa"/>
            <w:vMerge w:val="restart"/>
            <w:tcBorders>
              <w:left w:val="single" w:sz="4" w:space="0" w:color="auto"/>
              <w:right w:val="thinThickThinSmallGap" w:sz="24" w:space="0" w:color="auto"/>
            </w:tcBorders>
            <w:shd w:val="clear" w:color="auto" w:fill="FFFFFF" w:themeFill="background1"/>
            <w:vAlign w:val="center"/>
          </w:tcPr>
          <w:p w:rsidR="00C56601" w:rsidRPr="0079630A" w:rsidRDefault="00C56601" w:rsidP="00D046E1">
            <w:pPr>
              <w:jc w:val="center"/>
              <w:rPr>
                <w:rFonts w:ascii="Calibri" w:hAnsi="Calibri"/>
                <w:color w:val="auto"/>
              </w:rPr>
            </w:pPr>
            <w:r w:rsidRPr="0079630A">
              <w:rPr>
                <w:rFonts w:ascii="Calibri" w:hAnsi="Calibri"/>
                <w:color w:val="auto"/>
                <w:sz w:val="18"/>
                <w:szCs w:val="18"/>
              </w:rPr>
              <w:t>10%</w:t>
            </w:r>
          </w:p>
        </w:tc>
        <w:tc>
          <w:tcPr>
            <w:tcW w:w="1350" w:type="dxa"/>
            <w:vMerge w:val="restart"/>
            <w:tcBorders>
              <w:left w:val="thinThickThinSmallGap" w:sz="24" w:space="0" w:color="auto"/>
            </w:tcBorders>
            <w:shd w:val="clear" w:color="auto" w:fill="FFFFFF" w:themeFill="background1"/>
            <w:vAlign w:val="center"/>
          </w:tcPr>
          <w:p w:rsidR="00C56601" w:rsidRPr="0079630A" w:rsidRDefault="00C56601" w:rsidP="00390600">
            <w:pPr>
              <w:spacing w:line="180" w:lineRule="exact"/>
              <w:contextualSpacing/>
              <w:rPr>
                <w:rFonts w:ascii="Calibri" w:hAnsi="Calibri"/>
                <w:color w:val="auto"/>
                <w:sz w:val="18"/>
                <w:szCs w:val="18"/>
              </w:rPr>
            </w:pPr>
            <w:r w:rsidRPr="0079630A">
              <w:rPr>
                <w:rFonts w:ascii="Calibri" w:hAnsi="Calibri"/>
                <w:color w:val="auto"/>
                <w:sz w:val="18"/>
                <w:szCs w:val="18"/>
              </w:rPr>
              <w:t>PTSD</w:t>
            </w:r>
          </w:p>
        </w:tc>
        <w:tc>
          <w:tcPr>
            <w:tcW w:w="720" w:type="dxa"/>
            <w:vMerge w:val="restart"/>
            <w:shd w:val="clear" w:color="auto" w:fill="FFFFFF" w:themeFill="background1"/>
            <w:vAlign w:val="center"/>
          </w:tcPr>
          <w:p w:rsidR="00C56601" w:rsidRPr="0079630A" w:rsidRDefault="00C56601" w:rsidP="00D046E1">
            <w:pPr>
              <w:spacing w:line="180" w:lineRule="exact"/>
              <w:contextualSpacing/>
              <w:jc w:val="center"/>
              <w:rPr>
                <w:rFonts w:ascii="Calibri" w:hAnsi="Calibri"/>
                <w:color w:val="auto"/>
                <w:sz w:val="18"/>
                <w:szCs w:val="18"/>
              </w:rPr>
            </w:pPr>
            <w:r w:rsidRPr="0079630A">
              <w:rPr>
                <w:rFonts w:ascii="Calibri" w:hAnsi="Calibri"/>
                <w:color w:val="auto"/>
                <w:sz w:val="18"/>
                <w:szCs w:val="18"/>
              </w:rPr>
              <w:t>9411</w:t>
            </w:r>
          </w:p>
        </w:tc>
        <w:tc>
          <w:tcPr>
            <w:tcW w:w="960" w:type="dxa"/>
            <w:shd w:val="clear" w:color="auto" w:fill="FFFFFF" w:themeFill="background1"/>
            <w:vAlign w:val="center"/>
          </w:tcPr>
          <w:p w:rsidR="00C56601" w:rsidRPr="0079630A" w:rsidRDefault="00C56601" w:rsidP="00D046E1">
            <w:pPr>
              <w:spacing w:line="180" w:lineRule="exact"/>
              <w:contextualSpacing/>
              <w:jc w:val="center"/>
              <w:rPr>
                <w:rFonts w:ascii="Calibri" w:hAnsi="Calibri"/>
                <w:color w:val="auto"/>
                <w:sz w:val="18"/>
                <w:szCs w:val="18"/>
              </w:rPr>
            </w:pPr>
            <w:r w:rsidRPr="0079630A">
              <w:rPr>
                <w:rFonts w:ascii="Calibri" w:hAnsi="Calibri"/>
                <w:color w:val="auto"/>
                <w:sz w:val="18"/>
                <w:szCs w:val="18"/>
              </w:rPr>
              <w:t>50%*</w:t>
            </w:r>
          </w:p>
        </w:tc>
        <w:tc>
          <w:tcPr>
            <w:tcW w:w="998" w:type="dxa"/>
            <w:gridSpan w:val="2"/>
            <w:shd w:val="clear" w:color="auto" w:fill="FFFFFF" w:themeFill="background1"/>
            <w:vAlign w:val="center"/>
          </w:tcPr>
          <w:p w:rsidR="00C56601" w:rsidRPr="0079630A" w:rsidRDefault="00C56601" w:rsidP="007916FD">
            <w:pPr>
              <w:spacing w:line="180" w:lineRule="exact"/>
              <w:contextualSpacing/>
              <w:jc w:val="center"/>
              <w:rPr>
                <w:rFonts w:ascii="Calibri" w:hAnsi="Calibri"/>
                <w:color w:val="auto"/>
                <w:sz w:val="18"/>
                <w:szCs w:val="18"/>
              </w:rPr>
            </w:pPr>
            <w:r w:rsidRPr="0079630A">
              <w:rPr>
                <w:rFonts w:ascii="Calibri" w:hAnsi="Calibri"/>
                <w:color w:val="auto"/>
                <w:sz w:val="18"/>
                <w:szCs w:val="18"/>
              </w:rPr>
              <w:t>20040401</w:t>
            </w:r>
          </w:p>
        </w:tc>
        <w:tc>
          <w:tcPr>
            <w:tcW w:w="1080" w:type="dxa"/>
            <w:shd w:val="clear" w:color="auto" w:fill="FFFFFF" w:themeFill="background1"/>
          </w:tcPr>
          <w:p w:rsidR="00C56601" w:rsidRPr="0079630A" w:rsidRDefault="00C56601" w:rsidP="007916FD">
            <w:pPr>
              <w:spacing w:line="180" w:lineRule="exact"/>
              <w:contextualSpacing/>
              <w:jc w:val="center"/>
              <w:rPr>
                <w:color w:val="auto"/>
                <w:sz w:val="18"/>
                <w:szCs w:val="18"/>
              </w:rPr>
            </w:pPr>
            <w:r w:rsidRPr="0079630A">
              <w:rPr>
                <w:color w:val="auto"/>
                <w:sz w:val="18"/>
                <w:szCs w:val="18"/>
              </w:rPr>
              <w:t>20040515</w:t>
            </w:r>
          </w:p>
        </w:tc>
      </w:tr>
      <w:tr w:rsidR="00C56601" w:rsidRPr="0079630A" w:rsidTr="00C43084">
        <w:trPr>
          <w:trHeight w:val="125"/>
          <w:jc w:val="center"/>
        </w:trPr>
        <w:tc>
          <w:tcPr>
            <w:tcW w:w="1838" w:type="dxa"/>
            <w:vMerge/>
            <w:tcBorders>
              <w:right w:val="single" w:sz="4" w:space="0" w:color="auto"/>
            </w:tcBorders>
            <w:shd w:val="clear" w:color="auto" w:fill="FFFFFF" w:themeFill="background1"/>
            <w:vAlign w:val="center"/>
          </w:tcPr>
          <w:p w:rsidR="00C56601" w:rsidRPr="0079630A" w:rsidRDefault="00C56601" w:rsidP="00390600">
            <w:pPr>
              <w:spacing w:line="180" w:lineRule="exact"/>
              <w:contextualSpacing/>
              <w:rPr>
                <w:color w:val="auto"/>
                <w:sz w:val="18"/>
                <w:szCs w:val="18"/>
              </w:rPr>
            </w:pPr>
          </w:p>
        </w:tc>
        <w:tc>
          <w:tcPr>
            <w:tcW w:w="1003" w:type="dxa"/>
            <w:vMerge/>
            <w:tcBorders>
              <w:left w:val="single" w:sz="4" w:space="0" w:color="auto"/>
            </w:tcBorders>
            <w:shd w:val="clear" w:color="auto" w:fill="FFFFFF" w:themeFill="background1"/>
            <w:vAlign w:val="center"/>
          </w:tcPr>
          <w:p w:rsidR="00C56601" w:rsidRPr="0079630A" w:rsidRDefault="00C56601" w:rsidP="00D046E1">
            <w:pPr>
              <w:spacing w:line="180" w:lineRule="exact"/>
              <w:contextualSpacing/>
              <w:jc w:val="center"/>
              <w:rPr>
                <w:color w:val="auto"/>
                <w:sz w:val="18"/>
                <w:szCs w:val="18"/>
              </w:rPr>
            </w:pPr>
          </w:p>
        </w:tc>
        <w:tc>
          <w:tcPr>
            <w:tcW w:w="720" w:type="dxa"/>
            <w:vMerge/>
            <w:tcBorders>
              <w:right w:val="single" w:sz="4" w:space="0" w:color="auto"/>
            </w:tcBorders>
            <w:shd w:val="clear" w:color="auto" w:fill="FFFFFF" w:themeFill="background1"/>
            <w:vAlign w:val="center"/>
          </w:tcPr>
          <w:p w:rsidR="00C56601" w:rsidRPr="0079630A" w:rsidRDefault="00C56601" w:rsidP="00D046E1">
            <w:pPr>
              <w:jc w:val="center"/>
              <w:rPr>
                <w:color w:val="auto"/>
                <w:sz w:val="18"/>
                <w:szCs w:val="18"/>
              </w:rPr>
            </w:pPr>
          </w:p>
        </w:tc>
        <w:tc>
          <w:tcPr>
            <w:tcW w:w="630" w:type="dxa"/>
            <w:vMerge/>
            <w:tcBorders>
              <w:left w:val="single" w:sz="4" w:space="0" w:color="auto"/>
              <w:right w:val="thinThickThinSmallGap" w:sz="24" w:space="0" w:color="auto"/>
            </w:tcBorders>
            <w:shd w:val="clear" w:color="auto" w:fill="FFFFFF" w:themeFill="background1"/>
            <w:vAlign w:val="center"/>
          </w:tcPr>
          <w:p w:rsidR="00C56601" w:rsidRPr="0079630A" w:rsidRDefault="00C56601" w:rsidP="00D046E1">
            <w:pPr>
              <w:jc w:val="center"/>
              <w:rPr>
                <w:color w:val="auto"/>
                <w:sz w:val="18"/>
                <w:szCs w:val="18"/>
              </w:rPr>
            </w:pPr>
          </w:p>
        </w:tc>
        <w:tc>
          <w:tcPr>
            <w:tcW w:w="1350" w:type="dxa"/>
            <w:vMerge/>
            <w:tcBorders>
              <w:left w:val="thinThickThinSmallGap" w:sz="24" w:space="0" w:color="auto"/>
            </w:tcBorders>
            <w:shd w:val="clear" w:color="auto" w:fill="FFFFFF" w:themeFill="background1"/>
            <w:vAlign w:val="center"/>
          </w:tcPr>
          <w:p w:rsidR="00C56601" w:rsidRPr="0079630A" w:rsidRDefault="00C56601" w:rsidP="00390600">
            <w:pPr>
              <w:spacing w:line="180" w:lineRule="exact"/>
              <w:contextualSpacing/>
              <w:rPr>
                <w:color w:val="auto"/>
                <w:sz w:val="18"/>
                <w:szCs w:val="18"/>
              </w:rPr>
            </w:pPr>
          </w:p>
        </w:tc>
        <w:tc>
          <w:tcPr>
            <w:tcW w:w="720" w:type="dxa"/>
            <w:vMerge/>
            <w:shd w:val="clear" w:color="auto" w:fill="FFFFFF" w:themeFill="background1"/>
            <w:vAlign w:val="center"/>
          </w:tcPr>
          <w:p w:rsidR="00C56601" w:rsidRPr="0079630A" w:rsidRDefault="00C56601" w:rsidP="00D046E1">
            <w:pPr>
              <w:spacing w:line="180" w:lineRule="exact"/>
              <w:contextualSpacing/>
              <w:jc w:val="center"/>
              <w:rPr>
                <w:color w:val="auto"/>
                <w:sz w:val="18"/>
                <w:szCs w:val="18"/>
              </w:rPr>
            </w:pPr>
          </w:p>
        </w:tc>
        <w:tc>
          <w:tcPr>
            <w:tcW w:w="960" w:type="dxa"/>
            <w:shd w:val="clear" w:color="auto" w:fill="FFFFFF" w:themeFill="background1"/>
            <w:vAlign w:val="center"/>
          </w:tcPr>
          <w:p w:rsidR="00C56601" w:rsidRPr="0079630A" w:rsidRDefault="00C56601" w:rsidP="00D046E1">
            <w:pPr>
              <w:spacing w:line="180" w:lineRule="exact"/>
              <w:contextualSpacing/>
              <w:jc w:val="center"/>
              <w:rPr>
                <w:color w:val="auto"/>
                <w:sz w:val="18"/>
                <w:szCs w:val="18"/>
              </w:rPr>
            </w:pPr>
            <w:r w:rsidRPr="0079630A">
              <w:rPr>
                <w:color w:val="auto"/>
                <w:sz w:val="18"/>
                <w:szCs w:val="18"/>
              </w:rPr>
              <w:t>100%</w:t>
            </w:r>
          </w:p>
        </w:tc>
        <w:tc>
          <w:tcPr>
            <w:tcW w:w="998" w:type="dxa"/>
            <w:gridSpan w:val="2"/>
            <w:shd w:val="clear" w:color="auto" w:fill="FFFFFF" w:themeFill="background1"/>
            <w:vAlign w:val="center"/>
          </w:tcPr>
          <w:p w:rsidR="00C56601" w:rsidRPr="0079630A" w:rsidRDefault="006C2225" w:rsidP="00C56601">
            <w:pPr>
              <w:spacing w:line="180" w:lineRule="exact"/>
              <w:contextualSpacing/>
              <w:jc w:val="center"/>
              <w:rPr>
                <w:color w:val="auto"/>
                <w:sz w:val="18"/>
                <w:szCs w:val="18"/>
              </w:rPr>
            </w:pPr>
            <w:r w:rsidRPr="0079630A">
              <w:rPr>
                <w:color w:val="auto"/>
                <w:sz w:val="18"/>
                <w:szCs w:val="18"/>
              </w:rPr>
              <w:t>Rx notes</w:t>
            </w:r>
          </w:p>
        </w:tc>
        <w:tc>
          <w:tcPr>
            <w:tcW w:w="1080" w:type="dxa"/>
            <w:shd w:val="clear" w:color="auto" w:fill="FFFFFF" w:themeFill="background1"/>
          </w:tcPr>
          <w:p w:rsidR="00C56601" w:rsidRPr="0079630A" w:rsidRDefault="006C2225" w:rsidP="00C56601">
            <w:pPr>
              <w:spacing w:line="180" w:lineRule="exact"/>
              <w:contextualSpacing/>
              <w:jc w:val="center"/>
              <w:rPr>
                <w:color w:val="auto"/>
                <w:sz w:val="18"/>
                <w:szCs w:val="18"/>
              </w:rPr>
            </w:pPr>
            <w:r w:rsidRPr="0079630A">
              <w:rPr>
                <w:color w:val="auto"/>
                <w:sz w:val="18"/>
                <w:szCs w:val="18"/>
              </w:rPr>
              <w:t>20060104</w:t>
            </w:r>
          </w:p>
        </w:tc>
      </w:tr>
      <w:tr w:rsidR="00C56601" w:rsidRPr="0079630A" w:rsidTr="00C43084">
        <w:trPr>
          <w:trHeight w:val="125"/>
          <w:jc w:val="center"/>
        </w:trPr>
        <w:tc>
          <w:tcPr>
            <w:tcW w:w="1838" w:type="dxa"/>
            <w:tcBorders>
              <w:right w:val="single" w:sz="4" w:space="0" w:color="auto"/>
            </w:tcBorders>
            <w:shd w:val="clear" w:color="auto" w:fill="FFFFFF" w:themeFill="background1"/>
            <w:vAlign w:val="center"/>
          </w:tcPr>
          <w:p w:rsidR="00C56601" w:rsidRPr="0079630A" w:rsidRDefault="00C56601" w:rsidP="0014746D">
            <w:pPr>
              <w:spacing w:line="180" w:lineRule="exact"/>
              <w:contextualSpacing/>
              <w:rPr>
                <w:rFonts w:ascii="Calibri" w:hAnsi="Calibri"/>
                <w:color w:val="auto"/>
                <w:sz w:val="18"/>
                <w:szCs w:val="18"/>
              </w:rPr>
            </w:pPr>
            <w:r w:rsidRPr="0079630A">
              <w:rPr>
                <w:rFonts w:ascii="Calibri" w:hAnsi="Calibri"/>
                <w:color w:val="auto"/>
                <w:sz w:val="18"/>
                <w:szCs w:val="18"/>
              </w:rPr>
              <w:t>Chronic LBP</w:t>
            </w:r>
          </w:p>
        </w:tc>
        <w:tc>
          <w:tcPr>
            <w:tcW w:w="1003" w:type="dxa"/>
            <w:tcBorders>
              <w:left w:val="single" w:sz="4" w:space="0" w:color="auto"/>
            </w:tcBorders>
            <w:shd w:val="clear" w:color="auto" w:fill="FFFFFF" w:themeFill="background1"/>
            <w:vAlign w:val="center"/>
          </w:tcPr>
          <w:p w:rsidR="00C56601" w:rsidRPr="0079630A" w:rsidRDefault="00C56601" w:rsidP="00D046E1">
            <w:pPr>
              <w:spacing w:line="180" w:lineRule="exact"/>
              <w:contextualSpacing/>
              <w:jc w:val="center"/>
              <w:rPr>
                <w:rFonts w:ascii="Calibri" w:hAnsi="Calibri"/>
                <w:color w:val="auto"/>
                <w:sz w:val="18"/>
                <w:szCs w:val="18"/>
              </w:rPr>
            </w:pPr>
            <w:r w:rsidRPr="0079630A">
              <w:rPr>
                <w:rFonts w:ascii="Calibri" w:hAnsi="Calibri"/>
                <w:color w:val="auto"/>
                <w:sz w:val="18"/>
                <w:szCs w:val="18"/>
              </w:rPr>
              <w:t>5299-5237</w:t>
            </w:r>
          </w:p>
        </w:tc>
        <w:tc>
          <w:tcPr>
            <w:tcW w:w="720" w:type="dxa"/>
            <w:tcBorders>
              <w:right w:val="single" w:sz="4" w:space="0" w:color="auto"/>
            </w:tcBorders>
            <w:shd w:val="clear" w:color="auto" w:fill="FFFFFF" w:themeFill="background1"/>
            <w:vAlign w:val="center"/>
          </w:tcPr>
          <w:p w:rsidR="00C56601" w:rsidRPr="0079630A" w:rsidRDefault="00C56601" w:rsidP="00D046E1">
            <w:pPr>
              <w:jc w:val="center"/>
              <w:rPr>
                <w:rFonts w:ascii="Calibri" w:hAnsi="Calibri"/>
                <w:color w:val="auto"/>
              </w:rPr>
            </w:pPr>
            <w:r w:rsidRPr="0079630A">
              <w:rPr>
                <w:rFonts w:ascii="Calibri" w:hAnsi="Calibri"/>
                <w:color w:val="auto"/>
                <w:sz w:val="18"/>
                <w:szCs w:val="18"/>
              </w:rPr>
              <w:t>10%</w:t>
            </w:r>
          </w:p>
        </w:tc>
        <w:tc>
          <w:tcPr>
            <w:tcW w:w="630" w:type="dxa"/>
            <w:tcBorders>
              <w:left w:val="single" w:sz="4" w:space="0" w:color="auto"/>
              <w:right w:val="thinThickThinSmallGap" w:sz="24" w:space="0" w:color="auto"/>
            </w:tcBorders>
            <w:shd w:val="clear" w:color="auto" w:fill="FFFFFF" w:themeFill="background1"/>
            <w:vAlign w:val="center"/>
          </w:tcPr>
          <w:p w:rsidR="00C56601" w:rsidRPr="0079630A" w:rsidRDefault="00C56601" w:rsidP="00D046E1">
            <w:pPr>
              <w:jc w:val="center"/>
              <w:rPr>
                <w:rFonts w:ascii="Calibri" w:hAnsi="Calibri"/>
                <w:color w:val="auto"/>
              </w:rPr>
            </w:pPr>
            <w:r w:rsidRPr="0079630A">
              <w:rPr>
                <w:rFonts w:ascii="Calibri" w:hAnsi="Calibri"/>
                <w:color w:val="auto"/>
                <w:sz w:val="18"/>
                <w:szCs w:val="18"/>
              </w:rPr>
              <w:t>10%</w:t>
            </w:r>
          </w:p>
        </w:tc>
        <w:tc>
          <w:tcPr>
            <w:tcW w:w="1350" w:type="dxa"/>
            <w:tcBorders>
              <w:left w:val="thinThickThinSmallGap" w:sz="24" w:space="0" w:color="auto"/>
            </w:tcBorders>
            <w:shd w:val="clear" w:color="auto" w:fill="FFFFFF" w:themeFill="background1"/>
            <w:vAlign w:val="center"/>
          </w:tcPr>
          <w:p w:rsidR="00C56601" w:rsidRPr="0079630A" w:rsidRDefault="00C56601" w:rsidP="00C56601">
            <w:pPr>
              <w:spacing w:line="180" w:lineRule="exact"/>
              <w:contextualSpacing/>
              <w:rPr>
                <w:rFonts w:ascii="Calibri" w:hAnsi="Calibri"/>
                <w:color w:val="auto"/>
                <w:sz w:val="18"/>
                <w:szCs w:val="18"/>
              </w:rPr>
            </w:pPr>
            <w:r w:rsidRPr="0079630A">
              <w:rPr>
                <w:rFonts w:ascii="Calibri" w:hAnsi="Calibri"/>
                <w:color w:val="auto"/>
                <w:sz w:val="18"/>
                <w:szCs w:val="18"/>
              </w:rPr>
              <w:t>TL Spine, DD …</w:t>
            </w:r>
          </w:p>
        </w:tc>
        <w:tc>
          <w:tcPr>
            <w:tcW w:w="720" w:type="dxa"/>
            <w:tcBorders>
              <w:bottom w:val="single" w:sz="4" w:space="0" w:color="auto"/>
            </w:tcBorders>
            <w:shd w:val="clear" w:color="auto" w:fill="FFFFFF" w:themeFill="background1"/>
            <w:vAlign w:val="center"/>
          </w:tcPr>
          <w:p w:rsidR="00C56601" w:rsidRPr="0079630A" w:rsidRDefault="00C56601" w:rsidP="00D046E1">
            <w:pPr>
              <w:spacing w:line="180" w:lineRule="exact"/>
              <w:contextualSpacing/>
              <w:jc w:val="center"/>
              <w:rPr>
                <w:rFonts w:ascii="Calibri" w:hAnsi="Calibri"/>
                <w:color w:val="auto"/>
                <w:sz w:val="18"/>
                <w:szCs w:val="18"/>
              </w:rPr>
            </w:pPr>
            <w:r w:rsidRPr="0079630A">
              <w:rPr>
                <w:rFonts w:ascii="Calibri" w:hAnsi="Calibri"/>
                <w:color w:val="auto"/>
                <w:sz w:val="18"/>
                <w:szCs w:val="18"/>
              </w:rPr>
              <w:t>5242</w:t>
            </w:r>
          </w:p>
        </w:tc>
        <w:tc>
          <w:tcPr>
            <w:tcW w:w="960" w:type="dxa"/>
            <w:tcBorders>
              <w:bottom w:val="single" w:sz="4" w:space="0" w:color="auto"/>
            </w:tcBorders>
            <w:shd w:val="clear" w:color="auto" w:fill="FFFFFF" w:themeFill="background1"/>
            <w:vAlign w:val="center"/>
          </w:tcPr>
          <w:p w:rsidR="00C56601" w:rsidRPr="0079630A" w:rsidRDefault="00C56601" w:rsidP="00D046E1">
            <w:pPr>
              <w:spacing w:line="180" w:lineRule="exact"/>
              <w:contextualSpacing/>
              <w:jc w:val="center"/>
              <w:rPr>
                <w:rFonts w:ascii="Calibri" w:hAnsi="Calibri"/>
                <w:color w:val="auto"/>
                <w:sz w:val="18"/>
                <w:szCs w:val="18"/>
              </w:rPr>
            </w:pPr>
            <w:r w:rsidRPr="0079630A">
              <w:rPr>
                <w:rFonts w:ascii="Calibri" w:hAnsi="Calibri"/>
                <w:color w:val="auto"/>
                <w:sz w:val="18"/>
                <w:szCs w:val="18"/>
              </w:rPr>
              <w:t>40%</w:t>
            </w:r>
          </w:p>
        </w:tc>
        <w:tc>
          <w:tcPr>
            <w:tcW w:w="998" w:type="dxa"/>
            <w:gridSpan w:val="2"/>
            <w:shd w:val="clear" w:color="auto" w:fill="FFFFFF" w:themeFill="background1"/>
            <w:vAlign w:val="center"/>
          </w:tcPr>
          <w:p w:rsidR="00C56601" w:rsidRPr="0079630A" w:rsidRDefault="00C56601" w:rsidP="007916FD">
            <w:pPr>
              <w:spacing w:line="180" w:lineRule="exact"/>
              <w:contextualSpacing/>
              <w:jc w:val="center"/>
              <w:rPr>
                <w:rFonts w:ascii="Calibri" w:hAnsi="Calibri"/>
                <w:color w:val="auto"/>
                <w:sz w:val="18"/>
                <w:szCs w:val="18"/>
              </w:rPr>
            </w:pPr>
            <w:r w:rsidRPr="0079630A">
              <w:rPr>
                <w:rFonts w:ascii="Calibri" w:hAnsi="Calibri"/>
                <w:color w:val="auto"/>
                <w:sz w:val="18"/>
                <w:szCs w:val="18"/>
              </w:rPr>
              <w:t>20040410</w:t>
            </w:r>
          </w:p>
        </w:tc>
        <w:tc>
          <w:tcPr>
            <w:tcW w:w="1080" w:type="dxa"/>
            <w:shd w:val="clear" w:color="auto" w:fill="FFFFFF" w:themeFill="background1"/>
          </w:tcPr>
          <w:p w:rsidR="00C56601" w:rsidRPr="0079630A" w:rsidRDefault="00C56601" w:rsidP="007916FD">
            <w:pPr>
              <w:spacing w:line="180" w:lineRule="exact"/>
              <w:contextualSpacing/>
              <w:jc w:val="center"/>
              <w:rPr>
                <w:color w:val="auto"/>
                <w:sz w:val="18"/>
                <w:szCs w:val="18"/>
              </w:rPr>
            </w:pPr>
            <w:r w:rsidRPr="0079630A">
              <w:rPr>
                <w:color w:val="auto"/>
                <w:sz w:val="18"/>
                <w:szCs w:val="18"/>
              </w:rPr>
              <w:t>20040515</w:t>
            </w:r>
          </w:p>
        </w:tc>
      </w:tr>
      <w:tr w:rsidR="006C2225" w:rsidRPr="0079630A" w:rsidTr="00C43084">
        <w:trPr>
          <w:trHeight w:val="191"/>
          <w:jc w:val="center"/>
        </w:trPr>
        <w:tc>
          <w:tcPr>
            <w:tcW w:w="4191" w:type="dxa"/>
            <w:gridSpan w:val="4"/>
            <w:vMerge w:val="restart"/>
            <w:tcBorders>
              <w:right w:val="thinThickThinSmallGap" w:sz="24" w:space="0" w:color="auto"/>
            </w:tcBorders>
            <w:shd w:val="clear" w:color="auto" w:fill="FFFFFF" w:themeFill="background1"/>
            <w:vAlign w:val="center"/>
          </w:tcPr>
          <w:p w:rsidR="006C2225" w:rsidRPr="0079630A" w:rsidRDefault="006C2225" w:rsidP="007916FD">
            <w:pPr>
              <w:spacing w:line="180" w:lineRule="exact"/>
              <w:contextualSpacing/>
              <w:jc w:val="center"/>
              <w:rPr>
                <w:rFonts w:ascii="Calibri" w:hAnsi="Calibri"/>
                <w:color w:val="auto"/>
                <w:sz w:val="18"/>
                <w:szCs w:val="18"/>
              </w:rPr>
            </w:pPr>
            <w:r w:rsidRPr="0079630A">
              <w:rPr>
                <w:rFonts w:ascii="Calibri" w:hAnsi="Calibri"/>
                <w:color w:val="auto"/>
                <w:sz w:val="18"/>
                <w:szCs w:val="18"/>
              </w:rPr>
              <w:t>↓No Additional MEB/PEB Entries↓</w:t>
            </w:r>
          </w:p>
        </w:tc>
        <w:tc>
          <w:tcPr>
            <w:tcW w:w="1350" w:type="dxa"/>
            <w:vMerge w:val="restart"/>
            <w:tcBorders>
              <w:left w:val="thinThickThinSmallGap" w:sz="24" w:space="0" w:color="auto"/>
              <w:right w:val="single" w:sz="4" w:space="0" w:color="auto"/>
            </w:tcBorders>
            <w:shd w:val="clear" w:color="auto" w:fill="FFFFFF" w:themeFill="background1"/>
            <w:vAlign w:val="center"/>
          </w:tcPr>
          <w:p w:rsidR="006C2225" w:rsidRPr="0079630A" w:rsidRDefault="006C2225" w:rsidP="00D046E1">
            <w:pPr>
              <w:spacing w:line="180" w:lineRule="exact"/>
              <w:contextualSpacing/>
              <w:jc w:val="center"/>
              <w:rPr>
                <w:rFonts w:ascii="Calibri" w:hAnsi="Calibri"/>
                <w:color w:val="auto"/>
                <w:sz w:val="18"/>
                <w:szCs w:val="18"/>
              </w:rPr>
            </w:pPr>
            <w:r w:rsidRPr="0079630A">
              <w:rPr>
                <w:rFonts w:ascii="Calibri" w:hAnsi="Calibri"/>
                <w:color w:val="auto"/>
                <w:sz w:val="18"/>
                <w:szCs w:val="18"/>
              </w:rPr>
              <w:t>L. Knee, PFS</w:t>
            </w:r>
          </w:p>
        </w:tc>
        <w:tc>
          <w:tcPr>
            <w:tcW w:w="720" w:type="dxa"/>
            <w:vMerge w:val="restart"/>
            <w:tcBorders>
              <w:top w:val="single" w:sz="4" w:space="0" w:color="auto"/>
              <w:left w:val="single" w:sz="4" w:space="0" w:color="auto"/>
              <w:right w:val="single" w:sz="4" w:space="0" w:color="auto"/>
            </w:tcBorders>
            <w:shd w:val="clear" w:color="auto" w:fill="FFFFFF" w:themeFill="background1"/>
            <w:vAlign w:val="center"/>
          </w:tcPr>
          <w:p w:rsidR="006C2225" w:rsidRPr="0079630A" w:rsidRDefault="006C2225" w:rsidP="00D046E1">
            <w:pPr>
              <w:spacing w:line="180" w:lineRule="exact"/>
              <w:contextualSpacing/>
              <w:jc w:val="center"/>
              <w:rPr>
                <w:color w:val="auto"/>
                <w:sz w:val="18"/>
                <w:szCs w:val="18"/>
              </w:rPr>
            </w:pPr>
            <w:r w:rsidRPr="0079630A">
              <w:rPr>
                <w:color w:val="auto"/>
                <w:sz w:val="18"/>
                <w:szCs w:val="18"/>
              </w:rPr>
              <w:t>5014-5261</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2225" w:rsidRPr="0079630A" w:rsidRDefault="006C2225" w:rsidP="00D046E1">
            <w:pPr>
              <w:spacing w:line="180" w:lineRule="exact"/>
              <w:contextualSpacing/>
              <w:jc w:val="center"/>
              <w:rPr>
                <w:color w:val="auto"/>
                <w:sz w:val="18"/>
                <w:szCs w:val="18"/>
              </w:rPr>
            </w:pPr>
            <w:r w:rsidRPr="0079630A">
              <w:rPr>
                <w:color w:val="auto"/>
                <w:sz w:val="18"/>
                <w:szCs w:val="18"/>
              </w:rPr>
              <w:t>0%</w:t>
            </w:r>
          </w:p>
        </w:tc>
        <w:tc>
          <w:tcPr>
            <w:tcW w:w="998" w:type="dxa"/>
            <w:gridSpan w:val="2"/>
            <w:tcBorders>
              <w:left w:val="single" w:sz="4" w:space="0" w:color="auto"/>
            </w:tcBorders>
            <w:shd w:val="clear" w:color="auto" w:fill="FFFFFF" w:themeFill="background1"/>
            <w:vAlign w:val="center"/>
          </w:tcPr>
          <w:p w:rsidR="006C2225" w:rsidRPr="0079630A" w:rsidRDefault="006C2225" w:rsidP="00D046E1">
            <w:pPr>
              <w:spacing w:line="180" w:lineRule="exact"/>
              <w:contextualSpacing/>
              <w:jc w:val="center"/>
              <w:rPr>
                <w:rFonts w:ascii="Calibri" w:hAnsi="Calibri"/>
                <w:color w:val="auto"/>
                <w:sz w:val="18"/>
                <w:szCs w:val="18"/>
              </w:rPr>
            </w:pPr>
            <w:r w:rsidRPr="0079630A">
              <w:rPr>
                <w:rFonts w:ascii="Calibri" w:hAnsi="Calibri"/>
                <w:color w:val="auto"/>
                <w:sz w:val="18"/>
                <w:szCs w:val="18"/>
              </w:rPr>
              <w:t>20040410</w:t>
            </w:r>
          </w:p>
        </w:tc>
        <w:tc>
          <w:tcPr>
            <w:tcW w:w="1080" w:type="dxa"/>
            <w:shd w:val="clear" w:color="auto" w:fill="FFFFFF" w:themeFill="background1"/>
          </w:tcPr>
          <w:p w:rsidR="006C2225" w:rsidRPr="0079630A" w:rsidRDefault="006C2225" w:rsidP="00D046E1">
            <w:pPr>
              <w:spacing w:line="180" w:lineRule="exact"/>
              <w:contextualSpacing/>
              <w:jc w:val="center"/>
              <w:rPr>
                <w:color w:val="auto"/>
                <w:sz w:val="18"/>
                <w:szCs w:val="18"/>
              </w:rPr>
            </w:pPr>
            <w:r w:rsidRPr="0079630A">
              <w:rPr>
                <w:color w:val="auto"/>
                <w:sz w:val="18"/>
                <w:szCs w:val="18"/>
              </w:rPr>
              <w:t>20040515</w:t>
            </w:r>
          </w:p>
        </w:tc>
      </w:tr>
      <w:tr w:rsidR="006C2225" w:rsidRPr="0079630A" w:rsidTr="00C43084">
        <w:trPr>
          <w:trHeight w:val="191"/>
          <w:jc w:val="center"/>
        </w:trPr>
        <w:tc>
          <w:tcPr>
            <w:tcW w:w="4191" w:type="dxa"/>
            <w:gridSpan w:val="4"/>
            <w:vMerge/>
            <w:tcBorders>
              <w:right w:val="thinThickThinSmallGap" w:sz="24" w:space="0" w:color="auto"/>
            </w:tcBorders>
            <w:shd w:val="clear" w:color="auto" w:fill="FFFFFF" w:themeFill="background1"/>
            <w:vAlign w:val="center"/>
          </w:tcPr>
          <w:p w:rsidR="006C2225" w:rsidRPr="0079630A" w:rsidRDefault="006C2225" w:rsidP="007916FD">
            <w:pPr>
              <w:spacing w:line="180" w:lineRule="exact"/>
              <w:contextualSpacing/>
              <w:jc w:val="center"/>
              <w:rPr>
                <w:color w:val="auto"/>
                <w:sz w:val="18"/>
                <w:szCs w:val="18"/>
              </w:rPr>
            </w:pPr>
          </w:p>
        </w:tc>
        <w:tc>
          <w:tcPr>
            <w:tcW w:w="1350" w:type="dxa"/>
            <w:vMerge/>
            <w:tcBorders>
              <w:left w:val="thinThickThinSmallGap" w:sz="24" w:space="0" w:color="auto"/>
              <w:bottom w:val="single" w:sz="4" w:space="0" w:color="000000" w:themeColor="text1"/>
              <w:right w:val="single" w:sz="4" w:space="0" w:color="auto"/>
            </w:tcBorders>
            <w:shd w:val="clear" w:color="auto" w:fill="FFFFFF" w:themeFill="background1"/>
            <w:vAlign w:val="center"/>
          </w:tcPr>
          <w:p w:rsidR="006C2225" w:rsidRPr="0079630A" w:rsidRDefault="006C2225" w:rsidP="00D046E1">
            <w:pPr>
              <w:spacing w:line="180" w:lineRule="exact"/>
              <w:contextualSpacing/>
              <w:jc w:val="center"/>
              <w:rPr>
                <w:color w:val="auto"/>
                <w:sz w:val="18"/>
                <w:szCs w:val="18"/>
              </w:rPr>
            </w:pPr>
          </w:p>
        </w:tc>
        <w:tc>
          <w:tcPr>
            <w:tcW w:w="720" w:type="dxa"/>
            <w:vMerge/>
            <w:tcBorders>
              <w:left w:val="single" w:sz="4" w:space="0" w:color="auto"/>
              <w:bottom w:val="single" w:sz="4" w:space="0" w:color="auto"/>
              <w:right w:val="single" w:sz="4" w:space="0" w:color="auto"/>
            </w:tcBorders>
            <w:shd w:val="clear" w:color="auto" w:fill="FFFFFF" w:themeFill="background1"/>
            <w:vAlign w:val="center"/>
          </w:tcPr>
          <w:p w:rsidR="006C2225" w:rsidRPr="0079630A" w:rsidRDefault="006C2225" w:rsidP="00D046E1">
            <w:pPr>
              <w:spacing w:line="180" w:lineRule="exact"/>
              <w:contextualSpacing/>
              <w:jc w:val="center"/>
              <w:rPr>
                <w:color w:val="auto"/>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2225" w:rsidRPr="0079630A" w:rsidRDefault="006C2225" w:rsidP="00D046E1">
            <w:pPr>
              <w:spacing w:line="180" w:lineRule="exact"/>
              <w:contextualSpacing/>
              <w:jc w:val="center"/>
              <w:rPr>
                <w:color w:val="auto"/>
                <w:sz w:val="18"/>
                <w:szCs w:val="18"/>
              </w:rPr>
            </w:pPr>
            <w:r w:rsidRPr="0079630A">
              <w:rPr>
                <w:color w:val="auto"/>
                <w:sz w:val="18"/>
                <w:szCs w:val="18"/>
              </w:rPr>
              <w:t>10%</w:t>
            </w:r>
          </w:p>
        </w:tc>
        <w:tc>
          <w:tcPr>
            <w:tcW w:w="998" w:type="dxa"/>
            <w:gridSpan w:val="2"/>
            <w:tcBorders>
              <w:left w:val="single" w:sz="4" w:space="0" w:color="auto"/>
              <w:bottom w:val="single" w:sz="4" w:space="0" w:color="000000" w:themeColor="text1"/>
            </w:tcBorders>
            <w:shd w:val="clear" w:color="auto" w:fill="FFFFFF" w:themeFill="background1"/>
            <w:vAlign w:val="center"/>
          </w:tcPr>
          <w:p w:rsidR="006C2225" w:rsidRPr="0079630A" w:rsidRDefault="006C2225" w:rsidP="00D046E1">
            <w:pPr>
              <w:spacing w:line="180" w:lineRule="exact"/>
              <w:contextualSpacing/>
              <w:jc w:val="center"/>
              <w:rPr>
                <w:color w:val="auto"/>
                <w:sz w:val="18"/>
                <w:szCs w:val="18"/>
              </w:rPr>
            </w:pPr>
          </w:p>
        </w:tc>
        <w:tc>
          <w:tcPr>
            <w:tcW w:w="1080" w:type="dxa"/>
            <w:tcBorders>
              <w:bottom w:val="single" w:sz="4" w:space="0" w:color="000000" w:themeColor="text1"/>
            </w:tcBorders>
            <w:shd w:val="clear" w:color="auto" w:fill="FFFFFF" w:themeFill="background1"/>
          </w:tcPr>
          <w:p w:rsidR="006C2225" w:rsidRPr="0079630A" w:rsidRDefault="006C2225" w:rsidP="00D046E1">
            <w:pPr>
              <w:spacing w:line="180" w:lineRule="exact"/>
              <w:contextualSpacing/>
              <w:jc w:val="center"/>
              <w:rPr>
                <w:color w:val="auto"/>
                <w:sz w:val="18"/>
                <w:szCs w:val="18"/>
              </w:rPr>
            </w:pPr>
            <w:r w:rsidRPr="0079630A">
              <w:rPr>
                <w:color w:val="auto"/>
                <w:sz w:val="18"/>
                <w:szCs w:val="18"/>
              </w:rPr>
              <w:t>20040623</w:t>
            </w:r>
          </w:p>
        </w:tc>
      </w:tr>
      <w:tr w:rsidR="006C2225" w:rsidRPr="0079630A" w:rsidTr="00C43084">
        <w:trPr>
          <w:trHeight w:val="188"/>
          <w:jc w:val="center"/>
        </w:trPr>
        <w:tc>
          <w:tcPr>
            <w:tcW w:w="4191" w:type="dxa"/>
            <w:gridSpan w:val="4"/>
            <w:vMerge/>
            <w:tcBorders>
              <w:bottom w:val="single" w:sz="4" w:space="0" w:color="000000" w:themeColor="text1"/>
              <w:right w:val="thinThickThinSmallGap" w:sz="24" w:space="0" w:color="auto"/>
            </w:tcBorders>
            <w:shd w:val="clear" w:color="auto" w:fill="FFFFFF" w:themeFill="background1"/>
            <w:vAlign w:val="center"/>
          </w:tcPr>
          <w:p w:rsidR="006C2225" w:rsidRPr="0079630A" w:rsidRDefault="006C2225" w:rsidP="007916FD">
            <w:pPr>
              <w:spacing w:line="180" w:lineRule="exact"/>
              <w:contextualSpacing/>
              <w:jc w:val="center"/>
              <w:rPr>
                <w:color w:val="auto"/>
                <w:sz w:val="18"/>
                <w:szCs w:val="18"/>
              </w:rPr>
            </w:pPr>
          </w:p>
        </w:tc>
        <w:tc>
          <w:tcPr>
            <w:tcW w:w="3030" w:type="dxa"/>
            <w:gridSpan w:val="3"/>
            <w:tcBorders>
              <w:left w:val="thinThickThinSmallGap" w:sz="24" w:space="0" w:color="auto"/>
              <w:bottom w:val="single" w:sz="4" w:space="0" w:color="000000" w:themeColor="text1"/>
            </w:tcBorders>
            <w:shd w:val="clear" w:color="auto" w:fill="FFFFFF" w:themeFill="background1"/>
            <w:vAlign w:val="center"/>
          </w:tcPr>
          <w:p w:rsidR="006C2225" w:rsidRPr="0079630A" w:rsidRDefault="006C2225" w:rsidP="00E93A1B">
            <w:pPr>
              <w:spacing w:line="180" w:lineRule="exact"/>
              <w:contextualSpacing/>
              <w:jc w:val="center"/>
              <w:rPr>
                <w:rFonts w:ascii="Calibri" w:hAnsi="Calibri"/>
                <w:color w:val="auto"/>
                <w:sz w:val="18"/>
                <w:szCs w:val="18"/>
              </w:rPr>
            </w:pPr>
            <w:r w:rsidRPr="0079630A">
              <w:rPr>
                <w:rFonts w:ascii="Calibri" w:hAnsi="Calibri" w:cs="Times New Roman"/>
                <w:color w:val="auto"/>
                <w:sz w:val="18"/>
                <w:szCs w:val="18"/>
              </w:rPr>
              <w:t>0% x 6/Not Service Connected x 1</w:t>
            </w:r>
          </w:p>
        </w:tc>
        <w:tc>
          <w:tcPr>
            <w:tcW w:w="998" w:type="dxa"/>
            <w:gridSpan w:val="2"/>
            <w:tcBorders>
              <w:bottom w:val="single" w:sz="4" w:space="0" w:color="000000" w:themeColor="text1"/>
            </w:tcBorders>
            <w:shd w:val="clear" w:color="auto" w:fill="FFFFFF" w:themeFill="background1"/>
            <w:vAlign w:val="center"/>
          </w:tcPr>
          <w:p w:rsidR="006C2225" w:rsidRPr="0079630A" w:rsidRDefault="006C2225" w:rsidP="00E93A1B">
            <w:pPr>
              <w:spacing w:line="180" w:lineRule="exact"/>
              <w:contextualSpacing/>
              <w:jc w:val="center"/>
              <w:rPr>
                <w:rFonts w:ascii="Calibri" w:hAnsi="Calibri"/>
                <w:color w:val="auto"/>
                <w:sz w:val="18"/>
                <w:szCs w:val="18"/>
              </w:rPr>
            </w:pPr>
            <w:r w:rsidRPr="0079630A">
              <w:rPr>
                <w:rFonts w:ascii="Calibri" w:hAnsi="Calibri"/>
                <w:color w:val="auto"/>
                <w:sz w:val="18"/>
                <w:szCs w:val="18"/>
              </w:rPr>
              <w:t>20040401</w:t>
            </w:r>
          </w:p>
        </w:tc>
        <w:tc>
          <w:tcPr>
            <w:tcW w:w="1080" w:type="dxa"/>
            <w:tcBorders>
              <w:bottom w:val="single" w:sz="4" w:space="0" w:color="000000" w:themeColor="text1"/>
            </w:tcBorders>
            <w:shd w:val="clear" w:color="auto" w:fill="FFFFFF" w:themeFill="background1"/>
          </w:tcPr>
          <w:p w:rsidR="006C2225" w:rsidRPr="0079630A" w:rsidRDefault="006C2225" w:rsidP="00E93A1B">
            <w:pPr>
              <w:spacing w:line="180" w:lineRule="exact"/>
              <w:contextualSpacing/>
              <w:jc w:val="center"/>
              <w:rPr>
                <w:color w:val="auto"/>
                <w:sz w:val="18"/>
                <w:szCs w:val="18"/>
              </w:rPr>
            </w:pPr>
            <w:r w:rsidRPr="0079630A">
              <w:rPr>
                <w:color w:val="auto"/>
                <w:sz w:val="18"/>
                <w:szCs w:val="18"/>
              </w:rPr>
              <w:t>20040515</w:t>
            </w:r>
          </w:p>
        </w:tc>
      </w:tr>
      <w:tr w:rsidR="00C56601" w:rsidRPr="0079630A" w:rsidTr="00C43084">
        <w:trPr>
          <w:trHeight w:val="242"/>
          <w:jc w:val="center"/>
        </w:trPr>
        <w:tc>
          <w:tcPr>
            <w:tcW w:w="4191" w:type="dxa"/>
            <w:gridSpan w:val="4"/>
            <w:vMerge w:val="restart"/>
            <w:tcBorders>
              <w:right w:val="thinThickThinSmallGap" w:sz="24" w:space="0" w:color="auto"/>
            </w:tcBorders>
            <w:shd w:val="clear" w:color="auto" w:fill="D9D9D9" w:themeFill="background1" w:themeFillShade="D9"/>
            <w:vAlign w:val="center"/>
          </w:tcPr>
          <w:p w:rsidR="00C56601" w:rsidRPr="0079630A" w:rsidRDefault="00C56601" w:rsidP="00F94D46">
            <w:pPr>
              <w:spacing w:line="200" w:lineRule="exact"/>
              <w:contextualSpacing/>
              <w:jc w:val="center"/>
              <w:rPr>
                <w:b/>
                <w:color w:val="auto"/>
                <w:sz w:val="20"/>
                <w:szCs w:val="20"/>
              </w:rPr>
            </w:pPr>
            <w:r w:rsidRPr="0079630A">
              <w:rPr>
                <w:b/>
                <w:color w:val="auto"/>
                <w:sz w:val="20"/>
                <w:szCs w:val="20"/>
              </w:rPr>
              <w:t>Combined:  20%</w:t>
            </w:r>
          </w:p>
        </w:tc>
        <w:tc>
          <w:tcPr>
            <w:tcW w:w="3330" w:type="dxa"/>
            <w:gridSpan w:val="4"/>
            <w:vMerge w:val="restart"/>
            <w:tcBorders>
              <w:left w:val="thinThickThinSmallGap" w:sz="24" w:space="0" w:color="auto"/>
              <w:right w:val="single" w:sz="4" w:space="0" w:color="auto"/>
            </w:tcBorders>
            <w:shd w:val="clear" w:color="auto" w:fill="D9D9D9" w:themeFill="background1" w:themeFillShade="D9"/>
            <w:vAlign w:val="center"/>
          </w:tcPr>
          <w:p w:rsidR="00C56601" w:rsidRPr="0079630A" w:rsidRDefault="00C56601" w:rsidP="00C56601">
            <w:pPr>
              <w:spacing w:line="200" w:lineRule="exact"/>
              <w:contextualSpacing/>
              <w:jc w:val="center"/>
              <w:rPr>
                <w:b/>
                <w:color w:val="auto"/>
                <w:sz w:val="20"/>
                <w:szCs w:val="20"/>
              </w:rPr>
            </w:pPr>
            <w:r w:rsidRPr="0079630A">
              <w:rPr>
                <w:b/>
                <w:color w:val="auto"/>
                <w:sz w:val="20"/>
                <w:szCs w:val="20"/>
              </w:rPr>
              <w:t xml:space="preserve">Combined:  </w:t>
            </w:r>
          </w:p>
        </w:tc>
        <w:tc>
          <w:tcPr>
            <w:tcW w:w="6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6601" w:rsidRPr="0079630A" w:rsidRDefault="00C56601" w:rsidP="00487EE2">
            <w:pPr>
              <w:spacing w:line="200" w:lineRule="exact"/>
              <w:contextualSpacing/>
              <w:jc w:val="center"/>
              <w:rPr>
                <w:b/>
                <w:color w:val="auto"/>
                <w:sz w:val="20"/>
              </w:rPr>
            </w:pPr>
            <w:r w:rsidRPr="0079630A">
              <w:rPr>
                <w:b/>
                <w:color w:val="auto"/>
                <w:sz w:val="20"/>
              </w:rPr>
              <w:t>70%</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6601" w:rsidRPr="0079630A" w:rsidRDefault="00C56601" w:rsidP="00C56601">
            <w:pPr>
              <w:spacing w:line="200" w:lineRule="exact"/>
              <w:contextualSpacing/>
              <w:jc w:val="center"/>
              <w:rPr>
                <w:b/>
                <w:color w:val="auto"/>
                <w:sz w:val="20"/>
              </w:rPr>
            </w:pPr>
            <w:r w:rsidRPr="0079630A">
              <w:rPr>
                <w:b/>
                <w:color w:val="auto"/>
                <w:sz w:val="20"/>
              </w:rPr>
              <w:t>20040515</w:t>
            </w:r>
          </w:p>
        </w:tc>
      </w:tr>
      <w:tr w:rsidR="00C56601" w:rsidRPr="0079630A" w:rsidTr="00C43084">
        <w:trPr>
          <w:trHeight w:val="242"/>
          <w:jc w:val="center"/>
        </w:trPr>
        <w:tc>
          <w:tcPr>
            <w:tcW w:w="4191" w:type="dxa"/>
            <w:gridSpan w:val="4"/>
            <w:vMerge/>
            <w:tcBorders>
              <w:right w:val="thinThickThinSmallGap" w:sz="24" w:space="0" w:color="auto"/>
            </w:tcBorders>
            <w:shd w:val="clear" w:color="auto" w:fill="D9D9D9" w:themeFill="background1" w:themeFillShade="D9"/>
            <w:vAlign w:val="center"/>
          </w:tcPr>
          <w:p w:rsidR="00C56601" w:rsidRPr="0079630A" w:rsidRDefault="00C56601" w:rsidP="00F94D46">
            <w:pPr>
              <w:spacing w:line="200" w:lineRule="exact"/>
              <w:contextualSpacing/>
              <w:jc w:val="center"/>
              <w:rPr>
                <w:b/>
                <w:color w:val="auto"/>
                <w:sz w:val="20"/>
              </w:rPr>
            </w:pPr>
          </w:p>
        </w:tc>
        <w:tc>
          <w:tcPr>
            <w:tcW w:w="3330" w:type="dxa"/>
            <w:gridSpan w:val="4"/>
            <w:vMerge/>
            <w:tcBorders>
              <w:left w:val="thinThickThinSmallGap" w:sz="24" w:space="0" w:color="auto"/>
              <w:right w:val="single" w:sz="4" w:space="0" w:color="auto"/>
            </w:tcBorders>
            <w:shd w:val="clear" w:color="auto" w:fill="D9D9D9" w:themeFill="background1" w:themeFillShade="D9"/>
            <w:vAlign w:val="center"/>
          </w:tcPr>
          <w:p w:rsidR="00C56601" w:rsidRPr="0079630A" w:rsidRDefault="00C56601" w:rsidP="00487EE2">
            <w:pPr>
              <w:spacing w:line="200" w:lineRule="exact"/>
              <w:contextualSpacing/>
              <w:jc w:val="center"/>
              <w:rPr>
                <w:b/>
                <w:color w:val="auto"/>
                <w:sz w:val="20"/>
              </w:rPr>
            </w:pPr>
          </w:p>
        </w:tc>
        <w:tc>
          <w:tcPr>
            <w:tcW w:w="6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6601" w:rsidRPr="0079630A" w:rsidRDefault="00C56601" w:rsidP="00C56601">
            <w:pPr>
              <w:spacing w:line="200" w:lineRule="exact"/>
              <w:contextualSpacing/>
              <w:jc w:val="center"/>
              <w:rPr>
                <w:b/>
                <w:color w:val="auto"/>
                <w:sz w:val="20"/>
              </w:rPr>
            </w:pPr>
            <w:r w:rsidRPr="0079630A">
              <w:rPr>
                <w:b/>
                <w:color w:val="auto"/>
                <w:sz w:val="20"/>
              </w:rPr>
              <w:t>100%</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6601" w:rsidRPr="0079630A" w:rsidRDefault="00C56601" w:rsidP="00C56601">
            <w:pPr>
              <w:spacing w:line="200" w:lineRule="exact"/>
              <w:contextualSpacing/>
              <w:jc w:val="center"/>
              <w:rPr>
                <w:b/>
                <w:color w:val="auto"/>
                <w:sz w:val="20"/>
              </w:rPr>
            </w:pPr>
            <w:r w:rsidRPr="0079630A">
              <w:rPr>
                <w:b/>
                <w:color w:val="auto"/>
                <w:sz w:val="20"/>
              </w:rPr>
              <w:t>20060104</w:t>
            </w:r>
          </w:p>
        </w:tc>
      </w:tr>
    </w:tbl>
    <w:p w:rsidR="00437D18" w:rsidRPr="0079630A" w:rsidRDefault="00C47E09" w:rsidP="00C47E09">
      <w:pPr>
        <w:tabs>
          <w:tab w:val="left" w:pos="288"/>
          <w:tab w:val="left" w:pos="4752"/>
        </w:tabs>
        <w:spacing w:line="200" w:lineRule="exact"/>
        <w:jc w:val="both"/>
        <w:rPr>
          <w:rFonts w:asciiTheme="minorHAnsi" w:hAnsiTheme="minorHAnsi"/>
          <w:color w:val="auto"/>
          <w:sz w:val="20"/>
          <w:u w:val="single"/>
        </w:rPr>
      </w:pPr>
      <w:r w:rsidRPr="0079630A">
        <w:rPr>
          <w:rFonts w:asciiTheme="minorHAnsi" w:hAnsiTheme="minorHAnsi"/>
          <w:color w:val="auto"/>
          <w:sz w:val="20"/>
        </w:rPr>
        <w:t xml:space="preserve">* </w:t>
      </w:r>
      <w:r w:rsidR="007703B8" w:rsidRPr="0079630A">
        <w:rPr>
          <w:rFonts w:asciiTheme="minorHAnsi" w:hAnsiTheme="minorHAnsi"/>
          <w:color w:val="auto"/>
          <w:sz w:val="20"/>
        </w:rPr>
        <w:t xml:space="preserve">Initial </w:t>
      </w:r>
      <w:r w:rsidRPr="0079630A">
        <w:rPr>
          <w:rFonts w:asciiTheme="minorHAnsi" w:hAnsiTheme="minorHAnsi"/>
          <w:color w:val="auto"/>
          <w:sz w:val="20"/>
        </w:rPr>
        <w:t xml:space="preserve">9411 </w:t>
      </w:r>
      <w:r w:rsidR="00487EE2" w:rsidRPr="0079630A">
        <w:rPr>
          <w:rFonts w:asciiTheme="minorHAnsi" w:hAnsiTheme="minorHAnsi"/>
          <w:color w:val="auto"/>
          <w:sz w:val="20"/>
        </w:rPr>
        <w:t xml:space="preserve">30% </w:t>
      </w:r>
      <w:r w:rsidRPr="0079630A">
        <w:rPr>
          <w:rFonts w:asciiTheme="minorHAnsi" w:hAnsiTheme="minorHAnsi"/>
          <w:color w:val="auto"/>
          <w:sz w:val="20"/>
        </w:rPr>
        <w:t xml:space="preserve">rating retroactively changed to 50% IAW </w:t>
      </w:r>
      <w:r w:rsidRPr="0079630A">
        <w:rPr>
          <w:rFonts w:asciiTheme="minorHAnsi" w:hAnsiTheme="minorHAnsi"/>
          <w:color w:val="auto"/>
          <w:sz w:val="20"/>
          <w:szCs w:val="24"/>
        </w:rPr>
        <w:t xml:space="preserve">§4.129 as a clear and unmistakable error by </w:t>
      </w:r>
      <w:r w:rsidRPr="0079630A">
        <w:rPr>
          <w:rFonts w:asciiTheme="minorHAnsi" w:hAnsiTheme="minorHAnsi"/>
          <w:color w:val="auto"/>
          <w:sz w:val="20"/>
        </w:rPr>
        <w:t>VARD 20091221 (combined 70%); 9411 increased to 100% effective 20060104 (combined 100%)</w:t>
      </w:r>
    </w:p>
    <w:p w:rsidR="00C47E09" w:rsidRPr="0079630A" w:rsidRDefault="00C47E09" w:rsidP="00510F9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0145ED" w:rsidRPr="0079630A" w:rsidRDefault="000145ED" w:rsidP="00C6170B">
      <w:pPr>
        <w:rPr>
          <w:rFonts w:asciiTheme="minorHAnsi" w:hAnsiTheme="minorHAnsi"/>
          <w:color w:val="auto"/>
          <w:szCs w:val="24"/>
          <w:u w:val="single"/>
        </w:rPr>
      </w:pPr>
    </w:p>
    <w:p w:rsidR="002C6E5B" w:rsidRPr="0079630A" w:rsidRDefault="002C6E5B" w:rsidP="00C6170B">
      <w:pPr>
        <w:rPr>
          <w:rFonts w:asciiTheme="minorHAnsi" w:hAnsiTheme="minorHAnsi"/>
          <w:color w:val="auto"/>
          <w:szCs w:val="24"/>
        </w:rPr>
      </w:pPr>
      <w:r w:rsidRPr="0079630A">
        <w:rPr>
          <w:rFonts w:asciiTheme="minorHAnsi" w:hAnsiTheme="minorHAnsi"/>
          <w:color w:val="auto"/>
          <w:szCs w:val="24"/>
          <w:u w:val="single"/>
        </w:rPr>
        <w:t>ANALYSIS SUMMARY</w:t>
      </w:r>
      <w:r w:rsidRPr="0079630A">
        <w:rPr>
          <w:rFonts w:asciiTheme="minorHAnsi" w:hAnsiTheme="minorHAnsi"/>
          <w:color w:val="auto"/>
          <w:szCs w:val="24"/>
        </w:rPr>
        <w:t>:</w:t>
      </w:r>
    </w:p>
    <w:p w:rsidR="004C60A3" w:rsidRPr="0079630A" w:rsidRDefault="004C60A3" w:rsidP="006A1C2A">
      <w:pPr>
        <w:spacing w:line="240" w:lineRule="exact"/>
        <w:jc w:val="both"/>
        <w:rPr>
          <w:rFonts w:asciiTheme="minorHAnsi" w:hAnsiTheme="minorHAnsi"/>
          <w:color w:val="auto"/>
          <w:szCs w:val="24"/>
        </w:rPr>
      </w:pPr>
    </w:p>
    <w:p w:rsidR="00390600" w:rsidRPr="0079630A" w:rsidRDefault="00367AEA" w:rsidP="006A1C2A">
      <w:pPr>
        <w:spacing w:line="240" w:lineRule="exact"/>
        <w:jc w:val="both"/>
        <w:rPr>
          <w:rFonts w:asciiTheme="minorHAnsi" w:hAnsiTheme="minorHAnsi"/>
          <w:color w:val="auto"/>
          <w:sz w:val="20"/>
        </w:rPr>
      </w:pPr>
      <w:r w:rsidRPr="0079630A">
        <w:rPr>
          <w:rFonts w:asciiTheme="minorHAnsi" w:hAnsiTheme="minorHAnsi"/>
          <w:color w:val="auto"/>
          <w:szCs w:val="24"/>
          <w:u w:val="single"/>
        </w:rPr>
        <w:t>PTSD</w:t>
      </w:r>
      <w:r w:rsidR="006A1C2A" w:rsidRPr="0079630A">
        <w:rPr>
          <w:rFonts w:asciiTheme="minorHAnsi" w:hAnsiTheme="minorHAnsi"/>
          <w:color w:val="auto"/>
          <w:szCs w:val="24"/>
          <w:u w:val="single"/>
        </w:rPr>
        <w:t xml:space="preserve"> Condition</w:t>
      </w:r>
      <w:r w:rsidRPr="0079630A">
        <w:rPr>
          <w:rFonts w:asciiTheme="minorHAnsi" w:hAnsiTheme="minorHAnsi"/>
          <w:color w:val="auto"/>
          <w:szCs w:val="24"/>
        </w:rPr>
        <w:t>.</w:t>
      </w:r>
      <w:r w:rsidR="006A1C2A" w:rsidRPr="0079630A">
        <w:rPr>
          <w:rFonts w:asciiTheme="minorHAnsi" w:hAnsiTheme="minorHAnsi"/>
          <w:color w:val="auto"/>
          <w:szCs w:val="24"/>
        </w:rPr>
        <w:t xml:space="preserve">  </w:t>
      </w:r>
      <w:r w:rsidR="00B66462" w:rsidRPr="0079630A">
        <w:rPr>
          <w:rFonts w:asciiTheme="minorHAnsi" w:hAnsiTheme="minorHAnsi"/>
          <w:color w:val="auto"/>
          <w:szCs w:val="24"/>
        </w:rPr>
        <w:t xml:space="preserve">The PEB rating, as described above, was derived from DoDI 1332.39 and preceded the promulgation of the National Defense Authorization Act (NDAA) 2008 mandate for DoD adherence to the VASRD §4.129. IAW DoDI 6040.44 and DoD guidance (which applies current VASRD 4.129 to all Board cases), the Board is obligated to recommend a minimum 50% PTSD rating for a </w:t>
      </w:r>
      <w:r w:rsidR="00A30963">
        <w:rPr>
          <w:rFonts w:asciiTheme="minorHAnsi" w:hAnsiTheme="minorHAnsi"/>
          <w:color w:val="auto"/>
          <w:szCs w:val="24"/>
        </w:rPr>
        <w:t>minimum</w:t>
      </w:r>
      <w:r w:rsidR="00B66462" w:rsidRPr="0079630A">
        <w:rPr>
          <w:rFonts w:asciiTheme="minorHAnsi" w:hAnsiTheme="minorHAnsi"/>
          <w:color w:val="auto"/>
          <w:szCs w:val="24"/>
        </w:rPr>
        <w:t xml:space="preserve"> six-month period on the Temporary Disability Retired List (TDRL).  Since the </w:t>
      </w:r>
      <w:r w:rsidR="003370EA">
        <w:rPr>
          <w:rFonts w:asciiTheme="minorHAnsi" w:hAnsiTheme="minorHAnsi"/>
          <w:color w:val="auto"/>
          <w:szCs w:val="24"/>
        </w:rPr>
        <w:t>s</w:t>
      </w:r>
      <w:r w:rsidR="00B66462" w:rsidRPr="0079630A">
        <w:rPr>
          <w:rFonts w:asciiTheme="minorHAnsi" w:hAnsiTheme="minorHAnsi"/>
          <w:color w:val="auto"/>
          <w:szCs w:val="24"/>
        </w:rPr>
        <w:t>ervice was in compliance with the §4.129 TDRL requirement, the Board need not apply a constructive TDRL rating interval in this case; although, the 50% minimum TDRL rating remains applicable</w:t>
      </w:r>
      <w:r w:rsidR="00A30963">
        <w:rPr>
          <w:rFonts w:asciiTheme="minorHAnsi" w:hAnsiTheme="minorHAnsi"/>
          <w:color w:val="auto"/>
          <w:szCs w:val="24"/>
        </w:rPr>
        <w:t xml:space="preserve"> as held by the </w:t>
      </w:r>
      <w:r w:rsidR="00A30963" w:rsidRPr="00A30963">
        <w:rPr>
          <w:rFonts w:asciiTheme="minorHAnsi" w:hAnsiTheme="minorHAnsi"/>
          <w:i/>
          <w:color w:val="auto"/>
          <w:szCs w:val="24"/>
        </w:rPr>
        <w:t>Sabo vs. United States</w:t>
      </w:r>
      <w:r w:rsidR="00A30963">
        <w:rPr>
          <w:rFonts w:asciiTheme="minorHAnsi" w:hAnsiTheme="minorHAnsi"/>
          <w:color w:val="auto"/>
          <w:szCs w:val="24"/>
        </w:rPr>
        <w:t xml:space="preserve"> class action settlement</w:t>
      </w:r>
      <w:r w:rsidR="00B66462" w:rsidRPr="0079630A">
        <w:rPr>
          <w:rFonts w:asciiTheme="minorHAnsi" w:hAnsiTheme="minorHAnsi"/>
          <w:color w:val="auto"/>
          <w:szCs w:val="24"/>
        </w:rPr>
        <w:t xml:space="preserve">.  The Board must then determine the most appropriate fit with VASRD 4.130 criteria at the end of the TDRL interval for its permanent rating recommendation.  The most proximate source of comprehensive evidence on which to base the permanent rating recommendation in this case is the TDRL narrative summary (NARSUM), performed </w:t>
      </w:r>
      <w:r w:rsidR="00C47E09" w:rsidRPr="0079630A">
        <w:rPr>
          <w:rFonts w:asciiTheme="minorHAnsi" w:hAnsiTheme="minorHAnsi"/>
          <w:color w:val="auto"/>
          <w:szCs w:val="24"/>
        </w:rPr>
        <w:t>four</w:t>
      </w:r>
      <w:r w:rsidR="00A060D1" w:rsidRPr="0079630A">
        <w:rPr>
          <w:rFonts w:asciiTheme="minorHAnsi" w:hAnsiTheme="minorHAnsi"/>
          <w:color w:val="auto"/>
          <w:szCs w:val="24"/>
        </w:rPr>
        <w:t xml:space="preserve"> </w:t>
      </w:r>
      <w:r w:rsidR="00B66462" w:rsidRPr="0079630A">
        <w:rPr>
          <w:rFonts w:asciiTheme="minorHAnsi" w:hAnsiTheme="minorHAnsi"/>
          <w:color w:val="auto"/>
          <w:szCs w:val="24"/>
        </w:rPr>
        <w:t xml:space="preserve">months prior to </w:t>
      </w:r>
      <w:r w:rsidR="00C47E09" w:rsidRPr="0079630A">
        <w:rPr>
          <w:rFonts w:asciiTheme="minorHAnsi" w:hAnsiTheme="minorHAnsi"/>
          <w:color w:val="auto"/>
          <w:szCs w:val="24"/>
        </w:rPr>
        <w:t>TDRL exit</w:t>
      </w:r>
      <w:r w:rsidR="00B66462" w:rsidRPr="0079630A">
        <w:rPr>
          <w:rFonts w:asciiTheme="minorHAnsi" w:hAnsiTheme="minorHAnsi"/>
          <w:color w:val="auto"/>
          <w:szCs w:val="24"/>
        </w:rPr>
        <w:t xml:space="preserve">.  </w:t>
      </w:r>
    </w:p>
    <w:p w:rsidR="0087315D" w:rsidRPr="0079630A" w:rsidRDefault="0087315D" w:rsidP="006A1C2A">
      <w:pPr>
        <w:spacing w:line="240" w:lineRule="exact"/>
        <w:jc w:val="both"/>
        <w:rPr>
          <w:rFonts w:asciiTheme="minorHAnsi" w:hAnsiTheme="minorHAnsi"/>
          <w:color w:val="auto"/>
          <w:sz w:val="20"/>
        </w:rPr>
      </w:pPr>
    </w:p>
    <w:p w:rsidR="002B5403" w:rsidRPr="0079630A" w:rsidRDefault="002B6793" w:rsidP="00AE3B06">
      <w:pPr>
        <w:spacing w:line="240" w:lineRule="exact"/>
        <w:jc w:val="both"/>
        <w:rPr>
          <w:color w:val="auto"/>
          <w:szCs w:val="24"/>
        </w:rPr>
      </w:pPr>
      <w:r w:rsidRPr="0079630A">
        <w:rPr>
          <w:rFonts w:asciiTheme="minorHAnsi" w:hAnsiTheme="minorHAnsi"/>
          <w:color w:val="auto"/>
          <w:szCs w:val="24"/>
        </w:rPr>
        <w:t>The pre-TDRL NARSUM</w:t>
      </w:r>
      <w:r w:rsidR="00EE440B" w:rsidRPr="0079630A">
        <w:rPr>
          <w:rFonts w:asciiTheme="minorHAnsi" w:hAnsiTheme="minorHAnsi"/>
          <w:color w:val="auto"/>
          <w:szCs w:val="24"/>
        </w:rPr>
        <w:t>, pre</w:t>
      </w:r>
      <w:r w:rsidR="00187D06" w:rsidRPr="0079630A">
        <w:rPr>
          <w:rFonts w:asciiTheme="minorHAnsi" w:hAnsiTheme="minorHAnsi"/>
          <w:color w:val="auto"/>
          <w:szCs w:val="24"/>
        </w:rPr>
        <w:t>-</w:t>
      </w:r>
      <w:r w:rsidR="00EE440B" w:rsidRPr="0079630A">
        <w:rPr>
          <w:rFonts w:asciiTheme="minorHAnsi" w:hAnsiTheme="minorHAnsi"/>
          <w:color w:val="auto"/>
          <w:szCs w:val="24"/>
        </w:rPr>
        <w:t>TDRL outpatient notes,</w:t>
      </w:r>
      <w:r w:rsidRPr="0079630A">
        <w:rPr>
          <w:rFonts w:asciiTheme="minorHAnsi" w:hAnsiTheme="minorHAnsi"/>
          <w:color w:val="auto"/>
          <w:szCs w:val="24"/>
        </w:rPr>
        <w:t xml:space="preserve"> </w:t>
      </w:r>
      <w:r w:rsidR="00187D06" w:rsidRPr="0079630A">
        <w:rPr>
          <w:rFonts w:asciiTheme="minorHAnsi" w:hAnsiTheme="minorHAnsi"/>
          <w:color w:val="auto"/>
          <w:szCs w:val="24"/>
        </w:rPr>
        <w:t>commander’s</w:t>
      </w:r>
      <w:r w:rsidR="00EE440B" w:rsidRPr="0079630A">
        <w:rPr>
          <w:rFonts w:asciiTheme="minorHAnsi" w:hAnsiTheme="minorHAnsi"/>
          <w:color w:val="auto"/>
          <w:szCs w:val="24"/>
        </w:rPr>
        <w:t xml:space="preserve"> statement,</w:t>
      </w:r>
      <w:r w:rsidRPr="0079630A">
        <w:rPr>
          <w:rFonts w:asciiTheme="minorHAnsi" w:hAnsiTheme="minorHAnsi"/>
          <w:color w:val="auto"/>
          <w:szCs w:val="24"/>
        </w:rPr>
        <w:t xml:space="preserve"> and pre-TDRL </w:t>
      </w:r>
      <w:r w:rsidR="003370EA">
        <w:rPr>
          <w:rFonts w:asciiTheme="minorHAnsi" w:hAnsiTheme="minorHAnsi"/>
          <w:color w:val="auto"/>
          <w:szCs w:val="24"/>
        </w:rPr>
        <w:t>De</w:t>
      </w:r>
      <w:r w:rsidR="00A30963">
        <w:rPr>
          <w:rFonts w:asciiTheme="minorHAnsi" w:hAnsiTheme="minorHAnsi"/>
          <w:color w:val="auto"/>
          <w:szCs w:val="24"/>
        </w:rPr>
        <w:t>pa</w:t>
      </w:r>
      <w:r w:rsidR="003370EA">
        <w:rPr>
          <w:rFonts w:asciiTheme="minorHAnsi" w:hAnsiTheme="minorHAnsi"/>
          <w:color w:val="auto"/>
          <w:szCs w:val="24"/>
        </w:rPr>
        <w:t xml:space="preserve">rtment of </w:t>
      </w:r>
      <w:proofErr w:type="spellStart"/>
      <w:r w:rsidR="003370EA">
        <w:rPr>
          <w:rFonts w:asciiTheme="minorHAnsi" w:hAnsiTheme="minorHAnsi"/>
          <w:color w:val="auto"/>
          <w:szCs w:val="24"/>
        </w:rPr>
        <w:t>Veteran’s</w:t>
      </w:r>
      <w:proofErr w:type="spellEnd"/>
      <w:r w:rsidR="003370EA">
        <w:rPr>
          <w:rFonts w:asciiTheme="minorHAnsi" w:hAnsiTheme="minorHAnsi"/>
          <w:color w:val="auto"/>
          <w:szCs w:val="24"/>
        </w:rPr>
        <w:t xml:space="preserve"> Affairs (D</w:t>
      </w:r>
      <w:r w:rsidRPr="0079630A">
        <w:rPr>
          <w:rFonts w:asciiTheme="minorHAnsi" w:hAnsiTheme="minorHAnsi"/>
          <w:color w:val="auto"/>
          <w:szCs w:val="24"/>
        </w:rPr>
        <w:t>VA</w:t>
      </w:r>
      <w:r w:rsidR="003370EA">
        <w:rPr>
          <w:rFonts w:asciiTheme="minorHAnsi" w:hAnsiTheme="minorHAnsi"/>
          <w:color w:val="auto"/>
          <w:szCs w:val="24"/>
        </w:rPr>
        <w:t>)</w:t>
      </w:r>
      <w:r w:rsidRPr="0079630A">
        <w:rPr>
          <w:rFonts w:asciiTheme="minorHAnsi" w:hAnsiTheme="minorHAnsi"/>
          <w:color w:val="auto"/>
          <w:szCs w:val="24"/>
        </w:rPr>
        <w:t xml:space="preserve"> exam, show reduced reliability and productivity resulting from PTSD symptoms, and </w:t>
      </w:r>
      <w:r w:rsidR="001619E9" w:rsidRPr="0079630A">
        <w:rPr>
          <w:rFonts w:asciiTheme="minorHAnsi" w:hAnsiTheme="minorHAnsi"/>
          <w:color w:val="auto"/>
          <w:szCs w:val="24"/>
        </w:rPr>
        <w:t>indicate a rating</w:t>
      </w:r>
      <w:r w:rsidRPr="0079630A">
        <w:rPr>
          <w:rFonts w:asciiTheme="minorHAnsi" w:hAnsiTheme="minorHAnsi"/>
          <w:color w:val="auto"/>
          <w:szCs w:val="24"/>
        </w:rPr>
        <w:t xml:space="preserve"> no greater than 50%, so the minimum 50% TDRL rating is applicable.  </w:t>
      </w:r>
      <w:r w:rsidR="00EE440B" w:rsidRPr="0079630A">
        <w:rPr>
          <w:rFonts w:asciiTheme="minorHAnsi" w:hAnsiTheme="minorHAnsi"/>
          <w:color w:val="auto"/>
          <w:szCs w:val="24"/>
        </w:rPr>
        <w:t xml:space="preserve">There was a one week hospitalization four months prior to TDRL entry, at the CI’s request due to severe anxiety (CI did not feel safe, </w:t>
      </w:r>
      <w:r w:rsidR="001619E9" w:rsidRPr="0079630A">
        <w:rPr>
          <w:rFonts w:asciiTheme="minorHAnsi" w:hAnsiTheme="minorHAnsi"/>
          <w:color w:val="auto"/>
          <w:szCs w:val="24"/>
        </w:rPr>
        <w:t>unrelated to</w:t>
      </w:r>
      <w:r w:rsidR="00EE440B" w:rsidRPr="0079630A">
        <w:rPr>
          <w:rFonts w:asciiTheme="minorHAnsi" w:hAnsiTheme="minorHAnsi"/>
          <w:color w:val="auto"/>
          <w:szCs w:val="24"/>
        </w:rPr>
        <w:t xml:space="preserve"> suicidal</w:t>
      </w:r>
      <w:r w:rsidR="00F770C9" w:rsidRPr="0079630A">
        <w:rPr>
          <w:rFonts w:asciiTheme="minorHAnsi" w:hAnsiTheme="minorHAnsi"/>
          <w:color w:val="auto"/>
          <w:szCs w:val="24"/>
        </w:rPr>
        <w:t>/homicidal</w:t>
      </w:r>
      <w:r w:rsidR="00EE440B" w:rsidRPr="0079630A">
        <w:rPr>
          <w:rFonts w:asciiTheme="minorHAnsi" w:hAnsiTheme="minorHAnsi"/>
          <w:color w:val="auto"/>
          <w:szCs w:val="24"/>
        </w:rPr>
        <w:t xml:space="preserve"> ideation</w:t>
      </w:r>
      <w:r w:rsidR="001619E9" w:rsidRPr="0079630A">
        <w:rPr>
          <w:rFonts w:asciiTheme="minorHAnsi" w:hAnsiTheme="minorHAnsi"/>
          <w:color w:val="auto"/>
          <w:szCs w:val="24"/>
        </w:rPr>
        <w:t>, which he denied</w:t>
      </w:r>
      <w:r w:rsidR="00EE440B" w:rsidRPr="0079630A">
        <w:rPr>
          <w:rFonts w:asciiTheme="minorHAnsi" w:hAnsiTheme="minorHAnsi"/>
          <w:color w:val="auto"/>
          <w:szCs w:val="24"/>
        </w:rPr>
        <w:t xml:space="preserve">).  </w:t>
      </w:r>
      <w:r w:rsidR="001619E9" w:rsidRPr="0079630A">
        <w:rPr>
          <w:rFonts w:asciiTheme="minorHAnsi" w:hAnsiTheme="minorHAnsi"/>
          <w:color w:val="auto"/>
          <w:szCs w:val="24"/>
        </w:rPr>
        <w:t>Outpatient notes suggest his s</w:t>
      </w:r>
      <w:r w:rsidR="00BA7A8B" w:rsidRPr="0079630A">
        <w:rPr>
          <w:rFonts w:asciiTheme="minorHAnsi" w:hAnsiTheme="minorHAnsi"/>
          <w:color w:val="auto"/>
          <w:szCs w:val="24"/>
        </w:rPr>
        <w:t xml:space="preserve">ymptoms improved with medications and psychotherapy.  </w:t>
      </w:r>
      <w:r w:rsidR="00EE440B" w:rsidRPr="0079630A">
        <w:rPr>
          <w:rFonts w:asciiTheme="minorHAnsi" w:hAnsiTheme="minorHAnsi"/>
          <w:color w:val="auto"/>
          <w:szCs w:val="24"/>
        </w:rPr>
        <w:t>Global Assessment of Functioning (GAF) scores ranged from 40 (some impairment in reality testing or communication or major impairment in several areas, such as work or school, family relations, judgment, thinking, or mood) to 59 (moderate</w:t>
      </w:r>
      <w:r w:rsidR="00BA7A8B" w:rsidRPr="0079630A">
        <w:rPr>
          <w:rFonts w:asciiTheme="minorHAnsi" w:hAnsiTheme="minorHAnsi"/>
          <w:color w:val="auto"/>
          <w:szCs w:val="24"/>
        </w:rPr>
        <w:t xml:space="preserve"> symptoms or moderate difficulty in social or occupational functioning) in the pre-TDRL outpatient notes, to 85</w:t>
      </w:r>
      <w:r w:rsidR="00A11EBB" w:rsidRPr="0079630A">
        <w:rPr>
          <w:rFonts w:asciiTheme="minorHAnsi" w:hAnsiTheme="minorHAnsi"/>
          <w:color w:val="auto"/>
          <w:szCs w:val="24"/>
        </w:rPr>
        <w:t>-90</w:t>
      </w:r>
      <w:r w:rsidR="00BA7A8B" w:rsidRPr="0079630A">
        <w:rPr>
          <w:rFonts w:asciiTheme="minorHAnsi" w:hAnsiTheme="minorHAnsi"/>
          <w:color w:val="auto"/>
          <w:szCs w:val="24"/>
        </w:rPr>
        <w:t xml:space="preserve"> (absent or minimal symptoms, good functioning in all areas, interested and involved in a wide range of activities, socially effective, generally satisfied with life, no more than everyday problems or concerns) in the one-month pre-TDRL VA exam.</w:t>
      </w:r>
      <w:r w:rsidR="00C43084" w:rsidRPr="0079630A">
        <w:rPr>
          <w:rFonts w:asciiTheme="minorHAnsi" w:hAnsiTheme="minorHAnsi"/>
          <w:color w:val="auto"/>
          <w:szCs w:val="24"/>
        </w:rPr>
        <w:t xml:space="preserve">  </w:t>
      </w:r>
      <w:r w:rsidR="009F3DF1" w:rsidRPr="0079630A">
        <w:rPr>
          <w:rFonts w:asciiTheme="minorHAnsi" w:hAnsiTheme="minorHAnsi"/>
          <w:color w:val="auto"/>
          <w:szCs w:val="24"/>
        </w:rPr>
        <w:t>The TDRL</w:t>
      </w:r>
      <w:r w:rsidR="00AE036B" w:rsidRPr="0079630A">
        <w:rPr>
          <w:rFonts w:asciiTheme="minorHAnsi" w:hAnsiTheme="minorHAnsi"/>
          <w:color w:val="auto"/>
          <w:szCs w:val="24"/>
        </w:rPr>
        <w:t>-exit</w:t>
      </w:r>
      <w:r w:rsidR="009F3DF1" w:rsidRPr="0079630A">
        <w:rPr>
          <w:rFonts w:asciiTheme="minorHAnsi" w:hAnsiTheme="minorHAnsi"/>
          <w:color w:val="auto"/>
          <w:szCs w:val="24"/>
        </w:rPr>
        <w:t xml:space="preserve"> NARSUM </w:t>
      </w:r>
      <w:r w:rsidR="00D95D2F" w:rsidRPr="0079630A">
        <w:rPr>
          <w:rFonts w:asciiTheme="minorHAnsi" w:hAnsiTheme="minorHAnsi"/>
          <w:color w:val="auto"/>
          <w:szCs w:val="24"/>
        </w:rPr>
        <w:t xml:space="preserve">reported the CI “continued to demonstrate significant symptoms of chronic mental illness.”  His symptoms included irritability, insomnia, social withdrawal/isolation, distressing recollections of combat experiences, and nightmares.  </w:t>
      </w:r>
      <w:r w:rsidR="000278CE" w:rsidRPr="0079630A">
        <w:rPr>
          <w:rFonts w:asciiTheme="minorHAnsi" w:hAnsiTheme="minorHAnsi"/>
          <w:color w:val="auto"/>
          <w:szCs w:val="24"/>
        </w:rPr>
        <w:t xml:space="preserve">The examiner did not describe </w:t>
      </w:r>
      <w:r w:rsidR="00187D06" w:rsidRPr="0079630A">
        <w:rPr>
          <w:rFonts w:asciiTheme="minorHAnsi" w:hAnsiTheme="minorHAnsi"/>
          <w:color w:val="auto"/>
          <w:szCs w:val="24"/>
        </w:rPr>
        <w:t xml:space="preserve">the </w:t>
      </w:r>
      <w:r w:rsidR="000278CE" w:rsidRPr="0079630A">
        <w:rPr>
          <w:rFonts w:asciiTheme="minorHAnsi" w:hAnsiTheme="minorHAnsi"/>
          <w:color w:val="auto"/>
          <w:szCs w:val="24"/>
        </w:rPr>
        <w:t>severe anxiety</w:t>
      </w:r>
      <w:r w:rsidR="00187D06" w:rsidRPr="0079630A">
        <w:rPr>
          <w:rFonts w:asciiTheme="minorHAnsi" w:hAnsiTheme="minorHAnsi"/>
          <w:color w:val="auto"/>
          <w:szCs w:val="24"/>
        </w:rPr>
        <w:t xml:space="preserve"> that was</w:t>
      </w:r>
      <w:r w:rsidR="000278CE" w:rsidRPr="0079630A">
        <w:rPr>
          <w:rFonts w:asciiTheme="minorHAnsi" w:hAnsiTheme="minorHAnsi"/>
          <w:color w:val="auto"/>
          <w:szCs w:val="24"/>
        </w:rPr>
        <w:t xml:space="preserve"> a prominent feature of </w:t>
      </w:r>
      <w:r w:rsidR="00AE036B" w:rsidRPr="0079630A">
        <w:rPr>
          <w:rFonts w:asciiTheme="minorHAnsi" w:hAnsiTheme="minorHAnsi"/>
          <w:color w:val="auto"/>
          <w:szCs w:val="24"/>
        </w:rPr>
        <w:t>the CI’</w:t>
      </w:r>
      <w:r w:rsidR="000278CE" w:rsidRPr="0079630A">
        <w:rPr>
          <w:rFonts w:asciiTheme="minorHAnsi" w:hAnsiTheme="minorHAnsi"/>
          <w:color w:val="auto"/>
          <w:szCs w:val="24"/>
        </w:rPr>
        <w:t>s pre-TDRL condition</w:t>
      </w:r>
      <w:r w:rsidR="00187D06" w:rsidRPr="0079630A">
        <w:rPr>
          <w:rFonts w:asciiTheme="minorHAnsi" w:hAnsiTheme="minorHAnsi"/>
          <w:color w:val="auto"/>
          <w:szCs w:val="24"/>
        </w:rPr>
        <w:t>, although t</w:t>
      </w:r>
      <w:r w:rsidR="000278CE" w:rsidRPr="0079630A">
        <w:rPr>
          <w:rFonts w:asciiTheme="minorHAnsi" w:hAnsiTheme="minorHAnsi"/>
          <w:color w:val="auto"/>
          <w:szCs w:val="24"/>
        </w:rPr>
        <w:t xml:space="preserve">he CI </w:t>
      </w:r>
      <w:r w:rsidR="00187D06" w:rsidRPr="0079630A">
        <w:rPr>
          <w:rFonts w:asciiTheme="minorHAnsi" w:hAnsiTheme="minorHAnsi"/>
          <w:color w:val="auto"/>
          <w:szCs w:val="24"/>
        </w:rPr>
        <w:t>reported</w:t>
      </w:r>
      <w:r w:rsidR="00D95D2F" w:rsidRPr="0079630A">
        <w:rPr>
          <w:rFonts w:asciiTheme="minorHAnsi" w:hAnsiTheme="minorHAnsi"/>
          <w:color w:val="auto"/>
          <w:szCs w:val="24"/>
        </w:rPr>
        <w:t xml:space="preserve"> little benefit from his two-drug psychotropic regimen or group therapy.  The CI was working full time (40 hours per week) installing equipment in automobiles.  </w:t>
      </w:r>
      <w:r w:rsidR="000278CE" w:rsidRPr="0079630A">
        <w:rPr>
          <w:rFonts w:asciiTheme="minorHAnsi" w:hAnsiTheme="minorHAnsi"/>
          <w:color w:val="auto"/>
          <w:szCs w:val="24"/>
        </w:rPr>
        <w:t xml:space="preserve">He felt he was a good worker, but did not socialize with the other employees, and was suspicious of them.  </w:t>
      </w:r>
      <w:r w:rsidR="00AE3B06" w:rsidRPr="0079630A">
        <w:rPr>
          <w:rFonts w:asciiTheme="minorHAnsi" w:hAnsiTheme="minorHAnsi"/>
          <w:color w:val="auto"/>
          <w:szCs w:val="24"/>
        </w:rPr>
        <w:t xml:space="preserve">The examiner noted the CI’s relationship with his wife was strained because of his irritability, and he felt distant from his extended family, visiting them infrequently.  Mental </w:t>
      </w:r>
      <w:r w:rsidR="003370EA">
        <w:rPr>
          <w:rFonts w:asciiTheme="minorHAnsi" w:hAnsiTheme="minorHAnsi"/>
          <w:color w:val="auto"/>
          <w:szCs w:val="24"/>
        </w:rPr>
        <w:t>s</w:t>
      </w:r>
      <w:r w:rsidR="00AE3B06" w:rsidRPr="0079630A">
        <w:rPr>
          <w:rFonts w:asciiTheme="minorHAnsi" w:hAnsiTheme="minorHAnsi"/>
          <w:color w:val="auto"/>
          <w:szCs w:val="24"/>
        </w:rPr>
        <w:t xml:space="preserve">tatus </w:t>
      </w:r>
      <w:r w:rsidR="003370EA">
        <w:rPr>
          <w:rFonts w:asciiTheme="minorHAnsi" w:hAnsiTheme="minorHAnsi"/>
          <w:color w:val="auto"/>
          <w:szCs w:val="24"/>
        </w:rPr>
        <w:t>e</w:t>
      </w:r>
      <w:r w:rsidR="00AE3B06" w:rsidRPr="0079630A">
        <w:rPr>
          <w:rFonts w:asciiTheme="minorHAnsi" w:hAnsiTheme="minorHAnsi"/>
          <w:color w:val="auto"/>
          <w:szCs w:val="24"/>
        </w:rPr>
        <w:t xml:space="preserve">xam (MSE) revealed his mood was </w:t>
      </w:r>
      <w:r w:rsidR="00AE3B06" w:rsidRPr="0079630A">
        <w:rPr>
          <w:rFonts w:asciiTheme="minorHAnsi" w:hAnsiTheme="minorHAnsi"/>
          <w:color w:val="auto"/>
          <w:szCs w:val="24"/>
        </w:rPr>
        <w:lastRenderedPageBreak/>
        <w:t xml:space="preserve">“emotionless, neither happy nor sad,” and his affect was “distant and restricted.”  Insight was “partial” and judgment was “adequate for everyday situations.”  There was no suicidal ideation, delusional or hallucinatory symptoms, speech disturbance, cognitive impairment or other abnormalities.  </w:t>
      </w:r>
      <w:r w:rsidR="00AE3B06" w:rsidRPr="0079630A">
        <w:rPr>
          <w:color w:val="auto"/>
          <w:szCs w:val="24"/>
        </w:rPr>
        <w:t xml:space="preserve">The examiner did not provide a </w:t>
      </w:r>
      <w:r w:rsidR="00F770C9" w:rsidRPr="0079630A">
        <w:rPr>
          <w:color w:val="auto"/>
          <w:szCs w:val="24"/>
        </w:rPr>
        <w:t>GAF</w:t>
      </w:r>
      <w:r w:rsidR="00AE3B06" w:rsidRPr="0079630A">
        <w:rPr>
          <w:color w:val="auto"/>
          <w:szCs w:val="24"/>
        </w:rPr>
        <w:t xml:space="preserve"> score, but </w:t>
      </w:r>
      <w:r w:rsidR="004C7B3E" w:rsidRPr="0079630A">
        <w:rPr>
          <w:color w:val="auto"/>
          <w:szCs w:val="24"/>
        </w:rPr>
        <w:t>summarized the CI’s functioning as, “</w:t>
      </w:r>
      <w:r w:rsidR="003370EA">
        <w:rPr>
          <w:color w:val="auto"/>
          <w:szCs w:val="24"/>
        </w:rPr>
        <w:t>m</w:t>
      </w:r>
      <w:r w:rsidR="004C7B3E" w:rsidRPr="0079630A">
        <w:rPr>
          <w:color w:val="auto"/>
          <w:szCs w:val="24"/>
        </w:rPr>
        <w:t>aintains employment with adequate job adjustment but poor social adjustment</w:t>
      </w:r>
      <w:r w:rsidR="00AE3B06" w:rsidRPr="0079630A">
        <w:rPr>
          <w:color w:val="auto"/>
          <w:szCs w:val="24"/>
        </w:rPr>
        <w:t>.</w:t>
      </w:r>
      <w:r w:rsidR="004C7B3E" w:rsidRPr="0079630A">
        <w:rPr>
          <w:color w:val="auto"/>
          <w:szCs w:val="24"/>
        </w:rPr>
        <w:t>”</w:t>
      </w:r>
      <w:r w:rsidR="00AE3B06" w:rsidRPr="0079630A">
        <w:rPr>
          <w:color w:val="auto"/>
          <w:szCs w:val="24"/>
        </w:rPr>
        <w:t xml:space="preserve">  </w:t>
      </w:r>
    </w:p>
    <w:p w:rsidR="00BE631E" w:rsidRPr="0079630A" w:rsidRDefault="00BE631E" w:rsidP="00AE3B06">
      <w:pPr>
        <w:spacing w:line="240" w:lineRule="exact"/>
        <w:jc w:val="both"/>
        <w:rPr>
          <w:color w:val="auto"/>
          <w:szCs w:val="24"/>
        </w:rPr>
      </w:pPr>
    </w:p>
    <w:p w:rsidR="0058172B" w:rsidRPr="0079630A" w:rsidRDefault="00D609AB" w:rsidP="00AE3B06">
      <w:pPr>
        <w:spacing w:line="240" w:lineRule="exact"/>
        <w:jc w:val="both"/>
        <w:rPr>
          <w:color w:val="auto"/>
          <w:szCs w:val="24"/>
        </w:rPr>
      </w:pPr>
      <w:r w:rsidRPr="0079630A">
        <w:rPr>
          <w:color w:val="auto"/>
          <w:szCs w:val="24"/>
        </w:rPr>
        <w:t xml:space="preserve">The VA rated the CI’s PTSD at 30% effective 15 May 2004, based on evidence from </w:t>
      </w:r>
      <w:r w:rsidR="003370EA">
        <w:rPr>
          <w:color w:val="auto"/>
          <w:szCs w:val="24"/>
        </w:rPr>
        <w:t>s</w:t>
      </w:r>
      <w:r w:rsidRPr="0079630A">
        <w:rPr>
          <w:color w:val="auto"/>
          <w:szCs w:val="24"/>
        </w:rPr>
        <w:t xml:space="preserve">ervice medical records and a </w:t>
      </w:r>
      <w:r w:rsidR="003370EA">
        <w:rPr>
          <w:color w:val="auto"/>
          <w:szCs w:val="24"/>
        </w:rPr>
        <w:t xml:space="preserve">VA </w:t>
      </w:r>
      <w:r w:rsidRPr="0079630A">
        <w:rPr>
          <w:color w:val="auto"/>
          <w:szCs w:val="24"/>
        </w:rPr>
        <w:t xml:space="preserve">Compensation and Pension (C&amp;P) exam </w:t>
      </w:r>
      <w:r w:rsidR="005C05A9" w:rsidRPr="0079630A">
        <w:rPr>
          <w:color w:val="auto"/>
          <w:szCs w:val="24"/>
        </w:rPr>
        <w:t xml:space="preserve">one month prior to </w:t>
      </w:r>
      <w:r w:rsidR="00B43F0D" w:rsidRPr="0079630A">
        <w:rPr>
          <w:color w:val="auto"/>
          <w:szCs w:val="24"/>
        </w:rPr>
        <w:t>TDRL-entry</w:t>
      </w:r>
      <w:r w:rsidR="005C05A9" w:rsidRPr="0079630A">
        <w:rPr>
          <w:color w:val="auto"/>
          <w:sz w:val="20"/>
          <w:szCs w:val="24"/>
        </w:rPr>
        <w:t xml:space="preserve">; </w:t>
      </w:r>
      <w:r w:rsidR="005C05A9" w:rsidRPr="0079630A">
        <w:rPr>
          <w:color w:val="auto"/>
          <w:szCs w:val="24"/>
        </w:rPr>
        <w:t>this was retroactively corrected to 50% IAW §4.129</w:t>
      </w:r>
      <w:r w:rsidR="00213C9A" w:rsidRPr="0079630A">
        <w:rPr>
          <w:color w:val="auto"/>
          <w:szCs w:val="24"/>
        </w:rPr>
        <w:t>.</w:t>
      </w:r>
      <w:r w:rsidRPr="0079630A">
        <w:rPr>
          <w:color w:val="auto"/>
          <w:szCs w:val="24"/>
        </w:rPr>
        <w:t xml:space="preserve">  The VA increased the CI’s PTSD rating to 100% effective one month </w:t>
      </w:r>
      <w:r w:rsidR="00B43F0D" w:rsidRPr="0079630A">
        <w:rPr>
          <w:color w:val="auto"/>
          <w:szCs w:val="24"/>
        </w:rPr>
        <w:t xml:space="preserve">prior to TDRL-exit </w:t>
      </w:r>
      <w:r w:rsidRPr="0079630A">
        <w:rPr>
          <w:color w:val="auto"/>
          <w:szCs w:val="24"/>
        </w:rPr>
        <w:t xml:space="preserve">because the CI was “unable to work due to the symptoms [of PTSD].”  </w:t>
      </w:r>
      <w:proofErr w:type="gramStart"/>
      <w:r w:rsidR="00213C9A" w:rsidRPr="0079630A">
        <w:rPr>
          <w:color w:val="auto"/>
          <w:szCs w:val="24"/>
        </w:rPr>
        <w:t xml:space="preserve">VA treatment notes proximate to TDRL exit reported symptoms of anger (without overt violence), insomnia (sleeping four hours per night), and </w:t>
      </w:r>
      <w:r w:rsidR="008E303C" w:rsidRPr="0079630A">
        <w:rPr>
          <w:color w:val="auto"/>
          <w:szCs w:val="24"/>
        </w:rPr>
        <w:t>memory problems</w:t>
      </w:r>
      <w:r w:rsidRPr="0079630A">
        <w:rPr>
          <w:color w:val="auto"/>
          <w:szCs w:val="24"/>
        </w:rPr>
        <w:t>.</w:t>
      </w:r>
      <w:proofErr w:type="gramEnd"/>
      <w:r w:rsidR="008E303C" w:rsidRPr="0079630A">
        <w:rPr>
          <w:color w:val="auto"/>
          <w:szCs w:val="24"/>
        </w:rPr>
        <w:t xml:space="preserve">  The CI </w:t>
      </w:r>
      <w:r w:rsidR="00B43F0D" w:rsidRPr="0079630A">
        <w:rPr>
          <w:color w:val="auto"/>
          <w:szCs w:val="24"/>
        </w:rPr>
        <w:t xml:space="preserve">had </w:t>
      </w:r>
      <w:r w:rsidR="008E303C" w:rsidRPr="0079630A">
        <w:rPr>
          <w:color w:val="auto"/>
          <w:szCs w:val="24"/>
        </w:rPr>
        <w:t>stopped working at Nissan in January 2006, one month</w:t>
      </w:r>
      <w:r w:rsidR="00A30963">
        <w:rPr>
          <w:color w:val="auto"/>
          <w:szCs w:val="24"/>
        </w:rPr>
        <w:t xml:space="preserve"> before </w:t>
      </w:r>
      <w:r w:rsidR="00B43F0D" w:rsidRPr="0079630A">
        <w:rPr>
          <w:color w:val="auto"/>
          <w:szCs w:val="24"/>
        </w:rPr>
        <w:t>TDRL exit</w:t>
      </w:r>
      <w:r w:rsidR="008E303C" w:rsidRPr="0079630A">
        <w:rPr>
          <w:color w:val="auto"/>
          <w:szCs w:val="24"/>
        </w:rPr>
        <w:t xml:space="preserve">; </w:t>
      </w:r>
      <w:proofErr w:type="gramStart"/>
      <w:r w:rsidR="009B7F0E" w:rsidRPr="0079630A">
        <w:rPr>
          <w:color w:val="auto"/>
          <w:szCs w:val="24"/>
        </w:rPr>
        <w:t>Upon</w:t>
      </w:r>
      <w:proofErr w:type="gramEnd"/>
      <w:r w:rsidR="00B43F0D" w:rsidRPr="0079630A">
        <w:rPr>
          <w:color w:val="auto"/>
          <w:szCs w:val="24"/>
        </w:rPr>
        <w:t xml:space="preserve"> detailed review, a VA </w:t>
      </w:r>
      <w:r w:rsidR="008E303C" w:rsidRPr="0079630A">
        <w:rPr>
          <w:color w:val="auto"/>
          <w:szCs w:val="24"/>
        </w:rPr>
        <w:t xml:space="preserve">note </w:t>
      </w:r>
      <w:r w:rsidR="00B43F0D" w:rsidRPr="0079630A">
        <w:rPr>
          <w:color w:val="auto"/>
          <w:szCs w:val="24"/>
        </w:rPr>
        <w:t xml:space="preserve">one month </w:t>
      </w:r>
      <w:r w:rsidR="00A30963">
        <w:rPr>
          <w:color w:val="auto"/>
          <w:szCs w:val="24"/>
        </w:rPr>
        <w:t>after</w:t>
      </w:r>
      <w:r w:rsidR="00B43F0D" w:rsidRPr="0079630A">
        <w:rPr>
          <w:color w:val="auto"/>
          <w:szCs w:val="24"/>
        </w:rPr>
        <w:t xml:space="preserve"> TDRL exit </w:t>
      </w:r>
      <w:r w:rsidR="008E303C" w:rsidRPr="0079630A">
        <w:rPr>
          <w:color w:val="auto"/>
          <w:szCs w:val="24"/>
        </w:rPr>
        <w:t>stated th</w:t>
      </w:r>
      <w:r w:rsidR="00B43F0D" w:rsidRPr="0079630A">
        <w:rPr>
          <w:color w:val="auto"/>
          <w:szCs w:val="24"/>
        </w:rPr>
        <w:t xml:space="preserve">e unemployment </w:t>
      </w:r>
      <w:r w:rsidR="008E303C" w:rsidRPr="0079630A">
        <w:rPr>
          <w:color w:val="auto"/>
          <w:szCs w:val="24"/>
        </w:rPr>
        <w:t xml:space="preserve">was due </w:t>
      </w:r>
      <w:r w:rsidR="00B43F0D" w:rsidRPr="0079630A">
        <w:rPr>
          <w:color w:val="auto"/>
          <w:szCs w:val="24"/>
        </w:rPr>
        <w:t xml:space="preserve">primarily </w:t>
      </w:r>
      <w:r w:rsidR="008E303C" w:rsidRPr="0079630A">
        <w:rPr>
          <w:color w:val="auto"/>
          <w:szCs w:val="24"/>
        </w:rPr>
        <w:t xml:space="preserve">to </w:t>
      </w:r>
      <w:r w:rsidR="00B43F0D" w:rsidRPr="0079630A">
        <w:rPr>
          <w:color w:val="auto"/>
          <w:szCs w:val="24"/>
        </w:rPr>
        <w:t>the CI’s</w:t>
      </w:r>
      <w:r w:rsidR="008E303C" w:rsidRPr="0079630A">
        <w:rPr>
          <w:color w:val="auto"/>
          <w:szCs w:val="24"/>
        </w:rPr>
        <w:t xml:space="preserve"> back condition, </w:t>
      </w:r>
      <w:r w:rsidR="00B43F0D" w:rsidRPr="0079630A">
        <w:rPr>
          <w:color w:val="auto"/>
          <w:szCs w:val="24"/>
        </w:rPr>
        <w:t xml:space="preserve">while a later note </w:t>
      </w:r>
      <w:r w:rsidR="008E303C" w:rsidRPr="0079630A">
        <w:rPr>
          <w:color w:val="auto"/>
          <w:szCs w:val="24"/>
        </w:rPr>
        <w:t xml:space="preserve">stated it was </w:t>
      </w:r>
      <w:r w:rsidR="00B43F0D" w:rsidRPr="0079630A">
        <w:rPr>
          <w:color w:val="auto"/>
          <w:szCs w:val="24"/>
        </w:rPr>
        <w:t xml:space="preserve">primarily </w:t>
      </w:r>
      <w:r w:rsidR="008E303C" w:rsidRPr="0079630A">
        <w:rPr>
          <w:color w:val="auto"/>
          <w:szCs w:val="24"/>
        </w:rPr>
        <w:t xml:space="preserve">due to </w:t>
      </w:r>
      <w:r w:rsidR="009B7F0E" w:rsidRPr="0079630A">
        <w:rPr>
          <w:color w:val="auto"/>
          <w:szCs w:val="24"/>
        </w:rPr>
        <w:t>the CI’s</w:t>
      </w:r>
      <w:r w:rsidR="008E303C" w:rsidRPr="0079630A">
        <w:rPr>
          <w:color w:val="auto"/>
          <w:szCs w:val="24"/>
        </w:rPr>
        <w:t xml:space="preserve"> PTSD symptoms. </w:t>
      </w:r>
      <w:r w:rsidRPr="0079630A">
        <w:rPr>
          <w:color w:val="auto"/>
          <w:szCs w:val="24"/>
        </w:rPr>
        <w:t xml:space="preserve"> </w:t>
      </w:r>
      <w:r w:rsidR="00415DAB" w:rsidRPr="0079630A">
        <w:rPr>
          <w:color w:val="auto"/>
          <w:szCs w:val="24"/>
        </w:rPr>
        <w:t xml:space="preserve">The CI continued to have arguments with his wife during this period, but had a good relationship with his children.  At one month </w:t>
      </w:r>
      <w:r w:rsidR="003370EA">
        <w:rPr>
          <w:color w:val="auto"/>
          <w:szCs w:val="24"/>
        </w:rPr>
        <w:t xml:space="preserve">after </w:t>
      </w:r>
      <w:r w:rsidR="00415DAB" w:rsidRPr="0079630A">
        <w:rPr>
          <w:color w:val="auto"/>
          <w:szCs w:val="24"/>
        </w:rPr>
        <w:t>separation, the examiner stated the CI’s PTSD had been in full remission one year previously, however t</w:t>
      </w:r>
      <w:r w:rsidR="008E303C" w:rsidRPr="0079630A">
        <w:rPr>
          <w:color w:val="auto"/>
          <w:szCs w:val="24"/>
        </w:rPr>
        <w:t xml:space="preserve">he CI’s condition apparently </w:t>
      </w:r>
      <w:r w:rsidR="00415DAB" w:rsidRPr="0079630A">
        <w:rPr>
          <w:color w:val="auto"/>
          <w:szCs w:val="24"/>
        </w:rPr>
        <w:t xml:space="preserve">declined over the year, and continued to </w:t>
      </w:r>
      <w:r w:rsidR="008E303C" w:rsidRPr="0079630A">
        <w:rPr>
          <w:color w:val="auto"/>
          <w:szCs w:val="24"/>
        </w:rPr>
        <w:t>deteriorate during the period from one</w:t>
      </w:r>
      <w:r w:rsidR="00415DAB" w:rsidRPr="0079630A">
        <w:rPr>
          <w:color w:val="auto"/>
          <w:szCs w:val="24"/>
        </w:rPr>
        <w:t xml:space="preserve"> to four</w:t>
      </w:r>
      <w:r w:rsidR="008E303C" w:rsidRPr="0079630A">
        <w:rPr>
          <w:color w:val="auto"/>
          <w:szCs w:val="24"/>
        </w:rPr>
        <w:t xml:space="preserve"> month</w:t>
      </w:r>
      <w:r w:rsidR="00415DAB" w:rsidRPr="0079630A">
        <w:rPr>
          <w:color w:val="auto"/>
          <w:szCs w:val="24"/>
        </w:rPr>
        <w:t>s</w:t>
      </w:r>
      <w:r w:rsidR="008E303C" w:rsidRPr="0079630A">
        <w:rPr>
          <w:color w:val="auto"/>
          <w:szCs w:val="24"/>
        </w:rPr>
        <w:t xml:space="preserve"> </w:t>
      </w:r>
      <w:r w:rsidR="003370EA">
        <w:rPr>
          <w:color w:val="auto"/>
          <w:szCs w:val="24"/>
        </w:rPr>
        <w:t xml:space="preserve">after </w:t>
      </w:r>
      <w:r w:rsidR="008E303C" w:rsidRPr="0079630A">
        <w:rPr>
          <w:color w:val="auto"/>
          <w:szCs w:val="24"/>
        </w:rPr>
        <w:t xml:space="preserve">separation </w:t>
      </w:r>
      <w:r w:rsidR="00415DAB" w:rsidRPr="0079630A">
        <w:rPr>
          <w:color w:val="auto"/>
          <w:szCs w:val="24"/>
        </w:rPr>
        <w:t>period</w:t>
      </w:r>
      <w:r w:rsidR="009B7F0E" w:rsidRPr="0079630A">
        <w:rPr>
          <w:color w:val="auto"/>
          <w:szCs w:val="24"/>
        </w:rPr>
        <w:t xml:space="preserve">.  </w:t>
      </w:r>
      <w:r w:rsidR="00415DAB" w:rsidRPr="0079630A">
        <w:rPr>
          <w:color w:val="auto"/>
          <w:szCs w:val="24"/>
        </w:rPr>
        <w:t>GAFs declined from 57 to 51 during that period, and medications and psychotherapy w</w:t>
      </w:r>
      <w:r w:rsidR="0053317F" w:rsidRPr="0079630A">
        <w:rPr>
          <w:color w:val="auto"/>
          <w:szCs w:val="24"/>
        </w:rPr>
        <w:t>as</w:t>
      </w:r>
      <w:r w:rsidR="00415DAB" w:rsidRPr="0079630A">
        <w:rPr>
          <w:color w:val="auto"/>
          <w:szCs w:val="24"/>
        </w:rPr>
        <w:t xml:space="preserve"> resumed.</w:t>
      </w:r>
      <w:r w:rsidR="008E303C" w:rsidRPr="0079630A">
        <w:rPr>
          <w:color w:val="auto"/>
          <w:szCs w:val="24"/>
        </w:rPr>
        <w:t xml:space="preserve"> </w:t>
      </w:r>
      <w:r w:rsidRPr="0079630A">
        <w:rPr>
          <w:color w:val="auto"/>
          <w:szCs w:val="24"/>
        </w:rPr>
        <w:t xml:space="preserve"> </w:t>
      </w:r>
      <w:r w:rsidR="00415DAB" w:rsidRPr="0079630A">
        <w:rPr>
          <w:color w:val="auto"/>
          <w:szCs w:val="24"/>
        </w:rPr>
        <w:t>A</w:t>
      </w:r>
      <w:r w:rsidR="009B7F0E" w:rsidRPr="0079630A">
        <w:rPr>
          <w:color w:val="auto"/>
          <w:szCs w:val="24"/>
        </w:rPr>
        <w:t>dditionally</w:t>
      </w:r>
      <w:r w:rsidR="00415DAB" w:rsidRPr="0079630A">
        <w:rPr>
          <w:color w:val="auto"/>
          <w:szCs w:val="24"/>
        </w:rPr>
        <w:t xml:space="preserve">, the CI’s previous VA diagnosis of adjustment disorder was changed to depression at four months </w:t>
      </w:r>
      <w:r w:rsidR="003370EA">
        <w:rPr>
          <w:color w:val="auto"/>
          <w:szCs w:val="24"/>
        </w:rPr>
        <w:t xml:space="preserve">after </w:t>
      </w:r>
      <w:r w:rsidR="00415DAB" w:rsidRPr="0079630A">
        <w:rPr>
          <w:color w:val="auto"/>
          <w:szCs w:val="24"/>
        </w:rPr>
        <w:t xml:space="preserve">separation.  </w:t>
      </w:r>
      <w:r w:rsidR="009B7F0E" w:rsidRPr="0079630A">
        <w:rPr>
          <w:color w:val="auto"/>
          <w:szCs w:val="24"/>
        </w:rPr>
        <w:t xml:space="preserve">Although remote from separation, the VA (temporarily) reduced the CI’s PTSD rating to 30% effective 38 months post-TDRL exit </w:t>
      </w:r>
      <w:r w:rsidR="00087D7D" w:rsidRPr="0079630A">
        <w:rPr>
          <w:color w:val="auto"/>
          <w:szCs w:val="24"/>
        </w:rPr>
        <w:t>due to missed VA re-evaluation exams</w:t>
      </w:r>
      <w:r w:rsidR="009B7F0E" w:rsidRPr="0079630A">
        <w:rPr>
          <w:color w:val="auto"/>
          <w:szCs w:val="24"/>
        </w:rPr>
        <w:t>, and reinstated the 100% rating retroactively to January 2006 based on a</w:t>
      </w:r>
      <w:r w:rsidR="0058172B" w:rsidRPr="0079630A">
        <w:rPr>
          <w:color w:val="auto"/>
          <w:szCs w:val="24"/>
        </w:rPr>
        <w:t xml:space="preserve"> </w:t>
      </w:r>
      <w:r w:rsidR="00087D7D" w:rsidRPr="0079630A">
        <w:rPr>
          <w:color w:val="auto"/>
          <w:szCs w:val="24"/>
        </w:rPr>
        <w:t xml:space="preserve">subsequent </w:t>
      </w:r>
      <w:r w:rsidR="0058172B" w:rsidRPr="0079630A">
        <w:rPr>
          <w:color w:val="auto"/>
          <w:szCs w:val="24"/>
        </w:rPr>
        <w:t>VA C&amp;P exam</w:t>
      </w:r>
      <w:r w:rsidR="005C05A9" w:rsidRPr="0079630A">
        <w:rPr>
          <w:color w:val="auto"/>
          <w:szCs w:val="24"/>
        </w:rPr>
        <w:t>, 40 months post-</w:t>
      </w:r>
      <w:r w:rsidR="009B7F0E" w:rsidRPr="0079630A">
        <w:rPr>
          <w:color w:val="auto"/>
          <w:szCs w:val="24"/>
        </w:rPr>
        <w:t>separation</w:t>
      </w:r>
      <w:r w:rsidR="0058172B" w:rsidRPr="0079630A">
        <w:rPr>
          <w:color w:val="auto"/>
          <w:szCs w:val="24"/>
        </w:rPr>
        <w:t xml:space="preserve"> </w:t>
      </w:r>
      <w:r w:rsidR="005C05A9" w:rsidRPr="0079630A">
        <w:rPr>
          <w:color w:val="auto"/>
          <w:szCs w:val="24"/>
        </w:rPr>
        <w:t>and review of the entire record</w:t>
      </w:r>
      <w:r w:rsidR="009B7F0E" w:rsidRPr="0079630A">
        <w:rPr>
          <w:color w:val="auto"/>
          <w:szCs w:val="24"/>
        </w:rPr>
        <w:t xml:space="preserve">.  This exam </w:t>
      </w:r>
      <w:r w:rsidR="0058172B" w:rsidRPr="0079630A">
        <w:rPr>
          <w:color w:val="auto"/>
          <w:szCs w:val="24"/>
        </w:rPr>
        <w:t xml:space="preserve">indicated long-term unemployment with no post-separation school attendance.  The CI was married and living with his spouse and children, withdrawn, isolated and had continued nightmares/insomnia, avoidance, and passive suicidal ideations.  His diagnoses were PTSD with progression to include major depression disorder and a GAF of 50, in the serious symptom range.  The VA </w:t>
      </w:r>
      <w:r w:rsidR="00087D7D" w:rsidRPr="0079630A">
        <w:rPr>
          <w:color w:val="auto"/>
          <w:szCs w:val="24"/>
        </w:rPr>
        <w:t xml:space="preserve">rating determination following this exam indicated an earlier clear and unmistakable error to retroactively assign a 50% rating from May 2004, </w:t>
      </w:r>
      <w:r w:rsidR="0058172B" w:rsidRPr="0079630A">
        <w:rPr>
          <w:color w:val="auto"/>
          <w:szCs w:val="24"/>
        </w:rPr>
        <w:t xml:space="preserve">re-instituted </w:t>
      </w:r>
      <w:r w:rsidR="00087D7D" w:rsidRPr="0079630A">
        <w:rPr>
          <w:color w:val="auto"/>
          <w:szCs w:val="24"/>
        </w:rPr>
        <w:t xml:space="preserve">the </w:t>
      </w:r>
      <w:r w:rsidR="0058172B" w:rsidRPr="0079630A">
        <w:rPr>
          <w:color w:val="auto"/>
          <w:szCs w:val="24"/>
        </w:rPr>
        <w:t xml:space="preserve">100% rating </w:t>
      </w:r>
      <w:r w:rsidR="00087D7D" w:rsidRPr="0079630A">
        <w:rPr>
          <w:color w:val="auto"/>
          <w:szCs w:val="24"/>
        </w:rPr>
        <w:t>from January 2006</w:t>
      </w:r>
      <w:r w:rsidR="005C05A9" w:rsidRPr="0079630A">
        <w:rPr>
          <w:color w:val="auto"/>
          <w:szCs w:val="24"/>
        </w:rPr>
        <w:t xml:space="preserve"> </w:t>
      </w:r>
      <w:r w:rsidR="0053317F" w:rsidRPr="0079630A">
        <w:rPr>
          <w:color w:val="auto"/>
          <w:szCs w:val="24"/>
        </w:rPr>
        <w:t xml:space="preserve">(VA decreased for missed exam) </w:t>
      </w:r>
      <w:r w:rsidR="0058172B" w:rsidRPr="0079630A">
        <w:rPr>
          <w:color w:val="auto"/>
          <w:szCs w:val="24"/>
        </w:rPr>
        <w:t xml:space="preserve">and </w:t>
      </w:r>
      <w:r w:rsidR="00087D7D" w:rsidRPr="0079630A">
        <w:rPr>
          <w:color w:val="auto"/>
          <w:szCs w:val="24"/>
        </w:rPr>
        <w:t xml:space="preserve">granted </w:t>
      </w:r>
      <w:r w:rsidR="0058172B" w:rsidRPr="0079630A">
        <w:rPr>
          <w:color w:val="auto"/>
          <w:szCs w:val="24"/>
        </w:rPr>
        <w:t xml:space="preserve">individual unemployability </w:t>
      </w:r>
      <w:r w:rsidR="00087D7D" w:rsidRPr="0079630A">
        <w:rPr>
          <w:color w:val="auto"/>
          <w:szCs w:val="24"/>
        </w:rPr>
        <w:t>from May 2009</w:t>
      </w:r>
      <w:r w:rsidR="0058172B" w:rsidRPr="0079630A">
        <w:rPr>
          <w:color w:val="auto"/>
          <w:szCs w:val="24"/>
        </w:rPr>
        <w:t>.</w:t>
      </w:r>
    </w:p>
    <w:p w:rsidR="0058172B" w:rsidRPr="0079630A" w:rsidRDefault="0058172B" w:rsidP="00AE3B06">
      <w:pPr>
        <w:spacing w:line="240" w:lineRule="exact"/>
        <w:jc w:val="both"/>
        <w:rPr>
          <w:color w:val="auto"/>
          <w:szCs w:val="24"/>
        </w:rPr>
      </w:pPr>
    </w:p>
    <w:p w:rsidR="00BE631E" w:rsidRPr="0079630A" w:rsidRDefault="008D75DB" w:rsidP="00C43084">
      <w:pPr>
        <w:spacing w:line="240" w:lineRule="exact"/>
        <w:jc w:val="both"/>
        <w:rPr>
          <w:rFonts w:asciiTheme="minorHAnsi" w:eastAsia="HiddenHorzOCR" w:hAnsiTheme="minorHAnsi"/>
          <w:color w:val="auto"/>
          <w:szCs w:val="24"/>
        </w:rPr>
      </w:pPr>
      <w:r w:rsidRPr="0079630A">
        <w:rPr>
          <w:color w:val="auto"/>
          <w:szCs w:val="24"/>
        </w:rPr>
        <w:t xml:space="preserve">The Board directs its attention to its rating recommendations based on the evidence just described.  </w:t>
      </w:r>
      <w:r w:rsidR="00BE631E" w:rsidRPr="0079630A">
        <w:rPr>
          <w:color w:val="auto"/>
          <w:szCs w:val="24"/>
        </w:rPr>
        <w:t xml:space="preserve">As regards the permanent rating recommendation, all members agreed that the §4.130 threshold for a </w:t>
      </w:r>
      <w:r w:rsidR="00187D06" w:rsidRPr="0079630A">
        <w:rPr>
          <w:color w:val="auto"/>
          <w:szCs w:val="24"/>
        </w:rPr>
        <w:t>7</w:t>
      </w:r>
      <w:r w:rsidR="00BE631E" w:rsidRPr="0079630A">
        <w:rPr>
          <w:color w:val="auto"/>
          <w:szCs w:val="24"/>
        </w:rPr>
        <w:t>0% rating was not approached and that the criteria for a 10% rating were well exceeded.  The deliberation settled on arguments for a 50% vs. 30% per</w:t>
      </w:r>
      <w:r w:rsidR="00187D06" w:rsidRPr="0079630A">
        <w:rPr>
          <w:color w:val="auto"/>
          <w:szCs w:val="24"/>
        </w:rPr>
        <w:t xml:space="preserve">manent rating recommendation.  </w:t>
      </w:r>
      <w:r w:rsidR="00A77F7F" w:rsidRPr="0079630A">
        <w:rPr>
          <w:color w:val="auto"/>
          <w:szCs w:val="24"/>
        </w:rPr>
        <w:t xml:space="preserve">There was some indication that </w:t>
      </w:r>
      <w:r w:rsidR="00187D06" w:rsidRPr="0079630A">
        <w:rPr>
          <w:color w:val="auto"/>
          <w:szCs w:val="24"/>
        </w:rPr>
        <w:t>t</w:t>
      </w:r>
      <w:r w:rsidR="00BE631E" w:rsidRPr="0079630A">
        <w:rPr>
          <w:color w:val="auto"/>
          <w:szCs w:val="24"/>
        </w:rPr>
        <w:t>he CI’s PTSD-related impairment</w:t>
      </w:r>
      <w:r w:rsidR="00187D06" w:rsidRPr="0079630A">
        <w:rPr>
          <w:color w:val="auto"/>
          <w:szCs w:val="24"/>
        </w:rPr>
        <w:t xml:space="preserve"> </w:t>
      </w:r>
      <w:r w:rsidR="00F770C9" w:rsidRPr="0079630A">
        <w:rPr>
          <w:color w:val="auto"/>
          <w:szCs w:val="24"/>
        </w:rPr>
        <w:t xml:space="preserve">at the end of his TDRL period </w:t>
      </w:r>
      <w:r w:rsidR="00187D06" w:rsidRPr="0079630A">
        <w:rPr>
          <w:color w:val="auto"/>
          <w:szCs w:val="24"/>
        </w:rPr>
        <w:t xml:space="preserve">had not </w:t>
      </w:r>
      <w:r w:rsidR="00A77F7F" w:rsidRPr="0079630A">
        <w:rPr>
          <w:color w:val="auto"/>
          <w:szCs w:val="24"/>
        </w:rPr>
        <w:t xml:space="preserve">prevented </w:t>
      </w:r>
      <w:r w:rsidR="00187D06" w:rsidRPr="0079630A">
        <w:rPr>
          <w:color w:val="auto"/>
          <w:szCs w:val="24"/>
        </w:rPr>
        <w:t>his ability to secure and maintain substantially gainful employment</w:t>
      </w:r>
      <w:r w:rsidR="00337761" w:rsidRPr="0079630A">
        <w:rPr>
          <w:color w:val="auto"/>
          <w:szCs w:val="24"/>
        </w:rPr>
        <w:t xml:space="preserve"> during the </w:t>
      </w:r>
      <w:r w:rsidR="0053317F" w:rsidRPr="0079630A">
        <w:rPr>
          <w:color w:val="auto"/>
          <w:szCs w:val="24"/>
        </w:rPr>
        <w:t>bulk</w:t>
      </w:r>
      <w:r w:rsidR="00337761" w:rsidRPr="0079630A">
        <w:rPr>
          <w:color w:val="auto"/>
          <w:szCs w:val="24"/>
        </w:rPr>
        <w:t xml:space="preserve"> of the TDRL period</w:t>
      </w:r>
      <w:r w:rsidR="0053317F" w:rsidRPr="0079630A">
        <w:rPr>
          <w:color w:val="auto"/>
          <w:szCs w:val="24"/>
        </w:rPr>
        <w:t xml:space="preserve">. </w:t>
      </w:r>
      <w:r w:rsidR="00337761" w:rsidRPr="0079630A">
        <w:rPr>
          <w:color w:val="auto"/>
          <w:szCs w:val="24"/>
        </w:rPr>
        <w:t xml:space="preserve"> </w:t>
      </w:r>
      <w:r w:rsidR="0053317F" w:rsidRPr="0079630A">
        <w:rPr>
          <w:color w:val="auto"/>
          <w:szCs w:val="24"/>
        </w:rPr>
        <w:t>However, t</w:t>
      </w:r>
      <w:r w:rsidR="00187D06" w:rsidRPr="0079630A">
        <w:rPr>
          <w:color w:val="auto"/>
          <w:szCs w:val="24"/>
        </w:rPr>
        <w:t xml:space="preserve">here was </w:t>
      </w:r>
      <w:r w:rsidR="00337761" w:rsidRPr="0079630A">
        <w:rPr>
          <w:color w:val="auto"/>
          <w:szCs w:val="24"/>
        </w:rPr>
        <w:t xml:space="preserve">also </w:t>
      </w:r>
      <w:r w:rsidR="00183321" w:rsidRPr="0079630A">
        <w:rPr>
          <w:color w:val="auto"/>
          <w:szCs w:val="24"/>
        </w:rPr>
        <w:t xml:space="preserve">an indication that </w:t>
      </w:r>
      <w:r w:rsidR="0053317F" w:rsidRPr="0079630A">
        <w:rPr>
          <w:color w:val="auto"/>
          <w:szCs w:val="24"/>
        </w:rPr>
        <w:t>mental health related</w:t>
      </w:r>
      <w:r w:rsidR="00183321" w:rsidRPr="0079630A">
        <w:rPr>
          <w:color w:val="auto"/>
          <w:szCs w:val="24"/>
        </w:rPr>
        <w:t xml:space="preserve"> symptoms </w:t>
      </w:r>
      <w:r w:rsidR="008D1536" w:rsidRPr="0079630A">
        <w:rPr>
          <w:color w:val="auto"/>
          <w:szCs w:val="24"/>
        </w:rPr>
        <w:t>affected</w:t>
      </w:r>
      <w:r w:rsidR="00183321" w:rsidRPr="0079630A">
        <w:rPr>
          <w:color w:val="auto"/>
          <w:szCs w:val="24"/>
        </w:rPr>
        <w:t xml:space="preserve"> his behavior at work, particularly with regard to interaction with other employees.  </w:t>
      </w:r>
      <w:r w:rsidR="008D1536" w:rsidRPr="0079630A">
        <w:rPr>
          <w:color w:val="auto"/>
          <w:szCs w:val="24"/>
        </w:rPr>
        <w:t>Although work reliability and productivity were not specifically addressed, it can be assumed that there was at least occasional or intermittent reduction in work efficiency, given the significant psychiatric symptoms</w:t>
      </w:r>
      <w:r w:rsidR="00A11EBB" w:rsidRPr="0079630A">
        <w:rPr>
          <w:color w:val="auto"/>
          <w:szCs w:val="24"/>
        </w:rPr>
        <w:t xml:space="preserve"> described in the TDRL NARSUM</w:t>
      </w:r>
      <w:r w:rsidR="008D1536" w:rsidRPr="0079630A">
        <w:rPr>
          <w:color w:val="auto"/>
          <w:szCs w:val="24"/>
        </w:rPr>
        <w:t xml:space="preserve">.  </w:t>
      </w:r>
      <w:r w:rsidR="0053317F" w:rsidRPr="0079630A">
        <w:rPr>
          <w:color w:val="auto"/>
          <w:szCs w:val="24"/>
        </w:rPr>
        <w:t xml:space="preserve">Records indicate that the CI was unemployed beginning one month prior to TDRL exit.  </w:t>
      </w:r>
      <w:r w:rsidR="002A1F2C" w:rsidRPr="0079630A">
        <w:rPr>
          <w:color w:val="auto"/>
          <w:szCs w:val="24"/>
        </w:rPr>
        <w:t xml:space="preserve">The CI’s mental condition </w:t>
      </w:r>
      <w:r w:rsidR="00A77F7F" w:rsidRPr="0079630A">
        <w:rPr>
          <w:color w:val="auto"/>
          <w:szCs w:val="24"/>
        </w:rPr>
        <w:t>likely</w:t>
      </w:r>
      <w:r w:rsidR="002A1F2C" w:rsidRPr="0079630A">
        <w:rPr>
          <w:color w:val="auto"/>
          <w:szCs w:val="24"/>
        </w:rPr>
        <w:t xml:space="preserve"> contributed </w:t>
      </w:r>
      <w:r w:rsidR="0053317F" w:rsidRPr="0079630A">
        <w:rPr>
          <w:color w:val="auto"/>
          <w:szCs w:val="24"/>
        </w:rPr>
        <w:t xml:space="preserve">to, </w:t>
      </w:r>
      <w:r w:rsidR="002A1F2C" w:rsidRPr="0079630A">
        <w:rPr>
          <w:color w:val="auto"/>
          <w:szCs w:val="24"/>
        </w:rPr>
        <w:t xml:space="preserve">or caused </w:t>
      </w:r>
      <w:r w:rsidR="00A77F7F" w:rsidRPr="0079630A">
        <w:rPr>
          <w:color w:val="auto"/>
          <w:szCs w:val="24"/>
        </w:rPr>
        <w:t>unemployment</w:t>
      </w:r>
      <w:r w:rsidR="00337761" w:rsidRPr="0079630A">
        <w:rPr>
          <w:color w:val="auto"/>
          <w:szCs w:val="24"/>
        </w:rPr>
        <w:t xml:space="preserve">, especially if a connection between pain symptoms (LBP) and mental health symptoms is conceded.  The record indicated the CI’s </w:t>
      </w:r>
      <w:r w:rsidR="002A1F2C" w:rsidRPr="0079630A">
        <w:rPr>
          <w:color w:val="auto"/>
          <w:szCs w:val="24"/>
        </w:rPr>
        <w:t>long term unemployment</w:t>
      </w:r>
      <w:r w:rsidR="00337761" w:rsidRPr="0079630A">
        <w:rPr>
          <w:color w:val="auto"/>
          <w:szCs w:val="24"/>
        </w:rPr>
        <w:t xml:space="preserve"> </w:t>
      </w:r>
      <w:r w:rsidR="002A1F2C" w:rsidRPr="0079630A">
        <w:rPr>
          <w:color w:val="auto"/>
          <w:szCs w:val="24"/>
        </w:rPr>
        <w:t xml:space="preserve">began one month </w:t>
      </w:r>
      <w:r w:rsidR="003370EA">
        <w:rPr>
          <w:color w:val="auto"/>
          <w:szCs w:val="24"/>
        </w:rPr>
        <w:t xml:space="preserve">prior to </w:t>
      </w:r>
      <w:r w:rsidR="002A1F2C" w:rsidRPr="0079630A">
        <w:rPr>
          <w:color w:val="auto"/>
          <w:szCs w:val="24"/>
        </w:rPr>
        <w:t xml:space="preserve">separation.  </w:t>
      </w:r>
      <w:r w:rsidR="00337761" w:rsidRPr="0079630A">
        <w:rPr>
          <w:color w:val="auto"/>
          <w:szCs w:val="24"/>
        </w:rPr>
        <w:t>T</w:t>
      </w:r>
      <w:r w:rsidR="00183321" w:rsidRPr="0079630A">
        <w:rPr>
          <w:color w:val="auto"/>
          <w:szCs w:val="24"/>
        </w:rPr>
        <w:t xml:space="preserve">here was </w:t>
      </w:r>
      <w:r w:rsidR="00187D06" w:rsidRPr="0079630A">
        <w:rPr>
          <w:color w:val="auto"/>
          <w:szCs w:val="24"/>
        </w:rPr>
        <w:t>ample evidence of significant impa</w:t>
      </w:r>
      <w:r w:rsidR="00183321" w:rsidRPr="0079630A">
        <w:rPr>
          <w:color w:val="auto"/>
          <w:szCs w:val="24"/>
        </w:rPr>
        <w:t>irment in family and social relationships</w:t>
      </w:r>
      <w:r w:rsidR="00337761" w:rsidRPr="0079630A">
        <w:rPr>
          <w:color w:val="auto"/>
          <w:szCs w:val="24"/>
        </w:rPr>
        <w:t xml:space="preserve"> throughout the TDRL period</w:t>
      </w:r>
      <w:r w:rsidR="00BE631E" w:rsidRPr="0079630A">
        <w:rPr>
          <w:color w:val="auto"/>
          <w:szCs w:val="24"/>
        </w:rPr>
        <w:t>.  The 30% description (“</w:t>
      </w:r>
      <w:r w:rsidR="003370EA">
        <w:rPr>
          <w:color w:val="auto"/>
          <w:szCs w:val="24"/>
        </w:rPr>
        <w:t>o</w:t>
      </w:r>
      <w:r w:rsidR="00BE631E" w:rsidRPr="0079630A">
        <w:rPr>
          <w:color w:val="auto"/>
          <w:szCs w:val="24"/>
        </w:rPr>
        <w:t>ccupational and social impairment with occasional decrease in work efficiency and intermittent periods of inability to perform occupational tasks (although generally functioning satisfactorily, with routine behavior, self-</w:t>
      </w:r>
      <w:r w:rsidR="003370EA">
        <w:rPr>
          <w:color w:val="auto"/>
          <w:szCs w:val="24"/>
        </w:rPr>
        <w:t>care, and conversation normal)”)</w:t>
      </w:r>
      <w:r w:rsidR="00BE631E" w:rsidRPr="0079630A">
        <w:rPr>
          <w:color w:val="auto"/>
          <w:szCs w:val="24"/>
        </w:rPr>
        <w:t xml:space="preserve"> is a better fit with the impairment described at the </w:t>
      </w:r>
      <w:r w:rsidR="00BE4E59" w:rsidRPr="0079630A">
        <w:rPr>
          <w:color w:val="auto"/>
          <w:szCs w:val="24"/>
        </w:rPr>
        <w:t>TDRL NARSUM</w:t>
      </w:r>
      <w:r w:rsidR="00337761" w:rsidRPr="0079630A">
        <w:rPr>
          <w:color w:val="auto"/>
          <w:szCs w:val="24"/>
        </w:rPr>
        <w:t xml:space="preserve"> and at the time of </w:t>
      </w:r>
      <w:r w:rsidR="00337761" w:rsidRPr="0079630A">
        <w:rPr>
          <w:color w:val="auto"/>
          <w:szCs w:val="24"/>
        </w:rPr>
        <w:lastRenderedPageBreak/>
        <w:t>TDRL exit</w:t>
      </w:r>
      <w:r w:rsidR="00BE631E" w:rsidRPr="0079630A">
        <w:rPr>
          <w:color w:val="auto"/>
          <w:szCs w:val="24"/>
        </w:rPr>
        <w:t xml:space="preserve">.  </w:t>
      </w:r>
      <w:r w:rsidR="00BE631E" w:rsidRPr="0079630A">
        <w:rPr>
          <w:rFonts w:asciiTheme="minorHAnsi" w:eastAsia="HiddenHorzOCR" w:hAnsiTheme="minorHAnsi"/>
          <w:color w:val="auto"/>
          <w:szCs w:val="24"/>
        </w:rPr>
        <w:t>After due deliberation, considering the totality of the evidence</w:t>
      </w:r>
      <w:r w:rsidR="00BE631E" w:rsidRPr="0079630A">
        <w:rPr>
          <w:rFonts w:eastAsia="Calibri"/>
          <w:color w:val="auto"/>
          <w:szCs w:val="24"/>
        </w:rPr>
        <w:t xml:space="preserve"> and mindful of VASRD §4.3 (reasonable doubt)</w:t>
      </w:r>
      <w:r w:rsidR="00BE631E" w:rsidRPr="0079630A">
        <w:rPr>
          <w:rFonts w:asciiTheme="minorHAnsi" w:eastAsia="HiddenHorzOCR" w:hAnsiTheme="minorHAnsi"/>
          <w:color w:val="auto"/>
          <w:szCs w:val="24"/>
        </w:rPr>
        <w:t xml:space="preserve">, the Board </w:t>
      </w:r>
      <w:r w:rsidR="00BE631E" w:rsidRPr="0079630A">
        <w:rPr>
          <w:rFonts w:eastAsia="Calibri"/>
          <w:color w:val="auto"/>
          <w:szCs w:val="24"/>
        </w:rPr>
        <w:t xml:space="preserve">recommends 30% as </w:t>
      </w:r>
      <w:r w:rsidR="00BE631E" w:rsidRPr="0079630A">
        <w:rPr>
          <w:rFonts w:asciiTheme="minorHAnsi" w:eastAsia="HiddenHorzOCR" w:hAnsiTheme="minorHAnsi"/>
          <w:color w:val="auto"/>
          <w:szCs w:val="24"/>
        </w:rPr>
        <w:t xml:space="preserve">the most representative of impairment and </w:t>
      </w:r>
      <w:r w:rsidR="00BE631E" w:rsidRPr="0079630A">
        <w:rPr>
          <w:rFonts w:eastAsia="Calibri"/>
          <w:color w:val="auto"/>
          <w:szCs w:val="24"/>
        </w:rPr>
        <w:t>the fair and equitable permanent rating for PTSD in this case.</w:t>
      </w:r>
    </w:p>
    <w:p w:rsidR="00724DEF" w:rsidRPr="0079630A" w:rsidRDefault="00724DEF" w:rsidP="00AE3B06">
      <w:pPr>
        <w:spacing w:line="240" w:lineRule="exact"/>
        <w:jc w:val="both"/>
        <w:rPr>
          <w:color w:val="auto"/>
          <w:szCs w:val="24"/>
        </w:rPr>
      </w:pPr>
    </w:p>
    <w:p w:rsidR="004C7B3E" w:rsidRPr="0079630A" w:rsidRDefault="00367AEA" w:rsidP="00F770C9">
      <w:pPr>
        <w:tabs>
          <w:tab w:val="left" w:pos="288"/>
          <w:tab w:val="left" w:pos="4752"/>
        </w:tabs>
        <w:spacing w:line="240" w:lineRule="exact"/>
        <w:jc w:val="both"/>
        <w:rPr>
          <w:color w:val="auto"/>
          <w:szCs w:val="24"/>
        </w:rPr>
      </w:pPr>
      <w:proofErr w:type="gramStart"/>
      <w:r w:rsidRPr="0079630A">
        <w:rPr>
          <w:color w:val="auto"/>
          <w:szCs w:val="24"/>
          <w:u w:val="single"/>
        </w:rPr>
        <w:t>Low Back Pain.</w:t>
      </w:r>
      <w:proofErr w:type="gramEnd"/>
      <w:r w:rsidR="00F42C62" w:rsidRPr="0079630A">
        <w:rPr>
          <w:color w:val="auto"/>
          <w:szCs w:val="24"/>
        </w:rPr>
        <w:t xml:space="preserve">  There were </w:t>
      </w:r>
      <w:r w:rsidR="009025AD" w:rsidRPr="0079630A">
        <w:rPr>
          <w:color w:val="auto"/>
          <w:szCs w:val="24"/>
        </w:rPr>
        <w:t>two</w:t>
      </w:r>
      <w:r w:rsidR="00F42C62" w:rsidRPr="0079630A">
        <w:rPr>
          <w:color w:val="auto"/>
          <w:szCs w:val="24"/>
        </w:rPr>
        <w:t xml:space="preserve"> </w:t>
      </w:r>
      <w:r w:rsidR="009025AD" w:rsidRPr="0079630A">
        <w:rPr>
          <w:color w:val="auto"/>
          <w:szCs w:val="24"/>
        </w:rPr>
        <w:t xml:space="preserve">spine examinations in evidence proximate to TDRL </w:t>
      </w:r>
      <w:r w:rsidR="00713189" w:rsidRPr="0079630A">
        <w:rPr>
          <w:color w:val="auto"/>
          <w:szCs w:val="24"/>
        </w:rPr>
        <w:t>entry</w:t>
      </w:r>
      <w:r w:rsidR="009025AD" w:rsidRPr="0079630A">
        <w:rPr>
          <w:color w:val="auto"/>
          <w:szCs w:val="24"/>
        </w:rPr>
        <w:t xml:space="preserve"> which the Board weighed in arriving at its rating recommendation</w:t>
      </w:r>
      <w:r w:rsidR="00E46971" w:rsidRPr="0079630A">
        <w:rPr>
          <w:color w:val="auto"/>
          <w:szCs w:val="24"/>
        </w:rPr>
        <w:t xml:space="preserve"> for TDRL-entry</w:t>
      </w:r>
      <w:r w:rsidR="009025AD" w:rsidRPr="0079630A">
        <w:rPr>
          <w:color w:val="auto"/>
          <w:szCs w:val="24"/>
        </w:rPr>
        <w:t xml:space="preserve">.  </w:t>
      </w:r>
      <w:r w:rsidR="00713189" w:rsidRPr="0079630A">
        <w:rPr>
          <w:color w:val="auto"/>
          <w:szCs w:val="24"/>
        </w:rPr>
        <w:t>Both</w:t>
      </w:r>
      <w:r w:rsidR="009025AD" w:rsidRPr="0079630A">
        <w:rPr>
          <w:color w:val="auto"/>
          <w:szCs w:val="24"/>
        </w:rPr>
        <w:t xml:space="preserve"> included a </w:t>
      </w:r>
      <w:r w:rsidR="00F42C62" w:rsidRPr="0079630A">
        <w:rPr>
          <w:color w:val="auto"/>
          <w:szCs w:val="24"/>
        </w:rPr>
        <w:t>goniometric range-of-motion (ROM) evaluation</w:t>
      </w:r>
      <w:r w:rsidR="00713189" w:rsidRPr="0079630A">
        <w:rPr>
          <w:color w:val="auto"/>
          <w:szCs w:val="24"/>
        </w:rPr>
        <w:t xml:space="preserve"> and </w:t>
      </w:r>
      <w:r w:rsidR="00F42C62" w:rsidRPr="0079630A">
        <w:rPr>
          <w:color w:val="auto"/>
          <w:szCs w:val="24"/>
        </w:rPr>
        <w:t>are summarized in the chart below.</w:t>
      </w:r>
    </w:p>
    <w:p w:rsidR="00240124" w:rsidRPr="0079630A" w:rsidRDefault="00240124" w:rsidP="00F770C9">
      <w:pPr>
        <w:tabs>
          <w:tab w:val="left" w:pos="288"/>
          <w:tab w:val="left" w:pos="4752"/>
        </w:tabs>
        <w:spacing w:line="240" w:lineRule="exact"/>
        <w:jc w:val="both"/>
        <w:rPr>
          <w:color w:val="auto"/>
          <w:szCs w:val="24"/>
        </w:rPr>
      </w:pPr>
    </w:p>
    <w:tbl>
      <w:tblPr>
        <w:tblW w:w="9018" w:type="dxa"/>
        <w:jc w:val="center"/>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9"/>
        <w:gridCol w:w="2932"/>
        <w:gridCol w:w="4187"/>
      </w:tblGrid>
      <w:tr w:rsidR="0086416F" w:rsidRPr="0079630A" w:rsidTr="00713189">
        <w:trPr>
          <w:jc w:val="center"/>
        </w:trPr>
        <w:tc>
          <w:tcPr>
            <w:tcW w:w="1899" w:type="dxa"/>
            <w:tcBorders>
              <w:top w:val="single" w:sz="4" w:space="0" w:color="000000"/>
              <w:left w:val="single" w:sz="4" w:space="0" w:color="000000"/>
              <w:bottom w:val="single" w:sz="4" w:space="0" w:color="000000"/>
              <w:right w:val="single" w:sz="4" w:space="0" w:color="000000"/>
            </w:tcBorders>
            <w:shd w:val="pct15" w:color="auto" w:fill="auto"/>
            <w:vAlign w:val="center"/>
          </w:tcPr>
          <w:p w:rsidR="0086416F" w:rsidRPr="0079630A" w:rsidRDefault="0086416F" w:rsidP="00E14686">
            <w:pPr>
              <w:pStyle w:val="ListParagraph"/>
              <w:spacing w:after="0" w:line="200" w:lineRule="exact"/>
              <w:ind w:left="0"/>
              <w:jc w:val="center"/>
              <w:rPr>
                <w:rFonts w:eastAsia="Calibri" w:cs="Times New Roman"/>
                <w:b/>
                <w:sz w:val="20"/>
                <w:szCs w:val="20"/>
              </w:rPr>
            </w:pPr>
            <w:r w:rsidRPr="0079630A">
              <w:rPr>
                <w:rFonts w:eastAsia="Calibri"/>
                <w:sz w:val="20"/>
                <w:szCs w:val="20"/>
              </w:rPr>
              <w:t>Goniometric ROM - Thoracolumbar</w:t>
            </w:r>
          </w:p>
        </w:tc>
        <w:tc>
          <w:tcPr>
            <w:tcW w:w="2932"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86416F" w:rsidRPr="0079630A" w:rsidRDefault="0086416F" w:rsidP="00CC4AFB">
            <w:pPr>
              <w:spacing w:line="200" w:lineRule="exact"/>
              <w:contextualSpacing/>
              <w:jc w:val="center"/>
              <w:rPr>
                <w:rFonts w:asciiTheme="minorHAnsi" w:eastAsia="Calibri" w:hAnsiTheme="minorHAnsi"/>
                <w:color w:val="auto"/>
                <w:sz w:val="20"/>
              </w:rPr>
            </w:pPr>
            <w:r w:rsidRPr="0079630A">
              <w:rPr>
                <w:rFonts w:asciiTheme="minorHAnsi" w:eastAsia="Calibri" w:hAnsiTheme="minorHAnsi"/>
                <w:color w:val="auto"/>
                <w:sz w:val="20"/>
              </w:rPr>
              <w:t>MEB ~ 3 Mo. Prior to TDRL Entry</w:t>
            </w:r>
          </w:p>
          <w:p w:rsidR="00C43084" w:rsidRPr="0079630A" w:rsidRDefault="00C43084" w:rsidP="00CC4AFB">
            <w:pPr>
              <w:spacing w:line="200" w:lineRule="exact"/>
              <w:contextualSpacing/>
              <w:jc w:val="center"/>
              <w:rPr>
                <w:rFonts w:asciiTheme="minorHAnsi" w:eastAsia="Calibri" w:hAnsiTheme="minorHAnsi"/>
                <w:color w:val="auto"/>
                <w:sz w:val="20"/>
              </w:rPr>
            </w:pPr>
            <w:r w:rsidRPr="0079630A">
              <w:rPr>
                <w:rFonts w:asciiTheme="minorHAnsi" w:eastAsia="Calibri" w:hAnsiTheme="minorHAnsi"/>
                <w:color w:val="auto"/>
                <w:sz w:val="20"/>
              </w:rPr>
              <w:t>(20040217)</w:t>
            </w:r>
          </w:p>
        </w:tc>
        <w:tc>
          <w:tcPr>
            <w:tcW w:w="4187" w:type="dxa"/>
            <w:tcBorders>
              <w:top w:val="single" w:sz="4" w:space="0" w:color="000000"/>
              <w:left w:val="single" w:sz="4" w:space="0" w:color="000000"/>
              <w:bottom w:val="single" w:sz="4" w:space="0" w:color="000000"/>
              <w:right w:val="single" w:sz="4" w:space="0" w:color="000000"/>
            </w:tcBorders>
            <w:shd w:val="pct15" w:color="auto" w:fill="auto"/>
            <w:vAlign w:val="center"/>
          </w:tcPr>
          <w:p w:rsidR="0086416F" w:rsidRPr="0079630A" w:rsidRDefault="0086416F" w:rsidP="00CC4AFB">
            <w:pPr>
              <w:spacing w:line="200" w:lineRule="exact"/>
              <w:contextualSpacing/>
              <w:jc w:val="center"/>
              <w:rPr>
                <w:rFonts w:asciiTheme="minorHAnsi" w:eastAsia="Calibri" w:hAnsiTheme="minorHAnsi"/>
                <w:color w:val="auto"/>
                <w:sz w:val="20"/>
              </w:rPr>
            </w:pPr>
            <w:r w:rsidRPr="0079630A">
              <w:rPr>
                <w:rFonts w:asciiTheme="minorHAnsi" w:eastAsia="Calibri" w:hAnsiTheme="minorHAnsi"/>
                <w:color w:val="auto"/>
                <w:sz w:val="20"/>
              </w:rPr>
              <w:t>VA</w:t>
            </w:r>
            <w:r w:rsidRPr="0079630A">
              <w:rPr>
                <w:rFonts w:asciiTheme="minorHAnsi" w:eastAsiaTheme="minorHAnsi" w:hAnsiTheme="minorHAnsi" w:cstheme="minorBidi"/>
                <w:color w:val="auto"/>
                <w:sz w:val="20"/>
              </w:rPr>
              <w:t xml:space="preserve"> C&amp;P </w:t>
            </w:r>
            <w:r w:rsidRPr="0079630A">
              <w:rPr>
                <w:rFonts w:asciiTheme="minorHAnsi" w:eastAsia="Calibri" w:hAnsiTheme="minorHAnsi"/>
                <w:color w:val="auto"/>
                <w:sz w:val="20"/>
              </w:rPr>
              <w:t>~ 1 Mo. Prior to TDRL Entry</w:t>
            </w:r>
          </w:p>
          <w:p w:rsidR="00C43084" w:rsidRPr="0079630A" w:rsidRDefault="00C43084" w:rsidP="00CC4AFB">
            <w:pPr>
              <w:spacing w:line="200" w:lineRule="exact"/>
              <w:contextualSpacing/>
              <w:jc w:val="center"/>
              <w:rPr>
                <w:rFonts w:asciiTheme="minorHAnsi" w:eastAsia="Calibri" w:hAnsiTheme="minorHAnsi"/>
                <w:color w:val="auto"/>
                <w:sz w:val="20"/>
              </w:rPr>
            </w:pPr>
            <w:r w:rsidRPr="0079630A">
              <w:rPr>
                <w:rFonts w:asciiTheme="minorHAnsi" w:eastAsia="Calibri" w:hAnsiTheme="minorHAnsi"/>
                <w:color w:val="auto"/>
                <w:sz w:val="20"/>
              </w:rPr>
              <w:t>(20040410)</w:t>
            </w:r>
          </w:p>
        </w:tc>
      </w:tr>
      <w:tr w:rsidR="0086416F" w:rsidRPr="0079630A" w:rsidTr="00713189">
        <w:trPr>
          <w:jc w:val="center"/>
        </w:trPr>
        <w:tc>
          <w:tcPr>
            <w:tcW w:w="1899" w:type="dxa"/>
            <w:tcBorders>
              <w:top w:val="single" w:sz="4" w:space="0" w:color="000000"/>
              <w:left w:val="single" w:sz="4" w:space="0" w:color="000000"/>
              <w:bottom w:val="single" w:sz="4" w:space="0" w:color="000000"/>
              <w:right w:val="single" w:sz="4" w:space="0" w:color="000000"/>
            </w:tcBorders>
            <w:vAlign w:val="center"/>
          </w:tcPr>
          <w:p w:rsidR="0086416F" w:rsidRPr="0079630A" w:rsidRDefault="0086416F" w:rsidP="00E14686">
            <w:pPr>
              <w:pStyle w:val="ListParagraph"/>
              <w:spacing w:after="0" w:line="180" w:lineRule="exact"/>
              <w:ind w:left="0"/>
              <w:jc w:val="center"/>
              <w:rPr>
                <w:rFonts w:eastAsia="Calibri" w:cs="Times New Roman"/>
                <w:sz w:val="18"/>
                <w:szCs w:val="18"/>
              </w:rPr>
            </w:pPr>
            <w:r w:rsidRPr="0079630A">
              <w:rPr>
                <w:rFonts w:eastAsia="Calibri" w:cs="Times New Roman"/>
                <w:sz w:val="18"/>
                <w:szCs w:val="18"/>
              </w:rPr>
              <w:t>Flex (0-90)</w:t>
            </w:r>
          </w:p>
        </w:tc>
        <w:tc>
          <w:tcPr>
            <w:tcW w:w="2932" w:type="dxa"/>
            <w:tcBorders>
              <w:top w:val="single" w:sz="4" w:space="0" w:color="000000"/>
              <w:left w:val="single" w:sz="4" w:space="0" w:color="000000"/>
              <w:bottom w:val="single" w:sz="4" w:space="0" w:color="000000"/>
              <w:right w:val="single" w:sz="4" w:space="0" w:color="000000"/>
            </w:tcBorders>
            <w:vAlign w:val="center"/>
          </w:tcPr>
          <w:p w:rsidR="0086416F" w:rsidRPr="0079630A" w:rsidRDefault="0086416F" w:rsidP="00E14686">
            <w:pPr>
              <w:spacing w:line="180" w:lineRule="exact"/>
              <w:contextualSpacing/>
              <w:jc w:val="center"/>
              <w:rPr>
                <w:rFonts w:asciiTheme="minorHAnsi" w:eastAsia="Calibri" w:hAnsiTheme="minorHAnsi"/>
                <w:color w:val="auto"/>
                <w:sz w:val="18"/>
                <w:szCs w:val="18"/>
              </w:rPr>
            </w:pPr>
            <w:r w:rsidRPr="0079630A">
              <w:rPr>
                <w:rFonts w:asciiTheme="minorHAnsi" w:eastAsia="Calibri" w:hAnsiTheme="minorHAnsi"/>
                <w:color w:val="auto"/>
                <w:sz w:val="18"/>
                <w:szCs w:val="18"/>
              </w:rPr>
              <w:t>90⁰</w:t>
            </w:r>
          </w:p>
        </w:tc>
        <w:tc>
          <w:tcPr>
            <w:tcW w:w="4187" w:type="dxa"/>
            <w:tcBorders>
              <w:top w:val="single" w:sz="4" w:space="0" w:color="000000"/>
              <w:left w:val="single" w:sz="4" w:space="0" w:color="000000"/>
              <w:bottom w:val="single" w:sz="4" w:space="0" w:color="000000"/>
              <w:right w:val="single" w:sz="4" w:space="0" w:color="000000"/>
            </w:tcBorders>
            <w:vAlign w:val="center"/>
          </w:tcPr>
          <w:p w:rsidR="0086416F" w:rsidRPr="0079630A" w:rsidRDefault="0086416F" w:rsidP="00CC4AFB">
            <w:pPr>
              <w:spacing w:line="180" w:lineRule="exact"/>
              <w:contextualSpacing/>
              <w:jc w:val="center"/>
              <w:rPr>
                <w:rFonts w:asciiTheme="minorHAnsi" w:eastAsia="Calibri" w:hAnsiTheme="minorHAnsi"/>
                <w:color w:val="auto"/>
                <w:sz w:val="18"/>
                <w:szCs w:val="18"/>
              </w:rPr>
            </w:pPr>
            <w:r w:rsidRPr="0079630A">
              <w:rPr>
                <w:rFonts w:asciiTheme="minorHAnsi" w:eastAsia="Calibri" w:hAnsiTheme="minorHAnsi"/>
                <w:color w:val="auto"/>
                <w:sz w:val="18"/>
                <w:szCs w:val="18"/>
              </w:rPr>
              <w:t>30⁰</w:t>
            </w:r>
          </w:p>
        </w:tc>
      </w:tr>
      <w:tr w:rsidR="0086416F" w:rsidRPr="0079630A" w:rsidTr="00713189">
        <w:trPr>
          <w:jc w:val="center"/>
        </w:trPr>
        <w:tc>
          <w:tcPr>
            <w:tcW w:w="1899" w:type="dxa"/>
            <w:tcBorders>
              <w:top w:val="single" w:sz="4" w:space="0" w:color="000000"/>
              <w:left w:val="single" w:sz="4" w:space="0" w:color="000000"/>
              <w:bottom w:val="single" w:sz="4" w:space="0" w:color="000000"/>
              <w:right w:val="single" w:sz="4" w:space="0" w:color="000000"/>
            </w:tcBorders>
            <w:vAlign w:val="center"/>
          </w:tcPr>
          <w:p w:rsidR="0086416F" w:rsidRPr="0079630A" w:rsidRDefault="0086416F" w:rsidP="00E14686">
            <w:pPr>
              <w:pStyle w:val="ListParagraph"/>
              <w:spacing w:after="0" w:line="180" w:lineRule="exact"/>
              <w:ind w:left="0"/>
              <w:jc w:val="center"/>
              <w:rPr>
                <w:rFonts w:eastAsia="Calibri" w:cs="Times New Roman"/>
                <w:sz w:val="18"/>
                <w:szCs w:val="18"/>
              </w:rPr>
            </w:pPr>
            <w:r w:rsidRPr="0079630A">
              <w:rPr>
                <w:rFonts w:eastAsia="Calibri" w:cs="Times New Roman"/>
                <w:sz w:val="18"/>
                <w:szCs w:val="18"/>
              </w:rPr>
              <w:t>Ext (0-30)</w:t>
            </w:r>
          </w:p>
        </w:tc>
        <w:tc>
          <w:tcPr>
            <w:tcW w:w="2932" w:type="dxa"/>
            <w:tcBorders>
              <w:top w:val="single" w:sz="4" w:space="0" w:color="000000"/>
              <w:left w:val="single" w:sz="4" w:space="0" w:color="000000"/>
              <w:bottom w:val="single" w:sz="4" w:space="0" w:color="000000"/>
              <w:right w:val="single" w:sz="4" w:space="0" w:color="000000"/>
            </w:tcBorders>
            <w:vAlign w:val="center"/>
          </w:tcPr>
          <w:p w:rsidR="0086416F" w:rsidRPr="0079630A" w:rsidRDefault="0086416F" w:rsidP="00E14686">
            <w:pPr>
              <w:spacing w:line="180" w:lineRule="exact"/>
              <w:contextualSpacing/>
              <w:jc w:val="center"/>
              <w:rPr>
                <w:rFonts w:asciiTheme="minorHAnsi" w:eastAsia="Calibri" w:hAnsiTheme="minorHAnsi"/>
                <w:color w:val="auto"/>
                <w:sz w:val="18"/>
                <w:szCs w:val="18"/>
              </w:rPr>
            </w:pPr>
            <w:r w:rsidRPr="0079630A">
              <w:rPr>
                <w:rFonts w:asciiTheme="minorHAnsi" w:eastAsia="Calibri" w:hAnsiTheme="minorHAnsi"/>
                <w:color w:val="auto"/>
                <w:sz w:val="18"/>
                <w:szCs w:val="18"/>
              </w:rPr>
              <w:t>20⁰</w:t>
            </w:r>
          </w:p>
        </w:tc>
        <w:tc>
          <w:tcPr>
            <w:tcW w:w="4187" w:type="dxa"/>
            <w:tcBorders>
              <w:top w:val="single" w:sz="4" w:space="0" w:color="000000"/>
              <w:left w:val="single" w:sz="4" w:space="0" w:color="000000"/>
              <w:bottom w:val="single" w:sz="4" w:space="0" w:color="000000"/>
              <w:right w:val="single" w:sz="4" w:space="0" w:color="000000"/>
            </w:tcBorders>
            <w:vAlign w:val="center"/>
          </w:tcPr>
          <w:p w:rsidR="0086416F" w:rsidRPr="0079630A" w:rsidRDefault="0086416F" w:rsidP="00E14686">
            <w:pPr>
              <w:spacing w:line="180" w:lineRule="exact"/>
              <w:contextualSpacing/>
              <w:jc w:val="center"/>
              <w:rPr>
                <w:rFonts w:asciiTheme="minorHAnsi" w:eastAsia="Calibri" w:hAnsiTheme="minorHAnsi"/>
                <w:color w:val="auto"/>
                <w:sz w:val="18"/>
                <w:szCs w:val="18"/>
              </w:rPr>
            </w:pPr>
            <w:r w:rsidRPr="0079630A">
              <w:rPr>
                <w:rFonts w:asciiTheme="minorHAnsi" w:eastAsia="Calibri" w:hAnsiTheme="minorHAnsi"/>
                <w:color w:val="auto"/>
                <w:sz w:val="18"/>
                <w:szCs w:val="18"/>
              </w:rPr>
              <w:t>20⁰</w:t>
            </w:r>
          </w:p>
        </w:tc>
      </w:tr>
      <w:tr w:rsidR="0086416F" w:rsidRPr="0079630A" w:rsidTr="00713189">
        <w:trPr>
          <w:trHeight w:val="188"/>
          <w:jc w:val="center"/>
        </w:trPr>
        <w:tc>
          <w:tcPr>
            <w:tcW w:w="1899" w:type="dxa"/>
            <w:tcBorders>
              <w:top w:val="single" w:sz="4" w:space="0" w:color="000000"/>
              <w:left w:val="single" w:sz="4" w:space="0" w:color="000000"/>
              <w:bottom w:val="single" w:sz="4" w:space="0" w:color="000000"/>
              <w:right w:val="single" w:sz="4" w:space="0" w:color="000000"/>
            </w:tcBorders>
            <w:vAlign w:val="center"/>
          </w:tcPr>
          <w:p w:rsidR="0086416F" w:rsidRPr="0079630A" w:rsidRDefault="0086416F" w:rsidP="00E14686">
            <w:pPr>
              <w:pStyle w:val="ListParagraph"/>
              <w:spacing w:after="0" w:line="180" w:lineRule="exact"/>
              <w:ind w:left="0"/>
              <w:jc w:val="center"/>
              <w:rPr>
                <w:rFonts w:eastAsia="Calibri" w:cs="Times New Roman"/>
                <w:sz w:val="18"/>
                <w:szCs w:val="18"/>
              </w:rPr>
            </w:pPr>
            <w:r w:rsidRPr="0079630A">
              <w:rPr>
                <w:rFonts w:eastAsia="Calibri" w:cs="Times New Roman"/>
                <w:sz w:val="18"/>
                <w:szCs w:val="18"/>
              </w:rPr>
              <w:t>R Lat Flex (0-30)</w:t>
            </w:r>
          </w:p>
        </w:tc>
        <w:tc>
          <w:tcPr>
            <w:tcW w:w="2932" w:type="dxa"/>
            <w:tcBorders>
              <w:top w:val="single" w:sz="4" w:space="0" w:color="000000"/>
              <w:left w:val="single" w:sz="4" w:space="0" w:color="000000"/>
              <w:bottom w:val="single" w:sz="4" w:space="0" w:color="000000"/>
              <w:right w:val="single" w:sz="4" w:space="0" w:color="000000"/>
            </w:tcBorders>
            <w:vAlign w:val="center"/>
          </w:tcPr>
          <w:p w:rsidR="0086416F" w:rsidRPr="0079630A" w:rsidRDefault="0086416F" w:rsidP="00E14686">
            <w:pPr>
              <w:spacing w:line="180" w:lineRule="exact"/>
              <w:contextualSpacing/>
              <w:jc w:val="center"/>
              <w:rPr>
                <w:rFonts w:asciiTheme="minorHAnsi" w:eastAsia="Calibri" w:hAnsiTheme="minorHAnsi"/>
                <w:color w:val="auto"/>
                <w:sz w:val="18"/>
                <w:szCs w:val="18"/>
              </w:rPr>
            </w:pPr>
            <w:r w:rsidRPr="0079630A">
              <w:rPr>
                <w:rFonts w:asciiTheme="minorHAnsi" w:eastAsia="Calibri" w:hAnsiTheme="minorHAnsi"/>
                <w:color w:val="auto"/>
                <w:sz w:val="18"/>
                <w:szCs w:val="18"/>
              </w:rPr>
              <w:t>30⁰</w:t>
            </w:r>
          </w:p>
        </w:tc>
        <w:tc>
          <w:tcPr>
            <w:tcW w:w="4187" w:type="dxa"/>
            <w:tcBorders>
              <w:top w:val="single" w:sz="4" w:space="0" w:color="000000"/>
              <w:left w:val="single" w:sz="4" w:space="0" w:color="000000"/>
              <w:bottom w:val="single" w:sz="4" w:space="0" w:color="000000"/>
              <w:right w:val="single" w:sz="4" w:space="0" w:color="000000"/>
            </w:tcBorders>
            <w:vAlign w:val="center"/>
          </w:tcPr>
          <w:p w:rsidR="0086416F" w:rsidRPr="0079630A" w:rsidRDefault="0086416F" w:rsidP="00E14686">
            <w:pPr>
              <w:spacing w:line="180" w:lineRule="exact"/>
              <w:contextualSpacing/>
              <w:jc w:val="center"/>
              <w:rPr>
                <w:rFonts w:asciiTheme="minorHAnsi" w:eastAsia="Calibri" w:hAnsiTheme="minorHAnsi"/>
                <w:color w:val="auto"/>
                <w:sz w:val="18"/>
                <w:szCs w:val="18"/>
              </w:rPr>
            </w:pPr>
            <w:r w:rsidRPr="0079630A">
              <w:rPr>
                <w:rFonts w:asciiTheme="minorHAnsi" w:eastAsia="Calibri" w:hAnsiTheme="minorHAnsi"/>
                <w:color w:val="auto"/>
                <w:sz w:val="18"/>
                <w:szCs w:val="18"/>
              </w:rPr>
              <w:t>15⁰</w:t>
            </w:r>
          </w:p>
        </w:tc>
      </w:tr>
      <w:tr w:rsidR="0086416F" w:rsidRPr="0079630A" w:rsidTr="00713189">
        <w:trPr>
          <w:jc w:val="center"/>
        </w:trPr>
        <w:tc>
          <w:tcPr>
            <w:tcW w:w="1899" w:type="dxa"/>
            <w:tcBorders>
              <w:top w:val="single" w:sz="4" w:space="0" w:color="000000"/>
              <w:left w:val="single" w:sz="4" w:space="0" w:color="000000"/>
              <w:bottom w:val="single" w:sz="4" w:space="0" w:color="000000"/>
              <w:right w:val="single" w:sz="4" w:space="0" w:color="000000"/>
            </w:tcBorders>
            <w:vAlign w:val="center"/>
          </w:tcPr>
          <w:p w:rsidR="0086416F" w:rsidRPr="0079630A" w:rsidRDefault="0086416F" w:rsidP="00E14686">
            <w:pPr>
              <w:pStyle w:val="ListParagraph"/>
              <w:spacing w:after="0" w:line="180" w:lineRule="exact"/>
              <w:ind w:left="0"/>
              <w:jc w:val="center"/>
              <w:rPr>
                <w:rFonts w:eastAsia="Calibri" w:cs="Times New Roman"/>
                <w:sz w:val="18"/>
                <w:szCs w:val="18"/>
              </w:rPr>
            </w:pPr>
            <w:r w:rsidRPr="0079630A">
              <w:rPr>
                <w:rFonts w:eastAsia="Calibri" w:cs="Times New Roman"/>
                <w:sz w:val="18"/>
                <w:szCs w:val="18"/>
              </w:rPr>
              <w:t>L Lat Flex 0-30)</w:t>
            </w:r>
          </w:p>
        </w:tc>
        <w:tc>
          <w:tcPr>
            <w:tcW w:w="2932" w:type="dxa"/>
            <w:tcBorders>
              <w:top w:val="single" w:sz="4" w:space="0" w:color="000000"/>
              <w:left w:val="single" w:sz="4" w:space="0" w:color="000000"/>
              <w:bottom w:val="single" w:sz="4" w:space="0" w:color="000000"/>
              <w:right w:val="single" w:sz="4" w:space="0" w:color="000000"/>
            </w:tcBorders>
            <w:vAlign w:val="center"/>
          </w:tcPr>
          <w:p w:rsidR="0086416F" w:rsidRPr="0079630A" w:rsidRDefault="0086416F" w:rsidP="00E14686">
            <w:pPr>
              <w:spacing w:line="180" w:lineRule="exact"/>
              <w:contextualSpacing/>
              <w:jc w:val="center"/>
              <w:rPr>
                <w:rFonts w:asciiTheme="minorHAnsi" w:eastAsia="Calibri" w:hAnsiTheme="minorHAnsi"/>
                <w:color w:val="auto"/>
                <w:sz w:val="18"/>
                <w:szCs w:val="18"/>
              </w:rPr>
            </w:pPr>
            <w:r w:rsidRPr="0079630A">
              <w:rPr>
                <w:rFonts w:asciiTheme="minorHAnsi" w:eastAsia="Calibri" w:hAnsiTheme="minorHAnsi"/>
                <w:color w:val="auto"/>
                <w:sz w:val="18"/>
                <w:szCs w:val="18"/>
              </w:rPr>
              <w:t>30⁰</w:t>
            </w:r>
          </w:p>
        </w:tc>
        <w:tc>
          <w:tcPr>
            <w:tcW w:w="4187" w:type="dxa"/>
            <w:tcBorders>
              <w:top w:val="single" w:sz="4" w:space="0" w:color="000000"/>
              <w:left w:val="single" w:sz="4" w:space="0" w:color="000000"/>
              <w:bottom w:val="single" w:sz="4" w:space="0" w:color="000000"/>
              <w:right w:val="single" w:sz="4" w:space="0" w:color="000000"/>
            </w:tcBorders>
            <w:vAlign w:val="center"/>
          </w:tcPr>
          <w:p w:rsidR="0086416F" w:rsidRPr="0079630A" w:rsidRDefault="0086416F" w:rsidP="00E14686">
            <w:pPr>
              <w:spacing w:line="180" w:lineRule="exact"/>
              <w:contextualSpacing/>
              <w:jc w:val="center"/>
              <w:rPr>
                <w:rFonts w:asciiTheme="minorHAnsi" w:eastAsia="Calibri" w:hAnsiTheme="minorHAnsi"/>
                <w:color w:val="auto"/>
                <w:sz w:val="18"/>
                <w:szCs w:val="18"/>
              </w:rPr>
            </w:pPr>
            <w:r w:rsidRPr="0079630A">
              <w:rPr>
                <w:rFonts w:asciiTheme="minorHAnsi" w:eastAsia="Calibri" w:hAnsiTheme="minorHAnsi"/>
                <w:color w:val="auto"/>
                <w:sz w:val="18"/>
                <w:szCs w:val="18"/>
              </w:rPr>
              <w:t>15⁰</w:t>
            </w:r>
          </w:p>
        </w:tc>
      </w:tr>
      <w:tr w:rsidR="0086416F" w:rsidRPr="0079630A" w:rsidTr="00713189">
        <w:trPr>
          <w:jc w:val="center"/>
        </w:trPr>
        <w:tc>
          <w:tcPr>
            <w:tcW w:w="1899" w:type="dxa"/>
            <w:tcBorders>
              <w:top w:val="single" w:sz="4" w:space="0" w:color="000000"/>
              <w:left w:val="single" w:sz="4" w:space="0" w:color="000000"/>
              <w:bottom w:val="single" w:sz="4" w:space="0" w:color="000000"/>
              <w:right w:val="single" w:sz="4" w:space="0" w:color="000000"/>
            </w:tcBorders>
            <w:vAlign w:val="center"/>
          </w:tcPr>
          <w:p w:rsidR="0086416F" w:rsidRPr="0079630A" w:rsidRDefault="0086416F" w:rsidP="00E14686">
            <w:pPr>
              <w:pStyle w:val="ListParagraph"/>
              <w:spacing w:after="0" w:line="180" w:lineRule="exact"/>
              <w:ind w:left="0"/>
              <w:jc w:val="center"/>
              <w:rPr>
                <w:rFonts w:eastAsia="Calibri" w:cs="Times New Roman"/>
                <w:sz w:val="18"/>
                <w:szCs w:val="18"/>
              </w:rPr>
            </w:pPr>
            <w:r w:rsidRPr="0079630A">
              <w:rPr>
                <w:rFonts w:eastAsia="Calibri" w:cs="Times New Roman"/>
                <w:sz w:val="18"/>
                <w:szCs w:val="18"/>
              </w:rPr>
              <w:t>R Rotation (0-30)</w:t>
            </w:r>
          </w:p>
        </w:tc>
        <w:tc>
          <w:tcPr>
            <w:tcW w:w="2932" w:type="dxa"/>
            <w:tcBorders>
              <w:top w:val="single" w:sz="4" w:space="0" w:color="000000"/>
              <w:left w:val="single" w:sz="4" w:space="0" w:color="000000"/>
              <w:bottom w:val="single" w:sz="4" w:space="0" w:color="000000"/>
              <w:right w:val="single" w:sz="4" w:space="0" w:color="000000"/>
            </w:tcBorders>
            <w:vAlign w:val="center"/>
          </w:tcPr>
          <w:p w:rsidR="0086416F" w:rsidRPr="0079630A" w:rsidRDefault="0086416F" w:rsidP="00E14686">
            <w:pPr>
              <w:spacing w:line="180" w:lineRule="exact"/>
              <w:contextualSpacing/>
              <w:jc w:val="center"/>
              <w:rPr>
                <w:rFonts w:asciiTheme="minorHAnsi" w:eastAsia="Calibri" w:hAnsiTheme="minorHAnsi"/>
                <w:color w:val="auto"/>
                <w:sz w:val="18"/>
                <w:szCs w:val="18"/>
              </w:rPr>
            </w:pPr>
            <w:r w:rsidRPr="0079630A">
              <w:rPr>
                <w:rFonts w:asciiTheme="minorHAnsi" w:eastAsia="Calibri" w:hAnsiTheme="minorHAnsi"/>
                <w:color w:val="auto"/>
                <w:sz w:val="18"/>
                <w:szCs w:val="18"/>
              </w:rPr>
              <w:t>30⁰</w:t>
            </w:r>
          </w:p>
        </w:tc>
        <w:tc>
          <w:tcPr>
            <w:tcW w:w="4187" w:type="dxa"/>
            <w:tcBorders>
              <w:top w:val="single" w:sz="4" w:space="0" w:color="000000"/>
              <w:left w:val="single" w:sz="4" w:space="0" w:color="000000"/>
              <w:bottom w:val="single" w:sz="4" w:space="0" w:color="000000"/>
              <w:right w:val="single" w:sz="4" w:space="0" w:color="000000"/>
            </w:tcBorders>
            <w:vAlign w:val="center"/>
          </w:tcPr>
          <w:p w:rsidR="0086416F" w:rsidRPr="0079630A" w:rsidRDefault="0086416F" w:rsidP="00E14686">
            <w:pPr>
              <w:spacing w:line="180" w:lineRule="exact"/>
              <w:contextualSpacing/>
              <w:jc w:val="center"/>
              <w:rPr>
                <w:rFonts w:asciiTheme="minorHAnsi" w:eastAsia="Calibri" w:hAnsiTheme="minorHAnsi"/>
                <w:color w:val="auto"/>
                <w:sz w:val="18"/>
                <w:szCs w:val="18"/>
              </w:rPr>
            </w:pPr>
            <w:r w:rsidRPr="0079630A">
              <w:rPr>
                <w:rFonts w:asciiTheme="minorHAnsi" w:eastAsia="Calibri" w:hAnsiTheme="minorHAnsi"/>
                <w:color w:val="auto"/>
                <w:sz w:val="18"/>
                <w:szCs w:val="18"/>
              </w:rPr>
              <w:t>15⁰</w:t>
            </w:r>
          </w:p>
        </w:tc>
      </w:tr>
      <w:tr w:rsidR="0086416F" w:rsidRPr="0079630A" w:rsidTr="00713189">
        <w:trPr>
          <w:jc w:val="center"/>
        </w:trPr>
        <w:tc>
          <w:tcPr>
            <w:tcW w:w="1899" w:type="dxa"/>
            <w:tcBorders>
              <w:top w:val="single" w:sz="4" w:space="0" w:color="000000"/>
              <w:left w:val="single" w:sz="4" w:space="0" w:color="000000"/>
              <w:bottom w:val="single" w:sz="4" w:space="0" w:color="000000"/>
              <w:right w:val="single" w:sz="4" w:space="0" w:color="000000"/>
            </w:tcBorders>
            <w:vAlign w:val="center"/>
          </w:tcPr>
          <w:p w:rsidR="0086416F" w:rsidRPr="0079630A" w:rsidRDefault="0086416F" w:rsidP="00E14686">
            <w:pPr>
              <w:pStyle w:val="ListParagraph"/>
              <w:spacing w:after="0" w:line="180" w:lineRule="exact"/>
              <w:ind w:left="0"/>
              <w:jc w:val="center"/>
              <w:rPr>
                <w:rFonts w:eastAsia="Calibri" w:cs="Times New Roman"/>
                <w:sz w:val="18"/>
                <w:szCs w:val="18"/>
              </w:rPr>
            </w:pPr>
            <w:r w:rsidRPr="0079630A">
              <w:rPr>
                <w:rFonts w:eastAsia="Calibri" w:cs="Times New Roman"/>
                <w:sz w:val="18"/>
                <w:szCs w:val="18"/>
              </w:rPr>
              <w:t>L Rotation (0-30)</w:t>
            </w:r>
          </w:p>
        </w:tc>
        <w:tc>
          <w:tcPr>
            <w:tcW w:w="2932" w:type="dxa"/>
            <w:tcBorders>
              <w:top w:val="single" w:sz="4" w:space="0" w:color="000000"/>
              <w:left w:val="single" w:sz="4" w:space="0" w:color="000000"/>
              <w:bottom w:val="single" w:sz="4" w:space="0" w:color="000000"/>
              <w:right w:val="single" w:sz="4" w:space="0" w:color="000000"/>
            </w:tcBorders>
            <w:vAlign w:val="center"/>
          </w:tcPr>
          <w:p w:rsidR="0086416F" w:rsidRPr="0079630A" w:rsidRDefault="0086416F" w:rsidP="00E14686">
            <w:pPr>
              <w:spacing w:line="180" w:lineRule="exact"/>
              <w:contextualSpacing/>
              <w:jc w:val="center"/>
              <w:rPr>
                <w:rFonts w:asciiTheme="minorHAnsi" w:eastAsia="Calibri" w:hAnsiTheme="minorHAnsi"/>
                <w:color w:val="auto"/>
                <w:sz w:val="18"/>
                <w:szCs w:val="18"/>
              </w:rPr>
            </w:pPr>
            <w:r w:rsidRPr="0079630A">
              <w:rPr>
                <w:rFonts w:asciiTheme="minorHAnsi" w:eastAsia="Calibri" w:hAnsiTheme="minorHAnsi"/>
                <w:color w:val="auto"/>
                <w:sz w:val="18"/>
                <w:szCs w:val="18"/>
              </w:rPr>
              <w:t>30⁰</w:t>
            </w:r>
          </w:p>
        </w:tc>
        <w:tc>
          <w:tcPr>
            <w:tcW w:w="4187" w:type="dxa"/>
            <w:tcBorders>
              <w:top w:val="single" w:sz="4" w:space="0" w:color="000000"/>
              <w:left w:val="single" w:sz="4" w:space="0" w:color="000000"/>
              <w:bottom w:val="single" w:sz="4" w:space="0" w:color="000000"/>
              <w:right w:val="single" w:sz="4" w:space="0" w:color="000000"/>
            </w:tcBorders>
            <w:vAlign w:val="center"/>
          </w:tcPr>
          <w:p w:rsidR="0086416F" w:rsidRPr="0079630A" w:rsidRDefault="0086416F" w:rsidP="00E14686">
            <w:pPr>
              <w:spacing w:line="180" w:lineRule="exact"/>
              <w:contextualSpacing/>
              <w:jc w:val="center"/>
              <w:rPr>
                <w:rFonts w:asciiTheme="minorHAnsi" w:eastAsia="Calibri" w:hAnsiTheme="minorHAnsi"/>
                <w:color w:val="auto"/>
                <w:sz w:val="18"/>
                <w:szCs w:val="18"/>
              </w:rPr>
            </w:pPr>
            <w:r w:rsidRPr="0079630A">
              <w:rPr>
                <w:rFonts w:asciiTheme="minorHAnsi" w:eastAsia="Calibri" w:hAnsiTheme="minorHAnsi"/>
                <w:color w:val="auto"/>
                <w:sz w:val="18"/>
                <w:szCs w:val="18"/>
              </w:rPr>
              <w:t>15⁰</w:t>
            </w:r>
          </w:p>
        </w:tc>
      </w:tr>
      <w:tr w:rsidR="0086416F" w:rsidRPr="0079630A" w:rsidTr="00713189">
        <w:trPr>
          <w:jc w:val="center"/>
        </w:trPr>
        <w:tc>
          <w:tcPr>
            <w:tcW w:w="1899" w:type="dxa"/>
            <w:tcBorders>
              <w:top w:val="single" w:sz="4" w:space="0" w:color="000000"/>
              <w:left w:val="single" w:sz="4" w:space="0" w:color="000000"/>
              <w:bottom w:val="single" w:sz="4" w:space="0" w:color="000000"/>
              <w:right w:val="single" w:sz="4" w:space="0" w:color="000000"/>
            </w:tcBorders>
            <w:vAlign w:val="center"/>
          </w:tcPr>
          <w:p w:rsidR="0086416F" w:rsidRPr="0079630A" w:rsidRDefault="0086416F" w:rsidP="00E14686">
            <w:pPr>
              <w:pStyle w:val="ListParagraph"/>
              <w:spacing w:after="0" w:line="180" w:lineRule="exact"/>
              <w:ind w:left="0"/>
              <w:jc w:val="center"/>
              <w:rPr>
                <w:rFonts w:eastAsia="Calibri" w:cs="Times New Roman"/>
                <w:sz w:val="18"/>
                <w:szCs w:val="18"/>
              </w:rPr>
            </w:pPr>
            <w:r w:rsidRPr="0079630A">
              <w:rPr>
                <w:rFonts w:eastAsia="Calibri" w:cs="Times New Roman"/>
                <w:sz w:val="18"/>
                <w:szCs w:val="18"/>
              </w:rPr>
              <w:t>COMBINED (240)</w:t>
            </w:r>
          </w:p>
        </w:tc>
        <w:tc>
          <w:tcPr>
            <w:tcW w:w="2932" w:type="dxa"/>
            <w:tcBorders>
              <w:top w:val="single" w:sz="4" w:space="0" w:color="000000"/>
              <w:left w:val="single" w:sz="4" w:space="0" w:color="000000"/>
              <w:bottom w:val="single" w:sz="4" w:space="0" w:color="000000"/>
              <w:right w:val="single" w:sz="4" w:space="0" w:color="000000"/>
            </w:tcBorders>
            <w:vAlign w:val="center"/>
          </w:tcPr>
          <w:p w:rsidR="0086416F" w:rsidRPr="0079630A" w:rsidRDefault="0086416F" w:rsidP="00E14686">
            <w:pPr>
              <w:spacing w:line="180" w:lineRule="exact"/>
              <w:jc w:val="center"/>
              <w:rPr>
                <w:rFonts w:asciiTheme="minorHAnsi" w:hAnsiTheme="minorHAnsi"/>
                <w:color w:val="auto"/>
                <w:sz w:val="18"/>
                <w:szCs w:val="18"/>
              </w:rPr>
            </w:pPr>
            <w:r w:rsidRPr="0079630A">
              <w:rPr>
                <w:rFonts w:asciiTheme="minorHAnsi" w:eastAsia="Calibri" w:hAnsiTheme="minorHAnsi"/>
                <w:color w:val="auto"/>
                <w:sz w:val="18"/>
                <w:szCs w:val="18"/>
              </w:rPr>
              <w:t>230⁰</w:t>
            </w:r>
          </w:p>
        </w:tc>
        <w:tc>
          <w:tcPr>
            <w:tcW w:w="4187" w:type="dxa"/>
            <w:tcBorders>
              <w:top w:val="single" w:sz="4" w:space="0" w:color="000000"/>
              <w:left w:val="single" w:sz="4" w:space="0" w:color="000000"/>
              <w:bottom w:val="single" w:sz="4" w:space="0" w:color="000000"/>
              <w:right w:val="single" w:sz="4" w:space="0" w:color="000000"/>
            </w:tcBorders>
            <w:vAlign w:val="center"/>
          </w:tcPr>
          <w:p w:rsidR="0086416F" w:rsidRPr="0079630A" w:rsidRDefault="0086416F" w:rsidP="00CC4AFB">
            <w:pPr>
              <w:spacing w:line="180" w:lineRule="exact"/>
              <w:jc w:val="center"/>
              <w:rPr>
                <w:rFonts w:asciiTheme="minorHAnsi" w:hAnsiTheme="minorHAnsi"/>
                <w:color w:val="auto"/>
                <w:sz w:val="18"/>
                <w:szCs w:val="18"/>
              </w:rPr>
            </w:pPr>
            <w:r w:rsidRPr="0079630A">
              <w:rPr>
                <w:rFonts w:asciiTheme="minorHAnsi" w:eastAsia="Calibri" w:hAnsiTheme="minorHAnsi"/>
                <w:color w:val="auto"/>
                <w:sz w:val="18"/>
                <w:szCs w:val="18"/>
              </w:rPr>
              <w:t>110⁰</w:t>
            </w:r>
          </w:p>
        </w:tc>
      </w:tr>
      <w:tr w:rsidR="0086416F" w:rsidRPr="0079630A" w:rsidTr="00713189">
        <w:trPr>
          <w:jc w:val="center"/>
        </w:trPr>
        <w:tc>
          <w:tcPr>
            <w:tcW w:w="1899" w:type="dxa"/>
            <w:tcBorders>
              <w:top w:val="single" w:sz="4" w:space="0" w:color="000000"/>
              <w:left w:val="single" w:sz="4" w:space="0" w:color="000000"/>
              <w:bottom w:val="single" w:sz="4" w:space="0" w:color="000000"/>
              <w:right w:val="single" w:sz="4" w:space="0" w:color="000000"/>
            </w:tcBorders>
            <w:vAlign w:val="center"/>
          </w:tcPr>
          <w:p w:rsidR="00C43084" w:rsidRPr="0079630A" w:rsidRDefault="0086416F" w:rsidP="00C43084">
            <w:pPr>
              <w:pStyle w:val="ListParagraph"/>
              <w:spacing w:after="0" w:line="180" w:lineRule="exact"/>
              <w:ind w:left="0"/>
              <w:jc w:val="center"/>
              <w:rPr>
                <w:rFonts w:eastAsia="Calibri" w:cs="Times New Roman"/>
                <w:sz w:val="18"/>
                <w:szCs w:val="18"/>
              </w:rPr>
            </w:pPr>
            <w:r w:rsidRPr="0079630A">
              <w:rPr>
                <w:rFonts w:eastAsia="Calibri" w:cs="Times New Roman"/>
                <w:sz w:val="18"/>
                <w:szCs w:val="18"/>
              </w:rPr>
              <w:t>Comment</w:t>
            </w:r>
            <w:r w:rsidR="00C43084" w:rsidRPr="0079630A">
              <w:rPr>
                <w:rFonts w:eastAsia="Calibri" w:cs="Times New Roman"/>
                <w:sz w:val="18"/>
                <w:szCs w:val="18"/>
              </w:rPr>
              <w:t xml:space="preserve">:  </w:t>
            </w:r>
          </w:p>
          <w:p w:rsidR="0086416F" w:rsidRPr="0079630A" w:rsidRDefault="00C43084" w:rsidP="00C43084">
            <w:pPr>
              <w:pStyle w:val="ListParagraph"/>
              <w:spacing w:after="0" w:line="180" w:lineRule="exact"/>
              <w:ind w:left="0"/>
              <w:jc w:val="center"/>
              <w:rPr>
                <w:rFonts w:eastAsia="Calibri" w:cs="Times New Roman"/>
                <w:sz w:val="18"/>
                <w:szCs w:val="18"/>
              </w:rPr>
            </w:pPr>
            <w:r w:rsidRPr="0079630A">
              <w:rPr>
                <w:rFonts w:eastAsia="Calibri" w:cs="Times New Roman"/>
                <w:sz w:val="18"/>
                <w:szCs w:val="18"/>
              </w:rPr>
              <w:t>TDRL entry 20040515</w:t>
            </w:r>
          </w:p>
        </w:tc>
        <w:tc>
          <w:tcPr>
            <w:tcW w:w="2932" w:type="dxa"/>
            <w:tcBorders>
              <w:top w:val="single" w:sz="4" w:space="0" w:color="000000"/>
              <w:left w:val="single" w:sz="4" w:space="0" w:color="000000"/>
              <w:bottom w:val="single" w:sz="4" w:space="0" w:color="000000"/>
              <w:right w:val="single" w:sz="4" w:space="0" w:color="000000"/>
            </w:tcBorders>
          </w:tcPr>
          <w:p w:rsidR="0086416F" w:rsidRPr="0079630A" w:rsidRDefault="0086416F" w:rsidP="007C4919">
            <w:pPr>
              <w:tabs>
                <w:tab w:val="left" w:pos="288"/>
                <w:tab w:val="left" w:pos="4752"/>
              </w:tabs>
              <w:spacing w:line="180" w:lineRule="exact"/>
              <w:rPr>
                <w:rFonts w:asciiTheme="minorHAnsi" w:eastAsiaTheme="minorHAnsi" w:hAnsiTheme="minorHAnsi"/>
                <w:color w:val="auto"/>
                <w:sz w:val="18"/>
                <w:szCs w:val="18"/>
              </w:rPr>
            </w:pPr>
            <w:r w:rsidRPr="0079630A">
              <w:rPr>
                <w:rFonts w:asciiTheme="minorHAnsi" w:eastAsiaTheme="minorHAnsi" w:hAnsiTheme="minorHAnsi"/>
                <w:color w:val="auto"/>
                <w:sz w:val="18"/>
                <w:szCs w:val="18"/>
              </w:rPr>
              <w:t xml:space="preserve">Posture and gait normal, SLR </w:t>
            </w:r>
            <w:proofErr w:type="spellStart"/>
            <w:r w:rsidRPr="0079630A">
              <w:rPr>
                <w:rFonts w:asciiTheme="minorHAnsi" w:eastAsiaTheme="minorHAnsi" w:hAnsiTheme="minorHAnsi"/>
                <w:color w:val="auto"/>
                <w:sz w:val="18"/>
                <w:szCs w:val="18"/>
              </w:rPr>
              <w:t>neg</w:t>
            </w:r>
            <w:proofErr w:type="spellEnd"/>
            <w:r w:rsidRPr="0079630A">
              <w:rPr>
                <w:rFonts w:asciiTheme="minorHAnsi" w:eastAsiaTheme="minorHAnsi" w:hAnsiTheme="minorHAnsi"/>
                <w:color w:val="auto"/>
                <w:sz w:val="18"/>
                <w:szCs w:val="18"/>
              </w:rPr>
              <w:t xml:space="preserve"> </w:t>
            </w:r>
            <w:proofErr w:type="spellStart"/>
            <w:r w:rsidRPr="0079630A">
              <w:rPr>
                <w:rFonts w:asciiTheme="minorHAnsi" w:eastAsiaTheme="minorHAnsi" w:hAnsiTheme="minorHAnsi"/>
                <w:color w:val="auto"/>
                <w:sz w:val="18"/>
                <w:szCs w:val="18"/>
              </w:rPr>
              <w:t>bilat</w:t>
            </w:r>
            <w:proofErr w:type="spellEnd"/>
            <w:r w:rsidRPr="0079630A">
              <w:rPr>
                <w:rFonts w:asciiTheme="minorHAnsi" w:eastAsiaTheme="minorHAnsi" w:hAnsiTheme="minorHAnsi"/>
                <w:color w:val="auto"/>
                <w:sz w:val="18"/>
                <w:szCs w:val="18"/>
              </w:rPr>
              <w:t xml:space="preserve">, </w:t>
            </w:r>
            <w:proofErr w:type="spellStart"/>
            <w:r w:rsidRPr="0079630A">
              <w:rPr>
                <w:rFonts w:asciiTheme="minorHAnsi" w:eastAsiaTheme="minorHAnsi" w:hAnsiTheme="minorHAnsi"/>
                <w:color w:val="auto"/>
                <w:sz w:val="18"/>
                <w:szCs w:val="18"/>
              </w:rPr>
              <w:t>neuro</w:t>
            </w:r>
            <w:proofErr w:type="spellEnd"/>
            <w:r w:rsidRPr="0079630A">
              <w:rPr>
                <w:rFonts w:asciiTheme="minorHAnsi" w:eastAsiaTheme="minorHAnsi" w:hAnsiTheme="minorHAnsi"/>
                <w:color w:val="auto"/>
                <w:sz w:val="18"/>
                <w:szCs w:val="18"/>
              </w:rPr>
              <w:t xml:space="preserve"> normal, </w:t>
            </w:r>
            <w:r w:rsidR="007C4919" w:rsidRPr="0079630A">
              <w:rPr>
                <w:rFonts w:asciiTheme="minorHAnsi" w:eastAsiaTheme="minorHAnsi" w:hAnsiTheme="minorHAnsi"/>
                <w:color w:val="auto"/>
                <w:sz w:val="18"/>
                <w:szCs w:val="18"/>
              </w:rPr>
              <w:t xml:space="preserve">1 of 4 </w:t>
            </w:r>
            <w:r w:rsidRPr="0079630A">
              <w:rPr>
                <w:rFonts w:asciiTheme="minorHAnsi" w:eastAsiaTheme="minorHAnsi" w:hAnsiTheme="minorHAnsi"/>
                <w:color w:val="auto"/>
                <w:sz w:val="18"/>
                <w:szCs w:val="18"/>
              </w:rPr>
              <w:t>Waddell’s, TTP, no spasms</w:t>
            </w:r>
          </w:p>
        </w:tc>
        <w:tc>
          <w:tcPr>
            <w:tcW w:w="4187" w:type="dxa"/>
            <w:tcBorders>
              <w:top w:val="single" w:sz="4" w:space="0" w:color="000000"/>
              <w:left w:val="single" w:sz="4" w:space="0" w:color="000000"/>
              <w:bottom w:val="single" w:sz="4" w:space="0" w:color="000000"/>
              <w:right w:val="single" w:sz="4" w:space="0" w:color="000000"/>
            </w:tcBorders>
          </w:tcPr>
          <w:p w:rsidR="0086416F" w:rsidRPr="0079630A" w:rsidRDefault="0086416F" w:rsidP="00713189">
            <w:pPr>
              <w:tabs>
                <w:tab w:val="left" w:pos="288"/>
                <w:tab w:val="left" w:pos="4752"/>
              </w:tabs>
              <w:spacing w:line="180" w:lineRule="exact"/>
              <w:rPr>
                <w:rFonts w:asciiTheme="minorHAnsi" w:eastAsiaTheme="minorHAnsi" w:hAnsiTheme="minorHAnsi"/>
                <w:color w:val="auto"/>
                <w:sz w:val="18"/>
                <w:szCs w:val="18"/>
              </w:rPr>
            </w:pPr>
            <w:r w:rsidRPr="0079630A">
              <w:rPr>
                <w:rFonts w:asciiTheme="minorHAnsi" w:eastAsiaTheme="minorHAnsi" w:hAnsiTheme="minorHAnsi"/>
                <w:color w:val="auto"/>
                <w:sz w:val="18"/>
                <w:szCs w:val="18"/>
              </w:rPr>
              <w:t>Posture &amp; gait normal; no muscle spasm; no tenderness</w:t>
            </w:r>
            <w:r w:rsidR="00713189" w:rsidRPr="0079630A">
              <w:rPr>
                <w:rFonts w:asciiTheme="minorHAnsi" w:eastAsiaTheme="minorHAnsi" w:hAnsiTheme="minorHAnsi"/>
                <w:color w:val="auto"/>
                <w:sz w:val="18"/>
                <w:szCs w:val="18"/>
              </w:rPr>
              <w:t>;</w:t>
            </w:r>
            <w:r w:rsidRPr="0079630A">
              <w:rPr>
                <w:rFonts w:asciiTheme="minorHAnsi" w:eastAsiaTheme="minorHAnsi" w:hAnsiTheme="minorHAnsi"/>
                <w:color w:val="auto"/>
                <w:sz w:val="18"/>
                <w:szCs w:val="18"/>
              </w:rPr>
              <w:t xml:space="preserve"> </w:t>
            </w:r>
            <w:proofErr w:type="spellStart"/>
            <w:r w:rsidRPr="0079630A">
              <w:rPr>
                <w:rFonts w:asciiTheme="minorHAnsi" w:eastAsiaTheme="minorHAnsi" w:hAnsiTheme="minorHAnsi"/>
                <w:color w:val="auto"/>
                <w:sz w:val="18"/>
                <w:szCs w:val="18"/>
              </w:rPr>
              <w:t>neg</w:t>
            </w:r>
            <w:proofErr w:type="spellEnd"/>
            <w:r w:rsidRPr="0079630A">
              <w:rPr>
                <w:rFonts w:asciiTheme="minorHAnsi" w:eastAsiaTheme="minorHAnsi" w:hAnsiTheme="minorHAnsi"/>
                <w:color w:val="auto"/>
                <w:sz w:val="18"/>
                <w:szCs w:val="18"/>
              </w:rPr>
              <w:t xml:space="preserve"> SLR; additional limitation based on pain, but not fatigue, weakness, lack of endurance or </w:t>
            </w:r>
            <w:proofErr w:type="spellStart"/>
            <w:r w:rsidRPr="0079630A">
              <w:rPr>
                <w:rFonts w:asciiTheme="minorHAnsi" w:eastAsiaTheme="minorHAnsi" w:hAnsiTheme="minorHAnsi"/>
                <w:color w:val="auto"/>
                <w:sz w:val="18"/>
                <w:szCs w:val="18"/>
              </w:rPr>
              <w:t>incoordination</w:t>
            </w:r>
            <w:proofErr w:type="spellEnd"/>
            <w:r w:rsidRPr="0079630A">
              <w:rPr>
                <w:rFonts w:asciiTheme="minorHAnsi" w:eastAsiaTheme="minorHAnsi" w:hAnsiTheme="minorHAnsi"/>
                <w:color w:val="auto"/>
                <w:sz w:val="18"/>
                <w:szCs w:val="18"/>
              </w:rPr>
              <w:t xml:space="preserve">; x-rays normal; </w:t>
            </w:r>
            <w:proofErr w:type="spellStart"/>
            <w:r w:rsidRPr="0079630A">
              <w:rPr>
                <w:rFonts w:asciiTheme="minorHAnsi" w:eastAsiaTheme="minorHAnsi" w:hAnsiTheme="minorHAnsi"/>
                <w:color w:val="auto"/>
                <w:sz w:val="18"/>
                <w:szCs w:val="18"/>
              </w:rPr>
              <w:t>neuro</w:t>
            </w:r>
            <w:proofErr w:type="spellEnd"/>
            <w:r w:rsidRPr="0079630A">
              <w:rPr>
                <w:rFonts w:asciiTheme="minorHAnsi" w:eastAsiaTheme="minorHAnsi" w:hAnsiTheme="minorHAnsi"/>
                <w:color w:val="auto"/>
                <w:sz w:val="18"/>
                <w:szCs w:val="18"/>
              </w:rPr>
              <w:t xml:space="preserve"> normal</w:t>
            </w:r>
            <w:r w:rsidR="00713189" w:rsidRPr="0079630A">
              <w:rPr>
                <w:rFonts w:asciiTheme="minorHAnsi" w:eastAsiaTheme="minorHAnsi" w:hAnsiTheme="minorHAnsi"/>
                <w:color w:val="auto"/>
                <w:sz w:val="18"/>
                <w:szCs w:val="18"/>
              </w:rPr>
              <w:t>,</w:t>
            </w:r>
            <w:r w:rsidRPr="0079630A">
              <w:rPr>
                <w:rFonts w:asciiTheme="minorHAnsi" w:eastAsiaTheme="minorHAnsi" w:hAnsiTheme="minorHAnsi"/>
                <w:color w:val="auto"/>
                <w:sz w:val="18"/>
                <w:szCs w:val="18"/>
              </w:rPr>
              <w:t xml:space="preserve"> except 1+ reflexes at knees and ankles; no incapacitation</w:t>
            </w:r>
          </w:p>
        </w:tc>
      </w:tr>
      <w:tr w:rsidR="0086416F" w:rsidRPr="0079630A" w:rsidTr="00713189">
        <w:trPr>
          <w:jc w:val="center"/>
        </w:trPr>
        <w:tc>
          <w:tcPr>
            <w:tcW w:w="1899" w:type="dxa"/>
            <w:tcBorders>
              <w:top w:val="single" w:sz="4" w:space="0" w:color="000000"/>
              <w:left w:val="single" w:sz="4" w:space="0" w:color="000000"/>
              <w:bottom w:val="single" w:sz="4" w:space="0" w:color="000000"/>
              <w:right w:val="single" w:sz="4" w:space="0" w:color="000000"/>
            </w:tcBorders>
            <w:vAlign w:val="center"/>
          </w:tcPr>
          <w:p w:rsidR="0086416F" w:rsidRPr="0079630A" w:rsidRDefault="0086416F" w:rsidP="00E14686">
            <w:pPr>
              <w:pStyle w:val="ListParagraph"/>
              <w:spacing w:after="0" w:line="180" w:lineRule="exact"/>
              <w:ind w:left="0"/>
              <w:jc w:val="center"/>
              <w:rPr>
                <w:rFonts w:eastAsia="Calibri" w:cs="Times New Roman"/>
                <w:sz w:val="18"/>
                <w:szCs w:val="18"/>
              </w:rPr>
            </w:pPr>
            <w:r w:rsidRPr="0079630A">
              <w:rPr>
                <w:rFonts w:eastAsia="Calibri" w:cs="Times New Roman"/>
                <w:sz w:val="18"/>
                <w:szCs w:val="18"/>
              </w:rPr>
              <w:t>§4.71a Rating</w:t>
            </w:r>
          </w:p>
        </w:tc>
        <w:tc>
          <w:tcPr>
            <w:tcW w:w="2932" w:type="dxa"/>
            <w:tcBorders>
              <w:top w:val="single" w:sz="4" w:space="0" w:color="000000"/>
              <w:left w:val="single" w:sz="4" w:space="0" w:color="000000"/>
              <w:bottom w:val="single" w:sz="4" w:space="0" w:color="000000"/>
              <w:right w:val="single" w:sz="4" w:space="0" w:color="000000"/>
            </w:tcBorders>
            <w:vAlign w:val="center"/>
          </w:tcPr>
          <w:p w:rsidR="0086416F" w:rsidRPr="0079630A" w:rsidRDefault="0086416F" w:rsidP="00E14686">
            <w:pPr>
              <w:tabs>
                <w:tab w:val="left" w:pos="288"/>
                <w:tab w:val="left" w:pos="4752"/>
              </w:tabs>
              <w:spacing w:line="180" w:lineRule="exact"/>
              <w:jc w:val="center"/>
              <w:rPr>
                <w:rFonts w:asciiTheme="minorHAnsi" w:eastAsiaTheme="minorHAnsi" w:hAnsiTheme="minorHAnsi"/>
                <w:color w:val="auto"/>
                <w:sz w:val="18"/>
                <w:szCs w:val="18"/>
              </w:rPr>
            </w:pPr>
            <w:r w:rsidRPr="0079630A">
              <w:rPr>
                <w:rFonts w:asciiTheme="minorHAnsi" w:eastAsiaTheme="minorHAnsi" w:hAnsiTheme="minorHAnsi"/>
                <w:color w:val="auto"/>
                <w:sz w:val="18"/>
                <w:szCs w:val="18"/>
              </w:rPr>
              <w:t>10%</w:t>
            </w:r>
          </w:p>
        </w:tc>
        <w:tc>
          <w:tcPr>
            <w:tcW w:w="4187" w:type="dxa"/>
            <w:tcBorders>
              <w:top w:val="single" w:sz="4" w:space="0" w:color="000000"/>
              <w:left w:val="single" w:sz="4" w:space="0" w:color="000000"/>
              <w:bottom w:val="single" w:sz="4" w:space="0" w:color="000000"/>
              <w:right w:val="single" w:sz="4" w:space="0" w:color="000000"/>
            </w:tcBorders>
          </w:tcPr>
          <w:p w:rsidR="0086416F" w:rsidRPr="0079630A" w:rsidRDefault="0086416F" w:rsidP="00E14686">
            <w:pPr>
              <w:tabs>
                <w:tab w:val="left" w:pos="288"/>
                <w:tab w:val="left" w:pos="4752"/>
              </w:tabs>
              <w:spacing w:line="180" w:lineRule="exact"/>
              <w:jc w:val="center"/>
              <w:rPr>
                <w:rFonts w:asciiTheme="minorHAnsi" w:eastAsiaTheme="minorHAnsi" w:hAnsiTheme="minorHAnsi"/>
                <w:color w:val="auto"/>
                <w:sz w:val="18"/>
                <w:szCs w:val="18"/>
              </w:rPr>
            </w:pPr>
            <w:r w:rsidRPr="0079630A">
              <w:rPr>
                <w:rFonts w:asciiTheme="minorHAnsi" w:eastAsiaTheme="minorHAnsi" w:hAnsiTheme="minorHAnsi"/>
                <w:color w:val="auto"/>
                <w:sz w:val="18"/>
                <w:szCs w:val="18"/>
              </w:rPr>
              <w:t>40%</w:t>
            </w:r>
          </w:p>
        </w:tc>
      </w:tr>
    </w:tbl>
    <w:p w:rsidR="0086416F" w:rsidRPr="0079630A" w:rsidRDefault="0086416F" w:rsidP="0086416F">
      <w:pPr>
        <w:spacing w:line="240" w:lineRule="exact"/>
        <w:rPr>
          <w:rFonts w:asciiTheme="minorHAnsi" w:hAnsiTheme="minorHAnsi"/>
          <w:color w:val="auto"/>
          <w:szCs w:val="24"/>
        </w:rPr>
      </w:pPr>
    </w:p>
    <w:p w:rsidR="00713189" w:rsidRPr="0079630A" w:rsidRDefault="00E46971" w:rsidP="00713189">
      <w:pPr>
        <w:tabs>
          <w:tab w:val="left" w:pos="288"/>
          <w:tab w:val="left" w:pos="4752"/>
        </w:tabs>
        <w:spacing w:line="240" w:lineRule="exact"/>
        <w:jc w:val="both"/>
        <w:rPr>
          <w:color w:val="auto"/>
          <w:szCs w:val="24"/>
        </w:rPr>
      </w:pPr>
      <w:r w:rsidRPr="0079630A">
        <w:rPr>
          <w:color w:val="auto"/>
          <w:szCs w:val="24"/>
        </w:rPr>
        <w:t>The only treatment records to approach the level of VA limited ROM w</w:t>
      </w:r>
      <w:r w:rsidR="003370EA">
        <w:rPr>
          <w:color w:val="auto"/>
          <w:szCs w:val="24"/>
        </w:rPr>
        <w:t>as</w:t>
      </w:r>
      <w:r w:rsidRPr="0079630A">
        <w:rPr>
          <w:color w:val="auto"/>
          <w:szCs w:val="24"/>
        </w:rPr>
        <w:t xml:space="preserve"> following two episodes of acute trauma from falls.  The VA exam demonstrated normal gait and posture as well as an absence of any other significant findings to align with the disparate ROM goniometric measurements.  </w:t>
      </w:r>
      <w:r w:rsidR="00713189" w:rsidRPr="0079630A">
        <w:rPr>
          <w:color w:val="auto"/>
          <w:szCs w:val="24"/>
        </w:rPr>
        <w:t xml:space="preserve">The Board adjudged the MEB exam to have the highest probative value for rating on TDRL-entry as it was comprehensive, </w:t>
      </w:r>
      <w:r w:rsidR="007C4919" w:rsidRPr="0079630A">
        <w:rPr>
          <w:color w:val="auto"/>
          <w:szCs w:val="24"/>
        </w:rPr>
        <w:t xml:space="preserve">supported by </w:t>
      </w:r>
      <w:r w:rsidR="00713189" w:rsidRPr="0079630A">
        <w:rPr>
          <w:color w:val="auto"/>
          <w:szCs w:val="24"/>
        </w:rPr>
        <w:t xml:space="preserve">the remainder of the record, and was not in the context of a specified disability exam.  </w:t>
      </w:r>
    </w:p>
    <w:p w:rsidR="00713189" w:rsidRPr="0079630A" w:rsidRDefault="00713189" w:rsidP="00713189">
      <w:pPr>
        <w:tabs>
          <w:tab w:val="left" w:pos="288"/>
          <w:tab w:val="left" w:pos="4752"/>
        </w:tabs>
        <w:spacing w:line="240" w:lineRule="exact"/>
        <w:jc w:val="both"/>
        <w:rPr>
          <w:color w:val="auto"/>
          <w:szCs w:val="24"/>
        </w:rPr>
      </w:pPr>
    </w:p>
    <w:p w:rsidR="00713189" w:rsidRPr="0079630A" w:rsidRDefault="00713189" w:rsidP="00713189">
      <w:pPr>
        <w:tabs>
          <w:tab w:val="left" w:pos="288"/>
          <w:tab w:val="left" w:pos="4752"/>
        </w:tabs>
        <w:spacing w:line="240" w:lineRule="exact"/>
        <w:jc w:val="both"/>
        <w:rPr>
          <w:color w:val="auto"/>
          <w:szCs w:val="24"/>
        </w:rPr>
      </w:pPr>
      <w:r w:rsidRPr="0079630A">
        <w:rPr>
          <w:color w:val="auto"/>
          <w:szCs w:val="24"/>
        </w:rPr>
        <w:t>For rating at TDRL-exit, there were two spine examinations in evidence proximate to TDRL exit which the Board weighed in arriving at its rating recommendation.  Only one of these included a goniometric ROM evaluation.  Both of these exams are summarized in the chart below.</w:t>
      </w:r>
    </w:p>
    <w:p w:rsidR="00713189" w:rsidRPr="0079630A" w:rsidRDefault="00713189" w:rsidP="0086416F">
      <w:pPr>
        <w:spacing w:line="240" w:lineRule="exact"/>
        <w:rPr>
          <w:rFonts w:asciiTheme="minorHAnsi" w:hAnsiTheme="minorHAnsi"/>
          <w:color w:val="auto"/>
          <w:szCs w:val="24"/>
        </w:rPr>
      </w:pPr>
    </w:p>
    <w:tbl>
      <w:tblPr>
        <w:tblW w:w="0" w:type="auto"/>
        <w:jc w:val="center"/>
        <w:tblInd w:w="-1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6"/>
        <w:gridCol w:w="3060"/>
        <w:gridCol w:w="2975"/>
      </w:tblGrid>
      <w:tr w:rsidR="001B0878" w:rsidRPr="0079630A" w:rsidTr="00724DEF">
        <w:trPr>
          <w:jc w:val="center"/>
        </w:trPr>
        <w:tc>
          <w:tcPr>
            <w:tcW w:w="2076"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1B0878" w:rsidRPr="0079630A" w:rsidRDefault="001B0878" w:rsidP="00D046E1">
            <w:pPr>
              <w:pStyle w:val="ListParagraph"/>
              <w:spacing w:after="0" w:line="200" w:lineRule="exact"/>
              <w:ind w:left="0"/>
              <w:jc w:val="center"/>
              <w:rPr>
                <w:rFonts w:eastAsia="Calibri" w:cs="Times New Roman"/>
                <w:b/>
                <w:sz w:val="20"/>
                <w:szCs w:val="20"/>
              </w:rPr>
            </w:pPr>
            <w:r w:rsidRPr="0079630A">
              <w:rPr>
                <w:rFonts w:eastAsia="Calibri"/>
                <w:sz w:val="20"/>
                <w:szCs w:val="20"/>
              </w:rPr>
              <w:t>Goniometric ROM - Thoracolumbar</w:t>
            </w:r>
          </w:p>
        </w:tc>
        <w:tc>
          <w:tcPr>
            <w:tcW w:w="306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86416F" w:rsidRPr="0079630A" w:rsidRDefault="0071156F" w:rsidP="003973F3">
            <w:pPr>
              <w:spacing w:line="200" w:lineRule="exact"/>
              <w:contextualSpacing/>
              <w:jc w:val="center"/>
              <w:rPr>
                <w:rFonts w:asciiTheme="minorHAnsi" w:eastAsia="Calibri" w:hAnsiTheme="minorHAnsi"/>
                <w:color w:val="auto"/>
                <w:sz w:val="20"/>
              </w:rPr>
            </w:pPr>
            <w:r w:rsidRPr="0079630A">
              <w:rPr>
                <w:rFonts w:asciiTheme="minorHAnsi" w:eastAsia="Calibri" w:hAnsiTheme="minorHAnsi"/>
                <w:color w:val="auto"/>
                <w:sz w:val="20"/>
              </w:rPr>
              <w:t>NARSUM</w:t>
            </w:r>
            <w:r w:rsidR="001B0878" w:rsidRPr="0079630A">
              <w:rPr>
                <w:rFonts w:asciiTheme="minorHAnsi" w:eastAsiaTheme="minorHAnsi" w:hAnsiTheme="minorHAnsi" w:cstheme="minorBidi"/>
                <w:color w:val="auto"/>
                <w:sz w:val="20"/>
              </w:rPr>
              <w:t xml:space="preserve"> </w:t>
            </w:r>
            <w:r w:rsidR="001B0878" w:rsidRPr="0079630A">
              <w:rPr>
                <w:rFonts w:asciiTheme="minorHAnsi" w:eastAsia="Calibri" w:hAnsiTheme="minorHAnsi"/>
                <w:color w:val="auto"/>
                <w:sz w:val="20"/>
              </w:rPr>
              <w:t xml:space="preserve">~ </w:t>
            </w:r>
            <w:r w:rsidR="00724DEF" w:rsidRPr="0079630A">
              <w:rPr>
                <w:rFonts w:asciiTheme="minorHAnsi" w:eastAsia="Calibri" w:hAnsiTheme="minorHAnsi"/>
                <w:color w:val="auto"/>
                <w:sz w:val="20"/>
              </w:rPr>
              <w:t>4</w:t>
            </w:r>
            <w:r w:rsidR="001B0878" w:rsidRPr="0079630A">
              <w:rPr>
                <w:rFonts w:asciiTheme="minorHAnsi" w:eastAsia="Calibri" w:hAnsiTheme="minorHAnsi"/>
                <w:color w:val="auto"/>
                <w:sz w:val="20"/>
              </w:rPr>
              <w:t xml:space="preserve"> Mo</w:t>
            </w:r>
            <w:r w:rsidR="0086416F" w:rsidRPr="0079630A">
              <w:rPr>
                <w:rFonts w:asciiTheme="minorHAnsi" w:eastAsia="Calibri" w:hAnsiTheme="minorHAnsi"/>
                <w:color w:val="auto"/>
                <w:sz w:val="20"/>
              </w:rPr>
              <w:t>s</w:t>
            </w:r>
            <w:r w:rsidR="001B0878" w:rsidRPr="0079630A">
              <w:rPr>
                <w:rFonts w:asciiTheme="minorHAnsi" w:eastAsia="Calibri" w:hAnsiTheme="minorHAnsi"/>
                <w:color w:val="auto"/>
                <w:sz w:val="20"/>
              </w:rPr>
              <w:t>. P</w:t>
            </w:r>
            <w:r w:rsidR="00724DEF" w:rsidRPr="0079630A">
              <w:rPr>
                <w:rFonts w:asciiTheme="minorHAnsi" w:eastAsia="Calibri" w:hAnsiTheme="minorHAnsi"/>
                <w:color w:val="auto"/>
                <w:sz w:val="20"/>
              </w:rPr>
              <w:t>re-TDRL Exit</w:t>
            </w:r>
          </w:p>
          <w:p w:rsidR="00C43084" w:rsidRPr="0079630A" w:rsidRDefault="00C43084" w:rsidP="003973F3">
            <w:pPr>
              <w:spacing w:line="200" w:lineRule="exact"/>
              <w:contextualSpacing/>
              <w:jc w:val="center"/>
              <w:rPr>
                <w:rFonts w:asciiTheme="minorHAnsi" w:eastAsia="Calibri" w:hAnsiTheme="minorHAnsi"/>
                <w:color w:val="auto"/>
                <w:sz w:val="20"/>
              </w:rPr>
            </w:pPr>
            <w:r w:rsidRPr="0079630A">
              <w:rPr>
                <w:rFonts w:asciiTheme="minorHAnsi" w:eastAsia="Calibri" w:hAnsiTheme="minorHAnsi"/>
                <w:color w:val="auto"/>
                <w:sz w:val="20"/>
              </w:rPr>
              <w:t>(20051014)</w:t>
            </w:r>
          </w:p>
        </w:tc>
        <w:tc>
          <w:tcPr>
            <w:tcW w:w="2975" w:type="dxa"/>
            <w:tcBorders>
              <w:top w:val="single" w:sz="4" w:space="0" w:color="000000"/>
              <w:left w:val="single" w:sz="4" w:space="0" w:color="000000"/>
              <w:bottom w:val="single" w:sz="4" w:space="0" w:color="000000"/>
              <w:right w:val="single" w:sz="4" w:space="0" w:color="000000"/>
            </w:tcBorders>
            <w:shd w:val="pct15" w:color="auto" w:fill="auto"/>
            <w:vAlign w:val="center"/>
          </w:tcPr>
          <w:p w:rsidR="0086416F" w:rsidRPr="0079630A" w:rsidRDefault="001B0878" w:rsidP="003973F3">
            <w:pPr>
              <w:spacing w:line="200" w:lineRule="exact"/>
              <w:contextualSpacing/>
              <w:jc w:val="center"/>
              <w:rPr>
                <w:rFonts w:asciiTheme="minorHAnsi" w:eastAsia="Calibri" w:hAnsiTheme="minorHAnsi"/>
                <w:color w:val="auto"/>
                <w:sz w:val="20"/>
              </w:rPr>
            </w:pPr>
            <w:r w:rsidRPr="0079630A">
              <w:rPr>
                <w:rFonts w:asciiTheme="minorHAnsi" w:eastAsia="Calibri" w:hAnsiTheme="minorHAnsi"/>
                <w:color w:val="auto"/>
                <w:sz w:val="20"/>
              </w:rPr>
              <w:t>PT</w:t>
            </w:r>
            <w:r w:rsidRPr="0079630A">
              <w:rPr>
                <w:rFonts w:asciiTheme="minorHAnsi" w:eastAsiaTheme="minorHAnsi" w:hAnsiTheme="minorHAnsi" w:cstheme="minorBidi"/>
                <w:color w:val="auto"/>
                <w:sz w:val="20"/>
              </w:rPr>
              <w:t xml:space="preserve"> </w:t>
            </w:r>
            <w:r w:rsidRPr="0079630A">
              <w:rPr>
                <w:rFonts w:asciiTheme="minorHAnsi" w:eastAsia="Calibri" w:hAnsiTheme="minorHAnsi"/>
                <w:color w:val="auto"/>
                <w:sz w:val="20"/>
              </w:rPr>
              <w:t xml:space="preserve">~ 1 </w:t>
            </w:r>
            <w:r w:rsidR="00724DEF" w:rsidRPr="0079630A">
              <w:rPr>
                <w:rFonts w:asciiTheme="minorHAnsi" w:eastAsia="Calibri" w:hAnsiTheme="minorHAnsi"/>
                <w:color w:val="auto"/>
                <w:sz w:val="20"/>
              </w:rPr>
              <w:t>Mo</w:t>
            </w:r>
            <w:r w:rsidR="0086416F" w:rsidRPr="0079630A">
              <w:rPr>
                <w:rFonts w:asciiTheme="minorHAnsi" w:eastAsia="Calibri" w:hAnsiTheme="minorHAnsi"/>
                <w:color w:val="auto"/>
                <w:sz w:val="20"/>
              </w:rPr>
              <w:t>.</w:t>
            </w:r>
            <w:r w:rsidRPr="0079630A">
              <w:rPr>
                <w:rFonts w:asciiTheme="minorHAnsi" w:eastAsia="Calibri" w:hAnsiTheme="minorHAnsi"/>
                <w:color w:val="auto"/>
                <w:sz w:val="20"/>
              </w:rPr>
              <w:t xml:space="preserve"> Pr</w:t>
            </w:r>
            <w:r w:rsidR="00724DEF" w:rsidRPr="0079630A">
              <w:rPr>
                <w:rFonts w:asciiTheme="minorHAnsi" w:eastAsia="Calibri" w:hAnsiTheme="minorHAnsi"/>
                <w:color w:val="auto"/>
                <w:sz w:val="20"/>
              </w:rPr>
              <w:t>e-TDRL Exit</w:t>
            </w:r>
          </w:p>
          <w:p w:rsidR="00C43084" w:rsidRPr="0079630A" w:rsidRDefault="00C43084" w:rsidP="003973F3">
            <w:pPr>
              <w:spacing w:line="200" w:lineRule="exact"/>
              <w:contextualSpacing/>
              <w:jc w:val="center"/>
              <w:rPr>
                <w:rFonts w:asciiTheme="minorHAnsi" w:eastAsia="Calibri" w:hAnsiTheme="minorHAnsi"/>
                <w:color w:val="auto"/>
                <w:sz w:val="20"/>
              </w:rPr>
            </w:pPr>
            <w:r w:rsidRPr="0079630A">
              <w:rPr>
                <w:rFonts w:asciiTheme="minorHAnsi" w:eastAsia="Calibri" w:hAnsiTheme="minorHAnsi"/>
                <w:color w:val="auto"/>
                <w:sz w:val="20"/>
              </w:rPr>
              <w:t>(20060111)</w:t>
            </w:r>
          </w:p>
        </w:tc>
      </w:tr>
      <w:tr w:rsidR="0071156F" w:rsidRPr="0079630A" w:rsidTr="00724DEF">
        <w:trPr>
          <w:jc w:val="center"/>
        </w:trPr>
        <w:tc>
          <w:tcPr>
            <w:tcW w:w="2076" w:type="dxa"/>
            <w:tcBorders>
              <w:top w:val="single" w:sz="4" w:space="0" w:color="000000"/>
              <w:left w:val="single" w:sz="4" w:space="0" w:color="000000"/>
              <w:bottom w:val="single" w:sz="4" w:space="0" w:color="000000"/>
              <w:right w:val="single" w:sz="4" w:space="0" w:color="000000"/>
            </w:tcBorders>
            <w:vAlign w:val="center"/>
            <w:hideMark/>
          </w:tcPr>
          <w:p w:rsidR="0071156F" w:rsidRPr="0079630A" w:rsidRDefault="0071156F" w:rsidP="00D046E1">
            <w:pPr>
              <w:pStyle w:val="ListParagraph"/>
              <w:spacing w:after="0" w:line="180" w:lineRule="exact"/>
              <w:ind w:left="0"/>
              <w:jc w:val="center"/>
              <w:rPr>
                <w:rFonts w:eastAsia="Calibri" w:cs="Times New Roman"/>
                <w:sz w:val="18"/>
                <w:szCs w:val="18"/>
              </w:rPr>
            </w:pPr>
            <w:r w:rsidRPr="0079630A">
              <w:rPr>
                <w:rFonts w:eastAsia="Calibri" w:cs="Times New Roman"/>
                <w:sz w:val="18"/>
                <w:szCs w:val="18"/>
              </w:rPr>
              <w:t>Flex (0-90)</w:t>
            </w:r>
          </w:p>
        </w:tc>
        <w:tc>
          <w:tcPr>
            <w:tcW w:w="3060" w:type="dxa"/>
            <w:vMerge w:val="restart"/>
            <w:tcBorders>
              <w:top w:val="single" w:sz="4" w:space="0" w:color="000000"/>
              <w:left w:val="single" w:sz="4" w:space="0" w:color="000000"/>
              <w:right w:val="single" w:sz="4" w:space="0" w:color="000000"/>
            </w:tcBorders>
            <w:vAlign w:val="center"/>
          </w:tcPr>
          <w:p w:rsidR="0071156F" w:rsidRPr="0079630A" w:rsidRDefault="0071156F" w:rsidP="00D046E1">
            <w:pPr>
              <w:spacing w:line="180" w:lineRule="exact"/>
              <w:contextualSpacing/>
              <w:jc w:val="center"/>
              <w:rPr>
                <w:rFonts w:asciiTheme="minorHAnsi" w:eastAsia="Calibri" w:hAnsiTheme="minorHAnsi"/>
                <w:color w:val="auto"/>
                <w:sz w:val="18"/>
                <w:szCs w:val="18"/>
              </w:rPr>
            </w:pPr>
            <w:r w:rsidRPr="0079630A">
              <w:rPr>
                <w:rFonts w:asciiTheme="minorHAnsi" w:eastAsiaTheme="minorHAnsi" w:hAnsiTheme="minorHAnsi"/>
                <w:color w:val="auto"/>
                <w:sz w:val="18"/>
                <w:szCs w:val="18"/>
              </w:rPr>
              <w:t xml:space="preserve">ROM was </w:t>
            </w:r>
            <w:r w:rsidR="009726BB" w:rsidRPr="0079630A">
              <w:rPr>
                <w:rFonts w:asciiTheme="minorHAnsi" w:eastAsiaTheme="minorHAnsi" w:hAnsiTheme="minorHAnsi"/>
                <w:color w:val="auto"/>
                <w:sz w:val="18"/>
                <w:szCs w:val="18"/>
              </w:rPr>
              <w:t>“</w:t>
            </w:r>
            <w:r w:rsidRPr="0079630A">
              <w:rPr>
                <w:rFonts w:asciiTheme="minorHAnsi" w:eastAsiaTheme="minorHAnsi" w:hAnsiTheme="minorHAnsi"/>
                <w:color w:val="auto"/>
                <w:sz w:val="18"/>
                <w:szCs w:val="18"/>
              </w:rPr>
              <w:t>good with his fingertips to the levels of his ankles with forward flexion</w:t>
            </w:r>
            <w:r w:rsidR="009726BB" w:rsidRPr="0079630A">
              <w:rPr>
                <w:rFonts w:asciiTheme="minorHAnsi" w:eastAsiaTheme="minorHAnsi" w:hAnsiTheme="minorHAnsi"/>
                <w:color w:val="auto"/>
                <w:sz w:val="18"/>
                <w:szCs w:val="18"/>
              </w:rPr>
              <w:t>”</w:t>
            </w:r>
          </w:p>
        </w:tc>
        <w:tc>
          <w:tcPr>
            <w:tcW w:w="2975" w:type="dxa"/>
            <w:tcBorders>
              <w:top w:val="single" w:sz="4" w:space="0" w:color="000000"/>
              <w:left w:val="single" w:sz="4" w:space="0" w:color="000000"/>
              <w:bottom w:val="single" w:sz="4" w:space="0" w:color="000000"/>
              <w:right w:val="single" w:sz="4" w:space="0" w:color="000000"/>
            </w:tcBorders>
          </w:tcPr>
          <w:p w:rsidR="0071156F" w:rsidRPr="0079630A" w:rsidRDefault="0071156F" w:rsidP="0086416F">
            <w:pPr>
              <w:spacing w:line="180" w:lineRule="exact"/>
              <w:contextualSpacing/>
              <w:jc w:val="center"/>
              <w:rPr>
                <w:rFonts w:asciiTheme="minorHAnsi" w:eastAsia="Calibri" w:hAnsiTheme="minorHAnsi"/>
                <w:color w:val="auto"/>
                <w:sz w:val="18"/>
                <w:szCs w:val="18"/>
              </w:rPr>
            </w:pPr>
            <w:r w:rsidRPr="0079630A">
              <w:rPr>
                <w:rFonts w:asciiTheme="minorHAnsi" w:eastAsia="Calibri" w:hAnsiTheme="minorHAnsi"/>
                <w:color w:val="auto"/>
                <w:sz w:val="18"/>
                <w:szCs w:val="18"/>
              </w:rPr>
              <w:t xml:space="preserve">(50,50,45) </w:t>
            </w:r>
            <w:r w:rsidR="0086416F" w:rsidRPr="0079630A">
              <w:rPr>
                <w:rFonts w:asciiTheme="minorHAnsi" w:eastAsia="Calibri" w:hAnsiTheme="minorHAnsi"/>
                <w:color w:val="auto"/>
                <w:sz w:val="18"/>
                <w:szCs w:val="18"/>
              </w:rPr>
              <w:t>45</w:t>
            </w:r>
            <w:r w:rsidRPr="0079630A">
              <w:rPr>
                <w:rFonts w:asciiTheme="minorHAnsi" w:eastAsia="Calibri" w:hAnsiTheme="minorHAnsi"/>
                <w:color w:val="auto"/>
                <w:sz w:val="18"/>
                <w:szCs w:val="18"/>
              </w:rPr>
              <w:t>⁰</w:t>
            </w:r>
          </w:p>
        </w:tc>
      </w:tr>
      <w:tr w:rsidR="0071156F" w:rsidRPr="0079630A" w:rsidTr="00724DEF">
        <w:trPr>
          <w:jc w:val="center"/>
        </w:trPr>
        <w:tc>
          <w:tcPr>
            <w:tcW w:w="2076" w:type="dxa"/>
            <w:tcBorders>
              <w:top w:val="single" w:sz="4" w:space="0" w:color="000000"/>
              <w:left w:val="single" w:sz="4" w:space="0" w:color="000000"/>
              <w:bottom w:val="single" w:sz="4" w:space="0" w:color="000000"/>
              <w:right w:val="single" w:sz="4" w:space="0" w:color="000000"/>
            </w:tcBorders>
            <w:vAlign w:val="center"/>
            <w:hideMark/>
          </w:tcPr>
          <w:p w:rsidR="0071156F" w:rsidRPr="0079630A" w:rsidRDefault="0071156F" w:rsidP="00D046E1">
            <w:pPr>
              <w:pStyle w:val="ListParagraph"/>
              <w:spacing w:after="0" w:line="180" w:lineRule="exact"/>
              <w:ind w:left="0"/>
              <w:jc w:val="center"/>
              <w:rPr>
                <w:rFonts w:eastAsia="Calibri" w:cs="Times New Roman"/>
                <w:sz w:val="18"/>
                <w:szCs w:val="18"/>
              </w:rPr>
            </w:pPr>
            <w:r w:rsidRPr="0079630A">
              <w:rPr>
                <w:rFonts w:eastAsia="Calibri" w:cs="Times New Roman"/>
                <w:sz w:val="18"/>
                <w:szCs w:val="18"/>
              </w:rPr>
              <w:t>Ext (0-30)</w:t>
            </w:r>
          </w:p>
        </w:tc>
        <w:tc>
          <w:tcPr>
            <w:tcW w:w="3060" w:type="dxa"/>
            <w:vMerge/>
            <w:tcBorders>
              <w:left w:val="single" w:sz="4" w:space="0" w:color="000000"/>
              <w:right w:val="single" w:sz="4" w:space="0" w:color="000000"/>
            </w:tcBorders>
            <w:vAlign w:val="center"/>
          </w:tcPr>
          <w:p w:rsidR="0071156F" w:rsidRPr="0079630A" w:rsidRDefault="0071156F" w:rsidP="00D046E1">
            <w:pPr>
              <w:spacing w:line="180" w:lineRule="exact"/>
              <w:contextualSpacing/>
              <w:jc w:val="center"/>
              <w:rPr>
                <w:rFonts w:asciiTheme="minorHAnsi" w:eastAsia="Calibri" w:hAnsiTheme="minorHAnsi"/>
                <w:color w:val="auto"/>
                <w:sz w:val="18"/>
                <w:szCs w:val="18"/>
              </w:rPr>
            </w:pPr>
          </w:p>
        </w:tc>
        <w:tc>
          <w:tcPr>
            <w:tcW w:w="2975" w:type="dxa"/>
            <w:tcBorders>
              <w:top w:val="single" w:sz="4" w:space="0" w:color="000000"/>
              <w:left w:val="single" w:sz="4" w:space="0" w:color="000000"/>
              <w:bottom w:val="single" w:sz="4" w:space="0" w:color="000000"/>
              <w:right w:val="single" w:sz="4" w:space="0" w:color="000000"/>
            </w:tcBorders>
          </w:tcPr>
          <w:p w:rsidR="0071156F" w:rsidRPr="0079630A" w:rsidRDefault="0071156F" w:rsidP="0086416F">
            <w:pPr>
              <w:spacing w:line="180" w:lineRule="exact"/>
              <w:contextualSpacing/>
              <w:jc w:val="center"/>
              <w:rPr>
                <w:rFonts w:asciiTheme="minorHAnsi" w:eastAsia="Calibri" w:hAnsiTheme="minorHAnsi"/>
                <w:color w:val="auto"/>
                <w:sz w:val="18"/>
                <w:szCs w:val="18"/>
              </w:rPr>
            </w:pPr>
            <w:r w:rsidRPr="0079630A">
              <w:rPr>
                <w:rFonts w:asciiTheme="minorHAnsi" w:eastAsia="Calibri" w:hAnsiTheme="minorHAnsi"/>
                <w:color w:val="auto"/>
                <w:sz w:val="18"/>
                <w:szCs w:val="18"/>
              </w:rPr>
              <w:t>(20,25,25) 2</w:t>
            </w:r>
            <w:r w:rsidR="0086416F" w:rsidRPr="0079630A">
              <w:rPr>
                <w:rFonts w:asciiTheme="minorHAnsi" w:eastAsia="Calibri" w:hAnsiTheme="minorHAnsi"/>
                <w:color w:val="auto"/>
                <w:sz w:val="18"/>
                <w:szCs w:val="18"/>
              </w:rPr>
              <w:t>0</w:t>
            </w:r>
            <w:r w:rsidRPr="0079630A">
              <w:rPr>
                <w:rFonts w:asciiTheme="minorHAnsi" w:eastAsia="Calibri" w:hAnsiTheme="minorHAnsi"/>
                <w:color w:val="auto"/>
                <w:sz w:val="18"/>
                <w:szCs w:val="18"/>
              </w:rPr>
              <w:t>⁰</w:t>
            </w:r>
          </w:p>
        </w:tc>
      </w:tr>
      <w:tr w:rsidR="0071156F" w:rsidRPr="0079630A" w:rsidTr="00724DEF">
        <w:trPr>
          <w:trHeight w:val="188"/>
          <w:jc w:val="center"/>
        </w:trPr>
        <w:tc>
          <w:tcPr>
            <w:tcW w:w="2076" w:type="dxa"/>
            <w:tcBorders>
              <w:top w:val="single" w:sz="4" w:space="0" w:color="000000"/>
              <w:left w:val="single" w:sz="4" w:space="0" w:color="000000"/>
              <w:bottom w:val="single" w:sz="4" w:space="0" w:color="000000"/>
              <w:right w:val="single" w:sz="4" w:space="0" w:color="000000"/>
            </w:tcBorders>
            <w:vAlign w:val="center"/>
            <w:hideMark/>
          </w:tcPr>
          <w:p w:rsidR="0071156F" w:rsidRPr="0079630A" w:rsidRDefault="0071156F" w:rsidP="00D046E1">
            <w:pPr>
              <w:pStyle w:val="ListParagraph"/>
              <w:spacing w:after="0" w:line="180" w:lineRule="exact"/>
              <w:ind w:left="0"/>
              <w:jc w:val="center"/>
              <w:rPr>
                <w:rFonts w:eastAsia="Calibri" w:cs="Times New Roman"/>
                <w:sz w:val="18"/>
                <w:szCs w:val="18"/>
              </w:rPr>
            </w:pPr>
            <w:r w:rsidRPr="0079630A">
              <w:rPr>
                <w:rFonts w:eastAsia="Calibri" w:cs="Times New Roman"/>
                <w:sz w:val="18"/>
                <w:szCs w:val="18"/>
              </w:rPr>
              <w:t>R Lat Flex (0-30)</w:t>
            </w:r>
          </w:p>
        </w:tc>
        <w:tc>
          <w:tcPr>
            <w:tcW w:w="3060" w:type="dxa"/>
            <w:vMerge/>
            <w:tcBorders>
              <w:left w:val="single" w:sz="4" w:space="0" w:color="000000"/>
              <w:right w:val="single" w:sz="4" w:space="0" w:color="000000"/>
            </w:tcBorders>
            <w:vAlign w:val="center"/>
          </w:tcPr>
          <w:p w:rsidR="0071156F" w:rsidRPr="0079630A" w:rsidRDefault="0071156F" w:rsidP="00D046E1">
            <w:pPr>
              <w:spacing w:line="180" w:lineRule="exact"/>
              <w:contextualSpacing/>
              <w:jc w:val="center"/>
              <w:rPr>
                <w:rFonts w:asciiTheme="minorHAnsi" w:eastAsia="Calibri" w:hAnsiTheme="minorHAnsi"/>
                <w:color w:val="auto"/>
                <w:sz w:val="18"/>
                <w:szCs w:val="18"/>
              </w:rPr>
            </w:pPr>
          </w:p>
        </w:tc>
        <w:tc>
          <w:tcPr>
            <w:tcW w:w="2975" w:type="dxa"/>
            <w:tcBorders>
              <w:top w:val="single" w:sz="4" w:space="0" w:color="000000"/>
              <w:left w:val="single" w:sz="4" w:space="0" w:color="000000"/>
              <w:bottom w:val="single" w:sz="4" w:space="0" w:color="000000"/>
              <w:right w:val="single" w:sz="4" w:space="0" w:color="000000"/>
            </w:tcBorders>
          </w:tcPr>
          <w:p w:rsidR="0071156F" w:rsidRPr="0079630A" w:rsidRDefault="0071156F" w:rsidP="00D046E1">
            <w:pPr>
              <w:spacing w:line="180" w:lineRule="exact"/>
              <w:contextualSpacing/>
              <w:jc w:val="center"/>
              <w:rPr>
                <w:rFonts w:asciiTheme="minorHAnsi" w:eastAsia="Calibri" w:hAnsiTheme="minorHAnsi"/>
                <w:color w:val="auto"/>
                <w:sz w:val="18"/>
                <w:szCs w:val="18"/>
              </w:rPr>
            </w:pPr>
            <w:r w:rsidRPr="0079630A">
              <w:rPr>
                <w:rFonts w:asciiTheme="minorHAnsi" w:eastAsia="Calibri" w:hAnsiTheme="minorHAnsi"/>
                <w:color w:val="auto"/>
                <w:sz w:val="18"/>
                <w:szCs w:val="18"/>
              </w:rPr>
              <w:t>(15,15,15) 15⁰</w:t>
            </w:r>
          </w:p>
        </w:tc>
      </w:tr>
      <w:tr w:rsidR="0071156F" w:rsidRPr="0079630A" w:rsidTr="00724DEF">
        <w:trPr>
          <w:jc w:val="center"/>
        </w:trPr>
        <w:tc>
          <w:tcPr>
            <w:tcW w:w="2076" w:type="dxa"/>
            <w:tcBorders>
              <w:top w:val="single" w:sz="4" w:space="0" w:color="000000"/>
              <w:left w:val="single" w:sz="4" w:space="0" w:color="000000"/>
              <w:bottom w:val="single" w:sz="4" w:space="0" w:color="000000"/>
              <w:right w:val="single" w:sz="4" w:space="0" w:color="000000"/>
            </w:tcBorders>
            <w:vAlign w:val="center"/>
            <w:hideMark/>
          </w:tcPr>
          <w:p w:rsidR="0071156F" w:rsidRPr="0079630A" w:rsidRDefault="0071156F" w:rsidP="00D046E1">
            <w:pPr>
              <w:pStyle w:val="ListParagraph"/>
              <w:spacing w:after="0" w:line="180" w:lineRule="exact"/>
              <w:ind w:left="0"/>
              <w:jc w:val="center"/>
              <w:rPr>
                <w:rFonts w:eastAsia="Calibri" w:cs="Times New Roman"/>
                <w:sz w:val="18"/>
                <w:szCs w:val="18"/>
              </w:rPr>
            </w:pPr>
            <w:r w:rsidRPr="0079630A">
              <w:rPr>
                <w:rFonts w:eastAsia="Calibri" w:cs="Times New Roman"/>
                <w:sz w:val="18"/>
                <w:szCs w:val="18"/>
              </w:rPr>
              <w:t>L Lat Flex 0-30)</w:t>
            </w:r>
          </w:p>
        </w:tc>
        <w:tc>
          <w:tcPr>
            <w:tcW w:w="3060" w:type="dxa"/>
            <w:vMerge/>
            <w:tcBorders>
              <w:left w:val="single" w:sz="4" w:space="0" w:color="000000"/>
              <w:right w:val="single" w:sz="4" w:space="0" w:color="000000"/>
            </w:tcBorders>
            <w:vAlign w:val="center"/>
          </w:tcPr>
          <w:p w:rsidR="0071156F" w:rsidRPr="0079630A" w:rsidRDefault="0071156F" w:rsidP="00D046E1">
            <w:pPr>
              <w:spacing w:line="180" w:lineRule="exact"/>
              <w:contextualSpacing/>
              <w:jc w:val="center"/>
              <w:rPr>
                <w:rFonts w:asciiTheme="minorHAnsi" w:eastAsia="Calibri" w:hAnsiTheme="minorHAnsi"/>
                <w:color w:val="auto"/>
                <w:sz w:val="18"/>
                <w:szCs w:val="18"/>
              </w:rPr>
            </w:pPr>
          </w:p>
        </w:tc>
        <w:tc>
          <w:tcPr>
            <w:tcW w:w="2975" w:type="dxa"/>
            <w:tcBorders>
              <w:top w:val="single" w:sz="4" w:space="0" w:color="000000"/>
              <w:left w:val="single" w:sz="4" w:space="0" w:color="000000"/>
              <w:bottom w:val="single" w:sz="4" w:space="0" w:color="000000"/>
              <w:right w:val="single" w:sz="4" w:space="0" w:color="000000"/>
            </w:tcBorders>
          </w:tcPr>
          <w:p w:rsidR="0071156F" w:rsidRPr="0079630A" w:rsidRDefault="0071156F" w:rsidP="00D046E1">
            <w:pPr>
              <w:spacing w:line="180" w:lineRule="exact"/>
              <w:contextualSpacing/>
              <w:jc w:val="center"/>
              <w:rPr>
                <w:rFonts w:asciiTheme="minorHAnsi" w:eastAsia="Calibri" w:hAnsiTheme="minorHAnsi"/>
                <w:color w:val="auto"/>
                <w:sz w:val="18"/>
                <w:szCs w:val="18"/>
              </w:rPr>
            </w:pPr>
            <w:r w:rsidRPr="0079630A">
              <w:rPr>
                <w:rFonts w:asciiTheme="minorHAnsi" w:eastAsia="Calibri" w:hAnsiTheme="minorHAnsi"/>
                <w:color w:val="auto"/>
                <w:sz w:val="18"/>
                <w:szCs w:val="18"/>
              </w:rPr>
              <w:t>(15,15,15) 15⁰</w:t>
            </w:r>
          </w:p>
        </w:tc>
      </w:tr>
      <w:tr w:rsidR="0071156F" w:rsidRPr="0079630A" w:rsidTr="00724DEF">
        <w:trPr>
          <w:jc w:val="center"/>
        </w:trPr>
        <w:tc>
          <w:tcPr>
            <w:tcW w:w="2076" w:type="dxa"/>
            <w:tcBorders>
              <w:top w:val="single" w:sz="4" w:space="0" w:color="000000"/>
              <w:left w:val="single" w:sz="4" w:space="0" w:color="000000"/>
              <w:bottom w:val="single" w:sz="4" w:space="0" w:color="000000"/>
              <w:right w:val="single" w:sz="4" w:space="0" w:color="000000"/>
            </w:tcBorders>
            <w:vAlign w:val="center"/>
            <w:hideMark/>
          </w:tcPr>
          <w:p w:rsidR="0071156F" w:rsidRPr="0079630A" w:rsidRDefault="0071156F" w:rsidP="00D046E1">
            <w:pPr>
              <w:pStyle w:val="ListParagraph"/>
              <w:spacing w:after="0" w:line="180" w:lineRule="exact"/>
              <w:ind w:left="0"/>
              <w:jc w:val="center"/>
              <w:rPr>
                <w:rFonts w:eastAsia="Calibri" w:cs="Times New Roman"/>
                <w:sz w:val="18"/>
                <w:szCs w:val="18"/>
              </w:rPr>
            </w:pPr>
            <w:r w:rsidRPr="0079630A">
              <w:rPr>
                <w:rFonts w:eastAsia="Calibri" w:cs="Times New Roman"/>
                <w:sz w:val="18"/>
                <w:szCs w:val="18"/>
              </w:rPr>
              <w:t>R Rotation (0-30)</w:t>
            </w:r>
          </w:p>
        </w:tc>
        <w:tc>
          <w:tcPr>
            <w:tcW w:w="3060" w:type="dxa"/>
            <w:vMerge/>
            <w:tcBorders>
              <w:left w:val="single" w:sz="4" w:space="0" w:color="000000"/>
              <w:right w:val="single" w:sz="4" w:space="0" w:color="000000"/>
            </w:tcBorders>
            <w:vAlign w:val="center"/>
          </w:tcPr>
          <w:p w:rsidR="0071156F" w:rsidRPr="0079630A" w:rsidRDefault="0071156F" w:rsidP="00D046E1">
            <w:pPr>
              <w:spacing w:line="180" w:lineRule="exact"/>
              <w:contextualSpacing/>
              <w:jc w:val="center"/>
              <w:rPr>
                <w:rFonts w:asciiTheme="minorHAnsi" w:eastAsia="Calibri" w:hAnsiTheme="minorHAnsi"/>
                <w:color w:val="auto"/>
                <w:sz w:val="18"/>
                <w:szCs w:val="18"/>
              </w:rPr>
            </w:pPr>
          </w:p>
        </w:tc>
        <w:tc>
          <w:tcPr>
            <w:tcW w:w="2975" w:type="dxa"/>
            <w:tcBorders>
              <w:top w:val="single" w:sz="4" w:space="0" w:color="000000"/>
              <w:left w:val="single" w:sz="4" w:space="0" w:color="000000"/>
              <w:bottom w:val="single" w:sz="4" w:space="0" w:color="000000"/>
              <w:right w:val="single" w:sz="4" w:space="0" w:color="000000"/>
            </w:tcBorders>
          </w:tcPr>
          <w:p w:rsidR="0071156F" w:rsidRPr="0079630A" w:rsidRDefault="0071156F" w:rsidP="00D9251C">
            <w:pPr>
              <w:spacing w:line="180" w:lineRule="exact"/>
              <w:contextualSpacing/>
              <w:jc w:val="center"/>
              <w:rPr>
                <w:rFonts w:asciiTheme="minorHAnsi" w:eastAsia="Calibri" w:hAnsiTheme="minorHAnsi"/>
                <w:color w:val="auto"/>
                <w:sz w:val="18"/>
                <w:szCs w:val="18"/>
              </w:rPr>
            </w:pPr>
            <w:r w:rsidRPr="0079630A">
              <w:rPr>
                <w:rFonts w:asciiTheme="minorHAnsi" w:eastAsia="Calibri" w:hAnsiTheme="minorHAnsi"/>
                <w:color w:val="auto"/>
                <w:sz w:val="18"/>
                <w:szCs w:val="18"/>
              </w:rPr>
              <w:t>(15,20,15) 15⁰</w:t>
            </w:r>
          </w:p>
        </w:tc>
      </w:tr>
      <w:tr w:rsidR="0071156F" w:rsidRPr="0079630A" w:rsidTr="00724DEF">
        <w:trPr>
          <w:jc w:val="center"/>
        </w:trPr>
        <w:tc>
          <w:tcPr>
            <w:tcW w:w="2076" w:type="dxa"/>
            <w:tcBorders>
              <w:top w:val="single" w:sz="4" w:space="0" w:color="000000"/>
              <w:left w:val="single" w:sz="4" w:space="0" w:color="000000"/>
              <w:bottom w:val="single" w:sz="4" w:space="0" w:color="000000"/>
              <w:right w:val="single" w:sz="4" w:space="0" w:color="000000"/>
            </w:tcBorders>
            <w:vAlign w:val="center"/>
            <w:hideMark/>
          </w:tcPr>
          <w:p w:rsidR="0071156F" w:rsidRPr="0079630A" w:rsidRDefault="0071156F" w:rsidP="00D046E1">
            <w:pPr>
              <w:pStyle w:val="ListParagraph"/>
              <w:spacing w:after="0" w:line="180" w:lineRule="exact"/>
              <w:ind w:left="0"/>
              <w:jc w:val="center"/>
              <w:rPr>
                <w:rFonts w:eastAsia="Calibri" w:cs="Times New Roman"/>
                <w:sz w:val="18"/>
                <w:szCs w:val="18"/>
              </w:rPr>
            </w:pPr>
            <w:r w:rsidRPr="0079630A">
              <w:rPr>
                <w:rFonts w:eastAsia="Calibri" w:cs="Times New Roman"/>
                <w:sz w:val="18"/>
                <w:szCs w:val="18"/>
              </w:rPr>
              <w:t>L Rotation (0-30)</w:t>
            </w:r>
          </w:p>
        </w:tc>
        <w:tc>
          <w:tcPr>
            <w:tcW w:w="3060" w:type="dxa"/>
            <w:vMerge/>
            <w:tcBorders>
              <w:left w:val="single" w:sz="4" w:space="0" w:color="000000"/>
              <w:right w:val="single" w:sz="4" w:space="0" w:color="000000"/>
            </w:tcBorders>
            <w:vAlign w:val="center"/>
          </w:tcPr>
          <w:p w:rsidR="0071156F" w:rsidRPr="0079630A" w:rsidRDefault="0071156F" w:rsidP="00D046E1">
            <w:pPr>
              <w:spacing w:line="180" w:lineRule="exact"/>
              <w:contextualSpacing/>
              <w:jc w:val="center"/>
              <w:rPr>
                <w:rFonts w:asciiTheme="minorHAnsi" w:eastAsia="Calibri" w:hAnsiTheme="minorHAnsi"/>
                <w:color w:val="auto"/>
                <w:sz w:val="18"/>
                <w:szCs w:val="18"/>
              </w:rPr>
            </w:pPr>
          </w:p>
        </w:tc>
        <w:tc>
          <w:tcPr>
            <w:tcW w:w="2975" w:type="dxa"/>
            <w:tcBorders>
              <w:top w:val="single" w:sz="4" w:space="0" w:color="000000"/>
              <w:left w:val="single" w:sz="4" w:space="0" w:color="000000"/>
              <w:bottom w:val="single" w:sz="4" w:space="0" w:color="000000"/>
              <w:right w:val="single" w:sz="4" w:space="0" w:color="000000"/>
            </w:tcBorders>
          </w:tcPr>
          <w:p w:rsidR="0071156F" w:rsidRPr="0079630A" w:rsidRDefault="0071156F" w:rsidP="0086416F">
            <w:pPr>
              <w:spacing w:line="180" w:lineRule="exact"/>
              <w:contextualSpacing/>
              <w:jc w:val="center"/>
              <w:rPr>
                <w:rFonts w:asciiTheme="minorHAnsi" w:eastAsia="Calibri" w:hAnsiTheme="minorHAnsi"/>
                <w:color w:val="auto"/>
                <w:sz w:val="18"/>
                <w:szCs w:val="18"/>
              </w:rPr>
            </w:pPr>
            <w:r w:rsidRPr="0079630A">
              <w:rPr>
                <w:rFonts w:asciiTheme="minorHAnsi" w:eastAsia="Calibri" w:hAnsiTheme="minorHAnsi"/>
                <w:color w:val="auto"/>
                <w:sz w:val="18"/>
                <w:szCs w:val="18"/>
              </w:rPr>
              <w:t xml:space="preserve">(15,20,20) </w:t>
            </w:r>
            <w:r w:rsidR="0086416F" w:rsidRPr="0079630A">
              <w:rPr>
                <w:rFonts w:asciiTheme="minorHAnsi" w:eastAsia="Calibri" w:hAnsiTheme="minorHAnsi"/>
                <w:color w:val="auto"/>
                <w:sz w:val="18"/>
                <w:szCs w:val="18"/>
              </w:rPr>
              <w:t>15</w:t>
            </w:r>
            <w:r w:rsidRPr="0079630A">
              <w:rPr>
                <w:rFonts w:asciiTheme="minorHAnsi" w:eastAsia="Calibri" w:hAnsiTheme="minorHAnsi"/>
                <w:color w:val="auto"/>
                <w:sz w:val="18"/>
                <w:szCs w:val="18"/>
              </w:rPr>
              <w:t>⁰</w:t>
            </w:r>
          </w:p>
        </w:tc>
      </w:tr>
      <w:tr w:rsidR="0071156F" w:rsidRPr="0079630A" w:rsidTr="00724DEF">
        <w:trPr>
          <w:jc w:val="center"/>
        </w:trPr>
        <w:tc>
          <w:tcPr>
            <w:tcW w:w="2076" w:type="dxa"/>
            <w:tcBorders>
              <w:top w:val="single" w:sz="4" w:space="0" w:color="000000"/>
              <w:left w:val="single" w:sz="4" w:space="0" w:color="000000"/>
              <w:bottom w:val="single" w:sz="4" w:space="0" w:color="000000"/>
              <w:right w:val="single" w:sz="4" w:space="0" w:color="000000"/>
            </w:tcBorders>
            <w:vAlign w:val="center"/>
            <w:hideMark/>
          </w:tcPr>
          <w:p w:rsidR="0071156F" w:rsidRPr="0079630A" w:rsidRDefault="0071156F" w:rsidP="00D046E1">
            <w:pPr>
              <w:pStyle w:val="ListParagraph"/>
              <w:spacing w:after="0" w:line="180" w:lineRule="exact"/>
              <w:ind w:left="0"/>
              <w:jc w:val="center"/>
              <w:rPr>
                <w:rFonts w:eastAsia="Calibri" w:cs="Times New Roman"/>
                <w:sz w:val="18"/>
                <w:szCs w:val="18"/>
              </w:rPr>
            </w:pPr>
            <w:r w:rsidRPr="0079630A">
              <w:rPr>
                <w:rFonts w:eastAsia="Calibri" w:cs="Times New Roman"/>
                <w:sz w:val="18"/>
                <w:szCs w:val="18"/>
              </w:rPr>
              <w:t>COMBINED (240)</w:t>
            </w:r>
          </w:p>
        </w:tc>
        <w:tc>
          <w:tcPr>
            <w:tcW w:w="3060" w:type="dxa"/>
            <w:vMerge/>
            <w:tcBorders>
              <w:left w:val="single" w:sz="4" w:space="0" w:color="000000"/>
              <w:bottom w:val="single" w:sz="4" w:space="0" w:color="000000"/>
              <w:right w:val="single" w:sz="4" w:space="0" w:color="000000"/>
            </w:tcBorders>
            <w:vAlign w:val="center"/>
          </w:tcPr>
          <w:p w:rsidR="0071156F" w:rsidRPr="0079630A" w:rsidRDefault="0071156F" w:rsidP="00D046E1">
            <w:pPr>
              <w:spacing w:line="180" w:lineRule="exact"/>
              <w:jc w:val="center"/>
              <w:rPr>
                <w:rFonts w:asciiTheme="minorHAnsi" w:hAnsiTheme="minorHAnsi"/>
                <w:color w:val="auto"/>
                <w:sz w:val="18"/>
                <w:szCs w:val="18"/>
              </w:rPr>
            </w:pPr>
          </w:p>
        </w:tc>
        <w:tc>
          <w:tcPr>
            <w:tcW w:w="2975" w:type="dxa"/>
            <w:tcBorders>
              <w:top w:val="single" w:sz="4" w:space="0" w:color="000000"/>
              <w:left w:val="single" w:sz="4" w:space="0" w:color="000000"/>
              <w:bottom w:val="single" w:sz="4" w:space="0" w:color="000000"/>
              <w:right w:val="single" w:sz="4" w:space="0" w:color="000000"/>
            </w:tcBorders>
          </w:tcPr>
          <w:p w:rsidR="0071156F" w:rsidRPr="0079630A" w:rsidRDefault="0071156F" w:rsidP="0086416F">
            <w:pPr>
              <w:spacing w:line="180" w:lineRule="exact"/>
              <w:jc w:val="center"/>
              <w:rPr>
                <w:rFonts w:asciiTheme="minorHAnsi" w:eastAsia="Calibri" w:hAnsiTheme="minorHAnsi"/>
                <w:color w:val="auto"/>
                <w:sz w:val="18"/>
                <w:szCs w:val="18"/>
              </w:rPr>
            </w:pPr>
            <w:r w:rsidRPr="0079630A">
              <w:rPr>
                <w:rFonts w:asciiTheme="minorHAnsi" w:eastAsia="Calibri" w:hAnsiTheme="minorHAnsi"/>
                <w:color w:val="auto"/>
                <w:sz w:val="18"/>
                <w:szCs w:val="18"/>
              </w:rPr>
              <w:t>1</w:t>
            </w:r>
            <w:r w:rsidR="0086416F" w:rsidRPr="0079630A">
              <w:rPr>
                <w:rFonts w:asciiTheme="minorHAnsi" w:eastAsia="Calibri" w:hAnsiTheme="minorHAnsi"/>
                <w:color w:val="auto"/>
                <w:sz w:val="18"/>
                <w:szCs w:val="18"/>
              </w:rPr>
              <w:t>25</w:t>
            </w:r>
            <w:r w:rsidRPr="0079630A">
              <w:rPr>
                <w:rFonts w:asciiTheme="minorHAnsi" w:eastAsia="Calibri" w:hAnsiTheme="minorHAnsi"/>
                <w:color w:val="auto"/>
                <w:sz w:val="18"/>
                <w:szCs w:val="18"/>
              </w:rPr>
              <w:t>⁰</w:t>
            </w:r>
          </w:p>
        </w:tc>
      </w:tr>
      <w:tr w:rsidR="001B0878" w:rsidRPr="0079630A" w:rsidTr="00724DEF">
        <w:trPr>
          <w:jc w:val="center"/>
        </w:trPr>
        <w:tc>
          <w:tcPr>
            <w:tcW w:w="2076" w:type="dxa"/>
            <w:tcBorders>
              <w:top w:val="single" w:sz="4" w:space="0" w:color="000000"/>
              <w:left w:val="single" w:sz="4" w:space="0" w:color="000000"/>
              <w:bottom w:val="single" w:sz="4" w:space="0" w:color="000000"/>
              <w:right w:val="single" w:sz="4" w:space="0" w:color="000000"/>
            </w:tcBorders>
            <w:vAlign w:val="center"/>
            <w:hideMark/>
          </w:tcPr>
          <w:p w:rsidR="00C43084" w:rsidRPr="0079630A" w:rsidRDefault="001B0878" w:rsidP="00C43084">
            <w:pPr>
              <w:pStyle w:val="ListParagraph"/>
              <w:spacing w:after="0" w:line="180" w:lineRule="exact"/>
              <w:ind w:left="0"/>
              <w:jc w:val="center"/>
              <w:rPr>
                <w:rFonts w:eastAsia="Calibri" w:cs="Times New Roman"/>
                <w:sz w:val="18"/>
                <w:szCs w:val="18"/>
              </w:rPr>
            </w:pPr>
            <w:r w:rsidRPr="0079630A">
              <w:rPr>
                <w:rFonts w:eastAsia="Calibri" w:cs="Times New Roman"/>
                <w:sz w:val="18"/>
                <w:szCs w:val="18"/>
              </w:rPr>
              <w:t>Comment</w:t>
            </w:r>
            <w:r w:rsidR="00C43084" w:rsidRPr="0079630A">
              <w:rPr>
                <w:rFonts w:eastAsia="Calibri" w:cs="Times New Roman"/>
                <w:sz w:val="18"/>
                <w:szCs w:val="18"/>
              </w:rPr>
              <w:t xml:space="preserve">:  </w:t>
            </w:r>
          </w:p>
          <w:p w:rsidR="001B0878" w:rsidRPr="0079630A" w:rsidRDefault="00C43084" w:rsidP="00C43084">
            <w:pPr>
              <w:pStyle w:val="ListParagraph"/>
              <w:spacing w:after="0" w:line="180" w:lineRule="exact"/>
              <w:ind w:left="0"/>
              <w:jc w:val="center"/>
              <w:rPr>
                <w:rFonts w:eastAsia="Calibri" w:cs="Times New Roman"/>
                <w:sz w:val="18"/>
                <w:szCs w:val="18"/>
              </w:rPr>
            </w:pPr>
            <w:r w:rsidRPr="0079630A">
              <w:rPr>
                <w:rFonts w:eastAsia="Calibri" w:cs="Times New Roman"/>
                <w:sz w:val="18"/>
                <w:szCs w:val="18"/>
              </w:rPr>
              <w:t>TDRL exit 20060206</w:t>
            </w:r>
          </w:p>
        </w:tc>
        <w:tc>
          <w:tcPr>
            <w:tcW w:w="3060" w:type="dxa"/>
            <w:tcBorders>
              <w:top w:val="single" w:sz="4" w:space="0" w:color="000000"/>
              <w:left w:val="single" w:sz="4" w:space="0" w:color="000000"/>
              <w:bottom w:val="single" w:sz="4" w:space="0" w:color="000000"/>
              <w:right w:val="single" w:sz="4" w:space="0" w:color="000000"/>
            </w:tcBorders>
          </w:tcPr>
          <w:p w:rsidR="001B0878" w:rsidRPr="0079630A" w:rsidRDefault="009025AD" w:rsidP="009025AD">
            <w:pPr>
              <w:tabs>
                <w:tab w:val="left" w:pos="288"/>
                <w:tab w:val="left" w:pos="4752"/>
              </w:tabs>
              <w:spacing w:line="180" w:lineRule="exact"/>
              <w:rPr>
                <w:rFonts w:asciiTheme="minorHAnsi" w:eastAsiaTheme="minorHAnsi" w:hAnsiTheme="minorHAnsi"/>
                <w:color w:val="auto"/>
                <w:sz w:val="18"/>
                <w:szCs w:val="18"/>
              </w:rPr>
            </w:pPr>
            <w:r w:rsidRPr="0079630A">
              <w:rPr>
                <w:rFonts w:asciiTheme="minorHAnsi" w:eastAsiaTheme="minorHAnsi" w:hAnsiTheme="minorHAnsi"/>
                <w:color w:val="auto"/>
                <w:sz w:val="18"/>
                <w:szCs w:val="18"/>
              </w:rPr>
              <w:t>N</w:t>
            </w:r>
            <w:r w:rsidR="0071156F" w:rsidRPr="0079630A">
              <w:rPr>
                <w:rFonts w:asciiTheme="minorHAnsi" w:eastAsiaTheme="minorHAnsi" w:hAnsiTheme="minorHAnsi"/>
                <w:color w:val="auto"/>
                <w:sz w:val="18"/>
                <w:szCs w:val="18"/>
              </w:rPr>
              <w:t xml:space="preserve">o midline tenderness; discomfort in </w:t>
            </w:r>
            <w:proofErr w:type="spellStart"/>
            <w:r w:rsidR="0071156F" w:rsidRPr="0079630A">
              <w:rPr>
                <w:rFonts w:asciiTheme="minorHAnsi" w:eastAsiaTheme="minorHAnsi" w:hAnsiTheme="minorHAnsi"/>
                <w:color w:val="auto"/>
                <w:sz w:val="18"/>
                <w:szCs w:val="18"/>
              </w:rPr>
              <w:t>paraspinous</w:t>
            </w:r>
            <w:proofErr w:type="spellEnd"/>
            <w:r w:rsidR="0071156F" w:rsidRPr="0079630A">
              <w:rPr>
                <w:rFonts w:asciiTheme="minorHAnsi" w:eastAsiaTheme="minorHAnsi" w:hAnsiTheme="minorHAnsi"/>
                <w:color w:val="auto"/>
                <w:sz w:val="18"/>
                <w:szCs w:val="18"/>
              </w:rPr>
              <w:t xml:space="preserve"> region; no spasm; “fairly good sitting posture</w:t>
            </w:r>
            <w:r w:rsidRPr="0079630A">
              <w:rPr>
                <w:rFonts w:asciiTheme="minorHAnsi" w:eastAsiaTheme="minorHAnsi" w:hAnsiTheme="minorHAnsi"/>
                <w:color w:val="auto"/>
                <w:sz w:val="18"/>
                <w:szCs w:val="18"/>
              </w:rPr>
              <w:t>;”</w:t>
            </w:r>
            <w:r w:rsidR="0071156F" w:rsidRPr="0079630A">
              <w:rPr>
                <w:rFonts w:asciiTheme="minorHAnsi" w:eastAsiaTheme="minorHAnsi" w:hAnsiTheme="minorHAnsi"/>
                <w:color w:val="auto"/>
                <w:sz w:val="18"/>
                <w:szCs w:val="18"/>
              </w:rPr>
              <w:t xml:space="preserve"> </w:t>
            </w:r>
            <w:proofErr w:type="spellStart"/>
            <w:r w:rsidRPr="0079630A">
              <w:rPr>
                <w:rFonts w:asciiTheme="minorHAnsi" w:eastAsiaTheme="minorHAnsi" w:hAnsiTheme="minorHAnsi"/>
                <w:color w:val="auto"/>
                <w:sz w:val="18"/>
                <w:szCs w:val="18"/>
              </w:rPr>
              <w:t>neuro</w:t>
            </w:r>
            <w:proofErr w:type="spellEnd"/>
            <w:r w:rsidRPr="0079630A">
              <w:rPr>
                <w:rFonts w:asciiTheme="minorHAnsi" w:eastAsiaTheme="minorHAnsi" w:hAnsiTheme="minorHAnsi"/>
                <w:color w:val="auto"/>
                <w:sz w:val="18"/>
                <w:szCs w:val="18"/>
              </w:rPr>
              <w:t xml:space="preserve"> normal (motor 5/5, </w:t>
            </w:r>
            <w:r w:rsidR="0071156F" w:rsidRPr="0079630A">
              <w:rPr>
                <w:rFonts w:asciiTheme="minorHAnsi" w:eastAsiaTheme="minorHAnsi" w:hAnsiTheme="minorHAnsi"/>
                <w:color w:val="auto"/>
                <w:sz w:val="18"/>
                <w:szCs w:val="18"/>
              </w:rPr>
              <w:t>sensation normal in all dermatomes</w:t>
            </w:r>
            <w:r w:rsidRPr="0079630A">
              <w:rPr>
                <w:rFonts w:asciiTheme="minorHAnsi" w:eastAsiaTheme="minorHAnsi" w:hAnsiTheme="minorHAnsi"/>
                <w:color w:val="auto"/>
                <w:sz w:val="18"/>
                <w:szCs w:val="18"/>
              </w:rPr>
              <w:t xml:space="preserve">, reflexes 2+); </w:t>
            </w:r>
            <w:proofErr w:type="spellStart"/>
            <w:r w:rsidRPr="0079630A">
              <w:rPr>
                <w:rFonts w:asciiTheme="minorHAnsi" w:eastAsiaTheme="minorHAnsi" w:hAnsiTheme="minorHAnsi"/>
                <w:color w:val="auto"/>
                <w:sz w:val="18"/>
                <w:szCs w:val="18"/>
              </w:rPr>
              <w:t>neg</w:t>
            </w:r>
            <w:proofErr w:type="spellEnd"/>
            <w:r w:rsidRPr="0079630A">
              <w:rPr>
                <w:rFonts w:asciiTheme="minorHAnsi" w:eastAsiaTheme="minorHAnsi" w:hAnsiTheme="minorHAnsi"/>
                <w:color w:val="auto"/>
                <w:sz w:val="18"/>
                <w:szCs w:val="18"/>
              </w:rPr>
              <w:t xml:space="preserve"> SLR</w:t>
            </w:r>
            <w:r w:rsidR="0071156F" w:rsidRPr="0079630A">
              <w:rPr>
                <w:rFonts w:asciiTheme="minorHAnsi" w:eastAsiaTheme="minorHAnsi" w:hAnsiTheme="minorHAnsi"/>
                <w:color w:val="auto"/>
                <w:sz w:val="18"/>
                <w:szCs w:val="18"/>
              </w:rPr>
              <w:t>; no Waddell sign present</w:t>
            </w:r>
          </w:p>
        </w:tc>
        <w:tc>
          <w:tcPr>
            <w:tcW w:w="2975" w:type="dxa"/>
            <w:tcBorders>
              <w:top w:val="single" w:sz="4" w:space="0" w:color="000000"/>
              <w:left w:val="single" w:sz="4" w:space="0" w:color="000000"/>
              <w:bottom w:val="single" w:sz="4" w:space="0" w:color="000000"/>
              <w:right w:val="single" w:sz="4" w:space="0" w:color="000000"/>
            </w:tcBorders>
          </w:tcPr>
          <w:p w:rsidR="001B0878" w:rsidRPr="0079630A" w:rsidRDefault="001B0878" w:rsidP="009025AD">
            <w:pPr>
              <w:tabs>
                <w:tab w:val="left" w:pos="288"/>
                <w:tab w:val="left" w:pos="4752"/>
              </w:tabs>
              <w:spacing w:line="180" w:lineRule="exact"/>
              <w:rPr>
                <w:rFonts w:asciiTheme="minorHAnsi" w:eastAsiaTheme="minorHAnsi" w:hAnsiTheme="minorHAnsi"/>
                <w:color w:val="auto"/>
                <w:sz w:val="18"/>
                <w:szCs w:val="18"/>
              </w:rPr>
            </w:pPr>
            <w:r w:rsidRPr="0079630A">
              <w:rPr>
                <w:rFonts w:asciiTheme="minorHAnsi" w:eastAsiaTheme="minorHAnsi" w:hAnsiTheme="minorHAnsi"/>
                <w:color w:val="auto"/>
                <w:sz w:val="18"/>
                <w:szCs w:val="18"/>
              </w:rPr>
              <w:t>Pain at end range of motion in all directions</w:t>
            </w:r>
            <w:r w:rsidR="0086416F" w:rsidRPr="0079630A">
              <w:rPr>
                <w:rFonts w:asciiTheme="minorHAnsi" w:eastAsiaTheme="minorHAnsi" w:hAnsiTheme="minorHAnsi"/>
                <w:color w:val="auto"/>
                <w:sz w:val="18"/>
                <w:szCs w:val="18"/>
              </w:rPr>
              <w:t>; “The patient was seen in the MEB clinic (Physical Therapy).”</w:t>
            </w:r>
          </w:p>
        </w:tc>
      </w:tr>
      <w:tr w:rsidR="001B0878" w:rsidRPr="0079630A" w:rsidTr="00724DEF">
        <w:trPr>
          <w:jc w:val="center"/>
        </w:trPr>
        <w:tc>
          <w:tcPr>
            <w:tcW w:w="2076" w:type="dxa"/>
            <w:tcBorders>
              <w:top w:val="single" w:sz="4" w:space="0" w:color="000000"/>
              <w:left w:val="single" w:sz="4" w:space="0" w:color="000000"/>
              <w:bottom w:val="single" w:sz="4" w:space="0" w:color="000000"/>
              <w:right w:val="single" w:sz="4" w:space="0" w:color="000000"/>
            </w:tcBorders>
            <w:vAlign w:val="center"/>
            <w:hideMark/>
          </w:tcPr>
          <w:p w:rsidR="001B0878" w:rsidRPr="0079630A" w:rsidRDefault="001B0878" w:rsidP="00D046E1">
            <w:pPr>
              <w:pStyle w:val="ListParagraph"/>
              <w:spacing w:after="0" w:line="180" w:lineRule="exact"/>
              <w:ind w:left="0"/>
              <w:jc w:val="center"/>
              <w:rPr>
                <w:rFonts w:eastAsia="Calibri" w:cs="Times New Roman"/>
                <w:sz w:val="18"/>
                <w:szCs w:val="18"/>
              </w:rPr>
            </w:pPr>
            <w:r w:rsidRPr="0079630A">
              <w:rPr>
                <w:rFonts w:eastAsia="Calibri" w:cs="Times New Roman"/>
                <w:sz w:val="18"/>
                <w:szCs w:val="18"/>
              </w:rPr>
              <w:t>§4.71a Rating</w:t>
            </w:r>
          </w:p>
        </w:tc>
        <w:tc>
          <w:tcPr>
            <w:tcW w:w="3060" w:type="dxa"/>
            <w:tcBorders>
              <w:top w:val="single" w:sz="4" w:space="0" w:color="000000"/>
              <w:left w:val="single" w:sz="4" w:space="0" w:color="000000"/>
              <w:bottom w:val="single" w:sz="4" w:space="0" w:color="000000"/>
              <w:right w:val="single" w:sz="4" w:space="0" w:color="000000"/>
            </w:tcBorders>
            <w:vAlign w:val="center"/>
          </w:tcPr>
          <w:p w:rsidR="001B0878" w:rsidRPr="0079630A" w:rsidRDefault="009025AD" w:rsidP="00D046E1">
            <w:pPr>
              <w:tabs>
                <w:tab w:val="left" w:pos="288"/>
                <w:tab w:val="left" w:pos="4752"/>
              </w:tabs>
              <w:spacing w:line="180" w:lineRule="exact"/>
              <w:jc w:val="center"/>
              <w:rPr>
                <w:rFonts w:asciiTheme="minorHAnsi" w:eastAsiaTheme="minorHAnsi" w:hAnsiTheme="minorHAnsi"/>
                <w:color w:val="auto"/>
                <w:sz w:val="18"/>
                <w:szCs w:val="18"/>
              </w:rPr>
            </w:pPr>
            <w:r w:rsidRPr="0079630A">
              <w:rPr>
                <w:rFonts w:asciiTheme="minorHAnsi" w:eastAsiaTheme="minorHAnsi" w:hAnsiTheme="minorHAnsi"/>
                <w:color w:val="auto"/>
                <w:sz w:val="18"/>
                <w:szCs w:val="18"/>
              </w:rPr>
              <w:t>1</w:t>
            </w:r>
            <w:r w:rsidR="0071156F" w:rsidRPr="0079630A">
              <w:rPr>
                <w:rFonts w:asciiTheme="minorHAnsi" w:eastAsiaTheme="minorHAnsi" w:hAnsiTheme="minorHAnsi"/>
                <w:color w:val="auto"/>
                <w:sz w:val="18"/>
                <w:szCs w:val="18"/>
              </w:rPr>
              <w:t>0</w:t>
            </w:r>
            <w:r w:rsidR="001B0878" w:rsidRPr="0079630A">
              <w:rPr>
                <w:rFonts w:asciiTheme="minorHAnsi" w:eastAsiaTheme="minorHAnsi" w:hAnsiTheme="minorHAnsi"/>
                <w:color w:val="auto"/>
                <w:sz w:val="18"/>
                <w:szCs w:val="18"/>
              </w:rPr>
              <w:t>%</w:t>
            </w:r>
            <w:r w:rsidR="00B4726B" w:rsidRPr="0079630A">
              <w:rPr>
                <w:rFonts w:asciiTheme="minorHAnsi" w:eastAsiaTheme="minorHAnsi" w:hAnsiTheme="minorHAnsi"/>
                <w:color w:val="auto"/>
                <w:sz w:val="18"/>
                <w:szCs w:val="18"/>
              </w:rPr>
              <w:t xml:space="preserve"> (PEB 10%)</w:t>
            </w:r>
          </w:p>
        </w:tc>
        <w:tc>
          <w:tcPr>
            <w:tcW w:w="2975" w:type="dxa"/>
            <w:tcBorders>
              <w:top w:val="single" w:sz="4" w:space="0" w:color="000000"/>
              <w:left w:val="single" w:sz="4" w:space="0" w:color="000000"/>
              <w:bottom w:val="single" w:sz="4" w:space="0" w:color="000000"/>
              <w:right w:val="single" w:sz="4" w:space="0" w:color="000000"/>
            </w:tcBorders>
          </w:tcPr>
          <w:p w:rsidR="001B0878" w:rsidRPr="0079630A" w:rsidRDefault="001B0878" w:rsidP="00D046E1">
            <w:pPr>
              <w:tabs>
                <w:tab w:val="left" w:pos="288"/>
                <w:tab w:val="left" w:pos="4752"/>
              </w:tabs>
              <w:spacing w:line="180" w:lineRule="exact"/>
              <w:jc w:val="center"/>
              <w:rPr>
                <w:rFonts w:asciiTheme="minorHAnsi" w:eastAsiaTheme="minorHAnsi" w:hAnsiTheme="minorHAnsi"/>
                <w:color w:val="auto"/>
                <w:sz w:val="18"/>
                <w:szCs w:val="18"/>
              </w:rPr>
            </w:pPr>
            <w:r w:rsidRPr="0079630A">
              <w:rPr>
                <w:rFonts w:asciiTheme="minorHAnsi" w:eastAsiaTheme="minorHAnsi" w:hAnsiTheme="minorHAnsi"/>
                <w:color w:val="auto"/>
                <w:sz w:val="18"/>
                <w:szCs w:val="18"/>
              </w:rPr>
              <w:t>20%</w:t>
            </w:r>
            <w:r w:rsidR="00905911" w:rsidRPr="0079630A">
              <w:rPr>
                <w:rFonts w:asciiTheme="minorHAnsi" w:eastAsiaTheme="minorHAnsi" w:hAnsiTheme="minorHAnsi"/>
                <w:color w:val="auto"/>
                <w:sz w:val="18"/>
                <w:szCs w:val="18"/>
              </w:rPr>
              <w:t xml:space="preserve"> (PEB 10%)</w:t>
            </w:r>
          </w:p>
        </w:tc>
      </w:tr>
    </w:tbl>
    <w:p w:rsidR="003F2EEE" w:rsidRPr="0079630A" w:rsidRDefault="003F2EEE" w:rsidP="00510F9C">
      <w:pPr>
        <w:spacing w:line="240" w:lineRule="exact"/>
        <w:rPr>
          <w:rFonts w:asciiTheme="minorHAnsi" w:hAnsiTheme="minorHAnsi"/>
          <w:color w:val="auto"/>
          <w:szCs w:val="24"/>
        </w:rPr>
      </w:pPr>
    </w:p>
    <w:p w:rsidR="00E46971" w:rsidRPr="0079630A" w:rsidRDefault="004C7B3E" w:rsidP="00DE236A">
      <w:pPr>
        <w:spacing w:line="240" w:lineRule="exact"/>
        <w:jc w:val="both"/>
        <w:rPr>
          <w:rFonts w:asciiTheme="minorHAnsi" w:hAnsiTheme="minorHAnsi"/>
          <w:color w:val="auto"/>
          <w:szCs w:val="24"/>
        </w:rPr>
      </w:pPr>
      <w:r w:rsidRPr="0079630A">
        <w:rPr>
          <w:rFonts w:asciiTheme="minorHAnsi" w:hAnsiTheme="minorHAnsi"/>
          <w:color w:val="auto"/>
          <w:szCs w:val="24"/>
        </w:rPr>
        <w:t xml:space="preserve">The </w:t>
      </w:r>
      <w:r w:rsidR="009025AD" w:rsidRPr="0079630A">
        <w:rPr>
          <w:rFonts w:asciiTheme="minorHAnsi" w:hAnsiTheme="minorHAnsi"/>
          <w:color w:val="auto"/>
          <w:szCs w:val="24"/>
        </w:rPr>
        <w:t>TDRL NARSUM, t</w:t>
      </w:r>
      <w:r w:rsidR="003370EA">
        <w:rPr>
          <w:rFonts w:asciiTheme="minorHAnsi" w:hAnsiTheme="minorHAnsi"/>
          <w:color w:val="auto"/>
          <w:szCs w:val="24"/>
        </w:rPr>
        <w:t xml:space="preserve">hree months prior to the final </w:t>
      </w:r>
      <w:r w:rsidR="009025AD" w:rsidRPr="0079630A">
        <w:rPr>
          <w:rFonts w:asciiTheme="minorHAnsi" w:hAnsiTheme="minorHAnsi"/>
          <w:color w:val="auto"/>
          <w:szCs w:val="24"/>
        </w:rPr>
        <w:t xml:space="preserve">PEB, noted </w:t>
      </w:r>
      <w:r w:rsidR="009726BB" w:rsidRPr="0079630A">
        <w:rPr>
          <w:rFonts w:asciiTheme="minorHAnsi" w:hAnsiTheme="minorHAnsi"/>
          <w:color w:val="auto"/>
          <w:szCs w:val="24"/>
        </w:rPr>
        <w:t xml:space="preserve">thoracolumbar ROM was “good with his fingertips to the levels of his ankles with forward flexion.”  The examiner also noted “areas of discomfort in the </w:t>
      </w:r>
      <w:proofErr w:type="spellStart"/>
      <w:r w:rsidR="009726BB" w:rsidRPr="0079630A">
        <w:rPr>
          <w:rFonts w:asciiTheme="minorHAnsi" w:hAnsiTheme="minorHAnsi"/>
          <w:color w:val="auto"/>
          <w:szCs w:val="24"/>
        </w:rPr>
        <w:t>paraspinous</w:t>
      </w:r>
      <w:proofErr w:type="spellEnd"/>
      <w:r w:rsidR="009726BB" w:rsidRPr="0079630A">
        <w:rPr>
          <w:rFonts w:asciiTheme="minorHAnsi" w:hAnsiTheme="minorHAnsi"/>
          <w:color w:val="auto"/>
          <w:szCs w:val="24"/>
        </w:rPr>
        <w:t xml:space="preserve"> region,” and “fairly good sitting posture.”  The exam was otherwise normal, with no spasm, negative straight leg raise, normal neurological evaluation, and no Waddell sign</w:t>
      </w:r>
      <w:r w:rsidR="00905911" w:rsidRPr="0079630A">
        <w:rPr>
          <w:rFonts w:asciiTheme="minorHAnsi" w:hAnsiTheme="minorHAnsi"/>
          <w:color w:val="auto"/>
          <w:szCs w:val="24"/>
        </w:rPr>
        <w:t>s</w:t>
      </w:r>
      <w:r w:rsidR="009726BB" w:rsidRPr="0079630A">
        <w:rPr>
          <w:rFonts w:asciiTheme="minorHAnsi" w:hAnsiTheme="minorHAnsi"/>
          <w:color w:val="auto"/>
          <w:szCs w:val="24"/>
        </w:rPr>
        <w:t xml:space="preserve"> present.  Radiographs of the lumbar spine were normal.  MRI </w:t>
      </w:r>
      <w:r w:rsidR="00DE236A" w:rsidRPr="0079630A">
        <w:rPr>
          <w:rFonts w:asciiTheme="minorHAnsi" w:hAnsiTheme="minorHAnsi"/>
          <w:color w:val="auto"/>
          <w:szCs w:val="24"/>
        </w:rPr>
        <w:t xml:space="preserve">showed an L4-5 disc bulge with no significant </w:t>
      </w:r>
      <w:proofErr w:type="spellStart"/>
      <w:r w:rsidR="00DE236A" w:rsidRPr="0079630A">
        <w:rPr>
          <w:rFonts w:asciiTheme="minorHAnsi" w:hAnsiTheme="minorHAnsi"/>
          <w:color w:val="auto"/>
          <w:szCs w:val="24"/>
        </w:rPr>
        <w:t>neuroforaminal</w:t>
      </w:r>
      <w:proofErr w:type="spellEnd"/>
      <w:r w:rsidR="00DE236A" w:rsidRPr="0079630A">
        <w:rPr>
          <w:rFonts w:asciiTheme="minorHAnsi" w:hAnsiTheme="minorHAnsi"/>
          <w:color w:val="auto"/>
          <w:szCs w:val="24"/>
        </w:rPr>
        <w:t xml:space="preserve"> or spinal stenosis.  A</w:t>
      </w:r>
      <w:r w:rsidR="00E46971" w:rsidRPr="0079630A">
        <w:rPr>
          <w:rFonts w:asciiTheme="minorHAnsi" w:hAnsiTheme="minorHAnsi"/>
          <w:color w:val="auto"/>
          <w:szCs w:val="24"/>
        </w:rPr>
        <w:t>n MEB Clinic (</w:t>
      </w:r>
      <w:r w:rsidR="003370EA">
        <w:rPr>
          <w:rFonts w:asciiTheme="minorHAnsi" w:hAnsiTheme="minorHAnsi"/>
          <w:color w:val="auto"/>
          <w:szCs w:val="24"/>
        </w:rPr>
        <w:t>p</w:t>
      </w:r>
      <w:r w:rsidR="00DE236A" w:rsidRPr="0079630A">
        <w:rPr>
          <w:rFonts w:asciiTheme="minorHAnsi" w:hAnsiTheme="minorHAnsi"/>
          <w:color w:val="auto"/>
          <w:szCs w:val="24"/>
        </w:rPr>
        <w:t xml:space="preserve">hysical </w:t>
      </w:r>
      <w:r w:rsidR="003370EA">
        <w:rPr>
          <w:rFonts w:asciiTheme="minorHAnsi" w:hAnsiTheme="minorHAnsi"/>
          <w:color w:val="auto"/>
          <w:szCs w:val="24"/>
        </w:rPr>
        <w:t>t</w:t>
      </w:r>
      <w:r w:rsidR="00E46971" w:rsidRPr="0079630A">
        <w:rPr>
          <w:rFonts w:asciiTheme="minorHAnsi" w:hAnsiTheme="minorHAnsi"/>
          <w:color w:val="auto"/>
          <w:szCs w:val="24"/>
        </w:rPr>
        <w:t>herapy [PT])</w:t>
      </w:r>
      <w:r w:rsidR="00DE236A" w:rsidRPr="0079630A">
        <w:rPr>
          <w:rFonts w:asciiTheme="minorHAnsi" w:hAnsiTheme="minorHAnsi"/>
          <w:color w:val="auto"/>
          <w:szCs w:val="24"/>
        </w:rPr>
        <w:t xml:space="preserve"> ROM-only evaluation was performed one day prior to the final PEB.  This exam showed significant ROM deficits meeting the 20% criteria under the </w:t>
      </w:r>
      <w:r w:rsidR="003370EA">
        <w:rPr>
          <w:rFonts w:asciiTheme="minorHAnsi" w:hAnsiTheme="minorHAnsi"/>
          <w:color w:val="auto"/>
          <w:szCs w:val="24"/>
        </w:rPr>
        <w:t>g</w:t>
      </w:r>
      <w:r w:rsidR="00DE236A" w:rsidRPr="0079630A">
        <w:rPr>
          <w:rFonts w:asciiTheme="minorHAnsi" w:hAnsiTheme="minorHAnsi"/>
          <w:color w:val="auto"/>
          <w:szCs w:val="24"/>
        </w:rPr>
        <w:t xml:space="preserve">eneral </w:t>
      </w:r>
      <w:r w:rsidR="003370EA">
        <w:rPr>
          <w:rFonts w:asciiTheme="minorHAnsi" w:hAnsiTheme="minorHAnsi"/>
          <w:color w:val="auto"/>
          <w:szCs w:val="24"/>
        </w:rPr>
        <w:t>r</w:t>
      </w:r>
      <w:r w:rsidR="00DE236A" w:rsidRPr="0079630A">
        <w:rPr>
          <w:rFonts w:asciiTheme="minorHAnsi" w:hAnsiTheme="minorHAnsi"/>
          <w:color w:val="auto"/>
          <w:szCs w:val="24"/>
        </w:rPr>
        <w:t xml:space="preserve">ating </w:t>
      </w:r>
      <w:r w:rsidR="003370EA">
        <w:rPr>
          <w:rFonts w:asciiTheme="minorHAnsi" w:hAnsiTheme="minorHAnsi"/>
          <w:color w:val="auto"/>
          <w:szCs w:val="24"/>
        </w:rPr>
        <w:lastRenderedPageBreak/>
        <w:t>f</w:t>
      </w:r>
      <w:r w:rsidR="00DE236A" w:rsidRPr="0079630A">
        <w:rPr>
          <w:rFonts w:asciiTheme="minorHAnsi" w:hAnsiTheme="minorHAnsi"/>
          <w:color w:val="auto"/>
          <w:szCs w:val="24"/>
        </w:rPr>
        <w:t xml:space="preserve">ormula for </w:t>
      </w:r>
      <w:r w:rsidR="003370EA">
        <w:rPr>
          <w:rFonts w:asciiTheme="minorHAnsi" w:hAnsiTheme="minorHAnsi"/>
          <w:color w:val="auto"/>
          <w:szCs w:val="24"/>
        </w:rPr>
        <w:t>d</w:t>
      </w:r>
      <w:r w:rsidR="00DE236A" w:rsidRPr="0079630A">
        <w:rPr>
          <w:rFonts w:asciiTheme="minorHAnsi" w:hAnsiTheme="minorHAnsi"/>
          <w:color w:val="auto"/>
          <w:szCs w:val="24"/>
        </w:rPr>
        <w:t xml:space="preserve">iseases and </w:t>
      </w:r>
      <w:r w:rsidR="003370EA">
        <w:rPr>
          <w:rFonts w:asciiTheme="minorHAnsi" w:hAnsiTheme="minorHAnsi"/>
          <w:color w:val="auto"/>
          <w:szCs w:val="24"/>
        </w:rPr>
        <w:t>i</w:t>
      </w:r>
      <w:r w:rsidR="00DE236A" w:rsidRPr="0079630A">
        <w:rPr>
          <w:rFonts w:asciiTheme="minorHAnsi" w:hAnsiTheme="minorHAnsi"/>
          <w:color w:val="auto"/>
          <w:szCs w:val="24"/>
        </w:rPr>
        <w:t xml:space="preserve">njuries of the </w:t>
      </w:r>
      <w:r w:rsidR="003370EA">
        <w:rPr>
          <w:rFonts w:asciiTheme="minorHAnsi" w:hAnsiTheme="minorHAnsi"/>
          <w:color w:val="auto"/>
          <w:szCs w:val="24"/>
        </w:rPr>
        <w:t>s</w:t>
      </w:r>
      <w:r w:rsidR="00DE236A" w:rsidRPr="0079630A">
        <w:rPr>
          <w:rFonts w:asciiTheme="minorHAnsi" w:hAnsiTheme="minorHAnsi"/>
          <w:color w:val="auto"/>
          <w:szCs w:val="24"/>
        </w:rPr>
        <w:t xml:space="preserve">pine, </w:t>
      </w:r>
      <w:r w:rsidR="00DE236A" w:rsidRPr="0079630A">
        <w:rPr>
          <w:rFonts w:asciiTheme="minorHAnsi" w:hAnsiTheme="minorHAnsi" w:cstheme="minorHAnsi"/>
          <w:color w:val="auto"/>
          <w:szCs w:val="24"/>
        </w:rPr>
        <w:t>§</w:t>
      </w:r>
      <w:r w:rsidR="00DE236A" w:rsidRPr="0079630A">
        <w:rPr>
          <w:rFonts w:asciiTheme="minorHAnsi" w:hAnsiTheme="minorHAnsi"/>
          <w:color w:val="auto"/>
          <w:szCs w:val="24"/>
        </w:rPr>
        <w:t xml:space="preserve">4.71a.  The examiner also noted pain at end ranges in all directions.  </w:t>
      </w:r>
    </w:p>
    <w:p w:rsidR="00E46971" w:rsidRPr="0079630A" w:rsidRDefault="00E46971" w:rsidP="00DE236A">
      <w:pPr>
        <w:spacing w:line="240" w:lineRule="exact"/>
        <w:jc w:val="both"/>
        <w:rPr>
          <w:rFonts w:asciiTheme="minorHAnsi" w:hAnsiTheme="minorHAnsi"/>
          <w:color w:val="auto"/>
          <w:szCs w:val="24"/>
        </w:rPr>
      </w:pPr>
    </w:p>
    <w:p w:rsidR="00DE236A" w:rsidRPr="0079630A" w:rsidRDefault="00E46971" w:rsidP="00DE236A">
      <w:pPr>
        <w:spacing w:line="240" w:lineRule="exact"/>
        <w:jc w:val="both"/>
        <w:rPr>
          <w:rFonts w:asciiTheme="minorHAnsi" w:hAnsiTheme="minorHAnsi"/>
          <w:color w:val="auto"/>
          <w:szCs w:val="24"/>
        </w:rPr>
      </w:pPr>
      <w:r w:rsidRPr="0079630A">
        <w:rPr>
          <w:rFonts w:asciiTheme="minorHAnsi" w:hAnsiTheme="minorHAnsi"/>
          <w:color w:val="auto"/>
          <w:szCs w:val="24"/>
        </w:rPr>
        <w:t xml:space="preserve">There was no VA </w:t>
      </w:r>
      <w:r w:rsidR="00B4726B" w:rsidRPr="0079630A">
        <w:rPr>
          <w:rFonts w:asciiTheme="minorHAnsi" w:hAnsiTheme="minorHAnsi"/>
          <w:color w:val="auto"/>
          <w:szCs w:val="24"/>
        </w:rPr>
        <w:t xml:space="preserve">spine </w:t>
      </w:r>
      <w:r w:rsidR="00C43084" w:rsidRPr="0079630A">
        <w:rPr>
          <w:rFonts w:asciiTheme="minorHAnsi" w:hAnsiTheme="minorHAnsi"/>
          <w:color w:val="auto"/>
          <w:szCs w:val="24"/>
        </w:rPr>
        <w:t xml:space="preserve">exam </w:t>
      </w:r>
      <w:r w:rsidRPr="0079630A">
        <w:rPr>
          <w:rFonts w:asciiTheme="minorHAnsi" w:hAnsiTheme="minorHAnsi"/>
          <w:color w:val="auto"/>
          <w:szCs w:val="24"/>
        </w:rPr>
        <w:t xml:space="preserve">proximate to TDRL exit.  </w:t>
      </w:r>
      <w:r w:rsidR="00905911" w:rsidRPr="0079630A">
        <w:rPr>
          <w:rFonts w:asciiTheme="minorHAnsi" w:hAnsiTheme="minorHAnsi"/>
          <w:color w:val="auto"/>
          <w:szCs w:val="24"/>
        </w:rPr>
        <w:t xml:space="preserve">VA mental health and treatment notes indicated the CI was unemployed one month pre-TDRL exit due to either his back and/or his mental health symptoms (see above).  </w:t>
      </w:r>
      <w:r w:rsidRPr="0079630A">
        <w:rPr>
          <w:rFonts w:asciiTheme="minorHAnsi" w:hAnsiTheme="minorHAnsi"/>
          <w:color w:val="auto"/>
          <w:szCs w:val="24"/>
        </w:rPr>
        <w:t xml:space="preserve">The PEB rated the CI’s LBP as 5299-5237 with a description that indicated </w:t>
      </w:r>
      <w:r w:rsidR="00E14686" w:rsidRPr="0079630A">
        <w:rPr>
          <w:rFonts w:asciiTheme="minorHAnsi" w:hAnsiTheme="minorHAnsi"/>
          <w:color w:val="auto"/>
          <w:szCs w:val="24"/>
        </w:rPr>
        <w:t xml:space="preserve">ROM limited by pain which indicates a likely application of the USAPDA pain policy (ROM limited by pain) versus applying VASRD 4.71a. </w:t>
      </w:r>
      <w:proofErr w:type="gramStart"/>
      <w:r w:rsidR="00E14686" w:rsidRPr="0079630A">
        <w:rPr>
          <w:rFonts w:asciiTheme="minorHAnsi" w:hAnsiTheme="minorHAnsi"/>
          <w:color w:val="auto"/>
          <w:szCs w:val="24"/>
        </w:rPr>
        <w:t>r</w:t>
      </w:r>
      <w:r w:rsidR="00C43084" w:rsidRPr="0079630A">
        <w:rPr>
          <w:rFonts w:asciiTheme="minorHAnsi" w:hAnsiTheme="minorHAnsi"/>
          <w:color w:val="auto"/>
          <w:szCs w:val="24"/>
        </w:rPr>
        <w:t>ating</w:t>
      </w:r>
      <w:proofErr w:type="gramEnd"/>
      <w:r w:rsidR="00C43084" w:rsidRPr="0079630A">
        <w:rPr>
          <w:rFonts w:asciiTheme="minorHAnsi" w:hAnsiTheme="minorHAnsi"/>
          <w:color w:val="auto"/>
          <w:szCs w:val="24"/>
        </w:rPr>
        <w:t xml:space="preserve"> criteria.  </w:t>
      </w:r>
    </w:p>
    <w:p w:rsidR="00DE236A" w:rsidRPr="0079630A" w:rsidRDefault="00DE236A" w:rsidP="00DE236A">
      <w:pPr>
        <w:spacing w:line="240" w:lineRule="exact"/>
        <w:jc w:val="both"/>
        <w:rPr>
          <w:rFonts w:asciiTheme="minorHAnsi" w:hAnsiTheme="minorHAnsi"/>
          <w:color w:val="auto"/>
          <w:szCs w:val="24"/>
        </w:rPr>
      </w:pPr>
    </w:p>
    <w:p w:rsidR="00DE236A" w:rsidRPr="0079630A" w:rsidRDefault="00D04C28" w:rsidP="00DE236A">
      <w:pPr>
        <w:spacing w:line="240" w:lineRule="exact"/>
        <w:jc w:val="both"/>
        <w:rPr>
          <w:rFonts w:asciiTheme="minorHAnsi" w:hAnsiTheme="minorHAnsi"/>
          <w:color w:val="auto"/>
          <w:szCs w:val="24"/>
        </w:rPr>
      </w:pPr>
      <w:r w:rsidRPr="0079630A">
        <w:rPr>
          <w:rFonts w:asciiTheme="minorHAnsi" w:hAnsiTheme="minorHAnsi"/>
          <w:color w:val="auto"/>
          <w:szCs w:val="24"/>
        </w:rPr>
        <w:t xml:space="preserve">Neither of the exams reported evidence of incapacitating episodes requiring “bed rest prescribed by a physician and treatment by a physician,” (specifically denied in the pre-TDRL VA exam) so the CI’s condition is most appropriately rated under the </w:t>
      </w:r>
      <w:r w:rsidR="003370EA">
        <w:rPr>
          <w:rFonts w:asciiTheme="minorHAnsi" w:hAnsiTheme="minorHAnsi"/>
          <w:color w:val="auto"/>
          <w:szCs w:val="24"/>
        </w:rPr>
        <w:t>g</w:t>
      </w:r>
      <w:r w:rsidRPr="0079630A">
        <w:rPr>
          <w:rFonts w:asciiTheme="minorHAnsi" w:hAnsiTheme="minorHAnsi"/>
          <w:color w:val="auto"/>
          <w:szCs w:val="24"/>
        </w:rPr>
        <w:t xml:space="preserve">eneral </w:t>
      </w:r>
      <w:r w:rsidR="003370EA">
        <w:rPr>
          <w:rFonts w:asciiTheme="minorHAnsi" w:hAnsiTheme="minorHAnsi"/>
          <w:color w:val="auto"/>
          <w:szCs w:val="24"/>
        </w:rPr>
        <w:t>r</w:t>
      </w:r>
      <w:r w:rsidRPr="0079630A">
        <w:rPr>
          <w:rFonts w:asciiTheme="minorHAnsi" w:hAnsiTheme="minorHAnsi"/>
          <w:color w:val="auto"/>
          <w:szCs w:val="24"/>
        </w:rPr>
        <w:t xml:space="preserve">ating </w:t>
      </w:r>
      <w:r w:rsidR="003370EA">
        <w:rPr>
          <w:rFonts w:asciiTheme="minorHAnsi" w:hAnsiTheme="minorHAnsi"/>
          <w:color w:val="auto"/>
          <w:szCs w:val="24"/>
        </w:rPr>
        <w:t>f</w:t>
      </w:r>
      <w:r w:rsidRPr="0079630A">
        <w:rPr>
          <w:rFonts w:asciiTheme="minorHAnsi" w:hAnsiTheme="minorHAnsi"/>
          <w:color w:val="auto"/>
          <w:szCs w:val="24"/>
        </w:rPr>
        <w:t xml:space="preserve">ormula for </w:t>
      </w:r>
      <w:r w:rsidR="003370EA">
        <w:rPr>
          <w:rFonts w:asciiTheme="minorHAnsi" w:hAnsiTheme="minorHAnsi"/>
          <w:color w:val="auto"/>
          <w:szCs w:val="24"/>
        </w:rPr>
        <w:t>d</w:t>
      </w:r>
      <w:r w:rsidRPr="0079630A">
        <w:rPr>
          <w:rFonts w:asciiTheme="minorHAnsi" w:hAnsiTheme="minorHAnsi"/>
          <w:color w:val="auto"/>
          <w:szCs w:val="24"/>
        </w:rPr>
        <w:t xml:space="preserve">iseases and </w:t>
      </w:r>
      <w:r w:rsidR="003370EA">
        <w:rPr>
          <w:rFonts w:asciiTheme="minorHAnsi" w:hAnsiTheme="minorHAnsi"/>
          <w:color w:val="auto"/>
          <w:szCs w:val="24"/>
        </w:rPr>
        <w:t>i</w:t>
      </w:r>
      <w:r w:rsidRPr="0079630A">
        <w:rPr>
          <w:rFonts w:asciiTheme="minorHAnsi" w:hAnsiTheme="minorHAnsi"/>
          <w:color w:val="auto"/>
          <w:szCs w:val="24"/>
        </w:rPr>
        <w:t xml:space="preserve">njuries of the </w:t>
      </w:r>
      <w:r w:rsidR="003370EA">
        <w:rPr>
          <w:rFonts w:asciiTheme="minorHAnsi" w:hAnsiTheme="minorHAnsi"/>
          <w:color w:val="auto"/>
          <w:szCs w:val="24"/>
        </w:rPr>
        <w:t>s</w:t>
      </w:r>
      <w:r w:rsidRPr="0079630A">
        <w:rPr>
          <w:rFonts w:asciiTheme="minorHAnsi" w:hAnsiTheme="minorHAnsi"/>
          <w:color w:val="auto"/>
          <w:szCs w:val="24"/>
        </w:rPr>
        <w:t xml:space="preserve">pine rather than that using incapacitating episodes under 5243, </w:t>
      </w:r>
      <w:proofErr w:type="spellStart"/>
      <w:r w:rsidRPr="0079630A">
        <w:rPr>
          <w:rFonts w:asciiTheme="minorHAnsi" w:hAnsiTheme="minorHAnsi"/>
          <w:color w:val="auto"/>
          <w:szCs w:val="24"/>
        </w:rPr>
        <w:t>intervertebral</w:t>
      </w:r>
      <w:proofErr w:type="spellEnd"/>
      <w:r w:rsidRPr="0079630A">
        <w:rPr>
          <w:rFonts w:asciiTheme="minorHAnsi" w:hAnsiTheme="minorHAnsi"/>
          <w:color w:val="auto"/>
          <w:szCs w:val="24"/>
        </w:rPr>
        <w:t xml:space="preserve"> disc syndrome.  </w:t>
      </w:r>
      <w:r w:rsidR="00DE236A" w:rsidRPr="0079630A">
        <w:rPr>
          <w:rFonts w:asciiTheme="minorHAnsi" w:hAnsiTheme="minorHAnsi"/>
          <w:color w:val="auto"/>
          <w:szCs w:val="24"/>
        </w:rPr>
        <w:t xml:space="preserve">The only goniometric ROM evaluation proximate to TDRL exit would rate 20% under </w:t>
      </w:r>
      <w:r w:rsidR="00DE236A" w:rsidRPr="0079630A">
        <w:rPr>
          <w:rFonts w:asciiTheme="minorHAnsi" w:hAnsiTheme="minorHAnsi" w:cstheme="minorHAnsi"/>
          <w:color w:val="auto"/>
          <w:szCs w:val="24"/>
        </w:rPr>
        <w:t>§</w:t>
      </w:r>
      <w:r w:rsidRPr="0079630A">
        <w:rPr>
          <w:rFonts w:asciiTheme="minorHAnsi" w:hAnsiTheme="minorHAnsi"/>
          <w:color w:val="auto"/>
          <w:szCs w:val="24"/>
        </w:rPr>
        <w:t xml:space="preserve">4.71a.  </w:t>
      </w:r>
      <w:r w:rsidR="00C43084" w:rsidRPr="0079630A">
        <w:rPr>
          <w:rFonts w:asciiTheme="minorHAnsi" w:hAnsiTheme="minorHAnsi"/>
          <w:color w:val="auto"/>
          <w:szCs w:val="24"/>
        </w:rPr>
        <w:t xml:space="preserve">The Board discussed the </w:t>
      </w:r>
      <w:r w:rsidR="00E93A1B" w:rsidRPr="0079630A">
        <w:rPr>
          <w:rFonts w:asciiTheme="minorHAnsi" w:hAnsiTheme="minorHAnsi"/>
          <w:color w:val="auto"/>
          <w:szCs w:val="24"/>
        </w:rPr>
        <w:t>significant difference in spine forward fle</w:t>
      </w:r>
      <w:r w:rsidR="003370EA">
        <w:rPr>
          <w:rFonts w:asciiTheme="minorHAnsi" w:hAnsiTheme="minorHAnsi"/>
          <w:color w:val="auto"/>
          <w:szCs w:val="24"/>
        </w:rPr>
        <w:t>xion indicated by the NARSUM (four months pre-TDRL e</w:t>
      </w:r>
      <w:r w:rsidR="00E93A1B" w:rsidRPr="0079630A">
        <w:rPr>
          <w:rFonts w:asciiTheme="minorHAnsi" w:hAnsiTheme="minorHAnsi"/>
          <w:color w:val="auto"/>
          <w:szCs w:val="24"/>
        </w:rPr>
        <w:t xml:space="preserve">xit) comments and the MEB clinic (PT </w:t>
      </w:r>
      <w:r w:rsidR="003370EA">
        <w:rPr>
          <w:rFonts w:asciiTheme="minorHAnsi" w:hAnsiTheme="minorHAnsi"/>
          <w:color w:val="auto"/>
          <w:szCs w:val="24"/>
        </w:rPr>
        <w:t>one month</w:t>
      </w:r>
      <w:r w:rsidR="00E93A1B" w:rsidRPr="0079630A">
        <w:rPr>
          <w:rFonts w:asciiTheme="minorHAnsi" w:hAnsiTheme="minorHAnsi"/>
          <w:color w:val="auto"/>
          <w:szCs w:val="24"/>
        </w:rPr>
        <w:t xml:space="preserve"> </w:t>
      </w:r>
      <w:r w:rsidR="003370EA">
        <w:rPr>
          <w:rFonts w:asciiTheme="minorHAnsi" w:hAnsiTheme="minorHAnsi"/>
          <w:color w:val="auto"/>
          <w:szCs w:val="24"/>
        </w:rPr>
        <w:t>p</w:t>
      </w:r>
      <w:r w:rsidR="00E93A1B" w:rsidRPr="0079630A">
        <w:rPr>
          <w:rFonts w:asciiTheme="minorHAnsi" w:hAnsiTheme="minorHAnsi"/>
          <w:color w:val="auto"/>
          <w:szCs w:val="24"/>
        </w:rPr>
        <w:t xml:space="preserve">re-TDRL </w:t>
      </w:r>
      <w:r w:rsidR="003370EA">
        <w:rPr>
          <w:rFonts w:asciiTheme="minorHAnsi" w:hAnsiTheme="minorHAnsi"/>
          <w:color w:val="auto"/>
          <w:szCs w:val="24"/>
        </w:rPr>
        <w:t>e</w:t>
      </w:r>
      <w:r w:rsidR="00E93A1B" w:rsidRPr="0079630A">
        <w:rPr>
          <w:rFonts w:asciiTheme="minorHAnsi" w:hAnsiTheme="minorHAnsi"/>
          <w:color w:val="auto"/>
          <w:szCs w:val="24"/>
        </w:rPr>
        <w:t xml:space="preserve">xit) goniometric ROM.  The NARSUM did not provide a goniometric ROM, although comment of “good with his fingertips to the levels of his ankles with forward flexion” would not likely support the 20% rating criteria based on ROMs.  The PT exam was closer to the date of separation, contained a complete ratable goniometric ROM and the Board majority assessed it had the highest probative value for rating.  </w:t>
      </w:r>
      <w:r w:rsidRPr="0079630A">
        <w:rPr>
          <w:rFonts w:asciiTheme="minorHAnsi" w:hAnsiTheme="minorHAnsi"/>
          <w:color w:val="auto"/>
          <w:szCs w:val="24"/>
        </w:rPr>
        <w:t>The Board considered</w:t>
      </w:r>
      <w:r w:rsidR="00DE236A" w:rsidRPr="0079630A">
        <w:rPr>
          <w:rFonts w:asciiTheme="minorHAnsi" w:hAnsiTheme="minorHAnsi"/>
          <w:color w:val="auto"/>
          <w:szCs w:val="24"/>
        </w:rPr>
        <w:t xml:space="preserve"> coding options, including 5242 (degenerative arthritis of the spine), </w:t>
      </w:r>
      <w:r w:rsidR="0017080E" w:rsidRPr="0079630A">
        <w:rPr>
          <w:rFonts w:asciiTheme="minorHAnsi" w:hAnsiTheme="minorHAnsi"/>
          <w:color w:val="auto"/>
          <w:szCs w:val="24"/>
        </w:rPr>
        <w:t xml:space="preserve">and </w:t>
      </w:r>
      <w:r w:rsidR="00DE236A" w:rsidRPr="0079630A">
        <w:rPr>
          <w:rFonts w:asciiTheme="minorHAnsi" w:hAnsiTheme="minorHAnsi"/>
          <w:color w:val="auto"/>
          <w:szCs w:val="24"/>
        </w:rPr>
        <w:t>5243 (</w:t>
      </w:r>
      <w:proofErr w:type="spellStart"/>
      <w:r w:rsidR="00DE236A" w:rsidRPr="0079630A">
        <w:rPr>
          <w:rFonts w:asciiTheme="minorHAnsi" w:hAnsiTheme="minorHAnsi"/>
          <w:color w:val="auto"/>
          <w:szCs w:val="24"/>
        </w:rPr>
        <w:t>intervertebral</w:t>
      </w:r>
      <w:proofErr w:type="spellEnd"/>
      <w:r w:rsidR="00DE236A" w:rsidRPr="0079630A">
        <w:rPr>
          <w:rFonts w:asciiTheme="minorHAnsi" w:hAnsiTheme="minorHAnsi"/>
          <w:color w:val="auto"/>
          <w:szCs w:val="24"/>
        </w:rPr>
        <w:t xml:space="preserve"> disc syndrome), </w:t>
      </w:r>
      <w:r w:rsidR="0017080E" w:rsidRPr="0079630A">
        <w:rPr>
          <w:rFonts w:asciiTheme="minorHAnsi" w:hAnsiTheme="minorHAnsi"/>
          <w:color w:val="auto"/>
          <w:szCs w:val="24"/>
        </w:rPr>
        <w:t xml:space="preserve">but the PEB’s </w:t>
      </w:r>
      <w:r w:rsidR="00E93A1B" w:rsidRPr="0079630A">
        <w:rPr>
          <w:rFonts w:asciiTheme="minorHAnsi" w:hAnsiTheme="minorHAnsi"/>
          <w:color w:val="auto"/>
          <w:szCs w:val="24"/>
        </w:rPr>
        <w:t xml:space="preserve">analogous </w:t>
      </w:r>
      <w:r w:rsidR="0017080E" w:rsidRPr="0079630A">
        <w:rPr>
          <w:rFonts w:asciiTheme="minorHAnsi" w:hAnsiTheme="minorHAnsi"/>
          <w:color w:val="auto"/>
          <w:szCs w:val="24"/>
        </w:rPr>
        <w:t>5237 (lumbosacral strain)</w:t>
      </w:r>
      <w:r w:rsidR="00E93A1B" w:rsidRPr="0079630A">
        <w:rPr>
          <w:rFonts w:asciiTheme="minorHAnsi" w:hAnsiTheme="minorHAnsi"/>
          <w:color w:val="auto"/>
          <w:szCs w:val="24"/>
        </w:rPr>
        <w:t xml:space="preserve"> coding</w:t>
      </w:r>
      <w:r w:rsidR="0017080E" w:rsidRPr="0079630A">
        <w:rPr>
          <w:rFonts w:asciiTheme="minorHAnsi" w:hAnsiTheme="minorHAnsi"/>
          <w:color w:val="auto"/>
          <w:szCs w:val="24"/>
        </w:rPr>
        <w:t>, appeared to be most appropriate.  After due deliberation, considering all of the evidence and mindful of VASRD §4.3 (reasonable doubt)</w:t>
      </w:r>
      <w:r w:rsidR="00E93A1B" w:rsidRPr="0079630A">
        <w:rPr>
          <w:rFonts w:asciiTheme="minorHAnsi" w:hAnsiTheme="minorHAnsi"/>
          <w:color w:val="auto"/>
          <w:szCs w:val="24"/>
        </w:rPr>
        <w:t xml:space="preserve"> and </w:t>
      </w:r>
      <w:r w:rsidR="00E93A1B" w:rsidRPr="0079630A">
        <w:rPr>
          <w:color w:val="auto"/>
        </w:rPr>
        <w:t xml:space="preserve">4.7 (higher of two evaluations) </w:t>
      </w:r>
      <w:r w:rsidR="0017080E" w:rsidRPr="0079630A">
        <w:rPr>
          <w:rFonts w:asciiTheme="minorHAnsi" w:hAnsiTheme="minorHAnsi"/>
          <w:color w:val="auto"/>
          <w:szCs w:val="24"/>
        </w:rPr>
        <w:t xml:space="preserve">the Board </w:t>
      </w:r>
      <w:r w:rsidR="00E93A1B" w:rsidRPr="0079630A">
        <w:rPr>
          <w:rFonts w:asciiTheme="minorHAnsi" w:hAnsiTheme="minorHAnsi"/>
          <w:color w:val="auto"/>
          <w:szCs w:val="24"/>
        </w:rPr>
        <w:t xml:space="preserve">unanimously </w:t>
      </w:r>
      <w:r w:rsidR="0017080E" w:rsidRPr="0079630A">
        <w:rPr>
          <w:rFonts w:asciiTheme="minorHAnsi" w:hAnsiTheme="minorHAnsi"/>
          <w:color w:val="auto"/>
          <w:szCs w:val="24"/>
        </w:rPr>
        <w:t xml:space="preserve">recommends a </w:t>
      </w:r>
      <w:r w:rsidR="00E46971" w:rsidRPr="0079630A">
        <w:rPr>
          <w:rFonts w:asciiTheme="minorHAnsi" w:hAnsiTheme="minorHAnsi"/>
          <w:color w:val="auto"/>
          <w:szCs w:val="24"/>
        </w:rPr>
        <w:t>TDRL-entry rating of 10%</w:t>
      </w:r>
      <w:r w:rsidR="00E93A1B" w:rsidRPr="0079630A">
        <w:rPr>
          <w:rFonts w:asciiTheme="minorHAnsi" w:hAnsiTheme="minorHAnsi"/>
          <w:color w:val="auto"/>
          <w:szCs w:val="24"/>
        </w:rPr>
        <w:t>,</w:t>
      </w:r>
      <w:r w:rsidR="00E46971" w:rsidRPr="0079630A">
        <w:rPr>
          <w:rFonts w:asciiTheme="minorHAnsi" w:hAnsiTheme="minorHAnsi"/>
          <w:color w:val="auto"/>
          <w:szCs w:val="24"/>
        </w:rPr>
        <w:t xml:space="preserve"> and </w:t>
      </w:r>
      <w:r w:rsidR="00E93A1B" w:rsidRPr="0079630A">
        <w:rPr>
          <w:rFonts w:asciiTheme="minorHAnsi" w:hAnsiTheme="minorHAnsi"/>
          <w:color w:val="auto"/>
          <w:szCs w:val="24"/>
        </w:rPr>
        <w:t xml:space="preserve">the Board majority recommends </w:t>
      </w:r>
      <w:r w:rsidR="00E46971" w:rsidRPr="0079630A">
        <w:rPr>
          <w:rFonts w:asciiTheme="minorHAnsi" w:hAnsiTheme="minorHAnsi"/>
          <w:color w:val="auto"/>
          <w:szCs w:val="24"/>
        </w:rPr>
        <w:t xml:space="preserve">a </w:t>
      </w:r>
      <w:r w:rsidR="0017080E" w:rsidRPr="0079630A">
        <w:rPr>
          <w:rFonts w:asciiTheme="minorHAnsi" w:hAnsiTheme="minorHAnsi"/>
          <w:color w:val="auto"/>
          <w:szCs w:val="24"/>
        </w:rPr>
        <w:t xml:space="preserve">permanent separation rating of 20% for the LBP condition.  </w:t>
      </w:r>
    </w:p>
    <w:p w:rsidR="004C7B3E" w:rsidRPr="0079630A" w:rsidRDefault="004C7B3E" w:rsidP="00DE236A">
      <w:pPr>
        <w:spacing w:line="240" w:lineRule="exact"/>
        <w:jc w:val="both"/>
        <w:rPr>
          <w:rFonts w:asciiTheme="minorHAnsi" w:hAnsiTheme="minorHAnsi"/>
          <w:color w:val="auto"/>
          <w:szCs w:val="24"/>
        </w:rPr>
      </w:pPr>
    </w:p>
    <w:p w:rsidR="0017080E" w:rsidRPr="0079630A" w:rsidRDefault="0017080E" w:rsidP="00695985">
      <w:pPr>
        <w:spacing w:line="240" w:lineRule="exact"/>
        <w:jc w:val="both"/>
        <w:rPr>
          <w:color w:val="auto"/>
          <w:szCs w:val="24"/>
        </w:rPr>
      </w:pPr>
      <w:r w:rsidRPr="0079630A">
        <w:rPr>
          <w:color w:val="auto"/>
          <w:szCs w:val="24"/>
          <w:u w:val="single"/>
        </w:rPr>
        <w:t>LBP Condition (Radiculopathy)</w:t>
      </w:r>
      <w:r w:rsidRPr="0079630A">
        <w:rPr>
          <w:color w:val="auto"/>
          <w:szCs w:val="24"/>
        </w:rPr>
        <w:t xml:space="preserve">.  There was no evidence of unfitting peripheral nerve impairment in this case.  The CI endorsed episodic radiation of his pain into his left leg.  Any pain-radiculopathy is considered above under the CI’s primary unfitting lumbosacral condition IAW the </w:t>
      </w:r>
      <w:r w:rsidR="00695985">
        <w:rPr>
          <w:color w:val="auto"/>
          <w:szCs w:val="24"/>
        </w:rPr>
        <w:t>g</w:t>
      </w:r>
      <w:r w:rsidRPr="0079630A">
        <w:rPr>
          <w:color w:val="auto"/>
          <w:szCs w:val="24"/>
        </w:rPr>
        <w:t xml:space="preserve">eneral </w:t>
      </w:r>
      <w:r w:rsidR="00695985">
        <w:rPr>
          <w:color w:val="auto"/>
          <w:szCs w:val="24"/>
        </w:rPr>
        <w:t>r</w:t>
      </w:r>
      <w:r w:rsidRPr="0079630A">
        <w:rPr>
          <w:color w:val="auto"/>
          <w:szCs w:val="24"/>
        </w:rPr>
        <w:t xml:space="preserve">ating </w:t>
      </w:r>
      <w:r w:rsidR="00695985">
        <w:rPr>
          <w:color w:val="auto"/>
          <w:szCs w:val="24"/>
        </w:rPr>
        <w:t>f</w:t>
      </w:r>
      <w:r w:rsidRPr="0079630A">
        <w:rPr>
          <w:color w:val="auto"/>
          <w:szCs w:val="24"/>
        </w:rPr>
        <w:t xml:space="preserve">ormula for </w:t>
      </w:r>
      <w:r w:rsidR="00695985">
        <w:rPr>
          <w:color w:val="auto"/>
          <w:szCs w:val="24"/>
        </w:rPr>
        <w:t>d</w:t>
      </w:r>
      <w:r w:rsidRPr="0079630A">
        <w:rPr>
          <w:color w:val="auto"/>
          <w:szCs w:val="24"/>
        </w:rPr>
        <w:t xml:space="preserve">iseases and </w:t>
      </w:r>
      <w:r w:rsidR="00695985">
        <w:rPr>
          <w:color w:val="auto"/>
          <w:szCs w:val="24"/>
        </w:rPr>
        <w:t>i</w:t>
      </w:r>
      <w:r w:rsidRPr="0079630A">
        <w:rPr>
          <w:color w:val="auto"/>
          <w:szCs w:val="24"/>
        </w:rPr>
        <w:t xml:space="preserve">njuries of the </w:t>
      </w:r>
      <w:r w:rsidR="00695985">
        <w:rPr>
          <w:color w:val="auto"/>
          <w:szCs w:val="24"/>
        </w:rPr>
        <w:t>s</w:t>
      </w:r>
      <w:r w:rsidRPr="0079630A">
        <w:rPr>
          <w:color w:val="auto"/>
          <w:szCs w:val="24"/>
        </w:rPr>
        <w:t>pine, “</w:t>
      </w:r>
      <w:r w:rsidR="00695985">
        <w:rPr>
          <w:color w:val="auto"/>
          <w:szCs w:val="24"/>
        </w:rPr>
        <w:t>w</w:t>
      </w:r>
      <w:r w:rsidRPr="0079630A">
        <w:rPr>
          <w:color w:val="auto"/>
          <w:szCs w:val="24"/>
        </w:rPr>
        <w:t xml:space="preserve">ith or without symptoms such as pain (whether or not it radiates), stiffness, or aching in the area of the spine affected by residuals of injury or disease.”  </w:t>
      </w:r>
      <w:r w:rsidR="00AC635D" w:rsidRPr="0079630A">
        <w:rPr>
          <w:color w:val="auto"/>
          <w:szCs w:val="24"/>
        </w:rPr>
        <w:t>Neurological evaluation proximate to TDRL exit was normal, including motor, sensory, and reflexes.  L</w:t>
      </w:r>
      <w:r w:rsidRPr="0079630A">
        <w:rPr>
          <w:color w:val="auto"/>
          <w:szCs w:val="24"/>
        </w:rPr>
        <w:t xml:space="preserve">ower extremity motor function was normal throughout the record, without atrophy or foot drop.  Also, nerve conduction studies </w:t>
      </w:r>
      <w:r w:rsidR="00AC635D" w:rsidRPr="0079630A">
        <w:rPr>
          <w:color w:val="auto"/>
          <w:szCs w:val="24"/>
        </w:rPr>
        <w:t>were normal</w:t>
      </w:r>
      <w:r w:rsidRPr="0079630A">
        <w:rPr>
          <w:color w:val="auto"/>
          <w:szCs w:val="24"/>
        </w:rPr>
        <w:t>, with no evidence of lumbosacral radiculopathy.  This leaves no grounds for Board recommendation of an additionally unfitting neuropathy.  All evidence considered</w:t>
      </w:r>
      <w:proofErr w:type="gramStart"/>
      <w:r w:rsidRPr="0079630A">
        <w:rPr>
          <w:color w:val="auto"/>
          <w:szCs w:val="24"/>
        </w:rPr>
        <w:t>,</w:t>
      </w:r>
      <w:proofErr w:type="gramEnd"/>
      <w:r w:rsidRPr="0079630A">
        <w:rPr>
          <w:color w:val="auto"/>
          <w:szCs w:val="24"/>
        </w:rPr>
        <w:t xml:space="preserve"> there is not reasonable doubt in the CI’s favor supporting addition of any lower extremity radiculopathy as an unfitting condition for separation rating.</w:t>
      </w:r>
    </w:p>
    <w:p w:rsidR="00F323DD" w:rsidRPr="0079630A" w:rsidRDefault="00F323DD" w:rsidP="00F323DD">
      <w:pPr>
        <w:spacing w:line="240" w:lineRule="exact"/>
        <w:rPr>
          <w:rFonts w:asciiTheme="minorHAnsi" w:hAnsiTheme="minorHAnsi"/>
          <w:b/>
          <w:color w:val="auto"/>
          <w:szCs w:val="24"/>
          <w:u w:val="single"/>
        </w:rPr>
      </w:pPr>
    </w:p>
    <w:p w:rsidR="00F6196E" w:rsidRPr="0079630A" w:rsidRDefault="00F6196E" w:rsidP="00510F9C">
      <w:pPr>
        <w:spacing w:line="240" w:lineRule="exact"/>
        <w:jc w:val="both"/>
        <w:rPr>
          <w:rFonts w:asciiTheme="minorHAnsi" w:hAnsiTheme="minorHAnsi"/>
          <w:color w:val="auto"/>
          <w:szCs w:val="24"/>
        </w:rPr>
      </w:pPr>
      <w:proofErr w:type="gramStart"/>
      <w:r w:rsidRPr="0079630A">
        <w:rPr>
          <w:rFonts w:asciiTheme="minorHAnsi" w:hAnsiTheme="minorHAnsi"/>
          <w:color w:val="auto"/>
          <w:szCs w:val="24"/>
          <w:u w:val="single"/>
        </w:rPr>
        <w:t>Remaining Conditions</w:t>
      </w:r>
      <w:r w:rsidRPr="0079630A">
        <w:rPr>
          <w:rFonts w:asciiTheme="minorHAnsi" w:hAnsiTheme="minorHAnsi"/>
          <w:color w:val="auto"/>
          <w:szCs w:val="24"/>
        </w:rPr>
        <w:t>.</w:t>
      </w:r>
      <w:proofErr w:type="gramEnd"/>
      <w:r w:rsidRPr="0079630A">
        <w:rPr>
          <w:rFonts w:asciiTheme="minorHAnsi" w:hAnsiTheme="minorHAnsi"/>
          <w:color w:val="auto"/>
          <w:szCs w:val="24"/>
        </w:rPr>
        <w:t xml:space="preserve">  Other conditions identified in the DES file were </w:t>
      </w:r>
      <w:r w:rsidR="00D04C28" w:rsidRPr="0079630A">
        <w:rPr>
          <w:rFonts w:asciiTheme="minorHAnsi" w:hAnsiTheme="minorHAnsi"/>
          <w:color w:val="auto"/>
          <w:szCs w:val="24"/>
        </w:rPr>
        <w:t>h</w:t>
      </w:r>
      <w:r w:rsidR="00B00370" w:rsidRPr="0079630A">
        <w:rPr>
          <w:rFonts w:asciiTheme="minorHAnsi" w:hAnsiTheme="minorHAnsi"/>
          <w:color w:val="auto"/>
          <w:szCs w:val="24"/>
        </w:rPr>
        <w:t>istory of h</w:t>
      </w:r>
      <w:r w:rsidR="00D04C28" w:rsidRPr="0079630A">
        <w:rPr>
          <w:rFonts w:asciiTheme="minorHAnsi" w:hAnsiTheme="minorHAnsi"/>
          <w:color w:val="auto"/>
          <w:szCs w:val="24"/>
        </w:rPr>
        <w:t>yperactive thyroid</w:t>
      </w:r>
      <w:r w:rsidR="00B00370" w:rsidRPr="0079630A">
        <w:rPr>
          <w:rFonts w:asciiTheme="minorHAnsi" w:hAnsiTheme="minorHAnsi"/>
          <w:color w:val="auto"/>
          <w:szCs w:val="24"/>
        </w:rPr>
        <w:t xml:space="preserve"> (by CI report), </w:t>
      </w:r>
      <w:r w:rsidR="00D04C28" w:rsidRPr="0079630A">
        <w:rPr>
          <w:rFonts w:asciiTheme="minorHAnsi" w:hAnsiTheme="minorHAnsi"/>
          <w:color w:val="auto"/>
          <w:szCs w:val="24"/>
        </w:rPr>
        <w:t>bilateral cataracts</w:t>
      </w:r>
      <w:r w:rsidR="00B00370" w:rsidRPr="0079630A">
        <w:rPr>
          <w:rFonts w:asciiTheme="minorHAnsi" w:hAnsiTheme="minorHAnsi"/>
          <w:color w:val="auto"/>
          <w:szCs w:val="24"/>
        </w:rPr>
        <w:t xml:space="preserve"> (by CI report)</w:t>
      </w:r>
      <w:r w:rsidR="00D04C28" w:rsidRPr="0079630A">
        <w:rPr>
          <w:rFonts w:asciiTheme="minorHAnsi" w:hAnsiTheme="minorHAnsi"/>
          <w:color w:val="auto"/>
          <w:szCs w:val="24"/>
        </w:rPr>
        <w:t>, loss of vision in left eye</w:t>
      </w:r>
      <w:r w:rsidR="00B00370" w:rsidRPr="0079630A">
        <w:rPr>
          <w:rFonts w:asciiTheme="minorHAnsi" w:hAnsiTheme="minorHAnsi"/>
          <w:color w:val="auto"/>
          <w:szCs w:val="24"/>
        </w:rPr>
        <w:t xml:space="preserve"> (by CI report), </w:t>
      </w:r>
      <w:r w:rsidR="00F42C62" w:rsidRPr="0079630A">
        <w:rPr>
          <w:rFonts w:asciiTheme="minorHAnsi" w:hAnsiTheme="minorHAnsi"/>
          <w:color w:val="auto"/>
          <w:szCs w:val="24"/>
        </w:rPr>
        <w:t>knee pain</w:t>
      </w:r>
      <w:r w:rsidR="00B00370" w:rsidRPr="0079630A">
        <w:rPr>
          <w:rFonts w:asciiTheme="minorHAnsi" w:hAnsiTheme="minorHAnsi"/>
          <w:color w:val="auto"/>
          <w:szCs w:val="24"/>
        </w:rPr>
        <w:t xml:space="preserve"> (unspecified side)</w:t>
      </w:r>
      <w:r w:rsidR="00F42C62" w:rsidRPr="0079630A">
        <w:rPr>
          <w:rFonts w:asciiTheme="minorHAnsi" w:hAnsiTheme="minorHAnsi"/>
          <w:color w:val="auto"/>
          <w:szCs w:val="24"/>
        </w:rPr>
        <w:t xml:space="preserve">, </w:t>
      </w:r>
      <w:r w:rsidR="0019458D" w:rsidRPr="0079630A">
        <w:rPr>
          <w:rFonts w:asciiTheme="minorHAnsi" w:hAnsiTheme="minorHAnsi"/>
          <w:color w:val="auto"/>
          <w:szCs w:val="24"/>
        </w:rPr>
        <w:t xml:space="preserve">bilateral leg pain due to </w:t>
      </w:r>
      <w:r w:rsidR="00F42C62" w:rsidRPr="0079630A">
        <w:rPr>
          <w:rFonts w:asciiTheme="minorHAnsi" w:hAnsiTheme="minorHAnsi"/>
          <w:color w:val="auto"/>
          <w:szCs w:val="24"/>
        </w:rPr>
        <w:t xml:space="preserve">hamstring </w:t>
      </w:r>
      <w:r w:rsidR="0019458D" w:rsidRPr="0079630A">
        <w:rPr>
          <w:rFonts w:asciiTheme="minorHAnsi" w:hAnsiTheme="minorHAnsi"/>
          <w:color w:val="auto"/>
          <w:szCs w:val="24"/>
        </w:rPr>
        <w:t>contractures</w:t>
      </w:r>
      <w:r w:rsidR="00F42C62" w:rsidRPr="0079630A">
        <w:rPr>
          <w:rFonts w:asciiTheme="minorHAnsi" w:hAnsiTheme="minorHAnsi"/>
          <w:color w:val="auto"/>
          <w:szCs w:val="24"/>
        </w:rPr>
        <w:t>, chest pain</w:t>
      </w:r>
      <w:r w:rsidR="0019458D" w:rsidRPr="0079630A">
        <w:rPr>
          <w:rFonts w:asciiTheme="minorHAnsi" w:hAnsiTheme="minorHAnsi"/>
          <w:color w:val="auto"/>
          <w:szCs w:val="24"/>
        </w:rPr>
        <w:t xml:space="preserve"> due to </w:t>
      </w:r>
      <w:proofErr w:type="spellStart"/>
      <w:r w:rsidR="0019458D" w:rsidRPr="0079630A">
        <w:rPr>
          <w:rFonts w:asciiTheme="minorHAnsi" w:hAnsiTheme="minorHAnsi"/>
          <w:color w:val="auto"/>
          <w:szCs w:val="24"/>
        </w:rPr>
        <w:t>costochondritis</w:t>
      </w:r>
      <w:proofErr w:type="spellEnd"/>
      <w:r w:rsidR="00F42C62" w:rsidRPr="0079630A">
        <w:rPr>
          <w:rFonts w:asciiTheme="minorHAnsi" w:hAnsiTheme="minorHAnsi"/>
          <w:color w:val="auto"/>
          <w:szCs w:val="24"/>
        </w:rPr>
        <w:t xml:space="preserve">, </w:t>
      </w:r>
      <w:proofErr w:type="spellStart"/>
      <w:r w:rsidR="0019458D" w:rsidRPr="0079630A">
        <w:rPr>
          <w:rFonts w:asciiTheme="minorHAnsi" w:hAnsiTheme="minorHAnsi"/>
          <w:color w:val="auto"/>
          <w:szCs w:val="24"/>
        </w:rPr>
        <w:t>dermatofibromas</w:t>
      </w:r>
      <w:proofErr w:type="spellEnd"/>
      <w:r w:rsidR="0019458D" w:rsidRPr="0079630A">
        <w:rPr>
          <w:rFonts w:asciiTheme="minorHAnsi" w:hAnsiTheme="minorHAnsi"/>
          <w:color w:val="auto"/>
          <w:szCs w:val="24"/>
        </w:rPr>
        <w:t xml:space="preserve"> on right arm, status post </w:t>
      </w:r>
      <w:proofErr w:type="spellStart"/>
      <w:r w:rsidR="0019458D" w:rsidRPr="0079630A">
        <w:rPr>
          <w:rFonts w:asciiTheme="minorHAnsi" w:hAnsiTheme="minorHAnsi"/>
          <w:color w:val="auto"/>
          <w:szCs w:val="24"/>
        </w:rPr>
        <w:t>herniorraphy</w:t>
      </w:r>
      <w:proofErr w:type="spellEnd"/>
      <w:r w:rsidR="0019458D" w:rsidRPr="0079630A">
        <w:rPr>
          <w:rFonts w:asciiTheme="minorHAnsi" w:hAnsiTheme="minorHAnsi"/>
          <w:color w:val="auto"/>
          <w:szCs w:val="24"/>
        </w:rPr>
        <w:t>, plantar fasciitis</w:t>
      </w:r>
      <w:r w:rsidR="009D1796" w:rsidRPr="0079630A">
        <w:rPr>
          <w:rFonts w:asciiTheme="minorHAnsi" w:hAnsiTheme="minorHAnsi"/>
          <w:color w:val="auto"/>
          <w:szCs w:val="24"/>
        </w:rPr>
        <w:t xml:space="preserve">, </w:t>
      </w:r>
      <w:r w:rsidR="0019458D" w:rsidRPr="0079630A">
        <w:rPr>
          <w:rFonts w:asciiTheme="minorHAnsi" w:hAnsiTheme="minorHAnsi"/>
          <w:color w:val="auto"/>
          <w:szCs w:val="24"/>
        </w:rPr>
        <w:t>and bilateral shoulder injuries</w:t>
      </w:r>
      <w:r w:rsidRPr="0079630A">
        <w:rPr>
          <w:rFonts w:asciiTheme="minorHAnsi" w:hAnsiTheme="minorHAnsi"/>
          <w:color w:val="auto"/>
          <w:szCs w:val="24"/>
        </w:rPr>
        <w:t xml:space="preserve">.  Several additional non-acute conditions or medical complaints were also documented.  None of these conditions were </w:t>
      </w:r>
      <w:r w:rsidR="00CE0BD9" w:rsidRPr="0079630A">
        <w:rPr>
          <w:color w:val="auto"/>
          <w:szCs w:val="24"/>
        </w:rPr>
        <w:t>occupationally</w:t>
      </w:r>
      <w:r w:rsidR="00CE0BD9" w:rsidRPr="0079630A">
        <w:rPr>
          <w:rFonts w:asciiTheme="minorHAnsi" w:hAnsiTheme="minorHAnsi"/>
          <w:color w:val="auto"/>
          <w:szCs w:val="24"/>
        </w:rPr>
        <w:t xml:space="preserve"> </w:t>
      </w:r>
      <w:r w:rsidR="00B82C2C" w:rsidRPr="0079630A">
        <w:rPr>
          <w:color w:val="auto"/>
          <w:szCs w:val="24"/>
        </w:rPr>
        <w:t xml:space="preserve">significant </w:t>
      </w:r>
      <w:r w:rsidRPr="0079630A">
        <w:rPr>
          <w:rFonts w:asciiTheme="minorHAnsi" w:hAnsiTheme="minorHAnsi"/>
          <w:color w:val="auto"/>
          <w:szCs w:val="24"/>
        </w:rPr>
        <w:t>during the MEB period</w:t>
      </w:r>
      <w:r w:rsidR="00B31965" w:rsidRPr="0079630A">
        <w:rPr>
          <w:rFonts w:asciiTheme="minorHAnsi" w:hAnsiTheme="minorHAnsi"/>
          <w:color w:val="auto"/>
          <w:szCs w:val="24"/>
        </w:rPr>
        <w:t>,</w:t>
      </w:r>
      <w:r w:rsidRPr="0079630A">
        <w:rPr>
          <w:rFonts w:asciiTheme="minorHAnsi" w:hAnsiTheme="minorHAnsi"/>
          <w:color w:val="auto"/>
          <w:szCs w:val="24"/>
        </w:rPr>
        <w:t xml:space="preserve"> none carried attached profiles and none were implicated in the </w:t>
      </w:r>
      <w:r w:rsidR="00B5646A" w:rsidRPr="0079630A">
        <w:rPr>
          <w:rFonts w:asciiTheme="minorHAnsi" w:hAnsiTheme="minorHAnsi"/>
          <w:color w:val="auto"/>
          <w:szCs w:val="24"/>
        </w:rPr>
        <w:t>c</w:t>
      </w:r>
      <w:r w:rsidR="004C05CF" w:rsidRPr="0079630A">
        <w:rPr>
          <w:rFonts w:asciiTheme="minorHAnsi" w:hAnsiTheme="minorHAnsi"/>
          <w:color w:val="auto"/>
          <w:szCs w:val="24"/>
        </w:rPr>
        <w:t>ommander’s</w:t>
      </w:r>
      <w:r w:rsidR="00774FFD" w:rsidRPr="0079630A">
        <w:rPr>
          <w:rFonts w:asciiTheme="minorHAnsi" w:hAnsiTheme="minorHAnsi"/>
          <w:color w:val="auto"/>
          <w:szCs w:val="24"/>
        </w:rPr>
        <w:t xml:space="preserve"> statement</w:t>
      </w:r>
      <w:r w:rsidRPr="0079630A">
        <w:rPr>
          <w:rFonts w:asciiTheme="minorHAnsi" w:hAnsiTheme="minorHAnsi"/>
          <w:color w:val="auto"/>
          <w:szCs w:val="24"/>
        </w:rPr>
        <w:t xml:space="preserve">.  These conditions were reviewed by the </w:t>
      </w:r>
      <w:r w:rsidR="006B4AA2" w:rsidRPr="0079630A">
        <w:rPr>
          <w:rFonts w:asciiTheme="minorHAnsi" w:hAnsiTheme="minorHAnsi"/>
          <w:color w:val="auto"/>
          <w:szCs w:val="24"/>
        </w:rPr>
        <w:t>a</w:t>
      </w:r>
      <w:r w:rsidR="003B4319" w:rsidRPr="0079630A">
        <w:rPr>
          <w:rFonts w:asciiTheme="minorHAnsi" w:hAnsiTheme="minorHAnsi"/>
          <w:color w:val="auto"/>
          <w:szCs w:val="24"/>
        </w:rPr>
        <w:t>ction officer</w:t>
      </w:r>
      <w:r w:rsidRPr="0079630A">
        <w:rPr>
          <w:rFonts w:asciiTheme="minorHAnsi" w:hAnsiTheme="minorHAnsi"/>
          <w:color w:val="auto"/>
          <w:szCs w:val="24"/>
        </w:rPr>
        <w:t xml:space="preserve"> and considered by the Board.  It was determined that none could be argued as unfitting and subject to separation rating.  N</w:t>
      </w:r>
      <w:r w:rsidR="00695985">
        <w:rPr>
          <w:rFonts w:asciiTheme="minorHAnsi" w:hAnsiTheme="minorHAnsi"/>
          <w:color w:val="auto"/>
          <w:szCs w:val="24"/>
        </w:rPr>
        <w:t>o other conditions were service-</w:t>
      </w:r>
      <w:r w:rsidRPr="0079630A">
        <w:rPr>
          <w:rFonts w:asciiTheme="minorHAnsi" w:hAnsiTheme="minorHAnsi"/>
          <w:color w:val="auto"/>
          <w:szCs w:val="24"/>
        </w:rPr>
        <w:t>connected with a compensable rating by the VA within twelve months of separation or contended by the CI.  The Board, therefore, has no reasonable basis for recommending any additional unfitting conditions for separation rating.</w:t>
      </w:r>
    </w:p>
    <w:p w:rsidR="00F1737C" w:rsidRPr="0079630A" w:rsidRDefault="00F1737C" w:rsidP="00F1737C">
      <w:pPr>
        <w:spacing w:line="240" w:lineRule="exact"/>
        <w:rPr>
          <w:rFonts w:asciiTheme="minorHAnsi" w:hAnsiTheme="minorHAnsi"/>
          <w:b/>
          <w:color w:val="auto"/>
          <w:szCs w:val="24"/>
          <w:u w:val="single"/>
        </w:rPr>
      </w:pPr>
    </w:p>
    <w:p w:rsidR="004C60A3" w:rsidRPr="0079630A" w:rsidRDefault="00C56FC8" w:rsidP="00510F9C">
      <w:pPr>
        <w:spacing w:line="240" w:lineRule="exact"/>
        <w:jc w:val="both"/>
        <w:rPr>
          <w:rFonts w:asciiTheme="minorHAnsi" w:eastAsiaTheme="minorHAnsi" w:hAnsiTheme="minorHAnsi"/>
          <w:color w:val="auto"/>
          <w:sz w:val="20"/>
        </w:rPr>
      </w:pPr>
      <w:r w:rsidRPr="0079630A">
        <w:rPr>
          <w:rFonts w:asciiTheme="minorHAnsi" w:hAnsiTheme="minorHAnsi"/>
          <w:color w:val="auto"/>
          <w:szCs w:val="24"/>
          <w:u w:val="single"/>
        </w:rPr>
        <w:lastRenderedPageBreak/>
        <w:t>BOARD FINDINGS</w:t>
      </w:r>
      <w:r w:rsidRPr="0079630A">
        <w:rPr>
          <w:rFonts w:asciiTheme="minorHAnsi" w:hAnsiTheme="minorHAnsi"/>
          <w:color w:val="auto"/>
          <w:szCs w:val="24"/>
        </w:rPr>
        <w:t>:</w:t>
      </w:r>
      <w:r w:rsidRPr="0079630A">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91544C" w:rsidRPr="0079630A">
        <w:rPr>
          <w:rFonts w:asciiTheme="minorHAnsi" w:eastAsiaTheme="minorHAnsi" w:hAnsiTheme="minorHAnsi"/>
          <w:color w:val="auto"/>
          <w:szCs w:val="24"/>
        </w:rPr>
        <w:t xml:space="preserve"> </w:t>
      </w:r>
      <w:r w:rsidR="0050184E" w:rsidRPr="0079630A">
        <w:rPr>
          <w:rFonts w:asciiTheme="minorHAnsi" w:eastAsiaTheme="minorHAnsi" w:hAnsiTheme="minorHAnsi"/>
          <w:color w:val="auto"/>
          <w:szCs w:val="24"/>
        </w:rPr>
        <w:t xml:space="preserve"> </w:t>
      </w:r>
      <w:r w:rsidR="0091544C" w:rsidRPr="0079630A">
        <w:rPr>
          <w:rFonts w:asciiTheme="minorHAnsi" w:eastAsiaTheme="minorHAnsi" w:hAnsiTheme="minorHAnsi"/>
          <w:color w:val="auto"/>
          <w:szCs w:val="24"/>
        </w:rPr>
        <w:t xml:space="preserve">As discussed above, PEB reliance on DoDI 1332.39 </w:t>
      </w:r>
      <w:r w:rsidR="00E93A1B" w:rsidRPr="0079630A">
        <w:rPr>
          <w:rFonts w:asciiTheme="minorHAnsi" w:eastAsiaTheme="minorHAnsi" w:hAnsiTheme="minorHAnsi"/>
          <w:color w:val="auto"/>
          <w:szCs w:val="24"/>
        </w:rPr>
        <w:t xml:space="preserve">for rating PTSD </w:t>
      </w:r>
      <w:r w:rsidR="007525B3" w:rsidRPr="0079630A">
        <w:rPr>
          <w:rFonts w:asciiTheme="minorHAnsi" w:eastAsiaTheme="minorHAnsi" w:hAnsiTheme="minorHAnsi"/>
          <w:color w:val="auto"/>
          <w:szCs w:val="24"/>
        </w:rPr>
        <w:t xml:space="preserve">and the </w:t>
      </w:r>
      <w:r w:rsidR="007525B3" w:rsidRPr="0079630A">
        <w:rPr>
          <w:rFonts w:asciiTheme="minorHAnsi" w:hAnsiTheme="minorHAnsi"/>
          <w:color w:val="auto"/>
          <w:szCs w:val="24"/>
        </w:rPr>
        <w:t xml:space="preserve">USAPDA pain policy </w:t>
      </w:r>
      <w:r w:rsidR="0079630A" w:rsidRPr="0079630A">
        <w:rPr>
          <w:rFonts w:asciiTheme="minorHAnsi" w:hAnsiTheme="minorHAnsi"/>
          <w:color w:val="auto"/>
          <w:szCs w:val="24"/>
        </w:rPr>
        <w:t xml:space="preserve">for rating the back condition </w:t>
      </w:r>
      <w:r w:rsidR="0091544C" w:rsidRPr="0079630A">
        <w:rPr>
          <w:rFonts w:asciiTheme="minorHAnsi" w:eastAsiaTheme="minorHAnsi" w:hAnsiTheme="minorHAnsi"/>
          <w:color w:val="auto"/>
          <w:szCs w:val="24"/>
        </w:rPr>
        <w:t>w</w:t>
      </w:r>
      <w:r w:rsidR="0079630A" w:rsidRPr="0079630A">
        <w:rPr>
          <w:rFonts w:asciiTheme="minorHAnsi" w:eastAsiaTheme="minorHAnsi" w:hAnsiTheme="minorHAnsi"/>
          <w:color w:val="auto"/>
          <w:szCs w:val="24"/>
        </w:rPr>
        <w:t>ere</w:t>
      </w:r>
      <w:r w:rsidR="0091544C" w:rsidRPr="0079630A">
        <w:rPr>
          <w:rFonts w:asciiTheme="minorHAnsi" w:eastAsiaTheme="minorHAnsi" w:hAnsiTheme="minorHAnsi"/>
          <w:color w:val="auto"/>
          <w:szCs w:val="24"/>
        </w:rPr>
        <w:t xml:space="preserve"> </w:t>
      </w:r>
      <w:r w:rsidR="007525B3" w:rsidRPr="0079630A">
        <w:rPr>
          <w:rFonts w:asciiTheme="minorHAnsi" w:eastAsiaTheme="minorHAnsi" w:hAnsiTheme="minorHAnsi"/>
          <w:color w:val="auto"/>
          <w:szCs w:val="24"/>
        </w:rPr>
        <w:t xml:space="preserve">likely </w:t>
      </w:r>
      <w:r w:rsidR="0091544C" w:rsidRPr="0079630A">
        <w:rPr>
          <w:rFonts w:asciiTheme="minorHAnsi" w:eastAsiaTheme="minorHAnsi" w:hAnsiTheme="minorHAnsi"/>
          <w:color w:val="auto"/>
          <w:szCs w:val="24"/>
        </w:rPr>
        <w:t>operant in this case and the condition was adjudicated independently of that instruction</w:t>
      </w:r>
      <w:r w:rsidR="00D6286D" w:rsidRPr="0079630A">
        <w:rPr>
          <w:rFonts w:asciiTheme="minorHAnsi" w:eastAsiaTheme="minorHAnsi" w:hAnsiTheme="minorHAnsi"/>
          <w:color w:val="auto"/>
          <w:szCs w:val="24"/>
        </w:rPr>
        <w:t xml:space="preserve"> and policy</w:t>
      </w:r>
      <w:r w:rsidR="0091544C" w:rsidRPr="0079630A">
        <w:rPr>
          <w:rFonts w:asciiTheme="minorHAnsi" w:eastAsiaTheme="minorHAnsi" w:hAnsiTheme="minorHAnsi"/>
          <w:color w:val="auto"/>
          <w:szCs w:val="24"/>
        </w:rPr>
        <w:t xml:space="preserve"> by the Board. </w:t>
      </w:r>
      <w:r w:rsidR="0091544C" w:rsidRPr="0079630A">
        <w:rPr>
          <w:rFonts w:eastAsia="Calibri"/>
          <w:color w:val="auto"/>
          <w:szCs w:val="24"/>
        </w:rPr>
        <w:t xml:space="preserve"> In the matter of the</w:t>
      </w:r>
      <w:r w:rsidR="00A57765" w:rsidRPr="0079630A">
        <w:rPr>
          <w:rFonts w:eastAsia="Calibri"/>
          <w:color w:val="auto"/>
          <w:szCs w:val="24"/>
        </w:rPr>
        <w:t xml:space="preserve"> </w:t>
      </w:r>
      <w:r w:rsidR="00695985">
        <w:rPr>
          <w:rFonts w:eastAsia="Calibri"/>
          <w:color w:val="auto"/>
          <w:szCs w:val="24"/>
        </w:rPr>
        <w:t>PTSD</w:t>
      </w:r>
      <w:r w:rsidR="0091544C" w:rsidRPr="0079630A">
        <w:rPr>
          <w:rFonts w:eastAsia="Calibri"/>
          <w:color w:val="auto"/>
          <w:szCs w:val="24"/>
        </w:rPr>
        <w:t xml:space="preserve"> condition, the Board unanimously recommends a 30% permanent rating at</w:t>
      </w:r>
      <w:r w:rsidR="0050184E" w:rsidRPr="0079630A">
        <w:rPr>
          <w:rFonts w:eastAsia="Calibri"/>
          <w:color w:val="auto"/>
          <w:szCs w:val="24"/>
        </w:rPr>
        <w:t xml:space="preserve"> exit from TDRL</w:t>
      </w:r>
      <w:r w:rsidR="0091544C" w:rsidRPr="0079630A">
        <w:rPr>
          <w:rFonts w:eastAsia="Calibri"/>
          <w:color w:val="auto"/>
          <w:szCs w:val="24"/>
        </w:rPr>
        <w:t xml:space="preserve"> IAW VASRD §4.130.  </w:t>
      </w:r>
      <w:r w:rsidR="0091544C" w:rsidRPr="0079630A">
        <w:rPr>
          <w:rFonts w:asciiTheme="minorHAnsi" w:hAnsiTheme="minorHAnsi"/>
          <w:color w:val="auto"/>
        </w:rPr>
        <w:t xml:space="preserve">In the matter of the LBP condition, the Board </w:t>
      </w:r>
      <w:r w:rsidR="0079630A" w:rsidRPr="0079630A">
        <w:rPr>
          <w:rFonts w:asciiTheme="minorHAnsi" w:hAnsiTheme="minorHAnsi"/>
          <w:color w:val="auto"/>
        </w:rPr>
        <w:t xml:space="preserve">unanimously </w:t>
      </w:r>
      <w:r w:rsidR="0091544C" w:rsidRPr="0079630A">
        <w:rPr>
          <w:rFonts w:asciiTheme="minorHAnsi" w:hAnsiTheme="minorHAnsi"/>
          <w:color w:val="auto"/>
        </w:rPr>
        <w:t xml:space="preserve">recommends </w:t>
      </w:r>
      <w:r w:rsidR="0079630A" w:rsidRPr="0079630A">
        <w:rPr>
          <w:rFonts w:asciiTheme="minorHAnsi" w:eastAsiaTheme="minorHAnsi" w:hAnsiTheme="minorHAnsi"/>
          <w:color w:val="auto"/>
          <w:szCs w:val="24"/>
        </w:rPr>
        <w:t xml:space="preserve">by a vote of 2:1, </w:t>
      </w:r>
      <w:r w:rsidR="00E14686" w:rsidRPr="0079630A">
        <w:rPr>
          <w:rFonts w:asciiTheme="minorHAnsi" w:hAnsiTheme="minorHAnsi"/>
          <w:color w:val="auto"/>
        </w:rPr>
        <w:t xml:space="preserve">a </w:t>
      </w:r>
      <w:r w:rsidR="0091544C" w:rsidRPr="0079630A">
        <w:rPr>
          <w:rFonts w:asciiTheme="minorHAnsi" w:hAnsiTheme="minorHAnsi"/>
          <w:color w:val="auto"/>
        </w:rPr>
        <w:t>separation rating a</w:t>
      </w:r>
      <w:r w:rsidR="00E14686" w:rsidRPr="0079630A">
        <w:rPr>
          <w:rFonts w:asciiTheme="minorHAnsi" w:hAnsiTheme="minorHAnsi"/>
          <w:color w:val="auto"/>
        </w:rPr>
        <w:t xml:space="preserve">t TDRL-exit </w:t>
      </w:r>
      <w:r w:rsidR="0091544C" w:rsidRPr="0079630A">
        <w:rPr>
          <w:rFonts w:asciiTheme="minorHAnsi" w:hAnsiTheme="minorHAnsi"/>
          <w:color w:val="auto"/>
        </w:rPr>
        <w:t xml:space="preserve">of 20% coded </w:t>
      </w:r>
      <w:r w:rsidR="00D6286D" w:rsidRPr="0079630A">
        <w:rPr>
          <w:rFonts w:asciiTheme="minorHAnsi" w:hAnsiTheme="minorHAnsi"/>
          <w:color w:val="auto"/>
        </w:rPr>
        <w:t>5299-</w:t>
      </w:r>
      <w:r w:rsidR="0091544C" w:rsidRPr="0079630A">
        <w:rPr>
          <w:rFonts w:asciiTheme="minorHAnsi" w:hAnsiTheme="minorHAnsi"/>
          <w:color w:val="auto"/>
        </w:rPr>
        <w:t>5237 IAW VASRD §</w:t>
      </w:r>
      <w:r w:rsidR="0091544C" w:rsidRPr="0079630A">
        <w:rPr>
          <w:rFonts w:asciiTheme="minorHAnsi" w:hAnsiTheme="minorHAnsi"/>
          <w:color w:val="auto"/>
          <w:szCs w:val="24"/>
        </w:rPr>
        <w:t>4.71a</w:t>
      </w:r>
      <w:r w:rsidR="0091544C" w:rsidRPr="0079630A">
        <w:rPr>
          <w:rFonts w:asciiTheme="minorHAnsi" w:hAnsiTheme="minorHAnsi"/>
          <w:color w:val="auto"/>
        </w:rPr>
        <w:t xml:space="preserve">.  </w:t>
      </w:r>
      <w:r w:rsidR="007238AA" w:rsidRPr="0079630A">
        <w:rPr>
          <w:rFonts w:asciiTheme="minorHAnsi" w:eastAsiaTheme="minorHAnsi" w:hAnsiTheme="minorHAnsi"/>
          <w:color w:val="auto"/>
          <w:szCs w:val="24"/>
        </w:rPr>
        <w:t xml:space="preserve">The single voter for dissent (who recommended </w:t>
      </w:r>
      <w:r w:rsidR="007238AA" w:rsidRPr="0079630A">
        <w:rPr>
          <w:rFonts w:asciiTheme="minorHAnsi" w:hAnsiTheme="minorHAnsi"/>
          <w:color w:val="auto"/>
        </w:rPr>
        <w:t xml:space="preserve">a </w:t>
      </w:r>
      <w:r w:rsidR="0079630A" w:rsidRPr="0079630A">
        <w:rPr>
          <w:rFonts w:asciiTheme="minorHAnsi" w:hAnsiTheme="minorHAnsi"/>
          <w:color w:val="auto"/>
        </w:rPr>
        <w:t xml:space="preserve">10% </w:t>
      </w:r>
      <w:r w:rsidR="007238AA" w:rsidRPr="0079630A">
        <w:rPr>
          <w:rFonts w:asciiTheme="minorHAnsi" w:hAnsiTheme="minorHAnsi"/>
          <w:color w:val="auto"/>
        </w:rPr>
        <w:t xml:space="preserve">separation rating at TDRL-exit </w:t>
      </w:r>
      <w:r w:rsidR="0079630A" w:rsidRPr="0079630A">
        <w:rPr>
          <w:rFonts w:asciiTheme="minorHAnsi" w:hAnsiTheme="minorHAnsi"/>
          <w:color w:val="auto"/>
        </w:rPr>
        <w:t>for the back condition [combined 40%]</w:t>
      </w:r>
      <w:r w:rsidR="007238AA" w:rsidRPr="0079630A">
        <w:rPr>
          <w:rFonts w:asciiTheme="minorHAnsi" w:eastAsiaTheme="minorHAnsi" w:hAnsiTheme="minorHAnsi"/>
          <w:color w:val="auto"/>
          <w:szCs w:val="24"/>
        </w:rPr>
        <w:t xml:space="preserve">) submitted the </w:t>
      </w:r>
      <w:proofErr w:type="spellStart"/>
      <w:r w:rsidR="007238AA" w:rsidRPr="0079630A">
        <w:rPr>
          <w:rFonts w:asciiTheme="minorHAnsi" w:eastAsiaTheme="minorHAnsi" w:hAnsiTheme="minorHAnsi"/>
          <w:color w:val="auto"/>
          <w:szCs w:val="24"/>
        </w:rPr>
        <w:t>addended</w:t>
      </w:r>
      <w:proofErr w:type="spellEnd"/>
      <w:r w:rsidR="007238AA" w:rsidRPr="0079630A">
        <w:rPr>
          <w:rFonts w:asciiTheme="minorHAnsi" w:eastAsiaTheme="minorHAnsi" w:hAnsiTheme="minorHAnsi"/>
          <w:color w:val="auto"/>
          <w:szCs w:val="24"/>
        </w:rPr>
        <w:t xml:space="preserve"> minority opinion.  </w:t>
      </w:r>
      <w:r w:rsidR="0091544C" w:rsidRPr="0079630A">
        <w:rPr>
          <w:rFonts w:eastAsia="Calibri"/>
          <w:color w:val="auto"/>
          <w:szCs w:val="24"/>
        </w:rPr>
        <w:t xml:space="preserve">In the matter of any other conditions eligible for Board consideration, </w:t>
      </w:r>
      <w:r w:rsidR="0091544C" w:rsidRPr="0079630A">
        <w:rPr>
          <w:color w:val="auto"/>
          <w:szCs w:val="24"/>
        </w:rPr>
        <w:t>the Board unanimously agrees that it cannot recommend any findings of unfit for additional rating at separation.</w:t>
      </w:r>
    </w:p>
    <w:p w:rsidR="00F1737C" w:rsidRPr="0079630A"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Pr="0079630A" w:rsidRDefault="00F1737C" w:rsidP="00F1737C">
      <w:pPr>
        <w:spacing w:line="240" w:lineRule="exact"/>
        <w:rPr>
          <w:rFonts w:asciiTheme="minorHAnsi" w:hAnsiTheme="minorHAnsi"/>
          <w:b/>
          <w:color w:val="auto"/>
          <w:szCs w:val="24"/>
          <w:u w:val="single"/>
        </w:rPr>
      </w:pPr>
    </w:p>
    <w:p w:rsidR="00B66462" w:rsidRPr="0079630A" w:rsidRDefault="00C56FC8" w:rsidP="00183321">
      <w:pPr>
        <w:spacing w:line="240" w:lineRule="exact"/>
        <w:jc w:val="both"/>
        <w:rPr>
          <w:iCs/>
          <w:color w:val="auto"/>
          <w:szCs w:val="24"/>
        </w:rPr>
      </w:pPr>
      <w:r w:rsidRPr="0079630A">
        <w:rPr>
          <w:rFonts w:asciiTheme="minorHAnsi" w:hAnsiTheme="minorHAnsi"/>
          <w:color w:val="auto"/>
          <w:szCs w:val="24"/>
          <w:u w:val="single"/>
        </w:rPr>
        <w:t>RECOMMENDATION</w:t>
      </w:r>
      <w:r w:rsidRPr="0079630A">
        <w:rPr>
          <w:rFonts w:asciiTheme="minorHAnsi" w:hAnsiTheme="minorHAnsi"/>
          <w:color w:val="auto"/>
          <w:szCs w:val="24"/>
        </w:rPr>
        <w:t xml:space="preserve">: </w:t>
      </w:r>
      <w:r w:rsidR="00183321" w:rsidRPr="0079630A">
        <w:rPr>
          <w:rFonts w:asciiTheme="minorHAnsi" w:hAnsiTheme="minorHAnsi"/>
          <w:color w:val="auto"/>
          <w:szCs w:val="24"/>
        </w:rPr>
        <w:t xml:space="preserve"> </w:t>
      </w:r>
      <w:r w:rsidR="00B66462" w:rsidRPr="0079630A">
        <w:rPr>
          <w:color w:val="auto"/>
          <w:szCs w:val="24"/>
        </w:rPr>
        <w:t xml:space="preserve">The Board recommends that the CI’s prior determination be modified </w:t>
      </w:r>
      <w:r w:rsidR="00A30963">
        <w:rPr>
          <w:color w:val="auto"/>
          <w:szCs w:val="24"/>
        </w:rPr>
        <w:t xml:space="preserve">to reflect </w:t>
      </w:r>
      <w:proofErr w:type="gramStart"/>
      <w:r w:rsidR="00A30963">
        <w:rPr>
          <w:color w:val="auto"/>
          <w:szCs w:val="24"/>
        </w:rPr>
        <w:t>a</w:t>
      </w:r>
      <w:proofErr w:type="gramEnd"/>
      <w:r w:rsidR="00A30963">
        <w:rPr>
          <w:color w:val="auto"/>
          <w:szCs w:val="24"/>
        </w:rPr>
        <w:t xml:space="preserve"> </w:t>
      </w:r>
      <w:proofErr w:type="spellStart"/>
      <w:r w:rsidR="00B66462" w:rsidRPr="0079630A">
        <w:rPr>
          <w:color w:val="auto"/>
          <w:szCs w:val="24"/>
        </w:rPr>
        <w:t>a</w:t>
      </w:r>
      <w:proofErr w:type="spellEnd"/>
      <w:r w:rsidR="00B66462" w:rsidRPr="0079630A">
        <w:rPr>
          <w:color w:val="auto"/>
          <w:szCs w:val="24"/>
        </w:rPr>
        <w:t xml:space="preserve"> permanent disability retirement as </w:t>
      </w:r>
      <w:r w:rsidR="00A30963">
        <w:rPr>
          <w:color w:val="auto"/>
          <w:szCs w:val="24"/>
        </w:rPr>
        <w:t xml:space="preserve">indicated </w:t>
      </w:r>
      <w:r w:rsidR="00B66462" w:rsidRPr="0079630A">
        <w:rPr>
          <w:color w:val="auto"/>
          <w:szCs w:val="24"/>
        </w:rPr>
        <w:t>below.</w:t>
      </w:r>
    </w:p>
    <w:p w:rsidR="00F42C62" w:rsidRPr="0079630A" w:rsidRDefault="00F42C62" w:rsidP="00510F9C">
      <w:pPr>
        <w:spacing w:line="240" w:lineRule="exact"/>
        <w:jc w:val="both"/>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50"/>
        <w:gridCol w:w="1710"/>
        <w:gridCol w:w="1530"/>
      </w:tblGrid>
      <w:tr w:rsidR="00A30963" w:rsidRPr="0079630A" w:rsidTr="00EF6C4A">
        <w:trPr>
          <w:jc w:val="center"/>
        </w:trPr>
        <w:tc>
          <w:tcPr>
            <w:tcW w:w="4950" w:type="dxa"/>
            <w:shd w:val="clear" w:color="auto" w:fill="D9D9D9"/>
            <w:vAlign w:val="center"/>
          </w:tcPr>
          <w:p w:rsidR="00A30963" w:rsidRPr="0079630A" w:rsidRDefault="00A30963" w:rsidP="00EF6C4A">
            <w:pPr>
              <w:tabs>
                <w:tab w:val="left" w:pos="288"/>
                <w:tab w:val="left" w:pos="4752"/>
              </w:tabs>
              <w:spacing w:line="240" w:lineRule="exact"/>
              <w:jc w:val="center"/>
              <w:rPr>
                <w:rFonts w:asciiTheme="minorHAnsi" w:hAnsiTheme="minorHAnsi"/>
                <w:b/>
                <w:color w:val="auto"/>
                <w:szCs w:val="24"/>
              </w:rPr>
            </w:pPr>
            <w:r w:rsidRPr="0079630A">
              <w:rPr>
                <w:rFonts w:asciiTheme="minorHAnsi" w:hAnsiTheme="minorHAnsi"/>
                <w:b/>
                <w:color w:val="auto"/>
                <w:szCs w:val="24"/>
              </w:rPr>
              <w:t>UNFITTING CONDITION</w:t>
            </w:r>
          </w:p>
        </w:tc>
        <w:tc>
          <w:tcPr>
            <w:tcW w:w="1710" w:type="dxa"/>
            <w:shd w:val="clear" w:color="auto" w:fill="D9D9D9"/>
            <w:vAlign w:val="center"/>
          </w:tcPr>
          <w:p w:rsidR="00A30963" w:rsidRPr="0079630A" w:rsidRDefault="00A30963" w:rsidP="00EF6C4A">
            <w:pPr>
              <w:tabs>
                <w:tab w:val="left" w:pos="288"/>
                <w:tab w:val="left" w:pos="4752"/>
              </w:tabs>
              <w:spacing w:line="240" w:lineRule="exact"/>
              <w:jc w:val="center"/>
              <w:rPr>
                <w:rFonts w:asciiTheme="minorHAnsi" w:hAnsiTheme="minorHAnsi"/>
                <w:b/>
                <w:color w:val="auto"/>
                <w:szCs w:val="24"/>
              </w:rPr>
            </w:pPr>
            <w:r w:rsidRPr="0079630A">
              <w:rPr>
                <w:rFonts w:asciiTheme="minorHAnsi" w:hAnsiTheme="minorHAnsi"/>
                <w:b/>
                <w:color w:val="auto"/>
                <w:szCs w:val="24"/>
              </w:rPr>
              <w:t>VASRD CODE</w:t>
            </w:r>
          </w:p>
        </w:tc>
        <w:tc>
          <w:tcPr>
            <w:tcW w:w="1530" w:type="dxa"/>
            <w:shd w:val="pct15" w:color="auto" w:fill="auto"/>
            <w:vAlign w:val="center"/>
          </w:tcPr>
          <w:p w:rsidR="00A30963" w:rsidRPr="0079630A" w:rsidRDefault="00A30963" w:rsidP="00EF6C4A">
            <w:pPr>
              <w:tabs>
                <w:tab w:val="left" w:pos="288"/>
                <w:tab w:val="left" w:pos="4752"/>
              </w:tabs>
              <w:spacing w:line="240" w:lineRule="exact"/>
              <w:jc w:val="center"/>
              <w:rPr>
                <w:rFonts w:asciiTheme="minorHAnsi" w:hAnsiTheme="minorHAnsi"/>
                <w:b/>
                <w:color w:val="auto"/>
                <w:szCs w:val="24"/>
              </w:rPr>
            </w:pPr>
            <w:r w:rsidRPr="0079630A">
              <w:rPr>
                <w:rFonts w:asciiTheme="minorHAnsi" w:hAnsiTheme="minorHAnsi"/>
                <w:b/>
                <w:color w:val="auto"/>
                <w:szCs w:val="24"/>
              </w:rPr>
              <w:t>PERMANENT</w:t>
            </w:r>
          </w:p>
          <w:p w:rsidR="00A30963" w:rsidRPr="0079630A" w:rsidRDefault="00A30963" w:rsidP="00EF6C4A">
            <w:pPr>
              <w:tabs>
                <w:tab w:val="left" w:pos="288"/>
                <w:tab w:val="left" w:pos="4752"/>
              </w:tabs>
              <w:spacing w:line="240" w:lineRule="exact"/>
              <w:jc w:val="center"/>
              <w:rPr>
                <w:rFonts w:asciiTheme="minorHAnsi" w:hAnsiTheme="minorHAnsi"/>
                <w:b/>
                <w:color w:val="auto"/>
                <w:szCs w:val="24"/>
              </w:rPr>
            </w:pPr>
            <w:r w:rsidRPr="0079630A">
              <w:rPr>
                <w:rFonts w:asciiTheme="minorHAnsi" w:hAnsiTheme="minorHAnsi"/>
                <w:b/>
                <w:color w:val="auto"/>
                <w:szCs w:val="24"/>
              </w:rPr>
              <w:t>RATING</w:t>
            </w:r>
          </w:p>
        </w:tc>
      </w:tr>
      <w:tr w:rsidR="00A30963" w:rsidRPr="0079630A" w:rsidTr="00EF6C4A">
        <w:trPr>
          <w:trHeight w:val="188"/>
          <w:jc w:val="center"/>
        </w:trPr>
        <w:tc>
          <w:tcPr>
            <w:tcW w:w="4950" w:type="dxa"/>
            <w:vAlign w:val="center"/>
          </w:tcPr>
          <w:p w:rsidR="00A30963" w:rsidRPr="0079630A" w:rsidRDefault="00A30963" w:rsidP="00E80386">
            <w:pPr>
              <w:tabs>
                <w:tab w:val="left" w:pos="288"/>
                <w:tab w:val="left" w:pos="3538"/>
              </w:tabs>
              <w:spacing w:line="240" w:lineRule="exact"/>
              <w:rPr>
                <w:rFonts w:asciiTheme="minorHAnsi" w:hAnsiTheme="minorHAnsi"/>
                <w:color w:val="auto"/>
                <w:szCs w:val="24"/>
              </w:rPr>
            </w:pPr>
            <w:r w:rsidRPr="0079630A">
              <w:rPr>
                <w:rFonts w:asciiTheme="minorHAnsi" w:hAnsiTheme="minorHAnsi"/>
                <w:color w:val="auto"/>
                <w:szCs w:val="24"/>
              </w:rPr>
              <w:t>Posttraumatic Stress Disorder</w:t>
            </w:r>
          </w:p>
        </w:tc>
        <w:tc>
          <w:tcPr>
            <w:tcW w:w="1710" w:type="dxa"/>
            <w:tcBorders>
              <w:bottom w:val="single" w:sz="4" w:space="0" w:color="000000"/>
            </w:tcBorders>
            <w:vAlign w:val="center"/>
          </w:tcPr>
          <w:p w:rsidR="00A30963" w:rsidRPr="0079630A" w:rsidRDefault="00A30963" w:rsidP="00EF6C4A">
            <w:pPr>
              <w:tabs>
                <w:tab w:val="left" w:pos="288"/>
                <w:tab w:val="left" w:pos="4752"/>
              </w:tabs>
              <w:spacing w:line="240" w:lineRule="exact"/>
              <w:jc w:val="center"/>
              <w:rPr>
                <w:rFonts w:asciiTheme="minorHAnsi" w:hAnsiTheme="minorHAnsi"/>
                <w:color w:val="auto"/>
                <w:szCs w:val="24"/>
              </w:rPr>
            </w:pPr>
            <w:r w:rsidRPr="0079630A">
              <w:rPr>
                <w:rFonts w:asciiTheme="minorHAnsi" w:hAnsiTheme="minorHAnsi"/>
                <w:color w:val="auto"/>
                <w:szCs w:val="24"/>
              </w:rPr>
              <w:t>9411</w:t>
            </w:r>
          </w:p>
        </w:tc>
        <w:tc>
          <w:tcPr>
            <w:tcW w:w="1530" w:type="dxa"/>
            <w:tcBorders>
              <w:bottom w:val="single" w:sz="4" w:space="0" w:color="000000"/>
            </w:tcBorders>
            <w:vAlign w:val="center"/>
          </w:tcPr>
          <w:p w:rsidR="00A30963" w:rsidRPr="0079630A" w:rsidRDefault="00A30963" w:rsidP="00EF6C4A">
            <w:pPr>
              <w:tabs>
                <w:tab w:val="left" w:pos="288"/>
                <w:tab w:val="left" w:pos="4752"/>
              </w:tabs>
              <w:spacing w:line="240" w:lineRule="exact"/>
              <w:jc w:val="center"/>
              <w:rPr>
                <w:rFonts w:asciiTheme="minorHAnsi" w:hAnsiTheme="minorHAnsi"/>
                <w:color w:val="auto"/>
                <w:szCs w:val="24"/>
              </w:rPr>
            </w:pPr>
            <w:r w:rsidRPr="0079630A">
              <w:rPr>
                <w:rFonts w:asciiTheme="minorHAnsi" w:hAnsiTheme="minorHAnsi"/>
                <w:color w:val="auto"/>
                <w:szCs w:val="24"/>
              </w:rPr>
              <w:t>30%</w:t>
            </w:r>
          </w:p>
        </w:tc>
      </w:tr>
      <w:tr w:rsidR="00A30963" w:rsidRPr="0079630A" w:rsidTr="00EF6C4A">
        <w:trPr>
          <w:trHeight w:val="188"/>
          <w:jc w:val="center"/>
        </w:trPr>
        <w:tc>
          <w:tcPr>
            <w:tcW w:w="4950" w:type="dxa"/>
            <w:vAlign w:val="center"/>
          </w:tcPr>
          <w:p w:rsidR="00A30963" w:rsidRPr="0079630A" w:rsidRDefault="00A30963" w:rsidP="00EF6C4A">
            <w:pPr>
              <w:tabs>
                <w:tab w:val="left" w:pos="288"/>
                <w:tab w:val="left" w:pos="3538"/>
              </w:tabs>
              <w:spacing w:line="240" w:lineRule="exact"/>
              <w:rPr>
                <w:rFonts w:asciiTheme="minorHAnsi" w:hAnsiTheme="minorHAnsi"/>
                <w:color w:val="auto"/>
                <w:szCs w:val="24"/>
              </w:rPr>
            </w:pPr>
            <w:r w:rsidRPr="0079630A">
              <w:rPr>
                <w:rFonts w:asciiTheme="minorHAnsi" w:hAnsiTheme="minorHAnsi"/>
                <w:color w:val="auto"/>
                <w:szCs w:val="24"/>
              </w:rPr>
              <w:t>Chronic Low Back Pain</w:t>
            </w:r>
          </w:p>
        </w:tc>
        <w:tc>
          <w:tcPr>
            <w:tcW w:w="1710" w:type="dxa"/>
            <w:tcBorders>
              <w:bottom w:val="single" w:sz="4" w:space="0" w:color="000000"/>
            </w:tcBorders>
            <w:vAlign w:val="center"/>
          </w:tcPr>
          <w:p w:rsidR="00A30963" w:rsidRPr="0079630A" w:rsidRDefault="00A30963" w:rsidP="00EF6C4A">
            <w:pPr>
              <w:tabs>
                <w:tab w:val="left" w:pos="288"/>
                <w:tab w:val="left" w:pos="4752"/>
              </w:tabs>
              <w:spacing w:line="240" w:lineRule="exact"/>
              <w:jc w:val="center"/>
              <w:rPr>
                <w:rFonts w:asciiTheme="minorHAnsi" w:hAnsiTheme="minorHAnsi"/>
                <w:color w:val="auto"/>
                <w:szCs w:val="24"/>
              </w:rPr>
            </w:pPr>
            <w:r w:rsidRPr="0079630A">
              <w:rPr>
                <w:rFonts w:asciiTheme="minorHAnsi" w:hAnsiTheme="minorHAnsi"/>
                <w:color w:val="auto"/>
                <w:szCs w:val="24"/>
              </w:rPr>
              <w:t>5299-5237</w:t>
            </w:r>
          </w:p>
        </w:tc>
        <w:tc>
          <w:tcPr>
            <w:tcW w:w="1530" w:type="dxa"/>
            <w:tcBorders>
              <w:bottom w:val="single" w:sz="4" w:space="0" w:color="000000"/>
            </w:tcBorders>
            <w:vAlign w:val="center"/>
          </w:tcPr>
          <w:p w:rsidR="00A30963" w:rsidRPr="0079630A" w:rsidRDefault="00A30963" w:rsidP="00EF6C4A">
            <w:pPr>
              <w:tabs>
                <w:tab w:val="left" w:pos="288"/>
                <w:tab w:val="left" w:pos="4752"/>
              </w:tabs>
              <w:spacing w:line="240" w:lineRule="exact"/>
              <w:jc w:val="center"/>
              <w:rPr>
                <w:rFonts w:asciiTheme="minorHAnsi" w:hAnsiTheme="minorHAnsi"/>
                <w:color w:val="auto"/>
                <w:szCs w:val="24"/>
              </w:rPr>
            </w:pPr>
            <w:r w:rsidRPr="0079630A">
              <w:rPr>
                <w:rFonts w:asciiTheme="minorHAnsi" w:hAnsiTheme="minorHAnsi"/>
                <w:color w:val="auto"/>
                <w:szCs w:val="24"/>
              </w:rPr>
              <w:t>20%</w:t>
            </w:r>
          </w:p>
        </w:tc>
      </w:tr>
      <w:tr w:rsidR="00A30963" w:rsidRPr="0079630A" w:rsidTr="00EF6C4A">
        <w:tblPrEx>
          <w:tblLook w:val="0000"/>
        </w:tblPrEx>
        <w:trPr>
          <w:gridBefore w:val="1"/>
          <w:wBefore w:w="4950" w:type="dxa"/>
          <w:trHeight w:val="188"/>
          <w:jc w:val="center"/>
        </w:trPr>
        <w:tc>
          <w:tcPr>
            <w:tcW w:w="1710" w:type="dxa"/>
            <w:tcBorders>
              <w:left w:val="single" w:sz="4" w:space="0" w:color="auto"/>
            </w:tcBorders>
            <w:shd w:val="pct15" w:color="auto" w:fill="auto"/>
            <w:vAlign w:val="center"/>
          </w:tcPr>
          <w:p w:rsidR="00A30963" w:rsidRPr="0079630A" w:rsidRDefault="00A30963" w:rsidP="00EF6C4A">
            <w:pPr>
              <w:tabs>
                <w:tab w:val="left" w:pos="288"/>
                <w:tab w:val="left" w:pos="4752"/>
              </w:tabs>
              <w:spacing w:line="240" w:lineRule="exact"/>
              <w:jc w:val="center"/>
              <w:rPr>
                <w:rFonts w:asciiTheme="minorHAnsi" w:hAnsiTheme="minorHAnsi"/>
                <w:b/>
                <w:color w:val="auto"/>
                <w:szCs w:val="24"/>
              </w:rPr>
            </w:pPr>
            <w:r w:rsidRPr="0079630A">
              <w:rPr>
                <w:rFonts w:asciiTheme="minorHAnsi" w:hAnsiTheme="minorHAnsi"/>
                <w:b/>
                <w:color w:val="auto"/>
                <w:szCs w:val="24"/>
              </w:rPr>
              <w:t>COMBINED</w:t>
            </w:r>
          </w:p>
        </w:tc>
        <w:tc>
          <w:tcPr>
            <w:tcW w:w="1530" w:type="dxa"/>
            <w:shd w:val="pct15" w:color="auto" w:fill="auto"/>
            <w:vAlign w:val="center"/>
          </w:tcPr>
          <w:p w:rsidR="00A30963" w:rsidRPr="0079630A" w:rsidRDefault="00A30963" w:rsidP="00EF6C4A">
            <w:pPr>
              <w:tabs>
                <w:tab w:val="left" w:pos="288"/>
                <w:tab w:val="left" w:pos="4752"/>
              </w:tabs>
              <w:spacing w:line="240" w:lineRule="exact"/>
              <w:jc w:val="center"/>
              <w:rPr>
                <w:rFonts w:asciiTheme="minorHAnsi" w:hAnsiTheme="minorHAnsi"/>
                <w:b/>
                <w:color w:val="auto"/>
                <w:szCs w:val="24"/>
              </w:rPr>
            </w:pPr>
            <w:r w:rsidRPr="0079630A">
              <w:rPr>
                <w:rFonts w:asciiTheme="minorHAnsi" w:hAnsiTheme="minorHAnsi"/>
                <w:b/>
                <w:color w:val="auto"/>
                <w:szCs w:val="24"/>
              </w:rPr>
              <w:t>40%</w:t>
            </w:r>
          </w:p>
        </w:tc>
      </w:tr>
    </w:tbl>
    <w:p w:rsidR="00A83C15" w:rsidRPr="0079630A" w:rsidRDefault="00A83C15" w:rsidP="00510F9C">
      <w:pPr>
        <w:tabs>
          <w:tab w:val="left" w:pos="288"/>
          <w:tab w:val="left" w:pos="1710"/>
        </w:tabs>
        <w:spacing w:line="240" w:lineRule="exact"/>
        <w:rPr>
          <w:rFonts w:asciiTheme="minorHAnsi" w:hAnsiTheme="minorHAnsi"/>
          <w:b/>
          <w:caps/>
          <w:color w:val="auto"/>
          <w:u w:val="single"/>
        </w:rPr>
      </w:pPr>
      <w:r w:rsidRPr="0079630A">
        <w:rPr>
          <w:rFonts w:asciiTheme="minorHAnsi" w:hAnsiTheme="minorHAnsi"/>
          <w:b/>
          <w:color w:val="auto"/>
          <w:u w:val="single"/>
        </w:rPr>
        <w:t>______________________________________________________________________________</w:t>
      </w:r>
    </w:p>
    <w:p w:rsidR="00106AD8" w:rsidRPr="0079630A" w:rsidRDefault="00106AD8" w:rsidP="00510F9C">
      <w:pPr>
        <w:tabs>
          <w:tab w:val="left" w:pos="288"/>
          <w:tab w:val="left" w:pos="4752"/>
        </w:tabs>
        <w:spacing w:line="240" w:lineRule="exact"/>
        <w:rPr>
          <w:b/>
          <w:color w:val="auto"/>
          <w:szCs w:val="24"/>
        </w:rPr>
      </w:pPr>
    </w:p>
    <w:p w:rsidR="00D91DA6" w:rsidRPr="0079630A" w:rsidRDefault="00FB1725" w:rsidP="00510F9C">
      <w:pPr>
        <w:tabs>
          <w:tab w:val="left" w:pos="288"/>
          <w:tab w:val="left" w:pos="4752"/>
        </w:tabs>
        <w:spacing w:line="240" w:lineRule="exact"/>
        <w:jc w:val="both"/>
        <w:rPr>
          <w:rFonts w:asciiTheme="minorHAnsi" w:hAnsiTheme="minorHAnsi"/>
          <w:color w:val="auto"/>
        </w:rPr>
      </w:pPr>
      <w:r w:rsidRPr="0079630A">
        <w:rPr>
          <w:rFonts w:asciiTheme="minorHAnsi" w:hAnsiTheme="minorHAnsi"/>
          <w:color w:val="auto"/>
        </w:rPr>
        <w:t>The following documentary evidence was considered:</w:t>
      </w:r>
    </w:p>
    <w:p w:rsidR="00EB5EFD" w:rsidRPr="0079630A" w:rsidRDefault="00EB5EFD" w:rsidP="00510F9C">
      <w:pPr>
        <w:tabs>
          <w:tab w:val="left" w:pos="288"/>
          <w:tab w:val="left" w:pos="4752"/>
        </w:tabs>
        <w:spacing w:line="240" w:lineRule="exact"/>
        <w:jc w:val="both"/>
        <w:rPr>
          <w:rFonts w:asciiTheme="minorHAnsi" w:hAnsiTheme="minorHAnsi"/>
          <w:color w:val="auto"/>
        </w:rPr>
      </w:pPr>
    </w:p>
    <w:p w:rsidR="00114F20" w:rsidRPr="0079630A" w:rsidRDefault="00FB1725" w:rsidP="00510F9C">
      <w:pPr>
        <w:tabs>
          <w:tab w:val="left" w:pos="288"/>
          <w:tab w:val="left" w:pos="4752"/>
        </w:tabs>
        <w:spacing w:line="240" w:lineRule="exact"/>
        <w:jc w:val="both"/>
        <w:rPr>
          <w:rFonts w:asciiTheme="minorHAnsi" w:hAnsiTheme="minorHAnsi"/>
          <w:color w:val="auto"/>
        </w:rPr>
      </w:pPr>
      <w:r w:rsidRPr="0079630A">
        <w:rPr>
          <w:rFonts w:asciiTheme="minorHAnsi" w:hAnsiTheme="minorHAnsi"/>
          <w:color w:val="auto"/>
        </w:rPr>
        <w:t>Exhibit A.  DD Form 294, dated 20</w:t>
      </w:r>
      <w:r w:rsidR="00F42C62" w:rsidRPr="0079630A">
        <w:rPr>
          <w:rFonts w:asciiTheme="minorHAnsi" w:hAnsiTheme="minorHAnsi"/>
          <w:color w:val="auto"/>
        </w:rPr>
        <w:t>110308</w:t>
      </w:r>
      <w:r w:rsidR="00695985">
        <w:rPr>
          <w:rFonts w:asciiTheme="minorHAnsi" w:hAnsiTheme="minorHAnsi"/>
          <w:color w:val="auto"/>
        </w:rPr>
        <w:t>, w/atchs</w:t>
      </w:r>
    </w:p>
    <w:p w:rsidR="00114F20" w:rsidRPr="0079630A" w:rsidRDefault="00FB1725" w:rsidP="00510F9C">
      <w:pPr>
        <w:tabs>
          <w:tab w:val="left" w:pos="288"/>
          <w:tab w:val="left" w:pos="4752"/>
        </w:tabs>
        <w:spacing w:line="240" w:lineRule="exact"/>
        <w:jc w:val="both"/>
        <w:rPr>
          <w:rFonts w:asciiTheme="minorHAnsi" w:hAnsiTheme="minorHAnsi"/>
          <w:color w:val="auto"/>
        </w:rPr>
      </w:pPr>
      <w:r w:rsidRPr="0079630A">
        <w:rPr>
          <w:rFonts w:asciiTheme="minorHAnsi" w:hAnsiTheme="minorHAnsi"/>
          <w:color w:val="auto"/>
        </w:rPr>
        <w:t>Exhib</w:t>
      </w:r>
      <w:r w:rsidR="00695985">
        <w:rPr>
          <w:rFonts w:asciiTheme="minorHAnsi" w:hAnsiTheme="minorHAnsi"/>
          <w:color w:val="auto"/>
        </w:rPr>
        <w:t>it B.  Service Treatment Record</w:t>
      </w:r>
    </w:p>
    <w:p w:rsidR="00114F20" w:rsidRPr="0079630A" w:rsidRDefault="00FB1725" w:rsidP="00510F9C">
      <w:pPr>
        <w:tabs>
          <w:tab w:val="left" w:pos="288"/>
          <w:tab w:val="left" w:pos="4752"/>
        </w:tabs>
        <w:spacing w:line="240" w:lineRule="exact"/>
        <w:jc w:val="both"/>
        <w:rPr>
          <w:rFonts w:asciiTheme="minorHAnsi" w:hAnsiTheme="minorHAnsi"/>
          <w:color w:val="auto"/>
        </w:rPr>
      </w:pPr>
      <w:r w:rsidRPr="0079630A">
        <w:rPr>
          <w:rFonts w:asciiTheme="minorHAnsi" w:hAnsiTheme="minorHAnsi"/>
          <w:color w:val="auto"/>
        </w:rPr>
        <w:t>Exhibit C.  Department of Vet</w:t>
      </w:r>
      <w:r w:rsidR="00695985">
        <w:rPr>
          <w:rFonts w:asciiTheme="minorHAnsi" w:hAnsiTheme="minorHAnsi"/>
          <w:color w:val="auto"/>
        </w:rPr>
        <w:t>erans' Affairs Treatment Record</w:t>
      </w:r>
    </w:p>
    <w:p w:rsidR="00D91DA6" w:rsidRPr="0079630A" w:rsidRDefault="00D91DA6" w:rsidP="00510F9C">
      <w:pPr>
        <w:tabs>
          <w:tab w:val="left" w:pos="288"/>
          <w:tab w:val="left" w:pos="4752"/>
        </w:tabs>
        <w:spacing w:line="240" w:lineRule="exact"/>
        <w:jc w:val="both"/>
        <w:rPr>
          <w:rFonts w:asciiTheme="minorHAnsi" w:hAnsiTheme="minorHAnsi"/>
          <w:color w:val="auto"/>
        </w:rPr>
      </w:pPr>
    </w:p>
    <w:p w:rsidR="00114F20" w:rsidRPr="0079630A" w:rsidRDefault="00114F20" w:rsidP="00510F9C">
      <w:pPr>
        <w:tabs>
          <w:tab w:val="left" w:pos="288"/>
          <w:tab w:val="left" w:pos="4752"/>
        </w:tabs>
        <w:spacing w:line="240" w:lineRule="exact"/>
        <w:jc w:val="both"/>
        <w:rPr>
          <w:rFonts w:asciiTheme="minorHAnsi" w:hAnsiTheme="minorHAnsi"/>
          <w:color w:val="auto"/>
        </w:rPr>
      </w:pPr>
    </w:p>
    <w:p w:rsidR="00114F20" w:rsidRPr="0079630A" w:rsidRDefault="00114F20" w:rsidP="00510F9C">
      <w:pPr>
        <w:tabs>
          <w:tab w:val="left" w:pos="288"/>
          <w:tab w:val="left" w:pos="4752"/>
        </w:tabs>
        <w:spacing w:line="240" w:lineRule="exact"/>
        <w:jc w:val="both"/>
        <w:rPr>
          <w:rFonts w:asciiTheme="minorHAnsi" w:hAnsiTheme="minorHAnsi"/>
          <w:color w:val="auto"/>
        </w:rPr>
      </w:pPr>
    </w:p>
    <w:p w:rsidR="00114F20" w:rsidRPr="0079630A" w:rsidRDefault="00114F20" w:rsidP="00510F9C">
      <w:pPr>
        <w:tabs>
          <w:tab w:val="left" w:pos="288"/>
          <w:tab w:val="left" w:pos="4752"/>
        </w:tabs>
        <w:spacing w:line="240" w:lineRule="exact"/>
        <w:jc w:val="both"/>
        <w:rPr>
          <w:rFonts w:asciiTheme="minorHAnsi" w:hAnsiTheme="minorHAnsi"/>
          <w:color w:val="auto"/>
        </w:rPr>
      </w:pPr>
    </w:p>
    <w:p w:rsidR="004C7B3E" w:rsidRPr="0079630A" w:rsidRDefault="004C7B3E" w:rsidP="004C7B3E">
      <w:pPr>
        <w:tabs>
          <w:tab w:val="left" w:pos="0"/>
          <w:tab w:val="left" w:pos="4320"/>
        </w:tabs>
        <w:spacing w:line="240" w:lineRule="exact"/>
        <w:jc w:val="both"/>
        <w:rPr>
          <w:rFonts w:asciiTheme="minorHAnsi" w:hAnsiTheme="minorHAnsi"/>
          <w:color w:val="auto"/>
        </w:rPr>
      </w:pPr>
      <w:r w:rsidRPr="0079630A">
        <w:rPr>
          <w:rFonts w:asciiTheme="minorHAnsi" w:hAnsiTheme="minorHAnsi"/>
          <w:color w:val="auto"/>
        </w:rPr>
        <w:tab/>
      </w:r>
      <w:r w:rsidRPr="0079630A">
        <w:rPr>
          <w:rFonts w:asciiTheme="minorHAnsi" w:hAnsiTheme="minorHAnsi"/>
          <w:color w:val="auto"/>
        </w:rPr>
        <w:tab/>
      </w:r>
      <w:r w:rsidR="005E0C3A">
        <w:rPr>
          <w:rFonts w:asciiTheme="minorHAnsi" w:hAnsiTheme="minorHAnsi"/>
          <w:color w:val="auto"/>
        </w:rPr>
        <w:t>XXXXXXXXXXX</w:t>
      </w:r>
    </w:p>
    <w:p w:rsidR="004C7B3E" w:rsidRPr="0079630A" w:rsidRDefault="004C7B3E" w:rsidP="004C7B3E">
      <w:pPr>
        <w:tabs>
          <w:tab w:val="left" w:pos="0"/>
          <w:tab w:val="left" w:pos="4320"/>
        </w:tabs>
        <w:spacing w:line="240" w:lineRule="exact"/>
        <w:jc w:val="both"/>
        <w:rPr>
          <w:rFonts w:asciiTheme="minorHAnsi" w:hAnsiTheme="minorHAnsi"/>
          <w:color w:val="auto"/>
        </w:rPr>
      </w:pPr>
      <w:r w:rsidRPr="0079630A">
        <w:rPr>
          <w:rFonts w:asciiTheme="minorHAnsi" w:hAnsiTheme="minorHAnsi"/>
          <w:color w:val="auto"/>
        </w:rPr>
        <w:tab/>
      </w:r>
      <w:r w:rsidRPr="0079630A">
        <w:rPr>
          <w:rFonts w:asciiTheme="minorHAnsi" w:hAnsiTheme="minorHAnsi"/>
          <w:color w:val="auto"/>
        </w:rPr>
        <w:tab/>
        <w:t>President</w:t>
      </w:r>
    </w:p>
    <w:p w:rsidR="004C7B3E" w:rsidRDefault="004C7B3E" w:rsidP="004C7B3E">
      <w:pPr>
        <w:tabs>
          <w:tab w:val="left" w:pos="0"/>
          <w:tab w:val="left" w:pos="4320"/>
        </w:tabs>
        <w:spacing w:line="240" w:lineRule="exact"/>
        <w:jc w:val="both"/>
        <w:rPr>
          <w:rFonts w:asciiTheme="minorHAnsi" w:hAnsiTheme="minorHAnsi"/>
          <w:color w:val="auto"/>
        </w:rPr>
      </w:pPr>
      <w:r w:rsidRPr="0079630A">
        <w:rPr>
          <w:rFonts w:asciiTheme="minorHAnsi" w:hAnsiTheme="minorHAnsi"/>
          <w:color w:val="auto"/>
        </w:rPr>
        <w:tab/>
      </w:r>
      <w:r w:rsidRPr="0079630A">
        <w:rPr>
          <w:rFonts w:asciiTheme="minorHAnsi" w:hAnsiTheme="minorHAnsi"/>
          <w:color w:val="auto"/>
        </w:rPr>
        <w:tab/>
        <w:t>Physical Disability Board of Review</w:t>
      </w:r>
    </w:p>
    <w:p w:rsidR="000E3A73" w:rsidRDefault="000E3A73" w:rsidP="004C7B3E">
      <w:pPr>
        <w:tabs>
          <w:tab w:val="left" w:pos="0"/>
          <w:tab w:val="left" w:pos="4320"/>
        </w:tabs>
        <w:spacing w:line="240" w:lineRule="exact"/>
        <w:jc w:val="both"/>
        <w:rPr>
          <w:rFonts w:asciiTheme="minorHAnsi" w:hAnsiTheme="minorHAnsi"/>
          <w:color w:val="auto"/>
        </w:rPr>
      </w:pPr>
    </w:p>
    <w:p w:rsidR="000E3A73" w:rsidRDefault="000E3A73" w:rsidP="004C7B3E">
      <w:pPr>
        <w:tabs>
          <w:tab w:val="left" w:pos="0"/>
          <w:tab w:val="left" w:pos="4320"/>
        </w:tabs>
        <w:spacing w:line="240" w:lineRule="exact"/>
        <w:jc w:val="both"/>
        <w:rPr>
          <w:rFonts w:asciiTheme="minorHAnsi" w:hAnsiTheme="minorHAnsi"/>
          <w:color w:val="auto"/>
        </w:rPr>
      </w:pPr>
    </w:p>
    <w:p w:rsidR="000E3A73" w:rsidRDefault="000E3A73" w:rsidP="004C7B3E">
      <w:pPr>
        <w:tabs>
          <w:tab w:val="left" w:pos="0"/>
          <w:tab w:val="left" w:pos="4320"/>
        </w:tabs>
        <w:spacing w:line="240" w:lineRule="exact"/>
        <w:jc w:val="both"/>
        <w:rPr>
          <w:rFonts w:asciiTheme="minorHAnsi" w:hAnsiTheme="minorHAnsi"/>
          <w:color w:val="auto"/>
        </w:rPr>
      </w:pPr>
    </w:p>
    <w:p w:rsidR="000E3A73" w:rsidRDefault="000E3A73" w:rsidP="004C7B3E">
      <w:pPr>
        <w:tabs>
          <w:tab w:val="left" w:pos="0"/>
          <w:tab w:val="left" w:pos="4320"/>
        </w:tabs>
        <w:spacing w:line="240" w:lineRule="exact"/>
        <w:jc w:val="both"/>
        <w:rPr>
          <w:rFonts w:asciiTheme="minorHAnsi" w:hAnsiTheme="minorHAnsi"/>
          <w:color w:val="auto"/>
        </w:rPr>
      </w:pPr>
    </w:p>
    <w:p w:rsidR="00A30963" w:rsidRDefault="00A30963">
      <w:pPr>
        <w:rPr>
          <w:rFonts w:asciiTheme="minorHAnsi" w:hAnsiTheme="minorHAnsi"/>
          <w:color w:val="auto"/>
        </w:rPr>
      </w:pPr>
      <w:r>
        <w:rPr>
          <w:rFonts w:asciiTheme="minorHAnsi" w:hAnsiTheme="minorHAnsi"/>
          <w:color w:val="auto"/>
        </w:rPr>
        <w:br w:type="page"/>
      </w:r>
    </w:p>
    <w:p w:rsidR="000E3A73" w:rsidRDefault="000E3A73" w:rsidP="004C7B3E">
      <w:pPr>
        <w:tabs>
          <w:tab w:val="left" w:pos="0"/>
          <w:tab w:val="left" w:pos="4320"/>
        </w:tabs>
        <w:spacing w:line="240" w:lineRule="exact"/>
        <w:jc w:val="both"/>
        <w:rPr>
          <w:rFonts w:asciiTheme="minorHAnsi" w:hAnsiTheme="minorHAnsi"/>
          <w:color w:val="auto"/>
        </w:rPr>
      </w:pPr>
    </w:p>
    <w:p w:rsidR="000E3A73" w:rsidRDefault="000E3A73" w:rsidP="004C7B3E">
      <w:pPr>
        <w:tabs>
          <w:tab w:val="left" w:pos="0"/>
          <w:tab w:val="left" w:pos="4320"/>
        </w:tabs>
        <w:spacing w:line="240" w:lineRule="exact"/>
        <w:jc w:val="both"/>
        <w:rPr>
          <w:rFonts w:asciiTheme="minorHAnsi" w:hAnsiTheme="minorHAnsi"/>
          <w:color w:val="auto"/>
        </w:rPr>
      </w:pPr>
    </w:p>
    <w:p w:rsidR="000E3A73" w:rsidRDefault="000E3A73" w:rsidP="004C7B3E">
      <w:pPr>
        <w:tabs>
          <w:tab w:val="left" w:pos="0"/>
          <w:tab w:val="left" w:pos="4320"/>
        </w:tabs>
        <w:spacing w:line="240" w:lineRule="exact"/>
        <w:jc w:val="both"/>
        <w:rPr>
          <w:rFonts w:asciiTheme="minorHAnsi" w:hAnsiTheme="minorHAnsi"/>
          <w:color w:val="auto"/>
        </w:rPr>
      </w:pPr>
    </w:p>
    <w:p w:rsidR="000E3A73" w:rsidRDefault="000E3A73" w:rsidP="000E3A73">
      <w:pPr>
        <w:spacing w:line="240" w:lineRule="atLeast"/>
        <w:rPr>
          <w:rFonts w:asciiTheme="minorHAnsi" w:eastAsiaTheme="minorHAnsi" w:hAnsiTheme="minorHAnsi" w:cstheme="minorBidi"/>
          <w:color w:val="auto"/>
          <w:szCs w:val="24"/>
        </w:rPr>
      </w:pPr>
      <w:r w:rsidRPr="004D1271">
        <w:rPr>
          <w:rFonts w:asciiTheme="minorHAnsi" w:eastAsiaTheme="minorHAnsi" w:hAnsiTheme="minorHAnsi" w:cstheme="minorBidi"/>
          <w:color w:val="auto"/>
          <w:szCs w:val="24"/>
          <w:u w:val="single"/>
        </w:rPr>
        <w:t>MINORITY OPINION</w:t>
      </w:r>
      <w:r>
        <w:rPr>
          <w:rFonts w:asciiTheme="minorHAnsi" w:eastAsiaTheme="minorHAnsi" w:hAnsiTheme="minorHAnsi" w:cstheme="minorBidi"/>
          <w:color w:val="auto"/>
          <w:szCs w:val="24"/>
        </w:rPr>
        <w:t>:</w:t>
      </w:r>
      <w:r w:rsidRPr="007F0A30">
        <w:rPr>
          <w:rFonts w:asciiTheme="minorHAnsi" w:eastAsiaTheme="minorHAnsi" w:hAnsiTheme="minorHAnsi" w:cstheme="minorBidi"/>
          <w:color w:val="auto"/>
          <w:szCs w:val="24"/>
        </w:rPr>
        <w:t xml:space="preserve">   </w:t>
      </w:r>
    </w:p>
    <w:p w:rsidR="000E3A73" w:rsidRDefault="000E3A73" w:rsidP="000E3A73">
      <w:pPr>
        <w:spacing w:line="240" w:lineRule="atLeast"/>
        <w:rPr>
          <w:rFonts w:asciiTheme="minorHAnsi" w:eastAsiaTheme="minorHAnsi" w:hAnsiTheme="minorHAnsi" w:cstheme="minorBidi"/>
          <w:color w:val="auto"/>
          <w:szCs w:val="24"/>
        </w:rPr>
      </w:pPr>
    </w:p>
    <w:p w:rsidR="000E3A73" w:rsidRDefault="000E3A73" w:rsidP="000E3A73">
      <w:pPr>
        <w:spacing w:line="240" w:lineRule="exact"/>
        <w:jc w:val="both"/>
        <w:rPr>
          <w:rFonts w:asciiTheme="minorHAnsi" w:eastAsiaTheme="minorHAnsi" w:hAnsiTheme="minorHAnsi" w:cstheme="minorBidi"/>
          <w:color w:val="auto"/>
          <w:szCs w:val="24"/>
        </w:rPr>
      </w:pPr>
      <w:r w:rsidRPr="007F0A30">
        <w:rPr>
          <w:rFonts w:asciiTheme="minorHAnsi" w:eastAsiaTheme="minorHAnsi" w:hAnsiTheme="minorHAnsi" w:cstheme="minorBidi"/>
          <w:color w:val="auto"/>
          <w:szCs w:val="24"/>
        </w:rPr>
        <w:t xml:space="preserve">The majority in this case conceded a permanent separation rating of 20% for the Chronic Low Back Pain condition.  The majority vote defaulted to a higher rating recommendation based upon the PT exam from the MEB clinic one month pre-TDRL exit.   The majority vote believes the PT Exam has more probative value over the NARSUM exam which was three months pre-PEB and four months pre-TDRL exit.  The reasoning behind the majority’s vote using the PT exam as having the higher probative value was due to this exam being closer to the date of separation and containing a complete ratable goniometric ROM. </w:t>
      </w:r>
    </w:p>
    <w:p w:rsidR="000E3A73" w:rsidRPr="007F0A30" w:rsidRDefault="000E3A73" w:rsidP="000E3A73">
      <w:pPr>
        <w:spacing w:line="240" w:lineRule="exact"/>
        <w:jc w:val="both"/>
        <w:rPr>
          <w:rFonts w:asciiTheme="minorHAnsi" w:eastAsiaTheme="minorHAnsi" w:hAnsiTheme="minorHAnsi" w:cstheme="minorBidi"/>
          <w:color w:val="auto"/>
          <w:szCs w:val="24"/>
        </w:rPr>
      </w:pPr>
      <w:r w:rsidRPr="007F0A30">
        <w:rPr>
          <w:rFonts w:asciiTheme="minorHAnsi" w:eastAsiaTheme="minorHAnsi" w:hAnsiTheme="minorHAnsi" w:cstheme="minorBidi"/>
          <w:color w:val="auto"/>
          <w:szCs w:val="24"/>
        </w:rPr>
        <w:t xml:space="preserve"> </w:t>
      </w:r>
      <w:r w:rsidR="00655EE9">
        <w:rPr>
          <w:rFonts w:asciiTheme="minorHAnsi" w:eastAsiaTheme="minorHAnsi" w:hAnsiTheme="minorHAnsi" w:cstheme="minorBidi"/>
          <w:color w:val="auto"/>
          <w:szCs w:val="24"/>
        </w:rPr>
        <w:t xml:space="preserve"> </w:t>
      </w:r>
    </w:p>
    <w:p w:rsidR="000E3A73" w:rsidRDefault="000E3A73" w:rsidP="000E3A73">
      <w:pPr>
        <w:spacing w:line="240" w:lineRule="exact"/>
        <w:jc w:val="both"/>
        <w:rPr>
          <w:rFonts w:asciiTheme="minorHAnsi" w:eastAsiaTheme="minorHAnsi" w:hAnsiTheme="minorHAnsi" w:cstheme="minorBidi"/>
          <w:color w:val="auto"/>
          <w:szCs w:val="24"/>
        </w:rPr>
      </w:pPr>
      <w:r w:rsidRPr="007F0A30">
        <w:rPr>
          <w:rFonts w:asciiTheme="minorHAnsi" w:eastAsiaTheme="minorHAnsi" w:hAnsiTheme="minorHAnsi" w:cstheme="minorBidi"/>
          <w:color w:val="auto"/>
          <w:szCs w:val="24"/>
        </w:rPr>
        <w:t>The minority vote in this case disagrees and believes the NARSUM exam (which was three months pre-PEB and four months pre-TDRL exit) has the highest probative value for the time of the PEB adjudication and the PDBR adjudication.  The NARSUM exam supports a 10% rating based upon range of motion limited by pain with no neurologic abnormalities.  It does not support a cha</w:t>
      </w:r>
      <w:r>
        <w:rPr>
          <w:rFonts w:asciiTheme="minorHAnsi" w:eastAsiaTheme="minorHAnsi" w:hAnsiTheme="minorHAnsi" w:cstheme="minorBidi"/>
          <w:color w:val="auto"/>
          <w:szCs w:val="24"/>
        </w:rPr>
        <w:t xml:space="preserve">nge in the </w:t>
      </w:r>
      <w:r w:rsidRPr="007F0A30">
        <w:rPr>
          <w:rFonts w:asciiTheme="minorHAnsi" w:eastAsiaTheme="minorHAnsi" w:hAnsiTheme="minorHAnsi" w:cstheme="minorBidi"/>
          <w:color w:val="auto"/>
          <w:szCs w:val="24"/>
        </w:rPr>
        <w:t>10%</w:t>
      </w:r>
      <w:r>
        <w:rPr>
          <w:rFonts w:asciiTheme="minorHAnsi" w:eastAsiaTheme="minorHAnsi" w:hAnsiTheme="minorHAnsi" w:cstheme="minorBidi"/>
          <w:color w:val="auto"/>
          <w:szCs w:val="24"/>
        </w:rPr>
        <w:t xml:space="preserve"> permanent rating as appropriately adjudicated by the final PEB, relying on a competent and well-documented examination by an orthopedic surgeon.</w:t>
      </w:r>
    </w:p>
    <w:p w:rsidR="000E3A73" w:rsidRDefault="000E3A73" w:rsidP="000E3A73">
      <w:pPr>
        <w:spacing w:line="240" w:lineRule="exact"/>
        <w:jc w:val="both"/>
        <w:rPr>
          <w:rFonts w:asciiTheme="minorHAnsi" w:eastAsiaTheme="minorHAnsi" w:hAnsiTheme="minorHAnsi" w:cstheme="minorBidi"/>
          <w:color w:val="auto"/>
          <w:szCs w:val="24"/>
        </w:rPr>
      </w:pPr>
    </w:p>
    <w:p w:rsidR="000E3A73" w:rsidRDefault="000E3A73" w:rsidP="000E3A73">
      <w:pPr>
        <w:spacing w:line="240" w:lineRule="exact"/>
        <w:jc w:val="both"/>
        <w:rPr>
          <w:rFonts w:asciiTheme="minorHAnsi" w:eastAsiaTheme="minorHAnsi" w:hAnsiTheme="minorHAnsi" w:cstheme="minorHAnsi"/>
          <w:color w:val="auto"/>
          <w:szCs w:val="24"/>
        </w:rPr>
      </w:pPr>
      <w:r>
        <w:rPr>
          <w:rFonts w:asciiTheme="minorHAnsi" w:eastAsiaTheme="minorHAnsi" w:hAnsiTheme="minorHAnsi" w:cstheme="minorBidi"/>
          <w:color w:val="auto"/>
          <w:szCs w:val="24"/>
        </w:rPr>
        <w:t>The majority’s opinion that the specialty TDRL re-evaluation “would not likely support the 20% rating criteria” is understated.  Flexion of fingertips-to-ankles is 80-90</w:t>
      </w:r>
      <w:r>
        <w:rPr>
          <w:rFonts w:asciiTheme="minorHAnsi" w:eastAsiaTheme="minorHAnsi" w:hAnsiTheme="minorHAnsi" w:cstheme="minorHAnsi"/>
          <w:color w:val="auto"/>
          <w:szCs w:val="24"/>
        </w:rPr>
        <w:t>⁰</w:t>
      </w:r>
      <w:r>
        <w:rPr>
          <w:rFonts w:asciiTheme="minorHAnsi" w:eastAsiaTheme="minorHAnsi" w:hAnsiTheme="minorHAnsi" w:cstheme="minorBidi"/>
          <w:color w:val="auto"/>
          <w:szCs w:val="24"/>
        </w:rPr>
        <w:t xml:space="preserve">, especially considering the normal body </w:t>
      </w:r>
      <w:proofErr w:type="spellStart"/>
      <w:r>
        <w:rPr>
          <w:rFonts w:asciiTheme="minorHAnsi" w:eastAsiaTheme="minorHAnsi" w:hAnsiTheme="minorHAnsi" w:cstheme="minorBidi"/>
          <w:color w:val="auto"/>
          <w:szCs w:val="24"/>
        </w:rPr>
        <w:t>habitus</w:t>
      </w:r>
      <w:proofErr w:type="spellEnd"/>
      <w:r>
        <w:rPr>
          <w:rFonts w:asciiTheme="minorHAnsi" w:eastAsiaTheme="minorHAnsi" w:hAnsiTheme="minorHAnsi" w:cstheme="minorBidi"/>
          <w:color w:val="auto"/>
          <w:szCs w:val="24"/>
        </w:rPr>
        <w:t xml:space="preserve"> documented on the MEB physical.  The absence of spasm or tenderness with normal posture and gait are convincing collateral physical findings compatible with normal, or nearly so, range of motion.  Therefore the TDRL orthopedic specialty examination was, beyond any reasonable argument to the contrary, consistent with a </w:t>
      </w:r>
      <w:r>
        <w:rPr>
          <w:rFonts w:asciiTheme="minorHAnsi" w:eastAsiaTheme="minorHAnsi" w:hAnsiTheme="minorHAnsi" w:cstheme="minorHAnsi"/>
          <w:color w:val="auto"/>
          <w:szCs w:val="24"/>
        </w:rPr>
        <w:t xml:space="preserve">§4.71a rating of 10%.  The majority assumption would lie with a conclusion that three months later, over the course of a clinically silent period, the range of motion declined to 50% of normal.  That conclusion is based on a physical therapist’s </w:t>
      </w:r>
      <w:r w:rsidR="004D0BC8">
        <w:rPr>
          <w:rFonts w:asciiTheme="minorHAnsi" w:eastAsiaTheme="minorHAnsi" w:hAnsiTheme="minorHAnsi" w:cstheme="minorHAnsi"/>
          <w:color w:val="auto"/>
          <w:szCs w:val="24"/>
        </w:rPr>
        <w:t xml:space="preserve">(PT) </w:t>
      </w:r>
      <w:r>
        <w:rPr>
          <w:rFonts w:asciiTheme="minorHAnsi" w:eastAsiaTheme="minorHAnsi" w:hAnsiTheme="minorHAnsi" w:cstheme="minorHAnsi"/>
          <w:color w:val="auto"/>
          <w:szCs w:val="24"/>
        </w:rPr>
        <w:t>measurements capped at the point of subjective onset of pain</w:t>
      </w:r>
      <w:r w:rsidR="007C7DA2">
        <w:rPr>
          <w:rFonts w:asciiTheme="minorHAnsi" w:eastAsiaTheme="minorHAnsi" w:hAnsiTheme="minorHAnsi" w:cstheme="minorHAnsi"/>
          <w:color w:val="auto"/>
          <w:szCs w:val="24"/>
        </w:rPr>
        <w:t xml:space="preserve"> (</w:t>
      </w:r>
      <w:r w:rsidR="004D0BC8">
        <w:rPr>
          <w:rFonts w:asciiTheme="minorHAnsi" w:eastAsiaTheme="minorHAnsi" w:hAnsiTheme="minorHAnsi" w:cstheme="minorHAnsi"/>
          <w:color w:val="auto"/>
          <w:szCs w:val="24"/>
        </w:rPr>
        <w:t>PT documented, “</w:t>
      </w:r>
      <w:r w:rsidR="00306DCF">
        <w:rPr>
          <w:rFonts w:asciiTheme="minorHAnsi" w:eastAsiaTheme="minorHAnsi" w:hAnsiTheme="minorHAnsi" w:cstheme="minorHAnsi"/>
          <w:color w:val="auto"/>
          <w:szCs w:val="24"/>
        </w:rPr>
        <w:t>P</w:t>
      </w:r>
      <w:r w:rsidR="004D0BC8">
        <w:rPr>
          <w:rFonts w:asciiTheme="minorHAnsi" w:eastAsiaTheme="minorHAnsi" w:hAnsiTheme="minorHAnsi" w:cstheme="minorHAnsi"/>
          <w:color w:val="auto"/>
          <w:szCs w:val="24"/>
        </w:rPr>
        <w:t>atient complain for pain at the end range of motion in all directions”)</w:t>
      </w:r>
      <w:r>
        <w:rPr>
          <w:rFonts w:asciiTheme="minorHAnsi" w:eastAsiaTheme="minorHAnsi" w:hAnsiTheme="minorHAnsi" w:cstheme="minorHAnsi"/>
          <w:color w:val="auto"/>
          <w:szCs w:val="24"/>
        </w:rPr>
        <w:t xml:space="preserve">, in a context similar to the disparity noted between the MEB and VA C&amp;P examinations at the onset of TDRL.  The physical therapist did not document gait, posture, any physical findings, or a neurologic examination.  The physical therapist did not provide passive measurements; and, the exam heading allowed substitution of an inclinometer for a </w:t>
      </w:r>
      <w:proofErr w:type="spellStart"/>
      <w:r>
        <w:rPr>
          <w:rFonts w:asciiTheme="minorHAnsi" w:eastAsiaTheme="minorHAnsi" w:hAnsiTheme="minorHAnsi" w:cstheme="minorHAnsi"/>
          <w:color w:val="auto"/>
          <w:szCs w:val="24"/>
        </w:rPr>
        <w:t>goniometer</w:t>
      </w:r>
      <w:proofErr w:type="spellEnd"/>
      <w:r>
        <w:rPr>
          <w:rFonts w:asciiTheme="minorHAnsi" w:eastAsiaTheme="minorHAnsi" w:hAnsiTheme="minorHAnsi" w:cstheme="minorHAnsi"/>
          <w:color w:val="auto"/>
          <w:szCs w:val="24"/>
        </w:rPr>
        <w:t>.  All of these factors significantly limit the probative value of the TDRL PT exam; and, they undermine any argument that it was the only VASRD compliant examination; since it neither fulfilled §4.46 (accurate measurement) requirements, nor did it provide the complete rating information demanded by VASRD §4.71a.  Yet, the majority opinion insists that it superseded the contemporaneous findings of an orthopedic surgeon.</w:t>
      </w:r>
    </w:p>
    <w:p w:rsidR="000E3A73" w:rsidRDefault="000E3A73" w:rsidP="000E3A73">
      <w:pPr>
        <w:spacing w:line="240" w:lineRule="exact"/>
        <w:jc w:val="both"/>
        <w:rPr>
          <w:rFonts w:asciiTheme="minorHAnsi" w:eastAsiaTheme="minorHAnsi" w:hAnsiTheme="minorHAnsi" w:cstheme="minorHAnsi"/>
          <w:color w:val="auto"/>
          <w:szCs w:val="24"/>
        </w:rPr>
      </w:pPr>
    </w:p>
    <w:p w:rsidR="000E3A73" w:rsidRDefault="000E3A73" w:rsidP="000E3A73">
      <w:pPr>
        <w:spacing w:line="240" w:lineRule="exact"/>
        <w:jc w:val="both"/>
        <w:rPr>
          <w:rFonts w:asciiTheme="minorHAnsi" w:eastAsiaTheme="minorHAnsi" w:hAnsiTheme="minorHAnsi" w:cstheme="minorHAnsi"/>
          <w:color w:val="auto"/>
          <w:szCs w:val="24"/>
        </w:rPr>
      </w:pPr>
      <w:r>
        <w:rPr>
          <w:rFonts w:asciiTheme="minorHAnsi" w:eastAsiaTheme="minorHAnsi" w:hAnsiTheme="minorHAnsi" w:cstheme="minorHAnsi"/>
          <w:color w:val="auto"/>
          <w:szCs w:val="24"/>
        </w:rPr>
        <w:t>I respectfully submit that the Secretary consider a minority recommendation that the permanent rating for the lumbar spine condition in this case remain at the 10% rating appropriately assigned by the PEB both at TDRL placement and after TDRL re-evaluation.  Although this results in no change of the recommended combined ratings, I believe it best reflects reasonable rating principles.</w:t>
      </w:r>
    </w:p>
    <w:p w:rsidR="000E3A73" w:rsidRDefault="000E3A73" w:rsidP="000E3A73"/>
    <w:p w:rsidR="005E0C3A" w:rsidRDefault="005E0C3A">
      <w:pPr>
        <w:rPr>
          <w:rFonts w:asciiTheme="minorHAnsi" w:hAnsiTheme="minorHAnsi"/>
          <w:color w:val="auto"/>
        </w:rPr>
      </w:pPr>
      <w:r>
        <w:rPr>
          <w:rFonts w:asciiTheme="minorHAnsi" w:hAnsiTheme="minorHAnsi"/>
          <w:color w:val="auto"/>
        </w:rPr>
        <w:br w:type="page"/>
      </w:r>
    </w:p>
    <w:p w:rsidR="005E0C3A" w:rsidRDefault="005E0C3A" w:rsidP="005E0C3A">
      <w:pPr>
        <w:pStyle w:val="Header"/>
        <w:tabs>
          <w:tab w:val="left" w:pos="720"/>
        </w:tabs>
      </w:pPr>
      <w:r>
        <w:lastRenderedPageBreak/>
        <w:t>SFMR-RB</w:t>
      </w:r>
      <w:r>
        <w:tab/>
      </w:r>
      <w:r>
        <w:tab/>
      </w:r>
      <w:r>
        <w:tab/>
      </w:r>
      <w:r>
        <w:tab/>
      </w:r>
      <w:r>
        <w:tab/>
      </w:r>
      <w:r>
        <w:tab/>
      </w:r>
      <w:r>
        <w:tab/>
      </w:r>
      <w:r>
        <w:tab/>
      </w:r>
      <w:r>
        <w:tab/>
      </w:r>
    </w:p>
    <w:p w:rsidR="005E0C3A" w:rsidRDefault="005E0C3A" w:rsidP="005E0C3A">
      <w:pPr>
        <w:pStyle w:val="Header"/>
        <w:tabs>
          <w:tab w:val="left" w:pos="720"/>
        </w:tabs>
      </w:pPr>
    </w:p>
    <w:p w:rsidR="005E0C3A" w:rsidRDefault="005E0C3A" w:rsidP="005E0C3A"/>
    <w:p w:rsidR="005E0C3A" w:rsidRDefault="005E0C3A" w:rsidP="005E0C3A">
      <w:r>
        <w:t xml:space="preserve">MEMORANDUM FOR Commander, US Army Physical Disability Agency </w:t>
      </w:r>
    </w:p>
    <w:p w:rsidR="005E0C3A" w:rsidRDefault="005E0C3A" w:rsidP="005E0C3A">
      <w:r>
        <w:t>(TAPD-ZB /), 2900 Crystal Drive, Suite 300, Arlington, VA  22202</w:t>
      </w:r>
    </w:p>
    <w:p w:rsidR="005E0C3A" w:rsidRDefault="005E0C3A" w:rsidP="005E0C3A"/>
    <w:p w:rsidR="005E0C3A" w:rsidRDefault="005E0C3A" w:rsidP="005E0C3A">
      <w:pPr>
        <w:ind w:right="-180"/>
      </w:pPr>
      <w:r>
        <w:t xml:space="preserve">SUBJECT:  Department of Defense Physical Disability Board of Review Recommendation </w:t>
      </w:r>
    </w:p>
    <w:p w:rsidR="005E0C3A" w:rsidRDefault="005E0C3A" w:rsidP="005E0C3A">
      <w:pPr>
        <w:pStyle w:val="Header"/>
        <w:tabs>
          <w:tab w:val="left" w:pos="720"/>
        </w:tabs>
      </w:pPr>
      <w:proofErr w:type="gramStart"/>
      <w:r>
        <w:t>for</w:t>
      </w:r>
      <w:proofErr w:type="gramEnd"/>
      <w:r>
        <w:t xml:space="preserve"> XXXXXXXXXXXXX, AR20120004767 (PD201100334)</w:t>
      </w:r>
    </w:p>
    <w:p w:rsidR="005E0C3A" w:rsidRDefault="005E0C3A" w:rsidP="005E0C3A">
      <w:pPr>
        <w:pStyle w:val="Header"/>
        <w:tabs>
          <w:tab w:val="left" w:pos="720"/>
        </w:tabs>
      </w:pPr>
    </w:p>
    <w:p w:rsidR="005E0C3A" w:rsidRDefault="005E0C3A" w:rsidP="005E0C3A"/>
    <w:p w:rsidR="005E0C3A" w:rsidRDefault="005E0C3A" w:rsidP="005E0C3A">
      <w:r>
        <w:t>1.  Under the authority of Title 10, United States Code, section 1554(a), I approve, as modified below</w:t>
      </w:r>
      <w:proofErr w:type="gramStart"/>
      <w:r>
        <w:t>,  the</w:t>
      </w:r>
      <w:proofErr w:type="gramEnd"/>
      <w:r>
        <w:t xml:space="preserve"> enclosed recommendation of the Department of Defense Physical Disability Board of Review (DoD PDBR) pertaining to the individual named in the subject line above to </w:t>
      </w:r>
      <w:proofErr w:type="spellStart"/>
      <w:r>
        <w:t>recharacterize</w:t>
      </w:r>
      <w:proofErr w:type="spellEnd"/>
      <w:r>
        <w:t xml:space="preserve"> the individual’s separation as a permanent disability retirement with the combined disability rating of 40% effective the date of the individual’s original medical separation for disability with severance pay.  In doing so, I accept the majority recommendation for a 30% rating for PTSD but reject the majority opinion, and accept the minority opinion, for a 10% rating for Chronic Low Back Pain.</w:t>
      </w:r>
    </w:p>
    <w:p w:rsidR="005E0C3A" w:rsidRDefault="005E0C3A" w:rsidP="005E0C3A"/>
    <w:p w:rsidR="005E0C3A" w:rsidRDefault="005E0C3A" w:rsidP="005E0C3A">
      <w:r>
        <w:t>2.  I direct that all the Department of the Army records of the individual concerned be corrected accordingly no later than 120 days from the date of this memorandum:</w:t>
      </w:r>
    </w:p>
    <w:p w:rsidR="005E0C3A" w:rsidRDefault="005E0C3A" w:rsidP="005E0C3A"/>
    <w:p w:rsidR="005E0C3A" w:rsidRDefault="005E0C3A" w:rsidP="005E0C3A">
      <w:r>
        <w:tab/>
        <w:t>a.  Providing a correction to the individual’s separation document showing that the individual was separated by reason of permanent disability retirement effective the date of the original medical separation for disability with severance pay.</w:t>
      </w:r>
    </w:p>
    <w:p w:rsidR="005E0C3A" w:rsidRDefault="005E0C3A" w:rsidP="005E0C3A"/>
    <w:p w:rsidR="005E0C3A" w:rsidRDefault="005E0C3A" w:rsidP="005E0C3A">
      <w:r>
        <w:tab/>
      </w:r>
      <w:proofErr w:type="gramStart"/>
      <w:r>
        <w:t>b.  Providing</w:t>
      </w:r>
      <w:proofErr w:type="gramEnd"/>
      <w:r>
        <w:t xml:space="preserve"> orders showing that the individual was retired with permanent disability effective the date of the original medical separation for disability with severance pay.</w:t>
      </w:r>
    </w:p>
    <w:p w:rsidR="005E0C3A" w:rsidRDefault="005E0C3A" w:rsidP="005E0C3A"/>
    <w:p w:rsidR="005E0C3A" w:rsidRDefault="005E0C3A" w:rsidP="005E0C3A">
      <w:r>
        <w:tab/>
      </w:r>
      <w:proofErr w:type="gramStart"/>
      <w:r>
        <w:t>c.  Adjusting</w:t>
      </w:r>
      <w:proofErr w:type="gramEnd"/>
      <w:r>
        <w:t xml:space="preserve"> pay and allowances accordingly.  Pay and allowance adjustment will account for recoupment of severance pay, and payment of permanent retired pay at 40% effective the date of the original medical separation for disability with severance pay.</w:t>
      </w:r>
    </w:p>
    <w:p w:rsidR="005E0C3A" w:rsidRDefault="005E0C3A" w:rsidP="005E0C3A"/>
    <w:p w:rsidR="005E0C3A" w:rsidRDefault="005E0C3A" w:rsidP="005E0C3A">
      <w:r>
        <w:tab/>
      </w:r>
      <w:proofErr w:type="gramStart"/>
      <w:r>
        <w:t>d.  Affording</w:t>
      </w:r>
      <w:proofErr w:type="gramEnd"/>
      <w:r>
        <w:t xml:space="preserve"> the individual the opportunity to elect Survivor Benefit Plan (SBP) and medical TRICARE retiree options.</w:t>
      </w:r>
    </w:p>
    <w:p w:rsidR="005E0C3A" w:rsidRDefault="005E0C3A" w:rsidP="005E0C3A"/>
    <w:p w:rsidR="005E0C3A" w:rsidRDefault="005E0C3A" w:rsidP="005E0C3A"/>
    <w:p w:rsidR="005E0C3A" w:rsidRDefault="005E0C3A" w:rsidP="005E0C3A"/>
    <w:p w:rsidR="005E0C3A" w:rsidRDefault="005E0C3A" w:rsidP="005E0C3A"/>
    <w:p w:rsidR="005E0C3A" w:rsidRDefault="005E0C3A" w:rsidP="005E0C3A"/>
    <w:p w:rsidR="005E0C3A" w:rsidRDefault="005E0C3A" w:rsidP="005E0C3A"/>
    <w:p w:rsidR="005E0C3A" w:rsidRDefault="005E0C3A" w:rsidP="005E0C3A"/>
    <w:p w:rsidR="005E0C3A" w:rsidRDefault="005E0C3A" w:rsidP="005E0C3A">
      <w:r>
        <w:lastRenderedPageBreak/>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5E0C3A" w:rsidRDefault="005E0C3A" w:rsidP="005E0C3A"/>
    <w:p w:rsidR="005E0C3A" w:rsidRDefault="005E0C3A" w:rsidP="005E0C3A">
      <w:r>
        <w:t>BY ORDER OF THE SECRETARY OF THE ARMY:</w:t>
      </w:r>
    </w:p>
    <w:p w:rsidR="005E0C3A" w:rsidRDefault="005E0C3A" w:rsidP="005E0C3A"/>
    <w:p w:rsidR="005E0C3A" w:rsidRDefault="005E0C3A" w:rsidP="005E0C3A"/>
    <w:p w:rsidR="005E0C3A" w:rsidRDefault="005E0C3A" w:rsidP="005E0C3A">
      <w:pPr>
        <w:pStyle w:val="Header"/>
        <w:tabs>
          <w:tab w:val="left" w:pos="720"/>
        </w:tabs>
      </w:pPr>
    </w:p>
    <w:p w:rsidR="005E0C3A" w:rsidRDefault="005E0C3A" w:rsidP="005E0C3A"/>
    <w:p w:rsidR="005E0C3A" w:rsidRDefault="005E0C3A" w:rsidP="005E0C3A">
      <w:bookmarkStart w:id="0" w:name="OLE_LINK4"/>
      <w:bookmarkStart w:id="1" w:name="OLE_LINK3"/>
      <w:r>
        <w:t>Encl</w:t>
      </w:r>
      <w:r>
        <w:tab/>
      </w:r>
      <w:r>
        <w:tab/>
      </w:r>
      <w:r>
        <w:tab/>
      </w:r>
      <w:r>
        <w:tab/>
      </w:r>
      <w:r>
        <w:tab/>
      </w:r>
      <w:r>
        <w:tab/>
        <w:t xml:space="preserve">     XXXXXXXXXXX</w:t>
      </w:r>
    </w:p>
    <w:p w:rsidR="005E0C3A" w:rsidRDefault="005E0C3A" w:rsidP="005E0C3A">
      <w:r>
        <w:tab/>
      </w:r>
      <w:r>
        <w:tab/>
      </w:r>
      <w:r>
        <w:tab/>
      </w:r>
      <w:r>
        <w:tab/>
      </w:r>
      <w:r>
        <w:tab/>
      </w:r>
      <w:r>
        <w:tab/>
        <w:t xml:space="preserve">     Deputy Assistant Secretary</w:t>
      </w:r>
    </w:p>
    <w:p w:rsidR="005E0C3A" w:rsidRDefault="005E0C3A" w:rsidP="005E0C3A">
      <w:r>
        <w:tab/>
      </w:r>
      <w:r>
        <w:tab/>
      </w:r>
      <w:r>
        <w:tab/>
      </w:r>
      <w:r>
        <w:tab/>
      </w:r>
      <w:r>
        <w:tab/>
      </w:r>
      <w:r>
        <w:tab/>
        <w:t xml:space="preserve">         (Army Review Boards)</w:t>
      </w:r>
      <w:bookmarkEnd w:id="0"/>
      <w:bookmarkEnd w:id="1"/>
    </w:p>
    <w:p w:rsidR="005E0C3A" w:rsidRDefault="005E0C3A" w:rsidP="005E0C3A"/>
    <w:p w:rsidR="005E0C3A" w:rsidRDefault="005E0C3A" w:rsidP="005E0C3A">
      <w:r>
        <w:t xml:space="preserve">CF: </w:t>
      </w:r>
    </w:p>
    <w:p w:rsidR="005E0C3A" w:rsidRDefault="005E0C3A" w:rsidP="005E0C3A">
      <w:r>
        <w:t xml:space="preserve">(  ) </w:t>
      </w:r>
      <w:proofErr w:type="gramStart"/>
      <w:r>
        <w:t>DoD</w:t>
      </w:r>
      <w:proofErr w:type="gramEnd"/>
      <w:r>
        <w:t xml:space="preserve"> PDBR</w:t>
      </w:r>
    </w:p>
    <w:p w:rsidR="005E0C3A" w:rsidRDefault="005E0C3A" w:rsidP="005E0C3A">
      <w:r>
        <w:t>(  ) DVA</w:t>
      </w:r>
    </w:p>
    <w:p w:rsidR="000E3A73" w:rsidRPr="0079630A" w:rsidRDefault="000E3A73" w:rsidP="004C7B3E">
      <w:pPr>
        <w:tabs>
          <w:tab w:val="left" w:pos="0"/>
          <w:tab w:val="left" w:pos="4320"/>
        </w:tabs>
        <w:spacing w:line="240" w:lineRule="exact"/>
        <w:jc w:val="both"/>
        <w:rPr>
          <w:rFonts w:asciiTheme="minorHAnsi" w:hAnsiTheme="minorHAnsi"/>
          <w:color w:val="auto"/>
        </w:rPr>
      </w:pPr>
    </w:p>
    <w:sectPr w:rsidR="000E3A73" w:rsidRPr="0079630A" w:rsidSect="002A5C3C">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5CE" w:rsidRDefault="007E55CE">
      <w:r>
        <w:separator/>
      </w:r>
    </w:p>
  </w:endnote>
  <w:endnote w:type="continuationSeparator" w:id="0">
    <w:p w:rsidR="007E55CE" w:rsidRDefault="007E55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E93A1B" w:rsidRPr="00684CE6" w:rsidRDefault="001444E3" w:rsidP="00F65ED5">
        <w:pPr>
          <w:pStyle w:val="Footer"/>
          <w:jc w:val="right"/>
          <w:rPr>
            <w:color w:val="auto"/>
          </w:rPr>
        </w:pPr>
        <w:r w:rsidRPr="00684CE6">
          <w:rPr>
            <w:color w:val="auto"/>
          </w:rPr>
          <w:fldChar w:fldCharType="begin"/>
        </w:r>
        <w:r w:rsidR="00E93A1B" w:rsidRPr="00684CE6">
          <w:rPr>
            <w:color w:val="auto"/>
          </w:rPr>
          <w:instrText xml:space="preserve"> PAGE   \* MERGEFORMAT </w:instrText>
        </w:r>
        <w:r w:rsidRPr="00684CE6">
          <w:rPr>
            <w:color w:val="auto"/>
          </w:rPr>
          <w:fldChar w:fldCharType="separate"/>
        </w:r>
        <w:r w:rsidR="005E0C3A">
          <w:rPr>
            <w:noProof/>
            <w:color w:val="auto"/>
          </w:rPr>
          <w:t>9</w:t>
        </w:r>
        <w:r w:rsidRPr="00684CE6">
          <w:rPr>
            <w:color w:val="auto"/>
          </w:rPr>
          <w:fldChar w:fldCharType="end"/>
        </w:r>
        <w:r w:rsidR="00E93A1B" w:rsidRPr="00684CE6">
          <w:rPr>
            <w:color w:val="auto"/>
          </w:rPr>
          <w:t xml:space="preserve">                                                           </w:t>
        </w:r>
        <w:r w:rsidR="00E93A1B">
          <w:rPr>
            <w:color w:val="auto"/>
          </w:rPr>
          <w:t xml:space="preserve">      </w:t>
        </w:r>
        <w:r w:rsidR="00E93A1B" w:rsidRPr="00926ED1">
          <w:rPr>
            <w:color w:val="auto"/>
          </w:rPr>
          <w:t>PD1</w:t>
        </w:r>
        <w:r w:rsidR="00E93A1B">
          <w:rPr>
            <w:color w:val="auto"/>
          </w:rPr>
          <w:t>1</w:t>
        </w:r>
        <w:r w:rsidR="00E93A1B" w:rsidRPr="00926ED1">
          <w:rPr>
            <w:color w:val="auto"/>
          </w:rPr>
          <w:t>00</w:t>
        </w:r>
        <w:r w:rsidR="00E93A1B">
          <w:rPr>
            <w:color w:val="auto"/>
          </w:rPr>
          <w:t>334</w:t>
        </w:r>
      </w:p>
    </w:sdtContent>
  </w:sdt>
  <w:p w:rsidR="00E93A1B" w:rsidRPr="00684CE6" w:rsidRDefault="00E93A1B">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5CE" w:rsidRDefault="007E55CE">
      <w:r>
        <w:separator/>
      </w:r>
    </w:p>
  </w:footnote>
  <w:footnote w:type="continuationSeparator" w:id="0">
    <w:p w:rsidR="007E55CE" w:rsidRDefault="007E55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73409"/>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103F"/>
    <w:rsid w:val="00012428"/>
    <w:rsid w:val="00012733"/>
    <w:rsid w:val="00013417"/>
    <w:rsid w:val="000145C2"/>
    <w:rsid w:val="000145ED"/>
    <w:rsid w:val="0001473F"/>
    <w:rsid w:val="00014A9E"/>
    <w:rsid w:val="00017730"/>
    <w:rsid w:val="00021361"/>
    <w:rsid w:val="00022CF3"/>
    <w:rsid w:val="00023913"/>
    <w:rsid w:val="00023D43"/>
    <w:rsid w:val="00024DE7"/>
    <w:rsid w:val="00026092"/>
    <w:rsid w:val="000278CE"/>
    <w:rsid w:val="00030475"/>
    <w:rsid w:val="00030776"/>
    <w:rsid w:val="00030AAB"/>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46BC9"/>
    <w:rsid w:val="00050C76"/>
    <w:rsid w:val="00051622"/>
    <w:rsid w:val="00051A11"/>
    <w:rsid w:val="00052234"/>
    <w:rsid w:val="00053D7C"/>
    <w:rsid w:val="000575C5"/>
    <w:rsid w:val="000577C9"/>
    <w:rsid w:val="00060FFD"/>
    <w:rsid w:val="0006431E"/>
    <w:rsid w:val="000652EA"/>
    <w:rsid w:val="00065E21"/>
    <w:rsid w:val="000673ED"/>
    <w:rsid w:val="00070DED"/>
    <w:rsid w:val="00072433"/>
    <w:rsid w:val="0007488B"/>
    <w:rsid w:val="000749CE"/>
    <w:rsid w:val="00075702"/>
    <w:rsid w:val="00075A0C"/>
    <w:rsid w:val="000775C2"/>
    <w:rsid w:val="000806AD"/>
    <w:rsid w:val="00080BDF"/>
    <w:rsid w:val="00082482"/>
    <w:rsid w:val="00084CF2"/>
    <w:rsid w:val="00085D7B"/>
    <w:rsid w:val="0008708B"/>
    <w:rsid w:val="00087D7D"/>
    <w:rsid w:val="000903F8"/>
    <w:rsid w:val="00092619"/>
    <w:rsid w:val="00092C66"/>
    <w:rsid w:val="000949DD"/>
    <w:rsid w:val="00094E4F"/>
    <w:rsid w:val="000A2BCE"/>
    <w:rsid w:val="000A33C8"/>
    <w:rsid w:val="000A41E3"/>
    <w:rsid w:val="000A4BBA"/>
    <w:rsid w:val="000A5071"/>
    <w:rsid w:val="000B0AD2"/>
    <w:rsid w:val="000B1022"/>
    <w:rsid w:val="000B2FB8"/>
    <w:rsid w:val="000B4C99"/>
    <w:rsid w:val="000C06F6"/>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A73"/>
    <w:rsid w:val="000E3F20"/>
    <w:rsid w:val="000E4CBF"/>
    <w:rsid w:val="000E5577"/>
    <w:rsid w:val="000E7034"/>
    <w:rsid w:val="000F02BE"/>
    <w:rsid w:val="000F0928"/>
    <w:rsid w:val="000F195F"/>
    <w:rsid w:val="000F427B"/>
    <w:rsid w:val="000F43D0"/>
    <w:rsid w:val="000F4F18"/>
    <w:rsid w:val="000F688E"/>
    <w:rsid w:val="000F7181"/>
    <w:rsid w:val="001007CE"/>
    <w:rsid w:val="001008C1"/>
    <w:rsid w:val="001023DB"/>
    <w:rsid w:val="00102B8D"/>
    <w:rsid w:val="00103948"/>
    <w:rsid w:val="00103CCF"/>
    <w:rsid w:val="0010417F"/>
    <w:rsid w:val="001042D2"/>
    <w:rsid w:val="0010530E"/>
    <w:rsid w:val="00105C07"/>
    <w:rsid w:val="00106AD8"/>
    <w:rsid w:val="00107EC5"/>
    <w:rsid w:val="001103CD"/>
    <w:rsid w:val="00113D2A"/>
    <w:rsid w:val="00114F20"/>
    <w:rsid w:val="0011590B"/>
    <w:rsid w:val="00117496"/>
    <w:rsid w:val="00117F8F"/>
    <w:rsid w:val="001211AF"/>
    <w:rsid w:val="001219DF"/>
    <w:rsid w:val="0012220B"/>
    <w:rsid w:val="00122ABE"/>
    <w:rsid w:val="001231DC"/>
    <w:rsid w:val="00123E36"/>
    <w:rsid w:val="0012489B"/>
    <w:rsid w:val="001272AE"/>
    <w:rsid w:val="00130756"/>
    <w:rsid w:val="00130782"/>
    <w:rsid w:val="001315DD"/>
    <w:rsid w:val="0013525F"/>
    <w:rsid w:val="00135385"/>
    <w:rsid w:val="001364D1"/>
    <w:rsid w:val="001374C7"/>
    <w:rsid w:val="001421FD"/>
    <w:rsid w:val="001425C8"/>
    <w:rsid w:val="00142659"/>
    <w:rsid w:val="00142EBA"/>
    <w:rsid w:val="00143B79"/>
    <w:rsid w:val="001444E3"/>
    <w:rsid w:val="00145965"/>
    <w:rsid w:val="0014746D"/>
    <w:rsid w:val="00150B8A"/>
    <w:rsid w:val="00150DCB"/>
    <w:rsid w:val="00151912"/>
    <w:rsid w:val="00151B7A"/>
    <w:rsid w:val="00151DC6"/>
    <w:rsid w:val="00153740"/>
    <w:rsid w:val="00153D88"/>
    <w:rsid w:val="001541C5"/>
    <w:rsid w:val="0015623F"/>
    <w:rsid w:val="00156585"/>
    <w:rsid w:val="00156BA9"/>
    <w:rsid w:val="00161642"/>
    <w:rsid w:val="00161761"/>
    <w:rsid w:val="001619E9"/>
    <w:rsid w:val="00166182"/>
    <w:rsid w:val="0017080E"/>
    <w:rsid w:val="00170E6D"/>
    <w:rsid w:val="0017139A"/>
    <w:rsid w:val="00171A42"/>
    <w:rsid w:val="001724C8"/>
    <w:rsid w:val="001732C4"/>
    <w:rsid w:val="001745DD"/>
    <w:rsid w:val="00174FDE"/>
    <w:rsid w:val="00174FE3"/>
    <w:rsid w:val="00177659"/>
    <w:rsid w:val="001779E5"/>
    <w:rsid w:val="00180826"/>
    <w:rsid w:val="00181240"/>
    <w:rsid w:val="00182A4C"/>
    <w:rsid w:val="00183321"/>
    <w:rsid w:val="00183F77"/>
    <w:rsid w:val="00183FB3"/>
    <w:rsid w:val="001844D8"/>
    <w:rsid w:val="00185DA8"/>
    <w:rsid w:val="00185ECB"/>
    <w:rsid w:val="001865E0"/>
    <w:rsid w:val="001870F0"/>
    <w:rsid w:val="00187D06"/>
    <w:rsid w:val="00190E48"/>
    <w:rsid w:val="0019273F"/>
    <w:rsid w:val="00193814"/>
    <w:rsid w:val="00193AAB"/>
    <w:rsid w:val="00193AD5"/>
    <w:rsid w:val="0019458D"/>
    <w:rsid w:val="00194930"/>
    <w:rsid w:val="00195AAC"/>
    <w:rsid w:val="001A025E"/>
    <w:rsid w:val="001A08CD"/>
    <w:rsid w:val="001A0A1E"/>
    <w:rsid w:val="001A2182"/>
    <w:rsid w:val="001A323E"/>
    <w:rsid w:val="001A5320"/>
    <w:rsid w:val="001A5E62"/>
    <w:rsid w:val="001A6848"/>
    <w:rsid w:val="001A7538"/>
    <w:rsid w:val="001B06FB"/>
    <w:rsid w:val="001B0878"/>
    <w:rsid w:val="001B0B1A"/>
    <w:rsid w:val="001B18A2"/>
    <w:rsid w:val="001B1DDD"/>
    <w:rsid w:val="001B4C0B"/>
    <w:rsid w:val="001B4EC2"/>
    <w:rsid w:val="001B5B59"/>
    <w:rsid w:val="001B60E0"/>
    <w:rsid w:val="001B755A"/>
    <w:rsid w:val="001B7C8C"/>
    <w:rsid w:val="001C0688"/>
    <w:rsid w:val="001C181A"/>
    <w:rsid w:val="001C1877"/>
    <w:rsid w:val="001C2053"/>
    <w:rsid w:val="001C252F"/>
    <w:rsid w:val="001C28D1"/>
    <w:rsid w:val="001C3473"/>
    <w:rsid w:val="001C5BDA"/>
    <w:rsid w:val="001C5CFC"/>
    <w:rsid w:val="001C70F8"/>
    <w:rsid w:val="001C7231"/>
    <w:rsid w:val="001C7418"/>
    <w:rsid w:val="001C7EBE"/>
    <w:rsid w:val="001D0051"/>
    <w:rsid w:val="001D169A"/>
    <w:rsid w:val="001D2224"/>
    <w:rsid w:val="001D31AA"/>
    <w:rsid w:val="001D3DC0"/>
    <w:rsid w:val="001D4F88"/>
    <w:rsid w:val="001D68CF"/>
    <w:rsid w:val="001D6A8C"/>
    <w:rsid w:val="001D7363"/>
    <w:rsid w:val="001D7A56"/>
    <w:rsid w:val="001E15C0"/>
    <w:rsid w:val="001E18E0"/>
    <w:rsid w:val="001E18E2"/>
    <w:rsid w:val="001E19D0"/>
    <w:rsid w:val="001E2A30"/>
    <w:rsid w:val="001E2FF1"/>
    <w:rsid w:val="001E41FE"/>
    <w:rsid w:val="001E4341"/>
    <w:rsid w:val="001E635C"/>
    <w:rsid w:val="001F0297"/>
    <w:rsid w:val="00200AA0"/>
    <w:rsid w:val="00202325"/>
    <w:rsid w:val="00202736"/>
    <w:rsid w:val="00203652"/>
    <w:rsid w:val="00204562"/>
    <w:rsid w:val="00205B4F"/>
    <w:rsid w:val="002060B6"/>
    <w:rsid w:val="002066B5"/>
    <w:rsid w:val="00211612"/>
    <w:rsid w:val="002119B6"/>
    <w:rsid w:val="00212B40"/>
    <w:rsid w:val="00213BD0"/>
    <w:rsid w:val="00213C9A"/>
    <w:rsid w:val="00214DBA"/>
    <w:rsid w:val="002151AB"/>
    <w:rsid w:val="0021548C"/>
    <w:rsid w:val="00215C4C"/>
    <w:rsid w:val="00215ED6"/>
    <w:rsid w:val="00216049"/>
    <w:rsid w:val="002163FA"/>
    <w:rsid w:val="00217606"/>
    <w:rsid w:val="00217C09"/>
    <w:rsid w:val="00220F5C"/>
    <w:rsid w:val="002216BF"/>
    <w:rsid w:val="00221B9B"/>
    <w:rsid w:val="00222268"/>
    <w:rsid w:val="0022310A"/>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0036"/>
    <w:rsid w:val="00240124"/>
    <w:rsid w:val="0024174E"/>
    <w:rsid w:val="00242238"/>
    <w:rsid w:val="0024227D"/>
    <w:rsid w:val="00242D14"/>
    <w:rsid w:val="002432F4"/>
    <w:rsid w:val="00246860"/>
    <w:rsid w:val="002468D9"/>
    <w:rsid w:val="00246DFF"/>
    <w:rsid w:val="00246E89"/>
    <w:rsid w:val="0025183C"/>
    <w:rsid w:val="00252351"/>
    <w:rsid w:val="002528EC"/>
    <w:rsid w:val="00253EAA"/>
    <w:rsid w:val="00255049"/>
    <w:rsid w:val="00257AFF"/>
    <w:rsid w:val="00257DE5"/>
    <w:rsid w:val="00260531"/>
    <w:rsid w:val="00260B9A"/>
    <w:rsid w:val="00261BF6"/>
    <w:rsid w:val="00262EA5"/>
    <w:rsid w:val="0026318D"/>
    <w:rsid w:val="00264148"/>
    <w:rsid w:val="002660AF"/>
    <w:rsid w:val="00270864"/>
    <w:rsid w:val="002712F7"/>
    <w:rsid w:val="0027159C"/>
    <w:rsid w:val="002722F2"/>
    <w:rsid w:val="00274549"/>
    <w:rsid w:val="00274E46"/>
    <w:rsid w:val="002752AE"/>
    <w:rsid w:val="002769AF"/>
    <w:rsid w:val="00276C86"/>
    <w:rsid w:val="00276FD0"/>
    <w:rsid w:val="00277217"/>
    <w:rsid w:val="002810A4"/>
    <w:rsid w:val="002810E9"/>
    <w:rsid w:val="00282DB6"/>
    <w:rsid w:val="00284A26"/>
    <w:rsid w:val="00285095"/>
    <w:rsid w:val="00287006"/>
    <w:rsid w:val="00292397"/>
    <w:rsid w:val="00292AB2"/>
    <w:rsid w:val="00293DB6"/>
    <w:rsid w:val="00293FE8"/>
    <w:rsid w:val="00294437"/>
    <w:rsid w:val="00297A45"/>
    <w:rsid w:val="00297E20"/>
    <w:rsid w:val="002A1F2C"/>
    <w:rsid w:val="002A233F"/>
    <w:rsid w:val="002A3237"/>
    <w:rsid w:val="002A4119"/>
    <w:rsid w:val="002A58B7"/>
    <w:rsid w:val="002A5943"/>
    <w:rsid w:val="002A5C3C"/>
    <w:rsid w:val="002A642C"/>
    <w:rsid w:val="002A685E"/>
    <w:rsid w:val="002A72C7"/>
    <w:rsid w:val="002B0204"/>
    <w:rsid w:val="002B03B2"/>
    <w:rsid w:val="002B0749"/>
    <w:rsid w:val="002B2645"/>
    <w:rsid w:val="002B303A"/>
    <w:rsid w:val="002B32E9"/>
    <w:rsid w:val="002B4E22"/>
    <w:rsid w:val="002B5403"/>
    <w:rsid w:val="002B6793"/>
    <w:rsid w:val="002B6FA0"/>
    <w:rsid w:val="002C0DEA"/>
    <w:rsid w:val="002C34F6"/>
    <w:rsid w:val="002C3B6D"/>
    <w:rsid w:val="002C5D9D"/>
    <w:rsid w:val="002C5F10"/>
    <w:rsid w:val="002C6E5B"/>
    <w:rsid w:val="002D08F3"/>
    <w:rsid w:val="002D18B4"/>
    <w:rsid w:val="002D231A"/>
    <w:rsid w:val="002D5330"/>
    <w:rsid w:val="002D5572"/>
    <w:rsid w:val="002D5D17"/>
    <w:rsid w:val="002D5F57"/>
    <w:rsid w:val="002D73D4"/>
    <w:rsid w:val="002D7787"/>
    <w:rsid w:val="002E1877"/>
    <w:rsid w:val="002E1C31"/>
    <w:rsid w:val="002E2E0F"/>
    <w:rsid w:val="002E333A"/>
    <w:rsid w:val="002E3474"/>
    <w:rsid w:val="002E400C"/>
    <w:rsid w:val="002E49C3"/>
    <w:rsid w:val="002E5114"/>
    <w:rsid w:val="002E5988"/>
    <w:rsid w:val="002E5B3B"/>
    <w:rsid w:val="002E6052"/>
    <w:rsid w:val="002E65E6"/>
    <w:rsid w:val="002E7072"/>
    <w:rsid w:val="002E7295"/>
    <w:rsid w:val="002E7570"/>
    <w:rsid w:val="002E764B"/>
    <w:rsid w:val="002F0D6A"/>
    <w:rsid w:val="002F0E28"/>
    <w:rsid w:val="002F287E"/>
    <w:rsid w:val="002F2981"/>
    <w:rsid w:val="002F2D63"/>
    <w:rsid w:val="002F6AD8"/>
    <w:rsid w:val="002F7F81"/>
    <w:rsid w:val="00300A36"/>
    <w:rsid w:val="00301B45"/>
    <w:rsid w:val="00305856"/>
    <w:rsid w:val="0030678B"/>
    <w:rsid w:val="00306D16"/>
    <w:rsid w:val="00306DCF"/>
    <w:rsid w:val="00307595"/>
    <w:rsid w:val="00310CD7"/>
    <w:rsid w:val="00313D7A"/>
    <w:rsid w:val="00313E37"/>
    <w:rsid w:val="00320603"/>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753"/>
    <w:rsid w:val="00336805"/>
    <w:rsid w:val="003370EA"/>
    <w:rsid w:val="00337351"/>
    <w:rsid w:val="00337761"/>
    <w:rsid w:val="00341A54"/>
    <w:rsid w:val="00344A4F"/>
    <w:rsid w:val="00344D17"/>
    <w:rsid w:val="0034669F"/>
    <w:rsid w:val="00351498"/>
    <w:rsid w:val="00352B22"/>
    <w:rsid w:val="00352CBF"/>
    <w:rsid w:val="00354547"/>
    <w:rsid w:val="003549F5"/>
    <w:rsid w:val="003567DE"/>
    <w:rsid w:val="003574F3"/>
    <w:rsid w:val="00357831"/>
    <w:rsid w:val="003604A5"/>
    <w:rsid w:val="0036319E"/>
    <w:rsid w:val="003632A4"/>
    <w:rsid w:val="00363362"/>
    <w:rsid w:val="00365767"/>
    <w:rsid w:val="003659C0"/>
    <w:rsid w:val="003660DF"/>
    <w:rsid w:val="00367AEA"/>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80FD4"/>
    <w:rsid w:val="00381E16"/>
    <w:rsid w:val="003821E1"/>
    <w:rsid w:val="003840F6"/>
    <w:rsid w:val="00384866"/>
    <w:rsid w:val="003857D4"/>
    <w:rsid w:val="00385D6F"/>
    <w:rsid w:val="00386D43"/>
    <w:rsid w:val="00387095"/>
    <w:rsid w:val="00387AB5"/>
    <w:rsid w:val="00387E95"/>
    <w:rsid w:val="00390092"/>
    <w:rsid w:val="00390600"/>
    <w:rsid w:val="00391858"/>
    <w:rsid w:val="00393651"/>
    <w:rsid w:val="00394926"/>
    <w:rsid w:val="00394FF9"/>
    <w:rsid w:val="00395651"/>
    <w:rsid w:val="00395E12"/>
    <w:rsid w:val="003962A8"/>
    <w:rsid w:val="00396779"/>
    <w:rsid w:val="003973F3"/>
    <w:rsid w:val="00397DB7"/>
    <w:rsid w:val="003A27B2"/>
    <w:rsid w:val="003A40B4"/>
    <w:rsid w:val="003A41BA"/>
    <w:rsid w:val="003A5491"/>
    <w:rsid w:val="003A5958"/>
    <w:rsid w:val="003A6A99"/>
    <w:rsid w:val="003A6E60"/>
    <w:rsid w:val="003A7FF8"/>
    <w:rsid w:val="003B17AC"/>
    <w:rsid w:val="003B227A"/>
    <w:rsid w:val="003B3A77"/>
    <w:rsid w:val="003B4319"/>
    <w:rsid w:val="003B5854"/>
    <w:rsid w:val="003B6764"/>
    <w:rsid w:val="003B7A8B"/>
    <w:rsid w:val="003C294B"/>
    <w:rsid w:val="003C3E4C"/>
    <w:rsid w:val="003C5046"/>
    <w:rsid w:val="003C6068"/>
    <w:rsid w:val="003C7AEC"/>
    <w:rsid w:val="003D2BA3"/>
    <w:rsid w:val="003D316B"/>
    <w:rsid w:val="003D3C22"/>
    <w:rsid w:val="003D56A0"/>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8DB"/>
    <w:rsid w:val="003F2EEE"/>
    <w:rsid w:val="003F58B0"/>
    <w:rsid w:val="003F776F"/>
    <w:rsid w:val="004007E9"/>
    <w:rsid w:val="00400810"/>
    <w:rsid w:val="00401825"/>
    <w:rsid w:val="00401BBC"/>
    <w:rsid w:val="004034B7"/>
    <w:rsid w:val="00403BFB"/>
    <w:rsid w:val="00404B45"/>
    <w:rsid w:val="0040577B"/>
    <w:rsid w:val="00405BCF"/>
    <w:rsid w:val="00406CC5"/>
    <w:rsid w:val="004074A4"/>
    <w:rsid w:val="004101B2"/>
    <w:rsid w:val="004123D7"/>
    <w:rsid w:val="00412658"/>
    <w:rsid w:val="004129DA"/>
    <w:rsid w:val="00415DAB"/>
    <w:rsid w:val="00415EA4"/>
    <w:rsid w:val="0041604B"/>
    <w:rsid w:val="004172DB"/>
    <w:rsid w:val="00420A1D"/>
    <w:rsid w:val="00421485"/>
    <w:rsid w:val="004216DA"/>
    <w:rsid w:val="00422B75"/>
    <w:rsid w:val="00424612"/>
    <w:rsid w:val="0042528C"/>
    <w:rsid w:val="00425345"/>
    <w:rsid w:val="00425672"/>
    <w:rsid w:val="00425A6A"/>
    <w:rsid w:val="00427F54"/>
    <w:rsid w:val="004316FD"/>
    <w:rsid w:val="00433F36"/>
    <w:rsid w:val="00434860"/>
    <w:rsid w:val="0043503A"/>
    <w:rsid w:val="00437B8A"/>
    <w:rsid w:val="00437D18"/>
    <w:rsid w:val="00437D77"/>
    <w:rsid w:val="00440405"/>
    <w:rsid w:val="004435BE"/>
    <w:rsid w:val="0044384F"/>
    <w:rsid w:val="0044411E"/>
    <w:rsid w:val="00444472"/>
    <w:rsid w:val="00444F80"/>
    <w:rsid w:val="00445599"/>
    <w:rsid w:val="00446018"/>
    <w:rsid w:val="0045027B"/>
    <w:rsid w:val="004504E7"/>
    <w:rsid w:val="00451F9D"/>
    <w:rsid w:val="00453167"/>
    <w:rsid w:val="004543BC"/>
    <w:rsid w:val="0045645D"/>
    <w:rsid w:val="004574C6"/>
    <w:rsid w:val="00457743"/>
    <w:rsid w:val="00457BCF"/>
    <w:rsid w:val="00457DCE"/>
    <w:rsid w:val="00460E3F"/>
    <w:rsid w:val="0046111A"/>
    <w:rsid w:val="00462F68"/>
    <w:rsid w:val="0046369B"/>
    <w:rsid w:val="004640E9"/>
    <w:rsid w:val="00466CED"/>
    <w:rsid w:val="00466EB5"/>
    <w:rsid w:val="00467592"/>
    <w:rsid w:val="00467690"/>
    <w:rsid w:val="004718E7"/>
    <w:rsid w:val="00472289"/>
    <w:rsid w:val="00472535"/>
    <w:rsid w:val="004761CC"/>
    <w:rsid w:val="004766C9"/>
    <w:rsid w:val="004767AA"/>
    <w:rsid w:val="00480D4A"/>
    <w:rsid w:val="00481DA1"/>
    <w:rsid w:val="00482B69"/>
    <w:rsid w:val="00483A2B"/>
    <w:rsid w:val="00484212"/>
    <w:rsid w:val="00484BA9"/>
    <w:rsid w:val="0048599A"/>
    <w:rsid w:val="00486818"/>
    <w:rsid w:val="00487EE2"/>
    <w:rsid w:val="0049255F"/>
    <w:rsid w:val="0049445D"/>
    <w:rsid w:val="00495350"/>
    <w:rsid w:val="00495E3C"/>
    <w:rsid w:val="00497156"/>
    <w:rsid w:val="004A0C79"/>
    <w:rsid w:val="004A24D2"/>
    <w:rsid w:val="004A2C1D"/>
    <w:rsid w:val="004A3214"/>
    <w:rsid w:val="004A4136"/>
    <w:rsid w:val="004A417B"/>
    <w:rsid w:val="004A4378"/>
    <w:rsid w:val="004A712D"/>
    <w:rsid w:val="004B03F3"/>
    <w:rsid w:val="004B0CC9"/>
    <w:rsid w:val="004B2536"/>
    <w:rsid w:val="004B46D7"/>
    <w:rsid w:val="004B6AF3"/>
    <w:rsid w:val="004B715E"/>
    <w:rsid w:val="004B7169"/>
    <w:rsid w:val="004B79C9"/>
    <w:rsid w:val="004B7D9B"/>
    <w:rsid w:val="004C00DD"/>
    <w:rsid w:val="004C05CF"/>
    <w:rsid w:val="004C0776"/>
    <w:rsid w:val="004C1EF8"/>
    <w:rsid w:val="004C2063"/>
    <w:rsid w:val="004C24C5"/>
    <w:rsid w:val="004C34FF"/>
    <w:rsid w:val="004C47D5"/>
    <w:rsid w:val="004C4CAF"/>
    <w:rsid w:val="004C50D5"/>
    <w:rsid w:val="004C5E33"/>
    <w:rsid w:val="004C60A3"/>
    <w:rsid w:val="004C6CDA"/>
    <w:rsid w:val="004C7B3E"/>
    <w:rsid w:val="004D0BC8"/>
    <w:rsid w:val="004D10D4"/>
    <w:rsid w:val="004D16BD"/>
    <w:rsid w:val="004D2AAB"/>
    <w:rsid w:val="004D6E90"/>
    <w:rsid w:val="004D6F2B"/>
    <w:rsid w:val="004E0248"/>
    <w:rsid w:val="004E21A3"/>
    <w:rsid w:val="004E32EA"/>
    <w:rsid w:val="004E6866"/>
    <w:rsid w:val="004F0C58"/>
    <w:rsid w:val="004F3222"/>
    <w:rsid w:val="004F3639"/>
    <w:rsid w:val="004F3BFA"/>
    <w:rsid w:val="004F4E3C"/>
    <w:rsid w:val="004F5A1A"/>
    <w:rsid w:val="004F77A3"/>
    <w:rsid w:val="005000AB"/>
    <w:rsid w:val="00500F3C"/>
    <w:rsid w:val="0050184E"/>
    <w:rsid w:val="005025EE"/>
    <w:rsid w:val="00503DDF"/>
    <w:rsid w:val="00505524"/>
    <w:rsid w:val="00506688"/>
    <w:rsid w:val="00510588"/>
    <w:rsid w:val="00510F9C"/>
    <w:rsid w:val="0051146C"/>
    <w:rsid w:val="0051220B"/>
    <w:rsid w:val="00512253"/>
    <w:rsid w:val="00512484"/>
    <w:rsid w:val="00514449"/>
    <w:rsid w:val="00515419"/>
    <w:rsid w:val="005157BD"/>
    <w:rsid w:val="005214A3"/>
    <w:rsid w:val="005222E7"/>
    <w:rsid w:val="00523A8B"/>
    <w:rsid w:val="00523E04"/>
    <w:rsid w:val="00523EC5"/>
    <w:rsid w:val="00525003"/>
    <w:rsid w:val="0052590B"/>
    <w:rsid w:val="00526591"/>
    <w:rsid w:val="00527178"/>
    <w:rsid w:val="005278CB"/>
    <w:rsid w:val="0053317F"/>
    <w:rsid w:val="00534D42"/>
    <w:rsid w:val="005350A5"/>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288D"/>
    <w:rsid w:val="00555259"/>
    <w:rsid w:val="00555C66"/>
    <w:rsid w:val="005569EF"/>
    <w:rsid w:val="00556BDE"/>
    <w:rsid w:val="00560D57"/>
    <w:rsid w:val="00562A94"/>
    <w:rsid w:val="00563FAD"/>
    <w:rsid w:val="005701C1"/>
    <w:rsid w:val="005703BF"/>
    <w:rsid w:val="00570754"/>
    <w:rsid w:val="005709F7"/>
    <w:rsid w:val="005710A9"/>
    <w:rsid w:val="00571B11"/>
    <w:rsid w:val="00571D1B"/>
    <w:rsid w:val="00571DA3"/>
    <w:rsid w:val="00572640"/>
    <w:rsid w:val="005738F5"/>
    <w:rsid w:val="00573D34"/>
    <w:rsid w:val="00575963"/>
    <w:rsid w:val="00575EBE"/>
    <w:rsid w:val="0058039C"/>
    <w:rsid w:val="00580A63"/>
    <w:rsid w:val="0058172B"/>
    <w:rsid w:val="00583379"/>
    <w:rsid w:val="0058417C"/>
    <w:rsid w:val="00586EC6"/>
    <w:rsid w:val="00587DDE"/>
    <w:rsid w:val="00593043"/>
    <w:rsid w:val="00595B60"/>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8F"/>
    <w:rsid w:val="005B1E94"/>
    <w:rsid w:val="005B5B3D"/>
    <w:rsid w:val="005B64CF"/>
    <w:rsid w:val="005B7A9F"/>
    <w:rsid w:val="005C05A9"/>
    <w:rsid w:val="005C0E87"/>
    <w:rsid w:val="005C16F3"/>
    <w:rsid w:val="005C3758"/>
    <w:rsid w:val="005C4D72"/>
    <w:rsid w:val="005C50C1"/>
    <w:rsid w:val="005C62C2"/>
    <w:rsid w:val="005D2306"/>
    <w:rsid w:val="005D4A74"/>
    <w:rsid w:val="005D5E91"/>
    <w:rsid w:val="005D67EF"/>
    <w:rsid w:val="005E0C3A"/>
    <w:rsid w:val="005E3064"/>
    <w:rsid w:val="005E6AEE"/>
    <w:rsid w:val="005E72B2"/>
    <w:rsid w:val="005F1115"/>
    <w:rsid w:val="005F1AB6"/>
    <w:rsid w:val="005F27F2"/>
    <w:rsid w:val="005F2B27"/>
    <w:rsid w:val="005F3567"/>
    <w:rsid w:val="005F3AFE"/>
    <w:rsid w:val="005F424D"/>
    <w:rsid w:val="005F55F5"/>
    <w:rsid w:val="005F5EC1"/>
    <w:rsid w:val="005F67A9"/>
    <w:rsid w:val="005F6B6D"/>
    <w:rsid w:val="006008F8"/>
    <w:rsid w:val="00605AAB"/>
    <w:rsid w:val="00606BEB"/>
    <w:rsid w:val="0061014A"/>
    <w:rsid w:val="0061054B"/>
    <w:rsid w:val="00612FB0"/>
    <w:rsid w:val="0061356D"/>
    <w:rsid w:val="00613E26"/>
    <w:rsid w:val="00615641"/>
    <w:rsid w:val="00616959"/>
    <w:rsid w:val="0062036E"/>
    <w:rsid w:val="006211D0"/>
    <w:rsid w:val="00621595"/>
    <w:rsid w:val="0062359D"/>
    <w:rsid w:val="00623634"/>
    <w:rsid w:val="00624D0C"/>
    <w:rsid w:val="006274B4"/>
    <w:rsid w:val="006307BA"/>
    <w:rsid w:val="006315BA"/>
    <w:rsid w:val="00634C4A"/>
    <w:rsid w:val="0063532E"/>
    <w:rsid w:val="00637063"/>
    <w:rsid w:val="0063737C"/>
    <w:rsid w:val="00637BDC"/>
    <w:rsid w:val="00640622"/>
    <w:rsid w:val="006418C9"/>
    <w:rsid w:val="00642BD6"/>
    <w:rsid w:val="00645046"/>
    <w:rsid w:val="0064527A"/>
    <w:rsid w:val="006458FD"/>
    <w:rsid w:val="00645EA2"/>
    <w:rsid w:val="00651E6D"/>
    <w:rsid w:val="00653D2D"/>
    <w:rsid w:val="006555E7"/>
    <w:rsid w:val="00655EE9"/>
    <w:rsid w:val="006560B6"/>
    <w:rsid w:val="006573F2"/>
    <w:rsid w:val="00662AD0"/>
    <w:rsid w:val="00662F08"/>
    <w:rsid w:val="00663589"/>
    <w:rsid w:val="006649CD"/>
    <w:rsid w:val="00665D75"/>
    <w:rsid w:val="006708E3"/>
    <w:rsid w:val="00670DDC"/>
    <w:rsid w:val="00671389"/>
    <w:rsid w:val="00671EB4"/>
    <w:rsid w:val="00673CDC"/>
    <w:rsid w:val="0067443B"/>
    <w:rsid w:val="006770AA"/>
    <w:rsid w:val="00682486"/>
    <w:rsid w:val="00684CE6"/>
    <w:rsid w:val="00684E2B"/>
    <w:rsid w:val="00687C7E"/>
    <w:rsid w:val="00690569"/>
    <w:rsid w:val="00690FDA"/>
    <w:rsid w:val="00691E61"/>
    <w:rsid w:val="006937C6"/>
    <w:rsid w:val="00693C5E"/>
    <w:rsid w:val="00693CEE"/>
    <w:rsid w:val="00694EEA"/>
    <w:rsid w:val="006955B4"/>
    <w:rsid w:val="00695985"/>
    <w:rsid w:val="00695DEF"/>
    <w:rsid w:val="00696476"/>
    <w:rsid w:val="00696C74"/>
    <w:rsid w:val="00697B16"/>
    <w:rsid w:val="006A0B3B"/>
    <w:rsid w:val="006A10FA"/>
    <w:rsid w:val="006A1C2A"/>
    <w:rsid w:val="006A40E6"/>
    <w:rsid w:val="006A516B"/>
    <w:rsid w:val="006A5362"/>
    <w:rsid w:val="006A543A"/>
    <w:rsid w:val="006A5C07"/>
    <w:rsid w:val="006A75FA"/>
    <w:rsid w:val="006B07D5"/>
    <w:rsid w:val="006B1309"/>
    <w:rsid w:val="006B31E6"/>
    <w:rsid w:val="006B3923"/>
    <w:rsid w:val="006B3F3E"/>
    <w:rsid w:val="006B4AA2"/>
    <w:rsid w:val="006B53C4"/>
    <w:rsid w:val="006B586B"/>
    <w:rsid w:val="006B5923"/>
    <w:rsid w:val="006B67D9"/>
    <w:rsid w:val="006B6C14"/>
    <w:rsid w:val="006B715E"/>
    <w:rsid w:val="006C1D6E"/>
    <w:rsid w:val="006C2225"/>
    <w:rsid w:val="006C2EF6"/>
    <w:rsid w:val="006C3A68"/>
    <w:rsid w:val="006C3B08"/>
    <w:rsid w:val="006C5805"/>
    <w:rsid w:val="006C6AB1"/>
    <w:rsid w:val="006C6E6B"/>
    <w:rsid w:val="006D145F"/>
    <w:rsid w:val="006D2000"/>
    <w:rsid w:val="006D2D39"/>
    <w:rsid w:val="006D2F31"/>
    <w:rsid w:val="006D4250"/>
    <w:rsid w:val="006D4E0E"/>
    <w:rsid w:val="006D5861"/>
    <w:rsid w:val="006D5CE2"/>
    <w:rsid w:val="006D7854"/>
    <w:rsid w:val="006E06D1"/>
    <w:rsid w:val="006E1313"/>
    <w:rsid w:val="006E2DC8"/>
    <w:rsid w:val="006E7356"/>
    <w:rsid w:val="006E77C8"/>
    <w:rsid w:val="006F0F9C"/>
    <w:rsid w:val="006F149D"/>
    <w:rsid w:val="006F1A46"/>
    <w:rsid w:val="006F2422"/>
    <w:rsid w:val="006F4F06"/>
    <w:rsid w:val="006F5A4E"/>
    <w:rsid w:val="006F5D37"/>
    <w:rsid w:val="006F6005"/>
    <w:rsid w:val="007005EA"/>
    <w:rsid w:val="007015C0"/>
    <w:rsid w:val="00703B6C"/>
    <w:rsid w:val="00703BB0"/>
    <w:rsid w:val="00704519"/>
    <w:rsid w:val="00704C88"/>
    <w:rsid w:val="00704EA1"/>
    <w:rsid w:val="00705C40"/>
    <w:rsid w:val="00706482"/>
    <w:rsid w:val="00706754"/>
    <w:rsid w:val="00706BEF"/>
    <w:rsid w:val="00707ECE"/>
    <w:rsid w:val="00710CE8"/>
    <w:rsid w:val="00711350"/>
    <w:rsid w:val="0071156F"/>
    <w:rsid w:val="007116BC"/>
    <w:rsid w:val="00711961"/>
    <w:rsid w:val="00711CA6"/>
    <w:rsid w:val="00713189"/>
    <w:rsid w:val="007165CE"/>
    <w:rsid w:val="00717CEB"/>
    <w:rsid w:val="0072035D"/>
    <w:rsid w:val="00720968"/>
    <w:rsid w:val="00721705"/>
    <w:rsid w:val="00721B7A"/>
    <w:rsid w:val="00721D12"/>
    <w:rsid w:val="00721F8B"/>
    <w:rsid w:val="007237CE"/>
    <w:rsid w:val="007238AA"/>
    <w:rsid w:val="00724688"/>
    <w:rsid w:val="00724DEF"/>
    <w:rsid w:val="007272F1"/>
    <w:rsid w:val="0073062D"/>
    <w:rsid w:val="0073093B"/>
    <w:rsid w:val="0073254D"/>
    <w:rsid w:val="007340F3"/>
    <w:rsid w:val="00735704"/>
    <w:rsid w:val="00736A49"/>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525B3"/>
    <w:rsid w:val="00760E36"/>
    <w:rsid w:val="0076100C"/>
    <w:rsid w:val="007612A5"/>
    <w:rsid w:val="00763CAE"/>
    <w:rsid w:val="00763F95"/>
    <w:rsid w:val="007651ED"/>
    <w:rsid w:val="00766C87"/>
    <w:rsid w:val="007703B8"/>
    <w:rsid w:val="00771043"/>
    <w:rsid w:val="00773AF7"/>
    <w:rsid w:val="00774FFD"/>
    <w:rsid w:val="00780378"/>
    <w:rsid w:val="0078085E"/>
    <w:rsid w:val="00781BD4"/>
    <w:rsid w:val="00782562"/>
    <w:rsid w:val="007828B4"/>
    <w:rsid w:val="00784832"/>
    <w:rsid w:val="00784EA0"/>
    <w:rsid w:val="00785D77"/>
    <w:rsid w:val="00786111"/>
    <w:rsid w:val="00790963"/>
    <w:rsid w:val="0079154B"/>
    <w:rsid w:val="007916FD"/>
    <w:rsid w:val="00791F1E"/>
    <w:rsid w:val="007927BE"/>
    <w:rsid w:val="007935B8"/>
    <w:rsid w:val="00794ADE"/>
    <w:rsid w:val="00794F3D"/>
    <w:rsid w:val="00795CE9"/>
    <w:rsid w:val="00796045"/>
    <w:rsid w:val="0079630A"/>
    <w:rsid w:val="00796695"/>
    <w:rsid w:val="007968AC"/>
    <w:rsid w:val="007969AB"/>
    <w:rsid w:val="007973D8"/>
    <w:rsid w:val="00797801"/>
    <w:rsid w:val="007A0B39"/>
    <w:rsid w:val="007A14A4"/>
    <w:rsid w:val="007A168F"/>
    <w:rsid w:val="007A2346"/>
    <w:rsid w:val="007A28E4"/>
    <w:rsid w:val="007A3BB3"/>
    <w:rsid w:val="007A3F91"/>
    <w:rsid w:val="007A5AD1"/>
    <w:rsid w:val="007A5B7B"/>
    <w:rsid w:val="007A65A9"/>
    <w:rsid w:val="007B0128"/>
    <w:rsid w:val="007B0A06"/>
    <w:rsid w:val="007B0B24"/>
    <w:rsid w:val="007B1C83"/>
    <w:rsid w:val="007B4181"/>
    <w:rsid w:val="007B5C5C"/>
    <w:rsid w:val="007B6CE0"/>
    <w:rsid w:val="007B7B37"/>
    <w:rsid w:val="007B7C41"/>
    <w:rsid w:val="007C05C5"/>
    <w:rsid w:val="007C11E9"/>
    <w:rsid w:val="007C1535"/>
    <w:rsid w:val="007C433E"/>
    <w:rsid w:val="007C4452"/>
    <w:rsid w:val="007C4919"/>
    <w:rsid w:val="007C4B3C"/>
    <w:rsid w:val="007C4DB1"/>
    <w:rsid w:val="007C6046"/>
    <w:rsid w:val="007C6F0C"/>
    <w:rsid w:val="007C7DA2"/>
    <w:rsid w:val="007D0292"/>
    <w:rsid w:val="007D136C"/>
    <w:rsid w:val="007D21AC"/>
    <w:rsid w:val="007D24B0"/>
    <w:rsid w:val="007D3882"/>
    <w:rsid w:val="007D39E4"/>
    <w:rsid w:val="007D3FE7"/>
    <w:rsid w:val="007D568A"/>
    <w:rsid w:val="007D574E"/>
    <w:rsid w:val="007D57C0"/>
    <w:rsid w:val="007D67CB"/>
    <w:rsid w:val="007D6BFE"/>
    <w:rsid w:val="007E2046"/>
    <w:rsid w:val="007E3883"/>
    <w:rsid w:val="007E4876"/>
    <w:rsid w:val="007E48CD"/>
    <w:rsid w:val="007E4ACB"/>
    <w:rsid w:val="007E4FBB"/>
    <w:rsid w:val="007E55BF"/>
    <w:rsid w:val="007E55CE"/>
    <w:rsid w:val="007E59E3"/>
    <w:rsid w:val="007E5E39"/>
    <w:rsid w:val="007E71B1"/>
    <w:rsid w:val="007E7B4E"/>
    <w:rsid w:val="007E7F02"/>
    <w:rsid w:val="007F0292"/>
    <w:rsid w:val="007F0AB7"/>
    <w:rsid w:val="007F0CE2"/>
    <w:rsid w:val="007F0EFF"/>
    <w:rsid w:val="007F1375"/>
    <w:rsid w:val="007F1AFD"/>
    <w:rsid w:val="007F30E4"/>
    <w:rsid w:val="007F5359"/>
    <w:rsid w:val="0080064F"/>
    <w:rsid w:val="00801B85"/>
    <w:rsid w:val="00803850"/>
    <w:rsid w:val="008039E8"/>
    <w:rsid w:val="00804385"/>
    <w:rsid w:val="00804E0E"/>
    <w:rsid w:val="00805AFD"/>
    <w:rsid w:val="008078D8"/>
    <w:rsid w:val="0080798E"/>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58C"/>
    <w:rsid w:val="00856AC7"/>
    <w:rsid w:val="00856FA4"/>
    <w:rsid w:val="00860E60"/>
    <w:rsid w:val="0086102A"/>
    <w:rsid w:val="0086162B"/>
    <w:rsid w:val="00861710"/>
    <w:rsid w:val="00861D5C"/>
    <w:rsid w:val="00861E7C"/>
    <w:rsid w:val="0086416F"/>
    <w:rsid w:val="00865207"/>
    <w:rsid w:val="008656A7"/>
    <w:rsid w:val="00865FA3"/>
    <w:rsid w:val="00866231"/>
    <w:rsid w:val="00871262"/>
    <w:rsid w:val="0087170E"/>
    <w:rsid w:val="00871D4E"/>
    <w:rsid w:val="00871E7B"/>
    <w:rsid w:val="008721BB"/>
    <w:rsid w:val="0087315D"/>
    <w:rsid w:val="00874DAC"/>
    <w:rsid w:val="0087566D"/>
    <w:rsid w:val="00875B50"/>
    <w:rsid w:val="00875B51"/>
    <w:rsid w:val="00875F2D"/>
    <w:rsid w:val="008764DC"/>
    <w:rsid w:val="00882CC2"/>
    <w:rsid w:val="0088325A"/>
    <w:rsid w:val="00883930"/>
    <w:rsid w:val="00884535"/>
    <w:rsid w:val="008902BE"/>
    <w:rsid w:val="0089038F"/>
    <w:rsid w:val="00890CDA"/>
    <w:rsid w:val="00891BBA"/>
    <w:rsid w:val="00892079"/>
    <w:rsid w:val="00892849"/>
    <w:rsid w:val="00892B90"/>
    <w:rsid w:val="00896535"/>
    <w:rsid w:val="00896683"/>
    <w:rsid w:val="00896E71"/>
    <w:rsid w:val="0089750B"/>
    <w:rsid w:val="00897589"/>
    <w:rsid w:val="00897D76"/>
    <w:rsid w:val="008A0D4F"/>
    <w:rsid w:val="008A39D7"/>
    <w:rsid w:val="008A55DE"/>
    <w:rsid w:val="008A5C34"/>
    <w:rsid w:val="008A63A9"/>
    <w:rsid w:val="008A7073"/>
    <w:rsid w:val="008A79F0"/>
    <w:rsid w:val="008A7F7E"/>
    <w:rsid w:val="008B04DB"/>
    <w:rsid w:val="008B09B4"/>
    <w:rsid w:val="008B1DF4"/>
    <w:rsid w:val="008B27FD"/>
    <w:rsid w:val="008B2FDB"/>
    <w:rsid w:val="008B3AF2"/>
    <w:rsid w:val="008B446D"/>
    <w:rsid w:val="008B515D"/>
    <w:rsid w:val="008B5D31"/>
    <w:rsid w:val="008B6705"/>
    <w:rsid w:val="008C22F3"/>
    <w:rsid w:val="008C3FD0"/>
    <w:rsid w:val="008C4F01"/>
    <w:rsid w:val="008D1484"/>
    <w:rsid w:val="008D1536"/>
    <w:rsid w:val="008D29E7"/>
    <w:rsid w:val="008D5104"/>
    <w:rsid w:val="008D75DB"/>
    <w:rsid w:val="008D75F4"/>
    <w:rsid w:val="008D795D"/>
    <w:rsid w:val="008D7B07"/>
    <w:rsid w:val="008E05B8"/>
    <w:rsid w:val="008E0D8F"/>
    <w:rsid w:val="008E0F4E"/>
    <w:rsid w:val="008E1E94"/>
    <w:rsid w:val="008E2D99"/>
    <w:rsid w:val="008E303C"/>
    <w:rsid w:val="008E30D4"/>
    <w:rsid w:val="008E38B0"/>
    <w:rsid w:val="008E440E"/>
    <w:rsid w:val="008E4A60"/>
    <w:rsid w:val="008E744D"/>
    <w:rsid w:val="008F1E08"/>
    <w:rsid w:val="008F59F3"/>
    <w:rsid w:val="008F6FC8"/>
    <w:rsid w:val="0090045D"/>
    <w:rsid w:val="0090052A"/>
    <w:rsid w:val="00900D8F"/>
    <w:rsid w:val="009014E3"/>
    <w:rsid w:val="009020ED"/>
    <w:rsid w:val="009025AD"/>
    <w:rsid w:val="009026E8"/>
    <w:rsid w:val="00902FDD"/>
    <w:rsid w:val="00905911"/>
    <w:rsid w:val="00905EEF"/>
    <w:rsid w:val="00906EB7"/>
    <w:rsid w:val="009102BF"/>
    <w:rsid w:val="00911490"/>
    <w:rsid w:val="009115F2"/>
    <w:rsid w:val="00911B11"/>
    <w:rsid w:val="00914ADB"/>
    <w:rsid w:val="0091544C"/>
    <w:rsid w:val="00917182"/>
    <w:rsid w:val="00923B25"/>
    <w:rsid w:val="0092402E"/>
    <w:rsid w:val="009259BA"/>
    <w:rsid w:val="00926ED1"/>
    <w:rsid w:val="00926FCB"/>
    <w:rsid w:val="009303BB"/>
    <w:rsid w:val="0093108A"/>
    <w:rsid w:val="0093311A"/>
    <w:rsid w:val="009346D0"/>
    <w:rsid w:val="00936006"/>
    <w:rsid w:val="009419B4"/>
    <w:rsid w:val="00941A4C"/>
    <w:rsid w:val="00942645"/>
    <w:rsid w:val="009461E6"/>
    <w:rsid w:val="00950A3A"/>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72CD"/>
    <w:rsid w:val="009726BB"/>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FCC"/>
    <w:rsid w:val="0099206B"/>
    <w:rsid w:val="009935C3"/>
    <w:rsid w:val="0099421F"/>
    <w:rsid w:val="00994FC8"/>
    <w:rsid w:val="009A0DE3"/>
    <w:rsid w:val="009A1643"/>
    <w:rsid w:val="009A215A"/>
    <w:rsid w:val="009A49D3"/>
    <w:rsid w:val="009A4F1B"/>
    <w:rsid w:val="009A66C5"/>
    <w:rsid w:val="009A66E7"/>
    <w:rsid w:val="009A79BA"/>
    <w:rsid w:val="009B14D1"/>
    <w:rsid w:val="009B1534"/>
    <w:rsid w:val="009B4963"/>
    <w:rsid w:val="009B4A3B"/>
    <w:rsid w:val="009B69D3"/>
    <w:rsid w:val="009B7BA7"/>
    <w:rsid w:val="009B7C01"/>
    <w:rsid w:val="009B7F0E"/>
    <w:rsid w:val="009C0938"/>
    <w:rsid w:val="009C0C22"/>
    <w:rsid w:val="009C15D9"/>
    <w:rsid w:val="009C22C8"/>
    <w:rsid w:val="009C3F82"/>
    <w:rsid w:val="009C4761"/>
    <w:rsid w:val="009C582A"/>
    <w:rsid w:val="009C5C56"/>
    <w:rsid w:val="009C6534"/>
    <w:rsid w:val="009C72DD"/>
    <w:rsid w:val="009C78FD"/>
    <w:rsid w:val="009C7DF5"/>
    <w:rsid w:val="009D056C"/>
    <w:rsid w:val="009D060F"/>
    <w:rsid w:val="009D1796"/>
    <w:rsid w:val="009D1ADE"/>
    <w:rsid w:val="009D3652"/>
    <w:rsid w:val="009D37CA"/>
    <w:rsid w:val="009D4229"/>
    <w:rsid w:val="009D4268"/>
    <w:rsid w:val="009E09D0"/>
    <w:rsid w:val="009E0C91"/>
    <w:rsid w:val="009E1283"/>
    <w:rsid w:val="009E3A7F"/>
    <w:rsid w:val="009E4078"/>
    <w:rsid w:val="009E4C9B"/>
    <w:rsid w:val="009E4DFC"/>
    <w:rsid w:val="009E5789"/>
    <w:rsid w:val="009E57B1"/>
    <w:rsid w:val="009E6379"/>
    <w:rsid w:val="009F020F"/>
    <w:rsid w:val="009F3B63"/>
    <w:rsid w:val="009F3DF1"/>
    <w:rsid w:val="009F43E2"/>
    <w:rsid w:val="009F6292"/>
    <w:rsid w:val="009F7809"/>
    <w:rsid w:val="009F7AF5"/>
    <w:rsid w:val="00A006F1"/>
    <w:rsid w:val="00A007A7"/>
    <w:rsid w:val="00A00D14"/>
    <w:rsid w:val="00A01408"/>
    <w:rsid w:val="00A02457"/>
    <w:rsid w:val="00A03190"/>
    <w:rsid w:val="00A0404B"/>
    <w:rsid w:val="00A060D1"/>
    <w:rsid w:val="00A06B31"/>
    <w:rsid w:val="00A06F66"/>
    <w:rsid w:val="00A0798C"/>
    <w:rsid w:val="00A07BDD"/>
    <w:rsid w:val="00A07F12"/>
    <w:rsid w:val="00A1105B"/>
    <w:rsid w:val="00A11EBB"/>
    <w:rsid w:val="00A1213C"/>
    <w:rsid w:val="00A130E8"/>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0963"/>
    <w:rsid w:val="00A31FE2"/>
    <w:rsid w:val="00A32743"/>
    <w:rsid w:val="00A37320"/>
    <w:rsid w:val="00A40FFB"/>
    <w:rsid w:val="00A41468"/>
    <w:rsid w:val="00A414A9"/>
    <w:rsid w:val="00A44141"/>
    <w:rsid w:val="00A44CCA"/>
    <w:rsid w:val="00A44D75"/>
    <w:rsid w:val="00A47CF1"/>
    <w:rsid w:val="00A50418"/>
    <w:rsid w:val="00A54A47"/>
    <w:rsid w:val="00A56D26"/>
    <w:rsid w:val="00A571A7"/>
    <w:rsid w:val="00A5749A"/>
    <w:rsid w:val="00A57765"/>
    <w:rsid w:val="00A57BA8"/>
    <w:rsid w:val="00A608FB"/>
    <w:rsid w:val="00A60D83"/>
    <w:rsid w:val="00A60F68"/>
    <w:rsid w:val="00A63DF3"/>
    <w:rsid w:val="00A63E23"/>
    <w:rsid w:val="00A65C78"/>
    <w:rsid w:val="00A660A8"/>
    <w:rsid w:val="00A66A45"/>
    <w:rsid w:val="00A67591"/>
    <w:rsid w:val="00A67CA6"/>
    <w:rsid w:val="00A70E7B"/>
    <w:rsid w:val="00A717EA"/>
    <w:rsid w:val="00A73B84"/>
    <w:rsid w:val="00A7411D"/>
    <w:rsid w:val="00A74375"/>
    <w:rsid w:val="00A749D7"/>
    <w:rsid w:val="00A756C4"/>
    <w:rsid w:val="00A7592B"/>
    <w:rsid w:val="00A76094"/>
    <w:rsid w:val="00A768E2"/>
    <w:rsid w:val="00A77620"/>
    <w:rsid w:val="00A77A02"/>
    <w:rsid w:val="00A77F7F"/>
    <w:rsid w:val="00A82C52"/>
    <w:rsid w:val="00A838E8"/>
    <w:rsid w:val="00A83C15"/>
    <w:rsid w:val="00A84EC4"/>
    <w:rsid w:val="00A8504D"/>
    <w:rsid w:val="00A85BFB"/>
    <w:rsid w:val="00A86CB6"/>
    <w:rsid w:val="00A90D55"/>
    <w:rsid w:val="00A927D3"/>
    <w:rsid w:val="00A944D8"/>
    <w:rsid w:val="00A959E7"/>
    <w:rsid w:val="00A95BBA"/>
    <w:rsid w:val="00A961EE"/>
    <w:rsid w:val="00AA04B3"/>
    <w:rsid w:val="00AA1253"/>
    <w:rsid w:val="00AA1ED0"/>
    <w:rsid w:val="00AA1F5B"/>
    <w:rsid w:val="00AA28EF"/>
    <w:rsid w:val="00AA3593"/>
    <w:rsid w:val="00AA38CA"/>
    <w:rsid w:val="00AA493E"/>
    <w:rsid w:val="00AA73AF"/>
    <w:rsid w:val="00AB0A8A"/>
    <w:rsid w:val="00AB1754"/>
    <w:rsid w:val="00AB1F8D"/>
    <w:rsid w:val="00AB27DD"/>
    <w:rsid w:val="00AB592E"/>
    <w:rsid w:val="00AC37BE"/>
    <w:rsid w:val="00AC439D"/>
    <w:rsid w:val="00AC62CC"/>
    <w:rsid w:val="00AC635D"/>
    <w:rsid w:val="00AC713F"/>
    <w:rsid w:val="00AC7329"/>
    <w:rsid w:val="00AC7D96"/>
    <w:rsid w:val="00AD00E4"/>
    <w:rsid w:val="00AD067E"/>
    <w:rsid w:val="00AD168B"/>
    <w:rsid w:val="00AD1B4E"/>
    <w:rsid w:val="00AD2801"/>
    <w:rsid w:val="00AD3496"/>
    <w:rsid w:val="00AD49A1"/>
    <w:rsid w:val="00AD5771"/>
    <w:rsid w:val="00AD6870"/>
    <w:rsid w:val="00AD68C5"/>
    <w:rsid w:val="00AD7F8F"/>
    <w:rsid w:val="00AE036B"/>
    <w:rsid w:val="00AE0BF9"/>
    <w:rsid w:val="00AE1273"/>
    <w:rsid w:val="00AE18C5"/>
    <w:rsid w:val="00AE2CF4"/>
    <w:rsid w:val="00AE2D29"/>
    <w:rsid w:val="00AE2F15"/>
    <w:rsid w:val="00AE3B06"/>
    <w:rsid w:val="00AE4624"/>
    <w:rsid w:val="00AE4B3E"/>
    <w:rsid w:val="00AE5A6E"/>
    <w:rsid w:val="00AE5E14"/>
    <w:rsid w:val="00AE6115"/>
    <w:rsid w:val="00AE625B"/>
    <w:rsid w:val="00AF01B2"/>
    <w:rsid w:val="00AF1103"/>
    <w:rsid w:val="00AF1668"/>
    <w:rsid w:val="00AF28DE"/>
    <w:rsid w:val="00AF4FA5"/>
    <w:rsid w:val="00AF6ECC"/>
    <w:rsid w:val="00B00370"/>
    <w:rsid w:val="00B006FC"/>
    <w:rsid w:val="00B022DC"/>
    <w:rsid w:val="00B04562"/>
    <w:rsid w:val="00B0472F"/>
    <w:rsid w:val="00B06930"/>
    <w:rsid w:val="00B0773A"/>
    <w:rsid w:val="00B07955"/>
    <w:rsid w:val="00B1176B"/>
    <w:rsid w:val="00B1198D"/>
    <w:rsid w:val="00B140B8"/>
    <w:rsid w:val="00B14B5C"/>
    <w:rsid w:val="00B14FAA"/>
    <w:rsid w:val="00B15BED"/>
    <w:rsid w:val="00B15D30"/>
    <w:rsid w:val="00B16D18"/>
    <w:rsid w:val="00B177DE"/>
    <w:rsid w:val="00B20624"/>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4274"/>
    <w:rsid w:val="00B36569"/>
    <w:rsid w:val="00B37345"/>
    <w:rsid w:val="00B37F53"/>
    <w:rsid w:val="00B40A05"/>
    <w:rsid w:val="00B40A0A"/>
    <w:rsid w:val="00B40A3E"/>
    <w:rsid w:val="00B427BB"/>
    <w:rsid w:val="00B43BA2"/>
    <w:rsid w:val="00B43F0D"/>
    <w:rsid w:val="00B449EE"/>
    <w:rsid w:val="00B454AE"/>
    <w:rsid w:val="00B4726B"/>
    <w:rsid w:val="00B50227"/>
    <w:rsid w:val="00B50510"/>
    <w:rsid w:val="00B50D4B"/>
    <w:rsid w:val="00B522CD"/>
    <w:rsid w:val="00B55143"/>
    <w:rsid w:val="00B555C8"/>
    <w:rsid w:val="00B55917"/>
    <w:rsid w:val="00B5646A"/>
    <w:rsid w:val="00B56F3D"/>
    <w:rsid w:val="00B57921"/>
    <w:rsid w:val="00B57E78"/>
    <w:rsid w:val="00B57EB8"/>
    <w:rsid w:val="00B609F6"/>
    <w:rsid w:val="00B60E75"/>
    <w:rsid w:val="00B643A6"/>
    <w:rsid w:val="00B64DD6"/>
    <w:rsid w:val="00B66462"/>
    <w:rsid w:val="00B66505"/>
    <w:rsid w:val="00B6710C"/>
    <w:rsid w:val="00B67E84"/>
    <w:rsid w:val="00B72076"/>
    <w:rsid w:val="00B72303"/>
    <w:rsid w:val="00B72C72"/>
    <w:rsid w:val="00B72ED9"/>
    <w:rsid w:val="00B731E4"/>
    <w:rsid w:val="00B751CE"/>
    <w:rsid w:val="00B75663"/>
    <w:rsid w:val="00B75A8B"/>
    <w:rsid w:val="00B75B61"/>
    <w:rsid w:val="00B76796"/>
    <w:rsid w:val="00B771E0"/>
    <w:rsid w:val="00B7793B"/>
    <w:rsid w:val="00B77EE7"/>
    <w:rsid w:val="00B80EDD"/>
    <w:rsid w:val="00B812BD"/>
    <w:rsid w:val="00B81964"/>
    <w:rsid w:val="00B82277"/>
    <w:rsid w:val="00B82C2C"/>
    <w:rsid w:val="00B83F87"/>
    <w:rsid w:val="00B8478F"/>
    <w:rsid w:val="00B91676"/>
    <w:rsid w:val="00B9322B"/>
    <w:rsid w:val="00B955D5"/>
    <w:rsid w:val="00B95833"/>
    <w:rsid w:val="00BA1824"/>
    <w:rsid w:val="00BA2D98"/>
    <w:rsid w:val="00BA2F0C"/>
    <w:rsid w:val="00BA30D1"/>
    <w:rsid w:val="00BA30E1"/>
    <w:rsid w:val="00BA4609"/>
    <w:rsid w:val="00BA5BE2"/>
    <w:rsid w:val="00BA7A8B"/>
    <w:rsid w:val="00BA7F46"/>
    <w:rsid w:val="00BB0A0A"/>
    <w:rsid w:val="00BB133C"/>
    <w:rsid w:val="00BB1F04"/>
    <w:rsid w:val="00BB2AF4"/>
    <w:rsid w:val="00BB45B5"/>
    <w:rsid w:val="00BB4DDE"/>
    <w:rsid w:val="00BB6064"/>
    <w:rsid w:val="00BB65CE"/>
    <w:rsid w:val="00BB7012"/>
    <w:rsid w:val="00BC09D1"/>
    <w:rsid w:val="00BC1CF3"/>
    <w:rsid w:val="00BC2BE0"/>
    <w:rsid w:val="00BC3573"/>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4E59"/>
    <w:rsid w:val="00BE631E"/>
    <w:rsid w:val="00BE6365"/>
    <w:rsid w:val="00BE794D"/>
    <w:rsid w:val="00BF01B7"/>
    <w:rsid w:val="00BF0B7F"/>
    <w:rsid w:val="00BF2988"/>
    <w:rsid w:val="00BF4720"/>
    <w:rsid w:val="00BF4F49"/>
    <w:rsid w:val="00BF6759"/>
    <w:rsid w:val="00BF70A6"/>
    <w:rsid w:val="00BF7B4F"/>
    <w:rsid w:val="00BF7B63"/>
    <w:rsid w:val="00C0359D"/>
    <w:rsid w:val="00C038EC"/>
    <w:rsid w:val="00C05C6D"/>
    <w:rsid w:val="00C072D7"/>
    <w:rsid w:val="00C104DB"/>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B82"/>
    <w:rsid w:val="00C17EE6"/>
    <w:rsid w:val="00C217F7"/>
    <w:rsid w:val="00C22178"/>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8CC"/>
    <w:rsid w:val="00C34CEB"/>
    <w:rsid w:val="00C36201"/>
    <w:rsid w:val="00C36372"/>
    <w:rsid w:val="00C368E8"/>
    <w:rsid w:val="00C36C3D"/>
    <w:rsid w:val="00C372C7"/>
    <w:rsid w:val="00C42443"/>
    <w:rsid w:val="00C42CBA"/>
    <w:rsid w:val="00C43084"/>
    <w:rsid w:val="00C4338C"/>
    <w:rsid w:val="00C43C2B"/>
    <w:rsid w:val="00C45B27"/>
    <w:rsid w:val="00C472C7"/>
    <w:rsid w:val="00C47E09"/>
    <w:rsid w:val="00C5019E"/>
    <w:rsid w:val="00C51412"/>
    <w:rsid w:val="00C51962"/>
    <w:rsid w:val="00C5377C"/>
    <w:rsid w:val="00C53E8A"/>
    <w:rsid w:val="00C54DF3"/>
    <w:rsid w:val="00C560A7"/>
    <w:rsid w:val="00C56601"/>
    <w:rsid w:val="00C56FC8"/>
    <w:rsid w:val="00C60F23"/>
    <w:rsid w:val="00C6170B"/>
    <w:rsid w:val="00C62EB2"/>
    <w:rsid w:val="00C644D2"/>
    <w:rsid w:val="00C64C87"/>
    <w:rsid w:val="00C665FE"/>
    <w:rsid w:val="00C71BEC"/>
    <w:rsid w:val="00C74D3A"/>
    <w:rsid w:val="00C75F3D"/>
    <w:rsid w:val="00C80511"/>
    <w:rsid w:val="00C826F5"/>
    <w:rsid w:val="00C83740"/>
    <w:rsid w:val="00C84AD1"/>
    <w:rsid w:val="00C85579"/>
    <w:rsid w:val="00C85DBA"/>
    <w:rsid w:val="00C8601B"/>
    <w:rsid w:val="00C862F1"/>
    <w:rsid w:val="00C863E5"/>
    <w:rsid w:val="00C87BE6"/>
    <w:rsid w:val="00C87F76"/>
    <w:rsid w:val="00C931FC"/>
    <w:rsid w:val="00C932C5"/>
    <w:rsid w:val="00C94CB6"/>
    <w:rsid w:val="00C95299"/>
    <w:rsid w:val="00C95A72"/>
    <w:rsid w:val="00C9650E"/>
    <w:rsid w:val="00C97000"/>
    <w:rsid w:val="00C975BD"/>
    <w:rsid w:val="00CA068D"/>
    <w:rsid w:val="00CA1228"/>
    <w:rsid w:val="00CA1C73"/>
    <w:rsid w:val="00CA282D"/>
    <w:rsid w:val="00CA3F73"/>
    <w:rsid w:val="00CA4670"/>
    <w:rsid w:val="00CA5F89"/>
    <w:rsid w:val="00CA6B1A"/>
    <w:rsid w:val="00CA7AE4"/>
    <w:rsid w:val="00CB1B18"/>
    <w:rsid w:val="00CB20DC"/>
    <w:rsid w:val="00CB23DC"/>
    <w:rsid w:val="00CB2487"/>
    <w:rsid w:val="00CB28E2"/>
    <w:rsid w:val="00CB2F20"/>
    <w:rsid w:val="00CB758D"/>
    <w:rsid w:val="00CB7A3E"/>
    <w:rsid w:val="00CB7FF7"/>
    <w:rsid w:val="00CC0D0E"/>
    <w:rsid w:val="00CC1253"/>
    <w:rsid w:val="00CC19B3"/>
    <w:rsid w:val="00CC2044"/>
    <w:rsid w:val="00CC39D2"/>
    <w:rsid w:val="00CC4AFB"/>
    <w:rsid w:val="00CC69EC"/>
    <w:rsid w:val="00CC78A2"/>
    <w:rsid w:val="00CC7DF8"/>
    <w:rsid w:val="00CD15BE"/>
    <w:rsid w:val="00CD1EF2"/>
    <w:rsid w:val="00CD32BD"/>
    <w:rsid w:val="00CD34C7"/>
    <w:rsid w:val="00CD5653"/>
    <w:rsid w:val="00CD5E6D"/>
    <w:rsid w:val="00CD63C8"/>
    <w:rsid w:val="00CD76F8"/>
    <w:rsid w:val="00CE02E8"/>
    <w:rsid w:val="00CE069E"/>
    <w:rsid w:val="00CE0BD9"/>
    <w:rsid w:val="00CE0DE0"/>
    <w:rsid w:val="00CE3722"/>
    <w:rsid w:val="00CF158D"/>
    <w:rsid w:val="00CF2166"/>
    <w:rsid w:val="00CF4340"/>
    <w:rsid w:val="00CF4394"/>
    <w:rsid w:val="00CF48B4"/>
    <w:rsid w:val="00D000A9"/>
    <w:rsid w:val="00D00384"/>
    <w:rsid w:val="00D005DB"/>
    <w:rsid w:val="00D0064E"/>
    <w:rsid w:val="00D00981"/>
    <w:rsid w:val="00D02596"/>
    <w:rsid w:val="00D0280D"/>
    <w:rsid w:val="00D02AEF"/>
    <w:rsid w:val="00D034E5"/>
    <w:rsid w:val="00D046E1"/>
    <w:rsid w:val="00D04C28"/>
    <w:rsid w:val="00D05669"/>
    <w:rsid w:val="00D061EB"/>
    <w:rsid w:val="00D06952"/>
    <w:rsid w:val="00D07A72"/>
    <w:rsid w:val="00D10577"/>
    <w:rsid w:val="00D12405"/>
    <w:rsid w:val="00D12A4E"/>
    <w:rsid w:val="00D13073"/>
    <w:rsid w:val="00D1323B"/>
    <w:rsid w:val="00D1404E"/>
    <w:rsid w:val="00D14BAE"/>
    <w:rsid w:val="00D1648B"/>
    <w:rsid w:val="00D16819"/>
    <w:rsid w:val="00D17DD9"/>
    <w:rsid w:val="00D20AC0"/>
    <w:rsid w:val="00D2321B"/>
    <w:rsid w:val="00D23350"/>
    <w:rsid w:val="00D237E7"/>
    <w:rsid w:val="00D23DE4"/>
    <w:rsid w:val="00D25A5C"/>
    <w:rsid w:val="00D26873"/>
    <w:rsid w:val="00D27BDD"/>
    <w:rsid w:val="00D31683"/>
    <w:rsid w:val="00D336C8"/>
    <w:rsid w:val="00D339E8"/>
    <w:rsid w:val="00D3654A"/>
    <w:rsid w:val="00D3662E"/>
    <w:rsid w:val="00D36C40"/>
    <w:rsid w:val="00D40B1F"/>
    <w:rsid w:val="00D40D75"/>
    <w:rsid w:val="00D43978"/>
    <w:rsid w:val="00D43CBD"/>
    <w:rsid w:val="00D449F0"/>
    <w:rsid w:val="00D462D7"/>
    <w:rsid w:val="00D5062C"/>
    <w:rsid w:val="00D50C8C"/>
    <w:rsid w:val="00D50EFD"/>
    <w:rsid w:val="00D52393"/>
    <w:rsid w:val="00D523E4"/>
    <w:rsid w:val="00D5279D"/>
    <w:rsid w:val="00D52A1B"/>
    <w:rsid w:val="00D52AA7"/>
    <w:rsid w:val="00D52FCC"/>
    <w:rsid w:val="00D53F14"/>
    <w:rsid w:val="00D54BE4"/>
    <w:rsid w:val="00D54DDB"/>
    <w:rsid w:val="00D554BC"/>
    <w:rsid w:val="00D560DC"/>
    <w:rsid w:val="00D56602"/>
    <w:rsid w:val="00D60483"/>
    <w:rsid w:val="00D609AB"/>
    <w:rsid w:val="00D61ABB"/>
    <w:rsid w:val="00D6286D"/>
    <w:rsid w:val="00D629C7"/>
    <w:rsid w:val="00D62D5C"/>
    <w:rsid w:val="00D6350E"/>
    <w:rsid w:val="00D63577"/>
    <w:rsid w:val="00D6614E"/>
    <w:rsid w:val="00D67FD7"/>
    <w:rsid w:val="00D72410"/>
    <w:rsid w:val="00D73D53"/>
    <w:rsid w:val="00D7408A"/>
    <w:rsid w:val="00D74261"/>
    <w:rsid w:val="00D7441B"/>
    <w:rsid w:val="00D75589"/>
    <w:rsid w:val="00D76AB2"/>
    <w:rsid w:val="00D80490"/>
    <w:rsid w:val="00D829AD"/>
    <w:rsid w:val="00D82EE2"/>
    <w:rsid w:val="00D83D1B"/>
    <w:rsid w:val="00D84133"/>
    <w:rsid w:val="00D8545C"/>
    <w:rsid w:val="00D86E57"/>
    <w:rsid w:val="00D87788"/>
    <w:rsid w:val="00D877C8"/>
    <w:rsid w:val="00D90699"/>
    <w:rsid w:val="00D91040"/>
    <w:rsid w:val="00D910C2"/>
    <w:rsid w:val="00D9168C"/>
    <w:rsid w:val="00D9189B"/>
    <w:rsid w:val="00D91DA6"/>
    <w:rsid w:val="00D921A0"/>
    <w:rsid w:val="00D9251C"/>
    <w:rsid w:val="00D93A41"/>
    <w:rsid w:val="00D93B9A"/>
    <w:rsid w:val="00D95984"/>
    <w:rsid w:val="00D95C64"/>
    <w:rsid w:val="00D95D2F"/>
    <w:rsid w:val="00D9706F"/>
    <w:rsid w:val="00D972D4"/>
    <w:rsid w:val="00DA0B1C"/>
    <w:rsid w:val="00DA195B"/>
    <w:rsid w:val="00DA27F3"/>
    <w:rsid w:val="00DA2D1E"/>
    <w:rsid w:val="00DA36B8"/>
    <w:rsid w:val="00DA3EC8"/>
    <w:rsid w:val="00DA40C1"/>
    <w:rsid w:val="00DA5564"/>
    <w:rsid w:val="00DA6451"/>
    <w:rsid w:val="00DA6B55"/>
    <w:rsid w:val="00DA6B97"/>
    <w:rsid w:val="00DA6CEE"/>
    <w:rsid w:val="00DB0015"/>
    <w:rsid w:val="00DB0359"/>
    <w:rsid w:val="00DB0ABB"/>
    <w:rsid w:val="00DB2779"/>
    <w:rsid w:val="00DB2AAD"/>
    <w:rsid w:val="00DB44E2"/>
    <w:rsid w:val="00DB4A6D"/>
    <w:rsid w:val="00DB5941"/>
    <w:rsid w:val="00DB626D"/>
    <w:rsid w:val="00DB6365"/>
    <w:rsid w:val="00DC07B7"/>
    <w:rsid w:val="00DC0BF1"/>
    <w:rsid w:val="00DC17F2"/>
    <w:rsid w:val="00DC3973"/>
    <w:rsid w:val="00DC41C3"/>
    <w:rsid w:val="00DC4A3C"/>
    <w:rsid w:val="00DC4FA4"/>
    <w:rsid w:val="00DC5856"/>
    <w:rsid w:val="00DC5B37"/>
    <w:rsid w:val="00DD286D"/>
    <w:rsid w:val="00DD2CAF"/>
    <w:rsid w:val="00DD3593"/>
    <w:rsid w:val="00DD4566"/>
    <w:rsid w:val="00DD55E3"/>
    <w:rsid w:val="00DD64E0"/>
    <w:rsid w:val="00DD7BE0"/>
    <w:rsid w:val="00DE0C67"/>
    <w:rsid w:val="00DE236A"/>
    <w:rsid w:val="00DE3AAD"/>
    <w:rsid w:val="00DE598A"/>
    <w:rsid w:val="00DE6952"/>
    <w:rsid w:val="00DE7E74"/>
    <w:rsid w:val="00DF071B"/>
    <w:rsid w:val="00DF5C84"/>
    <w:rsid w:val="00DF6EF8"/>
    <w:rsid w:val="00E00A69"/>
    <w:rsid w:val="00E017BC"/>
    <w:rsid w:val="00E017F0"/>
    <w:rsid w:val="00E01A0E"/>
    <w:rsid w:val="00E0346A"/>
    <w:rsid w:val="00E041E4"/>
    <w:rsid w:val="00E04AEE"/>
    <w:rsid w:val="00E10098"/>
    <w:rsid w:val="00E1012B"/>
    <w:rsid w:val="00E103C8"/>
    <w:rsid w:val="00E1085B"/>
    <w:rsid w:val="00E1308B"/>
    <w:rsid w:val="00E14581"/>
    <w:rsid w:val="00E14623"/>
    <w:rsid w:val="00E14686"/>
    <w:rsid w:val="00E15539"/>
    <w:rsid w:val="00E16541"/>
    <w:rsid w:val="00E178C4"/>
    <w:rsid w:val="00E17EC9"/>
    <w:rsid w:val="00E202F4"/>
    <w:rsid w:val="00E207C3"/>
    <w:rsid w:val="00E21386"/>
    <w:rsid w:val="00E242AF"/>
    <w:rsid w:val="00E24849"/>
    <w:rsid w:val="00E2536E"/>
    <w:rsid w:val="00E25B8A"/>
    <w:rsid w:val="00E25EF8"/>
    <w:rsid w:val="00E2632B"/>
    <w:rsid w:val="00E26F75"/>
    <w:rsid w:val="00E27423"/>
    <w:rsid w:val="00E322F7"/>
    <w:rsid w:val="00E3369B"/>
    <w:rsid w:val="00E33EF1"/>
    <w:rsid w:val="00E362D2"/>
    <w:rsid w:val="00E36D76"/>
    <w:rsid w:val="00E40478"/>
    <w:rsid w:val="00E405EA"/>
    <w:rsid w:val="00E408B7"/>
    <w:rsid w:val="00E41637"/>
    <w:rsid w:val="00E42789"/>
    <w:rsid w:val="00E43F59"/>
    <w:rsid w:val="00E464F0"/>
    <w:rsid w:val="00E46971"/>
    <w:rsid w:val="00E46EF3"/>
    <w:rsid w:val="00E47370"/>
    <w:rsid w:val="00E473E9"/>
    <w:rsid w:val="00E47B47"/>
    <w:rsid w:val="00E50BEB"/>
    <w:rsid w:val="00E548FA"/>
    <w:rsid w:val="00E57703"/>
    <w:rsid w:val="00E57ED4"/>
    <w:rsid w:val="00E57FED"/>
    <w:rsid w:val="00E6092F"/>
    <w:rsid w:val="00E62049"/>
    <w:rsid w:val="00E629DA"/>
    <w:rsid w:val="00E64374"/>
    <w:rsid w:val="00E6469F"/>
    <w:rsid w:val="00E65D39"/>
    <w:rsid w:val="00E670F8"/>
    <w:rsid w:val="00E6741B"/>
    <w:rsid w:val="00E674CD"/>
    <w:rsid w:val="00E67FAC"/>
    <w:rsid w:val="00E7200B"/>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608F"/>
    <w:rsid w:val="00E86C1D"/>
    <w:rsid w:val="00E93A1B"/>
    <w:rsid w:val="00E9763D"/>
    <w:rsid w:val="00EA0E52"/>
    <w:rsid w:val="00EA1177"/>
    <w:rsid w:val="00EA118B"/>
    <w:rsid w:val="00EA11B6"/>
    <w:rsid w:val="00EA2181"/>
    <w:rsid w:val="00EA2DD8"/>
    <w:rsid w:val="00EA4475"/>
    <w:rsid w:val="00EA52FE"/>
    <w:rsid w:val="00EA681F"/>
    <w:rsid w:val="00EB04C6"/>
    <w:rsid w:val="00EB06A6"/>
    <w:rsid w:val="00EB3307"/>
    <w:rsid w:val="00EB3823"/>
    <w:rsid w:val="00EB47D8"/>
    <w:rsid w:val="00EB57D3"/>
    <w:rsid w:val="00EB5EFD"/>
    <w:rsid w:val="00EB679F"/>
    <w:rsid w:val="00EB76E4"/>
    <w:rsid w:val="00EC0E65"/>
    <w:rsid w:val="00EC1251"/>
    <w:rsid w:val="00EC2938"/>
    <w:rsid w:val="00EC337D"/>
    <w:rsid w:val="00EC38EF"/>
    <w:rsid w:val="00EC50C9"/>
    <w:rsid w:val="00EC58B4"/>
    <w:rsid w:val="00EC5BB2"/>
    <w:rsid w:val="00EC72B1"/>
    <w:rsid w:val="00ED12F0"/>
    <w:rsid w:val="00ED1F0C"/>
    <w:rsid w:val="00ED290C"/>
    <w:rsid w:val="00ED2A6C"/>
    <w:rsid w:val="00ED4773"/>
    <w:rsid w:val="00ED5284"/>
    <w:rsid w:val="00ED664B"/>
    <w:rsid w:val="00ED6A61"/>
    <w:rsid w:val="00ED7DA4"/>
    <w:rsid w:val="00EE03BB"/>
    <w:rsid w:val="00EE0552"/>
    <w:rsid w:val="00EE0B44"/>
    <w:rsid w:val="00EE125D"/>
    <w:rsid w:val="00EE23DE"/>
    <w:rsid w:val="00EE440B"/>
    <w:rsid w:val="00EE48BB"/>
    <w:rsid w:val="00EE6FE0"/>
    <w:rsid w:val="00EE704A"/>
    <w:rsid w:val="00EE7840"/>
    <w:rsid w:val="00EF2E75"/>
    <w:rsid w:val="00EF4C74"/>
    <w:rsid w:val="00EF5268"/>
    <w:rsid w:val="00EF608E"/>
    <w:rsid w:val="00EF6C4A"/>
    <w:rsid w:val="00F0044B"/>
    <w:rsid w:val="00F02E90"/>
    <w:rsid w:val="00F03525"/>
    <w:rsid w:val="00F0424D"/>
    <w:rsid w:val="00F04957"/>
    <w:rsid w:val="00F05807"/>
    <w:rsid w:val="00F06451"/>
    <w:rsid w:val="00F066F4"/>
    <w:rsid w:val="00F07052"/>
    <w:rsid w:val="00F0706C"/>
    <w:rsid w:val="00F11EBE"/>
    <w:rsid w:val="00F12293"/>
    <w:rsid w:val="00F12BA8"/>
    <w:rsid w:val="00F12CDD"/>
    <w:rsid w:val="00F130D0"/>
    <w:rsid w:val="00F14933"/>
    <w:rsid w:val="00F1516A"/>
    <w:rsid w:val="00F15EE5"/>
    <w:rsid w:val="00F171F9"/>
    <w:rsid w:val="00F1737C"/>
    <w:rsid w:val="00F177CA"/>
    <w:rsid w:val="00F22A26"/>
    <w:rsid w:val="00F24072"/>
    <w:rsid w:val="00F26432"/>
    <w:rsid w:val="00F3197A"/>
    <w:rsid w:val="00F32139"/>
    <w:rsid w:val="00F323DD"/>
    <w:rsid w:val="00F33D56"/>
    <w:rsid w:val="00F34E08"/>
    <w:rsid w:val="00F351C8"/>
    <w:rsid w:val="00F41D91"/>
    <w:rsid w:val="00F41F52"/>
    <w:rsid w:val="00F42363"/>
    <w:rsid w:val="00F427C4"/>
    <w:rsid w:val="00F42C62"/>
    <w:rsid w:val="00F43D6C"/>
    <w:rsid w:val="00F46964"/>
    <w:rsid w:val="00F46F9A"/>
    <w:rsid w:val="00F470FD"/>
    <w:rsid w:val="00F50F30"/>
    <w:rsid w:val="00F5126A"/>
    <w:rsid w:val="00F5126E"/>
    <w:rsid w:val="00F516EF"/>
    <w:rsid w:val="00F51755"/>
    <w:rsid w:val="00F51B93"/>
    <w:rsid w:val="00F51FF6"/>
    <w:rsid w:val="00F5580D"/>
    <w:rsid w:val="00F56EA1"/>
    <w:rsid w:val="00F606D5"/>
    <w:rsid w:val="00F611B3"/>
    <w:rsid w:val="00F6196E"/>
    <w:rsid w:val="00F624DD"/>
    <w:rsid w:val="00F629C0"/>
    <w:rsid w:val="00F63FC7"/>
    <w:rsid w:val="00F65E1F"/>
    <w:rsid w:val="00F65ED5"/>
    <w:rsid w:val="00F6608B"/>
    <w:rsid w:val="00F6636A"/>
    <w:rsid w:val="00F667C5"/>
    <w:rsid w:val="00F67E31"/>
    <w:rsid w:val="00F718A8"/>
    <w:rsid w:val="00F72183"/>
    <w:rsid w:val="00F76D01"/>
    <w:rsid w:val="00F770C9"/>
    <w:rsid w:val="00F8061B"/>
    <w:rsid w:val="00F80B43"/>
    <w:rsid w:val="00F81C35"/>
    <w:rsid w:val="00F82981"/>
    <w:rsid w:val="00F8311F"/>
    <w:rsid w:val="00F83248"/>
    <w:rsid w:val="00F83376"/>
    <w:rsid w:val="00F853AE"/>
    <w:rsid w:val="00F908D5"/>
    <w:rsid w:val="00F913B9"/>
    <w:rsid w:val="00F93C74"/>
    <w:rsid w:val="00F93DCC"/>
    <w:rsid w:val="00F9435D"/>
    <w:rsid w:val="00F94D46"/>
    <w:rsid w:val="00F966F9"/>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52B"/>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65B1"/>
    <w:rsid w:val="00FD7B23"/>
    <w:rsid w:val="00FE2A48"/>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58F6"/>
    <w:rsid w:val="00FF61BD"/>
    <w:rsid w:val="00FF65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3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2B5403"/>
    <w:pPr>
      <w:autoSpaceDE w:val="0"/>
      <w:autoSpaceDN w:val="0"/>
      <w:adjustRightInd w:val="0"/>
    </w:pPr>
    <w:rPr>
      <w:rFonts w:ascii="Times New Roman" w:hAnsi="Times New Roman"/>
      <w:color w:val="000000"/>
      <w:szCs w:val="24"/>
    </w:rPr>
  </w:style>
  <w:style w:type="character" w:customStyle="1" w:styleId="HeaderChar">
    <w:name w:val="Header Char"/>
    <w:basedOn w:val="DefaultParagraphFont"/>
    <w:link w:val="Header"/>
    <w:uiPriority w:val="99"/>
    <w:rsid w:val="005E0C3A"/>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2677786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380786279">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 w:id="207527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0C9DF-13C4-4E52-A5C5-64B76ECBA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4109</Words>
  <Characters>23056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27111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2</cp:revision>
  <cp:lastPrinted>2012-03-08T20:01:00Z</cp:lastPrinted>
  <dcterms:created xsi:type="dcterms:W3CDTF">2012-05-15T15:30:00Z</dcterms:created>
  <dcterms:modified xsi:type="dcterms:W3CDTF">2012-05-15T15:30:00Z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