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325" w:rsidRPr="00396779" w:rsidRDefault="00685325" w:rsidP="00510F9C">
      <w:pPr>
        <w:tabs>
          <w:tab w:val="left" w:pos="288"/>
          <w:tab w:val="left" w:pos="4752"/>
        </w:tabs>
        <w:spacing w:line="240" w:lineRule="exact"/>
        <w:jc w:val="center"/>
        <w:rPr>
          <w:color w:val="auto"/>
        </w:rPr>
      </w:pPr>
      <w:r w:rsidRPr="00396779">
        <w:rPr>
          <w:color w:val="auto"/>
        </w:rPr>
        <w:t>RECORD OF PROCEEDINGS</w:t>
      </w:r>
    </w:p>
    <w:p w:rsidR="00685325" w:rsidRPr="00396779" w:rsidRDefault="00685325" w:rsidP="00510F9C">
      <w:pPr>
        <w:tabs>
          <w:tab w:val="left" w:pos="288"/>
          <w:tab w:val="left" w:pos="4752"/>
        </w:tabs>
        <w:spacing w:line="240" w:lineRule="exact"/>
        <w:jc w:val="center"/>
        <w:rPr>
          <w:color w:val="auto"/>
        </w:rPr>
      </w:pPr>
      <w:r w:rsidRPr="00396779">
        <w:rPr>
          <w:color w:val="auto"/>
        </w:rPr>
        <w:t>PHYSICAL DISABILITY BOARD OF REVIEW</w:t>
      </w:r>
    </w:p>
    <w:p w:rsidR="00685325" w:rsidRPr="00396779" w:rsidRDefault="00685325" w:rsidP="00510F9C">
      <w:pPr>
        <w:tabs>
          <w:tab w:val="left" w:pos="288"/>
          <w:tab w:val="left" w:pos="4752"/>
        </w:tabs>
        <w:spacing w:line="240" w:lineRule="exact"/>
        <w:jc w:val="both"/>
        <w:rPr>
          <w:caps/>
          <w:color w:val="auto"/>
        </w:rPr>
      </w:pPr>
    </w:p>
    <w:p w:rsidR="00685325" w:rsidRPr="001D30C7" w:rsidRDefault="00685325" w:rsidP="00AE3ABF">
      <w:pPr>
        <w:tabs>
          <w:tab w:val="left" w:pos="288"/>
          <w:tab w:val="left" w:pos="4752"/>
          <w:tab w:val="left" w:pos="9270"/>
        </w:tabs>
        <w:spacing w:line="240" w:lineRule="exact"/>
        <w:jc w:val="both"/>
        <w:rPr>
          <w:caps/>
          <w:color w:val="auto"/>
        </w:rPr>
      </w:pPr>
      <w:r w:rsidRPr="001D30C7">
        <w:rPr>
          <w:caps/>
          <w:color w:val="auto"/>
        </w:rPr>
        <w:t xml:space="preserve">NAME:  </w:t>
      </w:r>
      <w:r w:rsidR="00A77A29">
        <w:rPr>
          <w:caps/>
          <w:color w:val="auto"/>
        </w:rPr>
        <w:t>XXXXXXXXXXXXXX</w:t>
      </w:r>
      <w:r w:rsidRPr="001D30C7">
        <w:rPr>
          <w:caps/>
          <w:color w:val="auto"/>
        </w:rPr>
        <w:t xml:space="preserve">                </w:t>
      </w:r>
      <w:r w:rsidRPr="001D30C7">
        <w:rPr>
          <w:caps/>
          <w:color w:val="auto"/>
        </w:rPr>
        <w:tab/>
        <w:t>BRANCH OF SERVICE:  air force</w:t>
      </w:r>
    </w:p>
    <w:p w:rsidR="00685325" w:rsidRDefault="00685325" w:rsidP="00AE3ABF">
      <w:pPr>
        <w:tabs>
          <w:tab w:val="left" w:pos="288"/>
          <w:tab w:val="left" w:pos="4752"/>
          <w:tab w:val="left" w:pos="9270"/>
        </w:tabs>
        <w:spacing w:line="240" w:lineRule="exact"/>
        <w:jc w:val="both"/>
        <w:rPr>
          <w:caps/>
          <w:color w:val="auto"/>
        </w:rPr>
      </w:pPr>
      <w:r w:rsidRPr="001D30C7">
        <w:rPr>
          <w:caps/>
          <w:color w:val="auto"/>
        </w:rPr>
        <w:t>CASE NUMBER:  PD1100333</w:t>
      </w:r>
      <w:r>
        <w:rPr>
          <w:color w:val="auto"/>
        </w:rPr>
        <w:t xml:space="preserve"> </w:t>
      </w:r>
      <w:r>
        <w:rPr>
          <w:color w:val="auto"/>
        </w:rPr>
        <w:tab/>
      </w:r>
      <w:r w:rsidRPr="00AE3ABF">
        <w:rPr>
          <w:color w:val="auto"/>
        </w:rPr>
        <w:t>DATE OF PLACEMENT ON TDRL</w:t>
      </w:r>
      <w:r w:rsidRPr="001D30C7">
        <w:rPr>
          <w:color w:val="auto"/>
        </w:rPr>
        <w:t>:  20050614</w:t>
      </w:r>
    </w:p>
    <w:p w:rsidR="00685325" w:rsidRDefault="00685325" w:rsidP="007B5018">
      <w:pPr>
        <w:tabs>
          <w:tab w:val="left" w:pos="288"/>
          <w:tab w:val="left" w:pos="3060"/>
          <w:tab w:val="left" w:pos="4770"/>
        </w:tabs>
        <w:spacing w:line="240" w:lineRule="exact"/>
        <w:rPr>
          <w:caps/>
          <w:color w:val="auto"/>
        </w:rPr>
      </w:pPr>
      <w:r w:rsidRPr="00FD6C41">
        <w:rPr>
          <w:caps/>
          <w:color w:val="auto"/>
        </w:rPr>
        <w:t xml:space="preserve">BOARD DATE: </w:t>
      </w:r>
      <w:r>
        <w:rPr>
          <w:caps/>
          <w:color w:val="auto"/>
        </w:rPr>
        <w:t xml:space="preserve"> </w:t>
      </w:r>
      <w:r w:rsidR="00796067">
        <w:rPr>
          <w:caps/>
          <w:color w:val="auto"/>
        </w:rPr>
        <w:t>2012</w:t>
      </w:r>
      <w:r w:rsidR="00B02ED0">
        <w:rPr>
          <w:caps/>
          <w:color w:val="auto"/>
        </w:rPr>
        <w:t>0202</w:t>
      </w:r>
      <w:r w:rsidR="00B02ED0">
        <w:rPr>
          <w:caps/>
          <w:color w:val="auto"/>
        </w:rPr>
        <w:tab/>
      </w:r>
      <w:r w:rsidR="00B02ED0">
        <w:rPr>
          <w:caps/>
          <w:color w:val="auto"/>
        </w:rPr>
        <w:tab/>
      </w:r>
      <w:r w:rsidRPr="00AE3ABF">
        <w:rPr>
          <w:caps/>
          <w:color w:val="auto"/>
        </w:rPr>
        <w:t xml:space="preserve">Date of Permanent </w:t>
      </w:r>
      <w:r w:rsidRPr="000F4AA6">
        <w:rPr>
          <w:caps/>
          <w:color w:val="auto"/>
        </w:rPr>
        <w:t>SEPARATION: 20070312</w:t>
      </w:r>
    </w:p>
    <w:p w:rsidR="00685325" w:rsidRDefault="00685325" w:rsidP="00510F9C">
      <w:pPr>
        <w:pBdr>
          <w:bottom w:val="single" w:sz="12" w:space="1" w:color="auto"/>
        </w:pBdr>
        <w:tabs>
          <w:tab w:val="left" w:pos="288"/>
          <w:tab w:val="left" w:pos="4752"/>
        </w:tabs>
        <w:spacing w:line="240" w:lineRule="exact"/>
        <w:jc w:val="both"/>
        <w:rPr>
          <w:color w:val="auto"/>
          <w:u w:val="single"/>
        </w:rPr>
      </w:pPr>
    </w:p>
    <w:p w:rsidR="00685325" w:rsidRDefault="00685325" w:rsidP="00510F9C">
      <w:pPr>
        <w:tabs>
          <w:tab w:val="left" w:pos="288"/>
          <w:tab w:val="left" w:pos="4752"/>
        </w:tabs>
        <w:spacing w:line="240" w:lineRule="exact"/>
        <w:jc w:val="both"/>
        <w:rPr>
          <w:color w:val="auto"/>
        </w:rPr>
      </w:pPr>
    </w:p>
    <w:p w:rsidR="00685325" w:rsidRPr="00C472C7" w:rsidRDefault="00685325" w:rsidP="000F4AA6">
      <w:pPr>
        <w:tabs>
          <w:tab w:val="left" w:pos="288"/>
          <w:tab w:val="left" w:pos="4752"/>
        </w:tabs>
        <w:spacing w:line="240" w:lineRule="exact"/>
        <w:jc w:val="both"/>
        <w:rPr>
          <w:color w:val="auto"/>
        </w:rPr>
      </w:pPr>
      <w:r w:rsidRPr="0085006A">
        <w:rPr>
          <w:color w:val="auto"/>
          <w:u w:val="single"/>
        </w:rPr>
        <w:t>SUMMARY OF CASE</w:t>
      </w:r>
      <w:r w:rsidRPr="0085006A">
        <w:rPr>
          <w:color w:val="auto"/>
        </w:rPr>
        <w:t>:</w:t>
      </w:r>
      <w:r w:rsidRPr="00EC337D">
        <w:rPr>
          <w:color w:val="auto"/>
        </w:rPr>
        <w:t xml:space="preserve">  Data extracted from the available evidence of record reflects that this covered individual (CI) </w:t>
      </w:r>
      <w:r w:rsidRPr="00AD7F8F">
        <w:rPr>
          <w:color w:val="auto"/>
        </w:rPr>
        <w:t>was an active duty member</w:t>
      </w:r>
      <w:r>
        <w:rPr>
          <w:color w:val="auto"/>
        </w:rPr>
        <w:t>,</w:t>
      </w:r>
      <w:r w:rsidRPr="00AD7F8F">
        <w:rPr>
          <w:color w:val="auto"/>
        </w:rPr>
        <w:t xml:space="preserve"> SS</w:t>
      </w:r>
      <w:r w:rsidR="006E1471">
        <w:rPr>
          <w:color w:val="auto"/>
        </w:rPr>
        <w:t>gt</w:t>
      </w:r>
      <w:r w:rsidRPr="00AD7F8F">
        <w:rPr>
          <w:color w:val="auto"/>
        </w:rPr>
        <w:t>/E-5 (</w:t>
      </w:r>
      <w:r>
        <w:rPr>
          <w:color w:val="auto"/>
        </w:rPr>
        <w:t>2S071, Supply Management</w:t>
      </w:r>
      <w:r w:rsidRPr="00AD7F8F">
        <w:rPr>
          <w:color w:val="auto"/>
        </w:rPr>
        <w:t>)</w:t>
      </w:r>
      <w:r>
        <w:rPr>
          <w:color w:val="auto"/>
        </w:rPr>
        <w:t xml:space="preserve">, </w:t>
      </w:r>
      <w:r w:rsidR="00613BC8">
        <w:rPr>
          <w:color w:val="auto"/>
        </w:rPr>
        <w:t>medically separated for post</w:t>
      </w:r>
      <w:r w:rsidRPr="00AD7F8F">
        <w:rPr>
          <w:color w:val="auto"/>
        </w:rPr>
        <w:t xml:space="preserve">traumatic stress disorder (PTSD).  </w:t>
      </w:r>
      <w:r w:rsidR="007B5018">
        <w:rPr>
          <w:color w:val="auto"/>
        </w:rPr>
        <w:t>He</w:t>
      </w:r>
      <w:r w:rsidRPr="00AD7F8F">
        <w:rPr>
          <w:color w:val="auto"/>
        </w:rPr>
        <w:t xml:space="preserve"> was diagnosed with PTSD after an Iraq deployment from April 2003 to July 2003</w:t>
      </w:r>
      <w:r w:rsidR="00891465">
        <w:rPr>
          <w:color w:val="auto"/>
        </w:rPr>
        <w:t xml:space="preserve"> with documented c</w:t>
      </w:r>
      <w:r w:rsidRPr="000F4AA6">
        <w:rPr>
          <w:color w:val="auto"/>
        </w:rPr>
        <w:t xml:space="preserve">riterion </w:t>
      </w:r>
      <w:proofErr w:type="gramStart"/>
      <w:r w:rsidRPr="000F4AA6">
        <w:rPr>
          <w:color w:val="auto"/>
        </w:rPr>
        <w:t>A</w:t>
      </w:r>
      <w:proofErr w:type="gramEnd"/>
      <w:r w:rsidRPr="000F4AA6">
        <w:rPr>
          <w:color w:val="auto"/>
        </w:rPr>
        <w:t xml:space="preserve"> stressors.  The CI was treated with </w:t>
      </w:r>
      <w:r w:rsidR="00C22FD3">
        <w:rPr>
          <w:color w:val="auto"/>
        </w:rPr>
        <w:t>psycho</w:t>
      </w:r>
      <w:r w:rsidRPr="000F4AA6">
        <w:rPr>
          <w:color w:val="auto"/>
        </w:rPr>
        <w:t>therapy and medications,</w:t>
      </w:r>
      <w:r w:rsidRPr="00AD7F8F">
        <w:rPr>
          <w:color w:val="auto"/>
        </w:rPr>
        <w:t xml:space="preserve"> but </w:t>
      </w:r>
      <w:r w:rsidRPr="00C472C7">
        <w:rPr>
          <w:color w:val="auto"/>
        </w:rPr>
        <w:t xml:space="preserve">he did not respond adequately to </w:t>
      </w:r>
      <w:r>
        <w:rPr>
          <w:color w:val="auto"/>
        </w:rPr>
        <w:t xml:space="preserve">fully </w:t>
      </w:r>
      <w:r w:rsidRPr="001D30C7">
        <w:rPr>
          <w:color w:val="auto"/>
        </w:rPr>
        <w:t>perform within his Air Force Specialty (AFS).  He was issued a temporary P2</w:t>
      </w:r>
      <w:r w:rsidR="00C22FD3">
        <w:rPr>
          <w:color w:val="auto"/>
        </w:rPr>
        <w:t>/</w:t>
      </w:r>
      <w:r w:rsidRPr="001D30C7">
        <w:rPr>
          <w:color w:val="auto"/>
        </w:rPr>
        <w:t>S4 profile and</w:t>
      </w:r>
      <w:r w:rsidRPr="00C472C7">
        <w:rPr>
          <w:color w:val="auto"/>
        </w:rPr>
        <w:t xml:space="preserve"> </w:t>
      </w:r>
      <w:r w:rsidR="00891465">
        <w:rPr>
          <w:color w:val="auto"/>
        </w:rPr>
        <w:t>referred for</w:t>
      </w:r>
      <w:r w:rsidRPr="00C472C7">
        <w:rPr>
          <w:color w:val="auto"/>
        </w:rPr>
        <w:t xml:space="preserve"> a Medical Evaluation Board (MEB).  </w:t>
      </w:r>
      <w:r w:rsidRPr="00D93A41">
        <w:rPr>
          <w:color w:val="auto"/>
        </w:rPr>
        <w:t>PTSD was</w:t>
      </w:r>
      <w:r w:rsidRPr="00C472C7">
        <w:rPr>
          <w:color w:val="auto"/>
        </w:rPr>
        <w:t xml:space="preserve"> forwarded to the Physical Evaluation Board (PEB) as medically unacceptable IAW </w:t>
      </w:r>
      <w:r w:rsidRPr="001D30C7">
        <w:rPr>
          <w:color w:val="auto"/>
        </w:rPr>
        <w:t>AFI 48-123.</w:t>
      </w:r>
      <w:r w:rsidRPr="00C472C7">
        <w:rPr>
          <w:color w:val="auto"/>
        </w:rPr>
        <w:t xml:space="preserve">  </w:t>
      </w:r>
      <w:r w:rsidR="007B5018">
        <w:rPr>
          <w:color w:val="auto"/>
        </w:rPr>
        <w:t>One other condition</w:t>
      </w:r>
      <w:r w:rsidRPr="008404AB">
        <w:rPr>
          <w:color w:val="auto"/>
        </w:rPr>
        <w:t xml:space="preserve">, </w:t>
      </w:r>
      <w:r w:rsidR="007B5018">
        <w:rPr>
          <w:color w:val="auto"/>
        </w:rPr>
        <w:t>hypertension</w:t>
      </w:r>
      <w:r w:rsidRPr="008404AB">
        <w:rPr>
          <w:color w:val="auto"/>
        </w:rPr>
        <w:t>, w</w:t>
      </w:r>
      <w:r w:rsidR="007B5018">
        <w:rPr>
          <w:color w:val="auto"/>
        </w:rPr>
        <w:t>as</w:t>
      </w:r>
      <w:r w:rsidRPr="008404AB">
        <w:rPr>
          <w:color w:val="auto"/>
        </w:rPr>
        <w:t xml:space="preserve"> forwarded on the MEB submission as </w:t>
      </w:r>
      <w:r w:rsidR="007B5018">
        <w:rPr>
          <w:color w:val="auto"/>
        </w:rPr>
        <w:t>medically acceptable</w:t>
      </w:r>
      <w:r w:rsidRPr="008404AB">
        <w:rPr>
          <w:color w:val="auto"/>
        </w:rPr>
        <w:t>.</w:t>
      </w:r>
      <w:r w:rsidRPr="00C472C7">
        <w:rPr>
          <w:color w:val="auto"/>
        </w:rPr>
        <w:t xml:space="preserve">  </w:t>
      </w:r>
      <w:r w:rsidR="007B5018" w:rsidRPr="007B5018">
        <w:rPr>
          <w:color w:val="auto"/>
        </w:rPr>
        <w:t>Two additio</w:t>
      </w:r>
      <w:r w:rsidR="007B5018">
        <w:rPr>
          <w:color w:val="auto"/>
        </w:rPr>
        <w:t>nal conditions listed on Axis I</w:t>
      </w:r>
      <w:r w:rsidR="007B5018" w:rsidRPr="007B5018">
        <w:rPr>
          <w:color w:val="auto"/>
        </w:rPr>
        <w:t xml:space="preserve">II were also forwarded on the </w:t>
      </w:r>
      <w:r w:rsidR="007B5018">
        <w:rPr>
          <w:color w:val="auto"/>
        </w:rPr>
        <w:t>MEB submission</w:t>
      </w:r>
      <w:r w:rsidR="007B5018" w:rsidRPr="007B5018">
        <w:rPr>
          <w:color w:val="auto"/>
        </w:rPr>
        <w:t xml:space="preserve">:  </w:t>
      </w:r>
      <w:r w:rsidR="007B5018">
        <w:rPr>
          <w:color w:val="auto"/>
        </w:rPr>
        <w:t>obesity and hyperlipidemia</w:t>
      </w:r>
      <w:r w:rsidR="007B5018" w:rsidRPr="007B5018">
        <w:rPr>
          <w:color w:val="auto"/>
        </w:rPr>
        <w:t>.  These are not ratable conditions IAW DoD and VA regulations and will not be discussed further.</w:t>
      </w:r>
      <w:r w:rsidR="007B5018">
        <w:rPr>
          <w:color w:val="auto"/>
        </w:rPr>
        <w:t xml:space="preserve">  </w:t>
      </w:r>
      <w:r w:rsidRPr="00C472C7">
        <w:rPr>
          <w:color w:val="auto"/>
        </w:rPr>
        <w:t>Other conditions included in the</w:t>
      </w:r>
      <w:r>
        <w:rPr>
          <w:color w:val="auto"/>
        </w:rPr>
        <w:t xml:space="preserve"> </w:t>
      </w:r>
      <w:r w:rsidRPr="00D93A41">
        <w:rPr>
          <w:color w:val="auto"/>
        </w:rPr>
        <w:t>Disability Evaluation System (DES)</w:t>
      </w:r>
      <w:r w:rsidRPr="00555C66">
        <w:rPr>
          <w:color w:val="auto"/>
        </w:rPr>
        <w:t xml:space="preserve"> </w:t>
      </w:r>
      <w:r>
        <w:rPr>
          <w:color w:val="auto"/>
        </w:rPr>
        <w:t>file</w:t>
      </w:r>
      <w:r w:rsidRPr="00C472C7">
        <w:rPr>
          <w:color w:val="auto"/>
        </w:rPr>
        <w:t xml:space="preserve"> will be discussed below.</w:t>
      </w:r>
      <w:r>
        <w:rPr>
          <w:color w:val="auto"/>
        </w:rPr>
        <w:t xml:space="preserve">  </w:t>
      </w:r>
      <w:r w:rsidRPr="00C472C7">
        <w:rPr>
          <w:color w:val="auto"/>
        </w:rPr>
        <w:t xml:space="preserve">The PEB adjudicated </w:t>
      </w:r>
      <w:r w:rsidRPr="001D30C7">
        <w:rPr>
          <w:color w:val="auto"/>
        </w:rPr>
        <w:t xml:space="preserve">the PTSD condition as unfitting, rated 30%, </w:t>
      </w:r>
      <w:r>
        <w:rPr>
          <w:color w:val="auto"/>
        </w:rPr>
        <w:t xml:space="preserve">and </w:t>
      </w:r>
      <w:r w:rsidRPr="00C472C7">
        <w:rPr>
          <w:color w:val="auto"/>
        </w:rPr>
        <w:t xml:space="preserve">placed </w:t>
      </w:r>
      <w:r>
        <w:rPr>
          <w:color w:val="auto"/>
        </w:rPr>
        <w:t xml:space="preserve">the CI </w:t>
      </w:r>
      <w:r w:rsidRPr="00C472C7">
        <w:rPr>
          <w:color w:val="auto"/>
        </w:rPr>
        <w:t xml:space="preserve">on the Temporary Disability Retired List (TDRL).  </w:t>
      </w:r>
      <w:r>
        <w:rPr>
          <w:color w:val="auto"/>
        </w:rPr>
        <w:t>After 21 months on TDRL</w:t>
      </w:r>
      <w:r w:rsidR="00C22FD3">
        <w:rPr>
          <w:color w:val="auto"/>
        </w:rPr>
        <w:t>,</w:t>
      </w:r>
      <w:r>
        <w:rPr>
          <w:color w:val="auto"/>
        </w:rPr>
        <w:t xml:space="preserve"> the PEB adjudicated a permanent disability rating of 10% for PTSD </w:t>
      </w:r>
      <w:r w:rsidR="00C22FD3">
        <w:rPr>
          <w:color w:val="auto"/>
        </w:rPr>
        <w:t>citing criteria from</w:t>
      </w:r>
      <w:r w:rsidR="006E1471" w:rsidRPr="001D30C7">
        <w:rPr>
          <w:color w:val="auto"/>
        </w:rPr>
        <w:t xml:space="preserve"> Department of Defense Instruction (DoDI) 1332.39</w:t>
      </w:r>
      <w:r>
        <w:rPr>
          <w:color w:val="auto"/>
        </w:rPr>
        <w:t xml:space="preserve">.  </w:t>
      </w:r>
      <w:r w:rsidRPr="00C472C7">
        <w:rPr>
          <w:color w:val="auto"/>
        </w:rPr>
        <w:t xml:space="preserve">The CI made no appeals, and was medically separated with a </w:t>
      </w:r>
      <w:r w:rsidRPr="00B37345">
        <w:rPr>
          <w:color w:val="auto"/>
        </w:rPr>
        <w:t>10</w:t>
      </w:r>
      <w:r w:rsidRPr="00C472C7">
        <w:rPr>
          <w:color w:val="auto"/>
        </w:rPr>
        <w:t>% disability rating.</w:t>
      </w:r>
    </w:p>
    <w:p w:rsidR="00685325" w:rsidRDefault="00685325" w:rsidP="00510F9C">
      <w:pPr>
        <w:pBdr>
          <w:bottom w:val="single" w:sz="12" w:space="1" w:color="auto"/>
        </w:pBdr>
        <w:tabs>
          <w:tab w:val="left" w:pos="288"/>
          <w:tab w:val="left" w:pos="4752"/>
        </w:tabs>
        <w:spacing w:line="240" w:lineRule="exact"/>
        <w:jc w:val="both"/>
        <w:rPr>
          <w:color w:val="auto"/>
        </w:rPr>
      </w:pPr>
    </w:p>
    <w:p w:rsidR="00685325" w:rsidRDefault="00685325" w:rsidP="00510F9C">
      <w:pPr>
        <w:tabs>
          <w:tab w:val="left" w:pos="288"/>
          <w:tab w:val="left" w:pos="4752"/>
        </w:tabs>
        <w:spacing w:line="240" w:lineRule="exact"/>
        <w:jc w:val="both"/>
        <w:rPr>
          <w:color w:val="auto"/>
          <w:u w:val="single"/>
        </w:rPr>
      </w:pPr>
    </w:p>
    <w:p w:rsidR="00685325" w:rsidRPr="005C4D72" w:rsidRDefault="00685325" w:rsidP="00510F9C">
      <w:pPr>
        <w:tabs>
          <w:tab w:val="left" w:pos="288"/>
          <w:tab w:val="left" w:pos="4752"/>
        </w:tabs>
        <w:spacing w:line="240" w:lineRule="exact"/>
        <w:jc w:val="both"/>
        <w:rPr>
          <w:color w:val="auto"/>
        </w:rPr>
      </w:pPr>
      <w:r w:rsidRPr="00326C08">
        <w:rPr>
          <w:color w:val="auto"/>
          <w:u w:val="single"/>
        </w:rPr>
        <w:t>CI CONTENTION</w:t>
      </w:r>
      <w:r w:rsidRPr="00326C08">
        <w:rPr>
          <w:color w:val="auto"/>
        </w:rPr>
        <w:t>:</w:t>
      </w:r>
      <w:r>
        <w:rPr>
          <w:color w:val="auto"/>
        </w:rPr>
        <w:t xml:space="preserve">  </w:t>
      </w:r>
      <w:r w:rsidRPr="00057019">
        <w:rPr>
          <w:color w:val="auto"/>
        </w:rPr>
        <w:t>The CI states: “</w:t>
      </w:r>
      <w:r w:rsidRPr="003F6B97">
        <w:rPr>
          <w:color w:val="auto"/>
        </w:rPr>
        <w:t>I was assigned less than 50% disability rating</w:t>
      </w:r>
      <w:r w:rsidRPr="00B9507E">
        <w:rPr>
          <w:color w:val="auto"/>
        </w:rPr>
        <w:t xml:space="preserve"> by the military for my unfitting PTSD upon discharge from active duty. In accordance with the class action notice, assign the highest final disability rating applicable consistent with 38 CFR4.129 and DOD policy, to the extent such increase will not adversely affect my total compensation, including but not limited to</w:t>
      </w:r>
      <w:r w:rsidR="00C22FD3">
        <w:rPr>
          <w:color w:val="auto"/>
        </w:rPr>
        <w:t xml:space="preserve"> compensation pursuant to CRSC.</w:t>
      </w:r>
      <w:r w:rsidRPr="00B9507E">
        <w:rPr>
          <w:color w:val="auto"/>
        </w:rPr>
        <w:t>”</w:t>
      </w:r>
      <w:r>
        <w:rPr>
          <w:color w:val="auto"/>
        </w:rPr>
        <w:t xml:space="preserve">  </w:t>
      </w:r>
      <w:r w:rsidR="00C22FD3">
        <w:rPr>
          <w:color w:val="auto"/>
        </w:rPr>
        <w:t xml:space="preserve">The CI also attached a statement to his application describing events during deployment which he claims were </w:t>
      </w:r>
      <w:r w:rsidR="00012132">
        <w:rPr>
          <w:color w:val="auto"/>
        </w:rPr>
        <w:t>suppressed by the Air Force</w:t>
      </w:r>
      <w:r w:rsidR="00C22FD3">
        <w:rPr>
          <w:color w:val="auto"/>
        </w:rPr>
        <w:t xml:space="preserve">; and, elaborates physical injuries which were “never recognized” because </w:t>
      </w:r>
      <w:r w:rsidR="00012132">
        <w:rPr>
          <w:color w:val="auto"/>
        </w:rPr>
        <w:t>“they covered up our whole convoy incident</w:t>
      </w:r>
      <w:r w:rsidR="005A1CA4">
        <w:rPr>
          <w:color w:val="auto"/>
        </w:rPr>
        <w:t xml:space="preserve"> [referenced below]</w:t>
      </w:r>
      <w:r w:rsidR="00012132">
        <w:rPr>
          <w:color w:val="auto"/>
        </w:rPr>
        <w:t>” and “they said that [PTSD] was the only thing they were concerned with at the moment.”</w:t>
      </w:r>
      <w:r w:rsidR="00C22FD3">
        <w:rPr>
          <w:color w:val="auto"/>
        </w:rPr>
        <w:t xml:space="preserve"> </w:t>
      </w:r>
      <w:r w:rsidR="00012132">
        <w:rPr>
          <w:color w:val="auto"/>
        </w:rPr>
        <w:t xml:space="preserve"> </w:t>
      </w:r>
    </w:p>
    <w:p w:rsidR="00685325" w:rsidRDefault="00685325" w:rsidP="00510F9C">
      <w:pPr>
        <w:pBdr>
          <w:bottom w:val="single" w:sz="12" w:space="1" w:color="auto"/>
        </w:pBdr>
        <w:spacing w:line="240" w:lineRule="exact"/>
        <w:rPr>
          <w:color w:val="auto"/>
          <w:u w:val="single"/>
        </w:rPr>
      </w:pPr>
    </w:p>
    <w:p w:rsidR="00685325" w:rsidRDefault="00685325" w:rsidP="00510F9C">
      <w:pPr>
        <w:spacing w:line="240" w:lineRule="exact"/>
        <w:rPr>
          <w:color w:val="auto"/>
          <w:u w:val="single"/>
        </w:rPr>
      </w:pPr>
    </w:p>
    <w:p w:rsidR="00685325" w:rsidRPr="00985D32" w:rsidRDefault="00685325" w:rsidP="000F4AA6">
      <w:pPr>
        <w:tabs>
          <w:tab w:val="left" w:pos="288"/>
          <w:tab w:val="left" w:pos="4752"/>
        </w:tabs>
        <w:spacing w:line="240" w:lineRule="exact"/>
        <w:jc w:val="both"/>
        <w:rPr>
          <w:color w:val="auto"/>
          <w:u w:val="single"/>
        </w:rPr>
      </w:pPr>
      <w:r>
        <w:rPr>
          <w:color w:val="auto"/>
          <w:u w:val="single"/>
        </w:rPr>
        <w:t>R</w:t>
      </w:r>
      <w:r w:rsidRPr="00326C08">
        <w:rPr>
          <w:color w:val="auto"/>
          <w:u w:val="single"/>
        </w:rPr>
        <w:t>ATING COMPARISON</w:t>
      </w:r>
      <w:r w:rsidRPr="00326C08">
        <w:rPr>
          <w:color w:val="auto"/>
        </w:rPr>
        <w:t>:</w:t>
      </w:r>
      <w:r w:rsidRPr="000F4AA6">
        <w:rPr>
          <w:color w:val="auto"/>
          <w:u w:val="single"/>
        </w:rPr>
        <w:t xml:space="preserve"> </w:t>
      </w:r>
    </w:p>
    <w:p w:rsidR="00685325" w:rsidRPr="00FF1022" w:rsidRDefault="00685325" w:rsidP="000F4AA6">
      <w:pPr>
        <w:tabs>
          <w:tab w:val="left" w:pos="288"/>
          <w:tab w:val="left" w:pos="4752"/>
        </w:tabs>
        <w:spacing w:line="240" w:lineRule="exact"/>
        <w:jc w:val="both"/>
        <w:rPr>
          <w:b/>
          <w:color w:val="auto"/>
          <w:u w:val="single"/>
        </w:rPr>
      </w:pPr>
    </w:p>
    <w:tbl>
      <w:tblPr>
        <w:tblStyle w:val="TableGrid"/>
        <w:tblW w:w="9296" w:type="dxa"/>
        <w:jc w:val="center"/>
        <w:tblInd w:w="1083" w:type="dxa"/>
        <w:tblLayout w:type="fixed"/>
        <w:tblLook w:val="00A0"/>
      </w:tblPr>
      <w:tblGrid>
        <w:gridCol w:w="1935"/>
        <w:gridCol w:w="701"/>
        <w:gridCol w:w="720"/>
        <w:gridCol w:w="598"/>
        <w:gridCol w:w="2751"/>
        <w:gridCol w:w="701"/>
        <w:gridCol w:w="829"/>
        <w:gridCol w:w="1061"/>
      </w:tblGrid>
      <w:tr w:rsidR="00685325" w:rsidRPr="00FF1022" w:rsidTr="00012132">
        <w:trPr>
          <w:trHeight w:val="233"/>
          <w:jc w:val="center"/>
        </w:trPr>
        <w:tc>
          <w:tcPr>
            <w:tcW w:w="3954" w:type="dxa"/>
            <w:gridSpan w:val="4"/>
            <w:tcBorders>
              <w:right w:val="thinThickThinSmallGap" w:sz="24" w:space="0" w:color="auto"/>
            </w:tcBorders>
            <w:shd w:val="clear" w:color="auto" w:fill="D9D9D9"/>
            <w:vAlign w:val="center"/>
          </w:tcPr>
          <w:p w:rsidR="00685325" w:rsidRPr="001123A7" w:rsidRDefault="00685325" w:rsidP="00796067">
            <w:pPr>
              <w:spacing w:line="240" w:lineRule="exact"/>
              <w:contextualSpacing/>
              <w:jc w:val="center"/>
              <w:rPr>
                <w:b/>
                <w:color w:val="auto"/>
                <w:sz w:val="20"/>
              </w:rPr>
            </w:pPr>
            <w:r w:rsidRPr="001123A7">
              <w:rPr>
                <w:b/>
                <w:color w:val="auto"/>
                <w:sz w:val="20"/>
              </w:rPr>
              <w:t>Final Service IPEB – Dated 20070124</w:t>
            </w:r>
          </w:p>
        </w:tc>
        <w:tc>
          <w:tcPr>
            <w:tcW w:w="5342" w:type="dxa"/>
            <w:gridSpan w:val="4"/>
            <w:tcBorders>
              <w:left w:val="thinThickThinSmallGap" w:sz="24" w:space="0" w:color="auto"/>
            </w:tcBorders>
            <w:shd w:val="clear" w:color="auto" w:fill="D9D9D9"/>
            <w:vAlign w:val="center"/>
          </w:tcPr>
          <w:p w:rsidR="00685325" w:rsidRPr="001123A7" w:rsidRDefault="00685325" w:rsidP="00796067">
            <w:pPr>
              <w:spacing w:line="240" w:lineRule="exact"/>
              <w:contextualSpacing/>
              <w:jc w:val="center"/>
              <w:rPr>
                <w:b/>
                <w:color w:val="auto"/>
                <w:sz w:val="20"/>
              </w:rPr>
            </w:pPr>
            <w:r w:rsidRPr="001123A7">
              <w:rPr>
                <w:b/>
                <w:color w:val="auto"/>
                <w:sz w:val="20"/>
              </w:rPr>
              <w:t>VA* – All Effective Date 20050614</w:t>
            </w:r>
          </w:p>
        </w:tc>
      </w:tr>
      <w:tr w:rsidR="007B5018" w:rsidRPr="00FF1022" w:rsidTr="00012132">
        <w:trPr>
          <w:trHeight w:val="170"/>
          <w:jc w:val="center"/>
        </w:trPr>
        <w:tc>
          <w:tcPr>
            <w:tcW w:w="1935" w:type="dxa"/>
            <w:shd w:val="clear" w:color="auto" w:fill="D9D9D9"/>
            <w:vAlign w:val="center"/>
          </w:tcPr>
          <w:p w:rsidR="00685325" w:rsidRPr="001123A7" w:rsidRDefault="00685325" w:rsidP="00796067">
            <w:pPr>
              <w:spacing w:line="220" w:lineRule="exact"/>
              <w:contextualSpacing/>
              <w:jc w:val="center"/>
              <w:rPr>
                <w:b/>
                <w:color w:val="auto"/>
                <w:sz w:val="20"/>
              </w:rPr>
            </w:pPr>
            <w:r w:rsidRPr="001123A7">
              <w:rPr>
                <w:b/>
                <w:color w:val="auto"/>
                <w:sz w:val="20"/>
              </w:rPr>
              <w:t>Condition</w:t>
            </w:r>
          </w:p>
        </w:tc>
        <w:tc>
          <w:tcPr>
            <w:tcW w:w="701" w:type="dxa"/>
            <w:shd w:val="clear" w:color="auto" w:fill="D9D9D9"/>
            <w:vAlign w:val="center"/>
          </w:tcPr>
          <w:p w:rsidR="00685325" w:rsidRPr="001123A7" w:rsidRDefault="00685325" w:rsidP="00796067">
            <w:pPr>
              <w:spacing w:line="220" w:lineRule="exact"/>
              <w:contextualSpacing/>
              <w:jc w:val="center"/>
              <w:rPr>
                <w:b/>
                <w:color w:val="auto"/>
                <w:sz w:val="20"/>
              </w:rPr>
            </w:pPr>
            <w:r w:rsidRPr="001123A7">
              <w:rPr>
                <w:b/>
                <w:color w:val="auto"/>
                <w:sz w:val="20"/>
              </w:rPr>
              <w:t>Code</w:t>
            </w:r>
          </w:p>
        </w:tc>
        <w:tc>
          <w:tcPr>
            <w:tcW w:w="1318" w:type="dxa"/>
            <w:gridSpan w:val="2"/>
            <w:tcBorders>
              <w:right w:val="thinThickThinSmallGap" w:sz="24" w:space="0" w:color="auto"/>
            </w:tcBorders>
            <w:shd w:val="clear" w:color="auto" w:fill="D9D9D9"/>
            <w:vAlign w:val="center"/>
          </w:tcPr>
          <w:p w:rsidR="00685325" w:rsidRPr="001123A7" w:rsidRDefault="00685325" w:rsidP="00796067">
            <w:pPr>
              <w:spacing w:line="220" w:lineRule="exact"/>
              <w:contextualSpacing/>
              <w:jc w:val="center"/>
              <w:rPr>
                <w:b/>
                <w:color w:val="auto"/>
                <w:sz w:val="20"/>
              </w:rPr>
            </w:pPr>
            <w:r w:rsidRPr="001123A7">
              <w:rPr>
                <w:b/>
                <w:color w:val="auto"/>
                <w:sz w:val="20"/>
              </w:rPr>
              <w:t>Rating</w:t>
            </w:r>
          </w:p>
        </w:tc>
        <w:tc>
          <w:tcPr>
            <w:tcW w:w="2751" w:type="dxa"/>
            <w:vMerge w:val="restart"/>
            <w:tcBorders>
              <w:left w:val="thinThickThinSmallGap" w:sz="24" w:space="0" w:color="auto"/>
            </w:tcBorders>
            <w:shd w:val="clear" w:color="auto" w:fill="D9D9D9"/>
            <w:vAlign w:val="center"/>
          </w:tcPr>
          <w:p w:rsidR="00685325" w:rsidRPr="001123A7" w:rsidRDefault="00685325" w:rsidP="00796067">
            <w:pPr>
              <w:spacing w:line="220" w:lineRule="exact"/>
              <w:contextualSpacing/>
              <w:jc w:val="center"/>
              <w:rPr>
                <w:b/>
                <w:color w:val="auto"/>
                <w:sz w:val="20"/>
              </w:rPr>
            </w:pPr>
            <w:r w:rsidRPr="001123A7">
              <w:rPr>
                <w:b/>
                <w:color w:val="auto"/>
                <w:sz w:val="20"/>
              </w:rPr>
              <w:t>Condition</w:t>
            </w:r>
          </w:p>
        </w:tc>
        <w:tc>
          <w:tcPr>
            <w:tcW w:w="701" w:type="dxa"/>
            <w:vMerge w:val="restart"/>
            <w:shd w:val="clear" w:color="auto" w:fill="D9D9D9"/>
            <w:vAlign w:val="center"/>
          </w:tcPr>
          <w:p w:rsidR="00685325" w:rsidRPr="001123A7" w:rsidRDefault="00685325" w:rsidP="00796067">
            <w:pPr>
              <w:spacing w:line="220" w:lineRule="exact"/>
              <w:contextualSpacing/>
              <w:jc w:val="center"/>
              <w:rPr>
                <w:b/>
                <w:color w:val="auto"/>
                <w:sz w:val="20"/>
              </w:rPr>
            </w:pPr>
            <w:r w:rsidRPr="001123A7">
              <w:rPr>
                <w:b/>
                <w:color w:val="auto"/>
                <w:sz w:val="20"/>
              </w:rPr>
              <w:t>Code</w:t>
            </w:r>
          </w:p>
        </w:tc>
        <w:tc>
          <w:tcPr>
            <w:tcW w:w="829" w:type="dxa"/>
            <w:vMerge w:val="restart"/>
            <w:shd w:val="clear" w:color="auto" w:fill="D9D9D9"/>
            <w:vAlign w:val="center"/>
          </w:tcPr>
          <w:p w:rsidR="00685325" w:rsidRPr="001123A7" w:rsidRDefault="00685325" w:rsidP="00796067">
            <w:pPr>
              <w:spacing w:line="220" w:lineRule="exact"/>
              <w:contextualSpacing/>
              <w:jc w:val="center"/>
              <w:rPr>
                <w:b/>
                <w:color w:val="auto"/>
                <w:sz w:val="20"/>
              </w:rPr>
            </w:pPr>
            <w:r w:rsidRPr="001123A7">
              <w:rPr>
                <w:b/>
                <w:color w:val="auto"/>
                <w:sz w:val="20"/>
              </w:rPr>
              <w:t>Rating</w:t>
            </w:r>
          </w:p>
        </w:tc>
        <w:tc>
          <w:tcPr>
            <w:tcW w:w="1061" w:type="dxa"/>
            <w:vMerge w:val="restart"/>
            <w:shd w:val="clear" w:color="auto" w:fill="D9D9D9"/>
            <w:vAlign w:val="center"/>
          </w:tcPr>
          <w:p w:rsidR="00685325" w:rsidRPr="001123A7" w:rsidRDefault="00685325" w:rsidP="00796067">
            <w:pPr>
              <w:spacing w:line="220" w:lineRule="exact"/>
              <w:contextualSpacing/>
              <w:jc w:val="center"/>
              <w:rPr>
                <w:b/>
                <w:color w:val="auto"/>
                <w:sz w:val="20"/>
              </w:rPr>
            </w:pPr>
            <w:r w:rsidRPr="001123A7">
              <w:rPr>
                <w:b/>
                <w:color w:val="auto"/>
                <w:sz w:val="20"/>
              </w:rPr>
              <w:t>Exam</w:t>
            </w:r>
          </w:p>
        </w:tc>
      </w:tr>
      <w:tr w:rsidR="007B5018" w:rsidRPr="00FF1022" w:rsidTr="00012132">
        <w:trPr>
          <w:trHeight w:val="152"/>
          <w:jc w:val="center"/>
        </w:trPr>
        <w:tc>
          <w:tcPr>
            <w:tcW w:w="1935" w:type="dxa"/>
            <w:shd w:val="clear" w:color="auto" w:fill="D9D9D9"/>
            <w:vAlign w:val="center"/>
          </w:tcPr>
          <w:p w:rsidR="00685325" w:rsidRPr="001123A7" w:rsidRDefault="00685325" w:rsidP="00796067">
            <w:pPr>
              <w:spacing w:line="220" w:lineRule="exact"/>
              <w:contextualSpacing/>
              <w:jc w:val="center"/>
              <w:rPr>
                <w:b/>
                <w:color w:val="auto"/>
                <w:sz w:val="20"/>
              </w:rPr>
            </w:pPr>
            <w:r w:rsidRPr="001123A7">
              <w:rPr>
                <w:b/>
                <w:color w:val="auto"/>
                <w:sz w:val="20"/>
              </w:rPr>
              <w:t>On TDRL – 20050614</w:t>
            </w:r>
          </w:p>
        </w:tc>
        <w:tc>
          <w:tcPr>
            <w:tcW w:w="701" w:type="dxa"/>
            <w:shd w:val="clear" w:color="auto" w:fill="D9D9D9"/>
            <w:vAlign w:val="center"/>
          </w:tcPr>
          <w:p w:rsidR="00685325" w:rsidRPr="001123A7" w:rsidRDefault="00685325" w:rsidP="00796067">
            <w:pPr>
              <w:spacing w:line="220" w:lineRule="exact"/>
              <w:contextualSpacing/>
              <w:jc w:val="center"/>
              <w:rPr>
                <w:color w:val="auto"/>
                <w:sz w:val="20"/>
              </w:rPr>
            </w:pPr>
          </w:p>
        </w:tc>
        <w:tc>
          <w:tcPr>
            <w:tcW w:w="720" w:type="dxa"/>
            <w:tcBorders>
              <w:right w:val="single" w:sz="4" w:space="0" w:color="auto"/>
            </w:tcBorders>
            <w:shd w:val="clear" w:color="auto" w:fill="D9D9D9"/>
            <w:vAlign w:val="center"/>
          </w:tcPr>
          <w:p w:rsidR="00685325" w:rsidRPr="001123A7" w:rsidRDefault="00685325" w:rsidP="00796067">
            <w:pPr>
              <w:spacing w:line="220" w:lineRule="exact"/>
              <w:contextualSpacing/>
              <w:jc w:val="center"/>
              <w:rPr>
                <w:b/>
                <w:color w:val="auto"/>
                <w:sz w:val="20"/>
              </w:rPr>
            </w:pPr>
            <w:r w:rsidRPr="001123A7">
              <w:rPr>
                <w:b/>
                <w:color w:val="auto"/>
                <w:sz w:val="20"/>
              </w:rPr>
              <w:t>TDRL</w:t>
            </w:r>
          </w:p>
        </w:tc>
        <w:tc>
          <w:tcPr>
            <w:tcW w:w="598" w:type="dxa"/>
            <w:tcBorders>
              <w:left w:val="single" w:sz="4" w:space="0" w:color="auto"/>
              <w:right w:val="thinThickThinSmallGap" w:sz="24" w:space="0" w:color="auto"/>
            </w:tcBorders>
            <w:shd w:val="clear" w:color="auto" w:fill="D9D9D9"/>
            <w:vAlign w:val="center"/>
          </w:tcPr>
          <w:p w:rsidR="00685325" w:rsidRPr="001123A7" w:rsidRDefault="00685325" w:rsidP="00796067">
            <w:pPr>
              <w:tabs>
                <w:tab w:val="left" w:pos="206"/>
                <w:tab w:val="center" w:pos="387"/>
              </w:tabs>
              <w:spacing w:line="220" w:lineRule="exact"/>
              <w:contextualSpacing/>
              <w:jc w:val="center"/>
              <w:rPr>
                <w:b/>
                <w:color w:val="auto"/>
                <w:sz w:val="20"/>
              </w:rPr>
            </w:pPr>
            <w:r w:rsidRPr="001123A7">
              <w:rPr>
                <w:b/>
                <w:color w:val="auto"/>
                <w:sz w:val="20"/>
              </w:rPr>
              <w:t>Sep.</w:t>
            </w:r>
          </w:p>
        </w:tc>
        <w:tc>
          <w:tcPr>
            <w:tcW w:w="2751" w:type="dxa"/>
            <w:vMerge/>
            <w:tcBorders>
              <w:left w:val="thinThickThinSmallGap" w:sz="24" w:space="0" w:color="auto"/>
            </w:tcBorders>
            <w:shd w:val="clear" w:color="auto" w:fill="D9D9D9"/>
            <w:vAlign w:val="center"/>
          </w:tcPr>
          <w:p w:rsidR="00685325" w:rsidRPr="001123A7" w:rsidRDefault="00685325" w:rsidP="00796067">
            <w:pPr>
              <w:spacing w:line="220" w:lineRule="exact"/>
              <w:contextualSpacing/>
              <w:jc w:val="center"/>
              <w:rPr>
                <w:b/>
                <w:color w:val="auto"/>
                <w:sz w:val="20"/>
              </w:rPr>
            </w:pPr>
          </w:p>
        </w:tc>
        <w:tc>
          <w:tcPr>
            <w:tcW w:w="701" w:type="dxa"/>
            <w:vMerge/>
            <w:shd w:val="clear" w:color="auto" w:fill="C6D9F1"/>
            <w:vAlign w:val="center"/>
          </w:tcPr>
          <w:p w:rsidR="00685325" w:rsidRPr="001123A7" w:rsidRDefault="00685325" w:rsidP="00796067">
            <w:pPr>
              <w:spacing w:line="220" w:lineRule="exact"/>
              <w:contextualSpacing/>
              <w:jc w:val="center"/>
              <w:rPr>
                <w:color w:val="auto"/>
                <w:sz w:val="20"/>
              </w:rPr>
            </w:pPr>
          </w:p>
        </w:tc>
        <w:tc>
          <w:tcPr>
            <w:tcW w:w="829" w:type="dxa"/>
            <w:vMerge/>
            <w:shd w:val="clear" w:color="auto" w:fill="C6D9F1"/>
            <w:vAlign w:val="center"/>
          </w:tcPr>
          <w:p w:rsidR="00685325" w:rsidRPr="001123A7" w:rsidRDefault="00685325" w:rsidP="00796067">
            <w:pPr>
              <w:spacing w:line="220" w:lineRule="exact"/>
              <w:contextualSpacing/>
              <w:jc w:val="center"/>
              <w:rPr>
                <w:color w:val="auto"/>
                <w:sz w:val="20"/>
              </w:rPr>
            </w:pPr>
          </w:p>
        </w:tc>
        <w:tc>
          <w:tcPr>
            <w:tcW w:w="1061" w:type="dxa"/>
            <w:vMerge/>
            <w:shd w:val="clear" w:color="auto" w:fill="C6D9F1"/>
            <w:vAlign w:val="center"/>
          </w:tcPr>
          <w:p w:rsidR="00685325" w:rsidRPr="001123A7" w:rsidRDefault="00685325" w:rsidP="00796067">
            <w:pPr>
              <w:spacing w:line="220" w:lineRule="exact"/>
              <w:contextualSpacing/>
              <w:jc w:val="center"/>
              <w:rPr>
                <w:color w:val="auto"/>
                <w:sz w:val="20"/>
              </w:rPr>
            </w:pPr>
          </w:p>
        </w:tc>
      </w:tr>
      <w:tr w:rsidR="007B5018" w:rsidRPr="00FF1022" w:rsidTr="00012132">
        <w:trPr>
          <w:trHeight w:val="125"/>
          <w:jc w:val="center"/>
        </w:trPr>
        <w:tc>
          <w:tcPr>
            <w:tcW w:w="1935" w:type="dxa"/>
            <w:tcBorders>
              <w:right w:val="single" w:sz="4" w:space="0" w:color="auto"/>
            </w:tcBorders>
            <w:shd w:val="clear" w:color="auto" w:fill="FFFFFF"/>
            <w:vAlign w:val="center"/>
          </w:tcPr>
          <w:p w:rsidR="00685325" w:rsidRPr="001123A7" w:rsidRDefault="00685325" w:rsidP="00796067">
            <w:pPr>
              <w:spacing w:line="220" w:lineRule="exact"/>
              <w:contextualSpacing/>
              <w:rPr>
                <w:color w:val="auto"/>
                <w:sz w:val="18"/>
              </w:rPr>
            </w:pPr>
            <w:r w:rsidRPr="001123A7">
              <w:rPr>
                <w:color w:val="auto"/>
                <w:sz w:val="18"/>
              </w:rPr>
              <w:t>PTSD</w:t>
            </w:r>
          </w:p>
        </w:tc>
        <w:tc>
          <w:tcPr>
            <w:tcW w:w="701" w:type="dxa"/>
            <w:tcBorders>
              <w:left w:val="single" w:sz="4" w:space="0" w:color="auto"/>
            </w:tcBorders>
            <w:shd w:val="clear" w:color="auto" w:fill="FFFFFF"/>
            <w:vAlign w:val="center"/>
          </w:tcPr>
          <w:p w:rsidR="00685325" w:rsidRPr="001123A7" w:rsidRDefault="00685325" w:rsidP="00796067">
            <w:pPr>
              <w:spacing w:line="220" w:lineRule="exact"/>
              <w:contextualSpacing/>
              <w:rPr>
                <w:color w:val="auto"/>
                <w:sz w:val="18"/>
              </w:rPr>
            </w:pPr>
            <w:r w:rsidRPr="001123A7">
              <w:rPr>
                <w:color w:val="auto"/>
                <w:sz w:val="18"/>
              </w:rPr>
              <w:t>9411</w:t>
            </w:r>
          </w:p>
        </w:tc>
        <w:tc>
          <w:tcPr>
            <w:tcW w:w="720" w:type="dxa"/>
            <w:tcBorders>
              <w:right w:val="single" w:sz="4" w:space="0" w:color="auto"/>
            </w:tcBorders>
            <w:shd w:val="clear" w:color="auto" w:fill="FFFFFF"/>
            <w:vAlign w:val="center"/>
          </w:tcPr>
          <w:p w:rsidR="00685325" w:rsidRPr="001123A7" w:rsidRDefault="00685325" w:rsidP="00796067">
            <w:pPr>
              <w:spacing w:line="220" w:lineRule="exact"/>
              <w:jc w:val="center"/>
              <w:rPr>
                <w:color w:val="auto"/>
              </w:rPr>
            </w:pPr>
            <w:r w:rsidRPr="001123A7">
              <w:rPr>
                <w:color w:val="auto"/>
                <w:sz w:val="18"/>
              </w:rPr>
              <w:t>30%</w:t>
            </w:r>
          </w:p>
        </w:tc>
        <w:tc>
          <w:tcPr>
            <w:tcW w:w="598" w:type="dxa"/>
            <w:tcBorders>
              <w:left w:val="single" w:sz="4" w:space="0" w:color="auto"/>
              <w:right w:val="thinThickThinSmallGap" w:sz="24" w:space="0" w:color="auto"/>
            </w:tcBorders>
            <w:shd w:val="clear" w:color="auto" w:fill="FFFFFF"/>
            <w:vAlign w:val="center"/>
          </w:tcPr>
          <w:p w:rsidR="00685325" w:rsidRPr="001123A7" w:rsidRDefault="00685325" w:rsidP="00796067">
            <w:pPr>
              <w:spacing w:line="220" w:lineRule="exact"/>
              <w:jc w:val="center"/>
              <w:rPr>
                <w:color w:val="auto"/>
              </w:rPr>
            </w:pPr>
            <w:r w:rsidRPr="001123A7">
              <w:rPr>
                <w:color w:val="auto"/>
                <w:sz w:val="18"/>
              </w:rPr>
              <w:t>10%</w:t>
            </w:r>
          </w:p>
        </w:tc>
        <w:tc>
          <w:tcPr>
            <w:tcW w:w="2751" w:type="dxa"/>
            <w:tcBorders>
              <w:left w:val="thinThickThinSmallGap" w:sz="24" w:space="0" w:color="auto"/>
            </w:tcBorders>
            <w:shd w:val="clear" w:color="auto" w:fill="FFFFFF"/>
            <w:vAlign w:val="center"/>
          </w:tcPr>
          <w:p w:rsidR="00685325" w:rsidRPr="001123A7" w:rsidRDefault="00685325" w:rsidP="00796067">
            <w:pPr>
              <w:spacing w:line="220" w:lineRule="exact"/>
              <w:contextualSpacing/>
              <w:rPr>
                <w:color w:val="auto"/>
                <w:sz w:val="18"/>
              </w:rPr>
            </w:pPr>
            <w:r w:rsidRPr="001123A7">
              <w:rPr>
                <w:color w:val="auto"/>
                <w:sz w:val="18"/>
              </w:rPr>
              <w:t xml:space="preserve">Major Depressive Disorder </w:t>
            </w:r>
            <w:r w:rsidR="007B5018">
              <w:rPr>
                <w:color w:val="auto"/>
                <w:sz w:val="18"/>
              </w:rPr>
              <w:t>/</w:t>
            </w:r>
            <w:r w:rsidRPr="001123A7">
              <w:rPr>
                <w:color w:val="auto"/>
                <w:sz w:val="18"/>
              </w:rPr>
              <w:t xml:space="preserve"> PTSD</w:t>
            </w:r>
          </w:p>
        </w:tc>
        <w:tc>
          <w:tcPr>
            <w:tcW w:w="701" w:type="dxa"/>
            <w:shd w:val="clear" w:color="auto" w:fill="FFFFFF"/>
            <w:vAlign w:val="center"/>
          </w:tcPr>
          <w:p w:rsidR="00685325" w:rsidRPr="001123A7" w:rsidRDefault="00685325" w:rsidP="00796067">
            <w:pPr>
              <w:spacing w:line="220" w:lineRule="exact"/>
              <w:contextualSpacing/>
              <w:jc w:val="center"/>
              <w:rPr>
                <w:color w:val="auto"/>
                <w:sz w:val="18"/>
              </w:rPr>
            </w:pPr>
            <w:r w:rsidRPr="001123A7">
              <w:rPr>
                <w:color w:val="auto"/>
                <w:sz w:val="18"/>
              </w:rPr>
              <w:t>9434</w:t>
            </w:r>
          </w:p>
        </w:tc>
        <w:tc>
          <w:tcPr>
            <w:tcW w:w="829" w:type="dxa"/>
            <w:shd w:val="clear" w:color="auto" w:fill="FFFFFF"/>
            <w:vAlign w:val="center"/>
          </w:tcPr>
          <w:p w:rsidR="00685325" w:rsidRPr="001123A7" w:rsidRDefault="00685325" w:rsidP="00796067">
            <w:pPr>
              <w:spacing w:line="220" w:lineRule="exact"/>
              <w:contextualSpacing/>
              <w:jc w:val="center"/>
              <w:rPr>
                <w:color w:val="auto"/>
                <w:sz w:val="18"/>
              </w:rPr>
            </w:pPr>
            <w:r w:rsidRPr="001123A7">
              <w:rPr>
                <w:color w:val="auto"/>
                <w:sz w:val="18"/>
              </w:rPr>
              <w:t>30%</w:t>
            </w:r>
          </w:p>
        </w:tc>
        <w:tc>
          <w:tcPr>
            <w:tcW w:w="1061" w:type="dxa"/>
            <w:shd w:val="clear" w:color="auto" w:fill="FFFFFF"/>
            <w:vAlign w:val="center"/>
          </w:tcPr>
          <w:p w:rsidR="00685325" w:rsidRPr="001123A7" w:rsidRDefault="00685325" w:rsidP="00796067">
            <w:pPr>
              <w:spacing w:line="220" w:lineRule="exact"/>
              <w:contextualSpacing/>
              <w:jc w:val="center"/>
              <w:rPr>
                <w:color w:val="auto"/>
                <w:sz w:val="18"/>
              </w:rPr>
            </w:pPr>
            <w:r w:rsidRPr="001123A7">
              <w:rPr>
                <w:color w:val="auto"/>
                <w:sz w:val="18"/>
              </w:rPr>
              <w:t>20050518</w:t>
            </w:r>
          </w:p>
        </w:tc>
      </w:tr>
      <w:tr w:rsidR="002052DD" w:rsidRPr="00FF1022" w:rsidTr="00012132">
        <w:trPr>
          <w:trHeight w:val="152"/>
          <w:jc w:val="center"/>
        </w:trPr>
        <w:tc>
          <w:tcPr>
            <w:tcW w:w="2636" w:type="dxa"/>
            <w:gridSpan w:val="2"/>
            <w:shd w:val="clear" w:color="auto" w:fill="FFFFFF"/>
            <w:vAlign w:val="center"/>
          </w:tcPr>
          <w:p w:rsidR="00685325" w:rsidRPr="001123A7" w:rsidRDefault="00685325" w:rsidP="00796067">
            <w:pPr>
              <w:spacing w:line="220" w:lineRule="exact"/>
              <w:contextualSpacing/>
              <w:rPr>
                <w:color w:val="auto"/>
                <w:sz w:val="18"/>
              </w:rPr>
            </w:pPr>
            <w:r w:rsidRPr="001123A7">
              <w:rPr>
                <w:color w:val="auto"/>
                <w:sz w:val="18"/>
              </w:rPr>
              <w:t>Hypertension</w:t>
            </w:r>
          </w:p>
        </w:tc>
        <w:tc>
          <w:tcPr>
            <w:tcW w:w="1318" w:type="dxa"/>
            <w:gridSpan w:val="2"/>
            <w:tcBorders>
              <w:right w:val="thinThickThinSmallGap" w:sz="24" w:space="0" w:color="auto"/>
            </w:tcBorders>
            <w:shd w:val="clear" w:color="auto" w:fill="FFFFFF"/>
            <w:vAlign w:val="center"/>
          </w:tcPr>
          <w:p w:rsidR="00685325" w:rsidRPr="001123A7" w:rsidRDefault="007B5018" w:rsidP="00796067">
            <w:pPr>
              <w:spacing w:line="220" w:lineRule="exact"/>
              <w:jc w:val="center"/>
              <w:rPr>
                <w:color w:val="auto"/>
              </w:rPr>
            </w:pPr>
            <w:r>
              <w:rPr>
                <w:color w:val="auto"/>
                <w:sz w:val="18"/>
              </w:rPr>
              <w:t>Category II</w:t>
            </w:r>
          </w:p>
        </w:tc>
        <w:tc>
          <w:tcPr>
            <w:tcW w:w="2751" w:type="dxa"/>
            <w:tcBorders>
              <w:left w:val="thinThickThinSmallGap" w:sz="24" w:space="0" w:color="auto"/>
            </w:tcBorders>
            <w:shd w:val="clear" w:color="auto" w:fill="FFFFFF"/>
            <w:vAlign w:val="center"/>
          </w:tcPr>
          <w:p w:rsidR="00685325" w:rsidRPr="001123A7" w:rsidRDefault="00685325" w:rsidP="00796067">
            <w:pPr>
              <w:spacing w:line="220" w:lineRule="exact"/>
              <w:contextualSpacing/>
              <w:rPr>
                <w:color w:val="auto"/>
                <w:sz w:val="18"/>
              </w:rPr>
            </w:pPr>
            <w:r w:rsidRPr="001123A7">
              <w:rPr>
                <w:color w:val="auto"/>
                <w:sz w:val="18"/>
              </w:rPr>
              <w:t>Hypertension</w:t>
            </w:r>
          </w:p>
        </w:tc>
        <w:tc>
          <w:tcPr>
            <w:tcW w:w="701" w:type="dxa"/>
            <w:shd w:val="clear" w:color="auto" w:fill="FFFFFF"/>
            <w:vAlign w:val="center"/>
          </w:tcPr>
          <w:p w:rsidR="00685325" w:rsidRPr="001123A7" w:rsidRDefault="00685325" w:rsidP="00796067">
            <w:pPr>
              <w:spacing w:line="220" w:lineRule="exact"/>
              <w:contextualSpacing/>
              <w:jc w:val="center"/>
              <w:rPr>
                <w:color w:val="auto"/>
                <w:sz w:val="18"/>
              </w:rPr>
            </w:pPr>
            <w:r w:rsidRPr="001123A7">
              <w:rPr>
                <w:color w:val="auto"/>
                <w:sz w:val="18"/>
              </w:rPr>
              <w:t>7101</w:t>
            </w:r>
          </w:p>
        </w:tc>
        <w:tc>
          <w:tcPr>
            <w:tcW w:w="829" w:type="dxa"/>
            <w:shd w:val="clear" w:color="auto" w:fill="FFFFFF"/>
            <w:vAlign w:val="center"/>
          </w:tcPr>
          <w:p w:rsidR="00685325" w:rsidRPr="001123A7" w:rsidRDefault="00685325" w:rsidP="00796067">
            <w:pPr>
              <w:spacing w:line="220" w:lineRule="exact"/>
              <w:contextualSpacing/>
              <w:jc w:val="center"/>
              <w:rPr>
                <w:color w:val="auto"/>
                <w:sz w:val="18"/>
              </w:rPr>
            </w:pPr>
            <w:r w:rsidRPr="001123A7">
              <w:rPr>
                <w:color w:val="auto"/>
                <w:sz w:val="18"/>
              </w:rPr>
              <w:t>0%</w:t>
            </w:r>
          </w:p>
        </w:tc>
        <w:tc>
          <w:tcPr>
            <w:tcW w:w="1061" w:type="dxa"/>
            <w:shd w:val="clear" w:color="auto" w:fill="FFFFFF"/>
            <w:vAlign w:val="center"/>
          </w:tcPr>
          <w:p w:rsidR="00685325" w:rsidRPr="001123A7" w:rsidRDefault="00685325" w:rsidP="00796067">
            <w:pPr>
              <w:spacing w:line="220" w:lineRule="exact"/>
              <w:contextualSpacing/>
              <w:jc w:val="center"/>
              <w:rPr>
                <w:color w:val="auto"/>
                <w:sz w:val="18"/>
              </w:rPr>
            </w:pPr>
            <w:r w:rsidRPr="001123A7">
              <w:rPr>
                <w:color w:val="auto"/>
                <w:sz w:val="18"/>
              </w:rPr>
              <w:t>20050531</w:t>
            </w:r>
          </w:p>
        </w:tc>
      </w:tr>
      <w:tr w:rsidR="002052DD" w:rsidRPr="00FF1022" w:rsidTr="00012132">
        <w:trPr>
          <w:trHeight w:val="188"/>
          <w:jc w:val="center"/>
        </w:trPr>
        <w:tc>
          <w:tcPr>
            <w:tcW w:w="2636" w:type="dxa"/>
            <w:gridSpan w:val="2"/>
            <w:tcBorders>
              <w:right w:val="single" w:sz="4" w:space="0" w:color="auto"/>
            </w:tcBorders>
            <w:shd w:val="clear" w:color="auto" w:fill="FFFFFF"/>
            <w:vAlign w:val="center"/>
          </w:tcPr>
          <w:p w:rsidR="00685325" w:rsidRPr="001123A7" w:rsidRDefault="00685325" w:rsidP="00796067">
            <w:pPr>
              <w:spacing w:line="220" w:lineRule="exact"/>
              <w:contextualSpacing/>
              <w:rPr>
                <w:color w:val="auto"/>
                <w:sz w:val="18"/>
              </w:rPr>
            </w:pPr>
            <w:r w:rsidRPr="001123A7">
              <w:rPr>
                <w:color w:val="auto"/>
                <w:sz w:val="18"/>
              </w:rPr>
              <w:t>Obesity</w:t>
            </w:r>
          </w:p>
        </w:tc>
        <w:tc>
          <w:tcPr>
            <w:tcW w:w="1318" w:type="dxa"/>
            <w:gridSpan w:val="2"/>
            <w:tcBorders>
              <w:right w:val="thinThickThinSmallGap" w:sz="24" w:space="0" w:color="auto"/>
            </w:tcBorders>
            <w:shd w:val="clear" w:color="auto" w:fill="FFFFFF"/>
            <w:vAlign w:val="center"/>
          </w:tcPr>
          <w:p w:rsidR="00685325" w:rsidRPr="001123A7" w:rsidRDefault="007B5018" w:rsidP="00796067">
            <w:pPr>
              <w:spacing w:line="220" w:lineRule="exact"/>
              <w:contextualSpacing/>
              <w:jc w:val="center"/>
              <w:rPr>
                <w:color w:val="auto"/>
                <w:sz w:val="18"/>
              </w:rPr>
            </w:pPr>
            <w:r>
              <w:rPr>
                <w:color w:val="auto"/>
                <w:sz w:val="18"/>
              </w:rPr>
              <w:t>Category III</w:t>
            </w:r>
          </w:p>
        </w:tc>
        <w:tc>
          <w:tcPr>
            <w:tcW w:w="2751" w:type="dxa"/>
            <w:tcBorders>
              <w:left w:val="thinThickThinSmallGap" w:sz="24" w:space="0" w:color="auto"/>
              <w:right w:val="single" w:sz="4" w:space="0" w:color="auto"/>
            </w:tcBorders>
            <w:shd w:val="clear" w:color="auto" w:fill="FFFFFF"/>
            <w:vAlign w:val="center"/>
          </w:tcPr>
          <w:p w:rsidR="00685325" w:rsidRPr="001123A7" w:rsidRDefault="00685325" w:rsidP="00796067">
            <w:pPr>
              <w:spacing w:line="220" w:lineRule="exact"/>
              <w:contextualSpacing/>
              <w:rPr>
                <w:color w:val="auto"/>
                <w:sz w:val="18"/>
              </w:rPr>
            </w:pPr>
            <w:r w:rsidRPr="001123A7">
              <w:rPr>
                <w:color w:val="auto"/>
                <w:sz w:val="18"/>
              </w:rPr>
              <w:t>Obesity</w:t>
            </w:r>
          </w:p>
        </w:tc>
        <w:tc>
          <w:tcPr>
            <w:tcW w:w="701" w:type="dxa"/>
            <w:tcBorders>
              <w:left w:val="single" w:sz="4" w:space="0" w:color="auto"/>
              <w:right w:val="single" w:sz="4" w:space="0" w:color="auto"/>
            </w:tcBorders>
            <w:shd w:val="clear" w:color="auto" w:fill="FFFFFF"/>
            <w:vAlign w:val="center"/>
          </w:tcPr>
          <w:p w:rsidR="00685325" w:rsidRPr="001123A7" w:rsidRDefault="00685325" w:rsidP="00796067">
            <w:pPr>
              <w:spacing w:line="220" w:lineRule="exact"/>
              <w:contextualSpacing/>
              <w:jc w:val="center"/>
              <w:rPr>
                <w:color w:val="auto"/>
                <w:sz w:val="18"/>
              </w:rPr>
            </w:pPr>
            <w:r w:rsidRPr="001123A7">
              <w:rPr>
                <w:color w:val="auto"/>
                <w:sz w:val="18"/>
              </w:rPr>
              <w:t>7904</w:t>
            </w:r>
          </w:p>
        </w:tc>
        <w:tc>
          <w:tcPr>
            <w:tcW w:w="829" w:type="dxa"/>
            <w:tcBorders>
              <w:left w:val="single" w:sz="4" w:space="0" w:color="auto"/>
            </w:tcBorders>
            <w:shd w:val="clear" w:color="auto" w:fill="FFFFFF"/>
            <w:vAlign w:val="center"/>
          </w:tcPr>
          <w:p w:rsidR="00685325" w:rsidRPr="001123A7" w:rsidRDefault="00685325" w:rsidP="00796067">
            <w:pPr>
              <w:spacing w:line="220" w:lineRule="exact"/>
              <w:contextualSpacing/>
              <w:jc w:val="center"/>
              <w:rPr>
                <w:color w:val="auto"/>
                <w:sz w:val="18"/>
              </w:rPr>
            </w:pPr>
            <w:r w:rsidRPr="001123A7">
              <w:rPr>
                <w:color w:val="auto"/>
                <w:sz w:val="18"/>
              </w:rPr>
              <w:t>NSC</w:t>
            </w:r>
          </w:p>
        </w:tc>
        <w:tc>
          <w:tcPr>
            <w:tcW w:w="1061" w:type="dxa"/>
            <w:shd w:val="clear" w:color="auto" w:fill="FFFFFF"/>
            <w:vAlign w:val="center"/>
          </w:tcPr>
          <w:p w:rsidR="00685325" w:rsidRPr="001123A7" w:rsidRDefault="00685325" w:rsidP="00796067">
            <w:pPr>
              <w:spacing w:line="220" w:lineRule="exact"/>
              <w:contextualSpacing/>
              <w:jc w:val="center"/>
              <w:rPr>
                <w:color w:val="auto"/>
                <w:sz w:val="18"/>
              </w:rPr>
            </w:pPr>
            <w:r w:rsidRPr="001123A7">
              <w:rPr>
                <w:color w:val="auto"/>
                <w:sz w:val="18"/>
              </w:rPr>
              <w:t>20050531</w:t>
            </w:r>
          </w:p>
        </w:tc>
      </w:tr>
      <w:tr w:rsidR="00685325" w:rsidRPr="00FF1022" w:rsidTr="00012132">
        <w:trPr>
          <w:trHeight w:val="188"/>
          <w:jc w:val="center"/>
        </w:trPr>
        <w:tc>
          <w:tcPr>
            <w:tcW w:w="2636" w:type="dxa"/>
            <w:gridSpan w:val="2"/>
            <w:tcBorders>
              <w:right w:val="single" w:sz="4" w:space="0" w:color="auto"/>
            </w:tcBorders>
            <w:shd w:val="clear" w:color="auto" w:fill="FFFFFF"/>
            <w:vAlign w:val="center"/>
          </w:tcPr>
          <w:p w:rsidR="00685325" w:rsidRPr="001123A7" w:rsidRDefault="00685325" w:rsidP="00796067">
            <w:pPr>
              <w:spacing w:line="220" w:lineRule="exact"/>
              <w:contextualSpacing/>
              <w:rPr>
                <w:color w:val="auto"/>
                <w:sz w:val="18"/>
              </w:rPr>
            </w:pPr>
            <w:r w:rsidRPr="001123A7">
              <w:rPr>
                <w:color w:val="auto"/>
                <w:sz w:val="18"/>
              </w:rPr>
              <w:t>Hyperlipidemia</w:t>
            </w:r>
          </w:p>
        </w:tc>
        <w:tc>
          <w:tcPr>
            <w:tcW w:w="1318" w:type="dxa"/>
            <w:gridSpan w:val="2"/>
            <w:tcBorders>
              <w:right w:val="thinThickThinSmallGap" w:sz="24" w:space="0" w:color="auto"/>
            </w:tcBorders>
            <w:shd w:val="clear" w:color="auto" w:fill="FFFFFF"/>
            <w:vAlign w:val="center"/>
          </w:tcPr>
          <w:p w:rsidR="00685325" w:rsidRPr="001123A7" w:rsidRDefault="007B5018" w:rsidP="00796067">
            <w:pPr>
              <w:spacing w:line="220" w:lineRule="exact"/>
              <w:contextualSpacing/>
              <w:jc w:val="center"/>
              <w:rPr>
                <w:color w:val="auto"/>
                <w:sz w:val="18"/>
              </w:rPr>
            </w:pPr>
            <w:r>
              <w:rPr>
                <w:color w:val="auto"/>
                <w:sz w:val="18"/>
              </w:rPr>
              <w:t>Category II</w:t>
            </w:r>
            <w:r w:rsidR="002052DD">
              <w:rPr>
                <w:color w:val="auto"/>
                <w:sz w:val="18"/>
              </w:rPr>
              <w:t>I</w:t>
            </w:r>
          </w:p>
        </w:tc>
        <w:tc>
          <w:tcPr>
            <w:tcW w:w="5342" w:type="dxa"/>
            <w:gridSpan w:val="4"/>
            <w:tcBorders>
              <w:left w:val="thinThickThinSmallGap" w:sz="24" w:space="0" w:color="auto"/>
            </w:tcBorders>
            <w:shd w:val="clear" w:color="auto" w:fill="FFFFFF"/>
            <w:vAlign w:val="center"/>
          </w:tcPr>
          <w:p w:rsidR="00685325" w:rsidRPr="001123A7" w:rsidRDefault="00685325" w:rsidP="00796067">
            <w:pPr>
              <w:spacing w:line="220" w:lineRule="exact"/>
              <w:contextualSpacing/>
              <w:jc w:val="center"/>
              <w:rPr>
                <w:color w:val="auto"/>
                <w:sz w:val="18"/>
              </w:rPr>
            </w:pPr>
            <w:r w:rsidRPr="001123A7">
              <w:rPr>
                <w:color w:val="auto"/>
                <w:sz w:val="18"/>
              </w:rPr>
              <w:t>No VA Entry</w:t>
            </w:r>
          </w:p>
        </w:tc>
      </w:tr>
      <w:tr w:rsidR="00685325" w:rsidRPr="00FF1022" w:rsidTr="00012132">
        <w:trPr>
          <w:trHeight w:val="161"/>
          <w:jc w:val="center"/>
        </w:trPr>
        <w:tc>
          <w:tcPr>
            <w:tcW w:w="3954" w:type="dxa"/>
            <w:gridSpan w:val="4"/>
            <w:tcBorders>
              <w:right w:val="thinThickThinSmallGap" w:sz="24" w:space="0" w:color="auto"/>
            </w:tcBorders>
            <w:shd w:val="clear" w:color="auto" w:fill="FFFFFF"/>
            <w:vAlign w:val="center"/>
          </w:tcPr>
          <w:p w:rsidR="00685325" w:rsidRPr="001123A7" w:rsidRDefault="00685325" w:rsidP="00796067">
            <w:pPr>
              <w:spacing w:line="220" w:lineRule="exact"/>
              <w:contextualSpacing/>
              <w:jc w:val="center"/>
              <w:rPr>
                <w:color w:val="auto"/>
                <w:sz w:val="18"/>
              </w:rPr>
            </w:pPr>
            <w:r w:rsidRPr="001123A7">
              <w:rPr>
                <w:color w:val="auto"/>
                <w:sz w:val="18"/>
              </w:rPr>
              <w:t>No Additional MEB/PEB Entries</w:t>
            </w:r>
          </w:p>
        </w:tc>
        <w:tc>
          <w:tcPr>
            <w:tcW w:w="4281" w:type="dxa"/>
            <w:gridSpan w:val="3"/>
            <w:tcBorders>
              <w:left w:val="thinThickThinSmallGap" w:sz="24" w:space="0" w:color="auto"/>
            </w:tcBorders>
            <w:shd w:val="clear" w:color="auto" w:fill="FFFFFF"/>
            <w:vAlign w:val="center"/>
          </w:tcPr>
          <w:p w:rsidR="00685325" w:rsidRPr="001123A7" w:rsidRDefault="00685325" w:rsidP="00796067">
            <w:pPr>
              <w:spacing w:line="220" w:lineRule="exact"/>
              <w:contextualSpacing/>
              <w:jc w:val="center"/>
              <w:rPr>
                <w:color w:val="auto"/>
                <w:sz w:val="18"/>
              </w:rPr>
            </w:pPr>
            <w:r w:rsidRPr="001123A7">
              <w:rPr>
                <w:color w:val="auto"/>
                <w:sz w:val="18"/>
              </w:rPr>
              <w:t>0% x 9</w:t>
            </w:r>
            <w:r w:rsidR="002052DD">
              <w:rPr>
                <w:color w:val="auto"/>
                <w:sz w:val="18"/>
              </w:rPr>
              <w:t xml:space="preserve"> </w:t>
            </w:r>
            <w:r w:rsidRPr="001123A7">
              <w:rPr>
                <w:color w:val="auto"/>
                <w:sz w:val="18"/>
              </w:rPr>
              <w:t>/</w:t>
            </w:r>
            <w:r w:rsidR="002052DD">
              <w:rPr>
                <w:color w:val="auto"/>
                <w:sz w:val="18"/>
              </w:rPr>
              <w:t xml:space="preserve"> </w:t>
            </w:r>
            <w:r w:rsidRPr="001123A7">
              <w:rPr>
                <w:color w:val="auto"/>
                <w:sz w:val="18"/>
              </w:rPr>
              <w:t>Not Service Connected x 8</w:t>
            </w:r>
          </w:p>
        </w:tc>
        <w:tc>
          <w:tcPr>
            <w:tcW w:w="1061" w:type="dxa"/>
            <w:shd w:val="clear" w:color="auto" w:fill="FFFFFF"/>
            <w:vAlign w:val="center"/>
          </w:tcPr>
          <w:p w:rsidR="00685325" w:rsidRPr="001123A7" w:rsidRDefault="00685325" w:rsidP="00796067">
            <w:pPr>
              <w:spacing w:line="220" w:lineRule="exact"/>
              <w:contextualSpacing/>
              <w:jc w:val="center"/>
              <w:rPr>
                <w:color w:val="auto"/>
                <w:sz w:val="18"/>
              </w:rPr>
            </w:pPr>
            <w:r w:rsidRPr="001123A7">
              <w:rPr>
                <w:color w:val="auto"/>
                <w:sz w:val="18"/>
              </w:rPr>
              <w:t>20050531</w:t>
            </w:r>
          </w:p>
        </w:tc>
      </w:tr>
      <w:tr w:rsidR="00685325" w:rsidRPr="00FF1022" w:rsidTr="00012132">
        <w:trPr>
          <w:trHeight w:val="242"/>
          <w:jc w:val="center"/>
        </w:trPr>
        <w:tc>
          <w:tcPr>
            <w:tcW w:w="3954" w:type="dxa"/>
            <w:gridSpan w:val="4"/>
            <w:tcBorders>
              <w:right w:val="thinThickThinSmallGap" w:sz="24" w:space="0" w:color="auto"/>
            </w:tcBorders>
            <w:shd w:val="clear" w:color="auto" w:fill="D9D9D9"/>
          </w:tcPr>
          <w:p w:rsidR="00685325" w:rsidRPr="001123A7" w:rsidRDefault="00685325" w:rsidP="00796067">
            <w:pPr>
              <w:spacing w:line="240" w:lineRule="exact"/>
              <w:contextualSpacing/>
              <w:jc w:val="center"/>
              <w:rPr>
                <w:b/>
                <w:color w:val="auto"/>
                <w:sz w:val="20"/>
              </w:rPr>
            </w:pPr>
            <w:r w:rsidRPr="001123A7">
              <w:rPr>
                <w:b/>
                <w:color w:val="auto"/>
                <w:sz w:val="20"/>
              </w:rPr>
              <w:t>Combined:  10%</w:t>
            </w:r>
          </w:p>
        </w:tc>
        <w:tc>
          <w:tcPr>
            <w:tcW w:w="5342" w:type="dxa"/>
            <w:gridSpan w:val="4"/>
            <w:tcBorders>
              <w:left w:val="thinThickThinSmallGap" w:sz="24" w:space="0" w:color="auto"/>
            </w:tcBorders>
            <w:shd w:val="clear" w:color="auto" w:fill="D9D9D9"/>
          </w:tcPr>
          <w:p w:rsidR="00685325" w:rsidRPr="001123A7" w:rsidRDefault="00685325" w:rsidP="00796067">
            <w:pPr>
              <w:spacing w:line="240" w:lineRule="exact"/>
              <w:contextualSpacing/>
              <w:jc w:val="center"/>
              <w:rPr>
                <w:b/>
                <w:color w:val="auto"/>
                <w:sz w:val="20"/>
              </w:rPr>
            </w:pPr>
            <w:r w:rsidRPr="001123A7">
              <w:rPr>
                <w:b/>
                <w:color w:val="auto"/>
                <w:sz w:val="20"/>
              </w:rPr>
              <w:t>Combined:  30%</w:t>
            </w:r>
          </w:p>
        </w:tc>
      </w:tr>
    </w:tbl>
    <w:p w:rsidR="00685325" w:rsidRDefault="00012132" w:rsidP="000F4AA6">
      <w:pPr>
        <w:pBdr>
          <w:bottom w:val="single" w:sz="12" w:space="1" w:color="auto"/>
        </w:pBdr>
        <w:tabs>
          <w:tab w:val="left" w:pos="288"/>
          <w:tab w:val="left" w:pos="4752"/>
        </w:tabs>
        <w:spacing w:line="240" w:lineRule="exact"/>
        <w:jc w:val="both"/>
        <w:rPr>
          <w:color w:val="auto"/>
          <w:sz w:val="18"/>
        </w:rPr>
      </w:pPr>
      <w:r>
        <w:rPr>
          <w:color w:val="auto"/>
          <w:sz w:val="18"/>
        </w:rPr>
        <w:t xml:space="preserve">                                                                                         </w:t>
      </w:r>
      <w:r w:rsidR="00685325" w:rsidRPr="006937C6">
        <w:rPr>
          <w:color w:val="auto"/>
          <w:sz w:val="18"/>
        </w:rPr>
        <w:t>* VA rating based on exam most proximate to date of permanent separation.</w:t>
      </w:r>
    </w:p>
    <w:p w:rsidR="00685325" w:rsidRPr="00C85EFD" w:rsidRDefault="00685325" w:rsidP="00510F9C">
      <w:pPr>
        <w:pBdr>
          <w:bottom w:val="single" w:sz="12" w:space="1" w:color="auto"/>
        </w:pBdr>
        <w:tabs>
          <w:tab w:val="left" w:pos="288"/>
          <w:tab w:val="left" w:pos="4752"/>
        </w:tabs>
        <w:spacing w:line="240" w:lineRule="exact"/>
        <w:jc w:val="both"/>
        <w:rPr>
          <w:color w:val="auto"/>
          <w:sz w:val="18"/>
        </w:rPr>
      </w:pPr>
    </w:p>
    <w:p w:rsidR="00891465" w:rsidRDefault="00891465" w:rsidP="002613E4">
      <w:pPr>
        <w:tabs>
          <w:tab w:val="left" w:pos="288"/>
          <w:tab w:val="left" w:pos="4752"/>
        </w:tabs>
        <w:spacing w:line="240" w:lineRule="exact"/>
        <w:jc w:val="both"/>
        <w:rPr>
          <w:color w:val="auto"/>
          <w:u w:val="single"/>
        </w:rPr>
      </w:pPr>
    </w:p>
    <w:p w:rsidR="00891465" w:rsidRDefault="00891465" w:rsidP="002613E4">
      <w:pPr>
        <w:tabs>
          <w:tab w:val="left" w:pos="288"/>
          <w:tab w:val="left" w:pos="4752"/>
        </w:tabs>
        <w:spacing w:line="240" w:lineRule="exact"/>
        <w:jc w:val="both"/>
        <w:rPr>
          <w:color w:val="auto"/>
          <w:u w:val="single"/>
        </w:rPr>
      </w:pPr>
    </w:p>
    <w:p w:rsidR="002613E4" w:rsidRPr="002613E4" w:rsidRDefault="00685325" w:rsidP="002613E4">
      <w:pPr>
        <w:tabs>
          <w:tab w:val="left" w:pos="288"/>
          <w:tab w:val="left" w:pos="4752"/>
        </w:tabs>
        <w:spacing w:line="240" w:lineRule="exact"/>
        <w:jc w:val="both"/>
        <w:rPr>
          <w:color w:val="auto"/>
        </w:rPr>
      </w:pPr>
      <w:r w:rsidRPr="00396779">
        <w:rPr>
          <w:color w:val="auto"/>
          <w:u w:val="single"/>
        </w:rPr>
        <w:lastRenderedPageBreak/>
        <w:t>ANALYSIS SUMMARY</w:t>
      </w:r>
      <w:r w:rsidRPr="00396779">
        <w:rPr>
          <w:color w:val="auto"/>
        </w:rPr>
        <w:t xml:space="preserve">:  </w:t>
      </w:r>
      <w:r w:rsidR="00012132">
        <w:rPr>
          <w:color w:val="auto"/>
        </w:rPr>
        <w:t xml:space="preserve">In acknowledgement of the </w:t>
      </w:r>
      <w:r w:rsidR="00461489" w:rsidRPr="000F4AA6">
        <w:rPr>
          <w:color w:val="auto"/>
        </w:rPr>
        <w:t xml:space="preserve">CI’s assertions </w:t>
      </w:r>
      <w:r w:rsidR="00461489">
        <w:rPr>
          <w:color w:val="auto"/>
        </w:rPr>
        <w:t>in his statement, t</w:t>
      </w:r>
      <w:r w:rsidRPr="000F4AA6">
        <w:rPr>
          <w:color w:val="auto"/>
        </w:rPr>
        <w:t xml:space="preserve">he Board </w:t>
      </w:r>
      <w:r w:rsidR="00461489">
        <w:rPr>
          <w:color w:val="auto"/>
        </w:rPr>
        <w:t>notes</w:t>
      </w:r>
      <w:r w:rsidRPr="000F4AA6">
        <w:rPr>
          <w:color w:val="auto"/>
        </w:rPr>
        <w:t xml:space="preserve"> for the record that </w:t>
      </w:r>
      <w:r w:rsidR="00461489">
        <w:rPr>
          <w:color w:val="auto"/>
        </w:rPr>
        <w:t>it</w:t>
      </w:r>
      <w:r w:rsidRPr="000F4AA6">
        <w:rPr>
          <w:color w:val="auto"/>
        </w:rPr>
        <w:t xml:space="preserve"> has neither the jurisdiction nor authority to scrutinize or render opinions regarding suspected Service improprieties in the processing of his case.  The Board’s role is confined to the review of medical records and all evidence at hand to assess the fairness of PEB rating determinations, compared to VASRD standards, based on severity at the time of separation.  </w:t>
      </w:r>
      <w:r w:rsidR="002613E4" w:rsidRPr="002613E4">
        <w:rPr>
          <w:color w:val="auto"/>
        </w:rPr>
        <w:t>It must also judge the fairness of PEB fitness adjudications and its assessment of other potentially ratable conditions, based on Service eligibility and</w:t>
      </w:r>
      <w:r w:rsidR="00DE11AB">
        <w:rPr>
          <w:color w:val="auto"/>
        </w:rPr>
        <w:t xml:space="preserve"> the</w:t>
      </w:r>
      <w:r w:rsidR="002613E4" w:rsidRPr="002613E4">
        <w:rPr>
          <w:color w:val="auto"/>
        </w:rPr>
        <w:t xml:space="preserve"> fitness consequences of conditions as they existed at the time of separation.</w:t>
      </w:r>
    </w:p>
    <w:p w:rsidR="00685325" w:rsidRPr="000F4AA6" w:rsidRDefault="00685325" w:rsidP="002052DD">
      <w:pPr>
        <w:tabs>
          <w:tab w:val="left" w:pos="288"/>
          <w:tab w:val="left" w:pos="4752"/>
        </w:tabs>
        <w:spacing w:line="240" w:lineRule="exact"/>
        <w:jc w:val="both"/>
        <w:rPr>
          <w:color w:val="auto"/>
        </w:rPr>
      </w:pPr>
    </w:p>
    <w:p w:rsidR="00685325" w:rsidRDefault="00461489" w:rsidP="002052DD">
      <w:pPr>
        <w:tabs>
          <w:tab w:val="left" w:pos="288"/>
          <w:tab w:val="left" w:pos="4752"/>
        </w:tabs>
        <w:spacing w:line="240" w:lineRule="exact"/>
        <w:jc w:val="both"/>
        <w:rPr>
          <w:color w:val="auto"/>
        </w:rPr>
      </w:pPr>
      <w:r w:rsidRPr="00461489">
        <w:rPr>
          <w:rFonts w:eastAsia="Calibri"/>
          <w:color w:val="auto"/>
          <w:szCs w:val="24"/>
        </w:rPr>
        <w:t xml:space="preserve">The PEB rating, as described above, was derived from DoDI 1332.39 and preceded the promulgation of the National Defense Authorization Act (NDAA) 2008 mandate for DoD adherence to VASRD §4.129. IAW DoDI 6040.44 and DoD guidance (which applies current VASRD 4.129 to all Board cases), the Board is obligated to recommend a minimum 50% PTSD rating for at least a six-month period on the Temporary Disability Retired List (TDRL).  Since the Service was in compliance with the §4.129 TDRL requirement, the Board need not apply a constructive TDRL interval in this case.  A minimum TDRL rating of 50% remains applicable IAW DoD direction, and as held by </w:t>
      </w:r>
      <w:r w:rsidR="001802A0">
        <w:rPr>
          <w:rFonts w:eastAsia="Calibri"/>
          <w:color w:val="auto"/>
          <w:szCs w:val="24"/>
        </w:rPr>
        <w:t>F</w:t>
      </w:r>
      <w:r w:rsidRPr="00461489">
        <w:rPr>
          <w:rFonts w:eastAsia="Calibri"/>
          <w:color w:val="auto"/>
          <w:szCs w:val="24"/>
        </w:rPr>
        <w:t xml:space="preserve">ederal court in the </w:t>
      </w:r>
      <w:r w:rsidRPr="00461489">
        <w:rPr>
          <w:rFonts w:eastAsia="Calibri"/>
          <w:i/>
          <w:color w:val="auto"/>
          <w:szCs w:val="24"/>
        </w:rPr>
        <w:t>Sabo</w:t>
      </w:r>
      <w:r>
        <w:rPr>
          <w:rFonts w:eastAsia="Calibri"/>
          <w:i/>
          <w:color w:val="auto"/>
          <w:szCs w:val="24"/>
        </w:rPr>
        <w:t>, et al</w:t>
      </w:r>
      <w:r w:rsidRPr="00461489">
        <w:rPr>
          <w:rFonts w:eastAsia="Calibri"/>
          <w:i/>
          <w:color w:val="auto"/>
          <w:szCs w:val="24"/>
        </w:rPr>
        <w:t xml:space="preserve"> v. United States</w:t>
      </w:r>
      <w:r w:rsidRPr="00461489">
        <w:rPr>
          <w:rFonts w:eastAsia="Calibri"/>
          <w:color w:val="auto"/>
          <w:szCs w:val="24"/>
        </w:rPr>
        <w:t xml:space="preserve"> class action settlement.  The Board must then determine the most appropriate fit with VASRD 4.130 criteria at the end of the TDRL interval for its permanent rating recommendation.  </w:t>
      </w:r>
      <w:r w:rsidR="005A1CA4">
        <w:rPr>
          <w:rFonts w:eastAsia="Calibri"/>
          <w:color w:val="auto"/>
          <w:szCs w:val="24"/>
        </w:rPr>
        <w:t xml:space="preserve">The MEB’s narrative summary (NARSUM) and the </w:t>
      </w:r>
      <w:r w:rsidR="001802A0">
        <w:rPr>
          <w:rFonts w:eastAsia="Calibri"/>
          <w:color w:val="auto"/>
          <w:szCs w:val="24"/>
        </w:rPr>
        <w:t>Department of Veterans’ Affairs (DVA)</w:t>
      </w:r>
      <w:r w:rsidR="005A1CA4">
        <w:rPr>
          <w:rFonts w:eastAsia="Calibri"/>
          <w:color w:val="auto"/>
          <w:szCs w:val="24"/>
        </w:rPr>
        <w:t xml:space="preserve"> psychiatric </w:t>
      </w:r>
      <w:r w:rsidR="005A1CA4" w:rsidRPr="005A1CA4">
        <w:rPr>
          <w:rFonts w:eastAsia="Calibri"/>
          <w:color w:val="auto"/>
          <w:szCs w:val="24"/>
        </w:rPr>
        <w:t xml:space="preserve">Compensation and Pension (C&amp;P) </w:t>
      </w:r>
      <w:r w:rsidR="005A1CA4">
        <w:rPr>
          <w:rFonts w:eastAsia="Calibri"/>
          <w:color w:val="auto"/>
          <w:szCs w:val="24"/>
        </w:rPr>
        <w:t xml:space="preserve">performed proximate to the date of temporary retirement are probative to the Board’s TDRL rating recommendation.  </w:t>
      </w:r>
      <w:r w:rsidR="00685325" w:rsidRPr="005A1CA4">
        <w:rPr>
          <w:rFonts w:eastAsia="Calibri"/>
          <w:color w:val="auto"/>
          <w:szCs w:val="24"/>
        </w:rPr>
        <w:t>The</w:t>
      </w:r>
      <w:r w:rsidR="00685325" w:rsidRPr="000F4AA6">
        <w:rPr>
          <w:color w:val="auto"/>
        </w:rPr>
        <w:t xml:space="preserve"> </w:t>
      </w:r>
      <w:r>
        <w:rPr>
          <w:color w:val="auto"/>
        </w:rPr>
        <w:t>only</w:t>
      </w:r>
      <w:r w:rsidR="00685325" w:rsidRPr="000F4AA6">
        <w:rPr>
          <w:color w:val="auto"/>
        </w:rPr>
        <w:t xml:space="preserve"> proximate source of </w:t>
      </w:r>
      <w:r w:rsidR="005A1CA4">
        <w:rPr>
          <w:color w:val="auto"/>
        </w:rPr>
        <w:t>psychiatric</w:t>
      </w:r>
      <w:r w:rsidR="00685325" w:rsidRPr="000F4AA6">
        <w:rPr>
          <w:color w:val="auto"/>
        </w:rPr>
        <w:t xml:space="preserve"> evidence on which to base the permanent rating recommendation in this case is the </w:t>
      </w:r>
      <w:r>
        <w:rPr>
          <w:color w:val="auto"/>
        </w:rPr>
        <w:t>Service’s TDRL psychiatric</w:t>
      </w:r>
      <w:r w:rsidR="00685325" w:rsidRPr="000F4AA6">
        <w:rPr>
          <w:color w:val="auto"/>
        </w:rPr>
        <w:t xml:space="preserve"> </w:t>
      </w:r>
      <w:r>
        <w:rPr>
          <w:color w:val="auto"/>
        </w:rPr>
        <w:t xml:space="preserve">re-evaluation </w:t>
      </w:r>
      <w:r w:rsidR="00685325" w:rsidRPr="000F4AA6">
        <w:rPr>
          <w:color w:val="auto"/>
        </w:rPr>
        <w:t xml:space="preserve">performed </w:t>
      </w:r>
      <w:r w:rsidR="00DE11AB">
        <w:rPr>
          <w:color w:val="auto"/>
        </w:rPr>
        <w:t>two</w:t>
      </w:r>
      <w:r w:rsidR="00685325" w:rsidRPr="000F4AA6">
        <w:rPr>
          <w:color w:val="auto"/>
        </w:rPr>
        <w:t xml:space="preserve"> months before permanent separation. </w:t>
      </w:r>
      <w:r>
        <w:rPr>
          <w:color w:val="auto"/>
        </w:rPr>
        <w:t xml:space="preserve"> </w:t>
      </w:r>
      <w:r w:rsidR="00685325" w:rsidRPr="00FC7796">
        <w:rPr>
          <w:color w:val="auto"/>
        </w:rPr>
        <w:t xml:space="preserve">No other </w:t>
      </w:r>
      <w:r w:rsidR="00DE11AB">
        <w:rPr>
          <w:color w:val="auto"/>
        </w:rPr>
        <w:t>evaluations</w:t>
      </w:r>
      <w:r w:rsidR="00685325" w:rsidRPr="00FC7796">
        <w:rPr>
          <w:color w:val="auto"/>
        </w:rPr>
        <w:t xml:space="preserve"> </w:t>
      </w:r>
      <w:r w:rsidR="005A1CA4">
        <w:rPr>
          <w:color w:val="auto"/>
        </w:rPr>
        <w:t xml:space="preserve">or VA/civilian mental health treatment records </w:t>
      </w:r>
      <w:r w:rsidR="00685325" w:rsidRPr="00FC7796">
        <w:rPr>
          <w:color w:val="auto"/>
        </w:rPr>
        <w:t>are in evidence within 12 months of the date of final separation</w:t>
      </w:r>
      <w:r w:rsidR="005A1CA4">
        <w:rPr>
          <w:color w:val="auto"/>
        </w:rPr>
        <w:t>.</w:t>
      </w:r>
    </w:p>
    <w:p w:rsidR="00685325" w:rsidRDefault="00685325" w:rsidP="00510F9C">
      <w:pPr>
        <w:spacing w:line="240" w:lineRule="exact"/>
        <w:rPr>
          <w:color w:val="auto"/>
        </w:rPr>
      </w:pPr>
    </w:p>
    <w:p w:rsidR="00A809E3" w:rsidRDefault="00685325" w:rsidP="00680F28">
      <w:pPr>
        <w:autoSpaceDE w:val="0"/>
        <w:autoSpaceDN w:val="0"/>
        <w:adjustRightInd w:val="0"/>
        <w:spacing w:line="240" w:lineRule="exact"/>
        <w:jc w:val="both"/>
        <w:rPr>
          <w:iCs/>
          <w:color w:val="auto"/>
        </w:rPr>
      </w:pPr>
      <w:r w:rsidRPr="000F4AA6">
        <w:rPr>
          <w:color w:val="auto"/>
          <w:u w:val="single"/>
        </w:rPr>
        <w:t>PTSD Condition</w:t>
      </w:r>
      <w:r w:rsidRPr="000F4AA6">
        <w:rPr>
          <w:color w:val="auto"/>
        </w:rPr>
        <w:t xml:space="preserve">.  </w:t>
      </w:r>
      <w:r w:rsidRPr="000F4AA6">
        <w:rPr>
          <w:iCs/>
          <w:color w:val="auto"/>
        </w:rPr>
        <w:t xml:space="preserve">The CI reported the onset of PTSD symptoms in connection with traumatic events experienced during his Iraq deployment in 2003.  </w:t>
      </w:r>
      <w:r w:rsidR="00DE11AB">
        <w:rPr>
          <w:iCs/>
          <w:color w:val="auto"/>
        </w:rPr>
        <w:t xml:space="preserve">The NARSUM documented a reported history of </w:t>
      </w:r>
      <w:r w:rsidRPr="000F4AA6">
        <w:rPr>
          <w:iCs/>
          <w:color w:val="auto"/>
        </w:rPr>
        <w:t xml:space="preserve">daily combat, deaths of friends and enemies, an ambush of his convoy, and </w:t>
      </w:r>
      <w:r w:rsidR="00DE11AB">
        <w:rPr>
          <w:iCs/>
          <w:color w:val="auto"/>
        </w:rPr>
        <w:t>a rocket attack of his</w:t>
      </w:r>
      <w:r w:rsidRPr="000F4AA6">
        <w:rPr>
          <w:iCs/>
          <w:color w:val="auto"/>
        </w:rPr>
        <w:t xml:space="preserve"> transport craft while being medically evacuated </w:t>
      </w:r>
      <w:r w:rsidR="00DE11AB">
        <w:rPr>
          <w:iCs/>
          <w:color w:val="auto"/>
        </w:rPr>
        <w:t>for an abdominal hernia (which the CI stated</w:t>
      </w:r>
      <w:r w:rsidR="0067744B">
        <w:rPr>
          <w:iCs/>
          <w:color w:val="auto"/>
        </w:rPr>
        <w:t>,</w:t>
      </w:r>
      <w:r w:rsidR="00DE11AB">
        <w:rPr>
          <w:iCs/>
          <w:color w:val="auto"/>
        </w:rPr>
        <w:t xml:space="preserve"> </w:t>
      </w:r>
      <w:r w:rsidR="0067744B">
        <w:rPr>
          <w:iCs/>
          <w:color w:val="auto"/>
        </w:rPr>
        <w:t>in the NARSUM</w:t>
      </w:r>
      <w:r w:rsidR="00DE11AB">
        <w:rPr>
          <w:iCs/>
          <w:color w:val="auto"/>
        </w:rPr>
        <w:t xml:space="preserve"> and in his Board statement</w:t>
      </w:r>
      <w:r w:rsidR="0067744B">
        <w:rPr>
          <w:iCs/>
          <w:color w:val="auto"/>
        </w:rPr>
        <w:t>,</w:t>
      </w:r>
      <w:r w:rsidR="00DE11AB">
        <w:rPr>
          <w:iCs/>
          <w:color w:val="auto"/>
        </w:rPr>
        <w:t xml:space="preserve"> was exacerbated by the incident)</w:t>
      </w:r>
      <w:r w:rsidRPr="000F4AA6">
        <w:rPr>
          <w:iCs/>
          <w:color w:val="auto"/>
        </w:rPr>
        <w:t xml:space="preserve">.  </w:t>
      </w:r>
      <w:r w:rsidR="0067744B" w:rsidRPr="000F4AA6">
        <w:rPr>
          <w:iCs/>
          <w:color w:val="auto"/>
        </w:rPr>
        <w:t xml:space="preserve">The CI </w:t>
      </w:r>
      <w:r w:rsidR="0067744B">
        <w:rPr>
          <w:iCs/>
          <w:color w:val="auto"/>
        </w:rPr>
        <w:t>initially</w:t>
      </w:r>
      <w:r w:rsidR="0067744B" w:rsidRPr="000F4AA6">
        <w:rPr>
          <w:iCs/>
          <w:color w:val="auto"/>
        </w:rPr>
        <w:t xml:space="preserve"> avoided mental health treatment due to a fear of “being la</w:t>
      </w:r>
      <w:r w:rsidR="0067744B">
        <w:rPr>
          <w:iCs/>
          <w:color w:val="auto"/>
        </w:rPr>
        <w:t>beled or losing his career</w:t>
      </w:r>
      <w:r w:rsidR="001802A0">
        <w:rPr>
          <w:iCs/>
          <w:color w:val="auto"/>
        </w:rPr>
        <w:t>;</w:t>
      </w:r>
      <w:r w:rsidR="0067744B" w:rsidRPr="000F4AA6">
        <w:rPr>
          <w:iCs/>
          <w:color w:val="auto"/>
        </w:rPr>
        <w:t>”</w:t>
      </w:r>
      <w:r w:rsidR="001802A0">
        <w:rPr>
          <w:iCs/>
          <w:color w:val="auto"/>
        </w:rPr>
        <w:t xml:space="preserve"> and</w:t>
      </w:r>
      <w:r w:rsidR="0067744B" w:rsidRPr="000F4AA6">
        <w:rPr>
          <w:iCs/>
          <w:color w:val="auto"/>
        </w:rPr>
        <w:t xml:space="preserve"> </w:t>
      </w:r>
      <w:r w:rsidR="0067744B">
        <w:rPr>
          <w:iCs/>
          <w:color w:val="auto"/>
        </w:rPr>
        <w:t>ultimately</w:t>
      </w:r>
      <w:r w:rsidR="0067744B" w:rsidRPr="000F4AA6">
        <w:rPr>
          <w:iCs/>
          <w:color w:val="auto"/>
        </w:rPr>
        <w:t xml:space="preserve"> </w:t>
      </w:r>
      <w:r w:rsidR="0067744B">
        <w:rPr>
          <w:iCs/>
          <w:color w:val="auto"/>
        </w:rPr>
        <w:t>entered</w:t>
      </w:r>
      <w:r w:rsidR="0067744B" w:rsidRPr="000F4AA6">
        <w:rPr>
          <w:iCs/>
          <w:color w:val="auto"/>
        </w:rPr>
        <w:t xml:space="preserve"> treatment in February 2005 after he realized that his condition was “negatively impacting his family and his ability to do his job.”  </w:t>
      </w:r>
      <w:r w:rsidRPr="000F4AA6">
        <w:rPr>
          <w:iCs/>
          <w:color w:val="auto"/>
        </w:rPr>
        <w:t>Symptoms included anxiety, depression, dysphoria, tearfulness, nightmares, sleep</w:t>
      </w:r>
      <w:r w:rsidR="0067744B">
        <w:rPr>
          <w:iCs/>
          <w:color w:val="auto"/>
        </w:rPr>
        <w:t xml:space="preserve"> disturbance</w:t>
      </w:r>
      <w:r w:rsidRPr="000F4AA6">
        <w:rPr>
          <w:iCs/>
          <w:color w:val="auto"/>
        </w:rPr>
        <w:t xml:space="preserve">, intrusive recollections, avoidance, guilt, decreased interest, poor concentration, and hypervigilance.  The MEB </w:t>
      </w:r>
      <w:r w:rsidR="0067744B">
        <w:rPr>
          <w:iCs/>
          <w:color w:val="auto"/>
        </w:rPr>
        <w:t>psychiatrist</w:t>
      </w:r>
      <w:r w:rsidRPr="000F4AA6">
        <w:rPr>
          <w:iCs/>
          <w:color w:val="auto"/>
        </w:rPr>
        <w:t xml:space="preserve"> </w:t>
      </w:r>
      <w:r w:rsidR="002C3420">
        <w:rPr>
          <w:iCs/>
          <w:color w:val="auto"/>
        </w:rPr>
        <w:t xml:space="preserve">assigned </w:t>
      </w:r>
      <w:r w:rsidRPr="000F4AA6">
        <w:rPr>
          <w:iCs/>
          <w:color w:val="auto"/>
        </w:rPr>
        <w:t>a Global Assessment of Functioning (GAF) score of 50</w:t>
      </w:r>
      <w:r w:rsidR="002C3420">
        <w:rPr>
          <w:iCs/>
          <w:color w:val="auto"/>
        </w:rPr>
        <w:t xml:space="preserve"> (</w:t>
      </w:r>
      <w:r w:rsidR="002C3420" w:rsidRPr="000F4AA6">
        <w:rPr>
          <w:iCs/>
          <w:color w:val="auto"/>
        </w:rPr>
        <w:t>connoting serious difficulty in social and occupational functioning</w:t>
      </w:r>
      <w:r w:rsidR="002C3420">
        <w:rPr>
          <w:iCs/>
          <w:color w:val="auto"/>
        </w:rPr>
        <w:t>)</w:t>
      </w:r>
      <w:r w:rsidRPr="000F4AA6">
        <w:rPr>
          <w:iCs/>
          <w:color w:val="auto"/>
        </w:rPr>
        <w:t xml:space="preserve">, </w:t>
      </w:r>
      <w:r w:rsidR="002C3420">
        <w:rPr>
          <w:iCs/>
          <w:color w:val="auto"/>
        </w:rPr>
        <w:t xml:space="preserve">and characterized his DoDI 1332.39-defined social/industrial impairment as </w:t>
      </w:r>
      <w:r w:rsidR="001802A0">
        <w:rPr>
          <w:iCs/>
          <w:color w:val="auto"/>
        </w:rPr>
        <w:t>“</w:t>
      </w:r>
      <w:r w:rsidR="002C3420">
        <w:rPr>
          <w:iCs/>
          <w:color w:val="auto"/>
        </w:rPr>
        <w:t>severe</w:t>
      </w:r>
      <w:r w:rsidR="001802A0">
        <w:rPr>
          <w:iCs/>
          <w:color w:val="auto"/>
        </w:rPr>
        <w:t>.”</w:t>
      </w:r>
      <w:r w:rsidR="002C3420">
        <w:rPr>
          <w:iCs/>
          <w:color w:val="auto"/>
        </w:rPr>
        <w:t xml:space="preserve">  The commander stated that the CI “is able to work full shifts, but is currently on two profiles… [</w:t>
      </w:r>
      <w:proofErr w:type="gramStart"/>
      <w:r w:rsidR="002C3420">
        <w:rPr>
          <w:iCs/>
          <w:color w:val="auto"/>
        </w:rPr>
        <w:t>and</w:t>
      </w:r>
      <w:proofErr w:type="gramEnd"/>
      <w:r w:rsidR="002C3420">
        <w:rPr>
          <w:iCs/>
          <w:color w:val="auto"/>
        </w:rPr>
        <w:t>] “</w:t>
      </w:r>
      <w:proofErr w:type="gramStart"/>
      <w:r w:rsidR="002C3420">
        <w:rPr>
          <w:iCs/>
          <w:color w:val="auto"/>
        </w:rPr>
        <w:t>is</w:t>
      </w:r>
      <w:proofErr w:type="gramEnd"/>
      <w:r w:rsidR="002C3420">
        <w:rPr>
          <w:iCs/>
          <w:color w:val="auto"/>
        </w:rPr>
        <w:t xml:space="preserve"> not motivated to stay in the Air Force.”  </w:t>
      </w:r>
      <w:r w:rsidRPr="000F4AA6">
        <w:rPr>
          <w:iCs/>
          <w:color w:val="auto"/>
        </w:rPr>
        <w:t xml:space="preserve">The VA </w:t>
      </w:r>
      <w:r w:rsidR="002C3420">
        <w:rPr>
          <w:iCs/>
          <w:color w:val="auto"/>
        </w:rPr>
        <w:t>C&amp;P</w:t>
      </w:r>
      <w:r w:rsidR="00C92F0F" w:rsidRPr="00C92F0F">
        <w:rPr>
          <w:iCs/>
          <w:color w:val="auto"/>
        </w:rPr>
        <w:t xml:space="preserve"> </w:t>
      </w:r>
      <w:r w:rsidR="002C3420">
        <w:rPr>
          <w:iCs/>
          <w:color w:val="auto"/>
        </w:rPr>
        <w:t>evaluation</w:t>
      </w:r>
      <w:r w:rsidRPr="000F4AA6">
        <w:rPr>
          <w:iCs/>
          <w:color w:val="auto"/>
        </w:rPr>
        <w:t xml:space="preserve"> </w:t>
      </w:r>
      <w:r w:rsidR="00C92F0F">
        <w:rPr>
          <w:iCs/>
          <w:color w:val="auto"/>
        </w:rPr>
        <w:t>performed one</w:t>
      </w:r>
      <w:r w:rsidRPr="000F4AA6">
        <w:rPr>
          <w:iCs/>
          <w:color w:val="auto"/>
        </w:rPr>
        <w:t xml:space="preserve"> month </w:t>
      </w:r>
      <w:r w:rsidR="00A809E3">
        <w:rPr>
          <w:iCs/>
          <w:color w:val="auto"/>
        </w:rPr>
        <w:t>prior to temporary retirement</w:t>
      </w:r>
      <w:r w:rsidR="00C92F0F">
        <w:rPr>
          <w:iCs/>
          <w:color w:val="auto"/>
        </w:rPr>
        <w:t xml:space="preserve"> </w:t>
      </w:r>
      <w:r w:rsidRPr="000F4AA6">
        <w:rPr>
          <w:iCs/>
          <w:color w:val="auto"/>
        </w:rPr>
        <w:t xml:space="preserve">records moderate to severe major depressive disorder with PTSD symptoms.  At this point, he was </w:t>
      </w:r>
      <w:r w:rsidR="00C92F0F">
        <w:rPr>
          <w:iCs/>
          <w:color w:val="auto"/>
        </w:rPr>
        <w:t>uncertain of his future plans, and r</w:t>
      </w:r>
      <w:r w:rsidRPr="000F4AA6">
        <w:rPr>
          <w:iCs/>
          <w:color w:val="auto"/>
        </w:rPr>
        <w:t xml:space="preserve">elationships with his family were tense and strained.  The VA examiner also </w:t>
      </w:r>
      <w:r w:rsidR="00A809E3">
        <w:rPr>
          <w:iCs/>
          <w:color w:val="auto"/>
        </w:rPr>
        <w:t>assigned</w:t>
      </w:r>
      <w:r w:rsidRPr="000F4AA6">
        <w:rPr>
          <w:iCs/>
          <w:color w:val="auto"/>
        </w:rPr>
        <w:t xml:space="preserve"> a GAF </w:t>
      </w:r>
      <w:r w:rsidR="00A809E3">
        <w:rPr>
          <w:iCs/>
          <w:color w:val="auto"/>
        </w:rPr>
        <w:t>of 50.</w:t>
      </w:r>
      <w:r w:rsidR="002C3420" w:rsidRPr="000F4AA6">
        <w:rPr>
          <w:iCs/>
          <w:color w:val="auto"/>
        </w:rPr>
        <w:t xml:space="preserve"> </w:t>
      </w:r>
      <w:r w:rsidR="00A809E3">
        <w:rPr>
          <w:iCs/>
          <w:color w:val="auto"/>
        </w:rPr>
        <w:t xml:space="preserve"> </w:t>
      </w:r>
    </w:p>
    <w:p w:rsidR="00A809E3" w:rsidRDefault="00A809E3" w:rsidP="00680F28">
      <w:pPr>
        <w:autoSpaceDE w:val="0"/>
        <w:autoSpaceDN w:val="0"/>
        <w:adjustRightInd w:val="0"/>
        <w:spacing w:line="240" w:lineRule="exact"/>
        <w:jc w:val="both"/>
        <w:rPr>
          <w:iCs/>
          <w:color w:val="auto"/>
        </w:rPr>
      </w:pPr>
    </w:p>
    <w:p w:rsidR="00685325" w:rsidRPr="000F4AA6" w:rsidRDefault="00A809E3" w:rsidP="00680F28">
      <w:pPr>
        <w:autoSpaceDE w:val="0"/>
        <w:autoSpaceDN w:val="0"/>
        <w:adjustRightInd w:val="0"/>
        <w:spacing w:line="240" w:lineRule="exact"/>
        <w:jc w:val="both"/>
        <w:rPr>
          <w:iCs/>
          <w:color w:val="auto"/>
          <w:highlight w:val="green"/>
        </w:rPr>
      </w:pPr>
      <w:r>
        <w:rPr>
          <w:iCs/>
          <w:color w:val="auto"/>
        </w:rPr>
        <w:t>The CI reported in his final TDRL revaluation that he had seen a VA psychiatrist once, had</w:t>
      </w:r>
      <w:r w:rsidR="00B02ED0">
        <w:rPr>
          <w:iCs/>
          <w:color w:val="auto"/>
        </w:rPr>
        <w:t xml:space="preserve"> some medications discontinued,</w:t>
      </w:r>
      <w:r>
        <w:rPr>
          <w:iCs/>
          <w:color w:val="auto"/>
        </w:rPr>
        <w:t xml:space="preserve"> </w:t>
      </w:r>
      <w:r w:rsidR="00EA55AB">
        <w:rPr>
          <w:iCs/>
          <w:color w:val="auto"/>
        </w:rPr>
        <w:t xml:space="preserve">and </w:t>
      </w:r>
      <w:r>
        <w:rPr>
          <w:iCs/>
          <w:color w:val="auto"/>
        </w:rPr>
        <w:t>was unable to obtain another appointment</w:t>
      </w:r>
      <w:r w:rsidR="00EA55AB">
        <w:rPr>
          <w:iCs/>
          <w:color w:val="auto"/>
        </w:rPr>
        <w:t>.</w:t>
      </w:r>
      <w:r w:rsidR="00B02ED0">
        <w:rPr>
          <w:iCs/>
          <w:color w:val="auto"/>
        </w:rPr>
        <w:t xml:space="preserve"> </w:t>
      </w:r>
      <w:r w:rsidR="00EA55AB">
        <w:rPr>
          <w:iCs/>
          <w:color w:val="auto"/>
        </w:rPr>
        <w:t xml:space="preserve"> </w:t>
      </w:r>
      <w:r w:rsidR="00447851">
        <w:rPr>
          <w:iCs/>
          <w:color w:val="auto"/>
        </w:rPr>
        <w:t>At this time</w:t>
      </w:r>
      <w:r>
        <w:rPr>
          <w:iCs/>
          <w:color w:val="auto"/>
        </w:rPr>
        <w:t xml:space="preserve"> (two months prior to permanent </w:t>
      </w:r>
      <w:r w:rsidRPr="000F4AA6">
        <w:rPr>
          <w:iCs/>
          <w:color w:val="auto"/>
        </w:rPr>
        <w:t>separation</w:t>
      </w:r>
      <w:r>
        <w:rPr>
          <w:iCs/>
          <w:color w:val="auto"/>
        </w:rPr>
        <w:t>)</w:t>
      </w:r>
      <w:r w:rsidR="00B02ED0">
        <w:rPr>
          <w:iCs/>
          <w:color w:val="auto"/>
        </w:rPr>
        <w:t xml:space="preserve">, the CI was still taking an anti-depressant (sertraline) and </w:t>
      </w:r>
      <w:r w:rsidR="00685325" w:rsidRPr="000F4AA6">
        <w:rPr>
          <w:iCs/>
          <w:color w:val="auto"/>
        </w:rPr>
        <w:t>report</w:t>
      </w:r>
      <w:r>
        <w:rPr>
          <w:iCs/>
          <w:color w:val="auto"/>
        </w:rPr>
        <w:t>ed continued</w:t>
      </w:r>
      <w:r w:rsidR="00685325" w:rsidRPr="000F4AA6">
        <w:rPr>
          <w:iCs/>
          <w:color w:val="auto"/>
        </w:rPr>
        <w:t xml:space="preserve"> </w:t>
      </w:r>
      <w:r w:rsidR="00B02ED0">
        <w:rPr>
          <w:iCs/>
          <w:color w:val="auto"/>
        </w:rPr>
        <w:t xml:space="preserve">symptoms of </w:t>
      </w:r>
      <w:r w:rsidR="00685325" w:rsidRPr="000F4AA6">
        <w:rPr>
          <w:iCs/>
          <w:color w:val="auto"/>
        </w:rPr>
        <w:t>nightmares, difficulty sleeping, frequent and severe anxiety, increased startle response, decreased energy and interest, avoidance of memory triggers and crowds, trouble concentrating, irritability, and feelings of hopelessness.</w:t>
      </w:r>
      <w:r w:rsidR="00F622D1">
        <w:rPr>
          <w:iCs/>
          <w:color w:val="auto"/>
        </w:rPr>
        <w:t xml:space="preserve"> </w:t>
      </w:r>
      <w:r w:rsidR="00685325" w:rsidRPr="000F4AA6">
        <w:rPr>
          <w:iCs/>
          <w:color w:val="auto"/>
        </w:rPr>
        <w:t xml:space="preserve"> </w:t>
      </w:r>
      <w:r w:rsidR="00447851">
        <w:rPr>
          <w:iCs/>
          <w:color w:val="auto"/>
        </w:rPr>
        <w:t>The TDRL examiner documented that t</w:t>
      </w:r>
      <w:r w:rsidR="00685325" w:rsidRPr="000F4AA6">
        <w:rPr>
          <w:iCs/>
          <w:color w:val="auto"/>
        </w:rPr>
        <w:t xml:space="preserve">he CI had </w:t>
      </w:r>
      <w:r w:rsidR="00D22EB8" w:rsidRPr="000F4AA6">
        <w:rPr>
          <w:iCs/>
          <w:color w:val="auto"/>
        </w:rPr>
        <w:t xml:space="preserve">supportive family relationships and </w:t>
      </w:r>
      <w:r w:rsidR="00685325" w:rsidRPr="000F4AA6">
        <w:rPr>
          <w:iCs/>
          <w:color w:val="auto"/>
        </w:rPr>
        <w:t>a stable full-time job</w:t>
      </w:r>
      <w:r w:rsidR="00D22EB8">
        <w:rPr>
          <w:iCs/>
          <w:color w:val="auto"/>
        </w:rPr>
        <w:t xml:space="preserve">, </w:t>
      </w:r>
      <w:r w:rsidR="00D22EB8">
        <w:rPr>
          <w:iCs/>
          <w:color w:val="auto"/>
        </w:rPr>
        <w:lastRenderedPageBreak/>
        <w:t>having recently moved from a position as a sales assistant to equipment manager on an air base</w:t>
      </w:r>
      <w:r w:rsidR="00685325" w:rsidRPr="000F4AA6">
        <w:rPr>
          <w:iCs/>
          <w:color w:val="auto"/>
        </w:rPr>
        <w:t xml:space="preserve">.  He denied “any work difficulty related to his diagnosis.”  </w:t>
      </w:r>
      <w:r w:rsidR="00447851">
        <w:rPr>
          <w:iCs/>
          <w:color w:val="auto"/>
        </w:rPr>
        <w:t>A normal mental status exam was documented with euthymic mood and congruent affect</w:t>
      </w:r>
      <w:r w:rsidR="00685325" w:rsidRPr="000F4AA6">
        <w:rPr>
          <w:iCs/>
          <w:color w:val="auto"/>
        </w:rPr>
        <w:t>.  The CI demonstrated logical and goal-directed thought processes, clear communication, and good insight and judgment.  There were no suicidal or homicidal ideations, and no evidence of psychosis.</w:t>
      </w:r>
      <w:r w:rsidR="00B02ED0">
        <w:rPr>
          <w:iCs/>
          <w:color w:val="auto"/>
        </w:rPr>
        <w:t xml:space="preserve">  There were no hospitalizations.</w:t>
      </w:r>
      <w:r w:rsidR="00685325" w:rsidRPr="000F4AA6">
        <w:rPr>
          <w:iCs/>
          <w:color w:val="auto"/>
        </w:rPr>
        <w:t xml:space="preserve">  The diagnosis was PTSD with </w:t>
      </w:r>
      <w:r w:rsidR="00EA55AB">
        <w:rPr>
          <w:iCs/>
          <w:color w:val="auto"/>
        </w:rPr>
        <w:t xml:space="preserve">DoDI 1332.39-defined </w:t>
      </w:r>
      <w:r w:rsidR="001802A0">
        <w:rPr>
          <w:iCs/>
          <w:color w:val="auto"/>
        </w:rPr>
        <w:t>“</w:t>
      </w:r>
      <w:r w:rsidR="00685325" w:rsidRPr="000F4AA6">
        <w:rPr>
          <w:iCs/>
          <w:color w:val="auto"/>
        </w:rPr>
        <w:t>mild</w:t>
      </w:r>
      <w:r w:rsidR="001802A0">
        <w:rPr>
          <w:iCs/>
          <w:color w:val="auto"/>
        </w:rPr>
        <w:t>”</w:t>
      </w:r>
      <w:r w:rsidR="00685325" w:rsidRPr="000F4AA6">
        <w:rPr>
          <w:iCs/>
          <w:color w:val="auto"/>
        </w:rPr>
        <w:t xml:space="preserve"> social and industrial impairment and </w:t>
      </w:r>
      <w:r w:rsidR="001802A0">
        <w:rPr>
          <w:iCs/>
          <w:color w:val="auto"/>
        </w:rPr>
        <w:t>“</w:t>
      </w:r>
      <w:r w:rsidR="00685325" w:rsidRPr="000F4AA6">
        <w:rPr>
          <w:iCs/>
          <w:color w:val="auto"/>
        </w:rPr>
        <w:t>marked</w:t>
      </w:r>
      <w:r w:rsidR="001802A0">
        <w:rPr>
          <w:iCs/>
          <w:color w:val="auto"/>
        </w:rPr>
        <w:t>”</w:t>
      </w:r>
      <w:r w:rsidR="00685325" w:rsidRPr="000F4AA6">
        <w:rPr>
          <w:iCs/>
          <w:color w:val="auto"/>
        </w:rPr>
        <w:t xml:space="preserve"> military impairment.  While his condition at this time had definitely improved since the beginning of the TDRL period, the psychiatrist still noted that the CI’s continued anxiety and avoidance symptoms caused “significant distress and impairment.”  The CI’s GAF </w:t>
      </w:r>
      <w:r w:rsidR="00EA55AB">
        <w:rPr>
          <w:iCs/>
          <w:color w:val="auto"/>
        </w:rPr>
        <w:t>assignment</w:t>
      </w:r>
      <w:r w:rsidR="00685325" w:rsidRPr="000F4AA6">
        <w:rPr>
          <w:iCs/>
          <w:color w:val="auto"/>
        </w:rPr>
        <w:t xml:space="preserve"> was 60-65, </w:t>
      </w:r>
      <w:r w:rsidR="00EA55AB">
        <w:rPr>
          <w:iCs/>
          <w:color w:val="auto"/>
        </w:rPr>
        <w:t>connoting</w:t>
      </w:r>
      <w:r w:rsidR="00685325" w:rsidRPr="000F4AA6">
        <w:rPr>
          <w:iCs/>
          <w:color w:val="auto"/>
        </w:rPr>
        <w:t xml:space="preserve"> </w:t>
      </w:r>
      <w:r w:rsidR="00C92F0F">
        <w:rPr>
          <w:iCs/>
          <w:color w:val="auto"/>
        </w:rPr>
        <w:t xml:space="preserve">mild to </w:t>
      </w:r>
      <w:r w:rsidR="00685325" w:rsidRPr="000F4AA6">
        <w:rPr>
          <w:iCs/>
          <w:color w:val="auto"/>
        </w:rPr>
        <w:t xml:space="preserve">moderate </w:t>
      </w:r>
      <w:r w:rsidR="00EA55AB">
        <w:rPr>
          <w:iCs/>
          <w:color w:val="auto"/>
        </w:rPr>
        <w:t>impairment</w:t>
      </w:r>
      <w:r w:rsidR="00685325" w:rsidRPr="000F4AA6">
        <w:rPr>
          <w:iCs/>
          <w:color w:val="auto"/>
        </w:rPr>
        <w:t xml:space="preserve">.  </w:t>
      </w:r>
    </w:p>
    <w:p w:rsidR="00685325" w:rsidRPr="000F4AA6" w:rsidRDefault="00685325" w:rsidP="001D30C7">
      <w:pPr>
        <w:autoSpaceDE w:val="0"/>
        <w:autoSpaceDN w:val="0"/>
        <w:adjustRightInd w:val="0"/>
        <w:spacing w:line="240" w:lineRule="exact"/>
        <w:jc w:val="both"/>
        <w:rPr>
          <w:iCs/>
          <w:color w:val="auto"/>
          <w:highlight w:val="green"/>
        </w:rPr>
      </w:pPr>
    </w:p>
    <w:p w:rsidR="00870C66" w:rsidRDefault="00685325" w:rsidP="001D30C7">
      <w:pPr>
        <w:autoSpaceDE w:val="0"/>
        <w:autoSpaceDN w:val="0"/>
        <w:adjustRightInd w:val="0"/>
        <w:spacing w:line="240" w:lineRule="exact"/>
        <w:jc w:val="both"/>
        <w:rPr>
          <w:iCs/>
          <w:color w:val="auto"/>
        </w:rPr>
      </w:pPr>
      <w:r w:rsidRPr="000F4AA6">
        <w:rPr>
          <w:iCs/>
          <w:color w:val="auto"/>
        </w:rPr>
        <w:t xml:space="preserve">The Board directs its attention to its rating recommendations based on the evidence just described.  As regards to the permanent rating recommendation, all members agreed that the §4.130 threshold for a 50% rating was not approached and that the criteria for a 0% rating were exceeded.  The deliberation settled therefore on arguments for a 10% </w:t>
      </w:r>
      <w:r w:rsidR="004E5C6C">
        <w:rPr>
          <w:iCs/>
          <w:color w:val="auto"/>
        </w:rPr>
        <w:t>(</w:t>
      </w:r>
      <w:r w:rsidR="004E5C6C" w:rsidRPr="0076639A">
        <w:rPr>
          <w:rFonts w:cs="Calibri"/>
          <w:color w:val="000000"/>
          <w:szCs w:val="24"/>
        </w:rPr>
        <w:t>occupational and social impairment due to mild or transient symptoms which decrease work efficiency … only during pe</w:t>
      </w:r>
      <w:r w:rsidR="001802A0">
        <w:rPr>
          <w:rFonts w:cs="Calibri"/>
          <w:color w:val="000000"/>
          <w:szCs w:val="24"/>
        </w:rPr>
        <w:t>riods of significant stress, or</w:t>
      </w:r>
      <w:r w:rsidR="004E5C6C" w:rsidRPr="0076639A">
        <w:rPr>
          <w:rFonts w:cs="Calibri"/>
          <w:color w:val="000000"/>
          <w:szCs w:val="24"/>
        </w:rPr>
        <w:t xml:space="preserve"> symptoms controlled by continuous medication</w:t>
      </w:r>
      <w:r w:rsidR="004E5C6C">
        <w:rPr>
          <w:iCs/>
          <w:color w:val="auto"/>
        </w:rPr>
        <w:t xml:space="preserve">) </w:t>
      </w:r>
      <w:r w:rsidRPr="000F4AA6">
        <w:rPr>
          <w:iCs/>
          <w:color w:val="auto"/>
        </w:rPr>
        <w:t xml:space="preserve">versus a 30% </w:t>
      </w:r>
      <w:r w:rsidR="004E5C6C">
        <w:rPr>
          <w:iCs/>
          <w:color w:val="auto"/>
        </w:rPr>
        <w:t>(</w:t>
      </w:r>
      <w:r w:rsidR="004E5C6C" w:rsidRPr="004F5D27">
        <w:rPr>
          <w:iCs/>
          <w:color w:val="auto"/>
        </w:rPr>
        <w:t>occupational and social impairment with occasional decrease in work efficiency and intermittent periods of inability to perform occupational tasks</w:t>
      </w:r>
      <w:r w:rsidR="004E5C6C">
        <w:rPr>
          <w:iCs/>
          <w:color w:val="auto"/>
        </w:rPr>
        <w:t xml:space="preserve">) </w:t>
      </w:r>
      <w:r w:rsidRPr="000F4AA6">
        <w:rPr>
          <w:iCs/>
          <w:color w:val="auto"/>
        </w:rPr>
        <w:t xml:space="preserve">permanent rating recommendation.  </w:t>
      </w:r>
      <w:r w:rsidR="004F5D27" w:rsidRPr="004F5D27">
        <w:rPr>
          <w:iCs/>
          <w:color w:val="auto"/>
        </w:rPr>
        <w:t xml:space="preserve">Some level of work inefficiency might be expected to result from the </w:t>
      </w:r>
      <w:r w:rsidR="004E5C6C">
        <w:rPr>
          <w:iCs/>
          <w:color w:val="auto"/>
        </w:rPr>
        <w:t>reported symptoms</w:t>
      </w:r>
      <w:r w:rsidR="004F5D27" w:rsidRPr="004F5D27">
        <w:rPr>
          <w:iCs/>
          <w:color w:val="auto"/>
        </w:rPr>
        <w:t xml:space="preserve">; although, there was no </w:t>
      </w:r>
      <w:r w:rsidR="004E5C6C">
        <w:rPr>
          <w:iCs/>
          <w:color w:val="auto"/>
        </w:rPr>
        <w:t xml:space="preserve">documented </w:t>
      </w:r>
      <w:r w:rsidR="004F5D27" w:rsidRPr="004F5D27">
        <w:rPr>
          <w:iCs/>
          <w:color w:val="auto"/>
        </w:rPr>
        <w:t xml:space="preserve">evidence </w:t>
      </w:r>
      <w:r w:rsidR="004E5C6C">
        <w:rPr>
          <w:iCs/>
          <w:color w:val="auto"/>
        </w:rPr>
        <w:t>of such</w:t>
      </w:r>
      <w:r w:rsidR="004F5D27" w:rsidRPr="004F5D27">
        <w:rPr>
          <w:iCs/>
          <w:color w:val="auto"/>
        </w:rPr>
        <w:t xml:space="preserve"> in an occupational capacity that demanded </w:t>
      </w:r>
      <w:r w:rsidR="00B02ED0">
        <w:rPr>
          <w:iCs/>
          <w:color w:val="auto"/>
        </w:rPr>
        <w:t xml:space="preserve">multiple daily </w:t>
      </w:r>
      <w:r w:rsidR="004F5D27" w:rsidRPr="004F5D27">
        <w:rPr>
          <w:iCs/>
          <w:color w:val="auto"/>
        </w:rPr>
        <w:t>interpersonal interactions</w:t>
      </w:r>
      <w:r w:rsidR="00891465">
        <w:rPr>
          <w:iCs/>
          <w:color w:val="auto"/>
        </w:rPr>
        <w:t xml:space="preserve"> in a military setting</w:t>
      </w:r>
      <w:r w:rsidR="004F5D27" w:rsidRPr="004F5D27">
        <w:rPr>
          <w:iCs/>
          <w:color w:val="auto"/>
        </w:rPr>
        <w:t xml:space="preserve">.  </w:t>
      </w:r>
      <w:r w:rsidR="004E5C6C">
        <w:rPr>
          <w:iCs/>
          <w:color w:val="auto"/>
        </w:rPr>
        <w:t>The evidence clear</w:t>
      </w:r>
      <w:r w:rsidR="001802A0">
        <w:rPr>
          <w:iCs/>
          <w:color w:val="auto"/>
        </w:rPr>
        <w:t>ly suggests that there were no “</w:t>
      </w:r>
      <w:r w:rsidR="004E5C6C" w:rsidRPr="004F5D27">
        <w:rPr>
          <w:iCs/>
          <w:color w:val="auto"/>
        </w:rPr>
        <w:t>intermittent periods of inability</w:t>
      </w:r>
      <w:r w:rsidR="001802A0">
        <w:rPr>
          <w:iCs/>
          <w:color w:val="auto"/>
        </w:rPr>
        <w:t>”</w:t>
      </w:r>
      <w:r w:rsidR="004E5C6C">
        <w:rPr>
          <w:iCs/>
          <w:color w:val="auto"/>
        </w:rPr>
        <w:t xml:space="preserve"> relative to occupational capacity.</w:t>
      </w:r>
      <w:r w:rsidR="004E5C6C" w:rsidRPr="004F5D27">
        <w:rPr>
          <w:iCs/>
          <w:color w:val="auto"/>
        </w:rPr>
        <w:t xml:space="preserve"> </w:t>
      </w:r>
      <w:r w:rsidR="004E5C6C">
        <w:rPr>
          <w:iCs/>
          <w:color w:val="auto"/>
        </w:rPr>
        <w:t xml:space="preserve"> </w:t>
      </w:r>
      <w:r w:rsidR="00483F6F">
        <w:rPr>
          <w:iCs/>
          <w:color w:val="auto"/>
        </w:rPr>
        <w:t xml:space="preserve">Regarding the 10% criteria under </w:t>
      </w:r>
      <w:r w:rsidR="00483F6F" w:rsidRPr="000F4AA6">
        <w:rPr>
          <w:iCs/>
          <w:color w:val="auto"/>
        </w:rPr>
        <w:t>§4.130</w:t>
      </w:r>
      <w:r w:rsidR="00483F6F">
        <w:rPr>
          <w:iCs/>
          <w:color w:val="auto"/>
        </w:rPr>
        <w:t xml:space="preserve">, the general description is a fit with </w:t>
      </w:r>
      <w:r w:rsidR="00483F6F" w:rsidRPr="004F5D27">
        <w:rPr>
          <w:iCs/>
          <w:color w:val="auto"/>
        </w:rPr>
        <w:t xml:space="preserve">the </w:t>
      </w:r>
      <w:r w:rsidR="00483F6F">
        <w:rPr>
          <w:iCs/>
          <w:color w:val="auto"/>
        </w:rPr>
        <w:t xml:space="preserve">documented level of </w:t>
      </w:r>
      <w:r w:rsidR="00483F6F" w:rsidRPr="00D22EB8">
        <w:rPr>
          <w:iCs/>
          <w:color w:val="auto"/>
        </w:rPr>
        <w:t xml:space="preserve">social and occupational functioning that showed minimal </w:t>
      </w:r>
      <w:r w:rsidR="00483F6F">
        <w:rPr>
          <w:iCs/>
          <w:color w:val="auto"/>
        </w:rPr>
        <w:t xml:space="preserve">if any </w:t>
      </w:r>
      <w:r w:rsidR="00483F6F" w:rsidRPr="00D22EB8">
        <w:rPr>
          <w:iCs/>
          <w:color w:val="auto"/>
        </w:rPr>
        <w:t xml:space="preserve">impairment; and </w:t>
      </w:r>
      <w:r w:rsidR="00483F6F">
        <w:rPr>
          <w:iCs/>
          <w:color w:val="auto"/>
        </w:rPr>
        <w:t xml:space="preserve">the fact </w:t>
      </w:r>
      <w:r w:rsidR="00483F6F" w:rsidRPr="00D22EB8">
        <w:rPr>
          <w:iCs/>
          <w:color w:val="auto"/>
        </w:rPr>
        <w:t>that the CI’s symptoms appeared to have significantly improved.</w:t>
      </w:r>
      <w:r w:rsidR="00891465" w:rsidRPr="00891465">
        <w:rPr>
          <w:iCs/>
          <w:color w:val="auto"/>
        </w:rPr>
        <w:t xml:space="preserve"> </w:t>
      </w:r>
      <w:r w:rsidR="00891465" w:rsidRPr="00D22EB8">
        <w:rPr>
          <w:iCs/>
          <w:color w:val="auto"/>
        </w:rPr>
        <w:t xml:space="preserve">Conversely, the </w:t>
      </w:r>
      <w:r w:rsidR="00891465">
        <w:rPr>
          <w:iCs/>
          <w:color w:val="auto"/>
        </w:rPr>
        <w:t>members agreed</w:t>
      </w:r>
      <w:r w:rsidR="00891465" w:rsidRPr="00D22EB8">
        <w:rPr>
          <w:iCs/>
          <w:color w:val="auto"/>
        </w:rPr>
        <w:t xml:space="preserve"> that the CI’s symptoms at the time of </w:t>
      </w:r>
      <w:r w:rsidR="00891465">
        <w:rPr>
          <w:iCs/>
          <w:color w:val="auto"/>
        </w:rPr>
        <w:t xml:space="preserve">permanent </w:t>
      </w:r>
      <w:r w:rsidR="00891465" w:rsidRPr="00D22EB8">
        <w:rPr>
          <w:iCs/>
          <w:color w:val="auto"/>
        </w:rPr>
        <w:t>separation could not be fairly characterized as “transient” or “controlled by continuous medication</w:t>
      </w:r>
      <w:r w:rsidR="001802A0">
        <w:rPr>
          <w:iCs/>
          <w:color w:val="auto"/>
        </w:rPr>
        <w:t>;</w:t>
      </w:r>
      <w:r w:rsidR="00891465" w:rsidRPr="00D22EB8">
        <w:rPr>
          <w:iCs/>
          <w:color w:val="auto"/>
        </w:rPr>
        <w:t>”</w:t>
      </w:r>
      <w:r w:rsidR="00891465">
        <w:rPr>
          <w:iCs/>
          <w:color w:val="auto"/>
        </w:rPr>
        <w:t xml:space="preserve"> although, deliberated as to whether or not there was any presumptive social or occupational impairment to which to attach a higher rating. </w:t>
      </w:r>
      <w:r w:rsidR="00F71C2A">
        <w:rPr>
          <w:iCs/>
          <w:color w:val="auto"/>
        </w:rPr>
        <w:t xml:space="preserve"> The Board must also weigh the fact that a high level of functioning was documented without benefit of concurrent psychotherapeutic support.  </w:t>
      </w:r>
      <w:r w:rsidR="004F5D27" w:rsidRPr="00D22EB8">
        <w:rPr>
          <w:iCs/>
          <w:color w:val="auto"/>
        </w:rPr>
        <w:t>After</w:t>
      </w:r>
      <w:r w:rsidR="004F5D27" w:rsidRPr="004F5D27">
        <w:rPr>
          <w:iCs/>
          <w:color w:val="auto"/>
        </w:rPr>
        <w:t xml:space="preserve"> due deliberation and in consideration of all the evidence and reasonable doubt, the Board recommend</w:t>
      </w:r>
      <w:r w:rsidR="004F5D27" w:rsidRPr="00A549D3">
        <w:rPr>
          <w:iCs/>
          <w:color w:val="auto"/>
        </w:rPr>
        <w:t xml:space="preserve">s </w:t>
      </w:r>
      <w:r w:rsidR="00EA3AE9" w:rsidRPr="00A549D3">
        <w:rPr>
          <w:iCs/>
          <w:color w:val="auto"/>
        </w:rPr>
        <w:t>no change in the PEB’s permanent separation rating for PTSD in this case.</w:t>
      </w:r>
      <w:r w:rsidR="00EA3AE9">
        <w:rPr>
          <w:iCs/>
          <w:color w:val="auto"/>
        </w:rPr>
        <w:t xml:space="preserve">  </w:t>
      </w:r>
    </w:p>
    <w:p w:rsidR="005A10FA" w:rsidRDefault="005A10FA" w:rsidP="001D30C7">
      <w:pPr>
        <w:autoSpaceDE w:val="0"/>
        <w:autoSpaceDN w:val="0"/>
        <w:adjustRightInd w:val="0"/>
        <w:spacing w:line="240" w:lineRule="exact"/>
        <w:jc w:val="both"/>
        <w:rPr>
          <w:iCs/>
          <w:color w:val="auto"/>
        </w:rPr>
      </w:pPr>
    </w:p>
    <w:p w:rsidR="00685325" w:rsidRPr="00A65727" w:rsidRDefault="00685325" w:rsidP="000F4AA6">
      <w:pPr>
        <w:spacing w:line="240" w:lineRule="exact"/>
        <w:jc w:val="both"/>
        <w:rPr>
          <w:rFonts w:eastAsia="HiddenHorzOCR"/>
          <w:color w:val="auto"/>
        </w:rPr>
      </w:pPr>
      <w:r w:rsidRPr="00A65727">
        <w:rPr>
          <w:rFonts w:eastAsia="HiddenHorzOCR"/>
          <w:color w:val="auto"/>
          <w:u w:val="single"/>
        </w:rPr>
        <w:t xml:space="preserve">Other </w:t>
      </w:r>
      <w:proofErr w:type="gramStart"/>
      <w:r w:rsidRPr="00A65727">
        <w:rPr>
          <w:rFonts w:eastAsia="HiddenHorzOCR"/>
          <w:color w:val="auto"/>
          <w:u w:val="single"/>
        </w:rPr>
        <w:t>PEB  Conditions</w:t>
      </w:r>
      <w:proofErr w:type="gramEnd"/>
      <w:r w:rsidRPr="00A65727">
        <w:rPr>
          <w:rFonts w:eastAsia="HiddenHorzOCR"/>
          <w:color w:val="auto"/>
        </w:rPr>
        <w:t xml:space="preserve">.  </w:t>
      </w:r>
      <w:r w:rsidR="00B24782">
        <w:rPr>
          <w:rFonts w:eastAsia="HiddenHorzOCR"/>
          <w:color w:val="auto"/>
        </w:rPr>
        <w:t>One</w:t>
      </w:r>
      <w:r w:rsidRPr="00A65727">
        <w:rPr>
          <w:rFonts w:eastAsia="HiddenHorzOCR"/>
          <w:color w:val="auto"/>
        </w:rPr>
        <w:t xml:space="preserve"> other condition</w:t>
      </w:r>
      <w:r w:rsidR="00B24782">
        <w:rPr>
          <w:rFonts w:eastAsia="HiddenHorzOCR"/>
          <w:color w:val="auto"/>
        </w:rPr>
        <w:t>,</w:t>
      </w:r>
      <w:r w:rsidRPr="00A65727">
        <w:rPr>
          <w:rFonts w:eastAsia="HiddenHorzOCR"/>
          <w:color w:val="auto"/>
        </w:rPr>
        <w:t xml:space="preserve"> </w:t>
      </w:r>
      <w:r w:rsidR="00B24782" w:rsidRPr="00A65727">
        <w:rPr>
          <w:rFonts w:eastAsia="HiddenHorzOCR"/>
          <w:color w:val="auto"/>
        </w:rPr>
        <w:t>hypertension</w:t>
      </w:r>
      <w:r w:rsidR="00B24782">
        <w:rPr>
          <w:rFonts w:eastAsia="HiddenHorzOCR"/>
          <w:color w:val="auto"/>
        </w:rPr>
        <w:t>, was</w:t>
      </w:r>
      <w:r w:rsidR="00B24782" w:rsidRPr="00A65727">
        <w:rPr>
          <w:rFonts w:eastAsia="HiddenHorzOCR"/>
          <w:color w:val="auto"/>
        </w:rPr>
        <w:t xml:space="preserve"> </w:t>
      </w:r>
      <w:r w:rsidRPr="00A65727">
        <w:rPr>
          <w:rFonts w:eastAsia="HiddenHorzOCR"/>
          <w:color w:val="auto"/>
        </w:rPr>
        <w:t xml:space="preserve">forwarded by the MEB and adjudicated as not unfitting by the PEB.  </w:t>
      </w:r>
      <w:r w:rsidR="00B24782">
        <w:rPr>
          <w:rFonts w:eastAsia="HiddenHorzOCR"/>
          <w:color w:val="auto"/>
        </w:rPr>
        <w:t>This</w:t>
      </w:r>
      <w:r w:rsidRPr="00A65727">
        <w:rPr>
          <w:rFonts w:eastAsia="HiddenHorzOCR"/>
          <w:color w:val="auto"/>
        </w:rPr>
        <w:t xml:space="preserve"> condition w</w:t>
      </w:r>
      <w:r w:rsidR="00B24782">
        <w:rPr>
          <w:rFonts w:eastAsia="HiddenHorzOCR"/>
          <w:color w:val="auto"/>
        </w:rPr>
        <w:t>as</w:t>
      </w:r>
      <w:r w:rsidRPr="00A65727">
        <w:rPr>
          <w:rFonts w:eastAsia="HiddenHorzOCR"/>
          <w:color w:val="auto"/>
        </w:rPr>
        <w:t xml:space="preserve"> profiled, implicated in the commander’s statement or noted as failing retention standards.  </w:t>
      </w:r>
      <w:r w:rsidR="00B24782">
        <w:rPr>
          <w:rFonts w:eastAsia="HiddenHorzOCR"/>
          <w:color w:val="auto"/>
        </w:rPr>
        <w:t>The condition was</w:t>
      </w:r>
      <w:r w:rsidRPr="00A65727">
        <w:rPr>
          <w:rFonts w:eastAsia="HiddenHorzOCR"/>
          <w:color w:val="auto"/>
        </w:rPr>
        <w:t xml:space="preserve"> reviewed by the </w:t>
      </w:r>
      <w:r w:rsidR="001802A0">
        <w:rPr>
          <w:rFonts w:eastAsia="HiddenHorzOCR"/>
          <w:color w:val="auto"/>
        </w:rPr>
        <w:t>a</w:t>
      </w:r>
      <w:r w:rsidR="00A76E66" w:rsidRPr="00A65727">
        <w:rPr>
          <w:rFonts w:eastAsia="HiddenHorzOCR"/>
          <w:color w:val="auto"/>
        </w:rPr>
        <w:t xml:space="preserve">ction </w:t>
      </w:r>
      <w:r w:rsidR="001802A0">
        <w:rPr>
          <w:rFonts w:eastAsia="HiddenHorzOCR"/>
          <w:color w:val="auto"/>
        </w:rPr>
        <w:t>o</w:t>
      </w:r>
      <w:r w:rsidR="00A76E66" w:rsidRPr="00A65727">
        <w:rPr>
          <w:rFonts w:eastAsia="HiddenHorzOCR"/>
          <w:color w:val="auto"/>
        </w:rPr>
        <w:t xml:space="preserve">fficer </w:t>
      </w:r>
      <w:r w:rsidRPr="00A65727">
        <w:rPr>
          <w:rFonts w:eastAsia="HiddenHorzOCR"/>
          <w:color w:val="auto"/>
        </w:rPr>
        <w:t>and considered by the Board.  There was no indication from the record that th</w:t>
      </w:r>
      <w:r w:rsidR="00B24782">
        <w:rPr>
          <w:rFonts w:eastAsia="HiddenHorzOCR"/>
          <w:color w:val="auto"/>
        </w:rPr>
        <w:t>is condition</w:t>
      </w:r>
      <w:r w:rsidRPr="00A65727">
        <w:rPr>
          <w:rFonts w:eastAsia="HiddenHorzOCR"/>
          <w:color w:val="auto"/>
        </w:rPr>
        <w:t xml:space="preserve"> significantly interfered with </w:t>
      </w:r>
      <w:r w:rsidR="001802A0">
        <w:rPr>
          <w:rFonts w:eastAsia="HiddenHorzOCR"/>
          <w:color w:val="auto"/>
        </w:rPr>
        <w:t>satisfactory performance of AFS</w:t>
      </w:r>
      <w:r w:rsidRPr="00A65727">
        <w:rPr>
          <w:rFonts w:eastAsia="HiddenHorzOCR"/>
          <w:color w:val="auto"/>
        </w:rPr>
        <w:t xml:space="preserve"> duty requirements.  All evidence considered</w:t>
      </w:r>
      <w:proofErr w:type="gramStart"/>
      <w:r w:rsidRPr="00A65727">
        <w:rPr>
          <w:rFonts w:eastAsia="HiddenHorzOCR"/>
          <w:color w:val="auto"/>
        </w:rPr>
        <w:t>,</w:t>
      </w:r>
      <w:proofErr w:type="gramEnd"/>
      <w:r w:rsidRPr="00A65727">
        <w:rPr>
          <w:rFonts w:eastAsia="HiddenHorzOCR"/>
          <w:color w:val="auto"/>
        </w:rPr>
        <w:t xml:space="preserve"> there is not reasonable doubt in the CI’s favor supporting recharacterization of the PEB fitness adjudication for </w:t>
      </w:r>
      <w:r w:rsidR="00B24782">
        <w:rPr>
          <w:rFonts w:eastAsia="HiddenHorzOCR"/>
          <w:color w:val="auto"/>
        </w:rPr>
        <w:t>the hypertension condition</w:t>
      </w:r>
      <w:r w:rsidRPr="00A65727">
        <w:rPr>
          <w:rFonts w:eastAsia="HiddenHorzOCR"/>
          <w:color w:val="auto"/>
        </w:rPr>
        <w:t xml:space="preserve">.  </w:t>
      </w:r>
    </w:p>
    <w:p w:rsidR="00685325" w:rsidRPr="00664296" w:rsidRDefault="00685325" w:rsidP="000F4AA6">
      <w:pPr>
        <w:spacing w:line="240" w:lineRule="exact"/>
        <w:jc w:val="both"/>
        <w:rPr>
          <w:rFonts w:eastAsia="HiddenHorzOCR"/>
          <w:color w:val="auto"/>
        </w:rPr>
      </w:pPr>
    </w:p>
    <w:p w:rsidR="002C5AF6" w:rsidRDefault="00685325" w:rsidP="0035608C">
      <w:pPr>
        <w:spacing w:line="240" w:lineRule="exact"/>
        <w:jc w:val="both"/>
        <w:rPr>
          <w:color w:val="auto"/>
        </w:rPr>
      </w:pPr>
      <w:proofErr w:type="gramStart"/>
      <w:r w:rsidRPr="00664296">
        <w:rPr>
          <w:rFonts w:eastAsia="HiddenHorzOCR"/>
          <w:color w:val="auto"/>
          <w:u w:val="single"/>
        </w:rPr>
        <w:t>Other Contended Conditions</w:t>
      </w:r>
      <w:r w:rsidRPr="00664296">
        <w:rPr>
          <w:rFonts w:eastAsia="HiddenHorzOCR"/>
          <w:color w:val="auto"/>
        </w:rPr>
        <w:t>.</w:t>
      </w:r>
      <w:proofErr w:type="gramEnd"/>
      <w:r w:rsidRPr="00664296">
        <w:rPr>
          <w:rFonts w:eastAsia="HiddenHorzOCR"/>
          <w:color w:val="auto"/>
        </w:rPr>
        <w:t xml:space="preserve">  The CI’s application asserts that compensable ratings should be considered for multiple hernia repairs and a</w:t>
      </w:r>
      <w:r w:rsidRPr="000F4AA6">
        <w:rPr>
          <w:rFonts w:eastAsia="HiddenHorzOCR"/>
          <w:color w:val="auto"/>
        </w:rPr>
        <w:t xml:space="preserve"> </w:t>
      </w:r>
      <w:r w:rsidRPr="00664296">
        <w:rPr>
          <w:rFonts w:eastAsia="HiddenHorzOCR"/>
          <w:color w:val="auto"/>
        </w:rPr>
        <w:t xml:space="preserve">post-separation spinal fusion.   </w:t>
      </w:r>
      <w:r w:rsidRPr="00664296">
        <w:rPr>
          <w:color w:val="auto"/>
        </w:rPr>
        <w:t xml:space="preserve">While the spine condition is service </w:t>
      </w:r>
      <w:r w:rsidRPr="005A10FA">
        <w:rPr>
          <w:color w:val="auto"/>
        </w:rPr>
        <w:t>connected, it was not clinically or occupationally active during the MEB period</w:t>
      </w:r>
      <w:r w:rsidR="00A76E66">
        <w:rPr>
          <w:color w:val="auto"/>
        </w:rPr>
        <w:t>.  There is no evidence therefore that it</w:t>
      </w:r>
      <w:r w:rsidRPr="005A10FA">
        <w:rPr>
          <w:color w:val="auto"/>
        </w:rPr>
        <w:t xml:space="preserve"> interfered with duty performance to a degree that could be argued as unfitting.  </w:t>
      </w:r>
      <w:r w:rsidR="00A76E66">
        <w:rPr>
          <w:color w:val="auto"/>
        </w:rPr>
        <w:t xml:space="preserve">Regarding the hernia condition, </w:t>
      </w:r>
      <w:r w:rsidR="00A76E66">
        <w:rPr>
          <w:rFonts w:eastAsia="HiddenHorzOCR"/>
          <w:color w:val="auto"/>
        </w:rPr>
        <w:t>t</w:t>
      </w:r>
      <w:r w:rsidRPr="00A65727">
        <w:rPr>
          <w:rFonts w:eastAsia="HiddenHorzOCR"/>
          <w:color w:val="auto"/>
        </w:rPr>
        <w:t xml:space="preserve">he CI underwent three </w:t>
      </w:r>
      <w:r w:rsidR="00A76E66">
        <w:rPr>
          <w:rFonts w:eastAsia="HiddenHorzOCR"/>
          <w:color w:val="auto"/>
        </w:rPr>
        <w:t>surgical repairs</w:t>
      </w:r>
      <w:r w:rsidRPr="00A65727">
        <w:rPr>
          <w:rFonts w:eastAsia="HiddenHorzOCR"/>
          <w:color w:val="auto"/>
        </w:rPr>
        <w:t xml:space="preserve"> prior to separation.  </w:t>
      </w:r>
      <w:r w:rsidR="00A76E66">
        <w:rPr>
          <w:rFonts w:eastAsia="HiddenHorzOCR"/>
          <w:color w:val="auto"/>
        </w:rPr>
        <w:t xml:space="preserve">He </w:t>
      </w:r>
      <w:r w:rsidRPr="00A65727">
        <w:rPr>
          <w:rFonts w:eastAsia="HiddenHorzOCR"/>
          <w:color w:val="auto"/>
        </w:rPr>
        <w:t>was first diagnosed with a hernia while deployed in 2003</w:t>
      </w:r>
      <w:r w:rsidR="00A76E66">
        <w:rPr>
          <w:rFonts w:eastAsia="HiddenHorzOCR"/>
          <w:color w:val="auto"/>
        </w:rPr>
        <w:t>, which as noted above resulted in medical evacuation</w:t>
      </w:r>
      <w:r w:rsidRPr="00A65727">
        <w:rPr>
          <w:rFonts w:eastAsia="HiddenHorzOCR"/>
          <w:color w:val="auto"/>
        </w:rPr>
        <w:t xml:space="preserve">.  He underwent his first repair surgery </w:t>
      </w:r>
      <w:r w:rsidR="00A76E66" w:rsidRPr="00A65727">
        <w:rPr>
          <w:rFonts w:eastAsia="HiddenHorzOCR"/>
          <w:color w:val="auto"/>
        </w:rPr>
        <w:t xml:space="preserve">in Germany </w:t>
      </w:r>
      <w:r w:rsidR="00A76E66">
        <w:rPr>
          <w:rFonts w:eastAsia="HiddenHorzOCR"/>
          <w:color w:val="auto"/>
        </w:rPr>
        <w:t>at that time</w:t>
      </w:r>
      <w:r w:rsidR="009B4428">
        <w:rPr>
          <w:rFonts w:eastAsia="HiddenHorzOCR"/>
          <w:color w:val="auto"/>
        </w:rPr>
        <w:t>.  A month later</w:t>
      </w:r>
      <w:r w:rsidRPr="00A65727">
        <w:rPr>
          <w:rFonts w:eastAsia="HiddenHorzOCR"/>
          <w:color w:val="auto"/>
        </w:rPr>
        <w:t xml:space="preserve"> </w:t>
      </w:r>
      <w:r w:rsidR="009B4428">
        <w:rPr>
          <w:rFonts w:eastAsia="HiddenHorzOCR"/>
          <w:color w:val="auto"/>
        </w:rPr>
        <w:t>he underwent a revision and second</w:t>
      </w:r>
      <w:r w:rsidRPr="00A65727">
        <w:rPr>
          <w:rFonts w:eastAsia="HiddenHorzOCR"/>
          <w:color w:val="auto"/>
        </w:rPr>
        <w:t xml:space="preserve"> repair</w:t>
      </w:r>
      <w:r w:rsidR="009B4428">
        <w:rPr>
          <w:rFonts w:eastAsia="HiddenHorzOCR"/>
          <w:color w:val="auto"/>
        </w:rPr>
        <w:t xml:space="preserve">; from which he </w:t>
      </w:r>
      <w:r w:rsidRPr="00A65727">
        <w:rPr>
          <w:rFonts w:eastAsia="HiddenHorzOCR"/>
          <w:color w:val="auto"/>
        </w:rPr>
        <w:t xml:space="preserve">recovered and returned to active duty.  In 2004, the CI re-herniated after lifting a heavy object while on duty.  Another hernia repair was performed in May 2004.  One year before </w:t>
      </w:r>
      <w:r w:rsidR="009B4428">
        <w:rPr>
          <w:rFonts w:eastAsia="HiddenHorzOCR"/>
          <w:color w:val="auto"/>
        </w:rPr>
        <w:t>he</w:t>
      </w:r>
      <w:r w:rsidRPr="00A65727">
        <w:rPr>
          <w:rFonts w:eastAsia="HiddenHorzOCR"/>
          <w:color w:val="auto"/>
        </w:rPr>
        <w:t xml:space="preserve"> was placed on TDRL, a </w:t>
      </w:r>
      <w:r w:rsidR="009B4428">
        <w:rPr>
          <w:rFonts w:eastAsia="HiddenHorzOCR"/>
          <w:color w:val="auto"/>
        </w:rPr>
        <w:t xml:space="preserve">follow-up </w:t>
      </w:r>
      <w:r w:rsidRPr="00A65727">
        <w:rPr>
          <w:rFonts w:eastAsia="HiddenHorzOCR"/>
          <w:color w:val="auto"/>
        </w:rPr>
        <w:t xml:space="preserve">exam noted that he was doing well.  He reported no </w:t>
      </w:r>
      <w:r w:rsidRPr="00A65727">
        <w:rPr>
          <w:rFonts w:eastAsia="HiddenHorzOCR"/>
          <w:color w:val="auto"/>
        </w:rPr>
        <w:lastRenderedPageBreak/>
        <w:t xml:space="preserve">more discomfort, and there was no evidence of any residual hernia.  </w:t>
      </w:r>
      <w:r w:rsidR="0031005E">
        <w:rPr>
          <w:rFonts w:eastAsia="HiddenHorzOCR"/>
          <w:color w:val="auto"/>
        </w:rPr>
        <w:t xml:space="preserve">He was released from surgical care, and no subsequent encounters are in evidence.  </w:t>
      </w:r>
      <w:r w:rsidR="009B4428">
        <w:rPr>
          <w:rFonts w:eastAsia="HiddenHorzOCR"/>
          <w:color w:val="auto"/>
        </w:rPr>
        <w:t>The</w:t>
      </w:r>
      <w:r w:rsidRPr="00A65727">
        <w:rPr>
          <w:rFonts w:eastAsia="HiddenHorzOCR"/>
          <w:color w:val="auto"/>
        </w:rPr>
        <w:t xml:space="preserve"> condition </w:t>
      </w:r>
      <w:r w:rsidR="009B4428">
        <w:rPr>
          <w:rFonts w:eastAsia="HiddenHorzOCR"/>
          <w:color w:val="auto"/>
        </w:rPr>
        <w:t>carried</w:t>
      </w:r>
      <w:r w:rsidRPr="00A65727">
        <w:rPr>
          <w:rFonts w:eastAsia="HiddenHorzOCR"/>
          <w:color w:val="auto"/>
        </w:rPr>
        <w:t xml:space="preserve"> a temporary </w:t>
      </w:r>
      <w:r w:rsidR="009B4428" w:rsidRPr="00A65727">
        <w:rPr>
          <w:rFonts w:eastAsia="HiddenHorzOCR"/>
          <w:color w:val="auto"/>
        </w:rPr>
        <w:t xml:space="preserve">P2 </w:t>
      </w:r>
      <w:r w:rsidRPr="00A65727">
        <w:rPr>
          <w:rFonts w:eastAsia="HiddenHorzOCR"/>
          <w:color w:val="auto"/>
        </w:rPr>
        <w:t xml:space="preserve">profile at the time of the MEB process, </w:t>
      </w:r>
      <w:r w:rsidR="009B4428">
        <w:rPr>
          <w:rFonts w:eastAsia="HiddenHorzOCR"/>
          <w:color w:val="auto"/>
        </w:rPr>
        <w:t>which the commander stated “restricts his ability to lift objects</w:t>
      </w:r>
      <w:r w:rsidR="001802A0">
        <w:rPr>
          <w:rFonts w:eastAsia="HiddenHorzOCR"/>
          <w:color w:val="auto"/>
        </w:rPr>
        <w:t>.</w:t>
      </w:r>
      <w:r w:rsidR="009B4428">
        <w:rPr>
          <w:rFonts w:eastAsia="HiddenHorzOCR"/>
          <w:color w:val="auto"/>
        </w:rPr>
        <w:t>”</w:t>
      </w:r>
      <w:r w:rsidRPr="00A65727">
        <w:rPr>
          <w:rFonts w:eastAsia="HiddenHorzOCR"/>
          <w:color w:val="auto"/>
        </w:rPr>
        <w:t xml:space="preserve"> </w:t>
      </w:r>
      <w:r w:rsidR="004C18DB">
        <w:rPr>
          <w:rFonts w:eastAsia="HiddenHorzOCR"/>
          <w:color w:val="auto"/>
        </w:rPr>
        <w:t xml:space="preserve"> </w:t>
      </w:r>
      <w:r w:rsidRPr="00A65727">
        <w:rPr>
          <w:rFonts w:eastAsia="HiddenHorzOCR"/>
          <w:color w:val="auto"/>
        </w:rPr>
        <w:t xml:space="preserve">In the </w:t>
      </w:r>
      <w:r w:rsidR="009B4428">
        <w:rPr>
          <w:rFonts w:eastAsia="HiddenHorzOCR"/>
          <w:color w:val="auto"/>
        </w:rPr>
        <w:t>NARSUM</w:t>
      </w:r>
      <w:r w:rsidR="0031005E">
        <w:rPr>
          <w:rFonts w:eastAsia="HiddenHorzOCR"/>
          <w:color w:val="auto"/>
        </w:rPr>
        <w:t xml:space="preserve"> at temporary retirement</w:t>
      </w:r>
      <w:r w:rsidRPr="00A65727">
        <w:rPr>
          <w:rFonts w:eastAsia="HiddenHorzOCR"/>
          <w:color w:val="auto"/>
        </w:rPr>
        <w:t xml:space="preserve">, the </w:t>
      </w:r>
      <w:r w:rsidR="009B4428">
        <w:rPr>
          <w:rFonts w:eastAsia="HiddenHorzOCR"/>
          <w:color w:val="auto"/>
        </w:rPr>
        <w:t>examiner</w:t>
      </w:r>
      <w:r w:rsidRPr="00A65727">
        <w:rPr>
          <w:rFonts w:eastAsia="HiddenHorzOCR"/>
          <w:color w:val="auto"/>
        </w:rPr>
        <w:t xml:space="preserve"> note</w:t>
      </w:r>
      <w:r w:rsidR="009B4428">
        <w:rPr>
          <w:rFonts w:eastAsia="HiddenHorzOCR"/>
          <w:color w:val="auto"/>
        </w:rPr>
        <w:t>d</w:t>
      </w:r>
      <w:r w:rsidR="0031005E">
        <w:rPr>
          <w:rFonts w:eastAsia="HiddenHorzOCR"/>
          <w:color w:val="auto"/>
        </w:rPr>
        <w:t xml:space="preserve"> “chronic pain in his waist-line</w:t>
      </w:r>
      <w:r w:rsidR="001802A0">
        <w:rPr>
          <w:rFonts w:eastAsia="HiddenHorzOCR"/>
          <w:color w:val="auto"/>
        </w:rPr>
        <w:t>,</w:t>
      </w:r>
      <w:r w:rsidR="0031005E">
        <w:rPr>
          <w:rFonts w:eastAsia="HiddenHorzOCR"/>
          <w:color w:val="auto"/>
        </w:rPr>
        <w:t xml:space="preserve">” </w:t>
      </w:r>
      <w:r w:rsidRPr="00A65727">
        <w:rPr>
          <w:rFonts w:eastAsia="HiddenHorzOCR"/>
          <w:color w:val="auto"/>
        </w:rPr>
        <w:t>but did not comment further on the hernia condition</w:t>
      </w:r>
      <w:r w:rsidR="0031005E">
        <w:rPr>
          <w:rFonts w:eastAsia="HiddenHorzOCR"/>
          <w:color w:val="auto"/>
        </w:rPr>
        <w:t xml:space="preserve"> nor list it as a diagnosis for PEB consideration</w:t>
      </w:r>
      <w:r w:rsidRPr="00A65727">
        <w:rPr>
          <w:rFonts w:eastAsia="HiddenHorzOCR"/>
          <w:color w:val="auto"/>
        </w:rPr>
        <w:t xml:space="preserve">.  </w:t>
      </w:r>
      <w:r w:rsidR="0035608C">
        <w:rPr>
          <w:rFonts w:eastAsia="HiddenHorzOCR"/>
          <w:color w:val="auto"/>
        </w:rPr>
        <w:t xml:space="preserve">The hernia condition was not rated by the VA from the concurrent C&amp;P evaluation.  </w:t>
      </w:r>
      <w:r w:rsidR="0031005E">
        <w:rPr>
          <w:rFonts w:eastAsia="HiddenHorzOCR"/>
          <w:color w:val="auto"/>
        </w:rPr>
        <w:t>T</w:t>
      </w:r>
      <w:r w:rsidRPr="00A65727">
        <w:rPr>
          <w:rFonts w:eastAsia="HiddenHorzOCR"/>
          <w:color w:val="auto"/>
        </w:rPr>
        <w:t>here is no record of any further treatment of the hernia condition during the TDRL period</w:t>
      </w:r>
      <w:r w:rsidR="0031005E">
        <w:rPr>
          <w:rFonts w:eastAsia="HiddenHorzOCR"/>
          <w:color w:val="auto"/>
        </w:rPr>
        <w:t xml:space="preserve">, and </w:t>
      </w:r>
      <w:r w:rsidRPr="00A65727">
        <w:rPr>
          <w:rFonts w:eastAsia="HiddenHorzOCR"/>
          <w:color w:val="auto"/>
        </w:rPr>
        <w:t xml:space="preserve">the </w:t>
      </w:r>
      <w:r w:rsidR="0035608C">
        <w:rPr>
          <w:rFonts w:eastAsia="HiddenHorzOCR"/>
          <w:color w:val="auto"/>
        </w:rPr>
        <w:t>TDRL examiner</w:t>
      </w:r>
      <w:r w:rsidRPr="00A65727">
        <w:rPr>
          <w:rFonts w:eastAsia="HiddenHorzOCR"/>
          <w:color w:val="auto"/>
        </w:rPr>
        <w:t xml:space="preserve"> did not note hernias as a presently active condition.  </w:t>
      </w:r>
      <w:r w:rsidR="0035608C">
        <w:rPr>
          <w:color w:val="auto"/>
        </w:rPr>
        <w:t>The spine and hernia</w:t>
      </w:r>
      <w:r w:rsidR="0035608C" w:rsidRPr="0035608C">
        <w:rPr>
          <w:color w:val="auto"/>
        </w:rPr>
        <w:t xml:space="preserve"> conditions were reviewed by the </w:t>
      </w:r>
      <w:r w:rsidR="001802A0">
        <w:rPr>
          <w:color w:val="auto"/>
        </w:rPr>
        <w:t>a</w:t>
      </w:r>
      <w:r w:rsidR="0035608C" w:rsidRPr="0035608C">
        <w:rPr>
          <w:color w:val="auto"/>
        </w:rPr>
        <w:t xml:space="preserve">ction </w:t>
      </w:r>
      <w:r w:rsidR="001802A0">
        <w:rPr>
          <w:color w:val="auto"/>
        </w:rPr>
        <w:t>o</w:t>
      </w:r>
      <w:r w:rsidR="0035608C" w:rsidRPr="0035608C">
        <w:rPr>
          <w:color w:val="auto"/>
        </w:rPr>
        <w:t xml:space="preserve">fficer and considered by the Board.  It was determined that </w:t>
      </w:r>
      <w:r w:rsidR="0035608C">
        <w:rPr>
          <w:color w:val="auto"/>
        </w:rPr>
        <w:t>neither</w:t>
      </w:r>
      <w:r w:rsidR="0035608C" w:rsidRPr="0035608C">
        <w:rPr>
          <w:color w:val="auto"/>
        </w:rPr>
        <w:t xml:space="preserve"> could be argued as unfitting and subject to separation rating.  </w:t>
      </w:r>
    </w:p>
    <w:p w:rsidR="002C5AF6" w:rsidRPr="00664296" w:rsidRDefault="002C5AF6" w:rsidP="0035608C">
      <w:pPr>
        <w:spacing w:line="240" w:lineRule="exact"/>
        <w:jc w:val="both"/>
        <w:rPr>
          <w:color w:val="auto"/>
        </w:rPr>
      </w:pPr>
    </w:p>
    <w:p w:rsidR="00685325" w:rsidRPr="00C75C09" w:rsidRDefault="00685325" w:rsidP="001D30C7">
      <w:pPr>
        <w:spacing w:line="240" w:lineRule="exact"/>
        <w:jc w:val="both"/>
        <w:rPr>
          <w:rFonts w:cs="Calibri"/>
          <w:color w:val="auto"/>
        </w:rPr>
      </w:pPr>
      <w:proofErr w:type="gramStart"/>
      <w:r w:rsidRPr="000F4AA6">
        <w:rPr>
          <w:color w:val="auto"/>
          <w:u w:val="single"/>
        </w:rPr>
        <w:t>Remaining Conditions</w:t>
      </w:r>
      <w:r w:rsidRPr="000F4AA6">
        <w:rPr>
          <w:color w:val="auto"/>
        </w:rPr>
        <w:t>.</w:t>
      </w:r>
      <w:proofErr w:type="gramEnd"/>
      <w:r w:rsidRPr="000F4AA6">
        <w:rPr>
          <w:color w:val="auto"/>
        </w:rPr>
        <w:t xml:space="preserve">  </w:t>
      </w:r>
      <w:r w:rsidRPr="00C75C09">
        <w:rPr>
          <w:rFonts w:cs="Calibri"/>
          <w:color w:val="auto"/>
        </w:rPr>
        <w:t>Other conditions identified in the DES file were ankle pain, appendectomy, and left knee patellofemoral syndrome.  Several additional non-acute conditions or medical complaints were documented in the DES file.  None of these conditions were significantly clinically or occupational</w:t>
      </w:r>
      <w:r w:rsidR="0035608C" w:rsidRPr="00C75C09">
        <w:rPr>
          <w:rFonts w:cs="Calibri"/>
          <w:color w:val="auto"/>
        </w:rPr>
        <w:t>ly active during the MEB period; none carried attached profiles;</w:t>
      </w:r>
      <w:r w:rsidRPr="00C75C09">
        <w:rPr>
          <w:rFonts w:cs="Calibri"/>
          <w:color w:val="auto"/>
        </w:rPr>
        <w:t xml:space="preserve"> and</w:t>
      </w:r>
      <w:r w:rsidR="0035608C" w:rsidRPr="00C75C09">
        <w:rPr>
          <w:rFonts w:cs="Calibri"/>
          <w:color w:val="auto"/>
        </w:rPr>
        <w:t>,</w:t>
      </w:r>
      <w:r w:rsidRPr="00C75C09">
        <w:rPr>
          <w:rFonts w:cs="Calibri"/>
          <w:color w:val="auto"/>
        </w:rPr>
        <w:t xml:space="preserve"> none were implicated in the commander’s statement.   These conditions were reviewed by the </w:t>
      </w:r>
      <w:r w:rsidR="001802A0">
        <w:rPr>
          <w:rFonts w:cs="Calibri"/>
          <w:color w:val="auto"/>
        </w:rPr>
        <w:t>a</w:t>
      </w:r>
      <w:r w:rsidR="0035608C" w:rsidRPr="00C75C09">
        <w:rPr>
          <w:rFonts w:cs="Calibri"/>
          <w:color w:val="auto"/>
        </w:rPr>
        <w:t xml:space="preserve">ction </w:t>
      </w:r>
      <w:r w:rsidR="001802A0">
        <w:rPr>
          <w:rFonts w:cs="Calibri"/>
          <w:color w:val="auto"/>
        </w:rPr>
        <w:t>o</w:t>
      </w:r>
      <w:r w:rsidR="0035608C" w:rsidRPr="00C75C09">
        <w:rPr>
          <w:rFonts w:cs="Calibri"/>
          <w:color w:val="auto"/>
        </w:rPr>
        <w:t xml:space="preserve">fficer </w:t>
      </w:r>
      <w:r w:rsidRPr="00C75C09">
        <w:rPr>
          <w:rFonts w:cs="Calibri"/>
          <w:color w:val="auto"/>
        </w:rPr>
        <w:t xml:space="preserve">and considered by the Board.  It was determined that none could be argued as unfitting and subject to separation rating.  </w:t>
      </w:r>
      <w:r w:rsidR="009859AC" w:rsidRPr="00C75C09">
        <w:rPr>
          <w:rFonts w:cs="Calibri"/>
          <w:color w:val="auto"/>
        </w:rPr>
        <w:t>No other conditions were service connected with a compensable rating by the VA within 12 months of separation or contended by the CI.  The Board therefore has no reasonable basis for recommending any additional unfitting conditions for separation rating.</w:t>
      </w:r>
    </w:p>
    <w:p w:rsidR="00685325" w:rsidRPr="00391858" w:rsidRDefault="00685325" w:rsidP="00F1737C">
      <w:pPr>
        <w:pBdr>
          <w:bottom w:val="single" w:sz="12" w:space="1" w:color="auto"/>
        </w:pBdr>
        <w:tabs>
          <w:tab w:val="left" w:pos="288"/>
          <w:tab w:val="left" w:pos="4752"/>
        </w:tabs>
        <w:spacing w:line="240" w:lineRule="exact"/>
        <w:jc w:val="both"/>
        <w:rPr>
          <w:b/>
          <w:color w:val="auto"/>
          <w:u w:val="single"/>
        </w:rPr>
      </w:pPr>
    </w:p>
    <w:p w:rsidR="00685325" w:rsidRDefault="00685325" w:rsidP="00F1737C">
      <w:pPr>
        <w:spacing w:line="240" w:lineRule="exact"/>
        <w:rPr>
          <w:b/>
          <w:color w:val="auto"/>
          <w:u w:val="single"/>
        </w:rPr>
      </w:pPr>
    </w:p>
    <w:p w:rsidR="00D22EB8" w:rsidRPr="00D22EB8" w:rsidRDefault="00685325" w:rsidP="00D22EB8">
      <w:pPr>
        <w:spacing w:line="240" w:lineRule="exact"/>
        <w:jc w:val="both"/>
        <w:rPr>
          <w:color w:val="auto"/>
        </w:rPr>
      </w:pPr>
      <w:r w:rsidRPr="000F4AA6">
        <w:rPr>
          <w:color w:val="auto"/>
          <w:u w:val="single"/>
        </w:rPr>
        <w:t>BOARD FINDINGS</w:t>
      </w:r>
      <w:r w:rsidRPr="000F4AA6">
        <w:rPr>
          <w:color w:val="auto"/>
        </w:rPr>
        <w:t>:  IAW DoDI 6040.44, provisions of DoD or Military Department regulations or guidelines relied upon by the PEB will not be considered by the Board to the extent they were inconsistent with the VASRD in effect at the time of the adjudication.  As discussed above, PEB reliance on DoDI 1332.39 for ratin</w:t>
      </w:r>
      <w:r w:rsidR="00C269AE">
        <w:rPr>
          <w:color w:val="auto"/>
        </w:rPr>
        <w:t>g PTSD was operant in this case;</w:t>
      </w:r>
      <w:r w:rsidRPr="000F4AA6">
        <w:rPr>
          <w:color w:val="auto"/>
        </w:rPr>
        <w:t xml:space="preserve"> and</w:t>
      </w:r>
      <w:r w:rsidR="00C269AE">
        <w:rPr>
          <w:color w:val="auto"/>
        </w:rPr>
        <w:t>,</w:t>
      </w:r>
      <w:r w:rsidRPr="000F4AA6">
        <w:rPr>
          <w:color w:val="auto"/>
        </w:rPr>
        <w:t xml:space="preserve"> the condition was adjudicated independently of that instruction by the Boa</w:t>
      </w:r>
      <w:r w:rsidR="001802A0">
        <w:rPr>
          <w:color w:val="auto"/>
        </w:rPr>
        <w:t>rd.  In the matter of the PTSD</w:t>
      </w:r>
      <w:r w:rsidRPr="000F4AA6">
        <w:rPr>
          <w:color w:val="auto"/>
        </w:rPr>
        <w:t xml:space="preserve">, the Board </w:t>
      </w:r>
      <w:r w:rsidRPr="004C18DB">
        <w:rPr>
          <w:color w:val="auto"/>
        </w:rPr>
        <w:t>unanimously</w:t>
      </w:r>
      <w:r w:rsidR="00C81ACE">
        <w:rPr>
          <w:color w:val="auto"/>
        </w:rPr>
        <w:t xml:space="preserve"> </w:t>
      </w:r>
      <w:r w:rsidR="00C81ACE" w:rsidRPr="00C81ACE">
        <w:rPr>
          <w:color w:val="auto"/>
        </w:rPr>
        <w:t xml:space="preserve">recommends </w:t>
      </w:r>
      <w:r w:rsidR="00891465" w:rsidRPr="000F4AA6">
        <w:rPr>
          <w:color w:val="auto"/>
        </w:rPr>
        <w:t xml:space="preserve">a </w:t>
      </w:r>
      <w:r w:rsidR="00891465" w:rsidRPr="00B2476B">
        <w:rPr>
          <w:color w:val="auto"/>
        </w:rPr>
        <w:t>permanent 10% rating at final separation IAW VASRD §4.130.</w:t>
      </w:r>
      <w:r w:rsidR="00C75C09">
        <w:rPr>
          <w:color w:val="auto"/>
        </w:rPr>
        <w:t xml:space="preserve">  </w:t>
      </w:r>
      <w:r w:rsidRPr="00664296">
        <w:rPr>
          <w:color w:val="auto"/>
        </w:rPr>
        <w:t xml:space="preserve">In the matter of the </w:t>
      </w:r>
      <w:r w:rsidR="00D22EB8">
        <w:rPr>
          <w:rFonts w:eastAsia="HiddenHorzOCR"/>
          <w:color w:val="auto"/>
        </w:rPr>
        <w:t>hypertension</w:t>
      </w:r>
      <w:r w:rsidRPr="00A65727">
        <w:rPr>
          <w:rFonts w:eastAsia="HiddenHorzOCR"/>
          <w:color w:val="auto"/>
        </w:rPr>
        <w:t xml:space="preserve"> </w:t>
      </w:r>
      <w:r w:rsidR="00D22EB8">
        <w:rPr>
          <w:rFonts w:eastAsia="HiddenHorzOCR"/>
          <w:color w:val="auto"/>
        </w:rPr>
        <w:t>condition</w:t>
      </w:r>
      <w:r w:rsidRPr="00D22EB8">
        <w:rPr>
          <w:rFonts w:eastAsia="HiddenHorzOCR"/>
          <w:color w:val="auto"/>
        </w:rPr>
        <w:t xml:space="preserve">, </w:t>
      </w:r>
      <w:r w:rsidRPr="00D22EB8">
        <w:rPr>
          <w:color w:val="auto"/>
        </w:rPr>
        <w:t xml:space="preserve">the Board unanimously recommends no change from the PEB adjudications as not unfitting.  In the matter of the </w:t>
      </w:r>
      <w:r w:rsidR="00C269AE">
        <w:rPr>
          <w:color w:val="auto"/>
        </w:rPr>
        <w:t xml:space="preserve">contended </w:t>
      </w:r>
      <w:r w:rsidR="00C269AE" w:rsidRPr="00D22EB8">
        <w:rPr>
          <w:rFonts w:eastAsia="HiddenHorzOCR"/>
          <w:color w:val="auto"/>
        </w:rPr>
        <w:t xml:space="preserve">spinal </w:t>
      </w:r>
      <w:r w:rsidR="00C269AE">
        <w:rPr>
          <w:rFonts w:eastAsia="HiddenHorzOCR"/>
          <w:color w:val="auto"/>
        </w:rPr>
        <w:t xml:space="preserve">and </w:t>
      </w:r>
      <w:r w:rsidRPr="00D22EB8">
        <w:rPr>
          <w:rFonts w:eastAsia="HiddenHorzOCR"/>
          <w:color w:val="auto"/>
        </w:rPr>
        <w:t xml:space="preserve">hernia </w:t>
      </w:r>
      <w:r w:rsidR="00C269AE">
        <w:rPr>
          <w:rFonts w:eastAsia="HiddenHorzOCR"/>
          <w:color w:val="auto"/>
        </w:rPr>
        <w:t>conditions</w:t>
      </w:r>
      <w:r w:rsidRPr="00D22EB8">
        <w:rPr>
          <w:color w:val="auto"/>
        </w:rPr>
        <w:t>, the Board unanimously agrees that it cannot</w:t>
      </w:r>
      <w:r w:rsidRPr="00D22EB8">
        <w:rPr>
          <w:color w:val="000080"/>
        </w:rPr>
        <w:t xml:space="preserve"> </w:t>
      </w:r>
      <w:r w:rsidR="00C269AE">
        <w:rPr>
          <w:color w:val="auto"/>
        </w:rPr>
        <w:t>recommend any</w:t>
      </w:r>
      <w:r w:rsidRPr="00D22EB8">
        <w:rPr>
          <w:color w:val="auto"/>
        </w:rPr>
        <w:t xml:space="preserve"> finding of unfit for additional rating at separation.  </w:t>
      </w:r>
      <w:r w:rsidR="00C269AE" w:rsidRPr="00C269AE">
        <w:rPr>
          <w:color w:val="auto"/>
        </w:rPr>
        <w:t>The Board unanimously agrees that there were no other conditions eligible for Board consideration which could be recommended as additionally unfitting for rating at separation.</w:t>
      </w:r>
    </w:p>
    <w:p w:rsidR="00C75C09" w:rsidRPr="00391858" w:rsidRDefault="00C75C09" w:rsidP="00D22EB8">
      <w:pPr>
        <w:pBdr>
          <w:bottom w:val="single" w:sz="12" w:space="1" w:color="auto"/>
        </w:pBdr>
        <w:tabs>
          <w:tab w:val="left" w:pos="288"/>
          <w:tab w:val="left" w:pos="4752"/>
        </w:tabs>
        <w:spacing w:line="240" w:lineRule="exact"/>
        <w:jc w:val="both"/>
        <w:rPr>
          <w:b/>
          <w:color w:val="auto"/>
          <w:u w:val="single"/>
        </w:rPr>
      </w:pPr>
    </w:p>
    <w:p w:rsidR="00D22EB8" w:rsidRDefault="00D22EB8" w:rsidP="00D22EB8">
      <w:pPr>
        <w:spacing w:line="240" w:lineRule="exact"/>
        <w:rPr>
          <w:b/>
          <w:color w:val="auto"/>
          <w:u w:val="single"/>
        </w:rPr>
      </w:pPr>
    </w:p>
    <w:p w:rsidR="00C269AE" w:rsidRPr="00C269AE" w:rsidRDefault="00C269AE" w:rsidP="00C269AE">
      <w:pPr>
        <w:spacing w:line="240" w:lineRule="exact"/>
        <w:jc w:val="both"/>
        <w:rPr>
          <w:color w:val="auto"/>
        </w:rPr>
      </w:pPr>
      <w:r w:rsidRPr="00C269AE">
        <w:rPr>
          <w:color w:val="auto"/>
          <w:u w:val="single"/>
        </w:rPr>
        <w:t>RECOMMENDATION</w:t>
      </w:r>
      <w:r w:rsidRPr="00C269AE">
        <w:rPr>
          <w:color w:val="auto"/>
        </w:rPr>
        <w:t>:</w:t>
      </w:r>
      <w:r w:rsidRPr="00C269AE">
        <w:rPr>
          <w:color w:val="000080"/>
        </w:rPr>
        <w:t xml:space="preserve"> </w:t>
      </w:r>
      <w:r w:rsidRPr="00C269AE">
        <w:rPr>
          <w:b/>
          <w:color w:val="FF0000"/>
        </w:rPr>
        <w:t xml:space="preserve"> </w:t>
      </w:r>
      <w:r w:rsidR="001802A0">
        <w:rPr>
          <w:color w:val="auto"/>
        </w:rPr>
        <w:t xml:space="preserve">The Board, therefore, recommends that there be no </w:t>
      </w:r>
      <w:proofErr w:type="spellStart"/>
      <w:r w:rsidR="001802A0">
        <w:rPr>
          <w:color w:val="auto"/>
        </w:rPr>
        <w:t>recharachterization</w:t>
      </w:r>
      <w:proofErr w:type="spellEnd"/>
      <w:r w:rsidR="001802A0">
        <w:rPr>
          <w:color w:val="auto"/>
        </w:rPr>
        <w:t xml:space="preserve"> of the CI’s disability and separation determination, as follows:</w:t>
      </w:r>
    </w:p>
    <w:p w:rsidR="00D22EB8" w:rsidRPr="00AF01B2" w:rsidRDefault="00D22EB8" w:rsidP="00D22EB8">
      <w:pPr>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20"/>
        <w:gridCol w:w="1530"/>
        <w:gridCol w:w="1530"/>
      </w:tblGrid>
      <w:tr w:rsidR="001802A0" w:rsidRPr="00AF01B2" w:rsidTr="00C269AE">
        <w:trPr>
          <w:jc w:val="center"/>
        </w:trPr>
        <w:tc>
          <w:tcPr>
            <w:tcW w:w="5220" w:type="dxa"/>
            <w:shd w:val="clear" w:color="auto" w:fill="D9D9D9"/>
            <w:vAlign w:val="center"/>
          </w:tcPr>
          <w:p w:rsidR="001802A0" w:rsidRPr="00AF01B2" w:rsidRDefault="001802A0" w:rsidP="001225D5">
            <w:pPr>
              <w:tabs>
                <w:tab w:val="left" w:pos="288"/>
                <w:tab w:val="left" w:pos="4752"/>
              </w:tabs>
              <w:spacing w:line="240" w:lineRule="exact"/>
              <w:jc w:val="center"/>
              <w:rPr>
                <w:b/>
                <w:color w:val="auto"/>
              </w:rPr>
            </w:pPr>
            <w:r w:rsidRPr="00AF01B2">
              <w:rPr>
                <w:b/>
                <w:color w:val="auto"/>
              </w:rPr>
              <w:t>UNFITTING CONDITION</w:t>
            </w:r>
          </w:p>
        </w:tc>
        <w:tc>
          <w:tcPr>
            <w:tcW w:w="1530" w:type="dxa"/>
            <w:shd w:val="clear" w:color="auto" w:fill="D9D9D9"/>
            <w:vAlign w:val="center"/>
          </w:tcPr>
          <w:p w:rsidR="001802A0" w:rsidRPr="00AF01B2" w:rsidRDefault="001802A0" w:rsidP="001225D5">
            <w:pPr>
              <w:tabs>
                <w:tab w:val="left" w:pos="288"/>
                <w:tab w:val="left" w:pos="4752"/>
              </w:tabs>
              <w:spacing w:line="240" w:lineRule="exact"/>
              <w:jc w:val="center"/>
              <w:rPr>
                <w:b/>
                <w:color w:val="auto"/>
              </w:rPr>
            </w:pPr>
            <w:r w:rsidRPr="00AF01B2">
              <w:rPr>
                <w:b/>
                <w:color w:val="auto"/>
              </w:rPr>
              <w:t>VASRD CODE</w:t>
            </w:r>
          </w:p>
        </w:tc>
        <w:tc>
          <w:tcPr>
            <w:tcW w:w="1530" w:type="dxa"/>
            <w:shd w:val="pct15" w:color="auto" w:fill="auto"/>
            <w:vAlign w:val="center"/>
          </w:tcPr>
          <w:p w:rsidR="001802A0" w:rsidRPr="00AF01B2" w:rsidRDefault="001802A0" w:rsidP="001225D5">
            <w:pPr>
              <w:tabs>
                <w:tab w:val="left" w:pos="288"/>
                <w:tab w:val="left" w:pos="4752"/>
              </w:tabs>
              <w:spacing w:line="240" w:lineRule="exact"/>
              <w:jc w:val="center"/>
              <w:rPr>
                <w:b/>
                <w:color w:val="auto"/>
              </w:rPr>
            </w:pPr>
            <w:r w:rsidRPr="00AF01B2">
              <w:rPr>
                <w:b/>
                <w:color w:val="auto"/>
              </w:rPr>
              <w:t>RATING</w:t>
            </w:r>
          </w:p>
        </w:tc>
      </w:tr>
      <w:tr w:rsidR="001802A0" w:rsidRPr="00AF01B2" w:rsidTr="00C269AE">
        <w:trPr>
          <w:trHeight w:val="188"/>
          <w:jc w:val="center"/>
        </w:trPr>
        <w:tc>
          <w:tcPr>
            <w:tcW w:w="5220" w:type="dxa"/>
            <w:vAlign w:val="center"/>
          </w:tcPr>
          <w:p w:rsidR="001802A0" w:rsidRPr="00AF01B2" w:rsidRDefault="001802A0" w:rsidP="00765BAB">
            <w:pPr>
              <w:tabs>
                <w:tab w:val="left" w:pos="288"/>
                <w:tab w:val="left" w:pos="3538"/>
              </w:tabs>
              <w:spacing w:line="240" w:lineRule="exact"/>
              <w:rPr>
                <w:color w:val="auto"/>
              </w:rPr>
            </w:pPr>
            <w:r w:rsidRPr="00AF01B2">
              <w:rPr>
                <w:color w:val="auto"/>
              </w:rPr>
              <w:t>Post</w:t>
            </w:r>
            <w:r w:rsidR="00765BAB">
              <w:rPr>
                <w:color w:val="auto"/>
              </w:rPr>
              <w:t>t</w:t>
            </w:r>
            <w:r w:rsidRPr="00AF01B2">
              <w:rPr>
                <w:color w:val="auto"/>
              </w:rPr>
              <w:t>raumatic Stress Disorder</w:t>
            </w:r>
          </w:p>
        </w:tc>
        <w:tc>
          <w:tcPr>
            <w:tcW w:w="1530" w:type="dxa"/>
            <w:vAlign w:val="center"/>
          </w:tcPr>
          <w:p w:rsidR="001802A0" w:rsidRPr="00AF01B2" w:rsidRDefault="001802A0" w:rsidP="001225D5">
            <w:pPr>
              <w:tabs>
                <w:tab w:val="left" w:pos="288"/>
                <w:tab w:val="left" w:pos="4752"/>
              </w:tabs>
              <w:spacing w:line="240" w:lineRule="exact"/>
              <w:jc w:val="center"/>
              <w:rPr>
                <w:color w:val="auto"/>
              </w:rPr>
            </w:pPr>
            <w:r w:rsidRPr="00AF01B2">
              <w:rPr>
                <w:color w:val="auto"/>
              </w:rPr>
              <w:t>9411</w:t>
            </w:r>
          </w:p>
        </w:tc>
        <w:tc>
          <w:tcPr>
            <w:tcW w:w="1530" w:type="dxa"/>
            <w:vAlign w:val="center"/>
          </w:tcPr>
          <w:p w:rsidR="001802A0" w:rsidRPr="00C269AE" w:rsidRDefault="001802A0" w:rsidP="001225D5">
            <w:pPr>
              <w:tabs>
                <w:tab w:val="left" w:pos="288"/>
                <w:tab w:val="left" w:pos="4752"/>
              </w:tabs>
              <w:spacing w:line="240" w:lineRule="exact"/>
              <w:jc w:val="center"/>
              <w:rPr>
                <w:color w:val="auto"/>
                <w:highlight w:val="yellow"/>
              </w:rPr>
            </w:pPr>
            <w:r w:rsidRPr="004C18DB">
              <w:rPr>
                <w:color w:val="auto"/>
              </w:rPr>
              <w:t>10%</w:t>
            </w:r>
          </w:p>
        </w:tc>
      </w:tr>
      <w:tr w:rsidR="001802A0" w:rsidRPr="00AF01B2" w:rsidTr="00C269AE">
        <w:tblPrEx>
          <w:tblLook w:val="0000"/>
        </w:tblPrEx>
        <w:trPr>
          <w:gridBefore w:val="1"/>
          <w:wBefore w:w="5220" w:type="dxa"/>
          <w:trHeight w:val="188"/>
          <w:jc w:val="center"/>
        </w:trPr>
        <w:tc>
          <w:tcPr>
            <w:tcW w:w="1530" w:type="dxa"/>
            <w:tcBorders>
              <w:left w:val="single" w:sz="4" w:space="0" w:color="auto"/>
            </w:tcBorders>
            <w:shd w:val="pct15" w:color="auto" w:fill="auto"/>
            <w:vAlign w:val="center"/>
          </w:tcPr>
          <w:p w:rsidR="001802A0" w:rsidRPr="00AF01B2" w:rsidRDefault="001802A0" w:rsidP="001225D5">
            <w:pPr>
              <w:tabs>
                <w:tab w:val="left" w:pos="288"/>
                <w:tab w:val="left" w:pos="4752"/>
              </w:tabs>
              <w:spacing w:line="240" w:lineRule="exact"/>
              <w:jc w:val="center"/>
              <w:rPr>
                <w:b/>
                <w:color w:val="auto"/>
              </w:rPr>
            </w:pPr>
            <w:r w:rsidRPr="00AF01B2">
              <w:rPr>
                <w:b/>
                <w:color w:val="auto"/>
              </w:rPr>
              <w:t>COMBINED</w:t>
            </w:r>
          </w:p>
        </w:tc>
        <w:tc>
          <w:tcPr>
            <w:tcW w:w="1530" w:type="dxa"/>
            <w:shd w:val="pct15" w:color="auto" w:fill="auto"/>
            <w:vAlign w:val="center"/>
          </w:tcPr>
          <w:p w:rsidR="001802A0" w:rsidRPr="00C269AE" w:rsidRDefault="001802A0" w:rsidP="001225D5">
            <w:pPr>
              <w:tabs>
                <w:tab w:val="left" w:pos="288"/>
                <w:tab w:val="left" w:pos="4752"/>
              </w:tabs>
              <w:spacing w:line="240" w:lineRule="exact"/>
              <w:jc w:val="center"/>
              <w:rPr>
                <w:b/>
                <w:color w:val="auto"/>
                <w:highlight w:val="yellow"/>
              </w:rPr>
            </w:pPr>
            <w:r w:rsidRPr="004C18DB">
              <w:rPr>
                <w:b/>
                <w:color w:val="auto"/>
              </w:rPr>
              <w:t>10%</w:t>
            </w:r>
          </w:p>
        </w:tc>
      </w:tr>
    </w:tbl>
    <w:p w:rsidR="00C269AE" w:rsidRPr="00391858" w:rsidRDefault="00C269AE" w:rsidP="00D22EB8">
      <w:pPr>
        <w:pBdr>
          <w:bottom w:val="single" w:sz="12" w:space="1" w:color="auto"/>
        </w:pBdr>
        <w:tabs>
          <w:tab w:val="left" w:pos="288"/>
          <w:tab w:val="left" w:pos="4752"/>
        </w:tabs>
        <w:spacing w:line="240" w:lineRule="exact"/>
        <w:jc w:val="both"/>
        <w:rPr>
          <w:b/>
          <w:color w:val="auto"/>
          <w:u w:val="single"/>
        </w:rPr>
      </w:pPr>
    </w:p>
    <w:p w:rsidR="001802A0" w:rsidRDefault="001802A0" w:rsidP="00510F9C">
      <w:pPr>
        <w:tabs>
          <w:tab w:val="left" w:pos="288"/>
          <w:tab w:val="left" w:pos="4752"/>
        </w:tabs>
        <w:spacing w:line="240" w:lineRule="exact"/>
        <w:jc w:val="both"/>
        <w:rPr>
          <w:color w:val="auto"/>
        </w:rPr>
      </w:pPr>
    </w:p>
    <w:p w:rsidR="001802A0" w:rsidRDefault="001802A0" w:rsidP="00510F9C">
      <w:pPr>
        <w:tabs>
          <w:tab w:val="left" w:pos="288"/>
          <w:tab w:val="left" w:pos="4752"/>
        </w:tabs>
        <w:spacing w:line="240" w:lineRule="exact"/>
        <w:jc w:val="both"/>
        <w:rPr>
          <w:color w:val="auto"/>
        </w:rPr>
      </w:pPr>
    </w:p>
    <w:p w:rsidR="00142021" w:rsidRDefault="00142021" w:rsidP="00510F9C">
      <w:pPr>
        <w:tabs>
          <w:tab w:val="left" w:pos="288"/>
          <w:tab w:val="left" w:pos="4752"/>
        </w:tabs>
        <w:spacing w:line="240" w:lineRule="exact"/>
        <w:jc w:val="both"/>
        <w:rPr>
          <w:color w:val="auto"/>
        </w:rPr>
      </w:pPr>
    </w:p>
    <w:p w:rsidR="00142021" w:rsidRDefault="00142021" w:rsidP="00510F9C">
      <w:pPr>
        <w:tabs>
          <w:tab w:val="left" w:pos="288"/>
          <w:tab w:val="left" w:pos="4752"/>
        </w:tabs>
        <w:spacing w:line="240" w:lineRule="exact"/>
        <w:jc w:val="both"/>
        <w:rPr>
          <w:color w:val="auto"/>
        </w:rPr>
      </w:pPr>
    </w:p>
    <w:p w:rsidR="00142021" w:rsidRDefault="00142021" w:rsidP="00510F9C">
      <w:pPr>
        <w:tabs>
          <w:tab w:val="left" w:pos="288"/>
          <w:tab w:val="left" w:pos="4752"/>
        </w:tabs>
        <w:spacing w:line="240" w:lineRule="exact"/>
        <w:jc w:val="both"/>
        <w:rPr>
          <w:color w:val="auto"/>
        </w:rPr>
      </w:pPr>
    </w:p>
    <w:p w:rsidR="00142021" w:rsidRDefault="00142021" w:rsidP="00510F9C">
      <w:pPr>
        <w:tabs>
          <w:tab w:val="left" w:pos="288"/>
          <w:tab w:val="left" w:pos="4752"/>
        </w:tabs>
        <w:spacing w:line="240" w:lineRule="exact"/>
        <w:jc w:val="both"/>
        <w:rPr>
          <w:color w:val="auto"/>
        </w:rPr>
      </w:pPr>
    </w:p>
    <w:p w:rsidR="001802A0" w:rsidRDefault="001802A0" w:rsidP="00510F9C">
      <w:pPr>
        <w:tabs>
          <w:tab w:val="left" w:pos="288"/>
          <w:tab w:val="left" w:pos="4752"/>
        </w:tabs>
        <w:spacing w:line="240" w:lineRule="exact"/>
        <w:jc w:val="both"/>
        <w:rPr>
          <w:color w:val="auto"/>
        </w:rPr>
      </w:pPr>
    </w:p>
    <w:p w:rsidR="00685325" w:rsidRPr="00006186" w:rsidRDefault="00685325" w:rsidP="00510F9C">
      <w:pPr>
        <w:tabs>
          <w:tab w:val="left" w:pos="288"/>
          <w:tab w:val="left" w:pos="4752"/>
        </w:tabs>
        <w:spacing w:line="240" w:lineRule="exact"/>
        <w:jc w:val="both"/>
        <w:rPr>
          <w:color w:val="auto"/>
        </w:rPr>
      </w:pPr>
      <w:r>
        <w:rPr>
          <w:color w:val="auto"/>
        </w:rPr>
        <w:lastRenderedPageBreak/>
        <w:t>The following documentary evidence was considered:</w:t>
      </w:r>
    </w:p>
    <w:p w:rsidR="00685325" w:rsidRPr="00006186" w:rsidRDefault="00685325" w:rsidP="00510F9C">
      <w:pPr>
        <w:tabs>
          <w:tab w:val="left" w:pos="288"/>
          <w:tab w:val="left" w:pos="4752"/>
        </w:tabs>
        <w:spacing w:line="240" w:lineRule="exact"/>
        <w:jc w:val="both"/>
        <w:rPr>
          <w:color w:val="auto"/>
        </w:rPr>
      </w:pPr>
    </w:p>
    <w:p w:rsidR="00685325" w:rsidRPr="001D30C7" w:rsidRDefault="00685325" w:rsidP="001D30C7">
      <w:pPr>
        <w:tabs>
          <w:tab w:val="left" w:pos="288"/>
          <w:tab w:val="left" w:pos="4752"/>
        </w:tabs>
        <w:spacing w:line="240" w:lineRule="exact"/>
        <w:jc w:val="both"/>
        <w:rPr>
          <w:color w:val="auto"/>
        </w:rPr>
      </w:pPr>
      <w:r w:rsidRPr="001D30C7">
        <w:rPr>
          <w:color w:val="auto"/>
        </w:rPr>
        <w:t>Exhibit A.  DD Fo</w:t>
      </w:r>
      <w:r w:rsidR="001802A0">
        <w:rPr>
          <w:color w:val="auto"/>
        </w:rPr>
        <w:t>rm 294, dated 20100826, w/atchs</w:t>
      </w:r>
    </w:p>
    <w:p w:rsidR="00685325" w:rsidRPr="001D30C7" w:rsidRDefault="00685325" w:rsidP="001D30C7">
      <w:pPr>
        <w:tabs>
          <w:tab w:val="left" w:pos="288"/>
          <w:tab w:val="left" w:pos="4752"/>
        </w:tabs>
        <w:spacing w:line="240" w:lineRule="exact"/>
        <w:jc w:val="both"/>
        <w:rPr>
          <w:color w:val="auto"/>
        </w:rPr>
      </w:pPr>
      <w:r w:rsidRPr="001D30C7">
        <w:rPr>
          <w:color w:val="auto"/>
        </w:rPr>
        <w:t>Exhib</w:t>
      </w:r>
      <w:r w:rsidR="001802A0">
        <w:rPr>
          <w:color w:val="auto"/>
        </w:rPr>
        <w:t>it B.  Service Treatment Record</w:t>
      </w:r>
    </w:p>
    <w:p w:rsidR="00685325" w:rsidRPr="001D30C7" w:rsidRDefault="00685325" w:rsidP="001D30C7">
      <w:pPr>
        <w:tabs>
          <w:tab w:val="left" w:pos="288"/>
          <w:tab w:val="left" w:pos="4752"/>
        </w:tabs>
        <w:spacing w:line="240" w:lineRule="exact"/>
        <w:jc w:val="both"/>
        <w:rPr>
          <w:color w:val="auto"/>
        </w:rPr>
      </w:pPr>
      <w:r w:rsidRPr="001D30C7">
        <w:rPr>
          <w:color w:val="auto"/>
        </w:rPr>
        <w:t>Exhibit C.  Department of Vet</w:t>
      </w:r>
      <w:r w:rsidR="001802A0">
        <w:rPr>
          <w:color w:val="auto"/>
        </w:rPr>
        <w:t>erans' Affairs Treatment Record</w:t>
      </w:r>
    </w:p>
    <w:p w:rsidR="00685325" w:rsidRPr="00006186" w:rsidRDefault="00685325" w:rsidP="00510F9C">
      <w:pPr>
        <w:tabs>
          <w:tab w:val="left" w:pos="288"/>
          <w:tab w:val="left" w:pos="4752"/>
        </w:tabs>
        <w:spacing w:line="240" w:lineRule="exact"/>
        <w:jc w:val="both"/>
        <w:rPr>
          <w:color w:val="auto"/>
        </w:rPr>
      </w:pPr>
      <w:r>
        <w:rPr>
          <w:color w:val="auto"/>
        </w:rPr>
        <w:t>.</w:t>
      </w:r>
    </w:p>
    <w:p w:rsidR="00685325" w:rsidRPr="00006186" w:rsidRDefault="00685325" w:rsidP="00510F9C">
      <w:pPr>
        <w:tabs>
          <w:tab w:val="left" w:pos="288"/>
          <w:tab w:val="left" w:pos="4752"/>
        </w:tabs>
        <w:spacing w:line="240" w:lineRule="exact"/>
        <w:jc w:val="both"/>
        <w:rPr>
          <w:color w:val="auto"/>
        </w:rPr>
      </w:pPr>
    </w:p>
    <w:p w:rsidR="00685325" w:rsidRPr="00006186" w:rsidRDefault="00685325" w:rsidP="00510F9C">
      <w:pPr>
        <w:tabs>
          <w:tab w:val="left" w:pos="288"/>
          <w:tab w:val="left" w:pos="4752"/>
        </w:tabs>
        <w:spacing w:line="240" w:lineRule="exact"/>
        <w:jc w:val="both"/>
        <w:rPr>
          <w:color w:val="auto"/>
        </w:rPr>
      </w:pPr>
    </w:p>
    <w:p w:rsidR="00685325" w:rsidRPr="00006186" w:rsidRDefault="00685325" w:rsidP="00510F9C">
      <w:pPr>
        <w:tabs>
          <w:tab w:val="left" w:pos="288"/>
          <w:tab w:val="left" w:pos="4752"/>
        </w:tabs>
        <w:spacing w:line="240" w:lineRule="exact"/>
        <w:jc w:val="both"/>
        <w:rPr>
          <w:color w:val="auto"/>
        </w:rPr>
      </w:pPr>
    </w:p>
    <w:p w:rsidR="00685325" w:rsidRPr="00006186" w:rsidRDefault="00685325" w:rsidP="00510F9C">
      <w:pPr>
        <w:tabs>
          <w:tab w:val="left" w:pos="288"/>
          <w:tab w:val="left" w:pos="4752"/>
        </w:tabs>
        <w:spacing w:line="240" w:lineRule="exact"/>
        <w:jc w:val="both"/>
        <w:rPr>
          <w:color w:val="auto"/>
        </w:rPr>
      </w:pPr>
    </w:p>
    <w:p w:rsidR="00685325" w:rsidRPr="00423148" w:rsidRDefault="00685325" w:rsidP="00423148">
      <w:pPr>
        <w:tabs>
          <w:tab w:val="left" w:pos="0"/>
          <w:tab w:val="left" w:pos="4320"/>
        </w:tabs>
        <w:spacing w:line="240" w:lineRule="exact"/>
        <w:jc w:val="both"/>
        <w:rPr>
          <w:color w:val="auto"/>
        </w:rPr>
      </w:pPr>
      <w:r>
        <w:rPr>
          <w:color w:val="auto"/>
        </w:rPr>
        <w:t xml:space="preserve">                             </w:t>
      </w:r>
      <w:r>
        <w:rPr>
          <w:color w:val="auto"/>
        </w:rPr>
        <w:tab/>
      </w:r>
      <w:r>
        <w:rPr>
          <w:color w:val="auto"/>
        </w:rPr>
        <w:tab/>
      </w:r>
      <w:r w:rsidR="00A77A29">
        <w:rPr>
          <w:color w:val="auto"/>
        </w:rPr>
        <w:t>XXXXXXXXXXXXXXXXXXXX</w:t>
      </w:r>
    </w:p>
    <w:p w:rsidR="00A77A29" w:rsidRDefault="00685325" w:rsidP="004C18DB">
      <w:pPr>
        <w:tabs>
          <w:tab w:val="left" w:pos="0"/>
          <w:tab w:val="left" w:pos="4320"/>
        </w:tabs>
        <w:spacing w:line="240" w:lineRule="exact"/>
        <w:jc w:val="both"/>
        <w:rPr>
          <w:color w:val="auto"/>
        </w:rPr>
      </w:pPr>
      <w:r w:rsidRPr="00423148">
        <w:rPr>
          <w:color w:val="auto"/>
        </w:rPr>
        <w:t xml:space="preserve">                             </w:t>
      </w:r>
      <w:r w:rsidRPr="00423148">
        <w:rPr>
          <w:color w:val="auto"/>
        </w:rPr>
        <w:tab/>
      </w:r>
      <w:r w:rsidRPr="00423148">
        <w:rPr>
          <w:color w:val="auto"/>
        </w:rPr>
        <w:tab/>
        <w:t>President</w:t>
      </w:r>
      <w:r w:rsidRPr="00423148">
        <w:rPr>
          <w:color w:val="auto"/>
        </w:rPr>
        <w:tab/>
        <w:t xml:space="preserve">                           </w:t>
      </w:r>
      <w:r w:rsidRPr="00423148">
        <w:rPr>
          <w:color w:val="auto"/>
        </w:rPr>
        <w:tab/>
      </w:r>
      <w:r w:rsidRPr="00423148">
        <w:rPr>
          <w:color w:val="auto"/>
        </w:rPr>
        <w:tab/>
      </w:r>
      <w:r w:rsidRPr="00423148">
        <w:rPr>
          <w:color w:val="auto"/>
        </w:rPr>
        <w:tab/>
      </w:r>
      <w:r w:rsidRPr="00423148">
        <w:rPr>
          <w:color w:val="auto"/>
        </w:rPr>
        <w:tab/>
        <w:t>Physical Disability Board of Review</w:t>
      </w:r>
    </w:p>
    <w:p w:rsidR="00A77A29" w:rsidRDefault="00A77A29">
      <w:pPr>
        <w:rPr>
          <w:color w:val="auto"/>
        </w:rPr>
      </w:pPr>
      <w:r>
        <w:rPr>
          <w:color w:val="auto"/>
        </w:rPr>
        <w:br w:type="page"/>
      </w:r>
    </w:p>
    <w:p w:rsidR="00A77A29" w:rsidRDefault="00A77A29" w:rsidP="00A77A29">
      <w:pPr>
        <w:tabs>
          <w:tab w:val="left" w:pos="576"/>
        </w:tabs>
        <w:spacing w:line="240" w:lineRule="exact"/>
        <w:ind w:right="-1080"/>
        <w:rPr>
          <w:rFonts w:ascii="Times New Roman" w:hAnsi="Times New Roman"/>
          <w:color w:val="auto"/>
        </w:rPr>
      </w:pPr>
      <w:r>
        <w:rPr>
          <w:rFonts w:ascii="Times New Roman" w:hAnsi="Times New Roman"/>
          <w:color w:val="auto"/>
        </w:rPr>
        <w:lastRenderedPageBreak/>
        <w:t>SAF/MRB</w:t>
      </w:r>
    </w:p>
    <w:p w:rsidR="00A77A29" w:rsidRDefault="00A77A29" w:rsidP="00A77A29">
      <w:pPr>
        <w:tabs>
          <w:tab w:val="left" w:pos="576"/>
        </w:tabs>
        <w:spacing w:line="240" w:lineRule="exact"/>
        <w:ind w:right="-1080"/>
        <w:rPr>
          <w:rFonts w:ascii="Times New Roman" w:hAnsi="Times New Roman"/>
          <w:color w:val="auto"/>
        </w:rPr>
      </w:pPr>
      <w:r>
        <w:rPr>
          <w:rFonts w:ascii="Times New Roman" w:hAnsi="Times New Roman"/>
          <w:color w:val="auto"/>
        </w:rPr>
        <w:t>1500 West Perimeter Road, Suite 3700</w:t>
      </w:r>
    </w:p>
    <w:p w:rsidR="00A77A29" w:rsidRDefault="00A77A29" w:rsidP="00A77A29">
      <w:pPr>
        <w:tabs>
          <w:tab w:val="left" w:pos="576"/>
        </w:tabs>
        <w:spacing w:line="240" w:lineRule="exact"/>
        <w:ind w:right="-1080"/>
        <w:rPr>
          <w:rFonts w:ascii="Times New Roman" w:hAnsi="Times New Roman"/>
          <w:color w:val="auto"/>
        </w:rPr>
      </w:pPr>
      <w:r>
        <w:rPr>
          <w:rFonts w:ascii="Times New Roman" w:hAnsi="Times New Roman"/>
          <w:color w:val="auto"/>
        </w:rPr>
        <w:t>Joint Base Andrews MD  20762</w:t>
      </w:r>
    </w:p>
    <w:p w:rsidR="00A77A29" w:rsidRDefault="00A77A29" w:rsidP="00A77A29">
      <w:pPr>
        <w:tabs>
          <w:tab w:val="left" w:pos="576"/>
        </w:tabs>
        <w:spacing w:line="240" w:lineRule="exact"/>
        <w:ind w:right="-1080"/>
        <w:rPr>
          <w:rFonts w:ascii="Times New Roman" w:hAnsi="Times New Roman"/>
          <w:color w:val="auto"/>
        </w:rPr>
      </w:pPr>
    </w:p>
    <w:p w:rsidR="00A77A29" w:rsidRDefault="00A77A29" w:rsidP="00A77A29">
      <w:pPr>
        <w:tabs>
          <w:tab w:val="left" w:pos="720"/>
        </w:tabs>
        <w:spacing w:line="240" w:lineRule="exact"/>
        <w:ind w:right="-1080"/>
        <w:rPr>
          <w:rFonts w:ascii="Times New Roman" w:hAnsi="Times New Roman"/>
          <w:color w:val="auto"/>
        </w:rPr>
      </w:pPr>
      <w:r>
        <w:rPr>
          <w:rFonts w:ascii="Times New Roman" w:hAnsi="Times New Roman"/>
          <w:color w:val="auto"/>
        </w:rPr>
        <w:t>Dear XXXXXXXXX</w:t>
      </w:r>
    </w:p>
    <w:p w:rsidR="00A77A29" w:rsidRDefault="00A77A29" w:rsidP="00A77A29">
      <w:pPr>
        <w:tabs>
          <w:tab w:val="left" w:pos="720"/>
        </w:tabs>
        <w:spacing w:line="240" w:lineRule="exact"/>
        <w:ind w:right="-1080"/>
        <w:rPr>
          <w:rFonts w:ascii="Times New Roman" w:hAnsi="Times New Roman"/>
          <w:color w:val="auto"/>
        </w:rPr>
      </w:pPr>
    </w:p>
    <w:p w:rsidR="00A77A29" w:rsidRDefault="00A77A29" w:rsidP="00A77A29">
      <w:pPr>
        <w:tabs>
          <w:tab w:val="left" w:pos="720"/>
        </w:tabs>
        <w:spacing w:line="240" w:lineRule="exact"/>
        <w:rPr>
          <w:rFonts w:ascii="Times New Roman" w:hAnsi="Times New Roman"/>
          <w:color w:val="auto"/>
        </w:rPr>
      </w:pPr>
      <w:r>
        <w:rPr>
          <w:rFonts w:ascii="Times New Roman" w:hAnsi="Times New Roman"/>
          <w:color w:val="auto"/>
        </w:rPr>
        <w:tab/>
        <w:t>Reference your application submitted under the provisions of DoDI 6040.44 (Title 10 U.S.C. §</w:t>
      </w:r>
      <w:proofErr w:type="gramStart"/>
      <w:r>
        <w:rPr>
          <w:rFonts w:ascii="Times New Roman" w:hAnsi="Times New Roman"/>
          <w:color w:val="auto"/>
        </w:rPr>
        <w:t>  1554a</w:t>
      </w:r>
      <w:proofErr w:type="gramEnd"/>
      <w:r>
        <w:rPr>
          <w:rFonts w:ascii="Times New Roman" w:hAnsi="Times New Roman"/>
          <w:color w:val="auto"/>
        </w:rPr>
        <w:t>), PDBR Case Number PD-2011-00333</w:t>
      </w:r>
    </w:p>
    <w:p w:rsidR="00A77A29" w:rsidRDefault="00A77A29" w:rsidP="00A77A29">
      <w:pPr>
        <w:tabs>
          <w:tab w:val="left" w:pos="720"/>
        </w:tabs>
        <w:spacing w:line="240" w:lineRule="exact"/>
        <w:rPr>
          <w:rFonts w:ascii="Times New Roman" w:hAnsi="Times New Roman"/>
          <w:color w:val="auto"/>
        </w:rPr>
      </w:pPr>
    </w:p>
    <w:p w:rsidR="00A77A29" w:rsidRDefault="00A77A29" w:rsidP="00A77A29">
      <w:pPr>
        <w:tabs>
          <w:tab w:val="left" w:pos="720"/>
        </w:tabs>
        <w:spacing w:line="240" w:lineRule="exact"/>
        <w:rPr>
          <w:rFonts w:ascii="Times New Roman" w:hAnsi="Times New Roman"/>
          <w:color w:val="auto"/>
        </w:rPr>
      </w:pPr>
      <w:r>
        <w:rPr>
          <w:rFonts w:ascii="Times New Roman" w:hAnsi="Times New Roman"/>
          <w:color w:val="auto"/>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A77A29" w:rsidRDefault="00A77A29" w:rsidP="00A77A29">
      <w:pPr>
        <w:tabs>
          <w:tab w:val="left" w:pos="720"/>
        </w:tabs>
        <w:spacing w:line="240" w:lineRule="exact"/>
        <w:ind w:right="-1080"/>
        <w:rPr>
          <w:rFonts w:ascii="Times New Roman" w:hAnsi="Times New Roman"/>
          <w:color w:val="auto"/>
        </w:rPr>
      </w:pPr>
    </w:p>
    <w:p w:rsidR="00A77A29" w:rsidRDefault="00A77A29" w:rsidP="00A77A29">
      <w:pPr>
        <w:tabs>
          <w:tab w:val="left" w:pos="720"/>
        </w:tabs>
        <w:spacing w:line="240" w:lineRule="exact"/>
        <w:rPr>
          <w:rFonts w:ascii="Times New Roman" w:hAnsi="Times New Roman"/>
          <w:color w:val="auto"/>
        </w:rPr>
      </w:pPr>
      <w:r>
        <w:rPr>
          <w:rFonts w:ascii="Times New Roman" w:hAnsi="Times New Roman"/>
          <w:color w:val="auto"/>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A77A29" w:rsidRDefault="00A77A29" w:rsidP="00A77A29">
      <w:pPr>
        <w:pStyle w:val="BodyText2"/>
        <w:rPr>
          <w:rFonts w:ascii="Times New Roman" w:hAnsi="Times New Roman"/>
          <w:color w:val="auto"/>
        </w:rPr>
      </w:pPr>
    </w:p>
    <w:p w:rsidR="00A77A29" w:rsidRDefault="00A77A29" w:rsidP="00A77A29">
      <w:pPr>
        <w:tabs>
          <w:tab w:val="left" w:pos="720"/>
        </w:tabs>
        <w:spacing w:line="240" w:lineRule="exact"/>
        <w:ind w:right="-1080"/>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Sincerely,</w:t>
      </w:r>
    </w:p>
    <w:p w:rsidR="00A77A29" w:rsidRDefault="00A77A29" w:rsidP="00A77A29">
      <w:pPr>
        <w:tabs>
          <w:tab w:val="left" w:pos="720"/>
        </w:tabs>
        <w:spacing w:line="240" w:lineRule="exact"/>
        <w:ind w:right="-1080"/>
        <w:rPr>
          <w:rFonts w:ascii="Times New Roman" w:hAnsi="Times New Roman"/>
          <w:color w:val="auto"/>
        </w:rPr>
      </w:pPr>
    </w:p>
    <w:p w:rsidR="00A77A29" w:rsidRDefault="00A77A29" w:rsidP="00A77A29">
      <w:pPr>
        <w:tabs>
          <w:tab w:val="left" w:pos="720"/>
        </w:tabs>
        <w:spacing w:line="240" w:lineRule="exact"/>
        <w:ind w:right="-1080"/>
        <w:rPr>
          <w:rFonts w:ascii="Times New Roman" w:hAnsi="Times New Roman"/>
          <w:color w:val="auto"/>
        </w:rPr>
      </w:pPr>
    </w:p>
    <w:p w:rsidR="00A77A29" w:rsidRDefault="00A77A29" w:rsidP="00A77A29">
      <w:pPr>
        <w:tabs>
          <w:tab w:val="left" w:pos="720"/>
        </w:tabs>
        <w:spacing w:line="240" w:lineRule="exact"/>
        <w:ind w:right="-1080"/>
        <w:rPr>
          <w:rFonts w:ascii="Times New Roman" w:hAnsi="Times New Roman"/>
          <w:color w:val="auto"/>
        </w:rPr>
      </w:pPr>
    </w:p>
    <w:p w:rsidR="00A77A29" w:rsidRDefault="00A77A29" w:rsidP="00A77A29">
      <w:pPr>
        <w:tabs>
          <w:tab w:val="left" w:pos="720"/>
        </w:tabs>
        <w:spacing w:line="240" w:lineRule="exact"/>
        <w:ind w:right="-1080"/>
        <w:rPr>
          <w:rFonts w:ascii="Times New Roman" w:hAnsi="Times New Roman"/>
          <w:color w:val="auto"/>
        </w:rPr>
      </w:pPr>
    </w:p>
    <w:p w:rsidR="00A77A29" w:rsidRDefault="00A77A29" w:rsidP="00A77A29">
      <w:pPr>
        <w:tabs>
          <w:tab w:val="left" w:pos="720"/>
        </w:tabs>
        <w:spacing w:line="240" w:lineRule="exact"/>
        <w:ind w:right="-1080"/>
        <w:rPr>
          <w:rFonts w:ascii="Times New Roman" w:hAnsi="Times New Roman"/>
          <w:color w:val="auto"/>
        </w:rPr>
      </w:pPr>
    </w:p>
    <w:p w:rsidR="00A77A29" w:rsidRDefault="00A77A29" w:rsidP="00A77A29">
      <w:pPr>
        <w:tabs>
          <w:tab w:val="left" w:pos="720"/>
        </w:tabs>
        <w:spacing w:line="240" w:lineRule="exact"/>
        <w:ind w:left="5040" w:right="-1080"/>
        <w:rPr>
          <w:rFonts w:ascii="Times New Roman" w:hAnsi="Times New Roman"/>
          <w:color w:val="auto"/>
        </w:rPr>
      </w:pPr>
      <w:r>
        <w:rPr>
          <w:rFonts w:ascii="Times New Roman" w:hAnsi="Times New Roman"/>
          <w:color w:val="auto"/>
        </w:rPr>
        <w:t>XXXXXXXXXXX</w:t>
      </w:r>
    </w:p>
    <w:p w:rsidR="00A77A29" w:rsidRDefault="00A77A29" w:rsidP="00A77A29">
      <w:pPr>
        <w:tabs>
          <w:tab w:val="left" w:pos="720"/>
        </w:tabs>
        <w:spacing w:line="240" w:lineRule="exact"/>
        <w:ind w:left="5040" w:right="-1080"/>
        <w:rPr>
          <w:rFonts w:ascii="Times New Roman" w:hAnsi="Times New Roman"/>
          <w:color w:val="auto"/>
        </w:rPr>
      </w:pPr>
      <w:r>
        <w:rPr>
          <w:rFonts w:ascii="Times New Roman" w:hAnsi="Times New Roman"/>
          <w:color w:val="auto"/>
        </w:rPr>
        <w:t>Director</w:t>
      </w:r>
    </w:p>
    <w:p w:rsidR="00A77A29" w:rsidRDefault="00A77A29" w:rsidP="00A77A29">
      <w:pPr>
        <w:tabs>
          <w:tab w:val="left" w:pos="720"/>
        </w:tabs>
        <w:spacing w:line="240" w:lineRule="exact"/>
        <w:ind w:left="5040" w:right="-1080"/>
        <w:rPr>
          <w:rFonts w:ascii="Times New Roman" w:hAnsi="Times New Roman"/>
          <w:color w:val="auto"/>
        </w:rPr>
      </w:pPr>
      <w:r>
        <w:rPr>
          <w:rFonts w:ascii="Times New Roman" w:hAnsi="Times New Roman"/>
          <w:color w:val="auto"/>
        </w:rPr>
        <w:t>Air Force Review Boards Agency</w:t>
      </w:r>
    </w:p>
    <w:p w:rsidR="002C5AF6" w:rsidRPr="006B54DC" w:rsidRDefault="002C5AF6" w:rsidP="004C18DB">
      <w:pPr>
        <w:tabs>
          <w:tab w:val="left" w:pos="0"/>
          <w:tab w:val="left" w:pos="4320"/>
        </w:tabs>
        <w:spacing w:line="240" w:lineRule="exact"/>
        <w:jc w:val="both"/>
        <w:rPr>
          <w:color w:val="auto"/>
        </w:rPr>
      </w:pPr>
    </w:p>
    <w:sectPr w:rsidR="002C5AF6" w:rsidRPr="006B54DC" w:rsidSect="002A5C3C">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5D9" w:rsidRDefault="000865D9">
      <w:r>
        <w:separator/>
      </w:r>
    </w:p>
  </w:endnote>
  <w:endnote w:type="continuationSeparator" w:id="0">
    <w:p w:rsidR="000865D9" w:rsidRDefault="000865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325" w:rsidRPr="00684CE6" w:rsidRDefault="00F95E81" w:rsidP="00F65ED5">
    <w:pPr>
      <w:pStyle w:val="Footer"/>
      <w:jc w:val="right"/>
      <w:rPr>
        <w:color w:val="auto"/>
      </w:rPr>
    </w:pPr>
    <w:fldSimple w:instr=" PAGE   \* MERGEFORMAT ">
      <w:r w:rsidR="00A77A29" w:rsidRPr="00A77A29">
        <w:rPr>
          <w:noProof/>
          <w:color w:val="auto"/>
        </w:rPr>
        <w:t>2</w:t>
      </w:r>
    </w:fldSimple>
    <w:r w:rsidR="00685325" w:rsidRPr="00684CE6">
      <w:rPr>
        <w:color w:val="auto"/>
      </w:rPr>
      <w:t xml:space="preserve">                                                                   PD1001031</w:t>
    </w:r>
  </w:p>
  <w:p w:rsidR="00685325" w:rsidRPr="00684CE6" w:rsidRDefault="00685325" w:rsidP="00F65ED5">
    <w:pPr>
      <w:pStyle w:val="Footer"/>
      <w:jc w:val="right"/>
      <w:rPr>
        <w:color w:val="auto"/>
      </w:rPr>
    </w:pPr>
  </w:p>
  <w:p w:rsidR="00685325" w:rsidRPr="00684CE6" w:rsidRDefault="00685325">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5D9" w:rsidRDefault="000865D9">
      <w:r>
        <w:separator/>
      </w:r>
    </w:p>
  </w:footnote>
  <w:footnote w:type="continuationSeparator" w:id="0">
    <w:p w:rsidR="000865D9" w:rsidRDefault="000865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132"/>
    <w:rsid w:val="00012428"/>
    <w:rsid w:val="00012733"/>
    <w:rsid w:val="00013417"/>
    <w:rsid w:val="000145C2"/>
    <w:rsid w:val="0001473F"/>
    <w:rsid w:val="00014A9E"/>
    <w:rsid w:val="00021361"/>
    <w:rsid w:val="00022CF3"/>
    <w:rsid w:val="00023913"/>
    <w:rsid w:val="00023D43"/>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019"/>
    <w:rsid w:val="000575C5"/>
    <w:rsid w:val="000577C9"/>
    <w:rsid w:val="00060FFD"/>
    <w:rsid w:val="0006431E"/>
    <w:rsid w:val="000652EA"/>
    <w:rsid w:val="00065E21"/>
    <w:rsid w:val="000673ED"/>
    <w:rsid w:val="00070DED"/>
    <w:rsid w:val="00072433"/>
    <w:rsid w:val="0007488B"/>
    <w:rsid w:val="00075702"/>
    <w:rsid w:val="00075A0C"/>
    <w:rsid w:val="000775C2"/>
    <w:rsid w:val="000806AD"/>
    <w:rsid w:val="00080BDF"/>
    <w:rsid w:val="00082482"/>
    <w:rsid w:val="00084CF2"/>
    <w:rsid w:val="00085D7B"/>
    <w:rsid w:val="000865D9"/>
    <w:rsid w:val="0008708B"/>
    <w:rsid w:val="00092619"/>
    <w:rsid w:val="00092C66"/>
    <w:rsid w:val="000933EC"/>
    <w:rsid w:val="000949DD"/>
    <w:rsid w:val="00094E4F"/>
    <w:rsid w:val="000A2BCE"/>
    <w:rsid w:val="000A33C8"/>
    <w:rsid w:val="000A41E3"/>
    <w:rsid w:val="000A4BBA"/>
    <w:rsid w:val="000A5071"/>
    <w:rsid w:val="000B0AD2"/>
    <w:rsid w:val="000B1022"/>
    <w:rsid w:val="000B1FA6"/>
    <w:rsid w:val="000B2FB8"/>
    <w:rsid w:val="000B4C99"/>
    <w:rsid w:val="000B4DB3"/>
    <w:rsid w:val="000B51C3"/>
    <w:rsid w:val="000C06F6"/>
    <w:rsid w:val="000C1D34"/>
    <w:rsid w:val="000C2362"/>
    <w:rsid w:val="000C2FA8"/>
    <w:rsid w:val="000C3B6E"/>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F02BE"/>
    <w:rsid w:val="000F0928"/>
    <w:rsid w:val="000F427B"/>
    <w:rsid w:val="000F43D0"/>
    <w:rsid w:val="000F4AA6"/>
    <w:rsid w:val="000F4F18"/>
    <w:rsid w:val="000F688E"/>
    <w:rsid w:val="000F7181"/>
    <w:rsid w:val="001007CE"/>
    <w:rsid w:val="001008C1"/>
    <w:rsid w:val="001023DB"/>
    <w:rsid w:val="00102B8D"/>
    <w:rsid w:val="00103948"/>
    <w:rsid w:val="00103CCF"/>
    <w:rsid w:val="0010417F"/>
    <w:rsid w:val="001042D2"/>
    <w:rsid w:val="0010530E"/>
    <w:rsid w:val="00105B8A"/>
    <w:rsid w:val="00105C07"/>
    <w:rsid w:val="00106395"/>
    <w:rsid w:val="00106AD8"/>
    <w:rsid w:val="00107EC5"/>
    <w:rsid w:val="001103CD"/>
    <w:rsid w:val="001123A7"/>
    <w:rsid w:val="00113D2A"/>
    <w:rsid w:val="00114F20"/>
    <w:rsid w:val="0011590B"/>
    <w:rsid w:val="00117654"/>
    <w:rsid w:val="001211AF"/>
    <w:rsid w:val="001219DF"/>
    <w:rsid w:val="0012220B"/>
    <w:rsid w:val="001222C6"/>
    <w:rsid w:val="00122ABE"/>
    <w:rsid w:val="001231DC"/>
    <w:rsid w:val="0012489B"/>
    <w:rsid w:val="001272AE"/>
    <w:rsid w:val="00130756"/>
    <w:rsid w:val="001315DD"/>
    <w:rsid w:val="0013525F"/>
    <w:rsid w:val="00135385"/>
    <w:rsid w:val="001364D1"/>
    <w:rsid w:val="001374C7"/>
    <w:rsid w:val="00142021"/>
    <w:rsid w:val="001421FD"/>
    <w:rsid w:val="001425C8"/>
    <w:rsid w:val="00142EBA"/>
    <w:rsid w:val="00143B79"/>
    <w:rsid w:val="00145965"/>
    <w:rsid w:val="00150B8A"/>
    <w:rsid w:val="00150DCB"/>
    <w:rsid w:val="00151912"/>
    <w:rsid w:val="00153740"/>
    <w:rsid w:val="00153D88"/>
    <w:rsid w:val="001541C5"/>
    <w:rsid w:val="0015623F"/>
    <w:rsid w:val="00156585"/>
    <w:rsid w:val="00156BA9"/>
    <w:rsid w:val="00161642"/>
    <w:rsid w:val="00161761"/>
    <w:rsid w:val="00166182"/>
    <w:rsid w:val="0017139A"/>
    <w:rsid w:val="001724C8"/>
    <w:rsid w:val="001732C4"/>
    <w:rsid w:val="001745DD"/>
    <w:rsid w:val="00174FDE"/>
    <w:rsid w:val="00174FE3"/>
    <w:rsid w:val="00177659"/>
    <w:rsid w:val="001779E5"/>
    <w:rsid w:val="001802A0"/>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97705"/>
    <w:rsid w:val="001A025E"/>
    <w:rsid w:val="001A08CD"/>
    <w:rsid w:val="001A0A1E"/>
    <w:rsid w:val="001A2182"/>
    <w:rsid w:val="001A323E"/>
    <w:rsid w:val="001A36E4"/>
    <w:rsid w:val="001A5320"/>
    <w:rsid w:val="001A5E62"/>
    <w:rsid w:val="001A6848"/>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3EC4"/>
    <w:rsid w:val="001C5BDA"/>
    <w:rsid w:val="001C5CFC"/>
    <w:rsid w:val="001C7231"/>
    <w:rsid w:val="001C7418"/>
    <w:rsid w:val="001C7EBE"/>
    <w:rsid w:val="001D0051"/>
    <w:rsid w:val="001D169A"/>
    <w:rsid w:val="001D2224"/>
    <w:rsid w:val="001D30C7"/>
    <w:rsid w:val="001D31AA"/>
    <w:rsid w:val="001D3DC0"/>
    <w:rsid w:val="001D4F88"/>
    <w:rsid w:val="001D68CF"/>
    <w:rsid w:val="001D6A8C"/>
    <w:rsid w:val="001D6E67"/>
    <w:rsid w:val="001D7A56"/>
    <w:rsid w:val="001E15C0"/>
    <w:rsid w:val="001E18E0"/>
    <w:rsid w:val="001E18E2"/>
    <w:rsid w:val="001E19D0"/>
    <w:rsid w:val="001E2A30"/>
    <w:rsid w:val="001E2FF1"/>
    <w:rsid w:val="001E41FE"/>
    <w:rsid w:val="001E635C"/>
    <w:rsid w:val="001F0297"/>
    <w:rsid w:val="001F4E02"/>
    <w:rsid w:val="00200AA0"/>
    <w:rsid w:val="00202325"/>
    <w:rsid w:val="00202736"/>
    <w:rsid w:val="00202EFA"/>
    <w:rsid w:val="00203652"/>
    <w:rsid w:val="00204562"/>
    <w:rsid w:val="002052DD"/>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0E3B"/>
    <w:rsid w:val="002310C3"/>
    <w:rsid w:val="002316F6"/>
    <w:rsid w:val="00232C9B"/>
    <w:rsid w:val="00232E73"/>
    <w:rsid w:val="00232F09"/>
    <w:rsid w:val="002335D5"/>
    <w:rsid w:val="002338CA"/>
    <w:rsid w:val="00233AC4"/>
    <w:rsid w:val="00233FE5"/>
    <w:rsid w:val="00234115"/>
    <w:rsid w:val="00234B3B"/>
    <w:rsid w:val="00234D98"/>
    <w:rsid w:val="00236018"/>
    <w:rsid w:val="002374C9"/>
    <w:rsid w:val="0024174E"/>
    <w:rsid w:val="00242238"/>
    <w:rsid w:val="0024227D"/>
    <w:rsid w:val="00242D14"/>
    <w:rsid w:val="002432F4"/>
    <w:rsid w:val="00244E78"/>
    <w:rsid w:val="00246860"/>
    <w:rsid w:val="002468D9"/>
    <w:rsid w:val="00246DFF"/>
    <w:rsid w:val="00246E89"/>
    <w:rsid w:val="0025183C"/>
    <w:rsid w:val="00252351"/>
    <w:rsid w:val="002528EC"/>
    <w:rsid w:val="00253EAA"/>
    <w:rsid w:val="00255049"/>
    <w:rsid w:val="00257AFF"/>
    <w:rsid w:val="00257DE5"/>
    <w:rsid w:val="00260531"/>
    <w:rsid w:val="00260B9A"/>
    <w:rsid w:val="002613E4"/>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77F7F"/>
    <w:rsid w:val="002810A4"/>
    <w:rsid w:val="00282DB6"/>
    <w:rsid w:val="00284A26"/>
    <w:rsid w:val="00285095"/>
    <w:rsid w:val="00287006"/>
    <w:rsid w:val="00292397"/>
    <w:rsid w:val="00292AB2"/>
    <w:rsid w:val="00293DB6"/>
    <w:rsid w:val="00293FE8"/>
    <w:rsid w:val="00294437"/>
    <w:rsid w:val="00297140"/>
    <w:rsid w:val="00297A45"/>
    <w:rsid w:val="00297E20"/>
    <w:rsid w:val="002A1CCE"/>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645"/>
    <w:rsid w:val="002C0DEA"/>
    <w:rsid w:val="002C3420"/>
    <w:rsid w:val="002C34F6"/>
    <w:rsid w:val="002C3B6D"/>
    <w:rsid w:val="002C492D"/>
    <w:rsid w:val="002C5AF6"/>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F2E"/>
    <w:rsid w:val="002F0D6A"/>
    <w:rsid w:val="002F0E28"/>
    <w:rsid w:val="002F287E"/>
    <w:rsid w:val="002F2981"/>
    <w:rsid w:val="002F2D63"/>
    <w:rsid w:val="002F6AD8"/>
    <w:rsid w:val="002F7F81"/>
    <w:rsid w:val="00300A36"/>
    <w:rsid w:val="00301B45"/>
    <w:rsid w:val="00305856"/>
    <w:rsid w:val="0030678B"/>
    <w:rsid w:val="00306D16"/>
    <w:rsid w:val="00307595"/>
    <w:rsid w:val="0031005E"/>
    <w:rsid w:val="00310CD7"/>
    <w:rsid w:val="00313D7A"/>
    <w:rsid w:val="0031549C"/>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A4F"/>
    <w:rsid w:val="00344D17"/>
    <w:rsid w:val="0034669F"/>
    <w:rsid w:val="00350428"/>
    <w:rsid w:val="00351498"/>
    <w:rsid w:val="00352B22"/>
    <w:rsid w:val="00352CBF"/>
    <w:rsid w:val="00354547"/>
    <w:rsid w:val="003549F5"/>
    <w:rsid w:val="0035608C"/>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5F1"/>
    <w:rsid w:val="00376B81"/>
    <w:rsid w:val="00376E08"/>
    <w:rsid w:val="00377BD2"/>
    <w:rsid w:val="00380FD4"/>
    <w:rsid w:val="00381E16"/>
    <w:rsid w:val="003821E1"/>
    <w:rsid w:val="00383DFB"/>
    <w:rsid w:val="003840F6"/>
    <w:rsid w:val="00384866"/>
    <w:rsid w:val="003857D4"/>
    <w:rsid w:val="00385D6F"/>
    <w:rsid w:val="00386D43"/>
    <w:rsid w:val="00387095"/>
    <w:rsid w:val="00387E95"/>
    <w:rsid w:val="00390092"/>
    <w:rsid w:val="00391858"/>
    <w:rsid w:val="00392A25"/>
    <w:rsid w:val="00393651"/>
    <w:rsid w:val="00394926"/>
    <w:rsid w:val="00394FF9"/>
    <w:rsid w:val="00395651"/>
    <w:rsid w:val="00395E12"/>
    <w:rsid w:val="003962A8"/>
    <w:rsid w:val="00396779"/>
    <w:rsid w:val="003967E0"/>
    <w:rsid w:val="00397DB7"/>
    <w:rsid w:val="003A27B2"/>
    <w:rsid w:val="003A40B4"/>
    <w:rsid w:val="003A41BA"/>
    <w:rsid w:val="003A5491"/>
    <w:rsid w:val="003A5884"/>
    <w:rsid w:val="003A5958"/>
    <w:rsid w:val="003A6A99"/>
    <w:rsid w:val="003A6E60"/>
    <w:rsid w:val="003A7FF8"/>
    <w:rsid w:val="003B17AC"/>
    <w:rsid w:val="003B227A"/>
    <w:rsid w:val="003B2947"/>
    <w:rsid w:val="003B3282"/>
    <w:rsid w:val="003B3A77"/>
    <w:rsid w:val="003B4319"/>
    <w:rsid w:val="003B5854"/>
    <w:rsid w:val="003B6764"/>
    <w:rsid w:val="003B7A8B"/>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6B97"/>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2C51"/>
    <w:rsid w:val="00415EA4"/>
    <w:rsid w:val="0041604B"/>
    <w:rsid w:val="004172DB"/>
    <w:rsid w:val="00420A1D"/>
    <w:rsid w:val="00421485"/>
    <w:rsid w:val="004216DA"/>
    <w:rsid w:val="00422B75"/>
    <w:rsid w:val="00423148"/>
    <w:rsid w:val="00424612"/>
    <w:rsid w:val="0042528C"/>
    <w:rsid w:val="00425672"/>
    <w:rsid w:val="00425A6A"/>
    <w:rsid w:val="00427F54"/>
    <w:rsid w:val="004313C4"/>
    <w:rsid w:val="004316FD"/>
    <w:rsid w:val="00433F36"/>
    <w:rsid w:val="00434860"/>
    <w:rsid w:val="0043503A"/>
    <w:rsid w:val="00437B8A"/>
    <w:rsid w:val="00437D18"/>
    <w:rsid w:val="00437D77"/>
    <w:rsid w:val="00442ACB"/>
    <w:rsid w:val="004435BE"/>
    <w:rsid w:val="0044384F"/>
    <w:rsid w:val="0044411E"/>
    <w:rsid w:val="00444472"/>
    <w:rsid w:val="00444F80"/>
    <w:rsid w:val="00445599"/>
    <w:rsid w:val="00446018"/>
    <w:rsid w:val="00447851"/>
    <w:rsid w:val="0045027B"/>
    <w:rsid w:val="004504E7"/>
    <w:rsid w:val="00451F9D"/>
    <w:rsid w:val="00453167"/>
    <w:rsid w:val="004543BC"/>
    <w:rsid w:val="0045645D"/>
    <w:rsid w:val="004574C6"/>
    <w:rsid w:val="00457743"/>
    <w:rsid w:val="00457BCF"/>
    <w:rsid w:val="00457DCE"/>
    <w:rsid w:val="00460E3F"/>
    <w:rsid w:val="0046111A"/>
    <w:rsid w:val="00461489"/>
    <w:rsid w:val="00462F68"/>
    <w:rsid w:val="0046369B"/>
    <w:rsid w:val="004640E9"/>
    <w:rsid w:val="004657EC"/>
    <w:rsid w:val="00466CED"/>
    <w:rsid w:val="00466EB5"/>
    <w:rsid w:val="00467592"/>
    <w:rsid w:val="00467690"/>
    <w:rsid w:val="004718E7"/>
    <w:rsid w:val="00472289"/>
    <w:rsid w:val="00472535"/>
    <w:rsid w:val="004761CC"/>
    <w:rsid w:val="004766C9"/>
    <w:rsid w:val="00480D4A"/>
    <w:rsid w:val="00481DA1"/>
    <w:rsid w:val="00483A2B"/>
    <w:rsid w:val="00483F6F"/>
    <w:rsid w:val="00484212"/>
    <w:rsid w:val="00484BA9"/>
    <w:rsid w:val="0048599A"/>
    <w:rsid w:val="00486818"/>
    <w:rsid w:val="00487EE2"/>
    <w:rsid w:val="00491784"/>
    <w:rsid w:val="0049255F"/>
    <w:rsid w:val="0049445D"/>
    <w:rsid w:val="00495350"/>
    <w:rsid w:val="00495E3C"/>
    <w:rsid w:val="00497156"/>
    <w:rsid w:val="004A0C79"/>
    <w:rsid w:val="004A24D2"/>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8DB"/>
    <w:rsid w:val="004C1EF8"/>
    <w:rsid w:val="004C2063"/>
    <w:rsid w:val="004C24C5"/>
    <w:rsid w:val="004C47D5"/>
    <w:rsid w:val="004C4CAF"/>
    <w:rsid w:val="004C5E33"/>
    <w:rsid w:val="004C60A3"/>
    <w:rsid w:val="004C6CDA"/>
    <w:rsid w:val="004D10D4"/>
    <w:rsid w:val="004D16BD"/>
    <w:rsid w:val="004D2AAB"/>
    <w:rsid w:val="004D6312"/>
    <w:rsid w:val="004D6E90"/>
    <w:rsid w:val="004D6F2B"/>
    <w:rsid w:val="004E0248"/>
    <w:rsid w:val="004E21A3"/>
    <w:rsid w:val="004E32EA"/>
    <w:rsid w:val="004E5C6C"/>
    <w:rsid w:val="004E6866"/>
    <w:rsid w:val="004F0C58"/>
    <w:rsid w:val="004F3222"/>
    <w:rsid w:val="004F3639"/>
    <w:rsid w:val="004F3BFA"/>
    <w:rsid w:val="004F4E3C"/>
    <w:rsid w:val="004F5A1A"/>
    <w:rsid w:val="004F5D27"/>
    <w:rsid w:val="004F77A3"/>
    <w:rsid w:val="005000AB"/>
    <w:rsid w:val="00500F3C"/>
    <w:rsid w:val="005025EE"/>
    <w:rsid w:val="00503DDF"/>
    <w:rsid w:val="00505524"/>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27ED7"/>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2B4"/>
    <w:rsid w:val="00560D57"/>
    <w:rsid w:val="00562A94"/>
    <w:rsid w:val="00563FAD"/>
    <w:rsid w:val="00565A09"/>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6EC6"/>
    <w:rsid w:val="00587DDE"/>
    <w:rsid w:val="00591815"/>
    <w:rsid w:val="00593043"/>
    <w:rsid w:val="00595B60"/>
    <w:rsid w:val="00595BF0"/>
    <w:rsid w:val="00597E16"/>
    <w:rsid w:val="005A0B1D"/>
    <w:rsid w:val="005A10FA"/>
    <w:rsid w:val="005A1846"/>
    <w:rsid w:val="005A1CA4"/>
    <w:rsid w:val="005A258C"/>
    <w:rsid w:val="005A3560"/>
    <w:rsid w:val="005A464E"/>
    <w:rsid w:val="005A62FC"/>
    <w:rsid w:val="005A6C99"/>
    <w:rsid w:val="005A7D5D"/>
    <w:rsid w:val="005B0040"/>
    <w:rsid w:val="005B011A"/>
    <w:rsid w:val="005B0283"/>
    <w:rsid w:val="005B1ADA"/>
    <w:rsid w:val="005B1D8F"/>
    <w:rsid w:val="005B1E94"/>
    <w:rsid w:val="005B576F"/>
    <w:rsid w:val="005B5B3D"/>
    <w:rsid w:val="005B64CF"/>
    <w:rsid w:val="005C0E87"/>
    <w:rsid w:val="005C16F3"/>
    <w:rsid w:val="005C3758"/>
    <w:rsid w:val="005C4D72"/>
    <w:rsid w:val="005C50C1"/>
    <w:rsid w:val="005C62C2"/>
    <w:rsid w:val="005D2306"/>
    <w:rsid w:val="005D4A74"/>
    <w:rsid w:val="005D5E91"/>
    <w:rsid w:val="005D67EF"/>
    <w:rsid w:val="005E3064"/>
    <w:rsid w:val="005E45C3"/>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28CE"/>
    <w:rsid w:val="00612FB0"/>
    <w:rsid w:val="0061356D"/>
    <w:rsid w:val="00613BC8"/>
    <w:rsid w:val="00613E26"/>
    <w:rsid w:val="00615641"/>
    <w:rsid w:val="00616959"/>
    <w:rsid w:val="0062036E"/>
    <w:rsid w:val="006211D0"/>
    <w:rsid w:val="00621595"/>
    <w:rsid w:val="0062359D"/>
    <w:rsid w:val="00623634"/>
    <w:rsid w:val="00624D0C"/>
    <w:rsid w:val="006274B4"/>
    <w:rsid w:val="00627719"/>
    <w:rsid w:val="006307BA"/>
    <w:rsid w:val="006315BA"/>
    <w:rsid w:val="00634C4A"/>
    <w:rsid w:val="0063532E"/>
    <w:rsid w:val="00637063"/>
    <w:rsid w:val="0063737C"/>
    <w:rsid w:val="00637BDC"/>
    <w:rsid w:val="00640622"/>
    <w:rsid w:val="006418C9"/>
    <w:rsid w:val="00642BD6"/>
    <w:rsid w:val="00645046"/>
    <w:rsid w:val="0064527A"/>
    <w:rsid w:val="006458FD"/>
    <w:rsid w:val="00645A08"/>
    <w:rsid w:val="00645EA2"/>
    <w:rsid w:val="00651E6D"/>
    <w:rsid w:val="00652D28"/>
    <w:rsid w:val="00653D2D"/>
    <w:rsid w:val="00655258"/>
    <w:rsid w:val="006555E7"/>
    <w:rsid w:val="006560B6"/>
    <w:rsid w:val="006573F2"/>
    <w:rsid w:val="00662AD0"/>
    <w:rsid w:val="00662F08"/>
    <w:rsid w:val="00663589"/>
    <w:rsid w:val="00664296"/>
    <w:rsid w:val="006649CD"/>
    <w:rsid w:val="00665D75"/>
    <w:rsid w:val="006708E3"/>
    <w:rsid w:val="00670DDC"/>
    <w:rsid w:val="00671389"/>
    <w:rsid w:val="00671EB4"/>
    <w:rsid w:val="00673CDC"/>
    <w:rsid w:val="0067443B"/>
    <w:rsid w:val="006770AA"/>
    <w:rsid w:val="0067744B"/>
    <w:rsid w:val="00680F28"/>
    <w:rsid w:val="00682486"/>
    <w:rsid w:val="00684CE6"/>
    <w:rsid w:val="00684E2B"/>
    <w:rsid w:val="00685325"/>
    <w:rsid w:val="00687C7E"/>
    <w:rsid w:val="00690569"/>
    <w:rsid w:val="00690FDA"/>
    <w:rsid w:val="00691E61"/>
    <w:rsid w:val="00692656"/>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4DC"/>
    <w:rsid w:val="006B586B"/>
    <w:rsid w:val="006B5923"/>
    <w:rsid w:val="006B67D9"/>
    <w:rsid w:val="006B6C14"/>
    <w:rsid w:val="006B715E"/>
    <w:rsid w:val="006C1D6E"/>
    <w:rsid w:val="006C2EF6"/>
    <w:rsid w:val="006C3A68"/>
    <w:rsid w:val="006C3B08"/>
    <w:rsid w:val="006C4B9D"/>
    <w:rsid w:val="006C6AB1"/>
    <w:rsid w:val="006C6E6B"/>
    <w:rsid w:val="006C72C0"/>
    <w:rsid w:val="006D145F"/>
    <w:rsid w:val="006D1D34"/>
    <w:rsid w:val="006D2000"/>
    <w:rsid w:val="006D2D39"/>
    <w:rsid w:val="006D2F31"/>
    <w:rsid w:val="006D4250"/>
    <w:rsid w:val="006D4E0E"/>
    <w:rsid w:val="006D5861"/>
    <w:rsid w:val="006D5CE2"/>
    <w:rsid w:val="006D7854"/>
    <w:rsid w:val="006E06D1"/>
    <w:rsid w:val="006E1313"/>
    <w:rsid w:val="006E1471"/>
    <w:rsid w:val="006E2DC8"/>
    <w:rsid w:val="006E7356"/>
    <w:rsid w:val="006E77C8"/>
    <w:rsid w:val="006F0F9C"/>
    <w:rsid w:val="006F149D"/>
    <w:rsid w:val="006F1A46"/>
    <w:rsid w:val="006F4E3D"/>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72F1"/>
    <w:rsid w:val="0073062D"/>
    <w:rsid w:val="0073093B"/>
    <w:rsid w:val="0073254D"/>
    <w:rsid w:val="00732D5E"/>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22CD"/>
    <w:rsid w:val="00763CAE"/>
    <w:rsid w:val="00763F95"/>
    <w:rsid w:val="007651ED"/>
    <w:rsid w:val="00765BAB"/>
    <w:rsid w:val="0076639A"/>
    <w:rsid w:val="00766C87"/>
    <w:rsid w:val="00770A16"/>
    <w:rsid w:val="00771043"/>
    <w:rsid w:val="00773AF7"/>
    <w:rsid w:val="00774FFD"/>
    <w:rsid w:val="00780378"/>
    <w:rsid w:val="0078085E"/>
    <w:rsid w:val="00781BD4"/>
    <w:rsid w:val="00782562"/>
    <w:rsid w:val="007828B4"/>
    <w:rsid w:val="00784832"/>
    <w:rsid w:val="00784EA0"/>
    <w:rsid w:val="00785D77"/>
    <w:rsid w:val="00786111"/>
    <w:rsid w:val="007867C9"/>
    <w:rsid w:val="00790963"/>
    <w:rsid w:val="0079154B"/>
    <w:rsid w:val="00791B62"/>
    <w:rsid w:val="00791F1E"/>
    <w:rsid w:val="007927BE"/>
    <w:rsid w:val="007935B8"/>
    <w:rsid w:val="00794ADE"/>
    <w:rsid w:val="00794F3D"/>
    <w:rsid w:val="00795CE9"/>
    <w:rsid w:val="00796045"/>
    <w:rsid w:val="00796067"/>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018"/>
    <w:rsid w:val="007B5C5C"/>
    <w:rsid w:val="007B6CE0"/>
    <w:rsid w:val="007B7B37"/>
    <w:rsid w:val="007B7C41"/>
    <w:rsid w:val="007C05C5"/>
    <w:rsid w:val="007C0E55"/>
    <w:rsid w:val="007C11E9"/>
    <w:rsid w:val="007C1495"/>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E0E"/>
    <w:rsid w:val="00805AFD"/>
    <w:rsid w:val="008078D8"/>
    <w:rsid w:val="0080798E"/>
    <w:rsid w:val="00811D5B"/>
    <w:rsid w:val="00813C51"/>
    <w:rsid w:val="00815F21"/>
    <w:rsid w:val="00816CCB"/>
    <w:rsid w:val="00817572"/>
    <w:rsid w:val="00817713"/>
    <w:rsid w:val="008208C3"/>
    <w:rsid w:val="008220F1"/>
    <w:rsid w:val="0082340B"/>
    <w:rsid w:val="00823D6A"/>
    <w:rsid w:val="008241E0"/>
    <w:rsid w:val="00827B29"/>
    <w:rsid w:val="00827DB6"/>
    <w:rsid w:val="008304B2"/>
    <w:rsid w:val="00830999"/>
    <w:rsid w:val="00830D5E"/>
    <w:rsid w:val="00830F69"/>
    <w:rsid w:val="008324D9"/>
    <w:rsid w:val="00833418"/>
    <w:rsid w:val="0083387F"/>
    <w:rsid w:val="00834458"/>
    <w:rsid w:val="00834AEA"/>
    <w:rsid w:val="00835129"/>
    <w:rsid w:val="00835841"/>
    <w:rsid w:val="00835BF8"/>
    <w:rsid w:val="00835FB7"/>
    <w:rsid w:val="00837465"/>
    <w:rsid w:val="0084002E"/>
    <w:rsid w:val="00840159"/>
    <w:rsid w:val="008404AB"/>
    <w:rsid w:val="00840621"/>
    <w:rsid w:val="00841207"/>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0C66"/>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902BE"/>
    <w:rsid w:val="0089038F"/>
    <w:rsid w:val="00890CDA"/>
    <w:rsid w:val="00891465"/>
    <w:rsid w:val="00891BBA"/>
    <w:rsid w:val="00892079"/>
    <w:rsid w:val="00892B90"/>
    <w:rsid w:val="00896535"/>
    <w:rsid w:val="00896683"/>
    <w:rsid w:val="00896E71"/>
    <w:rsid w:val="0089750B"/>
    <w:rsid w:val="00897589"/>
    <w:rsid w:val="008A0D4F"/>
    <w:rsid w:val="008A2D08"/>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0AF2"/>
    <w:rsid w:val="008C22F3"/>
    <w:rsid w:val="008C3FD0"/>
    <w:rsid w:val="008C4F01"/>
    <w:rsid w:val="008D1484"/>
    <w:rsid w:val="008D29E7"/>
    <w:rsid w:val="008D3C07"/>
    <w:rsid w:val="008D5104"/>
    <w:rsid w:val="008D75F4"/>
    <w:rsid w:val="008D795D"/>
    <w:rsid w:val="008D7B07"/>
    <w:rsid w:val="008E0D8F"/>
    <w:rsid w:val="008E0F4E"/>
    <w:rsid w:val="008E1E94"/>
    <w:rsid w:val="008E2D99"/>
    <w:rsid w:val="008E30D4"/>
    <w:rsid w:val="008E38B0"/>
    <w:rsid w:val="008E4A60"/>
    <w:rsid w:val="008E603E"/>
    <w:rsid w:val="008E744D"/>
    <w:rsid w:val="008F17ED"/>
    <w:rsid w:val="008F1E08"/>
    <w:rsid w:val="008F49DC"/>
    <w:rsid w:val="008F541E"/>
    <w:rsid w:val="008F6FC8"/>
    <w:rsid w:val="0090045D"/>
    <w:rsid w:val="00900D8F"/>
    <w:rsid w:val="009014E3"/>
    <w:rsid w:val="009020ED"/>
    <w:rsid w:val="009026E8"/>
    <w:rsid w:val="00902FDD"/>
    <w:rsid w:val="00905EEF"/>
    <w:rsid w:val="00906EB7"/>
    <w:rsid w:val="009102BF"/>
    <w:rsid w:val="00911490"/>
    <w:rsid w:val="009115F2"/>
    <w:rsid w:val="00911B11"/>
    <w:rsid w:val="0091342D"/>
    <w:rsid w:val="00914ADB"/>
    <w:rsid w:val="00917182"/>
    <w:rsid w:val="00923B25"/>
    <w:rsid w:val="0092402E"/>
    <w:rsid w:val="009259BA"/>
    <w:rsid w:val="00926FCB"/>
    <w:rsid w:val="009303BB"/>
    <w:rsid w:val="0093108A"/>
    <w:rsid w:val="0093311A"/>
    <w:rsid w:val="009346D0"/>
    <w:rsid w:val="009419B4"/>
    <w:rsid w:val="00941A4C"/>
    <w:rsid w:val="00942645"/>
    <w:rsid w:val="009461E6"/>
    <w:rsid w:val="00950A3A"/>
    <w:rsid w:val="00950FA4"/>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9AC"/>
    <w:rsid w:val="00985D32"/>
    <w:rsid w:val="00986514"/>
    <w:rsid w:val="00986D2A"/>
    <w:rsid w:val="00986FCC"/>
    <w:rsid w:val="009935C3"/>
    <w:rsid w:val="0099421F"/>
    <w:rsid w:val="00994FC8"/>
    <w:rsid w:val="009A0DE3"/>
    <w:rsid w:val="009A1643"/>
    <w:rsid w:val="009A215A"/>
    <w:rsid w:val="009A29BC"/>
    <w:rsid w:val="009A33CA"/>
    <w:rsid w:val="009A456F"/>
    <w:rsid w:val="009A49D3"/>
    <w:rsid w:val="009A4F1B"/>
    <w:rsid w:val="009A66C5"/>
    <w:rsid w:val="009A66E7"/>
    <w:rsid w:val="009A6BEB"/>
    <w:rsid w:val="009A79BA"/>
    <w:rsid w:val="009B14D1"/>
    <w:rsid w:val="009B1534"/>
    <w:rsid w:val="009B4428"/>
    <w:rsid w:val="009B4963"/>
    <w:rsid w:val="009B4A3B"/>
    <w:rsid w:val="009B69D3"/>
    <w:rsid w:val="009B7BA7"/>
    <w:rsid w:val="009B7C01"/>
    <w:rsid w:val="009B7EF2"/>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E09D0"/>
    <w:rsid w:val="009E1283"/>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34A57"/>
    <w:rsid w:val="00A40FFB"/>
    <w:rsid w:val="00A41468"/>
    <w:rsid w:val="00A414A9"/>
    <w:rsid w:val="00A44141"/>
    <w:rsid w:val="00A44CCA"/>
    <w:rsid w:val="00A44D75"/>
    <w:rsid w:val="00A46DA5"/>
    <w:rsid w:val="00A47CF1"/>
    <w:rsid w:val="00A50418"/>
    <w:rsid w:val="00A549D3"/>
    <w:rsid w:val="00A54A47"/>
    <w:rsid w:val="00A56D26"/>
    <w:rsid w:val="00A571A7"/>
    <w:rsid w:val="00A5749A"/>
    <w:rsid w:val="00A57BA8"/>
    <w:rsid w:val="00A608FB"/>
    <w:rsid w:val="00A60D83"/>
    <w:rsid w:val="00A60F68"/>
    <w:rsid w:val="00A63DF3"/>
    <w:rsid w:val="00A65727"/>
    <w:rsid w:val="00A65C78"/>
    <w:rsid w:val="00A660A8"/>
    <w:rsid w:val="00A66A45"/>
    <w:rsid w:val="00A67591"/>
    <w:rsid w:val="00A67CA6"/>
    <w:rsid w:val="00A70E7B"/>
    <w:rsid w:val="00A717EA"/>
    <w:rsid w:val="00A73B84"/>
    <w:rsid w:val="00A7411D"/>
    <w:rsid w:val="00A756C4"/>
    <w:rsid w:val="00A7592B"/>
    <w:rsid w:val="00A76094"/>
    <w:rsid w:val="00A768E2"/>
    <w:rsid w:val="00A76E66"/>
    <w:rsid w:val="00A77A29"/>
    <w:rsid w:val="00A80425"/>
    <w:rsid w:val="00A809E3"/>
    <w:rsid w:val="00A82C52"/>
    <w:rsid w:val="00A838E8"/>
    <w:rsid w:val="00A83C15"/>
    <w:rsid w:val="00A84EC4"/>
    <w:rsid w:val="00A86CB6"/>
    <w:rsid w:val="00A90D55"/>
    <w:rsid w:val="00A91F83"/>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DC5"/>
    <w:rsid w:val="00AB1F8D"/>
    <w:rsid w:val="00AB27DD"/>
    <w:rsid w:val="00AB592E"/>
    <w:rsid w:val="00AC0120"/>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3ABF"/>
    <w:rsid w:val="00AE4624"/>
    <w:rsid w:val="00AE4B3E"/>
    <w:rsid w:val="00AE5DD9"/>
    <w:rsid w:val="00AE5E14"/>
    <w:rsid w:val="00AE6115"/>
    <w:rsid w:val="00AE625B"/>
    <w:rsid w:val="00AF01B2"/>
    <w:rsid w:val="00AF0477"/>
    <w:rsid w:val="00AF1103"/>
    <w:rsid w:val="00AF1668"/>
    <w:rsid w:val="00AF28DE"/>
    <w:rsid w:val="00AF4FA5"/>
    <w:rsid w:val="00AF6ECC"/>
    <w:rsid w:val="00B022DC"/>
    <w:rsid w:val="00B02ED0"/>
    <w:rsid w:val="00B04562"/>
    <w:rsid w:val="00B0472F"/>
    <w:rsid w:val="00B06930"/>
    <w:rsid w:val="00B0773A"/>
    <w:rsid w:val="00B07955"/>
    <w:rsid w:val="00B1176B"/>
    <w:rsid w:val="00B140B8"/>
    <w:rsid w:val="00B14FAA"/>
    <w:rsid w:val="00B15BED"/>
    <w:rsid w:val="00B15D30"/>
    <w:rsid w:val="00B16860"/>
    <w:rsid w:val="00B16D18"/>
    <w:rsid w:val="00B177DE"/>
    <w:rsid w:val="00B20624"/>
    <w:rsid w:val="00B23436"/>
    <w:rsid w:val="00B237F1"/>
    <w:rsid w:val="00B23F10"/>
    <w:rsid w:val="00B24328"/>
    <w:rsid w:val="00B24782"/>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50227"/>
    <w:rsid w:val="00B50510"/>
    <w:rsid w:val="00B51AB2"/>
    <w:rsid w:val="00B522CD"/>
    <w:rsid w:val="00B55143"/>
    <w:rsid w:val="00B555C8"/>
    <w:rsid w:val="00B55917"/>
    <w:rsid w:val="00B5646A"/>
    <w:rsid w:val="00B56F3D"/>
    <w:rsid w:val="00B57921"/>
    <w:rsid w:val="00B57E78"/>
    <w:rsid w:val="00B57EB8"/>
    <w:rsid w:val="00B609F6"/>
    <w:rsid w:val="00B60E75"/>
    <w:rsid w:val="00B643A6"/>
    <w:rsid w:val="00B64DD6"/>
    <w:rsid w:val="00B6504E"/>
    <w:rsid w:val="00B66505"/>
    <w:rsid w:val="00B6710C"/>
    <w:rsid w:val="00B67E84"/>
    <w:rsid w:val="00B7051E"/>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07E"/>
    <w:rsid w:val="00B955D5"/>
    <w:rsid w:val="00B95833"/>
    <w:rsid w:val="00BA1824"/>
    <w:rsid w:val="00BA2D98"/>
    <w:rsid w:val="00BA2F0C"/>
    <w:rsid w:val="00BA30D1"/>
    <w:rsid w:val="00BA30E1"/>
    <w:rsid w:val="00BA4609"/>
    <w:rsid w:val="00BA5BE2"/>
    <w:rsid w:val="00BA7F46"/>
    <w:rsid w:val="00BB0A0A"/>
    <w:rsid w:val="00BB133C"/>
    <w:rsid w:val="00BB1F04"/>
    <w:rsid w:val="00BB32E9"/>
    <w:rsid w:val="00BB45B5"/>
    <w:rsid w:val="00BB4DDE"/>
    <w:rsid w:val="00BB6064"/>
    <w:rsid w:val="00BB65CE"/>
    <w:rsid w:val="00BB7012"/>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2542"/>
    <w:rsid w:val="00C0359D"/>
    <w:rsid w:val="00C038EC"/>
    <w:rsid w:val="00C04FBD"/>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2FD3"/>
    <w:rsid w:val="00C23311"/>
    <w:rsid w:val="00C24AD9"/>
    <w:rsid w:val="00C25978"/>
    <w:rsid w:val="00C261C6"/>
    <w:rsid w:val="00C26621"/>
    <w:rsid w:val="00C269AE"/>
    <w:rsid w:val="00C26E7C"/>
    <w:rsid w:val="00C276CD"/>
    <w:rsid w:val="00C27827"/>
    <w:rsid w:val="00C30A97"/>
    <w:rsid w:val="00C31DDC"/>
    <w:rsid w:val="00C3223A"/>
    <w:rsid w:val="00C34168"/>
    <w:rsid w:val="00C34326"/>
    <w:rsid w:val="00C34CEB"/>
    <w:rsid w:val="00C36201"/>
    <w:rsid w:val="00C368E8"/>
    <w:rsid w:val="00C36C3D"/>
    <w:rsid w:val="00C372C7"/>
    <w:rsid w:val="00C40BD5"/>
    <w:rsid w:val="00C42443"/>
    <w:rsid w:val="00C42CBA"/>
    <w:rsid w:val="00C4338C"/>
    <w:rsid w:val="00C43C2B"/>
    <w:rsid w:val="00C45B27"/>
    <w:rsid w:val="00C472C7"/>
    <w:rsid w:val="00C5019E"/>
    <w:rsid w:val="00C51962"/>
    <w:rsid w:val="00C5377C"/>
    <w:rsid w:val="00C53E8A"/>
    <w:rsid w:val="00C54DF3"/>
    <w:rsid w:val="00C560A7"/>
    <w:rsid w:val="00C56FC8"/>
    <w:rsid w:val="00C60F23"/>
    <w:rsid w:val="00C6170B"/>
    <w:rsid w:val="00C6234D"/>
    <w:rsid w:val="00C62EB2"/>
    <w:rsid w:val="00C64C87"/>
    <w:rsid w:val="00C665FE"/>
    <w:rsid w:val="00C71BEC"/>
    <w:rsid w:val="00C74D3A"/>
    <w:rsid w:val="00C75C09"/>
    <w:rsid w:val="00C75F3D"/>
    <w:rsid w:val="00C80511"/>
    <w:rsid w:val="00C81ACE"/>
    <w:rsid w:val="00C826F5"/>
    <w:rsid w:val="00C83740"/>
    <w:rsid w:val="00C84AD1"/>
    <w:rsid w:val="00C85579"/>
    <w:rsid w:val="00C85EFD"/>
    <w:rsid w:val="00C862F1"/>
    <w:rsid w:val="00C863E5"/>
    <w:rsid w:val="00C87BE6"/>
    <w:rsid w:val="00C87F76"/>
    <w:rsid w:val="00C92F0F"/>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006"/>
    <w:rsid w:val="00CA5F89"/>
    <w:rsid w:val="00CA6B1A"/>
    <w:rsid w:val="00CB1B18"/>
    <w:rsid w:val="00CB2018"/>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163C"/>
    <w:rsid w:val="00CE3722"/>
    <w:rsid w:val="00CE7DD1"/>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07BD9"/>
    <w:rsid w:val="00D10577"/>
    <w:rsid w:val="00D12405"/>
    <w:rsid w:val="00D12A4E"/>
    <w:rsid w:val="00D1323B"/>
    <w:rsid w:val="00D14BAE"/>
    <w:rsid w:val="00D1648B"/>
    <w:rsid w:val="00D165FD"/>
    <w:rsid w:val="00D16819"/>
    <w:rsid w:val="00D17DD9"/>
    <w:rsid w:val="00D20AC0"/>
    <w:rsid w:val="00D2288F"/>
    <w:rsid w:val="00D22EB8"/>
    <w:rsid w:val="00D2321B"/>
    <w:rsid w:val="00D23350"/>
    <w:rsid w:val="00D237E7"/>
    <w:rsid w:val="00D23DE4"/>
    <w:rsid w:val="00D25A5C"/>
    <w:rsid w:val="00D26873"/>
    <w:rsid w:val="00D31683"/>
    <w:rsid w:val="00D336C8"/>
    <w:rsid w:val="00D339E8"/>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410"/>
    <w:rsid w:val="00D73D53"/>
    <w:rsid w:val="00D7408A"/>
    <w:rsid w:val="00D74261"/>
    <w:rsid w:val="00D7441B"/>
    <w:rsid w:val="00D75589"/>
    <w:rsid w:val="00D76AB2"/>
    <w:rsid w:val="00D80490"/>
    <w:rsid w:val="00D829AD"/>
    <w:rsid w:val="00D82EE2"/>
    <w:rsid w:val="00D83D1B"/>
    <w:rsid w:val="00D84061"/>
    <w:rsid w:val="00D84133"/>
    <w:rsid w:val="00D8545C"/>
    <w:rsid w:val="00D86E57"/>
    <w:rsid w:val="00D87788"/>
    <w:rsid w:val="00D877C8"/>
    <w:rsid w:val="00D90DA0"/>
    <w:rsid w:val="00D91040"/>
    <w:rsid w:val="00D910C2"/>
    <w:rsid w:val="00D9168C"/>
    <w:rsid w:val="00D9189B"/>
    <w:rsid w:val="00D91D3D"/>
    <w:rsid w:val="00D91DA6"/>
    <w:rsid w:val="00D921A0"/>
    <w:rsid w:val="00D92E73"/>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028"/>
    <w:rsid w:val="00DC5B37"/>
    <w:rsid w:val="00DD2791"/>
    <w:rsid w:val="00DD286D"/>
    <w:rsid w:val="00DD2CAF"/>
    <w:rsid w:val="00DD3593"/>
    <w:rsid w:val="00DD64E0"/>
    <w:rsid w:val="00DD7BE0"/>
    <w:rsid w:val="00DE0C67"/>
    <w:rsid w:val="00DE11AB"/>
    <w:rsid w:val="00DE3AAD"/>
    <w:rsid w:val="00DE598A"/>
    <w:rsid w:val="00DE6952"/>
    <w:rsid w:val="00DE7E74"/>
    <w:rsid w:val="00DF071B"/>
    <w:rsid w:val="00DF5C84"/>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0C4C"/>
    <w:rsid w:val="00E41637"/>
    <w:rsid w:val="00E42789"/>
    <w:rsid w:val="00E43F59"/>
    <w:rsid w:val="00E464F0"/>
    <w:rsid w:val="00E46EF3"/>
    <w:rsid w:val="00E47370"/>
    <w:rsid w:val="00E473E9"/>
    <w:rsid w:val="00E47B47"/>
    <w:rsid w:val="00E50BEB"/>
    <w:rsid w:val="00E548FA"/>
    <w:rsid w:val="00E57703"/>
    <w:rsid w:val="00E57ED4"/>
    <w:rsid w:val="00E57FED"/>
    <w:rsid w:val="00E6092F"/>
    <w:rsid w:val="00E60BD0"/>
    <w:rsid w:val="00E62049"/>
    <w:rsid w:val="00E629DA"/>
    <w:rsid w:val="00E64374"/>
    <w:rsid w:val="00E6469F"/>
    <w:rsid w:val="00E65D39"/>
    <w:rsid w:val="00E670F8"/>
    <w:rsid w:val="00E6733C"/>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5150"/>
    <w:rsid w:val="00E8608F"/>
    <w:rsid w:val="00E86C1D"/>
    <w:rsid w:val="00E9763D"/>
    <w:rsid w:val="00E977BF"/>
    <w:rsid w:val="00EA1177"/>
    <w:rsid w:val="00EA118B"/>
    <w:rsid w:val="00EA11B6"/>
    <w:rsid w:val="00EA2181"/>
    <w:rsid w:val="00EA2DD8"/>
    <w:rsid w:val="00EA3AE9"/>
    <w:rsid w:val="00EA4475"/>
    <w:rsid w:val="00EA52FE"/>
    <w:rsid w:val="00EA55AB"/>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3525"/>
    <w:rsid w:val="00F0424D"/>
    <w:rsid w:val="00F04957"/>
    <w:rsid w:val="00F04997"/>
    <w:rsid w:val="00F05807"/>
    <w:rsid w:val="00F06451"/>
    <w:rsid w:val="00F07052"/>
    <w:rsid w:val="00F0706C"/>
    <w:rsid w:val="00F11EBE"/>
    <w:rsid w:val="00F12293"/>
    <w:rsid w:val="00F12BA8"/>
    <w:rsid w:val="00F130D0"/>
    <w:rsid w:val="00F14933"/>
    <w:rsid w:val="00F1516A"/>
    <w:rsid w:val="00F15EE5"/>
    <w:rsid w:val="00F171F9"/>
    <w:rsid w:val="00F1737C"/>
    <w:rsid w:val="00F22A26"/>
    <w:rsid w:val="00F24072"/>
    <w:rsid w:val="00F26432"/>
    <w:rsid w:val="00F3197A"/>
    <w:rsid w:val="00F32139"/>
    <w:rsid w:val="00F32504"/>
    <w:rsid w:val="00F33D56"/>
    <w:rsid w:val="00F34E08"/>
    <w:rsid w:val="00F40BB5"/>
    <w:rsid w:val="00F41D91"/>
    <w:rsid w:val="00F41F52"/>
    <w:rsid w:val="00F42363"/>
    <w:rsid w:val="00F427C4"/>
    <w:rsid w:val="00F43D6C"/>
    <w:rsid w:val="00F46964"/>
    <w:rsid w:val="00F46F9A"/>
    <w:rsid w:val="00F470FD"/>
    <w:rsid w:val="00F50F30"/>
    <w:rsid w:val="00F5126A"/>
    <w:rsid w:val="00F5126E"/>
    <w:rsid w:val="00F516EF"/>
    <w:rsid w:val="00F51755"/>
    <w:rsid w:val="00F5580D"/>
    <w:rsid w:val="00F56EA1"/>
    <w:rsid w:val="00F606D5"/>
    <w:rsid w:val="00F611B3"/>
    <w:rsid w:val="00F6196E"/>
    <w:rsid w:val="00F622D1"/>
    <w:rsid w:val="00F624DD"/>
    <w:rsid w:val="00F629C0"/>
    <w:rsid w:val="00F63FC7"/>
    <w:rsid w:val="00F65E1F"/>
    <w:rsid w:val="00F65ED5"/>
    <w:rsid w:val="00F6608B"/>
    <w:rsid w:val="00F6636A"/>
    <w:rsid w:val="00F667C5"/>
    <w:rsid w:val="00F67E31"/>
    <w:rsid w:val="00F718A8"/>
    <w:rsid w:val="00F71C2A"/>
    <w:rsid w:val="00F72183"/>
    <w:rsid w:val="00F74AB2"/>
    <w:rsid w:val="00F76D01"/>
    <w:rsid w:val="00F80B43"/>
    <w:rsid w:val="00F8199B"/>
    <w:rsid w:val="00F81C35"/>
    <w:rsid w:val="00F82981"/>
    <w:rsid w:val="00F8311F"/>
    <w:rsid w:val="00F83248"/>
    <w:rsid w:val="00F83376"/>
    <w:rsid w:val="00F853AE"/>
    <w:rsid w:val="00F908D5"/>
    <w:rsid w:val="00F913B9"/>
    <w:rsid w:val="00F93C74"/>
    <w:rsid w:val="00F93DCC"/>
    <w:rsid w:val="00F9435D"/>
    <w:rsid w:val="00F95E81"/>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796"/>
    <w:rsid w:val="00FC78FB"/>
    <w:rsid w:val="00FC7DBC"/>
    <w:rsid w:val="00FD076A"/>
    <w:rsid w:val="00FD0AA0"/>
    <w:rsid w:val="00FD1D5A"/>
    <w:rsid w:val="00FD5059"/>
    <w:rsid w:val="00FD554D"/>
    <w:rsid w:val="00FD5BCC"/>
    <w:rsid w:val="00FD6C41"/>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202EFA"/>
    <w:rPr>
      <w:rFonts w:cs="Times New Roman"/>
      <w:color w:val="008080"/>
      <w:sz w:val="24"/>
    </w:rPr>
  </w:style>
  <w:style w:type="paragraph" w:styleId="BodyText">
    <w:name w:val="Body Text"/>
    <w:basedOn w:val="Normal"/>
    <w:link w:val="BodyTextChar"/>
    <w:uiPriority w:val="99"/>
    <w:rsid w:val="005436C2"/>
    <w:pPr>
      <w:tabs>
        <w:tab w:val="left" w:pos="720"/>
      </w:tabs>
      <w:spacing w:line="240" w:lineRule="exact"/>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202EFA"/>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spacing w:line="240" w:lineRule="exact"/>
      <w:ind w:right="-360"/>
      <w:jc w:val="both"/>
    </w:pPr>
    <w:rPr>
      <w:color w:val="000080"/>
    </w:rPr>
  </w:style>
  <w:style w:type="character" w:customStyle="1" w:styleId="BodyText3Char">
    <w:name w:val="Body Text 3 Char"/>
    <w:basedOn w:val="DefaultParagraphFont"/>
    <w:link w:val="BodyText3"/>
    <w:uiPriority w:val="99"/>
    <w:semiHidden/>
    <w:rsid w:val="00202EFA"/>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styleId="BodyText2">
    <w:name w:val="Body Text 2"/>
    <w:basedOn w:val="Normal"/>
    <w:link w:val="BodyText2Char"/>
    <w:uiPriority w:val="99"/>
    <w:semiHidden/>
    <w:unhideWhenUsed/>
    <w:rsid w:val="00A77A29"/>
    <w:pPr>
      <w:spacing w:after="120" w:line="480" w:lineRule="auto"/>
    </w:pPr>
  </w:style>
  <w:style w:type="character" w:customStyle="1" w:styleId="BodyText2Char">
    <w:name w:val="Body Text 2 Char"/>
    <w:basedOn w:val="DefaultParagraphFont"/>
    <w:link w:val="BodyText2"/>
    <w:uiPriority w:val="99"/>
    <w:semiHidden/>
    <w:rsid w:val="00A77A29"/>
    <w:rPr>
      <w:color w:val="008080"/>
      <w:sz w:val="24"/>
    </w:rPr>
  </w:style>
</w:styles>
</file>

<file path=word/webSettings.xml><?xml version="1.0" encoding="utf-8"?>
<w:webSettings xmlns:r="http://schemas.openxmlformats.org/officeDocument/2006/relationships" xmlns:w="http://schemas.openxmlformats.org/wordprocessingml/2006/main">
  <w:divs>
    <w:div w:id="1831674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2478</Words>
  <Characters>14128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2012-02-07T18:41:00Z</cp:lastPrinted>
  <dcterms:created xsi:type="dcterms:W3CDTF">2012-05-09T12:42:00Z</dcterms:created>
  <dcterms:modified xsi:type="dcterms:W3CDTF">2012-05-09T12:42:00Z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