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2E" w:rsidRPr="00396779" w:rsidRDefault="00F1512E" w:rsidP="00510F9C">
      <w:pPr>
        <w:tabs>
          <w:tab w:val="left" w:pos="288"/>
          <w:tab w:val="left" w:pos="4752"/>
        </w:tabs>
        <w:spacing w:line="240" w:lineRule="exact"/>
        <w:jc w:val="center"/>
        <w:rPr>
          <w:color w:val="auto"/>
        </w:rPr>
      </w:pPr>
      <w:r w:rsidRPr="00396779">
        <w:rPr>
          <w:color w:val="auto"/>
        </w:rPr>
        <w:t>RECORD OF PROCEEDINGS</w:t>
      </w:r>
    </w:p>
    <w:p w:rsidR="00F1512E" w:rsidRPr="00396779" w:rsidRDefault="00F1512E" w:rsidP="00510F9C">
      <w:pPr>
        <w:tabs>
          <w:tab w:val="left" w:pos="288"/>
          <w:tab w:val="left" w:pos="4752"/>
        </w:tabs>
        <w:spacing w:line="240" w:lineRule="exact"/>
        <w:jc w:val="center"/>
        <w:rPr>
          <w:color w:val="auto"/>
        </w:rPr>
      </w:pPr>
      <w:r w:rsidRPr="00396779">
        <w:rPr>
          <w:color w:val="auto"/>
        </w:rPr>
        <w:t>PHYSICAL DISABILITY BOARD OF REVIEW</w:t>
      </w:r>
    </w:p>
    <w:p w:rsidR="00F1512E" w:rsidRPr="00396779" w:rsidRDefault="00F1512E" w:rsidP="00510F9C">
      <w:pPr>
        <w:tabs>
          <w:tab w:val="left" w:pos="288"/>
          <w:tab w:val="left" w:pos="4752"/>
        </w:tabs>
        <w:spacing w:line="240" w:lineRule="exact"/>
        <w:jc w:val="both"/>
        <w:rPr>
          <w:caps/>
          <w:color w:val="auto"/>
        </w:rPr>
      </w:pPr>
    </w:p>
    <w:p w:rsidR="00F1512E" w:rsidRPr="00B17FB4" w:rsidRDefault="00F1512E" w:rsidP="00190E48">
      <w:pPr>
        <w:tabs>
          <w:tab w:val="left" w:pos="288"/>
          <w:tab w:val="left" w:pos="4752"/>
        </w:tabs>
        <w:spacing w:line="240" w:lineRule="exact"/>
        <w:ind w:right="-1260"/>
        <w:jc w:val="both"/>
        <w:rPr>
          <w:caps/>
          <w:color w:val="auto"/>
        </w:rPr>
      </w:pPr>
      <w:r w:rsidRPr="00B20624">
        <w:rPr>
          <w:caps/>
          <w:color w:val="auto"/>
        </w:rPr>
        <w:t>NAME:</w:t>
      </w:r>
      <w:r w:rsidR="004A1FFB">
        <w:rPr>
          <w:caps/>
          <w:color w:val="auto"/>
        </w:rPr>
        <w:t xml:space="preserve">  </w:t>
      </w:r>
      <w:r w:rsidR="008F36E1">
        <w:rPr>
          <w:color w:val="auto"/>
        </w:rPr>
        <w:t xml:space="preserve"> </w:t>
      </w:r>
      <w:r w:rsidRPr="00B20624">
        <w:rPr>
          <w:caps/>
          <w:color w:val="auto"/>
        </w:rPr>
        <w:tab/>
      </w:r>
      <w:r w:rsidRPr="00B17FB4">
        <w:rPr>
          <w:caps/>
          <w:color w:val="auto"/>
        </w:rPr>
        <w:t xml:space="preserve">BRANCH OF SERVICE: ARMY </w:t>
      </w:r>
    </w:p>
    <w:p w:rsidR="00F1512E" w:rsidRPr="001D30C7" w:rsidRDefault="00F1512E" w:rsidP="008404AB">
      <w:pPr>
        <w:tabs>
          <w:tab w:val="left" w:pos="288"/>
          <w:tab w:val="left" w:pos="4752"/>
        </w:tabs>
        <w:spacing w:line="240" w:lineRule="exact"/>
        <w:ind w:right="-900"/>
        <w:jc w:val="both"/>
        <w:rPr>
          <w:color w:val="auto"/>
        </w:rPr>
      </w:pPr>
      <w:r w:rsidRPr="00B17FB4">
        <w:rPr>
          <w:caps/>
          <w:color w:val="auto"/>
        </w:rPr>
        <w:t>CASE NUMBER:  PD1100330</w:t>
      </w:r>
      <w:r w:rsidRPr="00B17FB4">
        <w:rPr>
          <w:caps/>
          <w:color w:val="auto"/>
        </w:rPr>
        <w:tab/>
      </w:r>
      <w:r w:rsidRPr="00AE3ABF">
        <w:rPr>
          <w:color w:val="auto"/>
        </w:rPr>
        <w:t>DATE OF PLACEMENT ON TDRL</w:t>
      </w:r>
      <w:r w:rsidRPr="001D30C7">
        <w:rPr>
          <w:color w:val="auto"/>
        </w:rPr>
        <w:t>:  2004</w:t>
      </w:r>
      <w:r w:rsidR="00BC05B7">
        <w:rPr>
          <w:color w:val="auto"/>
        </w:rPr>
        <w:t>1121</w:t>
      </w:r>
    </w:p>
    <w:p w:rsidR="00F1512E" w:rsidRDefault="00304C8F" w:rsidP="0052335E">
      <w:pPr>
        <w:tabs>
          <w:tab w:val="left" w:pos="288"/>
          <w:tab w:val="left" w:pos="3060"/>
          <w:tab w:val="left" w:pos="4752"/>
        </w:tabs>
        <w:spacing w:line="240" w:lineRule="exact"/>
        <w:ind w:right="-900"/>
        <w:jc w:val="both"/>
        <w:rPr>
          <w:caps/>
          <w:color w:val="auto"/>
        </w:rPr>
      </w:pPr>
      <w:r>
        <w:rPr>
          <w:caps/>
          <w:color w:val="auto"/>
        </w:rPr>
        <w:t>BOARD DATE: 2012</w:t>
      </w:r>
      <w:r w:rsidR="003F2479">
        <w:rPr>
          <w:caps/>
          <w:color w:val="auto"/>
        </w:rPr>
        <w:t>0202</w:t>
      </w:r>
      <w:r w:rsidR="00F1512E" w:rsidRPr="00B17FB4">
        <w:rPr>
          <w:caps/>
          <w:color w:val="auto"/>
        </w:rPr>
        <w:tab/>
      </w:r>
      <w:r w:rsidR="0052335E">
        <w:rPr>
          <w:caps/>
          <w:color w:val="auto"/>
        </w:rPr>
        <w:tab/>
      </w:r>
      <w:r w:rsidR="00F1512E" w:rsidRPr="00AE3ABF">
        <w:rPr>
          <w:caps/>
          <w:color w:val="auto"/>
        </w:rPr>
        <w:t>Date of Permanent SEPARATION: 20080408</w:t>
      </w:r>
    </w:p>
    <w:p w:rsidR="00F1512E" w:rsidRDefault="00F1512E" w:rsidP="008404AB">
      <w:pPr>
        <w:pBdr>
          <w:bottom w:val="single" w:sz="12" w:space="1" w:color="auto"/>
        </w:pBdr>
        <w:tabs>
          <w:tab w:val="left" w:pos="288"/>
          <w:tab w:val="left" w:pos="4752"/>
        </w:tabs>
        <w:spacing w:line="240" w:lineRule="exact"/>
        <w:jc w:val="both"/>
        <w:rPr>
          <w:color w:val="auto"/>
        </w:rPr>
      </w:pPr>
    </w:p>
    <w:p w:rsidR="00F1512E" w:rsidRPr="00D91DA6" w:rsidRDefault="00F1512E" w:rsidP="00AF1668">
      <w:pPr>
        <w:tabs>
          <w:tab w:val="left" w:pos="288"/>
          <w:tab w:val="left" w:pos="4752"/>
        </w:tabs>
        <w:spacing w:line="240" w:lineRule="exact"/>
        <w:rPr>
          <w:color w:val="000080"/>
        </w:rPr>
      </w:pPr>
    </w:p>
    <w:p w:rsidR="00F1512E" w:rsidRPr="00C472C7" w:rsidRDefault="00F1512E" w:rsidP="008404AB">
      <w:pPr>
        <w:tabs>
          <w:tab w:val="left" w:pos="288"/>
          <w:tab w:val="left" w:pos="4752"/>
        </w:tabs>
        <w:spacing w:line="240" w:lineRule="exact"/>
        <w:jc w:val="both"/>
        <w:rPr>
          <w:color w:val="auto"/>
        </w:rPr>
      </w:pPr>
      <w:r w:rsidRPr="00542C9A">
        <w:rPr>
          <w:color w:val="auto"/>
          <w:u w:val="single"/>
        </w:rPr>
        <w:t>SUMMARY OF CASE</w:t>
      </w:r>
      <w:r w:rsidRPr="00542C9A">
        <w:rPr>
          <w:color w:val="auto"/>
        </w:rPr>
        <w:t xml:space="preserve">: </w:t>
      </w:r>
      <w:r w:rsidRPr="00B17FB4">
        <w:rPr>
          <w:color w:val="auto"/>
        </w:rPr>
        <w:t>Data extracted from the available evidence of record reflects that this covered individual (CI) was an active duty member, SPC/E-4 (31B, Military Police</w:t>
      </w:r>
      <w:r w:rsidR="009C4D85">
        <w:rPr>
          <w:color w:val="auto"/>
        </w:rPr>
        <w:t>), medically separated for post</w:t>
      </w:r>
      <w:r w:rsidRPr="00B17FB4">
        <w:rPr>
          <w:color w:val="auto"/>
        </w:rPr>
        <w:t xml:space="preserve">traumatic stress disorder (PTSD).  </w:t>
      </w:r>
      <w:r w:rsidR="005A35A7">
        <w:rPr>
          <w:color w:val="auto"/>
        </w:rPr>
        <w:t>The CI was diagnosed with PTSD</w:t>
      </w:r>
      <w:r w:rsidR="0052335E" w:rsidRPr="0052335E">
        <w:rPr>
          <w:color w:val="auto"/>
        </w:rPr>
        <w:t xml:space="preserve"> </w:t>
      </w:r>
      <w:r w:rsidR="0052335E">
        <w:rPr>
          <w:color w:val="auto"/>
        </w:rPr>
        <w:t xml:space="preserve">following </w:t>
      </w:r>
      <w:r w:rsidR="0052335E" w:rsidRPr="008404AB">
        <w:rPr>
          <w:color w:val="auto"/>
        </w:rPr>
        <w:t>an Iraq deployment May 2003 to February 2004</w:t>
      </w:r>
      <w:r w:rsidRPr="00D742DE">
        <w:rPr>
          <w:color w:val="auto"/>
        </w:rPr>
        <w:t xml:space="preserve">.  She was hospitalized for her </w:t>
      </w:r>
      <w:r w:rsidRPr="00347907">
        <w:rPr>
          <w:color w:val="auto"/>
        </w:rPr>
        <w:t xml:space="preserve">condition </w:t>
      </w:r>
      <w:r w:rsidR="00B3551B" w:rsidRPr="00347907">
        <w:rPr>
          <w:color w:val="auto"/>
        </w:rPr>
        <w:t>twice</w:t>
      </w:r>
      <w:r w:rsidRPr="00D742DE">
        <w:rPr>
          <w:color w:val="auto"/>
        </w:rPr>
        <w:t xml:space="preserve"> and treated </w:t>
      </w:r>
      <w:r w:rsidR="00B3551B">
        <w:rPr>
          <w:color w:val="auto"/>
        </w:rPr>
        <w:t xml:space="preserve">as an outpatient </w:t>
      </w:r>
      <w:r w:rsidRPr="00D742DE">
        <w:rPr>
          <w:color w:val="auto"/>
        </w:rPr>
        <w:t>with medications</w:t>
      </w:r>
      <w:r w:rsidR="00B3551B">
        <w:rPr>
          <w:color w:val="auto"/>
        </w:rPr>
        <w:t xml:space="preserve"> and therapy</w:t>
      </w:r>
      <w:r w:rsidRPr="00D742DE">
        <w:rPr>
          <w:color w:val="auto"/>
        </w:rPr>
        <w:t>.</w:t>
      </w:r>
      <w:r>
        <w:rPr>
          <w:color w:val="auto"/>
        </w:rPr>
        <w:t xml:space="preserve">  </w:t>
      </w:r>
      <w:r w:rsidRPr="008404AB">
        <w:rPr>
          <w:color w:val="auto"/>
        </w:rPr>
        <w:t xml:space="preserve">She did not respond adequately to treatment to </w:t>
      </w:r>
      <w:r w:rsidR="0052335E">
        <w:rPr>
          <w:color w:val="auto"/>
        </w:rPr>
        <w:t xml:space="preserve">fully </w:t>
      </w:r>
      <w:r w:rsidRPr="008404AB">
        <w:rPr>
          <w:color w:val="auto"/>
        </w:rPr>
        <w:t>perform within her Military Occupational Specialty (MOS).  She was issued a permanent S4 profile</w:t>
      </w:r>
      <w:r w:rsidR="00506D7E">
        <w:rPr>
          <w:color w:val="auto"/>
        </w:rPr>
        <w:t xml:space="preserve"> with no access to weapons </w:t>
      </w:r>
      <w:r w:rsidRPr="008404AB">
        <w:rPr>
          <w:color w:val="auto"/>
        </w:rPr>
        <w:t>and underwent a Medical Evaluation Board (MEB).</w:t>
      </w:r>
      <w:r w:rsidRPr="00C472C7">
        <w:rPr>
          <w:color w:val="auto"/>
        </w:rPr>
        <w:t xml:space="preserve">  </w:t>
      </w:r>
      <w:r w:rsidRPr="008404AB">
        <w:rPr>
          <w:color w:val="auto"/>
        </w:rPr>
        <w:t xml:space="preserve">PTSD was forwarded to the </w:t>
      </w:r>
      <w:r w:rsidR="00675A8B">
        <w:rPr>
          <w:color w:val="auto"/>
        </w:rPr>
        <w:t xml:space="preserve">Informal </w:t>
      </w:r>
      <w:r w:rsidRPr="008404AB">
        <w:rPr>
          <w:color w:val="auto"/>
        </w:rPr>
        <w:t>Physical Evaluation Board (</w:t>
      </w:r>
      <w:r w:rsidR="00675A8B">
        <w:rPr>
          <w:color w:val="auto"/>
        </w:rPr>
        <w:t>I</w:t>
      </w:r>
      <w:r w:rsidRPr="008404AB">
        <w:rPr>
          <w:color w:val="auto"/>
        </w:rPr>
        <w:t>PEB) as medically unacceptable IAW AR 40-501.</w:t>
      </w:r>
      <w:r w:rsidRPr="00C472C7">
        <w:rPr>
          <w:color w:val="auto"/>
        </w:rPr>
        <w:t xml:space="preserve">  </w:t>
      </w:r>
      <w:r w:rsidRPr="008404AB">
        <w:rPr>
          <w:color w:val="auto"/>
        </w:rPr>
        <w:t xml:space="preserve">Four other conditions, as identified in the rating chart below, were forwarded </w:t>
      </w:r>
      <w:r w:rsidR="009D60A2">
        <w:rPr>
          <w:color w:val="auto"/>
        </w:rPr>
        <w:t>by</w:t>
      </w:r>
      <w:r w:rsidRPr="008404AB">
        <w:rPr>
          <w:color w:val="auto"/>
        </w:rPr>
        <w:t xml:space="preserve"> the MEB as medically acceptable conditions.</w:t>
      </w:r>
      <w:r w:rsidRPr="00C472C7">
        <w:rPr>
          <w:color w:val="auto"/>
        </w:rPr>
        <w:t xml:space="preserve">  The </w:t>
      </w:r>
      <w:r w:rsidR="009C4D85">
        <w:rPr>
          <w:color w:val="auto"/>
        </w:rPr>
        <w:t>IPEB</w:t>
      </w:r>
      <w:r w:rsidRPr="00C472C7">
        <w:rPr>
          <w:color w:val="auto"/>
        </w:rPr>
        <w:t xml:space="preserve"> adjudicated </w:t>
      </w:r>
      <w:r w:rsidRPr="008404AB">
        <w:rPr>
          <w:color w:val="auto"/>
        </w:rPr>
        <w:t>the PTSD condition as unfitting, rated 10%, with</w:t>
      </w:r>
      <w:r w:rsidR="00BC05B7">
        <w:rPr>
          <w:color w:val="auto"/>
        </w:rPr>
        <w:t xml:space="preserve"> likely</w:t>
      </w:r>
      <w:r w:rsidRPr="008404AB">
        <w:rPr>
          <w:color w:val="auto"/>
        </w:rPr>
        <w:t xml:space="preserve"> application of the Department of Defense Instruction (DoDI) 1332.39.  The CI appealed </w:t>
      </w:r>
      <w:r w:rsidR="009D60A2">
        <w:rPr>
          <w:color w:val="auto"/>
        </w:rPr>
        <w:t>for a</w:t>
      </w:r>
      <w:r w:rsidRPr="008404AB">
        <w:rPr>
          <w:color w:val="auto"/>
        </w:rPr>
        <w:t xml:space="preserve"> </w:t>
      </w:r>
      <w:r w:rsidR="009C4D85">
        <w:rPr>
          <w:color w:val="auto"/>
        </w:rPr>
        <w:t>F</w:t>
      </w:r>
      <w:r w:rsidR="009D60A2">
        <w:rPr>
          <w:color w:val="auto"/>
        </w:rPr>
        <w:t>ormal PEB (F</w:t>
      </w:r>
      <w:r w:rsidR="009D60A2" w:rsidRPr="00C472C7">
        <w:rPr>
          <w:color w:val="auto"/>
        </w:rPr>
        <w:t>PEB)</w:t>
      </w:r>
      <w:r w:rsidRPr="008404AB">
        <w:rPr>
          <w:color w:val="auto"/>
        </w:rPr>
        <w:t>, and was then placed on Temporary Disability Retired List (TDRL) with ratings</w:t>
      </w:r>
      <w:r w:rsidRPr="00C472C7">
        <w:rPr>
          <w:color w:val="auto"/>
        </w:rPr>
        <w:t xml:space="preserve"> as reflected in the chart below.  After more than </w:t>
      </w:r>
      <w:r w:rsidR="009C4D85">
        <w:rPr>
          <w:color w:val="auto"/>
        </w:rPr>
        <w:t>three</w:t>
      </w:r>
      <w:r w:rsidRPr="00C472C7">
        <w:rPr>
          <w:color w:val="auto"/>
        </w:rPr>
        <w:t xml:space="preserve"> years on TDRL and a </w:t>
      </w:r>
      <w:r w:rsidR="00B3551B">
        <w:rPr>
          <w:color w:val="auto"/>
        </w:rPr>
        <w:t>third</w:t>
      </w:r>
      <w:r w:rsidRPr="00C472C7">
        <w:rPr>
          <w:color w:val="auto"/>
        </w:rPr>
        <w:t xml:space="preserve"> hospitalization</w:t>
      </w:r>
      <w:r w:rsidR="00DF3FD2">
        <w:rPr>
          <w:color w:val="auto"/>
        </w:rPr>
        <w:t xml:space="preserve"> (December 2006)</w:t>
      </w:r>
      <w:r w:rsidRPr="00C472C7">
        <w:rPr>
          <w:color w:val="auto"/>
        </w:rPr>
        <w:t xml:space="preserve">, the PEB adjudicated a permanent disability rating </w:t>
      </w:r>
      <w:r w:rsidR="001D23E7" w:rsidRPr="00C472C7">
        <w:rPr>
          <w:color w:val="auto"/>
        </w:rPr>
        <w:t xml:space="preserve">for the PTSD condition </w:t>
      </w:r>
      <w:r w:rsidRPr="00C472C7">
        <w:rPr>
          <w:color w:val="auto"/>
        </w:rPr>
        <w:t>of 10%</w:t>
      </w:r>
      <w:r w:rsidR="001D23E7">
        <w:rPr>
          <w:color w:val="auto"/>
        </w:rPr>
        <w:t xml:space="preserve"> </w:t>
      </w:r>
      <w:r w:rsidR="00BC05B7" w:rsidRPr="008404AB">
        <w:rPr>
          <w:color w:val="auto"/>
        </w:rPr>
        <w:t xml:space="preserve">with application of the </w:t>
      </w:r>
      <w:r w:rsidR="00BC05B7" w:rsidRPr="00BC05B7">
        <w:rPr>
          <w:color w:val="auto"/>
        </w:rPr>
        <w:t>Veterans Administration Schedule for Rating Disabilities (VASRD)</w:t>
      </w:r>
      <w:r w:rsidRPr="00C472C7">
        <w:rPr>
          <w:color w:val="auto"/>
        </w:rPr>
        <w:t xml:space="preserve">.  The CI made no appeals, and was medically separated with a </w:t>
      </w:r>
      <w:r w:rsidRPr="00B37345">
        <w:rPr>
          <w:color w:val="auto"/>
        </w:rPr>
        <w:t>10</w:t>
      </w:r>
      <w:r w:rsidRPr="00C472C7">
        <w:rPr>
          <w:color w:val="auto"/>
        </w:rPr>
        <w:t>% disability rating.</w:t>
      </w:r>
    </w:p>
    <w:p w:rsidR="00F1512E" w:rsidRDefault="00F1512E" w:rsidP="00510F9C">
      <w:pPr>
        <w:pBdr>
          <w:bottom w:val="single" w:sz="12" w:space="1" w:color="auto"/>
        </w:pBdr>
        <w:tabs>
          <w:tab w:val="left" w:pos="288"/>
          <w:tab w:val="left" w:pos="4752"/>
        </w:tabs>
        <w:spacing w:line="240" w:lineRule="exact"/>
        <w:jc w:val="both"/>
        <w:rPr>
          <w:color w:val="auto"/>
        </w:rPr>
      </w:pPr>
    </w:p>
    <w:p w:rsidR="00F1512E" w:rsidRDefault="00F1512E" w:rsidP="00510F9C">
      <w:pPr>
        <w:tabs>
          <w:tab w:val="left" w:pos="288"/>
          <w:tab w:val="left" w:pos="4752"/>
        </w:tabs>
        <w:spacing w:line="240" w:lineRule="exact"/>
        <w:jc w:val="both"/>
        <w:rPr>
          <w:color w:val="auto"/>
          <w:u w:val="single"/>
        </w:rPr>
      </w:pPr>
    </w:p>
    <w:p w:rsidR="00F1512E" w:rsidRDefault="00F1512E" w:rsidP="008404AB">
      <w:pPr>
        <w:tabs>
          <w:tab w:val="left" w:pos="288"/>
          <w:tab w:val="left" w:pos="4752"/>
        </w:tabs>
        <w:spacing w:line="240" w:lineRule="exact"/>
        <w:jc w:val="both"/>
        <w:rPr>
          <w:color w:val="auto"/>
        </w:rPr>
      </w:pPr>
      <w:r w:rsidRPr="00326C08">
        <w:rPr>
          <w:color w:val="auto"/>
          <w:u w:val="single"/>
        </w:rPr>
        <w:t>CI CONTENTION</w:t>
      </w:r>
      <w:r w:rsidRPr="00326C08">
        <w:rPr>
          <w:color w:val="auto"/>
        </w:rPr>
        <w:t>:</w:t>
      </w:r>
      <w:r>
        <w:rPr>
          <w:color w:val="auto"/>
        </w:rPr>
        <w:t xml:space="preserve">  </w:t>
      </w:r>
      <w:r w:rsidRPr="00057019">
        <w:rPr>
          <w:color w:val="auto"/>
        </w:rPr>
        <w:t>The CI states: “</w:t>
      </w:r>
      <w:r w:rsidRPr="00861D5C">
        <w:rPr>
          <w:color w:val="auto"/>
        </w:rPr>
        <w:t xml:space="preserve">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w:t>
      </w:r>
      <w:r w:rsidR="0052335E">
        <w:rPr>
          <w:color w:val="auto"/>
        </w:rPr>
        <w:t>compensation pursuant to CRSC.</w:t>
      </w:r>
      <w:r w:rsidRPr="00861D5C">
        <w:rPr>
          <w:color w:val="auto"/>
        </w:rPr>
        <w:t xml:space="preserve">”  </w:t>
      </w:r>
      <w:r w:rsidR="001D23E7" w:rsidRPr="001D23E7">
        <w:rPr>
          <w:color w:val="auto"/>
        </w:rPr>
        <w:t>She additionally lists all of her VA conditions and ratings as per the rating chart below.  A contention for their inclusion in the separation rating is therefore implied.</w:t>
      </w:r>
      <w:r w:rsidR="001D23E7">
        <w:rPr>
          <w:color w:val="auto"/>
        </w:rPr>
        <w:t xml:space="preserve">  </w:t>
      </w:r>
    </w:p>
    <w:p w:rsidR="00F1512E" w:rsidRDefault="00F1512E" w:rsidP="00510F9C">
      <w:pPr>
        <w:pBdr>
          <w:bottom w:val="single" w:sz="12" w:space="1" w:color="auto"/>
        </w:pBdr>
        <w:spacing w:line="240" w:lineRule="exact"/>
        <w:rPr>
          <w:color w:val="auto"/>
          <w:u w:val="single"/>
        </w:rPr>
      </w:pPr>
    </w:p>
    <w:p w:rsidR="00F1512E" w:rsidRDefault="00F1512E" w:rsidP="00510F9C">
      <w:pPr>
        <w:spacing w:line="240" w:lineRule="exact"/>
        <w:rPr>
          <w:color w:val="auto"/>
          <w:u w:val="single"/>
        </w:rPr>
      </w:pPr>
    </w:p>
    <w:p w:rsidR="00F1512E" w:rsidRPr="008404AB" w:rsidRDefault="00F1512E" w:rsidP="008404AB">
      <w:pPr>
        <w:tabs>
          <w:tab w:val="left" w:pos="288"/>
          <w:tab w:val="left" w:pos="4752"/>
        </w:tabs>
        <w:spacing w:line="240" w:lineRule="exact"/>
        <w:jc w:val="both"/>
        <w:rPr>
          <w:b/>
          <w:color w:val="auto"/>
          <w:u w:val="single"/>
        </w:rPr>
      </w:pPr>
      <w:r>
        <w:rPr>
          <w:color w:val="auto"/>
          <w:u w:val="single"/>
        </w:rPr>
        <w:t>R</w:t>
      </w:r>
      <w:r w:rsidRPr="00326C08">
        <w:rPr>
          <w:color w:val="auto"/>
          <w:u w:val="single"/>
        </w:rPr>
        <w:t>ATING COMPARISON</w:t>
      </w:r>
      <w:r w:rsidRPr="00326C08">
        <w:rPr>
          <w:color w:val="auto"/>
        </w:rPr>
        <w:t>:</w:t>
      </w:r>
      <w:r w:rsidRPr="008404AB">
        <w:rPr>
          <w:b/>
          <w:color w:val="auto"/>
          <w:u w:val="single"/>
        </w:rPr>
        <w:t xml:space="preserve"> </w:t>
      </w:r>
    </w:p>
    <w:p w:rsidR="00F1512E" w:rsidRPr="00FF1022" w:rsidRDefault="00F1512E" w:rsidP="008404AB">
      <w:pPr>
        <w:tabs>
          <w:tab w:val="left" w:pos="288"/>
          <w:tab w:val="left" w:pos="4752"/>
        </w:tabs>
        <w:spacing w:line="240" w:lineRule="exact"/>
        <w:jc w:val="both"/>
        <w:rPr>
          <w:b/>
          <w:color w:val="auto"/>
          <w:u w:val="single"/>
        </w:rPr>
      </w:pPr>
    </w:p>
    <w:tbl>
      <w:tblPr>
        <w:tblStyle w:val="TableGrid"/>
        <w:tblW w:w="9419" w:type="dxa"/>
        <w:jc w:val="center"/>
        <w:tblInd w:w="512" w:type="dxa"/>
        <w:tblLayout w:type="fixed"/>
        <w:tblLook w:val="00A0"/>
      </w:tblPr>
      <w:tblGrid>
        <w:gridCol w:w="2183"/>
        <w:gridCol w:w="720"/>
        <w:gridCol w:w="720"/>
        <w:gridCol w:w="628"/>
        <w:gridCol w:w="2544"/>
        <w:gridCol w:w="720"/>
        <w:gridCol w:w="810"/>
        <w:gridCol w:w="1094"/>
      </w:tblGrid>
      <w:tr w:rsidR="00F1512E" w:rsidRPr="00FF1022" w:rsidTr="00222602">
        <w:trPr>
          <w:trHeight w:val="233"/>
          <w:jc w:val="center"/>
        </w:trPr>
        <w:tc>
          <w:tcPr>
            <w:tcW w:w="4251" w:type="dxa"/>
            <w:gridSpan w:val="4"/>
            <w:tcBorders>
              <w:right w:val="thinThickThinSmallGap" w:sz="24" w:space="0" w:color="auto"/>
            </w:tcBorders>
            <w:shd w:val="clear" w:color="auto" w:fill="D9D9D9"/>
            <w:vAlign w:val="center"/>
          </w:tcPr>
          <w:p w:rsidR="00F1512E" w:rsidRPr="00DA48AB" w:rsidRDefault="00F1512E" w:rsidP="00222602">
            <w:pPr>
              <w:spacing w:line="240" w:lineRule="exact"/>
              <w:contextualSpacing/>
              <w:jc w:val="center"/>
              <w:rPr>
                <w:b/>
                <w:color w:val="auto"/>
                <w:sz w:val="20"/>
              </w:rPr>
            </w:pPr>
            <w:r w:rsidRPr="00DA48AB">
              <w:rPr>
                <w:b/>
                <w:color w:val="auto"/>
                <w:sz w:val="20"/>
              </w:rPr>
              <w:t>Final Service IPEB – Dated 20080220</w:t>
            </w:r>
          </w:p>
        </w:tc>
        <w:tc>
          <w:tcPr>
            <w:tcW w:w="5168" w:type="dxa"/>
            <w:gridSpan w:val="4"/>
            <w:tcBorders>
              <w:left w:val="thinThickThinSmallGap" w:sz="24" w:space="0" w:color="auto"/>
            </w:tcBorders>
            <w:shd w:val="clear" w:color="auto" w:fill="D9D9D9"/>
            <w:vAlign w:val="center"/>
          </w:tcPr>
          <w:p w:rsidR="00F1512E" w:rsidRPr="00DA48AB" w:rsidRDefault="00F1512E" w:rsidP="00222602">
            <w:pPr>
              <w:spacing w:line="240" w:lineRule="exact"/>
              <w:contextualSpacing/>
              <w:jc w:val="center"/>
              <w:rPr>
                <w:b/>
                <w:color w:val="auto"/>
                <w:sz w:val="20"/>
              </w:rPr>
            </w:pPr>
            <w:r w:rsidRPr="00DA48AB">
              <w:rPr>
                <w:b/>
                <w:color w:val="auto"/>
                <w:sz w:val="20"/>
              </w:rPr>
              <w:t>VA* – All Effective Date 20041121</w:t>
            </w:r>
          </w:p>
        </w:tc>
      </w:tr>
      <w:tr w:rsidR="0052335E" w:rsidRPr="00FF1022" w:rsidTr="00222602">
        <w:trPr>
          <w:trHeight w:val="233"/>
          <w:jc w:val="center"/>
        </w:trPr>
        <w:tc>
          <w:tcPr>
            <w:tcW w:w="2183" w:type="dxa"/>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Condition</w:t>
            </w:r>
          </w:p>
        </w:tc>
        <w:tc>
          <w:tcPr>
            <w:tcW w:w="720" w:type="dxa"/>
            <w:vMerge w:val="restart"/>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Code</w:t>
            </w:r>
          </w:p>
        </w:tc>
        <w:tc>
          <w:tcPr>
            <w:tcW w:w="1348" w:type="dxa"/>
            <w:gridSpan w:val="2"/>
            <w:tcBorders>
              <w:right w:val="thinThickThinSmallGap" w:sz="24" w:space="0" w:color="auto"/>
            </w:tcBorders>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Rating</w:t>
            </w:r>
          </w:p>
        </w:tc>
        <w:tc>
          <w:tcPr>
            <w:tcW w:w="2544" w:type="dxa"/>
            <w:vMerge w:val="restart"/>
            <w:tcBorders>
              <w:left w:val="thinThickThinSmallGap" w:sz="24" w:space="0" w:color="auto"/>
            </w:tcBorders>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Condition</w:t>
            </w:r>
          </w:p>
        </w:tc>
        <w:tc>
          <w:tcPr>
            <w:tcW w:w="720" w:type="dxa"/>
            <w:vMerge w:val="restart"/>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Code</w:t>
            </w:r>
          </w:p>
        </w:tc>
        <w:tc>
          <w:tcPr>
            <w:tcW w:w="810" w:type="dxa"/>
            <w:vMerge w:val="restart"/>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Rating</w:t>
            </w:r>
          </w:p>
        </w:tc>
        <w:tc>
          <w:tcPr>
            <w:tcW w:w="1094" w:type="dxa"/>
            <w:vMerge w:val="restart"/>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Exam</w:t>
            </w:r>
          </w:p>
        </w:tc>
      </w:tr>
      <w:tr w:rsidR="0052335E" w:rsidRPr="00FF1022" w:rsidTr="00222602">
        <w:trPr>
          <w:trHeight w:val="152"/>
          <w:jc w:val="center"/>
        </w:trPr>
        <w:tc>
          <w:tcPr>
            <w:tcW w:w="2183" w:type="dxa"/>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On TDRL – 2004</w:t>
            </w:r>
            <w:r w:rsidR="001D23E7">
              <w:rPr>
                <w:b/>
                <w:color w:val="auto"/>
                <w:sz w:val="20"/>
              </w:rPr>
              <w:t>1120</w:t>
            </w:r>
          </w:p>
        </w:tc>
        <w:tc>
          <w:tcPr>
            <w:tcW w:w="720" w:type="dxa"/>
            <w:vMerge/>
            <w:shd w:val="clear" w:color="auto" w:fill="D9D9D9"/>
            <w:vAlign w:val="center"/>
          </w:tcPr>
          <w:p w:rsidR="00F1512E" w:rsidRPr="00DA48AB" w:rsidRDefault="00F1512E" w:rsidP="00222602">
            <w:pPr>
              <w:spacing w:line="220" w:lineRule="exact"/>
              <w:contextualSpacing/>
              <w:jc w:val="center"/>
              <w:rPr>
                <w:color w:val="auto"/>
                <w:sz w:val="20"/>
              </w:rPr>
            </w:pPr>
          </w:p>
        </w:tc>
        <w:tc>
          <w:tcPr>
            <w:tcW w:w="720" w:type="dxa"/>
            <w:tcBorders>
              <w:right w:val="single" w:sz="4" w:space="0" w:color="auto"/>
            </w:tcBorders>
            <w:shd w:val="clear" w:color="auto" w:fill="D9D9D9"/>
            <w:vAlign w:val="center"/>
          </w:tcPr>
          <w:p w:rsidR="00F1512E" w:rsidRPr="00DA48AB" w:rsidRDefault="00F1512E" w:rsidP="00222602">
            <w:pPr>
              <w:spacing w:line="220" w:lineRule="exact"/>
              <w:contextualSpacing/>
              <w:jc w:val="center"/>
              <w:rPr>
                <w:b/>
                <w:color w:val="auto"/>
                <w:sz w:val="20"/>
              </w:rPr>
            </w:pPr>
            <w:r w:rsidRPr="00DA48AB">
              <w:rPr>
                <w:b/>
                <w:color w:val="auto"/>
                <w:sz w:val="20"/>
              </w:rPr>
              <w:t>TDRL</w:t>
            </w:r>
          </w:p>
        </w:tc>
        <w:tc>
          <w:tcPr>
            <w:tcW w:w="628" w:type="dxa"/>
            <w:tcBorders>
              <w:left w:val="single" w:sz="4" w:space="0" w:color="auto"/>
              <w:right w:val="thinThickThinSmallGap" w:sz="24" w:space="0" w:color="auto"/>
            </w:tcBorders>
            <w:shd w:val="clear" w:color="auto" w:fill="D9D9D9"/>
            <w:vAlign w:val="center"/>
          </w:tcPr>
          <w:p w:rsidR="00F1512E" w:rsidRPr="00DA48AB" w:rsidRDefault="00F1512E" w:rsidP="00222602">
            <w:pPr>
              <w:tabs>
                <w:tab w:val="left" w:pos="206"/>
                <w:tab w:val="center" w:pos="387"/>
              </w:tabs>
              <w:spacing w:line="220" w:lineRule="exact"/>
              <w:contextualSpacing/>
              <w:jc w:val="center"/>
              <w:rPr>
                <w:b/>
                <w:color w:val="auto"/>
                <w:sz w:val="20"/>
              </w:rPr>
            </w:pPr>
            <w:r w:rsidRPr="00DA48AB">
              <w:rPr>
                <w:b/>
                <w:color w:val="auto"/>
                <w:sz w:val="20"/>
              </w:rPr>
              <w:t>Sep.</w:t>
            </w:r>
          </w:p>
        </w:tc>
        <w:tc>
          <w:tcPr>
            <w:tcW w:w="2544" w:type="dxa"/>
            <w:vMerge/>
            <w:tcBorders>
              <w:left w:val="thinThickThinSmallGap" w:sz="24" w:space="0" w:color="auto"/>
            </w:tcBorders>
            <w:shd w:val="clear" w:color="auto" w:fill="D9D9D9"/>
            <w:vAlign w:val="center"/>
          </w:tcPr>
          <w:p w:rsidR="00F1512E" w:rsidRPr="00DA48AB" w:rsidRDefault="00F1512E" w:rsidP="00222602">
            <w:pPr>
              <w:spacing w:line="220" w:lineRule="exact"/>
              <w:contextualSpacing/>
              <w:jc w:val="center"/>
              <w:rPr>
                <w:b/>
                <w:color w:val="auto"/>
                <w:sz w:val="20"/>
              </w:rPr>
            </w:pPr>
          </w:p>
        </w:tc>
        <w:tc>
          <w:tcPr>
            <w:tcW w:w="720" w:type="dxa"/>
            <w:vMerge/>
            <w:shd w:val="clear" w:color="auto" w:fill="C6D9F1"/>
            <w:vAlign w:val="center"/>
          </w:tcPr>
          <w:p w:rsidR="00F1512E" w:rsidRPr="00DA48AB" w:rsidRDefault="00F1512E" w:rsidP="00222602">
            <w:pPr>
              <w:spacing w:line="220" w:lineRule="exact"/>
              <w:contextualSpacing/>
              <w:jc w:val="center"/>
              <w:rPr>
                <w:color w:val="auto"/>
                <w:sz w:val="20"/>
              </w:rPr>
            </w:pPr>
          </w:p>
        </w:tc>
        <w:tc>
          <w:tcPr>
            <w:tcW w:w="810" w:type="dxa"/>
            <w:vMerge/>
            <w:shd w:val="clear" w:color="auto" w:fill="C6D9F1"/>
            <w:vAlign w:val="center"/>
          </w:tcPr>
          <w:p w:rsidR="00F1512E" w:rsidRPr="00DA48AB" w:rsidRDefault="00F1512E" w:rsidP="00222602">
            <w:pPr>
              <w:spacing w:line="220" w:lineRule="exact"/>
              <w:contextualSpacing/>
              <w:jc w:val="center"/>
              <w:rPr>
                <w:color w:val="auto"/>
                <w:sz w:val="20"/>
              </w:rPr>
            </w:pPr>
          </w:p>
        </w:tc>
        <w:tc>
          <w:tcPr>
            <w:tcW w:w="1094" w:type="dxa"/>
            <w:vMerge/>
            <w:shd w:val="clear" w:color="auto" w:fill="C6D9F1"/>
            <w:vAlign w:val="center"/>
          </w:tcPr>
          <w:p w:rsidR="00F1512E" w:rsidRPr="00DA48AB" w:rsidRDefault="00F1512E" w:rsidP="00222602">
            <w:pPr>
              <w:spacing w:line="220" w:lineRule="exact"/>
              <w:contextualSpacing/>
              <w:jc w:val="center"/>
              <w:rPr>
                <w:color w:val="auto"/>
                <w:sz w:val="20"/>
              </w:rPr>
            </w:pPr>
          </w:p>
        </w:tc>
      </w:tr>
      <w:tr w:rsidR="0052335E" w:rsidRPr="00FF1022" w:rsidTr="00222602">
        <w:trPr>
          <w:trHeight w:val="125"/>
          <w:jc w:val="center"/>
        </w:trPr>
        <w:tc>
          <w:tcPr>
            <w:tcW w:w="2183" w:type="dxa"/>
            <w:tcBorders>
              <w:right w:val="single" w:sz="4" w:space="0" w:color="auto"/>
            </w:tcBorders>
            <w:shd w:val="clear" w:color="auto" w:fill="FFFFFF"/>
            <w:vAlign w:val="center"/>
          </w:tcPr>
          <w:p w:rsidR="00F1512E" w:rsidRPr="00DA48AB" w:rsidRDefault="0052335E" w:rsidP="00222602">
            <w:pPr>
              <w:spacing w:line="220" w:lineRule="exact"/>
              <w:contextualSpacing/>
              <w:rPr>
                <w:color w:val="auto"/>
                <w:sz w:val="18"/>
              </w:rPr>
            </w:pPr>
            <w:r>
              <w:rPr>
                <w:color w:val="auto"/>
                <w:sz w:val="18"/>
              </w:rPr>
              <w:t>PTSD</w:t>
            </w:r>
          </w:p>
        </w:tc>
        <w:tc>
          <w:tcPr>
            <w:tcW w:w="720" w:type="dxa"/>
            <w:tcBorders>
              <w:lef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9411</w:t>
            </w:r>
          </w:p>
        </w:tc>
        <w:tc>
          <w:tcPr>
            <w:tcW w:w="720" w:type="dxa"/>
            <w:tcBorders>
              <w:right w:val="single" w:sz="4" w:space="0" w:color="auto"/>
            </w:tcBorders>
            <w:shd w:val="clear" w:color="auto" w:fill="FFFFFF"/>
            <w:vAlign w:val="center"/>
          </w:tcPr>
          <w:p w:rsidR="00F1512E" w:rsidRPr="00DA48AB" w:rsidRDefault="00F1512E" w:rsidP="00222602">
            <w:pPr>
              <w:spacing w:line="220" w:lineRule="exact"/>
              <w:jc w:val="center"/>
              <w:rPr>
                <w:color w:val="auto"/>
              </w:rPr>
            </w:pPr>
            <w:r w:rsidRPr="00DA48AB">
              <w:rPr>
                <w:color w:val="auto"/>
                <w:sz w:val="18"/>
              </w:rPr>
              <w:t>30%</w:t>
            </w:r>
          </w:p>
        </w:tc>
        <w:tc>
          <w:tcPr>
            <w:tcW w:w="628" w:type="dxa"/>
            <w:tcBorders>
              <w:left w:val="single" w:sz="4" w:space="0" w:color="auto"/>
              <w:right w:val="thinThickThinSmallGap" w:sz="24" w:space="0" w:color="auto"/>
            </w:tcBorders>
            <w:shd w:val="clear" w:color="auto" w:fill="FFFFFF"/>
            <w:vAlign w:val="center"/>
          </w:tcPr>
          <w:p w:rsidR="00F1512E" w:rsidRPr="00DA48AB" w:rsidRDefault="00F1512E" w:rsidP="00222602">
            <w:pPr>
              <w:spacing w:line="220" w:lineRule="exact"/>
              <w:jc w:val="center"/>
              <w:rPr>
                <w:color w:val="auto"/>
              </w:rPr>
            </w:pPr>
            <w:r w:rsidRPr="00DA48AB">
              <w:rPr>
                <w:color w:val="auto"/>
                <w:sz w:val="18"/>
              </w:rPr>
              <w:t>10%</w:t>
            </w:r>
          </w:p>
        </w:tc>
        <w:tc>
          <w:tcPr>
            <w:tcW w:w="2544" w:type="dxa"/>
            <w:vMerge w:val="restart"/>
            <w:tcBorders>
              <w:left w:val="thinThickThinSmallGap" w:sz="24" w:space="0" w:color="auto"/>
            </w:tcBorders>
            <w:shd w:val="clear" w:color="auto" w:fill="FFFFFF"/>
            <w:vAlign w:val="center"/>
          </w:tcPr>
          <w:p w:rsidR="00F1512E" w:rsidRPr="00DA48AB" w:rsidRDefault="0052335E" w:rsidP="00222602">
            <w:pPr>
              <w:spacing w:line="220" w:lineRule="exact"/>
              <w:contextualSpacing/>
              <w:rPr>
                <w:color w:val="auto"/>
                <w:sz w:val="18"/>
              </w:rPr>
            </w:pPr>
            <w:r>
              <w:rPr>
                <w:color w:val="auto"/>
                <w:sz w:val="18"/>
              </w:rPr>
              <w:t>PTSD</w:t>
            </w:r>
          </w:p>
        </w:tc>
        <w:tc>
          <w:tcPr>
            <w:tcW w:w="720" w:type="dxa"/>
            <w:vMerge w:val="restart"/>
            <w:tcBorders>
              <w:righ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9411</w:t>
            </w:r>
          </w:p>
        </w:tc>
        <w:tc>
          <w:tcPr>
            <w:tcW w:w="810" w:type="dxa"/>
            <w:vMerge w:val="restart"/>
            <w:tcBorders>
              <w:lef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50%</w:t>
            </w:r>
          </w:p>
        </w:tc>
        <w:tc>
          <w:tcPr>
            <w:tcW w:w="1094" w:type="dxa"/>
            <w:vMerge w:val="restart"/>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20041026</w:t>
            </w:r>
          </w:p>
        </w:tc>
      </w:tr>
      <w:tr w:rsidR="0052335E" w:rsidRPr="00FF1022" w:rsidTr="00222602">
        <w:trPr>
          <w:trHeight w:val="89"/>
          <w:jc w:val="center"/>
        </w:trPr>
        <w:tc>
          <w:tcPr>
            <w:tcW w:w="2903" w:type="dxa"/>
            <w:gridSpan w:val="2"/>
            <w:shd w:val="clear" w:color="auto" w:fill="FFFFFF"/>
            <w:vAlign w:val="center"/>
          </w:tcPr>
          <w:p w:rsidR="00F1512E" w:rsidRPr="00DA48AB" w:rsidRDefault="00F1512E" w:rsidP="00222602">
            <w:pPr>
              <w:spacing w:line="220" w:lineRule="exact"/>
              <w:contextualSpacing/>
              <w:rPr>
                <w:color w:val="auto"/>
                <w:sz w:val="18"/>
              </w:rPr>
            </w:pPr>
            <w:r w:rsidRPr="00DA48AB">
              <w:rPr>
                <w:color w:val="auto"/>
                <w:sz w:val="18"/>
              </w:rPr>
              <w:t>Major Depressive Disorder</w:t>
            </w:r>
          </w:p>
        </w:tc>
        <w:tc>
          <w:tcPr>
            <w:tcW w:w="1348" w:type="dxa"/>
            <w:gridSpan w:val="2"/>
            <w:tcBorders>
              <w:right w:val="thinThickThinSmallGap" w:sz="2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Not Unfitting</w:t>
            </w:r>
          </w:p>
        </w:tc>
        <w:tc>
          <w:tcPr>
            <w:tcW w:w="2544" w:type="dxa"/>
            <w:vMerge/>
            <w:tcBorders>
              <w:left w:val="thinThickThinSmallGap" w:sz="24" w:space="0" w:color="auto"/>
            </w:tcBorders>
            <w:shd w:val="clear" w:color="auto" w:fill="FFFFFF"/>
            <w:vAlign w:val="center"/>
          </w:tcPr>
          <w:p w:rsidR="00F1512E" w:rsidRPr="00DA48AB" w:rsidRDefault="00F1512E" w:rsidP="00222602">
            <w:pPr>
              <w:spacing w:line="220" w:lineRule="exact"/>
              <w:contextualSpacing/>
              <w:rPr>
                <w:color w:val="auto"/>
                <w:sz w:val="18"/>
              </w:rPr>
            </w:pPr>
          </w:p>
        </w:tc>
        <w:tc>
          <w:tcPr>
            <w:tcW w:w="720" w:type="dxa"/>
            <w:vMerge/>
            <w:tcBorders>
              <w:righ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p>
        </w:tc>
        <w:tc>
          <w:tcPr>
            <w:tcW w:w="810" w:type="dxa"/>
            <w:vMerge/>
            <w:tcBorders>
              <w:lef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p>
        </w:tc>
        <w:tc>
          <w:tcPr>
            <w:tcW w:w="1094" w:type="dxa"/>
            <w:vMerge/>
            <w:shd w:val="clear" w:color="auto" w:fill="FFFFFF"/>
            <w:vAlign w:val="center"/>
          </w:tcPr>
          <w:p w:rsidR="00F1512E" w:rsidRPr="00DA48AB" w:rsidRDefault="00F1512E" w:rsidP="00222602">
            <w:pPr>
              <w:spacing w:line="220" w:lineRule="exact"/>
              <w:contextualSpacing/>
              <w:jc w:val="center"/>
              <w:rPr>
                <w:color w:val="auto"/>
                <w:sz w:val="18"/>
              </w:rPr>
            </w:pPr>
          </w:p>
        </w:tc>
      </w:tr>
      <w:tr w:rsidR="0052335E" w:rsidRPr="00FF1022" w:rsidTr="00222602">
        <w:trPr>
          <w:trHeight w:val="188"/>
          <w:jc w:val="center"/>
        </w:trPr>
        <w:tc>
          <w:tcPr>
            <w:tcW w:w="2903" w:type="dxa"/>
            <w:gridSpan w:val="2"/>
            <w:tcBorders>
              <w:right w:val="single" w:sz="4" w:space="0" w:color="auto"/>
            </w:tcBorders>
            <w:shd w:val="clear" w:color="auto" w:fill="FFFFFF"/>
            <w:vAlign w:val="center"/>
          </w:tcPr>
          <w:p w:rsidR="00F1512E" w:rsidRPr="00DA48AB" w:rsidRDefault="00F1512E" w:rsidP="00222602">
            <w:pPr>
              <w:spacing w:line="220" w:lineRule="exact"/>
              <w:contextualSpacing/>
              <w:rPr>
                <w:color w:val="auto"/>
                <w:sz w:val="18"/>
              </w:rPr>
            </w:pPr>
            <w:r w:rsidRPr="00DA48AB">
              <w:rPr>
                <w:color w:val="auto"/>
                <w:sz w:val="18"/>
              </w:rPr>
              <w:t>Conversion Disorder</w:t>
            </w:r>
          </w:p>
        </w:tc>
        <w:tc>
          <w:tcPr>
            <w:tcW w:w="1348" w:type="dxa"/>
            <w:gridSpan w:val="2"/>
            <w:tcBorders>
              <w:right w:val="thinThickThinSmallGap" w:sz="2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Not Unfitting</w:t>
            </w:r>
          </w:p>
        </w:tc>
        <w:tc>
          <w:tcPr>
            <w:tcW w:w="2544" w:type="dxa"/>
            <w:vMerge/>
            <w:tcBorders>
              <w:left w:val="thinThickThinSmallGap" w:sz="24" w:space="0" w:color="auto"/>
            </w:tcBorders>
            <w:shd w:val="clear" w:color="auto" w:fill="FFFFFF"/>
            <w:vAlign w:val="center"/>
          </w:tcPr>
          <w:p w:rsidR="00F1512E" w:rsidRPr="00DA48AB" w:rsidRDefault="00F1512E" w:rsidP="00222602">
            <w:pPr>
              <w:spacing w:line="220" w:lineRule="exact"/>
              <w:contextualSpacing/>
              <w:rPr>
                <w:color w:val="auto"/>
                <w:sz w:val="18"/>
              </w:rPr>
            </w:pPr>
          </w:p>
        </w:tc>
        <w:tc>
          <w:tcPr>
            <w:tcW w:w="720" w:type="dxa"/>
            <w:vMerge/>
            <w:tcBorders>
              <w:righ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p>
        </w:tc>
        <w:tc>
          <w:tcPr>
            <w:tcW w:w="810" w:type="dxa"/>
            <w:vMerge/>
            <w:tcBorders>
              <w:lef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p>
        </w:tc>
        <w:tc>
          <w:tcPr>
            <w:tcW w:w="1094" w:type="dxa"/>
            <w:vMerge/>
            <w:shd w:val="clear" w:color="auto" w:fill="FFFFFF"/>
            <w:vAlign w:val="center"/>
          </w:tcPr>
          <w:p w:rsidR="00F1512E" w:rsidRPr="00DA48AB" w:rsidRDefault="00F1512E" w:rsidP="00222602">
            <w:pPr>
              <w:spacing w:line="220" w:lineRule="exact"/>
              <w:contextualSpacing/>
              <w:jc w:val="center"/>
              <w:rPr>
                <w:color w:val="auto"/>
                <w:sz w:val="18"/>
              </w:rPr>
            </w:pPr>
          </w:p>
        </w:tc>
      </w:tr>
      <w:tr w:rsidR="0052335E" w:rsidRPr="00FF1022" w:rsidTr="00222602">
        <w:trPr>
          <w:trHeight w:val="188"/>
          <w:jc w:val="center"/>
        </w:trPr>
        <w:tc>
          <w:tcPr>
            <w:tcW w:w="2903" w:type="dxa"/>
            <w:gridSpan w:val="2"/>
            <w:tcBorders>
              <w:right w:val="single" w:sz="4" w:space="0" w:color="auto"/>
            </w:tcBorders>
            <w:shd w:val="clear" w:color="auto" w:fill="FFFFFF"/>
            <w:vAlign w:val="center"/>
          </w:tcPr>
          <w:p w:rsidR="00F1512E" w:rsidRPr="00DA48AB" w:rsidRDefault="00F1512E" w:rsidP="00222602">
            <w:pPr>
              <w:spacing w:line="220" w:lineRule="exact"/>
              <w:contextualSpacing/>
              <w:rPr>
                <w:color w:val="auto"/>
                <w:sz w:val="18"/>
              </w:rPr>
            </w:pPr>
            <w:r w:rsidRPr="00DA48AB">
              <w:rPr>
                <w:color w:val="auto"/>
                <w:sz w:val="18"/>
              </w:rPr>
              <w:t>Headaches</w:t>
            </w:r>
          </w:p>
        </w:tc>
        <w:tc>
          <w:tcPr>
            <w:tcW w:w="1348" w:type="dxa"/>
            <w:gridSpan w:val="2"/>
            <w:tcBorders>
              <w:right w:val="thinThickThinSmallGap" w:sz="2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Not Unfitting</w:t>
            </w:r>
          </w:p>
        </w:tc>
        <w:tc>
          <w:tcPr>
            <w:tcW w:w="2544" w:type="dxa"/>
            <w:tcBorders>
              <w:left w:val="thinThickThinSmallGap" w:sz="24" w:space="0" w:color="auto"/>
              <w:right w:val="single" w:sz="4" w:space="0" w:color="auto"/>
            </w:tcBorders>
            <w:shd w:val="clear" w:color="auto" w:fill="FFFFFF"/>
            <w:vAlign w:val="center"/>
          </w:tcPr>
          <w:p w:rsidR="00F1512E" w:rsidRPr="00DA48AB" w:rsidRDefault="00F1512E" w:rsidP="00222602">
            <w:pPr>
              <w:spacing w:line="220" w:lineRule="exact"/>
              <w:contextualSpacing/>
              <w:rPr>
                <w:color w:val="auto"/>
                <w:sz w:val="18"/>
              </w:rPr>
            </w:pPr>
            <w:r w:rsidRPr="00DA48AB">
              <w:rPr>
                <w:color w:val="auto"/>
                <w:sz w:val="18"/>
              </w:rPr>
              <w:t>Stress Related Headaches</w:t>
            </w:r>
          </w:p>
        </w:tc>
        <w:tc>
          <w:tcPr>
            <w:tcW w:w="720" w:type="dxa"/>
            <w:tcBorders>
              <w:left w:val="single" w:sz="4" w:space="0" w:color="auto"/>
              <w:righ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8100</w:t>
            </w:r>
          </w:p>
        </w:tc>
        <w:tc>
          <w:tcPr>
            <w:tcW w:w="810" w:type="dxa"/>
            <w:tcBorders>
              <w:lef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30%</w:t>
            </w:r>
          </w:p>
        </w:tc>
        <w:tc>
          <w:tcPr>
            <w:tcW w:w="1094" w:type="dxa"/>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20050805</w:t>
            </w:r>
          </w:p>
        </w:tc>
      </w:tr>
      <w:tr w:rsidR="0052335E" w:rsidRPr="00FF1022" w:rsidTr="00222602">
        <w:trPr>
          <w:trHeight w:val="188"/>
          <w:jc w:val="center"/>
        </w:trPr>
        <w:tc>
          <w:tcPr>
            <w:tcW w:w="2903" w:type="dxa"/>
            <w:gridSpan w:val="2"/>
            <w:tcBorders>
              <w:right w:val="single" w:sz="4" w:space="0" w:color="auto"/>
            </w:tcBorders>
            <w:shd w:val="clear" w:color="auto" w:fill="FFFFFF"/>
            <w:vAlign w:val="center"/>
          </w:tcPr>
          <w:p w:rsidR="00F1512E" w:rsidRPr="00DA48AB" w:rsidRDefault="00F1512E" w:rsidP="00222602">
            <w:pPr>
              <w:spacing w:line="220" w:lineRule="exact"/>
              <w:contextualSpacing/>
              <w:rPr>
                <w:color w:val="auto"/>
                <w:sz w:val="18"/>
              </w:rPr>
            </w:pPr>
            <w:r w:rsidRPr="00DA48AB">
              <w:rPr>
                <w:color w:val="auto"/>
                <w:sz w:val="18"/>
              </w:rPr>
              <w:t>Low Back Pain</w:t>
            </w:r>
          </w:p>
        </w:tc>
        <w:tc>
          <w:tcPr>
            <w:tcW w:w="1348" w:type="dxa"/>
            <w:gridSpan w:val="2"/>
            <w:tcBorders>
              <w:right w:val="thinThickThinSmallGap" w:sz="2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Not Unfitting</w:t>
            </w:r>
          </w:p>
        </w:tc>
        <w:tc>
          <w:tcPr>
            <w:tcW w:w="2544" w:type="dxa"/>
            <w:tcBorders>
              <w:left w:val="thinThickThinSmallGap" w:sz="24" w:space="0" w:color="auto"/>
              <w:right w:val="single" w:sz="4" w:space="0" w:color="auto"/>
            </w:tcBorders>
            <w:shd w:val="clear" w:color="auto" w:fill="FFFFFF"/>
            <w:vAlign w:val="center"/>
          </w:tcPr>
          <w:p w:rsidR="00F1512E" w:rsidRPr="00DA48AB" w:rsidRDefault="00F1512E" w:rsidP="00222602">
            <w:pPr>
              <w:spacing w:line="220" w:lineRule="exact"/>
              <w:contextualSpacing/>
              <w:rPr>
                <w:color w:val="auto"/>
                <w:sz w:val="18"/>
              </w:rPr>
            </w:pPr>
            <w:r w:rsidRPr="00DA48AB">
              <w:rPr>
                <w:color w:val="auto"/>
                <w:sz w:val="18"/>
              </w:rPr>
              <w:t>Mechanical Low Back Pain</w:t>
            </w:r>
          </w:p>
        </w:tc>
        <w:tc>
          <w:tcPr>
            <w:tcW w:w="720" w:type="dxa"/>
            <w:tcBorders>
              <w:left w:val="single" w:sz="4" w:space="0" w:color="auto"/>
              <w:righ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5237</w:t>
            </w:r>
          </w:p>
        </w:tc>
        <w:tc>
          <w:tcPr>
            <w:tcW w:w="810" w:type="dxa"/>
            <w:tcBorders>
              <w:left w:val="single" w:sz="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10%</w:t>
            </w:r>
          </w:p>
        </w:tc>
        <w:tc>
          <w:tcPr>
            <w:tcW w:w="1094" w:type="dxa"/>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20050805</w:t>
            </w:r>
          </w:p>
        </w:tc>
      </w:tr>
      <w:tr w:rsidR="00F1512E" w:rsidRPr="00FF1022" w:rsidTr="00222602">
        <w:trPr>
          <w:trHeight w:val="188"/>
          <w:jc w:val="center"/>
        </w:trPr>
        <w:tc>
          <w:tcPr>
            <w:tcW w:w="4251" w:type="dxa"/>
            <w:gridSpan w:val="4"/>
            <w:vMerge w:val="restart"/>
            <w:tcBorders>
              <w:right w:val="thinThickThinSmallGap" w:sz="24" w:space="0" w:color="auto"/>
            </w:tcBorders>
            <w:shd w:val="clear" w:color="auto" w:fill="FFFFFF"/>
          </w:tcPr>
          <w:p w:rsidR="00F1512E" w:rsidRPr="00DA48AB" w:rsidRDefault="00F1512E" w:rsidP="00222602">
            <w:pPr>
              <w:spacing w:line="220" w:lineRule="exact"/>
              <w:contextualSpacing/>
              <w:jc w:val="center"/>
              <w:rPr>
                <w:color w:val="auto"/>
                <w:sz w:val="18"/>
              </w:rPr>
            </w:pPr>
            <w:r w:rsidRPr="00DA48AB">
              <w:rPr>
                <w:color w:val="auto"/>
                <w:sz w:val="18"/>
              </w:rPr>
              <w:t>↓No Additional MEB/PEB Entries↓</w:t>
            </w:r>
          </w:p>
        </w:tc>
        <w:tc>
          <w:tcPr>
            <w:tcW w:w="2544" w:type="dxa"/>
            <w:tcBorders>
              <w:left w:val="thinThickThinSmallGap" w:sz="24" w:space="0" w:color="auto"/>
            </w:tcBorders>
            <w:shd w:val="clear" w:color="auto" w:fill="FFFFFF"/>
            <w:vAlign w:val="center"/>
          </w:tcPr>
          <w:p w:rsidR="00F1512E" w:rsidRPr="00DA48AB" w:rsidRDefault="0052335E" w:rsidP="00222602">
            <w:pPr>
              <w:spacing w:line="220" w:lineRule="exact"/>
              <w:rPr>
                <w:color w:val="auto"/>
                <w:sz w:val="18"/>
              </w:rPr>
            </w:pPr>
            <w:r w:rsidRPr="00DA48AB">
              <w:rPr>
                <w:color w:val="auto"/>
                <w:sz w:val="18"/>
              </w:rPr>
              <w:t xml:space="preserve">Left Knee </w:t>
            </w:r>
            <w:r w:rsidR="00F1512E" w:rsidRPr="00DA48AB">
              <w:rPr>
                <w:color w:val="auto"/>
                <w:sz w:val="18"/>
              </w:rPr>
              <w:t xml:space="preserve">Degenerative Joint </w:t>
            </w:r>
            <w:r>
              <w:rPr>
                <w:color w:val="auto"/>
                <w:sz w:val="18"/>
              </w:rPr>
              <w:t>…</w:t>
            </w:r>
          </w:p>
        </w:tc>
        <w:tc>
          <w:tcPr>
            <w:tcW w:w="720" w:type="dxa"/>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5003</w:t>
            </w:r>
          </w:p>
        </w:tc>
        <w:tc>
          <w:tcPr>
            <w:tcW w:w="810" w:type="dxa"/>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10%</w:t>
            </w:r>
          </w:p>
        </w:tc>
        <w:tc>
          <w:tcPr>
            <w:tcW w:w="1094" w:type="dxa"/>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20050805</w:t>
            </w:r>
          </w:p>
        </w:tc>
      </w:tr>
      <w:tr w:rsidR="00F1512E" w:rsidRPr="00FF1022" w:rsidTr="00222602">
        <w:trPr>
          <w:trHeight w:val="188"/>
          <w:jc w:val="center"/>
        </w:trPr>
        <w:tc>
          <w:tcPr>
            <w:tcW w:w="4251" w:type="dxa"/>
            <w:gridSpan w:val="4"/>
            <w:vMerge/>
            <w:tcBorders>
              <w:right w:val="thinThickThinSmallGap" w:sz="2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p>
        </w:tc>
        <w:tc>
          <w:tcPr>
            <w:tcW w:w="4074" w:type="dxa"/>
            <w:gridSpan w:val="3"/>
            <w:tcBorders>
              <w:left w:val="thinThickThinSmallGap" w:sz="24" w:space="0" w:color="auto"/>
            </w:tcBorders>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0% x 1</w:t>
            </w:r>
            <w:r w:rsidR="0052335E">
              <w:rPr>
                <w:color w:val="auto"/>
                <w:sz w:val="18"/>
              </w:rPr>
              <w:t xml:space="preserve"> </w:t>
            </w:r>
            <w:r w:rsidRPr="00DA48AB">
              <w:rPr>
                <w:color w:val="auto"/>
                <w:sz w:val="18"/>
              </w:rPr>
              <w:t>/</w:t>
            </w:r>
            <w:r w:rsidR="0052335E">
              <w:rPr>
                <w:color w:val="auto"/>
                <w:sz w:val="18"/>
              </w:rPr>
              <w:t xml:space="preserve"> </w:t>
            </w:r>
            <w:r w:rsidRPr="00DA48AB">
              <w:rPr>
                <w:color w:val="auto"/>
                <w:sz w:val="18"/>
              </w:rPr>
              <w:t>Not Service Connected x 2</w:t>
            </w:r>
          </w:p>
        </w:tc>
        <w:tc>
          <w:tcPr>
            <w:tcW w:w="1094" w:type="dxa"/>
            <w:shd w:val="clear" w:color="auto" w:fill="FFFFFF"/>
            <w:vAlign w:val="center"/>
          </w:tcPr>
          <w:p w:rsidR="00F1512E" w:rsidRPr="00DA48AB" w:rsidRDefault="00F1512E" w:rsidP="00222602">
            <w:pPr>
              <w:spacing w:line="220" w:lineRule="exact"/>
              <w:contextualSpacing/>
              <w:jc w:val="center"/>
              <w:rPr>
                <w:color w:val="auto"/>
                <w:sz w:val="18"/>
              </w:rPr>
            </w:pPr>
            <w:r w:rsidRPr="00DA48AB">
              <w:rPr>
                <w:color w:val="auto"/>
                <w:sz w:val="18"/>
              </w:rPr>
              <w:t>20050805</w:t>
            </w:r>
          </w:p>
        </w:tc>
      </w:tr>
      <w:tr w:rsidR="00F1512E" w:rsidRPr="00FF1022" w:rsidTr="00222602">
        <w:trPr>
          <w:trHeight w:val="179"/>
          <w:jc w:val="center"/>
        </w:trPr>
        <w:tc>
          <w:tcPr>
            <w:tcW w:w="4251" w:type="dxa"/>
            <w:gridSpan w:val="4"/>
            <w:tcBorders>
              <w:right w:val="thinThickThinSmallGap" w:sz="24" w:space="0" w:color="auto"/>
            </w:tcBorders>
            <w:shd w:val="clear" w:color="auto" w:fill="D9D9D9"/>
          </w:tcPr>
          <w:p w:rsidR="00F1512E" w:rsidRPr="00DA48AB" w:rsidRDefault="00F1512E" w:rsidP="00222602">
            <w:pPr>
              <w:spacing w:line="240" w:lineRule="exact"/>
              <w:contextualSpacing/>
              <w:jc w:val="center"/>
              <w:rPr>
                <w:b/>
                <w:color w:val="auto"/>
                <w:sz w:val="20"/>
              </w:rPr>
            </w:pPr>
            <w:r w:rsidRPr="00DA48AB">
              <w:rPr>
                <w:b/>
                <w:color w:val="auto"/>
                <w:sz w:val="20"/>
              </w:rPr>
              <w:t>Combined:  10%</w:t>
            </w:r>
          </w:p>
        </w:tc>
        <w:tc>
          <w:tcPr>
            <w:tcW w:w="5168" w:type="dxa"/>
            <w:gridSpan w:val="4"/>
            <w:tcBorders>
              <w:left w:val="thinThickThinSmallGap" w:sz="24" w:space="0" w:color="auto"/>
            </w:tcBorders>
            <w:shd w:val="clear" w:color="auto" w:fill="D9D9D9"/>
          </w:tcPr>
          <w:p w:rsidR="00F1512E" w:rsidRPr="00DA48AB" w:rsidRDefault="00F1512E" w:rsidP="00222602">
            <w:pPr>
              <w:spacing w:line="240" w:lineRule="exact"/>
              <w:contextualSpacing/>
              <w:jc w:val="center"/>
              <w:rPr>
                <w:b/>
                <w:color w:val="auto"/>
                <w:sz w:val="20"/>
              </w:rPr>
            </w:pPr>
            <w:r w:rsidRPr="00DA48AB">
              <w:rPr>
                <w:b/>
                <w:color w:val="auto"/>
                <w:sz w:val="20"/>
              </w:rPr>
              <w:t>Combined:  70%</w:t>
            </w:r>
          </w:p>
        </w:tc>
      </w:tr>
    </w:tbl>
    <w:p w:rsidR="00F1512E" w:rsidRPr="00FF1022" w:rsidRDefault="00F1512E" w:rsidP="00510F9C">
      <w:pPr>
        <w:spacing w:line="240" w:lineRule="exact"/>
        <w:rPr>
          <w:color w:val="auto"/>
        </w:rPr>
      </w:pPr>
      <w:r w:rsidRPr="006937C6">
        <w:rPr>
          <w:color w:val="auto"/>
          <w:sz w:val="18"/>
        </w:rPr>
        <w:t>* VA rating based on exam most proximate to date of permanent separation.</w:t>
      </w:r>
    </w:p>
    <w:p w:rsidR="00F1512E" w:rsidRPr="00391858" w:rsidRDefault="00F1512E" w:rsidP="00510F9C">
      <w:pPr>
        <w:pBdr>
          <w:bottom w:val="single" w:sz="12" w:space="1" w:color="auto"/>
        </w:pBdr>
        <w:tabs>
          <w:tab w:val="left" w:pos="288"/>
          <w:tab w:val="left" w:pos="4752"/>
        </w:tabs>
        <w:spacing w:line="240" w:lineRule="exact"/>
        <w:jc w:val="both"/>
        <w:rPr>
          <w:b/>
          <w:color w:val="auto"/>
          <w:u w:val="single"/>
        </w:rPr>
      </w:pPr>
    </w:p>
    <w:p w:rsidR="00F1512E" w:rsidRDefault="00F1512E" w:rsidP="00C6170B">
      <w:pPr>
        <w:rPr>
          <w:color w:val="auto"/>
          <w:u w:val="single"/>
        </w:rPr>
      </w:pPr>
    </w:p>
    <w:p w:rsidR="00304C8F" w:rsidRPr="00304C8F" w:rsidRDefault="00F1512E" w:rsidP="00304C8F">
      <w:pPr>
        <w:spacing w:line="240" w:lineRule="exact"/>
        <w:jc w:val="both"/>
        <w:rPr>
          <w:color w:val="auto"/>
        </w:rPr>
      </w:pPr>
      <w:r w:rsidRPr="00396779">
        <w:rPr>
          <w:color w:val="auto"/>
          <w:u w:val="single"/>
        </w:rPr>
        <w:lastRenderedPageBreak/>
        <w:t>ANALYSIS SUMMARY</w:t>
      </w:r>
      <w:r w:rsidRPr="00396779">
        <w:rPr>
          <w:color w:val="auto"/>
        </w:rPr>
        <w:t>:</w:t>
      </w:r>
      <w:r w:rsidRPr="008404AB">
        <w:rPr>
          <w:color w:val="auto"/>
        </w:rPr>
        <w:t xml:space="preserve">  </w:t>
      </w:r>
      <w:r w:rsidR="00304C8F" w:rsidRPr="00304C8F">
        <w:rPr>
          <w:color w:val="auto"/>
        </w:rPr>
        <w:t>The PEB</w:t>
      </w:r>
      <w:r w:rsidR="00304C8F">
        <w:rPr>
          <w:color w:val="auto"/>
        </w:rPr>
        <w:t>’s initial (pre-TDRL)</w:t>
      </w:r>
      <w:r w:rsidR="00304C8F" w:rsidRPr="00304C8F">
        <w:rPr>
          <w:color w:val="auto"/>
        </w:rPr>
        <w:t xml:space="preserve"> rating, as described above, was derived from DoDI 1332.39 and preceded the promulgation of the National Defense Authorization Act (NDAA) 2008 mandate for DoD adherence to VASRD §4.129. IAW DoDI 6040.44 and DoD guidance (which applies current VASRD 4.129 to all Board cases), the Board is obligated to recommend a minimum 50% PTSD rating for at least a six-month period on the Temporary Disability Retired List (TDRL).  Since the Service was in compliance with the §4.129 TDRL requirement, the Board need not apply a constructive TDRL interval in this case.  A minimum TDRL rating of 50% remains applicable IAW</w:t>
      </w:r>
      <w:r w:rsidR="009C4D85">
        <w:rPr>
          <w:color w:val="auto"/>
        </w:rPr>
        <w:t xml:space="preserve"> DoD direction, and as held by F</w:t>
      </w:r>
      <w:r w:rsidR="00304C8F" w:rsidRPr="00304C8F">
        <w:rPr>
          <w:color w:val="auto"/>
        </w:rPr>
        <w:t xml:space="preserve">ederal court in the </w:t>
      </w:r>
      <w:r w:rsidR="00304C8F" w:rsidRPr="00304C8F">
        <w:rPr>
          <w:i/>
          <w:color w:val="auto"/>
        </w:rPr>
        <w:t>Sabo, et al v. United States</w:t>
      </w:r>
      <w:r w:rsidR="00304C8F" w:rsidRPr="00304C8F">
        <w:rPr>
          <w:color w:val="auto"/>
        </w:rPr>
        <w:t xml:space="preserve"> class action settlement.  The Board must then determine the most appropriate fit with VASRD 4.130 criteria at the end of the TDRL interval for its permanent rating recommendation.  The MEB’s narrative summary (NARSUM) and the </w:t>
      </w:r>
      <w:r w:rsidR="009C4D85">
        <w:rPr>
          <w:color w:val="auto"/>
        </w:rPr>
        <w:t>Department of Veterans’ Affairs (DVA)</w:t>
      </w:r>
      <w:r w:rsidR="00304C8F" w:rsidRPr="00304C8F">
        <w:rPr>
          <w:color w:val="auto"/>
        </w:rPr>
        <w:t xml:space="preserve"> psychiatric Compensation and Pension (C&amp;P) </w:t>
      </w:r>
      <w:r w:rsidR="00675A8B">
        <w:rPr>
          <w:color w:val="auto"/>
        </w:rPr>
        <w:t xml:space="preserve">exam </w:t>
      </w:r>
      <w:r w:rsidR="00304C8F" w:rsidRPr="00304C8F">
        <w:rPr>
          <w:color w:val="auto"/>
        </w:rPr>
        <w:t xml:space="preserve">performed proximate to the date of temporary retirement are probative to the Board’s TDRL rating recommendation.  </w:t>
      </w:r>
      <w:r w:rsidR="00777579">
        <w:rPr>
          <w:color w:val="auto"/>
        </w:rPr>
        <w:t xml:space="preserve">The </w:t>
      </w:r>
      <w:r w:rsidR="008B1FF9">
        <w:rPr>
          <w:color w:val="auto"/>
        </w:rPr>
        <w:t>only</w:t>
      </w:r>
      <w:r w:rsidR="00DF3FD2">
        <w:rPr>
          <w:color w:val="auto"/>
        </w:rPr>
        <w:t xml:space="preserve"> probative s</w:t>
      </w:r>
      <w:r w:rsidR="008B1FF9">
        <w:rPr>
          <w:color w:val="auto"/>
        </w:rPr>
        <w:t>ource</w:t>
      </w:r>
      <w:r w:rsidR="00DF3FD2">
        <w:rPr>
          <w:color w:val="auto"/>
        </w:rPr>
        <w:t xml:space="preserve"> of evidence pertinent to the </w:t>
      </w:r>
      <w:r w:rsidR="00DF3FD2" w:rsidRPr="00304C8F">
        <w:rPr>
          <w:color w:val="auto"/>
        </w:rPr>
        <w:t xml:space="preserve">Board’s </w:t>
      </w:r>
      <w:r w:rsidR="00DF3FD2">
        <w:rPr>
          <w:color w:val="auto"/>
        </w:rPr>
        <w:t>permanent</w:t>
      </w:r>
      <w:r w:rsidR="00DF3FD2" w:rsidRPr="00304C8F">
        <w:rPr>
          <w:color w:val="auto"/>
        </w:rPr>
        <w:t xml:space="preserve"> rating recommendation</w:t>
      </w:r>
      <w:r w:rsidR="00A1019E">
        <w:rPr>
          <w:color w:val="auto"/>
        </w:rPr>
        <w:t xml:space="preserve"> was</w:t>
      </w:r>
      <w:r w:rsidR="00DF3FD2">
        <w:rPr>
          <w:color w:val="auto"/>
        </w:rPr>
        <w:t xml:space="preserve"> </w:t>
      </w:r>
      <w:r w:rsidR="00675A8B">
        <w:rPr>
          <w:color w:val="auto"/>
        </w:rPr>
        <w:t>the</w:t>
      </w:r>
      <w:r w:rsidR="00DF3FD2" w:rsidRPr="00304C8F">
        <w:rPr>
          <w:color w:val="auto"/>
        </w:rPr>
        <w:t xml:space="preserve"> TDRL psychiatric re-evaluation </w:t>
      </w:r>
      <w:r w:rsidR="005A35A7">
        <w:rPr>
          <w:color w:val="auto"/>
        </w:rPr>
        <w:t>(</w:t>
      </w:r>
      <w:r w:rsidR="009C4D85">
        <w:rPr>
          <w:color w:val="auto"/>
        </w:rPr>
        <w:t>four</w:t>
      </w:r>
      <w:r w:rsidR="00DF3FD2" w:rsidRPr="00304C8F">
        <w:rPr>
          <w:color w:val="auto"/>
        </w:rPr>
        <w:t xml:space="preserve"> months </w:t>
      </w:r>
      <w:r w:rsidR="005A35A7">
        <w:rPr>
          <w:color w:val="auto"/>
        </w:rPr>
        <w:t>preceding</w:t>
      </w:r>
      <w:r w:rsidR="00DF3FD2" w:rsidRPr="00304C8F">
        <w:rPr>
          <w:color w:val="auto"/>
        </w:rPr>
        <w:t xml:space="preserve"> permanent separation</w:t>
      </w:r>
      <w:r w:rsidR="005A35A7">
        <w:rPr>
          <w:color w:val="auto"/>
        </w:rPr>
        <w:t>)</w:t>
      </w:r>
      <w:r w:rsidR="00A1019E">
        <w:rPr>
          <w:color w:val="auto"/>
        </w:rPr>
        <w:t>, supplemented by a follow-up letter to the PEB from the same examiner.</w:t>
      </w:r>
    </w:p>
    <w:p w:rsidR="00F1512E" w:rsidRDefault="00F1512E" w:rsidP="008404AB">
      <w:pPr>
        <w:jc w:val="both"/>
        <w:rPr>
          <w:color w:val="auto"/>
        </w:rPr>
      </w:pPr>
    </w:p>
    <w:p w:rsidR="003E05FB" w:rsidRDefault="00F1512E" w:rsidP="008404AB">
      <w:pPr>
        <w:tabs>
          <w:tab w:val="left" w:pos="288"/>
          <w:tab w:val="left" w:pos="4752"/>
        </w:tabs>
        <w:spacing w:line="240" w:lineRule="exact"/>
        <w:jc w:val="both"/>
        <w:rPr>
          <w:iCs/>
          <w:color w:val="auto"/>
        </w:rPr>
      </w:pPr>
      <w:r>
        <w:rPr>
          <w:color w:val="auto"/>
          <w:u w:val="single"/>
        </w:rPr>
        <w:t xml:space="preserve">PTSD </w:t>
      </w:r>
      <w:r w:rsidRPr="00542C9A">
        <w:rPr>
          <w:color w:val="auto"/>
          <w:u w:val="single"/>
        </w:rPr>
        <w:t>Condition</w:t>
      </w:r>
      <w:r w:rsidRPr="00542C9A">
        <w:rPr>
          <w:color w:val="auto"/>
        </w:rPr>
        <w:t xml:space="preserve">. </w:t>
      </w:r>
      <w:r>
        <w:rPr>
          <w:color w:val="auto"/>
        </w:rPr>
        <w:t xml:space="preserve"> </w:t>
      </w:r>
      <w:r w:rsidR="00F37102" w:rsidRPr="00CB2018">
        <w:rPr>
          <w:iCs/>
          <w:color w:val="auto"/>
        </w:rPr>
        <w:t>The CI reported the onset of PTSD symptoms in connection with traumatic events experienced during her</w:t>
      </w:r>
      <w:r w:rsidR="00F37102">
        <w:rPr>
          <w:iCs/>
          <w:color w:val="auto"/>
        </w:rPr>
        <w:t xml:space="preserve"> Iraq deployment in 2003-2004.</w:t>
      </w:r>
      <w:r w:rsidRPr="00CB2018">
        <w:rPr>
          <w:iCs/>
          <w:color w:val="auto"/>
        </w:rPr>
        <w:t xml:space="preserve">  </w:t>
      </w:r>
      <w:r w:rsidR="005E66E8">
        <w:rPr>
          <w:iCs/>
          <w:color w:val="auto"/>
        </w:rPr>
        <w:t xml:space="preserve">During the </w:t>
      </w:r>
      <w:r w:rsidR="009C4D85">
        <w:rPr>
          <w:iCs/>
          <w:color w:val="auto"/>
        </w:rPr>
        <w:t xml:space="preserve">nine </w:t>
      </w:r>
      <w:r w:rsidR="005E66E8">
        <w:rPr>
          <w:iCs/>
          <w:color w:val="auto"/>
        </w:rPr>
        <w:t>months of combat exposure</w:t>
      </w:r>
      <w:r w:rsidRPr="00CB2018">
        <w:rPr>
          <w:iCs/>
          <w:color w:val="auto"/>
        </w:rPr>
        <w:t xml:space="preserve">, she </w:t>
      </w:r>
      <w:r w:rsidRPr="007678A6">
        <w:rPr>
          <w:iCs/>
          <w:color w:val="auto"/>
        </w:rPr>
        <w:t>experienced nightly mortar and rocket attacks</w:t>
      </w:r>
      <w:r w:rsidR="005E66E8" w:rsidRPr="007678A6">
        <w:rPr>
          <w:iCs/>
          <w:color w:val="auto"/>
        </w:rPr>
        <w:t>,</w:t>
      </w:r>
      <w:r w:rsidRPr="007678A6">
        <w:rPr>
          <w:iCs/>
          <w:color w:val="auto"/>
        </w:rPr>
        <w:t xml:space="preserve"> sporadic </w:t>
      </w:r>
      <w:r w:rsidR="005E66E8" w:rsidRPr="007678A6">
        <w:rPr>
          <w:iCs/>
          <w:color w:val="auto"/>
        </w:rPr>
        <w:t>small arms</w:t>
      </w:r>
      <w:r w:rsidRPr="007678A6">
        <w:rPr>
          <w:iCs/>
          <w:color w:val="auto"/>
        </w:rPr>
        <w:t xml:space="preserve"> fire, </w:t>
      </w:r>
      <w:r w:rsidR="005E66E8" w:rsidRPr="007678A6">
        <w:rPr>
          <w:iCs/>
          <w:color w:val="auto"/>
        </w:rPr>
        <w:t>proximity to improvised explosive detonations</w:t>
      </w:r>
      <w:r w:rsidRPr="007678A6">
        <w:rPr>
          <w:iCs/>
          <w:color w:val="auto"/>
        </w:rPr>
        <w:t xml:space="preserve">, exposure to violence and death, and a </w:t>
      </w:r>
      <w:r w:rsidR="0097118B" w:rsidRPr="007678A6">
        <w:rPr>
          <w:iCs/>
          <w:color w:val="auto"/>
        </w:rPr>
        <w:t>roll</w:t>
      </w:r>
      <w:r w:rsidR="005E66E8" w:rsidRPr="007678A6">
        <w:rPr>
          <w:iCs/>
          <w:color w:val="auto"/>
        </w:rPr>
        <w:t>over accident while driving an armored vehicle during operations</w:t>
      </w:r>
      <w:r w:rsidRPr="007678A6">
        <w:rPr>
          <w:iCs/>
          <w:color w:val="auto"/>
        </w:rPr>
        <w:t xml:space="preserve">.  Symptoms included depression, insomnia, persistent nightmares, intrusive thoughts, anhedonia, poor concentration, avoidance, anxiety, </w:t>
      </w:r>
      <w:r w:rsidR="007F3193" w:rsidRPr="007678A6">
        <w:rPr>
          <w:iCs/>
          <w:color w:val="auto"/>
        </w:rPr>
        <w:t xml:space="preserve">vague suicidal thoughts, </w:t>
      </w:r>
      <w:r w:rsidRPr="007678A6">
        <w:rPr>
          <w:iCs/>
          <w:color w:val="auto"/>
        </w:rPr>
        <w:t xml:space="preserve">and severe panic attacks.  In May 2004, the CI was admitted to an Army hospital in Germany for </w:t>
      </w:r>
      <w:r w:rsidR="009C4D85">
        <w:rPr>
          <w:iCs/>
          <w:color w:val="auto"/>
        </w:rPr>
        <w:t>six</w:t>
      </w:r>
      <w:r w:rsidRPr="007678A6">
        <w:rPr>
          <w:iCs/>
          <w:color w:val="auto"/>
        </w:rPr>
        <w:t xml:space="preserve"> days</w:t>
      </w:r>
      <w:r w:rsidR="00B3551B" w:rsidRPr="007678A6">
        <w:rPr>
          <w:iCs/>
          <w:color w:val="auto"/>
        </w:rPr>
        <w:t>, and then</w:t>
      </w:r>
      <w:r w:rsidRPr="007678A6">
        <w:rPr>
          <w:iCs/>
          <w:color w:val="auto"/>
        </w:rPr>
        <w:t xml:space="preserve"> medically evacuated to Walter Reed </w:t>
      </w:r>
      <w:r w:rsidR="00B3551B" w:rsidRPr="007678A6">
        <w:rPr>
          <w:iCs/>
          <w:color w:val="auto"/>
        </w:rPr>
        <w:t xml:space="preserve">Army </w:t>
      </w:r>
      <w:r w:rsidRPr="007678A6">
        <w:rPr>
          <w:iCs/>
          <w:color w:val="auto"/>
        </w:rPr>
        <w:t>Medical Center</w:t>
      </w:r>
      <w:r w:rsidR="00B3551B" w:rsidRPr="007678A6">
        <w:rPr>
          <w:iCs/>
          <w:color w:val="auto"/>
        </w:rPr>
        <w:t xml:space="preserve"> where s</w:t>
      </w:r>
      <w:r w:rsidRPr="007678A6">
        <w:rPr>
          <w:iCs/>
          <w:color w:val="auto"/>
        </w:rPr>
        <w:t>he was hospitalized for an</w:t>
      </w:r>
      <w:r w:rsidR="00B3551B" w:rsidRPr="007678A6">
        <w:rPr>
          <w:iCs/>
          <w:color w:val="auto"/>
        </w:rPr>
        <w:t xml:space="preserve"> additional</w:t>
      </w:r>
      <w:r w:rsidRPr="007678A6">
        <w:rPr>
          <w:iCs/>
          <w:color w:val="auto"/>
        </w:rPr>
        <w:t xml:space="preserve"> 13 days.  She </w:t>
      </w:r>
      <w:r w:rsidR="005E66E8" w:rsidRPr="007678A6">
        <w:rPr>
          <w:iCs/>
          <w:color w:val="auto"/>
        </w:rPr>
        <w:t xml:space="preserve">met Axis I criteria for the diagnosis of PTSD, and </w:t>
      </w:r>
      <w:r w:rsidRPr="007678A6">
        <w:rPr>
          <w:iCs/>
          <w:color w:val="auto"/>
        </w:rPr>
        <w:t xml:space="preserve">was </w:t>
      </w:r>
      <w:r w:rsidR="005E66E8" w:rsidRPr="007678A6">
        <w:rPr>
          <w:iCs/>
          <w:color w:val="auto"/>
        </w:rPr>
        <w:t xml:space="preserve">additionally </w:t>
      </w:r>
      <w:r w:rsidRPr="007678A6">
        <w:rPr>
          <w:iCs/>
          <w:color w:val="auto"/>
        </w:rPr>
        <w:t xml:space="preserve">diagnosed with major depressive disorder </w:t>
      </w:r>
      <w:r w:rsidR="009C4D85">
        <w:rPr>
          <w:iCs/>
          <w:color w:val="auto"/>
        </w:rPr>
        <w:t xml:space="preserve">(MDD) </w:t>
      </w:r>
      <w:r w:rsidRPr="007678A6">
        <w:rPr>
          <w:iCs/>
          <w:color w:val="auto"/>
        </w:rPr>
        <w:t>and conversion disorder</w:t>
      </w:r>
      <w:r w:rsidR="007F3193" w:rsidRPr="007678A6">
        <w:rPr>
          <w:iCs/>
          <w:color w:val="auto"/>
        </w:rPr>
        <w:t xml:space="preserve"> (manifested by involuntary motor movements which responded to anxiolytics)</w:t>
      </w:r>
      <w:r w:rsidRPr="007678A6">
        <w:rPr>
          <w:iCs/>
          <w:color w:val="auto"/>
        </w:rPr>
        <w:t xml:space="preserve">.  After discharge, she </w:t>
      </w:r>
      <w:r w:rsidR="007F3193" w:rsidRPr="007678A6">
        <w:rPr>
          <w:iCs/>
          <w:color w:val="auto"/>
        </w:rPr>
        <w:t xml:space="preserve">improved with psychotherapy and medication; but, remained significantly symptomatic </w:t>
      </w:r>
      <w:r w:rsidRPr="007678A6">
        <w:rPr>
          <w:iCs/>
          <w:color w:val="auto"/>
        </w:rPr>
        <w:t xml:space="preserve">and could not function in her MOS.  </w:t>
      </w:r>
      <w:r w:rsidR="003F2479" w:rsidRPr="007678A6">
        <w:rPr>
          <w:iCs/>
          <w:color w:val="auto"/>
        </w:rPr>
        <w:t>During</w:t>
      </w:r>
      <w:r w:rsidRPr="007678A6">
        <w:rPr>
          <w:iCs/>
          <w:color w:val="auto"/>
        </w:rPr>
        <w:t xml:space="preserve"> the MEB process, she experienced numerous panic attacks and voluntarily re-admitted herself </w:t>
      </w:r>
      <w:r w:rsidR="007F3193" w:rsidRPr="007678A6">
        <w:rPr>
          <w:iCs/>
          <w:color w:val="auto"/>
        </w:rPr>
        <w:t>to</w:t>
      </w:r>
      <w:r w:rsidRPr="007678A6">
        <w:rPr>
          <w:iCs/>
          <w:color w:val="auto"/>
        </w:rPr>
        <w:t xml:space="preserve"> Walter Reed in August 2004 for another </w:t>
      </w:r>
      <w:r w:rsidR="009C4D85">
        <w:rPr>
          <w:iCs/>
          <w:color w:val="auto"/>
        </w:rPr>
        <w:t>nine</w:t>
      </w:r>
      <w:r w:rsidRPr="007678A6">
        <w:rPr>
          <w:iCs/>
          <w:color w:val="auto"/>
        </w:rPr>
        <w:t xml:space="preserve"> days.  </w:t>
      </w:r>
      <w:r w:rsidR="007F3193" w:rsidRPr="007678A6">
        <w:rPr>
          <w:iCs/>
          <w:color w:val="auto"/>
        </w:rPr>
        <w:t>At</w:t>
      </w:r>
      <w:r w:rsidRPr="007678A6">
        <w:rPr>
          <w:iCs/>
          <w:color w:val="auto"/>
        </w:rPr>
        <w:t xml:space="preserve"> her MEB </w:t>
      </w:r>
      <w:r w:rsidR="007F3193" w:rsidRPr="007678A6">
        <w:rPr>
          <w:iCs/>
          <w:color w:val="auto"/>
        </w:rPr>
        <w:t xml:space="preserve">psychiatric evaluation, </w:t>
      </w:r>
      <w:r w:rsidRPr="007678A6">
        <w:rPr>
          <w:iCs/>
          <w:color w:val="auto"/>
        </w:rPr>
        <w:t xml:space="preserve">she </w:t>
      </w:r>
      <w:r w:rsidR="007F3193" w:rsidRPr="007678A6">
        <w:rPr>
          <w:iCs/>
          <w:color w:val="auto"/>
        </w:rPr>
        <w:t>endorsed occasional suicidal</w:t>
      </w:r>
      <w:r w:rsidRPr="007678A6">
        <w:rPr>
          <w:iCs/>
          <w:color w:val="auto"/>
        </w:rPr>
        <w:t xml:space="preserve"> thoughts </w:t>
      </w:r>
      <w:r w:rsidR="007F3193" w:rsidRPr="007678A6">
        <w:rPr>
          <w:iCs/>
          <w:color w:val="auto"/>
        </w:rPr>
        <w:t>without intent</w:t>
      </w:r>
      <w:r w:rsidRPr="007678A6">
        <w:rPr>
          <w:iCs/>
          <w:color w:val="auto"/>
        </w:rPr>
        <w:t xml:space="preserve">, depression, anxiety, social withdrawal, strained family relations, and nightmares.  </w:t>
      </w:r>
      <w:r w:rsidR="00022133" w:rsidRPr="007678A6">
        <w:rPr>
          <w:iCs/>
          <w:color w:val="auto"/>
        </w:rPr>
        <w:t>The mental status exam (MSE) was positive for mood and affect disturbance, residual involuntary motor movements, and, “clear preoccupation with the events in Iraq</w:t>
      </w:r>
      <w:r w:rsidR="009C4D85">
        <w:rPr>
          <w:iCs/>
          <w:color w:val="auto"/>
        </w:rPr>
        <w:t>;</w:t>
      </w:r>
      <w:r w:rsidR="00022133" w:rsidRPr="007678A6">
        <w:rPr>
          <w:iCs/>
          <w:color w:val="auto"/>
        </w:rPr>
        <w:t xml:space="preserve">” but, was devoid of active suicidal ideation, delusional/psychotic features or cognitive dysfunction.  </w:t>
      </w:r>
      <w:r w:rsidRPr="007678A6">
        <w:rPr>
          <w:iCs/>
          <w:color w:val="auto"/>
        </w:rPr>
        <w:t xml:space="preserve">The MEB </w:t>
      </w:r>
      <w:r w:rsidR="00022133" w:rsidRPr="007678A6">
        <w:rPr>
          <w:iCs/>
          <w:color w:val="auto"/>
        </w:rPr>
        <w:t>psychiatrist</w:t>
      </w:r>
      <w:r w:rsidRPr="007678A6">
        <w:rPr>
          <w:iCs/>
          <w:color w:val="auto"/>
        </w:rPr>
        <w:t xml:space="preserve"> </w:t>
      </w:r>
      <w:r w:rsidR="007F3193" w:rsidRPr="007678A6">
        <w:rPr>
          <w:iCs/>
          <w:color w:val="auto"/>
        </w:rPr>
        <w:t xml:space="preserve">characterized the </w:t>
      </w:r>
      <w:r w:rsidR="00022133" w:rsidRPr="007678A6">
        <w:rPr>
          <w:iCs/>
          <w:color w:val="auto"/>
        </w:rPr>
        <w:t xml:space="preserve">PTSD </w:t>
      </w:r>
      <w:r w:rsidRPr="007678A6">
        <w:rPr>
          <w:iCs/>
          <w:color w:val="auto"/>
        </w:rPr>
        <w:t>as</w:t>
      </w:r>
      <w:r w:rsidR="00022133" w:rsidRPr="007678A6">
        <w:rPr>
          <w:iCs/>
          <w:color w:val="auto"/>
        </w:rPr>
        <w:t xml:space="preserve"> “chronic, treated and improved” and assigned</w:t>
      </w:r>
      <w:r w:rsidRPr="007678A6">
        <w:rPr>
          <w:iCs/>
          <w:color w:val="auto"/>
        </w:rPr>
        <w:t xml:space="preserve"> a Global Assessment of Functioning (GAF) score of 59, connoting moderate difficulty in social and occupational functioning.  </w:t>
      </w:r>
      <w:r w:rsidR="00022133" w:rsidRPr="007678A6">
        <w:rPr>
          <w:iCs/>
          <w:color w:val="auto"/>
        </w:rPr>
        <w:t xml:space="preserve">A VA psychiatric C&amp;P performed </w:t>
      </w:r>
      <w:r w:rsidR="009C4D85">
        <w:rPr>
          <w:iCs/>
          <w:color w:val="auto"/>
        </w:rPr>
        <w:t>four</w:t>
      </w:r>
      <w:r w:rsidR="00022133" w:rsidRPr="007678A6">
        <w:rPr>
          <w:iCs/>
          <w:color w:val="auto"/>
        </w:rPr>
        <w:t xml:space="preserve"> months later (</w:t>
      </w:r>
      <w:r w:rsidR="009C4D85">
        <w:rPr>
          <w:iCs/>
          <w:color w:val="auto"/>
        </w:rPr>
        <w:t>one</w:t>
      </w:r>
      <w:r w:rsidR="003E05FB" w:rsidRPr="007678A6">
        <w:rPr>
          <w:iCs/>
          <w:color w:val="auto"/>
        </w:rPr>
        <w:t xml:space="preserve"> month preceding temporary retirement) documented equivalent symptoms and MSE; and, assigned a similar GAF (50).</w:t>
      </w:r>
      <w:r w:rsidR="00022133">
        <w:rPr>
          <w:iCs/>
          <w:color w:val="auto"/>
        </w:rPr>
        <w:t xml:space="preserve"> </w:t>
      </w:r>
    </w:p>
    <w:p w:rsidR="003E05FB" w:rsidRDefault="003E05FB" w:rsidP="008404AB">
      <w:pPr>
        <w:tabs>
          <w:tab w:val="left" w:pos="288"/>
          <w:tab w:val="left" w:pos="4752"/>
        </w:tabs>
        <w:spacing w:line="240" w:lineRule="exact"/>
        <w:jc w:val="both"/>
        <w:rPr>
          <w:iCs/>
          <w:color w:val="auto"/>
        </w:rPr>
      </w:pPr>
    </w:p>
    <w:p w:rsidR="00F1512E" w:rsidRPr="007678A6" w:rsidRDefault="003E05FB" w:rsidP="008404AB">
      <w:pPr>
        <w:tabs>
          <w:tab w:val="left" w:pos="288"/>
          <w:tab w:val="left" w:pos="4752"/>
        </w:tabs>
        <w:spacing w:line="240" w:lineRule="exact"/>
        <w:jc w:val="both"/>
        <w:rPr>
          <w:iCs/>
          <w:color w:val="auto"/>
        </w:rPr>
      </w:pPr>
      <w:r w:rsidRPr="007678A6">
        <w:rPr>
          <w:iCs/>
          <w:color w:val="auto"/>
        </w:rPr>
        <w:t>After t</w:t>
      </w:r>
      <w:r w:rsidR="00F1512E" w:rsidRPr="007678A6">
        <w:rPr>
          <w:iCs/>
          <w:color w:val="auto"/>
        </w:rPr>
        <w:t>he CI was placed on TDRL</w:t>
      </w:r>
      <w:r w:rsidRPr="007678A6">
        <w:rPr>
          <w:iCs/>
          <w:color w:val="auto"/>
        </w:rPr>
        <w:t xml:space="preserve"> and returned home, she remained in active treatment with the VA.  A TDRL psychiatric re-evaluation performed two years later documented continued psychiatric acuity and recommended continued TDRL stabilization.  Shortly afterwards, the CI underwent a third </w:t>
      </w:r>
      <w:r w:rsidR="00F1512E" w:rsidRPr="007678A6">
        <w:rPr>
          <w:iCs/>
          <w:color w:val="auto"/>
        </w:rPr>
        <w:t xml:space="preserve">hospitalization </w:t>
      </w:r>
      <w:r w:rsidRPr="007678A6">
        <w:rPr>
          <w:iCs/>
          <w:color w:val="auto"/>
        </w:rPr>
        <w:t>(</w:t>
      </w:r>
      <w:r w:rsidR="00F1512E" w:rsidRPr="007678A6">
        <w:rPr>
          <w:iCs/>
          <w:color w:val="auto"/>
        </w:rPr>
        <w:t>December 200</w:t>
      </w:r>
      <w:r w:rsidRPr="007678A6">
        <w:rPr>
          <w:iCs/>
          <w:color w:val="auto"/>
        </w:rPr>
        <w:t>6 -</w:t>
      </w:r>
      <w:r w:rsidR="00F1512E" w:rsidRPr="007678A6">
        <w:rPr>
          <w:iCs/>
          <w:color w:val="auto"/>
        </w:rPr>
        <w:t xml:space="preserve"> January 2007</w:t>
      </w:r>
      <w:r w:rsidRPr="007678A6">
        <w:rPr>
          <w:iCs/>
          <w:color w:val="auto"/>
        </w:rPr>
        <w:t>)</w:t>
      </w:r>
      <w:r w:rsidR="00F61361" w:rsidRPr="007678A6">
        <w:rPr>
          <w:iCs/>
          <w:color w:val="auto"/>
        </w:rPr>
        <w:t xml:space="preserve">; reporting </w:t>
      </w:r>
      <w:r w:rsidR="00F1512E" w:rsidRPr="007678A6">
        <w:rPr>
          <w:iCs/>
          <w:color w:val="auto"/>
        </w:rPr>
        <w:t xml:space="preserve">“I had a breakdown.  I couldn’t take the firecrackers.  I couldn’t take the people.  I couldn’t take that time of the year.  I was out of control.”  </w:t>
      </w:r>
      <w:r w:rsidR="00F61361" w:rsidRPr="007678A6">
        <w:rPr>
          <w:iCs/>
          <w:color w:val="auto"/>
        </w:rPr>
        <w:t xml:space="preserve">The discharge summary documented a good response to intervention and a stable condition.  At her </w:t>
      </w:r>
      <w:r w:rsidR="00F1512E" w:rsidRPr="007678A6">
        <w:rPr>
          <w:iCs/>
          <w:color w:val="auto"/>
        </w:rPr>
        <w:t xml:space="preserve">final </w:t>
      </w:r>
      <w:r w:rsidR="00F61361" w:rsidRPr="007678A6">
        <w:rPr>
          <w:iCs/>
          <w:color w:val="auto"/>
        </w:rPr>
        <w:t>TDRL psychiatric re-evaluation a year later</w:t>
      </w:r>
      <w:r w:rsidR="00F1512E" w:rsidRPr="007678A6">
        <w:rPr>
          <w:iCs/>
          <w:color w:val="auto"/>
        </w:rPr>
        <w:t xml:space="preserve">, the CI reported improved symptoms over all.  </w:t>
      </w:r>
      <w:r w:rsidR="00163C88" w:rsidRPr="007678A6">
        <w:rPr>
          <w:iCs/>
          <w:color w:val="auto"/>
        </w:rPr>
        <w:t xml:space="preserve">She still reported flashbacks and nightmares, but denied suicidal ideation or other acute symptoms.  She remained in active treatment, seeing a VA psychiatrist and clinical psychologist on a regular basis, and was still maintained on </w:t>
      </w:r>
      <w:r w:rsidR="00163C88" w:rsidRPr="007678A6">
        <w:rPr>
          <w:iCs/>
          <w:color w:val="auto"/>
        </w:rPr>
        <w:lastRenderedPageBreak/>
        <w:t xml:space="preserve">psychotherapeutic medications.  Her MSE was significant for </w:t>
      </w:r>
      <w:r w:rsidR="008B1FF9" w:rsidRPr="007678A6">
        <w:rPr>
          <w:iCs/>
          <w:color w:val="auto"/>
        </w:rPr>
        <w:t xml:space="preserve">“ill-humored” mood </w:t>
      </w:r>
      <w:r w:rsidR="00163C88" w:rsidRPr="007678A6">
        <w:rPr>
          <w:iCs/>
          <w:color w:val="auto"/>
        </w:rPr>
        <w:t>an</w:t>
      </w:r>
      <w:r w:rsidR="008B1FF9" w:rsidRPr="007678A6">
        <w:rPr>
          <w:iCs/>
          <w:color w:val="auto"/>
        </w:rPr>
        <w:t>d</w:t>
      </w:r>
      <w:r w:rsidR="00163C88">
        <w:rPr>
          <w:iCs/>
          <w:color w:val="auto"/>
        </w:rPr>
        <w:t xml:space="preserve"> </w:t>
      </w:r>
      <w:r w:rsidR="00163C88" w:rsidRPr="007678A6">
        <w:rPr>
          <w:iCs/>
          <w:color w:val="auto"/>
        </w:rPr>
        <w:t>“annoyed” affect, “frail</w:t>
      </w:r>
      <w:r w:rsidR="008B1FF9" w:rsidRPr="007678A6">
        <w:rPr>
          <w:iCs/>
          <w:color w:val="auto"/>
        </w:rPr>
        <w:t xml:space="preserve">” impulse control, and “poor” social judgment.  The remainder of the exam was normal, and there was good documentation of normal cognitive functioning.  The examiner provided no GAF assignment or overall assessment of impairment, stating only, “I do not expect [CI’s] functional status to improve and recommend finalization of her medical retirement.”  </w:t>
      </w:r>
      <w:r w:rsidR="00A1019E" w:rsidRPr="007678A6">
        <w:rPr>
          <w:iCs/>
          <w:color w:val="auto"/>
        </w:rPr>
        <w:t>In</w:t>
      </w:r>
      <w:r w:rsidR="00675A8B">
        <w:rPr>
          <w:iCs/>
          <w:color w:val="auto"/>
        </w:rPr>
        <w:t xml:space="preserve"> a follow-up letter to the PEB</w:t>
      </w:r>
      <w:r w:rsidR="00A1019E" w:rsidRPr="007678A6">
        <w:rPr>
          <w:iCs/>
          <w:color w:val="auto"/>
        </w:rPr>
        <w:t>, the examiner provided full details of the CI’s concurrent occupational and social functioning</w:t>
      </w:r>
      <w:r w:rsidR="00163C88" w:rsidRPr="007678A6">
        <w:rPr>
          <w:iCs/>
          <w:color w:val="auto"/>
        </w:rPr>
        <w:t>.</w:t>
      </w:r>
      <w:r w:rsidR="00A1019E" w:rsidRPr="007678A6">
        <w:rPr>
          <w:iCs/>
          <w:color w:val="auto"/>
        </w:rPr>
        <w:t xml:space="preserve">  </w:t>
      </w:r>
      <w:r w:rsidR="00F1512E" w:rsidRPr="007678A6">
        <w:rPr>
          <w:iCs/>
          <w:color w:val="auto"/>
        </w:rPr>
        <w:t xml:space="preserve">At this time, she was </w:t>
      </w:r>
      <w:r w:rsidR="00F61361" w:rsidRPr="007678A6">
        <w:rPr>
          <w:iCs/>
          <w:color w:val="auto"/>
        </w:rPr>
        <w:t>in a stable relationship; she had</w:t>
      </w:r>
      <w:r w:rsidR="00F1512E" w:rsidRPr="007678A6">
        <w:rPr>
          <w:iCs/>
          <w:color w:val="auto"/>
        </w:rPr>
        <w:t xml:space="preserve"> stable full-time </w:t>
      </w:r>
      <w:r w:rsidR="00F61361" w:rsidRPr="007678A6">
        <w:rPr>
          <w:iCs/>
          <w:color w:val="auto"/>
        </w:rPr>
        <w:t>employment</w:t>
      </w:r>
      <w:r w:rsidR="006A634C" w:rsidRPr="007678A6">
        <w:rPr>
          <w:iCs/>
          <w:color w:val="auto"/>
        </w:rPr>
        <w:t xml:space="preserve"> </w:t>
      </w:r>
      <w:r w:rsidR="00F61361" w:rsidRPr="007678A6">
        <w:rPr>
          <w:iCs/>
          <w:color w:val="auto"/>
        </w:rPr>
        <w:t>in the personnel</w:t>
      </w:r>
      <w:r w:rsidR="006A634C" w:rsidRPr="007678A6">
        <w:rPr>
          <w:iCs/>
          <w:color w:val="auto"/>
        </w:rPr>
        <w:t xml:space="preserve"> </w:t>
      </w:r>
      <w:r w:rsidR="00F61361" w:rsidRPr="007678A6">
        <w:rPr>
          <w:iCs/>
          <w:color w:val="auto"/>
        </w:rPr>
        <w:t>office of her local VA</w:t>
      </w:r>
      <w:r w:rsidR="00A1019E" w:rsidRPr="007678A6">
        <w:rPr>
          <w:iCs/>
          <w:color w:val="auto"/>
        </w:rPr>
        <w:t xml:space="preserve"> (as a GS-4)</w:t>
      </w:r>
      <w:r w:rsidR="00F61361" w:rsidRPr="007678A6">
        <w:rPr>
          <w:iCs/>
          <w:color w:val="auto"/>
        </w:rPr>
        <w:t>;</w:t>
      </w:r>
      <w:r w:rsidR="00F1512E" w:rsidRPr="007678A6">
        <w:rPr>
          <w:iCs/>
          <w:color w:val="auto"/>
        </w:rPr>
        <w:t xml:space="preserve"> and was </w:t>
      </w:r>
      <w:r w:rsidR="00F61361" w:rsidRPr="007678A6">
        <w:rPr>
          <w:iCs/>
          <w:color w:val="auto"/>
        </w:rPr>
        <w:t xml:space="preserve">successfully pursuing educational goals as </w:t>
      </w:r>
      <w:r w:rsidR="003F2479" w:rsidRPr="007678A6">
        <w:rPr>
          <w:iCs/>
          <w:color w:val="auto"/>
        </w:rPr>
        <w:t xml:space="preserve">a </w:t>
      </w:r>
      <w:r w:rsidR="00F61361" w:rsidRPr="007678A6">
        <w:rPr>
          <w:iCs/>
          <w:color w:val="auto"/>
        </w:rPr>
        <w:t xml:space="preserve">part-time student (carrying </w:t>
      </w:r>
      <w:r w:rsidR="006A634C" w:rsidRPr="007678A6">
        <w:rPr>
          <w:iCs/>
          <w:color w:val="auto"/>
        </w:rPr>
        <w:t>11 credit hours and achieving a 3.3 grade point average</w:t>
      </w:r>
      <w:r w:rsidR="00F61361" w:rsidRPr="007678A6">
        <w:rPr>
          <w:iCs/>
          <w:color w:val="auto"/>
        </w:rPr>
        <w:t>)</w:t>
      </w:r>
      <w:r w:rsidR="006A634C" w:rsidRPr="007678A6">
        <w:rPr>
          <w:iCs/>
          <w:color w:val="auto"/>
        </w:rPr>
        <w:t>.</w:t>
      </w:r>
      <w:r w:rsidR="00F1512E" w:rsidRPr="007678A6">
        <w:rPr>
          <w:iCs/>
          <w:color w:val="auto"/>
        </w:rPr>
        <w:t xml:space="preserve">  </w:t>
      </w:r>
    </w:p>
    <w:p w:rsidR="00F1512E" w:rsidRPr="007678A6" w:rsidRDefault="00F1512E" w:rsidP="00664296">
      <w:pPr>
        <w:tabs>
          <w:tab w:val="left" w:pos="288"/>
          <w:tab w:val="left" w:pos="4752"/>
        </w:tabs>
        <w:spacing w:line="240" w:lineRule="exact"/>
        <w:rPr>
          <w:color w:val="auto"/>
        </w:rPr>
      </w:pPr>
    </w:p>
    <w:p w:rsidR="00F1512E" w:rsidRDefault="00F1512E" w:rsidP="006A634C">
      <w:pPr>
        <w:autoSpaceDE w:val="0"/>
        <w:autoSpaceDN w:val="0"/>
        <w:adjustRightInd w:val="0"/>
        <w:spacing w:line="240" w:lineRule="exact"/>
        <w:jc w:val="both"/>
        <w:rPr>
          <w:iCs/>
          <w:color w:val="auto"/>
        </w:rPr>
      </w:pPr>
      <w:r w:rsidRPr="007678A6">
        <w:rPr>
          <w:iCs/>
          <w:color w:val="auto"/>
        </w:rPr>
        <w:t>The Board directs its attention to its rating recommendations based o</w:t>
      </w:r>
      <w:r w:rsidR="00675A8B">
        <w:rPr>
          <w:iCs/>
          <w:color w:val="auto"/>
        </w:rPr>
        <w:t xml:space="preserve">n the evidence just described. </w:t>
      </w:r>
      <w:r w:rsidRPr="007678A6">
        <w:rPr>
          <w:iCs/>
          <w:color w:val="auto"/>
        </w:rPr>
        <w:t xml:space="preserve"> As regards to the permanent rating recommendation, all members agreed that the §4.130 threshold for a 50% rating was not approached and that the criteria for a 0% rating were well-exceeded</w:t>
      </w:r>
      <w:r w:rsidRPr="008241E0">
        <w:rPr>
          <w:iCs/>
          <w:color w:val="auto"/>
        </w:rPr>
        <w:t>.</w:t>
      </w:r>
      <w:r w:rsidR="007678A6">
        <w:rPr>
          <w:iCs/>
          <w:color w:val="auto"/>
        </w:rPr>
        <w:t xml:space="preserve">  </w:t>
      </w:r>
      <w:r w:rsidRPr="008241E0">
        <w:rPr>
          <w:iCs/>
          <w:color w:val="auto"/>
        </w:rPr>
        <w:t>The deliberation settled therefore on arguments for a 10% versus a 30% permanent rating recommendation.</w:t>
      </w:r>
      <w:r>
        <w:rPr>
          <w:iCs/>
          <w:color w:val="auto"/>
        </w:rPr>
        <w:t xml:space="preserve"> </w:t>
      </w:r>
      <w:r w:rsidRPr="008241E0">
        <w:rPr>
          <w:iCs/>
          <w:color w:val="auto"/>
        </w:rPr>
        <w:t xml:space="preserve"> </w:t>
      </w:r>
      <w:r w:rsidRPr="00680F28">
        <w:rPr>
          <w:iCs/>
          <w:color w:val="auto"/>
        </w:rPr>
        <w:t xml:space="preserve">A 10% rating </w:t>
      </w:r>
      <w:r w:rsidR="00047C3C">
        <w:rPr>
          <w:iCs/>
          <w:color w:val="auto"/>
        </w:rPr>
        <w:t>is</w:t>
      </w:r>
      <w:r w:rsidRPr="00680F28">
        <w:rPr>
          <w:iCs/>
          <w:color w:val="auto"/>
        </w:rPr>
        <w:t xml:space="preserve"> defensible based on the CI’s</w:t>
      </w:r>
      <w:r>
        <w:rPr>
          <w:iCs/>
          <w:color w:val="auto"/>
        </w:rPr>
        <w:t xml:space="preserve"> relative</w:t>
      </w:r>
      <w:r w:rsidRPr="00680F28">
        <w:rPr>
          <w:iCs/>
          <w:color w:val="auto"/>
        </w:rPr>
        <w:t xml:space="preserve"> high level of functioning</w:t>
      </w:r>
      <w:r w:rsidR="009821BB">
        <w:rPr>
          <w:iCs/>
          <w:color w:val="auto"/>
        </w:rPr>
        <w:t>,</w:t>
      </w:r>
      <w:r w:rsidR="006A634C">
        <w:rPr>
          <w:iCs/>
          <w:color w:val="auto"/>
        </w:rPr>
        <w:t xml:space="preserve"> both</w:t>
      </w:r>
      <w:r w:rsidRPr="00680F28">
        <w:rPr>
          <w:iCs/>
          <w:color w:val="auto"/>
        </w:rPr>
        <w:t xml:space="preserve"> in the workplace</w:t>
      </w:r>
      <w:r w:rsidR="006A634C">
        <w:rPr>
          <w:iCs/>
          <w:color w:val="auto"/>
        </w:rPr>
        <w:t xml:space="preserve"> and </w:t>
      </w:r>
      <w:r w:rsidR="009821BB">
        <w:rPr>
          <w:iCs/>
          <w:color w:val="auto"/>
        </w:rPr>
        <w:t>her educational endeavors,</w:t>
      </w:r>
      <w:r w:rsidR="00047C3C">
        <w:rPr>
          <w:iCs/>
          <w:color w:val="auto"/>
        </w:rPr>
        <w:t xml:space="preserve"> and</w:t>
      </w:r>
      <w:r w:rsidR="006A634C">
        <w:rPr>
          <w:iCs/>
          <w:color w:val="auto"/>
        </w:rPr>
        <w:t xml:space="preserve"> noting an</w:t>
      </w:r>
      <w:r w:rsidR="00047C3C">
        <w:rPr>
          <w:iCs/>
          <w:color w:val="auto"/>
        </w:rPr>
        <w:t xml:space="preserve"> intact marriage</w:t>
      </w:r>
      <w:r w:rsidR="00D77315">
        <w:rPr>
          <w:iCs/>
          <w:color w:val="auto"/>
        </w:rPr>
        <w:t xml:space="preserve"> of six years</w:t>
      </w:r>
      <w:r w:rsidRPr="00680F28">
        <w:rPr>
          <w:iCs/>
          <w:color w:val="auto"/>
        </w:rPr>
        <w:t xml:space="preserve">.  </w:t>
      </w:r>
      <w:r w:rsidR="00047C3C">
        <w:rPr>
          <w:iCs/>
          <w:color w:val="auto"/>
        </w:rPr>
        <w:t>M</w:t>
      </w:r>
      <w:r w:rsidRPr="00680F28">
        <w:rPr>
          <w:iCs/>
          <w:color w:val="auto"/>
        </w:rPr>
        <w:t xml:space="preserve">edication seemed to </w:t>
      </w:r>
      <w:r w:rsidR="00047C3C">
        <w:rPr>
          <w:iCs/>
          <w:color w:val="auto"/>
        </w:rPr>
        <w:t>stabilize</w:t>
      </w:r>
      <w:r w:rsidRPr="00680F28">
        <w:rPr>
          <w:iCs/>
          <w:color w:val="auto"/>
        </w:rPr>
        <w:t xml:space="preserve"> her symptoms, and it could be argued that they were “controlled by continuous medication.” </w:t>
      </w:r>
      <w:r w:rsidRPr="008313BE">
        <w:rPr>
          <w:iCs/>
          <w:color w:val="auto"/>
        </w:rPr>
        <w:t xml:space="preserve"> </w:t>
      </w:r>
      <w:r>
        <w:rPr>
          <w:iCs/>
          <w:color w:val="auto"/>
        </w:rPr>
        <w:t>T</w:t>
      </w:r>
      <w:r w:rsidRPr="00680F28">
        <w:rPr>
          <w:iCs/>
          <w:color w:val="auto"/>
        </w:rPr>
        <w:t xml:space="preserve">he MEB </w:t>
      </w:r>
      <w:r>
        <w:rPr>
          <w:iCs/>
          <w:color w:val="auto"/>
        </w:rPr>
        <w:t>TDRL</w:t>
      </w:r>
      <w:r w:rsidRPr="00680F28">
        <w:rPr>
          <w:iCs/>
          <w:color w:val="auto"/>
        </w:rPr>
        <w:t xml:space="preserve"> examination </w:t>
      </w:r>
      <w:r w:rsidR="009821BB">
        <w:rPr>
          <w:iCs/>
          <w:color w:val="auto"/>
        </w:rPr>
        <w:t>is arguably</w:t>
      </w:r>
      <w:r w:rsidRPr="00680F28">
        <w:rPr>
          <w:iCs/>
          <w:color w:val="auto"/>
        </w:rPr>
        <w:t xml:space="preserve"> consistent with the general description for a §4.130 rating of 30%, “occupational and social impairment with occasional decrease in work efficiency and intermittent periods of inability to perform occupational tasks (although generally functioning satisfactorily…).”</w:t>
      </w:r>
      <w:r w:rsidR="00047C3C">
        <w:rPr>
          <w:iCs/>
          <w:color w:val="auto"/>
        </w:rPr>
        <w:t xml:space="preserve"> </w:t>
      </w:r>
      <w:r>
        <w:rPr>
          <w:iCs/>
          <w:color w:val="auto"/>
        </w:rPr>
        <w:t xml:space="preserve"> Although the CI was holding a stable job</w:t>
      </w:r>
      <w:r w:rsidR="00F37102">
        <w:rPr>
          <w:iCs/>
          <w:color w:val="auto"/>
        </w:rPr>
        <w:t xml:space="preserve"> it was a position below the level of her education</w:t>
      </w:r>
      <w:r w:rsidR="00C47271">
        <w:rPr>
          <w:iCs/>
          <w:color w:val="auto"/>
        </w:rPr>
        <w:t xml:space="preserve"> and training.  She was seeking a new</w:t>
      </w:r>
      <w:r w:rsidR="00F37102">
        <w:rPr>
          <w:iCs/>
          <w:color w:val="auto"/>
        </w:rPr>
        <w:t xml:space="preserve"> degree</w:t>
      </w:r>
      <w:r w:rsidR="00C47271">
        <w:rPr>
          <w:iCs/>
          <w:color w:val="auto"/>
        </w:rPr>
        <w:t xml:space="preserve"> in business administration</w:t>
      </w:r>
      <w:r w:rsidR="00F37102">
        <w:rPr>
          <w:iCs/>
          <w:color w:val="auto"/>
        </w:rPr>
        <w:t xml:space="preserve"> </w:t>
      </w:r>
      <w:r w:rsidR="00C47271">
        <w:rPr>
          <w:iCs/>
          <w:color w:val="auto"/>
        </w:rPr>
        <w:t xml:space="preserve">following the advice of her treating psychiatrist </w:t>
      </w:r>
      <w:r w:rsidR="00F37102">
        <w:rPr>
          <w:iCs/>
          <w:color w:val="auto"/>
        </w:rPr>
        <w:t xml:space="preserve">as </w:t>
      </w:r>
      <w:r w:rsidR="00C47271">
        <w:rPr>
          <w:iCs/>
          <w:color w:val="auto"/>
        </w:rPr>
        <w:t>a career path with her current degree in</w:t>
      </w:r>
      <w:r w:rsidR="00F37102">
        <w:rPr>
          <w:iCs/>
          <w:color w:val="auto"/>
        </w:rPr>
        <w:t xml:space="preserve"> criminal justice </w:t>
      </w:r>
      <w:r w:rsidR="00C47271">
        <w:rPr>
          <w:iCs/>
          <w:color w:val="auto"/>
        </w:rPr>
        <w:t xml:space="preserve">would likely aggravate her PTSD condition.  </w:t>
      </w:r>
      <w:r w:rsidR="00F37102">
        <w:rPr>
          <w:iCs/>
          <w:color w:val="auto"/>
        </w:rPr>
        <w:t>T</w:t>
      </w:r>
      <w:r>
        <w:rPr>
          <w:iCs/>
          <w:color w:val="auto"/>
        </w:rPr>
        <w:t xml:space="preserve">he MEB examiner still noted </w:t>
      </w:r>
      <w:r w:rsidR="009821BB">
        <w:rPr>
          <w:iCs/>
          <w:color w:val="auto"/>
        </w:rPr>
        <w:t xml:space="preserve">impairment of </w:t>
      </w:r>
      <w:r>
        <w:rPr>
          <w:iCs/>
          <w:color w:val="auto"/>
        </w:rPr>
        <w:t>social j</w:t>
      </w:r>
      <w:r w:rsidR="00047C3C">
        <w:rPr>
          <w:iCs/>
          <w:color w:val="auto"/>
        </w:rPr>
        <w:t xml:space="preserve">udgment </w:t>
      </w:r>
      <w:r>
        <w:rPr>
          <w:iCs/>
          <w:color w:val="auto"/>
        </w:rPr>
        <w:t xml:space="preserve">which would affect performance </w:t>
      </w:r>
      <w:r w:rsidR="009821BB">
        <w:rPr>
          <w:iCs/>
          <w:color w:val="auto"/>
        </w:rPr>
        <w:t>in her career field</w:t>
      </w:r>
      <w:r>
        <w:rPr>
          <w:iCs/>
          <w:color w:val="auto"/>
        </w:rPr>
        <w:t xml:space="preserve">.  She also had periodic severe psychiatric </w:t>
      </w:r>
      <w:r w:rsidR="00047C3C">
        <w:rPr>
          <w:iCs/>
          <w:color w:val="auto"/>
        </w:rPr>
        <w:t>exacerbations</w:t>
      </w:r>
      <w:r>
        <w:rPr>
          <w:iCs/>
          <w:color w:val="auto"/>
        </w:rPr>
        <w:t xml:space="preserve"> requiring hospitalization</w:t>
      </w:r>
      <w:r w:rsidR="009821BB">
        <w:rPr>
          <w:iCs/>
          <w:color w:val="auto"/>
        </w:rPr>
        <w:t>,</w:t>
      </w:r>
      <w:r>
        <w:rPr>
          <w:iCs/>
          <w:color w:val="auto"/>
        </w:rPr>
        <w:t xml:space="preserve"> </w:t>
      </w:r>
      <w:r w:rsidR="009821BB">
        <w:rPr>
          <w:iCs/>
          <w:color w:val="auto"/>
        </w:rPr>
        <w:t>with obvious occupational impact; and, she could reasonably be assumed to have remained at risk for these decompensations at the time of permanent separation</w:t>
      </w:r>
      <w:r>
        <w:rPr>
          <w:iCs/>
          <w:color w:val="auto"/>
        </w:rPr>
        <w:t xml:space="preserve">.  </w:t>
      </w:r>
      <w:r w:rsidR="00047C3C">
        <w:rPr>
          <w:iCs/>
          <w:color w:val="auto"/>
        </w:rPr>
        <w:t>The</w:t>
      </w:r>
      <w:r>
        <w:rPr>
          <w:iCs/>
          <w:color w:val="auto"/>
        </w:rPr>
        <w:t xml:space="preserve"> CI was still experiencing nightmares, panic attacks, and related anxiety which required relatively high doses of potent antipsychotic medications to control.  </w:t>
      </w:r>
      <w:r w:rsidR="00047C3C">
        <w:rPr>
          <w:iCs/>
          <w:color w:val="auto"/>
        </w:rPr>
        <w:t xml:space="preserve">In addition to the medications, she also attended outpatient mental health therapy sessions </w:t>
      </w:r>
      <w:r w:rsidR="009C448F">
        <w:rPr>
          <w:iCs/>
          <w:color w:val="auto"/>
        </w:rPr>
        <w:t>two to four</w:t>
      </w:r>
      <w:r w:rsidR="00047C3C">
        <w:rPr>
          <w:iCs/>
          <w:color w:val="auto"/>
        </w:rPr>
        <w:t xml:space="preserve"> times per month.  </w:t>
      </w:r>
      <w:r>
        <w:rPr>
          <w:iCs/>
          <w:color w:val="auto"/>
        </w:rPr>
        <w:t xml:space="preserve">Finally, the examiner did not foresee her condition improving in the future.  </w:t>
      </w:r>
      <w:r w:rsidR="004E3754">
        <w:rPr>
          <w:iCs/>
          <w:color w:val="auto"/>
        </w:rPr>
        <w:t>It was ultimately agreed by all members that the factors just elaborated mitigated the CI’s grossly intact occupational functioning to an extent fairly characterize</w:t>
      </w:r>
      <w:r w:rsidR="009C448F">
        <w:rPr>
          <w:iCs/>
          <w:color w:val="auto"/>
        </w:rPr>
        <w:t>d as impairing “work efficiency</w:t>
      </w:r>
      <w:r w:rsidR="004E3754">
        <w:rPr>
          <w:iCs/>
          <w:color w:val="auto"/>
        </w:rPr>
        <w:t>;</w:t>
      </w:r>
      <w:r w:rsidR="009C448F">
        <w:rPr>
          <w:iCs/>
          <w:color w:val="auto"/>
        </w:rPr>
        <w:t>” and</w:t>
      </w:r>
      <w:r w:rsidR="004E3754">
        <w:rPr>
          <w:iCs/>
          <w:color w:val="auto"/>
        </w:rPr>
        <w:t xml:space="preserve"> furthermore, that an ongoing propensity for episodic decompensations constituted a fair characterization as </w:t>
      </w:r>
      <w:r w:rsidR="009C448F">
        <w:rPr>
          <w:iCs/>
          <w:color w:val="auto"/>
        </w:rPr>
        <w:t>“</w:t>
      </w:r>
      <w:r w:rsidR="004E3754" w:rsidRPr="00680F28">
        <w:rPr>
          <w:iCs/>
          <w:color w:val="auto"/>
        </w:rPr>
        <w:t>intermittent periods of inability to perform occupational tasks</w:t>
      </w:r>
      <w:r w:rsidR="004E3754">
        <w:rPr>
          <w:iCs/>
          <w:color w:val="auto"/>
        </w:rPr>
        <w:t>.</w:t>
      </w:r>
      <w:r w:rsidR="009C448F">
        <w:rPr>
          <w:iCs/>
          <w:color w:val="auto"/>
        </w:rPr>
        <w:t>”</w:t>
      </w:r>
      <w:r w:rsidR="004E3754" w:rsidRPr="00680F28">
        <w:rPr>
          <w:iCs/>
          <w:color w:val="auto"/>
        </w:rPr>
        <w:t xml:space="preserve"> </w:t>
      </w:r>
      <w:r w:rsidR="004E3754">
        <w:rPr>
          <w:iCs/>
          <w:color w:val="auto"/>
        </w:rPr>
        <w:t xml:space="preserve"> </w:t>
      </w:r>
      <w:r w:rsidRPr="00680F28">
        <w:rPr>
          <w:iCs/>
          <w:color w:val="auto"/>
        </w:rPr>
        <w:t xml:space="preserve">After due deliberation and in consideration of all evidence </w:t>
      </w:r>
      <w:r w:rsidR="00047C3C" w:rsidRPr="00047C3C">
        <w:rPr>
          <w:iCs/>
          <w:color w:val="auto"/>
        </w:rPr>
        <w:t>and mindful of VASRD §4.3 (reasonable doubt),</w:t>
      </w:r>
      <w:r w:rsidRPr="00680F28">
        <w:rPr>
          <w:iCs/>
          <w:color w:val="auto"/>
        </w:rPr>
        <w:t xml:space="preserve"> the Board </w:t>
      </w:r>
      <w:r w:rsidRPr="00C17E4A">
        <w:rPr>
          <w:iCs/>
          <w:color w:val="auto"/>
        </w:rPr>
        <w:t>recommends 30% as</w:t>
      </w:r>
      <w:r w:rsidRPr="00680F28">
        <w:rPr>
          <w:iCs/>
          <w:color w:val="auto"/>
        </w:rPr>
        <w:t xml:space="preserve"> the fair permanent separation rating for PTSD in this case.</w:t>
      </w:r>
    </w:p>
    <w:p w:rsidR="006A634C" w:rsidRDefault="006A634C" w:rsidP="006A634C">
      <w:pPr>
        <w:autoSpaceDE w:val="0"/>
        <w:autoSpaceDN w:val="0"/>
        <w:adjustRightInd w:val="0"/>
        <w:spacing w:line="240" w:lineRule="exact"/>
        <w:jc w:val="both"/>
        <w:rPr>
          <w:iCs/>
          <w:color w:val="auto"/>
        </w:rPr>
      </w:pPr>
    </w:p>
    <w:p w:rsidR="00F1512E" w:rsidRPr="00664296" w:rsidRDefault="00F1512E" w:rsidP="008404AB">
      <w:pPr>
        <w:spacing w:line="240" w:lineRule="exact"/>
        <w:jc w:val="both"/>
        <w:rPr>
          <w:rFonts w:eastAsia="HiddenHorzOCR"/>
          <w:color w:val="auto"/>
        </w:rPr>
      </w:pPr>
      <w:r w:rsidRPr="00664296">
        <w:rPr>
          <w:rFonts w:eastAsia="HiddenHorzOCR"/>
          <w:color w:val="auto"/>
          <w:u w:val="single"/>
        </w:rPr>
        <w:t xml:space="preserve">Other </w:t>
      </w:r>
      <w:proofErr w:type="gramStart"/>
      <w:r w:rsidRPr="00664296">
        <w:rPr>
          <w:rFonts w:eastAsia="HiddenHorzOCR"/>
          <w:color w:val="auto"/>
          <w:u w:val="single"/>
        </w:rPr>
        <w:t>PEB  Conditions</w:t>
      </w:r>
      <w:proofErr w:type="gramEnd"/>
      <w:r w:rsidRPr="008404AB">
        <w:rPr>
          <w:rFonts w:eastAsia="HiddenHorzOCR"/>
          <w:color w:val="auto"/>
        </w:rPr>
        <w:t xml:space="preserve">.  The other conditions forwarded by the MEB and adjudicated as not unfitting by the PEB were depressive disorder, conversion disorder, low back pain, and headaches.  </w:t>
      </w:r>
      <w:r w:rsidR="006F511A">
        <w:rPr>
          <w:rFonts w:eastAsia="HiddenHorzOCR"/>
          <w:color w:val="auto"/>
        </w:rPr>
        <w:t xml:space="preserve">The </w:t>
      </w:r>
      <w:r w:rsidR="006F511A" w:rsidRPr="008404AB">
        <w:rPr>
          <w:rFonts w:eastAsia="HiddenHorzOCR"/>
          <w:color w:val="auto"/>
        </w:rPr>
        <w:t>depressive disorder</w:t>
      </w:r>
      <w:r w:rsidR="006F511A">
        <w:rPr>
          <w:rFonts w:eastAsia="HiddenHorzOCR"/>
          <w:color w:val="auto"/>
        </w:rPr>
        <w:t xml:space="preserve"> and</w:t>
      </w:r>
      <w:r w:rsidR="006F511A" w:rsidRPr="008404AB">
        <w:rPr>
          <w:rFonts w:eastAsia="HiddenHorzOCR"/>
          <w:color w:val="auto"/>
        </w:rPr>
        <w:t xml:space="preserve"> conversion disorder </w:t>
      </w:r>
      <w:r w:rsidR="006F511A">
        <w:rPr>
          <w:rFonts w:eastAsia="HiddenHorzOCR"/>
          <w:color w:val="auto"/>
        </w:rPr>
        <w:t xml:space="preserve">conditions were judged medically acceptable by the MEB.  </w:t>
      </w:r>
      <w:r w:rsidR="00BF6D65">
        <w:rPr>
          <w:rFonts w:eastAsia="HiddenHorzOCR"/>
          <w:color w:val="auto"/>
        </w:rPr>
        <w:t>Nevertheless</w:t>
      </w:r>
      <w:r w:rsidR="006F511A">
        <w:rPr>
          <w:rFonts w:eastAsia="HiddenHorzOCR"/>
          <w:color w:val="auto"/>
        </w:rPr>
        <w:t xml:space="preserve">, any disability associated with these conditions is subsumed in the </w:t>
      </w:r>
      <w:r w:rsidR="006F511A" w:rsidRPr="00664296">
        <w:rPr>
          <w:color w:val="auto"/>
        </w:rPr>
        <w:t>§4.130</w:t>
      </w:r>
      <w:r w:rsidR="006F511A">
        <w:rPr>
          <w:color w:val="auto"/>
        </w:rPr>
        <w:t xml:space="preserve"> rating for the PTSD condition </w:t>
      </w:r>
      <w:r w:rsidR="0097118B">
        <w:rPr>
          <w:color w:val="auto"/>
        </w:rPr>
        <w:t xml:space="preserve">as recommended </w:t>
      </w:r>
      <w:r w:rsidR="006F511A">
        <w:rPr>
          <w:color w:val="auto"/>
        </w:rPr>
        <w:t>above</w:t>
      </w:r>
      <w:r w:rsidR="001D7CB1">
        <w:rPr>
          <w:color w:val="auto"/>
        </w:rPr>
        <w:t xml:space="preserve">; therefore, any discussion of rating based on </w:t>
      </w:r>
      <w:r w:rsidR="0097118B">
        <w:rPr>
          <w:color w:val="auto"/>
        </w:rPr>
        <w:t xml:space="preserve">the appropriateness of </w:t>
      </w:r>
      <w:r w:rsidR="001D7CB1">
        <w:rPr>
          <w:color w:val="auto"/>
        </w:rPr>
        <w:t>fitness adjudication</w:t>
      </w:r>
      <w:r w:rsidR="0097118B">
        <w:rPr>
          <w:color w:val="auto"/>
        </w:rPr>
        <w:t>s</w:t>
      </w:r>
      <w:r w:rsidR="001D7CB1">
        <w:rPr>
          <w:color w:val="auto"/>
        </w:rPr>
        <w:t xml:space="preserve"> is moot</w:t>
      </w:r>
      <w:r w:rsidR="006F511A">
        <w:rPr>
          <w:color w:val="auto"/>
        </w:rPr>
        <w:t xml:space="preserve">.  </w:t>
      </w:r>
      <w:r w:rsidR="00506D7E">
        <w:rPr>
          <w:color w:val="auto"/>
        </w:rPr>
        <w:t xml:space="preserve">The </w:t>
      </w:r>
      <w:r w:rsidR="0097118B">
        <w:rPr>
          <w:color w:val="auto"/>
        </w:rPr>
        <w:t>CI’s</w:t>
      </w:r>
      <w:r w:rsidR="00506D7E">
        <w:rPr>
          <w:color w:val="auto"/>
        </w:rPr>
        <w:t xml:space="preserve"> chronic low back pain and chronic headaches </w:t>
      </w:r>
      <w:r w:rsidR="0097118B">
        <w:rPr>
          <w:color w:val="auto"/>
        </w:rPr>
        <w:t>resulted from the</w:t>
      </w:r>
      <w:r w:rsidR="00506D7E">
        <w:rPr>
          <w:color w:val="auto"/>
        </w:rPr>
        <w:t xml:space="preserve"> vehicle rollover in Iraq</w:t>
      </w:r>
      <w:r w:rsidR="00D77315">
        <w:rPr>
          <w:color w:val="auto"/>
        </w:rPr>
        <w:t xml:space="preserve"> </w:t>
      </w:r>
      <w:r w:rsidR="0097118B">
        <w:rPr>
          <w:color w:val="auto"/>
        </w:rPr>
        <w:t>noted above.  S</w:t>
      </w:r>
      <w:r w:rsidR="00D77315">
        <w:rPr>
          <w:color w:val="auto"/>
        </w:rPr>
        <w:t xml:space="preserve">he received inpatient physical therapy treatment which drastically improved her </w:t>
      </w:r>
      <w:r w:rsidR="0097118B">
        <w:rPr>
          <w:color w:val="auto"/>
        </w:rPr>
        <w:t xml:space="preserve">back </w:t>
      </w:r>
      <w:r w:rsidR="00D77315">
        <w:rPr>
          <w:color w:val="auto"/>
        </w:rPr>
        <w:t>pain</w:t>
      </w:r>
      <w:r w:rsidR="0097118B">
        <w:rPr>
          <w:color w:val="auto"/>
        </w:rPr>
        <w:t>,</w:t>
      </w:r>
      <w:r w:rsidR="00D77315">
        <w:rPr>
          <w:color w:val="auto"/>
        </w:rPr>
        <w:t xml:space="preserve"> and </w:t>
      </w:r>
      <w:r w:rsidR="0097118B">
        <w:rPr>
          <w:color w:val="auto"/>
        </w:rPr>
        <w:t>also resulted in improvement of the</w:t>
      </w:r>
      <w:r w:rsidR="00D77315">
        <w:rPr>
          <w:color w:val="auto"/>
        </w:rPr>
        <w:t xml:space="preserve"> headaches.  </w:t>
      </w:r>
      <w:r w:rsidR="0097118B">
        <w:rPr>
          <w:color w:val="auto"/>
        </w:rPr>
        <w:t xml:space="preserve">The headaches, furthermore, were not associated with any documented prostrating episodes which would achieve a compensable Service rating.  </w:t>
      </w:r>
      <w:r w:rsidR="00D77315">
        <w:rPr>
          <w:rFonts w:eastAsia="HiddenHorzOCR"/>
          <w:color w:val="auto"/>
        </w:rPr>
        <w:t>N</w:t>
      </w:r>
      <w:r w:rsidR="006F511A">
        <w:rPr>
          <w:rFonts w:eastAsia="HiddenHorzOCR"/>
          <w:color w:val="auto"/>
        </w:rPr>
        <w:t xml:space="preserve">either </w:t>
      </w:r>
      <w:r w:rsidR="0097118B">
        <w:rPr>
          <w:rFonts w:eastAsia="HiddenHorzOCR"/>
          <w:color w:val="auto"/>
        </w:rPr>
        <w:t>the lumbar nor headache condition</w:t>
      </w:r>
      <w:r w:rsidRPr="008404AB">
        <w:rPr>
          <w:rFonts w:eastAsia="HiddenHorzOCR"/>
          <w:color w:val="auto"/>
        </w:rPr>
        <w:t xml:space="preserve"> </w:t>
      </w:r>
      <w:r w:rsidR="0097118B">
        <w:rPr>
          <w:rFonts w:eastAsia="HiddenHorzOCR"/>
          <w:color w:val="auto"/>
        </w:rPr>
        <w:t>was</w:t>
      </w:r>
      <w:r w:rsidRPr="008404AB">
        <w:rPr>
          <w:rFonts w:eastAsia="HiddenHorzOCR"/>
          <w:color w:val="auto"/>
        </w:rPr>
        <w:t xml:space="preserve"> profiled, implicated in the commander’s statement or noted as failing retention standards.  </w:t>
      </w:r>
      <w:r w:rsidR="006F511A">
        <w:rPr>
          <w:rFonts w:eastAsia="HiddenHorzOCR"/>
          <w:color w:val="auto"/>
        </w:rPr>
        <w:t>Both</w:t>
      </w:r>
      <w:r w:rsidR="00506D7E">
        <w:rPr>
          <w:rFonts w:eastAsia="HiddenHorzOCR"/>
          <w:color w:val="auto"/>
        </w:rPr>
        <w:t xml:space="preserve"> </w:t>
      </w:r>
      <w:r w:rsidR="0097118B">
        <w:rPr>
          <w:rFonts w:eastAsia="HiddenHorzOCR"/>
          <w:color w:val="auto"/>
        </w:rPr>
        <w:t xml:space="preserve">conditions </w:t>
      </w:r>
      <w:r w:rsidR="009C448F">
        <w:rPr>
          <w:rFonts w:eastAsia="HiddenHorzOCR"/>
          <w:color w:val="auto"/>
        </w:rPr>
        <w:t>were reviewed by the action o</w:t>
      </w:r>
      <w:r w:rsidRPr="008404AB">
        <w:rPr>
          <w:rFonts w:eastAsia="HiddenHorzOCR"/>
          <w:color w:val="auto"/>
        </w:rPr>
        <w:t xml:space="preserve">fficer and considered by the Board.  There was no indication from the record that </w:t>
      </w:r>
      <w:r w:rsidR="006F511A">
        <w:rPr>
          <w:rFonts w:eastAsia="HiddenHorzOCR"/>
          <w:color w:val="auto"/>
        </w:rPr>
        <w:t>either</w:t>
      </w:r>
      <w:r w:rsidRPr="008404AB">
        <w:rPr>
          <w:rFonts w:eastAsia="HiddenHorzOCR"/>
          <w:color w:val="auto"/>
        </w:rPr>
        <w:t xml:space="preserve"> of </w:t>
      </w:r>
      <w:r w:rsidR="0097118B">
        <w:rPr>
          <w:rFonts w:eastAsia="HiddenHorzOCR"/>
          <w:color w:val="auto"/>
        </w:rPr>
        <w:t>them</w:t>
      </w:r>
      <w:r w:rsidRPr="008404AB">
        <w:rPr>
          <w:rFonts w:eastAsia="HiddenHorzOCR"/>
          <w:color w:val="auto"/>
        </w:rPr>
        <w:t xml:space="preserve"> significantly interfered with satisfactory performance of MOS duty </w:t>
      </w:r>
      <w:r w:rsidRPr="008404AB">
        <w:rPr>
          <w:rFonts w:eastAsia="HiddenHorzOCR"/>
          <w:color w:val="auto"/>
        </w:rPr>
        <w:lastRenderedPageBreak/>
        <w:t xml:space="preserve">requirements.  All evidence considered, there is not reasonable doubt in the CI’s favor supporting recharacterization of the PEB fitness adjudication for </w:t>
      </w:r>
      <w:r w:rsidR="0097118B">
        <w:rPr>
          <w:rFonts w:eastAsia="HiddenHorzOCR"/>
          <w:color w:val="auto"/>
        </w:rPr>
        <w:t>either</w:t>
      </w:r>
      <w:r w:rsidRPr="008404AB">
        <w:rPr>
          <w:rFonts w:eastAsia="HiddenHorzOCR"/>
          <w:color w:val="auto"/>
        </w:rPr>
        <w:t xml:space="preserve"> of the</w:t>
      </w:r>
      <w:r w:rsidR="0097118B">
        <w:rPr>
          <w:rFonts w:eastAsia="HiddenHorzOCR"/>
          <w:color w:val="auto"/>
        </w:rPr>
        <w:t>se</w:t>
      </w:r>
      <w:r w:rsidRPr="008404AB">
        <w:rPr>
          <w:rFonts w:eastAsia="HiddenHorzOCR"/>
          <w:color w:val="auto"/>
        </w:rPr>
        <w:t xml:space="preserve"> conditions.</w:t>
      </w:r>
    </w:p>
    <w:p w:rsidR="00F1512E" w:rsidRPr="00664296" w:rsidRDefault="00F1512E" w:rsidP="00664296">
      <w:pPr>
        <w:spacing w:line="240" w:lineRule="exact"/>
        <w:jc w:val="both"/>
        <w:rPr>
          <w:rFonts w:eastAsia="HiddenHorzOCR"/>
          <w:color w:val="auto"/>
        </w:rPr>
      </w:pPr>
    </w:p>
    <w:p w:rsidR="00F1512E" w:rsidRDefault="00F1512E" w:rsidP="00664296">
      <w:pPr>
        <w:spacing w:line="240" w:lineRule="exact"/>
        <w:jc w:val="both"/>
        <w:rPr>
          <w:color w:val="auto"/>
        </w:rPr>
      </w:pPr>
      <w:proofErr w:type="gramStart"/>
      <w:r w:rsidRPr="00664296">
        <w:rPr>
          <w:color w:val="auto"/>
          <w:u w:val="single"/>
        </w:rPr>
        <w:t>Remaining Conditions</w:t>
      </w:r>
      <w:r w:rsidRPr="00664296">
        <w:rPr>
          <w:color w:val="auto"/>
        </w:rPr>
        <w:t>.</w:t>
      </w:r>
      <w:proofErr w:type="gramEnd"/>
      <w:r w:rsidRPr="00664296">
        <w:rPr>
          <w:color w:val="auto"/>
        </w:rPr>
        <w:t xml:space="preserve">  </w:t>
      </w:r>
      <w:r w:rsidR="006F511A" w:rsidRPr="006F511A">
        <w:rPr>
          <w:color w:val="auto"/>
        </w:rPr>
        <w:t xml:space="preserve">Other conditions identified in the DES file were </w:t>
      </w:r>
      <w:r w:rsidR="00D8031F">
        <w:rPr>
          <w:color w:val="auto"/>
        </w:rPr>
        <w:t>ovarian cysts</w:t>
      </w:r>
      <w:r w:rsidR="006F511A" w:rsidRPr="006F511A">
        <w:rPr>
          <w:color w:val="auto"/>
        </w:rPr>
        <w:t xml:space="preserve"> and </w:t>
      </w:r>
      <w:r w:rsidR="00D8031F">
        <w:rPr>
          <w:color w:val="auto"/>
        </w:rPr>
        <w:t>occasional dizziness</w:t>
      </w:r>
      <w:r w:rsidR="006F511A" w:rsidRPr="006F511A">
        <w:rPr>
          <w:color w:val="auto"/>
        </w:rPr>
        <w:t xml:space="preserve">.  Several additional non-acute conditions or medical complaints were also documented.  </w:t>
      </w:r>
      <w:r w:rsidR="004216E3">
        <w:rPr>
          <w:color w:val="auto"/>
        </w:rPr>
        <w:t>The</w:t>
      </w:r>
      <w:r w:rsidR="00506D7E">
        <w:rPr>
          <w:color w:val="auto"/>
        </w:rPr>
        <w:t xml:space="preserve"> dizziness was </w:t>
      </w:r>
      <w:r w:rsidR="004216E3">
        <w:rPr>
          <w:color w:val="auto"/>
        </w:rPr>
        <w:t>also a</w:t>
      </w:r>
      <w:r w:rsidR="00506D7E">
        <w:rPr>
          <w:color w:val="auto"/>
        </w:rPr>
        <w:t xml:space="preserve"> result of </w:t>
      </w:r>
      <w:r w:rsidR="004216E3">
        <w:rPr>
          <w:color w:val="auto"/>
        </w:rPr>
        <w:t>the</w:t>
      </w:r>
      <w:r w:rsidR="00506D7E">
        <w:rPr>
          <w:color w:val="auto"/>
        </w:rPr>
        <w:t xml:space="preserve"> vehicle rollover</w:t>
      </w:r>
      <w:r w:rsidR="004216E3">
        <w:rPr>
          <w:color w:val="auto"/>
        </w:rPr>
        <w:t>, and</w:t>
      </w:r>
      <w:r w:rsidR="00506D7E">
        <w:rPr>
          <w:color w:val="auto"/>
        </w:rPr>
        <w:t xml:space="preserve"> </w:t>
      </w:r>
      <w:r w:rsidR="000B4795">
        <w:rPr>
          <w:color w:val="auto"/>
        </w:rPr>
        <w:t xml:space="preserve">was not clinically active </w:t>
      </w:r>
      <w:r w:rsidR="004216E3">
        <w:rPr>
          <w:color w:val="auto"/>
        </w:rPr>
        <w:t>at the time of separation</w:t>
      </w:r>
      <w:r w:rsidR="0077385F">
        <w:rPr>
          <w:color w:val="auto"/>
        </w:rPr>
        <w:t xml:space="preserve">. </w:t>
      </w:r>
      <w:r w:rsidR="00506D7E">
        <w:rPr>
          <w:color w:val="auto"/>
        </w:rPr>
        <w:t xml:space="preserve"> </w:t>
      </w:r>
      <w:r w:rsidR="006F511A" w:rsidRPr="006F511A">
        <w:rPr>
          <w:color w:val="auto"/>
        </w:rPr>
        <w:t xml:space="preserve">None of these conditions were </w:t>
      </w:r>
      <w:r w:rsidR="004216E3">
        <w:rPr>
          <w:color w:val="auto"/>
        </w:rPr>
        <w:t>clinically active during the MEB period; none carried attached profiles;</w:t>
      </w:r>
      <w:r w:rsidR="006F511A" w:rsidRPr="006F511A">
        <w:rPr>
          <w:color w:val="auto"/>
        </w:rPr>
        <w:t xml:space="preserve"> and</w:t>
      </w:r>
      <w:r w:rsidR="004216E3">
        <w:rPr>
          <w:color w:val="auto"/>
        </w:rPr>
        <w:t>,</w:t>
      </w:r>
      <w:r w:rsidR="006F511A" w:rsidRPr="006F511A">
        <w:rPr>
          <w:color w:val="auto"/>
        </w:rPr>
        <w:t xml:space="preserve"> none were implicated in the commander’s statement.  These conditions were reviewed by the </w:t>
      </w:r>
      <w:r w:rsidR="009C448F">
        <w:rPr>
          <w:color w:val="auto"/>
        </w:rPr>
        <w:t>a</w:t>
      </w:r>
      <w:r w:rsidR="006F511A" w:rsidRPr="006F511A">
        <w:rPr>
          <w:color w:val="auto"/>
        </w:rPr>
        <w:t xml:space="preserve">ction </w:t>
      </w:r>
      <w:r w:rsidR="009C448F">
        <w:rPr>
          <w:color w:val="auto"/>
        </w:rPr>
        <w:t>o</w:t>
      </w:r>
      <w:r w:rsidR="006F511A" w:rsidRPr="006F511A">
        <w:rPr>
          <w:color w:val="auto"/>
        </w:rPr>
        <w:t xml:space="preserve">fficer and considered by the Board.  It was determined that none could be argued as unfitting and subject to separation rating.  </w:t>
      </w:r>
      <w:r w:rsidR="00D8031F" w:rsidRPr="00D8031F">
        <w:rPr>
          <w:color w:val="auto"/>
        </w:rPr>
        <w:t xml:space="preserve">Additionally </w:t>
      </w:r>
      <w:r w:rsidR="00D8031F">
        <w:rPr>
          <w:color w:val="auto"/>
        </w:rPr>
        <w:t>left knee degenerative joint disease</w:t>
      </w:r>
      <w:r w:rsidR="00D8031F" w:rsidRPr="00D8031F">
        <w:rPr>
          <w:color w:val="auto"/>
        </w:rPr>
        <w:t xml:space="preserve"> and several other non-acute conditions noted </w:t>
      </w:r>
      <w:r w:rsidR="004216E3">
        <w:rPr>
          <w:color w:val="auto"/>
        </w:rPr>
        <w:t>by the VA proximate</w:t>
      </w:r>
      <w:r w:rsidR="00D8031F" w:rsidRPr="00D8031F">
        <w:rPr>
          <w:color w:val="auto"/>
        </w:rPr>
        <w:t xml:space="preserve"> to separation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0B4795" w:rsidRPr="00391858" w:rsidRDefault="000B4795" w:rsidP="00F1737C">
      <w:pPr>
        <w:pBdr>
          <w:bottom w:val="single" w:sz="12" w:space="1" w:color="auto"/>
        </w:pBdr>
        <w:tabs>
          <w:tab w:val="left" w:pos="288"/>
          <w:tab w:val="left" w:pos="4752"/>
        </w:tabs>
        <w:spacing w:line="240" w:lineRule="exact"/>
        <w:jc w:val="both"/>
        <w:rPr>
          <w:b/>
          <w:color w:val="auto"/>
          <w:u w:val="single"/>
        </w:rPr>
      </w:pPr>
    </w:p>
    <w:p w:rsidR="00F1512E" w:rsidRDefault="00F1512E" w:rsidP="00F1737C">
      <w:pPr>
        <w:spacing w:line="240" w:lineRule="exact"/>
        <w:rPr>
          <w:b/>
          <w:color w:val="auto"/>
          <w:u w:val="single"/>
        </w:rPr>
      </w:pPr>
    </w:p>
    <w:p w:rsidR="004216E3" w:rsidRDefault="00F1512E" w:rsidP="004216E3">
      <w:pPr>
        <w:spacing w:line="240" w:lineRule="exact"/>
        <w:jc w:val="both"/>
        <w:rPr>
          <w:color w:val="auto"/>
        </w:rPr>
      </w:pPr>
      <w:r w:rsidRPr="009C78FD">
        <w:rPr>
          <w:color w:val="auto"/>
          <w:u w:val="single"/>
        </w:rPr>
        <w:t>BOARD FINDINGS</w:t>
      </w:r>
      <w:r w:rsidRPr="009C78FD">
        <w:rPr>
          <w:color w:val="auto"/>
        </w:rPr>
        <w:t xml:space="preserve">:  IAW DoDI 6040.44, provisions of DoD or Military Department regulations or guidelines relied upon by the PEB will not be considered by the Board to the extent they were inconsistent with the VASRD in effect </w:t>
      </w:r>
      <w:r w:rsidR="00675A8B">
        <w:rPr>
          <w:color w:val="auto"/>
        </w:rPr>
        <w:t>at the time of the adjudication</w:t>
      </w:r>
      <w:r w:rsidR="004216E3" w:rsidRPr="004216E3">
        <w:rPr>
          <w:color w:val="auto"/>
        </w:rPr>
        <w:t xml:space="preserve">.  </w:t>
      </w:r>
      <w:r w:rsidR="00675A8B">
        <w:rPr>
          <w:color w:val="auto"/>
        </w:rPr>
        <w:t>In the matter of the PTSD</w:t>
      </w:r>
      <w:r w:rsidRPr="00664296">
        <w:rPr>
          <w:color w:val="auto"/>
        </w:rPr>
        <w:t xml:space="preserve"> condition, the Board </w:t>
      </w:r>
      <w:r w:rsidRPr="007678A6">
        <w:rPr>
          <w:color w:val="auto"/>
        </w:rPr>
        <w:t>unanimously</w:t>
      </w:r>
      <w:r w:rsidR="00675A8B">
        <w:rPr>
          <w:color w:val="auto"/>
        </w:rPr>
        <w:t xml:space="preserve"> recommends </w:t>
      </w:r>
      <w:r w:rsidRPr="007678A6">
        <w:rPr>
          <w:color w:val="auto"/>
        </w:rPr>
        <w:t xml:space="preserve">a 30% permanent rating at separation IAW VASRD §4.130.  In the matter of the </w:t>
      </w:r>
      <w:r w:rsidRPr="007678A6">
        <w:rPr>
          <w:rFonts w:eastAsia="HiddenHorzOCR"/>
          <w:color w:val="auto"/>
        </w:rPr>
        <w:t>depressive disorder, conversion</w:t>
      </w:r>
      <w:r w:rsidRPr="008404AB">
        <w:rPr>
          <w:rFonts w:eastAsia="HiddenHorzOCR"/>
          <w:color w:val="auto"/>
        </w:rPr>
        <w:t xml:space="preserve"> disorder, </w:t>
      </w:r>
      <w:r w:rsidR="004216E3">
        <w:rPr>
          <w:rFonts w:eastAsia="HiddenHorzOCR"/>
          <w:color w:val="auto"/>
        </w:rPr>
        <w:t>lumbar spine, and headache conditions;</w:t>
      </w:r>
      <w:r w:rsidRPr="008404AB">
        <w:rPr>
          <w:rFonts w:eastAsia="HiddenHorzOCR"/>
          <w:color w:val="auto"/>
        </w:rPr>
        <w:t xml:space="preserve"> </w:t>
      </w:r>
      <w:r w:rsidRPr="00664296">
        <w:rPr>
          <w:color w:val="auto"/>
        </w:rPr>
        <w:t xml:space="preserve">the Board unanimously recommends no change from the PEB adjudications as not unfitting.  </w:t>
      </w:r>
      <w:r w:rsidR="004216E3" w:rsidRPr="004216E3">
        <w:rPr>
          <w:color w:val="auto"/>
        </w:rPr>
        <w:t>The Board unanimously agrees that there were no other conditions eligible for Board consideration which could be recommended as additionally unfitting for rating at separation.</w:t>
      </w:r>
    </w:p>
    <w:p w:rsidR="007678A6" w:rsidRPr="00391858" w:rsidRDefault="007678A6" w:rsidP="007678A6">
      <w:pPr>
        <w:pBdr>
          <w:bottom w:val="single" w:sz="12" w:space="1" w:color="auto"/>
        </w:pBdr>
        <w:tabs>
          <w:tab w:val="left" w:pos="288"/>
          <w:tab w:val="left" w:pos="4752"/>
        </w:tabs>
        <w:spacing w:line="240" w:lineRule="exact"/>
        <w:jc w:val="both"/>
        <w:rPr>
          <w:b/>
          <w:color w:val="auto"/>
          <w:u w:val="single"/>
        </w:rPr>
      </w:pPr>
    </w:p>
    <w:p w:rsidR="007678A6" w:rsidRDefault="007678A6" w:rsidP="007678A6">
      <w:pPr>
        <w:spacing w:line="240" w:lineRule="exact"/>
        <w:rPr>
          <w:b/>
          <w:color w:val="auto"/>
          <w:u w:val="single"/>
        </w:rPr>
      </w:pPr>
    </w:p>
    <w:p w:rsidR="00E63517" w:rsidRPr="00E63517" w:rsidRDefault="004216E3" w:rsidP="00E63517">
      <w:pPr>
        <w:spacing w:line="240" w:lineRule="exact"/>
        <w:jc w:val="both"/>
        <w:rPr>
          <w:color w:val="auto"/>
        </w:rPr>
      </w:pPr>
      <w:r w:rsidRPr="00C269AE">
        <w:rPr>
          <w:color w:val="auto"/>
          <w:u w:val="single"/>
        </w:rPr>
        <w:t>RECOMMENDATION</w:t>
      </w:r>
      <w:r w:rsidRPr="00C269AE">
        <w:rPr>
          <w:color w:val="auto"/>
        </w:rPr>
        <w:t>:</w:t>
      </w:r>
      <w:r w:rsidRPr="00C269AE">
        <w:rPr>
          <w:color w:val="000080"/>
        </w:rPr>
        <w:t xml:space="preserve"> </w:t>
      </w:r>
      <w:r w:rsidRPr="00C269AE">
        <w:rPr>
          <w:b/>
          <w:color w:val="FF0000"/>
        </w:rPr>
        <w:t xml:space="preserve"> </w:t>
      </w:r>
      <w:r w:rsidR="00E63517" w:rsidRPr="00E63517">
        <w:rPr>
          <w:color w:val="auto"/>
        </w:rPr>
        <w:t>The Board recommends that the CI’s prior se</w:t>
      </w:r>
      <w:r w:rsidR="00E63517">
        <w:rPr>
          <w:color w:val="auto"/>
        </w:rPr>
        <w:t>paration be modified to reflect</w:t>
      </w:r>
      <w:r w:rsidR="00E63517" w:rsidRPr="00E63517">
        <w:rPr>
          <w:color w:val="auto"/>
        </w:rPr>
        <w:t xml:space="preserve"> </w:t>
      </w:r>
      <w:r w:rsidR="00E63517">
        <w:rPr>
          <w:color w:val="auto"/>
        </w:rPr>
        <w:t>a</w:t>
      </w:r>
      <w:r w:rsidR="00E63517" w:rsidRPr="00E63517">
        <w:rPr>
          <w:color w:val="auto"/>
        </w:rPr>
        <w:t xml:space="preserve"> permanent </w:t>
      </w:r>
      <w:r w:rsidR="00E63517">
        <w:rPr>
          <w:color w:val="auto"/>
        </w:rPr>
        <w:t>3</w:t>
      </w:r>
      <w:r w:rsidR="00E63517" w:rsidRPr="00E63517">
        <w:rPr>
          <w:color w:val="auto"/>
        </w:rPr>
        <w:t xml:space="preserve">0% disability retirement as </w:t>
      </w:r>
      <w:r w:rsidR="00675A8B">
        <w:rPr>
          <w:color w:val="auto"/>
        </w:rPr>
        <w:t xml:space="preserve">indicated </w:t>
      </w:r>
      <w:r w:rsidR="00E63517" w:rsidRPr="00E63517">
        <w:rPr>
          <w:color w:val="auto"/>
        </w:rPr>
        <w:t xml:space="preserve">below. </w:t>
      </w:r>
    </w:p>
    <w:p w:rsidR="004216E3" w:rsidRPr="00AF01B2" w:rsidRDefault="004216E3" w:rsidP="004216E3">
      <w:pPr>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1530"/>
        <w:gridCol w:w="1530"/>
      </w:tblGrid>
      <w:tr w:rsidR="00675A8B" w:rsidRPr="00AF01B2" w:rsidTr="002D6281">
        <w:trPr>
          <w:jc w:val="center"/>
        </w:trPr>
        <w:tc>
          <w:tcPr>
            <w:tcW w:w="5220" w:type="dxa"/>
            <w:shd w:val="clear" w:color="auto" w:fill="D9D9D9"/>
            <w:vAlign w:val="center"/>
          </w:tcPr>
          <w:p w:rsidR="00675A8B" w:rsidRPr="00AF01B2" w:rsidRDefault="00675A8B" w:rsidP="002D6281">
            <w:pPr>
              <w:tabs>
                <w:tab w:val="left" w:pos="288"/>
                <w:tab w:val="left" w:pos="4752"/>
              </w:tabs>
              <w:spacing w:line="240" w:lineRule="exact"/>
              <w:jc w:val="center"/>
              <w:rPr>
                <w:b/>
                <w:color w:val="auto"/>
              </w:rPr>
            </w:pPr>
            <w:r w:rsidRPr="00AF01B2">
              <w:rPr>
                <w:b/>
                <w:color w:val="auto"/>
              </w:rPr>
              <w:t>UNFITTING CONDITION</w:t>
            </w:r>
          </w:p>
        </w:tc>
        <w:tc>
          <w:tcPr>
            <w:tcW w:w="1530" w:type="dxa"/>
            <w:shd w:val="clear" w:color="auto" w:fill="D9D9D9"/>
            <w:vAlign w:val="center"/>
          </w:tcPr>
          <w:p w:rsidR="00675A8B" w:rsidRPr="00AF01B2" w:rsidRDefault="00675A8B" w:rsidP="002D6281">
            <w:pPr>
              <w:tabs>
                <w:tab w:val="left" w:pos="288"/>
                <w:tab w:val="left" w:pos="4752"/>
              </w:tabs>
              <w:spacing w:line="240" w:lineRule="exact"/>
              <w:jc w:val="center"/>
              <w:rPr>
                <w:b/>
                <w:color w:val="auto"/>
              </w:rPr>
            </w:pPr>
            <w:r w:rsidRPr="00AF01B2">
              <w:rPr>
                <w:b/>
                <w:color w:val="auto"/>
              </w:rPr>
              <w:t>VASRD CODE</w:t>
            </w:r>
          </w:p>
        </w:tc>
        <w:tc>
          <w:tcPr>
            <w:tcW w:w="1530" w:type="dxa"/>
            <w:shd w:val="pct15" w:color="auto" w:fill="auto"/>
            <w:vAlign w:val="center"/>
          </w:tcPr>
          <w:p w:rsidR="00675A8B" w:rsidRPr="00AF01B2" w:rsidRDefault="00675A8B" w:rsidP="002D6281">
            <w:pPr>
              <w:tabs>
                <w:tab w:val="left" w:pos="288"/>
                <w:tab w:val="left" w:pos="4752"/>
              </w:tabs>
              <w:spacing w:line="240" w:lineRule="exact"/>
              <w:jc w:val="center"/>
              <w:rPr>
                <w:b/>
                <w:color w:val="auto"/>
              </w:rPr>
            </w:pPr>
            <w:r w:rsidRPr="00AF01B2">
              <w:rPr>
                <w:b/>
                <w:color w:val="auto"/>
              </w:rPr>
              <w:t>PERMANENT</w:t>
            </w:r>
          </w:p>
          <w:p w:rsidR="00675A8B" w:rsidRPr="00AF01B2" w:rsidRDefault="00675A8B" w:rsidP="002D6281">
            <w:pPr>
              <w:tabs>
                <w:tab w:val="left" w:pos="288"/>
                <w:tab w:val="left" w:pos="4752"/>
              </w:tabs>
              <w:spacing w:line="240" w:lineRule="exact"/>
              <w:jc w:val="center"/>
              <w:rPr>
                <w:b/>
                <w:color w:val="auto"/>
              </w:rPr>
            </w:pPr>
            <w:r w:rsidRPr="00AF01B2">
              <w:rPr>
                <w:b/>
                <w:color w:val="auto"/>
              </w:rPr>
              <w:t>RATING</w:t>
            </w:r>
          </w:p>
        </w:tc>
      </w:tr>
      <w:tr w:rsidR="00675A8B" w:rsidRPr="00AF01B2" w:rsidTr="002D6281">
        <w:trPr>
          <w:trHeight w:val="188"/>
          <w:jc w:val="center"/>
        </w:trPr>
        <w:tc>
          <w:tcPr>
            <w:tcW w:w="5220" w:type="dxa"/>
            <w:vAlign w:val="center"/>
          </w:tcPr>
          <w:p w:rsidR="00675A8B" w:rsidRPr="00AF01B2" w:rsidRDefault="00675A8B" w:rsidP="00675A8B">
            <w:pPr>
              <w:tabs>
                <w:tab w:val="left" w:pos="288"/>
                <w:tab w:val="left" w:pos="3538"/>
              </w:tabs>
              <w:spacing w:line="240" w:lineRule="exact"/>
              <w:rPr>
                <w:color w:val="auto"/>
              </w:rPr>
            </w:pPr>
            <w:r>
              <w:rPr>
                <w:color w:val="auto"/>
              </w:rPr>
              <w:t>Postt</w:t>
            </w:r>
            <w:r w:rsidRPr="00AF01B2">
              <w:rPr>
                <w:color w:val="auto"/>
              </w:rPr>
              <w:t>raumatic Stress Disorder</w:t>
            </w:r>
          </w:p>
        </w:tc>
        <w:tc>
          <w:tcPr>
            <w:tcW w:w="1530" w:type="dxa"/>
            <w:vAlign w:val="center"/>
          </w:tcPr>
          <w:p w:rsidR="00675A8B" w:rsidRPr="00AF01B2" w:rsidRDefault="00675A8B" w:rsidP="002D6281">
            <w:pPr>
              <w:tabs>
                <w:tab w:val="left" w:pos="288"/>
                <w:tab w:val="left" w:pos="4752"/>
              </w:tabs>
              <w:spacing w:line="240" w:lineRule="exact"/>
              <w:jc w:val="center"/>
              <w:rPr>
                <w:color w:val="auto"/>
              </w:rPr>
            </w:pPr>
            <w:r w:rsidRPr="00AF01B2">
              <w:rPr>
                <w:color w:val="auto"/>
              </w:rPr>
              <w:t>9411</w:t>
            </w:r>
          </w:p>
        </w:tc>
        <w:tc>
          <w:tcPr>
            <w:tcW w:w="1530" w:type="dxa"/>
            <w:vAlign w:val="center"/>
          </w:tcPr>
          <w:p w:rsidR="00675A8B" w:rsidRPr="007678A6" w:rsidRDefault="00675A8B" w:rsidP="002D6281">
            <w:pPr>
              <w:tabs>
                <w:tab w:val="left" w:pos="288"/>
                <w:tab w:val="left" w:pos="4752"/>
              </w:tabs>
              <w:spacing w:line="240" w:lineRule="exact"/>
              <w:jc w:val="center"/>
              <w:rPr>
                <w:color w:val="auto"/>
              </w:rPr>
            </w:pPr>
            <w:r w:rsidRPr="007678A6">
              <w:rPr>
                <w:color w:val="auto"/>
              </w:rPr>
              <w:t>30%</w:t>
            </w:r>
          </w:p>
        </w:tc>
      </w:tr>
      <w:tr w:rsidR="00675A8B" w:rsidRPr="00AF01B2" w:rsidTr="002D6281">
        <w:tblPrEx>
          <w:tblLook w:val="0000"/>
        </w:tblPrEx>
        <w:trPr>
          <w:gridBefore w:val="1"/>
          <w:wBefore w:w="5220" w:type="dxa"/>
          <w:trHeight w:val="188"/>
          <w:jc w:val="center"/>
        </w:trPr>
        <w:tc>
          <w:tcPr>
            <w:tcW w:w="1530" w:type="dxa"/>
            <w:tcBorders>
              <w:left w:val="single" w:sz="4" w:space="0" w:color="auto"/>
            </w:tcBorders>
            <w:shd w:val="pct15" w:color="auto" w:fill="auto"/>
            <w:vAlign w:val="center"/>
          </w:tcPr>
          <w:p w:rsidR="00675A8B" w:rsidRPr="00AF01B2" w:rsidRDefault="00675A8B" w:rsidP="002D6281">
            <w:pPr>
              <w:tabs>
                <w:tab w:val="left" w:pos="288"/>
                <w:tab w:val="left" w:pos="4752"/>
              </w:tabs>
              <w:spacing w:line="240" w:lineRule="exact"/>
              <w:jc w:val="center"/>
              <w:rPr>
                <w:b/>
                <w:color w:val="auto"/>
              </w:rPr>
            </w:pPr>
            <w:r w:rsidRPr="00AF01B2">
              <w:rPr>
                <w:b/>
                <w:color w:val="auto"/>
              </w:rPr>
              <w:t>COMBINED</w:t>
            </w:r>
          </w:p>
        </w:tc>
        <w:tc>
          <w:tcPr>
            <w:tcW w:w="1530" w:type="dxa"/>
            <w:shd w:val="pct15" w:color="auto" w:fill="auto"/>
            <w:vAlign w:val="center"/>
          </w:tcPr>
          <w:p w:rsidR="00675A8B" w:rsidRPr="007678A6" w:rsidRDefault="00675A8B" w:rsidP="002D6281">
            <w:pPr>
              <w:tabs>
                <w:tab w:val="left" w:pos="288"/>
                <w:tab w:val="left" w:pos="4752"/>
              </w:tabs>
              <w:spacing w:line="240" w:lineRule="exact"/>
              <w:jc w:val="center"/>
              <w:rPr>
                <w:b/>
                <w:color w:val="auto"/>
              </w:rPr>
            </w:pPr>
            <w:r w:rsidRPr="007678A6">
              <w:rPr>
                <w:b/>
                <w:color w:val="auto"/>
              </w:rPr>
              <w:t>30%</w:t>
            </w:r>
          </w:p>
        </w:tc>
      </w:tr>
    </w:tbl>
    <w:p w:rsidR="00B45172" w:rsidRPr="00391858" w:rsidRDefault="00B45172" w:rsidP="00B45172">
      <w:pPr>
        <w:pBdr>
          <w:bottom w:val="single" w:sz="12" w:space="1" w:color="auto"/>
        </w:pBdr>
        <w:tabs>
          <w:tab w:val="left" w:pos="288"/>
          <w:tab w:val="left" w:pos="4752"/>
        </w:tabs>
        <w:spacing w:line="240" w:lineRule="exact"/>
        <w:jc w:val="both"/>
        <w:rPr>
          <w:b/>
          <w:color w:val="auto"/>
          <w:u w:val="single"/>
        </w:rPr>
      </w:pPr>
    </w:p>
    <w:p w:rsidR="00B45172" w:rsidRDefault="00B45172" w:rsidP="00B45172">
      <w:pPr>
        <w:spacing w:line="240" w:lineRule="exact"/>
        <w:rPr>
          <w:b/>
          <w:color w:val="auto"/>
          <w:u w:val="single"/>
        </w:rPr>
      </w:pPr>
    </w:p>
    <w:p w:rsidR="00F03231" w:rsidRDefault="00F03231">
      <w:pPr>
        <w:rPr>
          <w:color w:val="auto"/>
        </w:rPr>
      </w:pPr>
      <w:r>
        <w:rPr>
          <w:color w:val="auto"/>
        </w:rPr>
        <w:br w:type="page"/>
      </w:r>
    </w:p>
    <w:p w:rsidR="00F1512E" w:rsidRPr="00006186" w:rsidRDefault="00F1512E" w:rsidP="00510F9C">
      <w:pPr>
        <w:tabs>
          <w:tab w:val="left" w:pos="288"/>
          <w:tab w:val="left" w:pos="4752"/>
        </w:tabs>
        <w:spacing w:line="240" w:lineRule="exact"/>
        <w:jc w:val="both"/>
        <w:rPr>
          <w:color w:val="auto"/>
        </w:rPr>
      </w:pPr>
      <w:r>
        <w:rPr>
          <w:color w:val="auto"/>
        </w:rPr>
        <w:lastRenderedPageBreak/>
        <w:t>The following documentary evidence was considered:</w:t>
      </w:r>
    </w:p>
    <w:p w:rsidR="00F1512E" w:rsidRPr="00006186" w:rsidRDefault="00F1512E" w:rsidP="00510F9C">
      <w:pPr>
        <w:tabs>
          <w:tab w:val="left" w:pos="288"/>
          <w:tab w:val="left" w:pos="4752"/>
        </w:tabs>
        <w:spacing w:line="240" w:lineRule="exact"/>
        <w:jc w:val="both"/>
        <w:rPr>
          <w:color w:val="auto"/>
        </w:rPr>
      </w:pPr>
    </w:p>
    <w:p w:rsidR="00F1512E" w:rsidRPr="00006186" w:rsidRDefault="00F1512E" w:rsidP="00510F9C">
      <w:pPr>
        <w:tabs>
          <w:tab w:val="left" w:pos="288"/>
          <w:tab w:val="left" w:pos="4752"/>
        </w:tabs>
        <w:spacing w:line="240" w:lineRule="exact"/>
        <w:jc w:val="both"/>
        <w:rPr>
          <w:color w:val="auto"/>
        </w:rPr>
      </w:pPr>
      <w:r>
        <w:rPr>
          <w:color w:val="auto"/>
        </w:rPr>
        <w:t>Exhibit A.  DD Fo</w:t>
      </w:r>
      <w:r w:rsidR="009C448F">
        <w:rPr>
          <w:color w:val="auto"/>
        </w:rPr>
        <w:t>rm 294, dated 20110103, w/</w:t>
      </w:r>
      <w:proofErr w:type="spellStart"/>
      <w:r w:rsidR="009C448F">
        <w:rPr>
          <w:color w:val="auto"/>
        </w:rPr>
        <w:t>atchs</w:t>
      </w:r>
      <w:proofErr w:type="spellEnd"/>
    </w:p>
    <w:p w:rsidR="00F1512E" w:rsidRPr="00006186" w:rsidRDefault="00F1512E" w:rsidP="00510F9C">
      <w:pPr>
        <w:tabs>
          <w:tab w:val="left" w:pos="288"/>
          <w:tab w:val="left" w:pos="4752"/>
        </w:tabs>
        <w:spacing w:line="240" w:lineRule="exact"/>
        <w:jc w:val="both"/>
        <w:rPr>
          <w:color w:val="auto"/>
        </w:rPr>
      </w:pPr>
      <w:r>
        <w:rPr>
          <w:color w:val="auto"/>
        </w:rPr>
        <w:t>Exhib</w:t>
      </w:r>
      <w:r w:rsidR="009C448F">
        <w:rPr>
          <w:color w:val="auto"/>
        </w:rPr>
        <w:t>it B.  Service Treatment Record</w:t>
      </w:r>
    </w:p>
    <w:p w:rsidR="00F1512E" w:rsidRPr="00006186" w:rsidRDefault="00F1512E" w:rsidP="00510F9C">
      <w:pPr>
        <w:tabs>
          <w:tab w:val="left" w:pos="288"/>
          <w:tab w:val="left" w:pos="4752"/>
        </w:tabs>
        <w:spacing w:line="240" w:lineRule="exact"/>
        <w:jc w:val="both"/>
        <w:rPr>
          <w:color w:val="auto"/>
        </w:rPr>
      </w:pPr>
      <w:r>
        <w:rPr>
          <w:color w:val="auto"/>
        </w:rPr>
        <w:t>Exhibit C.  Department of Vet</w:t>
      </w:r>
      <w:r w:rsidR="009C448F">
        <w:rPr>
          <w:color w:val="auto"/>
        </w:rPr>
        <w:t>erans' Affairs Treatment Record</w:t>
      </w:r>
    </w:p>
    <w:p w:rsidR="00F1512E" w:rsidRPr="00006186" w:rsidRDefault="00F1512E" w:rsidP="00510F9C">
      <w:pPr>
        <w:tabs>
          <w:tab w:val="left" w:pos="288"/>
          <w:tab w:val="left" w:pos="4752"/>
        </w:tabs>
        <w:spacing w:line="240" w:lineRule="exact"/>
        <w:jc w:val="both"/>
        <w:rPr>
          <w:color w:val="auto"/>
        </w:rPr>
      </w:pPr>
    </w:p>
    <w:p w:rsidR="00F1512E" w:rsidRPr="00006186" w:rsidRDefault="00F1512E" w:rsidP="00510F9C">
      <w:pPr>
        <w:tabs>
          <w:tab w:val="left" w:pos="288"/>
          <w:tab w:val="left" w:pos="4752"/>
        </w:tabs>
        <w:spacing w:line="240" w:lineRule="exact"/>
        <w:jc w:val="both"/>
        <w:rPr>
          <w:color w:val="auto"/>
        </w:rPr>
      </w:pPr>
    </w:p>
    <w:p w:rsidR="008F36E1" w:rsidRDefault="00F1512E" w:rsidP="00423148">
      <w:pPr>
        <w:tabs>
          <w:tab w:val="left" w:pos="0"/>
          <w:tab w:val="left" w:pos="4320"/>
        </w:tabs>
        <w:spacing w:line="240" w:lineRule="exact"/>
        <w:jc w:val="both"/>
        <w:rPr>
          <w:color w:val="auto"/>
        </w:rPr>
      </w:pPr>
      <w:r w:rsidRPr="00423148">
        <w:rPr>
          <w:color w:val="auto"/>
        </w:rPr>
        <w:t xml:space="preserve">                             </w:t>
      </w:r>
      <w:r w:rsidRPr="00423148">
        <w:rPr>
          <w:color w:val="auto"/>
        </w:rPr>
        <w:tab/>
      </w:r>
      <w:r w:rsidRPr="00423148">
        <w:rPr>
          <w:color w:val="auto"/>
        </w:rPr>
        <w:tab/>
        <w:t>President</w:t>
      </w:r>
      <w:r w:rsidRPr="00423148">
        <w:rPr>
          <w:color w:val="auto"/>
        </w:rPr>
        <w:tab/>
        <w:t xml:space="preserve">                           </w:t>
      </w:r>
      <w:r w:rsidRPr="00423148">
        <w:rPr>
          <w:color w:val="auto"/>
        </w:rPr>
        <w:tab/>
      </w:r>
      <w:r w:rsidRPr="00423148">
        <w:rPr>
          <w:color w:val="auto"/>
        </w:rPr>
        <w:tab/>
      </w:r>
      <w:r w:rsidRPr="00423148">
        <w:rPr>
          <w:color w:val="auto"/>
        </w:rPr>
        <w:tab/>
      </w:r>
      <w:r w:rsidRPr="00423148">
        <w:rPr>
          <w:color w:val="auto"/>
        </w:rPr>
        <w:tab/>
        <w:t>Physical Disability Board of Review</w:t>
      </w:r>
    </w:p>
    <w:p w:rsidR="008F36E1" w:rsidRDefault="008F36E1">
      <w:pPr>
        <w:rPr>
          <w:color w:val="auto"/>
        </w:rPr>
      </w:pPr>
      <w:r>
        <w:rPr>
          <w:color w:val="auto"/>
        </w:rPr>
        <w:br w:type="page"/>
      </w:r>
    </w:p>
    <w:p w:rsidR="008F36E1" w:rsidRDefault="008F36E1" w:rsidP="008F36E1">
      <w:pPr>
        <w:pStyle w:val="Header"/>
        <w:tabs>
          <w:tab w:val="clear" w:pos="4320"/>
          <w:tab w:val="clear" w:pos="8640"/>
        </w:tabs>
      </w:pPr>
      <w:r>
        <w:lastRenderedPageBreak/>
        <w:t>SFMR-RB</w:t>
      </w:r>
      <w:r>
        <w:tab/>
      </w:r>
      <w:r>
        <w:tab/>
      </w:r>
      <w:r>
        <w:tab/>
      </w:r>
      <w:r>
        <w:tab/>
      </w:r>
      <w:r>
        <w:tab/>
      </w:r>
      <w:r>
        <w:tab/>
      </w:r>
      <w:r>
        <w:tab/>
      </w:r>
      <w:r>
        <w:tab/>
      </w:r>
      <w:r>
        <w:tab/>
      </w:r>
    </w:p>
    <w:p w:rsidR="008F36E1" w:rsidRDefault="008F36E1" w:rsidP="008F36E1">
      <w:pPr>
        <w:pStyle w:val="Header"/>
        <w:tabs>
          <w:tab w:val="clear" w:pos="4320"/>
          <w:tab w:val="clear" w:pos="8640"/>
        </w:tabs>
      </w:pPr>
    </w:p>
    <w:p w:rsidR="008F36E1" w:rsidRDefault="008F36E1" w:rsidP="008F36E1"/>
    <w:p w:rsidR="008F36E1" w:rsidRDefault="008F36E1" w:rsidP="008F36E1">
      <w:r>
        <w:t xml:space="preserve">MEMORANDUM FOR Commander, US Army Physical Disability Agency </w:t>
      </w:r>
    </w:p>
    <w:p w:rsidR="008F36E1" w:rsidRDefault="008F36E1" w:rsidP="008F36E1">
      <w:r>
        <w:t xml:space="preserve"> </w:t>
      </w:r>
    </w:p>
    <w:p w:rsidR="008F36E1" w:rsidRDefault="008F36E1" w:rsidP="008F36E1">
      <w:pPr>
        <w:ind w:right="-180"/>
      </w:pPr>
      <w:r>
        <w:t xml:space="preserve">SUBJECT:  Department of Defense Physical Disability Board of Review Recommendation </w:t>
      </w:r>
    </w:p>
    <w:p w:rsidR="008F36E1" w:rsidRDefault="008F36E1" w:rsidP="008F36E1"/>
    <w:p w:rsidR="008F36E1" w:rsidRPr="00B904A2" w:rsidRDefault="008F36E1" w:rsidP="008F36E1">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8F36E1" w:rsidRPr="00B904A2" w:rsidRDefault="008F36E1" w:rsidP="008F36E1"/>
    <w:p w:rsidR="008F36E1" w:rsidRDefault="008F36E1" w:rsidP="008F36E1">
      <w:r w:rsidRPr="00FF16DA">
        <w:t>2.  I direct that all the Department of the Army records of the individual concerned be corrected accordingly no later than 120 day</w:t>
      </w:r>
      <w:r>
        <w:t>s from the date of this memorandum:</w:t>
      </w:r>
    </w:p>
    <w:p w:rsidR="008F36E1" w:rsidRDefault="008F36E1" w:rsidP="008F36E1"/>
    <w:p w:rsidR="008F36E1" w:rsidRDefault="008F36E1" w:rsidP="008F36E1">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8F36E1" w:rsidRDefault="008F36E1" w:rsidP="008F36E1"/>
    <w:p w:rsidR="008F36E1" w:rsidRDefault="008F36E1" w:rsidP="008F36E1">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8F36E1" w:rsidRDefault="008F36E1" w:rsidP="008F36E1"/>
    <w:p w:rsidR="008F36E1" w:rsidRDefault="008F36E1" w:rsidP="008F36E1">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8F36E1" w:rsidRDefault="008F36E1" w:rsidP="008F36E1"/>
    <w:p w:rsidR="008F36E1" w:rsidRDefault="008F36E1" w:rsidP="008F36E1">
      <w:r>
        <w:tab/>
      </w:r>
      <w:proofErr w:type="gramStart"/>
      <w:r>
        <w:t>d.  Affording</w:t>
      </w:r>
      <w:proofErr w:type="gramEnd"/>
      <w:r>
        <w:t xml:space="preserve"> the </w:t>
      </w:r>
      <w:r w:rsidRPr="00FF16DA">
        <w:t>individual the opportunity to elect Survivor Benefit Plan (SBP) and medical TRICARE retiree options.</w:t>
      </w:r>
    </w:p>
    <w:p w:rsidR="008F36E1" w:rsidRDefault="008F36E1" w:rsidP="008F36E1"/>
    <w:p w:rsidR="008F36E1" w:rsidRDefault="008F36E1" w:rsidP="008F36E1">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F36E1" w:rsidRDefault="008F36E1" w:rsidP="008F36E1"/>
    <w:p w:rsidR="008F36E1" w:rsidRDefault="008F36E1" w:rsidP="008F36E1">
      <w:r>
        <w:t>BY ORDER OF THE SECRETARY OF THE ARMY:</w:t>
      </w:r>
    </w:p>
    <w:p w:rsidR="008F36E1" w:rsidRDefault="008F36E1" w:rsidP="008F36E1"/>
    <w:p w:rsidR="008F36E1" w:rsidRDefault="008F36E1" w:rsidP="008F36E1"/>
    <w:p w:rsidR="008F36E1" w:rsidRDefault="008F36E1" w:rsidP="008F36E1">
      <w:pPr>
        <w:pStyle w:val="Header"/>
        <w:tabs>
          <w:tab w:val="clear" w:pos="4320"/>
          <w:tab w:val="clear" w:pos="8640"/>
        </w:tabs>
      </w:pPr>
    </w:p>
    <w:p w:rsidR="008F36E1" w:rsidRDefault="008F36E1" w:rsidP="008F36E1"/>
    <w:p w:rsidR="008F36E1" w:rsidRDefault="008F36E1" w:rsidP="008F36E1">
      <w:bookmarkStart w:id="0" w:name="OLE_LINK3"/>
      <w:bookmarkStart w:id="1" w:name="OLE_LINK4"/>
      <w:r>
        <w:t>Encl</w:t>
      </w:r>
      <w:r>
        <w:tab/>
      </w:r>
      <w:r>
        <w:tab/>
      </w:r>
      <w:r>
        <w:tab/>
      </w:r>
      <w:r>
        <w:tab/>
      </w:r>
      <w:r>
        <w:tab/>
      </w:r>
      <w:r>
        <w:tab/>
        <w:t xml:space="preserve"> </w:t>
      </w:r>
    </w:p>
    <w:p w:rsidR="008F36E1" w:rsidRDefault="008F36E1" w:rsidP="008F36E1">
      <w:r>
        <w:tab/>
      </w:r>
      <w:r>
        <w:tab/>
      </w:r>
      <w:r>
        <w:tab/>
      </w:r>
      <w:r>
        <w:tab/>
      </w:r>
      <w:r>
        <w:tab/>
      </w:r>
      <w:r>
        <w:tab/>
        <w:t xml:space="preserve">     Deputy Assistant Secretary</w:t>
      </w:r>
    </w:p>
    <w:p w:rsidR="00F1512E" w:rsidRDefault="008F36E1" w:rsidP="008F36E1">
      <w:pPr>
        <w:rPr>
          <w:color w:val="auto"/>
          <w:u w:val="single"/>
        </w:rPr>
      </w:pPr>
      <w:r>
        <w:tab/>
      </w:r>
      <w:r>
        <w:tab/>
      </w:r>
      <w:r>
        <w:tab/>
      </w:r>
      <w:r>
        <w:tab/>
      </w:r>
      <w:r>
        <w:tab/>
      </w:r>
      <w:r>
        <w:tab/>
        <w:t xml:space="preserve">         (Army Review Boards)</w:t>
      </w:r>
      <w:bookmarkEnd w:id="0"/>
      <w:bookmarkEnd w:id="1"/>
    </w:p>
    <w:p w:rsidR="00F465D6" w:rsidRPr="008404AB" w:rsidRDefault="00F465D6" w:rsidP="00510F9C">
      <w:pPr>
        <w:spacing w:line="240" w:lineRule="exact"/>
        <w:rPr>
          <w:rFonts w:ascii="Times New Roman" w:hAnsi="Times New Roman"/>
          <w:b/>
          <w:bCs/>
          <w:color w:val="auto"/>
        </w:rPr>
      </w:pPr>
    </w:p>
    <w:sectPr w:rsidR="00F465D6" w:rsidRPr="008404AB" w:rsidSect="002A5C3C">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CA" w:rsidRDefault="006B64CA">
      <w:r>
        <w:separator/>
      </w:r>
    </w:p>
  </w:endnote>
  <w:endnote w:type="continuationSeparator" w:id="0">
    <w:p w:rsidR="006B64CA" w:rsidRDefault="006B6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2E" w:rsidRPr="00684CE6" w:rsidRDefault="00230C4A" w:rsidP="00F65ED5">
    <w:pPr>
      <w:pStyle w:val="Footer"/>
      <w:jc w:val="right"/>
      <w:rPr>
        <w:color w:val="auto"/>
      </w:rPr>
    </w:pPr>
    <w:fldSimple w:instr=" PAGE   \* MERGEFORMAT ">
      <w:r w:rsidR="008F36E1" w:rsidRPr="008F36E1">
        <w:rPr>
          <w:noProof/>
          <w:color w:val="auto"/>
        </w:rPr>
        <w:t>4</w:t>
      </w:r>
    </w:fldSimple>
    <w:r w:rsidR="00F1512E" w:rsidRPr="00684CE6">
      <w:rPr>
        <w:color w:val="auto"/>
      </w:rPr>
      <w:t xml:space="preserve">                                                                   PD</w:t>
    </w:r>
    <w:r w:rsidR="00F1512E" w:rsidRPr="008404AB">
      <w:rPr>
        <w:color w:val="auto"/>
      </w:rPr>
      <w:t>1100330</w:t>
    </w:r>
  </w:p>
  <w:p w:rsidR="00F1512E" w:rsidRPr="00684CE6" w:rsidRDefault="00F1512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CA" w:rsidRDefault="006B64CA">
      <w:r>
        <w:separator/>
      </w:r>
    </w:p>
  </w:footnote>
  <w:footnote w:type="continuationSeparator" w:id="0">
    <w:p w:rsidR="006B64CA" w:rsidRDefault="006B6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48C2"/>
    <w:rsid w:val="000059FA"/>
    <w:rsid w:val="00006186"/>
    <w:rsid w:val="00006F87"/>
    <w:rsid w:val="00007107"/>
    <w:rsid w:val="00010ABA"/>
    <w:rsid w:val="00010B0F"/>
    <w:rsid w:val="00012428"/>
    <w:rsid w:val="00012733"/>
    <w:rsid w:val="00013417"/>
    <w:rsid w:val="000145C2"/>
    <w:rsid w:val="0001473F"/>
    <w:rsid w:val="00014A9E"/>
    <w:rsid w:val="00021361"/>
    <w:rsid w:val="00022133"/>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C3C"/>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9B1"/>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795"/>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B8A"/>
    <w:rsid w:val="00105C07"/>
    <w:rsid w:val="00106AD8"/>
    <w:rsid w:val="00107EC5"/>
    <w:rsid w:val="001103CD"/>
    <w:rsid w:val="00113D2A"/>
    <w:rsid w:val="00114F20"/>
    <w:rsid w:val="0011590B"/>
    <w:rsid w:val="001211AF"/>
    <w:rsid w:val="001219DF"/>
    <w:rsid w:val="0012220B"/>
    <w:rsid w:val="001222C6"/>
    <w:rsid w:val="00122ABE"/>
    <w:rsid w:val="001231DC"/>
    <w:rsid w:val="0012489B"/>
    <w:rsid w:val="001272AE"/>
    <w:rsid w:val="00127412"/>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3C88"/>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2A66"/>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EC4"/>
    <w:rsid w:val="001C5BDA"/>
    <w:rsid w:val="001C5CFC"/>
    <w:rsid w:val="001C7231"/>
    <w:rsid w:val="001C7418"/>
    <w:rsid w:val="001C7EBE"/>
    <w:rsid w:val="001D0051"/>
    <w:rsid w:val="001D169A"/>
    <w:rsid w:val="001D2224"/>
    <w:rsid w:val="001D23E7"/>
    <w:rsid w:val="001D291D"/>
    <w:rsid w:val="001D30C7"/>
    <w:rsid w:val="001D31AA"/>
    <w:rsid w:val="001D3DC0"/>
    <w:rsid w:val="001D46D6"/>
    <w:rsid w:val="001D4F88"/>
    <w:rsid w:val="001D68CF"/>
    <w:rsid w:val="001D6A8C"/>
    <w:rsid w:val="001D6E67"/>
    <w:rsid w:val="001D7A56"/>
    <w:rsid w:val="001D7CB1"/>
    <w:rsid w:val="001E15C0"/>
    <w:rsid w:val="001E18E0"/>
    <w:rsid w:val="001E18E2"/>
    <w:rsid w:val="001E19D0"/>
    <w:rsid w:val="001E2473"/>
    <w:rsid w:val="001E2A30"/>
    <w:rsid w:val="001E2FF1"/>
    <w:rsid w:val="001E41FE"/>
    <w:rsid w:val="001E635C"/>
    <w:rsid w:val="001E6DCF"/>
    <w:rsid w:val="001F0297"/>
    <w:rsid w:val="001F4E02"/>
    <w:rsid w:val="00200AA0"/>
    <w:rsid w:val="00202325"/>
    <w:rsid w:val="00202736"/>
    <w:rsid w:val="00202EFA"/>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602"/>
    <w:rsid w:val="00225080"/>
    <w:rsid w:val="00225196"/>
    <w:rsid w:val="00225CB4"/>
    <w:rsid w:val="00226B1A"/>
    <w:rsid w:val="00227F0B"/>
    <w:rsid w:val="00230079"/>
    <w:rsid w:val="0023049F"/>
    <w:rsid w:val="00230C4A"/>
    <w:rsid w:val="002310C3"/>
    <w:rsid w:val="002316F6"/>
    <w:rsid w:val="00232C9B"/>
    <w:rsid w:val="00232E73"/>
    <w:rsid w:val="00232F09"/>
    <w:rsid w:val="002335D5"/>
    <w:rsid w:val="002338CA"/>
    <w:rsid w:val="00233AC4"/>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283"/>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1E06"/>
    <w:rsid w:val="002722F2"/>
    <w:rsid w:val="00274549"/>
    <w:rsid w:val="00274E46"/>
    <w:rsid w:val="002752AE"/>
    <w:rsid w:val="002769AF"/>
    <w:rsid w:val="00276C86"/>
    <w:rsid w:val="00276FD0"/>
    <w:rsid w:val="00277217"/>
    <w:rsid w:val="00277F7F"/>
    <w:rsid w:val="002810A4"/>
    <w:rsid w:val="00282DB6"/>
    <w:rsid w:val="00284A26"/>
    <w:rsid w:val="00285095"/>
    <w:rsid w:val="00287006"/>
    <w:rsid w:val="00292397"/>
    <w:rsid w:val="00292AB2"/>
    <w:rsid w:val="00293DB6"/>
    <w:rsid w:val="00293FE8"/>
    <w:rsid w:val="00294437"/>
    <w:rsid w:val="00297A45"/>
    <w:rsid w:val="00297E20"/>
    <w:rsid w:val="002A1CCE"/>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53F"/>
    <w:rsid w:val="002E1877"/>
    <w:rsid w:val="002E1C31"/>
    <w:rsid w:val="002E2E0F"/>
    <w:rsid w:val="002E333A"/>
    <w:rsid w:val="002E3474"/>
    <w:rsid w:val="002E3A00"/>
    <w:rsid w:val="002E400C"/>
    <w:rsid w:val="002E49C3"/>
    <w:rsid w:val="002E5114"/>
    <w:rsid w:val="002E5988"/>
    <w:rsid w:val="002E65E6"/>
    <w:rsid w:val="002E7072"/>
    <w:rsid w:val="002E7570"/>
    <w:rsid w:val="002E764B"/>
    <w:rsid w:val="002F0D6A"/>
    <w:rsid w:val="002F0E28"/>
    <w:rsid w:val="002F25F5"/>
    <w:rsid w:val="002F287E"/>
    <w:rsid w:val="002F2981"/>
    <w:rsid w:val="002F2D63"/>
    <w:rsid w:val="002F6AD8"/>
    <w:rsid w:val="002F7F81"/>
    <w:rsid w:val="00300A36"/>
    <w:rsid w:val="00301B45"/>
    <w:rsid w:val="00304C8F"/>
    <w:rsid w:val="0030543E"/>
    <w:rsid w:val="00305856"/>
    <w:rsid w:val="0030678B"/>
    <w:rsid w:val="00306D16"/>
    <w:rsid w:val="00307595"/>
    <w:rsid w:val="00310CD7"/>
    <w:rsid w:val="00313D7A"/>
    <w:rsid w:val="0031549C"/>
    <w:rsid w:val="0032136A"/>
    <w:rsid w:val="00323A90"/>
    <w:rsid w:val="00323E70"/>
    <w:rsid w:val="00324BBA"/>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3AC"/>
    <w:rsid w:val="00341A54"/>
    <w:rsid w:val="00344A4F"/>
    <w:rsid w:val="00344D17"/>
    <w:rsid w:val="0034669F"/>
    <w:rsid w:val="00347907"/>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2A25"/>
    <w:rsid w:val="00393651"/>
    <w:rsid w:val="00394926"/>
    <w:rsid w:val="00394FF9"/>
    <w:rsid w:val="00395651"/>
    <w:rsid w:val="00395E12"/>
    <w:rsid w:val="003962A8"/>
    <w:rsid w:val="00396779"/>
    <w:rsid w:val="003967E0"/>
    <w:rsid w:val="00397DB7"/>
    <w:rsid w:val="003A27B2"/>
    <w:rsid w:val="003A40B4"/>
    <w:rsid w:val="003A41BA"/>
    <w:rsid w:val="003A5491"/>
    <w:rsid w:val="003A5958"/>
    <w:rsid w:val="003A6A99"/>
    <w:rsid w:val="003A6E60"/>
    <w:rsid w:val="003A7FF8"/>
    <w:rsid w:val="003B17AC"/>
    <w:rsid w:val="003B227A"/>
    <w:rsid w:val="003B2947"/>
    <w:rsid w:val="003B34DE"/>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5FB"/>
    <w:rsid w:val="003E061D"/>
    <w:rsid w:val="003E0B5A"/>
    <w:rsid w:val="003E1682"/>
    <w:rsid w:val="003E1989"/>
    <w:rsid w:val="003E31E3"/>
    <w:rsid w:val="003E3E93"/>
    <w:rsid w:val="003E46D1"/>
    <w:rsid w:val="003E6214"/>
    <w:rsid w:val="003F070E"/>
    <w:rsid w:val="003F1206"/>
    <w:rsid w:val="003F2479"/>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20A1D"/>
    <w:rsid w:val="00421485"/>
    <w:rsid w:val="004216DA"/>
    <w:rsid w:val="004216E3"/>
    <w:rsid w:val="00422B75"/>
    <w:rsid w:val="00423148"/>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1784"/>
    <w:rsid w:val="0049255F"/>
    <w:rsid w:val="0049445D"/>
    <w:rsid w:val="00495350"/>
    <w:rsid w:val="00495E3C"/>
    <w:rsid w:val="00497156"/>
    <w:rsid w:val="004A0C79"/>
    <w:rsid w:val="004A1FFB"/>
    <w:rsid w:val="004A24D2"/>
    <w:rsid w:val="004A3214"/>
    <w:rsid w:val="004A4136"/>
    <w:rsid w:val="004A417B"/>
    <w:rsid w:val="004A4378"/>
    <w:rsid w:val="004A712D"/>
    <w:rsid w:val="004A754B"/>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291"/>
    <w:rsid w:val="004D10D4"/>
    <w:rsid w:val="004D16BD"/>
    <w:rsid w:val="004D2AAB"/>
    <w:rsid w:val="004D6CFE"/>
    <w:rsid w:val="004D6E90"/>
    <w:rsid w:val="004D6F2B"/>
    <w:rsid w:val="004E0248"/>
    <w:rsid w:val="004E21A3"/>
    <w:rsid w:val="004E32EA"/>
    <w:rsid w:val="004E3754"/>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06D7E"/>
    <w:rsid w:val="00510588"/>
    <w:rsid w:val="00510F9C"/>
    <w:rsid w:val="0051146C"/>
    <w:rsid w:val="0051220B"/>
    <w:rsid w:val="00512253"/>
    <w:rsid w:val="00512484"/>
    <w:rsid w:val="00514449"/>
    <w:rsid w:val="00515419"/>
    <w:rsid w:val="005157BD"/>
    <w:rsid w:val="005214A3"/>
    <w:rsid w:val="005222E7"/>
    <w:rsid w:val="0052335E"/>
    <w:rsid w:val="00523A8B"/>
    <w:rsid w:val="00523E04"/>
    <w:rsid w:val="00525003"/>
    <w:rsid w:val="0052590B"/>
    <w:rsid w:val="00526591"/>
    <w:rsid w:val="00527178"/>
    <w:rsid w:val="005278CB"/>
    <w:rsid w:val="00534D42"/>
    <w:rsid w:val="005350A5"/>
    <w:rsid w:val="00536379"/>
    <w:rsid w:val="00537238"/>
    <w:rsid w:val="005400C5"/>
    <w:rsid w:val="0054011F"/>
    <w:rsid w:val="005404CD"/>
    <w:rsid w:val="00540BE0"/>
    <w:rsid w:val="00540BEF"/>
    <w:rsid w:val="00542C9A"/>
    <w:rsid w:val="005436C2"/>
    <w:rsid w:val="005442D4"/>
    <w:rsid w:val="00545408"/>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0B76"/>
    <w:rsid w:val="00583379"/>
    <w:rsid w:val="0058417C"/>
    <w:rsid w:val="0058672E"/>
    <w:rsid w:val="00586EC6"/>
    <w:rsid w:val="00587DDE"/>
    <w:rsid w:val="00591815"/>
    <w:rsid w:val="00593043"/>
    <w:rsid w:val="00595B60"/>
    <w:rsid w:val="00595BF0"/>
    <w:rsid w:val="00597E16"/>
    <w:rsid w:val="005A0B1D"/>
    <w:rsid w:val="005A1846"/>
    <w:rsid w:val="005A258C"/>
    <w:rsid w:val="005A3560"/>
    <w:rsid w:val="005A35A7"/>
    <w:rsid w:val="005A464E"/>
    <w:rsid w:val="005A62FC"/>
    <w:rsid w:val="005A6C99"/>
    <w:rsid w:val="005A7D5D"/>
    <w:rsid w:val="005B0040"/>
    <w:rsid w:val="005B011A"/>
    <w:rsid w:val="005B0283"/>
    <w:rsid w:val="005B1ADA"/>
    <w:rsid w:val="005B1D8F"/>
    <w:rsid w:val="005B1E94"/>
    <w:rsid w:val="005B2EBB"/>
    <w:rsid w:val="005B5B3D"/>
    <w:rsid w:val="005B64CF"/>
    <w:rsid w:val="005C0E87"/>
    <w:rsid w:val="005C16F3"/>
    <w:rsid w:val="005C3758"/>
    <w:rsid w:val="005C4D72"/>
    <w:rsid w:val="005C50C1"/>
    <w:rsid w:val="005C62C2"/>
    <w:rsid w:val="005D2306"/>
    <w:rsid w:val="005D4A74"/>
    <w:rsid w:val="005D5E91"/>
    <w:rsid w:val="005D67EF"/>
    <w:rsid w:val="005E3064"/>
    <w:rsid w:val="005E66E8"/>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27719"/>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258"/>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5A8B"/>
    <w:rsid w:val="006770AA"/>
    <w:rsid w:val="00680F28"/>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634C"/>
    <w:rsid w:val="006A75FA"/>
    <w:rsid w:val="006B07D5"/>
    <w:rsid w:val="006B1309"/>
    <w:rsid w:val="006B31E6"/>
    <w:rsid w:val="006B3923"/>
    <w:rsid w:val="006B3F3E"/>
    <w:rsid w:val="006B4743"/>
    <w:rsid w:val="006B4AA2"/>
    <w:rsid w:val="006B53C4"/>
    <w:rsid w:val="006B54DC"/>
    <w:rsid w:val="006B586B"/>
    <w:rsid w:val="006B5923"/>
    <w:rsid w:val="006B64CA"/>
    <w:rsid w:val="006B67D9"/>
    <w:rsid w:val="006B6C14"/>
    <w:rsid w:val="006B715E"/>
    <w:rsid w:val="006C1D6E"/>
    <w:rsid w:val="006C2EF6"/>
    <w:rsid w:val="006C3A68"/>
    <w:rsid w:val="006C3B08"/>
    <w:rsid w:val="006C4B9D"/>
    <w:rsid w:val="006C6AB1"/>
    <w:rsid w:val="006C6E6B"/>
    <w:rsid w:val="006C72C0"/>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11A"/>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4B5"/>
    <w:rsid w:val="007165CE"/>
    <w:rsid w:val="007176D3"/>
    <w:rsid w:val="00717CEB"/>
    <w:rsid w:val="0072035D"/>
    <w:rsid w:val="00720968"/>
    <w:rsid w:val="00721575"/>
    <w:rsid w:val="00721705"/>
    <w:rsid w:val="00721B7A"/>
    <w:rsid w:val="00721D12"/>
    <w:rsid w:val="00721F8B"/>
    <w:rsid w:val="00722D2F"/>
    <w:rsid w:val="007237CE"/>
    <w:rsid w:val="00724688"/>
    <w:rsid w:val="007272F1"/>
    <w:rsid w:val="0073062D"/>
    <w:rsid w:val="0073093B"/>
    <w:rsid w:val="0073254D"/>
    <w:rsid w:val="00732D5E"/>
    <w:rsid w:val="007340F3"/>
    <w:rsid w:val="00735704"/>
    <w:rsid w:val="007359C9"/>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2CD"/>
    <w:rsid w:val="00763CAE"/>
    <w:rsid w:val="00763F95"/>
    <w:rsid w:val="007651ED"/>
    <w:rsid w:val="00766C87"/>
    <w:rsid w:val="007678A6"/>
    <w:rsid w:val="00771043"/>
    <w:rsid w:val="0077385F"/>
    <w:rsid w:val="00773AF7"/>
    <w:rsid w:val="00774FFD"/>
    <w:rsid w:val="00777579"/>
    <w:rsid w:val="00780378"/>
    <w:rsid w:val="0078085E"/>
    <w:rsid w:val="00781BD4"/>
    <w:rsid w:val="00782562"/>
    <w:rsid w:val="007828B4"/>
    <w:rsid w:val="00784832"/>
    <w:rsid w:val="00784EA0"/>
    <w:rsid w:val="00785D77"/>
    <w:rsid w:val="00786111"/>
    <w:rsid w:val="00790963"/>
    <w:rsid w:val="0079154B"/>
    <w:rsid w:val="00791B62"/>
    <w:rsid w:val="00791F1E"/>
    <w:rsid w:val="007927BE"/>
    <w:rsid w:val="007935B8"/>
    <w:rsid w:val="007947E5"/>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193"/>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41E0"/>
    <w:rsid w:val="00827B29"/>
    <w:rsid w:val="00827DB6"/>
    <w:rsid w:val="008304B2"/>
    <w:rsid w:val="00830999"/>
    <w:rsid w:val="00830D5E"/>
    <w:rsid w:val="00830F69"/>
    <w:rsid w:val="008313BE"/>
    <w:rsid w:val="008324D9"/>
    <w:rsid w:val="00833418"/>
    <w:rsid w:val="0083387F"/>
    <w:rsid w:val="00834458"/>
    <w:rsid w:val="00834AEA"/>
    <w:rsid w:val="00835129"/>
    <w:rsid w:val="00835841"/>
    <w:rsid w:val="00835BF8"/>
    <w:rsid w:val="00835FB7"/>
    <w:rsid w:val="00837465"/>
    <w:rsid w:val="0084002E"/>
    <w:rsid w:val="00840159"/>
    <w:rsid w:val="008404AB"/>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1FF9"/>
    <w:rsid w:val="008B27FD"/>
    <w:rsid w:val="008B2FDB"/>
    <w:rsid w:val="008B3AF2"/>
    <w:rsid w:val="008B446D"/>
    <w:rsid w:val="008B515D"/>
    <w:rsid w:val="008B5D31"/>
    <w:rsid w:val="008B6705"/>
    <w:rsid w:val="008C22F3"/>
    <w:rsid w:val="008C3FD0"/>
    <w:rsid w:val="008C4F01"/>
    <w:rsid w:val="008D1484"/>
    <w:rsid w:val="008D29E7"/>
    <w:rsid w:val="008D3C07"/>
    <w:rsid w:val="008D5104"/>
    <w:rsid w:val="008D75F4"/>
    <w:rsid w:val="008D795D"/>
    <w:rsid w:val="008D7B07"/>
    <w:rsid w:val="008E0D8F"/>
    <w:rsid w:val="008E0F4E"/>
    <w:rsid w:val="008E1E94"/>
    <w:rsid w:val="008E2D99"/>
    <w:rsid w:val="008E30D4"/>
    <w:rsid w:val="008E38B0"/>
    <w:rsid w:val="008E4A60"/>
    <w:rsid w:val="008E744D"/>
    <w:rsid w:val="008F1E08"/>
    <w:rsid w:val="008F36E1"/>
    <w:rsid w:val="008F49DC"/>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0FA4"/>
    <w:rsid w:val="0095340A"/>
    <w:rsid w:val="00953AF6"/>
    <w:rsid w:val="0095423E"/>
    <w:rsid w:val="00954581"/>
    <w:rsid w:val="0095466C"/>
    <w:rsid w:val="00954E5B"/>
    <w:rsid w:val="00955316"/>
    <w:rsid w:val="00955CBC"/>
    <w:rsid w:val="00955E45"/>
    <w:rsid w:val="009576BC"/>
    <w:rsid w:val="00957899"/>
    <w:rsid w:val="00960357"/>
    <w:rsid w:val="0096168C"/>
    <w:rsid w:val="00961840"/>
    <w:rsid w:val="009625E3"/>
    <w:rsid w:val="00962F2D"/>
    <w:rsid w:val="00963A7A"/>
    <w:rsid w:val="009672CD"/>
    <w:rsid w:val="0097118B"/>
    <w:rsid w:val="00972996"/>
    <w:rsid w:val="00972B7E"/>
    <w:rsid w:val="009732B8"/>
    <w:rsid w:val="00974647"/>
    <w:rsid w:val="0097514A"/>
    <w:rsid w:val="009759C2"/>
    <w:rsid w:val="00975C72"/>
    <w:rsid w:val="00976869"/>
    <w:rsid w:val="00977740"/>
    <w:rsid w:val="00977CB4"/>
    <w:rsid w:val="009809B8"/>
    <w:rsid w:val="00981086"/>
    <w:rsid w:val="009818AF"/>
    <w:rsid w:val="00981B1C"/>
    <w:rsid w:val="009821BB"/>
    <w:rsid w:val="0098222D"/>
    <w:rsid w:val="00985099"/>
    <w:rsid w:val="00985D32"/>
    <w:rsid w:val="00986199"/>
    <w:rsid w:val="00986514"/>
    <w:rsid w:val="00986D2A"/>
    <w:rsid w:val="00986FCC"/>
    <w:rsid w:val="00991061"/>
    <w:rsid w:val="009935C3"/>
    <w:rsid w:val="0099421F"/>
    <w:rsid w:val="00994FC8"/>
    <w:rsid w:val="009A0DE3"/>
    <w:rsid w:val="009A1643"/>
    <w:rsid w:val="009A215A"/>
    <w:rsid w:val="009A49D3"/>
    <w:rsid w:val="009A4F1B"/>
    <w:rsid w:val="009A653F"/>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2E6A"/>
    <w:rsid w:val="009C3F82"/>
    <w:rsid w:val="009C448F"/>
    <w:rsid w:val="009C4D85"/>
    <w:rsid w:val="009C582A"/>
    <w:rsid w:val="009C5C56"/>
    <w:rsid w:val="009C72DD"/>
    <w:rsid w:val="009C78FD"/>
    <w:rsid w:val="009C7DF5"/>
    <w:rsid w:val="009D056C"/>
    <w:rsid w:val="009D060F"/>
    <w:rsid w:val="009D1ADE"/>
    <w:rsid w:val="009D3652"/>
    <w:rsid w:val="009D37CA"/>
    <w:rsid w:val="009D4229"/>
    <w:rsid w:val="009D4268"/>
    <w:rsid w:val="009D60A2"/>
    <w:rsid w:val="009E09D0"/>
    <w:rsid w:val="009E1283"/>
    <w:rsid w:val="009E3A7F"/>
    <w:rsid w:val="009E4C9B"/>
    <w:rsid w:val="009E4DFC"/>
    <w:rsid w:val="009E5789"/>
    <w:rsid w:val="009E57B1"/>
    <w:rsid w:val="009E6379"/>
    <w:rsid w:val="009F020F"/>
    <w:rsid w:val="009F2DA9"/>
    <w:rsid w:val="009F3B63"/>
    <w:rsid w:val="009F43E2"/>
    <w:rsid w:val="009F6292"/>
    <w:rsid w:val="009F7809"/>
    <w:rsid w:val="009F7AF5"/>
    <w:rsid w:val="00A006F1"/>
    <w:rsid w:val="00A007A7"/>
    <w:rsid w:val="00A00D14"/>
    <w:rsid w:val="00A01408"/>
    <w:rsid w:val="00A02457"/>
    <w:rsid w:val="00A03190"/>
    <w:rsid w:val="00A0404B"/>
    <w:rsid w:val="00A053C3"/>
    <w:rsid w:val="00A06F66"/>
    <w:rsid w:val="00A0798C"/>
    <w:rsid w:val="00A07BDD"/>
    <w:rsid w:val="00A07F12"/>
    <w:rsid w:val="00A1019E"/>
    <w:rsid w:val="00A1105B"/>
    <w:rsid w:val="00A1213C"/>
    <w:rsid w:val="00A130E8"/>
    <w:rsid w:val="00A15B6B"/>
    <w:rsid w:val="00A15EB4"/>
    <w:rsid w:val="00A1608A"/>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51AD"/>
    <w:rsid w:val="00A47CF1"/>
    <w:rsid w:val="00A50418"/>
    <w:rsid w:val="00A54A47"/>
    <w:rsid w:val="00A56D26"/>
    <w:rsid w:val="00A571A7"/>
    <w:rsid w:val="00A5749A"/>
    <w:rsid w:val="00A57BA8"/>
    <w:rsid w:val="00A608FB"/>
    <w:rsid w:val="00A60D83"/>
    <w:rsid w:val="00A60F68"/>
    <w:rsid w:val="00A63DF3"/>
    <w:rsid w:val="00A65616"/>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9791C"/>
    <w:rsid w:val="00AA04B3"/>
    <w:rsid w:val="00AA0BBA"/>
    <w:rsid w:val="00AA1253"/>
    <w:rsid w:val="00AA1ED0"/>
    <w:rsid w:val="00AA1F5B"/>
    <w:rsid w:val="00AA28EF"/>
    <w:rsid w:val="00AA3593"/>
    <w:rsid w:val="00AA38CA"/>
    <w:rsid w:val="00AA493E"/>
    <w:rsid w:val="00AA73AF"/>
    <w:rsid w:val="00AB0A8A"/>
    <w:rsid w:val="00AB1754"/>
    <w:rsid w:val="00AB1F8D"/>
    <w:rsid w:val="00AB22B5"/>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3ABF"/>
    <w:rsid w:val="00AE4624"/>
    <w:rsid w:val="00AE4AF7"/>
    <w:rsid w:val="00AE4B3E"/>
    <w:rsid w:val="00AE5E14"/>
    <w:rsid w:val="00AE6115"/>
    <w:rsid w:val="00AE625B"/>
    <w:rsid w:val="00AF01B2"/>
    <w:rsid w:val="00AF0FB6"/>
    <w:rsid w:val="00AF1103"/>
    <w:rsid w:val="00AF1668"/>
    <w:rsid w:val="00AF28DE"/>
    <w:rsid w:val="00AF4FA5"/>
    <w:rsid w:val="00AF6ECC"/>
    <w:rsid w:val="00B022DC"/>
    <w:rsid w:val="00B0294C"/>
    <w:rsid w:val="00B04562"/>
    <w:rsid w:val="00B0472F"/>
    <w:rsid w:val="00B06930"/>
    <w:rsid w:val="00B0773A"/>
    <w:rsid w:val="00B07955"/>
    <w:rsid w:val="00B1147C"/>
    <w:rsid w:val="00B1176B"/>
    <w:rsid w:val="00B140B8"/>
    <w:rsid w:val="00B14FAA"/>
    <w:rsid w:val="00B15BED"/>
    <w:rsid w:val="00B15D30"/>
    <w:rsid w:val="00B16D18"/>
    <w:rsid w:val="00B177DE"/>
    <w:rsid w:val="00B17FB4"/>
    <w:rsid w:val="00B20624"/>
    <w:rsid w:val="00B22D65"/>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551B"/>
    <w:rsid w:val="00B36569"/>
    <w:rsid w:val="00B37345"/>
    <w:rsid w:val="00B37F53"/>
    <w:rsid w:val="00B40A05"/>
    <w:rsid w:val="00B40A3E"/>
    <w:rsid w:val="00B427BB"/>
    <w:rsid w:val="00B43BA2"/>
    <w:rsid w:val="00B449EE"/>
    <w:rsid w:val="00B45172"/>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5B7"/>
    <w:rsid w:val="00BC09D1"/>
    <w:rsid w:val="00BC1CF3"/>
    <w:rsid w:val="00BC2BE0"/>
    <w:rsid w:val="00BC3573"/>
    <w:rsid w:val="00BC7F82"/>
    <w:rsid w:val="00BD2A49"/>
    <w:rsid w:val="00BD3683"/>
    <w:rsid w:val="00BD40AB"/>
    <w:rsid w:val="00BD6297"/>
    <w:rsid w:val="00BD6806"/>
    <w:rsid w:val="00BD7433"/>
    <w:rsid w:val="00BD7831"/>
    <w:rsid w:val="00BD7C10"/>
    <w:rsid w:val="00BE045B"/>
    <w:rsid w:val="00BE046F"/>
    <w:rsid w:val="00BE0DEB"/>
    <w:rsid w:val="00BE2AB8"/>
    <w:rsid w:val="00BE2FC1"/>
    <w:rsid w:val="00BE3142"/>
    <w:rsid w:val="00BE4039"/>
    <w:rsid w:val="00BE6365"/>
    <w:rsid w:val="00BF01B7"/>
    <w:rsid w:val="00BF0B7F"/>
    <w:rsid w:val="00BF2988"/>
    <w:rsid w:val="00BF4720"/>
    <w:rsid w:val="00BF4F49"/>
    <w:rsid w:val="00BF6759"/>
    <w:rsid w:val="00BF6D65"/>
    <w:rsid w:val="00BF70A6"/>
    <w:rsid w:val="00BF7B4F"/>
    <w:rsid w:val="00BF7B63"/>
    <w:rsid w:val="00C0359D"/>
    <w:rsid w:val="00C038EC"/>
    <w:rsid w:val="00C05C6D"/>
    <w:rsid w:val="00C072D7"/>
    <w:rsid w:val="00C104DB"/>
    <w:rsid w:val="00C10F5B"/>
    <w:rsid w:val="00C1122B"/>
    <w:rsid w:val="00C120E1"/>
    <w:rsid w:val="00C127F2"/>
    <w:rsid w:val="00C13B34"/>
    <w:rsid w:val="00C13F26"/>
    <w:rsid w:val="00C1474E"/>
    <w:rsid w:val="00C14C37"/>
    <w:rsid w:val="00C157AA"/>
    <w:rsid w:val="00C162E1"/>
    <w:rsid w:val="00C16BE4"/>
    <w:rsid w:val="00C16E9F"/>
    <w:rsid w:val="00C1713D"/>
    <w:rsid w:val="00C17523"/>
    <w:rsid w:val="00C177F1"/>
    <w:rsid w:val="00C17E4A"/>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337D"/>
    <w:rsid w:val="00C34168"/>
    <w:rsid w:val="00C34326"/>
    <w:rsid w:val="00C34CEB"/>
    <w:rsid w:val="00C36201"/>
    <w:rsid w:val="00C368E8"/>
    <w:rsid w:val="00C36C3D"/>
    <w:rsid w:val="00C372C7"/>
    <w:rsid w:val="00C40BD5"/>
    <w:rsid w:val="00C42443"/>
    <w:rsid w:val="00C42CBA"/>
    <w:rsid w:val="00C4338C"/>
    <w:rsid w:val="00C43C2B"/>
    <w:rsid w:val="00C45B27"/>
    <w:rsid w:val="00C47271"/>
    <w:rsid w:val="00C472C7"/>
    <w:rsid w:val="00C5019E"/>
    <w:rsid w:val="00C51962"/>
    <w:rsid w:val="00C5377C"/>
    <w:rsid w:val="00C53E8A"/>
    <w:rsid w:val="00C54DF3"/>
    <w:rsid w:val="00C560A7"/>
    <w:rsid w:val="00C56FC8"/>
    <w:rsid w:val="00C60F23"/>
    <w:rsid w:val="00C6170B"/>
    <w:rsid w:val="00C62EB2"/>
    <w:rsid w:val="00C64C87"/>
    <w:rsid w:val="00C665FE"/>
    <w:rsid w:val="00C70EE8"/>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5C7"/>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5FD"/>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5C44"/>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179"/>
    <w:rsid w:val="00D73D53"/>
    <w:rsid w:val="00D7408A"/>
    <w:rsid w:val="00D74261"/>
    <w:rsid w:val="00D742DE"/>
    <w:rsid w:val="00D7441B"/>
    <w:rsid w:val="00D75589"/>
    <w:rsid w:val="00D76AB2"/>
    <w:rsid w:val="00D77315"/>
    <w:rsid w:val="00D8031F"/>
    <w:rsid w:val="00D80490"/>
    <w:rsid w:val="00D82149"/>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48AB"/>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C6122"/>
    <w:rsid w:val="00DC630A"/>
    <w:rsid w:val="00DD286D"/>
    <w:rsid w:val="00DD2CAF"/>
    <w:rsid w:val="00DD3593"/>
    <w:rsid w:val="00DD64E0"/>
    <w:rsid w:val="00DD7BE0"/>
    <w:rsid w:val="00DE0C67"/>
    <w:rsid w:val="00DE3AAD"/>
    <w:rsid w:val="00DE598A"/>
    <w:rsid w:val="00DE6952"/>
    <w:rsid w:val="00DE7E74"/>
    <w:rsid w:val="00DF071B"/>
    <w:rsid w:val="00DF3FD2"/>
    <w:rsid w:val="00DF5C84"/>
    <w:rsid w:val="00DF6813"/>
    <w:rsid w:val="00DF6EF8"/>
    <w:rsid w:val="00E00A69"/>
    <w:rsid w:val="00E017BC"/>
    <w:rsid w:val="00E017F0"/>
    <w:rsid w:val="00E01A0E"/>
    <w:rsid w:val="00E0346A"/>
    <w:rsid w:val="00E041E4"/>
    <w:rsid w:val="00E04AEE"/>
    <w:rsid w:val="00E0616D"/>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84B"/>
    <w:rsid w:val="00E57ED4"/>
    <w:rsid w:val="00E57FED"/>
    <w:rsid w:val="00E6092F"/>
    <w:rsid w:val="00E60BD0"/>
    <w:rsid w:val="00E62049"/>
    <w:rsid w:val="00E629DA"/>
    <w:rsid w:val="00E63517"/>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1E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E7FF8"/>
    <w:rsid w:val="00EF2E75"/>
    <w:rsid w:val="00EF4C74"/>
    <w:rsid w:val="00EF5268"/>
    <w:rsid w:val="00EF608E"/>
    <w:rsid w:val="00EF6C4A"/>
    <w:rsid w:val="00F0044B"/>
    <w:rsid w:val="00F03231"/>
    <w:rsid w:val="00F03525"/>
    <w:rsid w:val="00F0424D"/>
    <w:rsid w:val="00F04957"/>
    <w:rsid w:val="00F04997"/>
    <w:rsid w:val="00F04D25"/>
    <w:rsid w:val="00F05807"/>
    <w:rsid w:val="00F06451"/>
    <w:rsid w:val="00F07052"/>
    <w:rsid w:val="00F0706C"/>
    <w:rsid w:val="00F11EBE"/>
    <w:rsid w:val="00F12293"/>
    <w:rsid w:val="00F12BA8"/>
    <w:rsid w:val="00F130D0"/>
    <w:rsid w:val="00F134E7"/>
    <w:rsid w:val="00F14933"/>
    <w:rsid w:val="00F1512E"/>
    <w:rsid w:val="00F1516A"/>
    <w:rsid w:val="00F15EE5"/>
    <w:rsid w:val="00F171F9"/>
    <w:rsid w:val="00F1737C"/>
    <w:rsid w:val="00F22A26"/>
    <w:rsid w:val="00F24072"/>
    <w:rsid w:val="00F26432"/>
    <w:rsid w:val="00F3197A"/>
    <w:rsid w:val="00F32139"/>
    <w:rsid w:val="00F32504"/>
    <w:rsid w:val="00F33D56"/>
    <w:rsid w:val="00F34E08"/>
    <w:rsid w:val="00F37102"/>
    <w:rsid w:val="00F41D91"/>
    <w:rsid w:val="00F41F52"/>
    <w:rsid w:val="00F42363"/>
    <w:rsid w:val="00F427C4"/>
    <w:rsid w:val="00F43D6C"/>
    <w:rsid w:val="00F465D6"/>
    <w:rsid w:val="00F46964"/>
    <w:rsid w:val="00F46F9A"/>
    <w:rsid w:val="00F470FD"/>
    <w:rsid w:val="00F50F30"/>
    <w:rsid w:val="00F5126A"/>
    <w:rsid w:val="00F5126E"/>
    <w:rsid w:val="00F516EF"/>
    <w:rsid w:val="00F51755"/>
    <w:rsid w:val="00F5580D"/>
    <w:rsid w:val="00F56EA1"/>
    <w:rsid w:val="00F606D5"/>
    <w:rsid w:val="00F611B3"/>
    <w:rsid w:val="00F61361"/>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1DB1"/>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54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796"/>
    <w:rsid w:val="00FC78FB"/>
    <w:rsid w:val="00FC7DBC"/>
    <w:rsid w:val="00FD076A"/>
    <w:rsid w:val="00FD0AA0"/>
    <w:rsid w:val="00FD1D5A"/>
    <w:rsid w:val="00FD5059"/>
    <w:rsid w:val="00FD554D"/>
    <w:rsid w:val="00FD5BCC"/>
    <w:rsid w:val="00FD6C41"/>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rsid w:val="00202EFA"/>
    <w:rPr>
      <w:rFonts w:cs="Times New Roman"/>
      <w:color w:val="008080"/>
      <w:sz w:val="24"/>
    </w:rPr>
  </w:style>
  <w:style w:type="paragraph" w:styleId="BodyText">
    <w:name w:val="Body Text"/>
    <w:basedOn w:val="Normal"/>
    <w:link w:val="BodyTextChar"/>
    <w:uiPriority w:val="99"/>
    <w:rsid w:val="005436C2"/>
    <w:pPr>
      <w:tabs>
        <w:tab w:val="left" w:pos="720"/>
      </w:tabs>
      <w:spacing w:line="240" w:lineRule="exact"/>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202EFA"/>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uiPriority w:val="99"/>
    <w:semiHidden/>
    <w:rsid w:val="00202EFA"/>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28560202">
      <w:bodyDiv w:val="1"/>
      <w:marLeft w:val="0"/>
      <w:marRight w:val="0"/>
      <w:marTop w:val="0"/>
      <w:marBottom w:val="0"/>
      <w:divBdr>
        <w:top w:val="none" w:sz="0" w:space="0" w:color="auto"/>
        <w:left w:val="none" w:sz="0" w:space="0" w:color="auto"/>
        <w:bottom w:val="none" w:sz="0" w:space="0" w:color="auto"/>
        <w:right w:val="none" w:sz="0" w:space="0" w:color="auto"/>
      </w:divBdr>
    </w:div>
    <w:div w:id="18436600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dcterms:created xsi:type="dcterms:W3CDTF">2012-02-03T14:07:00Z</dcterms:created>
  <dcterms:modified xsi:type="dcterms:W3CDTF">2012-03-19T22:11:00Z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