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0E6AD3">
      <w:pPr>
        <w:tabs>
          <w:tab w:val="right" w:pos="9270"/>
        </w:tabs>
        <w:jc w:val="both"/>
        <w:rPr>
          <w:caps/>
          <w:color w:val="000000" w:themeColor="text1"/>
        </w:rPr>
      </w:pPr>
      <w:r w:rsidRPr="006B5DC1">
        <w:rPr>
          <w:caps/>
          <w:color w:val="000000" w:themeColor="text1"/>
        </w:rPr>
        <w:t xml:space="preserve">NAME:  </w:t>
      </w:r>
      <w:r w:rsidR="00DD09E8">
        <w:rPr>
          <w:caps/>
          <w:color w:val="000000" w:themeColor="text1"/>
        </w:rPr>
        <w:t>XXXXXXXXXX</w:t>
      </w:r>
      <w:r w:rsidR="004216DA" w:rsidRPr="006B5DC1">
        <w:rPr>
          <w:caps/>
          <w:color w:val="000000" w:themeColor="text1"/>
        </w:rPr>
        <w:t xml:space="preserve">             </w:t>
      </w:r>
      <w:r w:rsidR="00332DE3" w:rsidRPr="006B5DC1">
        <w:rPr>
          <w:caps/>
          <w:color w:val="000000" w:themeColor="text1"/>
        </w:rPr>
        <w:t xml:space="preserve"> </w:t>
      </w:r>
      <w:r w:rsidR="004216DA" w:rsidRPr="006B5DC1">
        <w:rPr>
          <w:caps/>
          <w:color w:val="000000" w:themeColor="text1"/>
        </w:rPr>
        <w:t xml:space="preserve">  </w:t>
      </w:r>
      <w:r w:rsidR="003C53E8" w:rsidRPr="006B5DC1">
        <w:rPr>
          <w:caps/>
          <w:color w:val="000000" w:themeColor="text1"/>
        </w:rPr>
        <w:tab/>
      </w:r>
      <w:r w:rsidRPr="006B5DC1">
        <w:rPr>
          <w:caps/>
          <w:color w:val="000000" w:themeColor="text1"/>
        </w:rPr>
        <w:t xml:space="preserve">BRANCH OF SERVICE: </w:t>
      </w:r>
      <w:r w:rsidR="004C24C5" w:rsidRPr="006B5DC1">
        <w:rPr>
          <w:caps/>
          <w:color w:val="000000" w:themeColor="text1"/>
        </w:rPr>
        <w:t xml:space="preserve"> </w:t>
      </w:r>
      <w:r w:rsidR="006B5DC1" w:rsidRPr="006B5DC1">
        <w:rPr>
          <w:caps/>
          <w:color w:val="000000" w:themeColor="text1"/>
        </w:rPr>
        <w:t>air force</w:t>
      </w:r>
    </w:p>
    <w:p w:rsidR="00DE3AAD" w:rsidRPr="001F29F9" w:rsidRDefault="00012733" w:rsidP="000E6AD3">
      <w:pPr>
        <w:tabs>
          <w:tab w:val="righ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6B5DC1" w:rsidRPr="006B5DC1">
        <w:rPr>
          <w:caps/>
          <w:color w:val="000000" w:themeColor="text1"/>
        </w:rPr>
        <w:t>PD1100316</w:t>
      </w:r>
      <w:r w:rsidR="006B5DC1">
        <w:rPr>
          <w:color w:val="000000" w:themeColor="text1"/>
        </w:rPr>
        <w:tab/>
      </w:r>
      <w:r w:rsidR="00DE3AAD" w:rsidRPr="001F29F9">
        <w:rPr>
          <w:color w:val="000000" w:themeColor="text1"/>
        </w:rPr>
        <w:t xml:space="preserve">SEPARATION DATE:  </w:t>
      </w:r>
      <w:r w:rsidR="006B5DC1" w:rsidRPr="006B5DC1">
        <w:rPr>
          <w:color w:val="000000" w:themeColor="text1"/>
        </w:rPr>
        <w:t>20060524</w:t>
      </w:r>
    </w:p>
    <w:p w:rsidR="003B2143" w:rsidRPr="001F29F9" w:rsidRDefault="004F3639" w:rsidP="006B5DC1">
      <w:pPr>
        <w:tabs>
          <w:tab w:val="left" w:pos="288"/>
          <w:tab w:val="left" w:pos="5130"/>
        </w:tabs>
        <w:jc w:val="both"/>
        <w:rPr>
          <w:color w:val="000000" w:themeColor="text1"/>
        </w:rPr>
      </w:pPr>
      <w:r w:rsidRPr="001F29F9">
        <w:rPr>
          <w:caps/>
          <w:color w:val="000000" w:themeColor="text1"/>
        </w:rPr>
        <w:t xml:space="preserve">BOARD </w:t>
      </w:r>
      <w:r w:rsidR="009778F5">
        <w:rPr>
          <w:caps/>
          <w:color w:val="000000" w:themeColor="text1"/>
        </w:rPr>
        <w:t>DATE:  2012</w:t>
      </w:r>
      <w:r w:rsidR="00705F8E">
        <w:rPr>
          <w:caps/>
          <w:color w:val="000000" w:themeColor="text1"/>
        </w:rPr>
        <w:t>0124</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6B5DC1" w:rsidRPr="006B5DC1">
        <w:rPr>
          <w:color w:val="000000" w:themeColor="text1"/>
        </w:rPr>
        <w:t>Data extracted from the available evidence of record reflects that this covered indivi</w:t>
      </w:r>
      <w:r w:rsidR="000E6AD3">
        <w:rPr>
          <w:color w:val="000000" w:themeColor="text1"/>
        </w:rPr>
        <w:t xml:space="preserve">dual (CI) was a Reserve </w:t>
      </w:r>
      <w:r w:rsidR="006B5DC1" w:rsidRPr="006B5DC1">
        <w:rPr>
          <w:color w:val="000000" w:themeColor="text1"/>
        </w:rPr>
        <w:t>TSG/E-6 (2T271</w:t>
      </w:r>
      <w:r w:rsidR="006B5DC1">
        <w:rPr>
          <w:color w:val="000000" w:themeColor="text1"/>
        </w:rPr>
        <w:t>,</w:t>
      </w:r>
      <w:r w:rsidR="006B5DC1" w:rsidRPr="006B5DC1">
        <w:rPr>
          <w:color w:val="000000" w:themeColor="text1"/>
        </w:rPr>
        <w:t xml:space="preserve"> Air Transportation Craftsman), medically separated for </w:t>
      </w:r>
      <w:r w:rsidR="006F5844">
        <w:rPr>
          <w:color w:val="000000" w:themeColor="text1"/>
        </w:rPr>
        <w:t>lumbar disc disease</w:t>
      </w:r>
      <w:r w:rsidR="006B5DC1" w:rsidRPr="006B5DC1">
        <w:rPr>
          <w:color w:val="000000" w:themeColor="text1"/>
        </w:rPr>
        <w:t xml:space="preserve">.  He injured </w:t>
      </w:r>
      <w:r w:rsidR="0039292E">
        <w:rPr>
          <w:color w:val="000000" w:themeColor="text1"/>
        </w:rPr>
        <w:t>his back in 2004 during deploym</w:t>
      </w:r>
      <w:r w:rsidR="00F87F2E">
        <w:rPr>
          <w:color w:val="000000" w:themeColor="text1"/>
        </w:rPr>
        <w:t>ent to Kuwait, and</w:t>
      </w:r>
      <w:r w:rsidR="006B5DC1" w:rsidRPr="006B5DC1">
        <w:rPr>
          <w:color w:val="000000" w:themeColor="text1"/>
        </w:rPr>
        <w:t xml:space="preserve"> was </w:t>
      </w:r>
      <w:r w:rsidR="00F87F2E">
        <w:rPr>
          <w:color w:val="000000" w:themeColor="text1"/>
        </w:rPr>
        <w:t xml:space="preserve">subsequently diagnosed with (non-surgical) lumbar disc disease.  He </w:t>
      </w:r>
      <w:r w:rsidR="006B5DC1" w:rsidRPr="006B5DC1">
        <w:rPr>
          <w:color w:val="000000" w:themeColor="text1"/>
        </w:rPr>
        <w:t xml:space="preserve">did not respond adequately to treatment to </w:t>
      </w:r>
      <w:r w:rsidR="00F87F2E">
        <w:rPr>
          <w:color w:val="000000" w:themeColor="text1"/>
        </w:rPr>
        <w:t>meet the physical demands of</w:t>
      </w:r>
      <w:r w:rsidR="006B5DC1" w:rsidRPr="006B5DC1">
        <w:rPr>
          <w:color w:val="000000" w:themeColor="text1"/>
        </w:rPr>
        <w:t xml:space="preserve"> his Air Force Specialty (AFS) or </w:t>
      </w:r>
      <w:r w:rsidR="00F87F2E">
        <w:rPr>
          <w:color w:val="000000" w:themeColor="text1"/>
        </w:rPr>
        <w:t>pass</w:t>
      </w:r>
      <w:r w:rsidR="006B5DC1" w:rsidRPr="006B5DC1">
        <w:rPr>
          <w:color w:val="000000" w:themeColor="text1"/>
        </w:rPr>
        <w:t xml:space="preserve"> physical fitness standards.  He was issued a permanent L4 profile and underwent a Me</w:t>
      </w:r>
      <w:r w:rsidR="000E6AD3">
        <w:rPr>
          <w:color w:val="000000" w:themeColor="text1"/>
        </w:rPr>
        <w:t xml:space="preserve">dical Evaluation Board (MEB).  </w:t>
      </w:r>
      <w:r w:rsidR="006B5DC1" w:rsidRPr="006B5DC1">
        <w:rPr>
          <w:color w:val="000000" w:themeColor="text1"/>
        </w:rPr>
        <w:t xml:space="preserve">Lumbar </w:t>
      </w:r>
      <w:proofErr w:type="spellStart"/>
      <w:r w:rsidR="006B5DC1" w:rsidRPr="006B5DC1">
        <w:rPr>
          <w:color w:val="000000" w:themeColor="text1"/>
        </w:rPr>
        <w:t>radiculitis</w:t>
      </w:r>
      <w:proofErr w:type="spellEnd"/>
      <w:r w:rsidR="006B5DC1" w:rsidRPr="006B5DC1">
        <w:rPr>
          <w:color w:val="000000" w:themeColor="text1"/>
        </w:rPr>
        <w:t xml:space="preserve"> was forwarded to the Physical Evaluation Board (PEB) as medically unacceptable IAW AFI 48-123.  No other conditions appeared on the MEB’s submission.  Other conditions included in the Disability Evaluation System (DES) </w:t>
      </w:r>
      <w:r w:rsidR="006B5DC1">
        <w:rPr>
          <w:color w:val="000000" w:themeColor="text1"/>
        </w:rPr>
        <w:t>file</w:t>
      </w:r>
      <w:r w:rsidR="006B5DC1" w:rsidRPr="006B5DC1">
        <w:rPr>
          <w:color w:val="000000" w:themeColor="text1"/>
        </w:rPr>
        <w:t xml:space="preserve"> will be discussed below.  </w:t>
      </w:r>
      <w:r w:rsidR="000E6AD3">
        <w:rPr>
          <w:color w:val="000000" w:themeColor="text1"/>
        </w:rPr>
        <w:t xml:space="preserve">The </w:t>
      </w:r>
      <w:r w:rsidR="006B5DC1" w:rsidRPr="006B5DC1">
        <w:rPr>
          <w:color w:val="000000" w:themeColor="text1"/>
        </w:rPr>
        <w:t>PEB adjudicated the lumbar condition as unfitting, rated 0%, with application of the Veterans Administration Schedule for Rating Disabilities (</w:t>
      </w:r>
      <w:r w:rsidR="000E6AD3">
        <w:rPr>
          <w:color w:val="000000" w:themeColor="text1"/>
        </w:rPr>
        <w:t>VASRD).  Following waiver of a F</w:t>
      </w:r>
      <w:r w:rsidR="006B5DC1" w:rsidRPr="006B5DC1">
        <w:rPr>
          <w:color w:val="000000" w:themeColor="text1"/>
        </w:rPr>
        <w:t>ormal PEB</w:t>
      </w:r>
      <w:r w:rsidR="006F5844">
        <w:rPr>
          <w:color w:val="000000" w:themeColor="text1"/>
        </w:rPr>
        <w:t>,</w:t>
      </w:r>
      <w:r w:rsidR="006B5DC1" w:rsidRPr="006B5DC1">
        <w:rPr>
          <w:color w:val="000000" w:themeColor="text1"/>
        </w:rPr>
        <w:t xml:space="preserve"> </w:t>
      </w:r>
      <w:r w:rsidR="006F5844">
        <w:rPr>
          <w:color w:val="000000" w:themeColor="text1"/>
        </w:rPr>
        <w:t>but</w:t>
      </w:r>
      <w:r w:rsidR="00055D7A">
        <w:rPr>
          <w:color w:val="000000" w:themeColor="text1"/>
        </w:rPr>
        <w:t xml:space="preserve"> subsequent</w:t>
      </w:r>
      <w:r w:rsidR="006B5DC1" w:rsidRPr="006B5DC1">
        <w:rPr>
          <w:color w:val="000000" w:themeColor="text1"/>
        </w:rPr>
        <w:t xml:space="preserve"> </w:t>
      </w:r>
      <w:r w:rsidR="00BA472E" w:rsidRPr="006B5DC1">
        <w:rPr>
          <w:color w:val="000000" w:themeColor="text1"/>
        </w:rPr>
        <w:t>review</w:t>
      </w:r>
      <w:r w:rsidR="00BA472E">
        <w:rPr>
          <w:color w:val="000000" w:themeColor="text1"/>
          <w:szCs w:val="24"/>
        </w:rPr>
        <w:t xml:space="preserve"> by the </w:t>
      </w:r>
      <w:r w:rsidR="006F5844">
        <w:rPr>
          <w:color w:val="000000" w:themeColor="text1"/>
          <w:szCs w:val="24"/>
        </w:rPr>
        <w:t>Air Force</w:t>
      </w:r>
      <w:r w:rsidR="000E6AD3">
        <w:rPr>
          <w:color w:val="000000" w:themeColor="text1"/>
          <w:szCs w:val="24"/>
        </w:rPr>
        <w:t xml:space="preserve"> Board for Correction</w:t>
      </w:r>
      <w:r w:rsidR="006F5844" w:rsidRPr="0019694D">
        <w:rPr>
          <w:color w:val="000000" w:themeColor="text1"/>
          <w:szCs w:val="24"/>
        </w:rPr>
        <w:t xml:space="preserve"> of Military Records</w:t>
      </w:r>
      <w:r w:rsidR="006F5844" w:rsidRPr="006B5DC1">
        <w:rPr>
          <w:color w:val="000000" w:themeColor="text1"/>
        </w:rPr>
        <w:t xml:space="preserve"> </w:t>
      </w:r>
      <w:r w:rsidR="006F5844">
        <w:rPr>
          <w:color w:val="000000" w:themeColor="text1"/>
        </w:rPr>
        <w:t>(AF</w:t>
      </w:r>
      <w:r w:rsidR="006B5DC1" w:rsidRPr="006B5DC1">
        <w:rPr>
          <w:color w:val="000000" w:themeColor="text1"/>
        </w:rPr>
        <w:t>BCMR</w:t>
      </w:r>
      <w:r w:rsidR="006F5844">
        <w:rPr>
          <w:color w:val="000000" w:themeColor="text1"/>
        </w:rPr>
        <w:t>)</w:t>
      </w:r>
      <w:r w:rsidR="006B5DC1" w:rsidRPr="006B5DC1">
        <w:rPr>
          <w:color w:val="000000" w:themeColor="text1"/>
        </w:rPr>
        <w:t>, the CI was medically separated with a 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6B5DC1">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6B5DC1" w:rsidRPr="006B5DC1">
        <w:rPr>
          <w:rFonts w:asciiTheme="minorHAnsi" w:hAnsiTheme="minorHAnsi" w:cs="Times New Roman"/>
          <w:color w:val="auto"/>
        </w:rPr>
        <w:t xml:space="preserve"> </w:t>
      </w:r>
      <w:r w:rsidR="006B5DC1" w:rsidRPr="006B5DC1">
        <w:rPr>
          <w:color w:val="000000" w:themeColor="text1"/>
        </w:rPr>
        <w:t>The CI st</w:t>
      </w:r>
      <w:r w:rsidR="000E6AD3">
        <w:rPr>
          <w:color w:val="000000" w:themeColor="text1"/>
        </w:rPr>
        <w:t xml:space="preserve">ates:  “The PEB gave me 0% for lumbar </w:t>
      </w:r>
      <w:proofErr w:type="spellStart"/>
      <w:r w:rsidR="000E6AD3">
        <w:rPr>
          <w:color w:val="000000" w:themeColor="text1"/>
        </w:rPr>
        <w:t>r</w:t>
      </w:r>
      <w:r w:rsidR="006B5DC1" w:rsidRPr="006B5DC1">
        <w:rPr>
          <w:color w:val="000000" w:themeColor="text1"/>
        </w:rPr>
        <w:t>adicu</w:t>
      </w:r>
      <w:r w:rsidR="000E6AD3">
        <w:rPr>
          <w:color w:val="000000" w:themeColor="text1"/>
        </w:rPr>
        <w:t>litis</w:t>
      </w:r>
      <w:proofErr w:type="spellEnd"/>
      <w:r w:rsidR="000E6AD3">
        <w:rPr>
          <w:color w:val="000000" w:themeColor="text1"/>
        </w:rPr>
        <w:t xml:space="preserve"> and degenerative d</w:t>
      </w:r>
      <w:r w:rsidR="00714B2D">
        <w:rPr>
          <w:color w:val="000000" w:themeColor="text1"/>
        </w:rPr>
        <w:t xml:space="preserve">isease. </w:t>
      </w:r>
      <w:r w:rsidR="000E6AD3">
        <w:rPr>
          <w:color w:val="000000" w:themeColor="text1"/>
        </w:rPr>
        <w:t xml:space="preserve"> The VA gave me 60% for </w:t>
      </w:r>
      <w:proofErr w:type="spellStart"/>
      <w:r w:rsidR="000E6AD3">
        <w:rPr>
          <w:color w:val="000000" w:themeColor="text1"/>
        </w:rPr>
        <w:t>radiculitis</w:t>
      </w:r>
      <w:proofErr w:type="spellEnd"/>
      <w:r w:rsidR="000E6AD3">
        <w:rPr>
          <w:color w:val="000000" w:themeColor="text1"/>
        </w:rPr>
        <w:t xml:space="preserve"> and 20% for degenerative d</w:t>
      </w:r>
      <w:r w:rsidR="006B5DC1" w:rsidRPr="006B5DC1">
        <w:rPr>
          <w:color w:val="000000" w:themeColor="text1"/>
        </w:rPr>
        <w:t xml:space="preserve">isease. </w:t>
      </w:r>
      <w:r w:rsidR="000E6AD3">
        <w:rPr>
          <w:color w:val="000000" w:themeColor="text1"/>
        </w:rPr>
        <w:t xml:space="preserve"> </w:t>
      </w:r>
      <w:r w:rsidR="006B5DC1" w:rsidRPr="006B5DC1">
        <w:rPr>
          <w:color w:val="000000" w:themeColor="text1"/>
        </w:rPr>
        <w:t xml:space="preserve">How could they be that far apart? I have a doctor statement saying I should retire and not work. </w:t>
      </w:r>
      <w:r w:rsidR="000E6AD3">
        <w:rPr>
          <w:color w:val="000000" w:themeColor="text1"/>
        </w:rPr>
        <w:t xml:space="preserve"> </w:t>
      </w:r>
      <w:r w:rsidR="006B5DC1" w:rsidRPr="006B5DC1">
        <w:rPr>
          <w:color w:val="000000" w:themeColor="text1"/>
        </w:rPr>
        <w:t xml:space="preserve">In fact I am not able to work.  During this whole process I was not given any assistance or </w:t>
      </w:r>
      <w:r w:rsidR="00705F8E">
        <w:rPr>
          <w:color w:val="000000" w:themeColor="text1"/>
        </w:rPr>
        <w:t>advice</w:t>
      </w:r>
      <w:r w:rsidR="006B5DC1" w:rsidRPr="006B5DC1">
        <w:rPr>
          <w:color w:val="000000" w:themeColor="text1"/>
        </w:rPr>
        <w:t xml:space="preserve"> on how to go ab</w:t>
      </w:r>
      <w:r w:rsidR="007C2CCF">
        <w:rPr>
          <w:color w:val="000000" w:themeColor="text1"/>
        </w:rPr>
        <w:t xml:space="preserve">out this.  I was on my own. </w:t>
      </w:r>
      <w:r w:rsidR="000E6AD3">
        <w:rPr>
          <w:color w:val="000000" w:themeColor="text1"/>
        </w:rPr>
        <w:t xml:space="preserve"> I took people at their word.</w:t>
      </w:r>
      <w:r w:rsidR="006B5DC1" w:rsidRPr="006B5DC1">
        <w:rPr>
          <w:color w:val="000000" w:themeColor="text1"/>
        </w:rPr>
        <w:t xml:space="preserve">  I was told the only way I could retire would be </w:t>
      </w:r>
      <w:r w:rsidR="007C2CCF">
        <w:rPr>
          <w:color w:val="000000" w:themeColor="text1"/>
        </w:rPr>
        <w:t xml:space="preserve">through the AFR, under Title 10. </w:t>
      </w:r>
      <w:r w:rsidR="006B5DC1" w:rsidRPr="006B5DC1">
        <w:rPr>
          <w:color w:val="000000" w:themeColor="text1"/>
        </w:rPr>
        <w:t xml:space="preserve"> Although I was on active duty, I felt the AF and not the AFR should handle this.  The AFR told me that I could retire. </w:t>
      </w:r>
      <w:r w:rsidR="000E6AD3">
        <w:rPr>
          <w:color w:val="000000" w:themeColor="text1"/>
        </w:rPr>
        <w:t xml:space="preserve"> </w:t>
      </w:r>
      <w:r w:rsidR="006B5DC1" w:rsidRPr="006B5DC1">
        <w:rPr>
          <w:color w:val="000000" w:themeColor="text1"/>
        </w:rPr>
        <w:t>All I had to do was get the AF to release me and they would start my retirement process.</w:t>
      </w:r>
      <w:r w:rsidR="000E6AD3">
        <w:rPr>
          <w:color w:val="000000" w:themeColor="text1"/>
        </w:rPr>
        <w:t xml:space="preserve"> </w:t>
      </w:r>
      <w:r w:rsidR="006B5DC1" w:rsidRPr="006B5DC1">
        <w:rPr>
          <w:color w:val="000000" w:themeColor="text1"/>
        </w:rPr>
        <w:t xml:space="preserve"> I did this, and </w:t>
      </w:r>
      <w:r w:rsidR="007C2CCF">
        <w:rPr>
          <w:color w:val="000000" w:themeColor="text1"/>
        </w:rPr>
        <w:t xml:space="preserve">was discharged from both the </w:t>
      </w:r>
      <w:proofErr w:type="gramStart"/>
      <w:r w:rsidR="007C2CCF">
        <w:rPr>
          <w:color w:val="000000" w:themeColor="text1"/>
        </w:rPr>
        <w:t>AF</w:t>
      </w:r>
      <w:r w:rsidR="006B5DC1" w:rsidRPr="006B5DC1">
        <w:rPr>
          <w:color w:val="000000" w:themeColor="text1"/>
        </w:rPr>
        <w:t>,</w:t>
      </w:r>
      <w:proofErr w:type="gramEnd"/>
      <w:r w:rsidR="007C2CCF">
        <w:rPr>
          <w:color w:val="000000" w:themeColor="text1"/>
        </w:rPr>
        <w:t xml:space="preserve"> and </w:t>
      </w:r>
      <w:r w:rsidR="006B5DC1" w:rsidRPr="006B5DC1">
        <w:rPr>
          <w:color w:val="000000" w:themeColor="text1"/>
        </w:rPr>
        <w:t xml:space="preserve">AFR on same day.  I received a letter telling me that I could not retire because, and I quote, "Unfortunately, </w:t>
      </w:r>
      <w:r w:rsidR="00714B2D">
        <w:rPr>
          <w:color w:val="000000" w:themeColor="text1"/>
        </w:rPr>
        <w:t>TSgt M</w:t>
      </w:r>
      <w:r w:rsidR="00DD09E8">
        <w:rPr>
          <w:color w:val="000000" w:themeColor="text1"/>
        </w:rPr>
        <w:t>---</w:t>
      </w:r>
      <w:r w:rsidR="006B5DC1" w:rsidRPr="006B5DC1">
        <w:rPr>
          <w:color w:val="000000" w:themeColor="text1"/>
        </w:rPr>
        <w:t xml:space="preserve"> is not eligible for early retirement under title 10, U.S.C. 12731b because his medically disqualifying condition was found to be (In The Line of Duty) and Title 10 limits early retirement to medically disqualifying conditions</w:t>
      </w:r>
      <w:r w:rsidR="007C2CCF">
        <w:rPr>
          <w:color w:val="000000" w:themeColor="text1"/>
        </w:rPr>
        <w:t xml:space="preserve"> </w:t>
      </w:r>
      <w:r w:rsidR="006B5DC1" w:rsidRPr="006B5DC1">
        <w:rPr>
          <w:color w:val="000000" w:themeColor="text1"/>
        </w:rPr>
        <w:t xml:space="preserve">(NOT incurred in the line of duty)."  </w:t>
      </w:r>
      <w:r w:rsidR="006F5844">
        <w:rPr>
          <w:color w:val="000000" w:themeColor="text1"/>
        </w:rPr>
        <w:t>…</w:t>
      </w:r>
      <w:r w:rsidR="006B5DC1" w:rsidRPr="006B5DC1">
        <w:rPr>
          <w:color w:val="000000" w:themeColor="text1"/>
        </w:rPr>
        <w:t xml:space="preserve"> </w:t>
      </w:r>
      <w:r w:rsidR="00055D7A">
        <w:rPr>
          <w:color w:val="000000" w:themeColor="text1"/>
        </w:rPr>
        <w:t xml:space="preserve"> </w:t>
      </w:r>
      <w:r w:rsidR="006B5DC1" w:rsidRPr="006B5DC1">
        <w:rPr>
          <w:color w:val="000000" w:themeColor="text1"/>
        </w:rPr>
        <w:t xml:space="preserve">And if I had known I would not be able to work due to my injuries, I sure would have </w:t>
      </w:r>
      <w:r w:rsidR="00705F8E">
        <w:rPr>
          <w:color w:val="000000" w:themeColor="text1"/>
        </w:rPr>
        <w:t xml:space="preserve">kept </w:t>
      </w:r>
      <w:r w:rsidR="006B5DC1" w:rsidRPr="006B5DC1">
        <w:rPr>
          <w:color w:val="000000" w:themeColor="text1"/>
        </w:rPr>
        <w:t>fighting</w:t>
      </w:r>
      <w:r w:rsidR="000E6AD3">
        <w:rPr>
          <w:color w:val="000000" w:themeColor="text1"/>
        </w:rPr>
        <w:t xml:space="preserve"> for my active duty retirement. </w:t>
      </w:r>
      <w:r w:rsidR="006F5844">
        <w:rPr>
          <w:color w:val="000000" w:themeColor="text1"/>
        </w:rPr>
        <w:t xml:space="preserve"> </w:t>
      </w:r>
      <w:r w:rsidR="006B5DC1" w:rsidRPr="006B5DC1">
        <w:rPr>
          <w:color w:val="000000" w:themeColor="text1"/>
        </w:rPr>
        <w:t>He additionally lists all of his 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tblLayout w:type="fixed"/>
        <w:tblLook w:val="04A0"/>
      </w:tblPr>
      <w:tblGrid>
        <w:gridCol w:w="2175"/>
        <w:gridCol w:w="1080"/>
        <w:gridCol w:w="904"/>
        <w:gridCol w:w="2519"/>
        <w:gridCol w:w="882"/>
        <w:gridCol w:w="828"/>
        <w:gridCol w:w="990"/>
      </w:tblGrid>
      <w:tr w:rsidR="002B4E22" w:rsidRPr="001F29F9" w:rsidTr="00BA472E">
        <w:trPr>
          <w:trHeight w:val="170"/>
        </w:trPr>
        <w:tc>
          <w:tcPr>
            <w:tcW w:w="4159" w:type="dxa"/>
            <w:gridSpan w:val="3"/>
            <w:tcBorders>
              <w:right w:val="thinThickThinSmallGap" w:sz="24" w:space="0" w:color="auto"/>
            </w:tcBorders>
            <w:shd w:val="clear" w:color="auto" w:fill="D9D9D9" w:themeFill="background1" w:themeFillShade="D9"/>
            <w:vAlign w:val="center"/>
          </w:tcPr>
          <w:p w:rsidR="002B4E22" w:rsidRPr="001F29F9" w:rsidRDefault="00B731E4" w:rsidP="00BA472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6B5DC1">
              <w:rPr>
                <w:rFonts w:ascii="Calibri" w:hAnsi="Calibri" w:cs="Calibri"/>
                <w:b/>
                <w:color w:val="000000" w:themeColor="text1"/>
                <w:sz w:val="18"/>
                <w:szCs w:val="18"/>
              </w:rPr>
              <w:t>I</w:t>
            </w:r>
            <w:r w:rsidRPr="001F29F9">
              <w:rPr>
                <w:rFonts w:ascii="Calibri" w:hAnsi="Calibri" w:cs="Calibri"/>
                <w:b/>
                <w:color w:val="000000" w:themeColor="text1"/>
                <w:sz w:val="18"/>
                <w:szCs w:val="18"/>
              </w:rPr>
              <w:t>PEB – Dated 200</w:t>
            </w:r>
            <w:r w:rsidR="006B5DC1">
              <w:rPr>
                <w:rFonts w:ascii="Calibri" w:hAnsi="Calibri" w:cs="Calibri"/>
                <w:b/>
                <w:color w:val="000000" w:themeColor="text1"/>
                <w:sz w:val="18"/>
                <w:szCs w:val="18"/>
              </w:rPr>
              <w:t>60124</w:t>
            </w:r>
          </w:p>
        </w:tc>
        <w:tc>
          <w:tcPr>
            <w:tcW w:w="5219" w:type="dxa"/>
            <w:gridSpan w:val="4"/>
            <w:tcBorders>
              <w:left w:val="thinThickThinSmallGap" w:sz="24" w:space="0" w:color="auto"/>
            </w:tcBorders>
            <w:shd w:val="clear" w:color="auto" w:fill="D9D9D9" w:themeFill="background1" w:themeFillShade="D9"/>
            <w:vAlign w:val="center"/>
          </w:tcPr>
          <w:p w:rsidR="002B4E22" w:rsidRPr="001F29F9" w:rsidRDefault="002B4E22" w:rsidP="00BA472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6B5DC1">
              <w:rPr>
                <w:rFonts w:ascii="Calibri" w:hAnsi="Calibri" w:cs="Calibri"/>
                <w:b/>
                <w:color w:val="000000" w:themeColor="text1"/>
                <w:sz w:val="18"/>
                <w:szCs w:val="18"/>
              </w:rPr>
              <w:t>10</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6B5DC1">
              <w:rPr>
                <w:rFonts w:ascii="Calibri" w:hAnsi="Calibri" w:cs="Calibri"/>
                <w:b/>
                <w:color w:val="000000" w:themeColor="text1"/>
                <w:sz w:val="18"/>
                <w:szCs w:val="18"/>
              </w:rPr>
              <w:t>After Separation</w:t>
            </w:r>
            <w:r w:rsidRPr="001F29F9">
              <w:rPr>
                <w:rFonts w:ascii="Calibri" w:hAnsi="Calibri" w:cs="Calibri"/>
                <w:b/>
                <w:color w:val="000000" w:themeColor="text1"/>
                <w:sz w:val="18"/>
                <w:szCs w:val="18"/>
              </w:rPr>
              <w:t xml:space="preserve">) – All Effective </w:t>
            </w:r>
            <w:r w:rsidR="002D08F3" w:rsidRPr="001F29F9">
              <w:rPr>
                <w:rFonts w:ascii="Calibri" w:hAnsi="Calibri" w:cs="Calibri"/>
                <w:b/>
                <w:color w:val="000000" w:themeColor="text1"/>
                <w:sz w:val="18"/>
                <w:szCs w:val="18"/>
              </w:rPr>
              <w:t>200</w:t>
            </w:r>
            <w:r w:rsidR="006B5DC1">
              <w:rPr>
                <w:rFonts w:ascii="Calibri" w:hAnsi="Calibri" w:cs="Calibri"/>
                <w:b/>
                <w:color w:val="000000" w:themeColor="text1"/>
                <w:sz w:val="18"/>
                <w:szCs w:val="18"/>
              </w:rPr>
              <w:t>60525</w:t>
            </w:r>
          </w:p>
        </w:tc>
      </w:tr>
      <w:tr w:rsidR="002B4E22" w:rsidRPr="001F29F9" w:rsidTr="00BA472E">
        <w:trPr>
          <w:trHeight w:val="100"/>
        </w:trPr>
        <w:tc>
          <w:tcPr>
            <w:tcW w:w="2175"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A472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A472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4"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A472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519"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A472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882" w:type="dxa"/>
            <w:tcBorders>
              <w:bottom w:val="single" w:sz="4" w:space="0" w:color="000000" w:themeColor="text1"/>
            </w:tcBorders>
            <w:shd w:val="clear" w:color="auto" w:fill="D9D9D9" w:themeFill="background1" w:themeFillShade="D9"/>
            <w:vAlign w:val="center"/>
          </w:tcPr>
          <w:p w:rsidR="002B4E22" w:rsidRPr="001F29F9" w:rsidRDefault="002B4E22" w:rsidP="00BA472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A472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A472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6F5844" w:rsidRPr="001F29F9" w:rsidTr="00BA472E">
        <w:trPr>
          <w:trHeight w:val="115"/>
        </w:trPr>
        <w:tc>
          <w:tcPr>
            <w:tcW w:w="2175" w:type="dxa"/>
            <w:vMerge w:val="restart"/>
            <w:tcBorders>
              <w:right w:val="single" w:sz="4" w:space="0" w:color="auto"/>
            </w:tcBorders>
            <w:shd w:val="clear" w:color="auto" w:fill="FFFFFF" w:themeFill="background1"/>
            <w:vAlign w:val="center"/>
          </w:tcPr>
          <w:p w:rsidR="006F5844" w:rsidRPr="006F5844" w:rsidRDefault="006F5844" w:rsidP="00BA472E">
            <w:pPr>
              <w:spacing w:line="220" w:lineRule="exact"/>
              <w:contextualSpacing/>
              <w:jc w:val="left"/>
              <w:rPr>
                <w:rFonts w:ascii="Calibri" w:hAnsi="Calibri" w:cs="Calibri"/>
                <w:color w:val="000000" w:themeColor="text1"/>
                <w:sz w:val="18"/>
                <w:szCs w:val="18"/>
              </w:rPr>
            </w:pPr>
            <w:r w:rsidRPr="006B5DC1">
              <w:rPr>
                <w:rFonts w:ascii="Calibri" w:hAnsi="Calibri" w:cs="Calibri"/>
                <w:color w:val="000000" w:themeColor="text1"/>
                <w:sz w:val="18"/>
                <w:szCs w:val="18"/>
              </w:rPr>
              <w:t xml:space="preserve">Lumbar </w:t>
            </w:r>
            <w:proofErr w:type="spellStart"/>
            <w:r w:rsidRPr="006B5DC1">
              <w:rPr>
                <w:rFonts w:ascii="Calibri" w:hAnsi="Calibri" w:cs="Calibri"/>
                <w:color w:val="000000" w:themeColor="text1"/>
                <w:sz w:val="18"/>
                <w:szCs w:val="18"/>
              </w:rPr>
              <w:t>Radiculitis</w:t>
            </w:r>
            <w:proofErr w:type="spellEnd"/>
            <w:r w:rsidR="00BA472E">
              <w:rPr>
                <w:rFonts w:ascii="Calibri" w:hAnsi="Calibri" w:cs="Calibri"/>
                <w:color w:val="000000" w:themeColor="text1"/>
                <w:sz w:val="18"/>
                <w:szCs w:val="18"/>
              </w:rPr>
              <w:t xml:space="preserve"> </w:t>
            </w:r>
            <w:proofErr w:type="spellStart"/>
            <w:r w:rsidR="00BA472E">
              <w:rPr>
                <w:rFonts w:ascii="Calibri" w:hAnsi="Calibri" w:cs="Calibri"/>
                <w:color w:val="000000" w:themeColor="text1"/>
                <w:sz w:val="18"/>
                <w:szCs w:val="18"/>
              </w:rPr>
              <w:t>a/w</w:t>
            </w:r>
            <w:proofErr w:type="spellEnd"/>
            <w:r w:rsidR="00BA472E">
              <w:rPr>
                <w:rFonts w:ascii="Calibri" w:hAnsi="Calibri" w:cs="Calibri"/>
                <w:color w:val="000000" w:themeColor="text1"/>
                <w:sz w:val="18"/>
                <w:szCs w:val="18"/>
              </w:rPr>
              <w:t xml:space="preserve"> Mild Degenerative Disease</w:t>
            </w:r>
          </w:p>
        </w:tc>
        <w:tc>
          <w:tcPr>
            <w:tcW w:w="1080" w:type="dxa"/>
            <w:vMerge w:val="restart"/>
            <w:tcBorders>
              <w:left w:val="single" w:sz="4" w:space="0" w:color="auto"/>
              <w:right w:val="single" w:sz="4" w:space="0" w:color="auto"/>
            </w:tcBorders>
            <w:shd w:val="clear" w:color="auto" w:fill="FFFFFF" w:themeFill="background1"/>
            <w:vAlign w:val="center"/>
          </w:tcPr>
          <w:p w:rsidR="006F5844" w:rsidRPr="0034632E" w:rsidRDefault="006F5844" w:rsidP="00BA472E">
            <w:pPr>
              <w:spacing w:line="220" w:lineRule="exact"/>
              <w:contextualSpacing/>
              <w:rPr>
                <w:color w:val="auto"/>
                <w:sz w:val="18"/>
                <w:szCs w:val="18"/>
              </w:rPr>
            </w:pPr>
            <w:r>
              <w:rPr>
                <w:color w:val="auto"/>
                <w:sz w:val="18"/>
                <w:szCs w:val="18"/>
              </w:rPr>
              <w:t>5299-5242</w:t>
            </w:r>
          </w:p>
        </w:tc>
        <w:tc>
          <w:tcPr>
            <w:tcW w:w="904" w:type="dxa"/>
            <w:vMerge w:val="restart"/>
            <w:tcBorders>
              <w:left w:val="single" w:sz="4" w:space="0" w:color="auto"/>
              <w:right w:val="thinThickThinSmallGap" w:sz="24" w:space="0" w:color="auto"/>
            </w:tcBorders>
            <w:shd w:val="clear" w:color="auto" w:fill="FFFFFF" w:themeFill="background1"/>
            <w:vAlign w:val="center"/>
          </w:tcPr>
          <w:p w:rsidR="006F5844" w:rsidRPr="0034632E" w:rsidRDefault="006F5844" w:rsidP="00BA472E">
            <w:pPr>
              <w:spacing w:line="220" w:lineRule="exact"/>
              <w:contextualSpacing/>
              <w:rPr>
                <w:color w:val="auto"/>
                <w:sz w:val="18"/>
                <w:szCs w:val="18"/>
              </w:rPr>
            </w:pPr>
            <w:r>
              <w:rPr>
                <w:color w:val="auto"/>
                <w:sz w:val="18"/>
                <w:szCs w:val="18"/>
              </w:rPr>
              <w:t>0%</w:t>
            </w:r>
          </w:p>
        </w:tc>
        <w:tc>
          <w:tcPr>
            <w:tcW w:w="2519" w:type="dxa"/>
            <w:tcBorders>
              <w:left w:val="thinThickThinSmallGap" w:sz="24" w:space="0" w:color="auto"/>
            </w:tcBorders>
            <w:shd w:val="clear" w:color="auto" w:fill="FFFFFF" w:themeFill="background1"/>
            <w:vAlign w:val="center"/>
          </w:tcPr>
          <w:p w:rsidR="006F5844" w:rsidRPr="001F29F9" w:rsidRDefault="006F5844" w:rsidP="00BA472E">
            <w:pPr>
              <w:spacing w:line="220" w:lineRule="exact"/>
              <w:contextualSpacing/>
              <w:jc w:val="left"/>
              <w:rPr>
                <w:rFonts w:ascii="Calibri" w:eastAsia="Times New Roman" w:hAnsi="Calibri" w:cs="Calibri"/>
                <w:color w:val="000000" w:themeColor="text1"/>
                <w:sz w:val="18"/>
                <w:szCs w:val="18"/>
              </w:rPr>
            </w:pPr>
            <w:r w:rsidRPr="006B5DC1">
              <w:rPr>
                <w:rFonts w:ascii="Calibri" w:hAnsi="Calibri" w:cs="Calibri"/>
                <w:color w:val="000000" w:themeColor="text1"/>
                <w:sz w:val="18"/>
                <w:szCs w:val="18"/>
              </w:rPr>
              <w:t>Residuals, Lumbar Spine Injury</w:t>
            </w:r>
          </w:p>
        </w:tc>
        <w:tc>
          <w:tcPr>
            <w:tcW w:w="882" w:type="dxa"/>
            <w:shd w:val="clear" w:color="auto" w:fill="FFFFFF" w:themeFill="background1"/>
            <w:vAlign w:val="center"/>
          </w:tcPr>
          <w:p w:rsidR="006F5844" w:rsidRPr="00F167DD" w:rsidRDefault="006F5844" w:rsidP="00BA472E">
            <w:pPr>
              <w:spacing w:line="220" w:lineRule="exact"/>
              <w:contextualSpacing/>
              <w:rPr>
                <w:color w:val="auto"/>
                <w:sz w:val="18"/>
                <w:szCs w:val="18"/>
              </w:rPr>
            </w:pPr>
            <w:r w:rsidRPr="00F167DD">
              <w:rPr>
                <w:color w:val="auto"/>
                <w:sz w:val="18"/>
                <w:szCs w:val="18"/>
              </w:rPr>
              <w:t>5237</w:t>
            </w:r>
          </w:p>
        </w:tc>
        <w:tc>
          <w:tcPr>
            <w:tcW w:w="828" w:type="dxa"/>
            <w:shd w:val="clear" w:color="auto" w:fill="FFFFFF" w:themeFill="background1"/>
            <w:vAlign w:val="center"/>
          </w:tcPr>
          <w:p w:rsidR="006F5844" w:rsidRPr="00F167DD" w:rsidRDefault="006F5844" w:rsidP="00BA472E">
            <w:pPr>
              <w:spacing w:line="220" w:lineRule="exact"/>
              <w:contextualSpacing/>
              <w:rPr>
                <w:color w:val="auto"/>
                <w:sz w:val="18"/>
                <w:szCs w:val="18"/>
              </w:rPr>
            </w:pPr>
            <w:r w:rsidRPr="00F167DD">
              <w:rPr>
                <w:color w:val="auto"/>
                <w:sz w:val="18"/>
                <w:szCs w:val="18"/>
              </w:rPr>
              <w:t>20%</w:t>
            </w:r>
          </w:p>
        </w:tc>
        <w:tc>
          <w:tcPr>
            <w:tcW w:w="990" w:type="dxa"/>
            <w:shd w:val="clear" w:color="auto" w:fill="FFFFFF" w:themeFill="background1"/>
            <w:vAlign w:val="center"/>
          </w:tcPr>
          <w:p w:rsidR="006F5844" w:rsidRPr="0034632E" w:rsidRDefault="006F5844" w:rsidP="00BA472E">
            <w:pPr>
              <w:spacing w:line="220" w:lineRule="exact"/>
              <w:contextualSpacing/>
              <w:rPr>
                <w:color w:val="auto"/>
                <w:sz w:val="18"/>
                <w:szCs w:val="18"/>
              </w:rPr>
            </w:pPr>
            <w:r>
              <w:rPr>
                <w:color w:val="auto"/>
                <w:sz w:val="18"/>
                <w:szCs w:val="18"/>
              </w:rPr>
              <w:t>20070315</w:t>
            </w:r>
          </w:p>
        </w:tc>
      </w:tr>
      <w:tr w:rsidR="006F5844" w:rsidRPr="001F29F9" w:rsidTr="00BA472E">
        <w:trPr>
          <w:trHeight w:val="65"/>
        </w:trPr>
        <w:tc>
          <w:tcPr>
            <w:tcW w:w="2175" w:type="dxa"/>
            <w:vMerge/>
            <w:tcBorders>
              <w:bottom w:val="single" w:sz="4" w:space="0" w:color="auto"/>
              <w:right w:val="single" w:sz="4" w:space="0" w:color="auto"/>
            </w:tcBorders>
            <w:shd w:val="clear" w:color="auto" w:fill="FFFFFF" w:themeFill="background1"/>
            <w:vAlign w:val="center"/>
          </w:tcPr>
          <w:p w:rsidR="006F5844" w:rsidRPr="001F29F9" w:rsidRDefault="006F5844" w:rsidP="00BA472E">
            <w:pPr>
              <w:spacing w:line="220" w:lineRule="exact"/>
              <w:rPr>
                <w:rFonts w:ascii="Calibri" w:eastAsia="Times New Roman" w:hAnsi="Calibri" w:cs="Calibri"/>
                <w:color w:val="000000" w:themeColor="text1"/>
                <w:sz w:val="18"/>
                <w:szCs w:val="18"/>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6F5844" w:rsidRPr="001F29F9" w:rsidRDefault="006F5844" w:rsidP="00BA472E">
            <w:pPr>
              <w:spacing w:line="220" w:lineRule="exact"/>
              <w:rPr>
                <w:rFonts w:cs="Calibri"/>
                <w:color w:val="000000" w:themeColor="text1"/>
                <w:sz w:val="18"/>
                <w:szCs w:val="18"/>
              </w:rPr>
            </w:pPr>
          </w:p>
        </w:tc>
        <w:tc>
          <w:tcPr>
            <w:tcW w:w="904" w:type="dxa"/>
            <w:vMerge/>
            <w:tcBorders>
              <w:left w:val="single" w:sz="4" w:space="0" w:color="auto"/>
              <w:bottom w:val="single" w:sz="4" w:space="0" w:color="auto"/>
              <w:right w:val="thinThickThinSmallGap" w:sz="24" w:space="0" w:color="auto"/>
            </w:tcBorders>
            <w:shd w:val="clear" w:color="auto" w:fill="FFFFFF" w:themeFill="background1"/>
            <w:vAlign w:val="center"/>
          </w:tcPr>
          <w:p w:rsidR="006F5844" w:rsidRPr="001F29F9" w:rsidRDefault="006F5844" w:rsidP="00BA472E">
            <w:pPr>
              <w:spacing w:line="220" w:lineRule="exact"/>
              <w:rPr>
                <w:rFonts w:cs="Calibri"/>
                <w:color w:val="000000" w:themeColor="text1"/>
                <w:sz w:val="18"/>
                <w:szCs w:val="18"/>
              </w:rPr>
            </w:pPr>
          </w:p>
        </w:tc>
        <w:tc>
          <w:tcPr>
            <w:tcW w:w="2519" w:type="dxa"/>
            <w:tcBorders>
              <w:left w:val="thinThickThinSmallGap" w:sz="24" w:space="0" w:color="auto"/>
              <w:right w:val="single" w:sz="4" w:space="0" w:color="auto"/>
            </w:tcBorders>
            <w:shd w:val="clear" w:color="auto" w:fill="FFFFFF" w:themeFill="background1"/>
            <w:vAlign w:val="center"/>
          </w:tcPr>
          <w:p w:rsidR="006F5844" w:rsidRPr="001F29F9" w:rsidRDefault="006F5844" w:rsidP="00BA472E">
            <w:pPr>
              <w:spacing w:line="220" w:lineRule="exact"/>
              <w:contextualSpacing/>
              <w:jc w:val="left"/>
              <w:rPr>
                <w:rFonts w:ascii="Calibri" w:eastAsia="Times New Roman" w:hAnsi="Calibri" w:cs="Calibri"/>
                <w:color w:val="000000" w:themeColor="text1"/>
                <w:sz w:val="18"/>
                <w:szCs w:val="18"/>
              </w:rPr>
            </w:pPr>
            <w:r w:rsidRPr="006B5DC1">
              <w:rPr>
                <w:rFonts w:ascii="Calibri" w:hAnsi="Calibri" w:cs="Calibri"/>
                <w:color w:val="000000" w:themeColor="text1"/>
                <w:sz w:val="18"/>
                <w:szCs w:val="18"/>
              </w:rPr>
              <w:t>Lumbar Radiculopathy</w:t>
            </w:r>
          </w:p>
        </w:tc>
        <w:tc>
          <w:tcPr>
            <w:tcW w:w="882" w:type="dxa"/>
            <w:tcBorders>
              <w:left w:val="single" w:sz="4" w:space="0" w:color="auto"/>
            </w:tcBorders>
            <w:shd w:val="clear" w:color="auto" w:fill="FFFFFF" w:themeFill="background1"/>
            <w:vAlign w:val="center"/>
          </w:tcPr>
          <w:p w:rsidR="006F5844" w:rsidRPr="00F167DD" w:rsidRDefault="006F5844" w:rsidP="00BA472E">
            <w:pPr>
              <w:spacing w:line="220" w:lineRule="exact"/>
              <w:contextualSpacing/>
              <w:rPr>
                <w:color w:val="auto"/>
                <w:sz w:val="18"/>
                <w:szCs w:val="18"/>
              </w:rPr>
            </w:pPr>
            <w:r w:rsidRPr="00F167DD">
              <w:rPr>
                <w:color w:val="auto"/>
                <w:sz w:val="18"/>
                <w:szCs w:val="18"/>
              </w:rPr>
              <w:t>8520*</w:t>
            </w:r>
          </w:p>
        </w:tc>
        <w:tc>
          <w:tcPr>
            <w:tcW w:w="828" w:type="dxa"/>
            <w:shd w:val="clear" w:color="auto" w:fill="FFFFFF" w:themeFill="background1"/>
            <w:vAlign w:val="center"/>
          </w:tcPr>
          <w:p w:rsidR="006F5844" w:rsidRPr="00F167DD" w:rsidRDefault="006F5844" w:rsidP="00BA472E">
            <w:pPr>
              <w:spacing w:line="220" w:lineRule="exact"/>
              <w:contextualSpacing/>
              <w:rPr>
                <w:color w:val="auto"/>
                <w:sz w:val="18"/>
                <w:szCs w:val="18"/>
              </w:rPr>
            </w:pPr>
            <w:r w:rsidRPr="00F167DD">
              <w:rPr>
                <w:color w:val="auto"/>
                <w:sz w:val="18"/>
                <w:szCs w:val="18"/>
              </w:rPr>
              <w:t>10%</w:t>
            </w:r>
          </w:p>
        </w:tc>
        <w:tc>
          <w:tcPr>
            <w:tcW w:w="990" w:type="dxa"/>
            <w:shd w:val="clear" w:color="auto" w:fill="FFFFFF" w:themeFill="background1"/>
            <w:vAlign w:val="center"/>
          </w:tcPr>
          <w:p w:rsidR="006F5844" w:rsidRPr="0034632E" w:rsidRDefault="006F5844" w:rsidP="00BA472E">
            <w:pPr>
              <w:spacing w:line="220" w:lineRule="exact"/>
              <w:contextualSpacing/>
              <w:rPr>
                <w:color w:val="auto"/>
                <w:sz w:val="18"/>
                <w:szCs w:val="18"/>
              </w:rPr>
            </w:pPr>
            <w:r>
              <w:rPr>
                <w:color w:val="auto"/>
                <w:sz w:val="18"/>
                <w:szCs w:val="18"/>
              </w:rPr>
              <w:t>20070330</w:t>
            </w:r>
          </w:p>
        </w:tc>
      </w:tr>
      <w:tr w:rsidR="00A55729" w:rsidRPr="001F29F9" w:rsidTr="00BA472E">
        <w:trPr>
          <w:trHeight w:val="97"/>
        </w:trPr>
        <w:tc>
          <w:tcPr>
            <w:tcW w:w="4159" w:type="dxa"/>
            <w:gridSpan w:val="3"/>
            <w:vMerge w:val="restart"/>
            <w:tcBorders>
              <w:top w:val="single" w:sz="4" w:space="0" w:color="auto"/>
              <w:right w:val="thinThickThinSmallGap" w:sz="24" w:space="0" w:color="auto"/>
            </w:tcBorders>
            <w:shd w:val="clear" w:color="auto" w:fill="FFFFFF" w:themeFill="background1"/>
          </w:tcPr>
          <w:p w:rsidR="00A55729" w:rsidRPr="001F29F9" w:rsidRDefault="006F5844" w:rsidP="00BA472E">
            <w:pPr>
              <w:spacing w:line="220" w:lineRule="exact"/>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519" w:type="dxa"/>
            <w:tcBorders>
              <w:left w:val="thinThickThinSmallGap" w:sz="24" w:space="0" w:color="auto"/>
              <w:right w:val="single" w:sz="4" w:space="0" w:color="auto"/>
            </w:tcBorders>
            <w:shd w:val="clear" w:color="auto" w:fill="FFFFFF" w:themeFill="background1"/>
            <w:vAlign w:val="center"/>
          </w:tcPr>
          <w:p w:rsidR="00A55729" w:rsidRPr="001F29F9" w:rsidRDefault="00A55729" w:rsidP="00BA472E">
            <w:pPr>
              <w:spacing w:line="220" w:lineRule="exact"/>
              <w:contextualSpacing/>
              <w:jc w:val="left"/>
              <w:rPr>
                <w:rFonts w:ascii="Calibri" w:eastAsia="Times New Roman" w:hAnsi="Calibri" w:cs="Calibri"/>
                <w:color w:val="000000" w:themeColor="text1"/>
                <w:sz w:val="18"/>
                <w:szCs w:val="18"/>
              </w:rPr>
            </w:pPr>
            <w:r w:rsidRPr="006B5DC1">
              <w:rPr>
                <w:rFonts w:ascii="Calibri" w:eastAsia="Times New Roman" w:hAnsi="Calibri" w:cs="Calibri"/>
                <w:color w:val="000000" w:themeColor="text1"/>
                <w:sz w:val="18"/>
                <w:szCs w:val="18"/>
              </w:rPr>
              <w:t>Residuals, Left Wrist Injury</w:t>
            </w:r>
          </w:p>
        </w:tc>
        <w:tc>
          <w:tcPr>
            <w:tcW w:w="882" w:type="dxa"/>
            <w:tcBorders>
              <w:left w:val="single" w:sz="4" w:space="0" w:color="auto"/>
            </w:tcBorders>
            <w:shd w:val="clear" w:color="auto" w:fill="FFFFFF" w:themeFill="background1"/>
            <w:vAlign w:val="center"/>
          </w:tcPr>
          <w:p w:rsidR="00A55729" w:rsidRPr="00F167DD" w:rsidRDefault="00A55729" w:rsidP="00BA472E">
            <w:pPr>
              <w:spacing w:line="220" w:lineRule="exact"/>
              <w:contextualSpacing/>
              <w:rPr>
                <w:color w:val="auto"/>
                <w:sz w:val="18"/>
                <w:szCs w:val="18"/>
              </w:rPr>
            </w:pPr>
            <w:r w:rsidRPr="00F167DD">
              <w:rPr>
                <w:color w:val="auto"/>
                <w:sz w:val="18"/>
                <w:szCs w:val="18"/>
              </w:rPr>
              <w:t>5215</w:t>
            </w:r>
          </w:p>
        </w:tc>
        <w:tc>
          <w:tcPr>
            <w:tcW w:w="828" w:type="dxa"/>
            <w:shd w:val="clear" w:color="auto" w:fill="FFFFFF" w:themeFill="background1"/>
            <w:vAlign w:val="center"/>
          </w:tcPr>
          <w:p w:rsidR="00A55729" w:rsidRPr="00F167DD" w:rsidRDefault="00A55729" w:rsidP="00BA472E">
            <w:pPr>
              <w:spacing w:line="220" w:lineRule="exact"/>
              <w:contextualSpacing/>
              <w:rPr>
                <w:color w:val="auto"/>
                <w:sz w:val="18"/>
                <w:szCs w:val="18"/>
              </w:rPr>
            </w:pPr>
            <w:r w:rsidRPr="00F167DD">
              <w:rPr>
                <w:color w:val="auto"/>
                <w:sz w:val="18"/>
                <w:szCs w:val="18"/>
              </w:rPr>
              <w:t>10%</w:t>
            </w:r>
          </w:p>
        </w:tc>
        <w:tc>
          <w:tcPr>
            <w:tcW w:w="990" w:type="dxa"/>
            <w:shd w:val="clear" w:color="auto" w:fill="FFFFFF" w:themeFill="background1"/>
            <w:vAlign w:val="center"/>
          </w:tcPr>
          <w:p w:rsidR="00A55729" w:rsidRPr="0034632E" w:rsidRDefault="00A55729" w:rsidP="00BA472E">
            <w:pPr>
              <w:spacing w:line="220" w:lineRule="exact"/>
              <w:contextualSpacing/>
              <w:rPr>
                <w:color w:val="auto"/>
                <w:sz w:val="18"/>
                <w:szCs w:val="18"/>
              </w:rPr>
            </w:pPr>
            <w:r>
              <w:rPr>
                <w:color w:val="auto"/>
                <w:sz w:val="18"/>
                <w:szCs w:val="18"/>
              </w:rPr>
              <w:t>20050302</w:t>
            </w:r>
          </w:p>
        </w:tc>
      </w:tr>
      <w:tr w:rsidR="00A55729" w:rsidRPr="001F29F9" w:rsidTr="00BA472E">
        <w:trPr>
          <w:trHeight w:val="178"/>
        </w:trPr>
        <w:tc>
          <w:tcPr>
            <w:tcW w:w="4159" w:type="dxa"/>
            <w:gridSpan w:val="3"/>
            <w:vMerge/>
            <w:tcBorders>
              <w:right w:val="thinThickThinSmallGap" w:sz="24" w:space="0" w:color="auto"/>
            </w:tcBorders>
            <w:shd w:val="clear" w:color="auto" w:fill="FFFFFF" w:themeFill="background1"/>
            <w:vAlign w:val="center"/>
          </w:tcPr>
          <w:p w:rsidR="00A55729" w:rsidRPr="001F29F9" w:rsidRDefault="00A55729" w:rsidP="00BA472E">
            <w:pPr>
              <w:spacing w:line="220" w:lineRule="exact"/>
              <w:contextualSpacing/>
              <w:rPr>
                <w:rFonts w:ascii="Calibri" w:eastAsia="Times New Roman" w:hAnsi="Calibri" w:cs="Calibri"/>
                <w:color w:val="000000" w:themeColor="text1"/>
                <w:sz w:val="18"/>
                <w:szCs w:val="18"/>
                <w:highlight w:val="yellow"/>
              </w:rPr>
            </w:pPr>
          </w:p>
        </w:tc>
        <w:tc>
          <w:tcPr>
            <w:tcW w:w="2519" w:type="dxa"/>
            <w:tcBorders>
              <w:left w:val="thinThickThinSmallGap" w:sz="24" w:space="0" w:color="auto"/>
              <w:right w:val="single" w:sz="4" w:space="0" w:color="auto"/>
            </w:tcBorders>
            <w:shd w:val="clear" w:color="auto" w:fill="FFFFFF" w:themeFill="background1"/>
            <w:vAlign w:val="center"/>
          </w:tcPr>
          <w:p w:rsidR="00A55729" w:rsidRPr="001F29F9" w:rsidRDefault="00A55729" w:rsidP="00BA472E">
            <w:pPr>
              <w:spacing w:line="220" w:lineRule="exact"/>
              <w:contextualSpacing/>
              <w:jc w:val="left"/>
              <w:rPr>
                <w:rFonts w:ascii="Calibri" w:eastAsia="Times New Roman" w:hAnsi="Calibri" w:cs="Calibri"/>
                <w:color w:val="000000" w:themeColor="text1"/>
                <w:sz w:val="18"/>
                <w:szCs w:val="18"/>
              </w:rPr>
            </w:pPr>
            <w:r w:rsidRPr="006B5DC1">
              <w:rPr>
                <w:rFonts w:ascii="Calibri" w:eastAsia="Times New Roman" w:hAnsi="Calibri" w:cs="Calibri"/>
                <w:color w:val="000000" w:themeColor="text1"/>
                <w:sz w:val="18"/>
                <w:szCs w:val="18"/>
              </w:rPr>
              <w:t>Tinnitus</w:t>
            </w:r>
          </w:p>
        </w:tc>
        <w:tc>
          <w:tcPr>
            <w:tcW w:w="882" w:type="dxa"/>
            <w:tcBorders>
              <w:left w:val="single" w:sz="4" w:space="0" w:color="auto"/>
            </w:tcBorders>
            <w:shd w:val="clear" w:color="auto" w:fill="FFFFFF" w:themeFill="background1"/>
            <w:vAlign w:val="center"/>
          </w:tcPr>
          <w:p w:rsidR="00A55729" w:rsidRPr="00F167DD" w:rsidRDefault="00A55729" w:rsidP="00BA472E">
            <w:pPr>
              <w:spacing w:line="220" w:lineRule="exact"/>
              <w:contextualSpacing/>
              <w:rPr>
                <w:color w:val="auto"/>
                <w:sz w:val="18"/>
                <w:szCs w:val="18"/>
              </w:rPr>
            </w:pPr>
            <w:r w:rsidRPr="00F167DD">
              <w:rPr>
                <w:color w:val="auto"/>
                <w:sz w:val="18"/>
                <w:szCs w:val="18"/>
              </w:rPr>
              <w:t>6260</w:t>
            </w:r>
          </w:p>
        </w:tc>
        <w:tc>
          <w:tcPr>
            <w:tcW w:w="828" w:type="dxa"/>
            <w:shd w:val="clear" w:color="auto" w:fill="FFFFFF" w:themeFill="background1"/>
            <w:vAlign w:val="center"/>
          </w:tcPr>
          <w:p w:rsidR="00A55729" w:rsidRPr="00F167DD" w:rsidRDefault="00A55729" w:rsidP="00BA472E">
            <w:pPr>
              <w:spacing w:line="220" w:lineRule="exact"/>
              <w:contextualSpacing/>
              <w:rPr>
                <w:color w:val="auto"/>
                <w:sz w:val="18"/>
                <w:szCs w:val="18"/>
              </w:rPr>
            </w:pPr>
            <w:r w:rsidRPr="00F167DD">
              <w:rPr>
                <w:color w:val="auto"/>
                <w:sz w:val="18"/>
                <w:szCs w:val="18"/>
              </w:rPr>
              <w:t>10%</w:t>
            </w:r>
          </w:p>
        </w:tc>
        <w:tc>
          <w:tcPr>
            <w:tcW w:w="990" w:type="dxa"/>
            <w:shd w:val="clear" w:color="auto" w:fill="FFFFFF" w:themeFill="background1"/>
            <w:vAlign w:val="center"/>
          </w:tcPr>
          <w:p w:rsidR="00A55729" w:rsidRPr="0034632E" w:rsidRDefault="00A55729" w:rsidP="00BA472E">
            <w:pPr>
              <w:spacing w:line="220" w:lineRule="exact"/>
              <w:contextualSpacing/>
              <w:rPr>
                <w:color w:val="auto"/>
                <w:sz w:val="18"/>
                <w:szCs w:val="18"/>
              </w:rPr>
            </w:pPr>
            <w:r>
              <w:rPr>
                <w:color w:val="auto"/>
                <w:sz w:val="18"/>
                <w:szCs w:val="18"/>
              </w:rPr>
              <w:t>20050222</w:t>
            </w:r>
          </w:p>
        </w:tc>
      </w:tr>
      <w:tr w:rsidR="00A55729" w:rsidRPr="001F29F9" w:rsidTr="00BA472E">
        <w:trPr>
          <w:trHeight w:val="133"/>
        </w:trPr>
        <w:tc>
          <w:tcPr>
            <w:tcW w:w="4159" w:type="dxa"/>
            <w:gridSpan w:val="3"/>
            <w:vMerge/>
            <w:tcBorders>
              <w:right w:val="thinThickThinSmallGap" w:sz="24" w:space="0" w:color="auto"/>
            </w:tcBorders>
            <w:shd w:val="clear" w:color="auto" w:fill="FFFFFF" w:themeFill="background1"/>
            <w:vAlign w:val="center"/>
          </w:tcPr>
          <w:p w:rsidR="00A55729" w:rsidRPr="001F29F9" w:rsidRDefault="00A55729" w:rsidP="00BA472E">
            <w:pPr>
              <w:spacing w:line="220" w:lineRule="exact"/>
              <w:contextualSpacing/>
              <w:rPr>
                <w:rFonts w:ascii="Calibri" w:eastAsia="Times New Roman" w:hAnsi="Calibri" w:cs="Calibri"/>
                <w:color w:val="000000" w:themeColor="text1"/>
                <w:sz w:val="18"/>
                <w:szCs w:val="18"/>
              </w:rPr>
            </w:pPr>
          </w:p>
        </w:tc>
        <w:tc>
          <w:tcPr>
            <w:tcW w:w="4229" w:type="dxa"/>
            <w:gridSpan w:val="3"/>
            <w:tcBorders>
              <w:left w:val="thinThickThinSmallGap" w:sz="24" w:space="0" w:color="auto"/>
            </w:tcBorders>
            <w:shd w:val="clear" w:color="auto" w:fill="FFFFFF" w:themeFill="background1"/>
            <w:vAlign w:val="center"/>
          </w:tcPr>
          <w:p w:rsidR="00A55729" w:rsidRPr="001F29F9" w:rsidRDefault="00A55729" w:rsidP="00BA472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 xml:space="preserve">4 </w:t>
            </w:r>
            <w:r w:rsidRPr="001F29F9">
              <w:rPr>
                <w:rFonts w:ascii="Calibri" w:hAnsi="Calibri" w:cs="Calibri"/>
                <w:color w:val="000000" w:themeColor="text1"/>
                <w:sz w:val="18"/>
                <w:szCs w:val="18"/>
              </w:rPr>
              <w:t>/</w:t>
            </w:r>
            <w:r>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2</w:t>
            </w:r>
          </w:p>
        </w:tc>
        <w:tc>
          <w:tcPr>
            <w:tcW w:w="990" w:type="dxa"/>
            <w:shd w:val="clear" w:color="auto" w:fill="FFFFFF" w:themeFill="background1"/>
            <w:vAlign w:val="center"/>
          </w:tcPr>
          <w:p w:rsidR="00A55729" w:rsidRPr="001F29F9" w:rsidRDefault="00A55729" w:rsidP="00BA472E">
            <w:pPr>
              <w:spacing w:line="220" w:lineRule="exact"/>
              <w:contextualSpacing/>
              <w:rPr>
                <w:rFonts w:ascii="Calibri" w:eastAsia="Times New Roman" w:hAnsi="Calibri" w:cs="Calibri"/>
                <w:color w:val="000000" w:themeColor="text1"/>
                <w:sz w:val="18"/>
                <w:szCs w:val="18"/>
              </w:rPr>
            </w:pPr>
            <w:r w:rsidRPr="00A55729">
              <w:rPr>
                <w:rFonts w:ascii="Calibri" w:hAnsi="Calibri" w:cs="Calibri"/>
                <w:color w:val="000000" w:themeColor="text1"/>
                <w:sz w:val="18"/>
                <w:szCs w:val="18"/>
              </w:rPr>
              <w:t>20070315</w:t>
            </w:r>
          </w:p>
        </w:tc>
      </w:tr>
      <w:tr w:rsidR="007A65A9" w:rsidRPr="001F29F9" w:rsidTr="00BA472E">
        <w:trPr>
          <w:trHeight w:val="124"/>
        </w:trPr>
        <w:tc>
          <w:tcPr>
            <w:tcW w:w="4159" w:type="dxa"/>
            <w:gridSpan w:val="3"/>
            <w:tcBorders>
              <w:right w:val="thinThickThinSmallGap" w:sz="24" w:space="0" w:color="auto"/>
            </w:tcBorders>
            <w:shd w:val="clear" w:color="auto" w:fill="D9D9D9" w:themeFill="background1" w:themeFillShade="D9"/>
          </w:tcPr>
          <w:p w:rsidR="007A65A9" w:rsidRPr="001F29F9" w:rsidRDefault="007A65A9" w:rsidP="00BA472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A5572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219" w:type="dxa"/>
            <w:gridSpan w:val="4"/>
            <w:tcBorders>
              <w:left w:val="thinThickThinSmallGap" w:sz="24" w:space="0" w:color="auto"/>
            </w:tcBorders>
            <w:shd w:val="clear" w:color="auto" w:fill="D9D9D9" w:themeFill="background1" w:themeFillShade="D9"/>
          </w:tcPr>
          <w:p w:rsidR="007A65A9" w:rsidRPr="001F29F9" w:rsidRDefault="007A65A9" w:rsidP="00BA472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3457CC">
              <w:rPr>
                <w:rFonts w:ascii="Calibri" w:hAnsi="Calibri" w:cs="Calibri"/>
                <w:b/>
                <w:color w:val="000000" w:themeColor="text1"/>
                <w:sz w:val="18"/>
                <w:szCs w:val="18"/>
              </w:rPr>
              <w:t>4</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3457CC">
              <w:rPr>
                <w:rFonts w:ascii="Calibri" w:hAnsi="Calibri" w:cs="Calibri"/>
                <w:b/>
                <w:color w:val="000000" w:themeColor="text1"/>
                <w:sz w:val="18"/>
                <w:szCs w:val="18"/>
              </w:rPr>
              <w:t>*</w:t>
            </w:r>
          </w:p>
        </w:tc>
      </w:tr>
    </w:tbl>
    <w:p w:rsidR="00A97CD9" w:rsidRPr="001F29F9" w:rsidRDefault="00A57C35" w:rsidP="000E6AD3">
      <w:pPr>
        <w:pBdr>
          <w:bottom w:val="single" w:sz="12" w:space="1" w:color="auto"/>
        </w:pBdr>
        <w:tabs>
          <w:tab w:val="left" w:pos="288"/>
          <w:tab w:val="left" w:pos="4752"/>
        </w:tabs>
        <w:jc w:val="both"/>
        <w:rPr>
          <w:color w:val="000000" w:themeColor="text1"/>
          <w:szCs w:val="24"/>
        </w:rPr>
      </w:pPr>
      <w:r w:rsidRPr="003C53E8">
        <w:rPr>
          <w:color w:val="000000" w:themeColor="text1"/>
          <w:sz w:val="18"/>
          <w:szCs w:val="18"/>
        </w:rPr>
        <w:t xml:space="preserve">* </w:t>
      </w:r>
      <w:r w:rsidR="003457CC">
        <w:rPr>
          <w:color w:val="000000" w:themeColor="text1"/>
          <w:sz w:val="18"/>
          <w:szCs w:val="18"/>
        </w:rPr>
        <w:t xml:space="preserve">24 September 2008 Decision Review Officer </w:t>
      </w:r>
      <w:r w:rsidR="00C01634">
        <w:rPr>
          <w:color w:val="000000" w:themeColor="text1"/>
          <w:sz w:val="18"/>
          <w:szCs w:val="18"/>
        </w:rPr>
        <w:t xml:space="preserve">(DRO) </w:t>
      </w:r>
      <w:r w:rsidR="003457CC">
        <w:rPr>
          <w:color w:val="000000" w:themeColor="text1"/>
          <w:sz w:val="18"/>
          <w:szCs w:val="18"/>
        </w:rPr>
        <w:t>increased 8520 to 60%, combined 70% effective 20060525</w:t>
      </w:r>
      <w:r w:rsidRPr="003C53E8">
        <w:rPr>
          <w:color w:val="000000" w:themeColor="text1"/>
          <w:sz w:val="18"/>
          <w:szCs w:val="18"/>
        </w:rPr>
        <w:t>.</w:t>
      </w:r>
    </w:p>
    <w:p w:rsidR="009369A6" w:rsidRPr="001F29F9" w:rsidRDefault="009369A6" w:rsidP="00A55729">
      <w:pPr>
        <w:jc w:val="both"/>
        <w:rPr>
          <w:color w:val="000000" w:themeColor="text1"/>
          <w:szCs w:val="24"/>
          <w:u w:val="single"/>
        </w:rPr>
      </w:pPr>
    </w:p>
    <w:p w:rsidR="0019694D" w:rsidRDefault="002C6E5B" w:rsidP="00BE50F8">
      <w:pPr>
        <w:jc w:val="both"/>
        <w:rPr>
          <w:rFonts w:cs="Calibri"/>
          <w:color w:val="000000"/>
          <w:sz w:val="23"/>
          <w:szCs w:val="23"/>
        </w:rPr>
      </w:pPr>
      <w:r w:rsidRPr="001F29F9">
        <w:rPr>
          <w:color w:val="000000" w:themeColor="text1"/>
          <w:szCs w:val="24"/>
          <w:u w:val="single"/>
        </w:rPr>
        <w:lastRenderedPageBreak/>
        <w:t>ANALYSIS SUMMARY</w:t>
      </w:r>
      <w:r w:rsidRPr="001F29F9">
        <w:rPr>
          <w:color w:val="000000" w:themeColor="text1"/>
          <w:szCs w:val="24"/>
        </w:rPr>
        <w:t>:</w:t>
      </w:r>
      <w:r w:rsidR="00B505E9">
        <w:rPr>
          <w:color w:val="000000" w:themeColor="text1"/>
          <w:szCs w:val="24"/>
        </w:rPr>
        <w:t xml:space="preserve">  </w:t>
      </w:r>
      <w:r w:rsidR="00B505E9" w:rsidRPr="00B505E9">
        <w:rPr>
          <w:color w:val="000000" w:themeColor="text1"/>
          <w:szCs w:val="24"/>
        </w:rPr>
        <w:t>The Board acknowledges the sentiment expressed in the CI’s application regarding the significant impairment with which his service-aggravated condition continues to burden him.  It is a fact, however, that the DES has neither the role n</w:t>
      </w:r>
      <w:r w:rsidR="000E6AD3">
        <w:rPr>
          <w:color w:val="000000" w:themeColor="text1"/>
          <w:szCs w:val="24"/>
        </w:rPr>
        <w:t>or the authority to compensate S</w:t>
      </w:r>
      <w:r w:rsidR="00B505E9" w:rsidRPr="00B505E9">
        <w:rPr>
          <w:color w:val="000000" w:themeColor="text1"/>
          <w:szCs w:val="24"/>
        </w:rPr>
        <w:t>ervice members for anticipated future severity or potential complications of conditions resulting in medical separation.  This role and authority is granted by Congress to the Department of Veteran</w:t>
      </w:r>
      <w:r w:rsidR="000E6AD3">
        <w:rPr>
          <w:color w:val="000000" w:themeColor="text1"/>
          <w:szCs w:val="24"/>
        </w:rPr>
        <w:t>s’</w:t>
      </w:r>
      <w:r w:rsidR="00B505E9" w:rsidRPr="00B505E9">
        <w:rPr>
          <w:color w:val="000000" w:themeColor="text1"/>
          <w:szCs w:val="24"/>
        </w:rPr>
        <w:t xml:space="preserve"> Affairs (DVA).  The DVA, operating under a different set of laws (Title 38, United States Code), is empowered to compensate service connected conditions and to periodically re-evaluate said conditions for the purpose of adjusting th</w:t>
      </w:r>
      <w:r w:rsidR="000E6AD3">
        <w:rPr>
          <w:color w:val="000000" w:themeColor="text1"/>
          <w:szCs w:val="24"/>
        </w:rPr>
        <w:t>e V</w:t>
      </w:r>
      <w:r w:rsidR="00B505E9" w:rsidRPr="00B505E9">
        <w:rPr>
          <w:color w:val="000000" w:themeColor="text1"/>
          <w:szCs w:val="24"/>
        </w:rPr>
        <w:t xml:space="preserve">eteran’s disability rating should his degree of impairment vary over time.  The Board utilizes </w:t>
      </w:r>
      <w:r w:rsidR="000E6AD3">
        <w:rPr>
          <w:color w:val="000000" w:themeColor="text1"/>
          <w:szCs w:val="24"/>
        </w:rPr>
        <w:t>D</w:t>
      </w:r>
      <w:r w:rsidR="00B505E9" w:rsidRPr="00B505E9">
        <w:rPr>
          <w:color w:val="000000" w:themeColor="text1"/>
          <w:szCs w:val="24"/>
        </w:rPr>
        <w:t xml:space="preserve">VA evidence proximal to separation in arriving at its recommendations; and, DoDI 6040.44 defines a </w:t>
      </w:r>
      <w:r w:rsidR="000E6AD3">
        <w:rPr>
          <w:color w:val="000000" w:themeColor="text1"/>
          <w:szCs w:val="24"/>
        </w:rPr>
        <w:t xml:space="preserve">           </w:t>
      </w:r>
      <w:r w:rsidR="00B505E9" w:rsidRPr="00B505E9">
        <w:rPr>
          <w:color w:val="000000" w:themeColor="text1"/>
          <w:szCs w:val="24"/>
        </w:rPr>
        <w:t>12</w:t>
      </w:r>
      <w:r w:rsidR="000E6AD3">
        <w:rPr>
          <w:color w:val="000000" w:themeColor="text1"/>
          <w:szCs w:val="24"/>
        </w:rPr>
        <w:t>-</w:t>
      </w:r>
      <w:r w:rsidR="00B505E9" w:rsidRPr="00B505E9">
        <w:rPr>
          <w:color w:val="000000" w:themeColor="text1"/>
          <w:szCs w:val="24"/>
        </w:rPr>
        <w:t xml:space="preserve">month interval for special consideration to post-separation evidence. </w:t>
      </w:r>
      <w:r w:rsidR="000E6AD3">
        <w:rPr>
          <w:color w:val="000000" w:themeColor="text1"/>
          <w:szCs w:val="24"/>
        </w:rPr>
        <w:t xml:space="preserve"> </w:t>
      </w:r>
      <w:r w:rsidR="00B505E9" w:rsidRPr="00B505E9">
        <w:rPr>
          <w:color w:val="000000" w:themeColor="text1"/>
          <w:szCs w:val="24"/>
        </w:rPr>
        <w:t>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0F1247" w:rsidRPr="000F1247">
        <w:rPr>
          <w:rFonts w:cs="Calibri"/>
          <w:color w:val="000000"/>
          <w:sz w:val="23"/>
          <w:szCs w:val="23"/>
        </w:rPr>
        <w:t xml:space="preserve"> </w:t>
      </w:r>
      <w:r w:rsidR="000F1247">
        <w:rPr>
          <w:rFonts w:cs="Calibri"/>
          <w:color w:val="000000"/>
          <w:sz w:val="23"/>
          <w:szCs w:val="23"/>
        </w:rPr>
        <w:t xml:space="preserve"> </w:t>
      </w:r>
    </w:p>
    <w:p w:rsidR="0019694D" w:rsidRDefault="0019694D" w:rsidP="00BE50F8">
      <w:pPr>
        <w:jc w:val="both"/>
        <w:rPr>
          <w:rFonts w:cs="Calibri"/>
          <w:color w:val="000000"/>
          <w:sz w:val="23"/>
          <w:szCs w:val="23"/>
        </w:rPr>
      </w:pPr>
    </w:p>
    <w:p w:rsidR="00B505E9" w:rsidRPr="00B505E9" w:rsidRDefault="000F1247" w:rsidP="00BE50F8">
      <w:pPr>
        <w:jc w:val="both"/>
        <w:rPr>
          <w:color w:val="000000" w:themeColor="text1"/>
          <w:szCs w:val="24"/>
        </w:rPr>
      </w:pPr>
      <w:r w:rsidRPr="000F1247">
        <w:rPr>
          <w:color w:val="000000" w:themeColor="text1"/>
          <w:szCs w:val="24"/>
        </w:rPr>
        <w:t xml:space="preserve">The Board </w:t>
      </w:r>
      <w:r>
        <w:rPr>
          <w:color w:val="000000" w:themeColor="text1"/>
          <w:szCs w:val="24"/>
        </w:rPr>
        <w:t xml:space="preserve">also </w:t>
      </w:r>
      <w:r w:rsidRPr="000F1247">
        <w:rPr>
          <w:color w:val="000000" w:themeColor="text1"/>
          <w:szCs w:val="24"/>
        </w:rPr>
        <w:t>acknowle</w:t>
      </w:r>
      <w:r>
        <w:rPr>
          <w:color w:val="000000" w:themeColor="text1"/>
          <w:szCs w:val="24"/>
        </w:rPr>
        <w:t xml:space="preserve">dges the CI’s assertions that he was not fully informed of the MEB process and that he was misinformed regarding AF retirement benefits under Title 10. </w:t>
      </w:r>
      <w:r w:rsidRPr="000F1247">
        <w:rPr>
          <w:color w:val="000000" w:themeColor="text1"/>
          <w:szCs w:val="24"/>
        </w:rPr>
        <w:t xml:space="preserve"> It is noted for the record that the Board has neither the jurisdiction nor authority to scrutinize or render opinions in reference to asserted service improprieties in the disposition of a case. </w:t>
      </w:r>
      <w:r w:rsidR="000E6AD3">
        <w:rPr>
          <w:color w:val="000000" w:themeColor="text1"/>
          <w:szCs w:val="24"/>
        </w:rPr>
        <w:t xml:space="preserve"> </w:t>
      </w:r>
      <w:r w:rsidRPr="000F1247">
        <w:rPr>
          <w:color w:val="000000" w:themeColor="text1"/>
          <w:szCs w:val="24"/>
        </w:rPr>
        <w:t xml:space="preserve">The Board’s role is confined to the review of medical records and all evidence at hand to assess the fairness of PEB rating determinations, compared to VASRD standards, based on severity at the time of separation. </w:t>
      </w:r>
      <w:r w:rsidR="000E6AD3">
        <w:rPr>
          <w:color w:val="000000" w:themeColor="text1"/>
          <w:szCs w:val="24"/>
        </w:rPr>
        <w:t xml:space="preserve"> These notwithstanding, the CI’s appeal for remedy</w:t>
      </w:r>
      <w:r w:rsidR="006F5844">
        <w:rPr>
          <w:color w:val="000000" w:themeColor="text1"/>
          <w:szCs w:val="24"/>
        </w:rPr>
        <w:t xml:space="preserve"> </w:t>
      </w:r>
      <w:r w:rsidR="00CB2B70">
        <w:rPr>
          <w:color w:val="000000" w:themeColor="text1"/>
          <w:szCs w:val="24"/>
        </w:rPr>
        <w:t>regarding</w:t>
      </w:r>
      <w:r w:rsidR="006F5844">
        <w:rPr>
          <w:color w:val="000000" w:themeColor="text1"/>
          <w:szCs w:val="24"/>
        </w:rPr>
        <w:t xml:space="preserve"> his </w:t>
      </w:r>
      <w:r w:rsidR="00CB2B70">
        <w:rPr>
          <w:color w:val="000000" w:themeColor="text1"/>
          <w:szCs w:val="24"/>
        </w:rPr>
        <w:t xml:space="preserve">retirement eligibility was addressed in an AFBMCR decision of </w:t>
      </w:r>
      <w:r w:rsidR="000E6AD3">
        <w:rPr>
          <w:color w:val="000000" w:themeColor="text1"/>
          <w:szCs w:val="24"/>
        </w:rPr>
        <w:t xml:space="preserve">10 April </w:t>
      </w:r>
      <w:r w:rsidR="00CB2B70">
        <w:rPr>
          <w:color w:val="000000" w:themeColor="text1"/>
          <w:szCs w:val="24"/>
        </w:rPr>
        <w:t xml:space="preserve">2007; and, is consequently not eligible for reconsideration by this Board.  </w:t>
      </w:r>
      <w:r w:rsidR="0019694D" w:rsidRPr="0019694D">
        <w:rPr>
          <w:color w:val="000000" w:themeColor="text1"/>
          <w:szCs w:val="24"/>
        </w:rPr>
        <w:t xml:space="preserve">The </w:t>
      </w:r>
      <w:r w:rsidR="0019694D">
        <w:rPr>
          <w:color w:val="000000" w:themeColor="text1"/>
          <w:szCs w:val="24"/>
        </w:rPr>
        <w:t xml:space="preserve">CI’s appeal for </w:t>
      </w:r>
      <w:r w:rsidR="0019694D" w:rsidRPr="0019694D">
        <w:rPr>
          <w:color w:val="000000" w:themeColor="text1"/>
          <w:szCs w:val="24"/>
        </w:rPr>
        <w:t xml:space="preserve">correction of records and consequential entitlement determinations </w:t>
      </w:r>
      <w:r w:rsidR="0019694D">
        <w:rPr>
          <w:color w:val="000000" w:themeColor="text1"/>
          <w:szCs w:val="24"/>
        </w:rPr>
        <w:t xml:space="preserve">regarding retirement benefits </w:t>
      </w:r>
      <w:r w:rsidR="0019694D" w:rsidRPr="0019694D">
        <w:rPr>
          <w:color w:val="000000" w:themeColor="text1"/>
          <w:szCs w:val="24"/>
        </w:rPr>
        <w:t>is the responsibility o</w:t>
      </w:r>
      <w:r w:rsidR="00714B2D">
        <w:rPr>
          <w:color w:val="000000" w:themeColor="text1"/>
          <w:szCs w:val="24"/>
        </w:rPr>
        <w:t>f the applicable Secretary and a</w:t>
      </w:r>
      <w:r w:rsidR="0019694D" w:rsidRPr="0019694D">
        <w:rPr>
          <w:color w:val="000000" w:themeColor="text1"/>
          <w:szCs w:val="24"/>
        </w:rPr>
        <w:t xml:space="preserve">ccounting service.  </w:t>
      </w:r>
      <w:r w:rsidR="00CB2B70">
        <w:rPr>
          <w:color w:val="000000" w:themeColor="text1"/>
          <w:szCs w:val="24"/>
        </w:rPr>
        <w:t xml:space="preserve">The fairness of </w:t>
      </w:r>
      <w:r w:rsidR="00BA472E">
        <w:rPr>
          <w:color w:val="000000" w:themeColor="text1"/>
          <w:szCs w:val="24"/>
        </w:rPr>
        <w:t>the CI’s</w:t>
      </w:r>
      <w:r w:rsidR="00CB2B70">
        <w:rPr>
          <w:color w:val="000000" w:themeColor="text1"/>
          <w:szCs w:val="24"/>
        </w:rPr>
        <w:t xml:space="preserve"> </w:t>
      </w:r>
      <w:r w:rsidR="00BA472E">
        <w:rPr>
          <w:color w:val="000000" w:themeColor="text1"/>
          <w:szCs w:val="24"/>
        </w:rPr>
        <w:t xml:space="preserve">lumbar spine </w:t>
      </w:r>
      <w:r w:rsidR="00CB2B70">
        <w:rPr>
          <w:color w:val="000000" w:themeColor="text1"/>
          <w:szCs w:val="24"/>
        </w:rPr>
        <w:t>disability rating IAW VASRD</w:t>
      </w:r>
      <w:r w:rsidR="00BA472E">
        <w:rPr>
          <w:color w:val="000000" w:themeColor="text1"/>
          <w:szCs w:val="24"/>
        </w:rPr>
        <w:t xml:space="preserve"> standards</w:t>
      </w:r>
      <w:r w:rsidR="00CB2B70">
        <w:rPr>
          <w:color w:val="000000" w:themeColor="text1"/>
          <w:szCs w:val="24"/>
        </w:rPr>
        <w:t xml:space="preserve">, and </w:t>
      </w:r>
      <w:r w:rsidR="00BA472E">
        <w:rPr>
          <w:color w:val="000000" w:themeColor="text1"/>
          <w:szCs w:val="24"/>
        </w:rPr>
        <w:t>consideration of Service ratings for additionally contended conditions, remain eligible for Board recommendations IAW DoDI 6040.44.</w:t>
      </w:r>
      <w:r w:rsidR="00CB2B70">
        <w:rPr>
          <w:color w:val="000000" w:themeColor="text1"/>
          <w:szCs w:val="24"/>
        </w:rPr>
        <w:t xml:space="preserve"> </w:t>
      </w:r>
    </w:p>
    <w:p w:rsidR="003A76AB" w:rsidRPr="001F29F9" w:rsidRDefault="003A76AB" w:rsidP="00BF0E94">
      <w:pPr>
        <w:jc w:val="left"/>
        <w:rPr>
          <w:color w:val="000000" w:themeColor="text1"/>
          <w:szCs w:val="24"/>
          <w:highlight w:val="yellow"/>
        </w:rPr>
      </w:pPr>
    </w:p>
    <w:p w:rsidR="003C53E8" w:rsidRPr="003C53E8" w:rsidRDefault="00A55729" w:rsidP="00BE50F8">
      <w:pPr>
        <w:jc w:val="both"/>
        <w:rPr>
          <w:rFonts w:asciiTheme="minorHAnsi" w:hAnsiTheme="minorHAnsi" w:cs="Times New Roman"/>
          <w:color w:val="auto"/>
          <w:szCs w:val="24"/>
        </w:rPr>
      </w:pPr>
      <w:proofErr w:type="gramStart"/>
      <w:r w:rsidRPr="006D1A11">
        <w:rPr>
          <w:color w:val="000000" w:themeColor="text1"/>
          <w:szCs w:val="24"/>
          <w:u w:val="single"/>
        </w:rPr>
        <w:t xml:space="preserve">Lumbar </w:t>
      </w:r>
      <w:r w:rsidR="000F1247">
        <w:rPr>
          <w:color w:val="000000" w:themeColor="text1"/>
          <w:szCs w:val="24"/>
          <w:u w:val="single"/>
        </w:rPr>
        <w:t>Spine</w:t>
      </w:r>
      <w:r w:rsidR="0080588E" w:rsidRPr="006D1A11">
        <w:rPr>
          <w:color w:val="000000" w:themeColor="text1"/>
          <w:szCs w:val="24"/>
          <w:u w:val="single"/>
        </w:rPr>
        <w:t xml:space="preserve"> </w:t>
      </w:r>
      <w:r w:rsidR="003F2EEE" w:rsidRPr="006D1A11">
        <w:rPr>
          <w:color w:val="000000" w:themeColor="text1"/>
          <w:szCs w:val="24"/>
          <w:u w:val="single"/>
        </w:rPr>
        <w:t>Condition</w:t>
      </w:r>
      <w:r w:rsidR="003F2EEE" w:rsidRPr="006D1A11">
        <w:rPr>
          <w:color w:val="000000" w:themeColor="text1"/>
          <w:szCs w:val="24"/>
        </w:rPr>
        <w:t>.</w:t>
      </w:r>
      <w:proofErr w:type="gramEnd"/>
      <w:r w:rsidR="003F2EEE" w:rsidRPr="006D1A11">
        <w:rPr>
          <w:color w:val="000000" w:themeColor="text1"/>
          <w:szCs w:val="24"/>
        </w:rPr>
        <w:t xml:space="preserve">  </w:t>
      </w:r>
      <w:r w:rsidR="00F87F2E">
        <w:rPr>
          <w:color w:val="000000" w:themeColor="text1"/>
          <w:szCs w:val="24"/>
        </w:rPr>
        <w:t xml:space="preserve">The CI suffered an onset of radiating back pain while handling cargo during his deployment.  </w:t>
      </w:r>
      <w:r w:rsidR="00F87F2E">
        <w:rPr>
          <w:rFonts w:asciiTheme="minorHAnsi" w:hAnsiTheme="minorHAnsi" w:cs="Times New Roman"/>
          <w:color w:val="auto"/>
          <w:szCs w:val="24"/>
        </w:rPr>
        <w:t>Imaging studies showed multi-level</w:t>
      </w:r>
      <w:r w:rsidR="00F87F2E" w:rsidRPr="00081B7F">
        <w:rPr>
          <w:rFonts w:asciiTheme="minorHAnsi" w:hAnsiTheme="minorHAnsi" w:cs="Times New Roman"/>
          <w:color w:val="auto"/>
          <w:szCs w:val="24"/>
        </w:rPr>
        <w:t xml:space="preserve"> disk bulges </w:t>
      </w:r>
      <w:r w:rsidR="00F87F2E">
        <w:rPr>
          <w:rFonts w:asciiTheme="minorHAnsi" w:hAnsiTheme="minorHAnsi" w:cs="Times New Roman"/>
          <w:color w:val="auto"/>
          <w:szCs w:val="24"/>
        </w:rPr>
        <w:t>(L3 – S1) with minimal foraminal</w:t>
      </w:r>
      <w:r w:rsidR="00F87F2E" w:rsidRPr="00081B7F">
        <w:rPr>
          <w:rFonts w:asciiTheme="minorHAnsi" w:hAnsiTheme="minorHAnsi" w:cs="Times New Roman"/>
          <w:color w:val="auto"/>
          <w:szCs w:val="24"/>
        </w:rPr>
        <w:t xml:space="preserve"> narrowing </w:t>
      </w:r>
      <w:r w:rsidR="00F87F2E">
        <w:rPr>
          <w:rFonts w:asciiTheme="minorHAnsi" w:hAnsiTheme="minorHAnsi" w:cs="Times New Roman"/>
          <w:color w:val="auto"/>
          <w:szCs w:val="24"/>
        </w:rPr>
        <w:t xml:space="preserve">bilaterally.  Other studies included discography that was essentially normal, and electrodiagnostic studies reported as normal. </w:t>
      </w:r>
      <w:r w:rsidR="00705F8E">
        <w:rPr>
          <w:rFonts w:asciiTheme="minorHAnsi" w:hAnsiTheme="minorHAnsi" w:cs="Times New Roman"/>
          <w:color w:val="auto"/>
          <w:szCs w:val="24"/>
        </w:rPr>
        <w:t xml:space="preserve"> </w:t>
      </w:r>
      <w:r w:rsidR="00CC2D30">
        <w:rPr>
          <w:rFonts w:asciiTheme="minorHAnsi" w:hAnsiTheme="minorHAnsi" w:cs="Times New Roman"/>
          <w:color w:val="auto"/>
          <w:szCs w:val="24"/>
        </w:rPr>
        <w:t xml:space="preserve">The CI underwent a full range of conservative therapy for his back and radicular pain without significant improvement and was then referred to a civilian neurosurgeon for evaluation.  The neurosurgeon’s evaluation appears to have served as the narrative summary (NARSUM) for the MEB/PEB proceedings.  </w:t>
      </w:r>
      <w:r w:rsidR="00A57C35" w:rsidRPr="006D1A11">
        <w:rPr>
          <w:color w:val="000000" w:themeColor="text1"/>
          <w:szCs w:val="24"/>
        </w:rPr>
        <w:t xml:space="preserve">There were </w:t>
      </w:r>
      <w:r w:rsidR="006D1A11" w:rsidRPr="006D1A11">
        <w:rPr>
          <w:color w:val="000000" w:themeColor="text1"/>
          <w:szCs w:val="24"/>
        </w:rPr>
        <w:t>two</w:t>
      </w:r>
      <w:r w:rsidR="00A57C35" w:rsidRPr="006D1A11">
        <w:rPr>
          <w:color w:val="000000" w:themeColor="text1"/>
          <w:szCs w:val="24"/>
        </w:rPr>
        <w:t xml:space="preserve"> goniometric</w:t>
      </w:r>
      <w:r w:rsidR="00471E23">
        <w:rPr>
          <w:color w:val="000000" w:themeColor="text1"/>
          <w:szCs w:val="24"/>
        </w:rPr>
        <w:t xml:space="preserve"> and one non-</w:t>
      </w:r>
      <w:r w:rsidR="006D1A11" w:rsidRPr="006D1A11">
        <w:rPr>
          <w:color w:val="000000" w:themeColor="text1"/>
          <w:szCs w:val="24"/>
        </w:rPr>
        <w:t>goniometric</w:t>
      </w:r>
      <w:r w:rsidR="00A57C35" w:rsidRPr="006D1A11">
        <w:rPr>
          <w:color w:val="000000" w:themeColor="text1"/>
          <w:szCs w:val="24"/>
        </w:rPr>
        <w:t xml:space="preserve"> range</w:t>
      </w:r>
      <w:r w:rsidR="0080588E" w:rsidRPr="006D1A11">
        <w:rPr>
          <w:color w:val="000000" w:themeColor="text1"/>
          <w:szCs w:val="24"/>
        </w:rPr>
        <w:t xml:space="preserve"> </w:t>
      </w:r>
      <w:r w:rsidR="00A57C35" w:rsidRPr="006D1A11">
        <w:rPr>
          <w:color w:val="000000" w:themeColor="text1"/>
          <w:szCs w:val="24"/>
        </w:rPr>
        <w:t>of</w:t>
      </w:r>
      <w:r w:rsidR="0080588E" w:rsidRPr="006D1A11">
        <w:rPr>
          <w:color w:val="000000" w:themeColor="text1"/>
          <w:szCs w:val="24"/>
        </w:rPr>
        <w:t xml:space="preserve"> </w:t>
      </w:r>
      <w:r w:rsidR="00A57C35" w:rsidRPr="006D1A11">
        <w:rPr>
          <w:color w:val="000000" w:themeColor="text1"/>
          <w:szCs w:val="24"/>
        </w:rPr>
        <w:t>motion (ROM) evaluations in evidence, with documentation of additional ratable criteria, which the Board weighed in arriving at its rating recommendation</w:t>
      </w:r>
      <w:r w:rsidR="003C53E8" w:rsidRPr="006D1A11">
        <w:rPr>
          <w:rFonts w:asciiTheme="minorHAnsi" w:hAnsiTheme="minorHAnsi" w:cs="Times New Roman"/>
          <w:color w:val="auto"/>
          <w:szCs w:val="24"/>
        </w:rPr>
        <w:t>.</w:t>
      </w:r>
    </w:p>
    <w:p w:rsidR="003C53E8" w:rsidRPr="003C53E8" w:rsidRDefault="003C53E8" w:rsidP="003C53E8">
      <w:pPr>
        <w:tabs>
          <w:tab w:val="left" w:pos="288"/>
          <w:tab w:val="left" w:pos="4752"/>
        </w:tabs>
        <w:jc w:val="left"/>
        <w:rPr>
          <w:rFonts w:asciiTheme="minorHAnsi" w:hAnsiTheme="minorHAnsi" w:cs="Times New Roman"/>
          <w:color w:val="auto"/>
          <w:szCs w:val="24"/>
        </w:rPr>
      </w:pPr>
    </w:p>
    <w:tbl>
      <w:tblPr>
        <w:tblW w:w="9311" w:type="dxa"/>
        <w:jc w:val="center"/>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430"/>
        <w:gridCol w:w="2160"/>
        <w:gridCol w:w="2561"/>
      </w:tblGrid>
      <w:tr w:rsidR="006D1A11" w:rsidRPr="003C53E8" w:rsidTr="0039292E">
        <w:trPr>
          <w:jc w:val="center"/>
        </w:trPr>
        <w:tc>
          <w:tcPr>
            <w:tcW w:w="2160" w:type="dxa"/>
            <w:shd w:val="clear" w:color="auto" w:fill="D9D9D9" w:themeFill="background1" w:themeFillShade="D9"/>
            <w:vAlign w:val="center"/>
          </w:tcPr>
          <w:p w:rsidR="003C53E8" w:rsidRPr="003C53E8" w:rsidRDefault="0030700A" w:rsidP="0039292E">
            <w:pPr>
              <w:contextualSpacing/>
              <w:rPr>
                <w:rFonts w:eastAsia="Calibri" w:cs="Times New Roman"/>
                <w:color w:val="auto"/>
                <w:sz w:val="22"/>
                <w:szCs w:val="22"/>
              </w:rPr>
            </w:pPr>
            <w:r w:rsidRPr="003C53E8">
              <w:rPr>
                <w:rFonts w:eastAsia="Calibri" w:cs="Times New Roman"/>
                <w:color w:val="auto"/>
                <w:sz w:val="22"/>
                <w:szCs w:val="22"/>
              </w:rPr>
              <w:t>Thoracolumbar</w:t>
            </w:r>
            <w:r w:rsidR="003C53E8" w:rsidRPr="003C53E8">
              <w:rPr>
                <w:rFonts w:eastAsia="Calibri" w:cs="Times New Roman"/>
                <w:color w:val="auto"/>
                <w:sz w:val="22"/>
                <w:szCs w:val="22"/>
              </w:rPr>
              <w:t xml:space="preserve"> ROM</w:t>
            </w:r>
          </w:p>
        </w:tc>
        <w:tc>
          <w:tcPr>
            <w:tcW w:w="2430" w:type="dxa"/>
            <w:shd w:val="clear" w:color="auto" w:fill="D9D9D9" w:themeFill="background1" w:themeFillShade="D9"/>
            <w:vAlign w:val="center"/>
          </w:tcPr>
          <w:p w:rsidR="003C53E8" w:rsidRPr="003C53E8" w:rsidRDefault="006D1A11" w:rsidP="0039292E">
            <w:pPr>
              <w:contextualSpacing/>
              <w:rPr>
                <w:rFonts w:eastAsia="Calibri" w:cs="Times New Roman"/>
                <w:color w:val="auto"/>
                <w:sz w:val="22"/>
                <w:szCs w:val="22"/>
              </w:rPr>
            </w:pPr>
            <w:r w:rsidRPr="003C53E8">
              <w:rPr>
                <w:rFonts w:eastAsia="Calibri" w:cs="Times New Roman"/>
                <w:color w:val="auto"/>
                <w:sz w:val="22"/>
                <w:szCs w:val="22"/>
              </w:rPr>
              <w:t>VA</w:t>
            </w:r>
            <w:r w:rsidR="0089423E">
              <w:rPr>
                <w:rFonts w:eastAsiaTheme="minorHAnsi" w:cstheme="minorBidi"/>
                <w:color w:val="auto"/>
                <w:sz w:val="22"/>
                <w:szCs w:val="22"/>
              </w:rPr>
              <w:t xml:space="preserve"> C&amp;P~</w:t>
            </w:r>
            <w:r>
              <w:rPr>
                <w:rFonts w:eastAsiaTheme="minorHAnsi" w:cstheme="minorBidi"/>
                <w:color w:val="auto"/>
                <w:sz w:val="22"/>
                <w:szCs w:val="22"/>
              </w:rPr>
              <w:t>14</w:t>
            </w:r>
            <w:r w:rsidRPr="003C53E8">
              <w:rPr>
                <w:rFonts w:eastAsiaTheme="minorHAnsi" w:cstheme="minorBidi"/>
                <w:color w:val="auto"/>
                <w:sz w:val="22"/>
                <w:szCs w:val="22"/>
              </w:rPr>
              <w:t xml:space="preserve"> </w:t>
            </w:r>
            <w:r w:rsidR="00471E23">
              <w:rPr>
                <w:rFonts w:eastAsiaTheme="minorHAnsi" w:cstheme="minorBidi"/>
                <w:color w:val="auto"/>
                <w:sz w:val="22"/>
                <w:szCs w:val="22"/>
              </w:rPr>
              <w:t>Mo.</w:t>
            </w:r>
            <w:r w:rsidRPr="003C53E8">
              <w:rPr>
                <w:rFonts w:eastAsiaTheme="minorHAnsi" w:cstheme="minorBidi"/>
                <w:color w:val="auto"/>
                <w:sz w:val="22"/>
                <w:szCs w:val="22"/>
              </w:rPr>
              <w:t xml:space="preserve"> P</w:t>
            </w:r>
            <w:r>
              <w:rPr>
                <w:rFonts w:eastAsiaTheme="minorHAnsi" w:cstheme="minorBidi"/>
                <w:color w:val="auto"/>
                <w:sz w:val="22"/>
                <w:szCs w:val="22"/>
              </w:rPr>
              <w:t>re</w:t>
            </w:r>
            <w:r w:rsidR="00471E23">
              <w:rPr>
                <w:rFonts w:eastAsiaTheme="minorHAnsi" w:cstheme="minorBidi"/>
                <w:color w:val="auto"/>
                <w:sz w:val="22"/>
                <w:szCs w:val="22"/>
              </w:rPr>
              <w:t>-</w:t>
            </w:r>
            <w:r w:rsidRPr="003C53E8">
              <w:rPr>
                <w:rFonts w:eastAsiaTheme="minorHAnsi" w:cstheme="minorBidi"/>
                <w:color w:val="auto"/>
                <w:sz w:val="22"/>
                <w:szCs w:val="22"/>
              </w:rPr>
              <w:t>Sep</w:t>
            </w:r>
          </w:p>
        </w:tc>
        <w:tc>
          <w:tcPr>
            <w:tcW w:w="2160" w:type="dxa"/>
            <w:shd w:val="clear" w:color="auto" w:fill="D9D9D9" w:themeFill="background1" w:themeFillShade="D9"/>
            <w:vAlign w:val="center"/>
          </w:tcPr>
          <w:p w:rsidR="003C53E8" w:rsidRPr="003C53E8" w:rsidRDefault="006D1A11" w:rsidP="0039292E">
            <w:pPr>
              <w:contextualSpacing/>
              <w:rPr>
                <w:rFonts w:eastAsia="Calibri" w:cs="Times New Roman"/>
                <w:color w:val="auto"/>
                <w:sz w:val="22"/>
                <w:szCs w:val="22"/>
              </w:rPr>
            </w:pPr>
            <w:r w:rsidRPr="003C53E8">
              <w:rPr>
                <w:rFonts w:eastAsia="Calibri" w:cs="Times New Roman"/>
                <w:color w:val="auto"/>
                <w:sz w:val="22"/>
                <w:szCs w:val="22"/>
              </w:rPr>
              <w:t>MEB</w:t>
            </w:r>
            <w:r w:rsidR="0089423E">
              <w:rPr>
                <w:rFonts w:eastAsia="Calibri" w:cs="Times New Roman"/>
                <w:color w:val="auto"/>
                <w:sz w:val="22"/>
                <w:szCs w:val="22"/>
              </w:rPr>
              <w:t xml:space="preserve">~11 </w:t>
            </w:r>
            <w:r w:rsidR="00471E23">
              <w:rPr>
                <w:rFonts w:eastAsiaTheme="minorHAnsi" w:cstheme="minorBidi"/>
                <w:color w:val="auto"/>
                <w:sz w:val="22"/>
                <w:szCs w:val="22"/>
              </w:rPr>
              <w:t xml:space="preserve">Mo. </w:t>
            </w:r>
            <w:r w:rsidR="00471E23">
              <w:rPr>
                <w:rFonts w:eastAsia="Calibri" w:cs="Times New Roman"/>
                <w:color w:val="auto"/>
                <w:sz w:val="22"/>
                <w:szCs w:val="22"/>
              </w:rPr>
              <w:t>Pre-</w:t>
            </w:r>
            <w:r w:rsidRPr="003C53E8">
              <w:rPr>
                <w:rFonts w:eastAsia="Calibri" w:cs="Times New Roman"/>
                <w:color w:val="auto"/>
                <w:sz w:val="22"/>
                <w:szCs w:val="22"/>
              </w:rPr>
              <w:t>Sep</w:t>
            </w:r>
          </w:p>
        </w:tc>
        <w:tc>
          <w:tcPr>
            <w:tcW w:w="2561" w:type="dxa"/>
            <w:shd w:val="clear" w:color="auto" w:fill="D9D9D9" w:themeFill="background1" w:themeFillShade="D9"/>
            <w:vAlign w:val="center"/>
          </w:tcPr>
          <w:p w:rsidR="003C53E8" w:rsidRPr="003C53E8" w:rsidRDefault="003C53E8" w:rsidP="0039292E">
            <w:pPr>
              <w:contextualSpacing/>
              <w:rPr>
                <w:rFonts w:eastAsiaTheme="minorHAnsi" w:cstheme="minorBidi"/>
                <w:color w:val="auto"/>
                <w:sz w:val="22"/>
                <w:szCs w:val="22"/>
              </w:rPr>
            </w:pPr>
            <w:r w:rsidRPr="003C53E8">
              <w:rPr>
                <w:rFonts w:eastAsia="Calibri" w:cs="Times New Roman"/>
                <w:color w:val="auto"/>
                <w:sz w:val="22"/>
                <w:szCs w:val="22"/>
              </w:rPr>
              <w:t>VA</w:t>
            </w:r>
            <w:r w:rsidR="0089423E">
              <w:rPr>
                <w:rFonts w:eastAsiaTheme="minorHAnsi" w:cstheme="minorBidi"/>
                <w:color w:val="auto"/>
                <w:sz w:val="22"/>
                <w:szCs w:val="22"/>
              </w:rPr>
              <w:t xml:space="preserve"> C&amp;P~</w:t>
            </w:r>
            <w:r w:rsidR="006D1A11">
              <w:rPr>
                <w:rFonts w:eastAsiaTheme="minorHAnsi" w:cstheme="minorBidi"/>
                <w:color w:val="auto"/>
                <w:sz w:val="22"/>
                <w:szCs w:val="22"/>
              </w:rPr>
              <w:t>10</w:t>
            </w:r>
            <w:r w:rsidRPr="003C53E8">
              <w:rPr>
                <w:rFonts w:eastAsiaTheme="minorHAnsi" w:cstheme="minorBidi"/>
                <w:color w:val="auto"/>
                <w:sz w:val="22"/>
                <w:szCs w:val="22"/>
              </w:rPr>
              <w:t xml:space="preserve"> </w:t>
            </w:r>
            <w:r w:rsidR="00471E23">
              <w:rPr>
                <w:rFonts w:eastAsiaTheme="minorHAnsi" w:cstheme="minorBidi"/>
                <w:color w:val="auto"/>
                <w:sz w:val="22"/>
                <w:szCs w:val="22"/>
              </w:rPr>
              <w:t>Mo. Post-</w:t>
            </w:r>
            <w:r w:rsidRPr="003C53E8">
              <w:rPr>
                <w:rFonts w:eastAsiaTheme="minorHAnsi" w:cstheme="minorBidi"/>
                <w:color w:val="auto"/>
                <w:sz w:val="22"/>
                <w:szCs w:val="22"/>
              </w:rPr>
              <w:t>Sep</w:t>
            </w:r>
          </w:p>
        </w:tc>
      </w:tr>
      <w:tr w:rsidR="00705F8E" w:rsidRPr="003C53E8" w:rsidTr="0039292E">
        <w:trPr>
          <w:jc w:val="center"/>
        </w:trPr>
        <w:tc>
          <w:tcPr>
            <w:tcW w:w="2160" w:type="dxa"/>
            <w:vAlign w:val="center"/>
          </w:tcPr>
          <w:p w:rsidR="00705F8E" w:rsidRPr="003C53E8" w:rsidRDefault="00705F8E" w:rsidP="0039292E">
            <w:pPr>
              <w:contextualSpacing/>
              <w:rPr>
                <w:rFonts w:eastAsia="Calibri" w:cs="Times New Roman"/>
                <w:color w:val="auto"/>
                <w:sz w:val="22"/>
                <w:szCs w:val="22"/>
              </w:rPr>
            </w:pPr>
            <w:r>
              <w:rPr>
                <w:rFonts w:eastAsia="Calibri" w:cs="Times New Roman"/>
                <w:color w:val="auto"/>
                <w:sz w:val="22"/>
                <w:szCs w:val="22"/>
              </w:rPr>
              <w:t xml:space="preserve">Flexion (Normal </w:t>
            </w:r>
            <w:r w:rsidRPr="003C53E8">
              <w:rPr>
                <w:rFonts w:eastAsia="Calibri" w:cs="Times New Roman"/>
                <w:color w:val="auto"/>
                <w:sz w:val="22"/>
                <w:szCs w:val="22"/>
              </w:rPr>
              <w:t>90⁰</w:t>
            </w:r>
            <w:r>
              <w:rPr>
                <w:rFonts w:eastAsia="Calibri" w:cs="Times New Roman"/>
                <w:color w:val="auto"/>
                <w:sz w:val="22"/>
                <w:szCs w:val="22"/>
              </w:rPr>
              <w:t>)</w:t>
            </w:r>
          </w:p>
        </w:tc>
        <w:tc>
          <w:tcPr>
            <w:tcW w:w="2430" w:type="dxa"/>
            <w:vAlign w:val="center"/>
          </w:tcPr>
          <w:p w:rsidR="00705F8E" w:rsidRPr="003C53E8" w:rsidRDefault="00705F8E" w:rsidP="0039292E">
            <w:pPr>
              <w:contextualSpacing/>
              <w:rPr>
                <w:rFonts w:eastAsia="Calibri" w:cs="Times New Roman"/>
                <w:color w:val="auto"/>
                <w:sz w:val="22"/>
                <w:szCs w:val="22"/>
              </w:rPr>
            </w:pPr>
            <w:r>
              <w:rPr>
                <w:rFonts w:eastAsia="Calibri" w:cs="Times New Roman"/>
                <w:color w:val="auto"/>
                <w:sz w:val="22"/>
                <w:szCs w:val="22"/>
              </w:rPr>
              <w:t>45</w:t>
            </w:r>
            <w:r w:rsidRPr="003C53E8">
              <w:rPr>
                <w:rFonts w:eastAsia="Calibri" w:cs="Times New Roman"/>
                <w:color w:val="auto"/>
                <w:sz w:val="22"/>
                <w:szCs w:val="22"/>
              </w:rPr>
              <w:t>⁰</w:t>
            </w:r>
          </w:p>
        </w:tc>
        <w:tc>
          <w:tcPr>
            <w:tcW w:w="2160" w:type="dxa"/>
            <w:vMerge w:val="restart"/>
            <w:vAlign w:val="center"/>
          </w:tcPr>
          <w:p w:rsidR="00705F8E" w:rsidRPr="003C53E8" w:rsidRDefault="00705F8E" w:rsidP="00705F8E">
            <w:pPr>
              <w:contextualSpacing/>
              <w:rPr>
                <w:rFonts w:eastAsia="Calibri" w:cs="Times New Roman"/>
                <w:color w:val="auto"/>
                <w:sz w:val="22"/>
                <w:szCs w:val="22"/>
              </w:rPr>
            </w:pPr>
            <w:r>
              <w:rPr>
                <w:rFonts w:eastAsia="Calibri" w:cs="Times New Roman"/>
                <w:color w:val="auto"/>
                <w:sz w:val="22"/>
                <w:szCs w:val="22"/>
              </w:rPr>
              <w:t>“not particularly compromised”</w:t>
            </w:r>
          </w:p>
        </w:tc>
        <w:tc>
          <w:tcPr>
            <w:tcW w:w="2561" w:type="dxa"/>
            <w:vAlign w:val="center"/>
          </w:tcPr>
          <w:p w:rsidR="00705F8E" w:rsidRPr="003C53E8" w:rsidRDefault="00705F8E" w:rsidP="0039292E">
            <w:pPr>
              <w:contextualSpacing/>
              <w:rPr>
                <w:rFonts w:eastAsia="Calibri" w:cs="Times New Roman"/>
                <w:color w:val="auto"/>
                <w:sz w:val="22"/>
                <w:szCs w:val="22"/>
              </w:rPr>
            </w:pPr>
            <w:r>
              <w:rPr>
                <w:rFonts w:eastAsia="Calibri" w:cs="Times New Roman"/>
                <w:color w:val="auto"/>
                <w:sz w:val="22"/>
                <w:szCs w:val="22"/>
              </w:rPr>
              <w:t>40</w:t>
            </w:r>
            <w:r w:rsidRPr="003C53E8">
              <w:rPr>
                <w:rFonts w:eastAsia="Calibri" w:cs="Times New Roman"/>
                <w:color w:val="auto"/>
                <w:sz w:val="22"/>
                <w:szCs w:val="22"/>
              </w:rPr>
              <w:t>⁰</w:t>
            </w:r>
          </w:p>
        </w:tc>
      </w:tr>
      <w:tr w:rsidR="00705F8E" w:rsidRPr="003C53E8" w:rsidTr="0039292E">
        <w:trPr>
          <w:jc w:val="center"/>
        </w:trPr>
        <w:tc>
          <w:tcPr>
            <w:tcW w:w="2160" w:type="dxa"/>
            <w:vAlign w:val="center"/>
          </w:tcPr>
          <w:p w:rsidR="00705F8E" w:rsidRPr="003C53E8" w:rsidRDefault="00705F8E" w:rsidP="0039292E">
            <w:pPr>
              <w:contextualSpacing/>
              <w:rPr>
                <w:rFonts w:eastAsia="Calibri" w:cs="Times New Roman"/>
                <w:color w:val="auto"/>
                <w:sz w:val="22"/>
                <w:szCs w:val="22"/>
              </w:rPr>
            </w:pPr>
            <w:r w:rsidRPr="003C53E8">
              <w:rPr>
                <w:rFonts w:eastAsia="Calibri" w:cs="Times New Roman"/>
                <w:color w:val="auto"/>
                <w:sz w:val="22"/>
                <w:szCs w:val="22"/>
              </w:rPr>
              <w:t xml:space="preserve">Combined </w:t>
            </w:r>
            <w:r>
              <w:rPr>
                <w:rFonts w:eastAsia="Calibri" w:cs="Times New Roman"/>
                <w:color w:val="auto"/>
                <w:sz w:val="22"/>
                <w:szCs w:val="22"/>
              </w:rPr>
              <w:t>(</w:t>
            </w:r>
            <w:r w:rsidRPr="003C53E8">
              <w:rPr>
                <w:rFonts w:eastAsia="Calibri" w:cs="Times New Roman"/>
                <w:color w:val="auto"/>
                <w:sz w:val="22"/>
                <w:szCs w:val="22"/>
              </w:rPr>
              <w:t>240⁰</w:t>
            </w:r>
            <w:r>
              <w:rPr>
                <w:rFonts w:eastAsia="Calibri" w:cs="Times New Roman"/>
                <w:color w:val="auto"/>
                <w:sz w:val="22"/>
                <w:szCs w:val="22"/>
              </w:rPr>
              <w:t>)</w:t>
            </w:r>
          </w:p>
        </w:tc>
        <w:tc>
          <w:tcPr>
            <w:tcW w:w="2430" w:type="dxa"/>
            <w:vAlign w:val="center"/>
          </w:tcPr>
          <w:p w:rsidR="00705F8E" w:rsidRPr="003C53E8" w:rsidRDefault="00705F8E" w:rsidP="0039292E">
            <w:pPr>
              <w:contextualSpacing/>
              <w:rPr>
                <w:rFonts w:eastAsia="Calibri" w:cs="Times New Roman"/>
                <w:color w:val="auto"/>
                <w:sz w:val="22"/>
                <w:szCs w:val="22"/>
              </w:rPr>
            </w:pPr>
            <w:r>
              <w:rPr>
                <w:rFonts w:eastAsia="Calibri" w:cs="Times New Roman"/>
                <w:color w:val="auto"/>
                <w:sz w:val="22"/>
                <w:szCs w:val="22"/>
              </w:rPr>
              <w:t>150</w:t>
            </w:r>
            <w:r w:rsidRPr="003C53E8">
              <w:rPr>
                <w:rFonts w:eastAsia="Calibri" w:cs="Times New Roman"/>
                <w:color w:val="auto"/>
                <w:sz w:val="22"/>
                <w:szCs w:val="22"/>
              </w:rPr>
              <w:t>⁰</w:t>
            </w:r>
          </w:p>
        </w:tc>
        <w:tc>
          <w:tcPr>
            <w:tcW w:w="2160" w:type="dxa"/>
            <w:vMerge/>
            <w:vAlign w:val="center"/>
          </w:tcPr>
          <w:p w:rsidR="00705F8E" w:rsidRPr="003C53E8" w:rsidRDefault="00705F8E" w:rsidP="0039292E">
            <w:pPr>
              <w:contextualSpacing/>
              <w:rPr>
                <w:rFonts w:eastAsia="Calibri" w:cs="Times New Roman"/>
                <w:color w:val="auto"/>
                <w:sz w:val="22"/>
                <w:szCs w:val="22"/>
              </w:rPr>
            </w:pPr>
          </w:p>
        </w:tc>
        <w:tc>
          <w:tcPr>
            <w:tcW w:w="2561" w:type="dxa"/>
            <w:vAlign w:val="center"/>
          </w:tcPr>
          <w:p w:rsidR="00705F8E" w:rsidRPr="003C53E8" w:rsidRDefault="00705F8E" w:rsidP="0039292E">
            <w:pPr>
              <w:contextualSpacing/>
              <w:rPr>
                <w:rFonts w:eastAsia="Calibri" w:cs="Times New Roman"/>
                <w:color w:val="auto"/>
                <w:sz w:val="22"/>
                <w:szCs w:val="22"/>
              </w:rPr>
            </w:pPr>
            <w:r>
              <w:rPr>
                <w:rFonts w:eastAsia="Calibri" w:cs="Times New Roman"/>
                <w:color w:val="auto"/>
                <w:sz w:val="22"/>
                <w:szCs w:val="22"/>
              </w:rPr>
              <w:t>180</w:t>
            </w:r>
            <w:r w:rsidRPr="003C53E8">
              <w:rPr>
                <w:rFonts w:eastAsia="Calibri" w:cs="Times New Roman"/>
                <w:color w:val="auto"/>
                <w:sz w:val="22"/>
                <w:szCs w:val="22"/>
              </w:rPr>
              <w:t>⁰</w:t>
            </w:r>
          </w:p>
        </w:tc>
      </w:tr>
      <w:tr w:rsidR="006D1A11" w:rsidRPr="003C53E8" w:rsidTr="0039292E">
        <w:trPr>
          <w:jc w:val="center"/>
        </w:trPr>
        <w:tc>
          <w:tcPr>
            <w:tcW w:w="2160" w:type="dxa"/>
            <w:vAlign w:val="center"/>
          </w:tcPr>
          <w:p w:rsidR="003C53E8" w:rsidRPr="003C53E8" w:rsidRDefault="003C53E8" w:rsidP="0039292E">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Comments</w:t>
            </w:r>
          </w:p>
        </w:tc>
        <w:tc>
          <w:tcPr>
            <w:tcW w:w="2430" w:type="dxa"/>
            <w:vAlign w:val="center"/>
          </w:tcPr>
          <w:p w:rsidR="003C53E8" w:rsidRPr="003C53E8" w:rsidRDefault="006D1A11" w:rsidP="0039292E">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No spasm; stiff gait</w:t>
            </w:r>
            <w:r w:rsidR="003457CC">
              <w:rPr>
                <w:rFonts w:asciiTheme="minorHAnsi" w:eastAsiaTheme="minorHAnsi" w:hAnsiTheme="minorHAnsi" w:cs="Times New Roman"/>
                <w:color w:val="auto"/>
                <w:sz w:val="22"/>
                <w:szCs w:val="22"/>
              </w:rPr>
              <w:t>; DeLuca positive</w:t>
            </w:r>
            <w:r w:rsidR="00471E23">
              <w:rPr>
                <w:rFonts w:asciiTheme="minorHAnsi" w:eastAsiaTheme="minorHAnsi" w:hAnsiTheme="minorHAnsi" w:cs="Times New Roman"/>
                <w:color w:val="auto"/>
                <w:sz w:val="22"/>
                <w:szCs w:val="22"/>
              </w:rPr>
              <w:t>.</w:t>
            </w:r>
          </w:p>
        </w:tc>
        <w:tc>
          <w:tcPr>
            <w:tcW w:w="2160" w:type="dxa"/>
            <w:vAlign w:val="center"/>
          </w:tcPr>
          <w:p w:rsidR="003C53E8" w:rsidRPr="003C53E8" w:rsidRDefault="00705F8E" w:rsidP="0039292E">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“limp”</w:t>
            </w:r>
          </w:p>
        </w:tc>
        <w:tc>
          <w:tcPr>
            <w:tcW w:w="2561" w:type="dxa"/>
            <w:vAlign w:val="center"/>
          </w:tcPr>
          <w:p w:rsidR="003C53E8" w:rsidRPr="003C53E8" w:rsidRDefault="006D1A11" w:rsidP="0039292E">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Antalgic gait</w:t>
            </w:r>
            <w:r w:rsidR="003457CC">
              <w:rPr>
                <w:rFonts w:asciiTheme="minorHAnsi" w:eastAsiaTheme="minorHAnsi" w:hAnsiTheme="minorHAnsi" w:cs="Times New Roman"/>
                <w:color w:val="auto"/>
                <w:sz w:val="22"/>
                <w:szCs w:val="22"/>
              </w:rPr>
              <w:t>; no spasm; DeLuca negative</w:t>
            </w:r>
            <w:r w:rsidR="00471E23">
              <w:rPr>
                <w:rFonts w:asciiTheme="minorHAnsi" w:eastAsiaTheme="minorHAnsi" w:hAnsiTheme="minorHAnsi" w:cs="Times New Roman"/>
                <w:color w:val="auto"/>
                <w:sz w:val="22"/>
                <w:szCs w:val="22"/>
              </w:rPr>
              <w:t>.</w:t>
            </w:r>
          </w:p>
        </w:tc>
      </w:tr>
      <w:tr w:rsidR="006D1A11" w:rsidRPr="003C53E8" w:rsidTr="0039292E">
        <w:trPr>
          <w:trHeight w:val="70"/>
          <w:jc w:val="center"/>
        </w:trPr>
        <w:tc>
          <w:tcPr>
            <w:tcW w:w="2160" w:type="dxa"/>
            <w:vAlign w:val="center"/>
          </w:tcPr>
          <w:p w:rsidR="003C53E8" w:rsidRPr="003C53E8" w:rsidRDefault="003C53E8" w:rsidP="0039292E">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§4.71a Rating</w:t>
            </w:r>
          </w:p>
        </w:tc>
        <w:tc>
          <w:tcPr>
            <w:tcW w:w="2430" w:type="dxa"/>
            <w:vAlign w:val="center"/>
          </w:tcPr>
          <w:p w:rsidR="003C53E8" w:rsidRPr="003C53E8" w:rsidRDefault="00AD692A" w:rsidP="0039292E">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20</w:t>
            </w:r>
            <w:r w:rsidR="003C53E8" w:rsidRPr="003C53E8">
              <w:rPr>
                <w:rFonts w:asciiTheme="minorHAnsi" w:eastAsiaTheme="minorHAnsi" w:hAnsiTheme="minorHAnsi" w:cs="Times New Roman"/>
                <w:color w:val="auto"/>
                <w:sz w:val="22"/>
                <w:szCs w:val="22"/>
              </w:rPr>
              <w:t>%</w:t>
            </w:r>
          </w:p>
        </w:tc>
        <w:tc>
          <w:tcPr>
            <w:tcW w:w="2160" w:type="dxa"/>
            <w:vAlign w:val="center"/>
          </w:tcPr>
          <w:p w:rsidR="003C53E8" w:rsidRPr="003C53E8" w:rsidRDefault="00705F8E" w:rsidP="0039292E">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Not Ratable*</w:t>
            </w:r>
          </w:p>
        </w:tc>
        <w:tc>
          <w:tcPr>
            <w:tcW w:w="2561" w:type="dxa"/>
            <w:vAlign w:val="center"/>
          </w:tcPr>
          <w:p w:rsidR="003C53E8" w:rsidRPr="003C53E8" w:rsidRDefault="00AD692A" w:rsidP="0039292E">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20</w:t>
            </w:r>
            <w:r w:rsidR="003C53E8" w:rsidRPr="003C53E8">
              <w:rPr>
                <w:rFonts w:asciiTheme="minorHAnsi" w:eastAsiaTheme="minorHAnsi" w:hAnsiTheme="minorHAnsi" w:cs="Times New Roman"/>
                <w:color w:val="auto"/>
                <w:sz w:val="22"/>
                <w:szCs w:val="22"/>
              </w:rPr>
              <w:t>%</w:t>
            </w:r>
          </w:p>
        </w:tc>
      </w:tr>
    </w:tbl>
    <w:p w:rsidR="003C53E8" w:rsidRPr="00705F8E" w:rsidRDefault="00705F8E" w:rsidP="003C53E8">
      <w:pPr>
        <w:tabs>
          <w:tab w:val="left" w:pos="288"/>
          <w:tab w:val="left" w:pos="4752"/>
        </w:tabs>
        <w:jc w:val="left"/>
        <w:rPr>
          <w:rFonts w:asciiTheme="minorHAnsi" w:hAnsiTheme="minorHAnsi" w:cs="Times New Roman"/>
          <w:color w:val="auto"/>
          <w:sz w:val="22"/>
          <w:szCs w:val="22"/>
        </w:rPr>
      </w:pPr>
      <w:r>
        <w:rPr>
          <w:rFonts w:asciiTheme="minorHAnsi" w:hAnsiTheme="minorHAnsi" w:cs="Times New Roman"/>
          <w:color w:val="auto"/>
          <w:sz w:val="22"/>
          <w:szCs w:val="22"/>
        </w:rPr>
        <w:t xml:space="preserve">                                                       *IAW VASRD </w:t>
      </w:r>
      <w:r w:rsidRPr="00705F8E">
        <w:rPr>
          <w:rFonts w:asciiTheme="minorHAnsi" w:hAnsiTheme="minorHAnsi" w:cs="Times New Roman"/>
          <w:color w:val="auto"/>
          <w:sz w:val="22"/>
          <w:szCs w:val="22"/>
        </w:rPr>
        <w:t>§4.46 (accurate measurement)</w:t>
      </w:r>
      <w:r>
        <w:rPr>
          <w:rFonts w:asciiTheme="minorHAnsi" w:hAnsiTheme="minorHAnsi" w:cs="Times New Roman"/>
          <w:color w:val="auto"/>
          <w:sz w:val="22"/>
          <w:szCs w:val="22"/>
        </w:rPr>
        <w:t>; rated 0% by PEB.</w:t>
      </w:r>
    </w:p>
    <w:p w:rsidR="00705F8E" w:rsidRDefault="00705F8E" w:rsidP="00FE311F">
      <w:pPr>
        <w:jc w:val="both"/>
        <w:rPr>
          <w:rFonts w:asciiTheme="minorHAnsi" w:hAnsiTheme="minorHAnsi" w:cs="Times New Roman"/>
          <w:color w:val="auto"/>
          <w:szCs w:val="24"/>
        </w:rPr>
      </w:pPr>
    </w:p>
    <w:p w:rsidR="00840B3A" w:rsidRDefault="00705F8E" w:rsidP="00FE311F">
      <w:pPr>
        <w:jc w:val="both"/>
        <w:rPr>
          <w:rFonts w:asciiTheme="minorHAnsi" w:hAnsiTheme="minorHAnsi" w:cs="Times New Roman"/>
          <w:color w:val="auto"/>
          <w:szCs w:val="24"/>
        </w:rPr>
      </w:pPr>
      <w:r>
        <w:rPr>
          <w:rFonts w:asciiTheme="minorHAnsi" w:hAnsiTheme="minorHAnsi" w:cs="Times New Roman"/>
          <w:color w:val="auto"/>
          <w:szCs w:val="24"/>
        </w:rPr>
        <w:t>T</w:t>
      </w:r>
      <w:r w:rsidR="00CC2D30">
        <w:rPr>
          <w:rFonts w:asciiTheme="minorHAnsi" w:hAnsiTheme="minorHAnsi" w:cs="Times New Roman"/>
          <w:color w:val="auto"/>
          <w:szCs w:val="24"/>
        </w:rPr>
        <w:t xml:space="preserve">he neurosurgeon completing the NARSUM evaluation did not provide measured ROMs, </w:t>
      </w:r>
      <w:r w:rsidR="000E6AD3">
        <w:rPr>
          <w:rFonts w:asciiTheme="minorHAnsi" w:hAnsiTheme="minorHAnsi" w:cs="Times New Roman"/>
          <w:color w:val="auto"/>
          <w:szCs w:val="24"/>
        </w:rPr>
        <w:t>although he commented, “l</w:t>
      </w:r>
      <w:r w:rsidR="00CC2D30">
        <w:rPr>
          <w:rFonts w:asciiTheme="minorHAnsi" w:hAnsiTheme="minorHAnsi" w:cs="Times New Roman"/>
          <w:color w:val="auto"/>
          <w:szCs w:val="24"/>
        </w:rPr>
        <w:t>ow back range of motion is not particularly compromised.”  He noted a “mild limp favoring the right lower extremity”</w:t>
      </w:r>
      <w:r>
        <w:rPr>
          <w:rFonts w:asciiTheme="minorHAnsi" w:hAnsiTheme="minorHAnsi" w:cs="Times New Roman"/>
          <w:color w:val="auto"/>
          <w:szCs w:val="24"/>
        </w:rPr>
        <w:t xml:space="preserve"> (not directly linked to spine by exam; therefore not </w:t>
      </w:r>
      <w:r w:rsidR="00634913">
        <w:rPr>
          <w:rFonts w:asciiTheme="minorHAnsi" w:hAnsiTheme="minorHAnsi" w:cs="Times New Roman"/>
          <w:color w:val="auto"/>
          <w:szCs w:val="24"/>
        </w:rPr>
        <w:t xml:space="preserve">ratable IAW </w:t>
      </w:r>
      <w:r w:rsidR="00634913">
        <w:rPr>
          <w:rFonts w:asciiTheme="minorHAnsi" w:hAnsiTheme="minorHAnsi"/>
          <w:color w:val="auto"/>
          <w:szCs w:val="24"/>
        </w:rPr>
        <w:t>§</w:t>
      </w:r>
      <w:r w:rsidR="00634913">
        <w:rPr>
          <w:rFonts w:asciiTheme="minorHAnsi" w:hAnsiTheme="minorHAnsi" w:cs="Times New Roman"/>
          <w:color w:val="auto"/>
          <w:szCs w:val="24"/>
        </w:rPr>
        <w:t>4.71a)</w:t>
      </w:r>
      <w:r w:rsidR="00CC2D30">
        <w:rPr>
          <w:rFonts w:asciiTheme="minorHAnsi" w:hAnsiTheme="minorHAnsi" w:cs="Times New Roman"/>
          <w:color w:val="auto"/>
          <w:szCs w:val="24"/>
        </w:rPr>
        <w:t xml:space="preserve">, normal response to straight leg raise, and normal reflexes.  </w:t>
      </w:r>
      <w:r w:rsidR="00A61F13">
        <w:rPr>
          <w:rFonts w:asciiTheme="minorHAnsi" w:hAnsiTheme="minorHAnsi" w:cs="Times New Roman"/>
          <w:color w:val="auto"/>
          <w:szCs w:val="24"/>
        </w:rPr>
        <w:lastRenderedPageBreak/>
        <w:t xml:space="preserve">He affirmed that the CI was not a surgical candidate.  </w:t>
      </w:r>
      <w:r w:rsidR="00CC2D30">
        <w:rPr>
          <w:rFonts w:asciiTheme="minorHAnsi" w:hAnsiTheme="minorHAnsi" w:cs="Times New Roman"/>
          <w:color w:val="auto"/>
          <w:szCs w:val="24"/>
        </w:rPr>
        <w:t>Three months p</w:t>
      </w:r>
      <w:r w:rsidR="0089423E">
        <w:rPr>
          <w:rFonts w:asciiTheme="minorHAnsi" w:hAnsiTheme="minorHAnsi" w:cs="Times New Roman"/>
          <w:color w:val="auto"/>
          <w:szCs w:val="24"/>
        </w:rPr>
        <w:t xml:space="preserve">rior to </w:t>
      </w:r>
      <w:r w:rsidR="00A61F13">
        <w:rPr>
          <w:rFonts w:asciiTheme="minorHAnsi" w:hAnsiTheme="minorHAnsi" w:cs="Times New Roman"/>
          <w:color w:val="auto"/>
          <w:szCs w:val="24"/>
        </w:rPr>
        <w:t>t</w:t>
      </w:r>
      <w:r w:rsidR="00CC2D30">
        <w:rPr>
          <w:rFonts w:asciiTheme="minorHAnsi" w:hAnsiTheme="minorHAnsi" w:cs="Times New Roman"/>
          <w:color w:val="auto"/>
          <w:szCs w:val="24"/>
        </w:rPr>
        <w:t>his more cursory NARSUM</w:t>
      </w:r>
      <w:r w:rsidR="0089423E">
        <w:rPr>
          <w:rFonts w:asciiTheme="minorHAnsi" w:hAnsiTheme="minorHAnsi" w:cs="Times New Roman"/>
          <w:color w:val="auto"/>
          <w:szCs w:val="24"/>
        </w:rPr>
        <w:t xml:space="preserve"> evaluation</w:t>
      </w:r>
      <w:r w:rsidR="00A61F13">
        <w:rPr>
          <w:rFonts w:asciiTheme="minorHAnsi" w:hAnsiTheme="minorHAnsi" w:cs="Times New Roman"/>
          <w:color w:val="auto"/>
          <w:szCs w:val="24"/>
        </w:rPr>
        <w:t>,</w:t>
      </w:r>
      <w:r w:rsidR="0089423E">
        <w:rPr>
          <w:rFonts w:asciiTheme="minorHAnsi" w:hAnsiTheme="minorHAnsi" w:cs="Times New Roman"/>
          <w:color w:val="auto"/>
          <w:szCs w:val="24"/>
        </w:rPr>
        <w:t xml:space="preserve"> the CI underwent a </w:t>
      </w:r>
      <w:r w:rsidR="003C53E8" w:rsidRPr="003C53E8">
        <w:rPr>
          <w:rFonts w:asciiTheme="minorHAnsi" w:hAnsiTheme="minorHAnsi" w:cs="Times New Roman"/>
          <w:color w:val="auto"/>
          <w:szCs w:val="24"/>
        </w:rPr>
        <w:t>VA Compensation &amp; Pension (C&amp;P) exam</w:t>
      </w:r>
      <w:r w:rsidR="0089423E">
        <w:rPr>
          <w:rFonts w:asciiTheme="minorHAnsi" w:hAnsiTheme="minorHAnsi" w:cs="Times New Roman"/>
          <w:color w:val="auto"/>
          <w:szCs w:val="24"/>
        </w:rPr>
        <w:t>.  At this exam the CI reported back pain that radiated down the right leg in a sciatic distribution, worsened by walking or standing.  He denied incapacitating episodes, weakness, or bowel/bladder dysfunction.  He was noted to have a stiff but ste</w:t>
      </w:r>
      <w:r w:rsidR="0039292E">
        <w:rPr>
          <w:rFonts w:asciiTheme="minorHAnsi" w:hAnsiTheme="minorHAnsi" w:cs="Times New Roman"/>
          <w:color w:val="auto"/>
          <w:szCs w:val="24"/>
        </w:rPr>
        <w:t>ady gait, and normal spinal contour</w:t>
      </w:r>
      <w:r w:rsidR="0089423E">
        <w:rPr>
          <w:rFonts w:asciiTheme="minorHAnsi" w:hAnsiTheme="minorHAnsi" w:cs="Times New Roman"/>
          <w:color w:val="auto"/>
          <w:szCs w:val="24"/>
        </w:rPr>
        <w:t>.  There was no muscle atrophy or weakness of the lower extremities.  ROM was limited by pain and guarding, with evidence of pain radiating to the right foot with flexion.  There was an increase in pain</w:t>
      </w:r>
      <w:r w:rsidR="00A61F13">
        <w:rPr>
          <w:rFonts w:asciiTheme="minorHAnsi" w:hAnsiTheme="minorHAnsi" w:cs="Times New Roman"/>
          <w:color w:val="auto"/>
          <w:szCs w:val="24"/>
        </w:rPr>
        <w:t xml:space="preserve"> </w:t>
      </w:r>
      <w:r w:rsidR="0089423E">
        <w:rPr>
          <w:rFonts w:asciiTheme="minorHAnsi" w:hAnsiTheme="minorHAnsi" w:cs="Times New Roman"/>
          <w:color w:val="auto"/>
          <w:szCs w:val="24"/>
        </w:rPr>
        <w:t>a</w:t>
      </w:r>
      <w:r w:rsidR="00A61F13">
        <w:rPr>
          <w:rFonts w:asciiTheme="minorHAnsi" w:hAnsiTheme="minorHAnsi" w:cs="Times New Roman"/>
          <w:color w:val="auto"/>
          <w:szCs w:val="24"/>
        </w:rPr>
        <w:t>nd</w:t>
      </w:r>
      <w:r w:rsidR="0089423E">
        <w:rPr>
          <w:rFonts w:asciiTheme="minorHAnsi" w:hAnsiTheme="minorHAnsi" w:cs="Times New Roman"/>
          <w:color w:val="auto"/>
          <w:szCs w:val="24"/>
        </w:rPr>
        <w:t xml:space="preserve"> decrease in forward flexion with DeLuca repetitions.</w:t>
      </w:r>
      <w:r w:rsidR="00081B7F">
        <w:rPr>
          <w:rFonts w:asciiTheme="minorHAnsi" w:hAnsiTheme="minorHAnsi" w:cs="Times New Roman"/>
          <w:color w:val="auto"/>
          <w:szCs w:val="24"/>
        </w:rPr>
        <w:t xml:space="preserve">  </w:t>
      </w:r>
      <w:r w:rsidR="007B547E">
        <w:rPr>
          <w:rFonts w:asciiTheme="minorHAnsi" w:hAnsiTheme="minorHAnsi" w:cs="Times New Roman"/>
          <w:color w:val="auto"/>
          <w:szCs w:val="24"/>
        </w:rPr>
        <w:t>At the VA C&amp;P evaluation 10 months after separation</w:t>
      </w:r>
      <w:r w:rsidR="003D06EA">
        <w:rPr>
          <w:rFonts w:asciiTheme="minorHAnsi" w:hAnsiTheme="minorHAnsi" w:cs="Times New Roman"/>
          <w:color w:val="auto"/>
          <w:szCs w:val="24"/>
        </w:rPr>
        <w:t>,</w:t>
      </w:r>
      <w:r w:rsidR="007B547E">
        <w:rPr>
          <w:rFonts w:asciiTheme="minorHAnsi" w:hAnsiTheme="minorHAnsi" w:cs="Times New Roman"/>
          <w:color w:val="auto"/>
          <w:szCs w:val="24"/>
        </w:rPr>
        <w:t xml:space="preserve"> the CI gave a markedly different account of his injury from that described </w:t>
      </w:r>
      <w:r w:rsidR="00A61F13">
        <w:rPr>
          <w:rFonts w:asciiTheme="minorHAnsi" w:hAnsiTheme="minorHAnsi" w:cs="Times New Roman"/>
          <w:color w:val="auto"/>
          <w:szCs w:val="24"/>
        </w:rPr>
        <w:t>elsewhere in the record; the examiner stat</w:t>
      </w:r>
      <w:r w:rsidR="00714B2D">
        <w:rPr>
          <w:rFonts w:asciiTheme="minorHAnsi" w:hAnsiTheme="minorHAnsi" w:cs="Times New Roman"/>
          <w:color w:val="auto"/>
          <w:szCs w:val="24"/>
        </w:rPr>
        <w:t>ed</w:t>
      </w:r>
      <w:r w:rsidR="00A61F13">
        <w:rPr>
          <w:rFonts w:asciiTheme="minorHAnsi" w:hAnsiTheme="minorHAnsi" w:cs="Times New Roman"/>
          <w:color w:val="auto"/>
          <w:szCs w:val="24"/>
        </w:rPr>
        <w:t xml:space="preserve"> that “he was crushed under a heavy load</w:t>
      </w:r>
      <w:r w:rsidR="007B547E">
        <w:rPr>
          <w:rFonts w:asciiTheme="minorHAnsi" w:hAnsiTheme="minorHAnsi" w:cs="Times New Roman"/>
          <w:color w:val="auto"/>
          <w:szCs w:val="24"/>
        </w:rPr>
        <w:t>.</w:t>
      </w:r>
      <w:r w:rsidR="00714B2D">
        <w:rPr>
          <w:rFonts w:asciiTheme="minorHAnsi" w:hAnsiTheme="minorHAnsi" w:cs="Times New Roman"/>
          <w:color w:val="auto"/>
          <w:szCs w:val="24"/>
        </w:rPr>
        <w:t>”</w:t>
      </w:r>
      <w:r w:rsidR="007B547E">
        <w:rPr>
          <w:rFonts w:asciiTheme="minorHAnsi" w:hAnsiTheme="minorHAnsi" w:cs="Times New Roman"/>
          <w:color w:val="auto"/>
          <w:szCs w:val="24"/>
        </w:rPr>
        <w:t xml:space="preserve">  The</w:t>
      </w:r>
      <w:r w:rsidR="007B547E" w:rsidRPr="007B547E">
        <w:rPr>
          <w:rFonts w:asciiTheme="minorHAnsi" w:hAnsiTheme="minorHAnsi" w:cs="Times New Roman"/>
          <w:color w:val="auto"/>
          <w:szCs w:val="24"/>
        </w:rPr>
        <w:t xml:space="preserve"> </w:t>
      </w:r>
      <w:r w:rsidR="007B547E">
        <w:rPr>
          <w:rFonts w:asciiTheme="minorHAnsi" w:hAnsiTheme="minorHAnsi" w:cs="Times New Roman"/>
          <w:color w:val="auto"/>
          <w:szCs w:val="24"/>
        </w:rPr>
        <w:t xml:space="preserve">exam was notable for an antalgic gait, symmetrical musculature, and pain limited </w:t>
      </w:r>
      <w:r w:rsidR="00BE50F8">
        <w:rPr>
          <w:rFonts w:asciiTheme="minorHAnsi" w:hAnsiTheme="minorHAnsi" w:cs="Times New Roman"/>
          <w:color w:val="auto"/>
          <w:szCs w:val="24"/>
        </w:rPr>
        <w:t>flexion.  The ROM was essentially normal in all other planes, and there was no</w:t>
      </w:r>
      <w:r w:rsidR="007B547E">
        <w:rPr>
          <w:rFonts w:asciiTheme="minorHAnsi" w:hAnsiTheme="minorHAnsi" w:cs="Times New Roman"/>
          <w:color w:val="auto"/>
          <w:szCs w:val="24"/>
        </w:rPr>
        <w:t xml:space="preserve"> </w:t>
      </w:r>
      <w:r w:rsidR="00E301E3">
        <w:rPr>
          <w:rFonts w:asciiTheme="minorHAnsi" w:hAnsiTheme="minorHAnsi" w:cs="Times New Roman"/>
          <w:color w:val="auto"/>
          <w:szCs w:val="24"/>
        </w:rPr>
        <w:t>decrement</w:t>
      </w:r>
      <w:r w:rsidR="007B547E">
        <w:rPr>
          <w:rFonts w:asciiTheme="minorHAnsi" w:hAnsiTheme="minorHAnsi" w:cs="Times New Roman"/>
          <w:color w:val="auto"/>
          <w:szCs w:val="24"/>
        </w:rPr>
        <w:t xml:space="preserve"> with </w:t>
      </w:r>
      <w:r w:rsidR="00BE50F8">
        <w:rPr>
          <w:rFonts w:asciiTheme="minorHAnsi" w:hAnsiTheme="minorHAnsi" w:cs="Times New Roman"/>
          <w:color w:val="auto"/>
          <w:szCs w:val="24"/>
        </w:rPr>
        <w:t xml:space="preserve">DeLuca </w:t>
      </w:r>
      <w:r w:rsidR="007B547E">
        <w:rPr>
          <w:rFonts w:asciiTheme="minorHAnsi" w:hAnsiTheme="minorHAnsi" w:cs="Times New Roman"/>
          <w:color w:val="auto"/>
          <w:szCs w:val="24"/>
        </w:rPr>
        <w:t>repetitions.</w:t>
      </w:r>
      <w:r w:rsidR="000273D4">
        <w:rPr>
          <w:rFonts w:asciiTheme="minorHAnsi" w:hAnsiTheme="minorHAnsi" w:cs="Times New Roman"/>
          <w:color w:val="auto"/>
          <w:szCs w:val="24"/>
        </w:rPr>
        <w:t xml:space="preserve">  The examiner noted decreased str</w:t>
      </w:r>
      <w:r w:rsidR="00A61F13">
        <w:rPr>
          <w:rFonts w:asciiTheme="minorHAnsi" w:hAnsiTheme="minorHAnsi" w:cs="Times New Roman"/>
          <w:color w:val="auto"/>
          <w:szCs w:val="24"/>
        </w:rPr>
        <w:t>ength on the (asymptomatic) left lower extremity,</w:t>
      </w:r>
      <w:r w:rsidR="000273D4">
        <w:rPr>
          <w:rFonts w:asciiTheme="minorHAnsi" w:hAnsiTheme="minorHAnsi" w:cs="Times New Roman"/>
          <w:color w:val="auto"/>
          <w:szCs w:val="24"/>
        </w:rPr>
        <w:t xml:space="preserve"> </w:t>
      </w:r>
      <w:r w:rsidR="00A61F13">
        <w:rPr>
          <w:rFonts w:asciiTheme="minorHAnsi" w:hAnsiTheme="minorHAnsi" w:cs="Times New Roman"/>
          <w:color w:val="auto"/>
          <w:szCs w:val="24"/>
        </w:rPr>
        <w:t>but</w:t>
      </w:r>
      <w:r w:rsidR="000273D4">
        <w:rPr>
          <w:rFonts w:asciiTheme="minorHAnsi" w:hAnsiTheme="minorHAnsi" w:cs="Times New Roman"/>
          <w:color w:val="auto"/>
          <w:szCs w:val="24"/>
        </w:rPr>
        <w:t xml:space="preserve"> normal strength on the right.</w:t>
      </w:r>
      <w:r w:rsidR="003A27D9">
        <w:rPr>
          <w:rFonts w:asciiTheme="minorHAnsi" w:hAnsiTheme="minorHAnsi" w:cs="Times New Roman"/>
          <w:color w:val="auto"/>
          <w:szCs w:val="24"/>
        </w:rPr>
        <w:t xml:space="preserve">  At a </w:t>
      </w:r>
      <w:r w:rsidR="00840B3A">
        <w:rPr>
          <w:rFonts w:asciiTheme="minorHAnsi" w:hAnsiTheme="minorHAnsi" w:cs="Times New Roman"/>
          <w:color w:val="auto"/>
          <w:szCs w:val="24"/>
        </w:rPr>
        <w:t>contempora</w:t>
      </w:r>
      <w:r w:rsidR="00714B2D">
        <w:rPr>
          <w:rFonts w:asciiTheme="minorHAnsi" w:hAnsiTheme="minorHAnsi" w:cs="Times New Roman"/>
          <w:color w:val="auto"/>
          <w:szCs w:val="24"/>
        </w:rPr>
        <w:t>neous</w:t>
      </w:r>
      <w:r w:rsidR="00840B3A">
        <w:rPr>
          <w:rFonts w:asciiTheme="minorHAnsi" w:hAnsiTheme="minorHAnsi" w:cs="Times New Roman"/>
          <w:color w:val="auto"/>
          <w:szCs w:val="24"/>
        </w:rPr>
        <w:t xml:space="preserve"> </w:t>
      </w:r>
      <w:r w:rsidR="003A27D9">
        <w:rPr>
          <w:rFonts w:asciiTheme="minorHAnsi" w:hAnsiTheme="minorHAnsi" w:cs="Times New Roman"/>
          <w:color w:val="auto"/>
          <w:szCs w:val="24"/>
        </w:rPr>
        <w:t xml:space="preserve">C&amp;P </w:t>
      </w:r>
      <w:r w:rsidR="00840B3A">
        <w:rPr>
          <w:rFonts w:asciiTheme="minorHAnsi" w:hAnsiTheme="minorHAnsi" w:cs="Times New Roman"/>
          <w:color w:val="auto"/>
          <w:szCs w:val="24"/>
        </w:rPr>
        <w:t>neurologic</w:t>
      </w:r>
      <w:r w:rsidR="00A61F13">
        <w:rPr>
          <w:rFonts w:asciiTheme="minorHAnsi" w:hAnsiTheme="minorHAnsi" w:cs="Times New Roman"/>
          <w:color w:val="auto"/>
          <w:szCs w:val="24"/>
        </w:rPr>
        <w:t xml:space="preserve"> evaluation</w:t>
      </w:r>
      <w:r w:rsidR="00840B3A">
        <w:rPr>
          <w:rFonts w:asciiTheme="minorHAnsi" w:hAnsiTheme="minorHAnsi" w:cs="Times New Roman"/>
          <w:color w:val="auto"/>
          <w:szCs w:val="24"/>
        </w:rPr>
        <w:t xml:space="preserve">, </w:t>
      </w:r>
      <w:r w:rsidR="003A27D9">
        <w:rPr>
          <w:rFonts w:asciiTheme="minorHAnsi" w:hAnsiTheme="minorHAnsi" w:cs="Times New Roman"/>
          <w:color w:val="auto"/>
          <w:szCs w:val="24"/>
        </w:rPr>
        <w:t xml:space="preserve">the examiner recorded a history of right leg </w:t>
      </w:r>
      <w:r w:rsidR="00C05D74">
        <w:rPr>
          <w:rFonts w:asciiTheme="minorHAnsi" w:hAnsiTheme="minorHAnsi" w:cs="Times New Roman"/>
          <w:color w:val="auto"/>
          <w:szCs w:val="24"/>
        </w:rPr>
        <w:t>paresthesia</w:t>
      </w:r>
      <w:r w:rsidR="000F6AD9">
        <w:rPr>
          <w:rFonts w:asciiTheme="minorHAnsi" w:hAnsiTheme="minorHAnsi" w:cs="Times New Roman"/>
          <w:color w:val="auto"/>
          <w:szCs w:val="24"/>
        </w:rPr>
        <w:t>;</w:t>
      </w:r>
      <w:r w:rsidR="003A27D9">
        <w:rPr>
          <w:rFonts w:asciiTheme="minorHAnsi" w:hAnsiTheme="minorHAnsi" w:cs="Times New Roman"/>
          <w:color w:val="auto"/>
          <w:szCs w:val="24"/>
        </w:rPr>
        <w:t xml:space="preserve"> and</w:t>
      </w:r>
      <w:r w:rsidR="000F6AD9">
        <w:rPr>
          <w:rFonts w:asciiTheme="minorHAnsi" w:hAnsiTheme="minorHAnsi" w:cs="Times New Roman"/>
          <w:color w:val="auto"/>
          <w:szCs w:val="24"/>
        </w:rPr>
        <w:t>, noted that the CI “states at times he will drag his foot</w:t>
      </w:r>
      <w:r w:rsidR="003D06EA">
        <w:rPr>
          <w:rFonts w:asciiTheme="minorHAnsi" w:hAnsiTheme="minorHAnsi" w:cs="Times New Roman"/>
          <w:color w:val="auto"/>
          <w:szCs w:val="24"/>
        </w:rPr>
        <w:t>.</w:t>
      </w:r>
      <w:r w:rsidR="000F6AD9">
        <w:rPr>
          <w:rFonts w:asciiTheme="minorHAnsi" w:hAnsiTheme="minorHAnsi" w:cs="Times New Roman"/>
          <w:color w:val="auto"/>
          <w:szCs w:val="24"/>
        </w:rPr>
        <w:t>”</w:t>
      </w:r>
      <w:r w:rsidR="00840B3A">
        <w:rPr>
          <w:rFonts w:asciiTheme="minorHAnsi" w:hAnsiTheme="minorHAnsi" w:cs="Times New Roman"/>
          <w:color w:val="auto"/>
          <w:szCs w:val="24"/>
        </w:rPr>
        <w:t xml:space="preserve">  That</w:t>
      </w:r>
      <w:r w:rsidR="003A27D9">
        <w:rPr>
          <w:rFonts w:asciiTheme="minorHAnsi" w:hAnsiTheme="minorHAnsi" w:cs="Times New Roman"/>
          <w:color w:val="auto"/>
          <w:szCs w:val="24"/>
        </w:rPr>
        <w:t xml:space="preserve"> exam was notable for full, normal strength i</w:t>
      </w:r>
      <w:r w:rsidR="00FB5A05">
        <w:rPr>
          <w:rFonts w:asciiTheme="minorHAnsi" w:hAnsiTheme="minorHAnsi" w:cs="Times New Roman"/>
          <w:color w:val="auto"/>
          <w:szCs w:val="24"/>
        </w:rPr>
        <w:t>n both lower extremities with “give way” weakness in his right leg.  Reflexes were normal, but sensation was decreased in the S1 distribution on the right.  At this time electrodiagnostic studies were suggestive of a S1 radiculopathy on the right.</w:t>
      </w:r>
      <w:r w:rsidR="00C05D74">
        <w:rPr>
          <w:rFonts w:asciiTheme="minorHAnsi" w:hAnsiTheme="minorHAnsi" w:cs="Times New Roman"/>
          <w:color w:val="auto"/>
          <w:szCs w:val="24"/>
        </w:rPr>
        <w:t xml:space="preserve">  </w:t>
      </w:r>
    </w:p>
    <w:p w:rsidR="00840B3A" w:rsidRDefault="00840B3A" w:rsidP="00FE311F">
      <w:pPr>
        <w:jc w:val="both"/>
        <w:rPr>
          <w:rFonts w:asciiTheme="minorHAnsi" w:hAnsiTheme="minorHAnsi" w:cs="Times New Roman"/>
          <w:color w:val="auto"/>
          <w:szCs w:val="24"/>
        </w:rPr>
      </w:pPr>
    </w:p>
    <w:p w:rsidR="00C01634" w:rsidRDefault="00C05D74" w:rsidP="00FE311F">
      <w:pPr>
        <w:jc w:val="both"/>
        <w:rPr>
          <w:rFonts w:asciiTheme="minorHAnsi" w:hAnsiTheme="minorHAnsi" w:cs="Times New Roman"/>
          <w:color w:val="auto"/>
          <w:szCs w:val="24"/>
        </w:rPr>
      </w:pPr>
      <w:r>
        <w:rPr>
          <w:rFonts w:asciiTheme="minorHAnsi" w:hAnsiTheme="minorHAnsi" w:cs="Times New Roman"/>
          <w:color w:val="auto"/>
          <w:szCs w:val="24"/>
        </w:rPr>
        <w:t xml:space="preserve">The Board </w:t>
      </w:r>
      <w:r w:rsidR="00840B3A">
        <w:rPr>
          <w:rFonts w:asciiTheme="minorHAnsi" w:hAnsiTheme="minorHAnsi" w:cs="Times New Roman"/>
          <w:color w:val="auto"/>
          <w:szCs w:val="24"/>
        </w:rPr>
        <w:t>directs</w:t>
      </w:r>
      <w:r>
        <w:rPr>
          <w:rFonts w:asciiTheme="minorHAnsi" w:hAnsiTheme="minorHAnsi" w:cs="Times New Roman"/>
          <w:color w:val="auto"/>
          <w:szCs w:val="24"/>
        </w:rPr>
        <w:t xml:space="preserve"> its attention to </w:t>
      </w:r>
      <w:r w:rsidR="00840B3A">
        <w:rPr>
          <w:rFonts w:asciiTheme="minorHAnsi" w:hAnsiTheme="minorHAnsi" w:cs="Times New Roman"/>
          <w:color w:val="auto"/>
          <w:szCs w:val="24"/>
        </w:rPr>
        <w:t xml:space="preserve">its </w:t>
      </w:r>
      <w:r>
        <w:rPr>
          <w:rFonts w:asciiTheme="minorHAnsi" w:hAnsiTheme="minorHAnsi" w:cs="Times New Roman"/>
          <w:color w:val="auto"/>
          <w:szCs w:val="24"/>
        </w:rPr>
        <w:t>rating</w:t>
      </w:r>
      <w:r w:rsidR="001821CC">
        <w:rPr>
          <w:rFonts w:asciiTheme="minorHAnsi" w:hAnsiTheme="minorHAnsi" w:cs="Times New Roman"/>
          <w:color w:val="auto"/>
          <w:szCs w:val="24"/>
        </w:rPr>
        <w:t xml:space="preserve"> </w:t>
      </w:r>
      <w:r w:rsidR="00840B3A">
        <w:rPr>
          <w:rFonts w:asciiTheme="minorHAnsi" w:hAnsiTheme="minorHAnsi" w:cs="Times New Roman"/>
          <w:color w:val="auto"/>
          <w:szCs w:val="24"/>
        </w:rPr>
        <w:t xml:space="preserve">recommendation </w:t>
      </w:r>
      <w:r w:rsidR="001821CC">
        <w:rPr>
          <w:rFonts w:asciiTheme="minorHAnsi" w:hAnsiTheme="minorHAnsi" w:cs="Times New Roman"/>
          <w:color w:val="auto"/>
          <w:szCs w:val="24"/>
        </w:rPr>
        <w:t xml:space="preserve">based on the evidence detailed above.  </w:t>
      </w:r>
      <w:r w:rsidR="003C53E8" w:rsidRPr="003C53E8">
        <w:rPr>
          <w:rFonts w:asciiTheme="minorHAnsi" w:hAnsiTheme="minorHAnsi" w:cs="Times New Roman"/>
          <w:color w:val="auto"/>
          <w:szCs w:val="24"/>
        </w:rPr>
        <w:t>The PEB and VA chose different coding options for the condition, but this did not bear on rating</w:t>
      </w:r>
      <w:r w:rsidR="003C53E8" w:rsidRPr="001821CC">
        <w:rPr>
          <w:rFonts w:asciiTheme="minorHAnsi" w:hAnsiTheme="minorHAnsi" w:cs="Times New Roman"/>
          <w:color w:val="auto"/>
          <w:szCs w:val="24"/>
        </w:rPr>
        <w:t xml:space="preserve">.  The PEB’s </w:t>
      </w:r>
      <w:r w:rsidR="00840B3A">
        <w:rPr>
          <w:rFonts w:asciiTheme="minorHAnsi" w:hAnsiTheme="minorHAnsi" w:cs="Times New Roman"/>
          <w:color w:val="auto"/>
          <w:szCs w:val="24"/>
        </w:rPr>
        <w:t>AF Form 356</w:t>
      </w:r>
      <w:r w:rsidR="001821CC" w:rsidRPr="001821CC">
        <w:rPr>
          <w:rFonts w:asciiTheme="minorHAnsi" w:hAnsiTheme="minorHAnsi" w:cs="Times New Roman"/>
          <w:color w:val="auto"/>
          <w:szCs w:val="24"/>
        </w:rPr>
        <w:t xml:space="preserve"> </w:t>
      </w:r>
      <w:r w:rsidR="00840B3A">
        <w:rPr>
          <w:rFonts w:asciiTheme="minorHAnsi" w:hAnsiTheme="minorHAnsi" w:cs="Times New Roman"/>
          <w:color w:val="auto"/>
          <w:szCs w:val="24"/>
        </w:rPr>
        <w:t>cited</w:t>
      </w:r>
      <w:r w:rsidR="003C53E8" w:rsidRPr="001821CC">
        <w:rPr>
          <w:rFonts w:asciiTheme="minorHAnsi" w:hAnsiTheme="minorHAnsi" w:cs="Times New Roman"/>
          <w:color w:val="auto"/>
          <w:szCs w:val="24"/>
        </w:rPr>
        <w:t xml:space="preserve"> application of the </w:t>
      </w:r>
      <w:r w:rsidR="001821CC" w:rsidRPr="001821CC">
        <w:rPr>
          <w:rFonts w:asciiTheme="minorHAnsi" w:hAnsiTheme="minorHAnsi" w:cs="Times New Roman"/>
          <w:color w:val="auto"/>
          <w:szCs w:val="24"/>
        </w:rPr>
        <w:t xml:space="preserve">VASRD for rating, but its </w:t>
      </w:r>
      <w:r w:rsidR="003C53E8" w:rsidRPr="001821CC">
        <w:rPr>
          <w:rFonts w:asciiTheme="minorHAnsi" w:hAnsiTheme="minorHAnsi" w:cs="Times New Roman"/>
          <w:color w:val="auto"/>
          <w:szCs w:val="24"/>
        </w:rPr>
        <w:t xml:space="preserve">0% determination was </w:t>
      </w:r>
      <w:r w:rsidR="001821CC" w:rsidRPr="001821CC">
        <w:rPr>
          <w:rFonts w:asciiTheme="minorHAnsi" w:hAnsiTheme="minorHAnsi" w:cs="Times New Roman"/>
          <w:color w:val="auto"/>
          <w:szCs w:val="24"/>
        </w:rPr>
        <w:t xml:space="preserve">not </w:t>
      </w:r>
      <w:r w:rsidR="00634913">
        <w:rPr>
          <w:rFonts w:asciiTheme="minorHAnsi" w:hAnsiTheme="minorHAnsi" w:cs="Times New Roman"/>
          <w:color w:val="auto"/>
          <w:szCs w:val="24"/>
        </w:rPr>
        <w:t>compliant</w:t>
      </w:r>
      <w:r w:rsidR="003C53E8" w:rsidRPr="001821CC">
        <w:rPr>
          <w:rFonts w:asciiTheme="minorHAnsi" w:hAnsiTheme="minorHAnsi" w:cs="Times New Roman"/>
          <w:color w:val="auto"/>
          <w:szCs w:val="24"/>
        </w:rPr>
        <w:t xml:space="preserve"> with </w:t>
      </w:r>
      <w:r w:rsidR="00634913">
        <w:rPr>
          <w:rFonts w:asciiTheme="minorHAnsi" w:hAnsiTheme="minorHAnsi" w:cs="Times New Roman"/>
          <w:color w:val="auto"/>
          <w:szCs w:val="24"/>
        </w:rPr>
        <w:t>VASRD standards for a ratable evaluation as footnoted on the preceding chart</w:t>
      </w:r>
      <w:r w:rsidR="00840B3A">
        <w:rPr>
          <w:rFonts w:asciiTheme="minorHAnsi" w:hAnsiTheme="minorHAnsi" w:cs="Times New Roman"/>
          <w:color w:val="auto"/>
          <w:szCs w:val="24"/>
        </w:rPr>
        <w:t xml:space="preserve">.  </w:t>
      </w:r>
      <w:r w:rsidR="001821CC">
        <w:rPr>
          <w:rFonts w:asciiTheme="minorHAnsi" w:hAnsiTheme="minorHAnsi" w:cs="Times New Roman"/>
          <w:color w:val="auto"/>
          <w:szCs w:val="24"/>
        </w:rPr>
        <w:t>The Board noted that the two VA C&amp;P exams provided the on</w:t>
      </w:r>
      <w:r w:rsidR="00586FA2">
        <w:rPr>
          <w:rFonts w:asciiTheme="minorHAnsi" w:hAnsiTheme="minorHAnsi" w:cs="Times New Roman"/>
          <w:color w:val="auto"/>
          <w:szCs w:val="24"/>
        </w:rPr>
        <w:t>ly VASRD compliant ratable data,</w:t>
      </w:r>
      <w:r w:rsidR="001821CC">
        <w:rPr>
          <w:rFonts w:asciiTheme="minorHAnsi" w:hAnsiTheme="minorHAnsi" w:cs="Times New Roman"/>
          <w:color w:val="auto"/>
          <w:szCs w:val="24"/>
        </w:rPr>
        <w:t xml:space="preserve"> </w:t>
      </w:r>
      <w:r w:rsidR="00586FA2">
        <w:rPr>
          <w:rFonts w:asciiTheme="minorHAnsi" w:hAnsiTheme="minorHAnsi" w:cs="Times New Roman"/>
          <w:color w:val="auto"/>
          <w:szCs w:val="24"/>
        </w:rPr>
        <w:t>although</w:t>
      </w:r>
      <w:r w:rsidR="001821CC">
        <w:rPr>
          <w:rFonts w:asciiTheme="minorHAnsi" w:hAnsiTheme="minorHAnsi" w:cs="Times New Roman"/>
          <w:color w:val="auto"/>
          <w:szCs w:val="24"/>
        </w:rPr>
        <w:t xml:space="preserve"> these exams bracketed the date of separation; </w:t>
      </w:r>
      <w:r w:rsidR="00586FA2">
        <w:rPr>
          <w:rFonts w:asciiTheme="minorHAnsi" w:hAnsiTheme="minorHAnsi" w:cs="Times New Roman"/>
          <w:color w:val="auto"/>
          <w:szCs w:val="24"/>
        </w:rPr>
        <w:t>but,</w:t>
      </w:r>
      <w:r w:rsidR="001821CC">
        <w:rPr>
          <w:rFonts w:asciiTheme="minorHAnsi" w:hAnsiTheme="minorHAnsi" w:cs="Times New Roman"/>
          <w:color w:val="auto"/>
          <w:szCs w:val="24"/>
        </w:rPr>
        <w:t xml:space="preserve"> the evidence in these exams was sufficiently similar to yield the same 20% rating </w:t>
      </w:r>
      <w:r w:rsidR="00586FA2">
        <w:rPr>
          <w:rFonts w:asciiTheme="minorHAnsi" w:hAnsiTheme="minorHAnsi" w:cs="Times New Roman"/>
          <w:color w:val="auto"/>
          <w:szCs w:val="24"/>
        </w:rPr>
        <w:t>based on measured ROM’s</w:t>
      </w:r>
      <w:r w:rsidR="001821CC">
        <w:rPr>
          <w:rFonts w:asciiTheme="minorHAnsi" w:hAnsiTheme="minorHAnsi" w:cs="Times New Roman"/>
          <w:color w:val="auto"/>
          <w:szCs w:val="24"/>
        </w:rPr>
        <w:t xml:space="preserve">.  </w:t>
      </w:r>
      <w:r w:rsidR="00586FA2">
        <w:rPr>
          <w:rFonts w:asciiTheme="minorHAnsi" w:hAnsiTheme="minorHAnsi" w:cs="Times New Roman"/>
          <w:color w:val="auto"/>
          <w:szCs w:val="24"/>
        </w:rPr>
        <w:t>Furthermore, t</w:t>
      </w:r>
      <w:r w:rsidR="00C01634" w:rsidRPr="003C53E8">
        <w:rPr>
          <w:rFonts w:asciiTheme="minorHAnsi" w:hAnsiTheme="minorHAnsi" w:cs="Times New Roman"/>
          <w:color w:val="auto"/>
          <w:szCs w:val="24"/>
        </w:rPr>
        <w:t xml:space="preserve">he Board </w:t>
      </w:r>
      <w:r w:rsidR="00586FA2">
        <w:rPr>
          <w:rFonts w:asciiTheme="minorHAnsi" w:hAnsiTheme="minorHAnsi" w:cs="Times New Roman"/>
          <w:color w:val="auto"/>
          <w:szCs w:val="24"/>
        </w:rPr>
        <w:t xml:space="preserve">makes note that </w:t>
      </w:r>
      <w:r w:rsidR="00634913">
        <w:rPr>
          <w:rFonts w:asciiTheme="minorHAnsi" w:hAnsiTheme="minorHAnsi" w:cs="Times New Roman"/>
          <w:color w:val="auto"/>
          <w:szCs w:val="24"/>
        </w:rPr>
        <w:t>both of these exams documented gait disturbance linked to the spine pathology</w:t>
      </w:r>
      <w:r w:rsidR="00586FA2">
        <w:rPr>
          <w:rFonts w:asciiTheme="minorHAnsi" w:hAnsiTheme="minorHAnsi" w:cs="Times New Roman"/>
          <w:color w:val="auto"/>
          <w:szCs w:val="24"/>
        </w:rPr>
        <w:t xml:space="preserve">; itself a 20% criterion under </w:t>
      </w:r>
      <w:r w:rsidR="00586FA2" w:rsidRPr="001821CC">
        <w:rPr>
          <w:rFonts w:asciiTheme="minorHAnsi" w:hAnsiTheme="minorHAnsi" w:cs="Times New Roman"/>
          <w:color w:val="auto"/>
          <w:szCs w:val="24"/>
        </w:rPr>
        <w:t>§4.71a</w:t>
      </w:r>
      <w:r w:rsidR="00586FA2">
        <w:rPr>
          <w:rFonts w:asciiTheme="minorHAnsi" w:hAnsiTheme="minorHAnsi" w:cs="Times New Roman"/>
          <w:color w:val="auto"/>
          <w:szCs w:val="24"/>
        </w:rPr>
        <w:t>.  All members were therefore in agreement with a</w:t>
      </w:r>
      <w:r w:rsidR="00C01634" w:rsidRPr="003C53E8">
        <w:rPr>
          <w:rFonts w:asciiTheme="minorHAnsi" w:hAnsiTheme="minorHAnsi" w:cs="Times New Roman"/>
          <w:color w:val="auto"/>
          <w:szCs w:val="24"/>
        </w:rPr>
        <w:t xml:space="preserve"> </w:t>
      </w:r>
      <w:r w:rsidR="00C01634">
        <w:rPr>
          <w:rFonts w:asciiTheme="minorHAnsi" w:hAnsiTheme="minorHAnsi" w:cs="Times New Roman"/>
          <w:color w:val="auto"/>
          <w:szCs w:val="24"/>
        </w:rPr>
        <w:t>2</w:t>
      </w:r>
      <w:r w:rsidR="00C01634" w:rsidRPr="003C53E8">
        <w:rPr>
          <w:rFonts w:asciiTheme="minorHAnsi" w:hAnsiTheme="minorHAnsi" w:cs="Times New Roman"/>
          <w:color w:val="auto"/>
          <w:szCs w:val="24"/>
        </w:rPr>
        <w:t xml:space="preserve">0% </w:t>
      </w:r>
      <w:r w:rsidR="00586FA2">
        <w:rPr>
          <w:rFonts w:asciiTheme="minorHAnsi" w:hAnsiTheme="minorHAnsi" w:cs="Times New Roman"/>
          <w:color w:val="auto"/>
          <w:szCs w:val="24"/>
        </w:rPr>
        <w:t xml:space="preserve">rating recommendation </w:t>
      </w:r>
      <w:r w:rsidR="00C01634" w:rsidRPr="003C53E8">
        <w:rPr>
          <w:rFonts w:asciiTheme="minorHAnsi" w:hAnsiTheme="minorHAnsi" w:cs="Times New Roman"/>
          <w:color w:val="auto"/>
          <w:szCs w:val="24"/>
        </w:rPr>
        <w:t xml:space="preserve">for the </w:t>
      </w:r>
      <w:r w:rsidR="00C01634">
        <w:rPr>
          <w:rFonts w:asciiTheme="minorHAnsi" w:hAnsiTheme="minorHAnsi" w:cs="Times New Roman"/>
          <w:color w:val="auto"/>
          <w:szCs w:val="24"/>
        </w:rPr>
        <w:t>lumbar spine</w:t>
      </w:r>
      <w:r w:rsidR="00C01634" w:rsidRPr="003C53E8">
        <w:rPr>
          <w:rFonts w:asciiTheme="minorHAnsi" w:hAnsiTheme="minorHAnsi" w:cs="Times New Roman"/>
          <w:color w:val="auto"/>
          <w:szCs w:val="24"/>
        </w:rPr>
        <w:t xml:space="preserve"> condition.</w:t>
      </w:r>
      <w:r w:rsidR="00C01634">
        <w:rPr>
          <w:rFonts w:asciiTheme="minorHAnsi" w:hAnsiTheme="minorHAnsi" w:cs="Times New Roman"/>
          <w:color w:val="auto"/>
          <w:szCs w:val="24"/>
        </w:rPr>
        <w:t xml:space="preserve">  </w:t>
      </w:r>
      <w:r w:rsidR="003D06EA">
        <w:rPr>
          <w:rFonts w:asciiTheme="minorHAnsi" w:hAnsiTheme="minorHAnsi" w:cs="Times New Roman"/>
          <w:color w:val="auto"/>
          <w:szCs w:val="24"/>
        </w:rPr>
        <w:t>The a</w:t>
      </w:r>
      <w:r w:rsidR="00586FA2">
        <w:rPr>
          <w:rFonts w:asciiTheme="minorHAnsi" w:hAnsiTheme="minorHAnsi" w:cs="Times New Roman"/>
          <w:color w:val="auto"/>
          <w:szCs w:val="24"/>
        </w:rPr>
        <w:t xml:space="preserve">ction </w:t>
      </w:r>
      <w:r w:rsidR="003D06EA">
        <w:rPr>
          <w:rFonts w:asciiTheme="minorHAnsi" w:hAnsiTheme="minorHAnsi" w:cs="Times New Roman"/>
          <w:color w:val="auto"/>
          <w:szCs w:val="24"/>
        </w:rPr>
        <w:t>o</w:t>
      </w:r>
      <w:r w:rsidR="00586FA2">
        <w:rPr>
          <w:rFonts w:asciiTheme="minorHAnsi" w:hAnsiTheme="minorHAnsi" w:cs="Times New Roman"/>
          <w:color w:val="auto"/>
          <w:szCs w:val="24"/>
        </w:rPr>
        <w:t>fficer prefers the 5242 (degenerative arthritis of the spine) code for its clinical fit with the pathology.</w:t>
      </w:r>
    </w:p>
    <w:p w:rsidR="00C01634" w:rsidRPr="003C53E8" w:rsidRDefault="00C01634" w:rsidP="00FE311F">
      <w:pPr>
        <w:jc w:val="both"/>
        <w:rPr>
          <w:rFonts w:asciiTheme="minorHAnsi" w:hAnsiTheme="minorHAnsi" w:cs="Times New Roman"/>
          <w:color w:val="auto"/>
          <w:szCs w:val="24"/>
        </w:rPr>
      </w:pPr>
    </w:p>
    <w:p w:rsidR="00615A66" w:rsidRPr="00C01634" w:rsidRDefault="001821CC" w:rsidP="00FE311F">
      <w:pPr>
        <w:tabs>
          <w:tab w:val="left" w:pos="288"/>
          <w:tab w:val="left" w:pos="4752"/>
        </w:tabs>
        <w:jc w:val="both"/>
        <w:rPr>
          <w:rFonts w:asciiTheme="minorHAnsi" w:hAnsiTheme="minorHAnsi" w:cs="Times New Roman"/>
          <w:color w:val="auto"/>
          <w:szCs w:val="24"/>
        </w:rPr>
      </w:pPr>
      <w:r>
        <w:rPr>
          <w:rFonts w:asciiTheme="minorHAnsi" w:hAnsiTheme="minorHAnsi" w:cs="Times New Roman"/>
          <w:color w:val="auto"/>
          <w:szCs w:val="24"/>
        </w:rPr>
        <w:t xml:space="preserve">The Board </w:t>
      </w:r>
      <w:r w:rsidR="00E23295">
        <w:rPr>
          <w:rFonts w:asciiTheme="minorHAnsi" w:hAnsiTheme="minorHAnsi" w:cs="Times New Roman"/>
          <w:color w:val="auto"/>
          <w:szCs w:val="24"/>
        </w:rPr>
        <w:t>also</w:t>
      </w:r>
      <w:r>
        <w:rPr>
          <w:rFonts w:asciiTheme="minorHAnsi" w:hAnsiTheme="minorHAnsi" w:cs="Times New Roman"/>
          <w:color w:val="auto"/>
          <w:szCs w:val="24"/>
        </w:rPr>
        <w:t xml:space="preserve"> considered whether an additional rating for sciatic radiculopathy</w:t>
      </w:r>
      <w:r w:rsidR="00E23295">
        <w:rPr>
          <w:rFonts w:asciiTheme="minorHAnsi" w:hAnsiTheme="minorHAnsi" w:cs="Times New Roman"/>
          <w:color w:val="auto"/>
          <w:szCs w:val="24"/>
        </w:rPr>
        <w:t>, as conferred by the VA,</w:t>
      </w:r>
      <w:r>
        <w:rPr>
          <w:rFonts w:asciiTheme="minorHAnsi" w:hAnsiTheme="minorHAnsi" w:cs="Times New Roman"/>
          <w:color w:val="auto"/>
          <w:szCs w:val="24"/>
        </w:rPr>
        <w:t xml:space="preserve"> was appropriate in this case.  </w:t>
      </w:r>
      <w:r w:rsidR="00BE4D88" w:rsidRPr="00BE4D88">
        <w:rPr>
          <w:rFonts w:asciiTheme="minorHAnsi" w:hAnsiTheme="minorHAnsi" w:cs="Times New Roman"/>
          <w:color w:val="auto"/>
          <w:szCs w:val="24"/>
        </w:rPr>
        <w:t xml:space="preserve">Board precedent is that a functional impairment tied to fitness is required to support a recommendation for addition of a peripheral nerve rating at separation. </w:t>
      </w:r>
      <w:r w:rsidR="00BE4D88">
        <w:rPr>
          <w:rFonts w:asciiTheme="minorHAnsi" w:hAnsiTheme="minorHAnsi" w:cs="Times New Roman"/>
          <w:color w:val="auto"/>
          <w:szCs w:val="24"/>
        </w:rPr>
        <w:t xml:space="preserve"> </w:t>
      </w:r>
      <w:r w:rsidR="00E23295">
        <w:rPr>
          <w:rFonts w:asciiTheme="minorHAnsi" w:hAnsiTheme="minorHAnsi" w:cs="Times New Roman"/>
          <w:color w:val="auto"/>
          <w:szCs w:val="24"/>
        </w:rPr>
        <w:t>Although radiating radicular pain was well documented, t</w:t>
      </w:r>
      <w:r w:rsidR="00E23295" w:rsidRPr="00E23295">
        <w:rPr>
          <w:rFonts w:asciiTheme="minorHAnsi" w:hAnsiTheme="minorHAnsi" w:cs="Times New Roman"/>
          <w:color w:val="auto"/>
          <w:szCs w:val="24"/>
        </w:rPr>
        <w:t xml:space="preserve">he pain component of a radiculopathy is subsumed under the general spine rating as specified </w:t>
      </w:r>
      <w:r w:rsidR="00E23295">
        <w:rPr>
          <w:rFonts w:asciiTheme="minorHAnsi" w:hAnsiTheme="minorHAnsi" w:cs="Times New Roman"/>
          <w:color w:val="auto"/>
          <w:szCs w:val="24"/>
        </w:rPr>
        <w:t>in §4.71a; i.e., that rating</w:t>
      </w:r>
      <w:r w:rsidR="00BE4D88">
        <w:rPr>
          <w:rFonts w:asciiTheme="minorHAnsi" w:hAnsiTheme="minorHAnsi" w:cs="Times New Roman"/>
          <w:color w:val="auto"/>
          <w:szCs w:val="24"/>
        </w:rPr>
        <w:t xml:space="preserve"> encompasses “</w:t>
      </w:r>
      <w:r w:rsidR="00BE4D88" w:rsidRPr="00BE4D88">
        <w:rPr>
          <w:rFonts w:asciiTheme="minorHAnsi" w:hAnsiTheme="minorHAnsi" w:cs="Times New Roman"/>
          <w:color w:val="auto"/>
          <w:szCs w:val="24"/>
        </w:rPr>
        <w:t>symptoms such as pain (whether or not it radiates), stiffness, or aching in</w:t>
      </w:r>
      <w:r w:rsidR="00BE4D88">
        <w:rPr>
          <w:rFonts w:asciiTheme="minorHAnsi" w:hAnsiTheme="minorHAnsi" w:cs="Times New Roman"/>
          <w:color w:val="auto"/>
          <w:szCs w:val="24"/>
        </w:rPr>
        <w:t xml:space="preserve"> </w:t>
      </w:r>
      <w:r w:rsidR="00BE4D88" w:rsidRPr="00BE4D88">
        <w:rPr>
          <w:rFonts w:asciiTheme="minorHAnsi" w:hAnsiTheme="minorHAnsi" w:cs="Times New Roman"/>
          <w:color w:val="auto"/>
          <w:szCs w:val="24"/>
        </w:rPr>
        <w:t>the area of the spine affected by residuals of injury or disease</w:t>
      </w:r>
      <w:r w:rsidR="00BE4D88">
        <w:rPr>
          <w:rFonts w:asciiTheme="minorHAnsi" w:hAnsiTheme="minorHAnsi" w:cs="Times New Roman"/>
          <w:color w:val="auto"/>
          <w:szCs w:val="24"/>
        </w:rPr>
        <w:t>.</w:t>
      </w:r>
      <w:r w:rsidR="00714B2D">
        <w:rPr>
          <w:rFonts w:asciiTheme="minorHAnsi" w:hAnsiTheme="minorHAnsi" w:cs="Times New Roman"/>
          <w:color w:val="auto"/>
          <w:szCs w:val="24"/>
        </w:rPr>
        <w:t>”</w:t>
      </w:r>
      <w:r w:rsidR="00BE4D88">
        <w:rPr>
          <w:rFonts w:asciiTheme="minorHAnsi" w:hAnsiTheme="minorHAnsi" w:cs="Times New Roman"/>
          <w:color w:val="auto"/>
          <w:szCs w:val="24"/>
        </w:rPr>
        <w:t xml:space="preserve">  </w:t>
      </w:r>
      <w:r w:rsidR="00BE4D88" w:rsidRPr="00BE4D88">
        <w:rPr>
          <w:rFonts w:asciiTheme="minorHAnsi" w:hAnsiTheme="minorHAnsi" w:cs="Times New Roman"/>
          <w:color w:val="auto"/>
          <w:szCs w:val="24"/>
        </w:rPr>
        <w:t>The sensory component in this case</w:t>
      </w:r>
      <w:r w:rsidR="00BE4D88">
        <w:rPr>
          <w:rFonts w:asciiTheme="minorHAnsi" w:hAnsiTheme="minorHAnsi" w:cs="Times New Roman"/>
          <w:color w:val="auto"/>
          <w:szCs w:val="24"/>
        </w:rPr>
        <w:t xml:space="preserve"> (radiating pain, numbness, tingling)</w:t>
      </w:r>
      <w:r w:rsidR="00BE4D88" w:rsidRPr="00BE4D88">
        <w:rPr>
          <w:rFonts w:asciiTheme="minorHAnsi" w:hAnsiTheme="minorHAnsi" w:cs="Times New Roman"/>
          <w:color w:val="auto"/>
          <w:szCs w:val="24"/>
        </w:rPr>
        <w:t xml:space="preserve"> has no functional implications. </w:t>
      </w:r>
      <w:r w:rsidR="00BE4D88">
        <w:rPr>
          <w:rFonts w:asciiTheme="minorHAnsi" w:hAnsiTheme="minorHAnsi" w:cs="Times New Roman"/>
          <w:color w:val="auto"/>
          <w:szCs w:val="24"/>
        </w:rPr>
        <w:t xml:space="preserve"> Prior to separation there was consistently and explicitly no </w:t>
      </w:r>
      <w:r w:rsidR="00E23295">
        <w:rPr>
          <w:rFonts w:asciiTheme="minorHAnsi" w:hAnsiTheme="minorHAnsi" w:cs="Times New Roman"/>
          <w:color w:val="auto"/>
          <w:szCs w:val="24"/>
        </w:rPr>
        <w:t>physical finding of motor weakness</w:t>
      </w:r>
      <w:r w:rsidR="00BE4D88">
        <w:rPr>
          <w:rFonts w:asciiTheme="minorHAnsi" w:hAnsiTheme="minorHAnsi" w:cs="Times New Roman"/>
          <w:color w:val="auto"/>
          <w:szCs w:val="24"/>
        </w:rPr>
        <w:t xml:space="preserve"> </w:t>
      </w:r>
      <w:r w:rsidR="00E23295">
        <w:rPr>
          <w:rFonts w:asciiTheme="minorHAnsi" w:hAnsiTheme="minorHAnsi" w:cs="Times New Roman"/>
          <w:color w:val="auto"/>
          <w:szCs w:val="24"/>
        </w:rPr>
        <w:t xml:space="preserve">by any examiner </w:t>
      </w:r>
      <w:r w:rsidR="00BE4D88">
        <w:rPr>
          <w:rFonts w:asciiTheme="minorHAnsi" w:hAnsiTheme="minorHAnsi" w:cs="Times New Roman"/>
          <w:color w:val="auto"/>
          <w:szCs w:val="24"/>
        </w:rPr>
        <w:t xml:space="preserve">and electrodiagnostic </w:t>
      </w:r>
      <w:r w:rsidR="00634913">
        <w:rPr>
          <w:rFonts w:asciiTheme="minorHAnsi" w:hAnsiTheme="minorHAnsi" w:cs="Times New Roman"/>
          <w:color w:val="auto"/>
          <w:szCs w:val="24"/>
        </w:rPr>
        <w:t>confirmation</w:t>
      </w:r>
      <w:r w:rsidR="00BE4D88">
        <w:rPr>
          <w:rFonts w:asciiTheme="minorHAnsi" w:hAnsiTheme="minorHAnsi" w:cs="Times New Roman"/>
          <w:color w:val="auto"/>
          <w:szCs w:val="24"/>
        </w:rPr>
        <w:t xml:space="preserve"> of </w:t>
      </w:r>
      <w:r w:rsidR="00634913">
        <w:rPr>
          <w:rFonts w:asciiTheme="minorHAnsi" w:hAnsiTheme="minorHAnsi" w:cs="Times New Roman"/>
          <w:color w:val="auto"/>
          <w:szCs w:val="24"/>
        </w:rPr>
        <w:t>normal nerve innervation</w:t>
      </w:r>
      <w:r w:rsidR="00BE4D88">
        <w:rPr>
          <w:rFonts w:asciiTheme="minorHAnsi" w:hAnsiTheme="minorHAnsi" w:cs="Times New Roman"/>
          <w:color w:val="auto"/>
          <w:szCs w:val="24"/>
        </w:rPr>
        <w:t xml:space="preserve">.  The first subjective complaint of right leg weakness appears in the VA C&amp;P exam 10 months after separation and is accompanied by normal </w:t>
      </w:r>
      <w:r w:rsidR="00C01634">
        <w:rPr>
          <w:rFonts w:asciiTheme="minorHAnsi" w:hAnsiTheme="minorHAnsi" w:cs="Times New Roman"/>
          <w:color w:val="auto"/>
          <w:szCs w:val="24"/>
        </w:rPr>
        <w:t xml:space="preserve">motor </w:t>
      </w:r>
      <w:r w:rsidR="00BE4D88">
        <w:rPr>
          <w:rFonts w:asciiTheme="minorHAnsi" w:hAnsiTheme="minorHAnsi" w:cs="Times New Roman"/>
          <w:color w:val="auto"/>
          <w:szCs w:val="24"/>
        </w:rPr>
        <w:t>findings</w:t>
      </w:r>
      <w:r w:rsidR="00C01634" w:rsidRPr="00C01634">
        <w:rPr>
          <w:rFonts w:asciiTheme="minorHAnsi" w:hAnsiTheme="minorHAnsi" w:cs="Times New Roman"/>
          <w:color w:val="auto"/>
          <w:szCs w:val="24"/>
        </w:rPr>
        <w:t xml:space="preserve"> </w:t>
      </w:r>
      <w:r w:rsidR="00E23295">
        <w:rPr>
          <w:rFonts w:asciiTheme="minorHAnsi" w:hAnsiTheme="minorHAnsi" w:cs="Times New Roman"/>
          <w:color w:val="auto"/>
          <w:szCs w:val="24"/>
        </w:rPr>
        <w:t>on physical exam; although,</w:t>
      </w:r>
      <w:r w:rsidR="00C01634">
        <w:rPr>
          <w:rFonts w:asciiTheme="minorHAnsi" w:hAnsiTheme="minorHAnsi" w:cs="Times New Roman"/>
          <w:color w:val="auto"/>
          <w:szCs w:val="24"/>
        </w:rPr>
        <w:t xml:space="preserve"> </w:t>
      </w:r>
      <w:r w:rsidR="00E23295">
        <w:rPr>
          <w:rFonts w:asciiTheme="minorHAnsi" w:hAnsiTheme="minorHAnsi" w:cs="Times New Roman"/>
          <w:color w:val="auto"/>
          <w:szCs w:val="24"/>
        </w:rPr>
        <w:t>there was</w:t>
      </w:r>
      <w:r w:rsidR="00C01634">
        <w:rPr>
          <w:rFonts w:asciiTheme="minorHAnsi" w:hAnsiTheme="minorHAnsi" w:cs="Times New Roman"/>
          <w:color w:val="auto"/>
          <w:szCs w:val="24"/>
        </w:rPr>
        <w:t xml:space="preserve"> electrodiagnostic data suggestive of sciatica</w:t>
      </w:r>
      <w:r w:rsidR="00BE4D88">
        <w:rPr>
          <w:rFonts w:asciiTheme="minorHAnsi" w:hAnsiTheme="minorHAnsi" w:cs="Times New Roman"/>
          <w:color w:val="auto"/>
          <w:szCs w:val="24"/>
        </w:rPr>
        <w:t>.</w:t>
      </w:r>
      <w:r w:rsidR="00C01634">
        <w:rPr>
          <w:rFonts w:asciiTheme="minorHAnsi" w:hAnsiTheme="minorHAnsi" w:cs="Times New Roman"/>
          <w:color w:val="auto"/>
          <w:szCs w:val="24"/>
        </w:rPr>
        <w:t xml:space="preserve">  The VA appropriately rated these findings at 10%.  The </w:t>
      </w:r>
      <w:r w:rsidR="003D06EA">
        <w:rPr>
          <w:rFonts w:asciiTheme="minorHAnsi" w:hAnsiTheme="minorHAnsi" w:cs="Times New Roman"/>
          <w:color w:val="auto"/>
          <w:szCs w:val="24"/>
        </w:rPr>
        <w:t xml:space="preserve">DRO </w:t>
      </w:r>
      <w:r w:rsidR="00C01634">
        <w:rPr>
          <w:rFonts w:asciiTheme="minorHAnsi" w:hAnsiTheme="minorHAnsi" w:cs="Times New Roman"/>
          <w:color w:val="auto"/>
          <w:szCs w:val="24"/>
        </w:rPr>
        <w:t>decision two years after separation to increase the rating under 8520 to 60% cites data that did not exist prior to separation or even at the 10 month post separation C&amp;P and clearly represents natural progression of the disease.  At the time of separation</w:t>
      </w:r>
      <w:r w:rsidR="003D06EA">
        <w:rPr>
          <w:rFonts w:asciiTheme="minorHAnsi" w:hAnsiTheme="minorHAnsi" w:cs="Times New Roman"/>
          <w:color w:val="auto"/>
          <w:szCs w:val="24"/>
        </w:rPr>
        <w:t>,</w:t>
      </w:r>
      <w:r w:rsidR="00C01634">
        <w:rPr>
          <w:rFonts w:asciiTheme="minorHAnsi" w:hAnsiTheme="minorHAnsi" w:cs="Times New Roman"/>
          <w:color w:val="auto"/>
          <w:szCs w:val="24"/>
        </w:rPr>
        <w:t xml:space="preserve"> all evidence suggests that </w:t>
      </w:r>
      <w:r w:rsidR="00FE311F">
        <w:rPr>
          <w:rFonts w:asciiTheme="minorHAnsi" w:hAnsiTheme="minorHAnsi" w:cs="Times New Roman"/>
          <w:color w:val="auto"/>
          <w:szCs w:val="24"/>
        </w:rPr>
        <w:t>a</w:t>
      </w:r>
      <w:r w:rsidR="00C01634">
        <w:rPr>
          <w:rFonts w:asciiTheme="minorHAnsi" w:hAnsiTheme="minorHAnsi" w:cs="Times New Roman"/>
          <w:color w:val="auto"/>
          <w:szCs w:val="24"/>
        </w:rPr>
        <w:t xml:space="preserve"> </w:t>
      </w:r>
      <w:r w:rsidR="00BE4D88" w:rsidRPr="00BE4D88">
        <w:rPr>
          <w:rFonts w:asciiTheme="minorHAnsi" w:hAnsiTheme="minorHAnsi" w:cs="Times New Roman"/>
          <w:color w:val="auto"/>
          <w:szCs w:val="24"/>
        </w:rPr>
        <w:t xml:space="preserve">motor impairment was </w:t>
      </w:r>
      <w:r w:rsidR="00C01634">
        <w:rPr>
          <w:rFonts w:asciiTheme="minorHAnsi" w:hAnsiTheme="minorHAnsi" w:cs="Times New Roman"/>
          <w:color w:val="auto"/>
          <w:szCs w:val="24"/>
        </w:rPr>
        <w:t>not present</w:t>
      </w:r>
      <w:r w:rsidR="003D06EA">
        <w:rPr>
          <w:rFonts w:asciiTheme="minorHAnsi" w:hAnsiTheme="minorHAnsi" w:cs="Times New Roman"/>
          <w:color w:val="auto"/>
          <w:szCs w:val="24"/>
        </w:rPr>
        <w:t>,</w:t>
      </w:r>
      <w:r w:rsidR="00C01634">
        <w:rPr>
          <w:rFonts w:asciiTheme="minorHAnsi" w:hAnsiTheme="minorHAnsi" w:cs="Times New Roman"/>
          <w:color w:val="auto"/>
          <w:szCs w:val="24"/>
        </w:rPr>
        <w:t xml:space="preserve"> or was </w:t>
      </w:r>
      <w:r w:rsidR="000F6AD9">
        <w:rPr>
          <w:rFonts w:asciiTheme="minorHAnsi" w:hAnsiTheme="minorHAnsi" w:cs="Times New Roman"/>
          <w:color w:val="auto"/>
          <w:szCs w:val="24"/>
        </w:rPr>
        <w:t>subclinical,</w:t>
      </w:r>
      <w:r w:rsidR="00BE4D88" w:rsidRPr="00BE4D88">
        <w:rPr>
          <w:rFonts w:asciiTheme="minorHAnsi" w:hAnsiTheme="minorHAnsi" w:cs="Times New Roman"/>
          <w:color w:val="auto"/>
          <w:szCs w:val="24"/>
        </w:rPr>
        <w:t xml:space="preserve"> and </w:t>
      </w:r>
      <w:r w:rsidR="000F6AD9">
        <w:rPr>
          <w:rFonts w:asciiTheme="minorHAnsi" w:hAnsiTheme="minorHAnsi" w:cs="Times New Roman"/>
          <w:color w:val="auto"/>
          <w:szCs w:val="24"/>
        </w:rPr>
        <w:t>could not</w:t>
      </w:r>
      <w:r w:rsidR="00BE4D88" w:rsidRPr="00BE4D88">
        <w:rPr>
          <w:rFonts w:asciiTheme="minorHAnsi" w:hAnsiTheme="minorHAnsi" w:cs="Times New Roman"/>
          <w:color w:val="auto"/>
          <w:szCs w:val="24"/>
        </w:rPr>
        <w:t xml:space="preserve"> be linked to </w:t>
      </w:r>
      <w:r w:rsidR="00E23295">
        <w:rPr>
          <w:rFonts w:asciiTheme="minorHAnsi" w:hAnsiTheme="minorHAnsi" w:cs="Times New Roman"/>
          <w:color w:val="auto"/>
          <w:szCs w:val="24"/>
        </w:rPr>
        <w:t>significant functional</w:t>
      </w:r>
      <w:r w:rsidR="00BE4D88" w:rsidRPr="00BE4D88">
        <w:rPr>
          <w:rFonts w:asciiTheme="minorHAnsi" w:hAnsiTheme="minorHAnsi" w:cs="Times New Roman"/>
          <w:color w:val="auto"/>
          <w:szCs w:val="24"/>
        </w:rPr>
        <w:t xml:space="preserve"> impairment. </w:t>
      </w:r>
      <w:r w:rsidR="003D06EA">
        <w:rPr>
          <w:rFonts w:asciiTheme="minorHAnsi" w:hAnsiTheme="minorHAnsi" w:cs="Times New Roman"/>
          <w:color w:val="auto"/>
          <w:szCs w:val="24"/>
        </w:rPr>
        <w:t xml:space="preserve"> All members agreed;</w:t>
      </w:r>
      <w:r w:rsidR="00E23295">
        <w:rPr>
          <w:rFonts w:asciiTheme="minorHAnsi" w:hAnsiTheme="minorHAnsi" w:cs="Times New Roman"/>
          <w:color w:val="auto"/>
          <w:szCs w:val="24"/>
        </w:rPr>
        <w:t xml:space="preserve"> therefore, that a recommendation for </w:t>
      </w:r>
      <w:r w:rsidR="00E23295" w:rsidRPr="00BE4D88">
        <w:rPr>
          <w:rFonts w:asciiTheme="minorHAnsi" w:hAnsiTheme="minorHAnsi" w:cs="Times New Roman"/>
          <w:color w:val="auto"/>
          <w:szCs w:val="24"/>
        </w:rPr>
        <w:t xml:space="preserve">additional </w:t>
      </w:r>
      <w:r w:rsidR="00E23295">
        <w:rPr>
          <w:rFonts w:asciiTheme="minorHAnsi" w:hAnsiTheme="minorHAnsi" w:cs="Times New Roman"/>
          <w:color w:val="auto"/>
          <w:szCs w:val="24"/>
        </w:rPr>
        <w:t xml:space="preserve">Service rating </w:t>
      </w:r>
      <w:r w:rsidR="00BE4D88" w:rsidRPr="00BE4D88">
        <w:rPr>
          <w:rFonts w:asciiTheme="minorHAnsi" w:hAnsiTheme="minorHAnsi" w:cs="Times New Roman"/>
          <w:color w:val="auto"/>
          <w:szCs w:val="24"/>
        </w:rPr>
        <w:t>based on peripheral nerve impairment</w:t>
      </w:r>
      <w:r w:rsidR="00E23295">
        <w:rPr>
          <w:rFonts w:asciiTheme="minorHAnsi" w:hAnsiTheme="minorHAnsi" w:cs="Times New Roman"/>
          <w:color w:val="auto"/>
          <w:szCs w:val="24"/>
        </w:rPr>
        <w:t xml:space="preserve"> was not supported</w:t>
      </w:r>
      <w:r w:rsidR="00BE4D88" w:rsidRPr="00BE4D88">
        <w:rPr>
          <w:rFonts w:asciiTheme="minorHAnsi" w:hAnsiTheme="minorHAnsi" w:cs="Times New Roman"/>
          <w:color w:val="auto"/>
          <w:szCs w:val="24"/>
        </w:rPr>
        <w:t>.</w:t>
      </w:r>
    </w:p>
    <w:p w:rsidR="00EC337D" w:rsidRPr="001F29F9" w:rsidRDefault="00EC337D" w:rsidP="00FE311F">
      <w:pPr>
        <w:jc w:val="both"/>
        <w:rPr>
          <w:color w:val="000000" w:themeColor="text1"/>
          <w:szCs w:val="24"/>
        </w:rPr>
      </w:pPr>
    </w:p>
    <w:p w:rsidR="005E1813" w:rsidRPr="005E1813" w:rsidRDefault="00EC337D" w:rsidP="00FE311F">
      <w:pPr>
        <w:jc w:val="both"/>
        <w:rPr>
          <w:color w:val="000000" w:themeColor="text1"/>
          <w:szCs w:val="24"/>
        </w:rPr>
      </w:pPr>
      <w:proofErr w:type="gramStart"/>
      <w:r w:rsidRPr="001F29F9">
        <w:rPr>
          <w:color w:val="000000" w:themeColor="text1"/>
          <w:szCs w:val="24"/>
          <w:u w:val="single"/>
        </w:rPr>
        <w:lastRenderedPageBreak/>
        <w:t>Remaining Conditions</w:t>
      </w:r>
      <w:r w:rsidRPr="001F29F9">
        <w:rPr>
          <w:color w:val="000000" w:themeColor="text1"/>
          <w:szCs w:val="24"/>
        </w:rPr>
        <w:t>.</w:t>
      </w:r>
      <w:proofErr w:type="gramEnd"/>
      <w:r w:rsidRPr="001F29F9">
        <w:rPr>
          <w:color w:val="000000" w:themeColor="text1"/>
          <w:szCs w:val="24"/>
        </w:rPr>
        <w:t xml:space="preserve">  </w:t>
      </w:r>
      <w:r w:rsidR="009D026D" w:rsidRPr="005E1813">
        <w:rPr>
          <w:color w:val="000000" w:themeColor="text1"/>
          <w:szCs w:val="24"/>
        </w:rPr>
        <w:t>One</w:t>
      </w:r>
      <w:r w:rsidR="005E1813" w:rsidRPr="005E1813">
        <w:rPr>
          <w:color w:val="000000" w:themeColor="text1"/>
          <w:szCs w:val="24"/>
        </w:rPr>
        <w:t xml:space="preserve"> other condition</w:t>
      </w:r>
      <w:r w:rsidR="009D026D">
        <w:rPr>
          <w:color w:val="000000" w:themeColor="text1"/>
          <w:szCs w:val="24"/>
        </w:rPr>
        <w:t>, a history of wrist fracture, was</w:t>
      </w:r>
      <w:r w:rsidR="005E1813" w:rsidRPr="005E1813">
        <w:rPr>
          <w:color w:val="000000" w:themeColor="text1"/>
          <w:szCs w:val="24"/>
        </w:rPr>
        <w:t xml:space="preserve"> identified in the DES file.  Several additional non-acute conditions or medical complaints were also documented.  None of these conditions were clinical</w:t>
      </w:r>
      <w:r w:rsidR="005865C3">
        <w:rPr>
          <w:color w:val="000000" w:themeColor="text1"/>
          <w:szCs w:val="24"/>
        </w:rPr>
        <w:t>ly active during the MEB period;</w:t>
      </w:r>
      <w:r w:rsidR="005E1813" w:rsidRPr="005E1813">
        <w:rPr>
          <w:color w:val="000000" w:themeColor="text1"/>
          <w:szCs w:val="24"/>
        </w:rPr>
        <w:t xml:space="preserve"> none carried attached profiles</w:t>
      </w:r>
      <w:r w:rsidR="005865C3">
        <w:rPr>
          <w:color w:val="000000" w:themeColor="text1"/>
          <w:szCs w:val="24"/>
        </w:rPr>
        <w:t>;</w:t>
      </w:r>
      <w:r w:rsidR="005E1813" w:rsidRPr="005E1813">
        <w:rPr>
          <w:color w:val="000000" w:themeColor="text1"/>
          <w:szCs w:val="24"/>
        </w:rPr>
        <w:t xml:space="preserve"> and</w:t>
      </w:r>
      <w:r w:rsidR="005865C3">
        <w:rPr>
          <w:color w:val="000000" w:themeColor="text1"/>
          <w:szCs w:val="24"/>
        </w:rPr>
        <w:t>,</w:t>
      </w:r>
      <w:r w:rsidR="005E1813" w:rsidRPr="005E1813">
        <w:rPr>
          <w:color w:val="000000" w:themeColor="text1"/>
          <w:szCs w:val="24"/>
        </w:rPr>
        <w:t xml:space="preserve"> </w:t>
      </w:r>
      <w:r w:rsidR="005865C3">
        <w:rPr>
          <w:color w:val="000000" w:themeColor="text1"/>
          <w:szCs w:val="24"/>
        </w:rPr>
        <w:t xml:space="preserve">none were </w:t>
      </w:r>
      <w:r w:rsidR="005E1813" w:rsidRPr="005E1813">
        <w:rPr>
          <w:color w:val="000000" w:themeColor="text1"/>
          <w:szCs w:val="24"/>
        </w:rPr>
        <w:t>implicat</w:t>
      </w:r>
      <w:r w:rsidR="009D026D">
        <w:rPr>
          <w:color w:val="000000" w:themeColor="text1"/>
          <w:szCs w:val="24"/>
        </w:rPr>
        <w:t>ed in the commander’s statement</w:t>
      </w:r>
      <w:r w:rsidR="005E1813" w:rsidRPr="005E1813">
        <w:rPr>
          <w:color w:val="000000" w:themeColor="text1"/>
          <w:szCs w:val="24"/>
        </w:rPr>
        <w:t>.  Th</w:t>
      </w:r>
      <w:r w:rsidR="009D026D">
        <w:rPr>
          <w:color w:val="000000" w:themeColor="text1"/>
          <w:szCs w:val="24"/>
        </w:rPr>
        <w:t>ese</w:t>
      </w:r>
      <w:r w:rsidR="005E1813" w:rsidRPr="005E1813">
        <w:rPr>
          <w:color w:val="000000" w:themeColor="text1"/>
          <w:szCs w:val="24"/>
        </w:rPr>
        <w:t xml:space="preserve"> condition</w:t>
      </w:r>
      <w:r w:rsidR="009D026D">
        <w:rPr>
          <w:color w:val="000000" w:themeColor="text1"/>
          <w:szCs w:val="24"/>
        </w:rPr>
        <w:t>s</w:t>
      </w:r>
      <w:r w:rsidR="005E1813" w:rsidRPr="005E1813">
        <w:rPr>
          <w:color w:val="000000" w:themeColor="text1"/>
          <w:szCs w:val="24"/>
        </w:rPr>
        <w:t xml:space="preserve"> </w:t>
      </w:r>
      <w:r w:rsidR="009D026D">
        <w:rPr>
          <w:color w:val="000000" w:themeColor="text1"/>
          <w:szCs w:val="24"/>
        </w:rPr>
        <w:t>were</w:t>
      </w:r>
      <w:r w:rsidR="005E1813" w:rsidRPr="005E1813">
        <w:rPr>
          <w:color w:val="000000" w:themeColor="text1"/>
          <w:szCs w:val="24"/>
        </w:rPr>
        <w:t xml:space="preserve"> reviewed by the </w:t>
      </w:r>
      <w:r w:rsidR="00214780">
        <w:rPr>
          <w:color w:val="000000" w:themeColor="text1"/>
          <w:szCs w:val="24"/>
        </w:rPr>
        <w:t>a</w:t>
      </w:r>
      <w:r w:rsidR="005865C3" w:rsidRPr="005E1813">
        <w:rPr>
          <w:color w:val="000000" w:themeColor="text1"/>
          <w:szCs w:val="24"/>
        </w:rPr>
        <w:t xml:space="preserve">ction </w:t>
      </w:r>
      <w:r w:rsidR="00214780">
        <w:rPr>
          <w:color w:val="000000" w:themeColor="text1"/>
          <w:szCs w:val="24"/>
        </w:rPr>
        <w:t>o</w:t>
      </w:r>
      <w:r w:rsidR="005865C3" w:rsidRPr="005E1813">
        <w:rPr>
          <w:color w:val="000000" w:themeColor="text1"/>
          <w:szCs w:val="24"/>
        </w:rPr>
        <w:t xml:space="preserve">fficer </w:t>
      </w:r>
      <w:r w:rsidR="005E1813" w:rsidRPr="005E1813">
        <w:rPr>
          <w:color w:val="000000" w:themeColor="text1"/>
          <w:szCs w:val="24"/>
        </w:rPr>
        <w:t xml:space="preserve">and considered by the Board.  It was determined that </w:t>
      </w:r>
      <w:r w:rsidR="005865C3">
        <w:rPr>
          <w:color w:val="000000" w:themeColor="text1"/>
          <w:szCs w:val="24"/>
        </w:rPr>
        <w:t>none</w:t>
      </w:r>
      <w:r w:rsidR="005E1813" w:rsidRPr="005E1813">
        <w:rPr>
          <w:color w:val="000000" w:themeColor="text1"/>
          <w:szCs w:val="24"/>
        </w:rPr>
        <w:t xml:space="preserve"> could be argued as unfitting and subject to separation rating.  Additionally</w:t>
      </w:r>
      <w:r w:rsidR="009D026D">
        <w:rPr>
          <w:color w:val="000000" w:themeColor="text1"/>
          <w:szCs w:val="24"/>
        </w:rPr>
        <w:t>,</w:t>
      </w:r>
      <w:r w:rsidR="005E1813" w:rsidRPr="005E1813">
        <w:rPr>
          <w:color w:val="000000" w:themeColor="text1"/>
          <w:szCs w:val="24"/>
        </w:rPr>
        <w:t xml:space="preserve"> tinnitus </w:t>
      </w:r>
      <w:r w:rsidR="009D026D">
        <w:rPr>
          <w:color w:val="000000" w:themeColor="text1"/>
          <w:szCs w:val="24"/>
        </w:rPr>
        <w:t xml:space="preserve">and </w:t>
      </w:r>
      <w:r w:rsidR="005E1813" w:rsidRPr="005E1813">
        <w:rPr>
          <w:color w:val="000000" w:themeColor="text1"/>
          <w:szCs w:val="24"/>
        </w:rPr>
        <w:t>several other non-acute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9D026D"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0F1247" w:rsidRDefault="00C56FC8" w:rsidP="000F1247">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w:t>
      </w:r>
      <w:r w:rsidRPr="000F6AD9">
        <w:rPr>
          <w:rFonts w:eastAsiaTheme="minorHAnsi"/>
          <w:color w:val="000000" w:themeColor="text1"/>
          <w:szCs w:val="24"/>
        </w:rPr>
        <w:t>the time of the adjudication</w:t>
      </w:r>
      <w:r w:rsidR="009D026D" w:rsidRPr="000F6AD9">
        <w:rPr>
          <w:rFonts w:asciiTheme="minorHAnsi" w:eastAsiaTheme="minorHAnsi" w:hAnsiTheme="minorHAnsi" w:cs="Times New Roman"/>
          <w:color w:val="auto"/>
          <w:szCs w:val="24"/>
        </w:rPr>
        <w:t xml:space="preserve">.  The Board did not surmise from the record or PEB ruling in this case that any prerogatives outside the VASRD were exercised.  </w:t>
      </w:r>
      <w:r w:rsidR="003C53E8" w:rsidRPr="000F6AD9">
        <w:rPr>
          <w:rFonts w:asciiTheme="minorHAnsi" w:eastAsiaTheme="minorHAnsi" w:hAnsiTheme="minorHAnsi" w:cs="Times New Roman"/>
          <w:color w:val="auto"/>
          <w:szCs w:val="24"/>
        </w:rPr>
        <w:t xml:space="preserve">In the matter of the </w:t>
      </w:r>
      <w:r w:rsidR="009D026D" w:rsidRPr="000F6AD9">
        <w:rPr>
          <w:rFonts w:asciiTheme="minorHAnsi" w:eastAsiaTheme="minorHAnsi" w:hAnsiTheme="minorHAnsi" w:cs="Times New Roman"/>
          <w:color w:val="auto"/>
          <w:szCs w:val="24"/>
        </w:rPr>
        <w:t>lumbar spine</w:t>
      </w:r>
      <w:r w:rsidR="003C53E8" w:rsidRPr="000F6AD9">
        <w:rPr>
          <w:rFonts w:asciiTheme="minorHAnsi" w:eastAsiaTheme="minorHAnsi" w:hAnsiTheme="minorHAnsi" w:cs="Times New Roman"/>
          <w:color w:val="auto"/>
          <w:szCs w:val="24"/>
        </w:rPr>
        <w:t xml:space="preserve"> condition, the Board unanimously recommends a rating of </w:t>
      </w:r>
      <w:r w:rsidR="009D026D" w:rsidRPr="000F6AD9">
        <w:rPr>
          <w:rFonts w:asciiTheme="minorHAnsi" w:eastAsiaTheme="minorHAnsi" w:hAnsiTheme="minorHAnsi" w:cs="Times New Roman"/>
          <w:color w:val="auto"/>
          <w:szCs w:val="24"/>
        </w:rPr>
        <w:t>2</w:t>
      </w:r>
      <w:r w:rsidR="003C53E8" w:rsidRPr="000F6AD9">
        <w:rPr>
          <w:rFonts w:asciiTheme="minorHAnsi" w:eastAsiaTheme="minorHAnsi" w:hAnsiTheme="minorHAnsi" w:cs="Times New Roman"/>
          <w:color w:val="auto"/>
          <w:szCs w:val="24"/>
        </w:rPr>
        <w:t xml:space="preserve">0% coded </w:t>
      </w:r>
      <w:r w:rsidR="00055D7A" w:rsidRPr="000F6AD9">
        <w:rPr>
          <w:rFonts w:asciiTheme="minorHAnsi" w:eastAsiaTheme="minorHAnsi" w:hAnsiTheme="minorHAnsi" w:cs="Times New Roman"/>
          <w:color w:val="auto"/>
          <w:szCs w:val="24"/>
        </w:rPr>
        <w:t>5242</w:t>
      </w:r>
      <w:r w:rsidR="003C53E8" w:rsidRPr="000F6AD9">
        <w:rPr>
          <w:rFonts w:asciiTheme="minorHAnsi" w:eastAsiaTheme="minorHAnsi" w:hAnsiTheme="minorHAnsi" w:cs="Times New Roman"/>
          <w:color w:val="auto"/>
          <w:szCs w:val="24"/>
        </w:rPr>
        <w:t xml:space="preserve"> </w:t>
      </w:r>
      <w:r w:rsidR="003C53E8" w:rsidRPr="000F6AD9">
        <w:rPr>
          <w:rFonts w:asciiTheme="minorHAnsi" w:hAnsiTheme="minorHAnsi" w:cs="Times New Roman"/>
          <w:color w:val="auto"/>
          <w:szCs w:val="24"/>
        </w:rPr>
        <w:t xml:space="preserve">IAW VASRD §4.71a.  </w:t>
      </w:r>
      <w:r w:rsidR="00055D7A" w:rsidRPr="000F6AD9">
        <w:rPr>
          <w:rFonts w:asciiTheme="minorHAnsi" w:hAnsiTheme="minorHAnsi" w:cs="Times New Roman"/>
          <w:color w:val="auto"/>
          <w:szCs w:val="24"/>
        </w:rPr>
        <w:t xml:space="preserve">In the matter of the </w:t>
      </w:r>
      <w:r w:rsidR="005865C3" w:rsidRPr="000F6AD9">
        <w:rPr>
          <w:rFonts w:asciiTheme="minorHAnsi" w:hAnsiTheme="minorHAnsi" w:cs="Times New Roman"/>
          <w:color w:val="auto"/>
          <w:szCs w:val="24"/>
        </w:rPr>
        <w:t xml:space="preserve">associated </w:t>
      </w:r>
      <w:r w:rsidR="00055D7A" w:rsidRPr="000F6AD9">
        <w:rPr>
          <w:rFonts w:asciiTheme="minorHAnsi" w:hAnsiTheme="minorHAnsi" w:cs="Times New Roman"/>
          <w:color w:val="auto"/>
          <w:szCs w:val="24"/>
        </w:rPr>
        <w:t>sciatic radiculopathy, the Board unanimously agrees that it cannot</w:t>
      </w:r>
      <w:r w:rsidR="00055D7A" w:rsidRPr="000F6AD9">
        <w:rPr>
          <w:rFonts w:asciiTheme="minorHAnsi" w:hAnsiTheme="minorHAnsi" w:cs="Times New Roman"/>
          <w:color w:val="000080"/>
          <w:szCs w:val="24"/>
        </w:rPr>
        <w:t xml:space="preserve"> </w:t>
      </w:r>
      <w:r w:rsidR="00055D7A" w:rsidRPr="000F6AD9">
        <w:rPr>
          <w:rFonts w:asciiTheme="minorHAnsi" w:hAnsiTheme="minorHAnsi" w:cs="Times New Roman"/>
          <w:color w:val="auto"/>
          <w:szCs w:val="24"/>
        </w:rPr>
        <w:t xml:space="preserve">recommend a finding of unfit for additional rating at separation.  </w:t>
      </w:r>
      <w:r w:rsidR="003C53E8" w:rsidRPr="000F6AD9">
        <w:rPr>
          <w:rFonts w:asciiTheme="minorHAnsi" w:hAnsiTheme="minorHAnsi" w:cs="Times New Roman"/>
          <w:color w:val="auto"/>
          <w:szCs w:val="24"/>
        </w:rPr>
        <w:t>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BF0E94">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055D7A" w:rsidRPr="00055D7A">
        <w:rPr>
          <w:color w:val="000000" w:themeColor="text1"/>
          <w:szCs w:val="24"/>
        </w:rPr>
        <w:t xml:space="preserve"> </w:t>
      </w:r>
      <w:r w:rsidR="00055D7A">
        <w:rPr>
          <w:color w:val="000000" w:themeColor="text1"/>
          <w:szCs w:val="24"/>
        </w:rPr>
        <w:t xml:space="preserve"> </w:t>
      </w:r>
      <w:r w:rsidR="00055D7A" w:rsidRPr="001F29F9">
        <w:rPr>
          <w:color w:val="000000" w:themeColor="text1"/>
          <w:szCs w:val="24"/>
        </w:rPr>
        <w:t>The Board recommends that the CI’s prior determination be modified as follows, effective as of the date of his 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8"/>
        <w:gridCol w:w="1530"/>
        <w:gridCol w:w="1062"/>
      </w:tblGrid>
      <w:tr w:rsidR="00A95BBA" w:rsidRPr="001F29F9" w:rsidTr="005865C3">
        <w:trPr>
          <w:trHeight w:val="233"/>
          <w:jc w:val="center"/>
        </w:trPr>
        <w:tc>
          <w:tcPr>
            <w:tcW w:w="6768"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53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06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5865C3">
        <w:trPr>
          <w:jc w:val="center"/>
        </w:trPr>
        <w:tc>
          <w:tcPr>
            <w:tcW w:w="6768" w:type="dxa"/>
            <w:vAlign w:val="center"/>
          </w:tcPr>
          <w:p w:rsidR="00A95BBA" w:rsidRPr="001F29F9" w:rsidRDefault="00055D7A" w:rsidP="00BF0E94">
            <w:pPr>
              <w:tabs>
                <w:tab w:val="left" w:pos="288"/>
                <w:tab w:val="left" w:pos="4752"/>
              </w:tabs>
              <w:jc w:val="left"/>
              <w:rPr>
                <w:color w:val="000000" w:themeColor="text1"/>
                <w:szCs w:val="24"/>
              </w:rPr>
            </w:pPr>
            <w:r>
              <w:rPr>
                <w:color w:val="000000" w:themeColor="text1"/>
                <w:szCs w:val="24"/>
              </w:rPr>
              <w:t xml:space="preserve">Lumbar Degenerative </w:t>
            </w:r>
            <w:r w:rsidR="005865C3">
              <w:rPr>
                <w:color w:val="000000" w:themeColor="text1"/>
                <w:szCs w:val="24"/>
              </w:rPr>
              <w:t xml:space="preserve">Spine and </w:t>
            </w:r>
            <w:r>
              <w:rPr>
                <w:color w:val="000000" w:themeColor="text1"/>
                <w:szCs w:val="24"/>
              </w:rPr>
              <w:t>Disc Disease</w:t>
            </w:r>
          </w:p>
        </w:tc>
        <w:tc>
          <w:tcPr>
            <w:tcW w:w="1530" w:type="dxa"/>
            <w:vAlign w:val="center"/>
          </w:tcPr>
          <w:p w:rsidR="00A95BBA" w:rsidRPr="001F29F9" w:rsidRDefault="00055D7A" w:rsidP="00BF0E94">
            <w:pPr>
              <w:tabs>
                <w:tab w:val="left" w:pos="288"/>
                <w:tab w:val="left" w:pos="4752"/>
              </w:tabs>
              <w:rPr>
                <w:color w:val="000000" w:themeColor="text1"/>
                <w:szCs w:val="24"/>
              </w:rPr>
            </w:pPr>
            <w:r>
              <w:rPr>
                <w:color w:val="000000" w:themeColor="text1"/>
                <w:szCs w:val="24"/>
              </w:rPr>
              <w:t>5242</w:t>
            </w:r>
          </w:p>
        </w:tc>
        <w:tc>
          <w:tcPr>
            <w:tcW w:w="1062" w:type="dxa"/>
            <w:vAlign w:val="center"/>
          </w:tcPr>
          <w:p w:rsidR="00A95BBA" w:rsidRPr="001F29F9" w:rsidRDefault="00055D7A" w:rsidP="00BF0E94">
            <w:pPr>
              <w:tabs>
                <w:tab w:val="left" w:pos="288"/>
                <w:tab w:val="left" w:pos="4752"/>
              </w:tabs>
              <w:rPr>
                <w:color w:val="000000" w:themeColor="text1"/>
                <w:szCs w:val="24"/>
              </w:rPr>
            </w:pPr>
            <w:r>
              <w:rPr>
                <w:color w:val="000000" w:themeColor="text1"/>
                <w:szCs w:val="24"/>
              </w:rPr>
              <w:t>20</w:t>
            </w:r>
            <w:r w:rsidR="00A95BBA" w:rsidRPr="001F29F9">
              <w:rPr>
                <w:color w:val="000000" w:themeColor="text1"/>
                <w:szCs w:val="24"/>
              </w:rPr>
              <w:t>%</w:t>
            </w:r>
          </w:p>
        </w:tc>
      </w:tr>
      <w:tr w:rsidR="00A95BBA" w:rsidRPr="001F29F9" w:rsidTr="005865C3">
        <w:tblPrEx>
          <w:tblLook w:val="0000"/>
        </w:tblPrEx>
        <w:trPr>
          <w:gridBefore w:val="1"/>
          <w:wBefore w:w="6768"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062" w:type="dxa"/>
            <w:tcBorders>
              <w:bottom w:val="single" w:sz="4" w:space="0" w:color="000000"/>
            </w:tcBorders>
            <w:shd w:val="clear" w:color="auto" w:fill="D9D9D9" w:themeFill="background1" w:themeFillShade="D9"/>
            <w:vAlign w:val="center"/>
          </w:tcPr>
          <w:p w:rsidR="00A95BBA" w:rsidRPr="001F29F9" w:rsidRDefault="00055D7A" w:rsidP="00BF0E94">
            <w:pPr>
              <w:tabs>
                <w:tab w:val="left" w:pos="288"/>
                <w:tab w:val="left" w:pos="4752"/>
              </w:tabs>
              <w:rPr>
                <w:b/>
                <w:color w:val="000000" w:themeColor="text1"/>
                <w:szCs w:val="24"/>
              </w:rPr>
            </w:pPr>
            <w:r>
              <w:rPr>
                <w:b/>
                <w:color w:val="000000" w:themeColor="text1"/>
                <w:szCs w:val="24"/>
              </w:rPr>
              <w:t>20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A55729">
        <w:rPr>
          <w:color w:val="000000" w:themeColor="text1"/>
          <w:szCs w:val="24"/>
        </w:rPr>
        <w:t>10412</w:t>
      </w:r>
      <w:r w:rsidR="003D06EA">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3D06EA">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3D06EA">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DD09E8">
        <w:rPr>
          <w:color w:val="000000" w:themeColor="text1"/>
          <w:szCs w:val="24"/>
        </w:rPr>
        <w:t>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DD09E8"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D09E8" w:rsidRDefault="00DD09E8">
      <w:pPr>
        <w:rPr>
          <w:color w:val="000000" w:themeColor="text1"/>
          <w:szCs w:val="24"/>
        </w:rPr>
      </w:pPr>
      <w:r>
        <w:rPr>
          <w:color w:val="000000" w:themeColor="text1"/>
          <w:szCs w:val="24"/>
        </w:rPr>
        <w:br w:type="page"/>
      </w:r>
    </w:p>
    <w:p w:rsidR="00DD09E8" w:rsidRDefault="00DD09E8" w:rsidP="00DD09E8">
      <w:pPr>
        <w:tabs>
          <w:tab w:val="left" w:pos="576"/>
        </w:tabs>
        <w:ind w:right="-1080"/>
        <w:jc w:val="left"/>
        <w:rPr>
          <w:rFonts w:ascii="Times New Roman" w:hAnsi="Times New Roman"/>
          <w:color w:val="auto"/>
        </w:rPr>
      </w:pPr>
      <w:r>
        <w:rPr>
          <w:rFonts w:ascii="Times New Roman" w:hAnsi="Times New Roman"/>
          <w:color w:val="auto"/>
        </w:rPr>
        <w:lastRenderedPageBreak/>
        <w:t>SAF/MRB</w:t>
      </w:r>
    </w:p>
    <w:p w:rsidR="00DD09E8" w:rsidRDefault="00DD09E8" w:rsidP="00DD09E8">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DD09E8" w:rsidRDefault="00DD09E8" w:rsidP="00DD09E8">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DD09E8" w:rsidRDefault="00DD09E8" w:rsidP="00DD09E8">
      <w:pPr>
        <w:tabs>
          <w:tab w:val="left" w:pos="576"/>
        </w:tabs>
        <w:ind w:right="-1080"/>
        <w:jc w:val="left"/>
        <w:rPr>
          <w:rFonts w:ascii="Times New Roman" w:hAnsi="Times New Roman"/>
          <w:color w:val="auto"/>
        </w:rPr>
      </w:pPr>
    </w:p>
    <w:p w:rsidR="00DD09E8" w:rsidRDefault="00DD09E8" w:rsidP="00DD09E8">
      <w:pPr>
        <w:tabs>
          <w:tab w:val="left" w:pos="720"/>
        </w:tabs>
        <w:ind w:right="-1080"/>
        <w:jc w:val="left"/>
        <w:rPr>
          <w:rFonts w:ascii="Times New Roman" w:hAnsi="Times New Roman"/>
          <w:color w:val="auto"/>
        </w:rPr>
      </w:pPr>
      <w:r>
        <w:rPr>
          <w:rFonts w:ascii="Times New Roman" w:hAnsi="Times New Roman"/>
          <w:color w:val="auto"/>
        </w:rPr>
        <w:t>Dear XXXXXXXXXXX:</w:t>
      </w:r>
    </w:p>
    <w:p w:rsidR="00DD09E8" w:rsidRPr="00DD09E8" w:rsidRDefault="00DD09E8" w:rsidP="00DD09E8">
      <w:pPr>
        <w:tabs>
          <w:tab w:val="left" w:pos="720"/>
        </w:tabs>
        <w:jc w:val="left"/>
        <w:rPr>
          <w:rFonts w:ascii="Times New Roman" w:hAnsi="Times New Roman"/>
          <w:color w:val="auto"/>
        </w:rPr>
      </w:pPr>
    </w:p>
    <w:p w:rsidR="00DD09E8" w:rsidRDefault="00DD09E8" w:rsidP="00DD09E8">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 1554a), PDBR Case Number PD-2011-00316.</w:t>
      </w:r>
    </w:p>
    <w:p w:rsidR="00DD09E8" w:rsidRDefault="00DD09E8" w:rsidP="00DD09E8">
      <w:pPr>
        <w:tabs>
          <w:tab w:val="left" w:pos="720"/>
        </w:tabs>
        <w:ind w:right="-1080"/>
        <w:jc w:val="left"/>
        <w:rPr>
          <w:rFonts w:ascii="Times New Roman" w:hAnsi="Times New Roman"/>
          <w:color w:val="auto"/>
        </w:rPr>
      </w:pPr>
    </w:p>
    <w:p w:rsidR="00DD09E8" w:rsidRDefault="00DD09E8" w:rsidP="00DD09E8">
      <w:pPr>
        <w:tabs>
          <w:tab w:val="left" w:pos="720"/>
        </w:tabs>
        <w:jc w:val="lef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DD09E8" w:rsidRDefault="00DD09E8" w:rsidP="00DD09E8">
      <w:pPr>
        <w:tabs>
          <w:tab w:val="left" w:pos="720"/>
        </w:tabs>
        <w:ind w:right="-1080"/>
        <w:jc w:val="left"/>
        <w:rPr>
          <w:rFonts w:ascii="Times New Roman" w:hAnsi="Times New Roman"/>
          <w:color w:val="auto"/>
        </w:rPr>
      </w:pPr>
    </w:p>
    <w:p w:rsidR="00DD09E8" w:rsidRDefault="00DD09E8" w:rsidP="00DD09E8">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DD09E8" w:rsidRDefault="00DD09E8" w:rsidP="00DD09E8">
      <w:pPr>
        <w:tabs>
          <w:tab w:val="left" w:pos="720"/>
        </w:tabs>
        <w:jc w:val="left"/>
        <w:rPr>
          <w:rFonts w:ascii="Times New Roman" w:hAnsi="Times New Roman"/>
          <w:color w:val="auto"/>
        </w:rPr>
      </w:pPr>
    </w:p>
    <w:p w:rsidR="00DD09E8" w:rsidRDefault="00DD09E8" w:rsidP="00DD09E8">
      <w:pPr>
        <w:pStyle w:val="BodyText2"/>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DD09E8" w:rsidRDefault="00DD09E8" w:rsidP="00DD09E8">
      <w:pPr>
        <w:pStyle w:val="BodyText2"/>
        <w:jc w:val="left"/>
        <w:rPr>
          <w:rFonts w:ascii="Times New Roman" w:hAnsi="Times New Roman"/>
          <w:color w:val="auto"/>
        </w:rPr>
      </w:pPr>
    </w:p>
    <w:p w:rsidR="00DD09E8" w:rsidRDefault="00DD09E8" w:rsidP="00DD09E8">
      <w:pPr>
        <w:tabs>
          <w:tab w:val="left" w:pos="720"/>
        </w:tabs>
        <w:ind w:right="-1080"/>
        <w:jc w:val="left"/>
        <w:rPr>
          <w:rFonts w:ascii="Times New Roman" w:hAnsi="Times New Roman"/>
          <w:color w:val="auto"/>
        </w:rPr>
      </w:pPr>
    </w:p>
    <w:p w:rsidR="00DD09E8" w:rsidRDefault="00DD09E8" w:rsidP="00DD09E8">
      <w:pPr>
        <w:tabs>
          <w:tab w:val="left" w:pos="720"/>
        </w:tabs>
        <w:ind w:right="-1080"/>
        <w:jc w:val="left"/>
        <w:rPr>
          <w:rFonts w:ascii="Times New Roman" w:hAnsi="Times New Roman"/>
          <w:color w:val="auto"/>
        </w:rPr>
      </w:pPr>
    </w:p>
    <w:p w:rsidR="00DD09E8" w:rsidRDefault="00DD09E8" w:rsidP="00DD09E8">
      <w:pPr>
        <w:tabs>
          <w:tab w:val="left" w:pos="720"/>
        </w:tabs>
        <w:ind w:right="-1080"/>
        <w:jc w:val="left"/>
        <w:rPr>
          <w:rFonts w:ascii="Times New Roman" w:hAnsi="Times New Roman"/>
          <w:color w:val="auto"/>
        </w:rPr>
      </w:pPr>
    </w:p>
    <w:p w:rsidR="00DD09E8" w:rsidRDefault="00DD09E8" w:rsidP="00DD09E8">
      <w:pPr>
        <w:tabs>
          <w:tab w:val="left" w:pos="720"/>
        </w:tabs>
        <w:ind w:right="-1080"/>
        <w:jc w:val="left"/>
        <w:rPr>
          <w:rFonts w:ascii="Times New Roman" w:hAnsi="Times New Roman"/>
          <w:color w:val="auto"/>
        </w:rPr>
      </w:pPr>
    </w:p>
    <w:p w:rsidR="00DD09E8" w:rsidRDefault="00DD09E8" w:rsidP="00DD09E8">
      <w:pPr>
        <w:tabs>
          <w:tab w:val="left" w:pos="720"/>
        </w:tabs>
        <w:ind w:left="5040" w:right="-1080"/>
        <w:jc w:val="left"/>
        <w:rPr>
          <w:rFonts w:ascii="Times New Roman" w:hAnsi="Times New Roman"/>
          <w:color w:val="auto"/>
        </w:rPr>
      </w:pPr>
      <w:r>
        <w:rPr>
          <w:rFonts w:ascii="Times New Roman" w:hAnsi="Times New Roman"/>
          <w:color w:val="auto"/>
        </w:rPr>
        <w:t>XXXXXXXXXXXX</w:t>
      </w:r>
    </w:p>
    <w:p w:rsidR="00DD09E8" w:rsidRDefault="00DD09E8" w:rsidP="00DD09E8">
      <w:pPr>
        <w:tabs>
          <w:tab w:val="left" w:pos="720"/>
        </w:tabs>
        <w:ind w:left="5040" w:right="-1080"/>
        <w:jc w:val="left"/>
        <w:rPr>
          <w:rFonts w:ascii="Times New Roman" w:hAnsi="Times New Roman"/>
          <w:color w:val="auto"/>
        </w:rPr>
      </w:pPr>
      <w:r>
        <w:rPr>
          <w:rFonts w:ascii="Times New Roman" w:hAnsi="Times New Roman"/>
          <w:color w:val="auto"/>
        </w:rPr>
        <w:t>Director</w:t>
      </w:r>
    </w:p>
    <w:p w:rsidR="00DD09E8" w:rsidRDefault="00DD09E8" w:rsidP="00DD09E8">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DD09E8" w:rsidRDefault="00DD09E8">
      <w:pPr>
        <w:rPr>
          <w:rFonts w:ascii="Times New Roman" w:hAnsi="Times New Roman"/>
          <w:color w:val="auto"/>
        </w:rPr>
      </w:pPr>
      <w:r>
        <w:rPr>
          <w:rFonts w:ascii="Times New Roman" w:hAnsi="Times New Roman"/>
          <w:color w:val="auto"/>
        </w:rPr>
        <w:br w:type="page"/>
      </w:r>
    </w:p>
    <w:p w:rsidR="00DD09E8" w:rsidRDefault="00DD09E8" w:rsidP="00DD09E8">
      <w:pPr>
        <w:tabs>
          <w:tab w:val="left" w:pos="720"/>
        </w:tabs>
        <w:ind w:left="5040" w:right="-1080"/>
        <w:jc w:val="left"/>
        <w:rPr>
          <w:rFonts w:ascii="Times New Roman" w:hAnsi="Times New Roman"/>
          <w:color w:val="auto"/>
        </w:rPr>
      </w:pPr>
    </w:p>
    <w:p w:rsidR="00DD09E8" w:rsidRDefault="00DD09E8" w:rsidP="00DD09E8">
      <w:pPr>
        <w:tabs>
          <w:tab w:val="left" w:pos="720"/>
        </w:tabs>
        <w:ind w:right="-1080"/>
        <w:jc w:val="left"/>
        <w:rPr>
          <w:rFonts w:ascii="Times New Roman" w:hAnsi="Times New Roman"/>
          <w:color w:val="auto"/>
        </w:rPr>
      </w:pPr>
    </w:p>
    <w:p w:rsidR="00DD09E8" w:rsidRDefault="00DD09E8" w:rsidP="00DD09E8">
      <w:pPr>
        <w:tabs>
          <w:tab w:val="left" w:pos="720"/>
        </w:tabs>
        <w:ind w:right="-360"/>
        <w:jc w:val="left"/>
        <w:outlineLvl w:val="0"/>
        <w:rPr>
          <w:rFonts w:ascii="Times New Roman" w:hAnsi="Times New Roman"/>
          <w:color w:val="000000"/>
        </w:rPr>
      </w:pPr>
      <w:r>
        <w:rPr>
          <w:rFonts w:ascii="Times New Roman" w:hAnsi="Times New Roman"/>
          <w:color w:val="000000"/>
        </w:rPr>
        <w:t>PDBR PD-2011-00316</w:t>
      </w:r>
    </w:p>
    <w:p w:rsidR="00DD09E8" w:rsidRDefault="00DD09E8" w:rsidP="00DD09E8">
      <w:pPr>
        <w:tabs>
          <w:tab w:val="left" w:pos="720"/>
        </w:tabs>
        <w:ind w:right="-360"/>
        <w:jc w:val="left"/>
        <w:rPr>
          <w:rFonts w:ascii="Times New Roman" w:hAnsi="Times New Roman"/>
          <w:color w:val="000000"/>
        </w:rPr>
      </w:pPr>
    </w:p>
    <w:p w:rsidR="00DD09E8" w:rsidRDefault="00DD09E8" w:rsidP="00DD09E8">
      <w:pPr>
        <w:tabs>
          <w:tab w:val="left" w:pos="720"/>
        </w:tabs>
        <w:ind w:right="-360"/>
        <w:jc w:val="left"/>
        <w:rPr>
          <w:rFonts w:ascii="Times New Roman" w:hAnsi="Times New Roman"/>
          <w:color w:val="000000"/>
        </w:rPr>
      </w:pPr>
    </w:p>
    <w:p w:rsidR="00DD09E8" w:rsidRDefault="00DD09E8" w:rsidP="00DD09E8">
      <w:pPr>
        <w:tabs>
          <w:tab w:val="left" w:pos="720"/>
        </w:tabs>
        <w:ind w:right="-360"/>
        <w:jc w:val="left"/>
        <w:rPr>
          <w:rFonts w:ascii="Times New Roman" w:hAnsi="Times New Roman"/>
          <w:color w:val="000000"/>
        </w:rPr>
      </w:pPr>
    </w:p>
    <w:p w:rsidR="00DD09E8" w:rsidRDefault="00DD09E8" w:rsidP="00DD09E8">
      <w:pPr>
        <w:tabs>
          <w:tab w:val="left" w:pos="720"/>
        </w:tabs>
        <w:ind w:right="-360"/>
        <w:jc w:val="left"/>
        <w:rPr>
          <w:rFonts w:ascii="Times New Roman" w:hAnsi="Times New Roman"/>
          <w:color w:val="000000"/>
        </w:rPr>
      </w:pPr>
    </w:p>
    <w:p w:rsidR="00DD09E8" w:rsidRDefault="00DD09E8" w:rsidP="00DD09E8">
      <w:pPr>
        <w:tabs>
          <w:tab w:val="left" w:pos="720"/>
        </w:tabs>
        <w:ind w:right="-360"/>
        <w:jc w:val="left"/>
        <w:outlineLvl w:val="0"/>
        <w:rPr>
          <w:rFonts w:ascii="Times New Roman" w:hAnsi="Times New Roman"/>
          <w:color w:val="000000"/>
        </w:rPr>
      </w:pPr>
      <w:r>
        <w:rPr>
          <w:rFonts w:ascii="Times New Roman" w:hAnsi="Times New Roman"/>
          <w:color w:val="000000"/>
        </w:rPr>
        <w:t>MEMORANDUM FOR THE CHIEF OF STAFF</w:t>
      </w:r>
    </w:p>
    <w:p w:rsidR="00DD09E8" w:rsidRDefault="00DD09E8" w:rsidP="00DD09E8">
      <w:pPr>
        <w:tabs>
          <w:tab w:val="left" w:pos="720"/>
        </w:tabs>
        <w:ind w:right="-360"/>
        <w:jc w:val="left"/>
        <w:rPr>
          <w:rFonts w:ascii="Times New Roman" w:hAnsi="Times New Roman"/>
          <w:color w:val="000000"/>
        </w:rPr>
      </w:pPr>
    </w:p>
    <w:p w:rsidR="00DD09E8" w:rsidRDefault="00DD09E8" w:rsidP="00DD09E8">
      <w:pPr>
        <w:tabs>
          <w:tab w:val="left" w:pos="720"/>
        </w:tabs>
        <w:jc w:val="left"/>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DD09E8" w:rsidRDefault="00DD09E8" w:rsidP="00DD09E8">
      <w:pPr>
        <w:tabs>
          <w:tab w:val="left" w:pos="720"/>
        </w:tabs>
        <w:ind w:right="-360"/>
        <w:jc w:val="left"/>
        <w:rPr>
          <w:rFonts w:ascii="Times New Roman" w:hAnsi="Times New Roman"/>
          <w:color w:val="000000"/>
        </w:rPr>
      </w:pPr>
    </w:p>
    <w:p w:rsidR="00DD09E8" w:rsidRDefault="00DD09E8" w:rsidP="00DD09E8">
      <w:pPr>
        <w:tabs>
          <w:tab w:val="left" w:pos="720"/>
        </w:tabs>
        <w:ind w:right="-360"/>
        <w:jc w:val="left"/>
        <w:rPr>
          <w:rFonts w:ascii="Times New Roman" w:hAnsi="Times New Roman"/>
          <w:color w:val="000000"/>
        </w:rPr>
      </w:pPr>
      <w:r>
        <w:rPr>
          <w:rFonts w:ascii="Times New Roman" w:hAnsi="Times New Roman"/>
          <w:color w:val="000000"/>
        </w:rPr>
        <w:tab/>
        <w:t xml:space="preserve">The pertinent military records of the Department of the Air Force relating XXXXXXXXXXX, be corrected to show that the diagnosis in his finding of unfitness was Lumbar Degenerative Spine and Disc Disease, VASRD Code 5242, rated at 20%; rather than Lumbar </w:t>
      </w:r>
      <w:proofErr w:type="spellStart"/>
      <w:r>
        <w:rPr>
          <w:rFonts w:ascii="Times New Roman" w:hAnsi="Times New Roman"/>
          <w:color w:val="000000"/>
        </w:rPr>
        <w:t>Radiculitis</w:t>
      </w:r>
      <w:proofErr w:type="spellEnd"/>
      <w:r>
        <w:rPr>
          <w:rFonts w:ascii="Times New Roman" w:hAnsi="Times New Roman"/>
          <w:color w:val="000000"/>
        </w:rPr>
        <w:t xml:space="preserve"> </w:t>
      </w:r>
      <w:proofErr w:type="spellStart"/>
      <w:r>
        <w:rPr>
          <w:rFonts w:ascii="Times New Roman" w:hAnsi="Times New Roman"/>
          <w:color w:val="000000"/>
        </w:rPr>
        <w:t>a/w</w:t>
      </w:r>
      <w:proofErr w:type="spellEnd"/>
      <w:r>
        <w:rPr>
          <w:rFonts w:ascii="Times New Roman" w:hAnsi="Times New Roman"/>
          <w:color w:val="000000"/>
        </w:rPr>
        <w:t xml:space="preserve"> Mild Degenerative Disease, VASRD Code 5299-5242, rated at 0%. </w:t>
      </w:r>
    </w:p>
    <w:p w:rsidR="00DD09E8" w:rsidRDefault="00DD09E8" w:rsidP="00DD09E8">
      <w:pPr>
        <w:tabs>
          <w:tab w:val="left" w:pos="720"/>
        </w:tabs>
        <w:ind w:right="-360"/>
        <w:jc w:val="left"/>
        <w:rPr>
          <w:rFonts w:ascii="Times New Roman" w:hAnsi="Times New Roman"/>
          <w:color w:val="000000"/>
        </w:rPr>
      </w:pPr>
    </w:p>
    <w:p w:rsidR="00DD09E8" w:rsidRDefault="00DD09E8" w:rsidP="00DD09E8">
      <w:pPr>
        <w:tabs>
          <w:tab w:val="left" w:pos="720"/>
        </w:tabs>
        <w:ind w:right="-360"/>
        <w:jc w:val="left"/>
        <w:outlineLvl w:val="0"/>
        <w:rPr>
          <w:rFonts w:ascii="Times New Roman" w:hAnsi="Times New Roman"/>
          <w:color w:val="000000"/>
        </w:rPr>
      </w:pPr>
    </w:p>
    <w:p w:rsidR="00DD09E8" w:rsidRDefault="00DD09E8" w:rsidP="00DD09E8">
      <w:pPr>
        <w:tabs>
          <w:tab w:val="left" w:pos="720"/>
        </w:tabs>
        <w:ind w:right="-360"/>
        <w:jc w:val="left"/>
        <w:outlineLvl w:val="0"/>
        <w:rPr>
          <w:rFonts w:ascii="Times New Roman" w:hAnsi="Times New Roman"/>
          <w:color w:val="000000"/>
        </w:rPr>
      </w:pPr>
    </w:p>
    <w:p w:rsidR="00DD09E8" w:rsidRDefault="00DD09E8" w:rsidP="00DD09E8">
      <w:pPr>
        <w:tabs>
          <w:tab w:val="left" w:pos="720"/>
        </w:tabs>
        <w:ind w:right="-360"/>
        <w:jc w:val="left"/>
        <w:outlineLvl w:val="0"/>
        <w:rPr>
          <w:rFonts w:ascii="Times New Roman" w:hAnsi="Times New Roman"/>
          <w:color w:val="000000"/>
        </w:rPr>
      </w:pPr>
    </w:p>
    <w:p w:rsidR="00DD09E8" w:rsidRDefault="00DD09E8" w:rsidP="00DD09E8">
      <w:pPr>
        <w:tabs>
          <w:tab w:val="left" w:pos="720"/>
        </w:tabs>
        <w:ind w:right="-360"/>
        <w:jc w:val="left"/>
        <w:outlineLvl w:val="0"/>
        <w:rPr>
          <w:rFonts w:ascii="Times New Roman" w:hAnsi="Times New Roman"/>
          <w:color w:val="000000"/>
        </w:rPr>
      </w:pPr>
      <w:r>
        <w:rPr>
          <w:rFonts w:ascii="Times New Roman" w:hAnsi="Times New Roman"/>
          <w:color w:val="000000"/>
        </w:rPr>
        <w:t xml:space="preserve">                                                                            XXXXXXXXXXX</w:t>
      </w:r>
    </w:p>
    <w:p w:rsidR="00DD09E8" w:rsidRDefault="00DD09E8" w:rsidP="00DD09E8">
      <w:pPr>
        <w:tabs>
          <w:tab w:val="left" w:pos="720"/>
        </w:tabs>
        <w:ind w:right="-360"/>
        <w:jc w:val="left"/>
        <w:outlineLvl w:val="0"/>
        <w:rPr>
          <w:rFonts w:ascii="Times New Roman" w:hAnsi="Times New Roman"/>
          <w:color w:val="000000"/>
        </w:rPr>
      </w:pPr>
      <w:r>
        <w:rPr>
          <w:rFonts w:ascii="Times New Roman" w:hAnsi="Times New Roman"/>
          <w:color w:val="000000"/>
        </w:rPr>
        <w:t xml:space="preserve">                                                                            Director</w:t>
      </w:r>
    </w:p>
    <w:p w:rsidR="00DD09E8" w:rsidRDefault="00DD09E8" w:rsidP="00DD09E8">
      <w:pPr>
        <w:tabs>
          <w:tab w:val="left" w:pos="720"/>
        </w:tabs>
        <w:ind w:right="-360"/>
        <w:jc w:val="left"/>
        <w:rPr>
          <w:rFonts w:ascii="Times New Roman" w:hAnsi="Times New Roman"/>
          <w:color w:val="000000"/>
        </w:rPr>
      </w:pPr>
      <w:r>
        <w:rPr>
          <w:rFonts w:ascii="Times New Roman" w:hAnsi="Times New Roman"/>
          <w:color w:val="000000"/>
        </w:rPr>
        <w:t xml:space="preserve">                                                                            Air Force Review Boards Agency</w:t>
      </w:r>
    </w:p>
    <w:p w:rsidR="00E3077F" w:rsidRPr="001F29F9" w:rsidRDefault="00E3077F" w:rsidP="00DD09E8">
      <w:pPr>
        <w:tabs>
          <w:tab w:val="left" w:pos="0"/>
          <w:tab w:val="left" w:pos="4320"/>
        </w:tabs>
        <w:jc w:val="left"/>
        <w:rPr>
          <w:color w:val="000000" w:themeColor="text1"/>
          <w:szCs w:val="24"/>
        </w:rPr>
      </w:pPr>
    </w:p>
    <w:p w:rsidR="00DC1607" w:rsidRPr="00DC1607" w:rsidRDefault="00DC1607" w:rsidP="00DD09E8">
      <w:pPr>
        <w:tabs>
          <w:tab w:val="left" w:pos="288"/>
          <w:tab w:val="left" w:pos="4752"/>
        </w:tabs>
        <w:jc w:val="left"/>
        <w:rPr>
          <w:color w:val="000000" w:themeColor="text1"/>
          <w:szCs w:val="24"/>
          <w:u w:val="single"/>
        </w:rPr>
      </w:pPr>
    </w:p>
    <w:sectPr w:rsidR="00DC1607" w:rsidRPr="00DC160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F78" w:rsidRDefault="00E65F78">
      <w:r>
        <w:separator/>
      </w:r>
    </w:p>
  </w:endnote>
  <w:endnote w:type="continuationSeparator" w:id="0">
    <w:p w:rsidR="00E65F78" w:rsidRDefault="00E65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23295" w:rsidRPr="00374247" w:rsidRDefault="00E23295" w:rsidP="00374247">
        <w:pPr>
          <w:pStyle w:val="Footer"/>
          <w:ind w:firstLine="4320"/>
          <w:rPr>
            <w:color w:val="auto"/>
            <w:szCs w:val="24"/>
          </w:rPr>
        </w:pPr>
        <w:r w:rsidRPr="00374247">
          <w:rPr>
            <w:color w:val="auto"/>
            <w:szCs w:val="24"/>
          </w:rPr>
          <w:t xml:space="preserve">   </w:t>
        </w:r>
        <w:r w:rsidR="0076251D" w:rsidRPr="00374247">
          <w:rPr>
            <w:color w:val="auto"/>
            <w:szCs w:val="24"/>
          </w:rPr>
          <w:fldChar w:fldCharType="begin"/>
        </w:r>
        <w:r w:rsidRPr="00374247">
          <w:rPr>
            <w:color w:val="auto"/>
            <w:szCs w:val="24"/>
          </w:rPr>
          <w:instrText xml:space="preserve"> PAGE   \* MERGEFORMAT </w:instrText>
        </w:r>
        <w:r w:rsidR="0076251D" w:rsidRPr="00374247">
          <w:rPr>
            <w:color w:val="auto"/>
            <w:szCs w:val="24"/>
          </w:rPr>
          <w:fldChar w:fldCharType="separate"/>
        </w:r>
        <w:r w:rsidR="00DD09E8" w:rsidRPr="00DD09E8">
          <w:rPr>
            <w:noProof/>
            <w:color w:val="auto"/>
          </w:rPr>
          <w:t>5</w:t>
        </w:r>
        <w:r w:rsidR="0076251D" w:rsidRPr="00374247">
          <w:rPr>
            <w:color w:val="auto"/>
            <w:szCs w:val="24"/>
          </w:rPr>
          <w:fldChar w:fldCharType="end"/>
        </w:r>
        <w:r w:rsidRPr="00374247">
          <w:rPr>
            <w:color w:val="auto"/>
            <w:szCs w:val="24"/>
          </w:rPr>
          <w:t xml:space="preserve">                                                           </w:t>
        </w:r>
        <w:r w:rsidRPr="001D64F3">
          <w:rPr>
            <w:color w:val="auto"/>
            <w:szCs w:val="24"/>
          </w:rPr>
          <w:t>PD</w:t>
        </w:r>
        <w:r w:rsidRPr="00A55729">
          <w:rPr>
            <w:color w:val="auto"/>
            <w:szCs w:val="24"/>
          </w:rPr>
          <w:t>1100316</w:t>
        </w:r>
      </w:p>
    </w:sdtContent>
  </w:sdt>
  <w:p w:rsidR="00E23295" w:rsidRPr="00684CE6" w:rsidRDefault="00E2329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F78" w:rsidRDefault="00E65F78">
      <w:r>
        <w:separator/>
      </w:r>
    </w:p>
  </w:footnote>
  <w:footnote w:type="continuationSeparator" w:id="0">
    <w:p w:rsidR="00E65F78" w:rsidRDefault="00E65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9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3D4"/>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D7A"/>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1B7F"/>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56F"/>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AD3"/>
    <w:rsid w:val="000E6D17"/>
    <w:rsid w:val="000E7034"/>
    <w:rsid w:val="000F02BE"/>
    <w:rsid w:val="000F0928"/>
    <w:rsid w:val="000F0B3D"/>
    <w:rsid w:val="000F1247"/>
    <w:rsid w:val="000F1E65"/>
    <w:rsid w:val="000F427B"/>
    <w:rsid w:val="000F43D0"/>
    <w:rsid w:val="000F4F18"/>
    <w:rsid w:val="000F688E"/>
    <w:rsid w:val="000F6AD9"/>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1CC"/>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694D"/>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636"/>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78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2D5"/>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57CC"/>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BA"/>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92E"/>
    <w:rsid w:val="00393651"/>
    <w:rsid w:val="00393D7D"/>
    <w:rsid w:val="00394926"/>
    <w:rsid w:val="00394FF9"/>
    <w:rsid w:val="00395651"/>
    <w:rsid w:val="00395E12"/>
    <w:rsid w:val="003962A8"/>
    <w:rsid w:val="00396779"/>
    <w:rsid w:val="00397DB7"/>
    <w:rsid w:val="003A27B2"/>
    <w:rsid w:val="003A27D9"/>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06EA"/>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391E"/>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A0F"/>
    <w:rsid w:val="00466CED"/>
    <w:rsid w:val="00466EB5"/>
    <w:rsid w:val="00467592"/>
    <w:rsid w:val="00467690"/>
    <w:rsid w:val="00467A14"/>
    <w:rsid w:val="004718E7"/>
    <w:rsid w:val="00471E23"/>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5C3"/>
    <w:rsid w:val="00586EC6"/>
    <w:rsid w:val="00586FA2"/>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1813"/>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913"/>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76C"/>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DC1"/>
    <w:rsid w:val="006B67D9"/>
    <w:rsid w:val="006B6C14"/>
    <w:rsid w:val="006B7159"/>
    <w:rsid w:val="006B715E"/>
    <w:rsid w:val="006C1D6E"/>
    <w:rsid w:val="006C2EF6"/>
    <w:rsid w:val="006C3A68"/>
    <w:rsid w:val="006C3B08"/>
    <w:rsid w:val="006C6AB1"/>
    <w:rsid w:val="006C6E6B"/>
    <w:rsid w:val="006C73D4"/>
    <w:rsid w:val="006D145F"/>
    <w:rsid w:val="006D1A11"/>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844"/>
    <w:rsid w:val="006F5A4E"/>
    <w:rsid w:val="006F5D37"/>
    <w:rsid w:val="006F6005"/>
    <w:rsid w:val="007005EA"/>
    <w:rsid w:val="0070220D"/>
    <w:rsid w:val="00703B6C"/>
    <w:rsid w:val="00703BB0"/>
    <w:rsid w:val="00704519"/>
    <w:rsid w:val="00704C40"/>
    <w:rsid w:val="00704C88"/>
    <w:rsid w:val="00704EA1"/>
    <w:rsid w:val="00705BE5"/>
    <w:rsid w:val="00705C40"/>
    <w:rsid w:val="00705F8E"/>
    <w:rsid w:val="00706482"/>
    <w:rsid w:val="00706754"/>
    <w:rsid w:val="00706BEF"/>
    <w:rsid w:val="00707028"/>
    <w:rsid w:val="00707ECE"/>
    <w:rsid w:val="00710CE8"/>
    <w:rsid w:val="00711350"/>
    <w:rsid w:val="00711538"/>
    <w:rsid w:val="007116BC"/>
    <w:rsid w:val="00711961"/>
    <w:rsid w:val="00711CA6"/>
    <w:rsid w:val="00714B2D"/>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251D"/>
    <w:rsid w:val="00763CAE"/>
    <w:rsid w:val="00763F95"/>
    <w:rsid w:val="007645EC"/>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47E"/>
    <w:rsid w:val="007B5746"/>
    <w:rsid w:val="007B5C5C"/>
    <w:rsid w:val="007B6CE0"/>
    <w:rsid w:val="007B7B37"/>
    <w:rsid w:val="007B7C41"/>
    <w:rsid w:val="007C05C5"/>
    <w:rsid w:val="007C0715"/>
    <w:rsid w:val="007C0B04"/>
    <w:rsid w:val="007C11E9"/>
    <w:rsid w:val="007C238B"/>
    <w:rsid w:val="007C2802"/>
    <w:rsid w:val="007C2CCF"/>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B3A"/>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3B0B"/>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423E"/>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114"/>
    <w:rsid w:val="008E744D"/>
    <w:rsid w:val="008F0DD7"/>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704"/>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8F5"/>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26D"/>
    <w:rsid w:val="009D056C"/>
    <w:rsid w:val="009D060F"/>
    <w:rsid w:val="009D1ADE"/>
    <w:rsid w:val="009D297C"/>
    <w:rsid w:val="009D3652"/>
    <w:rsid w:val="009D37CA"/>
    <w:rsid w:val="009D4229"/>
    <w:rsid w:val="009D4268"/>
    <w:rsid w:val="009D5DE9"/>
    <w:rsid w:val="009E09D0"/>
    <w:rsid w:val="009E1181"/>
    <w:rsid w:val="009E1283"/>
    <w:rsid w:val="009E3A2C"/>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5729"/>
    <w:rsid w:val="00A56D26"/>
    <w:rsid w:val="00A571A7"/>
    <w:rsid w:val="00A5749A"/>
    <w:rsid w:val="00A575E1"/>
    <w:rsid w:val="00A57BA8"/>
    <w:rsid w:val="00A57C35"/>
    <w:rsid w:val="00A608FB"/>
    <w:rsid w:val="00A60D83"/>
    <w:rsid w:val="00A60F68"/>
    <w:rsid w:val="00A61F13"/>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13D"/>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4C4"/>
    <w:rsid w:val="00AD6870"/>
    <w:rsid w:val="00AD68C5"/>
    <w:rsid w:val="00AD692A"/>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95F"/>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2742"/>
    <w:rsid w:val="00B9322B"/>
    <w:rsid w:val="00B93640"/>
    <w:rsid w:val="00B955D5"/>
    <w:rsid w:val="00B95833"/>
    <w:rsid w:val="00BA1824"/>
    <w:rsid w:val="00BA2D98"/>
    <w:rsid w:val="00BA2F0C"/>
    <w:rsid w:val="00BA30D1"/>
    <w:rsid w:val="00BA30E1"/>
    <w:rsid w:val="00BA4609"/>
    <w:rsid w:val="00BA472E"/>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4D88"/>
    <w:rsid w:val="00BE50F8"/>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1634"/>
    <w:rsid w:val="00C0359D"/>
    <w:rsid w:val="00C038EC"/>
    <w:rsid w:val="00C03C21"/>
    <w:rsid w:val="00C05C6D"/>
    <w:rsid w:val="00C05D74"/>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1AF"/>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6D3"/>
    <w:rsid w:val="00CA08DF"/>
    <w:rsid w:val="00CA1228"/>
    <w:rsid w:val="00CA1C73"/>
    <w:rsid w:val="00CA282D"/>
    <w:rsid w:val="00CA3F73"/>
    <w:rsid w:val="00CA4670"/>
    <w:rsid w:val="00CA5F89"/>
    <w:rsid w:val="00CA6B1A"/>
    <w:rsid w:val="00CB1B18"/>
    <w:rsid w:val="00CB20DC"/>
    <w:rsid w:val="00CB23DC"/>
    <w:rsid w:val="00CB2487"/>
    <w:rsid w:val="00CB28E2"/>
    <w:rsid w:val="00CB2B70"/>
    <w:rsid w:val="00CB2F20"/>
    <w:rsid w:val="00CB3395"/>
    <w:rsid w:val="00CB4540"/>
    <w:rsid w:val="00CB5801"/>
    <w:rsid w:val="00CB758D"/>
    <w:rsid w:val="00CB7A3E"/>
    <w:rsid w:val="00CB7FF7"/>
    <w:rsid w:val="00CC0D0E"/>
    <w:rsid w:val="00CC1253"/>
    <w:rsid w:val="00CC19B3"/>
    <w:rsid w:val="00CC2044"/>
    <w:rsid w:val="00CC2D30"/>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1E14"/>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1AA6"/>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D09E8"/>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3295"/>
    <w:rsid w:val="00E2421B"/>
    <w:rsid w:val="00E242AF"/>
    <w:rsid w:val="00E24849"/>
    <w:rsid w:val="00E2536E"/>
    <w:rsid w:val="00E25A99"/>
    <w:rsid w:val="00E25B8A"/>
    <w:rsid w:val="00E25EF8"/>
    <w:rsid w:val="00E2632B"/>
    <w:rsid w:val="00E26F75"/>
    <w:rsid w:val="00E27423"/>
    <w:rsid w:val="00E301E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F78"/>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808"/>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0E76"/>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7F2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2F5"/>
    <w:rsid w:val="00FA78C8"/>
    <w:rsid w:val="00FA7A2F"/>
    <w:rsid w:val="00FB09FE"/>
    <w:rsid w:val="00FB0E80"/>
    <w:rsid w:val="00FB101D"/>
    <w:rsid w:val="00FB1725"/>
    <w:rsid w:val="00FB2493"/>
    <w:rsid w:val="00FB42B7"/>
    <w:rsid w:val="00FB4484"/>
    <w:rsid w:val="00FB593A"/>
    <w:rsid w:val="00FB5A05"/>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11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DD09E8"/>
    <w:pPr>
      <w:spacing w:after="120" w:line="480" w:lineRule="auto"/>
    </w:pPr>
  </w:style>
  <w:style w:type="character" w:customStyle="1" w:styleId="BodyText2Char">
    <w:name w:val="Body Text 2 Char"/>
    <w:basedOn w:val="DefaultParagraphFont"/>
    <w:link w:val="BodyText2"/>
    <w:rsid w:val="00DD09E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2580049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8447701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190D-37E3-4740-8F74-273BC59A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2012-05-09T12:30:00Z</dcterms:created>
  <dcterms:modified xsi:type="dcterms:W3CDTF">2012-05-09T12:30:00Z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