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2E" w:rsidRPr="00396779" w:rsidRDefault="00FA012E" w:rsidP="00510F9C">
      <w:pPr>
        <w:tabs>
          <w:tab w:val="left" w:pos="288"/>
          <w:tab w:val="left" w:pos="4752"/>
        </w:tabs>
        <w:spacing w:line="240" w:lineRule="exact"/>
        <w:jc w:val="center"/>
        <w:rPr>
          <w:color w:val="auto"/>
        </w:rPr>
      </w:pPr>
      <w:r w:rsidRPr="00396779">
        <w:rPr>
          <w:color w:val="auto"/>
        </w:rPr>
        <w:t>RECORD OF PROCEEDINGS</w:t>
      </w:r>
    </w:p>
    <w:p w:rsidR="00FA012E" w:rsidRPr="00396779" w:rsidRDefault="00FA012E" w:rsidP="00510F9C">
      <w:pPr>
        <w:tabs>
          <w:tab w:val="left" w:pos="288"/>
          <w:tab w:val="left" w:pos="4752"/>
        </w:tabs>
        <w:spacing w:line="240" w:lineRule="exact"/>
        <w:jc w:val="center"/>
        <w:rPr>
          <w:color w:val="auto"/>
        </w:rPr>
      </w:pPr>
      <w:r w:rsidRPr="00396779">
        <w:rPr>
          <w:color w:val="auto"/>
        </w:rPr>
        <w:t>PHYSICAL DISABILITY BOARD OF REVIEW</w:t>
      </w:r>
    </w:p>
    <w:p w:rsidR="00FA012E" w:rsidRPr="00396779" w:rsidRDefault="00FA012E" w:rsidP="00510F9C">
      <w:pPr>
        <w:tabs>
          <w:tab w:val="left" w:pos="288"/>
          <w:tab w:val="left" w:pos="4752"/>
        </w:tabs>
        <w:spacing w:line="240" w:lineRule="exact"/>
        <w:jc w:val="both"/>
        <w:rPr>
          <w:caps/>
          <w:color w:val="auto"/>
        </w:rPr>
      </w:pPr>
    </w:p>
    <w:p w:rsidR="00FA012E" w:rsidRDefault="00FA012E" w:rsidP="0024216D">
      <w:pPr>
        <w:tabs>
          <w:tab w:val="left" w:pos="288"/>
          <w:tab w:val="left" w:pos="6300"/>
          <w:tab w:val="left" w:pos="9270"/>
        </w:tabs>
        <w:spacing w:line="240" w:lineRule="exact"/>
        <w:jc w:val="both"/>
        <w:rPr>
          <w:caps/>
          <w:color w:val="auto"/>
        </w:rPr>
      </w:pPr>
      <w:r w:rsidRPr="00FD6C41">
        <w:rPr>
          <w:caps/>
          <w:color w:val="auto"/>
        </w:rPr>
        <w:t xml:space="preserve">NAME: </w:t>
      </w:r>
      <w:r w:rsidR="00192387">
        <w:rPr>
          <w:caps/>
          <w:color w:val="auto"/>
        </w:rPr>
        <w:t xml:space="preserve"> </w:t>
      </w:r>
      <w:r w:rsidR="0024216D">
        <w:rPr>
          <w:caps/>
          <w:color w:val="auto"/>
        </w:rPr>
        <w:tab/>
      </w:r>
      <w:r w:rsidRPr="00FD6C41">
        <w:rPr>
          <w:caps/>
          <w:color w:val="auto"/>
        </w:rPr>
        <w:t>BRANCH OF SERVICE</w:t>
      </w:r>
      <w:r w:rsidRPr="004E7BA4">
        <w:rPr>
          <w:caps/>
          <w:color w:val="auto"/>
        </w:rPr>
        <w:t xml:space="preserve">:  Army </w:t>
      </w:r>
    </w:p>
    <w:p w:rsidR="00FA012E" w:rsidRDefault="00FA012E" w:rsidP="0024216D">
      <w:pPr>
        <w:tabs>
          <w:tab w:val="left" w:pos="288"/>
          <w:tab w:val="left" w:pos="6300"/>
          <w:tab w:val="lef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PD1100296</w:t>
      </w:r>
      <w:r w:rsidR="0024216D">
        <w:rPr>
          <w:caps/>
          <w:color w:val="auto"/>
        </w:rPr>
        <w:tab/>
      </w:r>
      <w:r w:rsidRPr="00DE3AAD">
        <w:rPr>
          <w:color w:val="auto"/>
        </w:rPr>
        <w:t>SEPARATION DATE:  20040801</w:t>
      </w:r>
    </w:p>
    <w:p w:rsidR="00FA012E" w:rsidRPr="00784EA0" w:rsidRDefault="00FA012E" w:rsidP="006B54DC">
      <w:pPr>
        <w:tabs>
          <w:tab w:val="left" w:pos="288"/>
          <w:tab w:val="left" w:pos="3600"/>
          <w:tab w:val="left" w:pos="5130"/>
        </w:tabs>
        <w:spacing w:line="240" w:lineRule="exact"/>
        <w:rPr>
          <w:caps/>
          <w:color w:val="auto"/>
        </w:rPr>
      </w:pPr>
      <w:r w:rsidRPr="00FD6C41">
        <w:rPr>
          <w:caps/>
          <w:color w:val="auto"/>
        </w:rPr>
        <w:t xml:space="preserve">BOARD DATE: </w:t>
      </w:r>
      <w:r>
        <w:rPr>
          <w:caps/>
          <w:color w:val="auto"/>
        </w:rPr>
        <w:t xml:space="preserve"> </w:t>
      </w:r>
      <w:r w:rsidR="00125A26">
        <w:rPr>
          <w:caps/>
          <w:color w:val="auto"/>
        </w:rPr>
        <w:t>2012</w:t>
      </w:r>
      <w:r w:rsidR="006F4E07">
        <w:rPr>
          <w:caps/>
          <w:color w:val="auto"/>
        </w:rPr>
        <w:t>0109</w:t>
      </w:r>
    </w:p>
    <w:p w:rsidR="00FA012E" w:rsidRPr="007A512E" w:rsidRDefault="00FA012E" w:rsidP="00510F9C">
      <w:pPr>
        <w:pBdr>
          <w:bottom w:val="single" w:sz="12" w:space="1" w:color="auto"/>
        </w:pBdr>
        <w:tabs>
          <w:tab w:val="left" w:pos="288"/>
          <w:tab w:val="left" w:pos="4752"/>
        </w:tabs>
        <w:spacing w:line="240" w:lineRule="exact"/>
        <w:jc w:val="both"/>
        <w:rPr>
          <w:color w:val="auto"/>
        </w:rPr>
      </w:pPr>
    </w:p>
    <w:p w:rsidR="00FA012E" w:rsidRDefault="00FA012E" w:rsidP="00510F9C">
      <w:pPr>
        <w:tabs>
          <w:tab w:val="left" w:pos="288"/>
          <w:tab w:val="left" w:pos="4752"/>
        </w:tabs>
        <w:spacing w:line="240" w:lineRule="exact"/>
        <w:jc w:val="both"/>
        <w:rPr>
          <w:color w:val="auto"/>
        </w:rPr>
      </w:pPr>
    </w:p>
    <w:p w:rsidR="00FA012E" w:rsidRPr="00C472C7" w:rsidRDefault="00FA012E"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 xml:space="preserve">was a National Guard </w:t>
      </w:r>
      <w:r>
        <w:rPr>
          <w:color w:val="auto"/>
        </w:rPr>
        <w:t>member,</w:t>
      </w:r>
      <w:r w:rsidRPr="00AD7F8F">
        <w:rPr>
          <w:color w:val="auto"/>
        </w:rPr>
        <w:t xml:space="preserve"> SGT/E-5 (</w:t>
      </w:r>
      <w:r>
        <w:rPr>
          <w:color w:val="auto"/>
        </w:rPr>
        <w:t>88M, Heavy Wheeled Vehicle Operator</w:t>
      </w:r>
      <w:r w:rsidRPr="00AD7F8F">
        <w:rPr>
          <w:color w:val="auto"/>
        </w:rPr>
        <w:t>)</w:t>
      </w:r>
      <w:r>
        <w:rPr>
          <w:color w:val="auto"/>
        </w:rPr>
        <w:t xml:space="preserve">, </w:t>
      </w:r>
      <w:r w:rsidRPr="00AD7F8F">
        <w:rPr>
          <w:color w:val="auto"/>
        </w:rPr>
        <w:t xml:space="preserve">medically separated for </w:t>
      </w:r>
      <w:r w:rsidR="00CB511A">
        <w:rPr>
          <w:color w:val="auto"/>
        </w:rPr>
        <w:t>a lumbar spine condition</w:t>
      </w:r>
      <w:r w:rsidRPr="00AD7F8F">
        <w:rPr>
          <w:color w:val="auto"/>
        </w:rPr>
        <w:t xml:space="preserve">.  </w:t>
      </w:r>
      <w:r w:rsidR="00562599">
        <w:rPr>
          <w:color w:val="auto"/>
        </w:rPr>
        <w:t>He</w:t>
      </w:r>
      <w:r w:rsidRPr="00AD7F8F">
        <w:rPr>
          <w:color w:val="auto"/>
        </w:rPr>
        <w:t xml:space="preserve"> first experienced low back pain after a motor vehicle accident in September 2002.  After </w:t>
      </w:r>
      <w:r w:rsidR="00CC2D23">
        <w:rPr>
          <w:color w:val="auto"/>
        </w:rPr>
        <w:t xml:space="preserve">mobilization in February 2003, he </w:t>
      </w:r>
      <w:r w:rsidRPr="00AD7F8F">
        <w:rPr>
          <w:color w:val="auto"/>
        </w:rPr>
        <w:t xml:space="preserve">experienced an exacerbation of the pain after </w:t>
      </w:r>
      <w:r w:rsidR="00CB511A">
        <w:rPr>
          <w:color w:val="auto"/>
        </w:rPr>
        <w:t xml:space="preserve">a </w:t>
      </w:r>
      <w:r w:rsidRPr="00AD7F8F">
        <w:rPr>
          <w:color w:val="auto"/>
        </w:rPr>
        <w:t>training</w:t>
      </w:r>
      <w:r w:rsidR="00CB511A">
        <w:rPr>
          <w:color w:val="auto"/>
        </w:rPr>
        <w:t xml:space="preserve"> mishap</w:t>
      </w:r>
      <w:r w:rsidRPr="00AD7F8F">
        <w:rPr>
          <w:color w:val="auto"/>
        </w:rPr>
        <w:t>.  He was diagnosed with degenerative disc disease (DDD) and treated conservatively</w:t>
      </w:r>
      <w:r w:rsidR="00562599">
        <w:rPr>
          <w:color w:val="auto"/>
        </w:rPr>
        <w:t>, but</w:t>
      </w:r>
      <w:r w:rsidRPr="00C472C7">
        <w:rPr>
          <w:color w:val="auto"/>
        </w:rPr>
        <w:t xml:space="preserve"> did not respond adequately </w:t>
      </w:r>
      <w:r w:rsidRPr="004E7BA4">
        <w:rPr>
          <w:color w:val="auto"/>
        </w:rPr>
        <w:t>to fully perform within his Military Occupational Specialty (MOS) or meet physical fitness standards.  He was issued a permanent L3 profile and underwent a Medical Evaluation Board (MEB).</w:t>
      </w:r>
      <w:r w:rsidRPr="00C472C7">
        <w:rPr>
          <w:color w:val="auto"/>
        </w:rPr>
        <w:t xml:space="preserve">  </w:t>
      </w:r>
      <w:r w:rsidRPr="00D93A41">
        <w:rPr>
          <w:color w:val="auto"/>
        </w:rPr>
        <w:t>Chronic low back pain secondary to DDD</w:t>
      </w:r>
      <w:r w:rsidRPr="00C472C7">
        <w:rPr>
          <w:color w:val="auto"/>
        </w:rPr>
        <w:t xml:space="preserve"> </w:t>
      </w:r>
      <w:r w:rsidRPr="00C95299">
        <w:rPr>
          <w:color w:val="auto"/>
        </w:rPr>
        <w:t>was</w:t>
      </w:r>
      <w:r w:rsidRPr="00C472C7">
        <w:rPr>
          <w:color w:val="auto"/>
        </w:rPr>
        <w:t xml:space="preserve"> forwarded to the Physical Evaluation Board (PEB) as medically unacceptable </w:t>
      </w:r>
      <w:r w:rsidRPr="004E7BA4">
        <w:rPr>
          <w:color w:val="auto"/>
        </w:rPr>
        <w:t>IAW AR 40-501.</w:t>
      </w:r>
      <w:r w:rsidRPr="00C472C7">
        <w:rPr>
          <w:color w:val="auto"/>
        </w:rPr>
        <w:t xml:space="preserve">  </w:t>
      </w:r>
      <w:r>
        <w:rPr>
          <w:color w:val="auto"/>
        </w:rPr>
        <w:t>Six other</w:t>
      </w:r>
      <w:r w:rsidRPr="00C472C7">
        <w:rPr>
          <w:color w:val="auto"/>
        </w:rPr>
        <w:t xml:space="preserve"> </w:t>
      </w:r>
      <w:r w:rsidRPr="004E7BA4">
        <w:rPr>
          <w:color w:val="auto"/>
        </w:rPr>
        <w:t>conditions, as identified in the rating chart below, were forwarded on the MEB submission as medically acceptable conditions.</w:t>
      </w:r>
      <w:r w:rsidRPr="00C472C7">
        <w:rPr>
          <w:color w:val="auto"/>
        </w:rPr>
        <w:t xml:space="preserve">  </w:t>
      </w:r>
      <w:r w:rsidR="006F4E07">
        <w:rPr>
          <w:color w:val="auto"/>
        </w:rPr>
        <w:t xml:space="preserve">An </w:t>
      </w:r>
      <w:r w:rsidR="00BF0400">
        <w:rPr>
          <w:color w:val="auto"/>
        </w:rPr>
        <w:t>I</w:t>
      </w:r>
      <w:r w:rsidRPr="004E7BA4">
        <w:rPr>
          <w:color w:val="auto"/>
        </w:rPr>
        <w:t xml:space="preserve">nformal PEB adjudicated the low back condition as unfitting, rated 10%, with application of the </w:t>
      </w:r>
      <w:r w:rsidR="000554BC" w:rsidRPr="000554BC">
        <w:rPr>
          <w:color w:val="auto"/>
        </w:rPr>
        <w:t>US Army Physical Disability Agency (USAPDA) pain policy</w:t>
      </w:r>
      <w:r w:rsidRPr="004E7BA4">
        <w:rPr>
          <w:color w:val="auto"/>
        </w:rPr>
        <w:t xml:space="preserve">.  </w:t>
      </w:r>
      <w:r w:rsidR="00CB511A">
        <w:rPr>
          <w:color w:val="auto"/>
        </w:rPr>
        <w:t xml:space="preserve">The remaining conditions were determined to be not unfitting.  </w:t>
      </w:r>
      <w:r w:rsidRPr="004E7BA4">
        <w:rPr>
          <w:color w:val="auto"/>
        </w:rPr>
        <w:t>The CI made no appeals, and was medically separated with a 10% disability rating.</w:t>
      </w:r>
    </w:p>
    <w:p w:rsidR="00FA012E" w:rsidRDefault="00FA012E" w:rsidP="00510F9C">
      <w:pPr>
        <w:pBdr>
          <w:bottom w:val="single" w:sz="12" w:space="1" w:color="auto"/>
        </w:pBdr>
        <w:tabs>
          <w:tab w:val="left" w:pos="288"/>
          <w:tab w:val="left" w:pos="4752"/>
        </w:tabs>
        <w:spacing w:line="240" w:lineRule="exact"/>
        <w:jc w:val="both"/>
        <w:rPr>
          <w:color w:val="auto"/>
        </w:rPr>
      </w:pPr>
    </w:p>
    <w:p w:rsidR="00FA012E" w:rsidRDefault="00FA012E" w:rsidP="00510F9C">
      <w:pPr>
        <w:tabs>
          <w:tab w:val="left" w:pos="288"/>
          <w:tab w:val="left" w:pos="4752"/>
        </w:tabs>
        <w:spacing w:line="240" w:lineRule="exact"/>
        <w:jc w:val="both"/>
        <w:rPr>
          <w:color w:val="auto"/>
          <w:u w:val="single"/>
        </w:rPr>
      </w:pPr>
    </w:p>
    <w:p w:rsidR="00FA012E" w:rsidRPr="005C4D72" w:rsidRDefault="00FA012E"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A83F3F">
        <w:rPr>
          <w:color w:val="auto"/>
        </w:rPr>
        <w:t xml:space="preserve">Have continues </w:t>
      </w:r>
      <w:r w:rsidR="00562599">
        <w:rPr>
          <w:color w:val="auto"/>
        </w:rPr>
        <w:t xml:space="preserve">[sic] </w:t>
      </w:r>
      <w:r w:rsidRPr="00A83F3F">
        <w:rPr>
          <w:color w:val="auto"/>
        </w:rPr>
        <w:t xml:space="preserve">pain down left leg only stopped with paralyzes </w:t>
      </w:r>
      <w:r w:rsidR="00562599">
        <w:rPr>
          <w:color w:val="auto"/>
        </w:rPr>
        <w:t xml:space="preserve">[sic] </w:t>
      </w:r>
      <w:r w:rsidRPr="00A83F3F">
        <w:rPr>
          <w:color w:val="auto"/>
        </w:rPr>
        <w:t xml:space="preserve">in just the left leg.  If I stand, sit or lay in one position for any length of time will become paralyzed from the waist down encompassing both legs.  The need to carry pain killer medications and have a cane on hand at all times to help walk as pain and numbness increases leading to paralyzes </w:t>
      </w:r>
      <w:r w:rsidR="00562599">
        <w:rPr>
          <w:color w:val="auto"/>
        </w:rPr>
        <w:t xml:space="preserve">[sic] </w:t>
      </w:r>
      <w:r w:rsidRPr="00A83F3F">
        <w:rPr>
          <w:color w:val="auto"/>
        </w:rPr>
        <w:t xml:space="preserve">of left leg unable to drive any vehicles with a clutch in it and if the pain increases to </w:t>
      </w:r>
      <w:r w:rsidR="00562599">
        <w:rPr>
          <w:color w:val="auto"/>
        </w:rPr>
        <w:t xml:space="preserve">[sic] </w:t>
      </w:r>
      <w:r w:rsidRPr="00A83F3F">
        <w:rPr>
          <w:color w:val="auto"/>
        </w:rPr>
        <w:t>much have blacked out from the pain in the past thus leadi</w:t>
      </w:r>
      <w:r w:rsidR="00CB511A">
        <w:rPr>
          <w:color w:val="auto"/>
        </w:rPr>
        <w:t>ng me to have to stop doing any</w:t>
      </w:r>
      <w:r w:rsidRPr="00A83F3F">
        <w:rPr>
          <w:color w:val="auto"/>
        </w:rPr>
        <w:t>thing and wait for the pain killers to work then to try and continue on with any activity I may be performing.</w:t>
      </w:r>
      <w:r>
        <w:rPr>
          <w:color w:val="auto"/>
        </w:rPr>
        <w:t>”</w:t>
      </w:r>
      <w:r>
        <w:rPr>
          <w:b/>
          <w:color w:val="auto"/>
        </w:rPr>
        <w:t xml:space="preserve">  </w:t>
      </w:r>
      <w:r w:rsidRPr="00A83F3F">
        <w:rPr>
          <w:color w:val="auto"/>
        </w:rPr>
        <w:t>He additionally lists all of his VA conditions and ratings as per the rating chart below.  A contention for their inclusion in the separation rating is therefore implied.</w:t>
      </w:r>
    </w:p>
    <w:p w:rsidR="00FA012E" w:rsidRDefault="00FA012E" w:rsidP="00510F9C">
      <w:pPr>
        <w:pBdr>
          <w:bottom w:val="single" w:sz="12" w:space="1" w:color="auto"/>
        </w:pBdr>
        <w:spacing w:line="240" w:lineRule="exact"/>
        <w:rPr>
          <w:color w:val="auto"/>
          <w:u w:val="single"/>
        </w:rPr>
      </w:pPr>
    </w:p>
    <w:p w:rsidR="00FA012E" w:rsidRDefault="00FA012E" w:rsidP="00510F9C">
      <w:pPr>
        <w:spacing w:line="240" w:lineRule="exact"/>
        <w:rPr>
          <w:color w:val="auto"/>
          <w:u w:val="single"/>
        </w:rPr>
      </w:pPr>
    </w:p>
    <w:p w:rsidR="00FA012E" w:rsidRDefault="00FA012E" w:rsidP="00510F9C">
      <w:pPr>
        <w:spacing w:line="240" w:lineRule="exact"/>
        <w:rPr>
          <w:color w:val="auto"/>
        </w:rPr>
      </w:pPr>
      <w:r>
        <w:rPr>
          <w:color w:val="auto"/>
          <w:u w:val="single"/>
        </w:rPr>
        <w:t>R</w:t>
      </w:r>
      <w:r w:rsidRPr="00326C08">
        <w:rPr>
          <w:color w:val="auto"/>
          <w:u w:val="single"/>
        </w:rPr>
        <w:t>ATING COMPARISON</w:t>
      </w:r>
      <w:r w:rsidRPr="00326C08">
        <w:rPr>
          <w:color w:val="auto"/>
        </w:rPr>
        <w:t>:</w:t>
      </w:r>
    </w:p>
    <w:p w:rsidR="00FA012E" w:rsidRDefault="00FA012E" w:rsidP="00510F9C">
      <w:pPr>
        <w:spacing w:line="240" w:lineRule="exact"/>
        <w:rPr>
          <w:color w:val="auto"/>
        </w:rPr>
      </w:pPr>
    </w:p>
    <w:tbl>
      <w:tblPr>
        <w:tblStyle w:val="TableGrid"/>
        <w:tblW w:w="9409" w:type="dxa"/>
        <w:jc w:val="center"/>
        <w:tblInd w:w="-391" w:type="dxa"/>
        <w:tblLayout w:type="fixed"/>
        <w:tblLook w:val="00A0"/>
      </w:tblPr>
      <w:tblGrid>
        <w:gridCol w:w="2929"/>
        <w:gridCol w:w="720"/>
        <w:gridCol w:w="900"/>
        <w:gridCol w:w="2250"/>
        <w:gridCol w:w="810"/>
        <w:gridCol w:w="810"/>
        <w:gridCol w:w="990"/>
      </w:tblGrid>
      <w:tr w:rsidR="00FA012E" w:rsidRPr="002A4119" w:rsidTr="007A3C6C">
        <w:trPr>
          <w:trHeight w:val="107"/>
          <w:jc w:val="center"/>
        </w:trPr>
        <w:tc>
          <w:tcPr>
            <w:tcW w:w="4549" w:type="dxa"/>
            <w:gridSpan w:val="3"/>
            <w:tcBorders>
              <w:right w:val="thinThickThinSmallGap" w:sz="24" w:space="0" w:color="auto"/>
            </w:tcBorders>
            <w:shd w:val="clear" w:color="auto" w:fill="D9D9D9"/>
            <w:vAlign w:val="center"/>
          </w:tcPr>
          <w:p w:rsidR="00FA012E" w:rsidRPr="00D620CC" w:rsidRDefault="006F4E07" w:rsidP="007A3C6C">
            <w:pPr>
              <w:spacing w:line="240" w:lineRule="exact"/>
              <w:contextualSpacing/>
              <w:jc w:val="center"/>
              <w:rPr>
                <w:b/>
                <w:color w:val="auto"/>
                <w:sz w:val="20"/>
              </w:rPr>
            </w:pPr>
            <w:r>
              <w:rPr>
                <w:b/>
                <w:color w:val="auto"/>
                <w:sz w:val="20"/>
              </w:rPr>
              <w:t xml:space="preserve">Service </w:t>
            </w:r>
            <w:r w:rsidR="00FA012E" w:rsidRPr="00D620CC">
              <w:rPr>
                <w:b/>
                <w:color w:val="auto"/>
                <w:sz w:val="20"/>
              </w:rPr>
              <w:t>PEB – Dated 20040522</w:t>
            </w:r>
          </w:p>
        </w:tc>
        <w:tc>
          <w:tcPr>
            <w:tcW w:w="4860" w:type="dxa"/>
            <w:gridSpan w:val="4"/>
            <w:tcBorders>
              <w:left w:val="thinThickThinSmallGap" w:sz="24" w:space="0" w:color="auto"/>
            </w:tcBorders>
            <w:shd w:val="clear" w:color="auto" w:fill="D9D9D9"/>
            <w:vAlign w:val="center"/>
          </w:tcPr>
          <w:p w:rsidR="00FA012E" w:rsidRPr="00D620CC" w:rsidRDefault="00FA012E" w:rsidP="00EE1C99">
            <w:pPr>
              <w:spacing w:line="240" w:lineRule="exact"/>
              <w:contextualSpacing/>
              <w:jc w:val="center"/>
              <w:rPr>
                <w:b/>
                <w:color w:val="auto"/>
                <w:sz w:val="20"/>
              </w:rPr>
            </w:pPr>
            <w:r w:rsidRPr="00D620CC">
              <w:rPr>
                <w:b/>
                <w:color w:val="auto"/>
                <w:sz w:val="20"/>
              </w:rPr>
              <w:t>VA– All Effective 20040802</w:t>
            </w:r>
          </w:p>
        </w:tc>
      </w:tr>
      <w:tr w:rsidR="00FA012E" w:rsidRPr="002A4119" w:rsidTr="007A3C6C">
        <w:trPr>
          <w:trHeight w:val="80"/>
          <w:jc w:val="center"/>
        </w:trPr>
        <w:tc>
          <w:tcPr>
            <w:tcW w:w="2929" w:type="dxa"/>
            <w:tcBorders>
              <w:right w:val="single" w:sz="4" w:space="0" w:color="auto"/>
            </w:tcBorders>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Condition</w:t>
            </w:r>
          </w:p>
        </w:tc>
        <w:tc>
          <w:tcPr>
            <w:tcW w:w="720" w:type="dxa"/>
            <w:tcBorders>
              <w:left w:val="single" w:sz="4" w:space="0" w:color="auto"/>
            </w:tcBorders>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Code</w:t>
            </w:r>
          </w:p>
        </w:tc>
        <w:tc>
          <w:tcPr>
            <w:tcW w:w="900" w:type="dxa"/>
            <w:tcBorders>
              <w:right w:val="thinThickThinSmallGap" w:sz="24" w:space="0" w:color="auto"/>
            </w:tcBorders>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Rating</w:t>
            </w:r>
          </w:p>
        </w:tc>
        <w:tc>
          <w:tcPr>
            <w:tcW w:w="2250" w:type="dxa"/>
            <w:tcBorders>
              <w:left w:val="thinThickThinSmallGap" w:sz="24" w:space="0" w:color="auto"/>
            </w:tcBorders>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Condition</w:t>
            </w:r>
          </w:p>
        </w:tc>
        <w:tc>
          <w:tcPr>
            <w:tcW w:w="810" w:type="dxa"/>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Code</w:t>
            </w:r>
          </w:p>
        </w:tc>
        <w:tc>
          <w:tcPr>
            <w:tcW w:w="810" w:type="dxa"/>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Rating</w:t>
            </w:r>
          </w:p>
        </w:tc>
        <w:tc>
          <w:tcPr>
            <w:tcW w:w="990" w:type="dxa"/>
            <w:shd w:val="clear" w:color="auto" w:fill="D9D9D9"/>
            <w:vAlign w:val="center"/>
          </w:tcPr>
          <w:p w:rsidR="00FA012E" w:rsidRPr="00D620CC" w:rsidRDefault="00FA012E" w:rsidP="007A3C6C">
            <w:pPr>
              <w:spacing w:line="240" w:lineRule="exact"/>
              <w:contextualSpacing/>
              <w:jc w:val="center"/>
              <w:rPr>
                <w:b/>
                <w:color w:val="auto"/>
                <w:sz w:val="20"/>
              </w:rPr>
            </w:pPr>
            <w:r w:rsidRPr="00D620CC">
              <w:rPr>
                <w:b/>
                <w:color w:val="auto"/>
                <w:sz w:val="20"/>
              </w:rPr>
              <w:t>Exam</w:t>
            </w:r>
          </w:p>
        </w:tc>
      </w:tr>
      <w:tr w:rsidR="00FA012E" w:rsidRPr="002A4119" w:rsidTr="007A3C6C">
        <w:trPr>
          <w:trHeight w:val="54"/>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 xml:space="preserve">Chronic Low Back Pain </w:t>
            </w:r>
            <w:r w:rsidR="00281C85">
              <w:rPr>
                <w:color w:val="auto"/>
                <w:sz w:val="18"/>
              </w:rPr>
              <w:t>/</w:t>
            </w:r>
            <w:r w:rsidRPr="00D620CC">
              <w:rPr>
                <w:color w:val="auto"/>
                <w:sz w:val="18"/>
              </w:rPr>
              <w:t xml:space="preserve"> DDD</w:t>
            </w:r>
          </w:p>
        </w:tc>
        <w:tc>
          <w:tcPr>
            <w:tcW w:w="72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5237</w:t>
            </w:r>
          </w:p>
        </w:tc>
        <w:tc>
          <w:tcPr>
            <w:tcW w:w="900" w:type="dxa"/>
            <w:tcBorders>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10%</w:t>
            </w:r>
          </w:p>
        </w:tc>
        <w:tc>
          <w:tcPr>
            <w:tcW w:w="2250" w:type="dxa"/>
            <w:tcBorders>
              <w:left w:val="thinThickThinSmallGap" w:sz="2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Low Back Injury with DDD</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5243</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10%</w:t>
            </w:r>
          </w:p>
        </w:tc>
        <w:tc>
          <w:tcPr>
            <w:tcW w:w="990" w:type="dxa"/>
            <w:shd w:val="clear" w:color="auto" w:fill="FFFFFF"/>
            <w:vAlign w:val="center"/>
          </w:tcPr>
          <w:p w:rsidR="00FA012E" w:rsidRPr="00D620CC" w:rsidRDefault="00281C85" w:rsidP="007A3C6C">
            <w:pPr>
              <w:spacing w:line="220" w:lineRule="exact"/>
              <w:contextualSpacing/>
              <w:jc w:val="center"/>
              <w:rPr>
                <w:color w:val="auto"/>
                <w:sz w:val="18"/>
              </w:rPr>
            </w:pPr>
            <w:r>
              <w:rPr>
                <w:color w:val="auto"/>
                <w:sz w:val="18"/>
              </w:rPr>
              <w:t>STR</w:t>
            </w:r>
            <w:r w:rsidR="00FA012E" w:rsidRPr="00D620CC">
              <w:rPr>
                <w:color w:val="auto"/>
                <w:sz w:val="18"/>
              </w:rPr>
              <w:t>*</w:t>
            </w:r>
          </w:p>
        </w:tc>
      </w:tr>
      <w:tr w:rsidR="00FA012E" w:rsidRPr="002A4119" w:rsidTr="007A3C6C">
        <w:trPr>
          <w:trHeight w:val="54"/>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Mild High Frequency Hearing Loss</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2250" w:type="dxa"/>
            <w:tcBorders>
              <w:left w:val="thinThickThinSmallGap" w:sz="24" w:space="0" w:color="auto"/>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Hearing Loss Right Ear</w:t>
            </w:r>
          </w:p>
        </w:tc>
        <w:tc>
          <w:tcPr>
            <w:tcW w:w="81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6100</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0%</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STR</w:t>
            </w:r>
          </w:p>
        </w:tc>
      </w:tr>
      <w:tr w:rsidR="00FA012E" w:rsidRPr="002A4119" w:rsidTr="007A3C6C">
        <w:trPr>
          <w:trHeight w:val="125"/>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Migraine Headaches</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2250" w:type="dxa"/>
            <w:tcBorders>
              <w:left w:val="thinThickThinSmallGap" w:sz="24" w:space="0" w:color="auto"/>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Migraine Headaches</w:t>
            </w:r>
          </w:p>
        </w:tc>
        <w:tc>
          <w:tcPr>
            <w:tcW w:w="81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8100</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NSC</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STR</w:t>
            </w:r>
          </w:p>
        </w:tc>
      </w:tr>
      <w:tr w:rsidR="00FA012E" w:rsidRPr="002A4119" w:rsidTr="007A3C6C">
        <w:trPr>
          <w:trHeight w:val="54"/>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Mild Hypertension</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2250" w:type="dxa"/>
            <w:tcBorders>
              <w:left w:val="thinThickThinSmallGap" w:sz="24" w:space="0" w:color="auto"/>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Hypertension</w:t>
            </w:r>
          </w:p>
        </w:tc>
        <w:tc>
          <w:tcPr>
            <w:tcW w:w="81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7101</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0%</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STR</w:t>
            </w:r>
          </w:p>
        </w:tc>
      </w:tr>
      <w:tr w:rsidR="00FA012E" w:rsidRPr="002A4119" w:rsidTr="007A3C6C">
        <w:trPr>
          <w:trHeight w:val="98"/>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Mild Hyperlipidemia</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4860" w:type="dxa"/>
            <w:gridSpan w:val="4"/>
            <w:tcBorders>
              <w:lef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 VA Entry</w:t>
            </w:r>
          </w:p>
        </w:tc>
      </w:tr>
      <w:tr w:rsidR="00FA012E" w:rsidRPr="002A4119" w:rsidTr="007A3C6C">
        <w:trPr>
          <w:trHeight w:val="54"/>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Left Knee Patellofemoral Pain</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2250" w:type="dxa"/>
            <w:tcBorders>
              <w:left w:val="thinThickThinSmallGap" w:sz="24" w:space="0" w:color="auto"/>
              <w:right w:val="single" w:sz="4" w:space="0" w:color="auto"/>
            </w:tcBorders>
            <w:shd w:val="clear" w:color="auto" w:fill="FFFFFF"/>
            <w:vAlign w:val="center"/>
          </w:tcPr>
          <w:p w:rsidR="00FA012E" w:rsidRPr="00D620CC" w:rsidRDefault="00281C85" w:rsidP="007A3C6C">
            <w:pPr>
              <w:spacing w:line="220" w:lineRule="exact"/>
              <w:contextualSpacing/>
              <w:rPr>
                <w:color w:val="auto"/>
                <w:sz w:val="18"/>
              </w:rPr>
            </w:pPr>
            <w:r w:rsidRPr="00D620CC">
              <w:rPr>
                <w:color w:val="auto"/>
                <w:sz w:val="18"/>
              </w:rPr>
              <w:t xml:space="preserve">Left </w:t>
            </w:r>
            <w:r w:rsidR="00FA012E" w:rsidRPr="00D620CC">
              <w:rPr>
                <w:color w:val="auto"/>
                <w:sz w:val="18"/>
              </w:rPr>
              <w:t xml:space="preserve">Patellofemoral </w:t>
            </w:r>
            <w:r w:rsidR="00B86C63">
              <w:rPr>
                <w:color w:val="auto"/>
                <w:sz w:val="18"/>
              </w:rPr>
              <w:t>Pain</w:t>
            </w:r>
          </w:p>
        </w:tc>
        <w:tc>
          <w:tcPr>
            <w:tcW w:w="81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5257</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10%</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19941123</w:t>
            </w:r>
          </w:p>
        </w:tc>
      </w:tr>
      <w:tr w:rsidR="00FA012E" w:rsidRPr="002A4119" w:rsidTr="007A3C6C">
        <w:trPr>
          <w:trHeight w:val="54"/>
          <w:jc w:val="center"/>
        </w:trPr>
        <w:tc>
          <w:tcPr>
            <w:tcW w:w="2929" w:type="dxa"/>
            <w:tcBorders>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Right Shoulder Mild Rotator Cuff</w:t>
            </w:r>
          </w:p>
        </w:tc>
        <w:tc>
          <w:tcPr>
            <w:tcW w:w="1620" w:type="dxa"/>
            <w:gridSpan w:val="2"/>
            <w:tcBorders>
              <w:left w:val="single" w:sz="4" w:space="0" w:color="auto"/>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Not Unfitting</w:t>
            </w:r>
          </w:p>
        </w:tc>
        <w:tc>
          <w:tcPr>
            <w:tcW w:w="2250" w:type="dxa"/>
            <w:tcBorders>
              <w:left w:val="thinThickThinSmallGap" w:sz="24" w:space="0" w:color="auto"/>
              <w:right w:val="single" w:sz="4" w:space="0" w:color="auto"/>
            </w:tcBorders>
            <w:shd w:val="clear" w:color="auto" w:fill="FFFFFF"/>
            <w:vAlign w:val="center"/>
          </w:tcPr>
          <w:p w:rsidR="00FA012E" w:rsidRPr="00D620CC" w:rsidRDefault="00FA012E" w:rsidP="007A3C6C">
            <w:pPr>
              <w:spacing w:line="220" w:lineRule="exact"/>
              <w:contextualSpacing/>
              <w:rPr>
                <w:color w:val="auto"/>
                <w:sz w:val="18"/>
              </w:rPr>
            </w:pPr>
            <w:r w:rsidRPr="00D620CC">
              <w:rPr>
                <w:color w:val="auto"/>
                <w:sz w:val="18"/>
              </w:rPr>
              <w:t>Right Shoulder Rotator Cuff</w:t>
            </w:r>
          </w:p>
        </w:tc>
        <w:tc>
          <w:tcPr>
            <w:tcW w:w="810" w:type="dxa"/>
            <w:tcBorders>
              <w:left w:val="single" w:sz="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5201</w:t>
            </w:r>
          </w:p>
        </w:tc>
        <w:tc>
          <w:tcPr>
            <w:tcW w:w="81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0%</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STR</w:t>
            </w:r>
          </w:p>
        </w:tc>
      </w:tr>
      <w:tr w:rsidR="00FA012E" w:rsidRPr="002A4119" w:rsidTr="007A3C6C">
        <w:trPr>
          <w:trHeight w:val="54"/>
          <w:jc w:val="center"/>
        </w:trPr>
        <w:tc>
          <w:tcPr>
            <w:tcW w:w="4549" w:type="dxa"/>
            <w:gridSpan w:val="3"/>
            <w:tcBorders>
              <w:righ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No Additional MEB/PEB Entries</w:t>
            </w:r>
          </w:p>
        </w:tc>
        <w:tc>
          <w:tcPr>
            <w:tcW w:w="3870" w:type="dxa"/>
            <w:gridSpan w:val="3"/>
            <w:tcBorders>
              <w:left w:val="thinThickThinSmallGap" w:sz="24" w:space="0" w:color="auto"/>
            </w:tcBorders>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 xml:space="preserve">Not Service Connected x </w:t>
            </w:r>
            <w:r w:rsidR="00CC126F">
              <w:rPr>
                <w:color w:val="auto"/>
                <w:sz w:val="18"/>
              </w:rPr>
              <w:t>8</w:t>
            </w:r>
          </w:p>
        </w:tc>
        <w:tc>
          <w:tcPr>
            <w:tcW w:w="990" w:type="dxa"/>
            <w:shd w:val="clear" w:color="auto" w:fill="FFFFFF"/>
            <w:vAlign w:val="center"/>
          </w:tcPr>
          <w:p w:rsidR="00FA012E" w:rsidRPr="00D620CC" w:rsidRDefault="00FA012E" w:rsidP="007A3C6C">
            <w:pPr>
              <w:spacing w:line="220" w:lineRule="exact"/>
              <w:contextualSpacing/>
              <w:jc w:val="center"/>
              <w:rPr>
                <w:color w:val="auto"/>
                <w:sz w:val="18"/>
              </w:rPr>
            </w:pPr>
            <w:r w:rsidRPr="00D620CC">
              <w:rPr>
                <w:color w:val="auto"/>
                <w:sz w:val="18"/>
              </w:rPr>
              <w:t>STR</w:t>
            </w:r>
          </w:p>
        </w:tc>
      </w:tr>
      <w:tr w:rsidR="00FA012E" w:rsidRPr="002A4119" w:rsidTr="007A3C6C">
        <w:trPr>
          <w:trHeight w:val="54"/>
          <w:jc w:val="center"/>
        </w:trPr>
        <w:tc>
          <w:tcPr>
            <w:tcW w:w="4549" w:type="dxa"/>
            <w:gridSpan w:val="3"/>
            <w:tcBorders>
              <w:right w:val="thinThickThinSmallGap" w:sz="24" w:space="0" w:color="auto"/>
            </w:tcBorders>
            <w:shd w:val="clear" w:color="auto" w:fill="D9D9D9"/>
          </w:tcPr>
          <w:p w:rsidR="00FA012E" w:rsidRPr="00D620CC" w:rsidRDefault="00FA012E" w:rsidP="007A3C6C">
            <w:pPr>
              <w:spacing w:line="240" w:lineRule="exact"/>
              <w:contextualSpacing/>
              <w:jc w:val="center"/>
              <w:rPr>
                <w:b/>
                <w:color w:val="auto"/>
                <w:sz w:val="20"/>
              </w:rPr>
            </w:pPr>
            <w:r w:rsidRPr="00D620CC">
              <w:rPr>
                <w:b/>
                <w:color w:val="auto"/>
                <w:sz w:val="20"/>
              </w:rPr>
              <w:t>Combined:  10%</w:t>
            </w:r>
          </w:p>
        </w:tc>
        <w:tc>
          <w:tcPr>
            <w:tcW w:w="4860" w:type="dxa"/>
            <w:gridSpan w:val="4"/>
            <w:tcBorders>
              <w:left w:val="thinThickThinSmallGap" w:sz="24" w:space="0" w:color="auto"/>
            </w:tcBorders>
            <w:shd w:val="clear" w:color="auto" w:fill="D9D9D9"/>
          </w:tcPr>
          <w:p w:rsidR="00FA012E" w:rsidRPr="00D620CC" w:rsidRDefault="00FA012E" w:rsidP="007A3C6C">
            <w:pPr>
              <w:spacing w:line="240" w:lineRule="exact"/>
              <w:contextualSpacing/>
              <w:jc w:val="center"/>
              <w:rPr>
                <w:b/>
                <w:color w:val="auto"/>
                <w:sz w:val="20"/>
              </w:rPr>
            </w:pPr>
            <w:r w:rsidRPr="00D620CC">
              <w:rPr>
                <w:b/>
                <w:color w:val="auto"/>
                <w:sz w:val="20"/>
              </w:rPr>
              <w:t>Combined: 20%</w:t>
            </w:r>
          </w:p>
        </w:tc>
      </w:tr>
    </w:tbl>
    <w:p w:rsidR="00FA012E" w:rsidRPr="00305F57" w:rsidRDefault="00B86C63" w:rsidP="004E7BA4">
      <w:pPr>
        <w:tabs>
          <w:tab w:val="left" w:pos="288"/>
          <w:tab w:val="left" w:pos="4752"/>
        </w:tabs>
        <w:spacing w:line="180" w:lineRule="exact"/>
        <w:rPr>
          <w:color w:val="auto"/>
          <w:sz w:val="20"/>
        </w:rPr>
      </w:pPr>
      <w:r>
        <w:rPr>
          <w:color w:val="auto"/>
          <w:sz w:val="18"/>
        </w:rPr>
        <w:t>*</w:t>
      </w:r>
      <w:r w:rsidR="00281C85">
        <w:rPr>
          <w:color w:val="auto"/>
          <w:sz w:val="18"/>
        </w:rPr>
        <w:t xml:space="preserve">Service Treatment Record </w:t>
      </w:r>
      <w:r w:rsidR="00FA012E">
        <w:rPr>
          <w:color w:val="auto"/>
          <w:sz w:val="18"/>
        </w:rPr>
        <w:t xml:space="preserve">– </w:t>
      </w:r>
      <w:r w:rsidR="003D5147">
        <w:rPr>
          <w:color w:val="auto"/>
          <w:sz w:val="18"/>
        </w:rPr>
        <w:t xml:space="preserve">Minimal VA ratings cited failure to present for VA exams and lack of </w:t>
      </w:r>
      <w:r w:rsidR="00CB511A">
        <w:rPr>
          <w:color w:val="auto"/>
          <w:sz w:val="18"/>
        </w:rPr>
        <w:t xml:space="preserve">VA </w:t>
      </w:r>
      <w:r w:rsidR="003D5147">
        <w:rPr>
          <w:color w:val="auto"/>
          <w:sz w:val="18"/>
        </w:rPr>
        <w:t>ratable</w:t>
      </w:r>
      <w:r w:rsidR="00CB511A">
        <w:rPr>
          <w:color w:val="auto"/>
          <w:sz w:val="18"/>
        </w:rPr>
        <w:t xml:space="preserve"> evidence</w:t>
      </w:r>
      <w:r w:rsidR="00FA012E">
        <w:rPr>
          <w:color w:val="auto"/>
          <w:sz w:val="18"/>
        </w:rPr>
        <w:t>.</w:t>
      </w:r>
      <w:r w:rsidR="00FA012E">
        <w:rPr>
          <w:color w:val="auto"/>
          <w:sz w:val="20"/>
        </w:rPr>
        <w:t xml:space="preserve">  </w:t>
      </w:r>
    </w:p>
    <w:p w:rsidR="00FA012E" w:rsidRPr="00391858" w:rsidRDefault="00FA012E" w:rsidP="00510F9C">
      <w:pPr>
        <w:pBdr>
          <w:bottom w:val="single" w:sz="12" w:space="1" w:color="auto"/>
        </w:pBdr>
        <w:tabs>
          <w:tab w:val="left" w:pos="288"/>
          <w:tab w:val="left" w:pos="4752"/>
        </w:tabs>
        <w:spacing w:line="240" w:lineRule="exact"/>
        <w:jc w:val="both"/>
        <w:rPr>
          <w:b/>
          <w:color w:val="auto"/>
          <w:u w:val="single"/>
        </w:rPr>
      </w:pPr>
    </w:p>
    <w:p w:rsidR="00FA012E" w:rsidRDefault="00FA012E" w:rsidP="00C6170B">
      <w:pPr>
        <w:rPr>
          <w:color w:val="auto"/>
          <w:u w:val="single"/>
        </w:rPr>
      </w:pPr>
    </w:p>
    <w:p w:rsidR="00FA012E" w:rsidRPr="004E7BA4" w:rsidRDefault="00FA012E" w:rsidP="004E7BA4">
      <w:pPr>
        <w:spacing w:line="240" w:lineRule="exact"/>
        <w:jc w:val="both"/>
        <w:rPr>
          <w:color w:val="auto"/>
        </w:rPr>
      </w:pPr>
      <w:r w:rsidRPr="00396779">
        <w:rPr>
          <w:color w:val="auto"/>
          <w:u w:val="single"/>
        </w:rPr>
        <w:lastRenderedPageBreak/>
        <w:t>ANALYSIS SUMMARY</w:t>
      </w:r>
      <w:r w:rsidRPr="00396779">
        <w:rPr>
          <w:color w:val="auto"/>
        </w:rPr>
        <w:t xml:space="preserve">:  </w:t>
      </w:r>
      <w:r w:rsidRPr="004E7BA4">
        <w:rPr>
          <w:color w:val="auto"/>
        </w:rPr>
        <w:t>The Board acknowledges the sentiment expressed in the CI’s application regarding the significant impairment with which his service-</w:t>
      </w:r>
      <w:r w:rsidR="00562599">
        <w:rPr>
          <w:color w:val="auto"/>
        </w:rPr>
        <w:t>aggravated</w:t>
      </w:r>
      <w:r w:rsidRPr="004E7BA4">
        <w:rPr>
          <w:color w:val="auto"/>
        </w:rPr>
        <w:t xml:space="preserve">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w:t>
      </w:r>
      <w:r w:rsidR="00BF0400">
        <w:rPr>
          <w:color w:val="auto"/>
        </w:rPr>
        <w:t xml:space="preserve">Department of </w:t>
      </w:r>
      <w:r w:rsidRPr="004E7BA4">
        <w:rPr>
          <w:color w:val="auto"/>
        </w:rPr>
        <w:t>Veterans’ A</w:t>
      </w:r>
      <w:r w:rsidR="00BF0400">
        <w:rPr>
          <w:color w:val="auto"/>
        </w:rPr>
        <w:t>ffairs (DVA)</w:t>
      </w:r>
      <w:r w:rsidRPr="004E7BA4">
        <w:rPr>
          <w:color w:val="auto"/>
        </w:rPr>
        <w:t>.</w:t>
      </w:r>
      <w:r w:rsidRPr="004E7BA4">
        <w:rPr>
          <w:rFonts w:cs="Calibri"/>
          <w:color w:val="000000"/>
          <w:sz w:val="23"/>
        </w:rPr>
        <w:t xml:space="preserve">  </w:t>
      </w:r>
      <w:r w:rsidRPr="004E7BA4">
        <w:rPr>
          <w:color w:val="auto"/>
        </w:rPr>
        <w:t xml:space="preserve">The Board utilizes VA evidence proximal to separation in arriving at its recommendations; and, DoDI 6040.44 defines a 12-month interval for special consideration to post-separation evidence. </w:t>
      </w:r>
      <w:r w:rsidR="00BF0400">
        <w:rPr>
          <w:color w:val="auto"/>
        </w:rPr>
        <w:t xml:space="preserve"> </w:t>
      </w:r>
      <w:r w:rsidRPr="004E7BA4">
        <w:rPr>
          <w:color w:val="auto"/>
        </w:rPr>
        <w:t xml:space="preserve">The Board’s authority as defined in </w:t>
      </w:r>
      <w:proofErr w:type="spellStart"/>
      <w:r w:rsidRPr="004E7BA4">
        <w:rPr>
          <w:color w:val="auto"/>
        </w:rPr>
        <w:t>DoDI</w:t>
      </w:r>
      <w:proofErr w:type="spellEnd"/>
      <w:r w:rsidRPr="004E7BA4">
        <w:rPr>
          <w:color w:val="auto"/>
        </w:rPr>
        <w:t xml:space="preserve"> 6044.40,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242474">
        <w:rPr>
          <w:color w:val="auto"/>
        </w:rPr>
        <w:t xml:space="preserve">  </w:t>
      </w:r>
    </w:p>
    <w:p w:rsidR="00FA012E" w:rsidRPr="004E7BA4" w:rsidRDefault="00FA012E" w:rsidP="00664296">
      <w:pPr>
        <w:tabs>
          <w:tab w:val="left" w:pos="288"/>
          <w:tab w:val="left" w:pos="4752"/>
        </w:tabs>
        <w:spacing w:line="240" w:lineRule="exact"/>
        <w:rPr>
          <w:color w:val="auto"/>
        </w:rPr>
      </w:pPr>
    </w:p>
    <w:p w:rsidR="00FA012E" w:rsidRPr="00664296" w:rsidRDefault="00FA012E" w:rsidP="004E7BA4">
      <w:pPr>
        <w:tabs>
          <w:tab w:val="left" w:pos="288"/>
          <w:tab w:val="left" w:pos="4752"/>
        </w:tabs>
        <w:spacing w:line="240" w:lineRule="exact"/>
        <w:jc w:val="both"/>
        <w:rPr>
          <w:color w:val="auto"/>
        </w:rPr>
      </w:pPr>
      <w:r w:rsidRPr="00664296">
        <w:rPr>
          <w:color w:val="auto"/>
          <w:u w:val="single"/>
        </w:rPr>
        <w:t>Low Back Condition</w:t>
      </w:r>
      <w:r w:rsidRPr="00664296">
        <w:rPr>
          <w:color w:val="auto"/>
        </w:rPr>
        <w:t xml:space="preserve">.  </w:t>
      </w:r>
      <w:r w:rsidR="00AD73C8" w:rsidRPr="00664296">
        <w:rPr>
          <w:color w:val="auto"/>
        </w:rPr>
        <w:t xml:space="preserve">In September 2002, the CI was in a motor vehicle accident.  After mobilization in February 2003, the CI reported intermittent low back pain associated with certain movements. </w:t>
      </w:r>
      <w:r w:rsidR="00AD73C8">
        <w:rPr>
          <w:color w:val="auto"/>
        </w:rPr>
        <w:t xml:space="preserve"> At the time, the CI denied any radiculopathy, numbness, or tingling.  Radiographs</w:t>
      </w:r>
      <w:r w:rsidR="00AD73C8" w:rsidRPr="00664296">
        <w:rPr>
          <w:color w:val="auto"/>
        </w:rPr>
        <w:t xml:space="preserve"> taken April 2003 revealed D</w:t>
      </w:r>
      <w:r w:rsidR="00AD73C8">
        <w:rPr>
          <w:color w:val="auto"/>
        </w:rPr>
        <w:t>D</w:t>
      </w:r>
      <w:r w:rsidR="00AD73C8" w:rsidRPr="00664296">
        <w:rPr>
          <w:color w:val="auto"/>
        </w:rPr>
        <w:t xml:space="preserve">D at L5-S1.  </w:t>
      </w:r>
      <w:r w:rsidR="00B040AB">
        <w:rPr>
          <w:color w:val="auto"/>
        </w:rPr>
        <w:t>Follow-up magnetic resonance imaging</w:t>
      </w:r>
      <w:r w:rsidR="00AD73C8" w:rsidRPr="00664296">
        <w:rPr>
          <w:color w:val="auto"/>
        </w:rPr>
        <w:t xml:space="preserve"> </w:t>
      </w:r>
      <w:r w:rsidR="00B040AB">
        <w:rPr>
          <w:color w:val="auto"/>
        </w:rPr>
        <w:t>(</w:t>
      </w:r>
      <w:r w:rsidR="00AD73C8" w:rsidRPr="00664296">
        <w:rPr>
          <w:color w:val="auto"/>
        </w:rPr>
        <w:t>MRI</w:t>
      </w:r>
      <w:r w:rsidR="00B040AB">
        <w:rPr>
          <w:color w:val="auto"/>
        </w:rPr>
        <w:t>)</w:t>
      </w:r>
      <w:r w:rsidR="00AD73C8" w:rsidRPr="00664296">
        <w:rPr>
          <w:color w:val="auto"/>
        </w:rPr>
        <w:t xml:space="preserve"> supported the finding of DDD and noted a “transitional vertebra at L5, a rudimentary disc at L5-S1, and a large bulging disc at L4-L5 which causes some narrowing of the neural B foramina.”  The CI also began reporting some numbness and tingling </w:t>
      </w:r>
      <w:proofErr w:type="gramStart"/>
      <w:r w:rsidR="00AD73C8" w:rsidRPr="00664296">
        <w:rPr>
          <w:color w:val="auto"/>
        </w:rPr>
        <w:t>down</w:t>
      </w:r>
      <w:proofErr w:type="gramEnd"/>
      <w:r w:rsidR="00AD73C8" w:rsidRPr="00664296">
        <w:rPr>
          <w:color w:val="auto"/>
        </w:rPr>
        <w:t xml:space="preserve"> both legs at this time.  His symptoms worsened after another motor vehicle accident in June 2003.  </w:t>
      </w:r>
      <w:r w:rsidR="00AD73C8">
        <w:rPr>
          <w:color w:val="auto"/>
        </w:rPr>
        <w:t>At</w:t>
      </w:r>
      <w:r w:rsidR="00AD73C8" w:rsidRPr="00664296">
        <w:rPr>
          <w:color w:val="auto"/>
        </w:rPr>
        <w:t xml:space="preserve"> the MEB exam 5 months </w:t>
      </w:r>
      <w:r w:rsidR="00BF0400">
        <w:rPr>
          <w:color w:val="auto"/>
        </w:rPr>
        <w:t xml:space="preserve">prior to </w:t>
      </w:r>
      <w:r w:rsidR="00AD73C8" w:rsidRPr="00664296">
        <w:rPr>
          <w:color w:val="auto"/>
        </w:rPr>
        <w:t xml:space="preserve">separation, the CI reported low back pain with intermittent radiation into the lower extremities down the posterior and lateral aspects to both feet. </w:t>
      </w:r>
      <w:r w:rsidR="00BF0400">
        <w:rPr>
          <w:color w:val="auto"/>
        </w:rPr>
        <w:t xml:space="preserve"> </w:t>
      </w:r>
      <w:r w:rsidR="00AD73C8" w:rsidRPr="00664296">
        <w:rPr>
          <w:color w:val="auto"/>
        </w:rPr>
        <w:t xml:space="preserve">This was aggravated by prolonged periods of standing, sitting, or walking, and he was unable to bend or lift.  </w:t>
      </w:r>
      <w:r w:rsidR="006F4E07">
        <w:rPr>
          <w:color w:val="auto"/>
        </w:rPr>
        <w:t>There were two</w:t>
      </w:r>
      <w:r w:rsidRPr="00664296">
        <w:rPr>
          <w:color w:val="auto"/>
        </w:rPr>
        <w:t xml:space="preserve"> </w:t>
      </w:r>
      <w:r w:rsidR="00242474">
        <w:rPr>
          <w:color w:val="auto"/>
        </w:rPr>
        <w:t xml:space="preserve">partial, </w:t>
      </w:r>
      <w:r w:rsidR="00562599">
        <w:rPr>
          <w:color w:val="auto"/>
        </w:rPr>
        <w:t xml:space="preserve">non-goniometric </w:t>
      </w:r>
      <w:r w:rsidRPr="00664296">
        <w:rPr>
          <w:color w:val="auto"/>
        </w:rPr>
        <w:t>range-of-</w:t>
      </w:r>
      <w:r w:rsidRPr="004E7BA4">
        <w:rPr>
          <w:color w:val="auto"/>
        </w:rPr>
        <w:t>motion (ROM) evaluations in evidence which the Board weighed in arriving at its rating recommendation.  Both of these</w:t>
      </w:r>
      <w:r w:rsidRPr="00664296">
        <w:rPr>
          <w:color w:val="auto"/>
        </w:rPr>
        <w:t xml:space="preserve"> exams are summarized in the chart below.</w:t>
      </w:r>
    </w:p>
    <w:p w:rsidR="00FA012E" w:rsidRPr="00664296" w:rsidRDefault="00FA012E" w:rsidP="00664296">
      <w:pPr>
        <w:tabs>
          <w:tab w:val="left" w:pos="288"/>
          <w:tab w:val="left" w:pos="4752"/>
        </w:tabs>
        <w:spacing w:line="240" w:lineRule="exact"/>
        <w:rPr>
          <w:color w:val="auto"/>
        </w:rPr>
      </w:pPr>
    </w:p>
    <w:tbl>
      <w:tblPr>
        <w:tblW w:w="7489" w:type="dxa"/>
        <w:jc w:val="center"/>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1"/>
        <w:gridCol w:w="2846"/>
        <w:gridCol w:w="2142"/>
      </w:tblGrid>
      <w:tr w:rsidR="00242474" w:rsidRPr="00664296" w:rsidTr="001262B1">
        <w:trPr>
          <w:trHeight w:val="260"/>
          <w:jc w:val="center"/>
        </w:trPr>
        <w:tc>
          <w:tcPr>
            <w:tcW w:w="2501" w:type="dxa"/>
            <w:shd w:val="clear" w:color="auto" w:fill="D9D9D9"/>
            <w:vAlign w:val="center"/>
          </w:tcPr>
          <w:p w:rsidR="00242474" w:rsidRPr="00664296" w:rsidRDefault="00242474" w:rsidP="00562599">
            <w:pPr>
              <w:spacing w:line="240" w:lineRule="exact"/>
              <w:contextualSpacing/>
              <w:jc w:val="center"/>
              <w:rPr>
                <w:color w:val="auto"/>
                <w:sz w:val="22"/>
              </w:rPr>
            </w:pPr>
            <w:r w:rsidRPr="00664296">
              <w:rPr>
                <w:color w:val="auto"/>
                <w:sz w:val="22"/>
              </w:rPr>
              <w:t xml:space="preserve">Thoracolumbar </w:t>
            </w:r>
            <w:r w:rsidRPr="004E7BA4">
              <w:rPr>
                <w:color w:val="auto"/>
                <w:sz w:val="22"/>
              </w:rPr>
              <w:t>ROM</w:t>
            </w:r>
          </w:p>
        </w:tc>
        <w:tc>
          <w:tcPr>
            <w:tcW w:w="2846" w:type="dxa"/>
            <w:shd w:val="clear" w:color="auto" w:fill="D9D9D9"/>
            <w:vAlign w:val="center"/>
          </w:tcPr>
          <w:p w:rsidR="00242474" w:rsidRPr="00664296" w:rsidRDefault="00CB511A" w:rsidP="007775EE">
            <w:pPr>
              <w:spacing w:line="240" w:lineRule="exact"/>
              <w:contextualSpacing/>
              <w:jc w:val="center"/>
              <w:rPr>
                <w:color w:val="auto"/>
                <w:sz w:val="22"/>
              </w:rPr>
            </w:pPr>
            <w:r>
              <w:rPr>
                <w:color w:val="auto"/>
                <w:sz w:val="22"/>
              </w:rPr>
              <w:t>MEB ~5 Mo.</w:t>
            </w:r>
            <w:r w:rsidR="00242474" w:rsidRPr="00664296">
              <w:rPr>
                <w:color w:val="auto"/>
                <w:sz w:val="22"/>
              </w:rPr>
              <w:t xml:space="preserve"> Pre-Sep</w:t>
            </w:r>
          </w:p>
        </w:tc>
        <w:tc>
          <w:tcPr>
            <w:tcW w:w="2142" w:type="dxa"/>
            <w:shd w:val="clear" w:color="auto" w:fill="D9D9D9"/>
            <w:vAlign w:val="center"/>
          </w:tcPr>
          <w:p w:rsidR="00242474" w:rsidRPr="00664296" w:rsidRDefault="00AD73C8" w:rsidP="008E42D2">
            <w:pPr>
              <w:spacing w:line="240" w:lineRule="exact"/>
              <w:contextualSpacing/>
              <w:jc w:val="center"/>
              <w:rPr>
                <w:color w:val="auto"/>
                <w:sz w:val="22"/>
              </w:rPr>
            </w:pPr>
            <w:r>
              <w:rPr>
                <w:color w:val="auto"/>
                <w:sz w:val="22"/>
              </w:rPr>
              <w:t>STR ~3 Mo.</w:t>
            </w:r>
            <w:r w:rsidR="00242474" w:rsidRPr="00664296">
              <w:rPr>
                <w:color w:val="auto"/>
                <w:sz w:val="22"/>
              </w:rPr>
              <w:t xml:space="preserve"> Pre-Sep</w:t>
            </w:r>
            <w:r w:rsidR="001262B1">
              <w:rPr>
                <w:color w:val="auto"/>
                <w:sz w:val="22"/>
              </w:rPr>
              <w:t>*</w:t>
            </w:r>
          </w:p>
        </w:tc>
      </w:tr>
      <w:tr w:rsidR="00242474" w:rsidRPr="00664296" w:rsidTr="001262B1">
        <w:trPr>
          <w:trHeight w:val="80"/>
          <w:jc w:val="center"/>
        </w:trPr>
        <w:tc>
          <w:tcPr>
            <w:tcW w:w="2501" w:type="dxa"/>
            <w:vAlign w:val="center"/>
          </w:tcPr>
          <w:p w:rsidR="00242474" w:rsidRPr="00664296" w:rsidRDefault="00242474" w:rsidP="00CB511A">
            <w:pPr>
              <w:spacing w:line="240" w:lineRule="exact"/>
              <w:contextualSpacing/>
              <w:jc w:val="center"/>
              <w:rPr>
                <w:color w:val="auto"/>
                <w:sz w:val="22"/>
              </w:rPr>
            </w:pPr>
            <w:r w:rsidRPr="00664296">
              <w:rPr>
                <w:color w:val="auto"/>
                <w:sz w:val="22"/>
              </w:rPr>
              <w:t xml:space="preserve">Flexion </w:t>
            </w:r>
            <w:r w:rsidR="00CB511A">
              <w:rPr>
                <w:color w:val="auto"/>
                <w:sz w:val="22"/>
              </w:rPr>
              <w:t>(90⁰ N</w:t>
            </w:r>
            <w:r w:rsidRPr="00664296">
              <w:rPr>
                <w:color w:val="auto"/>
                <w:sz w:val="22"/>
              </w:rPr>
              <w:t>ormal</w:t>
            </w:r>
            <w:r w:rsidR="00CB511A">
              <w:rPr>
                <w:color w:val="auto"/>
                <w:sz w:val="22"/>
              </w:rPr>
              <w:t>)</w:t>
            </w:r>
          </w:p>
        </w:tc>
        <w:tc>
          <w:tcPr>
            <w:tcW w:w="2846" w:type="dxa"/>
          </w:tcPr>
          <w:p w:rsidR="00242474" w:rsidRPr="00664296" w:rsidRDefault="00242474" w:rsidP="007775EE">
            <w:pPr>
              <w:spacing w:line="240" w:lineRule="exact"/>
              <w:contextualSpacing/>
              <w:jc w:val="center"/>
              <w:rPr>
                <w:color w:val="auto"/>
                <w:sz w:val="22"/>
              </w:rPr>
            </w:pPr>
            <w:r w:rsidRPr="00664296">
              <w:rPr>
                <w:color w:val="auto"/>
                <w:sz w:val="22"/>
              </w:rPr>
              <w:t>50⁰</w:t>
            </w:r>
          </w:p>
        </w:tc>
        <w:tc>
          <w:tcPr>
            <w:tcW w:w="2142" w:type="dxa"/>
          </w:tcPr>
          <w:p w:rsidR="00242474" w:rsidRPr="00664296" w:rsidRDefault="00242474" w:rsidP="008E42D2">
            <w:pPr>
              <w:spacing w:line="240" w:lineRule="exact"/>
              <w:contextualSpacing/>
              <w:jc w:val="center"/>
              <w:rPr>
                <w:color w:val="auto"/>
                <w:sz w:val="22"/>
              </w:rPr>
            </w:pPr>
            <w:r w:rsidRPr="00664296">
              <w:rPr>
                <w:color w:val="auto"/>
                <w:sz w:val="22"/>
              </w:rPr>
              <w:t>45⁰</w:t>
            </w:r>
          </w:p>
        </w:tc>
      </w:tr>
      <w:tr w:rsidR="00242474" w:rsidRPr="00664296" w:rsidTr="001262B1">
        <w:trPr>
          <w:jc w:val="center"/>
        </w:trPr>
        <w:tc>
          <w:tcPr>
            <w:tcW w:w="2501" w:type="dxa"/>
            <w:vAlign w:val="center"/>
          </w:tcPr>
          <w:p w:rsidR="00242474" w:rsidRPr="00664296" w:rsidRDefault="00242474" w:rsidP="004E7BA4">
            <w:pPr>
              <w:spacing w:line="240" w:lineRule="exact"/>
              <w:contextualSpacing/>
              <w:jc w:val="center"/>
              <w:rPr>
                <w:color w:val="auto"/>
                <w:sz w:val="22"/>
              </w:rPr>
            </w:pPr>
            <w:r w:rsidRPr="00664296">
              <w:rPr>
                <w:color w:val="auto"/>
                <w:sz w:val="22"/>
              </w:rPr>
              <w:t xml:space="preserve">Combined </w:t>
            </w:r>
            <w:r w:rsidR="00CB511A">
              <w:rPr>
                <w:color w:val="auto"/>
                <w:sz w:val="22"/>
              </w:rPr>
              <w:t>(240⁰ N</w:t>
            </w:r>
            <w:r w:rsidRPr="00664296">
              <w:rPr>
                <w:color w:val="auto"/>
                <w:sz w:val="22"/>
              </w:rPr>
              <w:t>ormal</w:t>
            </w:r>
            <w:r w:rsidR="00CB511A">
              <w:rPr>
                <w:color w:val="auto"/>
                <w:sz w:val="22"/>
              </w:rPr>
              <w:t>)</w:t>
            </w:r>
          </w:p>
        </w:tc>
        <w:tc>
          <w:tcPr>
            <w:tcW w:w="2846" w:type="dxa"/>
          </w:tcPr>
          <w:p w:rsidR="00242474" w:rsidRPr="00664296" w:rsidRDefault="00242474" w:rsidP="007775EE">
            <w:pPr>
              <w:spacing w:line="240" w:lineRule="exact"/>
              <w:contextualSpacing/>
              <w:jc w:val="center"/>
              <w:rPr>
                <w:color w:val="auto"/>
                <w:sz w:val="22"/>
              </w:rPr>
            </w:pPr>
            <w:r>
              <w:rPr>
                <w:color w:val="auto"/>
                <w:sz w:val="22"/>
              </w:rPr>
              <w:t>Incomplete</w:t>
            </w:r>
          </w:p>
        </w:tc>
        <w:tc>
          <w:tcPr>
            <w:tcW w:w="2142" w:type="dxa"/>
          </w:tcPr>
          <w:p w:rsidR="00242474" w:rsidRPr="00664296" w:rsidRDefault="00242474" w:rsidP="008E42D2">
            <w:pPr>
              <w:spacing w:line="240" w:lineRule="exact"/>
              <w:contextualSpacing/>
              <w:jc w:val="center"/>
              <w:rPr>
                <w:color w:val="auto"/>
                <w:sz w:val="22"/>
              </w:rPr>
            </w:pPr>
            <w:r>
              <w:rPr>
                <w:color w:val="auto"/>
                <w:sz w:val="22"/>
              </w:rPr>
              <w:t>Incomplete</w:t>
            </w:r>
          </w:p>
        </w:tc>
      </w:tr>
      <w:tr w:rsidR="00242474" w:rsidRPr="00664296" w:rsidTr="001262B1">
        <w:trPr>
          <w:jc w:val="center"/>
        </w:trPr>
        <w:tc>
          <w:tcPr>
            <w:tcW w:w="2501" w:type="dxa"/>
            <w:vAlign w:val="center"/>
          </w:tcPr>
          <w:p w:rsidR="00242474" w:rsidRPr="00664296" w:rsidRDefault="00242474" w:rsidP="004E7BA4">
            <w:pPr>
              <w:tabs>
                <w:tab w:val="left" w:pos="288"/>
                <w:tab w:val="left" w:pos="4752"/>
              </w:tabs>
              <w:spacing w:line="240" w:lineRule="exact"/>
              <w:jc w:val="center"/>
              <w:rPr>
                <w:color w:val="auto"/>
                <w:sz w:val="22"/>
              </w:rPr>
            </w:pPr>
            <w:r w:rsidRPr="00664296">
              <w:rPr>
                <w:color w:val="auto"/>
                <w:sz w:val="22"/>
              </w:rPr>
              <w:t>Comments</w:t>
            </w:r>
          </w:p>
        </w:tc>
        <w:tc>
          <w:tcPr>
            <w:tcW w:w="2846" w:type="dxa"/>
          </w:tcPr>
          <w:p w:rsidR="00242474" w:rsidRPr="00664296" w:rsidRDefault="00AD73C8" w:rsidP="00242474">
            <w:pPr>
              <w:tabs>
                <w:tab w:val="left" w:pos="288"/>
                <w:tab w:val="left" w:pos="4752"/>
              </w:tabs>
              <w:spacing w:line="240" w:lineRule="exact"/>
              <w:jc w:val="center"/>
              <w:rPr>
                <w:color w:val="auto"/>
                <w:sz w:val="22"/>
              </w:rPr>
            </w:pPr>
            <w:r>
              <w:rPr>
                <w:color w:val="auto"/>
                <w:sz w:val="22"/>
              </w:rPr>
              <w:t>Abnormal gait and contour.</w:t>
            </w:r>
          </w:p>
        </w:tc>
        <w:tc>
          <w:tcPr>
            <w:tcW w:w="2142" w:type="dxa"/>
            <w:vAlign w:val="center"/>
          </w:tcPr>
          <w:p w:rsidR="00242474" w:rsidRPr="00664296" w:rsidRDefault="00AD73C8" w:rsidP="008E42D2">
            <w:pPr>
              <w:tabs>
                <w:tab w:val="left" w:pos="288"/>
                <w:tab w:val="left" w:pos="4752"/>
              </w:tabs>
              <w:spacing w:line="240" w:lineRule="exact"/>
              <w:jc w:val="center"/>
              <w:rPr>
                <w:color w:val="auto"/>
                <w:sz w:val="22"/>
              </w:rPr>
            </w:pPr>
            <w:r>
              <w:rPr>
                <w:color w:val="auto"/>
                <w:sz w:val="22"/>
              </w:rPr>
              <w:t>Abnormal gait.</w:t>
            </w:r>
          </w:p>
        </w:tc>
      </w:tr>
      <w:tr w:rsidR="00242474" w:rsidRPr="00664296" w:rsidTr="001262B1">
        <w:trPr>
          <w:trHeight w:val="70"/>
          <w:jc w:val="center"/>
        </w:trPr>
        <w:tc>
          <w:tcPr>
            <w:tcW w:w="2501" w:type="dxa"/>
            <w:vAlign w:val="center"/>
          </w:tcPr>
          <w:p w:rsidR="00242474" w:rsidRPr="00664296" w:rsidRDefault="00242474" w:rsidP="004E7BA4">
            <w:pPr>
              <w:tabs>
                <w:tab w:val="left" w:pos="288"/>
                <w:tab w:val="left" w:pos="4752"/>
              </w:tabs>
              <w:spacing w:line="240" w:lineRule="exact"/>
              <w:jc w:val="center"/>
              <w:rPr>
                <w:color w:val="auto"/>
                <w:sz w:val="22"/>
              </w:rPr>
            </w:pPr>
            <w:r w:rsidRPr="00664296">
              <w:rPr>
                <w:color w:val="auto"/>
                <w:sz w:val="22"/>
              </w:rPr>
              <w:t>§4.71a Rating</w:t>
            </w:r>
          </w:p>
        </w:tc>
        <w:tc>
          <w:tcPr>
            <w:tcW w:w="2846" w:type="dxa"/>
          </w:tcPr>
          <w:p w:rsidR="00242474" w:rsidRPr="00664296" w:rsidRDefault="00242474" w:rsidP="007775EE">
            <w:pPr>
              <w:tabs>
                <w:tab w:val="left" w:pos="288"/>
                <w:tab w:val="left" w:pos="4752"/>
              </w:tabs>
              <w:spacing w:line="240" w:lineRule="exact"/>
              <w:jc w:val="center"/>
              <w:rPr>
                <w:color w:val="auto"/>
                <w:sz w:val="22"/>
              </w:rPr>
            </w:pPr>
            <w:r w:rsidRPr="00664296">
              <w:rPr>
                <w:color w:val="auto"/>
                <w:sz w:val="22"/>
              </w:rPr>
              <w:t>20%</w:t>
            </w:r>
          </w:p>
        </w:tc>
        <w:tc>
          <w:tcPr>
            <w:tcW w:w="2142" w:type="dxa"/>
          </w:tcPr>
          <w:p w:rsidR="00242474" w:rsidRPr="00664296" w:rsidRDefault="00242474" w:rsidP="008E42D2">
            <w:pPr>
              <w:tabs>
                <w:tab w:val="left" w:pos="288"/>
                <w:tab w:val="left" w:pos="4752"/>
              </w:tabs>
              <w:spacing w:line="240" w:lineRule="exact"/>
              <w:jc w:val="center"/>
              <w:rPr>
                <w:color w:val="auto"/>
                <w:sz w:val="22"/>
              </w:rPr>
            </w:pPr>
            <w:r w:rsidRPr="00664296">
              <w:rPr>
                <w:color w:val="auto"/>
                <w:sz w:val="22"/>
              </w:rPr>
              <w:t>20%</w:t>
            </w:r>
          </w:p>
        </w:tc>
      </w:tr>
    </w:tbl>
    <w:p w:rsidR="001262B1" w:rsidRPr="001262B1" w:rsidRDefault="001262B1" w:rsidP="00A72FE7">
      <w:pPr>
        <w:tabs>
          <w:tab w:val="left" w:pos="288"/>
          <w:tab w:val="left" w:pos="4752"/>
        </w:tabs>
        <w:spacing w:after="120" w:line="240" w:lineRule="exact"/>
        <w:rPr>
          <w:color w:val="auto"/>
          <w:sz w:val="22"/>
          <w:szCs w:val="22"/>
        </w:rPr>
      </w:pPr>
      <w:r>
        <w:rPr>
          <w:color w:val="auto"/>
          <w:sz w:val="22"/>
          <w:szCs w:val="22"/>
        </w:rPr>
        <w:tab/>
      </w:r>
      <w:r>
        <w:rPr>
          <w:color w:val="auto"/>
          <w:sz w:val="22"/>
          <w:szCs w:val="22"/>
        </w:rPr>
        <w:tab/>
        <w:t xml:space="preserve">                             * Following repeat injury.</w:t>
      </w:r>
    </w:p>
    <w:p w:rsidR="00FA012E" w:rsidRPr="00664296" w:rsidRDefault="00FA012E" w:rsidP="004E7BA4">
      <w:pPr>
        <w:tabs>
          <w:tab w:val="left" w:pos="288"/>
          <w:tab w:val="left" w:pos="4752"/>
        </w:tabs>
        <w:spacing w:line="240" w:lineRule="exact"/>
        <w:jc w:val="both"/>
        <w:rPr>
          <w:color w:val="auto"/>
        </w:rPr>
      </w:pPr>
      <w:r w:rsidRPr="00664296">
        <w:rPr>
          <w:color w:val="auto"/>
        </w:rPr>
        <w:t xml:space="preserve">The MEB examiner noted </w:t>
      </w:r>
      <w:r w:rsidR="00242474">
        <w:rPr>
          <w:color w:val="auto"/>
        </w:rPr>
        <w:t>that the CI’s gait was</w:t>
      </w:r>
      <w:r w:rsidRPr="00664296">
        <w:rPr>
          <w:color w:val="auto"/>
        </w:rPr>
        <w:t xml:space="preserve"> mildly antalgic w</w:t>
      </w:r>
      <w:r w:rsidR="00242474">
        <w:rPr>
          <w:color w:val="auto"/>
        </w:rPr>
        <w:t>ith forward trunk lean posture.</w:t>
      </w:r>
      <w:r w:rsidRPr="00664296">
        <w:rPr>
          <w:color w:val="auto"/>
        </w:rPr>
        <w:t xml:space="preserve">  Decreased lumbar lordosis was also noted</w:t>
      </w:r>
      <w:r w:rsidR="00242474">
        <w:rPr>
          <w:color w:val="auto"/>
        </w:rPr>
        <w:t>.</w:t>
      </w:r>
      <w:r w:rsidRPr="00664296">
        <w:rPr>
          <w:color w:val="auto"/>
        </w:rPr>
        <w:t xml:space="preserve"> </w:t>
      </w:r>
      <w:r w:rsidR="00242474">
        <w:rPr>
          <w:color w:val="auto"/>
        </w:rPr>
        <w:t xml:space="preserve"> </w:t>
      </w:r>
      <w:r w:rsidRPr="00664296">
        <w:rPr>
          <w:color w:val="auto"/>
        </w:rPr>
        <w:t>ROM</w:t>
      </w:r>
      <w:r w:rsidR="00242474">
        <w:rPr>
          <w:color w:val="auto"/>
        </w:rPr>
        <w:t xml:space="preserve"> was</w:t>
      </w:r>
      <w:r w:rsidRPr="00664296">
        <w:rPr>
          <w:color w:val="auto"/>
        </w:rPr>
        <w:t xml:space="preserve"> limited by pain</w:t>
      </w:r>
      <w:r w:rsidR="00242474">
        <w:rPr>
          <w:color w:val="auto"/>
        </w:rPr>
        <w:t xml:space="preserve"> in flexion, but reported as normal in all other planes</w:t>
      </w:r>
      <w:r w:rsidRPr="00664296">
        <w:rPr>
          <w:color w:val="auto"/>
        </w:rPr>
        <w:t xml:space="preserve">.  </w:t>
      </w:r>
      <w:r w:rsidR="00242474">
        <w:rPr>
          <w:color w:val="auto"/>
        </w:rPr>
        <w:t xml:space="preserve">The motor exam of the lower extremities was normal, as were reflexes and the sensory exam.  </w:t>
      </w:r>
      <w:r w:rsidR="006F4E07">
        <w:rPr>
          <w:color w:val="auto"/>
        </w:rPr>
        <w:t>Two months after the MEB exam (3 months pre-separation)</w:t>
      </w:r>
      <w:r w:rsidRPr="00664296">
        <w:rPr>
          <w:color w:val="auto"/>
        </w:rPr>
        <w:t xml:space="preserve"> it is noted that the CI fell </w:t>
      </w:r>
      <w:r w:rsidR="00242474">
        <w:rPr>
          <w:color w:val="auto"/>
        </w:rPr>
        <w:t xml:space="preserve">while exiting an automobile </w:t>
      </w:r>
      <w:r w:rsidRPr="00664296">
        <w:rPr>
          <w:color w:val="auto"/>
        </w:rPr>
        <w:t>and ex</w:t>
      </w:r>
      <w:r w:rsidR="00242474">
        <w:rPr>
          <w:color w:val="auto"/>
        </w:rPr>
        <w:t>acerbated the left leg</w:t>
      </w:r>
      <w:r w:rsidR="006F4E07" w:rsidRPr="006F4E07">
        <w:rPr>
          <w:color w:val="auto"/>
        </w:rPr>
        <w:t xml:space="preserve"> </w:t>
      </w:r>
      <w:r w:rsidR="006F4E07">
        <w:rPr>
          <w:color w:val="auto"/>
        </w:rPr>
        <w:t>radicular pain</w:t>
      </w:r>
      <w:r w:rsidRPr="00664296">
        <w:rPr>
          <w:color w:val="auto"/>
        </w:rPr>
        <w:t>.  Besides the increased pain and a very minor change in the ROM, there were no other significant changes in the CI’s condition from that recorded in the MEB exam.</w:t>
      </w:r>
      <w:r w:rsidRPr="004E7BA4">
        <w:rPr>
          <w:color w:val="auto"/>
        </w:rPr>
        <w:t xml:space="preserve">  </w:t>
      </w:r>
      <w:r w:rsidR="00242474">
        <w:rPr>
          <w:color w:val="auto"/>
        </w:rPr>
        <w:t>Five</w:t>
      </w:r>
      <w:r w:rsidR="00242474" w:rsidRPr="00381861">
        <w:rPr>
          <w:color w:val="auto"/>
        </w:rPr>
        <w:t xml:space="preserve"> months </w:t>
      </w:r>
      <w:r w:rsidR="00BF0400">
        <w:rPr>
          <w:color w:val="auto"/>
        </w:rPr>
        <w:t xml:space="preserve">after </w:t>
      </w:r>
      <w:r w:rsidR="00242474" w:rsidRPr="00381861">
        <w:rPr>
          <w:color w:val="auto"/>
        </w:rPr>
        <w:t xml:space="preserve">separation </w:t>
      </w:r>
      <w:r w:rsidR="00242474">
        <w:rPr>
          <w:color w:val="auto"/>
        </w:rPr>
        <w:t>a VA clinical exam</w:t>
      </w:r>
      <w:r w:rsidR="00242474" w:rsidRPr="00381861">
        <w:rPr>
          <w:color w:val="auto"/>
        </w:rPr>
        <w:t xml:space="preserve"> noted “mild lumbar spinous process tenderness,” and “paralumbar tenderness with spasm.” </w:t>
      </w:r>
      <w:r w:rsidR="00BF0400">
        <w:rPr>
          <w:color w:val="auto"/>
        </w:rPr>
        <w:t xml:space="preserve"> </w:t>
      </w:r>
      <w:r w:rsidR="00242474" w:rsidRPr="00381861">
        <w:rPr>
          <w:color w:val="auto"/>
        </w:rPr>
        <w:t xml:space="preserve">No </w:t>
      </w:r>
      <w:r w:rsidR="00242474">
        <w:rPr>
          <w:color w:val="auto"/>
        </w:rPr>
        <w:t>ROM</w:t>
      </w:r>
      <w:r w:rsidR="00242474" w:rsidRPr="00381861">
        <w:rPr>
          <w:color w:val="auto"/>
        </w:rPr>
        <w:t xml:space="preserve"> measurements were </w:t>
      </w:r>
      <w:r w:rsidR="00242474">
        <w:rPr>
          <w:color w:val="auto"/>
        </w:rPr>
        <w:t>recorded</w:t>
      </w:r>
      <w:r w:rsidR="00242474" w:rsidRPr="00381861">
        <w:rPr>
          <w:color w:val="auto"/>
        </w:rPr>
        <w:t xml:space="preserve">.  </w:t>
      </w:r>
      <w:r w:rsidR="000554BC" w:rsidRPr="000554BC">
        <w:rPr>
          <w:color w:val="auto"/>
        </w:rPr>
        <w:t xml:space="preserve">The PEB and VA chose different coding options for the condition, but this did not bear on rating.  </w:t>
      </w:r>
      <w:r w:rsidR="000554BC">
        <w:rPr>
          <w:color w:val="auto"/>
        </w:rPr>
        <w:t xml:space="preserve">Both the 5237 code (lumbar strain) and the 5242 code (degenerative arthritis of the spine) are appropriate to the CI’s underlying pathology.  </w:t>
      </w:r>
      <w:r w:rsidR="000554BC" w:rsidRPr="000554BC">
        <w:rPr>
          <w:color w:val="auto"/>
        </w:rPr>
        <w:t xml:space="preserve">The PEB’s DA Form 199 reflected application of the USAPDA pain policy for rating, </w:t>
      </w:r>
      <w:r w:rsidR="000554BC">
        <w:rPr>
          <w:color w:val="auto"/>
        </w:rPr>
        <w:t>and</w:t>
      </w:r>
      <w:r w:rsidR="000554BC" w:rsidRPr="000554BC">
        <w:rPr>
          <w:color w:val="auto"/>
        </w:rPr>
        <w:t xml:space="preserve"> its 10% determination was </w:t>
      </w:r>
      <w:r w:rsidR="000554BC">
        <w:rPr>
          <w:color w:val="auto"/>
        </w:rPr>
        <w:t xml:space="preserve">not </w:t>
      </w:r>
      <w:r w:rsidR="000554BC" w:rsidRPr="000554BC">
        <w:rPr>
          <w:color w:val="auto"/>
        </w:rPr>
        <w:t>consistent with §4.71a standards.</w:t>
      </w:r>
      <w:r w:rsidR="000554BC">
        <w:rPr>
          <w:color w:val="auto"/>
        </w:rPr>
        <w:t xml:space="preserve">  </w:t>
      </w:r>
      <w:r w:rsidR="00AD73C8">
        <w:rPr>
          <w:color w:val="auto"/>
        </w:rPr>
        <w:t xml:space="preserve">Both the measured flexion ROM and the noted gait/contour abnormalities support </w:t>
      </w:r>
      <w:r w:rsidR="000554BC">
        <w:rPr>
          <w:color w:val="auto"/>
        </w:rPr>
        <w:t xml:space="preserve">a 20% rating under the </w:t>
      </w:r>
      <w:r w:rsidR="000554BC" w:rsidRPr="000554BC">
        <w:rPr>
          <w:color w:val="auto"/>
        </w:rPr>
        <w:t>General Rating Formula for Diseases and Injuries of the Spine</w:t>
      </w:r>
      <w:r w:rsidR="000554BC">
        <w:rPr>
          <w:color w:val="auto"/>
        </w:rPr>
        <w:t>.  There is no evidence of incapacitating episodes to support a rating under the 5243 code (i</w:t>
      </w:r>
      <w:r w:rsidR="000554BC" w:rsidRPr="000554BC">
        <w:rPr>
          <w:color w:val="auto"/>
        </w:rPr>
        <w:t>ntervertebral disc syndrome</w:t>
      </w:r>
      <w:r w:rsidR="000554BC">
        <w:rPr>
          <w:color w:val="auto"/>
        </w:rPr>
        <w:t xml:space="preserve">), nor are there other reasonable coding options.  </w:t>
      </w:r>
      <w:r w:rsidRPr="00664296">
        <w:rPr>
          <w:color w:val="auto"/>
        </w:rPr>
        <w:t xml:space="preserve">There was no evidence of ratable peripheral nerve impairment in this case.  </w:t>
      </w:r>
      <w:r w:rsidRPr="004E7BA4">
        <w:rPr>
          <w:color w:val="auto"/>
        </w:rPr>
        <w:t xml:space="preserve">After due deliberation, considering all of the evidence and </w:t>
      </w:r>
      <w:r w:rsidRPr="004E7BA4">
        <w:rPr>
          <w:color w:val="auto"/>
        </w:rPr>
        <w:lastRenderedPageBreak/>
        <w:t>mindful of VASRD §4.3 (reasonable doubt), the Board recommends a separation rating of 20% for the low back condition.</w:t>
      </w:r>
    </w:p>
    <w:p w:rsidR="00FA012E" w:rsidRPr="00664296" w:rsidRDefault="00FA012E" w:rsidP="00664296">
      <w:pPr>
        <w:spacing w:line="240" w:lineRule="exact"/>
        <w:rPr>
          <w:color w:val="auto"/>
        </w:rPr>
      </w:pPr>
    </w:p>
    <w:p w:rsidR="00FA012E" w:rsidRPr="00664296" w:rsidRDefault="00FA012E" w:rsidP="004E7BA4">
      <w:pPr>
        <w:spacing w:line="240" w:lineRule="exact"/>
        <w:jc w:val="both"/>
        <w:rPr>
          <w:rFonts w:eastAsia="HiddenHorzOCR"/>
          <w:color w:val="auto"/>
        </w:rPr>
      </w:pPr>
      <w:proofErr w:type="gramStart"/>
      <w:r w:rsidRPr="00664296">
        <w:rPr>
          <w:rFonts w:eastAsia="HiddenHorzOCR"/>
          <w:color w:val="auto"/>
          <w:u w:val="single"/>
        </w:rPr>
        <w:t>Other PEB Conditions</w:t>
      </w:r>
      <w:r w:rsidRPr="00664296">
        <w:rPr>
          <w:rFonts w:eastAsia="HiddenHorzOCR"/>
          <w:color w:val="auto"/>
        </w:rPr>
        <w:t>.</w:t>
      </w:r>
      <w:proofErr w:type="gramEnd"/>
      <w:r w:rsidRPr="00664296">
        <w:rPr>
          <w:rFonts w:eastAsia="HiddenHorzOCR"/>
          <w:color w:val="auto"/>
        </w:rPr>
        <w:t xml:space="preserve"> The other conditions forwarded by the MEB and adjudicated as not unfitting by the PEB </w:t>
      </w:r>
      <w:r w:rsidRPr="004E7BA4">
        <w:rPr>
          <w:rFonts w:eastAsia="HiddenHorzOCR"/>
          <w:color w:val="000000"/>
        </w:rPr>
        <w:t>were sensorineural hearing loss, migraine headaches, hypertension, hyperlipidemia, right shoulder rotator cuff syndrome</w:t>
      </w:r>
      <w:r w:rsidR="00CC2D23" w:rsidRPr="00CC2D23">
        <w:rPr>
          <w:rFonts w:eastAsia="HiddenHorzOCR"/>
          <w:color w:val="auto"/>
        </w:rPr>
        <w:t xml:space="preserve"> </w:t>
      </w:r>
      <w:r w:rsidR="00CC2D23" w:rsidRPr="004E7BA4">
        <w:rPr>
          <w:rFonts w:eastAsia="HiddenHorzOCR"/>
          <w:color w:val="000000"/>
        </w:rPr>
        <w:t xml:space="preserve">and </w:t>
      </w:r>
      <w:r w:rsidR="00CC2D23">
        <w:rPr>
          <w:rFonts w:eastAsia="HiddenHorzOCR"/>
          <w:color w:val="auto"/>
        </w:rPr>
        <w:t>l</w:t>
      </w:r>
      <w:r w:rsidR="00CC2D23" w:rsidRPr="004E7BA4">
        <w:rPr>
          <w:rFonts w:eastAsia="HiddenHorzOCR"/>
          <w:color w:val="auto"/>
        </w:rPr>
        <w:t>eft knee patellofemoral pain</w:t>
      </w:r>
      <w:r w:rsidRPr="004E7BA4">
        <w:rPr>
          <w:rFonts w:eastAsia="HiddenHorzOCR"/>
          <w:color w:val="000000"/>
        </w:rPr>
        <w:t xml:space="preserve">.  </w:t>
      </w:r>
      <w:r w:rsidRPr="004E7BA4">
        <w:rPr>
          <w:rFonts w:eastAsia="HiddenHorzOCR"/>
          <w:color w:val="auto"/>
        </w:rPr>
        <w:t xml:space="preserve">The CI first injured his knee while on </w:t>
      </w:r>
      <w:r w:rsidR="00BF0400">
        <w:rPr>
          <w:rFonts w:eastAsia="HiddenHorzOCR"/>
          <w:color w:val="auto"/>
        </w:rPr>
        <w:t>a</w:t>
      </w:r>
      <w:r w:rsidRPr="004E7BA4">
        <w:rPr>
          <w:rFonts w:eastAsia="HiddenHorzOCR"/>
          <w:color w:val="auto"/>
        </w:rPr>
        <w:t>ctiv</w:t>
      </w:r>
      <w:r w:rsidR="008A0D7B">
        <w:rPr>
          <w:rFonts w:eastAsia="HiddenHorzOCR"/>
          <w:color w:val="auto"/>
        </w:rPr>
        <w:t xml:space="preserve">e </w:t>
      </w:r>
      <w:r w:rsidR="00BF0400">
        <w:rPr>
          <w:rFonts w:eastAsia="HiddenHorzOCR"/>
          <w:color w:val="auto"/>
        </w:rPr>
        <w:t>d</w:t>
      </w:r>
      <w:r w:rsidR="008A0D7B">
        <w:rPr>
          <w:rFonts w:eastAsia="HiddenHorzOCR"/>
          <w:color w:val="auto"/>
        </w:rPr>
        <w:t>uty in 1993.  He underwent a</w:t>
      </w:r>
      <w:r w:rsidR="00BF0400">
        <w:rPr>
          <w:rFonts w:eastAsia="HiddenHorzOCR"/>
          <w:color w:val="auto"/>
        </w:rPr>
        <w:t>n</w:t>
      </w:r>
      <w:r w:rsidRPr="004E7BA4">
        <w:rPr>
          <w:rFonts w:eastAsia="HiddenHorzOCR"/>
          <w:color w:val="auto"/>
        </w:rPr>
        <w:t xml:space="preserve"> MEB hearing in 1994, but was adjudicated as fit for duty by the PEB.  The CI was again seen for left knee pain after mobilization in 2003.  He was placed on a temporary L2 profile for retropatellar knee pain in July 2003.  In an exam 6 months </w:t>
      </w:r>
      <w:r w:rsidR="00BF0400">
        <w:rPr>
          <w:rFonts w:eastAsia="HiddenHorzOCR"/>
          <w:color w:val="auto"/>
        </w:rPr>
        <w:t xml:space="preserve">prior to </w:t>
      </w:r>
      <w:r w:rsidRPr="004E7BA4">
        <w:rPr>
          <w:rFonts w:eastAsia="HiddenHorzOCR"/>
          <w:color w:val="auto"/>
        </w:rPr>
        <w:t xml:space="preserve">separation, the CI claimed that the knee pain limited his activity but that “he has been able to do his MOS without any difficulty.” His pain was exacerbated after </w:t>
      </w:r>
      <w:r w:rsidR="006F4E07">
        <w:rPr>
          <w:rFonts w:eastAsia="HiddenHorzOCR"/>
          <w:color w:val="auto"/>
        </w:rPr>
        <w:t>the</w:t>
      </w:r>
      <w:r w:rsidRPr="004E7BA4">
        <w:rPr>
          <w:rFonts w:eastAsia="HiddenHorzOCR"/>
          <w:color w:val="auto"/>
        </w:rPr>
        <w:t xml:space="preserve"> fall </w:t>
      </w:r>
      <w:r w:rsidR="006F4E07">
        <w:rPr>
          <w:rFonts w:eastAsia="HiddenHorzOCR"/>
          <w:color w:val="auto"/>
        </w:rPr>
        <w:t>prior to separation as described above</w:t>
      </w:r>
      <w:r w:rsidRPr="004E7BA4">
        <w:rPr>
          <w:rFonts w:eastAsia="HiddenHorzOCR"/>
          <w:color w:val="auto"/>
        </w:rPr>
        <w:t xml:space="preserve">, but not to a degree that could be argued as unfitting.  </w:t>
      </w:r>
      <w:r w:rsidR="00CC2D23">
        <w:rPr>
          <w:rFonts w:eastAsia="HiddenHorzOCR"/>
          <w:color w:val="000000"/>
        </w:rPr>
        <w:t>None of the other</w:t>
      </w:r>
      <w:r w:rsidR="00CC2D23" w:rsidRPr="004E7BA4">
        <w:rPr>
          <w:rFonts w:eastAsia="HiddenHorzOCR"/>
          <w:color w:val="000000"/>
        </w:rPr>
        <w:t xml:space="preserve"> conditions were profiled</w:t>
      </w:r>
      <w:r w:rsidR="00CC2D23" w:rsidRPr="00664296">
        <w:rPr>
          <w:rFonts w:eastAsia="HiddenHorzOCR"/>
          <w:color w:val="auto"/>
        </w:rPr>
        <w:t xml:space="preserve">, implicated in the </w:t>
      </w:r>
      <w:r w:rsidR="00BF0400">
        <w:rPr>
          <w:rFonts w:eastAsia="HiddenHorzOCR"/>
          <w:color w:val="auto"/>
        </w:rPr>
        <w:t>c</w:t>
      </w:r>
      <w:r w:rsidR="00CC2D23" w:rsidRPr="004E7BA4">
        <w:rPr>
          <w:rFonts w:eastAsia="HiddenHorzOCR"/>
          <w:color w:val="auto"/>
        </w:rPr>
        <w:t xml:space="preserve">ommander’s statement, or noted as failing retention standards.  </w:t>
      </w:r>
      <w:r w:rsidRPr="004E7BA4">
        <w:rPr>
          <w:rFonts w:eastAsia="HiddenHorzOCR"/>
          <w:color w:val="auto"/>
        </w:rPr>
        <w:t xml:space="preserve">All were reviewed by the </w:t>
      </w:r>
      <w:r w:rsidR="00BF0400">
        <w:rPr>
          <w:rFonts w:eastAsia="HiddenHorzOCR"/>
          <w:color w:val="auto"/>
        </w:rPr>
        <w:t>a</w:t>
      </w:r>
      <w:r w:rsidR="008A0D7B" w:rsidRPr="004E7BA4">
        <w:rPr>
          <w:rFonts w:eastAsia="HiddenHorzOCR"/>
          <w:color w:val="auto"/>
        </w:rPr>
        <w:t xml:space="preserve">ction </w:t>
      </w:r>
      <w:r w:rsidR="00BF0400">
        <w:rPr>
          <w:rFonts w:eastAsia="HiddenHorzOCR"/>
          <w:color w:val="auto"/>
        </w:rPr>
        <w:t>o</w:t>
      </w:r>
      <w:r w:rsidR="008A0D7B" w:rsidRPr="004E7BA4">
        <w:rPr>
          <w:rFonts w:eastAsia="HiddenHorzOCR"/>
          <w:color w:val="auto"/>
        </w:rPr>
        <w:t xml:space="preserve">fficer </w:t>
      </w:r>
      <w:r w:rsidRPr="004E7BA4">
        <w:rPr>
          <w:rFonts w:eastAsia="HiddenHorzOCR"/>
          <w:color w:val="auto"/>
        </w:rPr>
        <w:t>and considered by the Board.  There was no indication from the record that any of these conditions significantly interfered with satisfactory performance of MOS duty</w:t>
      </w:r>
      <w:r w:rsidRPr="00664296">
        <w:rPr>
          <w:rFonts w:eastAsia="HiddenHorzOCR"/>
          <w:color w:val="auto"/>
        </w:rPr>
        <w:t xml:space="preserve"> requirements.  All evidence considered</w:t>
      </w:r>
      <w:proofErr w:type="gramStart"/>
      <w:r w:rsidRPr="00664296">
        <w:rPr>
          <w:rFonts w:eastAsia="HiddenHorzOCR"/>
          <w:color w:val="auto"/>
        </w:rPr>
        <w:t>,</w:t>
      </w:r>
      <w:proofErr w:type="gramEnd"/>
      <w:r w:rsidRPr="00664296">
        <w:rPr>
          <w:rFonts w:eastAsia="HiddenHorzOCR"/>
          <w:color w:val="auto"/>
        </w:rPr>
        <w:t xml:space="preserve"> there is not reasonable doubt in the CI’s favor supporting recharacterization of the PEB fitness adjudication for any of the stated conditions.</w:t>
      </w:r>
    </w:p>
    <w:p w:rsidR="00FA012E" w:rsidRPr="00664296" w:rsidRDefault="00FA012E" w:rsidP="00664296">
      <w:pPr>
        <w:spacing w:line="240" w:lineRule="exact"/>
        <w:rPr>
          <w:color w:val="auto"/>
          <w:u w:val="single"/>
        </w:rPr>
      </w:pPr>
    </w:p>
    <w:p w:rsidR="00FA012E" w:rsidRPr="00664296" w:rsidRDefault="00FA012E" w:rsidP="004E7BA4">
      <w:pPr>
        <w:spacing w:line="240" w:lineRule="exact"/>
        <w:jc w:val="both"/>
        <w:rPr>
          <w:color w:val="auto"/>
        </w:rPr>
      </w:pPr>
      <w:r w:rsidRPr="00664296">
        <w:rPr>
          <w:color w:val="auto"/>
          <w:u w:val="single"/>
        </w:rPr>
        <w:t>Remaining Conditions</w:t>
      </w:r>
      <w:r w:rsidRPr="00664296">
        <w:rPr>
          <w:color w:val="auto"/>
        </w:rPr>
        <w:t>.  Other conditions identified in the DES file were anal fissure and mild tinnitus.  Several additional non-acute conditions or medical complaints were also documented</w:t>
      </w:r>
      <w:r>
        <w:rPr>
          <w:color w:val="auto"/>
        </w:rPr>
        <w:t xml:space="preserve">. </w:t>
      </w:r>
      <w:r w:rsidRPr="006B54DC">
        <w:rPr>
          <w:color w:val="auto"/>
        </w:rPr>
        <w:t xml:space="preserve"> None of these conditions were significantly clinically or occupational</w:t>
      </w:r>
      <w:r w:rsidR="008A0D7B">
        <w:rPr>
          <w:color w:val="auto"/>
        </w:rPr>
        <w:t>ly active during the MEB period</w:t>
      </w:r>
      <w:r w:rsidR="00BF0400">
        <w:rPr>
          <w:color w:val="auto"/>
        </w:rPr>
        <w:t>,</w:t>
      </w:r>
      <w:r w:rsidR="008A0D7B">
        <w:rPr>
          <w:color w:val="auto"/>
        </w:rPr>
        <w:t xml:space="preserve"> none carried attached profiles</w:t>
      </w:r>
      <w:r w:rsidR="00BF0400">
        <w:rPr>
          <w:color w:val="auto"/>
        </w:rPr>
        <w:t>,</w:t>
      </w:r>
      <w:r w:rsidRPr="006B54DC">
        <w:rPr>
          <w:color w:val="auto"/>
        </w:rPr>
        <w:t xml:space="preserve"> and</w:t>
      </w:r>
      <w:r w:rsidR="008A0D7B">
        <w:rPr>
          <w:color w:val="auto"/>
        </w:rPr>
        <w:t xml:space="preserve"> none were implicated in the </w:t>
      </w:r>
      <w:r w:rsidR="00BF0400">
        <w:rPr>
          <w:color w:val="auto"/>
        </w:rPr>
        <w:t>c</w:t>
      </w:r>
      <w:r w:rsidRPr="006B54DC">
        <w:rPr>
          <w:color w:val="auto"/>
        </w:rPr>
        <w:t xml:space="preserve">ommander’s statement.  </w:t>
      </w:r>
      <w:r w:rsidRPr="00664296">
        <w:rPr>
          <w:color w:val="auto"/>
        </w:rPr>
        <w:t xml:space="preserve">These conditions were reviewed by the </w:t>
      </w:r>
      <w:r w:rsidR="00BF0400">
        <w:rPr>
          <w:color w:val="auto"/>
        </w:rPr>
        <w:t>a</w:t>
      </w:r>
      <w:r w:rsidR="008A0D7B" w:rsidRPr="00664296">
        <w:rPr>
          <w:color w:val="auto"/>
        </w:rPr>
        <w:t xml:space="preserve">ction </w:t>
      </w:r>
      <w:r w:rsidR="00BF0400">
        <w:rPr>
          <w:color w:val="auto"/>
        </w:rPr>
        <w:t>o</w:t>
      </w:r>
      <w:r w:rsidR="008A0D7B" w:rsidRPr="00664296">
        <w:rPr>
          <w:color w:val="auto"/>
        </w:rPr>
        <w:t xml:space="preserve">fficer </w:t>
      </w:r>
      <w:r w:rsidRPr="00664296">
        <w:rPr>
          <w:color w:val="auto"/>
        </w:rPr>
        <w:t xml:space="preserve">and considered by the Board.  It was determined that none could be argued as unfitting and subject to separation rating.  </w:t>
      </w:r>
      <w:r w:rsidR="00DB6FA1" w:rsidRPr="00DB6FA1">
        <w:rPr>
          <w:color w:val="auto"/>
        </w:rPr>
        <w:t>No other conditions were service connected with a compensable rating by the VA within 12 months of separation or contended by the CI.  The Board therefore has no reasonable basis for recommending any additional unfitting conditions for separation rating.</w:t>
      </w:r>
    </w:p>
    <w:p w:rsidR="00FA012E" w:rsidRPr="00391858" w:rsidRDefault="00FA012E" w:rsidP="00F1737C">
      <w:pPr>
        <w:pBdr>
          <w:bottom w:val="single" w:sz="12" w:space="1" w:color="auto"/>
        </w:pBdr>
        <w:tabs>
          <w:tab w:val="left" w:pos="288"/>
          <w:tab w:val="left" w:pos="4752"/>
        </w:tabs>
        <w:spacing w:line="240" w:lineRule="exact"/>
        <w:jc w:val="both"/>
        <w:rPr>
          <w:b/>
          <w:color w:val="auto"/>
          <w:u w:val="single"/>
        </w:rPr>
      </w:pPr>
    </w:p>
    <w:p w:rsidR="00FA012E" w:rsidRDefault="00FA012E" w:rsidP="00F1737C">
      <w:pPr>
        <w:spacing w:line="240" w:lineRule="exact"/>
        <w:rPr>
          <w:b/>
          <w:color w:val="auto"/>
          <w:u w:val="single"/>
        </w:rPr>
      </w:pPr>
    </w:p>
    <w:p w:rsidR="00FA012E" w:rsidRPr="00664296" w:rsidRDefault="00FA012E" w:rsidP="004E7BA4">
      <w:pPr>
        <w:spacing w:line="240" w:lineRule="exact"/>
        <w:jc w:val="both"/>
        <w:rPr>
          <w:color w:val="auto"/>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Pr>
          <w:color w:val="auto"/>
        </w:rPr>
        <w:t xml:space="preserve">  </w:t>
      </w:r>
      <w:r w:rsidR="00DB6FA1" w:rsidRPr="00DB6FA1">
        <w:rPr>
          <w:color w:val="auto"/>
        </w:rPr>
        <w:t xml:space="preserve">As discussed above, PEB reliance on the USAPDA pain policy for rating </w:t>
      </w:r>
      <w:r w:rsidR="00DB6FA1">
        <w:rPr>
          <w:color w:val="auto"/>
        </w:rPr>
        <w:t>low back pain</w:t>
      </w:r>
      <w:r w:rsidR="00DB6FA1" w:rsidRPr="00DB6FA1">
        <w:rPr>
          <w:color w:val="auto"/>
        </w:rPr>
        <w:t xml:space="preserve"> was operant in this case and the condition was adjudicated independently of that policy by the Board. </w:t>
      </w:r>
      <w:r w:rsidR="00DB6FA1">
        <w:rPr>
          <w:color w:val="auto"/>
        </w:rPr>
        <w:t xml:space="preserve"> </w:t>
      </w:r>
      <w:r w:rsidRPr="00664296">
        <w:rPr>
          <w:color w:val="auto"/>
        </w:rPr>
        <w:t xml:space="preserve">In the matter of the </w:t>
      </w:r>
      <w:r w:rsidR="006F4E07">
        <w:rPr>
          <w:color w:val="auto"/>
        </w:rPr>
        <w:t>lumbar spine</w:t>
      </w:r>
      <w:r w:rsidRPr="004E7BA4">
        <w:rPr>
          <w:color w:val="auto"/>
        </w:rPr>
        <w:t xml:space="preserve"> condition, the Board unanimously recommends a rating of 20% coded 5237 IAW VASRD §4.71a.</w:t>
      </w:r>
      <w:r w:rsidRPr="00664296">
        <w:rPr>
          <w:color w:val="auto"/>
        </w:rPr>
        <w:t xml:space="preserve">  </w:t>
      </w:r>
      <w:r w:rsidR="00DB6FA1" w:rsidRPr="00DB6FA1">
        <w:rPr>
          <w:color w:val="auto"/>
        </w:rPr>
        <w:t xml:space="preserve">In the matter of the </w:t>
      </w:r>
      <w:r w:rsidR="006F4E07">
        <w:rPr>
          <w:rFonts w:eastAsia="HiddenHorzOCR"/>
          <w:color w:val="000000"/>
        </w:rPr>
        <w:t>hearing loss, migraine headache</w:t>
      </w:r>
      <w:r w:rsidR="00DB6FA1" w:rsidRPr="004E7BA4">
        <w:rPr>
          <w:rFonts w:eastAsia="HiddenHorzOCR"/>
          <w:color w:val="000000"/>
        </w:rPr>
        <w:t>, hypertension, hyperlipidemia, right shoulder</w:t>
      </w:r>
      <w:r w:rsidR="006F4E07">
        <w:rPr>
          <w:rFonts w:eastAsia="HiddenHorzOCR"/>
          <w:color w:val="000000"/>
        </w:rPr>
        <w:t>,</w:t>
      </w:r>
      <w:r w:rsidR="00DB6FA1" w:rsidRPr="004E7BA4">
        <w:rPr>
          <w:rFonts w:eastAsia="HiddenHorzOCR"/>
          <w:color w:val="000000"/>
        </w:rPr>
        <w:t xml:space="preserve"> and </w:t>
      </w:r>
      <w:r w:rsidR="00DB6FA1">
        <w:rPr>
          <w:rFonts w:eastAsia="HiddenHorzOCR"/>
          <w:color w:val="auto"/>
        </w:rPr>
        <w:t>l</w:t>
      </w:r>
      <w:r w:rsidR="00DB6FA1" w:rsidRPr="004E7BA4">
        <w:rPr>
          <w:rFonts w:eastAsia="HiddenHorzOCR"/>
          <w:color w:val="auto"/>
        </w:rPr>
        <w:t xml:space="preserve">eft knee </w:t>
      </w:r>
      <w:r w:rsidR="00DB6FA1" w:rsidRPr="00DB6FA1">
        <w:rPr>
          <w:color w:val="auto"/>
        </w:rPr>
        <w:t>conditions, the Board unanimously recommends no change from the PEB adjudications as not unfitting.</w:t>
      </w:r>
      <w:r w:rsidR="00DB6FA1">
        <w:rPr>
          <w:color w:val="auto"/>
        </w:rPr>
        <w:t xml:space="preserve">  </w:t>
      </w:r>
      <w:r w:rsidRPr="00664296">
        <w:rPr>
          <w:color w:val="auto"/>
        </w:rPr>
        <w:t xml:space="preserve">The Board </w:t>
      </w:r>
      <w:r w:rsidRPr="004E7BA4">
        <w:rPr>
          <w:color w:val="auto"/>
        </w:rPr>
        <w:t>unanimously agrees</w:t>
      </w:r>
      <w:r w:rsidRPr="00664296">
        <w:rPr>
          <w:color w:val="auto"/>
        </w:rPr>
        <w:t xml:space="preserve"> that there were no other conditions eligible for Board consideration which could be recommended as additionally unfitting for rating at separation.</w:t>
      </w:r>
    </w:p>
    <w:p w:rsidR="00FA012E" w:rsidRPr="00391858" w:rsidRDefault="00FA012E" w:rsidP="00664296">
      <w:pPr>
        <w:pBdr>
          <w:bottom w:val="single" w:sz="12" w:space="1" w:color="auto"/>
        </w:pBdr>
        <w:tabs>
          <w:tab w:val="left" w:pos="288"/>
          <w:tab w:val="left" w:pos="4752"/>
        </w:tabs>
        <w:spacing w:line="240" w:lineRule="exact"/>
        <w:jc w:val="both"/>
        <w:rPr>
          <w:b/>
          <w:color w:val="auto"/>
          <w:u w:val="single"/>
        </w:rPr>
      </w:pPr>
    </w:p>
    <w:p w:rsidR="00FA012E" w:rsidRDefault="00FA012E" w:rsidP="00664296">
      <w:pPr>
        <w:spacing w:line="240" w:lineRule="exact"/>
        <w:rPr>
          <w:b/>
          <w:color w:val="auto"/>
          <w:u w:val="single"/>
        </w:rPr>
      </w:pPr>
    </w:p>
    <w:p w:rsidR="00FA012E" w:rsidRPr="00B427BB" w:rsidRDefault="00FA012E" w:rsidP="00510F9C">
      <w:pPr>
        <w:spacing w:line="240" w:lineRule="exact"/>
        <w:jc w:val="both"/>
        <w:rPr>
          <w:color w:val="auto"/>
        </w:rPr>
      </w:pPr>
      <w:r w:rsidRPr="00396779">
        <w:rPr>
          <w:color w:val="auto"/>
          <w:u w:val="single"/>
        </w:rPr>
        <w:t>RECOMMENDATION</w:t>
      </w:r>
      <w:r w:rsidRPr="00396779">
        <w:rPr>
          <w:color w:val="auto"/>
        </w:rPr>
        <w:t>:</w:t>
      </w:r>
      <w:r w:rsidRPr="00396779">
        <w:rPr>
          <w:color w:val="000080"/>
        </w:rPr>
        <w:t xml:space="preserve"> </w:t>
      </w:r>
      <w:r w:rsidRPr="00396779">
        <w:rPr>
          <w:b/>
          <w:color w:val="FF0000"/>
        </w:rPr>
        <w:t xml:space="preserve"> </w:t>
      </w:r>
      <w:r w:rsidRPr="00396779">
        <w:rPr>
          <w:color w:val="auto"/>
        </w:rPr>
        <w:t xml:space="preserve">The Board recommends that the CI’s prior determination be modified </w:t>
      </w:r>
      <w:r w:rsidRPr="00B427BB">
        <w:rPr>
          <w:color w:val="auto"/>
        </w:rPr>
        <w:t>as follows, effective as of the date of his</w:t>
      </w:r>
      <w:r>
        <w:rPr>
          <w:color w:val="auto"/>
        </w:rPr>
        <w:t xml:space="preserve"> prior medical separation:</w:t>
      </w:r>
    </w:p>
    <w:p w:rsidR="00FA012E" w:rsidRDefault="00FA012E" w:rsidP="00510F9C">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0"/>
        <w:gridCol w:w="1710"/>
        <w:gridCol w:w="1170"/>
      </w:tblGrid>
      <w:tr w:rsidR="00FA012E" w:rsidRPr="00AF01B2">
        <w:trPr>
          <w:trHeight w:val="233"/>
          <w:jc w:val="center"/>
        </w:trPr>
        <w:tc>
          <w:tcPr>
            <w:tcW w:w="6480" w:type="dxa"/>
            <w:shd w:val="clear" w:color="auto" w:fill="D9D9D9"/>
            <w:vAlign w:val="center"/>
          </w:tcPr>
          <w:p w:rsidR="00FA012E" w:rsidRPr="00AF01B2" w:rsidRDefault="00FA012E" w:rsidP="00103948">
            <w:pPr>
              <w:tabs>
                <w:tab w:val="left" w:pos="288"/>
                <w:tab w:val="left" w:pos="4752"/>
              </w:tabs>
              <w:spacing w:line="240" w:lineRule="exact"/>
              <w:jc w:val="center"/>
              <w:rPr>
                <w:b/>
                <w:color w:val="auto"/>
              </w:rPr>
            </w:pPr>
            <w:r w:rsidRPr="00AF01B2">
              <w:rPr>
                <w:b/>
                <w:color w:val="auto"/>
              </w:rPr>
              <w:t>UNFITTING CONDITION</w:t>
            </w:r>
          </w:p>
        </w:tc>
        <w:tc>
          <w:tcPr>
            <w:tcW w:w="1710" w:type="dxa"/>
            <w:shd w:val="clear" w:color="auto" w:fill="D9D9D9"/>
            <w:vAlign w:val="center"/>
          </w:tcPr>
          <w:p w:rsidR="00FA012E" w:rsidRPr="00AF01B2" w:rsidRDefault="00FA012E" w:rsidP="00103948">
            <w:pPr>
              <w:tabs>
                <w:tab w:val="left" w:pos="288"/>
                <w:tab w:val="left" w:pos="4752"/>
              </w:tabs>
              <w:spacing w:line="240" w:lineRule="exact"/>
              <w:jc w:val="center"/>
              <w:rPr>
                <w:b/>
                <w:color w:val="auto"/>
              </w:rPr>
            </w:pPr>
            <w:r w:rsidRPr="00AF01B2">
              <w:rPr>
                <w:b/>
                <w:color w:val="auto"/>
              </w:rPr>
              <w:t>VASRD CODE</w:t>
            </w:r>
          </w:p>
        </w:tc>
        <w:tc>
          <w:tcPr>
            <w:tcW w:w="1170" w:type="dxa"/>
            <w:shd w:val="clear" w:color="auto" w:fill="D9D9D9"/>
            <w:vAlign w:val="center"/>
          </w:tcPr>
          <w:p w:rsidR="00FA012E" w:rsidRPr="00AF01B2" w:rsidRDefault="00FA012E" w:rsidP="00103948">
            <w:pPr>
              <w:tabs>
                <w:tab w:val="left" w:pos="288"/>
                <w:tab w:val="left" w:pos="4752"/>
              </w:tabs>
              <w:spacing w:line="240" w:lineRule="exact"/>
              <w:jc w:val="center"/>
              <w:rPr>
                <w:b/>
                <w:color w:val="auto"/>
              </w:rPr>
            </w:pPr>
            <w:r w:rsidRPr="00AF01B2">
              <w:rPr>
                <w:b/>
                <w:color w:val="auto"/>
              </w:rPr>
              <w:t>RATING</w:t>
            </w:r>
          </w:p>
        </w:tc>
      </w:tr>
      <w:tr w:rsidR="00FA012E" w:rsidRPr="00AF01B2">
        <w:trPr>
          <w:jc w:val="center"/>
        </w:trPr>
        <w:tc>
          <w:tcPr>
            <w:tcW w:w="6480" w:type="dxa"/>
            <w:vAlign w:val="center"/>
          </w:tcPr>
          <w:p w:rsidR="00FA012E" w:rsidRPr="00AF01B2" w:rsidRDefault="00FA012E" w:rsidP="00103948">
            <w:pPr>
              <w:tabs>
                <w:tab w:val="left" w:pos="288"/>
                <w:tab w:val="left" w:pos="4752"/>
              </w:tabs>
              <w:spacing w:line="240" w:lineRule="exact"/>
              <w:rPr>
                <w:color w:val="auto"/>
              </w:rPr>
            </w:pPr>
            <w:r w:rsidRPr="004E7BA4">
              <w:rPr>
                <w:color w:val="auto"/>
              </w:rPr>
              <w:t>Chronic Low Back Pain secondary to DDD</w:t>
            </w:r>
          </w:p>
        </w:tc>
        <w:tc>
          <w:tcPr>
            <w:tcW w:w="1710" w:type="dxa"/>
            <w:vAlign w:val="center"/>
          </w:tcPr>
          <w:p w:rsidR="00FA012E" w:rsidRPr="00AF01B2" w:rsidRDefault="00FA012E" w:rsidP="00103948">
            <w:pPr>
              <w:tabs>
                <w:tab w:val="left" w:pos="288"/>
                <w:tab w:val="left" w:pos="4752"/>
              </w:tabs>
              <w:spacing w:line="240" w:lineRule="exact"/>
              <w:jc w:val="center"/>
              <w:rPr>
                <w:color w:val="auto"/>
              </w:rPr>
            </w:pPr>
            <w:r>
              <w:rPr>
                <w:color w:val="auto"/>
              </w:rPr>
              <w:t>5237</w:t>
            </w:r>
          </w:p>
        </w:tc>
        <w:tc>
          <w:tcPr>
            <w:tcW w:w="1170" w:type="dxa"/>
            <w:vAlign w:val="center"/>
          </w:tcPr>
          <w:p w:rsidR="00FA012E" w:rsidRPr="00AF01B2" w:rsidRDefault="00FA012E" w:rsidP="00103948">
            <w:pPr>
              <w:tabs>
                <w:tab w:val="left" w:pos="288"/>
                <w:tab w:val="left" w:pos="4752"/>
              </w:tabs>
              <w:spacing w:line="240" w:lineRule="exact"/>
              <w:jc w:val="center"/>
              <w:rPr>
                <w:color w:val="auto"/>
              </w:rPr>
            </w:pPr>
            <w:r>
              <w:rPr>
                <w:color w:val="auto"/>
              </w:rPr>
              <w:t>20</w:t>
            </w:r>
            <w:r w:rsidRPr="00AF01B2">
              <w:rPr>
                <w:color w:val="auto"/>
              </w:rPr>
              <w:t>%</w:t>
            </w:r>
          </w:p>
        </w:tc>
      </w:tr>
      <w:tr w:rsidR="00FA012E" w:rsidRPr="00AF01B2">
        <w:tblPrEx>
          <w:tblLook w:val="0000"/>
        </w:tblPrEx>
        <w:trPr>
          <w:gridBefore w:val="1"/>
          <w:wBefore w:w="6480" w:type="dxa"/>
          <w:trHeight w:val="152"/>
          <w:jc w:val="center"/>
        </w:trPr>
        <w:tc>
          <w:tcPr>
            <w:tcW w:w="1710" w:type="dxa"/>
            <w:tcBorders>
              <w:left w:val="single" w:sz="4" w:space="0" w:color="auto"/>
            </w:tcBorders>
            <w:shd w:val="clear" w:color="auto" w:fill="D9D9D9"/>
            <w:vAlign w:val="center"/>
          </w:tcPr>
          <w:p w:rsidR="00FA012E" w:rsidRPr="00AF01B2" w:rsidRDefault="00FA012E" w:rsidP="00103948">
            <w:pPr>
              <w:tabs>
                <w:tab w:val="left" w:pos="288"/>
                <w:tab w:val="left" w:pos="4752"/>
              </w:tabs>
              <w:spacing w:line="240" w:lineRule="exact"/>
              <w:jc w:val="center"/>
              <w:rPr>
                <w:b/>
                <w:color w:val="auto"/>
              </w:rPr>
            </w:pPr>
            <w:r w:rsidRPr="00AF01B2">
              <w:rPr>
                <w:b/>
                <w:color w:val="auto"/>
              </w:rPr>
              <w:t>COMBINED</w:t>
            </w:r>
          </w:p>
        </w:tc>
        <w:tc>
          <w:tcPr>
            <w:tcW w:w="1170" w:type="dxa"/>
            <w:shd w:val="clear" w:color="auto" w:fill="D9D9D9"/>
            <w:vAlign w:val="center"/>
          </w:tcPr>
          <w:p w:rsidR="00FA012E" w:rsidRPr="00AF01B2" w:rsidRDefault="00FA012E" w:rsidP="00103948">
            <w:pPr>
              <w:tabs>
                <w:tab w:val="left" w:pos="288"/>
                <w:tab w:val="left" w:pos="4752"/>
              </w:tabs>
              <w:spacing w:line="240" w:lineRule="exact"/>
              <w:jc w:val="center"/>
              <w:rPr>
                <w:b/>
                <w:color w:val="auto"/>
              </w:rPr>
            </w:pPr>
            <w:r>
              <w:rPr>
                <w:b/>
                <w:color w:val="auto"/>
              </w:rPr>
              <w:t>20</w:t>
            </w:r>
            <w:r w:rsidRPr="00AF01B2">
              <w:rPr>
                <w:b/>
                <w:color w:val="auto"/>
              </w:rPr>
              <w:t>%</w:t>
            </w:r>
          </w:p>
        </w:tc>
      </w:tr>
    </w:tbl>
    <w:p w:rsidR="00FA012E" w:rsidRPr="00391858" w:rsidRDefault="00FA012E"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FA012E" w:rsidRPr="00391858" w:rsidRDefault="00FA012E" w:rsidP="00510F9C">
      <w:pPr>
        <w:tabs>
          <w:tab w:val="left" w:pos="288"/>
          <w:tab w:val="left" w:pos="4752"/>
        </w:tabs>
        <w:spacing w:line="240" w:lineRule="exact"/>
        <w:rPr>
          <w:b/>
          <w:color w:val="auto"/>
        </w:rPr>
      </w:pPr>
    </w:p>
    <w:p w:rsidR="001F38CF" w:rsidRDefault="001F38CF">
      <w:pPr>
        <w:rPr>
          <w:color w:val="auto"/>
        </w:rPr>
      </w:pPr>
      <w:r>
        <w:rPr>
          <w:color w:val="auto"/>
        </w:rPr>
        <w:br w:type="page"/>
      </w:r>
    </w:p>
    <w:p w:rsidR="00FA012E" w:rsidRPr="00006186" w:rsidRDefault="00FA012E" w:rsidP="00510F9C">
      <w:pPr>
        <w:tabs>
          <w:tab w:val="left" w:pos="288"/>
          <w:tab w:val="left" w:pos="4752"/>
        </w:tabs>
        <w:spacing w:line="240" w:lineRule="exact"/>
        <w:jc w:val="both"/>
        <w:rPr>
          <w:color w:val="auto"/>
        </w:rPr>
      </w:pPr>
      <w:r>
        <w:rPr>
          <w:color w:val="auto"/>
        </w:rPr>
        <w:lastRenderedPageBreak/>
        <w:t>The following documentary evidence was considered:</w:t>
      </w:r>
    </w:p>
    <w:p w:rsidR="00FA012E" w:rsidRPr="00006186" w:rsidRDefault="00FA012E" w:rsidP="00510F9C">
      <w:pPr>
        <w:tabs>
          <w:tab w:val="left" w:pos="288"/>
          <w:tab w:val="left" w:pos="4752"/>
        </w:tabs>
        <w:spacing w:line="240" w:lineRule="exact"/>
        <w:jc w:val="both"/>
        <w:rPr>
          <w:color w:val="auto"/>
        </w:rPr>
      </w:pPr>
    </w:p>
    <w:p w:rsidR="00FA012E" w:rsidRPr="00006186" w:rsidRDefault="00FA012E" w:rsidP="00510F9C">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20110412, w/</w:t>
      </w:r>
      <w:proofErr w:type="spellStart"/>
      <w:r>
        <w:rPr>
          <w:color w:val="auto"/>
        </w:rPr>
        <w:t>atchs</w:t>
      </w:r>
      <w:proofErr w:type="spellEnd"/>
      <w:r>
        <w:rPr>
          <w:color w:val="auto"/>
        </w:rPr>
        <w:t>.</w:t>
      </w:r>
    </w:p>
    <w:p w:rsidR="00FA012E" w:rsidRPr="00006186" w:rsidRDefault="00FA012E" w:rsidP="00510F9C">
      <w:pPr>
        <w:tabs>
          <w:tab w:val="left" w:pos="288"/>
          <w:tab w:val="left" w:pos="4752"/>
        </w:tabs>
        <w:spacing w:line="240" w:lineRule="exact"/>
        <w:jc w:val="both"/>
        <w:rPr>
          <w:color w:val="auto"/>
        </w:rPr>
      </w:pPr>
      <w:r>
        <w:rPr>
          <w:color w:val="auto"/>
        </w:rPr>
        <w:t>Exhibit B.  Service Treatment Record.</w:t>
      </w:r>
    </w:p>
    <w:p w:rsidR="00FA012E" w:rsidRPr="00006186" w:rsidRDefault="00FA012E" w:rsidP="00510F9C">
      <w:pPr>
        <w:tabs>
          <w:tab w:val="left" w:pos="288"/>
          <w:tab w:val="left" w:pos="4752"/>
        </w:tabs>
        <w:spacing w:line="240" w:lineRule="exact"/>
        <w:jc w:val="both"/>
        <w:rPr>
          <w:color w:val="auto"/>
        </w:rPr>
      </w:pPr>
      <w:r>
        <w:rPr>
          <w:color w:val="auto"/>
        </w:rPr>
        <w:t>Exhibit C.  Department of Veterans' Affairs Treatment Record.</w:t>
      </w:r>
    </w:p>
    <w:p w:rsidR="00FA012E" w:rsidRPr="00006186" w:rsidRDefault="00FA012E" w:rsidP="00510F9C">
      <w:pPr>
        <w:tabs>
          <w:tab w:val="left" w:pos="288"/>
          <w:tab w:val="left" w:pos="4752"/>
        </w:tabs>
        <w:spacing w:line="240" w:lineRule="exact"/>
        <w:jc w:val="both"/>
        <w:rPr>
          <w:color w:val="auto"/>
        </w:rPr>
      </w:pPr>
    </w:p>
    <w:p w:rsidR="00192387" w:rsidRDefault="00192387">
      <w:pPr>
        <w:rPr>
          <w:color w:val="auto"/>
          <w:u w:val="single"/>
        </w:rPr>
      </w:pPr>
      <w:r>
        <w:rPr>
          <w:color w:val="auto"/>
          <w:u w:val="single"/>
        </w:rPr>
        <w:br w:type="page"/>
      </w:r>
    </w:p>
    <w:p w:rsidR="00192387" w:rsidRPr="00450F9B" w:rsidRDefault="00192387" w:rsidP="00192387">
      <w:pPr>
        <w:pStyle w:val="Header"/>
        <w:tabs>
          <w:tab w:val="clear" w:pos="4320"/>
          <w:tab w:val="clear" w:pos="8640"/>
        </w:tabs>
        <w:rPr>
          <w:color w:val="auto"/>
        </w:rPr>
      </w:pPr>
      <w:r w:rsidRPr="00450F9B">
        <w:rPr>
          <w:color w:val="auto"/>
        </w:rPr>
        <w:lastRenderedPageBreak/>
        <w:t>SFMR-RB</w:t>
      </w:r>
      <w:r w:rsidRPr="00450F9B">
        <w:rPr>
          <w:color w:val="auto"/>
        </w:rPr>
        <w:tab/>
      </w:r>
      <w:r w:rsidRPr="00450F9B">
        <w:rPr>
          <w:color w:val="auto"/>
        </w:rPr>
        <w:tab/>
      </w:r>
      <w:r w:rsidRPr="00450F9B">
        <w:rPr>
          <w:color w:val="auto"/>
        </w:rPr>
        <w:tab/>
      </w:r>
      <w:r w:rsidRPr="00450F9B">
        <w:rPr>
          <w:color w:val="auto"/>
        </w:rPr>
        <w:tab/>
      </w:r>
      <w:r w:rsidRPr="00450F9B">
        <w:rPr>
          <w:color w:val="auto"/>
        </w:rPr>
        <w:tab/>
      </w:r>
      <w:r w:rsidRPr="00450F9B">
        <w:rPr>
          <w:color w:val="auto"/>
        </w:rPr>
        <w:tab/>
      </w:r>
      <w:r w:rsidRPr="00450F9B">
        <w:rPr>
          <w:color w:val="auto"/>
        </w:rPr>
        <w:tab/>
      </w:r>
      <w:r w:rsidRPr="00450F9B">
        <w:rPr>
          <w:color w:val="auto"/>
        </w:rPr>
        <w:tab/>
      </w:r>
      <w:r w:rsidRPr="00450F9B">
        <w:rPr>
          <w:color w:val="auto"/>
        </w:rPr>
        <w:tab/>
      </w:r>
    </w:p>
    <w:p w:rsidR="00192387" w:rsidRPr="00450F9B" w:rsidRDefault="00192387" w:rsidP="00192387">
      <w:pPr>
        <w:pStyle w:val="Header"/>
        <w:tabs>
          <w:tab w:val="clear" w:pos="4320"/>
          <w:tab w:val="clear" w:pos="8640"/>
        </w:tabs>
        <w:rPr>
          <w:color w:val="auto"/>
        </w:rPr>
      </w:pPr>
    </w:p>
    <w:p w:rsidR="00192387" w:rsidRPr="00450F9B" w:rsidRDefault="00192387" w:rsidP="00192387">
      <w:pPr>
        <w:rPr>
          <w:color w:val="auto"/>
        </w:rPr>
      </w:pPr>
    </w:p>
    <w:p w:rsidR="00192387" w:rsidRPr="00450F9B" w:rsidRDefault="00192387" w:rsidP="00192387">
      <w:pPr>
        <w:rPr>
          <w:color w:val="auto"/>
        </w:rPr>
      </w:pPr>
      <w:r w:rsidRPr="00450F9B">
        <w:rPr>
          <w:color w:val="auto"/>
        </w:rPr>
        <w:t xml:space="preserve">MEMORANDUM FOR Commander, US Army Physical Disability Agency </w:t>
      </w:r>
    </w:p>
    <w:p w:rsidR="00192387" w:rsidRPr="00450F9B" w:rsidRDefault="00192387" w:rsidP="00192387">
      <w:pPr>
        <w:rPr>
          <w:color w:val="auto"/>
        </w:rPr>
      </w:pPr>
      <w:r w:rsidRPr="00450F9B">
        <w:rPr>
          <w:color w:val="auto"/>
        </w:rPr>
        <w:t>Crystal Drive, Suite 300, Arlington, VA 22202</w:t>
      </w:r>
    </w:p>
    <w:p w:rsidR="00192387" w:rsidRPr="00450F9B" w:rsidRDefault="00192387" w:rsidP="00192387">
      <w:pPr>
        <w:rPr>
          <w:color w:val="auto"/>
        </w:rPr>
      </w:pPr>
    </w:p>
    <w:p w:rsidR="00192387" w:rsidRPr="00450F9B" w:rsidRDefault="00192387" w:rsidP="00192387">
      <w:pPr>
        <w:ind w:right="-180"/>
        <w:rPr>
          <w:color w:val="auto"/>
        </w:rPr>
      </w:pPr>
      <w:r w:rsidRPr="00450F9B">
        <w:rPr>
          <w:color w:val="auto"/>
        </w:rPr>
        <w:t xml:space="preserve">SUBJECT:  Department of Defense Physical Disability Board of Review Recommendation </w:t>
      </w:r>
    </w:p>
    <w:p w:rsidR="00192387" w:rsidRPr="00450F9B" w:rsidRDefault="00192387" w:rsidP="00192387">
      <w:pPr>
        <w:pStyle w:val="Header"/>
        <w:tabs>
          <w:tab w:val="left" w:pos="720"/>
        </w:tabs>
        <w:rPr>
          <w:color w:val="auto"/>
        </w:rPr>
      </w:pPr>
      <w:proofErr w:type="gramStart"/>
      <w:r w:rsidRPr="00450F9B">
        <w:rPr>
          <w:color w:val="auto"/>
        </w:rPr>
        <w:t>for</w:t>
      </w:r>
      <w:proofErr w:type="gramEnd"/>
      <w:r w:rsidRPr="00450F9B">
        <w:rPr>
          <w:color w:val="auto"/>
        </w:rPr>
        <w:t xml:space="preserve"> (PD201100296)</w:t>
      </w:r>
    </w:p>
    <w:p w:rsidR="00192387" w:rsidRPr="00450F9B" w:rsidRDefault="00192387" w:rsidP="00192387">
      <w:pPr>
        <w:pStyle w:val="Header"/>
        <w:tabs>
          <w:tab w:val="left" w:pos="720"/>
        </w:tabs>
        <w:rPr>
          <w:color w:val="auto"/>
        </w:rPr>
      </w:pPr>
    </w:p>
    <w:p w:rsidR="00192387" w:rsidRPr="00450F9B" w:rsidRDefault="00192387" w:rsidP="00192387">
      <w:pPr>
        <w:rPr>
          <w:color w:val="auto"/>
        </w:rPr>
      </w:pPr>
    </w:p>
    <w:p w:rsidR="00192387" w:rsidRPr="00450F9B" w:rsidRDefault="00192387" w:rsidP="00192387">
      <w:pPr>
        <w:rPr>
          <w:color w:val="auto"/>
        </w:rPr>
      </w:pPr>
      <w:r w:rsidRPr="00450F9B">
        <w:rPr>
          <w:color w:val="auto"/>
        </w:rPr>
        <w:t>1.  I have reviewed the enclosed Department of Defense Physical Disability Board of Review (</w:t>
      </w:r>
      <w:proofErr w:type="spellStart"/>
      <w:r w:rsidRPr="00450F9B">
        <w:rPr>
          <w:color w:val="auto"/>
        </w:rPr>
        <w:t>DoD</w:t>
      </w:r>
      <w:proofErr w:type="spellEnd"/>
      <w:r w:rsidRPr="00450F9B">
        <w:rPr>
          <w:color w:val="auto"/>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450F9B">
        <w:rPr>
          <w:color w:val="auto"/>
        </w:rPr>
        <w:t>recharacterization</w:t>
      </w:r>
      <w:proofErr w:type="spellEnd"/>
      <w:r w:rsidRPr="00450F9B">
        <w:rPr>
          <w:color w:val="auto"/>
        </w:rPr>
        <w:t xml:space="preserve"> of the individual’s separation.  This decision is final.  </w:t>
      </w:r>
    </w:p>
    <w:p w:rsidR="00192387" w:rsidRPr="00450F9B" w:rsidRDefault="00192387" w:rsidP="00192387">
      <w:pPr>
        <w:rPr>
          <w:color w:val="auto"/>
        </w:rPr>
      </w:pPr>
    </w:p>
    <w:p w:rsidR="00192387" w:rsidRPr="00450F9B" w:rsidRDefault="00192387" w:rsidP="00192387">
      <w:pPr>
        <w:rPr>
          <w:color w:val="auto"/>
        </w:rPr>
      </w:pPr>
      <w:r w:rsidRPr="00450F9B">
        <w:rPr>
          <w:color w:val="auto"/>
        </w:rPr>
        <w:t xml:space="preserve">2.  I direct that all the Department of the Army records of the individual concerned be corrected accordingly no later than 120 days from the date of this memorandum.   </w:t>
      </w:r>
    </w:p>
    <w:p w:rsidR="00192387" w:rsidRPr="00450F9B" w:rsidRDefault="00192387" w:rsidP="00192387">
      <w:pPr>
        <w:rPr>
          <w:color w:val="auto"/>
        </w:rPr>
      </w:pPr>
    </w:p>
    <w:p w:rsidR="00192387" w:rsidRPr="00450F9B" w:rsidRDefault="00192387" w:rsidP="00192387">
      <w:pPr>
        <w:rPr>
          <w:color w:val="auto"/>
        </w:rPr>
      </w:pPr>
      <w:r w:rsidRPr="00450F9B">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92387" w:rsidRPr="00450F9B" w:rsidRDefault="00192387" w:rsidP="00192387">
      <w:pPr>
        <w:rPr>
          <w:color w:val="auto"/>
        </w:rPr>
      </w:pPr>
    </w:p>
    <w:p w:rsidR="00192387" w:rsidRPr="00450F9B" w:rsidRDefault="00192387" w:rsidP="00192387">
      <w:pPr>
        <w:rPr>
          <w:color w:val="auto"/>
        </w:rPr>
      </w:pPr>
      <w:r w:rsidRPr="00450F9B">
        <w:rPr>
          <w:color w:val="auto"/>
        </w:rPr>
        <w:t xml:space="preserve"> BY ORDER OF THE SECRETARY OF THE ARMY:</w:t>
      </w:r>
    </w:p>
    <w:p w:rsidR="00192387" w:rsidRPr="00450F9B" w:rsidRDefault="00192387" w:rsidP="00192387">
      <w:pPr>
        <w:rPr>
          <w:color w:val="auto"/>
        </w:rPr>
      </w:pPr>
    </w:p>
    <w:p w:rsidR="00192387" w:rsidRPr="00450F9B" w:rsidRDefault="00192387" w:rsidP="00192387">
      <w:pPr>
        <w:rPr>
          <w:color w:val="auto"/>
        </w:rPr>
      </w:pPr>
    </w:p>
    <w:p w:rsidR="00192387" w:rsidRPr="00450F9B" w:rsidRDefault="00192387" w:rsidP="00192387">
      <w:pPr>
        <w:pStyle w:val="Header"/>
        <w:tabs>
          <w:tab w:val="clear" w:pos="4320"/>
          <w:tab w:val="clear" w:pos="8640"/>
        </w:tabs>
        <w:rPr>
          <w:color w:val="auto"/>
        </w:rPr>
      </w:pPr>
    </w:p>
    <w:p w:rsidR="00192387" w:rsidRPr="00450F9B" w:rsidRDefault="00192387" w:rsidP="00192387">
      <w:pPr>
        <w:rPr>
          <w:color w:val="auto"/>
        </w:rPr>
      </w:pPr>
    </w:p>
    <w:p w:rsidR="00192387" w:rsidRPr="00450F9B" w:rsidRDefault="00192387" w:rsidP="00192387">
      <w:pPr>
        <w:rPr>
          <w:color w:val="auto"/>
        </w:rPr>
      </w:pPr>
      <w:bookmarkStart w:id="0" w:name="OLE_LINK3"/>
      <w:bookmarkStart w:id="1" w:name="OLE_LINK4"/>
      <w:r w:rsidRPr="00450F9B">
        <w:rPr>
          <w:color w:val="auto"/>
        </w:rPr>
        <w:t>Encl</w:t>
      </w:r>
      <w:r w:rsidRPr="00450F9B">
        <w:rPr>
          <w:color w:val="auto"/>
        </w:rPr>
        <w:tab/>
      </w:r>
      <w:r w:rsidRPr="00450F9B">
        <w:rPr>
          <w:color w:val="auto"/>
        </w:rPr>
        <w:tab/>
      </w:r>
      <w:r w:rsidRPr="00450F9B">
        <w:rPr>
          <w:color w:val="auto"/>
        </w:rPr>
        <w:tab/>
      </w:r>
      <w:r w:rsidRPr="00450F9B">
        <w:rPr>
          <w:color w:val="auto"/>
        </w:rPr>
        <w:tab/>
      </w:r>
      <w:r w:rsidRPr="00450F9B">
        <w:rPr>
          <w:color w:val="auto"/>
        </w:rPr>
        <w:tab/>
      </w:r>
      <w:r w:rsidRPr="00450F9B">
        <w:rPr>
          <w:color w:val="auto"/>
        </w:rPr>
        <w:tab/>
        <w:t xml:space="preserve">    </w:t>
      </w:r>
      <w:bookmarkEnd w:id="0"/>
      <w:bookmarkEnd w:id="1"/>
    </w:p>
    <w:p w:rsidR="00192387" w:rsidRPr="00450F9B" w:rsidRDefault="00192387" w:rsidP="00192387">
      <w:pPr>
        <w:rPr>
          <w:color w:val="auto"/>
        </w:rPr>
      </w:pPr>
    </w:p>
    <w:p w:rsidR="00192387" w:rsidRPr="00450F9B" w:rsidRDefault="00192387" w:rsidP="00192387">
      <w:pPr>
        <w:rPr>
          <w:color w:val="auto"/>
        </w:rPr>
      </w:pPr>
      <w:r w:rsidRPr="00450F9B">
        <w:rPr>
          <w:color w:val="auto"/>
        </w:rPr>
        <w:t xml:space="preserve">CF: </w:t>
      </w:r>
    </w:p>
    <w:p w:rsidR="00192387" w:rsidRPr="00450F9B" w:rsidRDefault="00192387" w:rsidP="00192387">
      <w:pPr>
        <w:rPr>
          <w:color w:val="auto"/>
        </w:rPr>
      </w:pPr>
      <w:r w:rsidRPr="00450F9B">
        <w:rPr>
          <w:color w:val="auto"/>
        </w:rPr>
        <w:t xml:space="preserve">(  ) </w:t>
      </w:r>
      <w:proofErr w:type="spellStart"/>
      <w:proofErr w:type="gramStart"/>
      <w:r w:rsidRPr="00450F9B">
        <w:rPr>
          <w:color w:val="auto"/>
        </w:rPr>
        <w:t>DoD</w:t>
      </w:r>
      <w:proofErr w:type="spellEnd"/>
      <w:proofErr w:type="gramEnd"/>
      <w:r w:rsidRPr="00450F9B">
        <w:rPr>
          <w:color w:val="auto"/>
        </w:rPr>
        <w:t xml:space="preserve"> PDBR</w:t>
      </w:r>
    </w:p>
    <w:p w:rsidR="00192387" w:rsidRPr="00450F9B" w:rsidRDefault="00192387" w:rsidP="00192387">
      <w:pPr>
        <w:rPr>
          <w:color w:val="auto"/>
        </w:rPr>
      </w:pPr>
      <w:r w:rsidRPr="00450F9B">
        <w:rPr>
          <w:color w:val="auto"/>
        </w:rPr>
        <w:t>(  ) DVA</w:t>
      </w:r>
    </w:p>
    <w:p w:rsidR="00FA012E" w:rsidRPr="00450F9B" w:rsidRDefault="00FA012E" w:rsidP="00057019">
      <w:pPr>
        <w:tabs>
          <w:tab w:val="left" w:pos="288"/>
          <w:tab w:val="left" w:pos="4752"/>
        </w:tabs>
        <w:spacing w:line="240" w:lineRule="exact"/>
        <w:jc w:val="both"/>
        <w:rPr>
          <w:color w:val="auto"/>
          <w:u w:val="single"/>
        </w:rPr>
      </w:pPr>
    </w:p>
    <w:p w:rsidR="00FA012E" w:rsidRPr="00450F9B" w:rsidRDefault="00FA012E" w:rsidP="00057019">
      <w:pPr>
        <w:tabs>
          <w:tab w:val="left" w:pos="288"/>
          <w:tab w:val="left" w:pos="4752"/>
        </w:tabs>
        <w:spacing w:line="240" w:lineRule="exact"/>
        <w:jc w:val="both"/>
        <w:rPr>
          <w:b/>
          <w:color w:val="auto"/>
        </w:rPr>
      </w:pPr>
    </w:p>
    <w:sectPr w:rsidR="00FA012E" w:rsidRPr="00450F9B"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FA" w:rsidRDefault="00E96BFA">
      <w:r>
        <w:separator/>
      </w:r>
    </w:p>
  </w:endnote>
  <w:endnote w:type="continuationSeparator" w:id="0">
    <w:p w:rsidR="00E96BFA" w:rsidRDefault="00E96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2E" w:rsidRPr="00684CE6" w:rsidRDefault="007321C8" w:rsidP="004E7BA4">
    <w:pPr>
      <w:pStyle w:val="Footer"/>
      <w:jc w:val="right"/>
      <w:rPr>
        <w:color w:val="auto"/>
      </w:rPr>
    </w:pPr>
    <w:fldSimple w:instr=" PAGE   \* MERGEFORMAT ">
      <w:r w:rsidR="00450F9B" w:rsidRPr="00450F9B">
        <w:rPr>
          <w:noProof/>
          <w:color w:val="auto"/>
        </w:rPr>
        <w:t>4</w:t>
      </w:r>
    </w:fldSimple>
    <w:r w:rsidR="00FA012E" w:rsidRPr="004E7BA4">
      <w:rPr>
        <w:color w:val="auto"/>
      </w:rPr>
      <w:t xml:space="preserve">                                                                   PD1100296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FA" w:rsidRDefault="00E96BFA">
      <w:r>
        <w:separator/>
      </w:r>
    </w:p>
  </w:footnote>
  <w:footnote w:type="continuationSeparator" w:id="0">
    <w:p w:rsidR="00E96BFA" w:rsidRDefault="00E96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184C"/>
    <w:rsid w:val="00042C26"/>
    <w:rsid w:val="00043382"/>
    <w:rsid w:val="00044623"/>
    <w:rsid w:val="000452D7"/>
    <w:rsid w:val="00051622"/>
    <w:rsid w:val="00051A11"/>
    <w:rsid w:val="00052234"/>
    <w:rsid w:val="00053D7C"/>
    <w:rsid w:val="000554B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0F3"/>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5A26"/>
    <w:rsid w:val="001262B1"/>
    <w:rsid w:val="001272AE"/>
    <w:rsid w:val="00130756"/>
    <w:rsid w:val="00130E0C"/>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387"/>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38CF"/>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6411"/>
    <w:rsid w:val="002374C9"/>
    <w:rsid w:val="0024174E"/>
    <w:rsid w:val="0024216D"/>
    <w:rsid w:val="00242238"/>
    <w:rsid w:val="0024227D"/>
    <w:rsid w:val="00242474"/>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C85"/>
    <w:rsid w:val="00282DB6"/>
    <w:rsid w:val="00284A26"/>
    <w:rsid w:val="00285095"/>
    <w:rsid w:val="00287006"/>
    <w:rsid w:val="00292397"/>
    <w:rsid w:val="00292AB2"/>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403"/>
    <w:rsid w:val="002F6AD8"/>
    <w:rsid w:val="002F7F81"/>
    <w:rsid w:val="00300A36"/>
    <w:rsid w:val="00301B45"/>
    <w:rsid w:val="00305856"/>
    <w:rsid w:val="00305F57"/>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3A72"/>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861"/>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17AC"/>
    <w:rsid w:val="003B227A"/>
    <w:rsid w:val="003B2947"/>
    <w:rsid w:val="003B3A77"/>
    <w:rsid w:val="003B4319"/>
    <w:rsid w:val="003B5854"/>
    <w:rsid w:val="003B6764"/>
    <w:rsid w:val="003B7A8B"/>
    <w:rsid w:val="003C294B"/>
    <w:rsid w:val="003C5046"/>
    <w:rsid w:val="003C6068"/>
    <w:rsid w:val="003C7AEC"/>
    <w:rsid w:val="003D2BA3"/>
    <w:rsid w:val="003D316B"/>
    <w:rsid w:val="003D3C22"/>
    <w:rsid w:val="003D5147"/>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0F9B"/>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CB0"/>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0D63"/>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E7BA4"/>
    <w:rsid w:val="004F0C58"/>
    <w:rsid w:val="004F3222"/>
    <w:rsid w:val="004F3639"/>
    <w:rsid w:val="004F3BFA"/>
    <w:rsid w:val="004F4E3C"/>
    <w:rsid w:val="004F5A1A"/>
    <w:rsid w:val="004F77A3"/>
    <w:rsid w:val="005000AB"/>
    <w:rsid w:val="00500F3C"/>
    <w:rsid w:val="005025EE"/>
    <w:rsid w:val="00503DDF"/>
    <w:rsid w:val="00505524"/>
    <w:rsid w:val="00506688"/>
    <w:rsid w:val="005103B6"/>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6C8A"/>
    <w:rsid w:val="0053702E"/>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599"/>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7C9"/>
    <w:rsid w:val="00587DDE"/>
    <w:rsid w:val="00591815"/>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945"/>
    <w:rsid w:val="00605AAB"/>
    <w:rsid w:val="00606BEB"/>
    <w:rsid w:val="0061014A"/>
    <w:rsid w:val="0061054B"/>
    <w:rsid w:val="00612E06"/>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21B"/>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3A4"/>
    <w:rsid w:val="006B3923"/>
    <w:rsid w:val="006B3F3E"/>
    <w:rsid w:val="006B4AA2"/>
    <w:rsid w:val="006B53C4"/>
    <w:rsid w:val="006B54DC"/>
    <w:rsid w:val="006B586B"/>
    <w:rsid w:val="006B5923"/>
    <w:rsid w:val="006B67C4"/>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E07"/>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094"/>
    <w:rsid w:val="007237CE"/>
    <w:rsid w:val="00724688"/>
    <w:rsid w:val="007272F1"/>
    <w:rsid w:val="0073062D"/>
    <w:rsid w:val="0073093B"/>
    <w:rsid w:val="007321C8"/>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C6C"/>
    <w:rsid w:val="007A3F91"/>
    <w:rsid w:val="007A512E"/>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7874"/>
    <w:rsid w:val="00882CC2"/>
    <w:rsid w:val="0088325A"/>
    <w:rsid w:val="00883930"/>
    <w:rsid w:val="00884535"/>
    <w:rsid w:val="008902BE"/>
    <w:rsid w:val="0089038F"/>
    <w:rsid w:val="00890CDA"/>
    <w:rsid w:val="00891365"/>
    <w:rsid w:val="00891BBA"/>
    <w:rsid w:val="00892079"/>
    <w:rsid w:val="00892B90"/>
    <w:rsid w:val="00896535"/>
    <w:rsid w:val="00896683"/>
    <w:rsid w:val="00896E71"/>
    <w:rsid w:val="0089750B"/>
    <w:rsid w:val="00897589"/>
    <w:rsid w:val="008A0D4F"/>
    <w:rsid w:val="008A0D7B"/>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744D"/>
    <w:rsid w:val="008F1E08"/>
    <w:rsid w:val="008F49DC"/>
    <w:rsid w:val="008F6FC8"/>
    <w:rsid w:val="008F79A8"/>
    <w:rsid w:val="0090045D"/>
    <w:rsid w:val="00900D8F"/>
    <w:rsid w:val="009014E3"/>
    <w:rsid w:val="009020ED"/>
    <w:rsid w:val="009026E8"/>
    <w:rsid w:val="00902FDD"/>
    <w:rsid w:val="00904E5C"/>
    <w:rsid w:val="00905EEF"/>
    <w:rsid w:val="00906EB7"/>
    <w:rsid w:val="0090722B"/>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52E"/>
    <w:rsid w:val="00985099"/>
    <w:rsid w:val="00985D32"/>
    <w:rsid w:val="00986514"/>
    <w:rsid w:val="00986D2A"/>
    <w:rsid w:val="00986FCC"/>
    <w:rsid w:val="00987CAD"/>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C4D"/>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2FE7"/>
    <w:rsid w:val="00A73B84"/>
    <w:rsid w:val="00A7411D"/>
    <w:rsid w:val="00A756C4"/>
    <w:rsid w:val="00A7592B"/>
    <w:rsid w:val="00A76094"/>
    <w:rsid w:val="00A768E2"/>
    <w:rsid w:val="00A82C52"/>
    <w:rsid w:val="00A838E8"/>
    <w:rsid w:val="00A83C15"/>
    <w:rsid w:val="00A83F3F"/>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3C8"/>
    <w:rsid w:val="00AD7F8F"/>
    <w:rsid w:val="00AE0BF9"/>
    <w:rsid w:val="00AE1273"/>
    <w:rsid w:val="00AE18C5"/>
    <w:rsid w:val="00AE2CF4"/>
    <w:rsid w:val="00AE2D29"/>
    <w:rsid w:val="00AE2F15"/>
    <w:rsid w:val="00AE4624"/>
    <w:rsid w:val="00AE4B3E"/>
    <w:rsid w:val="00AE5E14"/>
    <w:rsid w:val="00AE6115"/>
    <w:rsid w:val="00AE625B"/>
    <w:rsid w:val="00AE76D7"/>
    <w:rsid w:val="00AF01B2"/>
    <w:rsid w:val="00AF1103"/>
    <w:rsid w:val="00AF1668"/>
    <w:rsid w:val="00AF28DE"/>
    <w:rsid w:val="00AF4FA5"/>
    <w:rsid w:val="00AF6ECC"/>
    <w:rsid w:val="00B022DC"/>
    <w:rsid w:val="00B040AB"/>
    <w:rsid w:val="00B04562"/>
    <w:rsid w:val="00B0472F"/>
    <w:rsid w:val="00B06930"/>
    <w:rsid w:val="00B0773A"/>
    <w:rsid w:val="00B07955"/>
    <w:rsid w:val="00B1176B"/>
    <w:rsid w:val="00B119B1"/>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6C36"/>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6C63"/>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EFB"/>
    <w:rsid w:val="00BE4039"/>
    <w:rsid w:val="00BE6365"/>
    <w:rsid w:val="00BF01B7"/>
    <w:rsid w:val="00BF0400"/>
    <w:rsid w:val="00BF0B7F"/>
    <w:rsid w:val="00BF2988"/>
    <w:rsid w:val="00BF4720"/>
    <w:rsid w:val="00BF4F49"/>
    <w:rsid w:val="00BF5477"/>
    <w:rsid w:val="00BF6759"/>
    <w:rsid w:val="00BF70A6"/>
    <w:rsid w:val="00BF7B4F"/>
    <w:rsid w:val="00BF7B63"/>
    <w:rsid w:val="00C0359D"/>
    <w:rsid w:val="00C038EC"/>
    <w:rsid w:val="00C0538D"/>
    <w:rsid w:val="00C05C6D"/>
    <w:rsid w:val="00C05DD3"/>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4C67"/>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5D5"/>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511A"/>
    <w:rsid w:val="00CB758D"/>
    <w:rsid w:val="00CB7A3E"/>
    <w:rsid w:val="00CB7FF7"/>
    <w:rsid w:val="00CC0D0E"/>
    <w:rsid w:val="00CC1253"/>
    <w:rsid w:val="00CC126F"/>
    <w:rsid w:val="00CC19B3"/>
    <w:rsid w:val="00CC2044"/>
    <w:rsid w:val="00CC2D23"/>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15E0"/>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0F83"/>
    <w:rsid w:val="00D2288F"/>
    <w:rsid w:val="00D2321B"/>
    <w:rsid w:val="00D23350"/>
    <w:rsid w:val="00D234A8"/>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0CC"/>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6FA1"/>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452"/>
    <w:rsid w:val="00DF071B"/>
    <w:rsid w:val="00DF5C84"/>
    <w:rsid w:val="00DF65C8"/>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1AAA"/>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335C"/>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2233"/>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6BFA"/>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051"/>
    <w:rsid w:val="00ED12F0"/>
    <w:rsid w:val="00ED290C"/>
    <w:rsid w:val="00ED2A6C"/>
    <w:rsid w:val="00ED4773"/>
    <w:rsid w:val="00ED5284"/>
    <w:rsid w:val="00ED664B"/>
    <w:rsid w:val="00ED6A61"/>
    <w:rsid w:val="00ED7DA4"/>
    <w:rsid w:val="00EE03BB"/>
    <w:rsid w:val="00EE0552"/>
    <w:rsid w:val="00EE0B44"/>
    <w:rsid w:val="00EE125D"/>
    <w:rsid w:val="00EE1C99"/>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022"/>
    <w:rsid w:val="00F43D6C"/>
    <w:rsid w:val="00F46964"/>
    <w:rsid w:val="00F46F9A"/>
    <w:rsid w:val="00F470FD"/>
    <w:rsid w:val="00F500F9"/>
    <w:rsid w:val="00F50F30"/>
    <w:rsid w:val="00F5126A"/>
    <w:rsid w:val="00F5126E"/>
    <w:rsid w:val="00F516EF"/>
    <w:rsid w:val="00F51755"/>
    <w:rsid w:val="00F5580D"/>
    <w:rsid w:val="00F56EA1"/>
    <w:rsid w:val="00F606D5"/>
    <w:rsid w:val="00F611B3"/>
    <w:rsid w:val="00F6196E"/>
    <w:rsid w:val="00F624DD"/>
    <w:rsid w:val="00F629C0"/>
    <w:rsid w:val="00F63FC7"/>
    <w:rsid w:val="00F6596B"/>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12E"/>
    <w:rsid w:val="00FA055C"/>
    <w:rsid w:val="00FA0C8F"/>
    <w:rsid w:val="00FA2DEF"/>
    <w:rsid w:val="00FA2F7B"/>
    <w:rsid w:val="00FA3C97"/>
    <w:rsid w:val="00FA3D30"/>
    <w:rsid w:val="00FA3EFA"/>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41"/>
    <w:rsid w:val="00FD78AE"/>
    <w:rsid w:val="00FD7B23"/>
    <w:rsid w:val="00FE2A48"/>
    <w:rsid w:val="00FE5D0A"/>
    <w:rsid w:val="00FE6469"/>
    <w:rsid w:val="00FF05D0"/>
    <w:rsid w:val="00FF06CE"/>
    <w:rsid w:val="00FF0FF7"/>
    <w:rsid w:val="00FF1022"/>
    <w:rsid w:val="00FF10A2"/>
    <w:rsid w:val="00FF1341"/>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4E7BA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2012-01-12T17:24:00Z</cp:lastPrinted>
  <dcterms:created xsi:type="dcterms:W3CDTF">2012-01-09T18:45:00Z</dcterms:created>
  <dcterms:modified xsi:type="dcterms:W3CDTF">2012-03-02T13:29:00Z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