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984C56" w:rsidRDefault="00222734" w:rsidP="00955938">
      <w:pPr>
        <w:rPr>
          <w:color w:val="auto"/>
        </w:rPr>
      </w:pPr>
      <w:r>
        <w:rPr>
          <w:color w:val="auto"/>
        </w:rPr>
        <w:t>R</w:t>
      </w:r>
      <w:r w:rsidR="00540BEF" w:rsidRPr="00984C56">
        <w:rPr>
          <w:color w:val="auto"/>
        </w:rPr>
        <w:t>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C17AC2" w:rsidRDefault="00F629C0" w:rsidP="0080204E">
      <w:pPr>
        <w:tabs>
          <w:tab w:val="right" w:pos="9360"/>
        </w:tabs>
        <w:jc w:val="both"/>
        <w:rPr>
          <w:caps/>
          <w:color w:val="000000" w:themeColor="text1"/>
        </w:rPr>
      </w:pPr>
      <w:r w:rsidRPr="001F29F9">
        <w:rPr>
          <w:caps/>
          <w:color w:val="000000" w:themeColor="text1"/>
        </w:rPr>
        <w:t xml:space="preserve">NAME:  </w:t>
      </w:r>
      <w:r w:rsidR="00EB1474">
        <w:rPr>
          <w:caps/>
          <w:color w:val="000000" w:themeColor="text1"/>
        </w:rPr>
        <w:t>XXXXXXXXXXXXXX</w:t>
      </w:r>
      <w:r w:rsidR="004216DA" w:rsidRPr="00C17AC2">
        <w:rPr>
          <w:caps/>
          <w:color w:val="000000" w:themeColor="text1"/>
        </w:rPr>
        <w:t xml:space="preserve">           </w:t>
      </w:r>
      <w:r w:rsidR="00332DE3" w:rsidRPr="00C17AC2">
        <w:rPr>
          <w:caps/>
          <w:color w:val="000000" w:themeColor="text1"/>
        </w:rPr>
        <w:t xml:space="preserve"> </w:t>
      </w:r>
      <w:r w:rsidR="004216DA" w:rsidRPr="00C17AC2">
        <w:rPr>
          <w:caps/>
          <w:color w:val="000000" w:themeColor="text1"/>
        </w:rPr>
        <w:t xml:space="preserve"> </w:t>
      </w:r>
      <w:r w:rsidR="001415A2" w:rsidRPr="00C17AC2">
        <w:rPr>
          <w:caps/>
          <w:color w:val="000000" w:themeColor="text1"/>
        </w:rPr>
        <w:t xml:space="preserve">                                        </w:t>
      </w:r>
      <w:r w:rsidR="0080204E">
        <w:rPr>
          <w:caps/>
          <w:color w:val="000000" w:themeColor="text1"/>
        </w:rPr>
        <w:tab/>
      </w:r>
      <w:r w:rsidRPr="00C17AC2">
        <w:rPr>
          <w:caps/>
          <w:color w:val="000000" w:themeColor="text1"/>
        </w:rPr>
        <w:t xml:space="preserve">BRANCH OF SERVICE: </w:t>
      </w:r>
      <w:r w:rsidR="004C24C5" w:rsidRPr="00C17AC2">
        <w:rPr>
          <w:caps/>
          <w:color w:val="000000" w:themeColor="text1"/>
        </w:rPr>
        <w:t xml:space="preserve"> </w:t>
      </w:r>
      <w:r w:rsidR="001415A2" w:rsidRPr="00C17AC2">
        <w:rPr>
          <w:caps/>
          <w:color w:val="000000" w:themeColor="text1"/>
        </w:rPr>
        <w:t>Army</w:t>
      </w:r>
    </w:p>
    <w:p w:rsidR="00DE3AAD" w:rsidRPr="001F29F9" w:rsidRDefault="00012733" w:rsidP="0080204E">
      <w:pPr>
        <w:tabs>
          <w:tab w:val="right" w:pos="9360"/>
        </w:tabs>
        <w:jc w:val="both"/>
        <w:rPr>
          <w:caps/>
          <w:color w:val="000000" w:themeColor="text1"/>
        </w:rPr>
      </w:pPr>
      <w:r w:rsidRPr="00C17AC2">
        <w:rPr>
          <w:caps/>
          <w:color w:val="000000" w:themeColor="text1"/>
        </w:rPr>
        <w:t>C</w:t>
      </w:r>
      <w:r w:rsidR="00DE3AAD" w:rsidRPr="00C17AC2">
        <w:rPr>
          <w:caps/>
          <w:color w:val="000000" w:themeColor="text1"/>
        </w:rPr>
        <w:t>ASE NUMBER:  PD</w:t>
      </w:r>
      <w:r w:rsidR="008F58E1" w:rsidRPr="00C17AC2">
        <w:rPr>
          <w:caps/>
          <w:color w:val="000000" w:themeColor="text1"/>
        </w:rPr>
        <w:t>11</w:t>
      </w:r>
      <w:r w:rsidR="00DE3AAD" w:rsidRPr="00C17AC2">
        <w:rPr>
          <w:caps/>
          <w:color w:val="000000" w:themeColor="text1"/>
        </w:rPr>
        <w:t>00</w:t>
      </w:r>
      <w:r w:rsidR="00104A0D">
        <w:rPr>
          <w:caps/>
          <w:color w:val="000000" w:themeColor="text1"/>
        </w:rPr>
        <w:t>292</w:t>
      </w:r>
      <w:r w:rsidR="0080204E">
        <w:rPr>
          <w:color w:val="000000" w:themeColor="text1"/>
        </w:rPr>
        <w:t xml:space="preserve"> </w:t>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C17AC2">
        <w:rPr>
          <w:color w:val="000000" w:themeColor="text1"/>
        </w:rPr>
        <w:t>50929</w:t>
      </w:r>
    </w:p>
    <w:p w:rsidR="0080204E" w:rsidRDefault="004F3639" w:rsidP="00C46F3B">
      <w:pPr>
        <w:tabs>
          <w:tab w:val="left" w:pos="288"/>
          <w:tab w:val="left" w:pos="5130"/>
        </w:tabs>
        <w:jc w:val="both"/>
        <w:rPr>
          <w:caps/>
          <w:color w:val="000000" w:themeColor="text1"/>
        </w:rPr>
      </w:pPr>
      <w:r w:rsidRPr="001F29F9">
        <w:rPr>
          <w:caps/>
          <w:color w:val="000000" w:themeColor="text1"/>
        </w:rPr>
        <w:t>BOARD DATE:  201</w:t>
      </w:r>
      <w:r w:rsidR="00600545">
        <w:rPr>
          <w:caps/>
          <w:color w:val="000000" w:themeColor="text1"/>
        </w:rPr>
        <w:t>2</w:t>
      </w:r>
      <w:r w:rsidR="00817ED7">
        <w:rPr>
          <w:caps/>
          <w:color w:val="000000" w:themeColor="text1"/>
        </w:rPr>
        <w:t>0827</w:t>
      </w:r>
      <w:r w:rsidR="00C46F3B">
        <w:rPr>
          <w:caps/>
          <w:color w:val="000000" w:themeColor="text1"/>
        </w:rPr>
        <w:t xml:space="preserve">  </w:t>
      </w:r>
    </w:p>
    <w:p w:rsidR="0080204E" w:rsidRPr="001F29F9" w:rsidRDefault="0080204E" w:rsidP="0080204E">
      <w:pPr>
        <w:pBdr>
          <w:bottom w:val="single" w:sz="12" w:space="1" w:color="auto"/>
        </w:pBdr>
        <w:tabs>
          <w:tab w:val="left" w:pos="288"/>
          <w:tab w:val="left" w:pos="4752"/>
        </w:tabs>
        <w:jc w:val="both"/>
        <w:rPr>
          <w:color w:val="000000" w:themeColor="text1"/>
        </w:rPr>
      </w:pPr>
    </w:p>
    <w:p w:rsidR="0080204E" w:rsidRPr="001F29F9" w:rsidRDefault="0080204E" w:rsidP="0080204E">
      <w:pPr>
        <w:tabs>
          <w:tab w:val="left" w:pos="288"/>
          <w:tab w:val="left" w:pos="4752"/>
        </w:tabs>
        <w:jc w:val="both"/>
        <w:rPr>
          <w:color w:val="000000" w:themeColor="text1"/>
        </w:rPr>
      </w:pPr>
    </w:p>
    <w:p w:rsidR="00F63FC7" w:rsidRPr="001F29F9" w:rsidRDefault="00FB0E80" w:rsidP="00BF0E94">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6D4E0E" w:rsidRPr="001F29F9">
        <w:rPr>
          <w:color w:val="000000" w:themeColor="text1"/>
          <w:szCs w:val="24"/>
        </w:rPr>
        <w:t xml:space="preserve"> </w:t>
      </w:r>
      <w:r w:rsidR="002A386F">
        <w:rPr>
          <w:color w:val="000000" w:themeColor="text1"/>
          <w:szCs w:val="24"/>
        </w:rPr>
        <w:t>SSGT/E-6</w:t>
      </w:r>
      <w:r w:rsidR="00705C40" w:rsidRPr="001F29F9">
        <w:rPr>
          <w:color w:val="000000" w:themeColor="text1"/>
          <w:szCs w:val="24"/>
        </w:rPr>
        <w:t xml:space="preserve"> (</w:t>
      </w:r>
      <w:r w:rsidR="002A386F">
        <w:rPr>
          <w:color w:val="000000" w:themeColor="text1"/>
          <w:szCs w:val="24"/>
        </w:rPr>
        <w:t>25M3P/19K3P/3183P</w:t>
      </w:r>
      <w:r w:rsidR="0080204E">
        <w:rPr>
          <w:color w:val="000000" w:themeColor="text1"/>
          <w:szCs w:val="24"/>
        </w:rPr>
        <w:t xml:space="preserve">, </w:t>
      </w:r>
      <w:r w:rsidR="002A386F">
        <w:rPr>
          <w:color w:val="000000" w:themeColor="text1"/>
          <w:szCs w:val="24"/>
        </w:rPr>
        <w:t>Multi-Media Illustrator/Armor Crewman/Corrections SP</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for </w:t>
      </w:r>
      <w:r w:rsidR="002A386F">
        <w:rPr>
          <w:color w:val="000000" w:themeColor="text1"/>
          <w:szCs w:val="24"/>
        </w:rPr>
        <w:t>bilateral ankle pain</w:t>
      </w:r>
      <w:r w:rsidR="00C75F3D" w:rsidRPr="003E3C2D">
        <w:rPr>
          <w:color w:val="000000" w:themeColor="text1"/>
          <w:szCs w:val="24"/>
        </w:rPr>
        <w:t>.</w:t>
      </w:r>
      <w:r w:rsidR="00F60E47" w:rsidRPr="003E3C2D">
        <w:rPr>
          <w:color w:val="000000" w:themeColor="text1"/>
          <w:szCs w:val="24"/>
        </w:rPr>
        <w:t xml:space="preserve"> </w:t>
      </w:r>
      <w:r w:rsidR="003E3C2D">
        <w:rPr>
          <w:color w:val="000000" w:themeColor="text1"/>
          <w:szCs w:val="24"/>
        </w:rPr>
        <w:t xml:space="preserve"> </w:t>
      </w:r>
      <w:r w:rsidR="008F531B">
        <w:rPr>
          <w:color w:val="000000" w:themeColor="text1"/>
          <w:szCs w:val="24"/>
        </w:rPr>
        <w:t>He</w:t>
      </w:r>
      <w:r w:rsidR="00643C8F" w:rsidRPr="001F29F9">
        <w:rPr>
          <w:color w:val="000000" w:themeColor="text1"/>
          <w:szCs w:val="24"/>
        </w:rPr>
        <w:t xml:space="preserve"> did not respond adequately to treatment and w</w:t>
      </w:r>
      <w:r w:rsidR="008F531B">
        <w:rPr>
          <w:color w:val="000000" w:themeColor="text1"/>
          <w:szCs w:val="24"/>
        </w:rPr>
        <w:t xml:space="preserve">as unable to </w:t>
      </w:r>
      <w:r w:rsidR="008F531B" w:rsidRPr="008F531B">
        <w:rPr>
          <w:color w:val="000000" w:themeColor="text1"/>
          <w:szCs w:val="24"/>
        </w:rPr>
        <w:t xml:space="preserve">perform within his </w:t>
      </w:r>
      <w:r w:rsidR="00643C8F" w:rsidRPr="008F531B">
        <w:rPr>
          <w:color w:val="000000" w:themeColor="text1"/>
          <w:szCs w:val="24"/>
        </w:rPr>
        <w:t xml:space="preserve">Military Occupational Specialty (MOS) or meet </w:t>
      </w:r>
      <w:r w:rsidR="008F531B" w:rsidRPr="008F531B">
        <w:rPr>
          <w:color w:val="000000" w:themeColor="text1"/>
          <w:szCs w:val="24"/>
        </w:rPr>
        <w:t xml:space="preserve">physical fitness standards.  He </w:t>
      </w:r>
      <w:r w:rsidR="00643C8F" w:rsidRPr="008F531B">
        <w:rPr>
          <w:color w:val="000000" w:themeColor="text1"/>
          <w:szCs w:val="24"/>
        </w:rPr>
        <w:t xml:space="preserve">was issued a </w:t>
      </w:r>
      <w:r w:rsidR="008F531B" w:rsidRPr="008F531B">
        <w:rPr>
          <w:color w:val="000000" w:themeColor="text1"/>
          <w:szCs w:val="24"/>
        </w:rPr>
        <w:t>permanent L3 profile</w:t>
      </w:r>
      <w:r w:rsidR="00643C8F" w:rsidRPr="008F531B">
        <w:rPr>
          <w:color w:val="000000" w:themeColor="text1"/>
          <w:szCs w:val="24"/>
        </w:rPr>
        <w:t xml:space="preserve"> and underwent a Medical Evaluation Board (MEB).</w:t>
      </w:r>
      <w:r w:rsidR="008F531B">
        <w:rPr>
          <w:color w:val="000000" w:themeColor="text1"/>
          <w:szCs w:val="24"/>
        </w:rPr>
        <w:t xml:space="preserve">  </w:t>
      </w:r>
      <w:r w:rsidR="008F531B" w:rsidRPr="008F531B">
        <w:rPr>
          <w:color w:val="000000" w:themeColor="text1"/>
          <w:szCs w:val="24"/>
        </w:rPr>
        <w:t>Chronic bilateral ankle pain, s/p</w:t>
      </w:r>
      <w:r w:rsidR="0080204E">
        <w:rPr>
          <w:color w:val="000000" w:themeColor="text1"/>
          <w:szCs w:val="24"/>
        </w:rPr>
        <w:t xml:space="preserve"> (</w:t>
      </w:r>
      <w:proofErr w:type="spellStart"/>
      <w:r w:rsidR="0080204E">
        <w:rPr>
          <w:color w:val="000000" w:themeColor="text1"/>
          <w:szCs w:val="24"/>
        </w:rPr>
        <w:t>statu</w:t>
      </w:r>
      <w:proofErr w:type="spellEnd"/>
      <w:r w:rsidR="0080204E">
        <w:rPr>
          <w:color w:val="000000" w:themeColor="text1"/>
          <w:szCs w:val="24"/>
        </w:rPr>
        <w:t xml:space="preserve"> post)</w:t>
      </w:r>
      <w:r w:rsidR="008F531B" w:rsidRPr="008F531B">
        <w:rPr>
          <w:color w:val="000000" w:themeColor="text1"/>
          <w:szCs w:val="24"/>
        </w:rPr>
        <w:t xml:space="preserve"> bilateral ankle stabilization procedures</w:t>
      </w:r>
      <w:r w:rsidR="00FA2962">
        <w:rPr>
          <w:color w:val="000000" w:themeColor="text1"/>
          <w:szCs w:val="24"/>
        </w:rPr>
        <w:t>,</w:t>
      </w:r>
      <w:r w:rsidR="008F531B" w:rsidRPr="008F531B">
        <w:rPr>
          <w:color w:val="000000" w:themeColor="text1"/>
          <w:szCs w:val="24"/>
        </w:rPr>
        <w:t xml:space="preserve"> was </w:t>
      </w:r>
      <w:r w:rsidR="000A33C8" w:rsidRPr="008F531B">
        <w:rPr>
          <w:color w:val="000000" w:themeColor="text1"/>
          <w:szCs w:val="24"/>
        </w:rPr>
        <w:t>forwarded to the Physical Evaluation Board (PEB) as medically unacceptable IAW AR 40-501</w:t>
      </w:r>
      <w:r w:rsidR="00376E08" w:rsidRPr="008F531B">
        <w:rPr>
          <w:color w:val="000000" w:themeColor="text1"/>
          <w:szCs w:val="24"/>
        </w:rPr>
        <w:t>.</w:t>
      </w:r>
      <w:r w:rsidR="008F531B">
        <w:rPr>
          <w:color w:val="000000" w:themeColor="text1"/>
          <w:szCs w:val="24"/>
        </w:rPr>
        <w:t xml:space="preserve">  </w:t>
      </w:r>
      <w:r w:rsidR="00F13DD9" w:rsidRPr="008F531B">
        <w:rPr>
          <w:color w:val="000000" w:themeColor="text1"/>
          <w:szCs w:val="24"/>
        </w:rPr>
        <w:t>Depression</w:t>
      </w:r>
      <w:r w:rsidR="00F13DD9">
        <w:rPr>
          <w:color w:val="000000" w:themeColor="text1"/>
          <w:szCs w:val="24"/>
        </w:rPr>
        <w:t>,</w:t>
      </w:r>
      <w:r w:rsidR="00F13DD9" w:rsidRPr="008F531B">
        <w:rPr>
          <w:color w:val="000000" w:themeColor="text1"/>
          <w:szCs w:val="24"/>
        </w:rPr>
        <w:t xml:space="preserve"> as identified in the rating chart below, was </w:t>
      </w:r>
      <w:r w:rsidR="008E16FD" w:rsidRPr="008F531B">
        <w:rPr>
          <w:color w:val="000000" w:themeColor="text1"/>
          <w:szCs w:val="24"/>
        </w:rPr>
        <w:t xml:space="preserve">forwarded </w:t>
      </w:r>
      <w:r w:rsidR="008E16FD">
        <w:rPr>
          <w:color w:val="000000" w:themeColor="text1"/>
          <w:szCs w:val="24"/>
        </w:rPr>
        <w:t>as</w:t>
      </w:r>
      <w:r w:rsidR="00F13DD9" w:rsidRPr="001F29F9">
        <w:rPr>
          <w:color w:val="000000" w:themeColor="text1"/>
          <w:szCs w:val="24"/>
        </w:rPr>
        <w:t xml:space="preserve"> </w:t>
      </w:r>
      <w:r w:rsidR="00F13DD9">
        <w:rPr>
          <w:color w:val="000000" w:themeColor="text1"/>
          <w:szCs w:val="24"/>
        </w:rPr>
        <w:t xml:space="preserve">a </w:t>
      </w:r>
      <w:r w:rsidR="00F13DD9" w:rsidRPr="001F29F9">
        <w:rPr>
          <w:color w:val="000000" w:themeColor="text1"/>
          <w:szCs w:val="24"/>
        </w:rPr>
        <w:t>medically acceptable condition.</w:t>
      </w:r>
      <w:r w:rsidR="00F13DD9">
        <w:rPr>
          <w:color w:val="000000" w:themeColor="text1"/>
          <w:szCs w:val="24"/>
        </w:rPr>
        <w:t xml:space="preserve">  </w:t>
      </w:r>
      <w:r w:rsidR="00F13DD9" w:rsidRPr="001F29F9">
        <w:rPr>
          <w:color w:val="000000" w:themeColor="text1"/>
          <w:szCs w:val="24"/>
        </w:rPr>
        <w:t xml:space="preserve">The </w:t>
      </w:r>
      <w:r w:rsidR="0080204E">
        <w:rPr>
          <w:color w:val="000000" w:themeColor="text1"/>
          <w:szCs w:val="24"/>
        </w:rPr>
        <w:t>PEB</w:t>
      </w:r>
      <w:r w:rsidR="00F13DD9" w:rsidRPr="008F531B">
        <w:rPr>
          <w:color w:val="000000" w:themeColor="text1"/>
          <w:szCs w:val="24"/>
        </w:rPr>
        <w:t xml:space="preserve"> adjudicated the bilateral ankle pain condition as unfitting, rated 0%</w:t>
      </w:r>
      <w:r w:rsidR="00F13DD9">
        <w:rPr>
          <w:color w:val="000000" w:themeColor="text1"/>
          <w:szCs w:val="24"/>
        </w:rPr>
        <w:t>,</w:t>
      </w:r>
      <w:r w:rsidR="00F13DD9" w:rsidRPr="001F29F9">
        <w:rPr>
          <w:color w:val="000000" w:themeColor="text1"/>
          <w:szCs w:val="24"/>
        </w:rPr>
        <w:t xml:space="preserve"> with application of </w:t>
      </w:r>
      <w:r w:rsidR="00F13DD9" w:rsidRPr="008F4229">
        <w:rPr>
          <w:color w:val="000000" w:themeColor="text1"/>
          <w:szCs w:val="24"/>
        </w:rPr>
        <w:t>Veterans Administration Schedule for Rating Disabilities (VASRD</w:t>
      </w:r>
      <w:r w:rsidR="00F13DD9">
        <w:rPr>
          <w:color w:val="000000" w:themeColor="text1"/>
          <w:szCs w:val="24"/>
        </w:rPr>
        <w:t xml:space="preserve">).  </w:t>
      </w:r>
      <w:r w:rsidR="00B20624" w:rsidRPr="001F29F9">
        <w:rPr>
          <w:color w:val="000000" w:themeColor="text1"/>
        </w:rPr>
        <w:t xml:space="preserve">The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C17AC2">
        <w:rPr>
          <w:color w:val="000000" w:themeColor="text1"/>
        </w:rPr>
        <w:t>0%</w:t>
      </w:r>
      <w:r w:rsidR="00B20624" w:rsidRPr="001F29F9">
        <w:rPr>
          <w:color w:val="000000" w:themeColor="text1"/>
        </w:rPr>
        <w:t xml:space="preserve">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C17AC2">
        <w:rPr>
          <w:color w:val="000000" w:themeColor="text1"/>
        </w:rPr>
        <w:t xml:space="preserve">  “After separating the mi</w:t>
      </w:r>
      <w:r w:rsidR="00C17AC2" w:rsidRPr="00C17AC2">
        <w:rPr>
          <w:color w:val="000000" w:themeColor="text1"/>
        </w:rPr>
        <w:t>litary on a 0% medical discharge I was rated at 60% for compensation and 90% overall initially by the Department of</w:t>
      </w:r>
      <w:r w:rsidR="00C17AC2">
        <w:rPr>
          <w:color w:val="000000" w:themeColor="text1"/>
        </w:rPr>
        <w:t xml:space="preserve"> Veterans Affairs. </w:t>
      </w:r>
      <w:r w:rsidR="00C17AC2" w:rsidRPr="00C17AC2">
        <w:rPr>
          <w:color w:val="000000" w:themeColor="text1"/>
        </w:rPr>
        <w:t xml:space="preserve">This disparity in my medical </w:t>
      </w:r>
      <w:r w:rsidR="00C17AC2">
        <w:rPr>
          <w:color w:val="000000" w:themeColor="text1"/>
        </w:rPr>
        <w:t>sit</w:t>
      </w:r>
      <w:r w:rsidR="00C46F3B">
        <w:rPr>
          <w:color w:val="000000" w:themeColor="text1"/>
        </w:rPr>
        <w:t xml:space="preserve">uation should merit a review.” </w:t>
      </w:r>
    </w:p>
    <w:p w:rsidR="004174F0" w:rsidRPr="001F29F9" w:rsidRDefault="004174F0" w:rsidP="00BF0E94">
      <w:pPr>
        <w:pBdr>
          <w:bottom w:val="single" w:sz="12" w:space="1" w:color="auto"/>
        </w:pBdr>
        <w:tabs>
          <w:tab w:val="left" w:pos="288"/>
          <w:tab w:val="left" w:pos="4752"/>
        </w:tabs>
        <w:jc w:val="both"/>
        <w:rPr>
          <w:color w:val="000000" w:themeColor="text1"/>
        </w:rPr>
      </w:pPr>
    </w:p>
    <w:p w:rsidR="00F60E47" w:rsidRDefault="00F60E47" w:rsidP="00BF0E94">
      <w:pPr>
        <w:jc w:val="left"/>
        <w:rPr>
          <w:color w:val="000000" w:themeColor="text1"/>
          <w:u w:val="single"/>
        </w:rPr>
      </w:pPr>
    </w:p>
    <w:p w:rsidR="00C46F3B" w:rsidRDefault="00C46F3B" w:rsidP="00C46F3B">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w:t>
      </w:r>
      <w:proofErr w:type="gramStart"/>
      <w:r>
        <w:rPr>
          <w:color w:val="auto"/>
        </w:rPr>
        <w:t>.(</w:t>
      </w:r>
      <w:proofErr w:type="gramEnd"/>
      <w:r>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80204E">
        <w:rPr>
          <w:color w:val="auto"/>
        </w:rPr>
        <w:t>.</w:t>
      </w:r>
      <w:r w:rsidRPr="00C566C9">
        <w:rPr>
          <w:color w:val="auto"/>
        </w:rPr>
        <w:t>”</w:t>
      </w:r>
      <w:r>
        <w:rPr>
          <w:color w:val="auto"/>
        </w:rPr>
        <w:t xml:space="preserve">  </w:t>
      </w:r>
      <w:r w:rsidR="0080204E">
        <w:rPr>
          <w:color w:val="auto"/>
        </w:rPr>
        <w:t xml:space="preserve">The </w:t>
      </w:r>
      <w:r w:rsidRPr="009239C0">
        <w:rPr>
          <w:color w:val="auto"/>
        </w:rPr>
        <w:t>ratings for unfitting conditions will be reviewed in all cases</w:t>
      </w:r>
      <w:r w:rsidR="00222734">
        <w:rPr>
          <w:color w:val="auto"/>
        </w:rPr>
        <w:t xml:space="preserve">. </w:t>
      </w:r>
      <w:r w:rsidR="00222734" w:rsidRPr="00173170">
        <w:rPr>
          <w:color w:val="auto"/>
        </w:rPr>
        <w:t xml:space="preserve">The depression, asymptomatic </w:t>
      </w:r>
      <w:proofErr w:type="spellStart"/>
      <w:r w:rsidR="00222734" w:rsidRPr="00173170">
        <w:rPr>
          <w:color w:val="auto"/>
        </w:rPr>
        <w:t>hallux</w:t>
      </w:r>
      <w:proofErr w:type="spellEnd"/>
      <w:r w:rsidR="00222734" w:rsidRPr="00173170">
        <w:rPr>
          <w:color w:val="auto"/>
        </w:rPr>
        <w:t xml:space="preserve"> </w:t>
      </w:r>
      <w:proofErr w:type="spellStart"/>
      <w:r w:rsidR="00222734" w:rsidRPr="00173170">
        <w:rPr>
          <w:color w:val="auto"/>
        </w:rPr>
        <w:t>abductovalgus</w:t>
      </w:r>
      <w:proofErr w:type="spellEnd"/>
      <w:r w:rsidR="00222734" w:rsidRPr="00173170">
        <w:rPr>
          <w:color w:val="auto"/>
        </w:rPr>
        <w:t>, bilateral asymptomatic hammertoes and bilate</w:t>
      </w:r>
      <w:r w:rsidR="0080204E">
        <w:rPr>
          <w:color w:val="auto"/>
        </w:rPr>
        <w:t xml:space="preserve">ral metatarsal head </w:t>
      </w:r>
      <w:proofErr w:type="spellStart"/>
      <w:r w:rsidR="0080204E">
        <w:rPr>
          <w:color w:val="auto"/>
        </w:rPr>
        <w:t>tyloma</w:t>
      </w:r>
      <w:r w:rsidR="00115E44">
        <w:rPr>
          <w:color w:val="auto"/>
        </w:rPr>
        <w:t>s</w:t>
      </w:r>
      <w:proofErr w:type="spellEnd"/>
      <w:r w:rsidR="00115E44">
        <w:rPr>
          <w:color w:val="auto"/>
        </w:rPr>
        <w:t xml:space="preserve"> </w:t>
      </w:r>
      <w:r w:rsidR="00115E44" w:rsidRPr="00FB212B">
        <w:rPr>
          <w:color w:val="auto"/>
        </w:rPr>
        <w:t>(</w:t>
      </w:r>
      <w:proofErr w:type="spellStart"/>
      <w:r w:rsidR="00115E44" w:rsidRPr="00FB212B">
        <w:rPr>
          <w:color w:val="auto"/>
        </w:rPr>
        <w:t>callouses</w:t>
      </w:r>
      <w:proofErr w:type="spellEnd"/>
      <w:r w:rsidR="00115E44" w:rsidRPr="00FB212B">
        <w:rPr>
          <w:color w:val="auto"/>
        </w:rPr>
        <w:t xml:space="preserve">) </w:t>
      </w:r>
      <w:r w:rsidR="00222734" w:rsidRPr="00173170">
        <w:rPr>
          <w:color w:val="auto"/>
        </w:rPr>
        <w:t>condition</w:t>
      </w:r>
      <w:r w:rsidR="00173170" w:rsidRPr="00173170">
        <w:rPr>
          <w:color w:val="auto"/>
        </w:rPr>
        <w:t>s</w:t>
      </w:r>
      <w:r w:rsidR="0080204E">
        <w:rPr>
          <w:color w:val="auto"/>
        </w:rPr>
        <w:t>, requested for consideration</w:t>
      </w:r>
      <w:proofErr w:type="gramStart"/>
      <w:r w:rsidR="00222734" w:rsidRPr="00173170">
        <w:rPr>
          <w:color w:val="auto"/>
        </w:rPr>
        <w:t>,  meet</w:t>
      </w:r>
      <w:proofErr w:type="gramEnd"/>
      <w:r w:rsidR="00222734" w:rsidRPr="00173170">
        <w:rPr>
          <w:color w:val="auto"/>
        </w:rPr>
        <w:t xml:space="preserve"> the criteria prescribed in DoDI 6040.44 for Board purview, and ar</w:t>
      </w:r>
      <w:r w:rsidR="00785CB5">
        <w:rPr>
          <w:color w:val="auto"/>
        </w:rPr>
        <w:t xml:space="preserve">e accordingly addressed below. </w:t>
      </w:r>
      <w:r w:rsidR="00222734" w:rsidRPr="00173170">
        <w:rPr>
          <w:color w:val="auto"/>
        </w:rPr>
        <w:t xml:space="preserve"> The remaining conditions rated by the VA at separation and listed on the D</w:t>
      </w:r>
      <w:r w:rsidR="00173170" w:rsidRPr="00173170">
        <w:rPr>
          <w:color w:val="auto"/>
        </w:rPr>
        <w:t>D</w:t>
      </w:r>
      <w:r w:rsidR="00222734" w:rsidRPr="00173170">
        <w:rPr>
          <w:color w:val="auto"/>
        </w:rPr>
        <w:t xml:space="preserve"> Form 294 application are not within the Board’s purview.</w:t>
      </w:r>
      <w:r w:rsidR="00222734" w:rsidRPr="002A3A66">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C46F3B">
        <w:rPr>
          <w:color w:val="auto"/>
        </w:rPr>
        <w:t>the Army Board for the</w:t>
      </w:r>
      <w:r w:rsidR="00A4112F">
        <w:rPr>
          <w:color w:val="auto"/>
        </w:rPr>
        <w:t xml:space="preserve"> Correction of Military Records</w:t>
      </w:r>
      <w:r w:rsidR="004073C3">
        <w:rPr>
          <w:color w:val="auto"/>
        </w:rPr>
        <w:t>.</w:t>
      </w:r>
    </w:p>
    <w:p w:rsidR="005E6D70" w:rsidRPr="001F29F9" w:rsidRDefault="005E6D70" w:rsidP="005E6D70">
      <w:pPr>
        <w:pBdr>
          <w:bottom w:val="single" w:sz="12" w:space="1" w:color="auto"/>
        </w:pBdr>
        <w:tabs>
          <w:tab w:val="left" w:pos="288"/>
          <w:tab w:val="left" w:pos="4752"/>
        </w:tabs>
        <w:jc w:val="both"/>
        <w:rPr>
          <w:color w:val="000000" w:themeColor="text1"/>
        </w:rPr>
      </w:pPr>
    </w:p>
    <w:p w:rsidR="005E6D70" w:rsidRDefault="005E6D70" w:rsidP="005E6D70">
      <w:pPr>
        <w:jc w:val="left"/>
        <w:rPr>
          <w:color w:val="000000" w:themeColor="text1"/>
          <w:u w:val="single"/>
        </w:rPr>
      </w:pPr>
    </w:p>
    <w:p w:rsidR="0080204E" w:rsidRDefault="0080204E">
      <w:pPr>
        <w:rPr>
          <w:color w:val="000000" w:themeColor="text1"/>
          <w:u w:val="single"/>
        </w:rPr>
      </w:pPr>
      <w:r>
        <w:rPr>
          <w:color w:val="000000" w:themeColor="text1"/>
          <w:u w:val="single"/>
        </w:rPr>
        <w:br w:type="page"/>
      </w:r>
    </w:p>
    <w:p w:rsidR="004073C3" w:rsidRPr="00673A77" w:rsidRDefault="004073C3" w:rsidP="004073C3">
      <w:pPr>
        <w:jc w:val="left"/>
        <w:rPr>
          <w:color w:val="000000" w:themeColor="text1"/>
          <w:u w:val="single"/>
        </w:rPr>
      </w:pPr>
      <w:r w:rsidRPr="004073C3">
        <w:rPr>
          <w:color w:val="000000" w:themeColor="text1"/>
          <w:szCs w:val="24"/>
          <w:u w:val="single"/>
        </w:rPr>
        <w:lastRenderedPageBreak/>
        <w:t>RATING COMPARISON:</w:t>
      </w:r>
    </w:p>
    <w:p w:rsidR="004073C3" w:rsidRPr="004073C3" w:rsidRDefault="004073C3" w:rsidP="004073C3">
      <w:pPr>
        <w:jc w:val="left"/>
        <w:rPr>
          <w:color w:val="000000" w:themeColor="text1"/>
          <w:szCs w:val="24"/>
        </w:rPr>
      </w:pPr>
    </w:p>
    <w:tbl>
      <w:tblPr>
        <w:tblStyle w:val="TableGrid"/>
        <w:tblpPr w:leftFromText="187" w:rightFromText="187" w:vertAnchor="text" w:tblpXSpec="center" w:tblpY="1"/>
        <w:tblOverlap w:val="never"/>
        <w:tblW w:w="9378" w:type="dxa"/>
        <w:jc w:val="center"/>
        <w:tblLayout w:type="fixed"/>
        <w:tblLook w:val="04A0"/>
      </w:tblPr>
      <w:tblGrid>
        <w:gridCol w:w="1728"/>
        <w:gridCol w:w="1080"/>
        <w:gridCol w:w="720"/>
        <w:gridCol w:w="2948"/>
        <w:gridCol w:w="22"/>
        <w:gridCol w:w="1062"/>
        <w:gridCol w:w="828"/>
        <w:gridCol w:w="990"/>
      </w:tblGrid>
      <w:tr w:rsidR="002B4E22" w:rsidRPr="000B1BBC" w:rsidTr="00173170">
        <w:trPr>
          <w:trHeight w:val="233"/>
          <w:jc w:val="center"/>
        </w:trPr>
        <w:tc>
          <w:tcPr>
            <w:tcW w:w="3528" w:type="dxa"/>
            <w:gridSpan w:val="3"/>
            <w:tcBorders>
              <w:right w:val="thinThickThinSmallGap" w:sz="24" w:space="0" w:color="auto"/>
            </w:tcBorders>
            <w:shd w:val="clear" w:color="auto" w:fill="D9D9D9" w:themeFill="background1" w:themeFillShade="D9"/>
            <w:vAlign w:val="center"/>
          </w:tcPr>
          <w:p w:rsidR="002B4E22" w:rsidRPr="000B1BBC" w:rsidRDefault="00B731E4" w:rsidP="00BF0E94">
            <w:pPr>
              <w:contextualSpacing/>
              <w:rPr>
                <w:rFonts w:ascii="Calibri" w:hAnsi="Calibri" w:cs="Calibri"/>
                <w:b/>
                <w:color w:val="000000" w:themeColor="text1"/>
                <w:sz w:val="18"/>
                <w:szCs w:val="18"/>
              </w:rPr>
            </w:pPr>
            <w:r w:rsidRPr="000B1BBC">
              <w:rPr>
                <w:rFonts w:ascii="Calibri" w:hAnsi="Calibri" w:cs="Calibri"/>
                <w:b/>
                <w:color w:val="000000" w:themeColor="text1"/>
                <w:sz w:val="18"/>
                <w:szCs w:val="18"/>
              </w:rPr>
              <w:t xml:space="preserve">Service </w:t>
            </w:r>
            <w:r w:rsidR="00C17AC2" w:rsidRPr="000B1BBC">
              <w:rPr>
                <w:rFonts w:ascii="Calibri" w:hAnsi="Calibri" w:cs="Calibri"/>
                <w:b/>
                <w:color w:val="000000" w:themeColor="text1"/>
                <w:sz w:val="18"/>
                <w:szCs w:val="18"/>
              </w:rPr>
              <w:t>I</w:t>
            </w:r>
            <w:r w:rsidRPr="000B1BBC">
              <w:rPr>
                <w:rFonts w:ascii="Calibri" w:hAnsi="Calibri" w:cs="Calibri"/>
                <w:b/>
                <w:color w:val="000000" w:themeColor="text1"/>
                <w:sz w:val="18"/>
                <w:szCs w:val="18"/>
              </w:rPr>
              <w:t>PEB – Dated 200</w:t>
            </w:r>
            <w:r w:rsidR="00C17AC2" w:rsidRPr="000B1BBC">
              <w:rPr>
                <w:rFonts w:ascii="Calibri" w:hAnsi="Calibri" w:cs="Calibri"/>
                <w:b/>
                <w:color w:val="000000" w:themeColor="text1"/>
                <w:sz w:val="18"/>
                <w:szCs w:val="18"/>
              </w:rPr>
              <w:t>50712</w:t>
            </w:r>
          </w:p>
        </w:tc>
        <w:tc>
          <w:tcPr>
            <w:tcW w:w="5850" w:type="dxa"/>
            <w:gridSpan w:val="5"/>
            <w:tcBorders>
              <w:left w:val="thinThickThinSmallGap" w:sz="24" w:space="0" w:color="auto"/>
            </w:tcBorders>
            <w:shd w:val="clear" w:color="auto" w:fill="D9D9D9" w:themeFill="background1" w:themeFillShade="D9"/>
            <w:vAlign w:val="center"/>
          </w:tcPr>
          <w:p w:rsidR="002B4E22" w:rsidRPr="000B1BBC" w:rsidRDefault="002B4E22" w:rsidP="00146EBD">
            <w:pPr>
              <w:contextualSpacing/>
              <w:rPr>
                <w:rFonts w:ascii="Calibri" w:hAnsi="Calibri" w:cs="Calibri"/>
                <w:b/>
                <w:color w:val="000000" w:themeColor="text1"/>
                <w:sz w:val="18"/>
                <w:szCs w:val="18"/>
              </w:rPr>
            </w:pPr>
            <w:r w:rsidRPr="000B1BBC">
              <w:rPr>
                <w:rFonts w:ascii="Calibri" w:hAnsi="Calibri" w:cs="Calibri"/>
                <w:b/>
                <w:color w:val="000000" w:themeColor="text1"/>
                <w:sz w:val="18"/>
                <w:szCs w:val="18"/>
              </w:rPr>
              <w:t>VA (</w:t>
            </w:r>
            <w:r w:rsidR="00C17AC2" w:rsidRPr="000B1BBC">
              <w:rPr>
                <w:rFonts w:ascii="Calibri" w:hAnsi="Calibri" w:cs="Calibri"/>
                <w:b/>
                <w:color w:val="000000" w:themeColor="text1"/>
                <w:sz w:val="18"/>
                <w:szCs w:val="18"/>
              </w:rPr>
              <w:t>1</w:t>
            </w:r>
            <w:r w:rsidR="00146EBD" w:rsidRPr="000B1BBC">
              <w:rPr>
                <w:rFonts w:ascii="Calibri" w:hAnsi="Calibri" w:cs="Calibri"/>
                <w:b/>
                <w:color w:val="000000" w:themeColor="text1"/>
                <w:sz w:val="18"/>
                <w:szCs w:val="18"/>
              </w:rPr>
              <w:t>4</w:t>
            </w:r>
            <w:r w:rsidRPr="000B1BBC">
              <w:rPr>
                <w:rFonts w:ascii="Calibri" w:hAnsi="Calibri" w:cs="Calibri"/>
                <w:b/>
                <w:color w:val="000000" w:themeColor="text1"/>
                <w:sz w:val="18"/>
                <w:szCs w:val="18"/>
              </w:rPr>
              <w:t xml:space="preserve">Mo. After Separation) – All Effective Date </w:t>
            </w:r>
            <w:r w:rsidR="002D08F3" w:rsidRPr="000B1BBC">
              <w:rPr>
                <w:rFonts w:ascii="Calibri" w:hAnsi="Calibri" w:cs="Calibri"/>
                <w:b/>
                <w:color w:val="000000" w:themeColor="text1"/>
                <w:sz w:val="18"/>
                <w:szCs w:val="18"/>
              </w:rPr>
              <w:t>200</w:t>
            </w:r>
            <w:r w:rsidR="00C17AC2" w:rsidRPr="000B1BBC">
              <w:rPr>
                <w:rFonts w:ascii="Calibri" w:hAnsi="Calibri" w:cs="Calibri"/>
                <w:b/>
                <w:color w:val="000000" w:themeColor="text1"/>
                <w:sz w:val="18"/>
                <w:szCs w:val="18"/>
              </w:rPr>
              <w:t>50930</w:t>
            </w:r>
          </w:p>
        </w:tc>
      </w:tr>
      <w:tr w:rsidR="002B4E22" w:rsidRPr="000B1BBC" w:rsidTr="00173170">
        <w:trPr>
          <w:trHeight w:val="278"/>
          <w:jc w:val="center"/>
        </w:trPr>
        <w:tc>
          <w:tcPr>
            <w:tcW w:w="1728" w:type="dxa"/>
            <w:tcBorders>
              <w:bottom w:val="single" w:sz="4" w:space="0" w:color="000000" w:themeColor="text1"/>
              <w:right w:val="single" w:sz="4" w:space="0" w:color="auto"/>
            </w:tcBorders>
            <w:shd w:val="clear" w:color="auto" w:fill="D9D9D9" w:themeFill="background1" w:themeFillShade="D9"/>
            <w:vAlign w:val="center"/>
          </w:tcPr>
          <w:p w:rsidR="002B4E22" w:rsidRPr="000B1BBC" w:rsidRDefault="002B4E22" w:rsidP="00BF0E94">
            <w:pPr>
              <w:contextualSpacing/>
              <w:rPr>
                <w:rFonts w:ascii="Calibri" w:hAnsi="Calibri" w:cs="Calibri"/>
                <w:b/>
                <w:color w:val="000000" w:themeColor="text1"/>
                <w:sz w:val="18"/>
                <w:szCs w:val="18"/>
              </w:rPr>
            </w:pPr>
            <w:r w:rsidRPr="000B1BBC">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0B1BBC" w:rsidRDefault="002B4E22" w:rsidP="00BF0E94">
            <w:pPr>
              <w:contextualSpacing/>
              <w:rPr>
                <w:rFonts w:ascii="Calibri" w:hAnsi="Calibri" w:cs="Calibri"/>
                <w:b/>
                <w:color w:val="000000" w:themeColor="text1"/>
                <w:sz w:val="18"/>
                <w:szCs w:val="18"/>
              </w:rPr>
            </w:pPr>
            <w:r w:rsidRPr="000B1BBC">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0B1BBC" w:rsidRDefault="002B4E22" w:rsidP="00BF0E94">
            <w:pPr>
              <w:contextualSpacing/>
              <w:rPr>
                <w:rFonts w:ascii="Calibri" w:hAnsi="Calibri" w:cs="Calibri"/>
                <w:b/>
                <w:color w:val="000000" w:themeColor="text1"/>
                <w:sz w:val="18"/>
                <w:szCs w:val="18"/>
              </w:rPr>
            </w:pPr>
            <w:r w:rsidRPr="000B1BBC">
              <w:rPr>
                <w:rFonts w:ascii="Calibri" w:hAnsi="Calibri" w:cs="Calibri"/>
                <w:b/>
                <w:color w:val="000000" w:themeColor="text1"/>
                <w:sz w:val="18"/>
                <w:szCs w:val="18"/>
              </w:rPr>
              <w:t>Rating</w:t>
            </w:r>
          </w:p>
        </w:tc>
        <w:tc>
          <w:tcPr>
            <w:tcW w:w="294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0B1BBC" w:rsidRDefault="002B4E22" w:rsidP="00BF0E94">
            <w:pPr>
              <w:contextualSpacing/>
              <w:rPr>
                <w:rFonts w:ascii="Calibri" w:hAnsi="Calibri" w:cs="Calibri"/>
                <w:b/>
                <w:color w:val="000000" w:themeColor="text1"/>
                <w:sz w:val="18"/>
                <w:szCs w:val="18"/>
              </w:rPr>
            </w:pPr>
            <w:r w:rsidRPr="000B1BBC">
              <w:rPr>
                <w:rFonts w:ascii="Calibri" w:hAnsi="Calibri" w:cs="Calibri"/>
                <w:b/>
                <w:color w:val="000000" w:themeColor="text1"/>
                <w:sz w:val="18"/>
                <w:szCs w:val="18"/>
              </w:rPr>
              <w:t>Condition</w:t>
            </w:r>
          </w:p>
        </w:tc>
        <w:tc>
          <w:tcPr>
            <w:tcW w:w="1084" w:type="dxa"/>
            <w:gridSpan w:val="2"/>
            <w:tcBorders>
              <w:bottom w:val="single" w:sz="4" w:space="0" w:color="000000" w:themeColor="text1"/>
            </w:tcBorders>
            <w:shd w:val="clear" w:color="auto" w:fill="D9D9D9" w:themeFill="background1" w:themeFillShade="D9"/>
            <w:vAlign w:val="center"/>
          </w:tcPr>
          <w:p w:rsidR="002B4E22" w:rsidRPr="000B1BBC" w:rsidRDefault="002B4E22" w:rsidP="00BF0E94">
            <w:pPr>
              <w:contextualSpacing/>
              <w:rPr>
                <w:rFonts w:ascii="Calibri" w:hAnsi="Calibri" w:cs="Calibri"/>
                <w:b/>
                <w:color w:val="000000" w:themeColor="text1"/>
                <w:sz w:val="18"/>
                <w:szCs w:val="18"/>
              </w:rPr>
            </w:pPr>
            <w:r w:rsidRPr="000B1BBC">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0B1BBC" w:rsidRDefault="002B4E22" w:rsidP="00BF0E94">
            <w:pPr>
              <w:contextualSpacing/>
              <w:rPr>
                <w:rFonts w:ascii="Calibri" w:hAnsi="Calibri" w:cs="Calibri"/>
                <w:b/>
                <w:color w:val="000000" w:themeColor="text1"/>
                <w:sz w:val="18"/>
                <w:szCs w:val="18"/>
              </w:rPr>
            </w:pPr>
            <w:r w:rsidRPr="000B1BBC">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0B1BBC" w:rsidRDefault="002B4E22" w:rsidP="00BF0E94">
            <w:pPr>
              <w:contextualSpacing/>
              <w:rPr>
                <w:rFonts w:ascii="Calibri" w:hAnsi="Calibri" w:cs="Calibri"/>
                <w:b/>
                <w:color w:val="000000" w:themeColor="text1"/>
                <w:sz w:val="18"/>
                <w:szCs w:val="18"/>
              </w:rPr>
            </w:pPr>
            <w:r w:rsidRPr="000B1BBC">
              <w:rPr>
                <w:rFonts w:ascii="Calibri" w:hAnsi="Calibri" w:cs="Calibri"/>
                <w:b/>
                <w:color w:val="000000" w:themeColor="text1"/>
                <w:sz w:val="18"/>
                <w:szCs w:val="18"/>
              </w:rPr>
              <w:t>Exam</w:t>
            </w:r>
          </w:p>
        </w:tc>
      </w:tr>
      <w:tr w:rsidR="00C03C21" w:rsidRPr="000B1BBC" w:rsidTr="00173170">
        <w:trPr>
          <w:trHeight w:val="287"/>
          <w:jc w:val="center"/>
        </w:trPr>
        <w:tc>
          <w:tcPr>
            <w:tcW w:w="1728" w:type="dxa"/>
            <w:tcBorders>
              <w:bottom w:val="nil"/>
              <w:right w:val="single" w:sz="4" w:space="0" w:color="auto"/>
            </w:tcBorders>
            <w:shd w:val="clear" w:color="auto" w:fill="FFFFFF" w:themeFill="background1"/>
            <w:vAlign w:val="center"/>
          </w:tcPr>
          <w:p w:rsidR="00BC5860" w:rsidRPr="000B1BBC" w:rsidRDefault="00C17AC2">
            <w:pPr>
              <w:spacing w:line="180" w:lineRule="exact"/>
              <w:contextualSpacing/>
              <w:jc w:val="left"/>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Bilateral Ankle Pain</w:t>
            </w:r>
          </w:p>
        </w:tc>
        <w:tc>
          <w:tcPr>
            <w:tcW w:w="1080" w:type="dxa"/>
            <w:tcBorders>
              <w:left w:val="single" w:sz="4" w:space="0" w:color="auto"/>
              <w:bottom w:val="nil"/>
            </w:tcBorders>
            <w:shd w:val="clear" w:color="auto" w:fill="FFFFFF" w:themeFill="background1"/>
            <w:vAlign w:val="center"/>
          </w:tcPr>
          <w:p w:rsidR="00BC5860" w:rsidRPr="000B1BBC" w:rsidRDefault="00C17AC2">
            <w:pPr>
              <w:spacing w:line="180" w:lineRule="exact"/>
              <w:contextualSpacing/>
              <w:rPr>
                <w:rFonts w:ascii="Calibri" w:eastAsia="Times New Roman" w:hAnsi="Calibri" w:cs="Calibri"/>
                <w:color w:val="000000" w:themeColor="text1"/>
                <w:sz w:val="18"/>
                <w:szCs w:val="18"/>
              </w:rPr>
            </w:pPr>
            <w:r w:rsidRPr="000B1BBC">
              <w:rPr>
                <w:rFonts w:ascii="Calibri" w:hAnsi="Calibri" w:cs="Calibri"/>
                <w:color w:val="000000" w:themeColor="text1"/>
                <w:sz w:val="18"/>
                <w:szCs w:val="18"/>
              </w:rPr>
              <w:t>5099-5003</w:t>
            </w:r>
          </w:p>
        </w:tc>
        <w:tc>
          <w:tcPr>
            <w:tcW w:w="720" w:type="dxa"/>
            <w:tcBorders>
              <w:bottom w:val="nil"/>
              <w:right w:val="thinThickThinSmallGap" w:sz="24" w:space="0" w:color="auto"/>
            </w:tcBorders>
            <w:shd w:val="clear" w:color="auto" w:fill="FFFFFF" w:themeFill="background1"/>
            <w:vAlign w:val="center"/>
          </w:tcPr>
          <w:p w:rsidR="00BC5860" w:rsidRPr="000B1BBC" w:rsidRDefault="00C17AC2">
            <w:pPr>
              <w:spacing w:line="180" w:lineRule="exact"/>
              <w:rPr>
                <w:rFonts w:ascii="Calibri" w:eastAsia="Times New Roman" w:hAnsi="Calibri" w:cs="Calibri"/>
                <w:color w:val="000000" w:themeColor="text1"/>
                <w:sz w:val="18"/>
                <w:szCs w:val="18"/>
              </w:rPr>
            </w:pPr>
            <w:r w:rsidRPr="000B1BBC">
              <w:rPr>
                <w:rFonts w:ascii="Calibri" w:hAnsi="Calibri" w:cs="Calibri"/>
                <w:color w:val="000000" w:themeColor="text1"/>
                <w:sz w:val="18"/>
                <w:szCs w:val="18"/>
              </w:rPr>
              <w:t>0</w:t>
            </w:r>
            <w:r w:rsidR="00C03C21" w:rsidRPr="000B1BBC">
              <w:rPr>
                <w:rFonts w:ascii="Calibri" w:hAnsi="Calibri" w:cs="Calibri"/>
                <w:color w:val="000000" w:themeColor="text1"/>
                <w:sz w:val="18"/>
                <w:szCs w:val="18"/>
              </w:rPr>
              <w:t>%</w:t>
            </w:r>
          </w:p>
        </w:tc>
        <w:tc>
          <w:tcPr>
            <w:tcW w:w="2948" w:type="dxa"/>
            <w:tcBorders>
              <w:left w:val="thinThickThinSmallGap" w:sz="24" w:space="0" w:color="auto"/>
            </w:tcBorders>
            <w:shd w:val="clear" w:color="auto" w:fill="FFFFFF" w:themeFill="background1"/>
            <w:vAlign w:val="center"/>
          </w:tcPr>
          <w:p w:rsidR="00BC5860" w:rsidRPr="000B1BBC" w:rsidRDefault="00C17AC2" w:rsidP="00173170">
            <w:pPr>
              <w:spacing w:line="180" w:lineRule="exact"/>
              <w:contextualSpacing/>
              <w:jc w:val="left"/>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 xml:space="preserve">Degenerative Joint Disease </w:t>
            </w:r>
            <w:proofErr w:type="spellStart"/>
            <w:r w:rsidRPr="000B1BBC">
              <w:rPr>
                <w:rFonts w:ascii="Calibri" w:eastAsia="Times New Roman" w:hAnsi="Calibri" w:cs="Calibri"/>
                <w:color w:val="000000" w:themeColor="text1"/>
                <w:sz w:val="18"/>
                <w:szCs w:val="18"/>
              </w:rPr>
              <w:t>Rt</w:t>
            </w:r>
            <w:proofErr w:type="spellEnd"/>
            <w:r w:rsidRPr="000B1BBC">
              <w:rPr>
                <w:rFonts w:ascii="Calibri" w:eastAsia="Times New Roman" w:hAnsi="Calibri" w:cs="Calibri"/>
                <w:color w:val="000000" w:themeColor="text1"/>
                <w:sz w:val="18"/>
                <w:szCs w:val="18"/>
              </w:rPr>
              <w:t xml:space="preserve"> Ankle</w:t>
            </w:r>
          </w:p>
        </w:tc>
        <w:tc>
          <w:tcPr>
            <w:tcW w:w="1084" w:type="dxa"/>
            <w:gridSpan w:val="2"/>
            <w:shd w:val="clear" w:color="auto" w:fill="FFFFFF" w:themeFill="background1"/>
            <w:vAlign w:val="center"/>
          </w:tcPr>
          <w:p w:rsidR="00BC5860" w:rsidRPr="000B1BBC" w:rsidRDefault="00C17AC2">
            <w:pPr>
              <w:spacing w:line="180" w:lineRule="exact"/>
              <w:contextualSpacing/>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5010-5271</w:t>
            </w:r>
          </w:p>
        </w:tc>
        <w:tc>
          <w:tcPr>
            <w:tcW w:w="828" w:type="dxa"/>
            <w:shd w:val="clear" w:color="auto" w:fill="FFFFFF" w:themeFill="background1"/>
            <w:vAlign w:val="center"/>
          </w:tcPr>
          <w:p w:rsidR="00BC5860" w:rsidRPr="000B1BBC" w:rsidRDefault="00C17AC2">
            <w:pPr>
              <w:spacing w:line="180" w:lineRule="exact"/>
              <w:contextualSpacing/>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BC5860" w:rsidRPr="000B1BBC" w:rsidRDefault="00C17AC2">
            <w:pPr>
              <w:spacing w:line="180" w:lineRule="exact"/>
              <w:contextualSpacing/>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20070205</w:t>
            </w:r>
          </w:p>
        </w:tc>
      </w:tr>
      <w:tr w:rsidR="00C9377A" w:rsidRPr="000B1BBC" w:rsidTr="00173170">
        <w:trPr>
          <w:trHeight w:val="287"/>
          <w:jc w:val="center"/>
        </w:trPr>
        <w:tc>
          <w:tcPr>
            <w:tcW w:w="1728" w:type="dxa"/>
            <w:tcBorders>
              <w:top w:val="nil"/>
              <w:right w:val="single" w:sz="4" w:space="0" w:color="auto"/>
            </w:tcBorders>
            <w:shd w:val="clear" w:color="auto" w:fill="FFFFFF" w:themeFill="background1"/>
            <w:vAlign w:val="center"/>
          </w:tcPr>
          <w:p w:rsidR="00C9377A" w:rsidRPr="000B1BBC" w:rsidRDefault="00C9377A">
            <w:pPr>
              <w:spacing w:line="180" w:lineRule="exact"/>
              <w:contextualSpacing/>
              <w:jc w:val="left"/>
              <w:rPr>
                <w:rFonts w:ascii="Calibri" w:eastAsia="Times New Roman" w:hAnsi="Calibri" w:cs="Calibri"/>
                <w:color w:val="000000" w:themeColor="text1"/>
                <w:sz w:val="18"/>
                <w:szCs w:val="18"/>
              </w:rPr>
            </w:pPr>
          </w:p>
        </w:tc>
        <w:tc>
          <w:tcPr>
            <w:tcW w:w="1080" w:type="dxa"/>
            <w:tcBorders>
              <w:top w:val="nil"/>
              <w:left w:val="single" w:sz="4" w:space="0" w:color="auto"/>
              <w:right w:val="single" w:sz="4" w:space="0" w:color="auto"/>
            </w:tcBorders>
            <w:shd w:val="clear" w:color="auto" w:fill="FFFFFF" w:themeFill="background1"/>
            <w:vAlign w:val="center"/>
          </w:tcPr>
          <w:p w:rsidR="00C9377A" w:rsidRPr="000B1BBC" w:rsidRDefault="00C9377A">
            <w:pPr>
              <w:spacing w:line="180" w:lineRule="exact"/>
              <w:rPr>
                <w:rFonts w:ascii="Calibri" w:eastAsia="Times New Roman" w:hAnsi="Calibri" w:cs="Calibri"/>
                <w:color w:val="000000" w:themeColor="text1"/>
                <w:sz w:val="18"/>
                <w:szCs w:val="18"/>
              </w:rPr>
            </w:pPr>
          </w:p>
        </w:tc>
        <w:tc>
          <w:tcPr>
            <w:tcW w:w="720" w:type="dxa"/>
            <w:tcBorders>
              <w:top w:val="nil"/>
              <w:left w:val="single" w:sz="4" w:space="0" w:color="auto"/>
              <w:right w:val="thinThickThinSmallGap" w:sz="24" w:space="0" w:color="auto"/>
            </w:tcBorders>
            <w:shd w:val="clear" w:color="auto" w:fill="FFFFFF" w:themeFill="background1"/>
            <w:vAlign w:val="center"/>
          </w:tcPr>
          <w:p w:rsidR="00C9377A" w:rsidRPr="000B1BBC" w:rsidRDefault="00C9377A">
            <w:pPr>
              <w:spacing w:line="180" w:lineRule="exact"/>
              <w:rPr>
                <w:rFonts w:cs="Calibri"/>
                <w:color w:val="000000" w:themeColor="text1"/>
                <w:sz w:val="18"/>
                <w:szCs w:val="18"/>
              </w:rPr>
            </w:pPr>
          </w:p>
        </w:tc>
        <w:tc>
          <w:tcPr>
            <w:tcW w:w="2948" w:type="dxa"/>
            <w:tcBorders>
              <w:left w:val="thinThickThinSmallGap" w:sz="24" w:space="0" w:color="auto"/>
              <w:right w:val="single" w:sz="4" w:space="0" w:color="auto"/>
            </w:tcBorders>
            <w:shd w:val="clear" w:color="auto" w:fill="FFFFFF" w:themeFill="background1"/>
            <w:vAlign w:val="center"/>
          </w:tcPr>
          <w:p w:rsidR="00C9377A" w:rsidRPr="000B1BBC" w:rsidRDefault="00C9377A" w:rsidP="00173170">
            <w:pPr>
              <w:spacing w:line="180" w:lineRule="exact"/>
              <w:contextualSpacing/>
              <w:jc w:val="left"/>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 xml:space="preserve">Degenerative Joint Disease </w:t>
            </w:r>
            <w:r w:rsidR="00982A17" w:rsidRPr="000B1BBC">
              <w:rPr>
                <w:rFonts w:ascii="Calibri" w:eastAsia="Times New Roman" w:hAnsi="Calibri" w:cs="Calibri"/>
                <w:color w:val="000000" w:themeColor="text1"/>
                <w:sz w:val="18"/>
                <w:szCs w:val="18"/>
              </w:rPr>
              <w:t xml:space="preserve">Lt </w:t>
            </w:r>
            <w:r w:rsidRPr="000B1BBC">
              <w:rPr>
                <w:rFonts w:ascii="Calibri" w:eastAsia="Times New Roman" w:hAnsi="Calibri" w:cs="Calibri"/>
                <w:color w:val="000000" w:themeColor="text1"/>
                <w:sz w:val="18"/>
                <w:szCs w:val="18"/>
              </w:rPr>
              <w:t>Ankle</w:t>
            </w:r>
          </w:p>
        </w:tc>
        <w:tc>
          <w:tcPr>
            <w:tcW w:w="1084" w:type="dxa"/>
            <w:gridSpan w:val="2"/>
            <w:tcBorders>
              <w:left w:val="single" w:sz="4" w:space="0" w:color="auto"/>
            </w:tcBorders>
            <w:shd w:val="clear" w:color="auto" w:fill="FFFFFF" w:themeFill="background1"/>
            <w:vAlign w:val="center"/>
          </w:tcPr>
          <w:p w:rsidR="00C9377A" w:rsidRPr="000B1BBC" w:rsidRDefault="00C9377A">
            <w:pPr>
              <w:spacing w:line="180" w:lineRule="exact"/>
              <w:contextualSpacing/>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5010-5271</w:t>
            </w:r>
          </w:p>
        </w:tc>
        <w:tc>
          <w:tcPr>
            <w:tcW w:w="828" w:type="dxa"/>
            <w:shd w:val="clear" w:color="auto" w:fill="FFFFFF" w:themeFill="background1"/>
            <w:vAlign w:val="center"/>
          </w:tcPr>
          <w:p w:rsidR="00C9377A" w:rsidRPr="000B1BBC" w:rsidRDefault="00C9377A">
            <w:pPr>
              <w:spacing w:line="180" w:lineRule="exact"/>
              <w:contextualSpacing/>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C9377A" w:rsidRPr="000B1BBC" w:rsidRDefault="00C9377A">
            <w:pPr>
              <w:spacing w:line="180" w:lineRule="exact"/>
              <w:contextualSpacing/>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20070205</w:t>
            </w:r>
          </w:p>
        </w:tc>
      </w:tr>
      <w:tr w:rsidR="00C9377A" w:rsidRPr="000B1BBC" w:rsidTr="00173170">
        <w:trPr>
          <w:trHeight w:val="287"/>
          <w:jc w:val="center"/>
        </w:trPr>
        <w:tc>
          <w:tcPr>
            <w:tcW w:w="1728" w:type="dxa"/>
            <w:tcBorders>
              <w:right w:val="single" w:sz="4" w:space="0" w:color="auto"/>
            </w:tcBorders>
            <w:shd w:val="clear" w:color="auto" w:fill="FFFFFF" w:themeFill="background1"/>
            <w:vAlign w:val="center"/>
          </w:tcPr>
          <w:p w:rsidR="00C9377A" w:rsidRPr="000B1BBC" w:rsidRDefault="00C9377A" w:rsidP="00C9377A">
            <w:pPr>
              <w:spacing w:line="180" w:lineRule="exact"/>
              <w:contextualSpacing/>
              <w:jc w:val="left"/>
              <w:rPr>
                <w:rFonts w:ascii="Calibri" w:eastAsia="Times New Roman" w:hAnsi="Calibri" w:cs="Calibri"/>
                <w:color w:val="000000" w:themeColor="text1"/>
                <w:sz w:val="18"/>
                <w:szCs w:val="18"/>
              </w:rPr>
            </w:pPr>
            <w:r w:rsidRPr="000B1BBC">
              <w:rPr>
                <w:rFonts w:ascii="Calibri" w:hAnsi="Calibri" w:cs="Calibri"/>
                <w:color w:val="000000" w:themeColor="text1"/>
                <w:sz w:val="18"/>
                <w:szCs w:val="18"/>
              </w:rPr>
              <w:t>Depression</w:t>
            </w:r>
          </w:p>
        </w:tc>
        <w:tc>
          <w:tcPr>
            <w:tcW w:w="1800" w:type="dxa"/>
            <w:gridSpan w:val="2"/>
            <w:tcBorders>
              <w:left w:val="single" w:sz="4" w:space="0" w:color="auto"/>
              <w:right w:val="thinThickThinSmallGap" w:sz="24" w:space="0" w:color="auto"/>
            </w:tcBorders>
            <w:shd w:val="clear" w:color="auto" w:fill="FFFFFF" w:themeFill="background1"/>
            <w:vAlign w:val="center"/>
          </w:tcPr>
          <w:p w:rsidR="00C9377A" w:rsidRPr="000B1BBC" w:rsidRDefault="00C9377A" w:rsidP="00C9377A">
            <w:pPr>
              <w:spacing w:line="180" w:lineRule="exact"/>
              <w:rPr>
                <w:rFonts w:ascii="Calibri" w:eastAsia="Times New Roman" w:hAnsi="Calibri" w:cs="Calibri"/>
                <w:color w:val="000000" w:themeColor="text1"/>
                <w:sz w:val="18"/>
                <w:szCs w:val="18"/>
              </w:rPr>
            </w:pPr>
            <w:r w:rsidRPr="000B1BBC">
              <w:rPr>
                <w:rFonts w:ascii="Calibri" w:hAnsi="Calibri" w:cs="Calibri"/>
                <w:color w:val="000000" w:themeColor="text1"/>
                <w:sz w:val="18"/>
                <w:szCs w:val="18"/>
              </w:rPr>
              <w:t>Not Unfitting</w:t>
            </w:r>
          </w:p>
        </w:tc>
        <w:tc>
          <w:tcPr>
            <w:tcW w:w="2948" w:type="dxa"/>
            <w:tcBorders>
              <w:left w:val="thinThickThinSmallGap" w:sz="24" w:space="0" w:color="auto"/>
              <w:right w:val="single" w:sz="4" w:space="0" w:color="auto"/>
            </w:tcBorders>
            <w:shd w:val="clear" w:color="auto" w:fill="FFFFFF" w:themeFill="background1"/>
            <w:vAlign w:val="center"/>
          </w:tcPr>
          <w:p w:rsidR="00C9377A" w:rsidRPr="000B1BBC" w:rsidRDefault="00C9377A" w:rsidP="00C9377A">
            <w:pPr>
              <w:spacing w:line="180" w:lineRule="exact"/>
              <w:contextualSpacing/>
              <w:jc w:val="left"/>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Bipolar Disorder</w:t>
            </w:r>
          </w:p>
        </w:tc>
        <w:tc>
          <w:tcPr>
            <w:tcW w:w="1084" w:type="dxa"/>
            <w:gridSpan w:val="2"/>
            <w:tcBorders>
              <w:left w:val="single" w:sz="4" w:space="0" w:color="auto"/>
            </w:tcBorders>
            <w:shd w:val="clear" w:color="auto" w:fill="FFFFFF" w:themeFill="background1"/>
            <w:vAlign w:val="center"/>
          </w:tcPr>
          <w:p w:rsidR="00C9377A" w:rsidRPr="000B1BBC" w:rsidRDefault="00C9377A" w:rsidP="00C9377A">
            <w:pPr>
              <w:spacing w:line="180" w:lineRule="exact"/>
              <w:contextualSpacing/>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9432</w:t>
            </w:r>
          </w:p>
        </w:tc>
        <w:tc>
          <w:tcPr>
            <w:tcW w:w="828" w:type="dxa"/>
            <w:shd w:val="clear" w:color="auto" w:fill="FFFFFF" w:themeFill="background1"/>
            <w:vAlign w:val="center"/>
          </w:tcPr>
          <w:p w:rsidR="00C9377A" w:rsidRPr="000B1BBC" w:rsidRDefault="00C9377A" w:rsidP="00C9377A">
            <w:pPr>
              <w:spacing w:line="180" w:lineRule="exact"/>
              <w:contextualSpacing/>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30%</w:t>
            </w:r>
          </w:p>
        </w:tc>
        <w:tc>
          <w:tcPr>
            <w:tcW w:w="990" w:type="dxa"/>
            <w:shd w:val="clear" w:color="auto" w:fill="FFFFFF" w:themeFill="background1"/>
            <w:vAlign w:val="center"/>
          </w:tcPr>
          <w:p w:rsidR="00C9377A" w:rsidRPr="000B1BBC" w:rsidRDefault="009E1B54" w:rsidP="00173170">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20070125</w:t>
            </w:r>
          </w:p>
        </w:tc>
      </w:tr>
      <w:tr w:rsidR="00173170" w:rsidRPr="000B1BBC" w:rsidTr="00173170">
        <w:trPr>
          <w:trHeight w:val="287"/>
          <w:jc w:val="center"/>
        </w:trPr>
        <w:tc>
          <w:tcPr>
            <w:tcW w:w="1728" w:type="dxa"/>
            <w:tcBorders>
              <w:right w:val="single" w:sz="4" w:space="0" w:color="auto"/>
            </w:tcBorders>
            <w:shd w:val="clear" w:color="auto" w:fill="FFFFFF" w:themeFill="background1"/>
            <w:vAlign w:val="center"/>
          </w:tcPr>
          <w:p w:rsidR="00173170" w:rsidRPr="000B1BBC" w:rsidRDefault="00173170" w:rsidP="00C9377A">
            <w:pPr>
              <w:spacing w:line="180" w:lineRule="exact"/>
              <w:contextualSpacing/>
              <w:jc w:val="left"/>
              <w:rPr>
                <w:rFonts w:cs="Calibri"/>
                <w:color w:val="000000" w:themeColor="text1"/>
                <w:sz w:val="18"/>
                <w:szCs w:val="18"/>
              </w:rPr>
            </w:pPr>
            <w:r>
              <w:rPr>
                <w:rFonts w:cs="Calibri"/>
                <w:color w:val="000000" w:themeColor="text1"/>
                <w:sz w:val="18"/>
                <w:szCs w:val="18"/>
              </w:rPr>
              <w:t>Hallux Valgus</w:t>
            </w:r>
          </w:p>
        </w:tc>
        <w:tc>
          <w:tcPr>
            <w:tcW w:w="1800" w:type="dxa"/>
            <w:gridSpan w:val="2"/>
            <w:tcBorders>
              <w:left w:val="single" w:sz="4" w:space="0" w:color="auto"/>
              <w:right w:val="thinThickThinSmallGap" w:sz="24" w:space="0" w:color="auto"/>
            </w:tcBorders>
            <w:shd w:val="clear" w:color="auto" w:fill="FFFFFF" w:themeFill="background1"/>
            <w:vAlign w:val="center"/>
          </w:tcPr>
          <w:p w:rsidR="00173170" w:rsidRPr="000B1BBC" w:rsidRDefault="00173170" w:rsidP="00C9377A">
            <w:pPr>
              <w:spacing w:line="180" w:lineRule="exact"/>
              <w:rPr>
                <w:rFonts w:cs="Calibri"/>
                <w:color w:val="000000" w:themeColor="text1"/>
                <w:sz w:val="18"/>
                <w:szCs w:val="18"/>
              </w:rPr>
            </w:pPr>
            <w:r w:rsidRPr="000B1BBC">
              <w:rPr>
                <w:rFonts w:ascii="Calibri" w:hAnsi="Calibri" w:cs="Calibri"/>
                <w:color w:val="000000" w:themeColor="text1"/>
                <w:sz w:val="18"/>
                <w:szCs w:val="18"/>
              </w:rPr>
              <w:t>Not Unfitting</w:t>
            </w:r>
          </w:p>
        </w:tc>
        <w:tc>
          <w:tcPr>
            <w:tcW w:w="2948" w:type="dxa"/>
            <w:tcBorders>
              <w:left w:val="thinThickThinSmallGap" w:sz="24" w:space="0" w:color="auto"/>
              <w:right w:val="single" w:sz="4" w:space="0" w:color="auto"/>
            </w:tcBorders>
            <w:shd w:val="clear" w:color="auto" w:fill="FFFFFF" w:themeFill="background1"/>
            <w:vAlign w:val="center"/>
          </w:tcPr>
          <w:p w:rsidR="00173170" w:rsidRPr="000B1BBC" w:rsidRDefault="00173170" w:rsidP="00C9377A">
            <w:pPr>
              <w:spacing w:line="180" w:lineRule="exact"/>
              <w:contextualSpacing/>
              <w:jc w:val="left"/>
              <w:rPr>
                <w:rFonts w:cs="Calibri"/>
                <w:color w:val="000000" w:themeColor="text1"/>
                <w:sz w:val="18"/>
                <w:szCs w:val="18"/>
              </w:rPr>
            </w:pPr>
            <w:r>
              <w:rPr>
                <w:rFonts w:cs="Calibri"/>
                <w:color w:val="000000" w:themeColor="text1"/>
                <w:sz w:val="18"/>
                <w:szCs w:val="18"/>
              </w:rPr>
              <w:t>No VA Entry</w:t>
            </w:r>
          </w:p>
        </w:tc>
        <w:tc>
          <w:tcPr>
            <w:tcW w:w="1084" w:type="dxa"/>
            <w:gridSpan w:val="2"/>
            <w:tcBorders>
              <w:left w:val="single" w:sz="4" w:space="0" w:color="auto"/>
            </w:tcBorders>
            <w:shd w:val="clear" w:color="auto" w:fill="FFFFFF" w:themeFill="background1"/>
            <w:vAlign w:val="center"/>
          </w:tcPr>
          <w:p w:rsidR="00173170" w:rsidRPr="000B1BBC" w:rsidRDefault="00173170" w:rsidP="00C9377A">
            <w:pPr>
              <w:spacing w:line="180" w:lineRule="exact"/>
              <w:contextualSpacing/>
              <w:rPr>
                <w:rFonts w:cs="Calibri"/>
                <w:color w:val="000000" w:themeColor="text1"/>
                <w:sz w:val="18"/>
                <w:szCs w:val="18"/>
              </w:rPr>
            </w:pPr>
          </w:p>
        </w:tc>
        <w:tc>
          <w:tcPr>
            <w:tcW w:w="828" w:type="dxa"/>
            <w:shd w:val="clear" w:color="auto" w:fill="FFFFFF" w:themeFill="background1"/>
            <w:vAlign w:val="center"/>
          </w:tcPr>
          <w:p w:rsidR="00173170" w:rsidRPr="000B1BBC" w:rsidRDefault="00173170" w:rsidP="00C9377A">
            <w:pPr>
              <w:spacing w:line="180" w:lineRule="exact"/>
              <w:contextualSpacing/>
              <w:rPr>
                <w:rFonts w:cs="Calibri"/>
                <w:color w:val="000000" w:themeColor="text1"/>
                <w:sz w:val="18"/>
                <w:szCs w:val="18"/>
              </w:rPr>
            </w:pPr>
          </w:p>
        </w:tc>
        <w:tc>
          <w:tcPr>
            <w:tcW w:w="990" w:type="dxa"/>
            <w:shd w:val="clear" w:color="auto" w:fill="FFFFFF" w:themeFill="background1"/>
            <w:vAlign w:val="center"/>
          </w:tcPr>
          <w:p w:rsidR="00173170" w:rsidRPr="000B1BBC" w:rsidRDefault="00173170" w:rsidP="00C9377A">
            <w:pPr>
              <w:spacing w:line="180" w:lineRule="exact"/>
              <w:contextualSpacing/>
              <w:rPr>
                <w:rFonts w:cs="Calibri"/>
                <w:color w:val="000000" w:themeColor="text1"/>
                <w:sz w:val="18"/>
                <w:szCs w:val="18"/>
              </w:rPr>
            </w:pPr>
          </w:p>
        </w:tc>
      </w:tr>
      <w:tr w:rsidR="00173170" w:rsidRPr="000B1BBC" w:rsidTr="00173170">
        <w:trPr>
          <w:trHeight w:val="287"/>
          <w:jc w:val="center"/>
        </w:trPr>
        <w:tc>
          <w:tcPr>
            <w:tcW w:w="1728" w:type="dxa"/>
            <w:tcBorders>
              <w:right w:val="single" w:sz="4" w:space="0" w:color="auto"/>
            </w:tcBorders>
            <w:shd w:val="clear" w:color="auto" w:fill="FFFFFF" w:themeFill="background1"/>
            <w:vAlign w:val="center"/>
          </w:tcPr>
          <w:p w:rsidR="00173170" w:rsidRPr="000B1BBC" w:rsidRDefault="00173170" w:rsidP="00C9377A">
            <w:pPr>
              <w:spacing w:line="180" w:lineRule="exact"/>
              <w:contextualSpacing/>
              <w:jc w:val="left"/>
              <w:rPr>
                <w:rFonts w:cs="Calibri"/>
                <w:color w:val="000000" w:themeColor="text1"/>
                <w:sz w:val="18"/>
                <w:szCs w:val="18"/>
              </w:rPr>
            </w:pPr>
            <w:r>
              <w:rPr>
                <w:rFonts w:cs="Calibri"/>
                <w:color w:val="000000" w:themeColor="text1"/>
                <w:sz w:val="18"/>
                <w:szCs w:val="18"/>
              </w:rPr>
              <w:t>Hammer Toes</w:t>
            </w:r>
          </w:p>
        </w:tc>
        <w:tc>
          <w:tcPr>
            <w:tcW w:w="1800" w:type="dxa"/>
            <w:gridSpan w:val="2"/>
            <w:tcBorders>
              <w:left w:val="single" w:sz="4" w:space="0" w:color="auto"/>
              <w:right w:val="thinThickThinSmallGap" w:sz="24" w:space="0" w:color="auto"/>
            </w:tcBorders>
            <w:shd w:val="clear" w:color="auto" w:fill="FFFFFF" w:themeFill="background1"/>
            <w:vAlign w:val="center"/>
          </w:tcPr>
          <w:p w:rsidR="00173170" w:rsidRPr="000B1BBC" w:rsidRDefault="00173170" w:rsidP="00C9377A">
            <w:pPr>
              <w:spacing w:line="180" w:lineRule="exact"/>
              <w:rPr>
                <w:rFonts w:cs="Calibri"/>
                <w:color w:val="000000" w:themeColor="text1"/>
                <w:sz w:val="18"/>
                <w:szCs w:val="18"/>
              </w:rPr>
            </w:pPr>
            <w:r w:rsidRPr="000B1BBC">
              <w:rPr>
                <w:rFonts w:ascii="Calibri" w:hAnsi="Calibri" w:cs="Calibri"/>
                <w:color w:val="000000" w:themeColor="text1"/>
                <w:sz w:val="18"/>
                <w:szCs w:val="18"/>
              </w:rPr>
              <w:t>Not Unfitting</w:t>
            </w:r>
          </w:p>
        </w:tc>
        <w:tc>
          <w:tcPr>
            <w:tcW w:w="2948" w:type="dxa"/>
            <w:tcBorders>
              <w:left w:val="thinThickThinSmallGap" w:sz="24" w:space="0" w:color="auto"/>
              <w:right w:val="single" w:sz="4" w:space="0" w:color="auto"/>
            </w:tcBorders>
            <w:shd w:val="clear" w:color="auto" w:fill="FFFFFF" w:themeFill="background1"/>
            <w:vAlign w:val="center"/>
          </w:tcPr>
          <w:p w:rsidR="00173170" w:rsidRPr="000B1BBC" w:rsidRDefault="00173170" w:rsidP="00C9377A">
            <w:pPr>
              <w:spacing w:line="180" w:lineRule="exact"/>
              <w:contextualSpacing/>
              <w:jc w:val="left"/>
              <w:rPr>
                <w:rFonts w:cs="Calibri"/>
                <w:color w:val="000000" w:themeColor="text1"/>
                <w:sz w:val="18"/>
                <w:szCs w:val="18"/>
              </w:rPr>
            </w:pPr>
            <w:r>
              <w:rPr>
                <w:rFonts w:cs="Calibri"/>
                <w:color w:val="000000" w:themeColor="text1"/>
                <w:sz w:val="18"/>
                <w:szCs w:val="18"/>
              </w:rPr>
              <w:t>No VA Entry</w:t>
            </w:r>
          </w:p>
        </w:tc>
        <w:tc>
          <w:tcPr>
            <w:tcW w:w="1084" w:type="dxa"/>
            <w:gridSpan w:val="2"/>
            <w:tcBorders>
              <w:left w:val="single" w:sz="4" w:space="0" w:color="auto"/>
            </w:tcBorders>
            <w:shd w:val="clear" w:color="auto" w:fill="FFFFFF" w:themeFill="background1"/>
            <w:vAlign w:val="center"/>
          </w:tcPr>
          <w:p w:rsidR="00173170" w:rsidRPr="000B1BBC" w:rsidRDefault="00173170" w:rsidP="00C9377A">
            <w:pPr>
              <w:spacing w:line="180" w:lineRule="exact"/>
              <w:contextualSpacing/>
              <w:rPr>
                <w:rFonts w:cs="Calibri"/>
                <w:color w:val="000000" w:themeColor="text1"/>
                <w:sz w:val="18"/>
                <w:szCs w:val="18"/>
              </w:rPr>
            </w:pPr>
          </w:p>
        </w:tc>
        <w:tc>
          <w:tcPr>
            <w:tcW w:w="828" w:type="dxa"/>
            <w:shd w:val="clear" w:color="auto" w:fill="FFFFFF" w:themeFill="background1"/>
            <w:vAlign w:val="center"/>
          </w:tcPr>
          <w:p w:rsidR="00173170" w:rsidRPr="000B1BBC" w:rsidRDefault="00173170" w:rsidP="00C9377A">
            <w:pPr>
              <w:spacing w:line="180" w:lineRule="exact"/>
              <w:contextualSpacing/>
              <w:rPr>
                <w:rFonts w:cs="Calibri"/>
                <w:color w:val="000000" w:themeColor="text1"/>
                <w:sz w:val="18"/>
                <w:szCs w:val="18"/>
              </w:rPr>
            </w:pPr>
          </w:p>
        </w:tc>
        <w:tc>
          <w:tcPr>
            <w:tcW w:w="990" w:type="dxa"/>
            <w:shd w:val="clear" w:color="auto" w:fill="FFFFFF" w:themeFill="background1"/>
            <w:vAlign w:val="center"/>
          </w:tcPr>
          <w:p w:rsidR="00173170" w:rsidRPr="000B1BBC" w:rsidRDefault="00173170" w:rsidP="00C9377A">
            <w:pPr>
              <w:spacing w:line="180" w:lineRule="exact"/>
              <w:contextualSpacing/>
              <w:rPr>
                <w:rFonts w:cs="Calibri"/>
                <w:color w:val="000000" w:themeColor="text1"/>
                <w:sz w:val="18"/>
                <w:szCs w:val="18"/>
              </w:rPr>
            </w:pPr>
          </w:p>
        </w:tc>
      </w:tr>
      <w:tr w:rsidR="00173170" w:rsidRPr="000B1BBC" w:rsidTr="00173170">
        <w:trPr>
          <w:trHeight w:val="287"/>
          <w:jc w:val="center"/>
        </w:trPr>
        <w:tc>
          <w:tcPr>
            <w:tcW w:w="1728" w:type="dxa"/>
            <w:tcBorders>
              <w:right w:val="single" w:sz="4" w:space="0" w:color="auto"/>
            </w:tcBorders>
            <w:shd w:val="clear" w:color="auto" w:fill="FFFFFF" w:themeFill="background1"/>
            <w:vAlign w:val="center"/>
          </w:tcPr>
          <w:p w:rsidR="00173170" w:rsidRPr="000B1BBC" w:rsidRDefault="00173170" w:rsidP="00173170">
            <w:pPr>
              <w:spacing w:line="180" w:lineRule="exact"/>
              <w:contextualSpacing/>
              <w:jc w:val="left"/>
              <w:rPr>
                <w:rFonts w:cs="Calibri"/>
                <w:color w:val="000000" w:themeColor="text1"/>
                <w:sz w:val="18"/>
                <w:szCs w:val="18"/>
              </w:rPr>
            </w:pPr>
            <w:r>
              <w:rPr>
                <w:rFonts w:cs="Calibri"/>
                <w:color w:val="000000" w:themeColor="text1"/>
                <w:sz w:val="18"/>
                <w:szCs w:val="18"/>
              </w:rPr>
              <w:t xml:space="preserve">Metatarsal </w:t>
            </w:r>
            <w:proofErr w:type="spellStart"/>
            <w:r>
              <w:rPr>
                <w:rFonts w:cs="Calibri"/>
                <w:color w:val="000000" w:themeColor="text1"/>
                <w:sz w:val="18"/>
                <w:szCs w:val="18"/>
              </w:rPr>
              <w:t>Tylomas</w:t>
            </w:r>
            <w:proofErr w:type="spellEnd"/>
          </w:p>
        </w:tc>
        <w:tc>
          <w:tcPr>
            <w:tcW w:w="1800" w:type="dxa"/>
            <w:gridSpan w:val="2"/>
            <w:tcBorders>
              <w:left w:val="single" w:sz="4" w:space="0" w:color="auto"/>
              <w:right w:val="thinThickThinSmallGap" w:sz="24" w:space="0" w:color="auto"/>
            </w:tcBorders>
            <w:shd w:val="clear" w:color="auto" w:fill="FFFFFF" w:themeFill="background1"/>
            <w:vAlign w:val="center"/>
          </w:tcPr>
          <w:p w:rsidR="00173170" w:rsidRPr="000B1BBC" w:rsidRDefault="00173170" w:rsidP="00173170">
            <w:pPr>
              <w:spacing w:line="180" w:lineRule="exact"/>
              <w:rPr>
                <w:rFonts w:cs="Calibri"/>
                <w:color w:val="000000" w:themeColor="text1"/>
                <w:sz w:val="18"/>
                <w:szCs w:val="18"/>
              </w:rPr>
            </w:pPr>
            <w:r w:rsidRPr="000B1BBC">
              <w:rPr>
                <w:rFonts w:ascii="Calibri" w:hAnsi="Calibri" w:cs="Calibri"/>
                <w:color w:val="000000" w:themeColor="text1"/>
                <w:sz w:val="18"/>
                <w:szCs w:val="18"/>
              </w:rPr>
              <w:t>Not Unfitting</w:t>
            </w:r>
          </w:p>
        </w:tc>
        <w:tc>
          <w:tcPr>
            <w:tcW w:w="2948" w:type="dxa"/>
            <w:tcBorders>
              <w:left w:val="thinThickThinSmallGap" w:sz="24" w:space="0" w:color="auto"/>
              <w:right w:val="single" w:sz="4" w:space="0" w:color="auto"/>
            </w:tcBorders>
            <w:shd w:val="clear" w:color="auto" w:fill="FFFFFF" w:themeFill="background1"/>
            <w:vAlign w:val="center"/>
          </w:tcPr>
          <w:p w:rsidR="00173170" w:rsidRPr="000B1BBC" w:rsidRDefault="00173170" w:rsidP="00173170">
            <w:pPr>
              <w:spacing w:line="180" w:lineRule="exact"/>
              <w:jc w:val="left"/>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Neuromas Bilateral Feet</w:t>
            </w:r>
          </w:p>
        </w:tc>
        <w:tc>
          <w:tcPr>
            <w:tcW w:w="1084" w:type="dxa"/>
            <w:gridSpan w:val="2"/>
            <w:tcBorders>
              <w:left w:val="single" w:sz="4" w:space="0" w:color="auto"/>
            </w:tcBorders>
            <w:shd w:val="clear" w:color="auto" w:fill="FFFFFF" w:themeFill="background1"/>
            <w:vAlign w:val="center"/>
          </w:tcPr>
          <w:p w:rsidR="00173170" w:rsidRPr="000B1BBC" w:rsidRDefault="00173170" w:rsidP="00173170">
            <w:pPr>
              <w:spacing w:line="180" w:lineRule="exact"/>
              <w:contextualSpacing/>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5279</w:t>
            </w:r>
          </w:p>
        </w:tc>
        <w:tc>
          <w:tcPr>
            <w:tcW w:w="828" w:type="dxa"/>
            <w:shd w:val="clear" w:color="auto" w:fill="FFFFFF" w:themeFill="background1"/>
            <w:vAlign w:val="center"/>
          </w:tcPr>
          <w:p w:rsidR="00173170" w:rsidRPr="000B1BBC" w:rsidRDefault="00173170" w:rsidP="00173170">
            <w:pPr>
              <w:spacing w:line="180" w:lineRule="exact"/>
              <w:contextualSpacing/>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173170" w:rsidRPr="000B1BBC" w:rsidRDefault="00173170" w:rsidP="00173170">
            <w:pPr>
              <w:spacing w:line="180" w:lineRule="exact"/>
              <w:contextualSpacing/>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20070205</w:t>
            </w:r>
          </w:p>
        </w:tc>
      </w:tr>
      <w:tr w:rsidR="00173170" w:rsidRPr="000B1BBC" w:rsidTr="00173170">
        <w:trPr>
          <w:trHeight w:val="287"/>
          <w:jc w:val="center"/>
        </w:trPr>
        <w:tc>
          <w:tcPr>
            <w:tcW w:w="3528" w:type="dxa"/>
            <w:gridSpan w:val="3"/>
            <w:vMerge w:val="restart"/>
            <w:tcBorders>
              <w:right w:val="thinThickThinSmallGap" w:sz="24" w:space="0" w:color="auto"/>
            </w:tcBorders>
            <w:shd w:val="clear" w:color="auto" w:fill="FFFFFF" w:themeFill="background1"/>
            <w:vAlign w:val="center"/>
          </w:tcPr>
          <w:p w:rsidR="00173170" w:rsidRPr="000B1BBC" w:rsidRDefault="00173170" w:rsidP="00173170">
            <w:pPr>
              <w:spacing w:line="180" w:lineRule="exact"/>
              <w:contextualSpacing/>
              <w:rPr>
                <w:rFonts w:ascii="Calibri" w:eastAsia="Times New Roman" w:hAnsi="Calibri" w:cs="Calibri"/>
                <w:color w:val="000000" w:themeColor="text1"/>
                <w:sz w:val="18"/>
                <w:szCs w:val="18"/>
                <w:highlight w:val="yellow"/>
              </w:rPr>
            </w:pPr>
            <w:r w:rsidRPr="000B1BBC">
              <w:rPr>
                <w:rFonts w:ascii="Calibri" w:hAnsi="Calibri" w:cs="Calibri"/>
                <w:color w:val="000000" w:themeColor="text1"/>
                <w:sz w:val="18"/>
                <w:szCs w:val="18"/>
              </w:rPr>
              <w:t>↓No Additional MEB/PEB Entries↓</w:t>
            </w:r>
          </w:p>
        </w:tc>
        <w:tc>
          <w:tcPr>
            <w:tcW w:w="2948" w:type="dxa"/>
            <w:tcBorders>
              <w:left w:val="thinThickThinSmallGap" w:sz="24" w:space="0" w:color="auto"/>
              <w:right w:val="single" w:sz="4" w:space="0" w:color="auto"/>
            </w:tcBorders>
            <w:shd w:val="clear" w:color="auto" w:fill="FFFFFF" w:themeFill="background1"/>
            <w:vAlign w:val="center"/>
          </w:tcPr>
          <w:p w:rsidR="00173170" w:rsidRPr="000B1BBC" w:rsidRDefault="00173170" w:rsidP="00173170">
            <w:pPr>
              <w:spacing w:line="180" w:lineRule="exact"/>
              <w:contextualSpacing/>
              <w:jc w:val="left"/>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Right Shoulder Subl</w:t>
            </w:r>
            <w:r>
              <w:rPr>
                <w:rFonts w:ascii="Calibri" w:eastAsia="Times New Roman" w:hAnsi="Calibri" w:cs="Calibri"/>
                <w:color w:val="000000" w:themeColor="text1"/>
                <w:sz w:val="18"/>
                <w:szCs w:val="18"/>
              </w:rPr>
              <w:t>u</w:t>
            </w:r>
            <w:r w:rsidRPr="000B1BBC">
              <w:rPr>
                <w:rFonts w:ascii="Calibri" w:eastAsia="Times New Roman" w:hAnsi="Calibri" w:cs="Calibri"/>
                <w:color w:val="000000" w:themeColor="text1"/>
                <w:sz w:val="18"/>
                <w:szCs w:val="18"/>
              </w:rPr>
              <w:t>xation</w:t>
            </w:r>
          </w:p>
        </w:tc>
        <w:tc>
          <w:tcPr>
            <w:tcW w:w="1084" w:type="dxa"/>
            <w:gridSpan w:val="2"/>
            <w:tcBorders>
              <w:left w:val="single" w:sz="4" w:space="0" w:color="auto"/>
            </w:tcBorders>
            <w:shd w:val="clear" w:color="auto" w:fill="FFFFFF" w:themeFill="background1"/>
            <w:vAlign w:val="center"/>
          </w:tcPr>
          <w:p w:rsidR="00173170" w:rsidRPr="000B1BBC" w:rsidRDefault="00173170" w:rsidP="00173170">
            <w:pPr>
              <w:spacing w:line="180" w:lineRule="exact"/>
              <w:contextualSpacing/>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5202-5019</w:t>
            </w:r>
          </w:p>
        </w:tc>
        <w:tc>
          <w:tcPr>
            <w:tcW w:w="828" w:type="dxa"/>
            <w:shd w:val="clear" w:color="auto" w:fill="FFFFFF" w:themeFill="background1"/>
            <w:vAlign w:val="center"/>
          </w:tcPr>
          <w:p w:rsidR="00173170" w:rsidRPr="000B1BBC" w:rsidRDefault="00173170" w:rsidP="00173170">
            <w:pPr>
              <w:spacing w:line="180" w:lineRule="exact"/>
              <w:contextualSpacing/>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173170" w:rsidRPr="000B1BBC" w:rsidRDefault="00173170" w:rsidP="00173170">
            <w:pPr>
              <w:spacing w:line="180" w:lineRule="exact"/>
              <w:contextualSpacing/>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20070205</w:t>
            </w:r>
          </w:p>
        </w:tc>
      </w:tr>
      <w:tr w:rsidR="00173170" w:rsidRPr="000B1BBC" w:rsidTr="00173170">
        <w:trPr>
          <w:trHeight w:val="287"/>
          <w:jc w:val="center"/>
        </w:trPr>
        <w:tc>
          <w:tcPr>
            <w:tcW w:w="3528" w:type="dxa"/>
            <w:gridSpan w:val="3"/>
            <w:vMerge/>
            <w:tcBorders>
              <w:right w:val="thinThickThinSmallGap" w:sz="24" w:space="0" w:color="auto"/>
            </w:tcBorders>
            <w:shd w:val="clear" w:color="auto" w:fill="FFFFFF" w:themeFill="background1"/>
            <w:vAlign w:val="center"/>
          </w:tcPr>
          <w:p w:rsidR="00173170" w:rsidRPr="000B1BBC" w:rsidRDefault="00173170" w:rsidP="00173170">
            <w:pPr>
              <w:spacing w:line="180" w:lineRule="exact"/>
              <w:contextualSpacing/>
              <w:rPr>
                <w:rFonts w:ascii="Calibri" w:eastAsia="Times New Roman" w:hAnsi="Calibri" w:cs="Calibri"/>
                <w:color w:val="000000" w:themeColor="text1"/>
                <w:sz w:val="18"/>
                <w:szCs w:val="18"/>
              </w:rPr>
            </w:pPr>
          </w:p>
        </w:tc>
        <w:tc>
          <w:tcPr>
            <w:tcW w:w="2948" w:type="dxa"/>
            <w:tcBorders>
              <w:left w:val="thinThickThinSmallGap" w:sz="24" w:space="0" w:color="auto"/>
              <w:right w:val="single" w:sz="4" w:space="0" w:color="auto"/>
            </w:tcBorders>
            <w:shd w:val="clear" w:color="auto" w:fill="FFFFFF" w:themeFill="background1"/>
            <w:vAlign w:val="center"/>
          </w:tcPr>
          <w:p w:rsidR="00173170" w:rsidRPr="000B1BBC" w:rsidRDefault="00173170" w:rsidP="00173170">
            <w:pPr>
              <w:spacing w:line="180" w:lineRule="exact"/>
              <w:contextualSpacing/>
              <w:jc w:val="left"/>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DDD of Cervical Spine</w:t>
            </w:r>
          </w:p>
        </w:tc>
        <w:tc>
          <w:tcPr>
            <w:tcW w:w="1084" w:type="dxa"/>
            <w:gridSpan w:val="2"/>
            <w:tcBorders>
              <w:left w:val="single" w:sz="4" w:space="0" w:color="auto"/>
              <w:bottom w:val="single" w:sz="4" w:space="0" w:color="auto"/>
              <w:right w:val="single" w:sz="4" w:space="0" w:color="auto"/>
            </w:tcBorders>
            <w:shd w:val="clear" w:color="auto" w:fill="FFFFFF" w:themeFill="background1"/>
            <w:vAlign w:val="center"/>
          </w:tcPr>
          <w:p w:rsidR="00173170" w:rsidRPr="000B1BBC" w:rsidRDefault="00173170" w:rsidP="00173170">
            <w:pPr>
              <w:spacing w:line="180" w:lineRule="exact"/>
              <w:contextualSpacing/>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5242</w:t>
            </w:r>
          </w:p>
        </w:tc>
        <w:tc>
          <w:tcPr>
            <w:tcW w:w="828" w:type="dxa"/>
            <w:tcBorders>
              <w:left w:val="single" w:sz="4" w:space="0" w:color="auto"/>
              <w:bottom w:val="single" w:sz="4" w:space="0" w:color="auto"/>
            </w:tcBorders>
            <w:shd w:val="clear" w:color="auto" w:fill="FFFFFF" w:themeFill="background1"/>
            <w:vAlign w:val="center"/>
          </w:tcPr>
          <w:p w:rsidR="00173170" w:rsidRPr="000B1BBC" w:rsidRDefault="00173170" w:rsidP="00173170">
            <w:pPr>
              <w:spacing w:line="180" w:lineRule="exact"/>
              <w:contextualSpacing/>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173170" w:rsidRPr="000B1BBC" w:rsidRDefault="00173170" w:rsidP="00173170">
            <w:pPr>
              <w:spacing w:line="180" w:lineRule="exact"/>
              <w:contextualSpacing/>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20070205</w:t>
            </w:r>
          </w:p>
        </w:tc>
      </w:tr>
      <w:tr w:rsidR="00173170" w:rsidRPr="000B1BBC" w:rsidTr="00173170">
        <w:trPr>
          <w:trHeight w:val="287"/>
          <w:jc w:val="center"/>
        </w:trPr>
        <w:tc>
          <w:tcPr>
            <w:tcW w:w="3528" w:type="dxa"/>
            <w:gridSpan w:val="3"/>
            <w:vMerge/>
            <w:tcBorders>
              <w:right w:val="thinThickThinSmallGap" w:sz="24" w:space="0" w:color="auto"/>
            </w:tcBorders>
            <w:shd w:val="clear" w:color="auto" w:fill="FFFFFF" w:themeFill="background1"/>
            <w:vAlign w:val="center"/>
          </w:tcPr>
          <w:p w:rsidR="00173170" w:rsidRPr="000B1BBC" w:rsidRDefault="00173170" w:rsidP="00173170">
            <w:pPr>
              <w:spacing w:line="180" w:lineRule="exact"/>
              <w:contextualSpacing/>
              <w:rPr>
                <w:rFonts w:ascii="Calibri" w:eastAsia="Times New Roman" w:hAnsi="Calibri" w:cs="Calibri"/>
                <w:color w:val="000000" w:themeColor="text1"/>
                <w:sz w:val="18"/>
                <w:szCs w:val="18"/>
              </w:rPr>
            </w:pPr>
          </w:p>
        </w:tc>
        <w:tc>
          <w:tcPr>
            <w:tcW w:w="2970" w:type="dxa"/>
            <w:gridSpan w:val="2"/>
            <w:tcBorders>
              <w:top w:val="nil"/>
              <w:left w:val="thinThickThinSmallGap" w:sz="24" w:space="0" w:color="auto"/>
              <w:right w:val="single" w:sz="4" w:space="0" w:color="auto"/>
            </w:tcBorders>
            <w:shd w:val="clear" w:color="auto" w:fill="FFFFFF" w:themeFill="background1"/>
            <w:vAlign w:val="center"/>
          </w:tcPr>
          <w:p w:rsidR="00173170" w:rsidRPr="000B1BBC" w:rsidRDefault="00173170" w:rsidP="00173170">
            <w:pPr>
              <w:spacing w:line="180" w:lineRule="exact"/>
              <w:contextualSpacing/>
              <w:jc w:val="both"/>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DDD of the Lumbar Spine</w:t>
            </w:r>
          </w:p>
        </w:tc>
        <w:tc>
          <w:tcPr>
            <w:tcW w:w="1062" w:type="dxa"/>
            <w:tcBorders>
              <w:top w:val="nil"/>
              <w:left w:val="single" w:sz="4" w:space="0" w:color="auto"/>
              <w:right w:val="single" w:sz="4" w:space="0" w:color="auto"/>
            </w:tcBorders>
            <w:shd w:val="clear" w:color="auto" w:fill="FFFFFF" w:themeFill="background1"/>
            <w:vAlign w:val="center"/>
          </w:tcPr>
          <w:p w:rsidR="00173170" w:rsidRPr="000B1BBC" w:rsidRDefault="00173170" w:rsidP="00173170">
            <w:pPr>
              <w:spacing w:line="180" w:lineRule="exact"/>
              <w:contextualSpacing/>
              <w:rPr>
                <w:rFonts w:cs="Calibri"/>
                <w:color w:val="000000" w:themeColor="text1"/>
                <w:sz w:val="18"/>
                <w:szCs w:val="18"/>
              </w:rPr>
            </w:pPr>
            <w:r w:rsidRPr="000B1BBC">
              <w:rPr>
                <w:rFonts w:cs="Calibri"/>
                <w:color w:val="000000" w:themeColor="text1"/>
                <w:sz w:val="18"/>
                <w:szCs w:val="18"/>
              </w:rPr>
              <w:t>5243</w:t>
            </w:r>
          </w:p>
        </w:tc>
        <w:tc>
          <w:tcPr>
            <w:tcW w:w="828" w:type="dxa"/>
            <w:tcBorders>
              <w:top w:val="nil"/>
              <w:left w:val="single" w:sz="4" w:space="0" w:color="auto"/>
            </w:tcBorders>
            <w:shd w:val="clear" w:color="auto" w:fill="FFFFFF" w:themeFill="background1"/>
            <w:vAlign w:val="center"/>
          </w:tcPr>
          <w:p w:rsidR="00173170" w:rsidRPr="000B1BBC" w:rsidRDefault="00173170" w:rsidP="00173170">
            <w:pPr>
              <w:spacing w:line="180" w:lineRule="exact"/>
              <w:contextualSpacing/>
              <w:rPr>
                <w:rFonts w:cs="Calibri"/>
                <w:color w:val="000000" w:themeColor="text1"/>
                <w:sz w:val="18"/>
                <w:szCs w:val="18"/>
              </w:rPr>
            </w:pPr>
            <w:r w:rsidRPr="000B1BBC">
              <w:rPr>
                <w:rFonts w:cs="Calibri"/>
                <w:color w:val="000000" w:themeColor="text1"/>
                <w:sz w:val="18"/>
                <w:szCs w:val="18"/>
              </w:rPr>
              <w:t>10%</w:t>
            </w:r>
          </w:p>
        </w:tc>
        <w:tc>
          <w:tcPr>
            <w:tcW w:w="990" w:type="dxa"/>
            <w:shd w:val="clear" w:color="auto" w:fill="FFFFFF" w:themeFill="background1"/>
            <w:vAlign w:val="center"/>
          </w:tcPr>
          <w:p w:rsidR="00173170" w:rsidRPr="000B1BBC" w:rsidRDefault="00173170" w:rsidP="00173170">
            <w:pPr>
              <w:spacing w:line="180" w:lineRule="exact"/>
              <w:contextualSpacing/>
              <w:rPr>
                <w:rFonts w:ascii="Calibri" w:eastAsia="Times New Roman" w:hAnsi="Calibri" w:cs="Calibri"/>
                <w:color w:val="000000" w:themeColor="text1"/>
                <w:sz w:val="18"/>
                <w:szCs w:val="18"/>
              </w:rPr>
            </w:pPr>
            <w:r w:rsidRPr="000B1BBC">
              <w:rPr>
                <w:rFonts w:ascii="Calibri" w:eastAsia="Times New Roman" w:hAnsi="Calibri" w:cs="Calibri"/>
                <w:color w:val="000000" w:themeColor="text1"/>
                <w:sz w:val="18"/>
                <w:szCs w:val="18"/>
              </w:rPr>
              <w:t>20070205</w:t>
            </w:r>
          </w:p>
        </w:tc>
      </w:tr>
      <w:tr w:rsidR="00173170" w:rsidRPr="000B1BBC" w:rsidTr="00173170">
        <w:trPr>
          <w:trHeight w:val="260"/>
          <w:jc w:val="center"/>
        </w:trPr>
        <w:tc>
          <w:tcPr>
            <w:tcW w:w="3528" w:type="dxa"/>
            <w:gridSpan w:val="3"/>
            <w:vMerge/>
            <w:tcBorders>
              <w:right w:val="thinThickThinSmallGap" w:sz="24" w:space="0" w:color="auto"/>
            </w:tcBorders>
            <w:shd w:val="clear" w:color="auto" w:fill="FFFFFF" w:themeFill="background1"/>
          </w:tcPr>
          <w:p w:rsidR="00173170" w:rsidRPr="000B1BBC" w:rsidRDefault="00173170" w:rsidP="00173170">
            <w:pPr>
              <w:spacing w:line="180" w:lineRule="exact"/>
              <w:contextualSpacing/>
              <w:rPr>
                <w:rFonts w:ascii="Calibri" w:eastAsia="Times New Roman" w:hAnsi="Calibri" w:cs="Calibri"/>
                <w:color w:val="000000" w:themeColor="text1"/>
                <w:sz w:val="18"/>
                <w:szCs w:val="18"/>
              </w:rPr>
            </w:pPr>
          </w:p>
        </w:tc>
        <w:tc>
          <w:tcPr>
            <w:tcW w:w="4860" w:type="dxa"/>
            <w:gridSpan w:val="4"/>
            <w:tcBorders>
              <w:left w:val="thinThickThinSmallGap" w:sz="24" w:space="0" w:color="auto"/>
            </w:tcBorders>
            <w:shd w:val="clear" w:color="auto" w:fill="FFFFFF" w:themeFill="background1"/>
            <w:vAlign w:val="center"/>
          </w:tcPr>
          <w:p w:rsidR="00173170" w:rsidRPr="000B1BBC" w:rsidRDefault="00173170" w:rsidP="00173170">
            <w:pPr>
              <w:spacing w:line="180" w:lineRule="exact"/>
              <w:contextualSpacing/>
              <w:rPr>
                <w:rFonts w:ascii="Calibri" w:eastAsia="Times New Roman" w:hAnsi="Calibri" w:cs="Calibri"/>
                <w:color w:val="000000" w:themeColor="text1"/>
                <w:sz w:val="18"/>
                <w:szCs w:val="18"/>
              </w:rPr>
            </w:pPr>
            <w:r w:rsidRPr="000B1BBC">
              <w:rPr>
                <w:rFonts w:ascii="Calibri" w:hAnsi="Calibri" w:cs="Calibri"/>
                <w:color w:val="000000" w:themeColor="text1"/>
                <w:sz w:val="18"/>
                <w:szCs w:val="18"/>
              </w:rPr>
              <w:t>0% x 3/Not Service Connected x 3</w:t>
            </w:r>
          </w:p>
        </w:tc>
        <w:tc>
          <w:tcPr>
            <w:tcW w:w="990" w:type="dxa"/>
            <w:shd w:val="clear" w:color="auto" w:fill="FFFFFF" w:themeFill="background1"/>
            <w:vAlign w:val="center"/>
          </w:tcPr>
          <w:p w:rsidR="00173170" w:rsidRPr="000B1BBC" w:rsidRDefault="00173170" w:rsidP="00173170">
            <w:pPr>
              <w:spacing w:line="180" w:lineRule="exact"/>
              <w:contextualSpacing/>
              <w:rPr>
                <w:rFonts w:ascii="Calibri" w:eastAsia="Times New Roman" w:hAnsi="Calibri" w:cs="Calibri"/>
                <w:color w:val="000000" w:themeColor="text1"/>
                <w:sz w:val="18"/>
                <w:szCs w:val="18"/>
              </w:rPr>
            </w:pPr>
            <w:r w:rsidRPr="000B1BBC">
              <w:rPr>
                <w:rFonts w:ascii="Calibri" w:hAnsi="Calibri" w:cs="Calibri"/>
                <w:color w:val="000000" w:themeColor="text1"/>
                <w:sz w:val="18"/>
                <w:szCs w:val="18"/>
              </w:rPr>
              <w:t>20070205</w:t>
            </w:r>
          </w:p>
        </w:tc>
      </w:tr>
      <w:tr w:rsidR="00173170" w:rsidRPr="000B1BBC" w:rsidTr="00173170">
        <w:trPr>
          <w:trHeight w:val="242"/>
          <w:jc w:val="center"/>
        </w:trPr>
        <w:tc>
          <w:tcPr>
            <w:tcW w:w="3528" w:type="dxa"/>
            <w:gridSpan w:val="3"/>
            <w:tcBorders>
              <w:right w:val="thinThickThinSmallGap" w:sz="24" w:space="0" w:color="auto"/>
            </w:tcBorders>
            <w:shd w:val="clear" w:color="auto" w:fill="D9D9D9" w:themeFill="background1" w:themeFillShade="D9"/>
            <w:vAlign w:val="center"/>
          </w:tcPr>
          <w:p w:rsidR="00173170" w:rsidRPr="000B1BBC" w:rsidRDefault="00173170" w:rsidP="00173170">
            <w:pPr>
              <w:contextualSpacing/>
              <w:rPr>
                <w:rFonts w:ascii="Calibri" w:hAnsi="Calibri" w:cs="Calibri"/>
                <w:b/>
                <w:color w:val="000000" w:themeColor="text1"/>
                <w:sz w:val="18"/>
                <w:szCs w:val="18"/>
              </w:rPr>
            </w:pPr>
            <w:r w:rsidRPr="000B1BBC">
              <w:rPr>
                <w:rFonts w:ascii="Calibri" w:hAnsi="Calibri" w:cs="Calibri"/>
                <w:b/>
                <w:color w:val="000000" w:themeColor="text1"/>
                <w:sz w:val="18"/>
                <w:szCs w:val="18"/>
              </w:rPr>
              <w:t>Combined:  0%</w:t>
            </w:r>
          </w:p>
        </w:tc>
        <w:tc>
          <w:tcPr>
            <w:tcW w:w="5850" w:type="dxa"/>
            <w:gridSpan w:val="5"/>
            <w:tcBorders>
              <w:left w:val="thinThickThinSmallGap" w:sz="24" w:space="0" w:color="auto"/>
            </w:tcBorders>
            <w:shd w:val="clear" w:color="auto" w:fill="D9D9D9" w:themeFill="background1" w:themeFillShade="D9"/>
            <w:vAlign w:val="center"/>
          </w:tcPr>
          <w:p w:rsidR="00173170" w:rsidRPr="000B1BBC" w:rsidRDefault="00173170" w:rsidP="00173170">
            <w:pPr>
              <w:contextualSpacing/>
              <w:rPr>
                <w:rFonts w:ascii="Calibri" w:hAnsi="Calibri" w:cs="Calibri"/>
                <w:b/>
                <w:color w:val="000000" w:themeColor="text1"/>
                <w:sz w:val="18"/>
                <w:szCs w:val="18"/>
              </w:rPr>
            </w:pPr>
            <w:r w:rsidRPr="000B1BBC">
              <w:rPr>
                <w:rFonts w:ascii="Calibri" w:hAnsi="Calibri" w:cs="Calibri"/>
                <w:b/>
                <w:color w:val="000000" w:themeColor="text1"/>
                <w:sz w:val="18"/>
                <w:szCs w:val="18"/>
              </w:rPr>
              <w:t>Combined:  60%</w:t>
            </w:r>
          </w:p>
        </w:tc>
      </w:tr>
    </w:tbl>
    <w:p w:rsidR="005E6D70" w:rsidRPr="001F29F9" w:rsidRDefault="005E6D70" w:rsidP="005E6D70">
      <w:pPr>
        <w:pBdr>
          <w:bottom w:val="single" w:sz="12" w:space="1" w:color="auto"/>
        </w:pBdr>
        <w:tabs>
          <w:tab w:val="left" w:pos="288"/>
          <w:tab w:val="left" w:pos="4752"/>
        </w:tabs>
        <w:jc w:val="both"/>
        <w:rPr>
          <w:color w:val="000000" w:themeColor="text1"/>
        </w:rPr>
      </w:pPr>
    </w:p>
    <w:p w:rsidR="005E6D70" w:rsidRDefault="005E6D70" w:rsidP="0086766C">
      <w:pPr>
        <w:tabs>
          <w:tab w:val="left" w:pos="288"/>
          <w:tab w:val="left" w:pos="4752"/>
        </w:tabs>
        <w:jc w:val="both"/>
        <w:rPr>
          <w:color w:val="000000" w:themeColor="text1"/>
          <w:sz w:val="16"/>
          <w:szCs w:val="16"/>
        </w:rPr>
      </w:pPr>
    </w:p>
    <w:p w:rsidR="005A6B6B" w:rsidRPr="00C965F2" w:rsidRDefault="002C6E5B" w:rsidP="0086766C">
      <w:pPr>
        <w:tabs>
          <w:tab w:val="left" w:pos="288"/>
          <w:tab w:val="left" w:pos="4752"/>
        </w:tabs>
        <w:jc w:val="both"/>
        <w:rPr>
          <w:rFonts w:cs="Times New Roman"/>
          <w:color w:val="auto"/>
          <w:szCs w:val="24"/>
        </w:rPr>
      </w:pPr>
      <w:r w:rsidRPr="001F29F9">
        <w:rPr>
          <w:color w:val="000000" w:themeColor="text1"/>
          <w:szCs w:val="24"/>
          <w:u w:val="single"/>
        </w:rPr>
        <w:t>ANALYSIS SUMMARY</w:t>
      </w:r>
      <w:r w:rsidRPr="001F29F9">
        <w:rPr>
          <w:color w:val="000000" w:themeColor="text1"/>
          <w:szCs w:val="24"/>
        </w:rPr>
        <w:t>:</w:t>
      </w:r>
      <w:r w:rsidR="005A6B6B">
        <w:rPr>
          <w:color w:val="auto"/>
        </w:rPr>
        <w:t xml:space="preserve"> </w:t>
      </w:r>
      <w:r w:rsidR="005A6B6B" w:rsidRPr="00F64312">
        <w:rPr>
          <w:color w:val="auto"/>
        </w:rPr>
        <w:t xml:space="preserve"> </w:t>
      </w:r>
      <w:r w:rsidR="005A6B6B">
        <w:rPr>
          <w:rFonts w:cs="Times New Roman"/>
          <w:color w:val="auto"/>
          <w:szCs w:val="24"/>
        </w:rPr>
        <w:t xml:space="preserve">The </w:t>
      </w:r>
      <w:r w:rsidR="00785CB5">
        <w:rPr>
          <w:rFonts w:cs="Times New Roman"/>
          <w:color w:val="auto"/>
          <w:szCs w:val="24"/>
        </w:rPr>
        <w:t>Disability Evaluation System (</w:t>
      </w:r>
      <w:r w:rsidR="005A6B6B">
        <w:rPr>
          <w:rFonts w:cs="Times New Roman"/>
          <w:color w:val="auto"/>
          <w:szCs w:val="24"/>
        </w:rPr>
        <w:t>DES) is responsible for maintaining a fit and v</w:t>
      </w:r>
      <w:r w:rsidR="00785CB5">
        <w:rPr>
          <w:rFonts w:cs="Times New Roman"/>
          <w:color w:val="auto"/>
          <w:szCs w:val="24"/>
        </w:rPr>
        <w:t xml:space="preserve">ital fighting force.  While the </w:t>
      </w:r>
      <w:r w:rsidR="005A6B6B">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w:t>
      </w:r>
      <w:r w:rsidR="00785CB5">
        <w:rPr>
          <w:rFonts w:cs="Times New Roman"/>
          <w:color w:val="auto"/>
          <w:szCs w:val="24"/>
        </w:rPr>
        <w:t xml:space="preserve">ime of final disposition.  The </w:t>
      </w:r>
      <w:r w:rsidR="005A6B6B">
        <w:rPr>
          <w:rFonts w:cs="Times New Roman"/>
          <w:color w:val="auto"/>
          <w:szCs w:val="24"/>
        </w:rPr>
        <w:t>DES has neither the role nor the authority to compensate service members for anticipated future severity or potential complications of conditions resulting in medical separation nor for conditions determined to be service</w:t>
      </w:r>
      <w:r w:rsidR="00785CB5">
        <w:rPr>
          <w:rFonts w:cs="Times New Roman"/>
          <w:color w:val="auto"/>
          <w:szCs w:val="24"/>
        </w:rPr>
        <w:t>-</w:t>
      </w:r>
      <w:r w:rsidR="005A6B6B">
        <w:rPr>
          <w:rFonts w:cs="Times New Roman"/>
          <w:color w:val="auto"/>
          <w:szCs w:val="24"/>
        </w:rPr>
        <w:t xml:space="preserve">connected by the </w:t>
      </w:r>
      <w:r w:rsidR="00A4112F">
        <w:rPr>
          <w:rFonts w:cs="Times New Roman"/>
          <w:color w:val="auto"/>
          <w:szCs w:val="24"/>
        </w:rPr>
        <w:t>Department of Veterans’ Affairs (DVA)</w:t>
      </w:r>
      <w:r w:rsidR="005A6B6B">
        <w:rPr>
          <w:rFonts w:cs="Times New Roman"/>
          <w:color w:val="auto"/>
          <w:szCs w:val="24"/>
        </w:rPr>
        <w:t xml:space="preserve"> but not determined to be unfitting by the PEB.  However the, </w:t>
      </w:r>
      <w:r w:rsidR="00A4112F">
        <w:rPr>
          <w:rFonts w:cs="Times New Roman"/>
          <w:color w:val="auto"/>
          <w:szCs w:val="24"/>
        </w:rPr>
        <w:t xml:space="preserve">DVA </w:t>
      </w:r>
      <w:r w:rsidR="005A6B6B">
        <w:rPr>
          <w:rFonts w:cs="Times New Roman"/>
          <w:color w:val="auto"/>
          <w:szCs w:val="24"/>
        </w:rPr>
        <w:t>operating under a different set of laws (Title 38, United States Code), is empowered to compensate all service</w:t>
      </w:r>
      <w:r w:rsidR="00785CB5">
        <w:rPr>
          <w:rFonts w:cs="Times New Roman"/>
          <w:color w:val="auto"/>
          <w:szCs w:val="24"/>
        </w:rPr>
        <w:t>-</w:t>
      </w:r>
      <w:r w:rsidR="005A6B6B">
        <w:rPr>
          <w:rFonts w:cs="Times New Roman"/>
          <w:color w:val="auto"/>
          <w:szCs w:val="24"/>
        </w:rPr>
        <w:t>connected co</w:t>
      </w:r>
      <w:r w:rsidR="00785CB5">
        <w:rPr>
          <w:rFonts w:cs="Times New Roman"/>
          <w:color w:val="auto"/>
          <w:szCs w:val="24"/>
        </w:rPr>
        <w:t>nditions and to periodically re</w:t>
      </w:r>
      <w:r w:rsidR="005A6B6B">
        <w:rPr>
          <w:rFonts w:cs="Times New Roman"/>
          <w:color w:val="auto"/>
          <w:szCs w:val="24"/>
        </w:rPr>
        <w:t xml:space="preserve">evaluate said conditions for the purpose of adjusting the </w:t>
      </w:r>
      <w:r w:rsidR="00A4112F">
        <w:rPr>
          <w:rFonts w:cs="Times New Roman"/>
          <w:color w:val="auto"/>
          <w:szCs w:val="24"/>
        </w:rPr>
        <w:t>V</w:t>
      </w:r>
      <w:r w:rsidR="005A6B6B">
        <w:rPr>
          <w:rFonts w:cs="Times New Roman"/>
          <w:color w:val="auto"/>
          <w:szCs w:val="24"/>
        </w:rPr>
        <w:t>etera</w:t>
      </w:r>
      <w:r w:rsidR="00785CB5">
        <w:rPr>
          <w:rFonts w:cs="Times New Roman"/>
          <w:color w:val="auto"/>
          <w:szCs w:val="24"/>
        </w:rPr>
        <w:t>n’s disability rating should the</w:t>
      </w:r>
      <w:r w:rsidR="005A6B6B">
        <w:rPr>
          <w:rFonts w:cs="Times New Roman"/>
          <w:color w:val="auto"/>
          <w:szCs w:val="24"/>
        </w:rPr>
        <w:t xml:space="preserve"> degree of impairment vary over time.  The Board’s role is confined to the review of </w:t>
      </w:r>
      <w:r w:rsidR="00785CB5">
        <w:rPr>
          <w:rFonts w:cs="Times New Roman"/>
          <w:color w:val="auto"/>
          <w:szCs w:val="24"/>
        </w:rPr>
        <w:t xml:space="preserve">the </w:t>
      </w:r>
      <w:r w:rsidR="005A6B6B">
        <w:rPr>
          <w:rFonts w:cs="Times New Roman"/>
          <w:color w:val="auto"/>
          <w:szCs w:val="24"/>
        </w:rPr>
        <w:t>medical records and all evidence at hand to assess the fairness of PEB rating determinations, compared to VASRD standards, based on severity at the time of separation.</w:t>
      </w:r>
    </w:p>
    <w:p w:rsidR="00CE7755" w:rsidRDefault="00CE7755" w:rsidP="00CE7755">
      <w:pPr>
        <w:tabs>
          <w:tab w:val="left" w:pos="288"/>
          <w:tab w:val="left" w:pos="4752"/>
        </w:tabs>
        <w:jc w:val="both"/>
        <w:rPr>
          <w:rFonts w:cs="Times New Roman"/>
          <w:color w:val="auto"/>
          <w:szCs w:val="24"/>
          <w:u w:val="single"/>
        </w:rPr>
      </w:pPr>
    </w:p>
    <w:p w:rsidR="00CE7755" w:rsidRDefault="00CE7755" w:rsidP="00FB212B">
      <w:pPr>
        <w:tabs>
          <w:tab w:val="left" w:pos="288"/>
          <w:tab w:val="left" w:pos="4752"/>
        </w:tabs>
        <w:jc w:val="both"/>
        <w:rPr>
          <w:color w:val="auto"/>
        </w:rPr>
      </w:pPr>
      <w:proofErr w:type="gramStart"/>
      <w:r w:rsidRPr="00173170">
        <w:rPr>
          <w:rFonts w:cs="Times New Roman"/>
          <w:color w:val="auto"/>
          <w:szCs w:val="24"/>
          <w:u w:val="single"/>
        </w:rPr>
        <w:t>Bilateral Ankle Pain Condition</w:t>
      </w:r>
      <w:r w:rsidRPr="00173170">
        <w:rPr>
          <w:rFonts w:cs="Times New Roman"/>
          <w:color w:val="auto"/>
          <w:szCs w:val="24"/>
        </w:rPr>
        <w:t>.</w:t>
      </w:r>
      <w:proofErr w:type="gramEnd"/>
      <w:r>
        <w:rPr>
          <w:rFonts w:cs="Times New Roman"/>
          <w:color w:val="auto"/>
          <w:szCs w:val="24"/>
        </w:rPr>
        <w:t xml:space="preserve">  </w:t>
      </w:r>
      <w:r w:rsidRPr="00173170">
        <w:rPr>
          <w:rFonts w:cs="Times New Roman"/>
          <w:color w:val="auto"/>
          <w:szCs w:val="24"/>
        </w:rPr>
        <w:t xml:space="preserve">The CI suffered multiple ankle sprains from 2000 to 2001 resulting in unstable ankles. </w:t>
      </w:r>
      <w:r w:rsidR="00785CB5">
        <w:rPr>
          <w:rFonts w:cs="Times New Roman"/>
          <w:color w:val="auto"/>
          <w:szCs w:val="24"/>
        </w:rPr>
        <w:t xml:space="preserve"> </w:t>
      </w:r>
      <w:r w:rsidRPr="00173170">
        <w:rPr>
          <w:rFonts w:cs="Times New Roman"/>
          <w:color w:val="auto"/>
          <w:szCs w:val="24"/>
        </w:rPr>
        <w:t xml:space="preserve">Successful stabilizing surgery was performed on each, but </w:t>
      </w:r>
      <w:proofErr w:type="gramStart"/>
      <w:r w:rsidRPr="00173170">
        <w:rPr>
          <w:rFonts w:cs="Times New Roman"/>
          <w:color w:val="auto"/>
          <w:szCs w:val="24"/>
        </w:rPr>
        <w:t>a chronic pain condition develop</w:t>
      </w:r>
      <w:proofErr w:type="gramEnd"/>
      <w:r w:rsidRPr="00173170">
        <w:rPr>
          <w:rFonts w:cs="Times New Roman"/>
          <w:color w:val="auto"/>
          <w:szCs w:val="24"/>
        </w:rPr>
        <w:t xml:space="preserve"> post</w:t>
      </w:r>
      <w:r w:rsidR="00785CB5">
        <w:rPr>
          <w:rFonts w:cs="Times New Roman"/>
          <w:color w:val="auto"/>
          <w:szCs w:val="24"/>
        </w:rPr>
        <w:t>-</w:t>
      </w:r>
      <w:r w:rsidRPr="00173170">
        <w:rPr>
          <w:rFonts w:cs="Times New Roman"/>
          <w:color w:val="auto"/>
          <w:szCs w:val="24"/>
        </w:rPr>
        <w:t>operatively in both</w:t>
      </w:r>
      <w:r>
        <w:rPr>
          <w:color w:val="000000" w:themeColor="text1"/>
          <w:szCs w:val="24"/>
        </w:rPr>
        <w:t xml:space="preserve">.  </w:t>
      </w:r>
      <w:r w:rsidR="002210FE" w:rsidRPr="000A1EE5">
        <w:rPr>
          <w:color w:val="auto"/>
        </w:rPr>
        <w:t xml:space="preserve">Both </w:t>
      </w:r>
      <w:r w:rsidR="002210FE">
        <w:rPr>
          <w:color w:val="auto"/>
        </w:rPr>
        <w:t>ankle</w:t>
      </w:r>
      <w:r w:rsidR="002210FE" w:rsidRPr="000A1EE5">
        <w:rPr>
          <w:color w:val="auto"/>
        </w:rPr>
        <w:t xml:space="preserve"> conditions were adjudicated by the PEB as unfitting but bundled for rating purposes.</w:t>
      </w:r>
      <w:r w:rsidR="002210FE">
        <w:rPr>
          <w:color w:val="auto"/>
        </w:rPr>
        <w:t xml:space="preserve">  </w:t>
      </w:r>
      <w:r w:rsidR="00C965F2">
        <w:rPr>
          <w:color w:val="auto"/>
          <w:szCs w:val="24"/>
        </w:rPr>
        <w:t>T</w:t>
      </w:r>
      <w:r w:rsidR="00C965F2" w:rsidRPr="002D42D4">
        <w:rPr>
          <w:color w:val="auto"/>
          <w:szCs w:val="24"/>
        </w:rPr>
        <w:t xml:space="preserve">he Board’s initial charge in this case was, therefore, directed at determining if the PEB’s approach of combining </w:t>
      </w:r>
      <w:r w:rsidR="00C965F2" w:rsidRPr="00FF0F62">
        <w:rPr>
          <w:color w:val="auto"/>
          <w:szCs w:val="24"/>
        </w:rPr>
        <w:t>conditions under a single rating was justified in lieu of separate ratings.</w:t>
      </w:r>
      <w:r w:rsidR="00A06820" w:rsidRPr="00FF0F62">
        <w:rPr>
          <w:color w:val="auto"/>
          <w:szCs w:val="24"/>
        </w:rPr>
        <w:t xml:space="preserve"> </w:t>
      </w:r>
      <w:r w:rsidR="00C965F2" w:rsidRPr="00FF0F62">
        <w:rPr>
          <w:sz w:val="23"/>
          <w:szCs w:val="23"/>
        </w:rPr>
        <w:t xml:space="preserve"> </w:t>
      </w:r>
      <w:r w:rsidR="00785CB5" w:rsidRPr="00FF0F62">
        <w:rPr>
          <w:color w:val="auto"/>
          <w:szCs w:val="24"/>
        </w:rPr>
        <w:t xml:space="preserve">Not uncommon, </w:t>
      </w:r>
      <w:r w:rsidR="00C965F2" w:rsidRPr="00FF0F62">
        <w:rPr>
          <w:color w:val="auto"/>
          <w:szCs w:val="24"/>
        </w:rPr>
        <w:t>this approach by the PEB reflected its judgment that the constellation of conditions was unfitting, and there was no need for separate fitness adjudications or implied adjudication that each condition was separately</w:t>
      </w:r>
      <w:r w:rsidR="00BD0507" w:rsidRPr="00FF0F62">
        <w:rPr>
          <w:color w:val="auto"/>
          <w:szCs w:val="24"/>
        </w:rPr>
        <w:t xml:space="preserve"> not</w:t>
      </w:r>
      <w:r w:rsidR="00C965F2" w:rsidRPr="00FF0F62">
        <w:rPr>
          <w:color w:val="auto"/>
          <w:szCs w:val="24"/>
        </w:rPr>
        <w:t xml:space="preserve"> unfitting.</w:t>
      </w:r>
      <w:r w:rsidR="00C965F2">
        <w:rPr>
          <w:color w:val="auto"/>
          <w:szCs w:val="24"/>
        </w:rPr>
        <w:t xml:space="preserve"> </w:t>
      </w:r>
      <w:r w:rsidR="00C965F2" w:rsidRPr="009E442F">
        <w:rPr>
          <w:color w:val="auto"/>
          <w:szCs w:val="24"/>
        </w:rPr>
        <w:t xml:space="preserve"> The Board must apply separate codes and ratings in its recommendations if compensable ratings for each condition are achieved IAW VASRD §4.71a.  If the Board judges that two or more separate ratings are warranted in such cases, however, it must satisfy the requirement that each ‘unbundled’ condition was unfitting in and of itself.</w:t>
      </w:r>
      <w:r w:rsidR="00C965F2">
        <w:rPr>
          <w:color w:val="auto"/>
          <w:szCs w:val="24"/>
        </w:rPr>
        <w:t xml:space="preserve"> </w:t>
      </w:r>
      <w:r w:rsidR="00C965F2" w:rsidRPr="009E442F">
        <w:rPr>
          <w:color w:val="auto"/>
          <w:szCs w:val="24"/>
        </w:rPr>
        <w:t xml:space="preserve"> Thus the Board must maintain the prerogative of separate fitness recommendations in this circumstance, with the caveat that its recommendations may not produce a lower combined rating than that of the PEB.  The Board then undertook to ascertain if unbundling the conditions could achieve a more appropriate rating benefit for the CI.</w:t>
      </w:r>
      <w:r w:rsidR="00FB212B">
        <w:rPr>
          <w:color w:val="auto"/>
          <w:szCs w:val="24"/>
        </w:rPr>
        <w:t xml:space="preserve">  </w:t>
      </w:r>
      <w:r w:rsidR="00236A58">
        <w:rPr>
          <w:color w:val="000000" w:themeColor="text1"/>
          <w:szCs w:val="24"/>
        </w:rPr>
        <w:t>Following surgery in Sept</w:t>
      </w:r>
      <w:r>
        <w:rPr>
          <w:color w:val="000000" w:themeColor="text1"/>
          <w:szCs w:val="24"/>
        </w:rPr>
        <w:t>ember</w:t>
      </w:r>
      <w:r w:rsidR="00236A58">
        <w:rPr>
          <w:color w:val="000000" w:themeColor="text1"/>
          <w:szCs w:val="24"/>
        </w:rPr>
        <w:t xml:space="preserve"> </w:t>
      </w:r>
      <w:r w:rsidR="00236A58">
        <w:rPr>
          <w:color w:val="000000" w:themeColor="text1"/>
          <w:szCs w:val="24"/>
        </w:rPr>
        <w:lastRenderedPageBreak/>
        <w:t>2003</w:t>
      </w:r>
      <w:r>
        <w:rPr>
          <w:color w:val="000000" w:themeColor="text1"/>
          <w:szCs w:val="24"/>
        </w:rPr>
        <w:t xml:space="preserve">, </w:t>
      </w:r>
      <w:r w:rsidR="00236A58">
        <w:rPr>
          <w:color w:val="000000" w:themeColor="text1"/>
          <w:szCs w:val="24"/>
        </w:rPr>
        <w:t>pain condition developed</w:t>
      </w:r>
      <w:r w:rsidR="00066950">
        <w:rPr>
          <w:color w:val="000000" w:themeColor="text1"/>
          <w:szCs w:val="24"/>
        </w:rPr>
        <w:t xml:space="preserve"> in the right ankle.</w:t>
      </w:r>
      <w:r w:rsidR="00236A58">
        <w:rPr>
          <w:color w:val="000000" w:themeColor="text1"/>
          <w:szCs w:val="24"/>
        </w:rPr>
        <w:t xml:space="preserve">  </w:t>
      </w:r>
      <w:r w:rsidR="00FF0F62">
        <w:rPr>
          <w:color w:val="000000" w:themeColor="text1"/>
          <w:szCs w:val="24"/>
        </w:rPr>
        <w:t>A magnetic resonance image (</w:t>
      </w:r>
      <w:r w:rsidR="00236A58">
        <w:rPr>
          <w:color w:val="000000" w:themeColor="text1"/>
          <w:szCs w:val="24"/>
        </w:rPr>
        <w:t>MRI</w:t>
      </w:r>
      <w:r w:rsidR="00FF0F62">
        <w:rPr>
          <w:color w:val="000000" w:themeColor="text1"/>
          <w:szCs w:val="24"/>
        </w:rPr>
        <w:t>)</w:t>
      </w:r>
      <w:r w:rsidR="00236A58">
        <w:rPr>
          <w:color w:val="000000" w:themeColor="text1"/>
          <w:szCs w:val="24"/>
        </w:rPr>
        <w:t xml:space="preserve"> of the right ankle, obtained in 2004, revealed </w:t>
      </w:r>
      <w:r w:rsidR="00FF0F62">
        <w:rPr>
          <w:color w:val="000000" w:themeColor="text1"/>
          <w:szCs w:val="24"/>
        </w:rPr>
        <w:t xml:space="preserve">the </w:t>
      </w:r>
      <w:r w:rsidR="00236A58">
        <w:rPr>
          <w:color w:val="000000" w:themeColor="text1"/>
          <w:szCs w:val="24"/>
        </w:rPr>
        <w:t xml:space="preserve">major ankle tendons of </w:t>
      </w:r>
      <w:r w:rsidR="00F13DD9">
        <w:rPr>
          <w:color w:val="000000" w:themeColor="text1"/>
          <w:szCs w:val="24"/>
        </w:rPr>
        <w:t>stability (</w:t>
      </w:r>
      <w:r w:rsidR="00236A58">
        <w:rPr>
          <w:color w:val="000000" w:themeColor="text1"/>
          <w:szCs w:val="24"/>
        </w:rPr>
        <w:t xml:space="preserve">tibia-fibular and talo-fibular) to be normal </w:t>
      </w:r>
      <w:r w:rsidR="00F13DD9">
        <w:rPr>
          <w:color w:val="000000" w:themeColor="text1"/>
          <w:szCs w:val="24"/>
        </w:rPr>
        <w:t>but chronic</w:t>
      </w:r>
      <w:r w:rsidR="00236A58">
        <w:rPr>
          <w:color w:val="000000" w:themeColor="text1"/>
          <w:szCs w:val="24"/>
        </w:rPr>
        <w:t xml:space="preserve"> tears </w:t>
      </w:r>
      <w:r w:rsidR="00F13DD9">
        <w:rPr>
          <w:color w:val="000000" w:themeColor="text1"/>
          <w:szCs w:val="24"/>
        </w:rPr>
        <w:t>involving</w:t>
      </w:r>
      <w:r w:rsidR="00236A58">
        <w:rPr>
          <w:color w:val="000000" w:themeColor="text1"/>
          <w:szCs w:val="24"/>
        </w:rPr>
        <w:t xml:space="preserve"> other tendons.</w:t>
      </w:r>
      <w:r w:rsidR="000D1DF1" w:rsidRPr="000D1DF1">
        <w:rPr>
          <w:color w:val="auto"/>
        </w:rPr>
        <w:t xml:space="preserve"> </w:t>
      </w:r>
      <w:r w:rsidR="000D1DF1">
        <w:rPr>
          <w:color w:val="auto"/>
        </w:rPr>
        <w:t xml:space="preserve"> </w:t>
      </w:r>
      <w:r w:rsidR="005D59B2">
        <w:rPr>
          <w:color w:val="000000" w:themeColor="text1"/>
          <w:szCs w:val="24"/>
        </w:rPr>
        <w:t>At the MEB</w:t>
      </w:r>
      <w:r>
        <w:rPr>
          <w:color w:val="000000" w:themeColor="text1"/>
          <w:szCs w:val="24"/>
        </w:rPr>
        <w:t xml:space="preserve"> </w:t>
      </w:r>
      <w:r w:rsidR="00FF0F62">
        <w:rPr>
          <w:color w:val="000000" w:themeColor="text1"/>
          <w:szCs w:val="24"/>
        </w:rPr>
        <w:t xml:space="preserve">narrative summary </w:t>
      </w:r>
      <w:r w:rsidR="00FF0F62" w:rsidRPr="00FF0F62">
        <w:rPr>
          <w:color w:val="000000" w:themeColor="text1"/>
          <w:szCs w:val="24"/>
        </w:rPr>
        <w:t>(</w:t>
      </w:r>
      <w:r w:rsidR="008325D8" w:rsidRPr="00FF0F62">
        <w:rPr>
          <w:color w:val="000000" w:themeColor="text1"/>
          <w:szCs w:val="24"/>
        </w:rPr>
        <w:t>NARSUM</w:t>
      </w:r>
      <w:r w:rsidR="00FF0F62" w:rsidRPr="00FF0F62">
        <w:rPr>
          <w:color w:val="000000" w:themeColor="text1"/>
          <w:szCs w:val="24"/>
        </w:rPr>
        <w:t>)</w:t>
      </w:r>
      <w:r w:rsidR="005D59B2">
        <w:rPr>
          <w:color w:val="000000" w:themeColor="text1"/>
          <w:szCs w:val="24"/>
        </w:rPr>
        <w:t xml:space="preserve"> evaluation obtained three months before separation, the CI reported chronic pain in </w:t>
      </w:r>
      <w:r w:rsidR="00506A9A">
        <w:rPr>
          <w:color w:val="000000" w:themeColor="text1"/>
          <w:szCs w:val="24"/>
        </w:rPr>
        <w:t>both ankles</w:t>
      </w:r>
      <w:r w:rsidR="005D59B2">
        <w:rPr>
          <w:color w:val="000000" w:themeColor="text1"/>
          <w:szCs w:val="24"/>
        </w:rPr>
        <w:t>, right greater than left</w:t>
      </w:r>
      <w:r w:rsidR="00F42778">
        <w:rPr>
          <w:color w:val="000000" w:themeColor="text1"/>
          <w:szCs w:val="24"/>
        </w:rPr>
        <w:t xml:space="preserve"> with</w:t>
      </w:r>
      <w:r w:rsidR="00A21158">
        <w:rPr>
          <w:color w:val="000000" w:themeColor="text1"/>
          <w:szCs w:val="24"/>
        </w:rPr>
        <w:t xml:space="preserve"> </w:t>
      </w:r>
      <w:r w:rsidR="008E16FD">
        <w:rPr>
          <w:color w:val="000000" w:themeColor="text1"/>
          <w:szCs w:val="24"/>
        </w:rPr>
        <w:t>pain progressing</w:t>
      </w:r>
      <w:r w:rsidR="00A21158">
        <w:rPr>
          <w:color w:val="000000" w:themeColor="text1"/>
          <w:szCs w:val="24"/>
        </w:rPr>
        <w:t xml:space="preserve"> from 1/10</w:t>
      </w:r>
      <w:r w:rsidR="005D59B2">
        <w:rPr>
          <w:color w:val="000000" w:themeColor="text1"/>
          <w:szCs w:val="24"/>
        </w:rPr>
        <w:t xml:space="preserve"> to 5/10 with activity throughout the day.</w:t>
      </w:r>
      <w:r w:rsidR="00FB0CE1" w:rsidRPr="00FB0CE1">
        <w:rPr>
          <w:color w:val="000000" w:themeColor="text1"/>
          <w:szCs w:val="24"/>
        </w:rPr>
        <w:t xml:space="preserve"> </w:t>
      </w:r>
      <w:r w:rsidR="00FB0CE1">
        <w:rPr>
          <w:color w:val="000000" w:themeColor="text1"/>
          <w:szCs w:val="24"/>
        </w:rPr>
        <w:t xml:space="preserve"> </w:t>
      </w:r>
      <w:r w:rsidR="005D59B2">
        <w:rPr>
          <w:color w:val="000000" w:themeColor="text1"/>
          <w:szCs w:val="24"/>
        </w:rPr>
        <w:t>The C</w:t>
      </w:r>
      <w:r w:rsidR="00C85BF6">
        <w:rPr>
          <w:color w:val="000000" w:themeColor="text1"/>
          <w:szCs w:val="24"/>
        </w:rPr>
        <w:t>I</w:t>
      </w:r>
      <w:r w:rsidR="005D59B2">
        <w:rPr>
          <w:color w:val="000000" w:themeColor="text1"/>
          <w:szCs w:val="24"/>
        </w:rPr>
        <w:t xml:space="preserve"> </w:t>
      </w:r>
      <w:r w:rsidR="00081F59">
        <w:rPr>
          <w:color w:val="000000" w:themeColor="text1"/>
          <w:szCs w:val="24"/>
        </w:rPr>
        <w:t xml:space="preserve">further </w:t>
      </w:r>
      <w:r w:rsidR="005D59B2">
        <w:rPr>
          <w:color w:val="000000" w:themeColor="text1"/>
          <w:szCs w:val="24"/>
        </w:rPr>
        <w:t xml:space="preserve">reported </w:t>
      </w:r>
      <w:r w:rsidR="00F42778">
        <w:rPr>
          <w:color w:val="000000" w:themeColor="text1"/>
          <w:szCs w:val="24"/>
        </w:rPr>
        <w:t xml:space="preserve">difficulty negotiating stairs and </w:t>
      </w:r>
      <w:r w:rsidR="005D59B2">
        <w:rPr>
          <w:color w:val="000000" w:themeColor="text1"/>
          <w:szCs w:val="24"/>
        </w:rPr>
        <w:t>inability to walk for more than 20-30 minutes without pain</w:t>
      </w:r>
      <w:r w:rsidR="00F42778">
        <w:rPr>
          <w:color w:val="000000" w:themeColor="text1"/>
          <w:szCs w:val="24"/>
        </w:rPr>
        <w:t>.</w:t>
      </w:r>
      <w:r w:rsidR="00066950">
        <w:rPr>
          <w:color w:val="000000" w:themeColor="text1"/>
          <w:szCs w:val="24"/>
        </w:rPr>
        <w:t xml:space="preserve"> </w:t>
      </w:r>
      <w:r w:rsidR="00506A9A">
        <w:rPr>
          <w:color w:val="000000" w:themeColor="text1"/>
          <w:szCs w:val="24"/>
        </w:rPr>
        <w:t xml:space="preserve"> </w:t>
      </w:r>
      <w:r w:rsidR="001D60C2">
        <w:rPr>
          <w:color w:val="000000" w:themeColor="text1"/>
          <w:szCs w:val="24"/>
        </w:rPr>
        <w:t>On examination</w:t>
      </w:r>
      <w:r w:rsidR="00115E44">
        <w:rPr>
          <w:color w:val="000000" w:themeColor="text1"/>
          <w:szCs w:val="24"/>
        </w:rPr>
        <w:t>,</w:t>
      </w:r>
      <w:r w:rsidR="00506A9A">
        <w:rPr>
          <w:color w:val="000000" w:themeColor="text1"/>
          <w:szCs w:val="24"/>
        </w:rPr>
        <w:t xml:space="preserve"> </w:t>
      </w:r>
      <w:r w:rsidR="00236A58">
        <w:rPr>
          <w:color w:val="000000" w:themeColor="text1"/>
          <w:szCs w:val="24"/>
        </w:rPr>
        <w:t xml:space="preserve">the right </w:t>
      </w:r>
      <w:r w:rsidR="00506A9A">
        <w:rPr>
          <w:color w:val="000000" w:themeColor="text1"/>
          <w:szCs w:val="24"/>
        </w:rPr>
        <w:t xml:space="preserve">ankle </w:t>
      </w:r>
      <w:r w:rsidR="00236A58">
        <w:rPr>
          <w:color w:val="000000" w:themeColor="text1"/>
          <w:szCs w:val="24"/>
        </w:rPr>
        <w:t xml:space="preserve">was </w:t>
      </w:r>
      <w:r w:rsidR="00506A9A">
        <w:rPr>
          <w:color w:val="000000" w:themeColor="text1"/>
          <w:szCs w:val="24"/>
        </w:rPr>
        <w:t>stable.</w:t>
      </w:r>
      <w:r w:rsidR="00F42778">
        <w:rPr>
          <w:color w:val="000000" w:themeColor="text1"/>
          <w:szCs w:val="24"/>
        </w:rPr>
        <w:t xml:space="preserve"> </w:t>
      </w:r>
      <w:r w:rsidR="00A21158">
        <w:rPr>
          <w:color w:val="000000" w:themeColor="text1"/>
          <w:szCs w:val="24"/>
        </w:rPr>
        <w:t xml:space="preserve"> </w:t>
      </w:r>
      <w:r w:rsidR="001D60C2">
        <w:rPr>
          <w:color w:val="000000" w:themeColor="text1"/>
          <w:szCs w:val="24"/>
        </w:rPr>
        <w:t>Pain occurred with inversion of both ankles</w:t>
      </w:r>
      <w:r w:rsidR="00100E3C">
        <w:rPr>
          <w:color w:val="000000" w:themeColor="text1"/>
          <w:szCs w:val="24"/>
        </w:rPr>
        <w:t>, right greater than left.</w:t>
      </w:r>
      <w:r w:rsidR="00F42778">
        <w:rPr>
          <w:color w:val="000000" w:themeColor="text1"/>
          <w:szCs w:val="24"/>
        </w:rPr>
        <w:t xml:space="preserve"> </w:t>
      </w:r>
      <w:r w:rsidR="00107C8F">
        <w:rPr>
          <w:color w:val="000000" w:themeColor="text1"/>
          <w:szCs w:val="24"/>
        </w:rPr>
        <w:t xml:space="preserve"> </w:t>
      </w:r>
      <w:r w:rsidR="00506A9A">
        <w:rPr>
          <w:color w:val="000000" w:themeColor="text1"/>
          <w:szCs w:val="24"/>
        </w:rPr>
        <w:t>Cru</w:t>
      </w:r>
      <w:r>
        <w:rPr>
          <w:color w:val="000000" w:themeColor="text1"/>
          <w:szCs w:val="24"/>
        </w:rPr>
        <w:t>n</w:t>
      </w:r>
      <w:r w:rsidR="00506A9A">
        <w:rPr>
          <w:color w:val="000000" w:themeColor="text1"/>
          <w:szCs w:val="24"/>
        </w:rPr>
        <w:t>ching and grinding of the right ankl</w:t>
      </w:r>
      <w:r w:rsidR="00100E3C">
        <w:rPr>
          <w:color w:val="000000" w:themeColor="text1"/>
          <w:szCs w:val="24"/>
        </w:rPr>
        <w:t>e</w:t>
      </w:r>
      <w:r w:rsidR="00506A9A">
        <w:rPr>
          <w:color w:val="000000" w:themeColor="text1"/>
          <w:szCs w:val="24"/>
        </w:rPr>
        <w:t xml:space="preserve"> was noted</w:t>
      </w:r>
      <w:r w:rsidR="00236A58">
        <w:rPr>
          <w:color w:val="000000" w:themeColor="text1"/>
          <w:szCs w:val="24"/>
        </w:rPr>
        <w:t xml:space="preserve"> with </w:t>
      </w:r>
      <w:r w:rsidR="00F13DD9">
        <w:rPr>
          <w:color w:val="000000" w:themeColor="text1"/>
          <w:szCs w:val="24"/>
        </w:rPr>
        <w:t>motion</w:t>
      </w:r>
      <w:r w:rsidR="00236A58">
        <w:rPr>
          <w:color w:val="000000" w:themeColor="text1"/>
          <w:szCs w:val="24"/>
        </w:rPr>
        <w:t>.</w:t>
      </w:r>
      <w:r w:rsidR="00F42778">
        <w:rPr>
          <w:color w:val="000000" w:themeColor="text1"/>
          <w:szCs w:val="24"/>
        </w:rPr>
        <w:t xml:space="preserve"> </w:t>
      </w:r>
      <w:r w:rsidR="005D59B2">
        <w:rPr>
          <w:color w:val="000000" w:themeColor="text1"/>
          <w:szCs w:val="24"/>
        </w:rPr>
        <w:t xml:space="preserve"> </w:t>
      </w:r>
      <w:r w:rsidR="001D2BED">
        <w:rPr>
          <w:color w:val="000000" w:themeColor="text1"/>
          <w:szCs w:val="24"/>
        </w:rPr>
        <w:t>Two podiatric consultations are referenced in th</w:t>
      </w:r>
      <w:r w:rsidR="00100E3C">
        <w:rPr>
          <w:color w:val="000000" w:themeColor="text1"/>
          <w:szCs w:val="24"/>
        </w:rPr>
        <w:t>e</w:t>
      </w:r>
      <w:r w:rsidR="001D2BED">
        <w:rPr>
          <w:color w:val="000000" w:themeColor="text1"/>
          <w:szCs w:val="24"/>
        </w:rPr>
        <w:t xml:space="preserve"> </w:t>
      </w:r>
      <w:r w:rsidR="001D2BED" w:rsidRPr="00FF0F62">
        <w:rPr>
          <w:color w:val="000000" w:themeColor="text1"/>
          <w:szCs w:val="24"/>
        </w:rPr>
        <w:t>NARSUM.</w:t>
      </w:r>
      <w:r>
        <w:rPr>
          <w:color w:val="000000" w:themeColor="text1"/>
          <w:szCs w:val="24"/>
        </w:rPr>
        <w:t xml:space="preserve">  </w:t>
      </w:r>
      <w:r w:rsidR="00F42778">
        <w:rPr>
          <w:color w:val="000000" w:themeColor="text1"/>
          <w:szCs w:val="24"/>
        </w:rPr>
        <w:t xml:space="preserve">On </w:t>
      </w:r>
      <w:r w:rsidR="00066950">
        <w:rPr>
          <w:color w:val="000000" w:themeColor="text1"/>
          <w:szCs w:val="24"/>
        </w:rPr>
        <w:t>examination</w:t>
      </w:r>
      <w:r w:rsidR="00115E44">
        <w:rPr>
          <w:color w:val="000000" w:themeColor="text1"/>
          <w:szCs w:val="24"/>
        </w:rPr>
        <w:t>,</w:t>
      </w:r>
      <w:r w:rsidR="001D2BED">
        <w:rPr>
          <w:color w:val="000000" w:themeColor="text1"/>
          <w:szCs w:val="24"/>
        </w:rPr>
        <w:t xml:space="preserve"> obtained three months prior to the </w:t>
      </w:r>
      <w:r w:rsidR="00F13DD9">
        <w:rPr>
          <w:color w:val="000000" w:themeColor="text1"/>
          <w:szCs w:val="24"/>
        </w:rPr>
        <w:t>MEB</w:t>
      </w:r>
      <w:r w:rsidR="008E16FD">
        <w:rPr>
          <w:color w:val="000000" w:themeColor="text1"/>
          <w:szCs w:val="24"/>
        </w:rPr>
        <w:t>, mild</w:t>
      </w:r>
      <w:r w:rsidR="001D2BED">
        <w:rPr>
          <w:color w:val="000000" w:themeColor="text1"/>
          <w:szCs w:val="24"/>
        </w:rPr>
        <w:t xml:space="preserve"> tenderness was recorded for the right ankle area.</w:t>
      </w:r>
      <w:r w:rsidR="0051445B">
        <w:rPr>
          <w:color w:val="000000" w:themeColor="text1"/>
          <w:szCs w:val="24"/>
        </w:rPr>
        <w:t xml:space="preserve"> </w:t>
      </w:r>
      <w:r w:rsidR="00F42778">
        <w:rPr>
          <w:color w:val="000000" w:themeColor="text1"/>
          <w:szCs w:val="24"/>
        </w:rPr>
        <w:t xml:space="preserve"> </w:t>
      </w:r>
      <w:r w:rsidR="00107C8F">
        <w:rPr>
          <w:color w:val="000000" w:themeColor="text1"/>
          <w:szCs w:val="24"/>
        </w:rPr>
        <w:t>Strength in the foot was normal and greater than 10 degrees of dorsiflexion without crepitus was reported</w:t>
      </w:r>
      <w:r w:rsidR="002548A0">
        <w:rPr>
          <w:color w:val="000000" w:themeColor="text1"/>
          <w:szCs w:val="24"/>
        </w:rPr>
        <w:t xml:space="preserve"> for both ankles</w:t>
      </w:r>
      <w:r w:rsidR="00107C8F">
        <w:rPr>
          <w:color w:val="000000" w:themeColor="text1"/>
          <w:szCs w:val="24"/>
        </w:rPr>
        <w:t>.</w:t>
      </w:r>
      <w:r w:rsidR="0065681D">
        <w:rPr>
          <w:color w:val="000000" w:themeColor="text1"/>
          <w:szCs w:val="24"/>
        </w:rPr>
        <w:t xml:space="preserve"> </w:t>
      </w:r>
      <w:r w:rsidR="00107C8F">
        <w:rPr>
          <w:color w:val="000000" w:themeColor="text1"/>
          <w:szCs w:val="24"/>
        </w:rPr>
        <w:t xml:space="preserve"> </w:t>
      </w:r>
      <w:r w:rsidR="001D2BED">
        <w:rPr>
          <w:color w:val="000000" w:themeColor="text1"/>
          <w:szCs w:val="24"/>
        </w:rPr>
        <w:t>A second consult obtained two months before the MEB</w:t>
      </w:r>
      <w:r w:rsidR="00F42778">
        <w:rPr>
          <w:color w:val="000000" w:themeColor="text1"/>
          <w:szCs w:val="24"/>
        </w:rPr>
        <w:t>,</w:t>
      </w:r>
      <w:r w:rsidR="001D2BED">
        <w:rPr>
          <w:color w:val="000000" w:themeColor="text1"/>
          <w:szCs w:val="24"/>
        </w:rPr>
        <w:t xml:space="preserve"> reported tenderness over the right lateral ankle</w:t>
      </w:r>
      <w:r w:rsidR="00081F59">
        <w:rPr>
          <w:color w:val="000000" w:themeColor="text1"/>
          <w:szCs w:val="24"/>
        </w:rPr>
        <w:t>.</w:t>
      </w:r>
      <w:r w:rsidR="0037746A">
        <w:rPr>
          <w:color w:val="000000" w:themeColor="text1"/>
          <w:szCs w:val="24"/>
        </w:rPr>
        <w:t xml:space="preserve"> </w:t>
      </w:r>
      <w:r w:rsidR="00361AC9">
        <w:rPr>
          <w:color w:val="000000" w:themeColor="text1"/>
          <w:szCs w:val="24"/>
        </w:rPr>
        <w:t xml:space="preserve"> </w:t>
      </w:r>
      <w:r>
        <w:rPr>
          <w:color w:val="000000" w:themeColor="text1"/>
          <w:szCs w:val="24"/>
        </w:rPr>
        <w:t>Range</w:t>
      </w:r>
      <w:r w:rsidR="00115E44">
        <w:rPr>
          <w:color w:val="000000" w:themeColor="text1"/>
          <w:szCs w:val="24"/>
        </w:rPr>
        <w:t>-</w:t>
      </w:r>
      <w:r>
        <w:rPr>
          <w:color w:val="000000" w:themeColor="text1"/>
          <w:szCs w:val="24"/>
        </w:rPr>
        <w:t>of</w:t>
      </w:r>
      <w:r w:rsidR="00115E44">
        <w:rPr>
          <w:color w:val="000000" w:themeColor="text1"/>
          <w:szCs w:val="24"/>
        </w:rPr>
        <w:t>-</w:t>
      </w:r>
      <w:r>
        <w:rPr>
          <w:color w:val="000000" w:themeColor="text1"/>
          <w:szCs w:val="24"/>
        </w:rPr>
        <w:t xml:space="preserve">motion (ROM) </w:t>
      </w:r>
      <w:r w:rsidR="00361AC9">
        <w:rPr>
          <w:color w:val="000000" w:themeColor="text1"/>
          <w:szCs w:val="24"/>
        </w:rPr>
        <w:t xml:space="preserve">and strength were </w:t>
      </w:r>
      <w:r w:rsidR="00E32803">
        <w:rPr>
          <w:color w:val="000000" w:themeColor="text1"/>
          <w:szCs w:val="24"/>
        </w:rPr>
        <w:t xml:space="preserve">reported as </w:t>
      </w:r>
      <w:r w:rsidR="00361AC9">
        <w:rPr>
          <w:color w:val="000000" w:themeColor="text1"/>
          <w:szCs w:val="24"/>
        </w:rPr>
        <w:t>normal</w:t>
      </w:r>
      <w:r w:rsidR="002548A0">
        <w:rPr>
          <w:color w:val="000000" w:themeColor="text1"/>
          <w:szCs w:val="24"/>
        </w:rPr>
        <w:t xml:space="preserve"> for both</w:t>
      </w:r>
      <w:r w:rsidR="00361AC9">
        <w:rPr>
          <w:color w:val="000000" w:themeColor="text1"/>
          <w:szCs w:val="24"/>
        </w:rPr>
        <w:t xml:space="preserve"> in all planes.</w:t>
      </w:r>
      <w:r w:rsidR="002548A0">
        <w:rPr>
          <w:color w:val="000000" w:themeColor="text1"/>
          <w:szCs w:val="24"/>
        </w:rPr>
        <w:t xml:space="preserve"> </w:t>
      </w:r>
      <w:r w:rsidR="002548A0" w:rsidRPr="002548A0">
        <w:rPr>
          <w:color w:val="auto"/>
        </w:rPr>
        <w:t xml:space="preserve"> </w:t>
      </w:r>
      <w:r w:rsidR="008E16FD">
        <w:rPr>
          <w:color w:val="auto"/>
        </w:rPr>
        <w:t xml:space="preserve">Routine </w:t>
      </w:r>
      <w:r w:rsidR="008E16FD" w:rsidRPr="000A1EE5">
        <w:rPr>
          <w:color w:val="auto"/>
        </w:rPr>
        <w:t>X-rays revealed swelling of the right ankle</w:t>
      </w:r>
      <w:r w:rsidR="008E16FD">
        <w:rPr>
          <w:color w:val="auto"/>
        </w:rPr>
        <w:t xml:space="preserve"> without fractures.</w:t>
      </w:r>
      <w:r w:rsidR="008E16FD">
        <w:rPr>
          <w:color w:val="000000" w:themeColor="text1"/>
          <w:szCs w:val="24"/>
        </w:rPr>
        <w:t xml:space="preserve">  Two days after this exam, physical therapy recorded reduced ROM of the right ankle of 10 degrees dorsiflexion and 42 degrees plantar flexion (normal 20 degrees/</w:t>
      </w:r>
      <w:r>
        <w:rPr>
          <w:color w:val="000000" w:themeColor="text1"/>
          <w:szCs w:val="24"/>
        </w:rPr>
        <w:t xml:space="preserve"> </w:t>
      </w:r>
      <w:r w:rsidR="008E16FD">
        <w:rPr>
          <w:color w:val="000000" w:themeColor="text1"/>
          <w:szCs w:val="24"/>
        </w:rPr>
        <w:t xml:space="preserve">45 degrees) and left ankle of 3 degrees dorsiflexion and 39 degrees plantar flexion.  </w:t>
      </w:r>
      <w:r w:rsidR="00974C7F">
        <w:rPr>
          <w:color w:val="000000" w:themeColor="text1"/>
          <w:szCs w:val="24"/>
        </w:rPr>
        <w:t xml:space="preserve">At the </w:t>
      </w:r>
      <w:r w:rsidR="00115E44">
        <w:rPr>
          <w:color w:val="000000" w:themeColor="text1"/>
          <w:szCs w:val="24"/>
        </w:rPr>
        <w:t xml:space="preserve">VA </w:t>
      </w:r>
      <w:proofErr w:type="spellStart"/>
      <w:r w:rsidR="00115E44">
        <w:rPr>
          <w:color w:val="000000" w:themeColor="text1"/>
          <w:szCs w:val="24"/>
        </w:rPr>
        <w:t>Compension</w:t>
      </w:r>
      <w:proofErr w:type="spellEnd"/>
      <w:r w:rsidR="00115E44">
        <w:rPr>
          <w:color w:val="000000" w:themeColor="text1"/>
          <w:szCs w:val="24"/>
        </w:rPr>
        <w:t xml:space="preserve"> and P</w:t>
      </w:r>
      <w:r w:rsidR="00974C7F">
        <w:rPr>
          <w:color w:val="000000" w:themeColor="text1"/>
          <w:szCs w:val="24"/>
        </w:rPr>
        <w:t>ension (C&amp;P) evaluation,</w:t>
      </w:r>
      <w:r w:rsidR="00A21158">
        <w:rPr>
          <w:color w:val="000000" w:themeColor="text1"/>
          <w:szCs w:val="24"/>
        </w:rPr>
        <w:t xml:space="preserve"> </w:t>
      </w:r>
      <w:r w:rsidR="00974C7F">
        <w:rPr>
          <w:color w:val="000000" w:themeColor="text1"/>
          <w:szCs w:val="24"/>
        </w:rPr>
        <w:t>performed approximately 15 months after separation, CI reported bilateral ankle and foot pain.</w:t>
      </w:r>
      <w:r w:rsidR="00723562">
        <w:rPr>
          <w:color w:val="000000" w:themeColor="text1"/>
          <w:szCs w:val="24"/>
        </w:rPr>
        <w:t xml:space="preserve">  </w:t>
      </w:r>
      <w:r w:rsidR="001179B8">
        <w:rPr>
          <w:color w:val="000000" w:themeColor="text1"/>
          <w:szCs w:val="24"/>
        </w:rPr>
        <w:t xml:space="preserve">On physical examination gait was normal. </w:t>
      </w:r>
      <w:r w:rsidR="00723562">
        <w:rPr>
          <w:color w:val="000000" w:themeColor="text1"/>
          <w:szCs w:val="24"/>
        </w:rPr>
        <w:t xml:space="preserve"> </w:t>
      </w:r>
      <w:r w:rsidR="008E16FD">
        <w:rPr>
          <w:color w:val="000000" w:themeColor="text1"/>
          <w:szCs w:val="24"/>
        </w:rPr>
        <w:t xml:space="preserve">Active ROM was normal for the the left ankle and plantar flexion reduced to 40 degrees for the right ankle.  </w:t>
      </w:r>
      <w:r w:rsidR="001179B8">
        <w:rPr>
          <w:color w:val="000000" w:themeColor="text1"/>
          <w:szCs w:val="24"/>
        </w:rPr>
        <w:t>Pain was recorded for both ROM exam</w:t>
      </w:r>
      <w:r w:rsidR="000D1DF1">
        <w:rPr>
          <w:color w:val="auto"/>
        </w:rPr>
        <w:t>s.</w:t>
      </w:r>
      <w:r w:rsidR="0051445B">
        <w:rPr>
          <w:color w:val="auto"/>
        </w:rPr>
        <w:t xml:space="preserve"> </w:t>
      </w:r>
      <w:r w:rsidR="00E43603">
        <w:rPr>
          <w:color w:val="auto"/>
        </w:rPr>
        <w:t xml:space="preserve"> </w:t>
      </w:r>
    </w:p>
    <w:p w:rsidR="00CE7755" w:rsidRDefault="00CE7755" w:rsidP="00425368">
      <w:pPr>
        <w:jc w:val="both"/>
        <w:rPr>
          <w:color w:val="auto"/>
        </w:rPr>
      </w:pPr>
    </w:p>
    <w:p w:rsidR="00425368" w:rsidRDefault="00CE7755" w:rsidP="00425368">
      <w:pPr>
        <w:jc w:val="both"/>
        <w:rPr>
          <w:color w:val="auto"/>
          <w:szCs w:val="24"/>
        </w:rPr>
      </w:pPr>
      <w:proofErr w:type="gramStart"/>
      <w:r>
        <w:rPr>
          <w:color w:val="000000" w:themeColor="text1"/>
          <w:szCs w:val="24"/>
          <w:u w:val="single"/>
        </w:rPr>
        <w:t>Right</w:t>
      </w:r>
      <w:r w:rsidRPr="00C965F2">
        <w:rPr>
          <w:color w:val="000000" w:themeColor="text1"/>
          <w:szCs w:val="24"/>
          <w:u w:val="single"/>
        </w:rPr>
        <w:t xml:space="preserve"> </w:t>
      </w:r>
      <w:r>
        <w:rPr>
          <w:color w:val="000000" w:themeColor="text1"/>
          <w:szCs w:val="24"/>
          <w:u w:val="single"/>
        </w:rPr>
        <w:t>A</w:t>
      </w:r>
      <w:r w:rsidRPr="00C965F2">
        <w:rPr>
          <w:color w:val="000000" w:themeColor="text1"/>
          <w:szCs w:val="24"/>
          <w:u w:val="single"/>
        </w:rPr>
        <w:t>nkle Condition</w:t>
      </w:r>
      <w:r w:rsidRPr="00173170">
        <w:rPr>
          <w:color w:val="000000" w:themeColor="text1"/>
          <w:szCs w:val="24"/>
        </w:rPr>
        <w:t>.</w:t>
      </w:r>
      <w:proofErr w:type="gramEnd"/>
      <w:r>
        <w:rPr>
          <w:color w:val="000000" w:themeColor="text1"/>
          <w:szCs w:val="24"/>
        </w:rPr>
        <w:t xml:space="preserve">  </w:t>
      </w:r>
      <w:r w:rsidR="000D1DF1" w:rsidRPr="000A1EE5">
        <w:rPr>
          <w:color w:val="auto"/>
        </w:rPr>
        <w:t xml:space="preserve">After </w:t>
      </w:r>
      <w:r w:rsidR="00F13DD9" w:rsidRPr="000A1EE5">
        <w:rPr>
          <w:color w:val="auto"/>
        </w:rPr>
        <w:t>discussion</w:t>
      </w:r>
      <w:r w:rsidR="00F13DD9">
        <w:rPr>
          <w:color w:val="auto"/>
        </w:rPr>
        <w:t xml:space="preserve"> </w:t>
      </w:r>
      <w:r w:rsidR="00F13DD9" w:rsidRPr="000A1EE5">
        <w:rPr>
          <w:color w:val="auto"/>
        </w:rPr>
        <w:t>the</w:t>
      </w:r>
      <w:r w:rsidR="000D1DF1" w:rsidRPr="000A1EE5">
        <w:rPr>
          <w:color w:val="auto"/>
        </w:rPr>
        <w:t xml:space="preserve"> Board </w:t>
      </w:r>
      <w:r w:rsidR="000D1DF1">
        <w:rPr>
          <w:color w:val="auto"/>
        </w:rPr>
        <w:t>unanimously</w:t>
      </w:r>
      <w:r w:rsidR="000D1DF1" w:rsidRPr="000A1EE5">
        <w:rPr>
          <w:color w:val="auto"/>
        </w:rPr>
        <w:t xml:space="preserve"> agreed that</w:t>
      </w:r>
      <w:r w:rsidR="000D1DF1" w:rsidRPr="000D1DF1">
        <w:rPr>
          <w:color w:val="auto"/>
        </w:rPr>
        <w:t xml:space="preserve"> </w:t>
      </w:r>
      <w:r w:rsidR="000D1DF1" w:rsidRPr="000A1EE5">
        <w:rPr>
          <w:color w:val="auto"/>
        </w:rPr>
        <w:t>the preponderance of evidence</w:t>
      </w:r>
      <w:r w:rsidR="000D1DF1">
        <w:rPr>
          <w:color w:val="auto"/>
        </w:rPr>
        <w:t xml:space="preserve"> su</w:t>
      </w:r>
      <w:r w:rsidR="00E43603">
        <w:rPr>
          <w:color w:val="auto"/>
        </w:rPr>
        <w:t>p</w:t>
      </w:r>
      <w:r w:rsidR="000D1DF1">
        <w:rPr>
          <w:color w:val="auto"/>
        </w:rPr>
        <w:t>ported</w:t>
      </w:r>
      <w:r w:rsidR="000D1DF1" w:rsidRPr="000A1EE5">
        <w:rPr>
          <w:color w:val="auto"/>
        </w:rPr>
        <w:t xml:space="preserve"> an unfitting status for the right ankle condition</w:t>
      </w:r>
      <w:r w:rsidR="00A06820">
        <w:rPr>
          <w:color w:val="auto"/>
        </w:rPr>
        <w:t>.</w:t>
      </w:r>
      <w:r w:rsidR="0051445B">
        <w:rPr>
          <w:color w:val="auto"/>
        </w:rPr>
        <w:t xml:space="preserve"> </w:t>
      </w:r>
      <w:r w:rsidR="00A06820">
        <w:rPr>
          <w:color w:val="auto"/>
        </w:rPr>
        <w:t xml:space="preserve"> </w:t>
      </w:r>
      <w:r w:rsidR="00F324DA" w:rsidRPr="00F64312">
        <w:rPr>
          <w:rFonts w:cs="Times New Roman"/>
          <w:color w:val="auto"/>
        </w:rPr>
        <w:t>The Board directs attention to its rating recommendation</w:t>
      </w:r>
      <w:r w:rsidR="00E43603">
        <w:rPr>
          <w:rFonts w:cs="Times New Roman"/>
          <w:color w:val="auto"/>
        </w:rPr>
        <w:t xml:space="preserve"> for the right ankle</w:t>
      </w:r>
      <w:r w:rsidR="00F324DA" w:rsidRPr="00F64312">
        <w:rPr>
          <w:rFonts w:cs="Times New Roman"/>
          <w:color w:val="auto"/>
        </w:rPr>
        <w:t xml:space="preserve"> based on the above evidence.  </w:t>
      </w:r>
      <w:r w:rsidR="00974C7F">
        <w:rPr>
          <w:color w:val="000000" w:themeColor="text1"/>
          <w:szCs w:val="24"/>
        </w:rPr>
        <w:t xml:space="preserve">The PEB and VA chose different </w:t>
      </w:r>
      <w:r w:rsidR="003F3054">
        <w:rPr>
          <w:color w:val="000000" w:themeColor="text1"/>
          <w:szCs w:val="24"/>
        </w:rPr>
        <w:t>coding options and rating approaches for the condition.</w:t>
      </w:r>
      <w:r w:rsidR="00723562">
        <w:rPr>
          <w:color w:val="000000" w:themeColor="text1"/>
          <w:szCs w:val="24"/>
        </w:rPr>
        <w:t xml:space="preserve"> </w:t>
      </w:r>
      <w:r w:rsidR="003F3054" w:rsidRPr="00761CF9">
        <w:rPr>
          <w:color w:val="auto"/>
        </w:rPr>
        <w:t xml:space="preserve"> </w:t>
      </w:r>
      <w:r w:rsidR="003E1E36" w:rsidRPr="003E1E36">
        <w:rPr>
          <w:color w:val="auto"/>
        </w:rPr>
        <w:t>The PEB combined the left and right ankle conditions as a single unfitting condition, coded analogously to 5003 adjudicated 0%</w:t>
      </w:r>
      <w:r w:rsidR="00127C40">
        <w:rPr>
          <w:color w:val="auto"/>
        </w:rPr>
        <w:t xml:space="preserve">. </w:t>
      </w:r>
      <w:r w:rsidR="003F3054" w:rsidRPr="00127C40">
        <w:rPr>
          <w:color w:val="auto"/>
        </w:rPr>
        <w:t xml:space="preserve"> The VA rated the ankles separately coded</w:t>
      </w:r>
      <w:r w:rsidR="003F3054">
        <w:rPr>
          <w:color w:val="auto"/>
        </w:rPr>
        <w:t xml:space="preserve"> 5010-5271</w:t>
      </w:r>
      <w:r w:rsidR="00173170">
        <w:rPr>
          <w:color w:val="auto"/>
        </w:rPr>
        <w:t xml:space="preserve"> </w:t>
      </w:r>
      <w:r w:rsidR="003F3054">
        <w:rPr>
          <w:color w:val="auto"/>
        </w:rPr>
        <w:t>(</w:t>
      </w:r>
      <w:r w:rsidR="00115E44">
        <w:rPr>
          <w:color w:val="auto"/>
        </w:rPr>
        <w:t>a</w:t>
      </w:r>
      <w:r w:rsidR="003F3054">
        <w:rPr>
          <w:color w:val="auto"/>
        </w:rPr>
        <w:t>nkle loss of motion</w:t>
      </w:r>
      <w:r w:rsidR="00F324DA">
        <w:rPr>
          <w:color w:val="auto"/>
        </w:rPr>
        <w:t>,</w:t>
      </w:r>
      <w:r w:rsidR="003F3054">
        <w:rPr>
          <w:color w:val="auto"/>
        </w:rPr>
        <w:t xml:space="preserve"> moderate) at 10% each citing </w:t>
      </w:r>
      <w:r w:rsidR="00F324DA">
        <w:rPr>
          <w:color w:val="auto"/>
        </w:rPr>
        <w:t>pain at the extremes of ROM testing bilaterally and</w:t>
      </w:r>
      <w:r w:rsidR="003F3054">
        <w:rPr>
          <w:color w:val="auto"/>
        </w:rPr>
        <w:t xml:space="preserve"> </w:t>
      </w:r>
      <w:r w:rsidR="00100E3C">
        <w:rPr>
          <w:color w:val="auto"/>
        </w:rPr>
        <w:t xml:space="preserve">a moderate </w:t>
      </w:r>
      <w:r w:rsidR="003F3054">
        <w:rPr>
          <w:color w:val="auto"/>
        </w:rPr>
        <w:t>reduc</w:t>
      </w:r>
      <w:r w:rsidR="00100E3C">
        <w:rPr>
          <w:color w:val="auto"/>
        </w:rPr>
        <w:t>tion of</w:t>
      </w:r>
      <w:r w:rsidR="003F3054">
        <w:rPr>
          <w:color w:val="auto"/>
        </w:rPr>
        <w:t xml:space="preserve"> </w:t>
      </w:r>
      <w:r w:rsidR="00E32803">
        <w:rPr>
          <w:color w:val="auto"/>
        </w:rPr>
        <w:t xml:space="preserve">ROM </w:t>
      </w:r>
      <w:r w:rsidR="003F3054">
        <w:rPr>
          <w:color w:val="auto"/>
        </w:rPr>
        <w:t>on the right</w:t>
      </w:r>
      <w:r w:rsidR="00F324DA">
        <w:rPr>
          <w:color w:val="auto"/>
        </w:rPr>
        <w:t>.</w:t>
      </w:r>
      <w:r w:rsidR="00127C40">
        <w:rPr>
          <w:color w:val="auto"/>
        </w:rPr>
        <w:t xml:space="preserve"> </w:t>
      </w:r>
      <w:r w:rsidR="00F324DA">
        <w:rPr>
          <w:color w:val="auto"/>
        </w:rPr>
        <w:t xml:space="preserve"> A higher rating of 20% was not indicate</w:t>
      </w:r>
      <w:r w:rsidR="00127C40">
        <w:rPr>
          <w:color w:val="auto"/>
        </w:rPr>
        <w:t>d</w:t>
      </w:r>
      <w:r w:rsidR="00F324DA">
        <w:rPr>
          <w:color w:val="auto"/>
        </w:rPr>
        <w:t xml:space="preserve"> in the absence of marked limited ROM of the ankles.</w:t>
      </w:r>
      <w:r w:rsidR="0051445B">
        <w:rPr>
          <w:color w:val="auto"/>
        </w:rPr>
        <w:t xml:space="preserve"> </w:t>
      </w:r>
      <w:r w:rsidR="00723562">
        <w:rPr>
          <w:color w:val="auto"/>
        </w:rPr>
        <w:t xml:space="preserve"> </w:t>
      </w:r>
      <w:r w:rsidR="00B068CE" w:rsidRPr="00FE045B">
        <w:rPr>
          <w:color w:val="auto"/>
          <w:szCs w:val="24"/>
        </w:rPr>
        <w:t xml:space="preserve">The Board considered the application of VASRD </w:t>
      </w:r>
      <w:r w:rsidR="00B068CE">
        <w:rPr>
          <w:color w:val="auto"/>
          <w:szCs w:val="24"/>
        </w:rPr>
        <w:t xml:space="preserve"> </w:t>
      </w:r>
      <w:r w:rsidR="00B068CE" w:rsidRPr="00FE045B">
        <w:rPr>
          <w:color w:val="auto"/>
          <w:szCs w:val="24"/>
        </w:rPr>
        <w:t>§4.59</w:t>
      </w:r>
      <w:r w:rsidR="00A06820">
        <w:rPr>
          <w:color w:val="auto"/>
          <w:szCs w:val="24"/>
        </w:rPr>
        <w:t xml:space="preserve"> </w:t>
      </w:r>
      <w:r w:rsidR="00F13DD9">
        <w:rPr>
          <w:color w:val="auto"/>
          <w:szCs w:val="24"/>
        </w:rPr>
        <w:t>(</w:t>
      </w:r>
      <w:r w:rsidR="00F13DD9" w:rsidRPr="00FE045B">
        <w:rPr>
          <w:color w:val="auto"/>
          <w:szCs w:val="24"/>
        </w:rPr>
        <w:t>painful</w:t>
      </w:r>
      <w:r w:rsidR="00B068CE" w:rsidRPr="00FE045B">
        <w:rPr>
          <w:color w:val="auto"/>
          <w:szCs w:val="24"/>
        </w:rPr>
        <w:t xml:space="preserve"> motion</w:t>
      </w:r>
      <w:r w:rsidR="00A06820">
        <w:rPr>
          <w:color w:val="auto"/>
          <w:szCs w:val="24"/>
        </w:rPr>
        <w:t>)</w:t>
      </w:r>
      <w:r w:rsidR="00B068CE" w:rsidRPr="00FE045B">
        <w:rPr>
          <w:color w:val="auto"/>
          <w:szCs w:val="24"/>
        </w:rPr>
        <w:t xml:space="preserve"> and §4.40 (functional loss) to the</w:t>
      </w:r>
      <w:r w:rsidR="00A06820">
        <w:rPr>
          <w:color w:val="auto"/>
          <w:szCs w:val="24"/>
        </w:rPr>
        <w:t xml:space="preserve"> right</w:t>
      </w:r>
      <w:r w:rsidR="00B068CE" w:rsidRPr="00FE045B">
        <w:rPr>
          <w:color w:val="auto"/>
          <w:szCs w:val="24"/>
        </w:rPr>
        <w:t xml:space="preserve"> ankle condition.  It noted that the VASRD states that the intent is that the painful joint is “entitled to at least the minimum compensable rating for the joint</w:t>
      </w:r>
      <w:r w:rsidR="00115E44">
        <w:rPr>
          <w:color w:val="auto"/>
          <w:szCs w:val="24"/>
        </w:rPr>
        <w:t>.</w:t>
      </w:r>
      <w:r>
        <w:rPr>
          <w:color w:val="auto"/>
          <w:szCs w:val="24"/>
        </w:rPr>
        <w:t>”</w:t>
      </w:r>
      <w:r w:rsidR="0051445B">
        <w:rPr>
          <w:color w:val="auto"/>
          <w:szCs w:val="24"/>
        </w:rPr>
        <w:t xml:space="preserve"> </w:t>
      </w:r>
      <w:r w:rsidR="00A06820">
        <w:rPr>
          <w:color w:val="auto"/>
          <w:szCs w:val="24"/>
        </w:rPr>
        <w:t xml:space="preserve"> </w:t>
      </w:r>
      <w:r w:rsidR="00F7153F" w:rsidRPr="00FE045B">
        <w:rPr>
          <w:color w:val="auto"/>
          <w:szCs w:val="24"/>
        </w:rPr>
        <w:t>The Board</w:t>
      </w:r>
      <w:r w:rsidR="00B068CE">
        <w:rPr>
          <w:color w:val="auto"/>
          <w:szCs w:val="24"/>
        </w:rPr>
        <w:t xml:space="preserve"> </w:t>
      </w:r>
      <w:r w:rsidR="00F7153F" w:rsidRPr="00FE045B">
        <w:rPr>
          <w:color w:val="auto"/>
          <w:szCs w:val="24"/>
        </w:rPr>
        <w:t>considered rating</w:t>
      </w:r>
      <w:r w:rsidR="00E43603">
        <w:rPr>
          <w:color w:val="auto"/>
          <w:szCs w:val="24"/>
        </w:rPr>
        <w:t xml:space="preserve"> the right ankle</w:t>
      </w:r>
      <w:r w:rsidR="00A06820" w:rsidRPr="00A06820">
        <w:rPr>
          <w:color w:val="auto"/>
          <w:szCs w:val="24"/>
        </w:rPr>
        <w:t xml:space="preserve"> </w:t>
      </w:r>
      <w:r w:rsidR="00A06820" w:rsidRPr="00FE045B">
        <w:rPr>
          <w:color w:val="auto"/>
          <w:szCs w:val="24"/>
        </w:rPr>
        <w:t>for limitation o</w:t>
      </w:r>
      <w:r w:rsidR="00A06820">
        <w:rPr>
          <w:color w:val="auto"/>
          <w:szCs w:val="24"/>
        </w:rPr>
        <w:t>f</w:t>
      </w:r>
      <w:r w:rsidR="00A06820" w:rsidRPr="00FE045B">
        <w:rPr>
          <w:color w:val="auto"/>
          <w:szCs w:val="24"/>
        </w:rPr>
        <w:t xml:space="preserve"> motion</w:t>
      </w:r>
      <w:r w:rsidR="00F7153F" w:rsidRPr="00FE045B">
        <w:rPr>
          <w:color w:val="auto"/>
          <w:szCs w:val="24"/>
        </w:rPr>
        <w:t xml:space="preserve"> under the </w:t>
      </w:r>
      <w:r w:rsidR="00E43603">
        <w:rPr>
          <w:color w:val="auto"/>
          <w:szCs w:val="24"/>
        </w:rPr>
        <w:t>5271</w:t>
      </w:r>
      <w:r w:rsidR="00A06820">
        <w:rPr>
          <w:color w:val="auto"/>
          <w:szCs w:val="24"/>
        </w:rPr>
        <w:t>.</w:t>
      </w:r>
      <w:r w:rsidR="00F7153F" w:rsidRPr="00FE045B">
        <w:rPr>
          <w:color w:val="auto"/>
          <w:szCs w:val="24"/>
        </w:rPr>
        <w:t xml:space="preserve">  </w:t>
      </w:r>
      <w:r w:rsidR="00347EB4">
        <w:rPr>
          <w:color w:val="auto"/>
          <w:szCs w:val="24"/>
        </w:rPr>
        <w:t>The Board agreed that</w:t>
      </w:r>
      <w:r w:rsidR="00F7153F" w:rsidRPr="00FE045B">
        <w:rPr>
          <w:color w:val="auto"/>
          <w:szCs w:val="24"/>
        </w:rPr>
        <w:t xml:space="preserve"> the normal gait</w:t>
      </w:r>
      <w:r w:rsidR="00D829CD" w:rsidRPr="00FE045B">
        <w:rPr>
          <w:color w:val="auto"/>
          <w:szCs w:val="24"/>
        </w:rPr>
        <w:t xml:space="preserve"> and the ROM evaluations</w:t>
      </w:r>
      <w:r w:rsidR="00347EB4">
        <w:rPr>
          <w:color w:val="auto"/>
          <w:szCs w:val="24"/>
        </w:rPr>
        <w:t xml:space="preserve"> on proximate</w:t>
      </w:r>
      <w:r w:rsidR="00FA5AAC">
        <w:rPr>
          <w:color w:val="auto"/>
          <w:szCs w:val="24"/>
        </w:rPr>
        <w:t xml:space="preserve"> p</w:t>
      </w:r>
      <w:r w:rsidR="00347EB4">
        <w:rPr>
          <w:color w:val="auto"/>
          <w:szCs w:val="24"/>
        </w:rPr>
        <w:t>odiatry exams</w:t>
      </w:r>
      <w:r w:rsidR="00FA5AAC">
        <w:rPr>
          <w:color w:val="auto"/>
          <w:szCs w:val="24"/>
        </w:rPr>
        <w:t xml:space="preserve"> best reflected the condition at separation</w:t>
      </w:r>
      <w:r w:rsidR="00E97511">
        <w:rPr>
          <w:color w:val="auto"/>
          <w:szCs w:val="24"/>
        </w:rPr>
        <w:t xml:space="preserve"> and</w:t>
      </w:r>
      <w:r w:rsidR="00F7153F" w:rsidRPr="00FE045B">
        <w:rPr>
          <w:color w:val="auto"/>
          <w:szCs w:val="24"/>
        </w:rPr>
        <w:t xml:space="preserve"> </w:t>
      </w:r>
      <w:r w:rsidR="00D829CD" w:rsidRPr="00FE045B">
        <w:rPr>
          <w:color w:val="auto"/>
          <w:szCs w:val="24"/>
        </w:rPr>
        <w:t>were</w:t>
      </w:r>
      <w:r w:rsidR="00723562">
        <w:rPr>
          <w:color w:val="auto"/>
          <w:szCs w:val="24"/>
        </w:rPr>
        <w:t xml:space="preserve"> </w:t>
      </w:r>
      <w:r w:rsidR="00F7153F" w:rsidRPr="00FE045B">
        <w:rPr>
          <w:color w:val="auto"/>
          <w:szCs w:val="24"/>
        </w:rPr>
        <w:t>not consistent with a moderate limitation of motion</w:t>
      </w:r>
      <w:r w:rsidR="00723562">
        <w:rPr>
          <w:color w:val="auto"/>
          <w:szCs w:val="24"/>
        </w:rPr>
        <w:t xml:space="preserve"> required</w:t>
      </w:r>
      <w:r w:rsidR="00F7153F" w:rsidRPr="00FE045B">
        <w:rPr>
          <w:color w:val="auto"/>
          <w:szCs w:val="24"/>
        </w:rPr>
        <w:t xml:space="preserve"> for the minimum rating under this </w:t>
      </w:r>
      <w:r w:rsidR="00F13DD9" w:rsidRPr="00FE045B">
        <w:rPr>
          <w:color w:val="auto"/>
          <w:szCs w:val="24"/>
        </w:rPr>
        <w:t>code.</w:t>
      </w:r>
      <w:r w:rsidR="00ED5F0F">
        <w:rPr>
          <w:color w:val="auto"/>
          <w:szCs w:val="24"/>
        </w:rPr>
        <w:t xml:space="preserve"> </w:t>
      </w:r>
      <w:r w:rsidR="00F13DD9" w:rsidRPr="00FE045B">
        <w:rPr>
          <w:color w:val="auto"/>
          <w:szCs w:val="24"/>
        </w:rPr>
        <w:t xml:space="preserve"> The</w:t>
      </w:r>
      <w:r w:rsidR="00F7153F" w:rsidRPr="00FE045B">
        <w:rPr>
          <w:color w:val="auto"/>
          <w:szCs w:val="24"/>
        </w:rPr>
        <w:t xml:space="preserve"> Board also </w:t>
      </w:r>
      <w:r w:rsidR="0051445B">
        <w:rPr>
          <w:color w:val="auto"/>
          <w:szCs w:val="24"/>
        </w:rPr>
        <w:t>agreed</w:t>
      </w:r>
      <w:r w:rsidR="00F7153F" w:rsidRPr="00FE045B">
        <w:rPr>
          <w:color w:val="auto"/>
          <w:szCs w:val="24"/>
        </w:rPr>
        <w:t xml:space="preserve"> minimum rating was not attained under</w:t>
      </w:r>
      <w:r w:rsidR="00347EB4">
        <w:rPr>
          <w:color w:val="auto"/>
          <w:szCs w:val="24"/>
        </w:rPr>
        <w:t xml:space="preserve"> </w:t>
      </w:r>
      <w:r w:rsidR="00F7153F" w:rsidRPr="00FE045B">
        <w:rPr>
          <w:color w:val="auto"/>
          <w:szCs w:val="24"/>
        </w:rPr>
        <w:t xml:space="preserve">ankle </w:t>
      </w:r>
      <w:r w:rsidR="00F13DD9" w:rsidRPr="00FE045B">
        <w:rPr>
          <w:color w:val="auto"/>
          <w:szCs w:val="24"/>
        </w:rPr>
        <w:t>codes</w:t>
      </w:r>
      <w:r w:rsidR="00F13DD9">
        <w:rPr>
          <w:color w:val="auto"/>
          <w:szCs w:val="24"/>
        </w:rPr>
        <w:t xml:space="preserve"> 5272</w:t>
      </w:r>
      <w:r w:rsidR="00F13DD9" w:rsidRPr="00FE045B">
        <w:rPr>
          <w:color w:val="auto"/>
          <w:szCs w:val="24"/>
        </w:rPr>
        <w:t xml:space="preserve"> </w:t>
      </w:r>
      <w:r w:rsidR="00F13DD9">
        <w:rPr>
          <w:color w:val="auto"/>
          <w:szCs w:val="24"/>
        </w:rPr>
        <w:t>and</w:t>
      </w:r>
      <w:r w:rsidR="00F7153F" w:rsidRPr="00FE045B">
        <w:rPr>
          <w:color w:val="auto"/>
          <w:szCs w:val="24"/>
        </w:rPr>
        <w:t xml:space="preserve"> 5273</w:t>
      </w:r>
      <w:r w:rsidR="00347EB4">
        <w:rPr>
          <w:color w:val="auto"/>
          <w:szCs w:val="24"/>
        </w:rPr>
        <w:t>.</w:t>
      </w:r>
      <w:r w:rsidR="00F7153F" w:rsidRPr="00FE045B">
        <w:rPr>
          <w:color w:val="auto"/>
          <w:szCs w:val="24"/>
        </w:rPr>
        <w:t xml:space="preserve"> </w:t>
      </w:r>
      <w:r w:rsidR="00347EB4">
        <w:rPr>
          <w:color w:val="auto"/>
          <w:szCs w:val="24"/>
        </w:rPr>
        <w:t xml:space="preserve"> </w:t>
      </w:r>
      <w:r w:rsidR="00F7153F" w:rsidRPr="00FE045B">
        <w:rPr>
          <w:color w:val="auto"/>
          <w:szCs w:val="24"/>
        </w:rPr>
        <w:t>After due deliberation, considering all of the evidence and mindful of VASRD §4.59 (painful motion) and VASRD §4.3 (reasonable doubt), the Board recommends a disability rating of 10% for the right ankle condition coded 5</w:t>
      </w:r>
      <w:r w:rsidR="00E43603">
        <w:rPr>
          <w:color w:val="auto"/>
          <w:szCs w:val="24"/>
        </w:rPr>
        <w:t>0</w:t>
      </w:r>
      <w:r w:rsidR="00F7153F" w:rsidRPr="00FE045B">
        <w:rPr>
          <w:color w:val="auto"/>
          <w:szCs w:val="24"/>
        </w:rPr>
        <w:t>99-5</w:t>
      </w:r>
      <w:r w:rsidR="00E43603">
        <w:rPr>
          <w:color w:val="auto"/>
          <w:szCs w:val="24"/>
        </w:rPr>
        <w:t>003.</w:t>
      </w:r>
    </w:p>
    <w:p w:rsidR="00425368" w:rsidRDefault="00425368" w:rsidP="00425368">
      <w:pPr>
        <w:jc w:val="both"/>
        <w:rPr>
          <w:color w:val="auto"/>
          <w:szCs w:val="24"/>
        </w:rPr>
      </w:pPr>
    </w:p>
    <w:p w:rsidR="00E13126" w:rsidRDefault="00066950" w:rsidP="00673A77">
      <w:pPr>
        <w:jc w:val="both"/>
        <w:rPr>
          <w:rFonts w:eastAsia="Calibri" w:cs="Times New Roman"/>
          <w:color w:val="auto"/>
          <w:szCs w:val="24"/>
        </w:rPr>
      </w:pPr>
      <w:proofErr w:type="gramStart"/>
      <w:r w:rsidRPr="00066950">
        <w:rPr>
          <w:color w:val="auto"/>
          <w:szCs w:val="24"/>
          <w:u w:val="single"/>
        </w:rPr>
        <w:t>Left Ankle Conditi</w:t>
      </w:r>
      <w:r w:rsidR="00425368">
        <w:rPr>
          <w:color w:val="auto"/>
          <w:szCs w:val="24"/>
          <w:u w:val="single"/>
        </w:rPr>
        <w:t>on</w:t>
      </w:r>
      <w:r w:rsidR="00425368" w:rsidRPr="00173170">
        <w:rPr>
          <w:color w:val="auto"/>
          <w:szCs w:val="24"/>
        </w:rPr>
        <w:t>.</w:t>
      </w:r>
      <w:proofErr w:type="gramEnd"/>
      <w:r w:rsidR="00ED5F0F" w:rsidRPr="00173170">
        <w:rPr>
          <w:color w:val="auto"/>
          <w:szCs w:val="24"/>
        </w:rPr>
        <w:t xml:space="preserve"> </w:t>
      </w:r>
      <w:r w:rsidR="00425368" w:rsidRPr="00173170">
        <w:rPr>
          <w:color w:val="auto"/>
        </w:rPr>
        <w:t xml:space="preserve"> </w:t>
      </w:r>
      <w:r w:rsidR="00454142" w:rsidRPr="00454142">
        <w:rPr>
          <w:color w:val="auto"/>
          <w:szCs w:val="24"/>
        </w:rPr>
        <w:t>As previously elaborated, the Board must consider whether left ankle condition remains separately unfitting, having de-coupled it from a combined PEB adjudication.</w:t>
      </w:r>
      <w:r w:rsidR="00723562">
        <w:rPr>
          <w:color w:val="auto"/>
          <w:szCs w:val="24"/>
        </w:rPr>
        <w:t xml:space="preserve"> </w:t>
      </w:r>
      <w:r w:rsidR="00454142" w:rsidRPr="00454142">
        <w:rPr>
          <w:color w:val="auto"/>
          <w:szCs w:val="24"/>
        </w:rPr>
        <w:t xml:space="preserve"> </w:t>
      </w:r>
      <w:r w:rsidR="005A3230">
        <w:rPr>
          <w:color w:val="auto"/>
          <w:szCs w:val="24"/>
        </w:rPr>
        <w:t xml:space="preserve"> </w:t>
      </w:r>
      <w:r w:rsidR="008A3885">
        <w:rPr>
          <w:color w:val="auto"/>
          <w:szCs w:val="24"/>
        </w:rPr>
        <w:t xml:space="preserve"> </w:t>
      </w:r>
      <w:r w:rsidR="00723562">
        <w:rPr>
          <w:color w:val="auto"/>
          <w:szCs w:val="24"/>
        </w:rPr>
        <w:t xml:space="preserve"> </w:t>
      </w:r>
      <w:r w:rsidR="000D331D" w:rsidRPr="00454142">
        <w:rPr>
          <w:rFonts w:eastAsia="Calibri" w:cs="Times New Roman"/>
          <w:color w:val="auto"/>
          <w:szCs w:val="24"/>
        </w:rPr>
        <w:t xml:space="preserve">The Board noted </w:t>
      </w:r>
      <w:r w:rsidR="00CE7755">
        <w:rPr>
          <w:rFonts w:eastAsia="Calibri" w:cs="Times New Roman"/>
          <w:color w:val="auto"/>
          <w:szCs w:val="24"/>
        </w:rPr>
        <w:t xml:space="preserve">the </w:t>
      </w:r>
      <w:r w:rsidR="000D331D" w:rsidRPr="00454142">
        <w:rPr>
          <w:rFonts w:eastAsia="Calibri" w:cs="Times New Roman"/>
          <w:color w:val="auto"/>
          <w:szCs w:val="24"/>
        </w:rPr>
        <w:t>marked improvement in symptoms for the</w:t>
      </w:r>
      <w:r w:rsidR="00454142" w:rsidRPr="00454142">
        <w:rPr>
          <w:rFonts w:eastAsia="Calibri" w:cs="Times New Roman"/>
          <w:color w:val="auto"/>
          <w:szCs w:val="24"/>
        </w:rPr>
        <w:t xml:space="preserve"> left</w:t>
      </w:r>
      <w:r w:rsidR="000D331D" w:rsidRPr="00454142">
        <w:rPr>
          <w:rFonts w:eastAsia="Calibri" w:cs="Times New Roman"/>
          <w:color w:val="auto"/>
          <w:szCs w:val="24"/>
        </w:rPr>
        <w:t xml:space="preserve"> ankle after corrective surgery in 2003</w:t>
      </w:r>
      <w:r w:rsidR="00CE7755">
        <w:rPr>
          <w:rFonts w:eastAsia="Calibri" w:cs="Times New Roman"/>
          <w:color w:val="auto"/>
          <w:szCs w:val="24"/>
        </w:rPr>
        <w:t xml:space="preserve"> and that there was </w:t>
      </w:r>
      <w:r w:rsidR="00F13DD9">
        <w:rPr>
          <w:rFonts w:eastAsia="Calibri" w:cs="Times New Roman"/>
          <w:color w:val="auto"/>
          <w:szCs w:val="24"/>
        </w:rPr>
        <w:t xml:space="preserve">little mention in the record of treatment or subsequent diagnostic workup related to the left ankle after post surgical healing. </w:t>
      </w:r>
      <w:r w:rsidR="00F13DD9" w:rsidRPr="00454142">
        <w:rPr>
          <w:rFonts w:eastAsia="Calibri" w:cs="Times New Roman"/>
          <w:color w:val="auto"/>
          <w:szCs w:val="24"/>
        </w:rPr>
        <w:t xml:space="preserve"> </w:t>
      </w:r>
      <w:r w:rsidR="002B5FD4" w:rsidRPr="00454142">
        <w:rPr>
          <w:rFonts w:eastAsia="Calibri" w:cs="Times New Roman"/>
          <w:color w:val="auto"/>
          <w:szCs w:val="24"/>
        </w:rPr>
        <w:t>A</w:t>
      </w:r>
      <w:r w:rsidR="0051445B">
        <w:rPr>
          <w:rFonts w:eastAsia="Calibri" w:cs="Times New Roman"/>
          <w:color w:val="auto"/>
          <w:szCs w:val="24"/>
        </w:rPr>
        <w:t>t</w:t>
      </w:r>
      <w:r w:rsidR="002B5FD4" w:rsidRPr="00454142">
        <w:rPr>
          <w:rFonts w:eastAsia="Calibri" w:cs="Times New Roman"/>
          <w:color w:val="auto"/>
          <w:szCs w:val="24"/>
        </w:rPr>
        <w:t xml:space="preserve"> time of separation, </w:t>
      </w:r>
      <w:r w:rsidR="005271EE" w:rsidRPr="00454142">
        <w:rPr>
          <w:rFonts w:eastAsia="Calibri" w:cs="Times New Roman"/>
          <w:color w:val="auto"/>
          <w:szCs w:val="24"/>
        </w:rPr>
        <w:t>CI reported intermittent achy left ankle pain rated 0/10 to</w:t>
      </w:r>
      <w:r w:rsidR="008F4229">
        <w:rPr>
          <w:rFonts w:eastAsia="Calibri" w:cs="Times New Roman"/>
          <w:color w:val="auto"/>
          <w:szCs w:val="24"/>
        </w:rPr>
        <w:t xml:space="preserve"> </w:t>
      </w:r>
      <w:r w:rsidR="005271EE" w:rsidRPr="00454142">
        <w:rPr>
          <w:rFonts w:eastAsia="Calibri" w:cs="Times New Roman"/>
          <w:color w:val="auto"/>
          <w:szCs w:val="24"/>
        </w:rPr>
        <w:t>4/10 and  pointed to mid foot area.</w:t>
      </w:r>
      <w:r w:rsidR="000A28AE">
        <w:rPr>
          <w:rFonts w:eastAsia="Calibri" w:cs="Times New Roman"/>
          <w:color w:val="auto"/>
          <w:szCs w:val="24"/>
        </w:rPr>
        <w:t xml:space="preserve"> </w:t>
      </w:r>
      <w:r w:rsidR="005271EE" w:rsidRPr="00454142">
        <w:rPr>
          <w:rFonts w:eastAsia="Calibri" w:cs="Times New Roman"/>
          <w:color w:val="auto"/>
          <w:szCs w:val="24"/>
        </w:rPr>
        <w:t xml:space="preserve"> </w:t>
      </w:r>
      <w:r w:rsidR="00454142" w:rsidRPr="00454142">
        <w:rPr>
          <w:rFonts w:eastAsia="Calibri" w:cs="Times New Roman"/>
          <w:color w:val="auto"/>
          <w:szCs w:val="24"/>
        </w:rPr>
        <w:t xml:space="preserve">On </w:t>
      </w:r>
      <w:r w:rsidR="00CE7755">
        <w:rPr>
          <w:rFonts w:eastAsia="Calibri" w:cs="Times New Roman"/>
          <w:color w:val="auto"/>
          <w:szCs w:val="24"/>
        </w:rPr>
        <w:t>examination</w:t>
      </w:r>
      <w:r w:rsidR="005271EE" w:rsidRPr="00454142">
        <w:rPr>
          <w:rFonts w:eastAsia="Calibri" w:cs="Times New Roman"/>
          <w:color w:val="auto"/>
          <w:szCs w:val="24"/>
        </w:rPr>
        <w:t>,</w:t>
      </w:r>
      <w:r w:rsidR="00454142" w:rsidRPr="00454142">
        <w:rPr>
          <w:rFonts w:eastAsia="Calibri" w:cs="Times New Roman"/>
          <w:color w:val="auto"/>
          <w:szCs w:val="24"/>
        </w:rPr>
        <w:t xml:space="preserve"> the </w:t>
      </w:r>
      <w:r w:rsidR="005271EE" w:rsidRPr="00454142">
        <w:rPr>
          <w:rFonts w:eastAsia="Calibri" w:cs="Times New Roman"/>
          <w:color w:val="auto"/>
          <w:szCs w:val="24"/>
        </w:rPr>
        <w:t xml:space="preserve">ankle was noted to be </w:t>
      </w:r>
      <w:r w:rsidR="00F13DD9" w:rsidRPr="00454142">
        <w:rPr>
          <w:rFonts w:eastAsia="Calibri" w:cs="Times New Roman"/>
          <w:color w:val="auto"/>
          <w:szCs w:val="24"/>
        </w:rPr>
        <w:t>asymptomatic</w:t>
      </w:r>
      <w:r w:rsidR="008325D8" w:rsidRPr="00454142">
        <w:rPr>
          <w:rFonts w:eastAsia="Calibri" w:cs="Times New Roman"/>
          <w:color w:val="auto"/>
          <w:szCs w:val="24"/>
        </w:rPr>
        <w:t xml:space="preserve"> and</w:t>
      </w:r>
      <w:r w:rsidR="005271EE" w:rsidRPr="00454142">
        <w:rPr>
          <w:rFonts w:eastAsia="Calibri" w:cs="Times New Roman"/>
          <w:color w:val="auto"/>
          <w:szCs w:val="24"/>
        </w:rPr>
        <w:t xml:space="preserve"> nontender although some pain on inversion was noted</w:t>
      </w:r>
      <w:r w:rsidR="00454142" w:rsidRPr="00454142">
        <w:rPr>
          <w:rFonts w:eastAsia="Calibri" w:cs="Times New Roman"/>
          <w:color w:val="auto"/>
          <w:szCs w:val="24"/>
        </w:rPr>
        <w:t>.</w:t>
      </w:r>
      <w:r w:rsidR="0051445B">
        <w:rPr>
          <w:rFonts w:eastAsia="Calibri" w:cs="Times New Roman"/>
          <w:color w:val="auto"/>
          <w:szCs w:val="24"/>
        </w:rPr>
        <w:t xml:space="preserve"> </w:t>
      </w:r>
      <w:r w:rsidR="00A06820">
        <w:rPr>
          <w:rFonts w:eastAsia="Calibri" w:cs="Times New Roman"/>
          <w:color w:val="auto"/>
          <w:szCs w:val="24"/>
        </w:rPr>
        <w:t xml:space="preserve"> </w:t>
      </w:r>
      <w:r w:rsidR="00CE7755">
        <w:rPr>
          <w:rFonts w:eastAsia="Calibri" w:cs="Times New Roman"/>
          <w:color w:val="auto"/>
          <w:szCs w:val="24"/>
        </w:rPr>
        <w:t xml:space="preserve">Although the </w:t>
      </w:r>
      <w:r w:rsidR="00454142" w:rsidRPr="00454142">
        <w:rPr>
          <w:rFonts w:eastAsia="Calibri" w:cs="Times New Roman"/>
          <w:color w:val="auto"/>
          <w:szCs w:val="24"/>
        </w:rPr>
        <w:t>ROM</w:t>
      </w:r>
      <w:r w:rsidR="00B068CE">
        <w:rPr>
          <w:rFonts w:eastAsia="Calibri" w:cs="Times New Roman"/>
          <w:color w:val="auto"/>
          <w:szCs w:val="24"/>
        </w:rPr>
        <w:t xml:space="preserve"> was </w:t>
      </w:r>
      <w:r w:rsidR="00CE7755">
        <w:rPr>
          <w:rFonts w:eastAsia="Calibri" w:cs="Times New Roman"/>
          <w:color w:val="auto"/>
          <w:szCs w:val="24"/>
        </w:rPr>
        <w:t xml:space="preserve">stated to be </w:t>
      </w:r>
      <w:r w:rsidR="0051445B">
        <w:rPr>
          <w:rFonts w:eastAsia="Calibri" w:cs="Times New Roman"/>
          <w:color w:val="auto"/>
          <w:szCs w:val="24"/>
        </w:rPr>
        <w:t>normal</w:t>
      </w:r>
      <w:r w:rsidR="00B068CE">
        <w:rPr>
          <w:rFonts w:eastAsia="Calibri" w:cs="Times New Roman"/>
          <w:color w:val="auto"/>
          <w:szCs w:val="24"/>
        </w:rPr>
        <w:t xml:space="preserve"> </w:t>
      </w:r>
      <w:r w:rsidR="00CE7755">
        <w:rPr>
          <w:rFonts w:eastAsia="Calibri" w:cs="Times New Roman"/>
          <w:color w:val="auto"/>
          <w:szCs w:val="24"/>
        </w:rPr>
        <w:t xml:space="preserve">in some examinations, it was reduced in a manner similar to the right ankle in the physical therapy examination as noted </w:t>
      </w:r>
      <w:r w:rsidR="00E97511">
        <w:rPr>
          <w:rFonts w:eastAsia="Calibri" w:cs="Times New Roman"/>
          <w:color w:val="auto"/>
          <w:szCs w:val="24"/>
        </w:rPr>
        <w:lastRenderedPageBreak/>
        <w:t>above.</w:t>
      </w:r>
      <w:r w:rsidR="00FB212B">
        <w:rPr>
          <w:rFonts w:eastAsia="Calibri" w:cs="Times New Roman"/>
          <w:color w:val="auto"/>
          <w:szCs w:val="24"/>
        </w:rPr>
        <w:t xml:space="preserve">  The Board considered the evidence of the MEB NARSUM reporting that pain in both ankles interfered with performance of duties.  </w:t>
      </w:r>
      <w:r w:rsidR="00454142" w:rsidRPr="00FB212B">
        <w:rPr>
          <w:rFonts w:eastAsia="Calibri" w:cs="Times New Roman"/>
          <w:color w:val="auto"/>
          <w:szCs w:val="24"/>
        </w:rPr>
        <w:t xml:space="preserve">After due deliberation, the Board agreed that </w:t>
      </w:r>
      <w:r w:rsidR="007202F4" w:rsidRPr="00FB212B">
        <w:rPr>
          <w:rFonts w:eastAsia="Calibri" w:cs="Times New Roman"/>
          <w:color w:val="auto"/>
          <w:szCs w:val="24"/>
        </w:rPr>
        <w:t xml:space="preserve">there is no preponderance of </w:t>
      </w:r>
      <w:proofErr w:type="gramStart"/>
      <w:r w:rsidR="007202F4" w:rsidRPr="00FB212B">
        <w:rPr>
          <w:rFonts w:eastAsia="Calibri" w:cs="Times New Roman"/>
          <w:color w:val="auto"/>
          <w:szCs w:val="24"/>
        </w:rPr>
        <w:t>evidence</w:t>
      </w:r>
      <w:r w:rsidR="008F4229" w:rsidRPr="00FB212B">
        <w:rPr>
          <w:rFonts w:eastAsia="Calibri" w:cs="Times New Roman"/>
          <w:color w:val="auto"/>
          <w:szCs w:val="24"/>
        </w:rPr>
        <w:t xml:space="preserve"> </w:t>
      </w:r>
      <w:r w:rsidR="007202F4" w:rsidRPr="00FB212B">
        <w:rPr>
          <w:rFonts w:eastAsia="Calibri" w:cs="Times New Roman"/>
          <w:color w:val="auto"/>
          <w:szCs w:val="24"/>
        </w:rPr>
        <w:t xml:space="preserve"> that</w:t>
      </w:r>
      <w:proofErr w:type="gramEnd"/>
      <w:r w:rsidR="00425368" w:rsidRPr="00FB212B">
        <w:rPr>
          <w:rFonts w:eastAsia="Calibri" w:cs="Times New Roman"/>
          <w:color w:val="auto"/>
          <w:szCs w:val="24"/>
        </w:rPr>
        <w:t xml:space="preserve"> </w:t>
      </w:r>
      <w:r w:rsidR="00454142" w:rsidRPr="00FB212B">
        <w:rPr>
          <w:rFonts w:eastAsia="Calibri" w:cs="Times New Roman"/>
          <w:color w:val="auto"/>
          <w:szCs w:val="24"/>
        </w:rPr>
        <w:t>support</w:t>
      </w:r>
      <w:r w:rsidR="00425368" w:rsidRPr="00FB212B">
        <w:rPr>
          <w:rFonts w:eastAsia="Calibri" w:cs="Times New Roman"/>
          <w:color w:val="auto"/>
          <w:szCs w:val="24"/>
        </w:rPr>
        <w:t>s</w:t>
      </w:r>
      <w:r w:rsidR="00454142" w:rsidRPr="00FB212B">
        <w:rPr>
          <w:rFonts w:eastAsia="Calibri" w:cs="Times New Roman"/>
          <w:color w:val="auto"/>
          <w:szCs w:val="24"/>
        </w:rPr>
        <w:t xml:space="preserve"> a conclusion that the left ankle condition, </w:t>
      </w:r>
      <w:r w:rsidR="00E13126" w:rsidRPr="00FB212B">
        <w:rPr>
          <w:rFonts w:eastAsia="Calibri" w:cs="Times New Roman"/>
          <w:color w:val="auto"/>
          <w:szCs w:val="24"/>
        </w:rPr>
        <w:t>by itself</w:t>
      </w:r>
      <w:r w:rsidR="00454142" w:rsidRPr="00FB212B">
        <w:rPr>
          <w:rFonts w:eastAsia="Calibri" w:cs="Times New Roman"/>
          <w:color w:val="auto"/>
          <w:szCs w:val="24"/>
        </w:rPr>
        <w:t xml:space="preserve">, would </w:t>
      </w:r>
      <w:r w:rsidR="00B841EC" w:rsidRPr="00FB212B">
        <w:rPr>
          <w:rFonts w:eastAsia="Calibri" w:cs="Times New Roman"/>
          <w:color w:val="auto"/>
          <w:szCs w:val="24"/>
        </w:rPr>
        <w:t xml:space="preserve">not </w:t>
      </w:r>
      <w:r w:rsidR="00454142" w:rsidRPr="00FB212B">
        <w:rPr>
          <w:rFonts w:eastAsia="Calibri" w:cs="Times New Roman"/>
          <w:color w:val="auto"/>
          <w:szCs w:val="24"/>
        </w:rPr>
        <w:t xml:space="preserve">have </w:t>
      </w:r>
      <w:r w:rsidR="0051445B" w:rsidRPr="00FB212B">
        <w:rPr>
          <w:rFonts w:eastAsia="Calibri" w:cs="Times New Roman"/>
          <w:color w:val="auto"/>
          <w:szCs w:val="24"/>
        </w:rPr>
        <w:t>been unfitting</w:t>
      </w:r>
      <w:r w:rsidR="00673A77" w:rsidRPr="00FB212B">
        <w:rPr>
          <w:rFonts w:eastAsia="Calibri" w:cs="Times New Roman"/>
          <w:color w:val="auto"/>
          <w:szCs w:val="24"/>
        </w:rPr>
        <w:t xml:space="preserve">. </w:t>
      </w:r>
      <w:r w:rsidR="00F13DD9" w:rsidRPr="00FB212B">
        <w:rPr>
          <w:rFonts w:eastAsia="Calibri" w:cs="Times New Roman"/>
          <w:color w:val="auto"/>
          <w:szCs w:val="24"/>
        </w:rPr>
        <w:t>T</w:t>
      </w:r>
      <w:r w:rsidR="00E13126" w:rsidRPr="00FB212B">
        <w:rPr>
          <w:rFonts w:eastAsia="Calibri" w:cs="Times New Roman"/>
          <w:color w:val="auto"/>
          <w:szCs w:val="24"/>
        </w:rPr>
        <w:t xml:space="preserve">he Board opined that the left ankle condition, although less symptomatic than the right ankle, </w:t>
      </w:r>
      <w:r w:rsidR="0051445B" w:rsidRPr="00FB212B">
        <w:rPr>
          <w:rFonts w:eastAsia="Calibri" w:cs="Times New Roman"/>
          <w:color w:val="auto"/>
          <w:szCs w:val="24"/>
        </w:rPr>
        <w:t>contributed</w:t>
      </w:r>
      <w:r w:rsidR="00F13DD9" w:rsidRPr="00FB212B">
        <w:rPr>
          <w:rFonts w:eastAsia="Calibri" w:cs="Times New Roman"/>
          <w:color w:val="auto"/>
          <w:szCs w:val="24"/>
        </w:rPr>
        <w:t xml:space="preserve"> to</w:t>
      </w:r>
      <w:r w:rsidR="0051445B" w:rsidRPr="00FB212B">
        <w:rPr>
          <w:rFonts w:eastAsia="Calibri" w:cs="Times New Roman"/>
          <w:color w:val="auto"/>
          <w:szCs w:val="24"/>
        </w:rPr>
        <w:t xml:space="preserve"> functional disability</w:t>
      </w:r>
      <w:r w:rsidR="00F13DD9" w:rsidRPr="00FB212B">
        <w:rPr>
          <w:rFonts w:eastAsia="Calibri" w:cs="Times New Roman"/>
          <w:color w:val="auto"/>
          <w:szCs w:val="24"/>
        </w:rPr>
        <w:t xml:space="preserve">. </w:t>
      </w:r>
      <w:r w:rsidR="00E13126" w:rsidRPr="00FB212B">
        <w:rPr>
          <w:rFonts w:eastAsia="Calibri" w:cs="Times New Roman"/>
          <w:color w:val="auto"/>
          <w:szCs w:val="24"/>
        </w:rPr>
        <w:t xml:space="preserve"> After due deliberation, considering all of the evidence and mindful of VASRD §4.59 (painful motion) and VASRD §4.3 (reasonable doubt), the Board recommends a disability rating of 10% for the left ankle condition coded 5099-5003.</w:t>
      </w:r>
      <w:r w:rsidR="00484BFE" w:rsidRPr="00FB212B">
        <w:rPr>
          <w:rFonts w:eastAsia="Calibri" w:cs="Times New Roman"/>
          <w:color w:val="auto"/>
          <w:szCs w:val="24"/>
        </w:rPr>
        <w:t xml:space="preserve"> </w:t>
      </w:r>
      <w:r w:rsidR="00E13126" w:rsidRPr="00FB212B">
        <w:rPr>
          <w:rFonts w:eastAsia="Calibri" w:cs="Times New Roman"/>
          <w:color w:val="auto"/>
          <w:szCs w:val="24"/>
        </w:rPr>
        <w:t xml:space="preserve"> No higher rating was achievable under any other VASRD code as discussed above.</w:t>
      </w:r>
    </w:p>
    <w:p w:rsidR="00673A77" w:rsidRDefault="00673A77" w:rsidP="00673A77">
      <w:pPr>
        <w:jc w:val="both"/>
        <w:rPr>
          <w:rFonts w:eastAsia="Calibri" w:cs="Times New Roman"/>
          <w:color w:val="auto"/>
          <w:szCs w:val="24"/>
        </w:rPr>
      </w:pPr>
    </w:p>
    <w:p w:rsidR="008044F2" w:rsidRPr="009B7BD7" w:rsidRDefault="00673A77" w:rsidP="008044F2">
      <w:pPr>
        <w:jc w:val="both"/>
        <w:rPr>
          <w:color w:val="000000"/>
        </w:rPr>
      </w:pPr>
      <w:r w:rsidRPr="00FB212B">
        <w:rPr>
          <w:rFonts w:eastAsia="Calibri" w:cs="Times New Roman"/>
          <w:color w:val="auto"/>
          <w:szCs w:val="24"/>
          <w:u w:val="single"/>
        </w:rPr>
        <w:t>Contended PEB Conditions</w:t>
      </w:r>
      <w:r w:rsidRPr="00FB212B">
        <w:rPr>
          <w:rFonts w:eastAsia="Calibri" w:cs="Times New Roman"/>
          <w:color w:val="auto"/>
          <w:szCs w:val="24"/>
        </w:rPr>
        <w:t>.</w:t>
      </w:r>
      <w:r w:rsidR="00053E66" w:rsidRPr="00FB212B">
        <w:rPr>
          <w:rFonts w:eastAsia="Calibri" w:cs="Times New Roman"/>
          <w:color w:val="auto"/>
          <w:szCs w:val="24"/>
        </w:rPr>
        <w:t xml:space="preserve"> The contended conditions adjudicated as not unfitting by the PEB were </w:t>
      </w:r>
      <w:r w:rsidR="00162A0E" w:rsidRPr="00FB212B">
        <w:rPr>
          <w:color w:val="auto"/>
        </w:rPr>
        <w:t xml:space="preserve">depression, asymptomatic hallux abductovalgus, bilateral asymptomatic hammertoes and bilateral metatarsal head </w:t>
      </w:r>
      <w:proofErr w:type="spellStart"/>
      <w:r w:rsidR="00162A0E" w:rsidRPr="00FB212B">
        <w:rPr>
          <w:color w:val="auto"/>
        </w:rPr>
        <w:t>tylomas</w:t>
      </w:r>
      <w:proofErr w:type="spellEnd"/>
      <w:r w:rsidR="00FB212B" w:rsidRPr="00FB212B">
        <w:rPr>
          <w:color w:val="auto"/>
        </w:rPr>
        <w:t xml:space="preserve"> (</w:t>
      </w:r>
      <w:proofErr w:type="spellStart"/>
      <w:proofErr w:type="gramStart"/>
      <w:r w:rsidR="00FB212B" w:rsidRPr="00FB212B">
        <w:rPr>
          <w:color w:val="auto"/>
        </w:rPr>
        <w:t>callouses</w:t>
      </w:r>
      <w:proofErr w:type="spellEnd"/>
      <w:proofErr w:type="gramEnd"/>
      <w:r w:rsidR="00FB212B" w:rsidRPr="00FB212B">
        <w:rPr>
          <w:color w:val="auto"/>
        </w:rPr>
        <w:t>)</w:t>
      </w:r>
      <w:r w:rsidR="00162A0E" w:rsidRPr="00FB212B">
        <w:rPr>
          <w:color w:val="auto"/>
        </w:rPr>
        <w:t xml:space="preserve"> conditions</w:t>
      </w:r>
      <w:r w:rsidR="00053E66" w:rsidRPr="00FB212B">
        <w:rPr>
          <w:rFonts w:eastAsia="Calibri" w:cs="Times New Roman"/>
          <w:color w:val="auto"/>
          <w:szCs w:val="24"/>
        </w:rPr>
        <w:t>.</w:t>
      </w:r>
      <w:r w:rsidR="00FB212B">
        <w:rPr>
          <w:rFonts w:eastAsia="Calibri" w:cs="Times New Roman"/>
          <w:color w:val="auto"/>
          <w:szCs w:val="24"/>
        </w:rPr>
        <w:t xml:space="preserve">  </w:t>
      </w:r>
      <w:r w:rsidR="009B7BD7">
        <w:rPr>
          <w:rFonts w:eastAsia="Calibri" w:cs="Times New Roman"/>
          <w:color w:val="auto"/>
          <w:szCs w:val="24"/>
        </w:rPr>
        <w:t>Th</w:t>
      </w:r>
      <w:r w:rsidR="00053E66" w:rsidRPr="00792790">
        <w:rPr>
          <w:rFonts w:eastAsia="Calibri" w:cs="Times New Roman"/>
          <w:color w:val="auto"/>
          <w:szCs w:val="24"/>
        </w:rPr>
        <w:t>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w:t>
      </w:r>
      <w:r w:rsidR="005E6D70">
        <w:rPr>
          <w:rFonts w:eastAsia="Calibri" w:cs="Times New Roman"/>
          <w:color w:val="auto"/>
          <w:szCs w:val="24"/>
        </w:rPr>
        <w:t xml:space="preserve">  </w:t>
      </w:r>
      <w:r w:rsidR="00162A0E" w:rsidRPr="005E6D70">
        <w:rPr>
          <w:rFonts w:eastAsia="Calibri" w:cs="Times New Roman"/>
          <w:color w:val="auto"/>
          <w:szCs w:val="24"/>
        </w:rPr>
        <w:t xml:space="preserve">Symptoms of depression </w:t>
      </w:r>
      <w:r w:rsidR="008044F2" w:rsidRPr="005E6D70">
        <w:rPr>
          <w:rFonts w:eastAsia="Calibri" w:cs="Times New Roman"/>
          <w:color w:val="auto"/>
          <w:szCs w:val="24"/>
        </w:rPr>
        <w:t>were t</w:t>
      </w:r>
      <w:r w:rsidR="00162A0E" w:rsidRPr="005E6D70">
        <w:rPr>
          <w:rFonts w:eastAsia="Calibri" w:cs="Times New Roman"/>
          <w:color w:val="auto"/>
          <w:szCs w:val="24"/>
        </w:rPr>
        <w:t>reat</w:t>
      </w:r>
      <w:r w:rsidR="008044F2" w:rsidRPr="005E6D70">
        <w:rPr>
          <w:rFonts w:eastAsia="Calibri" w:cs="Times New Roman"/>
          <w:color w:val="auto"/>
          <w:szCs w:val="24"/>
        </w:rPr>
        <w:t xml:space="preserve">ed </w:t>
      </w:r>
      <w:r w:rsidR="00162A0E" w:rsidRPr="005E6D70">
        <w:rPr>
          <w:rFonts w:eastAsia="Calibri" w:cs="Times New Roman"/>
          <w:color w:val="auto"/>
          <w:szCs w:val="24"/>
        </w:rPr>
        <w:t>by mental health</w:t>
      </w:r>
      <w:r w:rsidR="00FB212B" w:rsidRPr="005E6D70">
        <w:rPr>
          <w:rFonts w:eastAsia="Calibri" w:cs="Times New Roman"/>
          <w:color w:val="auto"/>
          <w:szCs w:val="24"/>
        </w:rPr>
        <w:t xml:space="preserve"> beginning in February 2004</w:t>
      </w:r>
      <w:r w:rsidR="00162A0E" w:rsidRPr="005E6D70">
        <w:rPr>
          <w:rFonts w:eastAsia="Calibri" w:cs="Times New Roman"/>
          <w:color w:val="auto"/>
          <w:szCs w:val="24"/>
        </w:rPr>
        <w:t>.  Psychiatry consultation for the MEB reported the condition to be in full remission and not medically disqualifying.</w:t>
      </w:r>
      <w:r w:rsidR="00F47E99" w:rsidRPr="005E6D70">
        <w:rPr>
          <w:rFonts w:eastAsia="Calibri" w:cs="Times New Roman"/>
          <w:color w:val="auto"/>
          <w:szCs w:val="24"/>
        </w:rPr>
        <w:t xml:space="preserve"> </w:t>
      </w:r>
      <w:r w:rsidR="00B77274" w:rsidRPr="005E6D70">
        <w:rPr>
          <w:rFonts w:eastAsia="Calibri" w:cs="Times New Roman"/>
          <w:color w:val="auto"/>
          <w:szCs w:val="24"/>
        </w:rPr>
        <w:t xml:space="preserve"> </w:t>
      </w:r>
      <w:r w:rsidR="00FB212B" w:rsidRPr="005E6D70">
        <w:rPr>
          <w:rFonts w:eastAsia="Calibri" w:cs="Times New Roman"/>
          <w:color w:val="auto"/>
          <w:szCs w:val="24"/>
        </w:rPr>
        <w:t xml:space="preserve">The CI’s performance report for the period ending November 2004 reflected excellent duty performance, and the commander’s statement </w:t>
      </w:r>
      <w:r w:rsidR="00A4112F">
        <w:rPr>
          <w:rFonts w:eastAsia="Calibri" w:cs="Times New Roman"/>
          <w:color w:val="auto"/>
          <w:szCs w:val="24"/>
        </w:rPr>
        <w:t xml:space="preserve">dated </w:t>
      </w:r>
      <w:r w:rsidR="00FB212B" w:rsidRPr="005E6D70">
        <w:rPr>
          <w:rFonts w:eastAsia="Calibri" w:cs="Times New Roman"/>
          <w:color w:val="auto"/>
          <w:szCs w:val="24"/>
        </w:rPr>
        <w:t>18 April 2005 indicated duty limitations due to the ankle condition, but otherwise excellent duty performance.</w:t>
      </w:r>
      <w:r w:rsidR="005E6D70" w:rsidRPr="005E6D70">
        <w:rPr>
          <w:rFonts w:eastAsia="Calibri" w:cs="Times New Roman"/>
          <w:color w:val="auto"/>
          <w:szCs w:val="24"/>
        </w:rPr>
        <w:t xml:space="preserve">  </w:t>
      </w:r>
      <w:r w:rsidR="00FB212B" w:rsidRPr="005E6D70">
        <w:rPr>
          <w:rFonts w:eastAsia="Calibri" w:cs="Times New Roman"/>
          <w:color w:val="auto"/>
          <w:szCs w:val="24"/>
        </w:rPr>
        <w:t xml:space="preserve">The MEB podiatry evaluation indicated that the </w:t>
      </w:r>
      <w:proofErr w:type="spellStart"/>
      <w:r w:rsidR="00FB212B" w:rsidRPr="005E6D70">
        <w:rPr>
          <w:rFonts w:eastAsia="Calibri" w:cs="Times New Roman"/>
          <w:color w:val="auto"/>
          <w:szCs w:val="24"/>
        </w:rPr>
        <w:t>hallux</w:t>
      </w:r>
      <w:proofErr w:type="spellEnd"/>
      <w:r w:rsidR="00FB212B" w:rsidRPr="005E6D70">
        <w:rPr>
          <w:rFonts w:eastAsia="Calibri" w:cs="Times New Roman"/>
          <w:color w:val="auto"/>
          <w:szCs w:val="24"/>
        </w:rPr>
        <w:t xml:space="preserve"> </w:t>
      </w:r>
      <w:proofErr w:type="spellStart"/>
      <w:proofErr w:type="gramStart"/>
      <w:r w:rsidR="00FB212B" w:rsidRPr="005E6D70">
        <w:rPr>
          <w:rFonts w:eastAsia="Calibri" w:cs="Times New Roman"/>
          <w:color w:val="auto"/>
          <w:szCs w:val="24"/>
        </w:rPr>
        <w:t>abductovalgus</w:t>
      </w:r>
      <w:proofErr w:type="spellEnd"/>
      <w:r w:rsidR="00FB212B" w:rsidRPr="005E6D70">
        <w:rPr>
          <w:rFonts w:eastAsia="Calibri" w:cs="Times New Roman"/>
          <w:color w:val="auto"/>
          <w:szCs w:val="24"/>
        </w:rPr>
        <w:t>,</w:t>
      </w:r>
      <w:proofErr w:type="gramEnd"/>
      <w:r w:rsidR="00FB212B" w:rsidRPr="005E6D70">
        <w:rPr>
          <w:rFonts w:eastAsia="Calibri" w:cs="Times New Roman"/>
          <w:color w:val="auto"/>
          <w:szCs w:val="24"/>
        </w:rPr>
        <w:t xml:space="preserve"> and bilateral hammertoe </w:t>
      </w:r>
      <w:proofErr w:type="spellStart"/>
      <w:r w:rsidR="00FB212B" w:rsidRPr="005E6D70">
        <w:rPr>
          <w:rFonts w:eastAsia="Calibri" w:cs="Times New Roman"/>
          <w:color w:val="auto"/>
          <w:szCs w:val="24"/>
        </w:rPr>
        <w:t>condtions</w:t>
      </w:r>
      <w:proofErr w:type="spellEnd"/>
      <w:r w:rsidR="00FB212B" w:rsidRPr="005E6D70">
        <w:rPr>
          <w:rFonts w:eastAsia="Calibri" w:cs="Times New Roman"/>
          <w:color w:val="auto"/>
          <w:szCs w:val="24"/>
        </w:rPr>
        <w:t xml:space="preserve"> were asympt</w:t>
      </w:r>
      <w:r w:rsidR="005E6D70" w:rsidRPr="005E6D70">
        <w:rPr>
          <w:rFonts w:eastAsia="Calibri" w:cs="Times New Roman"/>
          <w:color w:val="auto"/>
          <w:szCs w:val="24"/>
        </w:rPr>
        <w:t>omatic.  Prior bilateral neuroma’s were noted in the past medical history but</w:t>
      </w:r>
      <w:r w:rsidR="005E6D70">
        <w:rPr>
          <w:color w:val="auto"/>
        </w:rPr>
        <w:t xml:space="preserve"> were not indicated to be an active problem.  B</w:t>
      </w:r>
      <w:r w:rsidR="00FB212B" w:rsidRPr="00FB212B">
        <w:rPr>
          <w:color w:val="auto"/>
        </w:rPr>
        <w:t xml:space="preserve">ilateral metatarsal head </w:t>
      </w:r>
      <w:proofErr w:type="spellStart"/>
      <w:r w:rsidR="00FB212B" w:rsidRPr="00FB212B">
        <w:rPr>
          <w:color w:val="auto"/>
        </w:rPr>
        <w:t>tylomas</w:t>
      </w:r>
      <w:proofErr w:type="spellEnd"/>
      <w:r w:rsidR="00FB212B" w:rsidRPr="00FB212B">
        <w:rPr>
          <w:color w:val="auto"/>
        </w:rPr>
        <w:t xml:space="preserve"> (</w:t>
      </w:r>
      <w:proofErr w:type="spellStart"/>
      <w:r w:rsidR="00FB212B" w:rsidRPr="00FB212B">
        <w:rPr>
          <w:color w:val="auto"/>
        </w:rPr>
        <w:t>callouses</w:t>
      </w:r>
      <w:proofErr w:type="spellEnd"/>
      <w:r w:rsidR="00FB212B" w:rsidRPr="00FB212B">
        <w:rPr>
          <w:color w:val="auto"/>
        </w:rPr>
        <w:t xml:space="preserve">) </w:t>
      </w:r>
      <w:r w:rsidR="005E6D70">
        <w:rPr>
          <w:color w:val="auto"/>
        </w:rPr>
        <w:t xml:space="preserve">were noted in the diagnosis list but were not indicated to contribute to duty limitation.  </w:t>
      </w:r>
      <w:r w:rsidR="00FB212B" w:rsidRPr="001F29F9">
        <w:rPr>
          <w:color w:val="000000"/>
        </w:rPr>
        <w:t>All</w:t>
      </w:r>
      <w:r w:rsidR="00FB212B">
        <w:rPr>
          <w:color w:val="000000"/>
        </w:rPr>
        <w:t xml:space="preserve"> conditions</w:t>
      </w:r>
      <w:r w:rsidR="00FB212B" w:rsidRPr="001F29F9">
        <w:rPr>
          <w:color w:val="000000"/>
        </w:rPr>
        <w:t xml:space="preserve"> were reviewed by the </w:t>
      </w:r>
      <w:r w:rsidR="00A4112F">
        <w:rPr>
          <w:color w:val="000000"/>
        </w:rPr>
        <w:t>a</w:t>
      </w:r>
      <w:r w:rsidR="00FB212B" w:rsidRPr="001F29F9">
        <w:rPr>
          <w:color w:val="000000"/>
        </w:rPr>
        <w:t xml:space="preserve">ction </w:t>
      </w:r>
      <w:r w:rsidR="00A4112F">
        <w:rPr>
          <w:color w:val="000000"/>
        </w:rPr>
        <w:t>o</w:t>
      </w:r>
      <w:bookmarkStart w:id="0" w:name="_GoBack"/>
      <w:bookmarkEnd w:id="0"/>
      <w:r w:rsidR="00FB212B" w:rsidRPr="001F29F9">
        <w:rPr>
          <w:color w:val="000000"/>
        </w:rPr>
        <w:t>fficer and considered by the Board.</w:t>
      </w:r>
      <w:r w:rsidR="005E6D70">
        <w:rPr>
          <w:color w:val="000000"/>
        </w:rPr>
        <w:t xml:space="preserve">  </w:t>
      </w:r>
      <w:r w:rsidR="008044F2" w:rsidRPr="001F29F9">
        <w:rPr>
          <w:color w:val="000000"/>
        </w:rPr>
        <w:t>None of the</w:t>
      </w:r>
      <w:r w:rsidR="00F47E99">
        <w:rPr>
          <w:color w:val="000000"/>
        </w:rPr>
        <w:t xml:space="preserve"> </w:t>
      </w:r>
      <w:r w:rsidR="008044F2" w:rsidRPr="00244791">
        <w:rPr>
          <w:color w:val="000000"/>
        </w:rPr>
        <w:t xml:space="preserve">conditions were </w:t>
      </w:r>
      <w:r w:rsidR="008044F2">
        <w:rPr>
          <w:color w:val="000000"/>
        </w:rPr>
        <w:t xml:space="preserve">profiled; none were </w:t>
      </w:r>
      <w:r w:rsidR="008044F2" w:rsidRPr="00244791">
        <w:rPr>
          <w:color w:val="000000"/>
        </w:rPr>
        <w:t>implicated in the commander’s statement</w:t>
      </w:r>
      <w:r w:rsidR="008044F2">
        <w:rPr>
          <w:color w:val="000000"/>
        </w:rPr>
        <w:t>; and, none were judged to</w:t>
      </w:r>
      <w:r w:rsidR="008044F2" w:rsidRPr="00244791">
        <w:rPr>
          <w:color w:val="000000"/>
        </w:rPr>
        <w:t xml:space="preserve"> </w:t>
      </w:r>
      <w:r w:rsidR="008044F2">
        <w:rPr>
          <w:color w:val="000000"/>
        </w:rPr>
        <w:t>fail</w:t>
      </w:r>
      <w:r w:rsidR="008044F2" w:rsidRPr="00244791">
        <w:rPr>
          <w:color w:val="000000"/>
        </w:rPr>
        <w:t xml:space="preserve"> retention standards.</w:t>
      </w:r>
      <w:r w:rsidR="008044F2" w:rsidRPr="001F29F9">
        <w:rPr>
          <w:color w:val="000000"/>
        </w:rPr>
        <w:t xml:space="preserve"> </w:t>
      </w:r>
      <w:r w:rsidR="008044F2">
        <w:rPr>
          <w:color w:val="000000"/>
        </w:rPr>
        <w:t xml:space="preserve"> </w:t>
      </w:r>
      <w:r w:rsidR="008044F2" w:rsidRPr="001F29F9">
        <w:rPr>
          <w:color w:val="000000"/>
        </w:rPr>
        <w:t xml:space="preserve">There was no indication from the record that any of these conditions significantly interfered with satisfactory duty </w:t>
      </w:r>
      <w:r w:rsidR="00B31357">
        <w:rPr>
          <w:color w:val="000000"/>
        </w:rPr>
        <w:t>performance.</w:t>
      </w:r>
      <w:r w:rsidR="008044F2">
        <w:rPr>
          <w:color w:val="000000"/>
        </w:rPr>
        <w:t xml:space="preserve"> </w:t>
      </w:r>
      <w:r w:rsidR="008044F2" w:rsidRPr="001F29F9">
        <w:rPr>
          <w:color w:val="000000"/>
        </w:rPr>
        <w:t xml:space="preserve"> </w:t>
      </w:r>
      <w:r w:rsidR="008044F2" w:rsidRPr="00792790">
        <w:rPr>
          <w:rFonts w:eastAsia="Calibri" w:cs="Times New Roman"/>
          <w:color w:val="auto"/>
          <w:szCs w:val="24"/>
        </w:rPr>
        <w:t>After due deliberation in consideration of the preponderance of the evidence, the Board concluded that there was insufficient cause to recommend a change in the PEB fitness determination for the any of the contended conditions; and, therefore, no additional disability ratings can be recommended.</w:t>
      </w:r>
    </w:p>
    <w:p w:rsidR="008044F2" w:rsidRPr="00F64312" w:rsidRDefault="008044F2" w:rsidP="008044F2">
      <w:pPr>
        <w:pBdr>
          <w:bottom w:val="single" w:sz="12" w:space="1" w:color="auto"/>
        </w:pBdr>
        <w:tabs>
          <w:tab w:val="left" w:pos="288"/>
          <w:tab w:val="left" w:pos="4752"/>
        </w:tabs>
        <w:jc w:val="both"/>
        <w:rPr>
          <w:color w:val="auto"/>
        </w:rPr>
      </w:pPr>
    </w:p>
    <w:p w:rsidR="00F1737C" w:rsidRPr="001F29F9" w:rsidRDefault="00F1737C" w:rsidP="006364ED">
      <w:pPr>
        <w:jc w:val="left"/>
        <w:rPr>
          <w:color w:val="000000" w:themeColor="text1"/>
          <w:szCs w:val="24"/>
        </w:rPr>
      </w:pPr>
    </w:p>
    <w:p w:rsidR="00714047" w:rsidRDefault="00C56FC8" w:rsidP="00714047">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905793">
        <w:rPr>
          <w:rFonts w:eastAsiaTheme="minorHAnsi"/>
          <w:color w:val="000000" w:themeColor="text1"/>
          <w:szCs w:val="24"/>
        </w:rPr>
        <w:t xml:space="preserve">  </w:t>
      </w:r>
      <w:r w:rsidR="00F35F4E" w:rsidRPr="00F64312">
        <w:rPr>
          <w:rFonts w:cs="Times New Roman"/>
          <w:color w:val="auto"/>
        </w:rPr>
        <w:t xml:space="preserve">The Board did not surmise from the record or PEB ruling in this case that any prerogatives outside the VASRD were exercised. </w:t>
      </w:r>
      <w:r w:rsidR="00765200">
        <w:rPr>
          <w:rFonts w:eastAsiaTheme="minorHAnsi"/>
          <w:color w:val="auto"/>
          <w:szCs w:val="24"/>
        </w:rPr>
        <w:t xml:space="preserve"> </w:t>
      </w:r>
      <w:r w:rsidR="00714047">
        <w:rPr>
          <w:rFonts w:eastAsiaTheme="minorHAnsi"/>
          <w:color w:val="auto"/>
          <w:szCs w:val="24"/>
        </w:rPr>
        <w:t>In the matter of the bilateral ankle pain condition</w:t>
      </w:r>
      <w:r w:rsidR="000A28AE">
        <w:rPr>
          <w:rFonts w:eastAsiaTheme="minorHAnsi"/>
          <w:color w:val="auto"/>
          <w:szCs w:val="24"/>
        </w:rPr>
        <w:t>,</w:t>
      </w:r>
      <w:r w:rsidR="00714047">
        <w:rPr>
          <w:rFonts w:eastAsiaTheme="minorHAnsi"/>
          <w:color w:val="auto"/>
          <w:szCs w:val="24"/>
        </w:rPr>
        <w:t xml:space="preserve"> the Board unanimously recommends that the right and left ankle condition</w:t>
      </w:r>
      <w:r w:rsidR="0094383F">
        <w:rPr>
          <w:rFonts w:eastAsiaTheme="minorHAnsi"/>
          <w:color w:val="auto"/>
          <w:szCs w:val="24"/>
        </w:rPr>
        <w:t>s each</w:t>
      </w:r>
      <w:r w:rsidR="00714047">
        <w:rPr>
          <w:rFonts w:eastAsiaTheme="minorHAnsi"/>
          <w:color w:val="auto"/>
          <w:szCs w:val="24"/>
        </w:rPr>
        <w:t xml:space="preserve"> be separately adjudicated.  The Board unanimously recommends that the right ankle</w:t>
      </w:r>
      <w:r w:rsidR="00454142">
        <w:rPr>
          <w:rFonts w:eastAsiaTheme="minorHAnsi"/>
          <w:color w:val="auto"/>
          <w:szCs w:val="24"/>
        </w:rPr>
        <w:t xml:space="preserve"> condition</w:t>
      </w:r>
      <w:r w:rsidR="00714047">
        <w:rPr>
          <w:rFonts w:eastAsiaTheme="minorHAnsi"/>
          <w:color w:val="auto"/>
          <w:szCs w:val="24"/>
        </w:rPr>
        <w:t xml:space="preserve"> be adjudicated as unfitting and the left ankle</w:t>
      </w:r>
      <w:r w:rsidR="00454142">
        <w:rPr>
          <w:rFonts w:eastAsiaTheme="minorHAnsi"/>
          <w:color w:val="auto"/>
          <w:szCs w:val="24"/>
        </w:rPr>
        <w:t>,</w:t>
      </w:r>
      <w:r w:rsidR="0094383F">
        <w:rPr>
          <w:rFonts w:eastAsiaTheme="minorHAnsi"/>
          <w:color w:val="auto"/>
          <w:szCs w:val="24"/>
        </w:rPr>
        <w:t xml:space="preserve"> adjudicated</w:t>
      </w:r>
      <w:r w:rsidR="00714047">
        <w:rPr>
          <w:rFonts w:eastAsiaTheme="minorHAnsi"/>
          <w:color w:val="auto"/>
          <w:szCs w:val="24"/>
        </w:rPr>
        <w:t xml:space="preserve"> as</w:t>
      </w:r>
      <w:r w:rsidR="0006752E">
        <w:rPr>
          <w:rFonts w:eastAsiaTheme="minorHAnsi"/>
          <w:color w:val="auto"/>
          <w:szCs w:val="24"/>
        </w:rPr>
        <w:t xml:space="preserve"> u</w:t>
      </w:r>
      <w:r w:rsidR="00714047">
        <w:rPr>
          <w:rFonts w:eastAsiaTheme="minorHAnsi"/>
          <w:color w:val="auto"/>
          <w:szCs w:val="24"/>
        </w:rPr>
        <w:t>nfitting.  In the matter of the unfitting right ankle condition, the Board unanimously</w:t>
      </w:r>
      <w:r w:rsidR="00714047">
        <w:rPr>
          <w:rFonts w:eastAsia="Calibri" w:cs="Times New Roman"/>
          <w:color w:val="auto"/>
          <w:szCs w:val="24"/>
        </w:rPr>
        <w:t xml:space="preserve"> recommends a disability rating of 10%, coded </w:t>
      </w:r>
      <w:r w:rsidR="0074523A">
        <w:rPr>
          <w:rFonts w:eastAsia="Calibri" w:cs="Times New Roman"/>
          <w:color w:val="auto"/>
          <w:szCs w:val="24"/>
        </w:rPr>
        <w:t>5</w:t>
      </w:r>
      <w:r w:rsidR="00FE045B">
        <w:rPr>
          <w:rFonts w:eastAsia="Calibri" w:cs="Times New Roman"/>
          <w:color w:val="auto"/>
          <w:szCs w:val="24"/>
        </w:rPr>
        <w:t>2</w:t>
      </w:r>
      <w:r w:rsidR="0074523A">
        <w:rPr>
          <w:rFonts w:eastAsia="Calibri" w:cs="Times New Roman"/>
          <w:color w:val="auto"/>
          <w:szCs w:val="24"/>
        </w:rPr>
        <w:t>99</w:t>
      </w:r>
      <w:r w:rsidR="00714047">
        <w:rPr>
          <w:rFonts w:eastAsia="Calibri" w:cs="Times New Roman"/>
          <w:color w:val="auto"/>
          <w:szCs w:val="24"/>
        </w:rPr>
        <w:t>-</w:t>
      </w:r>
      <w:r w:rsidR="0074523A">
        <w:rPr>
          <w:rFonts w:eastAsia="Calibri" w:cs="Times New Roman"/>
          <w:color w:val="auto"/>
          <w:szCs w:val="24"/>
        </w:rPr>
        <w:t>5</w:t>
      </w:r>
      <w:r w:rsidR="00FE045B">
        <w:rPr>
          <w:rFonts w:eastAsia="Calibri" w:cs="Times New Roman"/>
          <w:color w:val="auto"/>
          <w:szCs w:val="24"/>
        </w:rPr>
        <w:t>271</w:t>
      </w:r>
      <w:r w:rsidR="0074523A">
        <w:rPr>
          <w:rFonts w:eastAsia="Calibri" w:cs="Times New Roman"/>
          <w:color w:val="auto"/>
          <w:szCs w:val="24"/>
        </w:rPr>
        <w:t xml:space="preserve"> </w:t>
      </w:r>
      <w:r w:rsidR="00714047">
        <w:rPr>
          <w:rFonts w:eastAsia="Calibri" w:cs="Times New Roman"/>
          <w:color w:val="auto"/>
          <w:szCs w:val="24"/>
        </w:rPr>
        <w:t>IAW VASRD §4.71a.</w:t>
      </w:r>
      <w:r w:rsidR="00425368" w:rsidRPr="00425368">
        <w:rPr>
          <w:rFonts w:eastAsiaTheme="minorHAnsi"/>
          <w:color w:val="auto"/>
          <w:szCs w:val="24"/>
        </w:rPr>
        <w:t xml:space="preserve"> </w:t>
      </w:r>
      <w:r w:rsidR="00425368">
        <w:rPr>
          <w:rFonts w:eastAsiaTheme="minorHAnsi"/>
          <w:color w:val="auto"/>
          <w:szCs w:val="24"/>
        </w:rPr>
        <w:t>In the matter of the unfitting left ankle condition, the Board unanimously</w:t>
      </w:r>
      <w:r w:rsidR="00425368">
        <w:rPr>
          <w:rFonts w:eastAsia="Calibri" w:cs="Times New Roman"/>
          <w:color w:val="auto"/>
          <w:szCs w:val="24"/>
        </w:rPr>
        <w:t xml:space="preserve"> recommends a disability rating of </w:t>
      </w:r>
      <w:r w:rsidR="009B7BD7">
        <w:rPr>
          <w:rFonts w:eastAsia="Calibri" w:cs="Times New Roman"/>
          <w:color w:val="auto"/>
          <w:szCs w:val="24"/>
        </w:rPr>
        <w:t>10%</w:t>
      </w:r>
      <w:r w:rsidR="00425368" w:rsidRPr="009B7BD7">
        <w:rPr>
          <w:rFonts w:eastAsia="Calibri" w:cs="Times New Roman"/>
          <w:color w:val="auto"/>
          <w:szCs w:val="24"/>
        </w:rPr>
        <w:t>,</w:t>
      </w:r>
      <w:r w:rsidR="00425368">
        <w:rPr>
          <w:rFonts w:eastAsia="Calibri" w:cs="Times New Roman"/>
          <w:color w:val="auto"/>
          <w:szCs w:val="24"/>
        </w:rPr>
        <w:t xml:space="preserve"> coded 5099-5003 IAW VASRD §4.71a</w:t>
      </w:r>
      <w:r w:rsidR="005E6D70">
        <w:rPr>
          <w:rFonts w:eastAsia="Calibri" w:cs="Times New Roman"/>
          <w:color w:val="auto"/>
          <w:szCs w:val="24"/>
        </w:rPr>
        <w:t xml:space="preserve">.  </w:t>
      </w:r>
      <w:r w:rsidR="005E6D70" w:rsidRPr="00F64312">
        <w:rPr>
          <w:rFonts w:eastAsia="Calibri" w:cs="Times New Roman"/>
          <w:color w:val="auto"/>
          <w:szCs w:val="24"/>
        </w:rPr>
        <w:t>In the matter of the contended</w:t>
      </w:r>
      <w:r w:rsidR="005E6D70">
        <w:rPr>
          <w:rFonts w:eastAsia="Calibri" w:cs="Times New Roman"/>
          <w:color w:val="auto"/>
          <w:szCs w:val="24"/>
        </w:rPr>
        <w:t xml:space="preserve"> </w:t>
      </w:r>
      <w:r w:rsidR="005E6D70" w:rsidRPr="00FB212B">
        <w:rPr>
          <w:color w:val="auto"/>
        </w:rPr>
        <w:t>depression</w:t>
      </w:r>
      <w:r w:rsidR="005E6D70">
        <w:rPr>
          <w:color w:val="auto"/>
        </w:rPr>
        <w:t xml:space="preserve"> in remission</w:t>
      </w:r>
      <w:r w:rsidR="005E6D70" w:rsidRPr="00FB212B">
        <w:rPr>
          <w:color w:val="auto"/>
        </w:rPr>
        <w:t xml:space="preserve">, asymptomatic </w:t>
      </w:r>
      <w:proofErr w:type="spellStart"/>
      <w:r w:rsidR="005E6D70" w:rsidRPr="00FB212B">
        <w:rPr>
          <w:color w:val="auto"/>
        </w:rPr>
        <w:t>hallux</w:t>
      </w:r>
      <w:proofErr w:type="spellEnd"/>
      <w:r w:rsidR="005E6D70" w:rsidRPr="00FB212B">
        <w:rPr>
          <w:color w:val="auto"/>
        </w:rPr>
        <w:t xml:space="preserve"> </w:t>
      </w:r>
      <w:proofErr w:type="spellStart"/>
      <w:r w:rsidR="005E6D70" w:rsidRPr="00FB212B">
        <w:rPr>
          <w:color w:val="auto"/>
        </w:rPr>
        <w:t>abductovalgus</w:t>
      </w:r>
      <w:proofErr w:type="spellEnd"/>
      <w:r w:rsidR="005E6D70" w:rsidRPr="00FB212B">
        <w:rPr>
          <w:color w:val="auto"/>
        </w:rPr>
        <w:t xml:space="preserve">, bilateral asymptomatic hammertoes and bilateral metatarsal head </w:t>
      </w:r>
      <w:proofErr w:type="spellStart"/>
      <w:r w:rsidR="005E6D70" w:rsidRPr="00FB212B">
        <w:rPr>
          <w:color w:val="auto"/>
        </w:rPr>
        <w:t>tylomas</w:t>
      </w:r>
      <w:proofErr w:type="spellEnd"/>
      <w:r w:rsidR="005E6D70" w:rsidRPr="00FB212B">
        <w:rPr>
          <w:color w:val="auto"/>
        </w:rPr>
        <w:t xml:space="preserve"> (</w:t>
      </w:r>
      <w:proofErr w:type="spellStart"/>
      <w:r w:rsidR="005E6D70" w:rsidRPr="00FB212B">
        <w:rPr>
          <w:color w:val="auto"/>
        </w:rPr>
        <w:t>callouses</w:t>
      </w:r>
      <w:proofErr w:type="spellEnd"/>
      <w:r w:rsidR="005E6D70" w:rsidRPr="00FB212B">
        <w:rPr>
          <w:color w:val="auto"/>
        </w:rPr>
        <w:t xml:space="preserve">) </w:t>
      </w:r>
      <w:proofErr w:type="gramStart"/>
      <w:r w:rsidR="005E6D70" w:rsidRPr="00FB212B">
        <w:rPr>
          <w:color w:val="auto"/>
        </w:rPr>
        <w:t>conditions</w:t>
      </w:r>
      <w:r w:rsidR="005E6D70" w:rsidRPr="005E6D70">
        <w:rPr>
          <w:color w:val="auto"/>
        </w:rPr>
        <w:t>,</w:t>
      </w:r>
      <w:proofErr w:type="gramEnd"/>
      <w:r w:rsidR="005E6D70" w:rsidRPr="005E6D70">
        <w:rPr>
          <w:color w:val="auto"/>
        </w:rPr>
        <w:t xml:space="preserve"> the Board unanimously recommends</w:t>
      </w:r>
      <w:r w:rsidR="005E6D70" w:rsidRPr="00F64312">
        <w:rPr>
          <w:rFonts w:eastAsia="Calibri" w:cs="Times New Roman"/>
          <w:color w:val="auto"/>
          <w:szCs w:val="24"/>
        </w:rPr>
        <w:t xml:space="preserve"> no change from the PEB determination as not unfitting.  </w:t>
      </w:r>
      <w:r w:rsidR="00714047">
        <w:rPr>
          <w:rFonts w:eastAsia="Calibri" w:cs="Times New Roman"/>
          <w:color w:val="auto"/>
          <w:szCs w:val="24"/>
        </w:rPr>
        <w:t xml:space="preserve">There were no other conditions within the Board’s scope of review for consideration. </w:t>
      </w:r>
    </w:p>
    <w:p w:rsidR="00F1737C" w:rsidRPr="001F29F9" w:rsidRDefault="00F1737C" w:rsidP="00BF0E94">
      <w:pPr>
        <w:pBdr>
          <w:bottom w:val="single" w:sz="12" w:space="1" w:color="auto"/>
        </w:pBdr>
        <w:tabs>
          <w:tab w:val="left" w:pos="288"/>
          <w:tab w:val="left" w:pos="4752"/>
        </w:tabs>
        <w:jc w:val="both"/>
        <w:rPr>
          <w:color w:val="000000" w:themeColor="text1"/>
        </w:rPr>
      </w:pPr>
    </w:p>
    <w:p w:rsidR="005E6D70" w:rsidRDefault="005E6D70">
      <w:pPr>
        <w:rPr>
          <w:color w:val="000000" w:themeColor="text1"/>
          <w:szCs w:val="24"/>
          <w:u w:val="single"/>
        </w:rPr>
      </w:pPr>
    </w:p>
    <w:p w:rsidR="00C56FC8" w:rsidRPr="001F29F9" w:rsidRDefault="00C56FC8" w:rsidP="00ED5F0F">
      <w:pPr>
        <w:jc w:val="left"/>
        <w:rPr>
          <w:color w:val="000000" w:themeColor="text1"/>
          <w:szCs w:val="24"/>
        </w:rPr>
      </w:pPr>
      <w:r w:rsidRPr="001F29F9">
        <w:rPr>
          <w:color w:val="000000" w:themeColor="text1"/>
          <w:szCs w:val="24"/>
          <w:u w:val="single"/>
        </w:rPr>
        <w:t>RECOMMENDATION</w:t>
      </w:r>
      <w:r w:rsidRPr="001F29F9">
        <w:rPr>
          <w:color w:val="000000" w:themeColor="text1"/>
          <w:szCs w:val="24"/>
        </w:rPr>
        <w:t>:</w:t>
      </w:r>
      <w:r w:rsidR="00ED5F0F">
        <w:rPr>
          <w:color w:val="FF0000"/>
          <w:sz w:val="20"/>
          <w:szCs w:val="24"/>
        </w:rPr>
        <w:t xml:space="preserve">  </w:t>
      </w:r>
      <w:r w:rsidRPr="001F29F9">
        <w:rPr>
          <w:color w:val="000000" w:themeColor="text1"/>
          <w:szCs w:val="24"/>
        </w:rPr>
        <w:t xml:space="preserve">The Board recommends that the CI’s prior determination be modified as follows, effective as of the date of </w:t>
      </w:r>
      <w:r w:rsidR="008E16FD" w:rsidRPr="001F29F9">
        <w:rPr>
          <w:color w:val="000000" w:themeColor="text1"/>
          <w:szCs w:val="24"/>
        </w:rPr>
        <w:t>his</w:t>
      </w:r>
      <w:r w:rsidR="008E16FD">
        <w:rPr>
          <w:color w:val="000000" w:themeColor="text1"/>
          <w:szCs w:val="24"/>
        </w:rPr>
        <w:t xml:space="preserve"> </w:t>
      </w:r>
      <w:r w:rsidR="008E16FD" w:rsidRPr="001F29F9">
        <w:rPr>
          <w:color w:val="000000" w:themeColor="text1"/>
          <w:szCs w:val="24"/>
        </w:rPr>
        <w:t>prior</w:t>
      </w:r>
      <w:r w:rsidR="00911B11" w:rsidRPr="001F29F9">
        <w:rPr>
          <w:color w:val="000000" w:themeColor="text1"/>
          <w:szCs w:val="24"/>
        </w:rPr>
        <w:t xml:space="preserve"> medical separation:</w:t>
      </w:r>
    </w:p>
    <w:p w:rsidR="00D316FF" w:rsidRDefault="00D316FF" w:rsidP="004309F8">
      <w:pPr>
        <w:tabs>
          <w:tab w:val="left" w:pos="288"/>
          <w:tab w:val="left" w:pos="4752"/>
        </w:tabs>
        <w:jc w:val="both"/>
        <w:rPr>
          <w:color w:val="000000" w:themeColor="text1"/>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60"/>
        <w:gridCol w:w="1530"/>
        <w:gridCol w:w="1170"/>
      </w:tblGrid>
      <w:tr w:rsidR="000B1BBC" w:rsidRPr="00F64312" w:rsidTr="001A22B0">
        <w:trPr>
          <w:trHeight w:val="233"/>
        </w:trPr>
        <w:tc>
          <w:tcPr>
            <w:tcW w:w="6660" w:type="dxa"/>
            <w:shd w:val="clear" w:color="auto" w:fill="D9D9D9"/>
            <w:vAlign w:val="center"/>
          </w:tcPr>
          <w:p w:rsidR="000B1BBC" w:rsidRPr="00F64312" w:rsidRDefault="000B1BBC" w:rsidP="00454142">
            <w:pPr>
              <w:tabs>
                <w:tab w:val="left" w:pos="288"/>
                <w:tab w:val="left" w:pos="4752"/>
              </w:tabs>
              <w:rPr>
                <w:b/>
                <w:color w:val="auto"/>
              </w:rPr>
            </w:pPr>
            <w:r>
              <w:rPr>
                <w:b/>
                <w:color w:val="auto"/>
              </w:rPr>
              <w:t>UNFI</w:t>
            </w:r>
            <w:r w:rsidRPr="00F64312">
              <w:rPr>
                <w:b/>
                <w:color w:val="auto"/>
              </w:rPr>
              <w:t>TTING CONDITION</w:t>
            </w:r>
          </w:p>
        </w:tc>
        <w:tc>
          <w:tcPr>
            <w:tcW w:w="1530" w:type="dxa"/>
            <w:shd w:val="clear" w:color="auto" w:fill="D9D9D9"/>
            <w:vAlign w:val="center"/>
          </w:tcPr>
          <w:p w:rsidR="000B1BBC" w:rsidRPr="00F64312" w:rsidRDefault="000B1BBC" w:rsidP="00454142">
            <w:pPr>
              <w:tabs>
                <w:tab w:val="left" w:pos="288"/>
                <w:tab w:val="left" w:pos="4752"/>
              </w:tabs>
              <w:rPr>
                <w:b/>
                <w:color w:val="auto"/>
              </w:rPr>
            </w:pPr>
            <w:r w:rsidRPr="00F64312">
              <w:rPr>
                <w:b/>
                <w:color w:val="auto"/>
              </w:rPr>
              <w:t>VASRD CODE</w:t>
            </w:r>
          </w:p>
        </w:tc>
        <w:tc>
          <w:tcPr>
            <w:tcW w:w="1170" w:type="dxa"/>
            <w:shd w:val="clear" w:color="auto" w:fill="D9D9D9"/>
            <w:vAlign w:val="center"/>
          </w:tcPr>
          <w:p w:rsidR="000B1BBC" w:rsidRPr="00F64312" w:rsidRDefault="000B1BBC" w:rsidP="00454142">
            <w:pPr>
              <w:tabs>
                <w:tab w:val="left" w:pos="288"/>
                <w:tab w:val="left" w:pos="4752"/>
              </w:tabs>
              <w:rPr>
                <w:b/>
                <w:color w:val="auto"/>
              </w:rPr>
            </w:pPr>
            <w:r w:rsidRPr="00F64312">
              <w:rPr>
                <w:b/>
                <w:color w:val="auto"/>
              </w:rPr>
              <w:t>RATING</w:t>
            </w:r>
          </w:p>
        </w:tc>
      </w:tr>
      <w:tr w:rsidR="000B1BBC" w:rsidRPr="00F64312" w:rsidTr="001A22B0">
        <w:tc>
          <w:tcPr>
            <w:tcW w:w="6660" w:type="dxa"/>
            <w:vAlign w:val="center"/>
          </w:tcPr>
          <w:p w:rsidR="000B1BBC" w:rsidRPr="00F64312" w:rsidRDefault="000B1BBC" w:rsidP="000B1BBC">
            <w:pPr>
              <w:tabs>
                <w:tab w:val="left" w:pos="288"/>
                <w:tab w:val="left" w:pos="4752"/>
              </w:tabs>
              <w:jc w:val="left"/>
              <w:rPr>
                <w:color w:val="auto"/>
              </w:rPr>
            </w:pPr>
            <w:r>
              <w:rPr>
                <w:color w:val="auto"/>
              </w:rPr>
              <w:t>Right Ankle Condition</w:t>
            </w:r>
          </w:p>
        </w:tc>
        <w:tc>
          <w:tcPr>
            <w:tcW w:w="1530" w:type="dxa"/>
            <w:vAlign w:val="center"/>
          </w:tcPr>
          <w:p w:rsidR="000B1BBC" w:rsidRPr="00F64312" w:rsidRDefault="000B1BBC" w:rsidP="009B7BD7">
            <w:pPr>
              <w:tabs>
                <w:tab w:val="left" w:pos="288"/>
                <w:tab w:val="left" w:pos="4752"/>
              </w:tabs>
              <w:rPr>
                <w:color w:val="auto"/>
                <w:highlight w:val="lightGray"/>
              </w:rPr>
            </w:pPr>
            <w:r w:rsidRPr="00454142">
              <w:rPr>
                <w:color w:val="auto"/>
              </w:rPr>
              <w:t>5</w:t>
            </w:r>
            <w:r w:rsidR="001A22B0">
              <w:rPr>
                <w:color w:val="auto"/>
              </w:rPr>
              <w:t>0</w:t>
            </w:r>
            <w:r w:rsidRPr="00454142">
              <w:rPr>
                <w:color w:val="auto"/>
              </w:rPr>
              <w:t>99-5</w:t>
            </w:r>
            <w:r w:rsidR="009B7BD7">
              <w:rPr>
                <w:color w:val="auto"/>
              </w:rPr>
              <w:t>003</w:t>
            </w:r>
          </w:p>
        </w:tc>
        <w:tc>
          <w:tcPr>
            <w:tcW w:w="1170" w:type="dxa"/>
            <w:vAlign w:val="center"/>
          </w:tcPr>
          <w:p w:rsidR="000B1BBC" w:rsidRPr="00F64312" w:rsidRDefault="000B1BBC" w:rsidP="00454142">
            <w:pPr>
              <w:tabs>
                <w:tab w:val="left" w:pos="288"/>
                <w:tab w:val="left" w:pos="4752"/>
              </w:tabs>
              <w:rPr>
                <w:color w:val="auto"/>
                <w:highlight w:val="lightGray"/>
              </w:rPr>
            </w:pPr>
            <w:r w:rsidRPr="00454142">
              <w:rPr>
                <w:color w:val="auto"/>
              </w:rPr>
              <w:t>10%</w:t>
            </w:r>
          </w:p>
        </w:tc>
      </w:tr>
      <w:tr w:rsidR="00727280" w:rsidRPr="008325D8" w:rsidTr="001A22B0">
        <w:tc>
          <w:tcPr>
            <w:tcW w:w="6660" w:type="dxa"/>
            <w:vAlign w:val="center"/>
          </w:tcPr>
          <w:p w:rsidR="00727280" w:rsidRDefault="00727280" w:rsidP="000B1BBC">
            <w:pPr>
              <w:tabs>
                <w:tab w:val="left" w:pos="288"/>
                <w:tab w:val="left" w:pos="4752"/>
              </w:tabs>
              <w:jc w:val="left"/>
              <w:rPr>
                <w:color w:val="auto"/>
              </w:rPr>
            </w:pPr>
            <w:r>
              <w:rPr>
                <w:color w:val="auto"/>
              </w:rPr>
              <w:t>Left Ankle Condition</w:t>
            </w:r>
          </w:p>
        </w:tc>
        <w:tc>
          <w:tcPr>
            <w:tcW w:w="1530" w:type="dxa"/>
            <w:vAlign w:val="center"/>
          </w:tcPr>
          <w:p w:rsidR="00727280" w:rsidRPr="008325D8" w:rsidRDefault="00727280" w:rsidP="009B7BD7">
            <w:pPr>
              <w:tabs>
                <w:tab w:val="left" w:pos="288"/>
                <w:tab w:val="left" w:pos="4752"/>
              </w:tabs>
              <w:rPr>
                <w:color w:val="auto"/>
              </w:rPr>
            </w:pPr>
            <w:r>
              <w:rPr>
                <w:color w:val="auto"/>
              </w:rPr>
              <w:t>5</w:t>
            </w:r>
            <w:r w:rsidR="001A22B0">
              <w:rPr>
                <w:color w:val="auto"/>
              </w:rPr>
              <w:t>0</w:t>
            </w:r>
            <w:r>
              <w:rPr>
                <w:color w:val="auto"/>
              </w:rPr>
              <w:t>99-5</w:t>
            </w:r>
            <w:r w:rsidR="009B7BD7">
              <w:rPr>
                <w:color w:val="auto"/>
              </w:rPr>
              <w:t>003</w:t>
            </w:r>
            <w:r>
              <w:rPr>
                <w:color w:val="auto"/>
              </w:rPr>
              <w:t xml:space="preserve">    </w:t>
            </w:r>
          </w:p>
        </w:tc>
        <w:tc>
          <w:tcPr>
            <w:tcW w:w="1170" w:type="dxa"/>
            <w:vAlign w:val="center"/>
          </w:tcPr>
          <w:p w:rsidR="00727280" w:rsidRPr="008325D8" w:rsidRDefault="009B7BD7" w:rsidP="001A22B0">
            <w:pPr>
              <w:tabs>
                <w:tab w:val="left" w:pos="288"/>
                <w:tab w:val="left" w:pos="4752"/>
              </w:tabs>
              <w:rPr>
                <w:color w:val="auto"/>
              </w:rPr>
            </w:pPr>
            <w:r>
              <w:rPr>
                <w:color w:val="auto"/>
              </w:rPr>
              <w:t>1</w:t>
            </w:r>
            <w:r w:rsidR="00E13126">
              <w:rPr>
                <w:color w:val="auto"/>
              </w:rPr>
              <w:t>0%</w:t>
            </w:r>
          </w:p>
        </w:tc>
      </w:tr>
      <w:tr w:rsidR="000B1BBC" w:rsidRPr="008325D8" w:rsidTr="001A22B0">
        <w:tblPrEx>
          <w:tblLook w:val="0000"/>
        </w:tblPrEx>
        <w:trPr>
          <w:gridBefore w:val="1"/>
          <w:wBefore w:w="6660" w:type="dxa"/>
          <w:trHeight w:val="152"/>
        </w:trPr>
        <w:tc>
          <w:tcPr>
            <w:tcW w:w="1530" w:type="dxa"/>
            <w:tcBorders>
              <w:left w:val="single" w:sz="4" w:space="0" w:color="auto"/>
            </w:tcBorders>
            <w:shd w:val="clear" w:color="auto" w:fill="D9D9D9"/>
            <w:vAlign w:val="center"/>
          </w:tcPr>
          <w:p w:rsidR="000B1BBC" w:rsidRPr="00F64312" w:rsidRDefault="000B1BBC" w:rsidP="00454142">
            <w:pPr>
              <w:tabs>
                <w:tab w:val="left" w:pos="288"/>
                <w:tab w:val="left" w:pos="4752"/>
              </w:tabs>
              <w:rPr>
                <w:b/>
                <w:color w:val="auto"/>
              </w:rPr>
            </w:pPr>
            <w:r w:rsidRPr="00F64312">
              <w:rPr>
                <w:b/>
                <w:color w:val="auto"/>
              </w:rPr>
              <w:t>COMBINED</w:t>
            </w:r>
          </w:p>
        </w:tc>
        <w:tc>
          <w:tcPr>
            <w:tcW w:w="1170" w:type="dxa"/>
            <w:shd w:val="clear" w:color="auto" w:fill="D9D9D9"/>
            <w:vAlign w:val="center"/>
          </w:tcPr>
          <w:p w:rsidR="000B1BBC" w:rsidRPr="008325D8" w:rsidRDefault="009B7BD7" w:rsidP="001A22B0">
            <w:pPr>
              <w:tabs>
                <w:tab w:val="left" w:pos="288"/>
                <w:tab w:val="left" w:pos="4752"/>
              </w:tabs>
              <w:rPr>
                <w:b/>
                <w:color w:val="auto"/>
              </w:rPr>
            </w:pPr>
            <w:r>
              <w:rPr>
                <w:b/>
                <w:color w:val="auto"/>
              </w:rPr>
              <w:t>2</w:t>
            </w:r>
            <w:r w:rsidR="000B1BBC" w:rsidRPr="008325D8">
              <w:rPr>
                <w:b/>
                <w:color w:val="auto"/>
              </w:rPr>
              <w:t>0</w:t>
            </w:r>
            <w:r w:rsidR="001A22B0">
              <w:rPr>
                <w:b/>
                <w:color w:val="auto"/>
              </w:rPr>
              <w:t>%</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EB5EFD"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65681D">
        <w:rPr>
          <w:color w:val="000000" w:themeColor="text1"/>
          <w:szCs w:val="24"/>
        </w:rPr>
        <w:t>050929</w:t>
      </w:r>
      <w:r w:rsidR="009A4D91" w:rsidRPr="001F29F9">
        <w:rPr>
          <w:color w:val="000000" w:themeColor="text1"/>
        </w:rPr>
        <w:t xml:space="preserve"> </w:t>
      </w:r>
      <w:r w:rsidR="00FF0A6D">
        <w:rPr>
          <w:color w:val="000000" w:themeColor="text1"/>
        </w:rPr>
        <w:t>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FF0A6D">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FF0A6D">
        <w:rPr>
          <w:color w:val="000000" w:themeColor="text1"/>
        </w:rPr>
        <w:t>terans Affairs Treatment Record</w:t>
      </w: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EB1474">
        <w:rPr>
          <w:color w:val="000000" w:themeColor="text1"/>
          <w:szCs w:val="24"/>
        </w:rPr>
        <w:t>XXXXXXXXXXXXXXXXXXXX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D41D0C" w:rsidRDefault="002F195B" w:rsidP="005E6D70">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D41D0C" w:rsidRDefault="00D41D0C" w:rsidP="00D41D0C">
      <w:pPr>
        <w:sectPr w:rsidR="00D41D0C">
          <w:pgSz w:w="12240" w:h="15840"/>
          <w:pgMar w:top="2160" w:right="1440" w:bottom="1440" w:left="1440" w:header="720" w:footer="720" w:gutter="0"/>
          <w:cols w:space="720"/>
        </w:sectPr>
      </w:pPr>
      <w:r>
        <w:rPr>
          <w:color w:val="000000" w:themeColor="text1"/>
          <w:szCs w:val="24"/>
        </w:rPr>
        <w:br w:type="page"/>
      </w:r>
    </w:p>
    <w:p w:rsidR="00D41D0C" w:rsidRDefault="00D41D0C" w:rsidP="00D41D0C">
      <w:pPr>
        <w:pStyle w:val="Header"/>
        <w:tabs>
          <w:tab w:val="left" w:pos="720"/>
        </w:tabs>
        <w:jc w:val="left"/>
      </w:pPr>
      <w:r>
        <w:lastRenderedPageBreak/>
        <w:t>SFMR-RB</w:t>
      </w:r>
      <w:r>
        <w:tab/>
      </w:r>
      <w:r>
        <w:tab/>
      </w:r>
      <w:r>
        <w:tab/>
      </w:r>
      <w:r>
        <w:tab/>
      </w:r>
      <w:r>
        <w:tab/>
      </w:r>
      <w:r>
        <w:tab/>
      </w:r>
      <w:r>
        <w:tab/>
      </w:r>
      <w:r>
        <w:tab/>
      </w:r>
      <w:r>
        <w:tab/>
      </w:r>
    </w:p>
    <w:p w:rsidR="00D41D0C" w:rsidRDefault="00D41D0C" w:rsidP="00D41D0C">
      <w:pPr>
        <w:pStyle w:val="Header"/>
        <w:tabs>
          <w:tab w:val="left" w:pos="720"/>
        </w:tabs>
        <w:jc w:val="left"/>
      </w:pPr>
    </w:p>
    <w:p w:rsidR="00D41D0C" w:rsidRDefault="00D41D0C" w:rsidP="00D41D0C">
      <w:pPr>
        <w:jc w:val="left"/>
      </w:pPr>
    </w:p>
    <w:p w:rsidR="00D41D0C" w:rsidRDefault="00D41D0C" w:rsidP="00D41D0C">
      <w:pPr>
        <w:jc w:val="left"/>
      </w:pPr>
      <w:r>
        <w:t xml:space="preserve">MEMORANDUM FOR Commander, US Army Physical Disability Agency </w:t>
      </w:r>
    </w:p>
    <w:p w:rsidR="00D41D0C" w:rsidRDefault="00D41D0C" w:rsidP="00D41D0C">
      <w:pPr>
        <w:jc w:val="left"/>
      </w:pPr>
      <w:r>
        <w:t xml:space="preserve">(TAPD-ZB </w:t>
      </w:r>
      <w:proofErr w:type="gramStart"/>
      <w:r>
        <w:t xml:space="preserve">/ </w:t>
      </w:r>
      <w:r w:rsidR="00EB1474">
        <w:t xml:space="preserve"> </w:t>
      </w:r>
      <w:r>
        <w:t>)</w:t>
      </w:r>
      <w:proofErr w:type="gramEnd"/>
      <w:r>
        <w:t>, 2900 Crystal Drive, Suite 300, Arlington, VA  22202</w:t>
      </w:r>
    </w:p>
    <w:p w:rsidR="00D41D0C" w:rsidRDefault="00D41D0C" w:rsidP="00D41D0C">
      <w:pPr>
        <w:jc w:val="left"/>
      </w:pPr>
    </w:p>
    <w:p w:rsidR="00D41D0C" w:rsidRDefault="00D41D0C" w:rsidP="00D41D0C">
      <w:pPr>
        <w:ind w:right="-180"/>
        <w:jc w:val="left"/>
      </w:pPr>
      <w:r>
        <w:t xml:space="preserve">SUBJECT:  Department of Defense Physical Disability Board of Review Recommendation </w:t>
      </w:r>
    </w:p>
    <w:p w:rsidR="00D41D0C" w:rsidRDefault="00D41D0C" w:rsidP="00D41D0C">
      <w:pPr>
        <w:pStyle w:val="Header"/>
        <w:tabs>
          <w:tab w:val="left" w:pos="720"/>
        </w:tabs>
        <w:jc w:val="left"/>
      </w:pPr>
      <w:proofErr w:type="gramStart"/>
      <w:r>
        <w:t>for</w:t>
      </w:r>
      <w:proofErr w:type="gramEnd"/>
      <w:r>
        <w:t xml:space="preserve"> </w:t>
      </w:r>
      <w:r w:rsidR="00EB1474">
        <w:t>XXXXXXXXXXXXXXXXXXXXXXXXXX</w:t>
      </w:r>
      <w:r>
        <w:t>, AR20120016156 (PD201100292)</w:t>
      </w:r>
    </w:p>
    <w:p w:rsidR="00D41D0C" w:rsidRDefault="00D41D0C" w:rsidP="00D41D0C">
      <w:pPr>
        <w:pStyle w:val="Header"/>
        <w:tabs>
          <w:tab w:val="left" w:pos="720"/>
        </w:tabs>
        <w:jc w:val="left"/>
      </w:pPr>
    </w:p>
    <w:p w:rsidR="00D41D0C" w:rsidRDefault="00D41D0C" w:rsidP="00D41D0C">
      <w:pPr>
        <w:jc w:val="left"/>
      </w:pPr>
    </w:p>
    <w:p w:rsidR="00D41D0C" w:rsidRDefault="00D41D0C" w:rsidP="00D41D0C">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20% without </w:t>
      </w:r>
      <w:proofErr w:type="spellStart"/>
      <w:r>
        <w:t>recharacterization</w:t>
      </w:r>
      <w:proofErr w:type="spellEnd"/>
      <w:r>
        <w:t xml:space="preserve"> of the individual’s separation.  This decision is final.  </w:t>
      </w:r>
    </w:p>
    <w:p w:rsidR="00D41D0C" w:rsidRDefault="00D41D0C" w:rsidP="00D41D0C">
      <w:pPr>
        <w:jc w:val="left"/>
      </w:pPr>
    </w:p>
    <w:p w:rsidR="00D41D0C" w:rsidRDefault="00D41D0C" w:rsidP="00D41D0C">
      <w:pPr>
        <w:jc w:val="left"/>
      </w:pPr>
      <w:r>
        <w:t xml:space="preserve">2.  I direct that all the Department of the Army records of the individual concerned be corrected accordingly no later than 120 days from the date of this memorandum.   </w:t>
      </w:r>
    </w:p>
    <w:p w:rsidR="00D41D0C" w:rsidRDefault="00D41D0C" w:rsidP="00D41D0C">
      <w:pPr>
        <w:jc w:val="left"/>
      </w:pPr>
    </w:p>
    <w:p w:rsidR="00D41D0C" w:rsidRDefault="00D41D0C" w:rsidP="00D41D0C">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D41D0C" w:rsidRDefault="00D41D0C" w:rsidP="00D41D0C">
      <w:pPr>
        <w:jc w:val="left"/>
      </w:pPr>
    </w:p>
    <w:p w:rsidR="00D41D0C" w:rsidRDefault="00D41D0C" w:rsidP="00D41D0C">
      <w:pPr>
        <w:jc w:val="left"/>
      </w:pPr>
      <w:r>
        <w:t xml:space="preserve"> BY ORDER OF THE SECRETARY OF THE ARMY:</w:t>
      </w:r>
    </w:p>
    <w:p w:rsidR="00D41D0C" w:rsidRDefault="00D41D0C" w:rsidP="00D41D0C">
      <w:pPr>
        <w:jc w:val="left"/>
      </w:pPr>
    </w:p>
    <w:p w:rsidR="00D41D0C" w:rsidRDefault="00D41D0C" w:rsidP="00D41D0C">
      <w:pPr>
        <w:jc w:val="left"/>
      </w:pPr>
    </w:p>
    <w:p w:rsidR="00D41D0C" w:rsidRDefault="00D41D0C" w:rsidP="00D41D0C">
      <w:pPr>
        <w:pStyle w:val="Header"/>
        <w:tabs>
          <w:tab w:val="left" w:pos="720"/>
        </w:tabs>
        <w:jc w:val="left"/>
      </w:pPr>
    </w:p>
    <w:p w:rsidR="00D41D0C" w:rsidRDefault="00D41D0C" w:rsidP="00D41D0C">
      <w:pPr>
        <w:jc w:val="left"/>
      </w:pPr>
    </w:p>
    <w:p w:rsidR="00D41D0C" w:rsidRDefault="00D41D0C" w:rsidP="00D41D0C">
      <w:pPr>
        <w:jc w:val="left"/>
      </w:pPr>
      <w:bookmarkStart w:id="1" w:name="OLE_LINK4"/>
      <w:bookmarkStart w:id="2" w:name="OLE_LINK3"/>
      <w:r>
        <w:t>Encl</w:t>
      </w:r>
      <w:r>
        <w:tab/>
      </w:r>
      <w:r>
        <w:tab/>
      </w:r>
      <w:r>
        <w:tab/>
      </w:r>
      <w:r>
        <w:tab/>
      </w:r>
      <w:r>
        <w:tab/>
      </w:r>
      <w:r>
        <w:tab/>
        <w:t xml:space="preserve">     </w:t>
      </w:r>
      <w:r w:rsidR="00EB1474">
        <w:t>XXXXXXXXXXXXXXXXXXX</w:t>
      </w:r>
    </w:p>
    <w:p w:rsidR="00D41D0C" w:rsidRDefault="00D41D0C" w:rsidP="00D41D0C">
      <w:pPr>
        <w:jc w:val="left"/>
      </w:pPr>
      <w:r>
        <w:tab/>
      </w:r>
      <w:r>
        <w:tab/>
      </w:r>
      <w:r>
        <w:tab/>
      </w:r>
      <w:r>
        <w:tab/>
      </w:r>
      <w:r>
        <w:tab/>
      </w:r>
      <w:r>
        <w:tab/>
        <w:t xml:space="preserve">     Deputy Assistant Secretary</w:t>
      </w:r>
    </w:p>
    <w:p w:rsidR="00D41D0C" w:rsidRDefault="00D41D0C" w:rsidP="00D41D0C">
      <w:pPr>
        <w:jc w:val="left"/>
      </w:pPr>
      <w:r>
        <w:tab/>
      </w:r>
      <w:r>
        <w:tab/>
      </w:r>
      <w:r>
        <w:tab/>
      </w:r>
      <w:r>
        <w:tab/>
      </w:r>
      <w:r>
        <w:tab/>
      </w:r>
      <w:r>
        <w:tab/>
        <w:t xml:space="preserve">         (Army Review Boards)</w:t>
      </w:r>
      <w:bookmarkEnd w:id="1"/>
      <w:bookmarkEnd w:id="2"/>
    </w:p>
    <w:p w:rsidR="00D41D0C" w:rsidRDefault="00D41D0C" w:rsidP="00D41D0C">
      <w:pPr>
        <w:jc w:val="left"/>
      </w:pPr>
    </w:p>
    <w:p w:rsidR="00D41D0C" w:rsidRDefault="00D41D0C" w:rsidP="00D41D0C">
      <w:pPr>
        <w:jc w:val="left"/>
      </w:pPr>
      <w:r>
        <w:t xml:space="preserve">CF: </w:t>
      </w:r>
    </w:p>
    <w:p w:rsidR="00D41D0C" w:rsidRDefault="00D41D0C" w:rsidP="00D41D0C">
      <w:pPr>
        <w:jc w:val="left"/>
      </w:pPr>
      <w:r>
        <w:t xml:space="preserve">(  ) </w:t>
      </w:r>
      <w:proofErr w:type="spellStart"/>
      <w:proofErr w:type="gramStart"/>
      <w:r>
        <w:t>DoD</w:t>
      </w:r>
      <w:proofErr w:type="spellEnd"/>
      <w:proofErr w:type="gramEnd"/>
      <w:r>
        <w:t xml:space="preserve"> PDBR</w:t>
      </w:r>
    </w:p>
    <w:p w:rsidR="00D41D0C" w:rsidRDefault="00D41D0C" w:rsidP="00D41D0C">
      <w:pPr>
        <w:jc w:val="left"/>
      </w:pPr>
      <w:r>
        <w:t>(  ) DVA</w:t>
      </w:r>
    </w:p>
    <w:p w:rsidR="00D41D0C" w:rsidRDefault="00D41D0C" w:rsidP="00D41D0C">
      <w:pPr>
        <w:jc w:val="left"/>
        <w:rPr>
          <w:color w:val="000000" w:themeColor="text1"/>
          <w:szCs w:val="24"/>
        </w:rPr>
      </w:pPr>
    </w:p>
    <w:sectPr w:rsidR="00D41D0C"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705" w:rsidRDefault="00362705">
      <w:r>
        <w:separator/>
      </w:r>
    </w:p>
  </w:endnote>
  <w:endnote w:type="continuationSeparator" w:id="0">
    <w:p w:rsidR="00362705" w:rsidRDefault="003627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FB212B" w:rsidRPr="00374247" w:rsidRDefault="00FB212B" w:rsidP="00374247">
        <w:pPr>
          <w:pStyle w:val="Footer"/>
          <w:ind w:firstLine="4320"/>
          <w:rPr>
            <w:color w:val="auto"/>
            <w:szCs w:val="24"/>
          </w:rPr>
        </w:pPr>
        <w:r w:rsidRPr="00374247">
          <w:rPr>
            <w:color w:val="auto"/>
            <w:szCs w:val="24"/>
          </w:rPr>
          <w:t xml:space="preserve">   </w:t>
        </w:r>
        <w:r w:rsidR="004C0490" w:rsidRPr="00374247">
          <w:rPr>
            <w:color w:val="auto"/>
            <w:szCs w:val="24"/>
          </w:rPr>
          <w:fldChar w:fldCharType="begin"/>
        </w:r>
        <w:r w:rsidRPr="00374247">
          <w:rPr>
            <w:color w:val="auto"/>
            <w:szCs w:val="24"/>
          </w:rPr>
          <w:instrText xml:space="preserve"> PAGE   \* MERGEFORMAT </w:instrText>
        </w:r>
        <w:r w:rsidR="004C0490" w:rsidRPr="00374247">
          <w:rPr>
            <w:color w:val="auto"/>
            <w:szCs w:val="24"/>
          </w:rPr>
          <w:fldChar w:fldCharType="separate"/>
        </w:r>
        <w:r w:rsidR="00D41D0C" w:rsidRPr="00D41D0C">
          <w:rPr>
            <w:noProof/>
            <w:color w:val="auto"/>
          </w:rPr>
          <w:t>6</w:t>
        </w:r>
        <w:r w:rsidR="004C0490" w:rsidRPr="00374247">
          <w:rPr>
            <w:color w:val="auto"/>
            <w:szCs w:val="24"/>
          </w:rPr>
          <w:fldChar w:fldCharType="end"/>
        </w:r>
        <w:r w:rsidRPr="00374247">
          <w:rPr>
            <w:color w:val="auto"/>
            <w:szCs w:val="24"/>
          </w:rPr>
          <w:t xml:space="preserve">                                                           </w:t>
        </w:r>
        <w:r w:rsidRPr="001D64F3">
          <w:rPr>
            <w:color w:val="auto"/>
            <w:szCs w:val="24"/>
          </w:rPr>
          <w:t>P</w:t>
        </w:r>
        <w:r w:rsidRPr="009C700A">
          <w:rPr>
            <w:color w:val="auto"/>
            <w:szCs w:val="24"/>
          </w:rPr>
          <w:t>D11</w:t>
        </w:r>
        <w:r>
          <w:rPr>
            <w:color w:val="auto"/>
            <w:szCs w:val="24"/>
          </w:rPr>
          <w:t>-</w:t>
        </w:r>
        <w:r w:rsidRPr="009C700A">
          <w:rPr>
            <w:color w:val="auto"/>
            <w:szCs w:val="24"/>
          </w:rPr>
          <w:t>002</w:t>
        </w:r>
        <w:r>
          <w:rPr>
            <w:color w:val="auto"/>
            <w:szCs w:val="24"/>
          </w:rPr>
          <w:t>92</w:t>
        </w:r>
      </w:p>
    </w:sdtContent>
  </w:sdt>
  <w:p w:rsidR="00FB212B" w:rsidRPr="00684CE6" w:rsidRDefault="00FB212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705" w:rsidRDefault="00362705">
      <w:r>
        <w:separator/>
      </w:r>
    </w:p>
  </w:footnote>
  <w:footnote w:type="continuationSeparator" w:id="0">
    <w:p w:rsidR="00362705" w:rsidRDefault="00362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oNotTrackMoves/>
  <w:doNotTrackFormatting/>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1C28D1"/>
    <w:rsid w:val="000024F5"/>
    <w:rsid w:val="00003D1F"/>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27CE8"/>
    <w:rsid w:val="00030776"/>
    <w:rsid w:val="00032E07"/>
    <w:rsid w:val="000330C1"/>
    <w:rsid w:val="000332CA"/>
    <w:rsid w:val="0003374E"/>
    <w:rsid w:val="000344D8"/>
    <w:rsid w:val="000344E6"/>
    <w:rsid w:val="00034A43"/>
    <w:rsid w:val="00035C3A"/>
    <w:rsid w:val="00036E4B"/>
    <w:rsid w:val="00037929"/>
    <w:rsid w:val="000379D0"/>
    <w:rsid w:val="00040FC4"/>
    <w:rsid w:val="000416F8"/>
    <w:rsid w:val="00042C26"/>
    <w:rsid w:val="00043382"/>
    <w:rsid w:val="00044623"/>
    <w:rsid w:val="000452D7"/>
    <w:rsid w:val="00051622"/>
    <w:rsid w:val="00051A11"/>
    <w:rsid w:val="000520B1"/>
    <w:rsid w:val="00052234"/>
    <w:rsid w:val="00053D7C"/>
    <w:rsid w:val="00053E66"/>
    <w:rsid w:val="000575C5"/>
    <w:rsid w:val="000577C9"/>
    <w:rsid w:val="00057A89"/>
    <w:rsid w:val="00060FFD"/>
    <w:rsid w:val="00061D69"/>
    <w:rsid w:val="00061DD2"/>
    <w:rsid w:val="0006431E"/>
    <w:rsid w:val="000652EA"/>
    <w:rsid w:val="00065E21"/>
    <w:rsid w:val="00066950"/>
    <w:rsid w:val="000673ED"/>
    <w:rsid w:val="0006752E"/>
    <w:rsid w:val="00067854"/>
    <w:rsid w:val="000705A6"/>
    <w:rsid w:val="00070DED"/>
    <w:rsid w:val="00072433"/>
    <w:rsid w:val="00072B3E"/>
    <w:rsid w:val="0007388C"/>
    <w:rsid w:val="0007488B"/>
    <w:rsid w:val="00075702"/>
    <w:rsid w:val="00075A0C"/>
    <w:rsid w:val="000775C2"/>
    <w:rsid w:val="00077835"/>
    <w:rsid w:val="000806AD"/>
    <w:rsid w:val="00080BDF"/>
    <w:rsid w:val="00080C57"/>
    <w:rsid w:val="00081F59"/>
    <w:rsid w:val="00082482"/>
    <w:rsid w:val="00082CA0"/>
    <w:rsid w:val="00084CF2"/>
    <w:rsid w:val="00085D7B"/>
    <w:rsid w:val="0008708B"/>
    <w:rsid w:val="00092619"/>
    <w:rsid w:val="00092C66"/>
    <w:rsid w:val="000949DD"/>
    <w:rsid w:val="00094E4F"/>
    <w:rsid w:val="00097CDA"/>
    <w:rsid w:val="000A1EE5"/>
    <w:rsid w:val="000A28AE"/>
    <w:rsid w:val="000A2BCE"/>
    <w:rsid w:val="000A31E2"/>
    <w:rsid w:val="000A33C8"/>
    <w:rsid w:val="000A41E3"/>
    <w:rsid w:val="000A4BBA"/>
    <w:rsid w:val="000A5071"/>
    <w:rsid w:val="000B0AD2"/>
    <w:rsid w:val="000B1022"/>
    <w:rsid w:val="000B1BBC"/>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1DF1"/>
    <w:rsid w:val="000D21C7"/>
    <w:rsid w:val="000D248A"/>
    <w:rsid w:val="000D2CFD"/>
    <w:rsid w:val="000D331D"/>
    <w:rsid w:val="000D35D8"/>
    <w:rsid w:val="000D43F9"/>
    <w:rsid w:val="000D4717"/>
    <w:rsid w:val="000D6457"/>
    <w:rsid w:val="000D7D55"/>
    <w:rsid w:val="000E0993"/>
    <w:rsid w:val="000E2E50"/>
    <w:rsid w:val="000E33CE"/>
    <w:rsid w:val="000E37E0"/>
    <w:rsid w:val="000E3F20"/>
    <w:rsid w:val="000E4C25"/>
    <w:rsid w:val="000E4CBF"/>
    <w:rsid w:val="000E5577"/>
    <w:rsid w:val="000E605A"/>
    <w:rsid w:val="000E6C5A"/>
    <w:rsid w:val="000E7034"/>
    <w:rsid w:val="000F02BE"/>
    <w:rsid w:val="000F0928"/>
    <w:rsid w:val="000F0B3D"/>
    <w:rsid w:val="000F1E65"/>
    <w:rsid w:val="000F427B"/>
    <w:rsid w:val="000F43D0"/>
    <w:rsid w:val="000F4F18"/>
    <w:rsid w:val="000F688E"/>
    <w:rsid w:val="000F7181"/>
    <w:rsid w:val="000F7581"/>
    <w:rsid w:val="001007CE"/>
    <w:rsid w:val="001008C1"/>
    <w:rsid w:val="00100E3C"/>
    <w:rsid w:val="001023DB"/>
    <w:rsid w:val="00102B8D"/>
    <w:rsid w:val="001031F4"/>
    <w:rsid w:val="00103948"/>
    <w:rsid w:val="00103CCF"/>
    <w:rsid w:val="0010417F"/>
    <w:rsid w:val="001042D2"/>
    <w:rsid w:val="00104A0D"/>
    <w:rsid w:val="00104A8E"/>
    <w:rsid w:val="0010530E"/>
    <w:rsid w:val="00105C07"/>
    <w:rsid w:val="00106920"/>
    <w:rsid w:val="00106AD8"/>
    <w:rsid w:val="001078DB"/>
    <w:rsid w:val="001079FA"/>
    <w:rsid w:val="00107C8F"/>
    <w:rsid w:val="00107EC5"/>
    <w:rsid w:val="001103CD"/>
    <w:rsid w:val="00113D2A"/>
    <w:rsid w:val="00114F20"/>
    <w:rsid w:val="0011590B"/>
    <w:rsid w:val="00115E44"/>
    <w:rsid w:val="001179B8"/>
    <w:rsid w:val="001211AF"/>
    <w:rsid w:val="001215DF"/>
    <w:rsid w:val="001219DF"/>
    <w:rsid w:val="0012220B"/>
    <w:rsid w:val="00122ABE"/>
    <w:rsid w:val="001231DC"/>
    <w:rsid w:val="0012453A"/>
    <w:rsid w:val="0012489B"/>
    <w:rsid w:val="001272AE"/>
    <w:rsid w:val="00127C40"/>
    <w:rsid w:val="001301FA"/>
    <w:rsid w:val="00130756"/>
    <w:rsid w:val="001315DD"/>
    <w:rsid w:val="0013525F"/>
    <w:rsid w:val="00135385"/>
    <w:rsid w:val="00136204"/>
    <w:rsid w:val="001364D1"/>
    <w:rsid w:val="001374C7"/>
    <w:rsid w:val="00140FA4"/>
    <w:rsid w:val="001415A2"/>
    <w:rsid w:val="00141BC9"/>
    <w:rsid w:val="001421FD"/>
    <w:rsid w:val="001425C8"/>
    <w:rsid w:val="00142EBA"/>
    <w:rsid w:val="00143B79"/>
    <w:rsid w:val="00145965"/>
    <w:rsid w:val="00146EBD"/>
    <w:rsid w:val="00150B8A"/>
    <w:rsid w:val="00150DCB"/>
    <w:rsid w:val="00151912"/>
    <w:rsid w:val="00153740"/>
    <w:rsid w:val="001537D8"/>
    <w:rsid w:val="00153D88"/>
    <w:rsid w:val="001541C5"/>
    <w:rsid w:val="0015623F"/>
    <w:rsid w:val="00156585"/>
    <w:rsid w:val="00156BA9"/>
    <w:rsid w:val="00161642"/>
    <w:rsid w:val="00161761"/>
    <w:rsid w:val="00162A0E"/>
    <w:rsid w:val="00164F23"/>
    <w:rsid w:val="00166182"/>
    <w:rsid w:val="001665A7"/>
    <w:rsid w:val="0017038B"/>
    <w:rsid w:val="00170C94"/>
    <w:rsid w:val="0017139A"/>
    <w:rsid w:val="001724C8"/>
    <w:rsid w:val="00173170"/>
    <w:rsid w:val="001732C4"/>
    <w:rsid w:val="001745DD"/>
    <w:rsid w:val="00174FDE"/>
    <w:rsid w:val="00174FE3"/>
    <w:rsid w:val="00175586"/>
    <w:rsid w:val="00175614"/>
    <w:rsid w:val="00176D63"/>
    <w:rsid w:val="00177659"/>
    <w:rsid w:val="001779E5"/>
    <w:rsid w:val="00180826"/>
    <w:rsid w:val="00181240"/>
    <w:rsid w:val="00182047"/>
    <w:rsid w:val="00182A4C"/>
    <w:rsid w:val="00182B32"/>
    <w:rsid w:val="00183F77"/>
    <w:rsid w:val="00183FB3"/>
    <w:rsid w:val="001844D8"/>
    <w:rsid w:val="00185DA8"/>
    <w:rsid w:val="00185ECB"/>
    <w:rsid w:val="001865E0"/>
    <w:rsid w:val="001870F0"/>
    <w:rsid w:val="00187EA6"/>
    <w:rsid w:val="00190E48"/>
    <w:rsid w:val="0019114B"/>
    <w:rsid w:val="0019273F"/>
    <w:rsid w:val="00193814"/>
    <w:rsid w:val="00193AAB"/>
    <w:rsid w:val="00193AD5"/>
    <w:rsid w:val="00194930"/>
    <w:rsid w:val="00195AAC"/>
    <w:rsid w:val="001A025E"/>
    <w:rsid w:val="001A08CD"/>
    <w:rsid w:val="001A0A1E"/>
    <w:rsid w:val="001A1297"/>
    <w:rsid w:val="001A2182"/>
    <w:rsid w:val="001A22B0"/>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2BED"/>
    <w:rsid w:val="001D31AA"/>
    <w:rsid w:val="001D37B9"/>
    <w:rsid w:val="001D3DC0"/>
    <w:rsid w:val="001D4F88"/>
    <w:rsid w:val="001D60C2"/>
    <w:rsid w:val="001D64F3"/>
    <w:rsid w:val="001D68CF"/>
    <w:rsid w:val="001D6A8C"/>
    <w:rsid w:val="001D7A56"/>
    <w:rsid w:val="001E15C0"/>
    <w:rsid w:val="001E18E0"/>
    <w:rsid w:val="001E18E2"/>
    <w:rsid w:val="001E19D0"/>
    <w:rsid w:val="001E2A30"/>
    <w:rsid w:val="001E2FF1"/>
    <w:rsid w:val="001E3209"/>
    <w:rsid w:val="001E3FE1"/>
    <w:rsid w:val="001E41FE"/>
    <w:rsid w:val="001E635C"/>
    <w:rsid w:val="001F0297"/>
    <w:rsid w:val="001F29F9"/>
    <w:rsid w:val="001F5C3D"/>
    <w:rsid w:val="001F6E0B"/>
    <w:rsid w:val="001F78CE"/>
    <w:rsid w:val="001F7D92"/>
    <w:rsid w:val="00200AA0"/>
    <w:rsid w:val="00202325"/>
    <w:rsid w:val="00202736"/>
    <w:rsid w:val="00203171"/>
    <w:rsid w:val="00203652"/>
    <w:rsid w:val="00204562"/>
    <w:rsid w:val="00205B4F"/>
    <w:rsid w:val="002060B6"/>
    <w:rsid w:val="002066B5"/>
    <w:rsid w:val="002106DE"/>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0FE"/>
    <w:rsid w:val="002216BF"/>
    <w:rsid w:val="00221B9B"/>
    <w:rsid w:val="00222268"/>
    <w:rsid w:val="00222734"/>
    <w:rsid w:val="00225080"/>
    <w:rsid w:val="00225196"/>
    <w:rsid w:val="00225CB4"/>
    <w:rsid w:val="00226B1A"/>
    <w:rsid w:val="00226D1E"/>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6A58"/>
    <w:rsid w:val="002374C9"/>
    <w:rsid w:val="0024162D"/>
    <w:rsid w:val="0024174E"/>
    <w:rsid w:val="00242238"/>
    <w:rsid w:val="0024227D"/>
    <w:rsid w:val="00242D14"/>
    <w:rsid w:val="002432F4"/>
    <w:rsid w:val="00246860"/>
    <w:rsid w:val="002468D9"/>
    <w:rsid w:val="00246995"/>
    <w:rsid w:val="00246DFF"/>
    <w:rsid w:val="00246E89"/>
    <w:rsid w:val="00246F96"/>
    <w:rsid w:val="002472E9"/>
    <w:rsid w:val="0025183C"/>
    <w:rsid w:val="00252351"/>
    <w:rsid w:val="002528EC"/>
    <w:rsid w:val="00253EAA"/>
    <w:rsid w:val="002548A0"/>
    <w:rsid w:val="00255049"/>
    <w:rsid w:val="00257538"/>
    <w:rsid w:val="00257AFF"/>
    <w:rsid w:val="00257DE5"/>
    <w:rsid w:val="00260531"/>
    <w:rsid w:val="00260B9A"/>
    <w:rsid w:val="00262EA5"/>
    <w:rsid w:val="0026318D"/>
    <w:rsid w:val="00264148"/>
    <w:rsid w:val="002660AF"/>
    <w:rsid w:val="0026711D"/>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067"/>
    <w:rsid w:val="00293DB6"/>
    <w:rsid w:val="00293EE3"/>
    <w:rsid w:val="00293FE8"/>
    <w:rsid w:val="00294437"/>
    <w:rsid w:val="00296686"/>
    <w:rsid w:val="00297A00"/>
    <w:rsid w:val="00297A45"/>
    <w:rsid w:val="00297E20"/>
    <w:rsid w:val="002A233F"/>
    <w:rsid w:val="002A3237"/>
    <w:rsid w:val="002A386F"/>
    <w:rsid w:val="002A4119"/>
    <w:rsid w:val="002A58B7"/>
    <w:rsid w:val="002A5943"/>
    <w:rsid w:val="002A5C3C"/>
    <w:rsid w:val="002A685E"/>
    <w:rsid w:val="002A72C7"/>
    <w:rsid w:val="002B0204"/>
    <w:rsid w:val="002B03B2"/>
    <w:rsid w:val="002B0749"/>
    <w:rsid w:val="002B2645"/>
    <w:rsid w:val="002B303A"/>
    <w:rsid w:val="002B32E9"/>
    <w:rsid w:val="002B4E22"/>
    <w:rsid w:val="002B5FD4"/>
    <w:rsid w:val="002B6FA0"/>
    <w:rsid w:val="002B7710"/>
    <w:rsid w:val="002C0DEA"/>
    <w:rsid w:val="002C34F6"/>
    <w:rsid w:val="002C3B6D"/>
    <w:rsid w:val="002C3F59"/>
    <w:rsid w:val="002C5D9D"/>
    <w:rsid w:val="002C5F10"/>
    <w:rsid w:val="002C6E5B"/>
    <w:rsid w:val="002D08F3"/>
    <w:rsid w:val="002D18B4"/>
    <w:rsid w:val="002D2058"/>
    <w:rsid w:val="002D231A"/>
    <w:rsid w:val="002D42D4"/>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3E4"/>
    <w:rsid w:val="002F287E"/>
    <w:rsid w:val="002F2981"/>
    <w:rsid w:val="002F2D63"/>
    <w:rsid w:val="002F5AE7"/>
    <w:rsid w:val="002F6AD8"/>
    <w:rsid w:val="002F7F81"/>
    <w:rsid w:val="00300A36"/>
    <w:rsid w:val="00301B45"/>
    <w:rsid w:val="00305856"/>
    <w:rsid w:val="00305867"/>
    <w:rsid w:val="0030678B"/>
    <w:rsid w:val="00306D16"/>
    <w:rsid w:val="00307595"/>
    <w:rsid w:val="00307DA6"/>
    <w:rsid w:val="00310CD7"/>
    <w:rsid w:val="0031257B"/>
    <w:rsid w:val="00313C3A"/>
    <w:rsid w:val="00313D7A"/>
    <w:rsid w:val="00314A09"/>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11C9"/>
    <w:rsid w:val="003320E8"/>
    <w:rsid w:val="0033238E"/>
    <w:rsid w:val="003328FD"/>
    <w:rsid w:val="00332DE3"/>
    <w:rsid w:val="0033334F"/>
    <w:rsid w:val="0033414F"/>
    <w:rsid w:val="00334514"/>
    <w:rsid w:val="0033555E"/>
    <w:rsid w:val="0033601F"/>
    <w:rsid w:val="00336805"/>
    <w:rsid w:val="00337351"/>
    <w:rsid w:val="00337442"/>
    <w:rsid w:val="00341A54"/>
    <w:rsid w:val="00344A4F"/>
    <w:rsid w:val="00344D17"/>
    <w:rsid w:val="0034669F"/>
    <w:rsid w:val="003470C4"/>
    <w:rsid w:val="00347EB4"/>
    <w:rsid w:val="00351498"/>
    <w:rsid w:val="00352B22"/>
    <w:rsid w:val="00352CBF"/>
    <w:rsid w:val="00354547"/>
    <w:rsid w:val="003549F5"/>
    <w:rsid w:val="00355ACB"/>
    <w:rsid w:val="003567DE"/>
    <w:rsid w:val="003574F3"/>
    <w:rsid w:val="00357831"/>
    <w:rsid w:val="003604A5"/>
    <w:rsid w:val="0036114B"/>
    <w:rsid w:val="003618B6"/>
    <w:rsid w:val="0036199A"/>
    <w:rsid w:val="00361AC9"/>
    <w:rsid w:val="003620C8"/>
    <w:rsid w:val="00362705"/>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46A"/>
    <w:rsid w:val="00377BD2"/>
    <w:rsid w:val="00380FD4"/>
    <w:rsid w:val="00381E16"/>
    <w:rsid w:val="003821E1"/>
    <w:rsid w:val="003840F6"/>
    <w:rsid w:val="00384866"/>
    <w:rsid w:val="003851BA"/>
    <w:rsid w:val="003857D4"/>
    <w:rsid w:val="00385D6F"/>
    <w:rsid w:val="00386D43"/>
    <w:rsid w:val="00387095"/>
    <w:rsid w:val="00387E95"/>
    <w:rsid w:val="00390092"/>
    <w:rsid w:val="00390A84"/>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4194"/>
    <w:rsid w:val="003D4BAD"/>
    <w:rsid w:val="003D56A0"/>
    <w:rsid w:val="003D609F"/>
    <w:rsid w:val="003D69F5"/>
    <w:rsid w:val="003D7089"/>
    <w:rsid w:val="003D7D26"/>
    <w:rsid w:val="003D7DDB"/>
    <w:rsid w:val="003E024F"/>
    <w:rsid w:val="003E02C7"/>
    <w:rsid w:val="003E0543"/>
    <w:rsid w:val="003E061D"/>
    <w:rsid w:val="003E0B5A"/>
    <w:rsid w:val="003E1682"/>
    <w:rsid w:val="003E1E36"/>
    <w:rsid w:val="003E31E3"/>
    <w:rsid w:val="003E3C2D"/>
    <w:rsid w:val="003E3E93"/>
    <w:rsid w:val="003E46D1"/>
    <w:rsid w:val="003E6214"/>
    <w:rsid w:val="003F070E"/>
    <w:rsid w:val="003F1206"/>
    <w:rsid w:val="003F2418"/>
    <w:rsid w:val="003F28DB"/>
    <w:rsid w:val="003F2EEE"/>
    <w:rsid w:val="003F3054"/>
    <w:rsid w:val="003F58B0"/>
    <w:rsid w:val="003F776F"/>
    <w:rsid w:val="004007E9"/>
    <w:rsid w:val="00400810"/>
    <w:rsid w:val="00401825"/>
    <w:rsid w:val="00401BBC"/>
    <w:rsid w:val="004026FC"/>
    <w:rsid w:val="00403BFB"/>
    <w:rsid w:val="00404B45"/>
    <w:rsid w:val="00405BCF"/>
    <w:rsid w:val="00405D94"/>
    <w:rsid w:val="004068E0"/>
    <w:rsid w:val="00406CC5"/>
    <w:rsid w:val="00406FCA"/>
    <w:rsid w:val="004073C3"/>
    <w:rsid w:val="004074A4"/>
    <w:rsid w:val="004101B2"/>
    <w:rsid w:val="004123D7"/>
    <w:rsid w:val="00412658"/>
    <w:rsid w:val="004129DA"/>
    <w:rsid w:val="00415EA4"/>
    <w:rsid w:val="0041604B"/>
    <w:rsid w:val="004172DB"/>
    <w:rsid w:val="004174F0"/>
    <w:rsid w:val="00420A1D"/>
    <w:rsid w:val="00420B1E"/>
    <w:rsid w:val="004211FD"/>
    <w:rsid w:val="0042139A"/>
    <w:rsid w:val="00421485"/>
    <w:rsid w:val="004216DA"/>
    <w:rsid w:val="00421DEA"/>
    <w:rsid w:val="00422B75"/>
    <w:rsid w:val="00424612"/>
    <w:rsid w:val="0042528C"/>
    <w:rsid w:val="00425368"/>
    <w:rsid w:val="00425672"/>
    <w:rsid w:val="00425A6A"/>
    <w:rsid w:val="00426A23"/>
    <w:rsid w:val="00427C7F"/>
    <w:rsid w:val="00427F54"/>
    <w:rsid w:val="004309F8"/>
    <w:rsid w:val="004316FD"/>
    <w:rsid w:val="00433F36"/>
    <w:rsid w:val="00434860"/>
    <w:rsid w:val="00434BBD"/>
    <w:rsid w:val="0043503A"/>
    <w:rsid w:val="00437B8A"/>
    <w:rsid w:val="00437D18"/>
    <w:rsid w:val="00437D77"/>
    <w:rsid w:val="004403BC"/>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142"/>
    <w:rsid w:val="00454391"/>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3C3B"/>
    <w:rsid w:val="004761CC"/>
    <w:rsid w:val="004766C9"/>
    <w:rsid w:val="00480D4A"/>
    <w:rsid w:val="00481DA1"/>
    <w:rsid w:val="00483A2B"/>
    <w:rsid w:val="00484212"/>
    <w:rsid w:val="004848C3"/>
    <w:rsid w:val="00484BA9"/>
    <w:rsid w:val="00484BFE"/>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490"/>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558"/>
    <w:rsid w:val="004D6E90"/>
    <w:rsid w:val="004D6F2B"/>
    <w:rsid w:val="004E0248"/>
    <w:rsid w:val="004E21A3"/>
    <w:rsid w:val="004E2BD3"/>
    <w:rsid w:val="004E32EA"/>
    <w:rsid w:val="004E330F"/>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3ECB"/>
    <w:rsid w:val="00505524"/>
    <w:rsid w:val="005058D5"/>
    <w:rsid w:val="00506688"/>
    <w:rsid w:val="00506A9A"/>
    <w:rsid w:val="00510588"/>
    <w:rsid w:val="00510F9C"/>
    <w:rsid w:val="0051146C"/>
    <w:rsid w:val="0051220B"/>
    <w:rsid w:val="00512253"/>
    <w:rsid w:val="00512484"/>
    <w:rsid w:val="00514449"/>
    <w:rsid w:val="0051445B"/>
    <w:rsid w:val="00515419"/>
    <w:rsid w:val="005157BD"/>
    <w:rsid w:val="00517157"/>
    <w:rsid w:val="005214A3"/>
    <w:rsid w:val="005222E7"/>
    <w:rsid w:val="00523488"/>
    <w:rsid w:val="00523A8B"/>
    <w:rsid w:val="00523E04"/>
    <w:rsid w:val="00525003"/>
    <w:rsid w:val="0052590B"/>
    <w:rsid w:val="0052592B"/>
    <w:rsid w:val="00526591"/>
    <w:rsid w:val="00527178"/>
    <w:rsid w:val="005271EE"/>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1361"/>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230"/>
    <w:rsid w:val="005A3560"/>
    <w:rsid w:val="005A464E"/>
    <w:rsid w:val="005A62FC"/>
    <w:rsid w:val="005A6B6B"/>
    <w:rsid w:val="005A6C99"/>
    <w:rsid w:val="005A7D5D"/>
    <w:rsid w:val="005B0040"/>
    <w:rsid w:val="005B011A"/>
    <w:rsid w:val="005B0283"/>
    <w:rsid w:val="005B1ADA"/>
    <w:rsid w:val="005B1D09"/>
    <w:rsid w:val="005B1D8F"/>
    <w:rsid w:val="005B1E94"/>
    <w:rsid w:val="005B208A"/>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9B2"/>
    <w:rsid w:val="005D5E91"/>
    <w:rsid w:val="005D67EF"/>
    <w:rsid w:val="005E3064"/>
    <w:rsid w:val="005E54DC"/>
    <w:rsid w:val="005E65DC"/>
    <w:rsid w:val="005E6AEE"/>
    <w:rsid w:val="005E6D70"/>
    <w:rsid w:val="005E72B2"/>
    <w:rsid w:val="005E79A0"/>
    <w:rsid w:val="005E7D9C"/>
    <w:rsid w:val="005F097E"/>
    <w:rsid w:val="005F1115"/>
    <w:rsid w:val="005F1AB6"/>
    <w:rsid w:val="005F27F2"/>
    <w:rsid w:val="005F2B27"/>
    <w:rsid w:val="005F3567"/>
    <w:rsid w:val="005F3AFE"/>
    <w:rsid w:val="005F424D"/>
    <w:rsid w:val="005F55F5"/>
    <w:rsid w:val="005F5D84"/>
    <w:rsid w:val="005F5EC1"/>
    <w:rsid w:val="005F67A9"/>
    <w:rsid w:val="005F6B6D"/>
    <w:rsid w:val="005F73CA"/>
    <w:rsid w:val="00600545"/>
    <w:rsid w:val="006008F8"/>
    <w:rsid w:val="006036C2"/>
    <w:rsid w:val="00605AAB"/>
    <w:rsid w:val="00606BEB"/>
    <w:rsid w:val="0061014A"/>
    <w:rsid w:val="0061054B"/>
    <w:rsid w:val="006110FB"/>
    <w:rsid w:val="00612915"/>
    <w:rsid w:val="00612FB0"/>
    <w:rsid w:val="0061356D"/>
    <w:rsid w:val="00613E26"/>
    <w:rsid w:val="00615641"/>
    <w:rsid w:val="00615A66"/>
    <w:rsid w:val="00616959"/>
    <w:rsid w:val="00617523"/>
    <w:rsid w:val="0062036E"/>
    <w:rsid w:val="006211D0"/>
    <w:rsid w:val="00621595"/>
    <w:rsid w:val="0062359D"/>
    <w:rsid w:val="00623634"/>
    <w:rsid w:val="00624D0C"/>
    <w:rsid w:val="00624EEA"/>
    <w:rsid w:val="00626A0F"/>
    <w:rsid w:val="006274B4"/>
    <w:rsid w:val="006307BA"/>
    <w:rsid w:val="006315BA"/>
    <w:rsid w:val="00634C4A"/>
    <w:rsid w:val="0063532E"/>
    <w:rsid w:val="0063579F"/>
    <w:rsid w:val="006364ED"/>
    <w:rsid w:val="00637063"/>
    <w:rsid w:val="0063737C"/>
    <w:rsid w:val="00637BDC"/>
    <w:rsid w:val="00640363"/>
    <w:rsid w:val="00640622"/>
    <w:rsid w:val="00641634"/>
    <w:rsid w:val="006418C9"/>
    <w:rsid w:val="00642BD6"/>
    <w:rsid w:val="00643C8F"/>
    <w:rsid w:val="00645046"/>
    <w:rsid w:val="0064527A"/>
    <w:rsid w:val="006458FD"/>
    <w:rsid w:val="00645DE8"/>
    <w:rsid w:val="00645EA2"/>
    <w:rsid w:val="00651E6D"/>
    <w:rsid w:val="0065237D"/>
    <w:rsid w:val="00652943"/>
    <w:rsid w:val="00653AB2"/>
    <w:rsid w:val="00653D2D"/>
    <w:rsid w:val="00653F9C"/>
    <w:rsid w:val="0065435E"/>
    <w:rsid w:val="00654551"/>
    <w:rsid w:val="00654F91"/>
    <w:rsid w:val="006555E7"/>
    <w:rsid w:val="00655CCC"/>
    <w:rsid w:val="006560B6"/>
    <w:rsid w:val="0065681D"/>
    <w:rsid w:val="0065726D"/>
    <w:rsid w:val="006573F2"/>
    <w:rsid w:val="00661BA2"/>
    <w:rsid w:val="00662AD0"/>
    <w:rsid w:val="00662F08"/>
    <w:rsid w:val="00663589"/>
    <w:rsid w:val="00664427"/>
    <w:rsid w:val="00664840"/>
    <w:rsid w:val="006649CD"/>
    <w:rsid w:val="00665D75"/>
    <w:rsid w:val="00666280"/>
    <w:rsid w:val="006708E3"/>
    <w:rsid w:val="00670DDC"/>
    <w:rsid w:val="00671389"/>
    <w:rsid w:val="00671EB4"/>
    <w:rsid w:val="00673A77"/>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65A9"/>
    <w:rsid w:val="006D7854"/>
    <w:rsid w:val="006E017C"/>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09B6"/>
    <w:rsid w:val="0070220D"/>
    <w:rsid w:val="00703B6C"/>
    <w:rsid w:val="00703BB0"/>
    <w:rsid w:val="00704519"/>
    <w:rsid w:val="00704C40"/>
    <w:rsid w:val="00704C88"/>
    <w:rsid w:val="00704EA1"/>
    <w:rsid w:val="00705BE5"/>
    <w:rsid w:val="00705C40"/>
    <w:rsid w:val="00706482"/>
    <w:rsid w:val="00706754"/>
    <w:rsid w:val="007069C6"/>
    <w:rsid w:val="00706BEF"/>
    <w:rsid w:val="00707028"/>
    <w:rsid w:val="00707ECE"/>
    <w:rsid w:val="00710CE8"/>
    <w:rsid w:val="00711350"/>
    <w:rsid w:val="00711538"/>
    <w:rsid w:val="007116BC"/>
    <w:rsid w:val="00711961"/>
    <w:rsid w:val="00711CA6"/>
    <w:rsid w:val="00714047"/>
    <w:rsid w:val="007165CE"/>
    <w:rsid w:val="00717CEB"/>
    <w:rsid w:val="007202F4"/>
    <w:rsid w:val="0072035D"/>
    <w:rsid w:val="00720968"/>
    <w:rsid w:val="00721705"/>
    <w:rsid w:val="00721B7A"/>
    <w:rsid w:val="00721D12"/>
    <w:rsid w:val="00721F8B"/>
    <w:rsid w:val="0072330F"/>
    <w:rsid w:val="00723562"/>
    <w:rsid w:val="007236E0"/>
    <w:rsid w:val="007237CE"/>
    <w:rsid w:val="00724619"/>
    <w:rsid w:val="00724688"/>
    <w:rsid w:val="00725BC5"/>
    <w:rsid w:val="007260A9"/>
    <w:rsid w:val="00726C1D"/>
    <w:rsid w:val="00727280"/>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23A"/>
    <w:rsid w:val="00745B0A"/>
    <w:rsid w:val="00745DBE"/>
    <w:rsid w:val="007468AC"/>
    <w:rsid w:val="00746AE2"/>
    <w:rsid w:val="00750C82"/>
    <w:rsid w:val="00750E3A"/>
    <w:rsid w:val="00752035"/>
    <w:rsid w:val="0076100C"/>
    <w:rsid w:val="007612A5"/>
    <w:rsid w:val="00761CF9"/>
    <w:rsid w:val="00763CAE"/>
    <w:rsid w:val="00763F95"/>
    <w:rsid w:val="007651ED"/>
    <w:rsid w:val="00765200"/>
    <w:rsid w:val="00766C87"/>
    <w:rsid w:val="00771043"/>
    <w:rsid w:val="0077272B"/>
    <w:rsid w:val="00773AF7"/>
    <w:rsid w:val="00774FFD"/>
    <w:rsid w:val="00780378"/>
    <w:rsid w:val="0078085E"/>
    <w:rsid w:val="00781BD4"/>
    <w:rsid w:val="00782562"/>
    <w:rsid w:val="007828B4"/>
    <w:rsid w:val="00784832"/>
    <w:rsid w:val="00784EA0"/>
    <w:rsid w:val="00785CB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3C08"/>
    <w:rsid w:val="007B4181"/>
    <w:rsid w:val="007B5746"/>
    <w:rsid w:val="007B5C5C"/>
    <w:rsid w:val="007B6CE0"/>
    <w:rsid w:val="007B7B37"/>
    <w:rsid w:val="007B7C41"/>
    <w:rsid w:val="007C05C5"/>
    <w:rsid w:val="007C0715"/>
    <w:rsid w:val="007C09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204E"/>
    <w:rsid w:val="00803850"/>
    <w:rsid w:val="008039E8"/>
    <w:rsid w:val="00804385"/>
    <w:rsid w:val="008044F2"/>
    <w:rsid w:val="00804E0E"/>
    <w:rsid w:val="008051EB"/>
    <w:rsid w:val="0080588E"/>
    <w:rsid w:val="00805AFD"/>
    <w:rsid w:val="00806397"/>
    <w:rsid w:val="008078D8"/>
    <w:rsid w:val="0080798E"/>
    <w:rsid w:val="00811BD9"/>
    <w:rsid w:val="00811D5B"/>
    <w:rsid w:val="00813C51"/>
    <w:rsid w:val="00816CCB"/>
    <w:rsid w:val="00817572"/>
    <w:rsid w:val="00817713"/>
    <w:rsid w:val="00817ED7"/>
    <w:rsid w:val="008208C3"/>
    <w:rsid w:val="008220F1"/>
    <w:rsid w:val="0082340B"/>
    <w:rsid w:val="00823D6A"/>
    <w:rsid w:val="00827B29"/>
    <w:rsid w:val="00827DB6"/>
    <w:rsid w:val="008304B2"/>
    <w:rsid w:val="00830999"/>
    <w:rsid w:val="00830D5E"/>
    <w:rsid w:val="00830F69"/>
    <w:rsid w:val="00831940"/>
    <w:rsid w:val="008324D9"/>
    <w:rsid w:val="008325D8"/>
    <w:rsid w:val="00833418"/>
    <w:rsid w:val="0083387F"/>
    <w:rsid w:val="00834458"/>
    <w:rsid w:val="00834AEA"/>
    <w:rsid w:val="00835841"/>
    <w:rsid w:val="00835BF8"/>
    <w:rsid w:val="00835FB7"/>
    <w:rsid w:val="00837465"/>
    <w:rsid w:val="0084002E"/>
    <w:rsid w:val="00840159"/>
    <w:rsid w:val="00840621"/>
    <w:rsid w:val="00841218"/>
    <w:rsid w:val="00841243"/>
    <w:rsid w:val="00841457"/>
    <w:rsid w:val="008418E2"/>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3868"/>
    <w:rsid w:val="008541EF"/>
    <w:rsid w:val="00856428"/>
    <w:rsid w:val="00856AC7"/>
    <w:rsid w:val="00856FA4"/>
    <w:rsid w:val="00860869"/>
    <w:rsid w:val="00860E60"/>
    <w:rsid w:val="0086102A"/>
    <w:rsid w:val="0086162B"/>
    <w:rsid w:val="00861710"/>
    <w:rsid w:val="00861D5C"/>
    <w:rsid w:val="00861E7C"/>
    <w:rsid w:val="00863B91"/>
    <w:rsid w:val="0086429C"/>
    <w:rsid w:val="00864F7A"/>
    <w:rsid w:val="00865207"/>
    <w:rsid w:val="008656A7"/>
    <w:rsid w:val="00865FA3"/>
    <w:rsid w:val="00866231"/>
    <w:rsid w:val="0086766C"/>
    <w:rsid w:val="00871262"/>
    <w:rsid w:val="0087170E"/>
    <w:rsid w:val="00871D4E"/>
    <w:rsid w:val="00871E7B"/>
    <w:rsid w:val="008721BB"/>
    <w:rsid w:val="0087566D"/>
    <w:rsid w:val="00875B50"/>
    <w:rsid w:val="00875B51"/>
    <w:rsid w:val="00875F2D"/>
    <w:rsid w:val="0087626B"/>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BB8"/>
    <w:rsid w:val="00896E71"/>
    <w:rsid w:val="0089750B"/>
    <w:rsid w:val="00897589"/>
    <w:rsid w:val="008A0C99"/>
    <w:rsid w:val="008A0D4F"/>
    <w:rsid w:val="008A1CC3"/>
    <w:rsid w:val="008A388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6FD"/>
    <w:rsid w:val="008E1E94"/>
    <w:rsid w:val="008E2D99"/>
    <w:rsid w:val="008E30D4"/>
    <w:rsid w:val="008E38B0"/>
    <w:rsid w:val="008E3C90"/>
    <w:rsid w:val="008E4A60"/>
    <w:rsid w:val="008E744D"/>
    <w:rsid w:val="008F1E08"/>
    <w:rsid w:val="008F30F4"/>
    <w:rsid w:val="008F4229"/>
    <w:rsid w:val="008F531B"/>
    <w:rsid w:val="008F58E1"/>
    <w:rsid w:val="008F6E05"/>
    <w:rsid w:val="008F6FC8"/>
    <w:rsid w:val="0090045D"/>
    <w:rsid w:val="00900906"/>
    <w:rsid w:val="00900D8F"/>
    <w:rsid w:val="00901229"/>
    <w:rsid w:val="009014E3"/>
    <w:rsid w:val="009020ED"/>
    <w:rsid w:val="009026E8"/>
    <w:rsid w:val="00902FDD"/>
    <w:rsid w:val="00905793"/>
    <w:rsid w:val="009057FC"/>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1F6B"/>
    <w:rsid w:val="0093311A"/>
    <w:rsid w:val="009346D0"/>
    <w:rsid w:val="009369A6"/>
    <w:rsid w:val="00937EE9"/>
    <w:rsid w:val="00937F57"/>
    <w:rsid w:val="0094031E"/>
    <w:rsid w:val="009419B4"/>
    <w:rsid w:val="00941A4C"/>
    <w:rsid w:val="00942645"/>
    <w:rsid w:val="0094383F"/>
    <w:rsid w:val="00945755"/>
    <w:rsid w:val="009461E6"/>
    <w:rsid w:val="00950A3A"/>
    <w:rsid w:val="00952CC5"/>
    <w:rsid w:val="0095340A"/>
    <w:rsid w:val="00953AF6"/>
    <w:rsid w:val="0095423E"/>
    <w:rsid w:val="00954581"/>
    <w:rsid w:val="0095466C"/>
    <w:rsid w:val="00954E5B"/>
    <w:rsid w:val="00955100"/>
    <w:rsid w:val="00955316"/>
    <w:rsid w:val="00955938"/>
    <w:rsid w:val="00955E45"/>
    <w:rsid w:val="009568AE"/>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4C7F"/>
    <w:rsid w:val="00974D98"/>
    <w:rsid w:val="0097514A"/>
    <w:rsid w:val="009759C2"/>
    <w:rsid w:val="00975C72"/>
    <w:rsid w:val="00976869"/>
    <w:rsid w:val="00977740"/>
    <w:rsid w:val="00977CB4"/>
    <w:rsid w:val="009809B8"/>
    <w:rsid w:val="00981086"/>
    <w:rsid w:val="009818AF"/>
    <w:rsid w:val="00981B1C"/>
    <w:rsid w:val="0098222D"/>
    <w:rsid w:val="00982A17"/>
    <w:rsid w:val="009842F3"/>
    <w:rsid w:val="00984C56"/>
    <w:rsid w:val="00984EBF"/>
    <w:rsid w:val="00985099"/>
    <w:rsid w:val="00985894"/>
    <w:rsid w:val="00985D32"/>
    <w:rsid w:val="00986514"/>
    <w:rsid w:val="00986FCC"/>
    <w:rsid w:val="00990FD6"/>
    <w:rsid w:val="009935C3"/>
    <w:rsid w:val="0099421F"/>
    <w:rsid w:val="00994FC8"/>
    <w:rsid w:val="009A0DE3"/>
    <w:rsid w:val="009A1643"/>
    <w:rsid w:val="009A215A"/>
    <w:rsid w:val="009A26B9"/>
    <w:rsid w:val="009A49D3"/>
    <w:rsid w:val="009A4D91"/>
    <w:rsid w:val="009A4F1B"/>
    <w:rsid w:val="009A66C5"/>
    <w:rsid w:val="009A66E7"/>
    <w:rsid w:val="009A79BA"/>
    <w:rsid w:val="009B10F9"/>
    <w:rsid w:val="009B14D1"/>
    <w:rsid w:val="009B1534"/>
    <w:rsid w:val="009B4963"/>
    <w:rsid w:val="009B4A3B"/>
    <w:rsid w:val="009B6023"/>
    <w:rsid w:val="009B69D3"/>
    <w:rsid w:val="009B721E"/>
    <w:rsid w:val="009B7BA7"/>
    <w:rsid w:val="009B7BD7"/>
    <w:rsid w:val="009B7C01"/>
    <w:rsid w:val="009C0938"/>
    <w:rsid w:val="009C0C22"/>
    <w:rsid w:val="009C15D9"/>
    <w:rsid w:val="009C1A1D"/>
    <w:rsid w:val="009C22C8"/>
    <w:rsid w:val="009C3F82"/>
    <w:rsid w:val="009C582A"/>
    <w:rsid w:val="009C5C56"/>
    <w:rsid w:val="009C700A"/>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1B54"/>
    <w:rsid w:val="009E3A7F"/>
    <w:rsid w:val="009E442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820"/>
    <w:rsid w:val="00A06F66"/>
    <w:rsid w:val="00A0798C"/>
    <w:rsid w:val="00A07BDD"/>
    <w:rsid w:val="00A07F12"/>
    <w:rsid w:val="00A10708"/>
    <w:rsid w:val="00A1105B"/>
    <w:rsid w:val="00A1213C"/>
    <w:rsid w:val="00A130E8"/>
    <w:rsid w:val="00A15B6B"/>
    <w:rsid w:val="00A15EB4"/>
    <w:rsid w:val="00A16172"/>
    <w:rsid w:val="00A16876"/>
    <w:rsid w:val="00A200AA"/>
    <w:rsid w:val="00A20558"/>
    <w:rsid w:val="00A21158"/>
    <w:rsid w:val="00A211DD"/>
    <w:rsid w:val="00A2186F"/>
    <w:rsid w:val="00A2270B"/>
    <w:rsid w:val="00A22C2A"/>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348F"/>
    <w:rsid w:val="00A40356"/>
    <w:rsid w:val="00A40FFB"/>
    <w:rsid w:val="00A4112F"/>
    <w:rsid w:val="00A41468"/>
    <w:rsid w:val="00A414A9"/>
    <w:rsid w:val="00A44141"/>
    <w:rsid w:val="00A44CCA"/>
    <w:rsid w:val="00A44D75"/>
    <w:rsid w:val="00A4660E"/>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3551"/>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A7E0B"/>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0F1"/>
    <w:rsid w:val="00AF25B2"/>
    <w:rsid w:val="00AF28DE"/>
    <w:rsid w:val="00AF41EE"/>
    <w:rsid w:val="00AF4FA5"/>
    <w:rsid w:val="00AF5BB4"/>
    <w:rsid w:val="00AF6ECC"/>
    <w:rsid w:val="00B02145"/>
    <w:rsid w:val="00B022DC"/>
    <w:rsid w:val="00B04562"/>
    <w:rsid w:val="00B0472F"/>
    <w:rsid w:val="00B0582A"/>
    <w:rsid w:val="00B068CE"/>
    <w:rsid w:val="00B06930"/>
    <w:rsid w:val="00B0773A"/>
    <w:rsid w:val="00B07955"/>
    <w:rsid w:val="00B1176B"/>
    <w:rsid w:val="00B13138"/>
    <w:rsid w:val="00B140B8"/>
    <w:rsid w:val="00B14FAA"/>
    <w:rsid w:val="00B15BED"/>
    <w:rsid w:val="00B15D30"/>
    <w:rsid w:val="00B15F09"/>
    <w:rsid w:val="00B16D18"/>
    <w:rsid w:val="00B17567"/>
    <w:rsid w:val="00B177DE"/>
    <w:rsid w:val="00B20624"/>
    <w:rsid w:val="00B21F2F"/>
    <w:rsid w:val="00B23436"/>
    <w:rsid w:val="00B237F1"/>
    <w:rsid w:val="00B23F10"/>
    <w:rsid w:val="00B24328"/>
    <w:rsid w:val="00B24ED4"/>
    <w:rsid w:val="00B24F33"/>
    <w:rsid w:val="00B26354"/>
    <w:rsid w:val="00B26CA0"/>
    <w:rsid w:val="00B300BD"/>
    <w:rsid w:val="00B31357"/>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0467"/>
    <w:rsid w:val="00B72076"/>
    <w:rsid w:val="00B72303"/>
    <w:rsid w:val="00B727A9"/>
    <w:rsid w:val="00B72C72"/>
    <w:rsid w:val="00B72ED9"/>
    <w:rsid w:val="00B72EF7"/>
    <w:rsid w:val="00B731E4"/>
    <w:rsid w:val="00B751CE"/>
    <w:rsid w:val="00B75A8B"/>
    <w:rsid w:val="00B75B61"/>
    <w:rsid w:val="00B76796"/>
    <w:rsid w:val="00B771E0"/>
    <w:rsid w:val="00B77274"/>
    <w:rsid w:val="00B7793B"/>
    <w:rsid w:val="00B77EE7"/>
    <w:rsid w:val="00B80EDD"/>
    <w:rsid w:val="00B812BD"/>
    <w:rsid w:val="00B81964"/>
    <w:rsid w:val="00B82277"/>
    <w:rsid w:val="00B83F87"/>
    <w:rsid w:val="00B841EC"/>
    <w:rsid w:val="00B8478F"/>
    <w:rsid w:val="00B84F93"/>
    <w:rsid w:val="00B86359"/>
    <w:rsid w:val="00B91676"/>
    <w:rsid w:val="00B92BA3"/>
    <w:rsid w:val="00B9322B"/>
    <w:rsid w:val="00B93640"/>
    <w:rsid w:val="00B955D5"/>
    <w:rsid w:val="00B95833"/>
    <w:rsid w:val="00BA1824"/>
    <w:rsid w:val="00BA2D98"/>
    <w:rsid w:val="00BA2F0C"/>
    <w:rsid w:val="00BA30D1"/>
    <w:rsid w:val="00BA30E1"/>
    <w:rsid w:val="00BA4609"/>
    <w:rsid w:val="00BA5A9B"/>
    <w:rsid w:val="00BA5BE2"/>
    <w:rsid w:val="00BA6A9C"/>
    <w:rsid w:val="00BA7F46"/>
    <w:rsid w:val="00BB0388"/>
    <w:rsid w:val="00BB0A0A"/>
    <w:rsid w:val="00BB133C"/>
    <w:rsid w:val="00BB1F04"/>
    <w:rsid w:val="00BB45B5"/>
    <w:rsid w:val="00BB4DDE"/>
    <w:rsid w:val="00BB5FC2"/>
    <w:rsid w:val="00BB6064"/>
    <w:rsid w:val="00BB65CE"/>
    <w:rsid w:val="00BB7012"/>
    <w:rsid w:val="00BC09D1"/>
    <w:rsid w:val="00BC1CF3"/>
    <w:rsid w:val="00BC2BE0"/>
    <w:rsid w:val="00BC3573"/>
    <w:rsid w:val="00BC44A9"/>
    <w:rsid w:val="00BC5860"/>
    <w:rsid w:val="00BC7F82"/>
    <w:rsid w:val="00BD0507"/>
    <w:rsid w:val="00BD1844"/>
    <w:rsid w:val="00BD2A49"/>
    <w:rsid w:val="00BD3683"/>
    <w:rsid w:val="00BD36F4"/>
    <w:rsid w:val="00BD40AB"/>
    <w:rsid w:val="00BD40DE"/>
    <w:rsid w:val="00BD6297"/>
    <w:rsid w:val="00BD6806"/>
    <w:rsid w:val="00BD6939"/>
    <w:rsid w:val="00BD7433"/>
    <w:rsid w:val="00BD7831"/>
    <w:rsid w:val="00BD7C10"/>
    <w:rsid w:val="00BE046F"/>
    <w:rsid w:val="00BE0DEB"/>
    <w:rsid w:val="00BE229C"/>
    <w:rsid w:val="00BE2AB8"/>
    <w:rsid w:val="00BE2E62"/>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AC2"/>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0C1B"/>
    <w:rsid w:val="00C42443"/>
    <w:rsid w:val="00C42CBA"/>
    <w:rsid w:val="00C4338C"/>
    <w:rsid w:val="00C43C2B"/>
    <w:rsid w:val="00C45B27"/>
    <w:rsid w:val="00C4652E"/>
    <w:rsid w:val="00C46F3B"/>
    <w:rsid w:val="00C472C7"/>
    <w:rsid w:val="00C5019E"/>
    <w:rsid w:val="00C50C8C"/>
    <w:rsid w:val="00C51962"/>
    <w:rsid w:val="00C5377C"/>
    <w:rsid w:val="00C53E8A"/>
    <w:rsid w:val="00C54DF3"/>
    <w:rsid w:val="00C560A7"/>
    <w:rsid w:val="00C56FC8"/>
    <w:rsid w:val="00C60F23"/>
    <w:rsid w:val="00C6170B"/>
    <w:rsid w:val="00C62EB2"/>
    <w:rsid w:val="00C63431"/>
    <w:rsid w:val="00C63F36"/>
    <w:rsid w:val="00C64C87"/>
    <w:rsid w:val="00C65414"/>
    <w:rsid w:val="00C665FE"/>
    <w:rsid w:val="00C71BEC"/>
    <w:rsid w:val="00C73942"/>
    <w:rsid w:val="00C73A83"/>
    <w:rsid w:val="00C74D3A"/>
    <w:rsid w:val="00C75D4B"/>
    <w:rsid w:val="00C75F3D"/>
    <w:rsid w:val="00C80511"/>
    <w:rsid w:val="00C80655"/>
    <w:rsid w:val="00C81937"/>
    <w:rsid w:val="00C826F5"/>
    <w:rsid w:val="00C83740"/>
    <w:rsid w:val="00C84527"/>
    <w:rsid w:val="00C84AD1"/>
    <w:rsid w:val="00C85579"/>
    <w:rsid w:val="00C8590C"/>
    <w:rsid w:val="00C85BF6"/>
    <w:rsid w:val="00C862F1"/>
    <w:rsid w:val="00C863E5"/>
    <w:rsid w:val="00C87BE6"/>
    <w:rsid w:val="00C87F76"/>
    <w:rsid w:val="00C931FC"/>
    <w:rsid w:val="00C932C5"/>
    <w:rsid w:val="00C9377A"/>
    <w:rsid w:val="00C94CB6"/>
    <w:rsid w:val="00C95299"/>
    <w:rsid w:val="00C95A72"/>
    <w:rsid w:val="00C9650E"/>
    <w:rsid w:val="00C965F2"/>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40C6"/>
    <w:rsid w:val="00CE7755"/>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4283"/>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16FF"/>
    <w:rsid w:val="00D33452"/>
    <w:rsid w:val="00D336C8"/>
    <w:rsid w:val="00D339E8"/>
    <w:rsid w:val="00D33FDD"/>
    <w:rsid w:val="00D3654A"/>
    <w:rsid w:val="00D3662E"/>
    <w:rsid w:val="00D373F1"/>
    <w:rsid w:val="00D37567"/>
    <w:rsid w:val="00D40B1F"/>
    <w:rsid w:val="00D40D75"/>
    <w:rsid w:val="00D41D0C"/>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896"/>
    <w:rsid w:val="00D62D5C"/>
    <w:rsid w:val="00D63577"/>
    <w:rsid w:val="00D67FD7"/>
    <w:rsid w:val="00D704E4"/>
    <w:rsid w:val="00D72410"/>
    <w:rsid w:val="00D73D53"/>
    <w:rsid w:val="00D7402C"/>
    <w:rsid w:val="00D7408A"/>
    <w:rsid w:val="00D74261"/>
    <w:rsid w:val="00D7441B"/>
    <w:rsid w:val="00D75589"/>
    <w:rsid w:val="00D76AB2"/>
    <w:rsid w:val="00D80490"/>
    <w:rsid w:val="00D8266E"/>
    <w:rsid w:val="00D828F9"/>
    <w:rsid w:val="00D829AD"/>
    <w:rsid w:val="00D829CD"/>
    <w:rsid w:val="00D82EE2"/>
    <w:rsid w:val="00D83D1B"/>
    <w:rsid w:val="00D84133"/>
    <w:rsid w:val="00D84B8D"/>
    <w:rsid w:val="00D8545C"/>
    <w:rsid w:val="00D86AB5"/>
    <w:rsid w:val="00D86BF3"/>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265"/>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852"/>
    <w:rsid w:val="00DE0C67"/>
    <w:rsid w:val="00DE30C8"/>
    <w:rsid w:val="00DE3AAD"/>
    <w:rsid w:val="00DE598A"/>
    <w:rsid w:val="00DE6952"/>
    <w:rsid w:val="00DE6A2D"/>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479"/>
    <w:rsid w:val="00E04AEE"/>
    <w:rsid w:val="00E06BBD"/>
    <w:rsid w:val="00E100E3"/>
    <w:rsid w:val="00E1012B"/>
    <w:rsid w:val="00E103C8"/>
    <w:rsid w:val="00E1085B"/>
    <w:rsid w:val="00E1308B"/>
    <w:rsid w:val="00E13126"/>
    <w:rsid w:val="00E14581"/>
    <w:rsid w:val="00E14623"/>
    <w:rsid w:val="00E15539"/>
    <w:rsid w:val="00E16541"/>
    <w:rsid w:val="00E169F9"/>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2803"/>
    <w:rsid w:val="00E3369B"/>
    <w:rsid w:val="00E362D2"/>
    <w:rsid w:val="00E36D76"/>
    <w:rsid w:val="00E40478"/>
    <w:rsid w:val="00E405EA"/>
    <w:rsid w:val="00E408B7"/>
    <w:rsid w:val="00E412EB"/>
    <w:rsid w:val="00E41637"/>
    <w:rsid w:val="00E42789"/>
    <w:rsid w:val="00E43603"/>
    <w:rsid w:val="00E43F59"/>
    <w:rsid w:val="00E464F0"/>
    <w:rsid w:val="00E46EF3"/>
    <w:rsid w:val="00E47370"/>
    <w:rsid w:val="00E473E9"/>
    <w:rsid w:val="00E47B47"/>
    <w:rsid w:val="00E50BEB"/>
    <w:rsid w:val="00E51147"/>
    <w:rsid w:val="00E53460"/>
    <w:rsid w:val="00E539F4"/>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50D1"/>
    <w:rsid w:val="00E8608F"/>
    <w:rsid w:val="00E86C1D"/>
    <w:rsid w:val="00E90703"/>
    <w:rsid w:val="00E90A62"/>
    <w:rsid w:val="00E9265E"/>
    <w:rsid w:val="00E93D67"/>
    <w:rsid w:val="00E956DB"/>
    <w:rsid w:val="00E97511"/>
    <w:rsid w:val="00E9763D"/>
    <w:rsid w:val="00EA0239"/>
    <w:rsid w:val="00EA1177"/>
    <w:rsid w:val="00EA118B"/>
    <w:rsid w:val="00EA11B6"/>
    <w:rsid w:val="00EA2181"/>
    <w:rsid w:val="00EA2DD8"/>
    <w:rsid w:val="00EA30FC"/>
    <w:rsid w:val="00EA4475"/>
    <w:rsid w:val="00EA52FE"/>
    <w:rsid w:val="00EA681F"/>
    <w:rsid w:val="00EB04C6"/>
    <w:rsid w:val="00EB06A6"/>
    <w:rsid w:val="00EB1474"/>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5F0F"/>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1888"/>
    <w:rsid w:val="00F02F9F"/>
    <w:rsid w:val="00F03525"/>
    <w:rsid w:val="00F039A8"/>
    <w:rsid w:val="00F0424D"/>
    <w:rsid w:val="00F04613"/>
    <w:rsid w:val="00F04957"/>
    <w:rsid w:val="00F053F0"/>
    <w:rsid w:val="00F05807"/>
    <w:rsid w:val="00F06451"/>
    <w:rsid w:val="00F07052"/>
    <w:rsid w:val="00F0706C"/>
    <w:rsid w:val="00F11EBE"/>
    <w:rsid w:val="00F12293"/>
    <w:rsid w:val="00F12BA8"/>
    <w:rsid w:val="00F12D7A"/>
    <w:rsid w:val="00F130D0"/>
    <w:rsid w:val="00F13AC6"/>
    <w:rsid w:val="00F13DD9"/>
    <w:rsid w:val="00F14933"/>
    <w:rsid w:val="00F1516A"/>
    <w:rsid w:val="00F156F3"/>
    <w:rsid w:val="00F15EE5"/>
    <w:rsid w:val="00F171F9"/>
    <w:rsid w:val="00F1737C"/>
    <w:rsid w:val="00F173AA"/>
    <w:rsid w:val="00F22A26"/>
    <w:rsid w:val="00F24072"/>
    <w:rsid w:val="00F24899"/>
    <w:rsid w:val="00F26432"/>
    <w:rsid w:val="00F3197A"/>
    <w:rsid w:val="00F32139"/>
    <w:rsid w:val="00F324DA"/>
    <w:rsid w:val="00F33CF0"/>
    <w:rsid w:val="00F33D56"/>
    <w:rsid w:val="00F34E08"/>
    <w:rsid w:val="00F35F4E"/>
    <w:rsid w:val="00F41D91"/>
    <w:rsid w:val="00F41F52"/>
    <w:rsid w:val="00F41FA1"/>
    <w:rsid w:val="00F42363"/>
    <w:rsid w:val="00F42778"/>
    <w:rsid w:val="00F427C4"/>
    <w:rsid w:val="00F43D6C"/>
    <w:rsid w:val="00F44757"/>
    <w:rsid w:val="00F46964"/>
    <w:rsid w:val="00F46F9A"/>
    <w:rsid w:val="00F470FD"/>
    <w:rsid w:val="00F47E99"/>
    <w:rsid w:val="00F50937"/>
    <w:rsid w:val="00F50F30"/>
    <w:rsid w:val="00F5126A"/>
    <w:rsid w:val="00F5126E"/>
    <w:rsid w:val="00F516EF"/>
    <w:rsid w:val="00F51755"/>
    <w:rsid w:val="00F531D9"/>
    <w:rsid w:val="00F54D8E"/>
    <w:rsid w:val="00F5580D"/>
    <w:rsid w:val="00F56EA1"/>
    <w:rsid w:val="00F606D5"/>
    <w:rsid w:val="00F60E47"/>
    <w:rsid w:val="00F611B3"/>
    <w:rsid w:val="00F6196E"/>
    <w:rsid w:val="00F61CCC"/>
    <w:rsid w:val="00F624DD"/>
    <w:rsid w:val="00F629C0"/>
    <w:rsid w:val="00F63FC7"/>
    <w:rsid w:val="00F65E1F"/>
    <w:rsid w:val="00F65ED5"/>
    <w:rsid w:val="00F6608B"/>
    <w:rsid w:val="00F6636A"/>
    <w:rsid w:val="00F667C5"/>
    <w:rsid w:val="00F67E31"/>
    <w:rsid w:val="00F7046D"/>
    <w:rsid w:val="00F70B44"/>
    <w:rsid w:val="00F71436"/>
    <w:rsid w:val="00F7153F"/>
    <w:rsid w:val="00F718A8"/>
    <w:rsid w:val="00F7207E"/>
    <w:rsid w:val="00F72183"/>
    <w:rsid w:val="00F75C12"/>
    <w:rsid w:val="00F76D01"/>
    <w:rsid w:val="00F80B43"/>
    <w:rsid w:val="00F80C97"/>
    <w:rsid w:val="00F81C35"/>
    <w:rsid w:val="00F82981"/>
    <w:rsid w:val="00F8311F"/>
    <w:rsid w:val="00F83248"/>
    <w:rsid w:val="00F83294"/>
    <w:rsid w:val="00F83376"/>
    <w:rsid w:val="00F853AE"/>
    <w:rsid w:val="00F908D5"/>
    <w:rsid w:val="00F913B9"/>
    <w:rsid w:val="00F93C74"/>
    <w:rsid w:val="00F93DCC"/>
    <w:rsid w:val="00F9435D"/>
    <w:rsid w:val="00F966F9"/>
    <w:rsid w:val="00F96F61"/>
    <w:rsid w:val="00F97740"/>
    <w:rsid w:val="00FA0B78"/>
    <w:rsid w:val="00FA0C8F"/>
    <w:rsid w:val="00FA2962"/>
    <w:rsid w:val="00FA2DEF"/>
    <w:rsid w:val="00FA2F7B"/>
    <w:rsid w:val="00FA3C90"/>
    <w:rsid w:val="00FA3C97"/>
    <w:rsid w:val="00FA3D30"/>
    <w:rsid w:val="00FA4B49"/>
    <w:rsid w:val="00FA54F8"/>
    <w:rsid w:val="00FA5AAC"/>
    <w:rsid w:val="00FA78C8"/>
    <w:rsid w:val="00FA7A2F"/>
    <w:rsid w:val="00FB09FE"/>
    <w:rsid w:val="00FB0CE1"/>
    <w:rsid w:val="00FB0E80"/>
    <w:rsid w:val="00FB101D"/>
    <w:rsid w:val="00FB1725"/>
    <w:rsid w:val="00FB212B"/>
    <w:rsid w:val="00FB2493"/>
    <w:rsid w:val="00FB42B7"/>
    <w:rsid w:val="00FB4484"/>
    <w:rsid w:val="00FB593A"/>
    <w:rsid w:val="00FB6410"/>
    <w:rsid w:val="00FB6E82"/>
    <w:rsid w:val="00FB792E"/>
    <w:rsid w:val="00FB79B0"/>
    <w:rsid w:val="00FB7CF0"/>
    <w:rsid w:val="00FC0042"/>
    <w:rsid w:val="00FC1E67"/>
    <w:rsid w:val="00FC2A13"/>
    <w:rsid w:val="00FC4284"/>
    <w:rsid w:val="00FC4576"/>
    <w:rsid w:val="00FC5FF5"/>
    <w:rsid w:val="00FC6285"/>
    <w:rsid w:val="00FC78FB"/>
    <w:rsid w:val="00FC7DBC"/>
    <w:rsid w:val="00FD076A"/>
    <w:rsid w:val="00FD0AA0"/>
    <w:rsid w:val="00FD1D5A"/>
    <w:rsid w:val="00FD296F"/>
    <w:rsid w:val="00FD5059"/>
    <w:rsid w:val="00FD554D"/>
    <w:rsid w:val="00FD5BCC"/>
    <w:rsid w:val="00FD7B23"/>
    <w:rsid w:val="00FE045B"/>
    <w:rsid w:val="00FE05B0"/>
    <w:rsid w:val="00FE2A48"/>
    <w:rsid w:val="00FE2DEF"/>
    <w:rsid w:val="00FE323C"/>
    <w:rsid w:val="00FE3A27"/>
    <w:rsid w:val="00FE5D0A"/>
    <w:rsid w:val="00FE6469"/>
    <w:rsid w:val="00FE7C6D"/>
    <w:rsid w:val="00FF05D0"/>
    <w:rsid w:val="00FF06CE"/>
    <w:rsid w:val="00FF0A6D"/>
    <w:rsid w:val="00FF0DC2"/>
    <w:rsid w:val="00FF0F6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4F2"/>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Revision">
    <w:name w:val="Revision"/>
    <w:hidden/>
    <w:uiPriority w:val="99"/>
    <w:semiHidden/>
    <w:rsid w:val="00666280"/>
    <w:pPr>
      <w:spacing w:line="240" w:lineRule="auto"/>
      <w:jc w:val="left"/>
    </w:pPr>
    <w:rPr>
      <w:color w:val="008080"/>
    </w:rPr>
  </w:style>
  <w:style w:type="character" w:customStyle="1" w:styleId="HeaderChar">
    <w:name w:val="Header Char"/>
    <w:basedOn w:val="DefaultParagraphFont"/>
    <w:link w:val="Header"/>
    <w:uiPriority w:val="99"/>
    <w:rsid w:val="00D41D0C"/>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879436496">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1468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425D-14A0-4EE1-87C0-3A2CC2EE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2482</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2012-08-30T16:04:00Z</cp:lastPrinted>
  <dcterms:created xsi:type="dcterms:W3CDTF">2012-09-27T17:17:00Z</dcterms:created>
  <dcterms:modified xsi:type="dcterms:W3CDTF">2012-09-27T17:17:00Z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