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A3C" w:rsidRPr="00396779" w:rsidRDefault="00582A3C" w:rsidP="00510F9C">
      <w:pPr>
        <w:tabs>
          <w:tab w:val="left" w:pos="288"/>
          <w:tab w:val="left" w:pos="4752"/>
        </w:tabs>
        <w:spacing w:line="240" w:lineRule="exact"/>
        <w:jc w:val="center"/>
        <w:rPr>
          <w:color w:val="auto"/>
        </w:rPr>
      </w:pPr>
      <w:r w:rsidRPr="00396779">
        <w:rPr>
          <w:color w:val="auto"/>
        </w:rPr>
        <w:t>RECORD OF PROCEEDINGS</w:t>
      </w:r>
    </w:p>
    <w:p w:rsidR="00582A3C" w:rsidRPr="00396779" w:rsidRDefault="00582A3C" w:rsidP="00510F9C">
      <w:pPr>
        <w:tabs>
          <w:tab w:val="left" w:pos="288"/>
          <w:tab w:val="left" w:pos="4752"/>
        </w:tabs>
        <w:spacing w:line="240" w:lineRule="exact"/>
        <w:jc w:val="center"/>
        <w:rPr>
          <w:color w:val="auto"/>
        </w:rPr>
      </w:pPr>
      <w:r w:rsidRPr="00396779">
        <w:rPr>
          <w:color w:val="auto"/>
        </w:rPr>
        <w:t>PHYSICAL DISABILITY BOARD OF REVIEW</w:t>
      </w:r>
    </w:p>
    <w:p w:rsidR="00582A3C" w:rsidRPr="00396779" w:rsidRDefault="00582A3C" w:rsidP="00510F9C">
      <w:pPr>
        <w:tabs>
          <w:tab w:val="left" w:pos="288"/>
          <w:tab w:val="left" w:pos="4752"/>
        </w:tabs>
        <w:spacing w:line="240" w:lineRule="exact"/>
        <w:jc w:val="both"/>
        <w:rPr>
          <w:caps/>
          <w:color w:val="auto"/>
        </w:rPr>
      </w:pPr>
    </w:p>
    <w:p w:rsidR="00582A3C" w:rsidRDefault="00582A3C" w:rsidP="00E2137E">
      <w:pPr>
        <w:tabs>
          <w:tab w:val="right" w:pos="9270"/>
        </w:tabs>
        <w:spacing w:line="240" w:lineRule="exact"/>
        <w:jc w:val="both"/>
        <w:rPr>
          <w:caps/>
          <w:color w:val="auto"/>
        </w:rPr>
      </w:pPr>
      <w:r w:rsidRPr="00FD6C41">
        <w:rPr>
          <w:caps/>
          <w:color w:val="auto"/>
        </w:rPr>
        <w:t xml:space="preserve">NAME: </w:t>
      </w:r>
      <w:r>
        <w:rPr>
          <w:caps/>
          <w:color w:val="auto"/>
        </w:rPr>
        <w:t xml:space="preserve"> </w:t>
      </w:r>
      <w:r w:rsidR="00891023">
        <w:rPr>
          <w:caps/>
          <w:color w:val="auto"/>
        </w:rPr>
        <w:t>XXXXXXXXXX</w:t>
      </w:r>
      <w:r>
        <w:rPr>
          <w:caps/>
          <w:color w:val="auto"/>
        </w:rPr>
        <w:t xml:space="preserve">                </w:t>
      </w:r>
      <w:r>
        <w:rPr>
          <w:caps/>
          <w:color w:val="auto"/>
        </w:rPr>
        <w:tab/>
      </w:r>
      <w:r w:rsidRPr="00FD6C41">
        <w:rPr>
          <w:caps/>
          <w:color w:val="auto"/>
        </w:rPr>
        <w:t>BRANCH OF SERVICE</w:t>
      </w:r>
      <w:r w:rsidRPr="00687F8B">
        <w:rPr>
          <w:caps/>
          <w:color w:val="auto"/>
        </w:rPr>
        <w:t>:  air force</w:t>
      </w:r>
    </w:p>
    <w:p w:rsidR="00582A3C" w:rsidRDefault="00582A3C" w:rsidP="00E2137E">
      <w:pPr>
        <w:tabs>
          <w:tab w:val="left" w:pos="288"/>
          <w:tab w:val="right" w:pos="9270"/>
        </w:tabs>
        <w:spacing w:line="240" w:lineRule="exact"/>
        <w:jc w:val="both"/>
        <w:rPr>
          <w:caps/>
          <w:color w:val="auto"/>
        </w:rPr>
      </w:pPr>
      <w:r>
        <w:rPr>
          <w:caps/>
          <w:color w:val="auto"/>
        </w:rPr>
        <w:t>C</w:t>
      </w:r>
      <w:r w:rsidRPr="00FD6C41">
        <w:rPr>
          <w:caps/>
          <w:color w:val="auto"/>
        </w:rPr>
        <w:t xml:space="preserve">ASE NUMBER: </w:t>
      </w:r>
      <w:r>
        <w:rPr>
          <w:caps/>
          <w:color w:val="auto"/>
        </w:rPr>
        <w:t xml:space="preserve"> </w:t>
      </w:r>
      <w:r w:rsidRPr="00FD6C41">
        <w:rPr>
          <w:caps/>
          <w:color w:val="auto"/>
        </w:rPr>
        <w:t>PD1100290</w:t>
      </w:r>
      <w:r>
        <w:rPr>
          <w:color w:val="auto"/>
        </w:rPr>
        <w:tab/>
      </w:r>
      <w:r w:rsidRPr="00DE3AAD">
        <w:rPr>
          <w:color w:val="auto"/>
        </w:rPr>
        <w:t>SEPARATION DATE:  20060417</w:t>
      </w:r>
    </w:p>
    <w:p w:rsidR="00582A3C" w:rsidRPr="00784EA0" w:rsidRDefault="00582A3C" w:rsidP="006B54DC">
      <w:pPr>
        <w:tabs>
          <w:tab w:val="left" w:pos="288"/>
          <w:tab w:val="left" w:pos="3600"/>
          <w:tab w:val="left" w:pos="5130"/>
        </w:tabs>
        <w:spacing w:line="240" w:lineRule="exact"/>
        <w:rPr>
          <w:caps/>
          <w:color w:val="auto"/>
        </w:rPr>
      </w:pPr>
      <w:r w:rsidRPr="00FD6C41">
        <w:rPr>
          <w:caps/>
          <w:color w:val="auto"/>
        </w:rPr>
        <w:t xml:space="preserve">BOARD DATE: </w:t>
      </w:r>
      <w:r>
        <w:rPr>
          <w:caps/>
          <w:color w:val="auto"/>
        </w:rPr>
        <w:t xml:space="preserve"> </w:t>
      </w:r>
      <w:r w:rsidRPr="00655258">
        <w:rPr>
          <w:caps/>
          <w:color w:val="auto"/>
        </w:rPr>
        <w:t>2011</w:t>
      </w:r>
      <w:r w:rsidR="00A73FD4">
        <w:rPr>
          <w:caps/>
          <w:color w:val="auto"/>
        </w:rPr>
        <w:t>0124</w:t>
      </w:r>
      <w:r>
        <w:rPr>
          <w:caps/>
          <w:color w:val="auto"/>
        </w:rPr>
        <w:t xml:space="preserve">            </w:t>
      </w:r>
    </w:p>
    <w:p w:rsidR="00582A3C" w:rsidRPr="007A512E" w:rsidRDefault="00582A3C" w:rsidP="00510F9C">
      <w:pPr>
        <w:pBdr>
          <w:bottom w:val="single" w:sz="12" w:space="1" w:color="auto"/>
        </w:pBdr>
        <w:tabs>
          <w:tab w:val="left" w:pos="288"/>
          <w:tab w:val="left" w:pos="4752"/>
        </w:tabs>
        <w:spacing w:line="240" w:lineRule="exact"/>
        <w:jc w:val="both"/>
        <w:rPr>
          <w:color w:val="auto"/>
        </w:rPr>
      </w:pPr>
    </w:p>
    <w:p w:rsidR="00582A3C" w:rsidRDefault="00582A3C" w:rsidP="00510F9C">
      <w:pPr>
        <w:tabs>
          <w:tab w:val="left" w:pos="288"/>
          <w:tab w:val="left" w:pos="4752"/>
        </w:tabs>
        <w:spacing w:line="240" w:lineRule="exact"/>
        <w:jc w:val="both"/>
        <w:rPr>
          <w:color w:val="auto"/>
        </w:rPr>
      </w:pPr>
    </w:p>
    <w:p w:rsidR="00582A3C" w:rsidRDefault="00582A3C" w:rsidP="00510F9C">
      <w:pPr>
        <w:tabs>
          <w:tab w:val="left" w:pos="288"/>
          <w:tab w:val="left" w:pos="4752"/>
        </w:tabs>
        <w:spacing w:line="240" w:lineRule="exact"/>
        <w:jc w:val="both"/>
        <w:rPr>
          <w:color w:val="auto"/>
        </w:rPr>
      </w:pPr>
      <w:r w:rsidRPr="0085006A">
        <w:rPr>
          <w:color w:val="auto"/>
          <w:u w:val="single"/>
        </w:rPr>
        <w:t>SUMMARY OF CASE</w:t>
      </w:r>
      <w:r w:rsidRPr="0085006A">
        <w:rPr>
          <w:color w:val="auto"/>
        </w:rPr>
        <w:t>:</w:t>
      </w:r>
      <w:r w:rsidRPr="00EC337D">
        <w:rPr>
          <w:color w:val="auto"/>
        </w:rPr>
        <w:t xml:space="preserve">  Data extracted from the available evidence of record reflects that this covered individual (CI) </w:t>
      </w:r>
      <w:r w:rsidRPr="00AD7F8F">
        <w:rPr>
          <w:color w:val="auto"/>
        </w:rPr>
        <w:t>was an active duty SSgt/E-5 (</w:t>
      </w:r>
      <w:r>
        <w:rPr>
          <w:color w:val="auto"/>
        </w:rPr>
        <w:t>3C051, Communications-Computer Systems Supervisor</w:t>
      </w:r>
      <w:r w:rsidRPr="00AD7F8F">
        <w:rPr>
          <w:color w:val="auto"/>
        </w:rPr>
        <w:t>)</w:t>
      </w:r>
      <w:r>
        <w:rPr>
          <w:color w:val="auto"/>
        </w:rPr>
        <w:t xml:space="preserve">, </w:t>
      </w:r>
      <w:r w:rsidRPr="00AD7F8F">
        <w:rPr>
          <w:color w:val="auto"/>
        </w:rPr>
        <w:t xml:space="preserve">medically separated </w:t>
      </w:r>
      <w:r w:rsidRPr="00687F8B">
        <w:rPr>
          <w:color w:val="auto"/>
        </w:rPr>
        <w:t xml:space="preserve">for </w:t>
      </w:r>
      <w:r w:rsidR="004A1697">
        <w:rPr>
          <w:color w:val="auto"/>
        </w:rPr>
        <w:t xml:space="preserve">a </w:t>
      </w:r>
      <w:r w:rsidR="00152161">
        <w:rPr>
          <w:color w:val="auto"/>
        </w:rPr>
        <w:t>lumbar spine condition</w:t>
      </w:r>
      <w:r w:rsidRPr="00687F8B">
        <w:rPr>
          <w:color w:val="auto"/>
        </w:rPr>
        <w:t xml:space="preserve">. </w:t>
      </w:r>
      <w:r w:rsidR="0021079F">
        <w:rPr>
          <w:color w:val="auto"/>
        </w:rPr>
        <w:t xml:space="preserve"> </w:t>
      </w:r>
      <w:r w:rsidR="00152161">
        <w:rPr>
          <w:color w:val="auto"/>
        </w:rPr>
        <w:t>The CI injured her back while doing sit-ups in basic training and</w:t>
      </w:r>
      <w:r w:rsidR="004A1697">
        <w:rPr>
          <w:color w:val="auto"/>
        </w:rPr>
        <w:t>,</w:t>
      </w:r>
      <w:r w:rsidR="00152161">
        <w:rPr>
          <w:color w:val="auto"/>
        </w:rPr>
        <w:t xml:space="preserve"> after failing conservative measures</w:t>
      </w:r>
      <w:r w:rsidR="004A1697">
        <w:rPr>
          <w:color w:val="auto"/>
        </w:rPr>
        <w:t>,</w:t>
      </w:r>
      <w:r w:rsidR="00152161">
        <w:rPr>
          <w:color w:val="auto"/>
        </w:rPr>
        <w:t xml:space="preserve"> </w:t>
      </w:r>
      <w:r w:rsidR="004A1697">
        <w:rPr>
          <w:color w:val="auto"/>
        </w:rPr>
        <w:t xml:space="preserve">underwent </w:t>
      </w:r>
      <w:r w:rsidR="00F236E6">
        <w:rPr>
          <w:color w:val="auto"/>
        </w:rPr>
        <w:t>surgery</w:t>
      </w:r>
      <w:r w:rsidR="004A1697">
        <w:rPr>
          <w:color w:val="auto"/>
        </w:rPr>
        <w:t xml:space="preserve"> in 2002</w:t>
      </w:r>
      <w:r w:rsidR="00152161">
        <w:rPr>
          <w:color w:val="auto"/>
        </w:rPr>
        <w:t xml:space="preserve">.  </w:t>
      </w:r>
      <w:r w:rsidRPr="00687F8B">
        <w:rPr>
          <w:color w:val="auto"/>
        </w:rPr>
        <w:t xml:space="preserve">She </w:t>
      </w:r>
      <w:r w:rsidR="00152161">
        <w:rPr>
          <w:color w:val="auto"/>
        </w:rPr>
        <w:t>continued to have low back pain</w:t>
      </w:r>
      <w:r w:rsidR="000C2DED">
        <w:rPr>
          <w:color w:val="auto"/>
        </w:rPr>
        <w:t>,</w:t>
      </w:r>
      <w:r w:rsidR="00152161">
        <w:rPr>
          <w:color w:val="auto"/>
        </w:rPr>
        <w:t xml:space="preserve"> and was unable to fulfill the physical demands of her</w:t>
      </w:r>
      <w:r w:rsidRPr="00687F8B">
        <w:rPr>
          <w:color w:val="auto"/>
        </w:rPr>
        <w:t xml:space="preserve"> Air Force Specialty (AFS) or meet physical fitness standards.  She was issued a permanent P4 profile and </w:t>
      </w:r>
      <w:r w:rsidR="004A1697">
        <w:rPr>
          <w:color w:val="auto"/>
        </w:rPr>
        <w:t>referred for</w:t>
      </w:r>
      <w:r w:rsidRPr="00687F8B">
        <w:rPr>
          <w:color w:val="auto"/>
        </w:rPr>
        <w:t xml:space="preserve"> a Medical Evaluation Board (MEB).</w:t>
      </w:r>
      <w:r w:rsidRPr="00C472C7">
        <w:rPr>
          <w:color w:val="auto"/>
        </w:rPr>
        <w:t xml:space="preserve">  </w:t>
      </w:r>
      <w:r w:rsidRPr="00D93A41">
        <w:rPr>
          <w:color w:val="auto"/>
        </w:rPr>
        <w:t>Chronic low back pain was</w:t>
      </w:r>
      <w:r w:rsidRPr="00C472C7">
        <w:rPr>
          <w:color w:val="auto"/>
        </w:rPr>
        <w:t xml:space="preserve"> forwarded to the </w:t>
      </w:r>
      <w:r w:rsidR="0021079F">
        <w:rPr>
          <w:color w:val="auto"/>
        </w:rPr>
        <w:t xml:space="preserve">Informal </w:t>
      </w:r>
      <w:r w:rsidRPr="00C472C7">
        <w:rPr>
          <w:color w:val="auto"/>
        </w:rPr>
        <w:t>Physical Evaluation Board (</w:t>
      </w:r>
      <w:r w:rsidR="0021079F">
        <w:rPr>
          <w:color w:val="auto"/>
        </w:rPr>
        <w:t>I</w:t>
      </w:r>
      <w:r w:rsidRPr="00C472C7">
        <w:rPr>
          <w:color w:val="auto"/>
        </w:rPr>
        <w:t xml:space="preserve">PEB) as medically unacceptable </w:t>
      </w:r>
      <w:r w:rsidRPr="00687F8B">
        <w:rPr>
          <w:color w:val="auto"/>
        </w:rPr>
        <w:t>IAW AFI 48-123.</w:t>
      </w:r>
      <w:r w:rsidRPr="00C472C7">
        <w:rPr>
          <w:color w:val="auto"/>
        </w:rPr>
        <w:t xml:space="preserve">  No other conditions appeared on the MEB’s submission.  Other conditions included in the</w:t>
      </w:r>
      <w:r>
        <w:rPr>
          <w:color w:val="auto"/>
        </w:rPr>
        <w:t xml:space="preserve"> </w:t>
      </w:r>
      <w:r w:rsidRPr="00D93A41">
        <w:rPr>
          <w:color w:val="auto"/>
        </w:rPr>
        <w:t>Disability Evaluation System (DES)</w:t>
      </w:r>
      <w:r w:rsidRPr="00555C66">
        <w:rPr>
          <w:color w:val="auto"/>
        </w:rPr>
        <w:t xml:space="preserve"> </w:t>
      </w:r>
      <w:r w:rsidRPr="007A512E">
        <w:rPr>
          <w:color w:val="auto"/>
        </w:rPr>
        <w:t xml:space="preserve">file </w:t>
      </w:r>
      <w:r w:rsidRPr="00C472C7">
        <w:rPr>
          <w:color w:val="auto"/>
        </w:rPr>
        <w:t>will be discussed below.</w:t>
      </w:r>
      <w:r>
        <w:rPr>
          <w:color w:val="auto"/>
        </w:rPr>
        <w:t xml:space="preserve">  </w:t>
      </w:r>
      <w:r w:rsidRPr="00687F8B">
        <w:rPr>
          <w:color w:val="auto"/>
        </w:rPr>
        <w:t xml:space="preserve">The </w:t>
      </w:r>
      <w:r w:rsidR="0021079F">
        <w:rPr>
          <w:color w:val="auto"/>
        </w:rPr>
        <w:t>I</w:t>
      </w:r>
      <w:r w:rsidR="00E2137E">
        <w:rPr>
          <w:color w:val="auto"/>
        </w:rPr>
        <w:t>PEB</w:t>
      </w:r>
      <w:r w:rsidRPr="00687F8B">
        <w:rPr>
          <w:color w:val="auto"/>
        </w:rPr>
        <w:t xml:space="preserve"> adjudicated the back pain condition as unfitting, rated 0</w:t>
      </w:r>
      <w:r w:rsidRPr="009C4AB3">
        <w:rPr>
          <w:color w:val="auto"/>
        </w:rPr>
        <w:t>%, with application of the Veterans Administration Schedule for Rating Disabilities (VASRD).  Intermittent right knee pa</w:t>
      </w:r>
      <w:r w:rsidR="00E2137E">
        <w:rPr>
          <w:color w:val="auto"/>
        </w:rPr>
        <w:t xml:space="preserve">in was also adjudicated by the </w:t>
      </w:r>
      <w:r w:rsidR="0021079F">
        <w:rPr>
          <w:color w:val="auto"/>
        </w:rPr>
        <w:t>I</w:t>
      </w:r>
      <w:r w:rsidRPr="009C4AB3">
        <w:rPr>
          <w:color w:val="auto"/>
        </w:rPr>
        <w:t>PEB as a Category II</w:t>
      </w:r>
      <w:r w:rsidR="007D7636" w:rsidRPr="009C4AB3">
        <w:rPr>
          <w:color w:val="auto"/>
        </w:rPr>
        <w:t xml:space="preserve"> – </w:t>
      </w:r>
      <w:r w:rsidR="007D7636" w:rsidRPr="006A743B">
        <w:rPr>
          <w:color w:val="auto"/>
        </w:rPr>
        <w:t xml:space="preserve">a </w:t>
      </w:r>
      <w:r w:rsidRPr="006A743B">
        <w:rPr>
          <w:color w:val="auto"/>
        </w:rPr>
        <w:t>condition that can be unfitting but is not currently compensable or ratable</w:t>
      </w:r>
      <w:r w:rsidR="006A743B">
        <w:rPr>
          <w:color w:val="auto"/>
        </w:rPr>
        <w:t xml:space="preserve">.  </w:t>
      </w:r>
      <w:r w:rsidRPr="00C472C7">
        <w:rPr>
          <w:color w:val="auto"/>
        </w:rPr>
        <w:t xml:space="preserve">The CI appealed to </w:t>
      </w:r>
      <w:r w:rsidRPr="00687F8B">
        <w:rPr>
          <w:color w:val="auto"/>
        </w:rPr>
        <w:t>the F</w:t>
      </w:r>
      <w:r w:rsidR="007D7636">
        <w:rPr>
          <w:color w:val="auto"/>
        </w:rPr>
        <w:t xml:space="preserve">ormal </w:t>
      </w:r>
      <w:r w:rsidRPr="00687F8B">
        <w:rPr>
          <w:color w:val="auto"/>
        </w:rPr>
        <w:t xml:space="preserve">PEB </w:t>
      </w:r>
      <w:r w:rsidR="007D7636">
        <w:rPr>
          <w:color w:val="auto"/>
        </w:rPr>
        <w:t>(FPEB)</w:t>
      </w:r>
      <w:r w:rsidR="000C2DED">
        <w:rPr>
          <w:color w:val="auto"/>
        </w:rPr>
        <w:t>,</w:t>
      </w:r>
      <w:r w:rsidR="004160AE">
        <w:rPr>
          <w:color w:val="auto"/>
        </w:rPr>
        <w:t xml:space="preserve"> contending </w:t>
      </w:r>
      <w:r w:rsidR="000C2DED">
        <w:rPr>
          <w:color w:val="auto"/>
        </w:rPr>
        <w:t xml:space="preserve">for a higher rating (conceding that she did not </w:t>
      </w:r>
      <w:r w:rsidR="004160AE">
        <w:rPr>
          <w:color w:val="auto"/>
        </w:rPr>
        <w:t xml:space="preserve">qualify for </w:t>
      </w:r>
      <w:r w:rsidR="000C2DED">
        <w:rPr>
          <w:color w:val="auto"/>
        </w:rPr>
        <w:t>medical</w:t>
      </w:r>
      <w:r w:rsidR="004160AE">
        <w:rPr>
          <w:color w:val="auto"/>
        </w:rPr>
        <w:t xml:space="preserve"> retirement</w:t>
      </w:r>
      <w:r w:rsidR="000C2DED">
        <w:rPr>
          <w:color w:val="auto"/>
        </w:rPr>
        <w:t>), but then</w:t>
      </w:r>
      <w:r w:rsidR="004160AE">
        <w:rPr>
          <w:color w:val="auto"/>
        </w:rPr>
        <w:t xml:space="preserve"> requested a waiver to withdraw her formal hearing request.  The FPEB declined her request and</w:t>
      </w:r>
      <w:r w:rsidR="00E2137E">
        <w:rPr>
          <w:color w:val="auto"/>
        </w:rPr>
        <w:t xml:space="preserve"> affirmed the </w:t>
      </w:r>
      <w:r w:rsidR="0021079F">
        <w:rPr>
          <w:color w:val="auto"/>
        </w:rPr>
        <w:t>I</w:t>
      </w:r>
      <w:r w:rsidR="004A1697">
        <w:rPr>
          <w:color w:val="auto"/>
        </w:rPr>
        <w:t>PEB findings,</w:t>
      </w:r>
      <w:r w:rsidR="007D7636">
        <w:rPr>
          <w:color w:val="auto"/>
        </w:rPr>
        <w:t xml:space="preserve"> </w:t>
      </w:r>
      <w:r w:rsidR="000C2DED">
        <w:rPr>
          <w:color w:val="auto"/>
        </w:rPr>
        <w:t>resulting in medical separation</w:t>
      </w:r>
      <w:r w:rsidRPr="00C472C7">
        <w:rPr>
          <w:color w:val="auto"/>
        </w:rPr>
        <w:t xml:space="preserve"> with a </w:t>
      </w:r>
      <w:r w:rsidRPr="00B37345">
        <w:rPr>
          <w:color w:val="auto"/>
        </w:rPr>
        <w:t>0</w:t>
      </w:r>
      <w:r w:rsidRPr="00C472C7">
        <w:rPr>
          <w:color w:val="auto"/>
        </w:rPr>
        <w:t>% disability rating.</w:t>
      </w:r>
    </w:p>
    <w:p w:rsidR="00582A3C" w:rsidRDefault="00582A3C" w:rsidP="00510F9C">
      <w:pPr>
        <w:pBdr>
          <w:bottom w:val="single" w:sz="12" w:space="1" w:color="auto"/>
        </w:pBdr>
        <w:tabs>
          <w:tab w:val="left" w:pos="288"/>
          <w:tab w:val="left" w:pos="4752"/>
        </w:tabs>
        <w:spacing w:line="240" w:lineRule="exact"/>
        <w:jc w:val="both"/>
        <w:rPr>
          <w:color w:val="auto"/>
        </w:rPr>
      </w:pPr>
    </w:p>
    <w:p w:rsidR="00582A3C" w:rsidRDefault="00582A3C" w:rsidP="00510F9C">
      <w:pPr>
        <w:tabs>
          <w:tab w:val="left" w:pos="288"/>
          <w:tab w:val="left" w:pos="4752"/>
        </w:tabs>
        <w:spacing w:line="240" w:lineRule="exact"/>
        <w:jc w:val="both"/>
        <w:rPr>
          <w:color w:val="auto"/>
          <w:u w:val="single"/>
        </w:rPr>
      </w:pPr>
    </w:p>
    <w:p w:rsidR="00582A3C" w:rsidRPr="005C4D72" w:rsidRDefault="00582A3C" w:rsidP="001A52CC">
      <w:pPr>
        <w:tabs>
          <w:tab w:val="left" w:pos="288"/>
          <w:tab w:val="left" w:pos="4752"/>
        </w:tabs>
        <w:spacing w:line="240" w:lineRule="exact"/>
        <w:jc w:val="both"/>
        <w:rPr>
          <w:color w:val="auto"/>
        </w:rPr>
      </w:pPr>
      <w:r w:rsidRPr="00326C08">
        <w:rPr>
          <w:color w:val="auto"/>
          <w:u w:val="single"/>
        </w:rPr>
        <w:t>CI CONTENTION</w:t>
      </w:r>
      <w:r w:rsidRPr="00326C08">
        <w:rPr>
          <w:color w:val="auto"/>
        </w:rPr>
        <w:t>:</w:t>
      </w:r>
      <w:r>
        <w:rPr>
          <w:color w:val="auto"/>
        </w:rPr>
        <w:t xml:space="preserve">  </w:t>
      </w:r>
      <w:r w:rsidRPr="00057019">
        <w:rPr>
          <w:color w:val="auto"/>
        </w:rPr>
        <w:t>The CI states:  “</w:t>
      </w:r>
      <w:r w:rsidRPr="00BC337F">
        <w:rPr>
          <w:color w:val="auto"/>
        </w:rPr>
        <w:t xml:space="preserve">After years of going to the base clinic and having the doctors claim they didn’t see anything wrong with my </w:t>
      </w:r>
      <w:proofErr w:type="gramStart"/>
      <w:r w:rsidRPr="00BC337F">
        <w:rPr>
          <w:color w:val="auto"/>
        </w:rPr>
        <w:t xml:space="preserve">back, </w:t>
      </w:r>
      <w:r w:rsidR="000C2DED">
        <w:rPr>
          <w:color w:val="auto"/>
        </w:rPr>
        <w:t>…</w:t>
      </w:r>
      <w:proofErr w:type="gramEnd"/>
      <w:r w:rsidRPr="00BC337F">
        <w:rPr>
          <w:color w:val="auto"/>
        </w:rPr>
        <w:t xml:space="preserve"> suddenly they saw I had a severe herniated disc.  Once that was discovered, I was prescribed many different medications, that didn’t help, an order was put in to TRICARE for me to see a civilian doctor to get three steroid injections into my back.  The first shot seem to help a little but the second is what caused my migraines.  After that I was put on quarters because the civilian doctor said I ended up getting a spinal headache.  This is why I continue to have migraines today.  </w:t>
      </w:r>
      <w:r w:rsidR="004A1697">
        <w:rPr>
          <w:color w:val="auto"/>
        </w:rPr>
        <w:t>…</w:t>
      </w:r>
      <w:r w:rsidRPr="00BC337F">
        <w:rPr>
          <w:color w:val="auto"/>
        </w:rPr>
        <w:t xml:space="preserve">  I would have loved to stay in the military but the MEB decided otherwise.  So not only did they end my career but also decided to rate me at 0% which ended my medical privileges that I most definitely still needed to continue.  </w:t>
      </w:r>
      <w:r w:rsidR="004A1697">
        <w:rPr>
          <w:color w:val="auto"/>
        </w:rPr>
        <w:t>…</w:t>
      </w:r>
      <w:r w:rsidRPr="00BC337F">
        <w:rPr>
          <w:color w:val="auto"/>
        </w:rPr>
        <w:t xml:space="preserve">  I continue to have back and head pains as well as others but during my MEB I believe they only focused on my back which didn’t make much sense. </w:t>
      </w:r>
      <w:r w:rsidR="004A1697">
        <w:rPr>
          <w:color w:val="auto"/>
        </w:rPr>
        <w:t>…”</w:t>
      </w:r>
      <w:r>
        <w:rPr>
          <w:color w:val="auto"/>
        </w:rPr>
        <w:t xml:space="preserve">  </w:t>
      </w:r>
      <w:r w:rsidRPr="00BC337F">
        <w:rPr>
          <w:color w:val="auto"/>
        </w:rPr>
        <w:t>She</w:t>
      </w:r>
      <w:r w:rsidRPr="005C4D72">
        <w:rPr>
          <w:color w:val="auto"/>
        </w:rPr>
        <w:t xml:space="preserve"> additionally lists </w:t>
      </w:r>
      <w:r w:rsidR="004A1697">
        <w:rPr>
          <w:color w:val="auto"/>
        </w:rPr>
        <w:t>other</w:t>
      </w:r>
      <w:r w:rsidRPr="005C4D72">
        <w:rPr>
          <w:color w:val="auto"/>
        </w:rPr>
        <w:t xml:space="preserve"> VA conditions and ratings as per the chart below.  </w:t>
      </w:r>
    </w:p>
    <w:p w:rsidR="00582A3C" w:rsidRDefault="00582A3C" w:rsidP="00510F9C">
      <w:pPr>
        <w:pBdr>
          <w:bottom w:val="single" w:sz="12" w:space="1" w:color="auto"/>
        </w:pBdr>
        <w:spacing w:line="240" w:lineRule="exact"/>
        <w:rPr>
          <w:color w:val="auto"/>
          <w:u w:val="single"/>
        </w:rPr>
      </w:pPr>
    </w:p>
    <w:p w:rsidR="00582A3C" w:rsidRDefault="00582A3C" w:rsidP="00510F9C">
      <w:pPr>
        <w:spacing w:line="240" w:lineRule="exact"/>
        <w:rPr>
          <w:color w:val="auto"/>
          <w:u w:val="single"/>
        </w:rPr>
      </w:pPr>
    </w:p>
    <w:p w:rsidR="00582A3C" w:rsidRDefault="00582A3C" w:rsidP="00510F9C">
      <w:pPr>
        <w:spacing w:line="240" w:lineRule="exact"/>
        <w:rPr>
          <w:color w:val="auto"/>
        </w:rPr>
      </w:pPr>
      <w:r>
        <w:rPr>
          <w:color w:val="auto"/>
          <w:u w:val="single"/>
        </w:rPr>
        <w:t>R</w:t>
      </w:r>
      <w:r w:rsidRPr="00326C08">
        <w:rPr>
          <w:color w:val="auto"/>
          <w:u w:val="single"/>
        </w:rPr>
        <w:t>ATING COMPARISON</w:t>
      </w:r>
      <w:r w:rsidRPr="00326C08">
        <w:rPr>
          <w:color w:val="auto"/>
        </w:rPr>
        <w:t>:</w:t>
      </w:r>
    </w:p>
    <w:p w:rsidR="00582A3C" w:rsidRPr="002A4119" w:rsidRDefault="00582A3C" w:rsidP="00510F9C">
      <w:pPr>
        <w:spacing w:line="240" w:lineRule="exact"/>
        <w:rPr>
          <w:color w:val="auto"/>
        </w:rPr>
      </w:pPr>
    </w:p>
    <w:tbl>
      <w:tblPr>
        <w:tblStyle w:val="TableGrid"/>
        <w:tblW w:w="9389" w:type="dxa"/>
        <w:jc w:val="center"/>
        <w:tblInd w:w="309" w:type="dxa"/>
        <w:tblLayout w:type="fixed"/>
        <w:tblLook w:val="00A0"/>
      </w:tblPr>
      <w:tblGrid>
        <w:gridCol w:w="2409"/>
        <w:gridCol w:w="720"/>
        <w:gridCol w:w="810"/>
        <w:gridCol w:w="2901"/>
        <w:gridCol w:w="720"/>
        <w:gridCol w:w="810"/>
        <w:gridCol w:w="1019"/>
      </w:tblGrid>
      <w:tr w:rsidR="00582A3C" w:rsidRPr="002A4119" w:rsidTr="004A1697">
        <w:trPr>
          <w:trHeight w:val="107"/>
          <w:jc w:val="center"/>
        </w:trPr>
        <w:tc>
          <w:tcPr>
            <w:tcW w:w="3939" w:type="dxa"/>
            <w:gridSpan w:val="3"/>
            <w:tcBorders>
              <w:right w:val="thinThickThinSmallGap" w:sz="24" w:space="0" w:color="auto"/>
            </w:tcBorders>
            <w:shd w:val="clear" w:color="auto" w:fill="D9D9D9"/>
            <w:vAlign w:val="center"/>
          </w:tcPr>
          <w:p w:rsidR="00582A3C" w:rsidRPr="00687F8B" w:rsidRDefault="004160AE" w:rsidP="004A1697">
            <w:pPr>
              <w:spacing w:line="240" w:lineRule="exact"/>
              <w:contextualSpacing/>
              <w:jc w:val="center"/>
              <w:rPr>
                <w:b/>
                <w:color w:val="auto"/>
                <w:sz w:val="20"/>
              </w:rPr>
            </w:pPr>
            <w:r>
              <w:rPr>
                <w:b/>
                <w:color w:val="auto"/>
                <w:sz w:val="20"/>
              </w:rPr>
              <w:t>Service FPEB – Dated 200600224</w:t>
            </w:r>
          </w:p>
        </w:tc>
        <w:tc>
          <w:tcPr>
            <w:tcW w:w="5450" w:type="dxa"/>
            <w:gridSpan w:val="4"/>
            <w:tcBorders>
              <w:left w:val="thinThickThinSmallGap" w:sz="24" w:space="0" w:color="auto"/>
            </w:tcBorders>
            <w:shd w:val="clear" w:color="auto" w:fill="D9D9D9"/>
            <w:vAlign w:val="center"/>
          </w:tcPr>
          <w:p w:rsidR="00582A3C" w:rsidRPr="00687F8B" w:rsidRDefault="004160AE" w:rsidP="004A1697">
            <w:pPr>
              <w:spacing w:line="240" w:lineRule="exact"/>
              <w:contextualSpacing/>
              <w:jc w:val="center"/>
              <w:rPr>
                <w:b/>
                <w:color w:val="auto"/>
                <w:sz w:val="20"/>
              </w:rPr>
            </w:pPr>
            <w:r>
              <w:rPr>
                <w:b/>
                <w:color w:val="auto"/>
                <w:sz w:val="20"/>
              </w:rPr>
              <w:t>VA (20</w:t>
            </w:r>
            <w:r w:rsidR="00582A3C" w:rsidRPr="00687F8B">
              <w:rPr>
                <w:b/>
                <w:color w:val="auto"/>
                <w:sz w:val="20"/>
              </w:rPr>
              <w:t xml:space="preserve"> Mo. Post-Separation) – All Effective 20071025</w:t>
            </w:r>
          </w:p>
        </w:tc>
      </w:tr>
      <w:tr w:rsidR="00582A3C" w:rsidRPr="002A4119" w:rsidTr="004A1697">
        <w:trPr>
          <w:trHeight w:val="170"/>
          <w:jc w:val="center"/>
        </w:trPr>
        <w:tc>
          <w:tcPr>
            <w:tcW w:w="2409" w:type="dxa"/>
            <w:tcBorders>
              <w:right w:val="single" w:sz="4" w:space="0" w:color="auto"/>
            </w:tcBorders>
            <w:shd w:val="clear" w:color="auto" w:fill="D9D9D9"/>
            <w:vAlign w:val="center"/>
          </w:tcPr>
          <w:p w:rsidR="00582A3C" w:rsidRPr="00687F8B" w:rsidRDefault="00582A3C" w:rsidP="004A1697">
            <w:pPr>
              <w:spacing w:line="240" w:lineRule="exact"/>
              <w:contextualSpacing/>
              <w:jc w:val="center"/>
              <w:rPr>
                <w:b/>
                <w:color w:val="auto"/>
                <w:sz w:val="20"/>
              </w:rPr>
            </w:pPr>
            <w:r w:rsidRPr="00687F8B">
              <w:rPr>
                <w:b/>
                <w:color w:val="auto"/>
                <w:sz w:val="20"/>
              </w:rPr>
              <w:t>Condition</w:t>
            </w:r>
          </w:p>
        </w:tc>
        <w:tc>
          <w:tcPr>
            <w:tcW w:w="720" w:type="dxa"/>
            <w:tcBorders>
              <w:left w:val="single" w:sz="4" w:space="0" w:color="auto"/>
            </w:tcBorders>
            <w:shd w:val="clear" w:color="auto" w:fill="D9D9D9"/>
            <w:vAlign w:val="center"/>
          </w:tcPr>
          <w:p w:rsidR="00582A3C" w:rsidRPr="00687F8B" w:rsidRDefault="00582A3C" w:rsidP="004A1697">
            <w:pPr>
              <w:spacing w:line="240" w:lineRule="exact"/>
              <w:contextualSpacing/>
              <w:jc w:val="center"/>
              <w:rPr>
                <w:b/>
                <w:color w:val="auto"/>
                <w:sz w:val="20"/>
              </w:rPr>
            </w:pPr>
            <w:r w:rsidRPr="00687F8B">
              <w:rPr>
                <w:b/>
                <w:color w:val="auto"/>
                <w:sz w:val="20"/>
              </w:rPr>
              <w:t>Code</w:t>
            </w:r>
          </w:p>
        </w:tc>
        <w:tc>
          <w:tcPr>
            <w:tcW w:w="810" w:type="dxa"/>
            <w:tcBorders>
              <w:right w:val="thinThickThinSmallGap" w:sz="24" w:space="0" w:color="auto"/>
            </w:tcBorders>
            <w:shd w:val="clear" w:color="auto" w:fill="D9D9D9"/>
            <w:vAlign w:val="center"/>
          </w:tcPr>
          <w:p w:rsidR="00582A3C" w:rsidRPr="00687F8B" w:rsidRDefault="00582A3C" w:rsidP="004A1697">
            <w:pPr>
              <w:spacing w:line="240" w:lineRule="exact"/>
              <w:contextualSpacing/>
              <w:jc w:val="center"/>
              <w:rPr>
                <w:b/>
                <w:color w:val="auto"/>
                <w:sz w:val="20"/>
              </w:rPr>
            </w:pPr>
            <w:r w:rsidRPr="00687F8B">
              <w:rPr>
                <w:b/>
                <w:color w:val="auto"/>
                <w:sz w:val="20"/>
              </w:rPr>
              <w:t>Rating</w:t>
            </w:r>
          </w:p>
        </w:tc>
        <w:tc>
          <w:tcPr>
            <w:tcW w:w="2901" w:type="dxa"/>
            <w:tcBorders>
              <w:left w:val="thinThickThinSmallGap" w:sz="24" w:space="0" w:color="auto"/>
            </w:tcBorders>
            <w:shd w:val="clear" w:color="auto" w:fill="D9D9D9"/>
            <w:vAlign w:val="center"/>
          </w:tcPr>
          <w:p w:rsidR="00582A3C" w:rsidRPr="00687F8B" w:rsidRDefault="00582A3C" w:rsidP="004A1697">
            <w:pPr>
              <w:spacing w:line="240" w:lineRule="exact"/>
              <w:contextualSpacing/>
              <w:jc w:val="center"/>
              <w:rPr>
                <w:b/>
                <w:color w:val="auto"/>
                <w:sz w:val="20"/>
              </w:rPr>
            </w:pPr>
            <w:r w:rsidRPr="00687F8B">
              <w:rPr>
                <w:b/>
                <w:color w:val="auto"/>
                <w:sz w:val="20"/>
              </w:rPr>
              <w:t>Condition</w:t>
            </w:r>
          </w:p>
        </w:tc>
        <w:tc>
          <w:tcPr>
            <w:tcW w:w="720" w:type="dxa"/>
            <w:shd w:val="clear" w:color="auto" w:fill="D9D9D9"/>
            <w:vAlign w:val="center"/>
          </w:tcPr>
          <w:p w:rsidR="00582A3C" w:rsidRPr="00687F8B" w:rsidRDefault="00582A3C" w:rsidP="004A1697">
            <w:pPr>
              <w:spacing w:line="240" w:lineRule="exact"/>
              <w:contextualSpacing/>
              <w:jc w:val="center"/>
              <w:rPr>
                <w:b/>
                <w:color w:val="auto"/>
                <w:sz w:val="20"/>
              </w:rPr>
            </w:pPr>
            <w:r w:rsidRPr="00687F8B">
              <w:rPr>
                <w:b/>
                <w:color w:val="auto"/>
                <w:sz w:val="20"/>
              </w:rPr>
              <w:t>Code</w:t>
            </w:r>
          </w:p>
        </w:tc>
        <w:tc>
          <w:tcPr>
            <w:tcW w:w="810" w:type="dxa"/>
            <w:shd w:val="clear" w:color="auto" w:fill="D9D9D9"/>
            <w:vAlign w:val="center"/>
          </w:tcPr>
          <w:p w:rsidR="00582A3C" w:rsidRPr="00687F8B" w:rsidRDefault="00582A3C" w:rsidP="004A1697">
            <w:pPr>
              <w:spacing w:line="240" w:lineRule="exact"/>
              <w:contextualSpacing/>
              <w:jc w:val="center"/>
              <w:rPr>
                <w:b/>
                <w:color w:val="auto"/>
                <w:sz w:val="20"/>
              </w:rPr>
            </w:pPr>
            <w:r w:rsidRPr="00687F8B">
              <w:rPr>
                <w:b/>
                <w:color w:val="auto"/>
                <w:sz w:val="20"/>
              </w:rPr>
              <w:t>Rating</w:t>
            </w:r>
          </w:p>
        </w:tc>
        <w:tc>
          <w:tcPr>
            <w:tcW w:w="1019" w:type="dxa"/>
            <w:shd w:val="clear" w:color="auto" w:fill="D9D9D9"/>
            <w:vAlign w:val="center"/>
          </w:tcPr>
          <w:p w:rsidR="00582A3C" w:rsidRPr="00687F8B" w:rsidRDefault="00582A3C" w:rsidP="004A1697">
            <w:pPr>
              <w:spacing w:line="240" w:lineRule="exact"/>
              <w:contextualSpacing/>
              <w:jc w:val="center"/>
              <w:rPr>
                <w:b/>
                <w:color w:val="auto"/>
                <w:sz w:val="20"/>
              </w:rPr>
            </w:pPr>
            <w:r w:rsidRPr="00687F8B">
              <w:rPr>
                <w:b/>
                <w:color w:val="auto"/>
                <w:sz w:val="20"/>
              </w:rPr>
              <w:t>Exam</w:t>
            </w:r>
          </w:p>
        </w:tc>
      </w:tr>
      <w:tr w:rsidR="00582A3C" w:rsidRPr="002A4119" w:rsidTr="004A1697">
        <w:trPr>
          <w:trHeight w:val="134"/>
          <w:jc w:val="center"/>
        </w:trPr>
        <w:tc>
          <w:tcPr>
            <w:tcW w:w="2409" w:type="dxa"/>
            <w:tcBorders>
              <w:right w:val="single" w:sz="4" w:space="0" w:color="auto"/>
            </w:tcBorders>
            <w:shd w:val="clear" w:color="auto" w:fill="FFFFFF"/>
            <w:vAlign w:val="center"/>
          </w:tcPr>
          <w:p w:rsidR="00582A3C" w:rsidRPr="00687F8B" w:rsidRDefault="00582A3C" w:rsidP="004A1697">
            <w:pPr>
              <w:spacing w:line="220" w:lineRule="exact"/>
              <w:contextualSpacing/>
              <w:rPr>
                <w:color w:val="auto"/>
                <w:sz w:val="18"/>
              </w:rPr>
            </w:pPr>
            <w:r w:rsidRPr="00687F8B">
              <w:rPr>
                <w:color w:val="auto"/>
                <w:sz w:val="18"/>
              </w:rPr>
              <w:t>Chronic Low Back Pain</w:t>
            </w:r>
          </w:p>
        </w:tc>
        <w:tc>
          <w:tcPr>
            <w:tcW w:w="720" w:type="dxa"/>
            <w:tcBorders>
              <w:left w:val="single" w:sz="4" w:space="0" w:color="auto"/>
            </w:tcBorders>
            <w:shd w:val="clear" w:color="auto" w:fill="FFFFFF"/>
            <w:vAlign w:val="center"/>
          </w:tcPr>
          <w:p w:rsidR="00582A3C" w:rsidRPr="00687F8B" w:rsidRDefault="00582A3C" w:rsidP="004A1697">
            <w:pPr>
              <w:spacing w:line="220" w:lineRule="exact"/>
              <w:contextualSpacing/>
              <w:jc w:val="center"/>
              <w:rPr>
                <w:color w:val="auto"/>
                <w:sz w:val="18"/>
              </w:rPr>
            </w:pPr>
            <w:r w:rsidRPr="00687F8B">
              <w:rPr>
                <w:color w:val="auto"/>
                <w:sz w:val="18"/>
              </w:rPr>
              <w:t>5243</w:t>
            </w:r>
          </w:p>
        </w:tc>
        <w:tc>
          <w:tcPr>
            <w:tcW w:w="810" w:type="dxa"/>
            <w:tcBorders>
              <w:right w:val="thinThickThinSmallGap" w:sz="24" w:space="0" w:color="auto"/>
            </w:tcBorders>
            <w:shd w:val="clear" w:color="auto" w:fill="FFFFFF"/>
            <w:vAlign w:val="center"/>
          </w:tcPr>
          <w:p w:rsidR="00582A3C" w:rsidRPr="00687F8B" w:rsidRDefault="00582A3C" w:rsidP="004A1697">
            <w:pPr>
              <w:spacing w:line="220" w:lineRule="exact"/>
              <w:contextualSpacing/>
              <w:jc w:val="center"/>
              <w:rPr>
                <w:color w:val="auto"/>
                <w:sz w:val="18"/>
              </w:rPr>
            </w:pPr>
            <w:r w:rsidRPr="00687F8B">
              <w:rPr>
                <w:color w:val="auto"/>
                <w:sz w:val="18"/>
              </w:rPr>
              <w:t>0%</w:t>
            </w:r>
          </w:p>
        </w:tc>
        <w:tc>
          <w:tcPr>
            <w:tcW w:w="2901" w:type="dxa"/>
            <w:tcBorders>
              <w:left w:val="thinThickThinSmallGap" w:sz="24" w:space="0" w:color="auto"/>
            </w:tcBorders>
            <w:shd w:val="clear" w:color="auto" w:fill="FFFFFF"/>
            <w:vAlign w:val="center"/>
          </w:tcPr>
          <w:p w:rsidR="00582A3C" w:rsidRPr="00687F8B" w:rsidRDefault="00582A3C" w:rsidP="004A1697">
            <w:pPr>
              <w:spacing w:line="220" w:lineRule="exact"/>
              <w:contextualSpacing/>
              <w:rPr>
                <w:color w:val="auto"/>
                <w:sz w:val="18"/>
              </w:rPr>
            </w:pPr>
            <w:proofErr w:type="spellStart"/>
            <w:r w:rsidRPr="00687F8B">
              <w:rPr>
                <w:color w:val="auto"/>
                <w:sz w:val="18"/>
              </w:rPr>
              <w:t>Lumbosacral</w:t>
            </w:r>
            <w:proofErr w:type="spellEnd"/>
            <w:r w:rsidRPr="00687F8B">
              <w:rPr>
                <w:color w:val="auto"/>
                <w:sz w:val="18"/>
              </w:rPr>
              <w:t xml:space="preserve"> Degenerative Disc </w:t>
            </w:r>
            <w:r w:rsidR="00C97340">
              <w:rPr>
                <w:color w:val="auto"/>
                <w:sz w:val="18"/>
              </w:rPr>
              <w:t>…</w:t>
            </w:r>
          </w:p>
        </w:tc>
        <w:tc>
          <w:tcPr>
            <w:tcW w:w="720" w:type="dxa"/>
            <w:shd w:val="clear" w:color="auto" w:fill="FFFFFF"/>
            <w:vAlign w:val="center"/>
          </w:tcPr>
          <w:p w:rsidR="00582A3C" w:rsidRPr="00687F8B" w:rsidRDefault="00582A3C" w:rsidP="004A1697">
            <w:pPr>
              <w:spacing w:line="220" w:lineRule="exact"/>
              <w:contextualSpacing/>
              <w:jc w:val="center"/>
              <w:rPr>
                <w:color w:val="auto"/>
                <w:sz w:val="18"/>
              </w:rPr>
            </w:pPr>
            <w:r w:rsidRPr="00687F8B">
              <w:rPr>
                <w:color w:val="auto"/>
                <w:sz w:val="18"/>
              </w:rPr>
              <w:t>5243</w:t>
            </w:r>
          </w:p>
        </w:tc>
        <w:tc>
          <w:tcPr>
            <w:tcW w:w="810" w:type="dxa"/>
            <w:shd w:val="clear" w:color="auto" w:fill="FFFFFF"/>
            <w:vAlign w:val="center"/>
          </w:tcPr>
          <w:p w:rsidR="00582A3C" w:rsidRPr="00687F8B" w:rsidRDefault="00582A3C" w:rsidP="004A1697">
            <w:pPr>
              <w:spacing w:line="220" w:lineRule="exact"/>
              <w:contextualSpacing/>
              <w:jc w:val="center"/>
              <w:rPr>
                <w:color w:val="auto"/>
                <w:sz w:val="18"/>
              </w:rPr>
            </w:pPr>
            <w:r w:rsidRPr="00687F8B">
              <w:rPr>
                <w:color w:val="auto"/>
                <w:sz w:val="18"/>
              </w:rPr>
              <w:t>40%</w:t>
            </w:r>
            <w:r w:rsidR="006640C3">
              <w:rPr>
                <w:color w:val="auto"/>
                <w:sz w:val="18"/>
              </w:rPr>
              <w:t>*</w:t>
            </w:r>
          </w:p>
        </w:tc>
        <w:tc>
          <w:tcPr>
            <w:tcW w:w="1019" w:type="dxa"/>
            <w:shd w:val="clear" w:color="auto" w:fill="FFFFFF"/>
            <w:vAlign w:val="center"/>
          </w:tcPr>
          <w:p w:rsidR="00582A3C" w:rsidRPr="00687F8B" w:rsidRDefault="00582A3C" w:rsidP="004A1697">
            <w:pPr>
              <w:spacing w:line="220" w:lineRule="exact"/>
              <w:contextualSpacing/>
              <w:jc w:val="center"/>
              <w:rPr>
                <w:color w:val="auto"/>
                <w:sz w:val="18"/>
              </w:rPr>
            </w:pPr>
            <w:r w:rsidRPr="00687F8B">
              <w:rPr>
                <w:color w:val="auto"/>
                <w:sz w:val="18"/>
              </w:rPr>
              <w:t>20071203</w:t>
            </w:r>
          </w:p>
        </w:tc>
      </w:tr>
      <w:tr w:rsidR="00582A3C" w:rsidRPr="002A4119" w:rsidTr="004A1697">
        <w:trPr>
          <w:trHeight w:val="215"/>
          <w:jc w:val="center"/>
        </w:trPr>
        <w:tc>
          <w:tcPr>
            <w:tcW w:w="2409" w:type="dxa"/>
            <w:tcBorders>
              <w:right w:val="single" w:sz="4" w:space="0" w:color="auto"/>
            </w:tcBorders>
            <w:shd w:val="clear" w:color="auto" w:fill="FFFFFF"/>
            <w:vAlign w:val="center"/>
          </w:tcPr>
          <w:p w:rsidR="00582A3C" w:rsidRPr="00687F8B" w:rsidRDefault="00582A3C" w:rsidP="004A1697">
            <w:pPr>
              <w:spacing w:line="220" w:lineRule="exact"/>
              <w:contextualSpacing/>
              <w:rPr>
                <w:color w:val="auto"/>
                <w:sz w:val="18"/>
              </w:rPr>
            </w:pPr>
            <w:r w:rsidRPr="00687F8B">
              <w:rPr>
                <w:color w:val="auto"/>
                <w:sz w:val="18"/>
              </w:rPr>
              <w:t>Right Knee Pain</w:t>
            </w:r>
          </w:p>
        </w:tc>
        <w:tc>
          <w:tcPr>
            <w:tcW w:w="1530" w:type="dxa"/>
            <w:gridSpan w:val="2"/>
            <w:tcBorders>
              <w:left w:val="single" w:sz="4" w:space="0" w:color="auto"/>
              <w:right w:val="thinThickThinSmallGap" w:sz="24" w:space="0" w:color="auto"/>
            </w:tcBorders>
            <w:shd w:val="clear" w:color="auto" w:fill="FFFFFF"/>
            <w:vAlign w:val="center"/>
          </w:tcPr>
          <w:p w:rsidR="00582A3C" w:rsidRPr="00687F8B" w:rsidRDefault="00582A3C" w:rsidP="004A1697">
            <w:pPr>
              <w:spacing w:line="220" w:lineRule="exact"/>
              <w:contextualSpacing/>
              <w:jc w:val="center"/>
              <w:rPr>
                <w:color w:val="auto"/>
                <w:sz w:val="18"/>
              </w:rPr>
            </w:pPr>
            <w:r w:rsidRPr="00687F8B">
              <w:rPr>
                <w:color w:val="auto"/>
                <w:sz w:val="18"/>
              </w:rPr>
              <w:t>Cat. II</w:t>
            </w:r>
          </w:p>
        </w:tc>
        <w:tc>
          <w:tcPr>
            <w:tcW w:w="2901" w:type="dxa"/>
            <w:tcBorders>
              <w:left w:val="thinThickThinSmallGap" w:sz="24" w:space="0" w:color="auto"/>
              <w:right w:val="single" w:sz="4" w:space="0" w:color="auto"/>
            </w:tcBorders>
            <w:shd w:val="clear" w:color="auto" w:fill="FFFFFF"/>
            <w:vAlign w:val="center"/>
          </w:tcPr>
          <w:p w:rsidR="00582A3C" w:rsidRPr="00687F8B" w:rsidRDefault="00582A3C" w:rsidP="004A1697">
            <w:pPr>
              <w:spacing w:line="220" w:lineRule="exact"/>
              <w:contextualSpacing/>
              <w:rPr>
                <w:color w:val="auto"/>
                <w:sz w:val="18"/>
              </w:rPr>
            </w:pPr>
            <w:r w:rsidRPr="00687F8B">
              <w:rPr>
                <w:color w:val="auto"/>
                <w:sz w:val="18"/>
              </w:rPr>
              <w:t xml:space="preserve">Right Knee </w:t>
            </w:r>
            <w:proofErr w:type="spellStart"/>
            <w:r w:rsidRPr="00687F8B">
              <w:rPr>
                <w:color w:val="auto"/>
                <w:sz w:val="18"/>
              </w:rPr>
              <w:t>Patellofemoral</w:t>
            </w:r>
            <w:proofErr w:type="spellEnd"/>
            <w:r w:rsidRPr="00687F8B">
              <w:rPr>
                <w:color w:val="auto"/>
                <w:sz w:val="18"/>
              </w:rPr>
              <w:t xml:space="preserve"> Sy</w:t>
            </w:r>
            <w:r w:rsidR="00C97340">
              <w:rPr>
                <w:color w:val="auto"/>
                <w:sz w:val="18"/>
              </w:rPr>
              <w:t>n.</w:t>
            </w:r>
          </w:p>
        </w:tc>
        <w:tc>
          <w:tcPr>
            <w:tcW w:w="720" w:type="dxa"/>
            <w:tcBorders>
              <w:left w:val="single" w:sz="4" w:space="0" w:color="auto"/>
            </w:tcBorders>
            <w:shd w:val="clear" w:color="auto" w:fill="FFFFFF"/>
            <w:vAlign w:val="center"/>
          </w:tcPr>
          <w:p w:rsidR="00582A3C" w:rsidRPr="00687F8B" w:rsidRDefault="00582A3C" w:rsidP="004A1697">
            <w:pPr>
              <w:spacing w:line="220" w:lineRule="exact"/>
              <w:contextualSpacing/>
              <w:jc w:val="center"/>
              <w:rPr>
                <w:color w:val="auto"/>
                <w:sz w:val="18"/>
              </w:rPr>
            </w:pPr>
            <w:r w:rsidRPr="00687F8B">
              <w:rPr>
                <w:color w:val="auto"/>
                <w:sz w:val="18"/>
              </w:rPr>
              <w:t>5261</w:t>
            </w:r>
          </w:p>
        </w:tc>
        <w:tc>
          <w:tcPr>
            <w:tcW w:w="810" w:type="dxa"/>
            <w:shd w:val="clear" w:color="auto" w:fill="FFFFFF"/>
            <w:vAlign w:val="center"/>
          </w:tcPr>
          <w:p w:rsidR="00582A3C" w:rsidRPr="00687F8B" w:rsidRDefault="00582A3C" w:rsidP="004A1697">
            <w:pPr>
              <w:spacing w:line="220" w:lineRule="exact"/>
              <w:contextualSpacing/>
              <w:jc w:val="center"/>
              <w:rPr>
                <w:color w:val="auto"/>
                <w:sz w:val="18"/>
              </w:rPr>
            </w:pPr>
            <w:r w:rsidRPr="00687F8B">
              <w:rPr>
                <w:color w:val="auto"/>
                <w:sz w:val="18"/>
              </w:rPr>
              <w:t>20%</w:t>
            </w:r>
            <w:r w:rsidR="006640C3">
              <w:rPr>
                <w:color w:val="auto"/>
                <w:sz w:val="18"/>
              </w:rPr>
              <w:t>**</w:t>
            </w:r>
          </w:p>
        </w:tc>
        <w:tc>
          <w:tcPr>
            <w:tcW w:w="1019" w:type="dxa"/>
            <w:shd w:val="clear" w:color="auto" w:fill="FFFFFF"/>
            <w:vAlign w:val="center"/>
          </w:tcPr>
          <w:p w:rsidR="00582A3C" w:rsidRPr="00687F8B" w:rsidRDefault="00582A3C" w:rsidP="004A1697">
            <w:pPr>
              <w:spacing w:line="220" w:lineRule="exact"/>
              <w:contextualSpacing/>
              <w:jc w:val="center"/>
              <w:rPr>
                <w:color w:val="auto"/>
                <w:sz w:val="18"/>
              </w:rPr>
            </w:pPr>
            <w:r w:rsidRPr="00687F8B">
              <w:rPr>
                <w:color w:val="auto"/>
                <w:sz w:val="18"/>
              </w:rPr>
              <w:t>20071203</w:t>
            </w:r>
          </w:p>
        </w:tc>
      </w:tr>
      <w:tr w:rsidR="00582A3C" w:rsidRPr="002A4119" w:rsidTr="004A1697">
        <w:trPr>
          <w:trHeight w:val="89"/>
          <w:jc w:val="center"/>
        </w:trPr>
        <w:tc>
          <w:tcPr>
            <w:tcW w:w="3939" w:type="dxa"/>
            <w:gridSpan w:val="3"/>
            <w:vMerge w:val="restart"/>
            <w:tcBorders>
              <w:right w:val="thinThickThinSmallGap" w:sz="24" w:space="0" w:color="auto"/>
            </w:tcBorders>
            <w:shd w:val="clear" w:color="auto" w:fill="FFFFFF"/>
          </w:tcPr>
          <w:p w:rsidR="00582A3C" w:rsidRPr="001C3EC4" w:rsidRDefault="00582A3C" w:rsidP="004A1697">
            <w:pPr>
              <w:spacing w:line="220" w:lineRule="exact"/>
              <w:contextualSpacing/>
              <w:jc w:val="center"/>
              <w:rPr>
                <w:color w:val="auto"/>
                <w:sz w:val="18"/>
              </w:rPr>
            </w:pPr>
            <w:r w:rsidRPr="001C3EC4">
              <w:rPr>
                <w:color w:val="auto"/>
                <w:sz w:val="18"/>
              </w:rPr>
              <w:t>↓No Additional MEB/PEB Entries↓</w:t>
            </w:r>
          </w:p>
        </w:tc>
        <w:tc>
          <w:tcPr>
            <w:tcW w:w="2901" w:type="dxa"/>
            <w:tcBorders>
              <w:left w:val="thinThickThinSmallGap" w:sz="24" w:space="0" w:color="auto"/>
              <w:right w:val="single" w:sz="4" w:space="0" w:color="auto"/>
            </w:tcBorders>
            <w:shd w:val="clear" w:color="auto" w:fill="FFFFFF"/>
            <w:vAlign w:val="center"/>
          </w:tcPr>
          <w:p w:rsidR="00582A3C" w:rsidRPr="00687F8B" w:rsidRDefault="00582A3C" w:rsidP="004A1697">
            <w:pPr>
              <w:spacing w:line="220" w:lineRule="exact"/>
              <w:contextualSpacing/>
              <w:rPr>
                <w:color w:val="auto"/>
                <w:sz w:val="18"/>
              </w:rPr>
            </w:pPr>
            <w:r w:rsidRPr="00687F8B">
              <w:rPr>
                <w:color w:val="auto"/>
                <w:sz w:val="18"/>
              </w:rPr>
              <w:t xml:space="preserve">Left Shoulder </w:t>
            </w:r>
            <w:proofErr w:type="spellStart"/>
            <w:r w:rsidRPr="00687F8B">
              <w:rPr>
                <w:color w:val="auto"/>
                <w:sz w:val="18"/>
              </w:rPr>
              <w:t>Subacromial</w:t>
            </w:r>
            <w:proofErr w:type="spellEnd"/>
            <w:r w:rsidRPr="00687F8B">
              <w:rPr>
                <w:color w:val="auto"/>
                <w:sz w:val="18"/>
              </w:rPr>
              <w:t xml:space="preserve"> Bursitis</w:t>
            </w:r>
          </w:p>
        </w:tc>
        <w:tc>
          <w:tcPr>
            <w:tcW w:w="720" w:type="dxa"/>
            <w:tcBorders>
              <w:left w:val="single" w:sz="4" w:space="0" w:color="auto"/>
              <w:right w:val="single" w:sz="4" w:space="0" w:color="auto"/>
            </w:tcBorders>
            <w:shd w:val="clear" w:color="auto" w:fill="FFFFFF"/>
            <w:vAlign w:val="center"/>
          </w:tcPr>
          <w:p w:rsidR="00582A3C" w:rsidRPr="00687F8B" w:rsidRDefault="00582A3C" w:rsidP="004A1697">
            <w:pPr>
              <w:spacing w:line="220" w:lineRule="exact"/>
              <w:contextualSpacing/>
              <w:jc w:val="center"/>
              <w:rPr>
                <w:color w:val="auto"/>
                <w:sz w:val="18"/>
              </w:rPr>
            </w:pPr>
            <w:r w:rsidRPr="00687F8B">
              <w:rPr>
                <w:color w:val="auto"/>
                <w:sz w:val="18"/>
              </w:rPr>
              <w:t>5201</w:t>
            </w:r>
          </w:p>
        </w:tc>
        <w:tc>
          <w:tcPr>
            <w:tcW w:w="810" w:type="dxa"/>
            <w:tcBorders>
              <w:left w:val="single" w:sz="4" w:space="0" w:color="auto"/>
            </w:tcBorders>
            <w:shd w:val="clear" w:color="auto" w:fill="FFFFFF"/>
            <w:vAlign w:val="center"/>
          </w:tcPr>
          <w:p w:rsidR="00582A3C" w:rsidRPr="00687F8B" w:rsidRDefault="00582A3C" w:rsidP="004A1697">
            <w:pPr>
              <w:spacing w:line="220" w:lineRule="exact"/>
              <w:contextualSpacing/>
              <w:jc w:val="center"/>
              <w:rPr>
                <w:color w:val="auto"/>
                <w:sz w:val="18"/>
              </w:rPr>
            </w:pPr>
            <w:r w:rsidRPr="00687F8B">
              <w:rPr>
                <w:color w:val="auto"/>
                <w:sz w:val="18"/>
              </w:rPr>
              <w:t>20%</w:t>
            </w:r>
          </w:p>
        </w:tc>
        <w:tc>
          <w:tcPr>
            <w:tcW w:w="1019" w:type="dxa"/>
            <w:shd w:val="clear" w:color="auto" w:fill="FFFFFF"/>
            <w:vAlign w:val="center"/>
          </w:tcPr>
          <w:p w:rsidR="00582A3C" w:rsidRPr="00687F8B" w:rsidRDefault="00582A3C" w:rsidP="004A1697">
            <w:pPr>
              <w:spacing w:line="220" w:lineRule="exact"/>
              <w:contextualSpacing/>
              <w:jc w:val="center"/>
              <w:rPr>
                <w:color w:val="auto"/>
                <w:sz w:val="18"/>
              </w:rPr>
            </w:pPr>
            <w:r w:rsidRPr="00687F8B">
              <w:rPr>
                <w:color w:val="auto"/>
                <w:sz w:val="18"/>
              </w:rPr>
              <w:t>20071203</w:t>
            </w:r>
          </w:p>
        </w:tc>
      </w:tr>
      <w:tr w:rsidR="00582A3C" w:rsidRPr="002A4119" w:rsidTr="004A1697">
        <w:trPr>
          <w:trHeight w:val="161"/>
          <w:jc w:val="center"/>
        </w:trPr>
        <w:tc>
          <w:tcPr>
            <w:tcW w:w="3939" w:type="dxa"/>
            <w:gridSpan w:val="3"/>
            <w:vMerge/>
            <w:tcBorders>
              <w:right w:val="thinThickThinSmallGap" w:sz="24" w:space="0" w:color="auto"/>
            </w:tcBorders>
            <w:shd w:val="clear" w:color="auto" w:fill="FFFFFF"/>
            <w:vAlign w:val="center"/>
          </w:tcPr>
          <w:p w:rsidR="00582A3C" w:rsidRPr="001C3EC4" w:rsidRDefault="00582A3C" w:rsidP="004A1697">
            <w:pPr>
              <w:spacing w:line="220" w:lineRule="exact"/>
              <w:contextualSpacing/>
              <w:jc w:val="center"/>
              <w:rPr>
                <w:color w:val="auto"/>
                <w:sz w:val="18"/>
              </w:rPr>
            </w:pPr>
          </w:p>
        </w:tc>
        <w:tc>
          <w:tcPr>
            <w:tcW w:w="2901" w:type="dxa"/>
            <w:tcBorders>
              <w:left w:val="thinThickThinSmallGap" w:sz="24" w:space="0" w:color="auto"/>
              <w:right w:val="single" w:sz="4" w:space="0" w:color="auto"/>
            </w:tcBorders>
            <w:shd w:val="clear" w:color="auto" w:fill="FFFFFF"/>
            <w:vAlign w:val="center"/>
          </w:tcPr>
          <w:p w:rsidR="00582A3C" w:rsidRPr="00687F8B" w:rsidRDefault="00582A3C" w:rsidP="004A1697">
            <w:pPr>
              <w:spacing w:line="220" w:lineRule="exact"/>
              <w:contextualSpacing/>
              <w:rPr>
                <w:color w:val="auto"/>
                <w:sz w:val="18"/>
              </w:rPr>
            </w:pPr>
            <w:r w:rsidRPr="00687F8B">
              <w:rPr>
                <w:color w:val="auto"/>
                <w:sz w:val="18"/>
              </w:rPr>
              <w:t>Migraine Headaches</w:t>
            </w:r>
          </w:p>
        </w:tc>
        <w:tc>
          <w:tcPr>
            <w:tcW w:w="720" w:type="dxa"/>
            <w:tcBorders>
              <w:left w:val="single" w:sz="4" w:space="0" w:color="auto"/>
            </w:tcBorders>
            <w:shd w:val="clear" w:color="auto" w:fill="FFFFFF"/>
            <w:vAlign w:val="center"/>
          </w:tcPr>
          <w:p w:rsidR="00582A3C" w:rsidRPr="00687F8B" w:rsidRDefault="00582A3C" w:rsidP="004A1697">
            <w:pPr>
              <w:spacing w:line="220" w:lineRule="exact"/>
              <w:contextualSpacing/>
              <w:jc w:val="center"/>
              <w:rPr>
                <w:color w:val="auto"/>
                <w:sz w:val="18"/>
              </w:rPr>
            </w:pPr>
            <w:r w:rsidRPr="00687F8B">
              <w:rPr>
                <w:color w:val="auto"/>
                <w:sz w:val="18"/>
              </w:rPr>
              <w:t>8100</w:t>
            </w:r>
          </w:p>
        </w:tc>
        <w:tc>
          <w:tcPr>
            <w:tcW w:w="810" w:type="dxa"/>
            <w:shd w:val="clear" w:color="auto" w:fill="FFFFFF"/>
            <w:vAlign w:val="center"/>
          </w:tcPr>
          <w:p w:rsidR="00582A3C" w:rsidRPr="00687F8B" w:rsidRDefault="00582A3C" w:rsidP="004A1697">
            <w:pPr>
              <w:spacing w:line="220" w:lineRule="exact"/>
              <w:contextualSpacing/>
              <w:jc w:val="center"/>
              <w:rPr>
                <w:color w:val="auto"/>
                <w:sz w:val="18"/>
              </w:rPr>
            </w:pPr>
            <w:r w:rsidRPr="00687F8B">
              <w:rPr>
                <w:color w:val="auto"/>
                <w:sz w:val="18"/>
              </w:rPr>
              <w:t>10%</w:t>
            </w:r>
          </w:p>
        </w:tc>
        <w:tc>
          <w:tcPr>
            <w:tcW w:w="1019" w:type="dxa"/>
            <w:shd w:val="clear" w:color="auto" w:fill="FFFFFF"/>
            <w:vAlign w:val="center"/>
          </w:tcPr>
          <w:p w:rsidR="00582A3C" w:rsidRPr="00687F8B" w:rsidRDefault="00582A3C" w:rsidP="004A1697">
            <w:pPr>
              <w:spacing w:line="220" w:lineRule="exact"/>
              <w:contextualSpacing/>
              <w:jc w:val="center"/>
              <w:rPr>
                <w:color w:val="auto"/>
                <w:sz w:val="18"/>
              </w:rPr>
            </w:pPr>
            <w:r w:rsidRPr="00687F8B">
              <w:rPr>
                <w:color w:val="auto"/>
                <w:sz w:val="18"/>
              </w:rPr>
              <w:t>20071203</w:t>
            </w:r>
          </w:p>
        </w:tc>
      </w:tr>
      <w:tr w:rsidR="00582A3C" w:rsidRPr="002A4119" w:rsidTr="004A1697">
        <w:trPr>
          <w:trHeight w:val="54"/>
          <w:jc w:val="center"/>
        </w:trPr>
        <w:tc>
          <w:tcPr>
            <w:tcW w:w="3939" w:type="dxa"/>
            <w:gridSpan w:val="3"/>
            <w:vMerge/>
            <w:tcBorders>
              <w:right w:val="thinThickThinSmallGap" w:sz="24" w:space="0" w:color="auto"/>
            </w:tcBorders>
            <w:shd w:val="clear" w:color="auto" w:fill="FFFFFF"/>
            <w:vAlign w:val="center"/>
          </w:tcPr>
          <w:p w:rsidR="00582A3C" w:rsidRPr="001C3EC4" w:rsidRDefault="00582A3C" w:rsidP="004A1697">
            <w:pPr>
              <w:spacing w:line="220" w:lineRule="exact"/>
              <w:contextualSpacing/>
              <w:jc w:val="center"/>
              <w:rPr>
                <w:color w:val="auto"/>
                <w:sz w:val="18"/>
              </w:rPr>
            </w:pPr>
          </w:p>
        </w:tc>
        <w:tc>
          <w:tcPr>
            <w:tcW w:w="4431" w:type="dxa"/>
            <w:gridSpan w:val="3"/>
            <w:tcBorders>
              <w:left w:val="thinThickThinSmallGap" w:sz="24" w:space="0" w:color="auto"/>
            </w:tcBorders>
            <w:shd w:val="clear" w:color="auto" w:fill="FFFFFF"/>
            <w:vAlign w:val="center"/>
          </w:tcPr>
          <w:p w:rsidR="00582A3C" w:rsidRPr="00687F8B" w:rsidRDefault="00582A3C" w:rsidP="004A1697">
            <w:pPr>
              <w:spacing w:line="220" w:lineRule="exact"/>
              <w:contextualSpacing/>
              <w:jc w:val="center"/>
              <w:rPr>
                <w:color w:val="auto"/>
                <w:sz w:val="18"/>
              </w:rPr>
            </w:pPr>
            <w:r w:rsidRPr="00687F8B">
              <w:rPr>
                <w:color w:val="auto"/>
                <w:sz w:val="18"/>
              </w:rPr>
              <w:t>0% x 3 / Not Service Connected x 2</w:t>
            </w:r>
          </w:p>
        </w:tc>
        <w:tc>
          <w:tcPr>
            <w:tcW w:w="1019" w:type="dxa"/>
            <w:shd w:val="clear" w:color="auto" w:fill="FFFFFF"/>
            <w:vAlign w:val="center"/>
          </w:tcPr>
          <w:p w:rsidR="00582A3C" w:rsidRPr="00687F8B" w:rsidRDefault="00582A3C" w:rsidP="004A1697">
            <w:pPr>
              <w:spacing w:line="220" w:lineRule="exact"/>
              <w:contextualSpacing/>
              <w:jc w:val="center"/>
              <w:rPr>
                <w:color w:val="auto"/>
                <w:sz w:val="18"/>
              </w:rPr>
            </w:pPr>
            <w:r w:rsidRPr="00687F8B">
              <w:rPr>
                <w:color w:val="auto"/>
                <w:sz w:val="18"/>
              </w:rPr>
              <w:t>20071203</w:t>
            </w:r>
          </w:p>
        </w:tc>
      </w:tr>
      <w:tr w:rsidR="00582A3C" w:rsidRPr="002A4119" w:rsidTr="004A1697">
        <w:trPr>
          <w:trHeight w:val="134"/>
          <w:jc w:val="center"/>
        </w:trPr>
        <w:tc>
          <w:tcPr>
            <w:tcW w:w="3939" w:type="dxa"/>
            <w:gridSpan w:val="3"/>
            <w:tcBorders>
              <w:right w:val="thinThickThinSmallGap" w:sz="24" w:space="0" w:color="auto"/>
            </w:tcBorders>
            <w:shd w:val="clear" w:color="auto" w:fill="D9D9D9"/>
          </w:tcPr>
          <w:p w:rsidR="00582A3C" w:rsidRPr="001C3EC4" w:rsidRDefault="00582A3C" w:rsidP="004A1697">
            <w:pPr>
              <w:spacing w:line="240" w:lineRule="exact"/>
              <w:contextualSpacing/>
              <w:jc w:val="center"/>
              <w:rPr>
                <w:b/>
                <w:color w:val="auto"/>
                <w:sz w:val="20"/>
              </w:rPr>
            </w:pPr>
            <w:r w:rsidRPr="001C3EC4">
              <w:rPr>
                <w:b/>
                <w:color w:val="auto"/>
                <w:sz w:val="20"/>
              </w:rPr>
              <w:t>Combined: 0%</w:t>
            </w:r>
          </w:p>
        </w:tc>
        <w:tc>
          <w:tcPr>
            <w:tcW w:w="5450" w:type="dxa"/>
            <w:gridSpan w:val="4"/>
            <w:tcBorders>
              <w:left w:val="thinThickThinSmallGap" w:sz="24" w:space="0" w:color="auto"/>
            </w:tcBorders>
            <w:shd w:val="clear" w:color="auto" w:fill="D9D9D9"/>
          </w:tcPr>
          <w:p w:rsidR="00582A3C" w:rsidRPr="00687F8B" w:rsidRDefault="00582A3C" w:rsidP="004A1697">
            <w:pPr>
              <w:spacing w:line="240" w:lineRule="exact"/>
              <w:contextualSpacing/>
              <w:jc w:val="center"/>
              <w:rPr>
                <w:b/>
                <w:color w:val="auto"/>
                <w:sz w:val="20"/>
              </w:rPr>
            </w:pPr>
            <w:r w:rsidRPr="00687F8B">
              <w:rPr>
                <w:b/>
                <w:color w:val="auto"/>
                <w:sz w:val="20"/>
              </w:rPr>
              <w:t>Combined:  70%</w:t>
            </w:r>
          </w:p>
        </w:tc>
      </w:tr>
    </w:tbl>
    <w:p w:rsidR="000C2DED" w:rsidRDefault="000C2DED" w:rsidP="00E2137E">
      <w:pPr>
        <w:pBdr>
          <w:bottom w:val="single" w:sz="12" w:space="1" w:color="auto"/>
        </w:pBdr>
        <w:tabs>
          <w:tab w:val="left" w:pos="288"/>
          <w:tab w:val="left" w:pos="4752"/>
        </w:tabs>
        <w:spacing w:line="240" w:lineRule="exact"/>
        <w:jc w:val="both"/>
        <w:rPr>
          <w:color w:val="auto"/>
          <w:sz w:val="18"/>
          <w:szCs w:val="18"/>
        </w:rPr>
      </w:pPr>
      <w:r>
        <w:rPr>
          <w:color w:val="auto"/>
          <w:sz w:val="18"/>
          <w:szCs w:val="18"/>
        </w:rPr>
        <w:t>*D</w:t>
      </w:r>
      <w:r w:rsidRPr="006640C3">
        <w:rPr>
          <w:color w:val="auto"/>
          <w:sz w:val="18"/>
          <w:szCs w:val="18"/>
        </w:rPr>
        <w:t>ecreased to 20% effective</w:t>
      </w:r>
      <w:r>
        <w:rPr>
          <w:color w:val="auto"/>
          <w:sz w:val="18"/>
          <w:szCs w:val="18"/>
        </w:rPr>
        <w:t xml:space="preserve"> 20090301.  **Increased to 30% 20090610</w:t>
      </w:r>
    </w:p>
    <w:p w:rsidR="009B01EE" w:rsidRDefault="00582A3C" w:rsidP="0071307C">
      <w:pPr>
        <w:tabs>
          <w:tab w:val="left" w:pos="288"/>
          <w:tab w:val="left" w:pos="4752"/>
        </w:tabs>
        <w:spacing w:line="240" w:lineRule="exact"/>
        <w:jc w:val="both"/>
        <w:rPr>
          <w:color w:val="auto"/>
        </w:rPr>
      </w:pPr>
      <w:r w:rsidRPr="00396779">
        <w:rPr>
          <w:color w:val="auto"/>
          <w:u w:val="single"/>
        </w:rPr>
        <w:lastRenderedPageBreak/>
        <w:t>ANALYSIS SUMMARY</w:t>
      </w:r>
      <w:r w:rsidRPr="00396779">
        <w:rPr>
          <w:color w:val="auto"/>
        </w:rPr>
        <w:t>:</w:t>
      </w:r>
      <w:r w:rsidRPr="00687F8B">
        <w:rPr>
          <w:rFonts w:ascii="Courier" w:hAnsi="Courier" w:cs="Courier"/>
          <w:color w:val="auto"/>
          <w:sz w:val="26"/>
        </w:rPr>
        <w:t xml:space="preserve"> </w:t>
      </w:r>
      <w:r w:rsidR="009557B1" w:rsidRPr="009557B1">
        <w:rPr>
          <w:rFonts w:eastAsia="Calibri"/>
          <w:color w:val="auto"/>
          <w:szCs w:val="24"/>
        </w:rPr>
        <w:t>The Board acknowledges the sentiment expressed in the CI’s application regarding the signi</w:t>
      </w:r>
      <w:r w:rsidR="009557B1">
        <w:rPr>
          <w:rFonts w:eastAsia="Calibri"/>
          <w:color w:val="auto"/>
          <w:szCs w:val="24"/>
        </w:rPr>
        <w:t>ficant impairment with which her</w:t>
      </w:r>
      <w:r w:rsidR="009557B1" w:rsidRPr="009557B1">
        <w:rPr>
          <w:rFonts w:eastAsia="Calibri"/>
          <w:color w:val="auto"/>
          <w:szCs w:val="24"/>
        </w:rPr>
        <w:t xml:space="preserve"> service-incurred condition continues to burden </w:t>
      </w:r>
      <w:r w:rsidR="009557B1">
        <w:rPr>
          <w:rFonts w:eastAsia="Calibri"/>
          <w:color w:val="auto"/>
          <w:szCs w:val="24"/>
        </w:rPr>
        <w:t>her</w:t>
      </w:r>
      <w:r w:rsidR="009557B1" w:rsidRPr="009557B1">
        <w:rPr>
          <w:rFonts w:eastAsia="Calibri"/>
          <w:color w:val="auto"/>
          <w:szCs w:val="24"/>
        </w:rPr>
        <w:t xml:space="preserve">.  The Board wishes to clarify that it is subject to the same laws for Service disability entitlements as those under which the </w:t>
      </w:r>
      <w:r w:rsidR="00E2137E">
        <w:rPr>
          <w:rFonts w:eastAsia="Calibri"/>
          <w:color w:val="auto"/>
          <w:szCs w:val="24"/>
        </w:rPr>
        <w:t xml:space="preserve">DES </w:t>
      </w:r>
      <w:r w:rsidR="009557B1" w:rsidRPr="009557B1">
        <w:rPr>
          <w:rFonts w:eastAsia="Calibri"/>
          <w:color w:val="auto"/>
          <w:szCs w:val="24"/>
        </w:rPr>
        <w:t xml:space="preserve">operates.  The </w:t>
      </w:r>
      <w:r w:rsidR="00E2137E">
        <w:rPr>
          <w:rFonts w:eastAsia="Calibri"/>
          <w:color w:val="auto"/>
          <w:szCs w:val="24"/>
        </w:rPr>
        <w:t>DES</w:t>
      </w:r>
      <w:r w:rsidR="009557B1" w:rsidRPr="009557B1">
        <w:rPr>
          <w:rFonts w:eastAsia="Calibri"/>
          <w:color w:val="auto"/>
          <w:szCs w:val="24"/>
        </w:rPr>
        <w:t xml:space="preserve"> has neither the role nor the authority to compensate </w:t>
      </w:r>
      <w:r w:rsidR="00E2137E">
        <w:rPr>
          <w:rFonts w:eastAsia="Calibri"/>
          <w:color w:val="auto"/>
          <w:szCs w:val="24"/>
        </w:rPr>
        <w:t>Service member</w:t>
      </w:r>
      <w:r w:rsidR="009557B1" w:rsidRPr="009557B1">
        <w:rPr>
          <w:rFonts w:eastAsia="Calibri"/>
          <w:color w:val="auto"/>
          <w:szCs w:val="24"/>
        </w:rPr>
        <w:t>s for anticipated future severity or potential complications of conditions resulting in medical separation.  That role and authority is granted by Congress to the Department of Veteran</w:t>
      </w:r>
      <w:r w:rsidR="00E2137E">
        <w:rPr>
          <w:rFonts w:eastAsia="Calibri"/>
          <w:color w:val="auto"/>
          <w:szCs w:val="24"/>
        </w:rPr>
        <w:t>s’</w:t>
      </w:r>
      <w:r w:rsidR="009557B1" w:rsidRPr="009557B1">
        <w:rPr>
          <w:rFonts w:eastAsia="Calibri"/>
          <w:color w:val="auto"/>
          <w:szCs w:val="24"/>
        </w:rPr>
        <w:t xml:space="preserve"> Affairs (DVA), operating under a different set of laws (Title 38, United States Code).  The Board evaluates </w:t>
      </w:r>
      <w:r w:rsidR="00E2137E">
        <w:rPr>
          <w:rFonts w:eastAsia="Calibri"/>
          <w:color w:val="auto"/>
          <w:szCs w:val="24"/>
        </w:rPr>
        <w:t>D</w:t>
      </w:r>
      <w:r w:rsidR="009557B1" w:rsidRPr="009557B1">
        <w:rPr>
          <w:rFonts w:eastAsia="Calibri"/>
          <w:color w:val="auto"/>
          <w:szCs w:val="24"/>
        </w:rPr>
        <w:t xml:space="preserve">VA evidence proximal to separation in arriving at its recommendations, but its authority resides in evaluating the fairness of </w:t>
      </w:r>
      <w:r w:rsidR="00E2137E">
        <w:rPr>
          <w:rFonts w:eastAsia="Calibri"/>
          <w:color w:val="auto"/>
          <w:szCs w:val="24"/>
        </w:rPr>
        <w:t>DES</w:t>
      </w:r>
      <w:r w:rsidR="009557B1" w:rsidRPr="009557B1">
        <w:rPr>
          <w:rFonts w:eastAsia="Calibri"/>
          <w:color w:val="auto"/>
          <w:szCs w:val="24"/>
        </w:rPr>
        <w:t xml:space="preserve"> fitness decisions and rating determinations for disability at the time of separation.  The Board further acknowledges the CI’s contention for Service ratings for other conditions documented at the time of separation, and notes that its recommendations in that regard must comply with the same governance.  While the </w:t>
      </w:r>
      <w:r w:rsidR="00E2137E">
        <w:rPr>
          <w:rFonts w:eastAsia="Calibri"/>
          <w:color w:val="auto"/>
          <w:szCs w:val="24"/>
        </w:rPr>
        <w:t>DES</w:t>
      </w:r>
      <w:r w:rsidR="009557B1" w:rsidRPr="009557B1">
        <w:rPr>
          <w:rFonts w:eastAsia="Calibri"/>
          <w:color w:val="auto"/>
          <w:szCs w:val="24"/>
        </w:rPr>
        <w:t xml:space="preserve"> considers all of the </w:t>
      </w:r>
      <w:r w:rsidR="00E2137E">
        <w:rPr>
          <w:rFonts w:eastAsia="Calibri"/>
          <w:color w:val="auto"/>
          <w:szCs w:val="24"/>
        </w:rPr>
        <w:t>Service member</w:t>
      </w:r>
      <w:r w:rsidR="009557B1" w:rsidRPr="009557B1">
        <w:rPr>
          <w:rFonts w:eastAsia="Calibri"/>
          <w:color w:val="auto"/>
          <w:szCs w:val="24"/>
        </w:rPr>
        <w:t>'s medical conditions, compensation can only be offered for tho</w:t>
      </w:r>
      <w:r w:rsidR="00E2137E">
        <w:rPr>
          <w:rFonts w:eastAsia="Calibri"/>
          <w:color w:val="auto"/>
          <w:szCs w:val="24"/>
        </w:rPr>
        <w:t xml:space="preserve">se medical conditions that cut </w:t>
      </w:r>
      <w:r w:rsidR="009557B1" w:rsidRPr="009557B1">
        <w:rPr>
          <w:rFonts w:eastAsia="Calibri"/>
          <w:color w:val="auto"/>
          <w:szCs w:val="24"/>
        </w:rPr>
        <w:t xml:space="preserve">short a </w:t>
      </w:r>
      <w:r w:rsidR="00E2137E">
        <w:rPr>
          <w:rFonts w:eastAsia="Calibri"/>
          <w:color w:val="auto"/>
          <w:szCs w:val="24"/>
        </w:rPr>
        <w:t>Service member</w:t>
      </w:r>
      <w:r w:rsidR="009557B1" w:rsidRPr="009557B1">
        <w:rPr>
          <w:rFonts w:eastAsia="Calibri"/>
          <w:color w:val="auto"/>
          <w:szCs w:val="24"/>
        </w:rPr>
        <w:t>’s career, and then only to the degree of severity present at the time</w:t>
      </w:r>
      <w:r w:rsidR="00E2137E">
        <w:rPr>
          <w:rFonts w:eastAsia="Calibri"/>
          <w:color w:val="auto"/>
          <w:szCs w:val="24"/>
        </w:rPr>
        <w:t xml:space="preserve"> of final disposition.  The DVA;</w:t>
      </w:r>
      <w:r w:rsidR="009557B1" w:rsidRPr="009557B1">
        <w:rPr>
          <w:rFonts w:eastAsia="Calibri"/>
          <w:color w:val="auto"/>
          <w:szCs w:val="24"/>
        </w:rPr>
        <w:t xml:space="preserve"> however, is empowered to compensate service</w:t>
      </w:r>
      <w:r w:rsidR="00E2137E">
        <w:rPr>
          <w:rFonts w:eastAsia="Calibri"/>
          <w:color w:val="auto"/>
          <w:szCs w:val="24"/>
        </w:rPr>
        <w:t>-</w:t>
      </w:r>
      <w:r w:rsidR="009557B1" w:rsidRPr="009557B1">
        <w:rPr>
          <w:rFonts w:eastAsia="Calibri"/>
          <w:color w:val="auto"/>
          <w:szCs w:val="24"/>
        </w:rPr>
        <w:t>connected conditions and to periodically re-evaluate said conditions fo</w:t>
      </w:r>
      <w:r w:rsidR="00E2137E">
        <w:rPr>
          <w:rFonts w:eastAsia="Calibri"/>
          <w:color w:val="auto"/>
          <w:szCs w:val="24"/>
        </w:rPr>
        <w:t>r the purpose of adjusting the V</w:t>
      </w:r>
      <w:r w:rsidR="009557B1" w:rsidRPr="009557B1">
        <w:rPr>
          <w:rFonts w:eastAsia="Calibri"/>
          <w:color w:val="auto"/>
          <w:szCs w:val="24"/>
        </w:rPr>
        <w:t xml:space="preserve">eteran’s </w:t>
      </w:r>
      <w:r w:rsidR="00E2137E">
        <w:rPr>
          <w:rFonts w:eastAsia="Calibri"/>
          <w:color w:val="auto"/>
          <w:szCs w:val="24"/>
        </w:rPr>
        <w:t xml:space="preserve">disability rating should the </w:t>
      </w:r>
      <w:r w:rsidR="009557B1" w:rsidRPr="009557B1">
        <w:rPr>
          <w:rFonts w:eastAsia="Calibri"/>
          <w:color w:val="auto"/>
          <w:szCs w:val="24"/>
        </w:rPr>
        <w:t>degree of impairment vary over time.</w:t>
      </w:r>
      <w:r w:rsidR="00960769">
        <w:rPr>
          <w:rFonts w:eastAsia="Calibri"/>
          <w:color w:val="auto"/>
          <w:szCs w:val="24"/>
        </w:rPr>
        <w:t xml:space="preserve">  T</w:t>
      </w:r>
      <w:r w:rsidR="00F236E6" w:rsidRPr="00F236E6">
        <w:rPr>
          <w:rFonts w:eastAsia="Calibri"/>
          <w:color w:val="auto"/>
          <w:szCs w:val="24"/>
        </w:rPr>
        <w:t xml:space="preserve">he Board </w:t>
      </w:r>
      <w:r w:rsidR="00960769">
        <w:rPr>
          <w:rFonts w:eastAsia="Calibri"/>
          <w:color w:val="auto"/>
          <w:szCs w:val="24"/>
        </w:rPr>
        <w:t>must consider</w:t>
      </w:r>
      <w:r w:rsidR="00F236E6" w:rsidRPr="00F236E6">
        <w:rPr>
          <w:rFonts w:eastAsia="Calibri"/>
          <w:color w:val="auto"/>
          <w:szCs w:val="24"/>
        </w:rPr>
        <w:t xml:space="preserve"> the significant interval (</w:t>
      </w:r>
      <w:r w:rsidR="00F236E6">
        <w:rPr>
          <w:rFonts w:eastAsia="Calibri"/>
          <w:color w:val="auto"/>
          <w:szCs w:val="24"/>
        </w:rPr>
        <w:t>21</w:t>
      </w:r>
      <w:r w:rsidR="00F236E6" w:rsidRPr="00F236E6">
        <w:rPr>
          <w:rFonts w:eastAsia="Calibri"/>
          <w:color w:val="auto"/>
          <w:szCs w:val="24"/>
        </w:rPr>
        <w:t xml:space="preserve"> months) between the date of separation and the </w:t>
      </w:r>
      <w:r w:rsidR="00F236E6">
        <w:rPr>
          <w:rFonts w:eastAsia="Calibri"/>
          <w:color w:val="auto"/>
          <w:szCs w:val="24"/>
        </w:rPr>
        <w:t xml:space="preserve">CI’s earliest subsequent </w:t>
      </w:r>
      <w:r w:rsidR="00E2137E">
        <w:rPr>
          <w:rFonts w:eastAsia="Calibri"/>
          <w:color w:val="auto"/>
          <w:szCs w:val="24"/>
        </w:rPr>
        <w:t>D</w:t>
      </w:r>
      <w:r w:rsidR="00F236E6" w:rsidRPr="00F236E6">
        <w:rPr>
          <w:rFonts w:eastAsia="Calibri"/>
          <w:color w:val="auto"/>
          <w:szCs w:val="24"/>
        </w:rPr>
        <w:t>VA evaluation</w:t>
      </w:r>
      <w:r w:rsidR="00F236E6">
        <w:rPr>
          <w:rFonts w:eastAsia="Calibri"/>
          <w:color w:val="auto"/>
          <w:szCs w:val="24"/>
        </w:rPr>
        <w:t>s</w:t>
      </w:r>
      <w:r w:rsidR="00F236E6" w:rsidRPr="00F236E6">
        <w:rPr>
          <w:rFonts w:eastAsia="Calibri"/>
          <w:color w:val="auto"/>
          <w:szCs w:val="24"/>
        </w:rPr>
        <w:t>.  DoDI 6040.44, under which the Board operates, specifies a 12</w:t>
      </w:r>
      <w:r w:rsidR="00E2137E">
        <w:rPr>
          <w:rFonts w:eastAsia="Calibri"/>
          <w:color w:val="auto"/>
          <w:szCs w:val="24"/>
        </w:rPr>
        <w:t>-</w:t>
      </w:r>
      <w:r w:rsidR="00F236E6" w:rsidRPr="00F236E6">
        <w:rPr>
          <w:rFonts w:eastAsia="Calibri"/>
          <w:color w:val="auto"/>
          <w:szCs w:val="24"/>
        </w:rPr>
        <w:t xml:space="preserve">month interval for special consideration to </w:t>
      </w:r>
      <w:r w:rsidR="00E2137E">
        <w:rPr>
          <w:rFonts w:eastAsia="Calibri"/>
          <w:color w:val="auto"/>
          <w:szCs w:val="24"/>
        </w:rPr>
        <w:t>D</w:t>
      </w:r>
      <w:r w:rsidR="00F236E6" w:rsidRPr="00F236E6">
        <w:rPr>
          <w:rFonts w:eastAsia="Calibri"/>
          <w:color w:val="auto"/>
          <w:szCs w:val="24"/>
        </w:rPr>
        <w:t xml:space="preserve">VA findings.  This does not mean that the </w:t>
      </w:r>
      <w:r w:rsidR="00E2137E">
        <w:rPr>
          <w:rFonts w:eastAsia="Calibri"/>
          <w:color w:val="auto"/>
          <w:szCs w:val="24"/>
        </w:rPr>
        <w:t>D</w:t>
      </w:r>
      <w:r w:rsidR="00F236E6" w:rsidRPr="00F236E6">
        <w:rPr>
          <w:rFonts w:eastAsia="Calibri"/>
          <w:color w:val="auto"/>
          <w:szCs w:val="24"/>
        </w:rPr>
        <w:t>VA information was disregarded, as it was a valuable source for clinical information and opinions relevant to the Board’s evaluation.  In matters germane to the severity and disability at the time of separation, however, the information in the service record was assigned proportionately more probative value as a basis for the Board’s rating recommendations.</w:t>
      </w:r>
      <w:r w:rsidR="009B01EE" w:rsidRPr="009B01EE">
        <w:rPr>
          <w:color w:val="auto"/>
        </w:rPr>
        <w:t xml:space="preserve"> </w:t>
      </w:r>
    </w:p>
    <w:p w:rsidR="009B01EE" w:rsidRDefault="009B01EE" w:rsidP="0071307C">
      <w:pPr>
        <w:tabs>
          <w:tab w:val="left" w:pos="288"/>
          <w:tab w:val="left" w:pos="4752"/>
        </w:tabs>
        <w:spacing w:line="240" w:lineRule="exact"/>
        <w:jc w:val="both"/>
        <w:rPr>
          <w:color w:val="auto"/>
        </w:rPr>
      </w:pPr>
    </w:p>
    <w:p w:rsidR="000C2DED" w:rsidRDefault="009B01EE" w:rsidP="00E2137E">
      <w:pPr>
        <w:tabs>
          <w:tab w:val="left" w:pos="288"/>
          <w:tab w:val="left" w:pos="4752"/>
        </w:tabs>
        <w:spacing w:line="240" w:lineRule="exact"/>
        <w:jc w:val="both"/>
        <w:rPr>
          <w:color w:val="auto"/>
        </w:rPr>
      </w:pPr>
      <w:r w:rsidRPr="00180B3C">
        <w:rPr>
          <w:color w:val="auto"/>
        </w:rPr>
        <w:t xml:space="preserve">The Board </w:t>
      </w:r>
      <w:r>
        <w:rPr>
          <w:color w:val="auto"/>
        </w:rPr>
        <w:t xml:space="preserve">further </w:t>
      </w:r>
      <w:r w:rsidRPr="00180B3C">
        <w:rPr>
          <w:color w:val="auto"/>
        </w:rPr>
        <w:t xml:space="preserve">acknowledges the CI’s assertions that </w:t>
      </w:r>
      <w:r>
        <w:rPr>
          <w:color w:val="auto"/>
        </w:rPr>
        <w:t xml:space="preserve">medical care for her back condition was delayed, may have been inappropriate, or may have caused other medical conditions.  </w:t>
      </w:r>
      <w:r w:rsidRPr="00180B3C">
        <w:rPr>
          <w:color w:val="auto"/>
        </w:rPr>
        <w:t xml:space="preserve">It is noted for the record that the Board has neither the jurisdiction nor authority to scrutinize or render opinions in reference to the CI’s statements in the application regarding suspected Service </w:t>
      </w:r>
      <w:r>
        <w:rPr>
          <w:color w:val="auto"/>
        </w:rPr>
        <w:t xml:space="preserve">medical errors </w:t>
      </w:r>
      <w:r w:rsidRPr="00180B3C">
        <w:rPr>
          <w:color w:val="auto"/>
        </w:rPr>
        <w:t xml:space="preserve">in </w:t>
      </w:r>
      <w:r>
        <w:rPr>
          <w:color w:val="auto"/>
        </w:rPr>
        <w:t>her</w:t>
      </w:r>
      <w:r w:rsidRPr="00180B3C">
        <w:rPr>
          <w:color w:val="auto"/>
        </w:rPr>
        <w:t xml:space="preserve"> </w:t>
      </w:r>
      <w:r>
        <w:rPr>
          <w:color w:val="auto"/>
        </w:rPr>
        <w:t>treatment; or, of the asserted procedural improprieties</w:t>
      </w:r>
      <w:r w:rsidRPr="00180B3C">
        <w:rPr>
          <w:color w:val="auto"/>
        </w:rPr>
        <w:t xml:space="preserve"> </w:t>
      </w:r>
      <w:r>
        <w:rPr>
          <w:color w:val="auto"/>
        </w:rPr>
        <w:t>with her disposition and disability rating</w:t>
      </w:r>
      <w:r w:rsidRPr="00180B3C">
        <w:rPr>
          <w:color w:val="auto"/>
        </w:rPr>
        <w:t>.  The Board’s role is confined to the review of medical records and all evidence at hand to assess the fairness of PEB rating determinations, compared to VASRD standards, based on severity at the time of separation.  It must also judge the fairness of PEB fitness adjudications based on the fitness consequences of conditions as they existed at the time of separation.</w:t>
      </w:r>
    </w:p>
    <w:p w:rsidR="00E2137E" w:rsidRDefault="00E2137E" w:rsidP="00E2137E">
      <w:pPr>
        <w:tabs>
          <w:tab w:val="left" w:pos="288"/>
          <w:tab w:val="left" w:pos="4752"/>
        </w:tabs>
        <w:spacing w:line="240" w:lineRule="exact"/>
        <w:jc w:val="both"/>
        <w:rPr>
          <w:rFonts w:eastAsia="Calibri"/>
          <w:color w:val="auto"/>
          <w:szCs w:val="24"/>
        </w:rPr>
      </w:pPr>
    </w:p>
    <w:p w:rsidR="00582A3C" w:rsidRDefault="00152161" w:rsidP="00E2137E">
      <w:pPr>
        <w:tabs>
          <w:tab w:val="left" w:pos="288"/>
          <w:tab w:val="left" w:pos="4752"/>
        </w:tabs>
        <w:spacing w:line="240" w:lineRule="exact"/>
        <w:jc w:val="both"/>
        <w:rPr>
          <w:color w:val="auto"/>
        </w:rPr>
      </w:pPr>
      <w:proofErr w:type="gramStart"/>
      <w:r>
        <w:rPr>
          <w:color w:val="auto"/>
          <w:u w:val="single"/>
        </w:rPr>
        <w:t>Lumbar Spine</w:t>
      </w:r>
      <w:r w:rsidR="00582A3C" w:rsidRPr="00664296">
        <w:rPr>
          <w:color w:val="auto"/>
          <w:u w:val="single"/>
        </w:rPr>
        <w:t xml:space="preserve"> Condition</w:t>
      </w:r>
      <w:r w:rsidR="00582A3C" w:rsidRPr="00664296">
        <w:rPr>
          <w:color w:val="auto"/>
        </w:rPr>
        <w:t>.</w:t>
      </w:r>
      <w:proofErr w:type="gramEnd"/>
      <w:r w:rsidR="00582A3C" w:rsidRPr="00664296">
        <w:rPr>
          <w:color w:val="auto"/>
        </w:rPr>
        <w:t xml:space="preserve">  </w:t>
      </w:r>
      <w:r w:rsidR="000D1EC0" w:rsidRPr="00835129">
        <w:rPr>
          <w:color w:val="auto"/>
        </w:rPr>
        <w:t>The CI report</w:t>
      </w:r>
      <w:r w:rsidR="000D1EC0">
        <w:rPr>
          <w:color w:val="auto"/>
        </w:rPr>
        <w:t>ed</w:t>
      </w:r>
      <w:r w:rsidR="000D1EC0" w:rsidRPr="00835129">
        <w:rPr>
          <w:color w:val="auto"/>
        </w:rPr>
        <w:t xml:space="preserve"> first experiencing low back pain with minor radiation while playing basketball </w:t>
      </w:r>
      <w:r w:rsidR="009B01EE">
        <w:rPr>
          <w:color w:val="auto"/>
        </w:rPr>
        <w:t>at the age of fourteen</w:t>
      </w:r>
      <w:r w:rsidR="000D1EC0" w:rsidRPr="00835129">
        <w:rPr>
          <w:color w:val="auto"/>
        </w:rPr>
        <w:t>.  During basic training in 1999</w:t>
      </w:r>
      <w:r w:rsidR="000D1EC0" w:rsidRPr="00664296">
        <w:rPr>
          <w:color w:val="auto"/>
        </w:rPr>
        <w:t xml:space="preserve">, </w:t>
      </w:r>
      <w:r w:rsidR="000D1EC0">
        <w:rPr>
          <w:color w:val="auto"/>
        </w:rPr>
        <w:t>she experienced</w:t>
      </w:r>
      <w:r w:rsidR="000D1EC0" w:rsidRPr="00664296">
        <w:rPr>
          <w:color w:val="auto"/>
        </w:rPr>
        <w:t xml:space="preserve"> a sudden exacerbation of low back pain with some radiation down the left thigh.  The pain was </w:t>
      </w:r>
      <w:r w:rsidR="000D1EC0">
        <w:rPr>
          <w:color w:val="auto"/>
        </w:rPr>
        <w:t>exacerbated by</w:t>
      </w:r>
      <w:r w:rsidR="000D1EC0" w:rsidRPr="00664296">
        <w:rPr>
          <w:color w:val="auto"/>
        </w:rPr>
        <w:t xml:space="preserve"> repeated physical activities. </w:t>
      </w:r>
      <w:r w:rsidR="000D1EC0">
        <w:rPr>
          <w:color w:val="auto"/>
        </w:rPr>
        <w:t xml:space="preserve"> Magnetic resonance imaging (MRI) completed in April 2001</w:t>
      </w:r>
      <w:r w:rsidR="000D1EC0" w:rsidRPr="00664296">
        <w:rPr>
          <w:color w:val="auto"/>
        </w:rPr>
        <w:t xml:space="preserve"> revealed “disc </w:t>
      </w:r>
      <w:r w:rsidR="00580052" w:rsidRPr="00664296">
        <w:rPr>
          <w:color w:val="auto"/>
        </w:rPr>
        <w:t>desiccation</w:t>
      </w:r>
      <w:r w:rsidR="000D1EC0" w:rsidRPr="00664296">
        <w:rPr>
          <w:color w:val="auto"/>
        </w:rPr>
        <w:t xml:space="preserve"> and a moderately large left </w:t>
      </w:r>
      <w:proofErr w:type="spellStart"/>
      <w:r w:rsidR="000D1EC0" w:rsidRPr="00664296">
        <w:rPr>
          <w:color w:val="auto"/>
        </w:rPr>
        <w:t>paracentral</w:t>
      </w:r>
      <w:proofErr w:type="spellEnd"/>
      <w:r w:rsidR="000D1EC0" w:rsidRPr="00664296">
        <w:rPr>
          <w:color w:val="auto"/>
        </w:rPr>
        <w:t xml:space="preserve"> disc protrusion at L5-S1, which could result in a left S1 </w:t>
      </w:r>
      <w:proofErr w:type="spellStart"/>
      <w:r w:rsidR="000D1EC0" w:rsidRPr="00664296">
        <w:rPr>
          <w:color w:val="auto"/>
        </w:rPr>
        <w:t>radiculopathy</w:t>
      </w:r>
      <w:proofErr w:type="spellEnd"/>
      <w:r w:rsidR="000D1EC0" w:rsidRPr="00664296">
        <w:rPr>
          <w:color w:val="auto"/>
        </w:rPr>
        <w:t xml:space="preserve">.” </w:t>
      </w:r>
      <w:r w:rsidR="00E2137E">
        <w:rPr>
          <w:color w:val="auto"/>
        </w:rPr>
        <w:t xml:space="preserve"> </w:t>
      </w:r>
      <w:r w:rsidR="000D1EC0" w:rsidRPr="00664296">
        <w:rPr>
          <w:color w:val="auto"/>
        </w:rPr>
        <w:t>The CI was treated with epidural ste</w:t>
      </w:r>
      <w:r w:rsidR="000D1EC0">
        <w:rPr>
          <w:color w:val="auto"/>
        </w:rPr>
        <w:t>roid injections, which she reported</w:t>
      </w:r>
      <w:r w:rsidR="000D1EC0" w:rsidRPr="00664296">
        <w:rPr>
          <w:color w:val="auto"/>
        </w:rPr>
        <w:t xml:space="preserve"> did not help.  In January 2002, a partial hemi</w:t>
      </w:r>
      <w:r w:rsidR="000D1EC0">
        <w:rPr>
          <w:color w:val="auto"/>
        </w:rPr>
        <w:t>-</w:t>
      </w:r>
      <w:proofErr w:type="spellStart"/>
      <w:r w:rsidR="000D1EC0" w:rsidRPr="00664296">
        <w:rPr>
          <w:color w:val="auto"/>
        </w:rPr>
        <w:t>laminectomy</w:t>
      </w:r>
      <w:proofErr w:type="spellEnd"/>
      <w:r w:rsidR="000D1EC0" w:rsidRPr="00664296">
        <w:rPr>
          <w:color w:val="auto"/>
        </w:rPr>
        <w:t xml:space="preserve"> and </w:t>
      </w:r>
      <w:proofErr w:type="spellStart"/>
      <w:r w:rsidR="000D1EC0" w:rsidRPr="00664296">
        <w:rPr>
          <w:color w:val="auto"/>
        </w:rPr>
        <w:t>discectomy</w:t>
      </w:r>
      <w:proofErr w:type="spellEnd"/>
      <w:r w:rsidR="000D1EC0" w:rsidRPr="00664296">
        <w:rPr>
          <w:color w:val="auto"/>
        </w:rPr>
        <w:t xml:space="preserve"> at L5-S1 was performed with good results.  Left radicular pain was relieved.  Six months after surgery</w:t>
      </w:r>
      <w:r w:rsidR="0071307C">
        <w:rPr>
          <w:color w:val="auto"/>
        </w:rPr>
        <w:t>;</w:t>
      </w:r>
      <w:r w:rsidR="000D1EC0" w:rsidRPr="00664296">
        <w:rPr>
          <w:color w:val="auto"/>
        </w:rPr>
        <w:t xml:space="preserve"> however, the CI reported recurrent </w:t>
      </w:r>
      <w:r w:rsidR="009B01EE" w:rsidRPr="00664296">
        <w:rPr>
          <w:color w:val="auto"/>
        </w:rPr>
        <w:t xml:space="preserve">back </w:t>
      </w:r>
      <w:r w:rsidR="000D1EC0" w:rsidRPr="00664296">
        <w:rPr>
          <w:color w:val="auto"/>
        </w:rPr>
        <w:t xml:space="preserve">pain </w:t>
      </w:r>
      <w:r w:rsidR="000D1EC0">
        <w:rPr>
          <w:color w:val="auto"/>
        </w:rPr>
        <w:t>(</w:t>
      </w:r>
      <w:r w:rsidR="000D1EC0" w:rsidRPr="00664296">
        <w:rPr>
          <w:color w:val="auto"/>
        </w:rPr>
        <w:t xml:space="preserve">without </w:t>
      </w:r>
      <w:proofErr w:type="spellStart"/>
      <w:r w:rsidR="000D1EC0" w:rsidRPr="00664296">
        <w:rPr>
          <w:color w:val="auto"/>
        </w:rPr>
        <w:t>radiculopathy</w:t>
      </w:r>
      <w:proofErr w:type="spellEnd"/>
      <w:r w:rsidR="000D1EC0">
        <w:rPr>
          <w:color w:val="auto"/>
        </w:rPr>
        <w:t>)</w:t>
      </w:r>
      <w:r w:rsidR="000D1EC0" w:rsidRPr="00664296">
        <w:rPr>
          <w:color w:val="auto"/>
        </w:rPr>
        <w:t xml:space="preserve">.  An MRI </w:t>
      </w:r>
      <w:r w:rsidR="000D1EC0">
        <w:rPr>
          <w:color w:val="auto"/>
        </w:rPr>
        <w:t>in 2004 revealed a subtle annular bulge and degenerative disc disease (DDD) at L5-S1, but did not show any evidence of recurrent or residual disc herniation.</w:t>
      </w:r>
      <w:r w:rsidR="000D1EC0" w:rsidRPr="00664296">
        <w:rPr>
          <w:color w:val="auto"/>
        </w:rPr>
        <w:t xml:space="preserve">  </w:t>
      </w:r>
      <w:r w:rsidR="00582A3C" w:rsidRPr="00664296">
        <w:rPr>
          <w:color w:val="auto"/>
        </w:rPr>
        <w:t xml:space="preserve">There were </w:t>
      </w:r>
      <w:r w:rsidR="00582A3C">
        <w:rPr>
          <w:color w:val="auto"/>
        </w:rPr>
        <w:t>three</w:t>
      </w:r>
      <w:r w:rsidR="0071307C">
        <w:rPr>
          <w:color w:val="auto"/>
        </w:rPr>
        <w:t xml:space="preserve"> </w:t>
      </w:r>
      <w:proofErr w:type="gramStart"/>
      <w:r w:rsidR="0071307C">
        <w:rPr>
          <w:color w:val="auto"/>
        </w:rPr>
        <w:t>range</w:t>
      </w:r>
      <w:proofErr w:type="gramEnd"/>
      <w:r w:rsidR="0071307C">
        <w:rPr>
          <w:color w:val="auto"/>
        </w:rPr>
        <w:t xml:space="preserve"> of </w:t>
      </w:r>
      <w:r w:rsidR="00582A3C" w:rsidRPr="00664296">
        <w:rPr>
          <w:color w:val="auto"/>
        </w:rPr>
        <w:t>motion (ROM) evaluations in evidence</w:t>
      </w:r>
      <w:r w:rsidR="00982ED2">
        <w:rPr>
          <w:color w:val="auto"/>
        </w:rPr>
        <w:t>, with documentation of ratable physical findings,</w:t>
      </w:r>
      <w:r w:rsidR="00582A3C" w:rsidRPr="00664296">
        <w:rPr>
          <w:color w:val="auto"/>
        </w:rPr>
        <w:t xml:space="preserve"> which the Board weighed in arriving at its rating recommendation</w:t>
      </w:r>
      <w:r w:rsidR="00982ED2">
        <w:rPr>
          <w:color w:val="auto"/>
        </w:rPr>
        <w:t>;</w:t>
      </w:r>
      <w:r w:rsidR="000D1EC0">
        <w:rPr>
          <w:color w:val="auto"/>
        </w:rPr>
        <w:t xml:space="preserve"> although</w:t>
      </w:r>
      <w:r w:rsidR="00982ED2">
        <w:rPr>
          <w:color w:val="auto"/>
        </w:rPr>
        <w:t>,</w:t>
      </w:r>
      <w:r w:rsidR="000D1EC0">
        <w:rPr>
          <w:color w:val="auto"/>
        </w:rPr>
        <w:t xml:space="preserve"> the delayed VA evaluation is minimally probative as elaborated above</w:t>
      </w:r>
      <w:r w:rsidR="00582A3C" w:rsidRPr="00687F8B">
        <w:rPr>
          <w:color w:val="auto"/>
        </w:rPr>
        <w:t xml:space="preserve">.  </w:t>
      </w:r>
      <w:r w:rsidR="00982ED2">
        <w:rPr>
          <w:color w:val="auto"/>
        </w:rPr>
        <w:t>T</w:t>
      </w:r>
      <w:r w:rsidR="00582A3C" w:rsidRPr="00664296">
        <w:rPr>
          <w:color w:val="auto"/>
        </w:rPr>
        <w:t>hese exams are summarized in the chart below.</w:t>
      </w:r>
    </w:p>
    <w:p w:rsidR="0071307C" w:rsidRPr="00664296" w:rsidRDefault="0071307C" w:rsidP="00E2137E">
      <w:pPr>
        <w:tabs>
          <w:tab w:val="left" w:pos="288"/>
          <w:tab w:val="left" w:pos="4752"/>
        </w:tabs>
        <w:spacing w:line="240" w:lineRule="exact"/>
        <w:jc w:val="both"/>
        <w:rPr>
          <w:color w:val="auto"/>
        </w:rPr>
      </w:pPr>
    </w:p>
    <w:p w:rsidR="00582A3C" w:rsidRPr="00664296" w:rsidRDefault="00582A3C" w:rsidP="00664296">
      <w:pPr>
        <w:tabs>
          <w:tab w:val="left" w:pos="288"/>
          <w:tab w:val="left" w:pos="4752"/>
        </w:tabs>
        <w:spacing w:line="240" w:lineRule="exact"/>
        <w:rPr>
          <w:color w:val="auto"/>
        </w:rPr>
      </w:pPr>
    </w:p>
    <w:tbl>
      <w:tblPr>
        <w:tblW w:w="0" w:type="auto"/>
        <w:jc w:val="center"/>
        <w:tblInd w:w="-2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8"/>
        <w:gridCol w:w="2430"/>
        <w:gridCol w:w="2340"/>
        <w:gridCol w:w="1852"/>
        <w:gridCol w:w="569"/>
      </w:tblGrid>
      <w:tr w:rsidR="00582A3C" w:rsidRPr="007269E1" w:rsidTr="007269E1">
        <w:trPr>
          <w:jc w:val="center"/>
        </w:trPr>
        <w:tc>
          <w:tcPr>
            <w:tcW w:w="1998" w:type="dxa"/>
            <w:tcBorders>
              <w:top w:val="single" w:sz="4" w:space="0" w:color="auto"/>
              <w:left w:val="single" w:sz="4" w:space="0" w:color="auto"/>
            </w:tcBorders>
            <w:shd w:val="pct15" w:color="auto" w:fill="auto"/>
            <w:vAlign w:val="center"/>
          </w:tcPr>
          <w:p w:rsidR="00582A3C" w:rsidRPr="007269E1" w:rsidRDefault="00582A3C" w:rsidP="007269E1">
            <w:pPr>
              <w:spacing w:line="220" w:lineRule="exact"/>
              <w:contextualSpacing/>
              <w:jc w:val="center"/>
              <w:rPr>
                <w:color w:val="auto"/>
                <w:sz w:val="20"/>
              </w:rPr>
            </w:pPr>
            <w:r w:rsidRPr="007269E1">
              <w:rPr>
                <w:color w:val="auto"/>
                <w:sz w:val="20"/>
              </w:rPr>
              <w:lastRenderedPageBreak/>
              <w:t>Thoracolumbar ROM</w:t>
            </w:r>
          </w:p>
        </w:tc>
        <w:tc>
          <w:tcPr>
            <w:tcW w:w="2430" w:type="dxa"/>
            <w:tcBorders>
              <w:top w:val="single" w:sz="4" w:space="0" w:color="auto"/>
              <w:left w:val="single" w:sz="4" w:space="0" w:color="auto"/>
            </w:tcBorders>
            <w:shd w:val="pct15" w:color="auto" w:fill="auto"/>
            <w:vAlign w:val="center"/>
          </w:tcPr>
          <w:p w:rsidR="00582A3C" w:rsidRPr="007269E1" w:rsidRDefault="007269E1" w:rsidP="007269E1">
            <w:pPr>
              <w:spacing w:line="220" w:lineRule="exact"/>
              <w:contextualSpacing/>
              <w:jc w:val="center"/>
              <w:rPr>
                <w:color w:val="auto"/>
                <w:sz w:val="20"/>
              </w:rPr>
            </w:pPr>
            <w:r w:rsidRPr="007269E1">
              <w:rPr>
                <w:color w:val="auto"/>
                <w:sz w:val="20"/>
              </w:rPr>
              <w:t>MEB Ortho</w:t>
            </w:r>
            <w:r w:rsidR="00582A3C" w:rsidRPr="007269E1">
              <w:rPr>
                <w:color w:val="auto"/>
                <w:sz w:val="20"/>
              </w:rPr>
              <w:t xml:space="preserve"> </w:t>
            </w:r>
            <w:r>
              <w:rPr>
                <w:color w:val="auto"/>
                <w:sz w:val="20"/>
              </w:rPr>
              <w:t>~</w:t>
            </w:r>
            <w:r w:rsidR="00582A3C" w:rsidRPr="007269E1">
              <w:rPr>
                <w:color w:val="auto"/>
                <w:sz w:val="20"/>
              </w:rPr>
              <w:t>7 Mo. Pre-Sep</w:t>
            </w:r>
          </w:p>
        </w:tc>
        <w:tc>
          <w:tcPr>
            <w:tcW w:w="2340" w:type="dxa"/>
            <w:shd w:val="pct15" w:color="auto" w:fill="auto"/>
            <w:vAlign w:val="center"/>
          </w:tcPr>
          <w:p w:rsidR="00582A3C" w:rsidRPr="007269E1" w:rsidRDefault="007269E1" w:rsidP="007269E1">
            <w:pPr>
              <w:spacing w:line="220" w:lineRule="exact"/>
              <w:contextualSpacing/>
              <w:jc w:val="center"/>
              <w:rPr>
                <w:color w:val="auto"/>
                <w:sz w:val="20"/>
              </w:rPr>
            </w:pPr>
            <w:r w:rsidRPr="007269E1">
              <w:rPr>
                <w:color w:val="auto"/>
                <w:sz w:val="20"/>
              </w:rPr>
              <w:t>NARSUM</w:t>
            </w:r>
            <w:r w:rsidR="00582A3C" w:rsidRPr="007269E1">
              <w:rPr>
                <w:color w:val="auto"/>
                <w:sz w:val="20"/>
              </w:rPr>
              <w:t xml:space="preserve"> </w:t>
            </w:r>
            <w:r>
              <w:rPr>
                <w:color w:val="auto"/>
                <w:sz w:val="20"/>
              </w:rPr>
              <w:t>~</w:t>
            </w:r>
            <w:r w:rsidR="00582A3C" w:rsidRPr="007269E1">
              <w:rPr>
                <w:color w:val="auto"/>
                <w:sz w:val="20"/>
              </w:rPr>
              <w:t>5 Mo. Pre-Sep</w:t>
            </w:r>
          </w:p>
        </w:tc>
        <w:tc>
          <w:tcPr>
            <w:tcW w:w="2421" w:type="dxa"/>
            <w:gridSpan w:val="2"/>
            <w:tcBorders>
              <w:bottom w:val="single" w:sz="4" w:space="0" w:color="auto"/>
            </w:tcBorders>
            <w:shd w:val="pct15" w:color="auto" w:fill="auto"/>
            <w:vAlign w:val="center"/>
          </w:tcPr>
          <w:p w:rsidR="00582A3C" w:rsidRPr="007269E1" w:rsidRDefault="007269E1" w:rsidP="007269E1">
            <w:pPr>
              <w:spacing w:line="220" w:lineRule="exact"/>
              <w:contextualSpacing/>
              <w:jc w:val="center"/>
              <w:rPr>
                <w:color w:val="auto"/>
                <w:sz w:val="20"/>
              </w:rPr>
            </w:pPr>
            <w:r w:rsidRPr="007269E1">
              <w:rPr>
                <w:color w:val="auto"/>
                <w:sz w:val="20"/>
              </w:rPr>
              <w:t>VA C&amp;P</w:t>
            </w:r>
            <w:r>
              <w:rPr>
                <w:color w:val="auto"/>
                <w:sz w:val="20"/>
              </w:rPr>
              <w:t xml:space="preserve"> ~</w:t>
            </w:r>
            <w:r w:rsidR="00582A3C" w:rsidRPr="007269E1">
              <w:rPr>
                <w:color w:val="auto"/>
                <w:sz w:val="20"/>
              </w:rPr>
              <w:t>20 Mo. Post-Sep</w:t>
            </w:r>
          </w:p>
        </w:tc>
      </w:tr>
      <w:tr w:rsidR="00152161" w:rsidRPr="007269E1" w:rsidTr="007269E1">
        <w:trPr>
          <w:trHeight w:val="88"/>
          <w:jc w:val="center"/>
        </w:trPr>
        <w:tc>
          <w:tcPr>
            <w:tcW w:w="1998" w:type="dxa"/>
            <w:tcBorders>
              <w:top w:val="single" w:sz="4" w:space="0" w:color="auto"/>
              <w:left w:val="single" w:sz="4" w:space="0" w:color="auto"/>
              <w:bottom w:val="single" w:sz="4" w:space="0" w:color="auto"/>
            </w:tcBorders>
            <w:vAlign w:val="center"/>
          </w:tcPr>
          <w:p w:rsidR="00152161" w:rsidRPr="007269E1" w:rsidRDefault="00152161" w:rsidP="007269E1">
            <w:pPr>
              <w:pStyle w:val="ListParagraph"/>
              <w:spacing w:after="0" w:line="220" w:lineRule="exact"/>
              <w:ind w:left="0"/>
              <w:jc w:val="center"/>
              <w:rPr>
                <w:sz w:val="20"/>
                <w:szCs w:val="20"/>
              </w:rPr>
            </w:pPr>
            <w:r w:rsidRPr="007269E1">
              <w:rPr>
                <w:sz w:val="20"/>
                <w:szCs w:val="20"/>
              </w:rPr>
              <w:t>Flexion</w:t>
            </w:r>
            <w:r w:rsidR="007269E1" w:rsidRPr="007269E1">
              <w:rPr>
                <w:sz w:val="20"/>
                <w:szCs w:val="20"/>
              </w:rPr>
              <w:t xml:space="preserve"> (</w:t>
            </w:r>
            <w:r w:rsidRPr="007269E1">
              <w:rPr>
                <w:sz w:val="20"/>
                <w:szCs w:val="20"/>
              </w:rPr>
              <w:t>90</w:t>
            </w:r>
            <w:r w:rsidR="007269E1" w:rsidRPr="007269E1">
              <w:rPr>
                <w:rFonts w:cs="Calibri"/>
                <w:sz w:val="20"/>
                <w:szCs w:val="20"/>
              </w:rPr>
              <w:t>⁰</w:t>
            </w:r>
            <w:r w:rsidR="007269E1" w:rsidRPr="007269E1">
              <w:rPr>
                <w:sz w:val="20"/>
                <w:szCs w:val="20"/>
              </w:rPr>
              <w:t xml:space="preserve"> Normal</w:t>
            </w:r>
            <w:r w:rsidRPr="007269E1">
              <w:rPr>
                <w:sz w:val="20"/>
                <w:szCs w:val="20"/>
              </w:rPr>
              <w:t>)</w:t>
            </w:r>
          </w:p>
        </w:tc>
        <w:tc>
          <w:tcPr>
            <w:tcW w:w="2430" w:type="dxa"/>
            <w:tcBorders>
              <w:top w:val="single" w:sz="4" w:space="0" w:color="auto"/>
              <w:left w:val="single" w:sz="4" w:space="0" w:color="auto"/>
              <w:bottom w:val="single" w:sz="4" w:space="0" w:color="auto"/>
            </w:tcBorders>
            <w:vAlign w:val="center"/>
          </w:tcPr>
          <w:p w:rsidR="00152161" w:rsidRPr="007269E1" w:rsidRDefault="00152161" w:rsidP="007269E1">
            <w:pPr>
              <w:pStyle w:val="ListParagraph"/>
              <w:spacing w:after="0" w:line="220" w:lineRule="exact"/>
              <w:ind w:left="0"/>
              <w:jc w:val="center"/>
              <w:rPr>
                <w:sz w:val="20"/>
                <w:szCs w:val="20"/>
              </w:rPr>
            </w:pPr>
            <w:r w:rsidRPr="007269E1">
              <w:rPr>
                <w:sz w:val="20"/>
                <w:szCs w:val="20"/>
              </w:rPr>
              <w:t>&gt; 90⁰</w:t>
            </w:r>
          </w:p>
        </w:tc>
        <w:tc>
          <w:tcPr>
            <w:tcW w:w="2340" w:type="dxa"/>
            <w:tcBorders>
              <w:top w:val="single" w:sz="4" w:space="0" w:color="auto"/>
            </w:tcBorders>
            <w:vAlign w:val="center"/>
          </w:tcPr>
          <w:p w:rsidR="00152161" w:rsidRPr="007269E1" w:rsidRDefault="00152161" w:rsidP="007269E1">
            <w:pPr>
              <w:spacing w:line="220" w:lineRule="exact"/>
              <w:contextualSpacing/>
              <w:jc w:val="center"/>
              <w:rPr>
                <w:color w:val="auto"/>
                <w:sz w:val="20"/>
              </w:rPr>
            </w:pPr>
            <w:r w:rsidRPr="007269E1">
              <w:rPr>
                <w:color w:val="auto"/>
                <w:sz w:val="20"/>
              </w:rPr>
              <w:t>&gt; 90⁰</w:t>
            </w:r>
          </w:p>
        </w:tc>
        <w:tc>
          <w:tcPr>
            <w:tcW w:w="1852" w:type="dxa"/>
            <w:tcBorders>
              <w:top w:val="single" w:sz="4" w:space="0" w:color="auto"/>
              <w:bottom w:val="single" w:sz="4" w:space="0" w:color="auto"/>
              <w:right w:val="nil"/>
            </w:tcBorders>
            <w:vAlign w:val="center"/>
          </w:tcPr>
          <w:p w:rsidR="00152161" w:rsidRPr="007269E1" w:rsidRDefault="00152161" w:rsidP="007269E1">
            <w:pPr>
              <w:spacing w:line="220" w:lineRule="exact"/>
              <w:contextualSpacing/>
              <w:jc w:val="center"/>
              <w:rPr>
                <w:color w:val="auto"/>
                <w:sz w:val="20"/>
              </w:rPr>
            </w:pPr>
            <w:r w:rsidRPr="007269E1">
              <w:rPr>
                <w:color w:val="auto"/>
                <w:sz w:val="20"/>
              </w:rPr>
              <w:t>&lt;30⁰</w:t>
            </w:r>
          </w:p>
        </w:tc>
        <w:tc>
          <w:tcPr>
            <w:tcW w:w="569" w:type="dxa"/>
            <w:tcBorders>
              <w:top w:val="single" w:sz="4" w:space="0" w:color="auto"/>
              <w:left w:val="nil"/>
              <w:bottom w:val="single" w:sz="4" w:space="0" w:color="auto"/>
            </w:tcBorders>
            <w:vAlign w:val="center"/>
          </w:tcPr>
          <w:p w:rsidR="00152161" w:rsidRPr="007269E1" w:rsidRDefault="00152161" w:rsidP="007269E1">
            <w:pPr>
              <w:spacing w:line="220" w:lineRule="exact"/>
              <w:jc w:val="center"/>
              <w:rPr>
                <w:color w:val="auto"/>
                <w:sz w:val="20"/>
              </w:rPr>
            </w:pPr>
          </w:p>
        </w:tc>
      </w:tr>
      <w:tr w:rsidR="00152161" w:rsidRPr="007269E1" w:rsidTr="007269E1">
        <w:trPr>
          <w:jc w:val="center"/>
        </w:trPr>
        <w:tc>
          <w:tcPr>
            <w:tcW w:w="1998" w:type="dxa"/>
            <w:tcBorders>
              <w:top w:val="single" w:sz="4" w:space="0" w:color="auto"/>
              <w:left w:val="single" w:sz="4" w:space="0" w:color="auto"/>
              <w:bottom w:val="single" w:sz="4" w:space="0" w:color="auto"/>
            </w:tcBorders>
            <w:vAlign w:val="center"/>
          </w:tcPr>
          <w:p w:rsidR="00152161" w:rsidRPr="007269E1" w:rsidRDefault="007269E1" w:rsidP="007269E1">
            <w:pPr>
              <w:pStyle w:val="ListParagraph"/>
              <w:spacing w:after="0" w:line="220" w:lineRule="exact"/>
              <w:ind w:left="0"/>
              <w:jc w:val="center"/>
              <w:rPr>
                <w:sz w:val="20"/>
                <w:szCs w:val="20"/>
              </w:rPr>
            </w:pPr>
            <w:r w:rsidRPr="007269E1">
              <w:rPr>
                <w:sz w:val="20"/>
                <w:szCs w:val="20"/>
              </w:rPr>
              <w:t>Combined</w:t>
            </w:r>
            <w:r w:rsidR="00152161" w:rsidRPr="007269E1">
              <w:rPr>
                <w:sz w:val="20"/>
                <w:szCs w:val="20"/>
              </w:rPr>
              <w:t xml:space="preserve"> (</w:t>
            </w:r>
            <w:r w:rsidRPr="007269E1">
              <w:rPr>
                <w:sz w:val="20"/>
                <w:szCs w:val="20"/>
              </w:rPr>
              <w:t>240</w:t>
            </w:r>
            <w:r w:rsidRPr="007269E1">
              <w:rPr>
                <w:rFonts w:cs="Calibri"/>
                <w:sz w:val="20"/>
                <w:szCs w:val="20"/>
              </w:rPr>
              <w:t>⁰</w:t>
            </w:r>
            <w:r w:rsidR="00152161" w:rsidRPr="007269E1">
              <w:rPr>
                <w:sz w:val="20"/>
                <w:szCs w:val="20"/>
              </w:rPr>
              <w:t>)</w:t>
            </w:r>
          </w:p>
        </w:tc>
        <w:tc>
          <w:tcPr>
            <w:tcW w:w="2430" w:type="dxa"/>
            <w:tcBorders>
              <w:top w:val="single" w:sz="4" w:space="0" w:color="auto"/>
              <w:left w:val="single" w:sz="4" w:space="0" w:color="auto"/>
              <w:bottom w:val="single" w:sz="4" w:space="0" w:color="auto"/>
            </w:tcBorders>
            <w:vAlign w:val="center"/>
          </w:tcPr>
          <w:p w:rsidR="00152161" w:rsidRPr="007269E1" w:rsidRDefault="00152161" w:rsidP="007269E1">
            <w:pPr>
              <w:spacing w:line="220" w:lineRule="exact"/>
              <w:contextualSpacing/>
              <w:jc w:val="center"/>
              <w:rPr>
                <w:color w:val="auto"/>
                <w:sz w:val="20"/>
              </w:rPr>
            </w:pPr>
            <w:r w:rsidRPr="007269E1">
              <w:rPr>
                <w:color w:val="auto"/>
                <w:sz w:val="20"/>
              </w:rPr>
              <w:t>&gt; 240⁰</w:t>
            </w:r>
          </w:p>
        </w:tc>
        <w:tc>
          <w:tcPr>
            <w:tcW w:w="2340" w:type="dxa"/>
            <w:vAlign w:val="center"/>
          </w:tcPr>
          <w:p w:rsidR="00152161" w:rsidRPr="007269E1" w:rsidRDefault="00152161" w:rsidP="007269E1">
            <w:pPr>
              <w:spacing w:line="220" w:lineRule="exact"/>
              <w:jc w:val="center"/>
              <w:rPr>
                <w:color w:val="auto"/>
                <w:sz w:val="20"/>
              </w:rPr>
            </w:pPr>
            <w:r w:rsidRPr="007269E1">
              <w:rPr>
                <w:color w:val="auto"/>
                <w:sz w:val="20"/>
              </w:rPr>
              <w:t>Incomplete</w:t>
            </w:r>
          </w:p>
        </w:tc>
        <w:tc>
          <w:tcPr>
            <w:tcW w:w="1852" w:type="dxa"/>
            <w:tcBorders>
              <w:top w:val="single" w:sz="4" w:space="0" w:color="auto"/>
              <w:right w:val="nil"/>
            </w:tcBorders>
            <w:vAlign w:val="center"/>
          </w:tcPr>
          <w:p w:rsidR="00152161" w:rsidRPr="007269E1" w:rsidRDefault="00152161" w:rsidP="007269E1">
            <w:pPr>
              <w:spacing w:line="220" w:lineRule="exact"/>
              <w:jc w:val="center"/>
              <w:rPr>
                <w:color w:val="auto"/>
                <w:sz w:val="20"/>
              </w:rPr>
            </w:pPr>
            <w:r w:rsidRPr="007269E1">
              <w:rPr>
                <w:color w:val="auto"/>
                <w:sz w:val="20"/>
              </w:rPr>
              <w:t>&lt;120⁰</w:t>
            </w:r>
          </w:p>
        </w:tc>
        <w:tc>
          <w:tcPr>
            <w:tcW w:w="569" w:type="dxa"/>
            <w:tcBorders>
              <w:top w:val="single" w:sz="4" w:space="0" w:color="auto"/>
              <w:left w:val="nil"/>
            </w:tcBorders>
            <w:vAlign w:val="center"/>
          </w:tcPr>
          <w:p w:rsidR="00152161" w:rsidRPr="007269E1" w:rsidRDefault="00152161" w:rsidP="007269E1">
            <w:pPr>
              <w:spacing w:line="220" w:lineRule="exact"/>
              <w:jc w:val="center"/>
              <w:rPr>
                <w:color w:val="auto"/>
                <w:sz w:val="20"/>
              </w:rPr>
            </w:pPr>
          </w:p>
        </w:tc>
      </w:tr>
      <w:tr w:rsidR="007269E1" w:rsidRPr="007269E1" w:rsidTr="007269E1">
        <w:trPr>
          <w:jc w:val="center"/>
        </w:trPr>
        <w:tc>
          <w:tcPr>
            <w:tcW w:w="1998" w:type="dxa"/>
            <w:tcBorders>
              <w:top w:val="single" w:sz="4" w:space="0" w:color="auto"/>
              <w:left w:val="single" w:sz="4" w:space="0" w:color="auto"/>
              <w:bottom w:val="single" w:sz="4" w:space="0" w:color="auto"/>
            </w:tcBorders>
            <w:vAlign w:val="center"/>
          </w:tcPr>
          <w:p w:rsidR="007269E1" w:rsidRPr="007269E1" w:rsidRDefault="007269E1" w:rsidP="007269E1">
            <w:pPr>
              <w:pStyle w:val="ListParagraph"/>
              <w:spacing w:after="0" w:line="220" w:lineRule="exact"/>
              <w:ind w:left="0"/>
              <w:jc w:val="center"/>
              <w:rPr>
                <w:sz w:val="20"/>
                <w:szCs w:val="20"/>
              </w:rPr>
            </w:pPr>
            <w:r w:rsidRPr="007269E1">
              <w:rPr>
                <w:sz w:val="20"/>
                <w:szCs w:val="20"/>
              </w:rPr>
              <w:t>Comment</w:t>
            </w:r>
          </w:p>
        </w:tc>
        <w:tc>
          <w:tcPr>
            <w:tcW w:w="7191" w:type="dxa"/>
            <w:gridSpan w:val="4"/>
            <w:tcBorders>
              <w:top w:val="single" w:sz="4" w:space="0" w:color="auto"/>
              <w:left w:val="single" w:sz="4" w:space="0" w:color="auto"/>
              <w:bottom w:val="single" w:sz="4" w:space="0" w:color="auto"/>
            </w:tcBorders>
            <w:vAlign w:val="center"/>
          </w:tcPr>
          <w:p w:rsidR="007269E1" w:rsidRPr="007269E1" w:rsidRDefault="007269E1" w:rsidP="007269E1">
            <w:pPr>
              <w:tabs>
                <w:tab w:val="left" w:pos="288"/>
                <w:tab w:val="left" w:pos="4752"/>
              </w:tabs>
              <w:spacing w:line="220" w:lineRule="exact"/>
              <w:jc w:val="center"/>
              <w:rPr>
                <w:color w:val="auto"/>
                <w:sz w:val="20"/>
              </w:rPr>
            </w:pPr>
            <w:r>
              <w:rPr>
                <w:color w:val="auto"/>
                <w:sz w:val="20"/>
              </w:rPr>
              <w:t>Painful motion and/or tenderness on all exams; normal gait and contour.</w:t>
            </w:r>
          </w:p>
        </w:tc>
      </w:tr>
      <w:tr w:rsidR="00582A3C" w:rsidRPr="007269E1" w:rsidTr="007269E1">
        <w:trPr>
          <w:jc w:val="center"/>
        </w:trPr>
        <w:tc>
          <w:tcPr>
            <w:tcW w:w="1998" w:type="dxa"/>
            <w:tcBorders>
              <w:top w:val="single" w:sz="4" w:space="0" w:color="auto"/>
              <w:left w:val="single" w:sz="4" w:space="0" w:color="auto"/>
              <w:bottom w:val="single" w:sz="4" w:space="0" w:color="auto"/>
            </w:tcBorders>
            <w:vAlign w:val="center"/>
          </w:tcPr>
          <w:p w:rsidR="00582A3C" w:rsidRPr="007269E1" w:rsidRDefault="00582A3C" w:rsidP="007269E1">
            <w:pPr>
              <w:pStyle w:val="ListParagraph"/>
              <w:spacing w:after="0" w:line="220" w:lineRule="exact"/>
              <w:ind w:left="0"/>
              <w:jc w:val="center"/>
              <w:rPr>
                <w:sz w:val="20"/>
                <w:szCs w:val="20"/>
              </w:rPr>
            </w:pPr>
            <w:r w:rsidRPr="007269E1">
              <w:rPr>
                <w:sz w:val="20"/>
                <w:szCs w:val="20"/>
              </w:rPr>
              <w:t>§4.71a Rating</w:t>
            </w:r>
          </w:p>
        </w:tc>
        <w:tc>
          <w:tcPr>
            <w:tcW w:w="2430" w:type="dxa"/>
            <w:tcBorders>
              <w:top w:val="single" w:sz="4" w:space="0" w:color="auto"/>
              <w:left w:val="single" w:sz="4" w:space="0" w:color="auto"/>
              <w:bottom w:val="single" w:sz="4" w:space="0" w:color="auto"/>
            </w:tcBorders>
            <w:vAlign w:val="center"/>
          </w:tcPr>
          <w:p w:rsidR="00582A3C" w:rsidRPr="007269E1" w:rsidRDefault="00582A3C" w:rsidP="007269E1">
            <w:pPr>
              <w:pStyle w:val="ListParagraph"/>
              <w:spacing w:after="0" w:line="220" w:lineRule="exact"/>
              <w:ind w:left="0"/>
              <w:jc w:val="center"/>
              <w:rPr>
                <w:sz w:val="20"/>
                <w:szCs w:val="20"/>
              </w:rPr>
            </w:pPr>
            <w:r w:rsidRPr="007269E1">
              <w:rPr>
                <w:sz w:val="20"/>
                <w:szCs w:val="20"/>
              </w:rPr>
              <w:t>10%*</w:t>
            </w:r>
          </w:p>
        </w:tc>
        <w:tc>
          <w:tcPr>
            <w:tcW w:w="2340" w:type="dxa"/>
            <w:vAlign w:val="center"/>
          </w:tcPr>
          <w:p w:rsidR="00582A3C" w:rsidRPr="007269E1" w:rsidRDefault="00582A3C" w:rsidP="007269E1">
            <w:pPr>
              <w:tabs>
                <w:tab w:val="left" w:pos="288"/>
                <w:tab w:val="left" w:pos="4752"/>
              </w:tabs>
              <w:spacing w:line="220" w:lineRule="exact"/>
              <w:jc w:val="center"/>
              <w:rPr>
                <w:color w:val="auto"/>
                <w:sz w:val="20"/>
              </w:rPr>
            </w:pPr>
            <w:r w:rsidRPr="007269E1">
              <w:rPr>
                <w:color w:val="auto"/>
                <w:sz w:val="20"/>
              </w:rPr>
              <w:t>10%*</w:t>
            </w:r>
          </w:p>
        </w:tc>
        <w:tc>
          <w:tcPr>
            <w:tcW w:w="2421" w:type="dxa"/>
            <w:gridSpan w:val="2"/>
            <w:vAlign w:val="center"/>
          </w:tcPr>
          <w:p w:rsidR="00582A3C" w:rsidRPr="007269E1" w:rsidRDefault="00855025" w:rsidP="007269E1">
            <w:pPr>
              <w:tabs>
                <w:tab w:val="left" w:pos="288"/>
                <w:tab w:val="left" w:pos="4752"/>
              </w:tabs>
              <w:spacing w:line="220" w:lineRule="exact"/>
              <w:jc w:val="center"/>
              <w:rPr>
                <w:color w:val="auto"/>
                <w:sz w:val="20"/>
              </w:rPr>
            </w:pPr>
            <w:r w:rsidRPr="007269E1">
              <w:rPr>
                <w:color w:val="auto"/>
                <w:sz w:val="20"/>
              </w:rPr>
              <w:t>4</w:t>
            </w:r>
            <w:r w:rsidR="00582A3C" w:rsidRPr="007269E1">
              <w:rPr>
                <w:color w:val="auto"/>
                <w:sz w:val="20"/>
              </w:rPr>
              <w:t>0%</w:t>
            </w:r>
          </w:p>
        </w:tc>
      </w:tr>
    </w:tbl>
    <w:p w:rsidR="00582A3C" w:rsidRPr="00982ED2" w:rsidRDefault="00152161" w:rsidP="00982ED2">
      <w:pPr>
        <w:tabs>
          <w:tab w:val="left" w:pos="288"/>
          <w:tab w:val="left" w:pos="3510"/>
        </w:tabs>
        <w:spacing w:after="120" w:line="240" w:lineRule="exact"/>
        <w:rPr>
          <w:color w:val="auto"/>
          <w:sz w:val="20"/>
        </w:rPr>
      </w:pPr>
      <w:r>
        <w:rPr>
          <w:color w:val="auto"/>
          <w:sz w:val="18"/>
        </w:rPr>
        <w:tab/>
      </w:r>
      <w:r w:rsidRPr="007269E1">
        <w:rPr>
          <w:color w:val="auto"/>
          <w:sz w:val="20"/>
        </w:rPr>
        <w:t xml:space="preserve">     </w:t>
      </w:r>
      <w:r w:rsidR="007269E1">
        <w:rPr>
          <w:color w:val="auto"/>
          <w:sz w:val="20"/>
        </w:rPr>
        <w:t xml:space="preserve">                                                </w:t>
      </w:r>
      <w:r w:rsidR="00582A3C" w:rsidRPr="007269E1">
        <w:rPr>
          <w:color w:val="auto"/>
          <w:sz w:val="20"/>
        </w:rPr>
        <w:t>* Conceding §4.59 (painful motion) as below.</w:t>
      </w:r>
    </w:p>
    <w:p w:rsidR="00582A3C" w:rsidRPr="00664296" w:rsidRDefault="00582A3C" w:rsidP="009D1216">
      <w:pPr>
        <w:tabs>
          <w:tab w:val="left" w:pos="288"/>
          <w:tab w:val="left" w:pos="4752"/>
        </w:tabs>
        <w:spacing w:line="240" w:lineRule="exact"/>
        <w:jc w:val="both"/>
        <w:rPr>
          <w:color w:val="auto"/>
        </w:rPr>
      </w:pPr>
      <w:r>
        <w:rPr>
          <w:color w:val="auto"/>
        </w:rPr>
        <w:t>At</w:t>
      </w:r>
      <w:r w:rsidRPr="00664296">
        <w:rPr>
          <w:color w:val="auto"/>
        </w:rPr>
        <w:t xml:space="preserve"> the </w:t>
      </w:r>
      <w:r w:rsidR="00982ED2" w:rsidRPr="00664296">
        <w:rPr>
          <w:color w:val="auto"/>
        </w:rPr>
        <w:t xml:space="preserve">pre-separation </w:t>
      </w:r>
      <w:r w:rsidRPr="00664296">
        <w:rPr>
          <w:color w:val="auto"/>
        </w:rPr>
        <w:t>MEB exam, the CI reported mild low back pain.  This was aggravated by activity.  The CI also reported pain radiating to the right buttock, but only during occasional episodes that occur</w:t>
      </w:r>
      <w:r w:rsidR="00982ED2">
        <w:rPr>
          <w:color w:val="auto"/>
        </w:rPr>
        <w:t>red</w:t>
      </w:r>
      <w:r w:rsidRPr="00664296">
        <w:rPr>
          <w:color w:val="auto"/>
        </w:rPr>
        <w:t xml:space="preserve"> </w:t>
      </w:r>
      <w:r w:rsidR="00982ED2">
        <w:rPr>
          <w:color w:val="auto"/>
        </w:rPr>
        <w:t>3-4 times a year.  O</w:t>
      </w:r>
      <w:r w:rsidRPr="00664296">
        <w:rPr>
          <w:color w:val="auto"/>
        </w:rPr>
        <w:t xml:space="preserve">n </w:t>
      </w:r>
      <w:r w:rsidR="00982ED2">
        <w:rPr>
          <w:color w:val="auto"/>
        </w:rPr>
        <w:t xml:space="preserve">physical </w:t>
      </w:r>
      <w:r w:rsidRPr="00664296">
        <w:rPr>
          <w:color w:val="auto"/>
        </w:rPr>
        <w:t xml:space="preserve">examination, the MEB physician noted good mobility with a full </w:t>
      </w:r>
      <w:r w:rsidR="0071307C">
        <w:rPr>
          <w:color w:val="auto"/>
        </w:rPr>
        <w:t>ROM</w:t>
      </w:r>
      <w:r w:rsidRPr="00664296">
        <w:rPr>
          <w:color w:val="auto"/>
        </w:rPr>
        <w:t xml:space="preserve">.  </w:t>
      </w:r>
      <w:r w:rsidR="004837E2">
        <w:rPr>
          <w:color w:val="auto"/>
        </w:rPr>
        <w:t xml:space="preserve">A thorough and well documented exam by an orthopedic surgeon </w:t>
      </w:r>
      <w:r w:rsidR="00982ED2">
        <w:rPr>
          <w:color w:val="auto"/>
        </w:rPr>
        <w:t>during the same period</w:t>
      </w:r>
      <w:r w:rsidR="004837E2">
        <w:rPr>
          <w:color w:val="auto"/>
        </w:rPr>
        <w:t xml:space="preserve"> revealed similar findings. </w:t>
      </w:r>
      <w:r w:rsidR="004160AE">
        <w:rPr>
          <w:color w:val="auto"/>
        </w:rPr>
        <w:t xml:space="preserve"> </w:t>
      </w:r>
      <w:r>
        <w:rPr>
          <w:color w:val="auto"/>
        </w:rPr>
        <w:t>At</w:t>
      </w:r>
      <w:r w:rsidRPr="00664296">
        <w:rPr>
          <w:color w:val="auto"/>
        </w:rPr>
        <w:t xml:space="preserve"> the </w:t>
      </w:r>
      <w:r w:rsidR="0071307C">
        <w:rPr>
          <w:color w:val="auto"/>
        </w:rPr>
        <w:t>VA Compensation and</w:t>
      </w:r>
      <w:r w:rsidRPr="00381861">
        <w:rPr>
          <w:color w:val="auto"/>
        </w:rPr>
        <w:t xml:space="preserve"> Pension (C&amp;P) exam </w:t>
      </w:r>
      <w:r w:rsidRPr="00664296">
        <w:rPr>
          <w:color w:val="auto"/>
        </w:rPr>
        <w:t xml:space="preserve">almost two years </w:t>
      </w:r>
      <w:r w:rsidR="0071307C">
        <w:rPr>
          <w:color w:val="auto"/>
        </w:rPr>
        <w:t xml:space="preserve">after </w:t>
      </w:r>
      <w:r w:rsidRPr="00664296">
        <w:rPr>
          <w:color w:val="auto"/>
        </w:rPr>
        <w:t xml:space="preserve">separation, the CI reported weakness, stiffness, fatigability and lack of endurance.  The examiner noted a slight postural abnormality and a drastically limited </w:t>
      </w:r>
      <w:r w:rsidR="0071307C">
        <w:rPr>
          <w:color w:val="auto"/>
        </w:rPr>
        <w:t>ROM</w:t>
      </w:r>
      <w:r w:rsidRPr="00664296">
        <w:rPr>
          <w:color w:val="auto"/>
        </w:rPr>
        <w:t xml:space="preserve"> with severe pain and spasms.  The diagnosis was </w:t>
      </w:r>
      <w:proofErr w:type="spellStart"/>
      <w:r w:rsidRPr="00664296">
        <w:rPr>
          <w:color w:val="auto"/>
        </w:rPr>
        <w:t>lumbo</w:t>
      </w:r>
      <w:r w:rsidRPr="0071307C">
        <w:rPr>
          <w:color w:val="auto"/>
        </w:rPr>
        <w:t>sacral</w:t>
      </w:r>
      <w:proofErr w:type="spellEnd"/>
      <w:r w:rsidRPr="0071307C">
        <w:rPr>
          <w:color w:val="auto"/>
        </w:rPr>
        <w:t xml:space="preserve"> DDD</w:t>
      </w:r>
      <w:r w:rsidR="00982ED2" w:rsidRPr="0071307C">
        <w:rPr>
          <w:color w:val="auto"/>
        </w:rPr>
        <w:t>,</w:t>
      </w:r>
      <w:r w:rsidRPr="0071307C">
        <w:rPr>
          <w:color w:val="auto"/>
        </w:rPr>
        <w:t xml:space="preserve"> w</w:t>
      </w:r>
      <w:r w:rsidRPr="00664296">
        <w:rPr>
          <w:color w:val="auto"/>
        </w:rPr>
        <w:t xml:space="preserve">hich had a </w:t>
      </w:r>
      <w:r w:rsidR="00982ED2">
        <w:rPr>
          <w:color w:val="auto"/>
        </w:rPr>
        <w:t>“</w:t>
      </w:r>
      <w:r w:rsidRPr="00664296">
        <w:rPr>
          <w:color w:val="auto"/>
        </w:rPr>
        <w:t xml:space="preserve">moderate effect on the </w:t>
      </w:r>
      <w:r w:rsidR="00982ED2">
        <w:rPr>
          <w:color w:val="auto"/>
        </w:rPr>
        <w:t>veteran’s</w:t>
      </w:r>
      <w:r w:rsidRPr="00664296">
        <w:rPr>
          <w:color w:val="auto"/>
        </w:rPr>
        <w:t xml:space="preserve"> ability to perform </w:t>
      </w:r>
      <w:r w:rsidR="00982ED2">
        <w:rPr>
          <w:color w:val="auto"/>
        </w:rPr>
        <w:t xml:space="preserve">her </w:t>
      </w:r>
      <w:r w:rsidRPr="00664296">
        <w:rPr>
          <w:color w:val="auto"/>
        </w:rPr>
        <w:t xml:space="preserve">occupational </w:t>
      </w:r>
      <w:r w:rsidR="00982ED2">
        <w:rPr>
          <w:color w:val="auto"/>
        </w:rPr>
        <w:t xml:space="preserve">… </w:t>
      </w:r>
      <w:r w:rsidRPr="00664296">
        <w:rPr>
          <w:color w:val="auto"/>
        </w:rPr>
        <w:t xml:space="preserve">and </w:t>
      </w:r>
      <w:r w:rsidR="00982ED2">
        <w:rPr>
          <w:color w:val="auto"/>
        </w:rPr>
        <w:t xml:space="preserve">usual </w:t>
      </w:r>
      <w:r w:rsidR="00693592">
        <w:rPr>
          <w:color w:val="auto"/>
        </w:rPr>
        <w:t>daily activities.”</w:t>
      </w:r>
      <w:r w:rsidRPr="00664296">
        <w:rPr>
          <w:color w:val="auto"/>
        </w:rPr>
        <w:t xml:space="preserve">  </w:t>
      </w:r>
      <w:r w:rsidR="009B01EE">
        <w:rPr>
          <w:color w:val="auto"/>
        </w:rPr>
        <w:t>The markedly worse ROM</w:t>
      </w:r>
      <w:r w:rsidR="00A811F0" w:rsidRPr="00A811F0">
        <w:rPr>
          <w:color w:val="auto"/>
        </w:rPr>
        <w:t xml:space="preserve"> values reported </w:t>
      </w:r>
      <w:r w:rsidR="009B01EE">
        <w:rPr>
          <w:color w:val="auto"/>
        </w:rPr>
        <w:t>in the VA examination are not explained by any documented</w:t>
      </w:r>
      <w:r w:rsidR="00A811F0" w:rsidRPr="00A811F0">
        <w:rPr>
          <w:color w:val="auto"/>
        </w:rPr>
        <w:t xml:space="preserve"> recurrent injury or other development</w:t>
      </w:r>
      <w:r w:rsidR="0071307C">
        <w:rPr>
          <w:color w:val="auto"/>
        </w:rPr>
        <w:t>,</w:t>
      </w:r>
      <w:r w:rsidR="00693592">
        <w:rPr>
          <w:color w:val="auto"/>
        </w:rPr>
        <w:t xml:space="preserve"> although if there were such aggravating factors, they are not probative for the Board’s recommendation as already reiterated</w:t>
      </w:r>
      <w:r w:rsidR="00A811F0" w:rsidRPr="00A811F0">
        <w:rPr>
          <w:color w:val="auto"/>
        </w:rPr>
        <w:t xml:space="preserve">. </w:t>
      </w:r>
      <w:r w:rsidR="00246230">
        <w:rPr>
          <w:color w:val="auto"/>
        </w:rPr>
        <w:t xml:space="preserve"> </w:t>
      </w:r>
      <w:r w:rsidR="006E5337">
        <w:rPr>
          <w:color w:val="000000"/>
        </w:rPr>
        <w:t xml:space="preserve">Although the MEB measurements provided in the narrative summary (NARSUM) were incomplete and </w:t>
      </w:r>
      <w:r w:rsidR="00531289">
        <w:rPr>
          <w:color w:val="000000"/>
        </w:rPr>
        <w:t>not compliant with</w:t>
      </w:r>
      <w:r w:rsidR="006E5337">
        <w:rPr>
          <w:color w:val="000000"/>
        </w:rPr>
        <w:t xml:space="preserve"> VASRD </w:t>
      </w:r>
      <w:r w:rsidR="006E5337" w:rsidRPr="006E5337">
        <w:rPr>
          <w:rFonts w:eastAsia="Calibri"/>
          <w:color w:val="auto"/>
          <w:szCs w:val="24"/>
        </w:rPr>
        <w:t>§4.46 (accurate measurement)</w:t>
      </w:r>
      <w:r w:rsidR="006E5337">
        <w:rPr>
          <w:rFonts w:eastAsia="Calibri"/>
          <w:color w:val="auto"/>
          <w:szCs w:val="24"/>
        </w:rPr>
        <w:t xml:space="preserve">; the MEB examination, </w:t>
      </w:r>
      <w:r w:rsidR="006E5337">
        <w:rPr>
          <w:color w:val="000000"/>
        </w:rPr>
        <w:t>when</w:t>
      </w:r>
      <w:r w:rsidR="009D1216">
        <w:rPr>
          <w:color w:val="000000"/>
        </w:rPr>
        <w:t xml:space="preserve"> taken together with the </w:t>
      </w:r>
      <w:r w:rsidR="006E5337" w:rsidRPr="006E5337">
        <w:rPr>
          <w:rFonts w:eastAsia="Calibri"/>
          <w:color w:val="auto"/>
          <w:szCs w:val="24"/>
        </w:rPr>
        <w:t>§4.46</w:t>
      </w:r>
      <w:r w:rsidR="006E5337">
        <w:rPr>
          <w:rFonts w:eastAsia="Calibri"/>
          <w:color w:val="auto"/>
          <w:szCs w:val="24"/>
        </w:rPr>
        <w:t xml:space="preserve">-compliant </w:t>
      </w:r>
      <w:r w:rsidRPr="00D87F94">
        <w:rPr>
          <w:color w:val="000000"/>
        </w:rPr>
        <w:t xml:space="preserve">orthopedic </w:t>
      </w:r>
      <w:r w:rsidR="006E5337">
        <w:rPr>
          <w:color w:val="000000"/>
        </w:rPr>
        <w:t>specialty examination,</w:t>
      </w:r>
      <w:r w:rsidRPr="00D87F94">
        <w:rPr>
          <w:color w:val="000000"/>
        </w:rPr>
        <w:t xml:space="preserve"> </w:t>
      </w:r>
      <w:r w:rsidR="009D1216">
        <w:rPr>
          <w:color w:val="000000"/>
        </w:rPr>
        <w:t xml:space="preserve">meets the VASRD </w:t>
      </w:r>
      <w:r w:rsidR="006E5337" w:rsidRPr="009D1216">
        <w:rPr>
          <w:color w:val="000000"/>
        </w:rPr>
        <w:t xml:space="preserve">§4.1 </w:t>
      </w:r>
      <w:r w:rsidR="006E5337">
        <w:rPr>
          <w:color w:val="000000"/>
        </w:rPr>
        <w:t>(e</w:t>
      </w:r>
      <w:r w:rsidR="006E5337" w:rsidRPr="009D1216">
        <w:rPr>
          <w:color w:val="000000"/>
        </w:rPr>
        <w:t>ssentials of evaluative rating</w:t>
      </w:r>
      <w:r w:rsidR="006E5337">
        <w:rPr>
          <w:color w:val="000000"/>
        </w:rPr>
        <w:t xml:space="preserve">) </w:t>
      </w:r>
      <w:r w:rsidR="009D1216">
        <w:rPr>
          <w:color w:val="000000"/>
        </w:rPr>
        <w:t>requirement for “</w:t>
      </w:r>
      <w:r w:rsidR="009D1216" w:rsidRPr="009D1216">
        <w:rPr>
          <w:color w:val="000000"/>
        </w:rPr>
        <w:t>accurate</w:t>
      </w:r>
      <w:r w:rsidR="009D1216">
        <w:rPr>
          <w:color w:val="000000"/>
        </w:rPr>
        <w:t xml:space="preserve"> </w:t>
      </w:r>
      <w:r w:rsidR="009D1216" w:rsidRPr="009D1216">
        <w:rPr>
          <w:color w:val="000000"/>
        </w:rPr>
        <w:t xml:space="preserve">and fully descriptive medical examinations </w:t>
      </w:r>
      <w:r w:rsidR="009D1216">
        <w:rPr>
          <w:color w:val="000000"/>
        </w:rPr>
        <w:t>…</w:t>
      </w:r>
      <w:r w:rsidR="009D1216" w:rsidRPr="009D1216">
        <w:rPr>
          <w:color w:val="000000"/>
        </w:rPr>
        <w:t xml:space="preserve"> with emphasis upon the limitation of</w:t>
      </w:r>
      <w:r w:rsidR="009D1216">
        <w:rPr>
          <w:color w:val="000000"/>
        </w:rPr>
        <w:t xml:space="preserve"> </w:t>
      </w:r>
      <w:r w:rsidR="009D1216" w:rsidRPr="009D1216">
        <w:rPr>
          <w:color w:val="000000"/>
        </w:rPr>
        <w:t>activity imposed by the disabling condition</w:t>
      </w:r>
      <w:r w:rsidR="0071307C">
        <w:rPr>
          <w:color w:val="000000"/>
        </w:rPr>
        <w:t>.</w:t>
      </w:r>
      <w:r w:rsidR="006E5337">
        <w:rPr>
          <w:color w:val="000000"/>
        </w:rPr>
        <w:t>”</w:t>
      </w:r>
      <w:r w:rsidRPr="00D87F94">
        <w:rPr>
          <w:color w:val="000000"/>
        </w:rPr>
        <w:t xml:space="preserve"> </w:t>
      </w:r>
      <w:r w:rsidRPr="00687F8B">
        <w:rPr>
          <w:color w:val="auto"/>
        </w:rPr>
        <w:t xml:space="preserve"> </w:t>
      </w:r>
      <w:r w:rsidR="006E5337">
        <w:rPr>
          <w:color w:val="000000"/>
        </w:rPr>
        <w:t>T</w:t>
      </w:r>
      <w:r w:rsidR="006E5337" w:rsidRPr="00D87F94">
        <w:rPr>
          <w:color w:val="000000"/>
        </w:rPr>
        <w:t xml:space="preserve">he MEB </w:t>
      </w:r>
      <w:r w:rsidR="006E5337">
        <w:rPr>
          <w:color w:val="000000"/>
        </w:rPr>
        <w:t>evidence</w:t>
      </w:r>
      <w:r w:rsidR="006E5337" w:rsidRPr="00D87F94">
        <w:rPr>
          <w:color w:val="000000"/>
        </w:rPr>
        <w:t xml:space="preserve"> is </w:t>
      </w:r>
      <w:r w:rsidR="00741D8B">
        <w:rPr>
          <w:color w:val="000000"/>
        </w:rPr>
        <w:t>proximate</w:t>
      </w:r>
      <w:r w:rsidR="006E5337" w:rsidRPr="00D87F94">
        <w:rPr>
          <w:color w:val="000000"/>
        </w:rPr>
        <w:t xml:space="preserve"> to the date of separation and provides the best </w:t>
      </w:r>
      <w:r w:rsidR="006E5337">
        <w:rPr>
          <w:color w:val="000000"/>
        </w:rPr>
        <w:t>measure of disability for Service rating at separation</w:t>
      </w:r>
      <w:r w:rsidR="006E5337" w:rsidRPr="00D87F94">
        <w:rPr>
          <w:color w:val="000000"/>
        </w:rPr>
        <w:t xml:space="preserve">.  </w:t>
      </w:r>
      <w:r w:rsidR="004160AE">
        <w:rPr>
          <w:color w:val="000000"/>
        </w:rPr>
        <w:t>The PEB’s AF Form 356 cited application of the VASRD for rating, but its 0%</w:t>
      </w:r>
      <w:r w:rsidR="00717FE6">
        <w:rPr>
          <w:color w:val="000000"/>
        </w:rPr>
        <w:t xml:space="preserve"> determination did not concede</w:t>
      </w:r>
      <w:r w:rsidR="00531289">
        <w:rPr>
          <w:color w:val="000000"/>
        </w:rPr>
        <w:t xml:space="preserve"> </w:t>
      </w:r>
      <w:r w:rsidR="00531289" w:rsidRPr="002556AB">
        <w:rPr>
          <w:bCs/>
          <w:color w:val="auto"/>
        </w:rPr>
        <w:t>§4.59 (painful motion)</w:t>
      </w:r>
      <w:r w:rsidR="00531289">
        <w:rPr>
          <w:bCs/>
          <w:color w:val="auto"/>
        </w:rPr>
        <w:t>, which all members agreed</w:t>
      </w:r>
      <w:r w:rsidR="00717FE6">
        <w:rPr>
          <w:bCs/>
          <w:color w:val="auto"/>
        </w:rPr>
        <w:t xml:space="preserve"> was suppo</w:t>
      </w:r>
      <w:r w:rsidR="00717FE6" w:rsidRPr="00C63164">
        <w:rPr>
          <w:bCs/>
          <w:color w:val="auto"/>
        </w:rPr>
        <w:t xml:space="preserve">rted by </w:t>
      </w:r>
      <w:r w:rsidR="009B01EE" w:rsidRPr="00C63164">
        <w:rPr>
          <w:bCs/>
          <w:color w:val="auto"/>
        </w:rPr>
        <w:t>NARSUM</w:t>
      </w:r>
      <w:r w:rsidR="00717FE6" w:rsidRPr="00C63164">
        <w:rPr>
          <w:bCs/>
          <w:color w:val="auto"/>
        </w:rPr>
        <w:t xml:space="preserve"> </w:t>
      </w:r>
      <w:r w:rsidR="00D47BF6" w:rsidRPr="00C63164">
        <w:rPr>
          <w:bCs/>
          <w:color w:val="auto"/>
        </w:rPr>
        <w:t>exam</w:t>
      </w:r>
      <w:r w:rsidR="00D47BF6">
        <w:rPr>
          <w:bCs/>
          <w:color w:val="auto"/>
        </w:rPr>
        <w:t xml:space="preserve"> </w:t>
      </w:r>
      <w:r w:rsidR="00717FE6">
        <w:rPr>
          <w:bCs/>
          <w:color w:val="auto"/>
        </w:rPr>
        <w:t>findings</w:t>
      </w:r>
      <w:r w:rsidR="00D47BF6">
        <w:rPr>
          <w:bCs/>
          <w:color w:val="auto"/>
        </w:rPr>
        <w:t>; albeit associated with</w:t>
      </w:r>
      <w:r w:rsidR="00717FE6">
        <w:rPr>
          <w:bCs/>
          <w:color w:val="auto"/>
        </w:rPr>
        <w:t xml:space="preserve"> </w:t>
      </w:r>
      <w:r w:rsidR="00D47BF6">
        <w:rPr>
          <w:bCs/>
          <w:color w:val="auto"/>
        </w:rPr>
        <w:t>non-</w:t>
      </w:r>
      <w:r w:rsidR="00717FE6">
        <w:rPr>
          <w:bCs/>
          <w:color w:val="auto"/>
        </w:rPr>
        <w:t xml:space="preserve">compensable </w:t>
      </w:r>
      <w:r w:rsidR="00741D8B">
        <w:rPr>
          <w:bCs/>
          <w:color w:val="auto"/>
        </w:rPr>
        <w:t>ROM</w:t>
      </w:r>
      <w:r w:rsidR="00D47BF6">
        <w:rPr>
          <w:bCs/>
          <w:color w:val="auto"/>
        </w:rPr>
        <w:t xml:space="preserve">s.  Conceding </w:t>
      </w:r>
      <w:r w:rsidR="00D47BF6" w:rsidRPr="002556AB">
        <w:rPr>
          <w:bCs/>
          <w:color w:val="auto"/>
        </w:rPr>
        <w:t>§4.59</w:t>
      </w:r>
      <w:r w:rsidR="00D47BF6">
        <w:rPr>
          <w:bCs/>
          <w:color w:val="auto"/>
        </w:rPr>
        <w:t>, a minimum</w:t>
      </w:r>
      <w:r w:rsidR="00D47BF6" w:rsidRPr="002556AB">
        <w:rPr>
          <w:bCs/>
          <w:color w:val="auto"/>
        </w:rPr>
        <w:t xml:space="preserve"> </w:t>
      </w:r>
      <w:r w:rsidR="00531289">
        <w:rPr>
          <w:bCs/>
          <w:color w:val="auto"/>
        </w:rPr>
        <w:t xml:space="preserve">10% rating </w:t>
      </w:r>
      <w:r w:rsidR="00D47BF6">
        <w:rPr>
          <w:bCs/>
          <w:color w:val="auto"/>
        </w:rPr>
        <w:t xml:space="preserve">is achieved </w:t>
      </w:r>
      <w:r w:rsidR="00531289">
        <w:rPr>
          <w:bCs/>
          <w:color w:val="auto"/>
        </w:rPr>
        <w:t xml:space="preserve">IAW VASRD </w:t>
      </w:r>
      <w:r w:rsidR="00531289" w:rsidRPr="002556AB">
        <w:rPr>
          <w:bCs/>
          <w:color w:val="auto"/>
        </w:rPr>
        <w:t>§4.</w:t>
      </w:r>
      <w:r w:rsidR="00531289">
        <w:rPr>
          <w:bCs/>
          <w:color w:val="auto"/>
        </w:rPr>
        <w:t>71a.</w:t>
      </w:r>
      <w:r w:rsidR="00717FE6">
        <w:rPr>
          <w:bCs/>
          <w:color w:val="auto"/>
        </w:rPr>
        <w:t xml:space="preserve">  </w:t>
      </w:r>
      <w:r w:rsidR="00531289">
        <w:rPr>
          <w:bCs/>
          <w:color w:val="auto"/>
        </w:rPr>
        <w:t xml:space="preserve">There are no findings for abnormal gait or contour, or evidence for </w:t>
      </w:r>
      <w:r w:rsidR="00531289" w:rsidRPr="002556AB">
        <w:rPr>
          <w:bCs/>
          <w:color w:val="auto"/>
        </w:rPr>
        <w:t>incapacitating episodes</w:t>
      </w:r>
      <w:r w:rsidR="00531289">
        <w:rPr>
          <w:bCs/>
          <w:color w:val="auto"/>
        </w:rPr>
        <w:t xml:space="preserve">, which would support a higher rating. </w:t>
      </w:r>
      <w:r w:rsidR="00741D8B">
        <w:rPr>
          <w:bCs/>
          <w:color w:val="auto"/>
        </w:rPr>
        <w:t xml:space="preserve"> </w:t>
      </w:r>
      <w:r w:rsidRPr="00664296">
        <w:rPr>
          <w:color w:val="auto"/>
        </w:rPr>
        <w:t xml:space="preserve">There </w:t>
      </w:r>
      <w:r w:rsidR="00531289">
        <w:rPr>
          <w:color w:val="auto"/>
        </w:rPr>
        <w:t>is additionally</w:t>
      </w:r>
      <w:r w:rsidRPr="00664296">
        <w:rPr>
          <w:color w:val="auto"/>
        </w:rPr>
        <w:t xml:space="preserve"> no evidence of ratable peripheral nerve impairment in this case.  </w:t>
      </w:r>
      <w:r w:rsidR="00531289" w:rsidRPr="00664296">
        <w:rPr>
          <w:color w:val="auto"/>
        </w:rPr>
        <w:t>After due deliberation, considering all of the e</w:t>
      </w:r>
      <w:r w:rsidR="00531289" w:rsidRPr="00B96F28">
        <w:rPr>
          <w:color w:val="auto"/>
        </w:rPr>
        <w:t>vidence and mindful of VASRD §4.3 (reasonable doubt),</w:t>
      </w:r>
      <w:r w:rsidR="00531289" w:rsidRPr="00664296">
        <w:rPr>
          <w:color w:val="auto"/>
        </w:rPr>
        <w:t xml:space="preserve"> the Board recommends a separation rating </w:t>
      </w:r>
      <w:r w:rsidR="00531289" w:rsidRPr="00B96F28">
        <w:rPr>
          <w:color w:val="auto"/>
        </w:rPr>
        <w:t xml:space="preserve">of 10% for the </w:t>
      </w:r>
      <w:r w:rsidR="00531289">
        <w:rPr>
          <w:color w:val="auto"/>
        </w:rPr>
        <w:t xml:space="preserve">lumbar spine </w:t>
      </w:r>
      <w:r w:rsidR="00531289" w:rsidRPr="00B96F28">
        <w:rPr>
          <w:color w:val="auto"/>
        </w:rPr>
        <w:t>condition</w:t>
      </w:r>
      <w:r w:rsidR="00741D8B">
        <w:rPr>
          <w:color w:val="auto"/>
        </w:rPr>
        <w:t xml:space="preserve">.  The </w:t>
      </w:r>
      <w:r w:rsidR="00D47BF6">
        <w:rPr>
          <w:color w:val="auto"/>
        </w:rPr>
        <w:t>Board agrees</w:t>
      </w:r>
      <w:r w:rsidR="00741D8B">
        <w:rPr>
          <w:color w:val="auto"/>
        </w:rPr>
        <w:t xml:space="preserve"> with the</w:t>
      </w:r>
      <w:r w:rsidRPr="00664296">
        <w:rPr>
          <w:color w:val="auto"/>
        </w:rPr>
        <w:t xml:space="preserve"> 5243 (</w:t>
      </w:r>
      <w:proofErr w:type="spellStart"/>
      <w:r w:rsidRPr="00664296">
        <w:rPr>
          <w:color w:val="auto"/>
        </w:rPr>
        <w:t>intervertebral</w:t>
      </w:r>
      <w:proofErr w:type="spellEnd"/>
      <w:r w:rsidRPr="00664296">
        <w:rPr>
          <w:color w:val="auto"/>
        </w:rPr>
        <w:t xml:space="preserve"> disc syndrome)</w:t>
      </w:r>
      <w:r w:rsidR="00741D8B">
        <w:rPr>
          <w:color w:val="auto"/>
        </w:rPr>
        <w:t xml:space="preserve"> code applied by the PEB and VA</w:t>
      </w:r>
      <w:r w:rsidR="00D47BF6">
        <w:rPr>
          <w:color w:val="auto"/>
        </w:rPr>
        <w:t>, but</w:t>
      </w:r>
      <w:r w:rsidR="00580052">
        <w:rPr>
          <w:color w:val="auto"/>
        </w:rPr>
        <w:t xml:space="preserve"> </w:t>
      </w:r>
      <w:r w:rsidR="00D47BF6">
        <w:rPr>
          <w:color w:val="auto"/>
        </w:rPr>
        <w:t xml:space="preserve">recommends </w:t>
      </w:r>
      <w:r w:rsidR="00D47BF6">
        <w:rPr>
          <w:bCs/>
          <w:color w:val="auto"/>
        </w:rPr>
        <w:t>analogous designation</w:t>
      </w:r>
      <w:r w:rsidR="00717FE6">
        <w:rPr>
          <w:bCs/>
          <w:color w:val="auto"/>
        </w:rPr>
        <w:t xml:space="preserve"> to subsume purely painful motion.</w:t>
      </w:r>
    </w:p>
    <w:p w:rsidR="00582A3C" w:rsidRPr="00664296" w:rsidRDefault="00582A3C" w:rsidP="00664296">
      <w:pPr>
        <w:tabs>
          <w:tab w:val="left" w:pos="288"/>
          <w:tab w:val="left" w:pos="4752"/>
        </w:tabs>
        <w:spacing w:line="240" w:lineRule="exact"/>
        <w:rPr>
          <w:color w:val="auto"/>
        </w:rPr>
      </w:pPr>
    </w:p>
    <w:p w:rsidR="00582A3C" w:rsidRPr="00664296" w:rsidRDefault="00582A3C" w:rsidP="00687F8B">
      <w:pPr>
        <w:spacing w:line="240" w:lineRule="exact"/>
        <w:jc w:val="both"/>
        <w:rPr>
          <w:rFonts w:eastAsia="HiddenHorzOCR"/>
          <w:color w:val="auto"/>
        </w:rPr>
      </w:pPr>
      <w:proofErr w:type="gramStart"/>
      <w:r w:rsidRPr="00664296">
        <w:rPr>
          <w:rFonts w:eastAsia="HiddenHorzOCR"/>
          <w:color w:val="auto"/>
          <w:u w:val="single"/>
        </w:rPr>
        <w:t>Other PEB Conditions</w:t>
      </w:r>
      <w:r w:rsidRPr="00664296">
        <w:rPr>
          <w:rFonts w:eastAsia="HiddenHorzOCR"/>
          <w:color w:val="auto"/>
        </w:rPr>
        <w:t>.</w:t>
      </w:r>
      <w:proofErr w:type="gramEnd"/>
      <w:r w:rsidRPr="00664296">
        <w:rPr>
          <w:rFonts w:eastAsia="HiddenHorzOCR"/>
          <w:color w:val="auto"/>
        </w:rPr>
        <w:t xml:space="preserve">  Intermittent right knee pain was not forward by the MEB, but was adjudicated by the PEB as a Category II condition.  </w:t>
      </w:r>
      <w:r w:rsidR="00152161" w:rsidRPr="00152161">
        <w:rPr>
          <w:rFonts w:eastAsia="HiddenHorzOCR"/>
          <w:color w:val="auto"/>
        </w:rPr>
        <w:t>The Boards’ main charge in respect to</w:t>
      </w:r>
      <w:r w:rsidR="00152161">
        <w:rPr>
          <w:rFonts w:eastAsia="HiddenHorzOCR"/>
          <w:color w:val="auto"/>
        </w:rPr>
        <w:t xml:space="preserve"> this</w:t>
      </w:r>
      <w:r w:rsidR="00152161" w:rsidRPr="00152161">
        <w:rPr>
          <w:rFonts w:eastAsia="HiddenHorzOCR"/>
          <w:color w:val="auto"/>
        </w:rPr>
        <w:t xml:space="preserve"> condition</w:t>
      </w:r>
      <w:r w:rsidR="00152161">
        <w:rPr>
          <w:rFonts w:eastAsia="HiddenHorzOCR"/>
          <w:color w:val="auto"/>
        </w:rPr>
        <w:t xml:space="preserve"> </w:t>
      </w:r>
      <w:r w:rsidR="00152161" w:rsidRPr="00152161">
        <w:rPr>
          <w:rFonts w:eastAsia="HiddenHorzOCR"/>
          <w:color w:val="auto"/>
        </w:rPr>
        <w:t xml:space="preserve">is an assessment of the appropriateness of the PEB’s fitness adjudication.  The Board’s threshold for countering DES fitness determinations is higher than the VASRD </w:t>
      </w:r>
      <w:r w:rsidR="00152161" w:rsidRPr="00152161">
        <w:rPr>
          <w:rFonts w:eastAsia="HiddenHorzOCR"/>
          <w:bCs/>
          <w:color w:val="auto"/>
        </w:rPr>
        <w:t xml:space="preserve">§4.3 </w:t>
      </w:r>
      <w:r w:rsidR="00152161" w:rsidRPr="00152161">
        <w:rPr>
          <w:rFonts w:eastAsia="HiddenHorzOCR"/>
          <w:color w:val="auto"/>
        </w:rPr>
        <w:t>(reasonable doubt) standard used for its rating recommendations, but remains adherent to the DoDI 6040.44 “fair and equitable” standard.</w:t>
      </w:r>
      <w:r w:rsidR="00152161">
        <w:rPr>
          <w:rFonts w:eastAsia="HiddenHorzOCR"/>
          <w:color w:val="auto"/>
        </w:rPr>
        <w:t xml:space="preserve">  </w:t>
      </w:r>
      <w:r w:rsidRPr="00664296">
        <w:rPr>
          <w:rFonts w:eastAsia="HiddenHorzOCR"/>
          <w:color w:val="auto"/>
        </w:rPr>
        <w:t xml:space="preserve">Right knee pain was noted </w:t>
      </w:r>
      <w:r w:rsidR="00960769">
        <w:rPr>
          <w:rFonts w:eastAsia="HiddenHorzOCR"/>
          <w:color w:val="auto"/>
        </w:rPr>
        <w:t>in the NARSUM</w:t>
      </w:r>
      <w:r w:rsidRPr="00664296">
        <w:rPr>
          <w:rFonts w:eastAsia="HiddenHorzOCR"/>
          <w:color w:val="auto"/>
        </w:rPr>
        <w:t xml:space="preserve">, but was not </w:t>
      </w:r>
      <w:r w:rsidR="00AB0872">
        <w:rPr>
          <w:rFonts w:eastAsia="HiddenHorzOCR"/>
          <w:color w:val="auto"/>
        </w:rPr>
        <w:t xml:space="preserve">further </w:t>
      </w:r>
      <w:r w:rsidRPr="00664296">
        <w:rPr>
          <w:rFonts w:eastAsia="HiddenHorzOCR"/>
          <w:color w:val="auto"/>
        </w:rPr>
        <w:t xml:space="preserve">examined or deemed </w:t>
      </w:r>
      <w:r w:rsidR="00AB0872">
        <w:rPr>
          <w:rFonts w:eastAsia="HiddenHorzOCR"/>
          <w:color w:val="auto"/>
        </w:rPr>
        <w:t>medically unacceptable</w:t>
      </w:r>
      <w:r w:rsidR="0071307C">
        <w:rPr>
          <w:rFonts w:eastAsia="HiddenHorzOCR"/>
          <w:color w:val="auto"/>
        </w:rPr>
        <w:t>.  In an examination seven</w:t>
      </w:r>
      <w:r w:rsidRPr="00664296">
        <w:rPr>
          <w:rFonts w:eastAsia="HiddenHorzOCR"/>
          <w:color w:val="auto"/>
        </w:rPr>
        <w:t xml:space="preserve"> months pre-separation, the physician recorded right knee pain “when she stands or walks long periods of time.” </w:t>
      </w:r>
      <w:r w:rsidR="00C63164">
        <w:rPr>
          <w:rFonts w:eastAsia="HiddenHorzOCR"/>
          <w:color w:val="auto"/>
        </w:rPr>
        <w:t xml:space="preserve"> </w:t>
      </w:r>
      <w:r w:rsidRPr="00664296">
        <w:rPr>
          <w:rFonts w:eastAsia="HiddenHorzOCR"/>
          <w:color w:val="auto"/>
        </w:rPr>
        <w:t xml:space="preserve">This condition </w:t>
      </w:r>
      <w:r w:rsidR="00D47BF6">
        <w:rPr>
          <w:rFonts w:eastAsia="HiddenHorzOCR"/>
          <w:color w:val="auto"/>
        </w:rPr>
        <w:t>precipitated</w:t>
      </w:r>
      <w:r w:rsidRPr="00664296">
        <w:rPr>
          <w:rFonts w:eastAsia="HiddenHorzOCR"/>
          <w:color w:val="auto"/>
        </w:rPr>
        <w:t xml:space="preserve"> </w:t>
      </w:r>
      <w:r w:rsidR="00AB0872" w:rsidRPr="00664296">
        <w:rPr>
          <w:rFonts w:eastAsia="HiddenHorzOCR"/>
          <w:color w:val="auto"/>
        </w:rPr>
        <w:t>a temporary L2</w:t>
      </w:r>
      <w:r w:rsidR="00AB0872">
        <w:rPr>
          <w:rFonts w:eastAsia="HiddenHorzOCR"/>
          <w:color w:val="auto"/>
        </w:rPr>
        <w:t xml:space="preserve"> </w:t>
      </w:r>
      <w:r w:rsidR="00D47BF6">
        <w:rPr>
          <w:rFonts w:eastAsia="HiddenHorzOCR"/>
          <w:color w:val="auto"/>
        </w:rPr>
        <w:t>profile;</w:t>
      </w:r>
      <w:r w:rsidRPr="00664296">
        <w:rPr>
          <w:rFonts w:eastAsia="HiddenHorzOCR"/>
          <w:color w:val="auto"/>
        </w:rPr>
        <w:t xml:space="preserve"> but</w:t>
      </w:r>
      <w:r w:rsidR="00D47BF6">
        <w:rPr>
          <w:rFonts w:eastAsia="HiddenHorzOCR"/>
          <w:color w:val="auto"/>
        </w:rPr>
        <w:t>,</w:t>
      </w:r>
      <w:r w:rsidRPr="00664296">
        <w:rPr>
          <w:rFonts w:eastAsia="HiddenHorzOCR"/>
          <w:color w:val="auto"/>
        </w:rPr>
        <w:t xml:space="preserve"> </w:t>
      </w:r>
      <w:r w:rsidR="00D47BF6">
        <w:rPr>
          <w:rFonts w:eastAsia="HiddenHorzOCR"/>
          <w:color w:val="auto"/>
        </w:rPr>
        <w:t>was not permanently profiled,</w:t>
      </w:r>
      <w:r w:rsidRPr="00664296">
        <w:rPr>
          <w:rFonts w:eastAsia="HiddenHorzOCR"/>
          <w:color w:val="auto"/>
        </w:rPr>
        <w:t xml:space="preserve"> implicated in the </w:t>
      </w:r>
      <w:r w:rsidRPr="00687F8B">
        <w:rPr>
          <w:rFonts w:eastAsia="HiddenHorzOCR"/>
          <w:color w:val="auto"/>
        </w:rPr>
        <w:t>commander’s statement</w:t>
      </w:r>
      <w:r w:rsidR="00D47BF6">
        <w:rPr>
          <w:rFonts w:eastAsia="HiddenHorzOCR"/>
          <w:color w:val="auto"/>
        </w:rPr>
        <w:t>,</w:t>
      </w:r>
      <w:r w:rsidRPr="00664296">
        <w:rPr>
          <w:rFonts w:eastAsia="HiddenHorzOCR"/>
          <w:color w:val="auto"/>
        </w:rPr>
        <w:t xml:space="preserve"> or noted as failing retention standards.  The</w:t>
      </w:r>
      <w:r w:rsidR="00152161">
        <w:rPr>
          <w:rFonts w:eastAsia="HiddenHorzOCR"/>
          <w:color w:val="auto"/>
        </w:rPr>
        <w:t xml:space="preserve"> condition was reviewed by the </w:t>
      </w:r>
      <w:r w:rsidR="00C63164">
        <w:rPr>
          <w:rFonts w:eastAsia="HiddenHorzOCR"/>
          <w:color w:val="auto"/>
        </w:rPr>
        <w:t>action officer</w:t>
      </w:r>
      <w:r w:rsidRPr="00664296">
        <w:rPr>
          <w:rFonts w:eastAsia="HiddenHorzOCR"/>
          <w:color w:val="auto"/>
        </w:rPr>
        <w:t xml:space="preserve"> and considered by the Board.  There was no indication from the record that this condition significantly interfered with satisfactory performance of </w:t>
      </w:r>
      <w:r w:rsidR="00C63164">
        <w:rPr>
          <w:rFonts w:eastAsia="HiddenHorzOCR"/>
          <w:color w:val="auto"/>
        </w:rPr>
        <w:t>AFS</w:t>
      </w:r>
      <w:r w:rsidRPr="00687F8B">
        <w:rPr>
          <w:rFonts w:eastAsia="HiddenHorzOCR"/>
          <w:color w:val="auto"/>
        </w:rPr>
        <w:t xml:space="preserve"> duty</w:t>
      </w:r>
      <w:r w:rsidRPr="00664296">
        <w:rPr>
          <w:rFonts w:eastAsia="HiddenHorzOCR"/>
          <w:color w:val="auto"/>
        </w:rPr>
        <w:t xml:space="preserve"> requirements.  All evidence considered</w:t>
      </w:r>
      <w:proofErr w:type="gramStart"/>
      <w:r w:rsidRPr="00664296">
        <w:rPr>
          <w:rFonts w:eastAsia="HiddenHorzOCR"/>
          <w:color w:val="auto"/>
        </w:rPr>
        <w:t>,</w:t>
      </w:r>
      <w:proofErr w:type="gramEnd"/>
      <w:r w:rsidRPr="00664296">
        <w:rPr>
          <w:rFonts w:eastAsia="HiddenHorzOCR"/>
          <w:color w:val="auto"/>
        </w:rPr>
        <w:t xml:space="preserve"> there is not reasonable doubt in the CI’s favor supporting </w:t>
      </w:r>
      <w:r w:rsidR="00D47BF6">
        <w:rPr>
          <w:rFonts w:eastAsia="HiddenHorzOCR"/>
          <w:color w:val="auto"/>
        </w:rPr>
        <w:t>a change in</w:t>
      </w:r>
      <w:r w:rsidRPr="00664296">
        <w:rPr>
          <w:rFonts w:eastAsia="HiddenHorzOCR"/>
          <w:color w:val="auto"/>
        </w:rPr>
        <w:t xml:space="preserve"> the PEB fitness adjudication for the right knee condition.</w:t>
      </w:r>
    </w:p>
    <w:p w:rsidR="00582A3C" w:rsidRPr="00664296" w:rsidRDefault="00582A3C" w:rsidP="00664296">
      <w:pPr>
        <w:spacing w:line="240" w:lineRule="exact"/>
        <w:jc w:val="both"/>
        <w:rPr>
          <w:rFonts w:eastAsia="HiddenHorzOCR"/>
          <w:color w:val="auto"/>
        </w:rPr>
      </w:pPr>
    </w:p>
    <w:p w:rsidR="00011BA8" w:rsidRPr="002934B0" w:rsidRDefault="00011BA8" w:rsidP="00011BA8">
      <w:pPr>
        <w:tabs>
          <w:tab w:val="left" w:pos="288"/>
          <w:tab w:val="left" w:pos="4752"/>
        </w:tabs>
        <w:spacing w:line="240" w:lineRule="exact"/>
        <w:jc w:val="both"/>
        <w:rPr>
          <w:rFonts w:eastAsia="HiddenHorzOCR"/>
          <w:color w:val="auto"/>
        </w:rPr>
      </w:pPr>
      <w:proofErr w:type="gramStart"/>
      <w:r w:rsidRPr="009C4AB3">
        <w:rPr>
          <w:rFonts w:eastAsia="HiddenHorzOCR"/>
          <w:color w:val="auto"/>
          <w:u w:val="single"/>
        </w:rPr>
        <w:t>Other Contended Conditions</w:t>
      </w:r>
      <w:r w:rsidRPr="009C4AB3">
        <w:rPr>
          <w:rFonts w:eastAsia="HiddenHorzOCR"/>
          <w:color w:val="auto"/>
        </w:rPr>
        <w:t>.</w:t>
      </w:r>
      <w:proofErr w:type="gramEnd"/>
      <w:r w:rsidRPr="009C4AB3">
        <w:rPr>
          <w:rFonts w:eastAsia="HiddenHorzOCR"/>
          <w:color w:val="auto"/>
        </w:rPr>
        <w:t xml:space="preserve">  The CI’s application asserts that compensable ratings should be considered for migraine headaches and left shoulder bursitis.  </w:t>
      </w:r>
      <w:r>
        <w:rPr>
          <w:rFonts w:eastAsia="HiddenHorzOCR"/>
          <w:color w:val="auto"/>
        </w:rPr>
        <w:t xml:space="preserve">The NARSUM recorded </w:t>
      </w:r>
      <w:r>
        <w:rPr>
          <w:rFonts w:eastAsia="HiddenHorzOCR"/>
          <w:color w:val="auto"/>
        </w:rPr>
        <w:lastRenderedPageBreak/>
        <w:t>“occasional headaches</w:t>
      </w:r>
      <w:r w:rsidR="00C63164">
        <w:rPr>
          <w:rFonts w:eastAsia="HiddenHorzOCR"/>
          <w:color w:val="auto"/>
        </w:rPr>
        <w:t>,</w:t>
      </w:r>
      <w:r>
        <w:rPr>
          <w:rFonts w:eastAsia="HiddenHorzOCR"/>
          <w:color w:val="auto"/>
        </w:rPr>
        <w:t xml:space="preserve">” but did not elaborate further or refer the condition to the PEB for adjudication.  The left shoulder condition was not mentioned in the NARSUM.  The CI made no in-Service appeal for rating of either condition.  </w:t>
      </w:r>
      <w:r w:rsidRPr="009C4AB3">
        <w:rPr>
          <w:rFonts w:eastAsia="HiddenHorzOCR"/>
          <w:color w:val="auto"/>
        </w:rPr>
        <w:t>The</w:t>
      </w:r>
      <w:r w:rsidR="00C63164">
        <w:rPr>
          <w:rFonts w:eastAsia="HiddenHorzOCR"/>
          <w:color w:val="auto"/>
        </w:rPr>
        <w:t xml:space="preserve"> service treatment record (STR) </w:t>
      </w:r>
      <w:r w:rsidRPr="009C4AB3">
        <w:rPr>
          <w:rFonts w:eastAsia="HiddenHorzOCR"/>
          <w:color w:val="auto"/>
        </w:rPr>
        <w:t xml:space="preserve">contains entries for evaluation and treatment </w:t>
      </w:r>
      <w:r>
        <w:rPr>
          <w:rFonts w:eastAsia="HiddenHorzOCR"/>
          <w:color w:val="auto"/>
        </w:rPr>
        <w:t xml:space="preserve">of </w:t>
      </w:r>
      <w:r w:rsidRPr="009C4AB3">
        <w:rPr>
          <w:rFonts w:eastAsia="HiddenHorzOCR"/>
          <w:color w:val="auto"/>
        </w:rPr>
        <w:t>headache</w:t>
      </w:r>
      <w:r>
        <w:rPr>
          <w:rFonts w:eastAsia="HiddenHorzOCR"/>
          <w:color w:val="auto"/>
        </w:rPr>
        <w:t>s</w:t>
      </w:r>
      <w:r w:rsidR="00C63164">
        <w:rPr>
          <w:rFonts w:eastAsia="HiddenHorzOCR"/>
          <w:color w:val="auto"/>
        </w:rPr>
        <w:t xml:space="preserve"> four</w:t>
      </w:r>
      <w:r w:rsidRPr="009C4AB3">
        <w:rPr>
          <w:rFonts w:eastAsia="HiddenHorzOCR"/>
          <w:color w:val="auto"/>
        </w:rPr>
        <w:t xml:space="preserve"> years prior to the MEB process, with the headaches consistently described as mild and non-debilitating.</w:t>
      </w:r>
      <w:r w:rsidR="00C63164">
        <w:rPr>
          <w:rFonts w:eastAsia="HiddenHorzOCR"/>
          <w:color w:val="auto"/>
        </w:rPr>
        <w:t xml:space="preserve">  In 2003;</w:t>
      </w:r>
      <w:r>
        <w:rPr>
          <w:rFonts w:eastAsia="HiddenHorzOCR"/>
          <w:color w:val="auto"/>
        </w:rPr>
        <w:t xml:space="preserve"> however, an </w:t>
      </w:r>
      <w:proofErr w:type="spellStart"/>
      <w:r>
        <w:rPr>
          <w:rFonts w:eastAsia="HiddenHorzOCR"/>
          <w:color w:val="auto"/>
        </w:rPr>
        <w:t>aeromedical</w:t>
      </w:r>
      <w:proofErr w:type="spellEnd"/>
      <w:r>
        <w:rPr>
          <w:rFonts w:eastAsia="HiddenHorzOCR"/>
          <w:color w:val="auto"/>
        </w:rPr>
        <w:t xml:space="preserve"> summary stated, “</w:t>
      </w:r>
      <w:r w:rsidR="00C63164">
        <w:rPr>
          <w:rFonts w:eastAsia="HiddenHorzOCR"/>
          <w:color w:val="auto"/>
        </w:rPr>
        <w:t>t</w:t>
      </w:r>
      <w:r w:rsidRPr="0064105B">
        <w:rPr>
          <w:rFonts w:eastAsia="HiddenHorzOCR"/>
          <w:color w:val="auto"/>
        </w:rPr>
        <w:t>his examinee does not meet medical standards for Space Operations duties IA W AFI 48-123</w:t>
      </w:r>
      <w:r w:rsidR="00C63164">
        <w:rPr>
          <w:rFonts w:eastAsia="HiddenHorzOCR"/>
          <w:color w:val="auto"/>
        </w:rPr>
        <w:t xml:space="preserve"> A5.4.5 (h</w:t>
      </w:r>
      <w:r>
        <w:rPr>
          <w:rFonts w:eastAsia="HiddenHorzOCR"/>
          <w:color w:val="auto"/>
        </w:rPr>
        <w:t xml:space="preserve">eadaches, except mild…). </w:t>
      </w:r>
      <w:r w:rsidRPr="0064105B">
        <w:rPr>
          <w:rFonts w:eastAsia="HiddenHorzOCR"/>
          <w:color w:val="auto"/>
        </w:rPr>
        <w:t xml:space="preserve"> She has been on three different unsuccessful medical regimens and</w:t>
      </w:r>
      <w:r>
        <w:rPr>
          <w:rFonts w:eastAsia="HiddenHorzOCR"/>
          <w:color w:val="auto"/>
        </w:rPr>
        <w:t xml:space="preserve"> </w:t>
      </w:r>
      <w:r w:rsidRPr="0064105B">
        <w:rPr>
          <w:rFonts w:eastAsia="HiddenHorzOCR"/>
          <w:color w:val="auto"/>
        </w:rPr>
        <w:t xml:space="preserve">has been poorly compliant over her </w:t>
      </w:r>
      <w:r>
        <w:rPr>
          <w:rFonts w:eastAsia="HiddenHorzOCR"/>
          <w:color w:val="auto"/>
        </w:rPr>
        <w:t>DNIF [duty not involving flying]</w:t>
      </w:r>
      <w:r w:rsidRPr="0064105B">
        <w:rPr>
          <w:rFonts w:eastAsia="HiddenHorzOCR"/>
          <w:color w:val="auto"/>
        </w:rPr>
        <w:t xml:space="preserve"> period of 200 days. </w:t>
      </w:r>
      <w:r>
        <w:rPr>
          <w:rFonts w:eastAsia="HiddenHorzOCR"/>
          <w:color w:val="auto"/>
        </w:rPr>
        <w:t xml:space="preserve"> </w:t>
      </w:r>
      <w:r w:rsidRPr="0064105B">
        <w:rPr>
          <w:rFonts w:eastAsia="HiddenHorzOCR"/>
          <w:color w:val="auto"/>
        </w:rPr>
        <w:t xml:space="preserve">This </w:t>
      </w:r>
      <w:r>
        <w:rPr>
          <w:rFonts w:eastAsia="HiddenHorzOCR"/>
          <w:color w:val="auto"/>
        </w:rPr>
        <w:t xml:space="preserve">is </w:t>
      </w:r>
      <w:r w:rsidRPr="0064105B">
        <w:rPr>
          <w:rFonts w:eastAsia="HiddenHorzOCR"/>
          <w:color w:val="auto"/>
        </w:rPr>
        <w:t>a request for SMOD</w:t>
      </w:r>
      <w:r>
        <w:rPr>
          <w:rFonts w:eastAsia="HiddenHorzOCR"/>
          <w:color w:val="auto"/>
        </w:rPr>
        <w:t xml:space="preserve"> [space and missile operations duty] </w:t>
      </w:r>
      <w:r w:rsidRPr="0064105B">
        <w:rPr>
          <w:rFonts w:eastAsia="HiddenHorzOCR"/>
          <w:color w:val="auto"/>
        </w:rPr>
        <w:t>disqualification.</w:t>
      </w:r>
      <w:r>
        <w:rPr>
          <w:rFonts w:eastAsia="HiddenHorzOCR"/>
          <w:color w:val="auto"/>
        </w:rPr>
        <w:t xml:space="preserve">”  </w:t>
      </w:r>
      <w:r>
        <w:rPr>
          <w:rFonts w:eastAsia="HiddenHorzOCR"/>
          <w:color w:val="auto"/>
          <w:szCs w:val="24"/>
        </w:rPr>
        <w:t xml:space="preserve">Migraine headaches did not appear to be clinically active during the MEB process nor occupationally disabling within her </w:t>
      </w:r>
      <w:r>
        <w:rPr>
          <w:color w:val="auto"/>
        </w:rPr>
        <w:t>AFS at the time of separation; nor was there evidence of urgent treatment for headache which would constitute ratable ‘prostrating’ episodes</w:t>
      </w:r>
      <w:r>
        <w:rPr>
          <w:rFonts w:eastAsia="HiddenHorzOCR"/>
          <w:color w:val="auto"/>
          <w:szCs w:val="24"/>
        </w:rPr>
        <w:t>.</w:t>
      </w:r>
      <w:r w:rsidRPr="009C4AB3">
        <w:rPr>
          <w:rFonts w:eastAsia="HiddenHorzOCR"/>
          <w:color w:val="auto"/>
        </w:rPr>
        <w:t xml:space="preserve">  The left shoulder condition dated to a motor vehicle accident in 2000, </w:t>
      </w:r>
      <w:r>
        <w:rPr>
          <w:rFonts w:eastAsia="HiddenHorzOCR"/>
          <w:color w:val="auto"/>
        </w:rPr>
        <w:t>but there were no</w:t>
      </w:r>
      <w:r w:rsidRPr="009C4AB3">
        <w:rPr>
          <w:rFonts w:eastAsia="HiddenHorzOCR"/>
          <w:color w:val="auto"/>
        </w:rPr>
        <w:t xml:space="preserve"> STR entries </w:t>
      </w:r>
      <w:r>
        <w:rPr>
          <w:rFonts w:eastAsia="HiddenHorzOCR"/>
          <w:color w:val="auto"/>
        </w:rPr>
        <w:t>f</w:t>
      </w:r>
      <w:r w:rsidRPr="009C4AB3">
        <w:rPr>
          <w:rFonts w:eastAsia="HiddenHorzOCR"/>
          <w:color w:val="auto"/>
        </w:rPr>
        <w:t xml:space="preserve">or several years </w:t>
      </w:r>
      <w:r>
        <w:rPr>
          <w:rFonts w:eastAsia="HiddenHorzOCR"/>
          <w:color w:val="auto"/>
        </w:rPr>
        <w:t>preceding</w:t>
      </w:r>
      <w:r w:rsidRPr="009C4AB3">
        <w:rPr>
          <w:rFonts w:eastAsia="HiddenHorzOCR"/>
          <w:color w:val="auto"/>
        </w:rPr>
        <w:t xml:space="preserve"> separation</w:t>
      </w:r>
      <w:r>
        <w:rPr>
          <w:rFonts w:eastAsia="HiddenHorzOCR"/>
          <w:color w:val="auto"/>
        </w:rPr>
        <w:t xml:space="preserve"> referencing any sequelae</w:t>
      </w:r>
      <w:r w:rsidRPr="009C4AB3">
        <w:rPr>
          <w:rFonts w:eastAsia="HiddenHorzOCR"/>
          <w:color w:val="auto"/>
        </w:rPr>
        <w:t xml:space="preserve">.  </w:t>
      </w:r>
      <w:r>
        <w:rPr>
          <w:rFonts w:eastAsia="HiddenHorzOCR"/>
          <w:color w:val="auto"/>
        </w:rPr>
        <w:t xml:space="preserve">Neither of these conditions was profiled at separation, implicated in the commander’s statement, or judged to fail retention standards.  </w:t>
      </w:r>
      <w:r w:rsidRPr="009C4AB3">
        <w:rPr>
          <w:rFonts w:eastAsia="HiddenHorzOCR"/>
          <w:color w:val="auto"/>
        </w:rPr>
        <w:t>Both</w:t>
      </w:r>
      <w:r w:rsidRPr="009C4AB3">
        <w:t xml:space="preserve"> </w:t>
      </w:r>
      <w:r>
        <w:rPr>
          <w:color w:val="auto"/>
        </w:rPr>
        <w:t xml:space="preserve">were reviewed by the </w:t>
      </w:r>
      <w:r w:rsidR="00C63164">
        <w:rPr>
          <w:color w:val="auto"/>
        </w:rPr>
        <w:t>action officer</w:t>
      </w:r>
      <w:r w:rsidRPr="009C4AB3">
        <w:rPr>
          <w:color w:val="auto"/>
        </w:rPr>
        <w:t xml:space="preserve"> and considered by the Board.  There was no evidence for concluding that either of the conditions interfered with duty performance to a degree that could be argued as unfitting.  The Board determined therefore that neither of the stated conditions was subject to Service disability rating.</w:t>
      </w:r>
    </w:p>
    <w:p w:rsidR="00011BA8" w:rsidRPr="00664296" w:rsidRDefault="00011BA8" w:rsidP="00011BA8">
      <w:pPr>
        <w:spacing w:line="240" w:lineRule="exact"/>
        <w:jc w:val="both"/>
        <w:rPr>
          <w:color w:val="auto"/>
        </w:rPr>
      </w:pPr>
    </w:p>
    <w:p w:rsidR="00582A3C" w:rsidRPr="00664296" w:rsidRDefault="00011BA8" w:rsidP="00664296">
      <w:pPr>
        <w:spacing w:line="240" w:lineRule="exact"/>
        <w:jc w:val="both"/>
        <w:rPr>
          <w:color w:val="auto"/>
        </w:rPr>
      </w:pPr>
      <w:proofErr w:type="gramStart"/>
      <w:r w:rsidRPr="00664296">
        <w:rPr>
          <w:color w:val="auto"/>
          <w:u w:val="single"/>
        </w:rPr>
        <w:t>Remaining Conditions</w:t>
      </w:r>
      <w:r w:rsidRPr="00664296">
        <w:rPr>
          <w:color w:val="auto"/>
        </w:rPr>
        <w:t>.</w:t>
      </w:r>
      <w:proofErr w:type="gramEnd"/>
      <w:r w:rsidRPr="00664296">
        <w:rPr>
          <w:color w:val="auto"/>
        </w:rPr>
        <w:t xml:space="preserve">  No other conditions were noted in the NARSUM, identified by the CI on the MEB physical or found elsewhere in the DES file.  The Board does not have the authority under DoDI 6040.44 to render fitness or rating recommendations for any conditions not considered by the DES.  The Board, therefore, has no reasonable basis for recommending any additional unfitting conditions for separation rating.</w:t>
      </w:r>
    </w:p>
    <w:p w:rsidR="00582A3C" w:rsidRPr="00391858" w:rsidRDefault="00582A3C" w:rsidP="00F1737C">
      <w:pPr>
        <w:pBdr>
          <w:bottom w:val="single" w:sz="12" w:space="1" w:color="auto"/>
        </w:pBdr>
        <w:tabs>
          <w:tab w:val="left" w:pos="288"/>
          <w:tab w:val="left" w:pos="4752"/>
        </w:tabs>
        <w:spacing w:line="240" w:lineRule="exact"/>
        <w:jc w:val="both"/>
        <w:rPr>
          <w:b/>
          <w:color w:val="auto"/>
          <w:u w:val="single"/>
        </w:rPr>
      </w:pPr>
    </w:p>
    <w:p w:rsidR="00582A3C" w:rsidRDefault="00582A3C" w:rsidP="00F1737C">
      <w:pPr>
        <w:spacing w:line="240" w:lineRule="exact"/>
        <w:rPr>
          <w:b/>
          <w:color w:val="auto"/>
          <w:u w:val="single"/>
        </w:rPr>
      </w:pPr>
    </w:p>
    <w:p w:rsidR="00582A3C" w:rsidRPr="00391858" w:rsidRDefault="00582A3C" w:rsidP="001B10F7">
      <w:pPr>
        <w:spacing w:line="240" w:lineRule="exact"/>
        <w:jc w:val="both"/>
        <w:rPr>
          <w:b/>
          <w:color w:val="auto"/>
          <w:u w:val="single"/>
        </w:rPr>
      </w:pPr>
      <w:r w:rsidRPr="009C78FD">
        <w:rPr>
          <w:color w:val="auto"/>
          <w:u w:val="single"/>
        </w:rPr>
        <w:t>BOARD FINDINGS</w:t>
      </w:r>
      <w:r w:rsidRPr="009C78FD">
        <w:rPr>
          <w:color w:val="auto"/>
        </w:rPr>
        <w:t>:  IAW DoDI 6040.44, provisions of DoD or Military Department regulations or guidelines relied upon by the PEB will not be considered by the Board to the extent they were inconsistent with the VASRD in effect at the time of the adjudication.</w:t>
      </w:r>
      <w:r>
        <w:rPr>
          <w:color w:val="auto"/>
        </w:rPr>
        <w:t xml:space="preserve">  </w:t>
      </w:r>
      <w:r w:rsidR="009C4AB3" w:rsidRPr="009C4AB3">
        <w:rPr>
          <w:color w:val="auto"/>
        </w:rPr>
        <w:t>The Board did not surmise from the record or PEB ruling in this case that any prerogatives outside the VASRD were exercised.</w:t>
      </w:r>
      <w:r w:rsidR="009C4AB3">
        <w:rPr>
          <w:color w:val="auto"/>
        </w:rPr>
        <w:t xml:space="preserve">  </w:t>
      </w:r>
      <w:r w:rsidRPr="00687F8B">
        <w:rPr>
          <w:color w:val="auto"/>
        </w:rPr>
        <w:t xml:space="preserve">In </w:t>
      </w:r>
      <w:r w:rsidRPr="00717FE6">
        <w:rPr>
          <w:color w:val="auto"/>
        </w:rPr>
        <w:t xml:space="preserve">the matter of the </w:t>
      </w:r>
      <w:r w:rsidR="001B10F7" w:rsidRPr="00717FE6">
        <w:rPr>
          <w:color w:val="auto"/>
        </w:rPr>
        <w:t>lumbar spine</w:t>
      </w:r>
      <w:r w:rsidRPr="00717FE6">
        <w:rPr>
          <w:color w:val="auto"/>
        </w:rPr>
        <w:t xml:space="preserve"> condition, the Board unanimously recommends a rating of 10% coded </w:t>
      </w:r>
      <w:r w:rsidR="00011BA8">
        <w:rPr>
          <w:color w:val="auto"/>
        </w:rPr>
        <w:t>5299-</w:t>
      </w:r>
      <w:r w:rsidRPr="00717FE6">
        <w:rPr>
          <w:color w:val="auto"/>
        </w:rPr>
        <w:t xml:space="preserve">5243 IAW VASRD §4.71a.  In the matter of the right knee condition, </w:t>
      </w:r>
      <w:r w:rsidR="009C4AB3" w:rsidRPr="00717FE6">
        <w:rPr>
          <w:color w:val="auto"/>
        </w:rPr>
        <w:t>the Board unanimously recommends no c</w:t>
      </w:r>
      <w:r w:rsidR="001B10F7" w:rsidRPr="00717FE6">
        <w:rPr>
          <w:color w:val="auto"/>
        </w:rPr>
        <w:t>hange from the PEB adjudication</w:t>
      </w:r>
      <w:r w:rsidR="009C4AB3" w:rsidRPr="00717FE6">
        <w:rPr>
          <w:color w:val="auto"/>
        </w:rPr>
        <w:t xml:space="preserve"> as not unfitting.  </w:t>
      </w:r>
      <w:r w:rsidRPr="00717FE6">
        <w:rPr>
          <w:color w:val="auto"/>
        </w:rPr>
        <w:t xml:space="preserve">In the matter of the </w:t>
      </w:r>
      <w:r w:rsidR="001B10F7" w:rsidRPr="00717FE6">
        <w:rPr>
          <w:color w:val="auto"/>
        </w:rPr>
        <w:t>contended migraine headache</w:t>
      </w:r>
      <w:r w:rsidRPr="00717FE6">
        <w:rPr>
          <w:color w:val="auto"/>
        </w:rPr>
        <w:t xml:space="preserve"> and left shoulder conditions</w:t>
      </w:r>
      <w:r w:rsidR="001B10F7" w:rsidRPr="00717FE6">
        <w:rPr>
          <w:color w:val="auto"/>
        </w:rPr>
        <w:t>,</w:t>
      </w:r>
      <w:r w:rsidR="001B10F7" w:rsidRPr="00717FE6">
        <w:rPr>
          <w:rFonts w:eastAsia="Calibri"/>
          <w:color w:val="auto"/>
          <w:szCs w:val="24"/>
        </w:rPr>
        <w:t xml:space="preserve"> the Board unanimously agrees that it cannot</w:t>
      </w:r>
      <w:r w:rsidR="001B10F7" w:rsidRPr="00717FE6">
        <w:rPr>
          <w:rFonts w:eastAsia="Calibri"/>
          <w:color w:val="000080"/>
          <w:szCs w:val="24"/>
        </w:rPr>
        <w:t xml:space="preserve"> </w:t>
      </w:r>
      <w:r w:rsidR="00011BA8">
        <w:rPr>
          <w:rFonts w:eastAsia="Calibri"/>
          <w:color w:val="auto"/>
          <w:szCs w:val="24"/>
        </w:rPr>
        <w:t>recommend any</w:t>
      </w:r>
      <w:r w:rsidR="001B10F7" w:rsidRPr="00717FE6">
        <w:rPr>
          <w:rFonts w:eastAsia="Calibri"/>
          <w:color w:val="auto"/>
          <w:szCs w:val="24"/>
        </w:rPr>
        <w:t xml:space="preserve"> finding of unfit for additional rating at separation. </w:t>
      </w:r>
      <w:r w:rsidRPr="00717FE6">
        <w:rPr>
          <w:color w:val="auto"/>
        </w:rPr>
        <w:t xml:space="preserve"> </w:t>
      </w:r>
      <w:r w:rsidR="001B10F7" w:rsidRPr="00717FE6">
        <w:rPr>
          <w:rFonts w:eastAsia="Calibri"/>
          <w:color w:val="auto"/>
          <w:szCs w:val="24"/>
        </w:rPr>
        <w:t>The Board unanimously</w:t>
      </w:r>
      <w:r w:rsidR="001B10F7" w:rsidRPr="001B10F7">
        <w:rPr>
          <w:rFonts w:eastAsia="Calibri"/>
          <w:color w:val="auto"/>
          <w:szCs w:val="24"/>
        </w:rPr>
        <w:t xml:space="preserve"> agrees that there were no other conditions eligible for Board consideration which could be recommended as additionally unfitting for rating at separation.</w:t>
      </w:r>
    </w:p>
    <w:p w:rsidR="001B10F7" w:rsidRPr="00391858" w:rsidRDefault="001B10F7" w:rsidP="001B10F7">
      <w:pPr>
        <w:pBdr>
          <w:bottom w:val="single" w:sz="12" w:space="1" w:color="auto"/>
        </w:pBdr>
        <w:tabs>
          <w:tab w:val="left" w:pos="288"/>
          <w:tab w:val="left" w:pos="4752"/>
        </w:tabs>
        <w:spacing w:line="240" w:lineRule="exact"/>
        <w:jc w:val="both"/>
        <w:rPr>
          <w:b/>
          <w:color w:val="auto"/>
          <w:u w:val="single"/>
        </w:rPr>
      </w:pPr>
    </w:p>
    <w:p w:rsidR="00011BA8" w:rsidRDefault="00011BA8">
      <w:pPr>
        <w:rPr>
          <w:color w:val="auto"/>
          <w:u w:val="single"/>
        </w:rPr>
      </w:pPr>
    </w:p>
    <w:p w:rsidR="00582A3C" w:rsidRPr="00B427BB" w:rsidRDefault="00582A3C" w:rsidP="001B10F7">
      <w:pPr>
        <w:spacing w:line="240" w:lineRule="exact"/>
        <w:jc w:val="both"/>
        <w:rPr>
          <w:color w:val="auto"/>
        </w:rPr>
      </w:pPr>
      <w:r w:rsidRPr="00396779">
        <w:rPr>
          <w:color w:val="auto"/>
          <w:u w:val="single"/>
        </w:rPr>
        <w:t>RECOMMENDATION</w:t>
      </w:r>
      <w:r w:rsidRPr="00396779">
        <w:rPr>
          <w:color w:val="auto"/>
        </w:rPr>
        <w:t>:</w:t>
      </w:r>
      <w:r w:rsidRPr="00396779">
        <w:rPr>
          <w:color w:val="000080"/>
        </w:rPr>
        <w:t xml:space="preserve"> </w:t>
      </w:r>
      <w:r w:rsidRPr="00B427BB">
        <w:rPr>
          <w:color w:val="auto"/>
        </w:rPr>
        <w:t xml:space="preserve"> </w:t>
      </w:r>
      <w:r w:rsidRPr="00396779">
        <w:rPr>
          <w:color w:val="auto"/>
        </w:rPr>
        <w:t xml:space="preserve">The Board recommends that the CI’s prior determination be modified </w:t>
      </w:r>
      <w:r w:rsidRPr="00B427BB">
        <w:rPr>
          <w:color w:val="auto"/>
        </w:rPr>
        <w:t xml:space="preserve">as follows, effective as of the date </w:t>
      </w:r>
      <w:r w:rsidRPr="00687F8B">
        <w:rPr>
          <w:color w:val="auto"/>
        </w:rPr>
        <w:t>of her prior</w:t>
      </w:r>
      <w:r>
        <w:rPr>
          <w:color w:val="auto"/>
        </w:rPr>
        <w:t xml:space="preserve"> medical separation:</w:t>
      </w:r>
    </w:p>
    <w:p w:rsidR="00582A3C" w:rsidRDefault="00582A3C" w:rsidP="00510F9C">
      <w:pPr>
        <w:spacing w:line="240" w:lineRule="exact"/>
        <w:jc w:val="both"/>
        <w:rPr>
          <w:color w:val="auto"/>
        </w:rPr>
      </w:pPr>
    </w:p>
    <w:tbl>
      <w:tblPr>
        <w:tblW w:w="0" w:type="auto"/>
        <w:jc w:val="center"/>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05"/>
        <w:gridCol w:w="1530"/>
        <w:gridCol w:w="1035"/>
      </w:tblGrid>
      <w:tr w:rsidR="00582A3C" w:rsidRPr="00AF01B2" w:rsidTr="00011BA8">
        <w:trPr>
          <w:trHeight w:val="233"/>
          <w:jc w:val="center"/>
        </w:trPr>
        <w:tc>
          <w:tcPr>
            <w:tcW w:w="6705" w:type="dxa"/>
            <w:shd w:val="clear" w:color="auto" w:fill="D9D9D9"/>
            <w:vAlign w:val="center"/>
          </w:tcPr>
          <w:p w:rsidR="00582A3C" w:rsidRPr="00AF01B2" w:rsidRDefault="00582A3C" w:rsidP="00011BA8">
            <w:pPr>
              <w:tabs>
                <w:tab w:val="left" w:pos="288"/>
                <w:tab w:val="left" w:pos="4752"/>
              </w:tabs>
              <w:spacing w:line="240" w:lineRule="exact"/>
              <w:jc w:val="center"/>
              <w:rPr>
                <w:b/>
                <w:color w:val="auto"/>
              </w:rPr>
            </w:pPr>
            <w:r w:rsidRPr="00AF01B2">
              <w:rPr>
                <w:b/>
                <w:color w:val="auto"/>
              </w:rPr>
              <w:t>UNFITTING CONDITION</w:t>
            </w:r>
          </w:p>
        </w:tc>
        <w:tc>
          <w:tcPr>
            <w:tcW w:w="1530" w:type="dxa"/>
            <w:shd w:val="clear" w:color="auto" w:fill="D9D9D9"/>
            <w:vAlign w:val="center"/>
          </w:tcPr>
          <w:p w:rsidR="00582A3C" w:rsidRPr="00AF01B2" w:rsidRDefault="00582A3C" w:rsidP="00011BA8">
            <w:pPr>
              <w:tabs>
                <w:tab w:val="left" w:pos="288"/>
                <w:tab w:val="left" w:pos="4752"/>
              </w:tabs>
              <w:spacing w:line="240" w:lineRule="exact"/>
              <w:jc w:val="center"/>
              <w:rPr>
                <w:b/>
                <w:color w:val="auto"/>
              </w:rPr>
            </w:pPr>
            <w:r w:rsidRPr="00AF01B2">
              <w:rPr>
                <w:b/>
                <w:color w:val="auto"/>
              </w:rPr>
              <w:t>VASRD CODE</w:t>
            </w:r>
          </w:p>
        </w:tc>
        <w:tc>
          <w:tcPr>
            <w:tcW w:w="1035" w:type="dxa"/>
            <w:shd w:val="clear" w:color="auto" w:fill="D9D9D9"/>
            <w:vAlign w:val="center"/>
          </w:tcPr>
          <w:p w:rsidR="00582A3C" w:rsidRPr="00AF01B2" w:rsidRDefault="00582A3C" w:rsidP="00011BA8">
            <w:pPr>
              <w:tabs>
                <w:tab w:val="left" w:pos="288"/>
                <w:tab w:val="left" w:pos="4752"/>
              </w:tabs>
              <w:spacing w:line="240" w:lineRule="exact"/>
              <w:jc w:val="center"/>
              <w:rPr>
                <w:b/>
                <w:color w:val="auto"/>
              </w:rPr>
            </w:pPr>
            <w:r w:rsidRPr="00AF01B2">
              <w:rPr>
                <w:b/>
                <w:color w:val="auto"/>
              </w:rPr>
              <w:t>RATING</w:t>
            </w:r>
          </w:p>
        </w:tc>
      </w:tr>
      <w:tr w:rsidR="00582A3C" w:rsidRPr="00AF01B2" w:rsidTr="00011BA8">
        <w:trPr>
          <w:jc w:val="center"/>
        </w:trPr>
        <w:tc>
          <w:tcPr>
            <w:tcW w:w="6705" w:type="dxa"/>
            <w:vAlign w:val="center"/>
          </w:tcPr>
          <w:p w:rsidR="00582A3C" w:rsidRPr="00687F8B" w:rsidRDefault="001B10F7" w:rsidP="00011BA8">
            <w:pPr>
              <w:tabs>
                <w:tab w:val="left" w:pos="288"/>
                <w:tab w:val="left" w:pos="4752"/>
              </w:tabs>
              <w:spacing w:line="240" w:lineRule="exact"/>
              <w:rPr>
                <w:color w:val="auto"/>
              </w:rPr>
            </w:pPr>
            <w:r>
              <w:rPr>
                <w:color w:val="auto"/>
              </w:rPr>
              <w:t>Degenerative Disc Disease, Lumbar Spine</w:t>
            </w:r>
          </w:p>
        </w:tc>
        <w:tc>
          <w:tcPr>
            <w:tcW w:w="1530" w:type="dxa"/>
            <w:vAlign w:val="center"/>
          </w:tcPr>
          <w:p w:rsidR="00582A3C" w:rsidRPr="00AF01B2" w:rsidRDefault="00717FE6" w:rsidP="00011BA8">
            <w:pPr>
              <w:tabs>
                <w:tab w:val="left" w:pos="288"/>
                <w:tab w:val="left" w:pos="4752"/>
              </w:tabs>
              <w:spacing w:line="240" w:lineRule="exact"/>
              <w:jc w:val="center"/>
              <w:rPr>
                <w:color w:val="auto"/>
              </w:rPr>
            </w:pPr>
            <w:r>
              <w:rPr>
                <w:color w:val="auto"/>
              </w:rPr>
              <w:t>5299-</w:t>
            </w:r>
            <w:r w:rsidR="00582A3C">
              <w:rPr>
                <w:color w:val="auto"/>
              </w:rPr>
              <w:t>5243</w:t>
            </w:r>
          </w:p>
        </w:tc>
        <w:tc>
          <w:tcPr>
            <w:tcW w:w="1035" w:type="dxa"/>
            <w:vAlign w:val="center"/>
          </w:tcPr>
          <w:p w:rsidR="00582A3C" w:rsidRPr="00AF01B2" w:rsidRDefault="00582A3C" w:rsidP="00011BA8">
            <w:pPr>
              <w:tabs>
                <w:tab w:val="left" w:pos="288"/>
                <w:tab w:val="left" w:pos="4752"/>
              </w:tabs>
              <w:spacing w:line="240" w:lineRule="exact"/>
              <w:jc w:val="center"/>
              <w:rPr>
                <w:color w:val="auto"/>
              </w:rPr>
            </w:pPr>
            <w:r>
              <w:rPr>
                <w:color w:val="auto"/>
              </w:rPr>
              <w:t>10</w:t>
            </w:r>
            <w:r w:rsidRPr="00AF01B2">
              <w:rPr>
                <w:color w:val="auto"/>
              </w:rPr>
              <w:t>%</w:t>
            </w:r>
          </w:p>
        </w:tc>
      </w:tr>
      <w:tr w:rsidR="00582A3C" w:rsidRPr="00AF01B2" w:rsidTr="00011BA8">
        <w:tblPrEx>
          <w:tblLook w:val="0000"/>
        </w:tblPrEx>
        <w:trPr>
          <w:gridBefore w:val="1"/>
          <w:wBefore w:w="6705" w:type="dxa"/>
          <w:trHeight w:val="152"/>
          <w:jc w:val="center"/>
        </w:trPr>
        <w:tc>
          <w:tcPr>
            <w:tcW w:w="1530" w:type="dxa"/>
            <w:tcBorders>
              <w:left w:val="single" w:sz="4" w:space="0" w:color="auto"/>
            </w:tcBorders>
            <w:shd w:val="clear" w:color="auto" w:fill="D9D9D9"/>
            <w:vAlign w:val="center"/>
          </w:tcPr>
          <w:p w:rsidR="00582A3C" w:rsidRPr="00AF01B2" w:rsidRDefault="00582A3C" w:rsidP="00011BA8">
            <w:pPr>
              <w:tabs>
                <w:tab w:val="left" w:pos="288"/>
                <w:tab w:val="left" w:pos="4752"/>
              </w:tabs>
              <w:spacing w:line="240" w:lineRule="exact"/>
              <w:jc w:val="center"/>
              <w:rPr>
                <w:b/>
                <w:color w:val="auto"/>
              </w:rPr>
            </w:pPr>
            <w:r w:rsidRPr="00AF01B2">
              <w:rPr>
                <w:b/>
                <w:color w:val="auto"/>
              </w:rPr>
              <w:t>COMBINED</w:t>
            </w:r>
          </w:p>
        </w:tc>
        <w:tc>
          <w:tcPr>
            <w:tcW w:w="1035" w:type="dxa"/>
            <w:shd w:val="clear" w:color="auto" w:fill="D9D9D9"/>
            <w:vAlign w:val="center"/>
          </w:tcPr>
          <w:p w:rsidR="00582A3C" w:rsidRPr="00AF01B2" w:rsidRDefault="00582A3C" w:rsidP="00011BA8">
            <w:pPr>
              <w:tabs>
                <w:tab w:val="left" w:pos="288"/>
                <w:tab w:val="left" w:pos="4752"/>
              </w:tabs>
              <w:spacing w:line="240" w:lineRule="exact"/>
              <w:jc w:val="center"/>
              <w:rPr>
                <w:b/>
                <w:color w:val="auto"/>
              </w:rPr>
            </w:pPr>
            <w:r>
              <w:rPr>
                <w:b/>
                <w:color w:val="auto"/>
              </w:rPr>
              <w:t>10</w:t>
            </w:r>
            <w:r w:rsidRPr="00AF01B2">
              <w:rPr>
                <w:b/>
                <w:color w:val="auto"/>
              </w:rPr>
              <w:t>%</w:t>
            </w:r>
          </w:p>
        </w:tc>
      </w:tr>
    </w:tbl>
    <w:p w:rsidR="00582A3C" w:rsidRPr="00391858" w:rsidRDefault="00582A3C" w:rsidP="00510F9C">
      <w:pPr>
        <w:tabs>
          <w:tab w:val="left" w:pos="288"/>
          <w:tab w:val="left" w:pos="1710"/>
        </w:tabs>
        <w:spacing w:line="240" w:lineRule="exact"/>
        <w:rPr>
          <w:b/>
          <w:caps/>
          <w:color w:val="auto"/>
          <w:u w:val="single"/>
        </w:rPr>
      </w:pPr>
      <w:r w:rsidRPr="00391858">
        <w:rPr>
          <w:b/>
          <w:color w:val="auto"/>
          <w:u w:val="single"/>
        </w:rPr>
        <w:t>______________________________________________________________________________</w:t>
      </w:r>
    </w:p>
    <w:p w:rsidR="00C63164" w:rsidRDefault="00C63164">
      <w:pPr>
        <w:rPr>
          <w:b/>
          <w:color w:val="auto"/>
        </w:rPr>
      </w:pPr>
      <w:r>
        <w:rPr>
          <w:b/>
          <w:color w:val="auto"/>
        </w:rPr>
        <w:br w:type="page"/>
      </w:r>
    </w:p>
    <w:p w:rsidR="00582A3C" w:rsidRPr="00006186" w:rsidRDefault="00582A3C" w:rsidP="00510F9C">
      <w:pPr>
        <w:tabs>
          <w:tab w:val="left" w:pos="288"/>
          <w:tab w:val="left" w:pos="4752"/>
        </w:tabs>
        <w:spacing w:line="240" w:lineRule="exact"/>
        <w:jc w:val="both"/>
        <w:rPr>
          <w:color w:val="auto"/>
        </w:rPr>
      </w:pPr>
      <w:r>
        <w:rPr>
          <w:color w:val="auto"/>
        </w:rPr>
        <w:lastRenderedPageBreak/>
        <w:t>The following documentary evidence was considered:</w:t>
      </w:r>
    </w:p>
    <w:p w:rsidR="00582A3C" w:rsidRPr="00006186" w:rsidRDefault="00582A3C" w:rsidP="00510F9C">
      <w:pPr>
        <w:tabs>
          <w:tab w:val="left" w:pos="288"/>
          <w:tab w:val="left" w:pos="4752"/>
        </w:tabs>
        <w:spacing w:line="240" w:lineRule="exact"/>
        <w:jc w:val="both"/>
        <w:rPr>
          <w:color w:val="auto"/>
        </w:rPr>
      </w:pPr>
    </w:p>
    <w:p w:rsidR="00582A3C" w:rsidRPr="00006186" w:rsidRDefault="00582A3C" w:rsidP="00510F9C">
      <w:pPr>
        <w:tabs>
          <w:tab w:val="left" w:pos="288"/>
          <w:tab w:val="left" w:pos="4752"/>
        </w:tabs>
        <w:spacing w:line="240" w:lineRule="exact"/>
        <w:jc w:val="both"/>
        <w:rPr>
          <w:color w:val="auto"/>
        </w:rPr>
      </w:pPr>
      <w:r>
        <w:rPr>
          <w:color w:val="auto"/>
        </w:rPr>
        <w:t>Exhibit A.  DD Fo</w:t>
      </w:r>
      <w:r w:rsidR="00C63164">
        <w:rPr>
          <w:color w:val="auto"/>
        </w:rPr>
        <w:t>rm 294, dated 20110329, w/atchs</w:t>
      </w:r>
    </w:p>
    <w:p w:rsidR="00582A3C" w:rsidRPr="00006186" w:rsidRDefault="00582A3C" w:rsidP="00510F9C">
      <w:pPr>
        <w:tabs>
          <w:tab w:val="left" w:pos="288"/>
          <w:tab w:val="left" w:pos="4752"/>
        </w:tabs>
        <w:spacing w:line="240" w:lineRule="exact"/>
        <w:jc w:val="both"/>
        <w:rPr>
          <w:color w:val="auto"/>
        </w:rPr>
      </w:pPr>
      <w:r>
        <w:rPr>
          <w:color w:val="auto"/>
        </w:rPr>
        <w:t>Exhib</w:t>
      </w:r>
      <w:r w:rsidR="00C63164">
        <w:rPr>
          <w:color w:val="auto"/>
        </w:rPr>
        <w:t>it B.  Service Treatment Record</w:t>
      </w:r>
    </w:p>
    <w:p w:rsidR="00582A3C" w:rsidRPr="00006186" w:rsidRDefault="00582A3C" w:rsidP="00510F9C">
      <w:pPr>
        <w:tabs>
          <w:tab w:val="left" w:pos="288"/>
          <w:tab w:val="left" w:pos="4752"/>
        </w:tabs>
        <w:spacing w:line="240" w:lineRule="exact"/>
        <w:jc w:val="both"/>
        <w:rPr>
          <w:color w:val="auto"/>
        </w:rPr>
      </w:pPr>
      <w:r>
        <w:rPr>
          <w:color w:val="auto"/>
        </w:rPr>
        <w:t>Exhibit C.  Department of Vet</w:t>
      </w:r>
      <w:r w:rsidR="00C63164">
        <w:rPr>
          <w:color w:val="auto"/>
        </w:rPr>
        <w:t>erans' Affairs Treatment Record</w:t>
      </w:r>
    </w:p>
    <w:p w:rsidR="00582A3C" w:rsidRPr="00006186" w:rsidRDefault="00582A3C" w:rsidP="00510F9C">
      <w:pPr>
        <w:tabs>
          <w:tab w:val="left" w:pos="288"/>
          <w:tab w:val="left" w:pos="4752"/>
        </w:tabs>
        <w:spacing w:line="240" w:lineRule="exact"/>
        <w:jc w:val="both"/>
        <w:rPr>
          <w:color w:val="auto"/>
        </w:rPr>
      </w:pPr>
    </w:p>
    <w:p w:rsidR="00582A3C" w:rsidRPr="00006186" w:rsidRDefault="00582A3C" w:rsidP="00510F9C">
      <w:pPr>
        <w:tabs>
          <w:tab w:val="left" w:pos="288"/>
          <w:tab w:val="left" w:pos="4752"/>
        </w:tabs>
        <w:spacing w:line="240" w:lineRule="exact"/>
        <w:jc w:val="both"/>
        <w:rPr>
          <w:color w:val="auto"/>
        </w:rPr>
      </w:pPr>
    </w:p>
    <w:p w:rsidR="00582A3C" w:rsidRPr="00006186" w:rsidRDefault="00582A3C" w:rsidP="00510F9C">
      <w:pPr>
        <w:tabs>
          <w:tab w:val="left" w:pos="288"/>
          <w:tab w:val="left" w:pos="4752"/>
        </w:tabs>
        <w:spacing w:line="240" w:lineRule="exact"/>
        <w:jc w:val="both"/>
        <w:rPr>
          <w:color w:val="auto"/>
        </w:rPr>
      </w:pPr>
    </w:p>
    <w:p w:rsidR="00582A3C" w:rsidRPr="00006186" w:rsidRDefault="00582A3C" w:rsidP="00510F9C">
      <w:pPr>
        <w:tabs>
          <w:tab w:val="left" w:pos="288"/>
          <w:tab w:val="left" w:pos="4752"/>
        </w:tabs>
        <w:spacing w:line="240" w:lineRule="exact"/>
        <w:jc w:val="both"/>
        <w:rPr>
          <w:color w:val="auto"/>
        </w:rPr>
      </w:pPr>
    </w:p>
    <w:p w:rsidR="00582A3C" w:rsidRPr="00423148" w:rsidRDefault="00582A3C" w:rsidP="00423148">
      <w:pPr>
        <w:tabs>
          <w:tab w:val="left" w:pos="0"/>
          <w:tab w:val="left" w:pos="4320"/>
        </w:tabs>
        <w:spacing w:line="240" w:lineRule="exact"/>
        <w:jc w:val="both"/>
        <w:rPr>
          <w:color w:val="auto"/>
        </w:rPr>
      </w:pPr>
      <w:r>
        <w:rPr>
          <w:color w:val="auto"/>
        </w:rPr>
        <w:t xml:space="preserve">                             </w:t>
      </w:r>
      <w:r>
        <w:rPr>
          <w:color w:val="auto"/>
        </w:rPr>
        <w:tab/>
      </w:r>
      <w:r>
        <w:rPr>
          <w:color w:val="auto"/>
        </w:rPr>
        <w:tab/>
      </w:r>
      <w:r w:rsidR="00891023">
        <w:rPr>
          <w:color w:val="auto"/>
        </w:rPr>
        <w:t>XXXXXXXXXX</w:t>
      </w:r>
    </w:p>
    <w:p w:rsidR="00891023" w:rsidRDefault="00582A3C" w:rsidP="00423148">
      <w:pPr>
        <w:tabs>
          <w:tab w:val="left" w:pos="0"/>
          <w:tab w:val="left" w:pos="4320"/>
        </w:tabs>
        <w:spacing w:line="240" w:lineRule="exact"/>
        <w:jc w:val="both"/>
        <w:rPr>
          <w:color w:val="auto"/>
        </w:rPr>
      </w:pPr>
      <w:r w:rsidRPr="00423148">
        <w:rPr>
          <w:color w:val="auto"/>
        </w:rPr>
        <w:t xml:space="preserve">                             </w:t>
      </w:r>
      <w:r w:rsidRPr="00423148">
        <w:rPr>
          <w:color w:val="auto"/>
        </w:rPr>
        <w:tab/>
      </w:r>
      <w:r w:rsidRPr="00423148">
        <w:rPr>
          <w:color w:val="auto"/>
        </w:rPr>
        <w:tab/>
        <w:t>President</w:t>
      </w:r>
      <w:r w:rsidRPr="00423148">
        <w:rPr>
          <w:color w:val="auto"/>
        </w:rPr>
        <w:tab/>
        <w:t xml:space="preserve">                           </w:t>
      </w:r>
      <w:r w:rsidRPr="00423148">
        <w:rPr>
          <w:color w:val="auto"/>
        </w:rPr>
        <w:tab/>
      </w:r>
      <w:r w:rsidRPr="00423148">
        <w:rPr>
          <w:color w:val="auto"/>
        </w:rPr>
        <w:tab/>
      </w:r>
      <w:r w:rsidRPr="00423148">
        <w:rPr>
          <w:color w:val="auto"/>
        </w:rPr>
        <w:tab/>
      </w:r>
      <w:r w:rsidRPr="00423148">
        <w:rPr>
          <w:color w:val="auto"/>
        </w:rPr>
        <w:tab/>
        <w:t>Physical Disability Board of Review</w:t>
      </w:r>
    </w:p>
    <w:p w:rsidR="00891023" w:rsidRDefault="00891023">
      <w:pPr>
        <w:rPr>
          <w:color w:val="auto"/>
        </w:rPr>
      </w:pPr>
      <w:r>
        <w:rPr>
          <w:color w:val="auto"/>
        </w:rPr>
        <w:br w:type="page"/>
      </w:r>
    </w:p>
    <w:p w:rsidR="00891023" w:rsidRDefault="00891023" w:rsidP="00891023">
      <w:pPr>
        <w:tabs>
          <w:tab w:val="left" w:pos="576"/>
        </w:tabs>
        <w:spacing w:line="240" w:lineRule="exact"/>
        <w:ind w:right="-1080"/>
        <w:rPr>
          <w:rFonts w:ascii="Times New Roman" w:hAnsi="Times New Roman"/>
          <w:color w:val="auto"/>
        </w:rPr>
      </w:pPr>
      <w:r>
        <w:rPr>
          <w:rFonts w:ascii="Times New Roman" w:hAnsi="Times New Roman"/>
          <w:color w:val="auto"/>
        </w:rPr>
        <w:lastRenderedPageBreak/>
        <w:t>SAF/MRB</w:t>
      </w:r>
    </w:p>
    <w:p w:rsidR="00891023" w:rsidRDefault="00891023" w:rsidP="00891023">
      <w:pPr>
        <w:tabs>
          <w:tab w:val="left" w:pos="576"/>
        </w:tabs>
        <w:spacing w:line="240" w:lineRule="exact"/>
        <w:ind w:right="-1080"/>
        <w:rPr>
          <w:rFonts w:ascii="Times New Roman" w:hAnsi="Times New Roman"/>
          <w:color w:val="auto"/>
        </w:rPr>
      </w:pPr>
      <w:r>
        <w:rPr>
          <w:rFonts w:ascii="Times New Roman" w:hAnsi="Times New Roman"/>
          <w:color w:val="auto"/>
        </w:rPr>
        <w:t>1500 West Perimeter Road, Suite 3700</w:t>
      </w:r>
    </w:p>
    <w:p w:rsidR="00891023" w:rsidRDefault="00891023" w:rsidP="00891023">
      <w:pPr>
        <w:tabs>
          <w:tab w:val="left" w:pos="576"/>
        </w:tabs>
        <w:spacing w:line="240" w:lineRule="exact"/>
        <w:ind w:right="-1080"/>
        <w:rPr>
          <w:rFonts w:ascii="Times New Roman" w:hAnsi="Times New Roman"/>
          <w:color w:val="auto"/>
        </w:rPr>
      </w:pPr>
      <w:r>
        <w:rPr>
          <w:rFonts w:ascii="Times New Roman" w:hAnsi="Times New Roman"/>
          <w:color w:val="auto"/>
        </w:rPr>
        <w:t>Joint Base Andrews MD  20762</w:t>
      </w:r>
    </w:p>
    <w:p w:rsidR="00891023" w:rsidRDefault="00891023" w:rsidP="00891023">
      <w:pPr>
        <w:tabs>
          <w:tab w:val="left" w:pos="576"/>
        </w:tabs>
        <w:spacing w:line="240" w:lineRule="exact"/>
        <w:ind w:right="-1080"/>
        <w:rPr>
          <w:rFonts w:ascii="Times New Roman" w:hAnsi="Times New Roman"/>
          <w:color w:val="auto"/>
        </w:rPr>
      </w:pPr>
    </w:p>
    <w:p w:rsidR="00891023" w:rsidRDefault="00891023" w:rsidP="00891023">
      <w:pPr>
        <w:tabs>
          <w:tab w:val="left" w:pos="720"/>
        </w:tabs>
        <w:spacing w:line="240" w:lineRule="exact"/>
        <w:ind w:right="-1080"/>
        <w:rPr>
          <w:rFonts w:ascii="Times New Roman" w:hAnsi="Times New Roman"/>
          <w:color w:val="auto"/>
        </w:rPr>
      </w:pPr>
      <w:r>
        <w:rPr>
          <w:rFonts w:ascii="Times New Roman" w:hAnsi="Times New Roman"/>
          <w:color w:val="auto"/>
        </w:rPr>
        <w:t>Dear XXXXXXXXX:</w:t>
      </w:r>
    </w:p>
    <w:p w:rsidR="00891023" w:rsidRDefault="00891023" w:rsidP="00891023">
      <w:pPr>
        <w:tabs>
          <w:tab w:val="left" w:pos="720"/>
        </w:tabs>
        <w:spacing w:line="240" w:lineRule="exact"/>
        <w:ind w:right="-1080"/>
        <w:rPr>
          <w:rFonts w:ascii="Times New Roman" w:hAnsi="Times New Roman"/>
          <w:color w:val="auto"/>
          <w:sz w:val="20"/>
        </w:rPr>
      </w:pPr>
    </w:p>
    <w:p w:rsidR="00891023" w:rsidRDefault="00891023" w:rsidP="00891023">
      <w:pPr>
        <w:pStyle w:val="BodyText2"/>
        <w:rPr>
          <w:rFonts w:ascii="Times New Roman" w:hAnsi="Times New Roman"/>
          <w:color w:val="auto"/>
        </w:rPr>
      </w:pPr>
      <w:r>
        <w:rPr>
          <w:rFonts w:ascii="Times New Roman" w:hAnsi="Times New Roman"/>
          <w:color w:val="auto"/>
        </w:rPr>
        <w:tab/>
        <w:t>Reference your application submitted under the provisions of DoDI 6040.44 (Title 10 U.S.C. § 1554a), PDBR Case Number PD-2011-00290.</w:t>
      </w:r>
    </w:p>
    <w:p w:rsidR="00891023" w:rsidRDefault="00891023" w:rsidP="00891023">
      <w:pPr>
        <w:tabs>
          <w:tab w:val="left" w:pos="720"/>
        </w:tabs>
        <w:spacing w:line="240" w:lineRule="exact"/>
        <w:ind w:right="-1080"/>
        <w:rPr>
          <w:rFonts w:ascii="Times New Roman" w:hAnsi="Times New Roman"/>
          <w:color w:val="auto"/>
        </w:rPr>
      </w:pPr>
    </w:p>
    <w:p w:rsidR="00891023" w:rsidRDefault="00891023" w:rsidP="00891023">
      <w:pPr>
        <w:pStyle w:val="BodyText2"/>
        <w:rPr>
          <w:rFonts w:ascii="Times New Roman" w:hAnsi="Times New Roman"/>
          <w:color w:val="auto"/>
        </w:rPr>
      </w:pPr>
      <w:r>
        <w:rPr>
          <w:rFonts w:ascii="Times New Roman" w:hAnsi="Times New Roman"/>
          <w:color w:val="auto"/>
        </w:rPr>
        <w:tab/>
        <w:t xml:space="preserve">After careful consideration of your application and treatment records, the Physical Disability Board of Review determined that the rating assigned at the time of final disposition of your disability evaluation system processing was not appropriate under the guidelines of the Veterans Administration Schedule for Rating Disabilities.  Accordingly, the Board recommended modification of your assigned disability rating without re-characterization of your separation with severance pay. </w:t>
      </w:r>
    </w:p>
    <w:p w:rsidR="00891023" w:rsidRDefault="00891023" w:rsidP="00891023">
      <w:pPr>
        <w:tabs>
          <w:tab w:val="left" w:pos="720"/>
        </w:tabs>
        <w:spacing w:line="240" w:lineRule="exact"/>
        <w:ind w:right="-1080"/>
        <w:rPr>
          <w:rFonts w:ascii="Times New Roman" w:hAnsi="Times New Roman"/>
          <w:color w:val="auto"/>
        </w:rPr>
      </w:pPr>
    </w:p>
    <w:p w:rsidR="00891023" w:rsidRDefault="00891023" w:rsidP="00891023">
      <w:pPr>
        <w:tabs>
          <w:tab w:val="left" w:pos="720"/>
        </w:tabs>
        <w:spacing w:line="240" w:lineRule="exact"/>
        <w:rPr>
          <w:rFonts w:ascii="Times New Roman" w:hAnsi="Times New Roman"/>
          <w:color w:val="auto"/>
        </w:rPr>
      </w:pPr>
      <w:r>
        <w:rPr>
          <w:rFonts w:ascii="Times New Roman" w:hAnsi="Times New Roman"/>
          <w:color w:val="auto"/>
        </w:rPr>
        <w:tab/>
        <w:t>I have carefully reviewed the evidence of record and the recommendation of the Board.  I concur with that finding, accept their recommendation and direct that your records be corrected as set forth in the attached copy of a Memorandum for the Chief of Staff, United States Air Force.  The office responsible for making the correction will inform you when your records have been changed.</w:t>
      </w:r>
    </w:p>
    <w:p w:rsidR="00891023" w:rsidRDefault="00891023" w:rsidP="00891023">
      <w:pPr>
        <w:tabs>
          <w:tab w:val="left" w:pos="720"/>
        </w:tabs>
        <w:spacing w:line="240" w:lineRule="exact"/>
        <w:rPr>
          <w:rFonts w:ascii="Times New Roman" w:hAnsi="Times New Roman"/>
          <w:color w:val="auto"/>
        </w:rPr>
      </w:pPr>
    </w:p>
    <w:p w:rsidR="00891023" w:rsidRDefault="00891023" w:rsidP="00891023">
      <w:pPr>
        <w:pStyle w:val="BodyText2"/>
        <w:rPr>
          <w:rFonts w:ascii="Times New Roman" w:hAnsi="Times New Roman"/>
          <w:color w:val="auto"/>
        </w:rPr>
      </w:pP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t>Sincerely,</w:t>
      </w:r>
    </w:p>
    <w:p w:rsidR="00891023" w:rsidRDefault="00891023" w:rsidP="00891023">
      <w:pPr>
        <w:pStyle w:val="BodyText2"/>
        <w:rPr>
          <w:rFonts w:ascii="Times New Roman" w:hAnsi="Times New Roman"/>
          <w:color w:val="auto"/>
        </w:rPr>
      </w:pPr>
    </w:p>
    <w:p w:rsidR="00891023" w:rsidRDefault="00891023" w:rsidP="00891023">
      <w:pPr>
        <w:tabs>
          <w:tab w:val="left" w:pos="720"/>
        </w:tabs>
        <w:spacing w:line="240" w:lineRule="exact"/>
        <w:ind w:right="-1080"/>
        <w:rPr>
          <w:rFonts w:ascii="Times New Roman" w:hAnsi="Times New Roman"/>
          <w:color w:val="auto"/>
        </w:rPr>
      </w:pPr>
    </w:p>
    <w:p w:rsidR="00891023" w:rsidRDefault="00891023" w:rsidP="00891023">
      <w:pPr>
        <w:tabs>
          <w:tab w:val="left" w:pos="720"/>
        </w:tabs>
        <w:spacing w:line="240" w:lineRule="exact"/>
        <w:ind w:right="-1080"/>
        <w:rPr>
          <w:rFonts w:ascii="Times New Roman" w:hAnsi="Times New Roman"/>
          <w:color w:val="auto"/>
        </w:rPr>
      </w:pPr>
    </w:p>
    <w:p w:rsidR="00891023" w:rsidRDefault="00891023" w:rsidP="00891023">
      <w:pPr>
        <w:tabs>
          <w:tab w:val="left" w:pos="720"/>
        </w:tabs>
        <w:spacing w:line="240" w:lineRule="exact"/>
        <w:ind w:right="-1080"/>
        <w:rPr>
          <w:rFonts w:ascii="Times New Roman" w:hAnsi="Times New Roman"/>
          <w:color w:val="auto"/>
        </w:rPr>
      </w:pPr>
    </w:p>
    <w:p w:rsidR="00891023" w:rsidRDefault="00891023" w:rsidP="00891023">
      <w:pPr>
        <w:tabs>
          <w:tab w:val="left" w:pos="720"/>
        </w:tabs>
        <w:spacing w:line="240" w:lineRule="exact"/>
        <w:ind w:right="-1080"/>
        <w:rPr>
          <w:rFonts w:ascii="Times New Roman" w:hAnsi="Times New Roman"/>
          <w:color w:val="auto"/>
        </w:rPr>
      </w:pPr>
    </w:p>
    <w:p w:rsidR="00891023" w:rsidRDefault="00891023" w:rsidP="00891023">
      <w:pPr>
        <w:tabs>
          <w:tab w:val="left" w:pos="720"/>
        </w:tabs>
        <w:spacing w:line="240" w:lineRule="exact"/>
        <w:ind w:left="5040" w:right="-1080"/>
        <w:rPr>
          <w:rFonts w:ascii="Times New Roman" w:hAnsi="Times New Roman"/>
          <w:color w:val="auto"/>
        </w:rPr>
      </w:pPr>
      <w:r>
        <w:rPr>
          <w:rFonts w:ascii="Times New Roman" w:hAnsi="Times New Roman"/>
          <w:color w:val="auto"/>
        </w:rPr>
        <w:t>XXXXX</w:t>
      </w:r>
    </w:p>
    <w:p w:rsidR="00891023" w:rsidRDefault="00891023" w:rsidP="00891023">
      <w:pPr>
        <w:tabs>
          <w:tab w:val="left" w:pos="720"/>
        </w:tabs>
        <w:spacing w:line="240" w:lineRule="exact"/>
        <w:ind w:left="5040" w:right="-1080"/>
        <w:rPr>
          <w:rFonts w:ascii="Times New Roman" w:hAnsi="Times New Roman"/>
          <w:color w:val="auto"/>
        </w:rPr>
      </w:pPr>
      <w:r>
        <w:rPr>
          <w:rFonts w:ascii="Times New Roman" w:hAnsi="Times New Roman"/>
          <w:color w:val="auto"/>
        </w:rPr>
        <w:t>Director</w:t>
      </w:r>
    </w:p>
    <w:p w:rsidR="00891023" w:rsidRDefault="00891023" w:rsidP="00891023">
      <w:pPr>
        <w:tabs>
          <w:tab w:val="left" w:pos="720"/>
        </w:tabs>
        <w:spacing w:line="240" w:lineRule="exact"/>
        <w:ind w:left="5040" w:right="-1080"/>
        <w:rPr>
          <w:rFonts w:ascii="Times New Roman" w:hAnsi="Times New Roman"/>
          <w:color w:val="auto"/>
        </w:rPr>
      </w:pPr>
      <w:r>
        <w:rPr>
          <w:rFonts w:ascii="Times New Roman" w:hAnsi="Times New Roman"/>
          <w:color w:val="auto"/>
        </w:rPr>
        <w:t>Air Force Review Boards Agency</w:t>
      </w:r>
    </w:p>
    <w:p w:rsidR="00891023" w:rsidRDefault="00891023">
      <w:pPr>
        <w:rPr>
          <w:rFonts w:ascii="Times New Roman" w:hAnsi="Times New Roman"/>
          <w:color w:val="auto"/>
        </w:rPr>
      </w:pPr>
      <w:r>
        <w:rPr>
          <w:rFonts w:ascii="Times New Roman" w:hAnsi="Times New Roman"/>
          <w:color w:val="auto"/>
        </w:rPr>
        <w:br w:type="page"/>
      </w:r>
    </w:p>
    <w:p w:rsidR="00891023" w:rsidRDefault="00891023" w:rsidP="00891023">
      <w:pPr>
        <w:tabs>
          <w:tab w:val="left" w:pos="720"/>
        </w:tabs>
        <w:spacing w:line="240" w:lineRule="exact"/>
        <w:ind w:left="5040" w:right="-1080"/>
        <w:rPr>
          <w:rFonts w:ascii="Times New Roman" w:hAnsi="Times New Roman"/>
          <w:color w:val="auto"/>
        </w:rPr>
      </w:pPr>
    </w:p>
    <w:p w:rsidR="00582A3C" w:rsidRPr="00006186" w:rsidRDefault="00582A3C" w:rsidP="00423148">
      <w:pPr>
        <w:tabs>
          <w:tab w:val="left" w:pos="0"/>
          <w:tab w:val="left" w:pos="4320"/>
        </w:tabs>
        <w:spacing w:line="240" w:lineRule="exact"/>
        <w:jc w:val="both"/>
        <w:rPr>
          <w:color w:val="auto"/>
        </w:rPr>
      </w:pPr>
    </w:p>
    <w:p w:rsidR="00891023" w:rsidRDefault="00891023" w:rsidP="00891023">
      <w:pPr>
        <w:tabs>
          <w:tab w:val="left" w:pos="720"/>
        </w:tabs>
        <w:spacing w:line="240" w:lineRule="exact"/>
        <w:ind w:right="-360"/>
        <w:outlineLvl w:val="0"/>
        <w:rPr>
          <w:rFonts w:ascii="Times New Roman" w:hAnsi="Times New Roman"/>
          <w:color w:val="000000"/>
        </w:rPr>
      </w:pPr>
      <w:r>
        <w:rPr>
          <w:rFonts w:ascii="Times New Roman" w:hAnsi="Times New Roman"/>
          <w:color w:val="000000"/>
        </w:rPr>
        <w:t>PDBR PD-2011-00290</w:t>
      </w:r>
    </w:p>
    <w:p w:rsidR="00891023" w:rsidRDefault="00891023" w:rsidP="00891023">
      <w:pPr>
        <w:tabs>
          <w:tab w:val="left" w:pos="720"/>
        </w:tabs>
        <w:spacing w:line="240" w:lineRule="exact"/>
        <w:ind w:right="-360"/>
        <w:rPr>
          <w:rFonts w:ascii="Times New Roman" w:hAnsi="Times New Roman"/>
          <w:color w:val="000000"/>
        </w:rPr>
      </w:pPr>
    </w:p>
    <w:p w:rsidR="00891023" w:rsidRDefault="00891023" w:rsidP="00891023">
      <w:pPr>
        <w:tabs>
          <w:tab w:val="left" w:pos="720"/>
        </w:tabs>
        <w:spacing w:line="240" w:lineRule="exact"/>
        <w:ind w:right="-360"/>
        <w:rPr>
          <w:rFonts w:ascii="Times New Roman" w:hAnsi="Times New Roman"/>
          <w:color w:val="000000"/>
        </w:rPr>
      </w:pPr>
    </w:p>
    <w:p w:rsidR="00891023" w:rsidRDefault="00891023" w:rsidP="00891023">
      <w:pPr>
        <w:tabs>
          <w:tab w:val="left" w:pos="720"/>
        </w:tabs>
        <w:spacing w:line="240" w:lineRule="exact"/>
        <w:ind w:right="-360"/>
        <w:rPr>
          <w:rFonts w:ascii="Times New Roman" w:hAnsi="Times New Roman"/>
          <w:color w:val="000000"/>
        </w:rPr>
      </w:pPr>
    </w:p>
    <w:p w:rsidR="00891023" w:rsidRDefault="00891023" w:rsidP="00891023">
      <w:pPr>
        <w:tabs>
          <w:tab w:val="left" w:pos="720"/>
        </w:tabs>
        <w:spacing w:line="240" w:lineRule="exact"/>
        <w:ind w:right="-360"/>
        <w:rPr>
          <w:rFonts w:ascii="Times New Roman" w:hAnsi="Times New Roman"/>
          <w:color w:val="000000"/>
        </w:rPr>
      </w:pPr>
    </w:p>
    <w:p w:rsidR="00891023" w:rsidRDefault="00891023" w:rsidP="00891023">
      <w:pPr>
        <w:tabs>
          <w:tab w:val="left" w:pos="720"/>
        </w:tabs>
        <w:spacing w:line="240" w:lineRule="exact"/>
        <w:ind w:right="-360"/>
        <w:outlineLvl w:val="0"/>
        <w:rPr>
          <w:rFonts w:ascii="Times New Roman" w:hAnsi="Times New Roman"/>
          <w:color w:val="000000"/>
        </w:rPr>
      </w:pPr>
      <w:r>
        <w:rPr>
          <w:rFonts w:ascii="Times New Roman" w:hAnsi="Times New Roman"/>
          <w:color w:val="000000"/>
        </w:rPr>
        <w:t>MEMORANDUM FOR THE CHIEF OF STAFF</w:t>
      </w:r>
    </w:p>
    <w:p w:rsidR="00891023" w:rsidRDefault="00891023" w:rsidP="00891023">
      <w:pPr>
        <w:tabs>
          <w:tab w:val="left" w:pos="720"/>
        </w:tabs>
        <w:spacing w:line="240" w:lineRule="exact"/>
        <w:ind w:right="-360"/>
        <w:rPr>
          <w:rFonts w:ascii="Times New Roman" w:hAnsi="Times New Roman"/>
          <w:color w:val="000000"/>
        </w:rPr>
      </w:pPr>
    </w:p>
    <w:p w:rsidR="00891023" w:rsidRDefault="00891023" w:rsidP="00891023">
      <w:pPr>
        <w:tabs>
          <w:tab w:val="left" w:pos="720"/>
        </w:tabs>
        <w:spacing w:line="240" w:lineRule="exact"/>
        <w:rPr>
          <w:rFonts w:ascii="Times New Roman" w:hAnsi="Times New Roman"/>
          <w:color w:val="auto"/>
        </w:rPr>
      </w:pPr>
      <w:r>
        <w:rPr>
          <w:rFonts w:ascii="Times New Roman" w:hAnsi="Times New Roman"/>
          <w:color w:val="auto"/>
        </w:rPr>
        <w:tab/>
        <w:t>Having received and considered the recommendation of the Physical Disability Board of Review and under the authority of Title 10, United States Code, Section 1554a (122 Stat. 466) and Title 10, United States Code, Section 1552 (70A Stat. 116) it is directed that:</w:t>
      </w:r>
    </w:p>
    <w:p w:rsidR="00891023" w:rsidRDefault="00891023" w:rsidP="00891023">
      <w:pPr>
        <w:tabs>
          <w:tab w:val="left" w:pos="720"/>
        </w:tabs>
        <w:spacing w:line="240" w:lineRule="exact"/>
        <w:ind w:right="-360"/>
        <w:rPr>
          <w:rFonts w:ascii="Times New Roman" w:hAnsi="Times New Roman"/>
          <w:color w:val="000000"/>
        </w:rPr>
      </w:pPr>
    </w:p>
    <w:p w:rsidR="00891023" w:rsidRDefault="00891023" w:rsidP="00891023">
      <w:pPr>
        <w:tabs>
          <w:tab w:val="left" w:pos="720"/>
        </w:tabs>
        <w:spacing w:line="240" w:lineRule="exact"/>
        <w:ind w:right="-360"/>
        <w:rPr>
          <w:rFonts w:ascii="Times New Roman" w:hAnsi="Times New Roman"/>
          <w:color w:val="000000"/>
        </w:rPr>
      </w:pPr>
      <w:r>
        <w:rPr>
          <w:rFonts w:ascii="Times New Roman" w:hAnsi="Times New Roman"/>
          <w:color w:val="000000"/>
        </w:rPr>
        <w:tab/>
        <w:t xml:space="preserve">The pertinent military records of the Department of the Air Force relating </w:t>
      </w:r>
      <w:proofErr w:type="gramStart"/>
      <w:r>
        <w:rPr>
          <w:rFonts w:ascii="Times New Roman" w:hAnsi="Times New Roman"/>
          <w:color w:val="000000"/>
        </w:rPr>
        <w:t>XXXXXXXXXXX,</w:t>
      </w:r>
      <w:proofErr w:type="gramEnd"/>
      <w:r>
        <w:rPr>
          <w:rFonts w:ascii="Times New Roman" w:hAnsi="Times New Roman"/>
          <w:color w:val="000000"/>
        </w:rPr>
        <w:t xml:space="preserve"> be corrected to show that the diagnosis in her finding of unfitness was Degenerative Disc Disease, Lumbar Spine, VASRD Code 5299-5243, rated at 10%; rather than Chronic Low Back Pain, VASRD 5243, rated at 0%.  </w:t>
      </w:r>
    </w:p>
    <w:p w:rsidR="00891023" w:rsidRDefault="00891023" w:rsidP="00891023">
      <w:pPr>
        <w:tabs>
          <w:tab w:val="left" w:pos="720"/>
        </w:tabs>
        <w:spacing w:line="240" w:lineRule="exact"/>
        <w:ind w:right="-360"/>
        <w:outlineLvl w:val="0"/>
        <w:rPr>
          <w:rFonts w:ascii="Times New Roman" w:hAnsi="Times New Roman"/>
          <w:color w:val="000000"/>
        </w:rPr>
      </w:pPr>
    </w:p>
    <w:p w:rsidR="00891023" w:rsidRDefault="00891023" w:rsidP="00891023">
      <w:pPr>
        <w:tabs>
          <w:tab w:val="left" w:pos="720"/>
        </w:tabs>
        <w:spacing w:line="240" w:lineRule="exact"/>
        <w:ind w:right="-360"/>
        <w:outlineLvl w:val="0"/>
        <w:rPr>
          <w:rFonts w:ascii="Times New Roman" w:hAnsi="Times New Roman"/>
          <w:color w:val="000000"/>
        </w:rPr>
      </w:pPr>
    </w:p>
    <w:p w:rsidR="00891023" w:rsidRDefault="00891023" w:rsidP="00891023">
      <w:pPr>
        <w:tabs>
          <w:tab w:val="left" w:pos="720"/>
        </w:tabs>
        <w:spacing w:line="240" w:lineRule="exact"/>
        <w:ind w:right="-360"/>
        <w:outlineLvl w:val="0"/>
        <w:rPr>
          <w:rFonts w:ascii="Times New Roman" w:hAnsi="Times New Roman"/>
          <w:color w:val="000000"/>
        </w:rPr>
      </w:pPr>
    </w:p>
    <w:p w:rsidR="00891023" w:rsidRDefault="00891023" w:rsidP="00891023">
      <w:pPr>
        <w:tabs>
          <w:tab w:val="left" w:pos="720"/>
        </w:tabs>
        <w:spacing w:line="240" w:lineRule="exact"/>
        <w:ind w:right="-360"/>
        <w:outlineLvl w:val="0"/>
        <w:rPr>
          <w:rFonts w:ascii="Times New Roman" w:hAnsi="Times New Roman"/>
          <w:color w:val="000000"/>
        </w:rPr>
      </w:pPr>
    </w:p>
    <w:p w:rsidR="00891023" w:rsidRDefault="00891023" w:rsidP="00891023">
      <w:pPr>
        <w:tabs>
          <w:tab w:val="left" w:pos="720"/>
        </w:tabs>
        <w:spacing w:line="240" w:lineRule="exact"/>
        <w:ind w:right="-360"/>
        <w:outlineLvl w:val="0"/>
        <w:rPr>
          <w:rFonts w:ascii="Times New Roman" w:hAnsi="Times New Roman"/>
          <w:color w:val="000000"/>
        </w:rPr>
      </w:pPr>
      <w:r>
        <w:rPr>
          <w:rFonts w:ascii="Times New Roman" w:hAnsi="Times New Roman"/>
          <w:color w:val="000000"/>
        </w:rPr>
        <w:t xml:space="preserve">                                                                            XXXXXXXXXXX</w:t>
      </w:r>
    </w:p>
    <w:p w:rsidR="00891023" w:rsidRDefault="00891023" w:rsidP="00891023">
      <w:pPr>
        <w:tabs>
          <w:tab w:val="left" w:pos="720"/>
        </w:tabs>
        <w:spacing w:line="240" w:lineRule="exact"/>
        <w:ind w:right="-360"/>
        <w:outlineLvl w:val="0"/>
        <w:rPr>
          <w:rFonts w:ascii="Times New Roman" w:hAnsi="Times New Roman"/>
          <w:color w:val="000000"/>
        </w:rPr>
      </w:pPr>
      <w:r>
        <w:rPr>
          <w:rFonts w:ascii="Times New Roman" w:hAnsi="Times New Roman"/>
          <w:color w:val="000000"/>
        </w:rPr>
        <w:t xml:space="preserve">                                                                            Director</w:t>
      </w:r>
    </w:p>
    <w:p w:rsidR="00582A3C" w:rsidRDefault="00891023" w:rsidP="00891023">
      <w:pPr>
        <w:tabs>
          <w:tab w:val="left" w:pos="288"/>
          <w:tab w:val="left" w:pos="4752"/>
        </w:tabs>
        <w:spacing w:line="240" w:lineRule="exact"/>
        <w:jc w:val="both"/>
        <w:rPr>
          <w:color w:val="auto"/>
          <w:u w:val="single"/>
        </w:rPr>
      </w:pPr>
      <w:r>
        <w:rPr>
          <w:rFonts w:ascii="Times New Roman" w:hAnsi="Times New Roman"/>
          <w:color w:val="000000"/>
        </w:rPr>
        <w:t xml:space="preserve">                                                                            Air Force Review Boards Agency</w:t>
      </w:r>
    </w:p>
    <w:p w:rsidR="00582A3C" w:rsidRPr="001B10F7" w:rsidRDefault="00582A3C" w:rsidP="00057019">
      <w:pPr>
        <w:tabs>
          <w:tab w:val="left" w:pos="288"/>
          <w:tab w:val="left" w:pos="4752"/>
        </w:tabs>
        <w:spacing w:line="240" w:lineRule="exact"/>
        <w:jc w:val="both"/>
        <w:rPr>
          <w:b/>
          <w:color w:val="auto"/>
        </w:rPr>
      </w:pPr>
    </w:p>
    <w:sectPr w:rsidR="00582A3C" w:rsidRPr="001B10F7" w:rsidSect="002A5C3C">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E54" w:rsidRDefault="003C0E54">
      <w:r>
        <w:separator/>
      </w:r>
    </w:p>
  </w:endnote>
  <w:endnote w:type="continuationSeparator" w:id="0">
    <w:p w:rsidR="003C0E54" w:rsidRDefault="003C0E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A3C" w:rsidRPr="00684CE6" w:rsidRDefault="00E65155" w:rsidP="00F65ED5">
    <w:pPr>
      <w:pStyle w:val="Footer"/>
      <w:jc w:val="right"/>
      <w:rPr>
        <w:color w:val="auto"/>
      </w:rPr>
    </w:pPr>
    <w:fldSimple w:instr=" PAGE   \* MERGEFORMAT ">
      <w:r w:rsidR="00891023" w:rsidRPr="00891023">
        <w:rPr>
          <w:noProof/>
          <w:color w:val="auto"/>
        </w:rPr>
        <w:t>2</w:t>
      </w:r>
    </w:fldSimple>
    <w:r w:rsidR="00582A3C" w:rsidRPr="00684CE6">
      <w:rPr>
        <w:color w:val="auto"/>
      </w:rPr>
      <w:t xml:space="preserve">                                                                   P</w:t>
    </w:r>
    <w:r w:rsidR="00582A3C" w:rsidRPr="00687F8B">
      <w:rPr>
        <w:color w:val="auto"/>
      </w:rPr>
      <w:t>D1100290</w:t>
    </w:r>
  </w:p>
  <w:p w:rsidR="00582A3C" w:rsidRPr="00684CE6" w:rsidRDefault="00582A3C">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E54" w:rsidRDefault="003C0E54">
      <w:r>
        <w:separator/>
      </w:r>
    </w:p>
  </w:footnote>
  <w:footnote w:type="continuationSeparator" w:id="0">
    <w:p w:rsidR="003C0E54" w:rsidRDefault="003C0E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685DE3"/>
    <w:multiLevelType w:val="hybridMultilevel"/>
    <w:tmpl w:val="225C65B0"/>
    <w:lvl w:ilvl="0" w:tplc="0409000B">
      <w:start w:val="944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D30428"/>
    <w:multiLevelType w:val="hybridMultilevel"/>
    <w:tmpl w:val="C43CE702"/>
    <w:lvl w:ilvl="0" w:tplc="0409000B">
      <w:start w:val="944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9"/>
  </w:num>
  <w:num w:numId="4">
    <w:abstractNumId w:val="6"/>
  </w:num>
  <w:num w:numId="5">
    <w:abstractNumId w:val="3"/>
  </w:num>
  <w:num w:numId="6">
    <w:abstractNumId w:val="8"/>
  </w:num>
  <w:num w:numId="7">
    <w:abstractNumId w:val="0"/>
  </w:num>
  <w:num w:numId="8">
    <w:abstractNumId w:val="5"/>
  </w:num>
  <w:num w:numId="9">
    <w:abstractNumId w:val="17"/>
  </w:num>
  <w:num w:numId="10">
    <w:abstractNumId w:val="11"/>
  </w:num>
  <w:num w:numId="11">
    <w:abstractNumId w:val="4"/>
  </w:num>
  <w:num w:numId="12">
    <w:abstractNumId w:val="15"/>
  </w:num>
  <w:num w:numId="13">
    <w:abstractNumId w:val="7"/>
  </w:num>
  <w:num w:numId="14">
    <w:abstractNumId w:val="16"/>
  </w:num>
  <w:num w:numId="15">
    <w:abstractNumId w:val="20"/>
  </w:num>
  <w:num w:numId="16">
    <w:abstractNumId w:val="1"/>
  </w:num>
  <w:num w:numId="17">
    <w:abstractNumId w:val="18"/>
  </w:num>
  <w:num w:numId="18">
    <w:abstractNumId w:val="9"/>
  </w:num>
  <w:num w:numId="19">
    <w:abstractNumId w:val="14"/>
  </w:num>
  <w:num w:numId="20">
    <w:abstractNumId w:val="13"/>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doNotDisplayPageBoundaries/>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1BA8"/>
    <w:rsid w:val="00012428"/>
    <w:rsid w:val="00012733"/>
    <w:rsid w:val="00013417"/>
    <w:rsid w:val="000145C2"/>
    <w:rsid w:val="0001473F"/>
    <w:rsid w:val="00014A9E"/>
    <w:rsid w:val="00021361"/>
    <w:rsid w:val="00022CF3"/>
    <w:rsid w:val="00023913"/>
    <w:rsid w:val="00023D43"/>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0CD7"/>
    <w:rsid w:val="00051622"/>
    <w:rsid w:val="00051A11"/>
    <w:rsid w:val="00052234"/>
    <w:rsid w:val="00053D7C"/>
    <w:rsid w:val="00057019"/>
    <w:rsid w:val="000575C5"/>
    <w:rsid w:val="000577C9"/>
    <w:rsid w:val="00060FFD"/>
    <w:rsid w:val="0006431E"/>
    <w:rsid w:val="000652EA"/>
    <w:rsid w:val="00065E21"/>
    <w:rsid w:val="000673ED"/>
    <w:rsid w:val="00070DED"/>
    <w:rsid w:val="00072433"/>
    <w:rsid w:val="0007488B"/>
    <w:rsid w:val="00075702"/>
    <w:rsid w:val="00075A0C"/>
    <w:rsid w:val="000775C2"/>
    <w:rsid w:val="000806AD"/>
    <w:rsid w:val="00080BDF"/>
    <w:rsid w:val="00082482"/>
    <w:rsid w:val="00084CF2"/>
    <w:rsid w:val="00085D7B"/>
    <w:rsid w:val="0008708B"/>
    <w:rsid w:val="00092619"/>
    <w:rsid w:val="00092C66"/>
    <w:rsid w:val="000933EC"/>
    <w:rsid w:val="000949DD"/>
    <w:rsid w:val="00094E4F"/>
    <w:rsid w:val="000A2BCE"/>
    <w:rsid w:val="000A33C8"/>
    <w:rsid w:val="000A41E3"/>
    <w:rsid w:val="000A4BBA"/>
    <w:rsid w:val="000A5071"/>
    <w:rsid w:val="000B0AD2"/>
    <w:rsid w:val="000B1022"/>
    <w:rsid w:val="000B2FB8"/>
    <w:rsid w:val="000B4C99"/>
    <w:rsid w:val="000C06F6"/>
    <w:rsid w:val="000C1D34"/>
    <w:rsid w:val="000C2362"/>
    <w:rsid w:val="000C2DED"/>
    <w:rsid w:val="000C2FA8"/>
    <w:rsid w:val="000C3C13"/>
    <w:rsid w:val="000C4D5F"/>
    <w:rsid w:val="000C53F9"/>
    <w:rsid w:val="000C5813"/>
    <w:rsid w:val="000C75CF"/>
    <w:rsid w:val="000C7B83"/>
    <w:rsid w:val="000C7DE4"/>
    <w:rsid w:val="000D0AE6"/>
    <w:rsid w:val="000D15E7"/>
    <w:rsid w:val="000D1A24"/>
    <w:rsid w:val="000D1CF4"/>
    <w:rsid w:val="000D1DBC"/>
    <w:rsid w:val="000D1EC0"/>
    <w:rsid w:val="000D21C7"/>
    <w:rsid w:val="000D248A"/>
    <w:rsid w:val="000D2CFD"/>
    <w:rsid w:val="000D35D8"/>
    <w:rsid w:val="000D43F9"/>
    <w:rsid w:val="000D4717"/>
    <w:rsid w:val="000D6457"/>
    <w:rsid w:val="000D6B7A"/>
    <w:rsid w:val="000D7D55"/>
    <w:rsid w:val="000E0993"/>
    <w:rsid w:val="000E2E50"/>
    <w:rsid w:val="000E37E0"/>
    <w:rsid w:val="000E3F20"/>
    <w:rsid w:val="000E4CBF"/>
    <w:rsid w:val="000E5577"/>
    <w:rsid w:val="000E7034"/>
    <w:rsid w:val="000F02BE"/>
    <w:rsid w:val="000F0928"/>
    <w:rsid w:val="000F427B"/>
    <w:rsid w:val="000F43D0"/>
    <w:rsid w:val="000F4F18"/>
    <w:rsid w:val="000F688E"/>
    <w:rsid w:val="000F7181"/>
    <w:rsid w:val="001007CE"/>
    <w:rsid w:val="001008C1"/>
    <w:rsid w:val="001023DB"/>
    <w:rsid w:val="00102B8D"/>
    <w:rsid w:val="00103948"/>
    <w:rsid w:val="00103CCF"/>
    <w:rsid w:val="0010417F"/>
    <w:rsid w:val="001042D2"/>
    <w:rsid w:val="0010530E"/>
    <w:rsid w:val="00105B8A"/>
    <w:rsid w:val="00105C07"/>
    <w:rsid w:val="00106AD8"/>
    <w:rsid w:val="00107EC5"/>
    <w:rsid w:val="001103CD"/>
    <w:rsid w:val="00113D2A"/>
    <w:rsid w:val="00114F20"/>
    <w:rsid w:val="0011590B"/>
    <w:rsid w:val="001211AF"/>
    <w:rsid w:val="001219DF"/>
    <w:rsid w:val="0012220B"/>
    <w:rsid w:val="001222C6"/>
    <w:rsid w:val="00122ABE"/>
    <w:rsid w:val="001231DC"/>
    <w:rsid w:val="0012489B"/>
    <w:rsid w:val="00126C3B"/>
    <w:rsid w:val="001272AE"/>
    <w:rsid w:val="00130756"/>
    <w:rsid w:val="001315DD"/>
    <w:rsid w:val="0013525F"/>
    <w:rsid w:val="00135385"/>
    <w:rsid w:val="001364D1"/>
    <w:rsid w:val="001374C7"/>
    <w:rsid w:val="001421FD"/>
    <w:rsid w:val="001425C8"/>
    <w:rsid w:val="00142EBA"/>
    <w:rsid w:val="00143B79"/>
    <w:rsid w:val="00145965"/>
    <w:rsid w:val="00150B8A"/>
    <w:rsid w:val="00150DCB"/>
    <w:rsid w:val="00151912"/>
    <w:rsid w:val="00152161"/>
    <w:rsid w:val="00153740"/>
    <w:rsid w:val="00153D88"/>
    <w:rsid w:val="001541C5"/>
    <w:rsid w:val="0015623F"/>
    <w:rsid w:val="00156585"/>
    <w:rsid w:val="00156BA9"/>
    <w:rsid w:val="00161642"/>
    <w:rsid w:val="00161761"/>
    <w:rsid w:val="00166182"/>
    <w:rsid w:val="0017139A"/>
    <w:rsid w:val="001724C8"/>
    <w:rsid w:val="001732C4"/>
    <w:rsid w:val="001745DD"/>
    <w:rsid w:val="00174FDE"/>
    <w:rsid w:val="00174FE3"/>
    <w:rsid w:val="00177659"/>
    <w:rsid w:val="001779E5"/>
    <w:rsid w:val="00180826"/>
    <w:rsid w:val="00180B3C"/>
    <w:rsid w:val="00181240"/>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A025E"/>
    <w:rsid w:val="001A08CD"/>
    <w:rsid w:val="001A0A1E"/>
    <w:rsid w:val="001A2182"/>
    <w:rsid w:val="001A323E"/>
    <w:rsid w:val="001A52CC"/>
    <w:rsid w:val="001A5320"/>
    <w:rsid w:val="001A5E62"/>
    <w:rsid w:val="001A6848"/>
    <w:rsid w:val="001A7538"/>
    <w:rsid w:val="001B06FB"/>
    <w:rsid w:val="001B0B1A"/>
    <w:rsid w:val="001B10F7"/>
    <w:rsid w:val="001B4C0B"/>
    <w:rsid w:val="001B4EC2"/>
    <w:rsid w:val="001B5B59"/>
    <w:rsid w:val="001B60E0"/>
    <w:rsid w:val="001B755A"/>
    <w:rsid w:val="001B7C8C"/>
    <w:rsid w:val="001C0688"/>
    <w:rsid w:val="001C181A"/>
    <w:rsid w:val="001C1877"/>
    <w:rsid w:val="001C2053"/>
    <w:rsid w:val="001C252F"/>
    <w:rsid w:val="001C28D1"/>
    <w:rsid w:val="001C3473"/>
    <w:rsid w:val="001C3EC4"/>
    <w:rsid w:val="001C5BDA"/>
    <w:rsid w:val="001C5CFC"/>
    <w:rsid w:val="001C6199"/>
    <w:rsid w:val="001C7231"/>
    <w:rsid w:val="001C7418"/>
    <w:rsid w:val="001C7EBE"/>
    <w:rsid w:val="001D0051"/>
    <w:rsid w:val="001D169A"/>
    <w:rsid w:val="001D2224"/>
    <w:rsid w:val="001D31AA"/>
    <w:rsid w:val="001D3DC0"/>
    <w:rsid w:val="001D4F88"/>
    <w:rsid w:val="001D68CF"/>
    <w:rsid w:val="001D6A8C"/>
    <w:rsid w:val="001D6E67"/>
    <w:rsid w:val="001D7A56"/>
    <w:rsid w:val="001E15C0"/>
    <w:rsid w:val="001E18E0"/>
    <w:rsid w:val="001E18E2"/>
    <w:rsid w:val="001E19D0"/>
    <w:rsid w:val="001E2A30"/>
    <w:rsid w:val="001E2FF1"/>
    <w:rsid w:val="001E41FE"/>
    <w:rsid w:val="001E635C"/>
    <w:rsid w:val="001E67E6"/>
    <w:rsid w:val="001F0297"/>
    <w:rsid w:val="001F4E02"/>
    <w:rsid w:val="00200AA0"/>
    <w:rsid w:val="00202325"/>
    <w:rsid w:val="00202736"/>
    <w:rsid w:val="00202EFA"/>
    <w:rsid w:val="00203652"/>
    <w:rsid w:val="00204562"/>
    <w:rsid w:val="00205B4F"/>
    <w:rsid w:val="002060B6"/>
    <w:rsid w:val="002066B5"/>
    <w:rsid w:val="0021079F"/>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AC4"/>
    <w:rsid w:val="00233FE5"/>
    <w:rsid w:val="00234B3B"/>
    <w:rsid w:val="00234D98"/>
    <w:rsid w:val="00236018"/>
    <w:rsid w:val="002374C9"/>
    <w:rsid w:val="0024174E"/>
    <w:rsid w:val="00242238"/>
    <w:rsid w:val="0024227D"/>
    <w:rsid w:val="00242D14"/>
    <w:rsid w:val="002432F4"/>
    <w:rsid w:val="00246230"/>
    <w:rsid w:val="00246860"/>
    <w:rsid w:val="002468D9"/>
    <w:rsid w:val="00246DFF"/>
    <w:rsid w:val="00246E89"/>
    <w:rsid w:val="0025183C"/>
    <w:rsid w:val="00252351"/>
    <w:rsid w:val="002528EC"/>
    <w:rsid w:val="00253EAA"/>
    <w:rsid w:val="00255049"/>
    <w:rsid w:val="002556AB"/>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69AF"/>
    <w:rsid w:val="00276C86"/>
    <w:rsid w:val="00276FD0"/>
    <w:rsid w:val="00277217"/>
    <w:rsid w:val="002810A4"/>
    <w:rsid w:val="00282DB6"/>
    <w:rsid w:val="00284A26"/>
    <w:rsid w:val="00285095"/>
    <w:rsid w:val="00287006"/>
    <w:rsid w:val="00292397"/>
    <w:rsid w:val="00292AB2"/>
    <w:rsid w:val="002934B0"/>
    <w:rsid w:val="00293DB6"/>
    <w:rsid w:val="00293FE8"/>
    <w:rsid w:val="00294437"/>
    <w:rsid w:val="00297A45"/>
    <w:rsid w:val="00297E20"/>
    <w:rsid w:val="002A1CCE"/>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645"/>
    <w:rsid w:val="002C0DEA"/>
    <w:rsid w:val="002C34F6"/>
    <w:rsid w:val="002C3B6D"/>
    <w:rsid w:val="002C492D"/>
    <w:rsid w:val="002C5D9D"/>
    <w:rsid w:val="002C5F10"/>
    <w:rsid w:val="002C6E5B"/>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1B45"/>
    <w:rsid w:val="00305856"/>
    <w:rsid w:val="0030678B"/>
    <w:rsid w:val="00306D16"/>
    <w:rsid w:val="00307595"/>
    <w:rsid w:val="00310CD7"/>
    <w:rsid w:val="00313D7A"/>
    <w:rsid w:val="0031549C"/>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1A54"/>
    <w:rsid w:val="00344A4F"/>
    <w:rsid w:val="00344D17"/>
    <w:rsid w:val="0034669F"/>
    <w:rsid w:val="00350427"/>
    <w:rsid w:val="00350428"/>
    <w:rsid w:val="00351498"/>
    <w:rsid w:val="00352B22"/>
    <w:rsid w:val="00352CBF"/>
    <w:rsid w:val="00354547"/>
    <w:rsid w:val="003549F5"/>
    <w:rsid w:val="003567DE"/>
    <w:rsid w:val="003574F3"/>
    <w:rsid w:val="00357831"/>
    <w:rsid w:val="003604A5"/>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861"/>
    <w:rsid w:val="00381E16"/>
    <w:rsid w:val="003821E1"/>
    <w:rsid w:val="003840F6"/>
    <w:rsid w:val="00384866"/>
    <w:rsid w:val="003857D4"/>
    <w:rsid w:val="00385D6F"/>
    <w:rsid w:val="00386D43"/>
    <w:rsid w:val="00387095"/>
    <w:rsid w:val="00387E95"/>
    <w:rsid w:val="00390092"/>
    <w:rsid w:val="00391858"/>
    <w:rsid w:val="00392A25"/>
    <w:rsid w:val="00393651"/>
    <w:rsid w:val="00394926"/>
    <w:rsid w:val="00394FF9"/>
    <w:rsid w:val="00395651"/>
    <w:rsid w:val="00395E12"/>
    <w:rsid w:val="003962A8"/>
    <w:rsid w:val="00396779"/>
    <w:rsid w:val="003967E0"/>
    <w:rsid w:val="00397DB7"/>
    <w:rsid w:val="003A27B2"/>
    <w:rsid w:val="003A40B4"/>
    <w:rsid w:val="003A41BA"/>
    <w:rsid w:val="003A5491"/>
    <w:rsid w:val="003A5958"/>
    <w:rsid w:val="003A6A99"/>
    <w:rsid w:val="003A6E60"/>
    <w:rsid w:val="003A7FF8"/>
    <w:rsid w:val="003B17AC"/>
    <w:rsid w:val="003B227A"/>
    <w:rsid w:val="003B2947"/>
    <w:rsid w:val="003B3A77"/>
    <w:rsid w:val="003B4319"/>
    <w:rsid w:val="003B5854"/>
    <w:rsid w:val="003B6764"/>
    <w:rsid w:val="003B7A8B"/>
    <w:rsid w:val="003C0E54"/>
    <w:rsid w:val="003C294B"/>
    <w:rsid w:val="003C5046"/>
    <w:rsid w:val="003C6068"/>
    <w:rsid w:val="003C7AEC"/>
    <w:rsid w:val="003D2BA3"/>
    <w:rsid w:val="003D316B"/>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3E4E"/>
    <w:rsid w:val="003F58B0"/>
    <w:rsid w:val="003F776F"/>
    <w:rsid w:val="004007E9"/>
    <w:rsid w:val="00400810"/>
    <w:rsid w:val="00401825"/>
    <w:rsid w:val="00401BBC"/>
    <w:rsid w:val="00403BFB"/>
    <w:rsid w:val="00404B45"/>
    <w:rsid w:val="00405BCF"/>
    <w:rsid w:val="00406CC5"/>
    <w:rsid w:val="004074A4"/>
    <w:rsid w:val="004101B2"/>
    <w:rsid w:val="004123D7"/>
    <w:rsid w:val="00412658"/>
    <w:rsid w:val="004129DA"/>
    <w:rsid w:val="00412C51"/>
    <w:rsid w:val="00415EA4"/>
    <w:rsid w:val="0041604B"/>
    <w:rsid w:val="004160AE"/>
    <w:rsid w:val="004172DB"/>
    <w:rsid w:val="00420A1D"/>
    <w:rsid w:val="00421485"/>
    <w:rsid w:val="004216DA"/>
    <w:rsid w:val="00422B75"/>
    <w:rsid w:val="00423148"/>
    <w:rsid w:val="00424612"/>
    <w:rsid w:val="0042528C"/>
    <w:rsid w:val="00425672"/>
    <w:rsid w:val="00425A6A"/>
    <w:rsid w:val="00427F54"/>
    <w:rsid w:val="004316FD"/>
    <w:rsid w:val="00433F36"/>
    <w:rsid w:val="00434860"/>
    <w:rsid w:val="0043503A"/>
    <w:rsid w:val="00437B8A"/>
    <w:rsid w:val="00437D18"/>
    <w:rsid w:val="00437D77"/>
    <w:rsid w:val="004435BE"/>
    <w:rsid w:val="0044384F"/>
    <w:rsid w:val="0044411E"/>
    <w:rsid w:val="00444472"/>
    <w:rsid w:val="00444F80"/>
    <w:rsid w:val="00445599"/>
    <w:rsid w:val="00446018"/>
    <w:rsid w:val="0045027B"/>
    <w:rsid w:val="004504E7"/>
    <w:rsid w:val="00451F9D"/>
    <w:rsid w:val="00453167"/>
    <w:rsid w:val="004543BC"/>
    <w:rsid w:val="0045645D"/>
    <w:rsid w:val="004574C6"/>
    <w:rsid w:val="00457743"/>
    <w:rsid w:val="00457BCF"/>
    <w:rsid w:val="00457DCE"/>
    <w:rsid w:val="00460E3F"/>
    <w:rsid w:val="0046111A"/>
    <w:rsid w:val="00462F68"/>
    <w:rsid w:val="0046369B"/>
    <w:rsid w:val="004636A2"/>
    <w:rsid w:val="004640E9"/>
    <w:rsid w:val="00466CED"/>
    <w:rsid w:val="00466EB5"/>
    <w:rsid w:val="00467592"/>
    <w:rsid w:val="00467690"/>
    <w:rsid w:val="004709E0"/>
    <w:rsid w:val="004718E7"/>
    <w:rsid w:val="00472289"/>
    <w:rsid w:val="00472535"/>
    <w:rsid w:val="004761CC"/>
    <w:rsid w:val="004766C9"/>
    <w:rsid w:val="00480D4A"/>
    <w:rsid w:val="00481DA1"/>
    <w:rsid w:val="004837E2"/>
    <w:rsid w:val="00483A2B"/>
    <w:rsid w:val="00484212"/>
    <w:rsid w:val="00484BA9"/>
    <w:rsid w:val="0048599A"/>
    <w:rsid w:val="00486818"/>
    <w:rsid w:val="00487EE2"/>
    <w:rsid w:val="00491784"/>
    <w:rsid w:val="0049255F"/>
    <w:rsid w:val="0049445D"/>
    <w:rsid w:val="00495350"/>
    <w:rsid w:val="00495E3C"/>
    <w:rsid w:val="00495ED5"/>
    <w:rsid w:val="00497156"/>
    <w:rsid w:val="004A0C79"/>
    <w:rsid w:val="004A11DE"/>
    <w:rsid w:val="004A1697"/>
    <w:rsid w:val="004A24D2"/>
    <w:rsid w:val="004A3214"/>
    <w:rsid w:val="004A4136"/>
    <w:rsid w:val="004A417B"/>
    <w:rsid w:val="004A4378"/>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AB3"/>
    <w:rsid w:val="004C5E33"/>
    <w:rsid w:val="004C60A3"/>
    <w:rsid w:val="004C6CDA"/>
    <w:rsid w:val="004D10D4"/>
    <w:rsid w:val="004D16BD"/>
    <w:rsid w:val="004D2AAB"/>
    <w:rsid w:val="004D6E90"/>
    <w:rsid w:val="004D6F2B"/>
    <w:rsid w:val="004E0248"/>
    <w:rsid w:val="004E0D2E"/>
    <w:rsid w:val="004E21A3"/>
    <w:rsid w:val="004E32EA"/>
    <w:rsid w:val="004E6866"/>
    <w:rsid w:val="004F0C58"/>
    <w:rsid w:val="004F3222"/>
    <w:rsid w:val="004F3639"/>
    <w:rsid w:val="004F3BFA"/>
    <w:rsid w:val="004F4E3C"/>
    <w:rsid w:val="004F5A1A"/>
    <w:rsid w:val="004F677C"/>
    <w:rsid w:val="004F77A3"/>
    <w:rsid w:val="005000AB"/>
    <w:rsid w:val="00500F3C"/>
    <w:rsid w:val="005025EE"/>
    <w:rsid w:val="00503DDF"/>
    <w:rsid w:val="00505524"/>
    <w:rsid w:val="00506688"/>
    <w:rsid w:val="00510588"/>
    <w:rsid w:val="00510F9C"/>
    <w:rsid w:val="0051146C"/>
    <w:rsid w:val="0051220B"/>
    <w:rsid w:val="00512253"/>
    <w:rsid w:val="00512484"/>
    <w:rsid w:val="00514449"/>
    <w:rsid w:val="00515419"/>
    <w:rsid w:val="005157BD"/>
    <w:rsid w:val="005214A3"/>
    <w:rsid w:val="005222E7"/>
    <w:rsid w:val="00523A8B"/>
    <w:rsid w:val="00523E04"/>
    <w:rsid w:val="00525003"/>
    <w:rsid w:val="0052590B"/>
    <w:rsid w:val="00526591"/>
    <w:rsid w:val="00527178"/>
    <w:rsid w:val="005278CB"/>
    <w:rsid w:val="00530684"/>
    <w:rsid w:val="00531289"/>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60D57"/>
    <w:rsid w:val="00562A94"/>
    <w:rsid w:val="00563FAD"/>
    <w:rsid w:val="005701C1"/>
    <w:rsid w:val="005703BF"/>
    <w:rsid w:val="00570754"/>
    <w:rsid w:val="005709F7"/>
    <w:rsid w:val="005710A9"/>
    <w:rsid w:val="00571B11"/>
    <w:rsid w:val="00571D1B"/>
    <w:rsid w:val="00571DA3"/>
    <w:rsid w:val="005738F5"/>
    <w:rsid w:val="00573D34"/>
    <w:rsid w:val="00575963"/>
    <w:rsid w:val="00575EBE"/>
    <w:rsid w:val="00580052"/>
    <w:rsid w:val="0058039C"/>
    <w:rsid w:val="00580A63"/>
    <w:rsid w:val="00582A3C"/>
    <w:rsid w:val="00583379"/>
    <w:rsid w:val="0058417C"/>
    <w:rsid w:val="00586EC6"/>
    <w:rsid w:val="00587DDE"/>
    <w:rsid w:val="00591815"/>
    <w:rsid w:val="00593043"/>
    <w:rsid w:val="00595B60"/>
    <w:rsid w:val="00595BF0"/>
    <w:rsid w:val="00597E16"/>
    <w:rsid w:val="005A0B1D"/>
    <w:rsid w:val="005A1846"/>
    <w:rsid w:val="005A258C"/>
    <w:rsid w:val="005A3560"/>
    <w:rsid w:val="005A464E"/>
    <w:rsid w:val="005A62FC"/>
    <w:rsid w:val="005A6C99"/>
    <w:rsid w:val="005A6FBB"/>
    <w:rsid w:val="005A7D5D"/>
    <w:rsid w:val="005B0040"/>
    <w:rsid w:val="005B011A"/>
    <w:rsid w:val="005B0283"/>
    <w:rsid w:val="005B1ADA"/>
    <w:rsid w:val="005B1D8F"/>
    <w:rsid w:val="005B1E94"/>
    <w:rsid w:val="005B5B3D"/>
    <w:rsid w:val="005B64CF"/>
    <w:rsid w:val="005C0E87"/>
    <w:rsid w:val="005C16F3"/>
    <w:rsid w:val="005C3758"/>
    <w:rsid w:val="005C4D72"/>
    <w:rsid w:val="005C50C1"/>
    <w:rsid w:val="005C62C2"/>
    <w:rsid w:val="005C6C41"/>
    <w:rsid w:val="005D2306"/>
    <w:rsid w:val="005D4A74"/>
    <w:rsid w:val="005D5E91"/>
    <w:rsid w:val="005D67EF"/>
    <w:rsid w:val="005E3064"/>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5AAB"/>
    <w:rsid w:val="00606BEB"/>
    <w:rsid w:val="0061014A"/>
    <w:rsid w:val="0061054B"/>
    <w:rsid w:val="00612FB0"/>
    <w:rsid w:val="0061356D"/>
    <w:rsid w:val="00613E26"/>
    <w:rsid w:val="00615641"/>
    <w:rsid w:val="00616959"/>
    <w:rsid w:val="0062036E"/>
    <w:rsid w:val="006211D0"/>
    <w:rsid w:val="00621595"/>
    <w:rsid w:val="0062359D"/>
    <w:rsid w:val="00623634"/>
    <w:rsid w:val="00624D0C"/>
    <w:rsid w:val="006263A6"/>
    <w:rsid w:val="006274B4"/>
    <w:rsid w:val="00627719"/>
    <w:rsid w:val="006307BA"/>
    <w:rsid w:val="006315BA"/>
    <w:rsid w:val="00634C4A"/>
    <w:rsid w:val="0063532E"/>
    <w:rsid w:val="00637063"/>
    <w:rsid w:val="0063737C"/>
    <w:rsid w:val="00637BDC"/>
    <w:rsid w:val="00640622"/>
    <w:rsid w:val="0064105B"/>
    <w:rsid w:val="006418C9"/>
    <w:rsid w:val="00642BD6"/>
    <w:rsid w:val="00645046"/>
    <w:rsid w:val="0064527A"/>
    <w:rsid w:val="006458FD"/>
    <w:rsid w:val="00645EA2"/>
    <w:rsid w:val="00651E6D"/>
    <w:rsid w:val="00653D2D"/>
    <w:rsid w:val="00655258"/>
    <w:rsid w:val="006555E7"/>
    <w:rsid w:val="006560B6"/>
    <w:rsid w:val="00656776"/>
    <w:rsid w:val="006573F2"/>
    <w:rsid w:val="00662AD0"/>
    <w:rsid w:val="00662F08"/>
    <w:rsid w:val="00663589"/>
    <w:rsid w:val="006640C3"/>
    <w:rsid w:val="00664296"/>
    <w:rsid w:val="006649CD"/>
    <w:rsid w:val="00665D75"/>
    <w:rsid w:val="006708E3"/>
    <w:rsid w:val="00670DDC"/>
    <w:rsid w:val="00671389"/>
    <w:rsid w:val="00671EB4"/>
    <w:rsid w:val="00673CDC"/>
    <w:rsid w:val="0067443B"/>
    <w:rsid w:val="006770AA"/>
    <w:rsid w:val="00682486"/>
    <w:rsid w:val="00684CE6"/>
    <w:rsid w:val="00684E2B"/>
    <w:rsid w:val="00685B93"/>
    <w:rsid w:val="00687C7E"/>
    <w:rsid w:val="00687F8B"/>
    <w:rsid w:val="00690569"/>
    <w:rsid w:val="00690FDA"/>
    <w:rsid w:val="00691E61"/>
    <w:rsid w:val="00692656"/>
    <w:rsid w:val="00693592"/>
    <w:rsid w:val="006937C6"/>
    <w:rsid w:val="00693C5E"/>
    <w:rsid w:val="00693CEE"/>
    <w:rsid w:val="00694EEA"/>
    <w:rsid w:val="006955B4"/>
    <w:rsid w:val="00695DEF"/>
    <w:rsid w:val="00696476"/>
    <w:rsid w:val="00696C74"/>
    <w:rsid w:val="006A10FA"/>
    <w:rsid w:val="006A40E6"/>
    <w:rsid w:val="006A516B"/>
    <w:rsid w:val="006A5362"/>
    <w:rsid w:val="006A543A"/>
    <w:rsid w:val="006A5C07"/>
    <w:rsid w:val="006A743B"/>
    <w:rsid w:val="006A74FE"/>
    <w:rsid w:val="006A75FA"/>
    <w:rsid w:val="006B07D5"/>
    <w:rsid w:val="006B1309"/>
    <w:rsid w:val="006B31E6"/>
    <w:rsid w:val="006B3923"/>
    <w:rsid w:val="006B3F3E"/>
    <w:rsid w:val="006B4AA2"/>
    <w:rsid w:val="006B53C4"/>
    <w:rsid w:val="006B54DC"/>
    <w:rsid w:val="006B586B"/>
    <w:rsid w:val="006B5923"/>
    <w:rsid w:val="006B67D9"/>
    <w:rsid w:val="006B6C14"/>
    <w:rsid w:val="006B715E"/>
    <w:rsid w:val="006C1D6E"/>
    <w:rsid w:val="006C2EF6"/>
    <w:rsid w:val="006C3A68"/>
    <w:rsid w:val="006C3B08"/>
    <w:rsid w:val="006C4B9D"/>
    <w:rsid w:val="006C6AB1"/>
    <w:rsid w:val="006C6E6B"/>
    <w:rsid w:val="006C73CE"/>
    <w:rsid w:val="006D145F"/>
    <w:rsid w:val="006D1D34"/>
    <w:rsid w:val="006D2000"/>
    <w:rsid w:val="006D2D39"/>
    <w:rsid w:val="006D2F31"/>
    <w:rsid w:val="006D4250"/>
    <w:rsid w:val="006D4E0E"/>
    <w:rsid w:val="006D5861"/>
    <w:rsid w:val="006D5CE2"/>
    <w:rsid w:val="006D7854"/>
    <w:rsid w:val="006E06D1"/>
    <w:rsid w:val="006E1313"/>
    <w:rsid w:val="006E2DC8"/>
    <w:rsid w:val="006E5337"/>
    <w:rsid w:val="006E7356"/>
    <w:rsid w:val="006E77C8"/>
    <w:rsid w:val="006F0F9C"/>
    <w:rsid w:val="006F149D"/>
    <w:rsid w:val="006F1A46"/>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307C"/>
    <w:rsid w:val="007165CE"/>
    <w:rsid w:val="00717CEB"/>
    <w:rsid w:val="00717FE6"/>
    <w:rsid w:val="0072035D"/>
    <w:rsid w:val="00720968"/>
    <w:rsid w:val="00721705"/>
    <w:rsid w:val="00721B7A"/>
    <w:rsid w:val="00721D12"/>
    <w:rsid w:val="00721F8B"/>
    <w:rsid w:val="007237CE"/>
    <w:rsid w:val="00724688"/>
    <w:rsid w:val="007269E1"/>
    <w:rsid w:val="007272F1"/>
    <w:rsid w:val="0073062D"/>
    <w:rsid w:val="0073093B"/>
    <w:rsid w:val="0073254D"/>
    <w:rsid w:val="00732D5E"/>
    <w:rsid w:val="007340F3"/>
    <w:rsid w:val="00735704"/>
    <w:rsid w:val="00736A49"/>
    <w:rsid w:val="007419A1"/>
    <w:rsid w:val="00741D8B"/>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22CD"/>
    <w:rsid w:val="00763CAE"/>
    <w:rsid w:val="00763F95"/>
    <w:rsid w:val="007651ED"/>
    <w:rsid w:val="00766C87"/>
    <w:rsid w:val="00771043"/>
    <w:rsid w:val="00773AF7"/>
    <w:rsid w:val="00774791"/>
    <w:rsid w:val="00774FFD"/>
    <w:rsid w:val="00780378"/>
    <w:rsid w:val="0078085E"/>
    <w:rsid w:val="00781BD4"/>
    <w:rsid w:val="00782562"/>
    <w:rsid w:val="007828B4"/>
    <w:rsid w:val="00784832"/>
    <w:rsid w:val="00784EA0"/>
    <w:rsid w:val="00785D77"/>
    <w:rsid w:val="00786111"/>
    <w:rsid w:val="00790963"/>
    <w:rsid w:val="0079154B"/>
    <w:rsid w:val="00791B62"/>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12E"/>
    <w:rsid w:val="007A5AD1"/>
    <w:rsid w:val="007A5B7B"/>
    <w:rsid w:val="007A65A9"/>
    <w:rsid w:val="007B0128"/>
    <w:rsid w:val="007B0A06"/>
    <w:rsid w:val="007B0B24"/>
    <w:rsid w:val="007B1C83"/>
    <w:rsid w:val="007B4181"/>
    <w:rsid w:val="007B5C5C"/>
    <w:rsid w:val="007B6CE0"/>
    <w:rsid w:val="007B7B37"/>
    <w:rsid w:val="007B7C41"/>
    <w:rsid w:val="007C05C5"/>
    <w:rsid w:val="007C11E9"/>
    <w:rsid w:val="007C3428"/>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D7636"/>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80064F"/>
    <w:rsid w:val="00801B85"/>
    <w:rsid w:val="00803850"/>
    <w:rsid w:val="008039E8"/>
    <w:rsid w:val="00804385"/>
    <w:rsid w:val="00804E0E"/>
    <w:rsid w:val="00805AFD"/>
    <w:rsid w:val="008078D8"/>
    <w:rsid w:val="0080798E"/>
    <w:rsid w:val="00811D5B"/>
    <w:rsid w:val="00813C51"/>
    <w:rsid w:val="00816CCB"/>
    <w:rsid w:val="00817572"/>
    <w:rsid w:val="00817713"/>
    <w:rsid w:val="008208C3"/>
    <w:rsid w:val="008220F1"/>
    <w:rsid w:val="00822453"/>
    <w:rsid w:val="0082340B"/>
    <w:rsid w:val="00823D6A"/>
    <w:rsid w:val="00827B29"/>
    <w:rsid w:val="00827DB6"/>
    <w:rsid w:val="008304B2"/>
    <w:rsid w:val="00830999"/>
    <w:rsid w:val="00830D5E"/>
    <w:rsid w:val="00830F69"/>
    <w:rsid w:val="008324D9"/>
    <w:rsid w:val="00833418"/>
    <w:rsid w:val="0083387F"/>
    <w:rsid w:val="00834458"/>
    <w:rsid w:val="00834AEA"/>
    <w:rsid w:val="00835129"/>
    <w:rsid w:val="00835841"/>
    <w:rsid w:val="00835BF8"/>
    <w:rsid w:val="00835FB7"/>
    <w:rsid w:val="00837465"/>
    <w:rsid w:val="0084002E"/>
    <w:rsid w:val="00840159"/>
    <w:rsid w:val="00840621"/>
    <w:rsid w:val="00840DDF"/>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5025"/>
    <w:rsid w:val="00856AC7"/>
    <w:rsid w:val="00856FA4"/>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2757"/>
    <w:rsid w:val="0087566D"/>
    <w:rsid w:val="00875B50"/>
    <w:rsid w:val="00875B51"/>
    <w:rsid w:val="00875F2D"/>
    <w:rsid w:val="008764DC"/>
    <w:rsid w:val="00882CC2"/>
    <w:rsid w:val="0088325A"/>
    <w:rsid w:val="00883930"/>
    <w:rsid w:val="00884535"/>
    <w:rsid w:val="008902BE"/>
    <w:rsid w:val="0089038F"/>
    <w:rsid w:val="00890CDA"/>
    <w:rsid w:val="00891023"/>
    <w:rsid w:val="00891BBA"/>
    <w:rsid w:val="00892079"/>
    <w:rsid w:val="00892B90"/>
    <w:rsid w:val="00896535"/>
    <w:rsid w:val="00896683"/>
    <w:rsid w:val="00896E71"/>
    <w:rsid w:val="0089750B"/>
    <w:rsid w:val="00897589"/>
    <w:rsid w:val="008A0D4F"/>
    <w:rsid w:val="008A2D08"/>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C22F3"/>
    <w:rsid w:val="008C3FD0"/>
    <w:rsid w:val="008C4F01"/>
    <w:rsid w:val="008D1484"/>
    <w:rsid w:val="008D29E7"/>
    <w:rsid w:val="008D3C07"/>
    <w:rsid w:val="008D5104"/>
    <w:rsid w:val="008D75F4"/>
    <w:rsid w:val="008D795D"/>
    <w:rsid w:val="008D7B07"/>
    <w:rsid w:val="008E0D8F"/>
    <w:rsid w:val="008E0F4E"/>
    <w:rsid w:val="008E1E94"/>
    <w:rsid w:val="008E2D99"/>
    <w:rsid w:val="008E30D4"/>
    <w:rsid w:val="008E38B0"/>
    <w:rsid w:val="008E4A60"/>
    <w:rsid w:val="008E744D"/>
    <w:rsid w:val="008F1E08"/>
    <w:rsid w:val="008F49DC"/>
    <w:rsid w:val="008F6FC8"/>
    <w:rsid w:val="0090045D"/>
    <w:rsid w:val="00900D8F"/>
    <w:rsid w:val="009014E3"/>
    <w:rsid w:val="009020ED"/>
    <w:rsid w:val="009026E8"/>
    <w:rsid w:val="00902E36"/>
    <w:rsid w:val="00902FDD"/>
    <w:rsid w:val="00905EEF"/>
    <w:rsid w:val="00906EB7"/>
    <w:rsid w:val="009102BF"/>
    <w:rsid w:val="00910966"/>
    <w:rsid w:val="00911490"/>
    <w:rsid w:val="009115F2"/>
    <w:rsid w:val="00911B11"/>
    <w:rsid w:val="00914ADB"/>
    <w:rsid w:val="00917182"/>
    <w:rsid w:val="00922F92"/>
    <w:rsid w:val="00923B25"/>
    <w:rsid w:val="0092402E"/>
    <w:rsid w:val="009259BA"/>
    <w:rsid w:val="00926FCB"/>
    <w:rsid w:val="009303BB"/>
    <w:rsid w:val="0093108A"/>
    <w:rsid w:val="0093311A"/>
    <w:rsid w:val="009346D0"/>
    <w:rsid w:val="009419B4"/>
    <w:rsid w:val="00941A4C"/>
    <w:rsid w:val="00942645"/>
    <w:rsid w:val="00943454"/>
    <w:rsid w:val="009461E6"/>
    <w:rsid w:val="00950A3A"/>
    <w:rsid w:val="0095340A"/>
    <w:rsid w:val="00953AF6"/>
    <w:rsid w:val="0095423E"/>
    <w:rsid w:val="00954581"/>
    <w:rsid w:val="0095466C"/>
    <w:rsid w:val="00954E5B"/>
    <w:rsid w:val="00955316"/>
    <w:rsid w:val="009557B1"/>
    <w:rsid w:val="00955E45"/>
    <w:rsid w:val="009576BC"/>
    <w:rsid w:val="00957899"/>
    <w:rsid w:val="00960357"/>
    <w:rsid w:val="00960769"/>
    <w:rsid w:val="0096168C"/>
    <w:rsid w:val="00961840"/>
    <w:rsid w:val="009625E3"/>
    <w:rsid w:val="00962F2D"/>
    <w:rsid w:val="00963A7A"/>
    <w:rsid w:val="009672CD"/>
    <w:rsid w:val="00971743"/>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2ED2"/>
    <w:rsid w:val="00985099"/>
    <w:rsid w:val="00985D32"/>
    <w:rsid w:val="00986514"/>
    <w:rsid w:val="00986D2A"/>
    <w:rsid w:val="00986FCC"/>
    <w:rsid w:val="009935C3"/>
    <w:rsid w:val="0099421F"/>
    <w:rsid w:val="00994FC8"/>
    <w:rsid w:val="009A00DF"/>
    <w:rsid w:val="009A0DE3"/>
    <w:rsid w:val="009A1643"/>
    <w:rsid w:val="009A215A"/>
    <w:rsid w:val="009A49D3"/>
    <w:rsid w:val="009A4F1B"/>
    <w:rsid w:val="009A66C5"/>
    <w:rsid w:val="009A66E7"/>
    <w:rsid w:val="009A79BA"/>
    <w:rsid w:val="009B01EE"/>
    <w:rsid w:val="009B14D1"/>
    <w:rsid w:val="009B1534"/>
    <w:rsid w:val="009B4963"/>
    <w:rsid w:val="009B4A3B"/>
    <w:rsid w:val="009B69D3"/>
    <w:rsid w:val="009B7BA7"/>
    <w:rsid w:val="009B7C01"/>
    <w:rsid w:val="009C0938"/>
    <w:rsid w:val="009C0C22"/>
    <w:rsid w:val="009C15D9"/>
    <w:rsid w:val="009C22C8"/>
    <w:rsid w:val="009C287A"/>
    <w:rsid w:val="009C3F82"/>
    <w:rsid w:val="009C4AB3"/>
    <w:rsid w:val="009C582A"/>
    <w:rsid w:val="009C5C56"/>
    <w:rsid w:val="009C72DD"/>
    <w:rsid w:val="009C78FD"/>
    <w:rsid w:val="009C7DF5"/>
    <w:rsid w:val="009D056C"/>
    <w:rsid w:val="009D060F"/>
    <w:rsid w:val="009D1216"/>
    <w:rsid w:val="009D1ADE"/>
    <w:rsid w:val="009D3652"/>
    <w:rsid w:val="009D37CA"/>
    <w:rsid w:val="009D4229"/>
    <w:rsid w:val="009D4268"/>
    <w:rsid w:val="009D4B1F"/>
    <w:rsid w:val="009E09D0"/>
    <w:rsid w:val="009E1283"/>
    <w:rsid w:val="009E3A7F"/>
    <w:rsid w:val="009E4C9B"/>
    <w:rsid w:val="009E4DFC"/>
    <w:rsid w:val="009E5789"/>
    <w:rsid w:val="009E57B1"/>
    <w:rsid w:val="009E6379"/>
    <w:rsid w:val="009F020F"/>
    <w:rsid w:val="009F3B63"/>
    <w:rsid w:val="009F43E2"/>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40FFB"/>
    <w:rsid w:val="00A41468"/>
    <w:rsid w:val="00A414A9"/>
    <w:rsid w:val="00A44141"/>
    <w:rsid w:val="00A44CCA"/>
    <w:rsid w:val="00A44D75"/>
    <w:rsid w:val="00A47CF1"/>
    <w:rsid w:val="00A50418"/>
    <w:rsid w:val="00A54A47"/>
    <w:rsid w:val="00A56D26"/>
    <w:rsid w:val="00A571A7"/>
    <w:rsid w:val="00A5749A"/>
    <w:rsid w:val="00A57BA8"/>
    <w:rsid w:val="00A608FB"/>
    <w:rsid w:val="00A60D83"/>
    <w:rsid w:val="00A60F68"/>
    <w:rsid w:val="00A63DF3"/>
    <w:rsid w:val="00A65C78"/>
    <w:rsid w:val="00A660A8"/>
    <w:rsid w:val="00A66A45"/>
    <w:rsid w:val="00A67591"/>
    <w:rsid w:val="00A67CA6"/>
    <w:rsid w:val="00A70E7B"/>
    <w:rsid w:val="00A717EA"/>
    <w:rsid w:val="00A73B84"/>
    <w:rsid w:val="00A73FD4"/>
    <w:rsid w:val="00A7411D"/>
    <w:rsid w:val="00A756C4"/>
    <w:rsid w:val="00A7592B"/>
    <w:rsid w:val="00A76094"/>
    <w:rsid w:val="00A768E2"/>
    <w:rsid w:val="00A811F0"/>
    <w:rsid w:val="00A82C52"/>
    <w:rsid w:val="00A838E8"/>
    <w:rsid w:val="00A83C15"/>
    <w:rsid w:val="00A84EC4"/>
    <w:rsid w:val="00A86CB6"/>
    <w:rsid w:val="00A90D55"/>
    <w:rsid w:val="00A92CA0"/>
    <w:rsid w:val="00A944D8"/>
    <w:rsid w:val="00A953E9"/>
    <w:rsid w:val="00A959E7"/>
    <w:rsid w:val="00A95BBA"/>
    <w:rsid w:val="00A961EE"/>
    <w:rsid w:val="00AA04B3"/>
    <w:rsid w:val="00AA1253"/>
    <w:rsid w:val="00AA1ED0"/>
    <w:rsid w:val="00AA1F5B"/>
    <w:rsid w:val="00AA28EF"/>
    <w:rsid w:val="00AA3593"/>
    <w:rsid w:val="00AA38CA"/>
    <w:rsid w:val="00AA493E"/>
    <w:rsid w:val="00AA73AF"/>
    <w:rsid w:val="00AB0872"/>
    <w:rsid w:val="00AB0A8A"/>
    <w:rsid w:val="00AB1754"/>
    <w:rsid w:val="00AB1F8D"/>
    <w:rsid w:val="00AB27DD"/>
    <w:rsid w:val="00AB592E"/>
    <w:rsid w:val="00AC0120"/>
    <w:rsid w:val="00AC37BE"/>
    <w:rsid w:val="00AC439D"/>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4FA5"/>
    <w:rsid w:val="00AF6ECC"/>
    <w:rsid w:val="00B022DC"/>
    <w:rsid w:val="00B04562"/>
    <w:rsid w:val="00B0472F"/>
    <w:rsid w:val="00B06930"/>
    <w:rsid w:val="00B0773A"/>
    <w:rsid w:val="00B07955"/>
    <w:rsid w:val="00B1176B"/>
    <w:rsid w:val="00B132A4"/>
    <w:rsid w:val="00B140B8"/>
    <w:rsid w:val="00B14FAA"/>
    <w:rsid w:val="00B15BED"/>
    <w:rsid w:val="00B15D30"/>
    <w:rsid w:val="00B16D18"/>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3961"/>
    <w:rsid w:val="00B36569"/>
    <w:rsid w:val="00B37345"/>
    <w:rsid w:val="00B37F53"/>
    <w:rsid w:val="00B40A05"/>
    <w:rsid w:val="00B40A3E"/>
    <w:rsid w:val="00B427BB"/>
    <w:rsid w:val="00B43BA2"/>
    <w:rsid w:val="00B449EE"/>
    <w:rsid w:val="00B454AE"/>
    <w:rsid w:val="00B46C36"/>
    <w:rsid w:val="00B50227"/>
    <w:rsid w:val="00B50510"/>
    <w:rsid w:val="00B51AB2"/>
    <w:rsid w:val="00B522CD"/>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55D5"/>
    <w:rsid w:val="00B95833"/>
    <w:rsid w:val="00B96F28"/>
    <w:rsid w:val="00BA1824"/>
    <w:rsid w:val="00BA2D98"/>
    <w:rsid w:val="00BA2F0C"/>
    <w:rsid w:val="00BA30D1"/>
    <w:rsid w:val="00BA30E1"/>
    <w:rsid w:val="00BA4609"/>
    <w:rsid w:val="00BA5BE2"/>
    <w:rsid w:val="00BA7F46"/>
    <w:rsid w:val="00BB0A0A"/>
    <w:rsid w:val="00BB133C"/>
    <w:rsid w:val="00BB1F04"/>
    <w:rsid w:val="00BB32E9"/>
    <w:rsid w:val="00BB45B5"/>
    <w:rsid w:val="00BB4DDE"/>
    <w:rsid w:val="00BB6064"/>
    <w:rsid w:val="00BB65CE"/>
    <w:rsid w:val="00BB7012"/>
    <w:rsid w:val="00BC09D1"/>
    <w:rsid w:val="00BC1CF3"/>
    <w:rsid w:val="00BC2BE0"/>
    <w:rsid w:val="00BC337F"/>
    <w:rsid w:val="00BC3573"/>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2988"/>
    <w:rsid w:val="00BF4720"/>
    <w:rsid w:val="00BF4F49"/>
    <w:rsid w:val="00BF6759"/>
    <w:rsid w:val="00BF70A6"/>
    <w:rsid w:val="00BF7B4F"/>
    <w:rsid w:val="00BF7B63"/>
    <w:rsid w:val="00C0359D"/>
    <w:rsid w:val="00C038EC"/>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38AF"/>
    <w:rsid w:val="00C34168"/>
    <w:rsid w:val="00C34326"/>
    <w:rsid w:val="00C34CEB"/>
    <w:rsid w:val="00C36201"/>
    <w:rsid w:val="00C368E8"/>
    <w:rsid w:val="00C36C3D"/>
    <w:rsid w:val="00C372C7"/>
    <w:rsid w:val="00C40BD5"/>
    <w:rsid w:val="00C42443"/>
    <w:rsid w:val="00C42CBA"/>
    <w:rsid w:val="00C4338C"/>
    <w:rsid w:val="00C43C2B"/>
    <w:rsid w:val="00C45B27"/>
    <w:rsid w:val="00C472C7"/>
    <w:rsid w:val="00C5019E"/>
    <w:rsid w:val="00C51962"/>
    <w:rsid w:val="00C53099"/>
    <w:rsid w:val="00C5377C"/>
    <w:rsid w:val="00C53E8A"/>
    <w:rsid w:val="00C54DF3"/>
    <w:rsid w:val="00C560A7"/>
    <w:rsid w:val="00C56FC8"/>
    <w:rsid w:val="00C60F23"/>
    <w:rsid w:val="00C6170B"/>
    <w:rsid w:val="00C623FC"/>
    <w:rsid w:val="00C62EB2"/>
    <w:rsid w:val="00C63164"/>
    <w:rsid w:val="00C64C87"/>
    <w:rsid w:val="00C665FE"/>
    <w:rsid w:val="00C71BEC"/>
    <w:rsid w:val="00C73113"/>
    <w:rsid w:val="00C74D3A"/>
    <w:rsid w:val="00C75F3D"/>
    <w:rsid w:val="00C80511"/>
    <w:rsid w:val="00C826F5"/>
    <w:rsid w:val="00C83740"/>
    <w:rsid w:val="00C84AD1"/>
    <w:rsid w:val="00C85579"/>
    <w:rsid w:val="00C862F1"/>
    <w:rsid w:val="00C863E5"/>
    <w:rsid w:val="00C87BE6"/>
    <w:rsid w:val="00C87F76"/>
    <w:rsid w:val="00C931FC"/>
    <w:rsid w:val="00C932C5"/>
    <w:rsid w:val="00C94CB6"/>
    <w:rsid w:val="00C95299"/>
    <w:rsid w:val="00C95A72"/>
    <w:rsid w:val="00C9650E"/>
    <w:rsid w:val="00C97000"/>
    <w:rsid w:val="00C97340"/>
    <w:rsid w:val="00C975BD"/>
    <w:rsid w:val="00CA068D"/>
    <w:rsid w:val="00CA1228"/>
    <w:rsid w:val="00CA1C73"/>
    <w:rsid w:val="00CA282D"/>
    <w:rsid w:val="00CA3F73"/>
    <w:rsid w:val="00CA4670"/>
    <w:rsid w:val="00CA5006"/>
    <w:rsid w:val="00CA5F89"/>
    <w:rsid w:val="00CA6B1A"/>
    <w:rsid w:val="00CB1B18"/>
    <w:rsid w:val="00CB20DC"/>
    <w:rsid w:val="00CB23DC"/>
    <w:rsid w:val="00CB2487"/>
    <w:rsid w:val="00CB28E2"/>
    <w:rsid w:val="00CB2F20"/>
    <w:rsid w:val="00CB758D"/>
    <w:rsid w:val="00CB7A3E"/>
    <w:rsid w:val="00CB7FF7"/>
    <w:rsid w:val="00CC0D0E"/>
    <w:rsid w:val="00CC1253"/>
    <w:rsid w:val="00CC19B3"/>
    <w:rsid w:val="00CC2044"/>
    <w:rsid w:val="00CC39D2"/>
    <w:rsid w:val="00CC617F"/>
    <w:rsid w:val="00CC69EC"/>
    <w:rsid w:val="00CC78A2"/>
    <w:rsid w:val="00CC7DF8"/>
    <w:rsid w:val="00CD15BE"/>
    <w:rsid w:val="00CD1EF2"/>
    <w:rsid w:val="00CD32BD"/>
    <w:rsid w:val="00CD34C7"/>
    <w:rsid w:val="00CD5480"/>
    <w:rsid w:val="00CD5653"/>
    <w:rsid w:val="00CD5E6D"/>
    <w:rsid w:val="00CD63C8"/>
    <w:rsid w:val="00CD76F8"/>
    <w:rsid w:val="00CE02E8"/>
    <w:rsid w:val="00CE069E"/>
    <w:rsid w:val="00CE0DE0"/>
    <w:rsid w:val="00CE3722"/>
    <w:rsid w:val="00CF158D"/>
    <w:rsid w:val="00CF2166"/>
    <w:rsid w:val="00CF4340"/>
    <w:rsid w:val="00CF4394"/>
    <w:rsid w:val="00CF48B4"/>
    <w:rsid w:val="00CF6844"/>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A4E"/>
    <w:rsid w:val="00D1323B"/>
    <w:rsid w:val="00D14BAE"/>
    <w:rsid w:val="00D1648B"/>
    <w:rsid w:val="00D165FD"/>
    <w:rsid w:val="00D16819"/>
    <w:rsid w:val="00D17DD9"/>
    <w:rsid w:val="00D20AC0"/>
    <w:rsid w:val="00D2288F"/>
    <w:rsid w:val="00D2321B"/>
    <w:rsid w:val="00D23350"/>
    <w:rsid w:val="00D234A8"/>
    <w:rsid w:val="00D237E7"/>
    <w:rsid w:val="00D23DE4"/>
    <w:rsid w:val="00D25A5C"/>
    <w:rsid w:val="00D26873"/>
    <w:rsid w:val="00D31683"/>
    <w:rsid w:val="00D336C8"/>
    <w:rsid w:val="00D339E8"/>
    <w:rsid w:val="00D3654A"/>
    <w:rsid w:val="00D3662E"/>
    <w:rsid w:val="00D40B1F"/>
    <w:rsid w:val="00D40D75"/>
    <w:rsid w:val="00D43978"/>
    <w:rsid w:val="00D43CBD"/>
    <w:rsid w:val="00D449F0"/>
    <w:rsid w:val="00D462D7"/>
    <w:rsid w:val="00D47BF6"/>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2410"/>
    <w:rsid w:val="00D73D53"/>
    <w:rsid w:val="00D7408A"/>
    <w:rsid w:val="00D74261"/>
    <w:rsid w:val="00D7441B"/>
    <w:rsid w:val="00D75589"/>
    <w:rsid w:val="00D76AB2"/>
    <w:rsid w:val="00D80490"/>
    <w:rsid w:val="00D829AD"/>
    <w:rsid w:val="00D82EE2"/>
    <w:rsid w:val="00D83D1B"/>
    <w:rsid w:val="00D84061"/>
    <w:rsid w:val="00D84133"/>
    <w:rsid w:val="00D8545C"/>
    <w:rsid w:val="00D86E57"/>
    <w:rsid w:val="00D87788"/>
    <w:rsid w:val="00D877C8"/>
    <w:rsid w:val="00D87F94"/>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C07B7"/>
    <w:rsid w:val="00DC0BF1"/>
    <w:rsid w:val="00DC17F2"/>
    <w:rsid w:val="00DC41C3"/>
    <w:rsid w:val="00DC4A3C"/>
    <w:rsid w:val="00DC4FA4"/>
    <w:rsid w:val="00DC5028"/>
    <w:rsid w:val="00DC5B37"/>
    <w:rsid w:val="00DD286D"/>
    <w:rsid w:val="00DD2CAF"/>
    <w:rsid w:val="00DD3593"/>
    <w:rsid w:val="00DD64E0"/>
    <w:rsid w:val="00DD7BE0"/>
    <w:rsid w:val="00DE0C67"/>
    <w:rsid w:val="00DE3AAD"/>
    <w:rsid w:val="00DE598A"/>
    <w:rsid w:val="00DE6952"/>
    <w:rsid w:val="00DE7E74"/>
    <w:rsid w:val="00DF071B"/>
    <w:rsid w:val="00DF5C84"/>
    <w:rsid w:val="00DF6EF8"/>
    <w:rsid w:val="00E00A69"/>
    <w:rsid w:val="00E017BC"/>
    <w:rsid w:val="00E017F0"/>
    <w:rsid w:val="00E01A0E"/>
    <w:rsid w:val="00E0346A"/>
    <w:rsid w:val="00E041E4"/>
    <w:rsid w:val="00E04AEE"/>
    <w:rsid w:val="00E070DE"/>
    <w:rsid w:val="00E1012B"/>
    <w:rsid w:val="00E103C8"/>
    <w:rsid w:val="00E1085B"/>
    <w:rsid w:val="00E1308B"/>
    <w:rsid w:val="00E14581"/>
    <w:rsid w:val="00E14623"/>
    <w:rsid w:val="00E15539"/>
    <w:rsid w:val="00E16541"/>
    <w:rsid w:val="00E17EC9"/>
    <w:rsid w:val="00E202F4"/>
    <w:rsid w:val="00E207C3"/>
    <w:rsid w:val="00E2137E"/>
    <w:rsid w:val="00E21386"/>
    <w:rsid w:val="00E242AF"/>
    <w:rsid w:val="00E24849"/>
    <w:rsid w:val="00E2536E"/>
    <w:rsid w:val="00E25B8A"/>
    <w:rsid w:val="00E25EF8"/>
    <w:rsid w:val="00E2632B"/>
    <w:rsid w:val="00E26F75"/>
    <w:rsid w:val="00E27423"/>
    <w:rsid w:val="00E322F7"/>
    <w:rsid w:val="00E3369B"/>
    <w:rsid w:val="00E362D2"/>
    <w:rsid w:val="00E36D76"/>
    <w:rsid w:val="00E40478"/>
    <w:rsid w:val="00E405EA"/>
    <w:rsid w:val="00E408B7"/>
    <w:rsid w:val="00E41637"/>
    <w:rsid w:val="00E42789"/>
    <w:rsid w:val="00E43F59"/>
    <w:rsid w:val="00E464F0"/>
    <w:rsid w:val="00E465AD"/>
    <w:rsid w:val="00E46EF3"/>
    <w:rsid w:val="00E46FA4"/>
    <w:rsid w:val="00E47370"/>
    <w:rsid w:val="00E473E9"/>
    <w:rsid w:val="00E47B47"/>
    <w:rsid w:val="00E50BEB"/>
    <w:rsid w:val="00E5123B"/>
    <w:rsid w:val="00E548FA"/>
    <w:rsid w:val="00E57703"/>
    <w:rsid w:val="00E57ED4"/>
    <w:rsid w:val="00E57FED"/>
    <w:rsid w:val="00E6092F"/>
    <w:rsid w:val="00E60BD0"/>
    <w:rsid w:val="00E62049"/>
    <w:rsid w:val="00E629DA"/>
    <w:rsid w:val="00E64374"/>
    <w:rsid w:val="00E6469F"/>
    <w:rsid w:val="00E65155"/>
    <w:rsid w:val="00E65D39"/>
    <w:rsid w:val="00E670F8"/>
    <w:rsid w:val="00E6733C"/>
    <w:rsid w:val="00E6741B"/>
    <w:rsid w:val="00E67FAC"/>
    <w:rsid w:val="00E7200B"/>
    <w:rsid w:val="00E738CB"/>
    <w:rsid w:val="00E73C88"/>
    <w:rsid w:val="00E74437"/>
    <w:rsid w:val="00E7443D"/>
    <w:rsid w:val="00E75ACE"/>
    <w:rsid w:val="00E76E2E"/>
    <w:rsid w:val="00E771AF"/>
    <w:rsid w:val="00E80386"/>
    <w:rsid w:val="00E809C3"/>
    <w:rsid w:val="00E81A1A"/>
    <w:rsid w:val="00E81C3E"/>
    <w:rsid w:val="00E82359"/>
    <w:rsid w:val="00E82B6D"/>
    <w:rsid w:val="00E83187"/>
    <w:rsid w:val="00E831E9"/>
    <w:rsid w:val="00E8608F"/>
    <w:rsid w:val="00E86C1D"/>
    <w:rsid w:val="00E9763D"/>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3525"/>
    <w:rsid w:val="00F0424D"/>
    <w:rsid w:val="00F04957"/>
    <w:rsid w:val="00F04997"/>
    <w:rsid w:val="00F05807"/>
    <w:rsid w:val="00F06451"/>
    <w:rsid w:val="00F07052"/>
    <w:rsid w:val="00F0706C"/>
    <w:rsid w:val="00F11EBE"/>
    <w:rsid w:val="00F12293"/>
    <w:rsid w:val="00F12BA8"/>
    <w:rsid w:val="00F130D0"/>
    <w:rsid w:val="00F14933"/>
    <w:rsid w:val="00F1516A"/>
    <w:rsid w:val="00F15EE5"/>
    <w:rsid w:val="00F171F9"/>
    <w:rsid w:val="00F1737C"/>
    <w:rsid w:val="00F22A26"/>
    <w:rsid w:val="00F236E6"/>
    <w:rsid w:val="00F24072"/>
    <w:rsid w:val="00F26432"/>
    <w:rsid w:val="00F3197A"/>
    <w:rsid w:val="00F32139"/>
    <w:rsid w:val="00F32504"/>
    <w:rsid w:val="00F33D56"/>
    <w:rsid w:val="00F34E08"/>
    <w:rsid w:val="00F41D91"/>
    <w:rsid w:val="00F41F52"/>
    <w:rsid w:val="00F42363"/>
    <w:rsid w:val="00F427C4"/>
    <w:rsid w:val="00F43D6C"/>
    <w:rsid w:val="00F46964"/>
    <w:rsid w:val="00F46F9A"/>
    <w:rsid w:val="00F470FD"/>
    <w:rsid w:val="00F50F30"/>
    <w:rsid w:val="00F5126A"/>
    <w:rsid w:val="00F5126E"/>
    <w:rsid w:val="00F516EF"/>
    <w:rsid w:val="00F51755"/>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6D01"/>
    <w:rsid w:val="00F80B43"/>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6C41"/>
    <w:rsid w:val="00FD7B23"/>
    <w:rsid w:val="00FE15A8"/>
    <w:rsid w:val="00FE2A48"/>
    <w:rsid w:val="00FE5D0A"/>
    <w:rsid w:val="00FE6469"/>
    <w:rsid w:val="00FF05D0"/>
    <w:rsid w:val="00FF06CE"/>
    <w:rsid w:val="00FF0FF7"/>
    <w:rsid w:val="00FF1022"/>
    <w:rsid w:val="00FF10A2"/>
    <w:rsid w:val="00FF1438"/>
    <w:rsid w:val="00FF3A38"/>
    <w:rsid w:val="00FF3C25"/>
    <w:rsid w:val="00FF4129"/>
    <w:rsid w:val="00FF4426"/>
    <w:rsid w:val="00FF44F7"/>
    <w:rsid w:val="00FF4970"/>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202EFA"/>
    <w:rPr>
      <w:rFonts w:cs="Times New Roman"/>
      <w:color w:val="008080"/>
      <w:sz w:val="24"/>
    </w:rPr>
  </w:style>
  <w:style w:type="paragraph" w:styleId="BodyText">
    <w:name w:val="Body Text"/>
    <w:basedOn w:val="Normal"/>
    <w:link w:val="BodyTextChar"/>
    <w:uiPriority w:val="99"/>
    <w:rsid w:val="005436C2"/>
    <w:pPr>
      <w:tabs>
        <w:tab w:val="left" w:pos="720"/>
      </w:tabs>
      <w:spacing w:line="240" w:lineRule="exact"/>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202EFA"/>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spacing w:line="240" w:lineRule="exact"/>
      <w:ind w:right="-360"/>
      <w:jc w:val="both"/>
    </w:pPr>
    <w:rPr>
      <w:color w:val="000080"/>
    </w:rPr>
  </w:style>
  <w:style w:type="character" w:customStyle="1" w:styleId="BodyText3Char">
    <w:name w:val="Body Text 3 Char"/>
    <w:basedOn w:val="DefaultParagraphFont"/>
    <w:link w:val="BodyText3"/>
    <w:uiPriority w:val="99"/>
    <w:semiHidden/>
    <w:rsid w:val="00202EFA"/>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table" w:customStyle="1" w:styleId="TableGrid1">
    <w:name w:val="Table Grid1"/>
    <w:basedOn w:val="TableNormal"/>
    <w:next w:val="TableGrid"/>
    <w:uiPriority w:val="59"/>
    <w:rsid w:val="00855025"/>
    <w:pPr>
      <w:spacing w:line="240" w:lineRule="exact"/>
      <w:jc w:val="center"/>
    </w:pPr>
    <w:rPr>
      <w:rFonts w:eastAsia="Calibri"/>
      <w:color w:val="000000"/>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891023"/>
    <w:pPr>
      <w:spacing w:after="120" w:line="480" w:lineRule="auto"/>
    </w:pPr>
  </w:style>
  <w:style w:type="character" w:customStyle="1" w:styleId="BodyText2Char">
    <w:name w:val="Body Text 2 Char"/>
    <w:basedOn w:val="DefaultParagraphFont"/>
    <w:link w:val="BodyText2"/>
    <w:uiPriority w:val="99"/>
    <w:semiHidden/>
    <w:rsid w:val="00891023"/>
    <w:rPr>
      <w:color w:val="008080"/>
      <w:sz w:val="24"/>
    </w:rPr>
  </w:style>
</w:styles>
</file>

<file path=word/webSettings.xml><?xml version="1.0" encoding="utf-8"?>
<w:webSettings xmlns:r="http://schemas.openxmlformats.org/officeDocument/2006/relationships" xmlns:w="http://schemas.openxmlformats.org/wordprocessingml/2006/main">
  <w:divs>
    <w:div w:id="485976741">
      <w:bodyDiv w:val="1"/>
      <w:marLeft w:val="0"/>
      <w:marRight w:val="0"/>
      <w:marTop w:val="0"/>
      <w:marBottom w:val="0"/>
      <w:divBdr>
        <w:top w:val="none" w:sz="0" w:space="0" w:color="auto"/>
        <w:left w:val="none" w:sz="0" w:space="0" w:color="auto"/>
        <w:bottom w:val="none" w:sz="0" w:space="0" w:color="auto"/>
        <w:right w:val="none" w:sz="0" w:space="0" w:color="auto"/>
      </w:divBdr>
    </w:div>
    <w:div w:id="1324629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2733</Words>
  <Characters>15579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2</cp:revision>
  <cp:lastPrinted>2012-01-26T15:06:00Z</cp:lastPrinted>
  <dcterms:created xsi:type="dcterms:W3CDTF">2012-05-09T11:46:00Z</dcterms:created>
  <dcterms:modified xsi:type="dcterms:W3CDTF">2012-05-09T11:46:00Z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