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B8" w:rsidRPr="00396779" w:rsidRDefault="00734CB8" w:rsidP="00510F9C">
      <w:pPr>
        <w:tabs>
          <w:tab w:val="left" w:pos="288"/>
          <w:tab w:val="left" w:pos="4752"/>
        </w:tabs>
        <w:spacing w:line="240" w:lineRule="exact"/>
        <w:jc w:val="center"/>
        <w:rPr>
          <w:color w:val="auto"/>
        </w:rPr>
      </w:pPr>
      <w:r w:rsidRPr="00396779">
        <w:rPr>
          <w:color w:val="auto"/>
        </w:rPr>
        <w:t>RECORD OF PROCEEDINGS</w:t>
      </w:r>
    </w:p>
    <w:p w:rsidR="00734CB8" w:rsidRPr="00396779" w:rsidRDefault="00734CB8" w:rsidP="00510F9C">
      <w:pPr>
        <w:tabs>
          <w:tab w:val="left" w:pos="288"/>
          <w:tab w:val="left" w:pos="4752"/>
        </w:tabs>
        <w:spacing w:line="240" w:lineRule="exact"/>
        <w:jc w:val="center"/>
        <w:rPr>
          <w:color w:val="auto"/>
        </w:rPr>
      </w:pPr>
      <w:r w:rsidRPr="00396779">
        <w:rPr>
          <w:color w:val="auto"/>
        </w:rPr>
        <w:t>PHYSICAL DISABILITY BOARD OF REVIEW</w:t>
      </w:r>
    </w:p>
    <w:p w:rsidR="00734CB8" w:rsidRPr="00396779" w:rsidRDefault="00734CB8" w:rsidP="00510F9C">
      <w:pPr>
        <w:tabs>
          <w:tab w:val="left" w:pos="288"/>
          <w:tab w:val="left" w:pos="4752"/>
        </w:tabs>
        <w:spacing w:line="240" w:lineRule="exact"/>
        <w:jc w:val="both"/>
        <w:rPr>
          <w:caps/>
          <w:color w:val="auto"/>
        </w:rPr>
      </w:pPr>
    </w:p>
    <w:p w:rsidR="00734CB8" w:rsidRDefault="00734CB8" w:rsidP="004D2276">
      <w:pPr>
        <w:tabs>
          <w:tab w:val="left" w:pos="288"/>
          <w:tab w:val="left" w:pos="6300"/>
          <w:tab w:val="left" w:pos="9270"/>
        </w:tabs>
        <w:spacing w:line="240" w:lineRule="exact"/>
        <w:jc w:val="both"/>
        <w:rPr>
          <w:caps/>
          <w:color w:val="auto"/>
        </w:rPr>
      </w:pPr>
      <w:r w:rsidRPr="00B37E94">
        <w:rPr>
          <w:caps/>
          <w:color w:val="auto"/>
        </w:rPr>
        <w:t xml:space="preserve">NAME:  </w:t>
      </w:r>
      <w:r w:rsidR="00596A12">
        <w:rPr>
          <w:caps/>
          <w:color w:val="auto"/>
        </w:rPr>
        <w:t>XXXXXXXXXX</w:t>
      </w:r>
      <w:r w:rsidR="004D2276">
        <w:rPr>
          <w:caps/>
          <w:color w:val="auto"/>
        </w:rPr>
        <w:tab/>
      </w:r>
      <w:r w:rsidR="00F31FF1">
        <w:rPr>
          <w:caps/>
          <w:color w:val="auto"/>
        </w:rPr>
        <w:t xml:space="preserve">   </w:t>
      </w:r>
      <w:r w:rsidRPr="00B37E94">
        <w:rPr>
          <w:caps/>
          <w:color w:val="auto"/>
        </w:rPr>
        <w:t xml:space="preserve">BRANCH OF SERVICE:  Army </w:t>
      </w:r>
    </w:p>
    <w:p w:rsidR="00734CB8" w:rsidRDefault="00734CB8" w:rsidP="004D2276">
      <w:pPr>
        <w:tabs>
          <w:tab w:val="left" w:pos="288"/>
          <w:tab w:val="left" w:pos="6300"/>
          <w:tab w:val="left" w:pos="9270"/>
        </w:tabs>
        <w:spacing w:line="240" w:lineRule="exact"/>
        <w:jc w:val="both"/>
        <w:rPr>
          <w:caps/>
          <w:color w:val="auto"/>
        </w:rPr>
      </w:pPr>
      <w:r>
        <w:rPr>
          <w:caps/>
          <w:color w:val="auto"/>
        </w:rPr>
        <w:t>C</w:t>
      </w:r>
      <w:r w:rsidRPr="00FD6C41">
        <w:rPr>
          <w:caps/>
          <w:color w:val="auto"/>
        </w:rPr>
        <w:t xml:space="preserve">ASE NUMBER: </w:t>
      </w:r>
      <w:r>
        <w:rPr>
          <w:caps/>
          <w:color w:val="auto"/>
        </w:rPr>
        <w:t xml:space="preserve"> </w:t>
      </w:r>
      <w:r w:rsidRPr="00FD6C41">
        <w:rPr>
          <w:caps/>
          <w:color w:val="auto"/>
        </w:rPr>
        <w:t>PD1100288</w:t>
      </w:r>
      <w:r w:rsidR="004D2276">
        <w:rPr>
          <w:caps/>
          <w:color w:val="auto"/>
        </w:rPr>
        <w:tab/>
      </w:r>
      <w:r w:rsidRPr="00DE3AAD">
        <w:rPr>
          <w:color w:val="auto"/>
        </w:rPr>
        <w:t>SEPARATION DATE:  20060330</w:t>
      </w:r>
    </w:p>
    <w:p w:rsidR="00734CB8" w:rsidRPr="00784EA0" w:rsidRDefault="00734CB8" w:rsidP="006B54DC">
      <w:pPr>
        <w:tabs>
          <w:tab w:val="left" w:pos="288"/>
          <w:tab w:val="left" w:pos="3600"/>
          <w:tab w:val="left" w:pos="5130"/>
        </w:tabs>
        <w:spacing w:line="240" w:lineRule="exact"/>
        <w:rPr>
          <w:caps/>
          <w:color w:val="auto"/>
        </w:rPr>
      </w:pPr>
      <w:r w:rsidRPr="00FD6C41">
        <w:rPr>
          <w:caps/>
          <w:color w:val="auto"/>
        </w:rPr>
        <w:t xml:space="preserve">BOARD DATE: </w:t>
      </w:r>
      <w:r>
        <w:rPr>
          <w:caps/>
          <w:color w:val="auto"/>
        </w:rPr>
        <w:t xml:space="preserve"> </w:t>
      </w:r>
      <w:r w:rsidR="00195CA5">
        <w:rPr>
          <w:caps/>
          <w:color w:val="auto"/>
        </w:rPr>
        <w:t>2012</w:t>
      </w:r>
      <w:r w:rsidR="000403F4">
        <w:rPr>
          <w:caps/>
          <w:color w:val="auto"/>
        </w:rPr>
        <w:t>0203</w:t>
      </w:r>
    </w:p>
    <w:p w:rsidR="00734CB8" w:rsidRPr="007A512E" w:rsidRDefault="00734CB8" w:rsidP="00510F9C">
      <w:pPr>
        <w:pBdr>
          <w:bottom w:val="single" w:sz="12" w:space="1" w:color="auto"/>
        </w:pBdr>
        <w:tabs>
          <w:tab w:val="left" w:pos="288"/>
          <w:tab w:val="left" w:pos="4752"/>
        </w:tabs>
        <w:spacing w:line="240" w:lineRule="exact"/>
        <w:jc w:val="both"/>
        <w:rPr>
          <w:color w:val="auto"/>
        </w:rPr>
      </w:pPr>
    </w:p>
    <w:p w:rsidR="00734CB8" w:rsidRDefault="00734CB8" w:rsidP="00510F9C">
      <w:pPr>
        <w:tabs>
          <w:tab w:val="left" w:pos="288"/>
          <w:tab w:val="left" w:pos="4752"/>
        </w:tabs>
        <w:spacing w:line="240" w:lineRule="exact"/>
        <w:jc w:val="both"/>
        <w:rPr>
          <w:color w:val="auto"/>
        </w:rPr>
      </w:pPr>
    </w:p>
    <w:p w:rsidR="00734CB8" w:rsidRPr="00C472C7" w:rsidRDefault="00734CB8" w:rsidP="00510F9C">
      <w:pPr>
        <w:tabs>
          <w:tab w:val="left" w:pos="288"/>
          <w:tab w:val="left" w:pos="4752"/>
        </w:tabs>
        <w:spacing w:line="240" w:lineRule="exact"/>
        <w:jc w:val="both"/>
        <w:rPr>
          <w:color w:val="auto"/>
        </w:rPr>
      </w:pPr>
      <w:r w:rsidRPr="0085006A">
        <w:rPr>
          <w:color w:val="auto"/>
          <w:u w:val="single"/>
        </w:rPr>
        <w:t>SUMMARY OF CASE</w:t>
      </w:r>
      <w:r w:rsidRPr="0085006A">
        <w:rPr>
          <w:color w:val="auto"/>
        </w:rPr>
        <w:t>:</w:t>
      </w:r>
      <w:r w:rsidRPr="00EC337D">
        <w:rPr>
          <w:color w:val="auto"/>
        </w:rPr>
        <w:t xml:space="preserve">  Data extracted from the available evidence of record reflects that this covered individual (CI) </w:t>
      </w:r>
      <w:r w:rsidRPr="00AD7F8F">
        <w:rPr>
          <w:color w:val="auto"/>
        </w:rPr>
        <w:t xml:space="preserve">was an active duty </w:t>
      </w:r>
      <w:r>
        <w:rPr>
          <w:color w:val="auto"/>
        </w:rPr>
        <w:t>member,</w:t>
      </w:r>
      <w:r w:rsidRPr="00AD7F8F">
        <w:rPr>
          <w:color w:val="auto"/>
        </w:rPr>
        <w:t xml:space="preserve"> SPC/E-4 (</w:t>
      </w:r>
      <w:r>
        <w:rPr>
          <w:color w:val="auto"/>
        </w:rPr>
        <w:t>31B, Military Police</w:t>
      </w:r>
      <w:r w:rsidRPr="00AD7F8F">
        <w:rPr>
          <w:color w:val="auto"/>
        </w:rPr>
        <w:t>)</w:t>
      </w:r>
      <w:r>
        <w:rPr>
          <w:color w:val="auto"/>
        </w:rPr>
        <w:t xml:space="preserve">, </w:t>
      </w:r>
      <w:r w:rsidRPr="00AD7F8F">
        <w:rPr>
          <w:color w:val="auto"/>
        </w:rPr>
        <w:t xml:space="preserve">medically separated for a right </w:t>
      </w:r>
      <w:r w:rsidR="00B71224">
        <w:rPr>
          <w:color w:val="auto"/>
        </w:rPr>
        <w:t xml:space="preserve">(dominant) </w:t>
      </w:r>
      <w:r w:rsidRPr="00AD7F8F">
        <w:rPr>
          <w:color w:val="auto"/>
        </w:rPr>
        <w:t xml:space="preserve">wrist </w:t>
      </w:r>
      <w:r w:rsidRPr="00A33977">
        <w:rPr>
          <w:color w:val="auto"/>
        </w:rPr>
        <w:t>condition.  He</w:t>
      </w:r>
      <w:r>
        <w:rPr>
          <w:color w:val="auto"/>
        </w:rPr>
        <w:t xml:space="preserve"> first injured his wrist during a deployment in March 2003.  X-rays revealed a scaphoid fracture which was casted</w:t>
      </w:r>
      <w:r w:rsidR="00F92343">
        <w:rPr>
          <w:color w:val="auto"/>
        </w:rPr>
        <w:t>, but healed with nonunion</w:t>
      </w:r>
      <w:r>
        <w:rPr>
          <w:color w:val="auto"/>
        </w:rPr>
        <w:t xml:space="preserve">.  </w:t>
      </w:r>
      <w:r w:rsidR="00F92343">
        <w:rPr>
          <w:color w:val="auto"/>
        </w:rPr>
        <w:t xml:space="preserve">This </w:t>
      </w:r>
      <w:r>
        <w:rPr>
          <w:color w:val="auto"/>
        </w:rPr>
        <w:t xml:space="preserve">was treated with bone growth stimulators, multiple casts, and two surgeries.  </w:t>
      </w:r>
      <w:r w:rsidR="00B71224">
        <w:rPr>
          <w:color w:val="auto"/>
        </w:rPr>
        <w:t>Ultimately, t</w:t>
      </w:r>
      <w:r w:rsidR="004D2276">
        <w:rPr>
          <w:color w:val="auto"/>
        </w:rPr>
        <w:t>he scaphoid bone</w:t>
      </w:r>
      <w:r>
        <w:rPr>
          <w:color w:val="auto"/>
        </w:rPr>
        <w:t xml:space="preserve"> </w:t>
      </w:r>
      <w:r w:rsidR="00B71224">
        <w:rPr>
          <w:color w:val="auto"/>
        </w:rPr>
        <w:t>required complete excision</w:t>
      </w:r>
      <w:r>
        <w:rPr>
          <w:color w:val="auto"/>
        </w:rPr>
        <w:t xml:space="preserve"> with </w:t>
      </w:r>
      <w:r w:rsidR="00B71224">
        <w:rPr>
          <w:color w:val="auto"/>
        </w:rPr>
        <w:t xml:space="preserve">surgical </w:t>
      </w:r>
      <w:r>
        <w:rPr>
          <w:color w:val="auto"/>
        </w:rPr>
        <w:t xml:space="preserve">fusion.  </w:t>
      </w:r>
      <w:r w:rsidR="00B71224">
        <w:rPr>
          <w:color w:val="auto"/>
        </w:rPr>
        <w:t>The wrist could not be adequately rehabilitated</w:t>
      </w:r>
      <w:r w:rsidRPr="00B37E94">
        <w:rPr>
          <w:color w:val="auto"/>
        </w:rPr>
        <w:t xml:space="preserve"> to </w:t>
      </w:r>
      <w:r w:rsidR="000403F4">
        <w:rPr>
          <w:color w:val="auto"/>
        </w:rPr>
        <w:t>satisfy</w:t>
      </w:r>
      <w:r w:rsidR="000403F4" w:rsidRPr="00B37E94">
        <w:rPr>
          <w:color w:val="auto"/>
        </w:rPr>
        <w:t xml:space="preserve"> </w:t>
      </w:r>
      <w:r w:rsidR="000403F4">
        <w:rPr>
          <w:color w:val="auto"/>
        </w:rPr>
        <w:t>the physical requirements of his</w:t>
      </w:r>
      <w:r w:rsidRPr="00B37E94">
        <w:rPr>
          <w:color w:val="auto"/>
        </w:rPr>
        <w:t xml:space="preserve"> Military Occupational Specialty (MOS) or </w:t>
      </w:r>
      <w:r w:rsidR="000403F4">
        <w:rPr>
          <w:color w:val="auto"/>
        </w:rPr>
        <w:t xml:space="preserve">meet </w:t>
      </w:r>
      <w:r w:rsidRPr="00B37E94">
        <w:rPr>
          <w:color w:val="auto"/>
        </w:rPr>
        <w:t>physical fitness standards.  He was issued a perman</w:t>
      </w:r>
      <w:r w:rsidR="00AA3BAD">
        <w:rPr>
          <w:color w:val="auto"/>
        </w:rPr>
        <w:t>ent U3</w:t>
      </w:r>
      <w:r w:rsidR="000403F4">
        <w:rPr>
          <w:color w:val="auto"/>
        </w:rPr>
        <w:t xml:space="preserve"> profile</w:t>
      </w:r>
      <w:r w:rsidRPr="00B37E94">
        <w:rPr>
          <w:color w:val="auto"/>
        </w:rPr>
        <w:t xml:space="preserve"> and </w:t>
      </w:r>
      <w:r w:rsidR="00AA3BAD">
        <w:rPr>
          <w:color w:val="auto"/>
        </w:rPr>
        <w:t>referred for</w:t>
      </w:r>
      <w:r w:rsidRPr="00B37E94">
        <w:rPr>
          <w:color w:val="auto"/>
        </w:rPr>
        <w:t xml:space="preserve"> a Medical Evaluation Board (MEB).</w:t>
      </w:r>
      <w:r w:rsidRPr="00C472C7">
        <w:rPr>
          <w:color w:val="auto"/>
        </w:rPr>
        <w:t xml:space="preserve">  </w:t>
      </w:r>
      <w:r w:rsidR="000403F4">
        <w:rPr>
          <w:color w:val="auto"/>
        </w:rPr>
        <w:t>“</w:t>
      </w:r>
      <w:r w:rsidRPr="00D93A41">
        <w:rPr>
          <w:color w:val="auto"/>
        </w:rPr>
        <w:t>Chronic right wrist pain</w:t>
      </w:r>
      <w:r w:rsidR="000403F4">
        <w:rPr>
          <w:color w:val="auto"/>
        </w:rPr>
        <w:t>”</w:t>
      </w:r>
      <w:r w:rsidRPr="00D93A41">
        <w:rPr>
          <w:color w:val="auto"/>
        </w:rPr>
        <w:t xml:space="preserve"> and </w:t>
      </w:r>
      <w:r w:rsidR="000403F4">
        <w:rPr>
          <w:color w:val="auto"/>
        </w:rPr>
        <w:t>“</w:t>
      </w:r>
      <w:r w:rsidRPr="00D93A41">
        <w:rPr>
          <w:color w:val="auto"/>
        </w:rPr>
        <w:t xml:space="preserve">limited right wrist </w:t>
      </w:r>
      <w:r w:rsidRPr="00B37E94">
        <w:rPr>
          <w:color w:val="auto"/>
        </w:rPr>
        <w:t>range of motion</w:t>
      </w:r>
      <w:r w:rsidR="000403F4">
        <w:rPr>
          <w:color w:val="auto"/>
        </w:rPr>
        <w:t>”</w:t>
      </w:r>
      <w:r w:rsidRPr="00B37E94">
        <w:rPr>
          <w:color w:val="auto"/>
        </w:rPr>
        <w:t xml:space="preserve"> were forwarded to the Physical Evaluation Board (PEB) as </w:t>
      </w:r>
      <w:r w:rsidR="00AA3BAD">
        <w:rPr>
          <w:color w:val="auto"/>
        </w:rPr>
        <w:t xml:space="preserve">separate </w:t>
      </w:r>
      <w:r w:rsidRPr="00B37E94">
        <w:rPr>
          <w:color w:val="auto"/>
        </w:rPr>
        <w:t xml:space="preserve">medically unacceptable </w:t>
      </w:r>
      <w:r w:rsidR="00AA3BAD">
        <w:rPr>
          <w:color w:val="auto"/>
        </w:rPr>
        <w:t xml:space="preserve">conditions </w:t>
      </w:r>
      <w:r w:rsidRPr="00B37E94">
        <w:rPr>
          <w:color w:val="auto"/>
        </w:rPr>
        <w:t>IAW AR 40-501.</w:t>
      </w:r>
      <w:r w:rsidRPr="00C472C7">
        <w:rPr>
          <w:color w:val="auto"/>
        </w:rPr>
        <w:t xml:space="preserve">  </w:t>
      </w:r>
      <w:r>
        <w:rPr>
          <w:color w:val="auto"/>
        </w:rPr>
        <w:t xml:space="preserve">Five </w:t>
      </w:r>
      <w:r w:rsidRPr="00C472C7">
        <w:rPr>
          <w:color w:val="auto"/>
        </w:rPr>
        <w:t xml:space="preserve">other </w:t>
      </w:r>
      <w:r w:rsidRPr="00B37E94">
        <w:rPr>
          <w:color w:val="auto"/>
        </w:rPr>
        <w:t xml:space="preserve">conditions, as identified in the rating chart below, were forwarded </w:t>
      </w:r>
      <w:r w:rsidR="00AA3BAD">
        <w:rPr>
          <w:color w:val="auto"/>
        </w:rPr>
        <w:t>by</w:t>
      </w:r>
      <w:r w:rsidRPr="00B37E94">
        <w:rPr>
          <w:color w:val="auto"/>
        </w:rPr>
        <w:t xml:space="preserve"> the MEB as medically acceptable conditions.</w:t>
      </w:r>
      <w:r w:rsidRPr="00C472C7">
        <w:rPr>
          <w:color w:val="auto"/>
        </w:rPr>
        <w:t xml:space="preserve">  </w:t>
      </w:r>
      <w:r w:rsidR="00A602A0" w:rsidRPr="00A602A0">
        <w:rPr>
          <w:color w:val="auto"/>
        </w:rPr>
        <w:t xml:space="preserve">Two </w:t>
      </w:r>
      <w:r w:rsidR="00A602A0">
        <w:rPr>
          <w:color w:val="auto"/>
        </w:rPr>
        <w:t>of these</w:t>
      </w:r>
      <w:r w:rsidR="00A602A0" w:rsidRPr="00A602A0">
        <w:rPr>
          <w:color w:val="auto"/>
        </w:rPr>
        <w:t xml:space="preserve"> conditions</w:t>
      </w:r>
      <w:r w:rsidR="00A602A0">
        <w:rPr>
          <w:color w:val="auto"/>
        </w:rPr>
        <w:t>,</w:t>
      </w:r>
      <w:r w:rsidR="00A602A0" w:rsidRPr="00A602A0">
        <w:rPr>
          <w:color w:val="auto"/>
        </w:rPr>
        <w:t xml:space="preserve"> </w:t>
      </w:r>
      <w:r w:rsidR="00A602A0">
        <w:rPr>
          <w:color w:val="auto"/>
        </w:rPr>
        <w:t>weight gain</w:t>
      </w:r>
      <w:r w:rsidR="00801988">
        <w:rPr>
          <w:color w:val="auto"/>
        </w:rPr>
        <w:t>,</w:t>
      </w:r>
      <w:r w:rsidR="00A602A0" w:rsidRPr="00A602A0">
        <w:rPr>
          <w:color w:val="auto"/>
        </w:rPr>
        <w:t xml:space="preserve"> and </w:t>
      </w:r>
      <w:r w:rsidR="00801988">
        <w:rPr>
          <w:color w:val="auto"/>
        </w:rPr>
        <w:t>smoking</w:t>
      </w:r>
      <w:r w:rsidR="00A602A0" w:rsidRPr="00A602A0">
        <w:rPr>
          <w:color w:val="auto"/>
        </w:rPr>
        <w:t xml:space="preserve"> are not ratable conditions IAW DoD and VA regulations</w:t>
      </w:r>
      <w:r w:rsidR="00CC5A66">
        <w:rPr>
          <w:color w:val="auto"/>
        </w:rPr>
        <w:t xml:space="preserve"> </w:t>
      </w:r>
      <w:r w:rsidR="00A602A0" w:rsidRPr="00A602A0">
        <w:rPr>
          <w:color w:val="auto"/>
        </w:rPr>
        <w:t>and will not be discussed further.</w:t>
      </w:r>
      <w:r w:rsidR="00A602A0">
        <w:rPr>
          <w:color w:val="auto"/>
        </w:rPr>
        <w:t xml:space="preserve">  </w:t>
      </w:r>
      <w:r w:rsidRPr="00B37E94">
        <w:rPr>
          <w:color w:val="auto"/>
        </w:rPr>
        <w:t xml:space="preserve">The </w:t>
      </w:r>
      <w:r w:rsidR="00801988">
        <w:rPr>
          <w:color w:val="auto"/>
        </w:rPr>
        <w:t>PEB</w:t>
      </w:r>
      <w:r w:rsidRPr="00B37E94">
        <w:rPr>
          <w:color w:val="auto"/>
        </w:rPr>
        <w:t xml:space="preserve"> </w:t>
      </w:r>
      <w:r w:rsidR="000403F4">
        <w:rPr>
          <w:color w:val="auto"/>
        </w:rPr>
        <w:t xml:space="preserve">appropriately combined the MEB-submitted right wrist diagnoses </w:t>
      </w:r>
      <w:r w:rsidRPr="00B37E94">
        <w:rPr>
          <w:color w:val="auto"/>
        </w:rPr>
        <w:t xml:space="preserve">as </w:t>
      </w:r>
      <w:r w:rsidR="000403F4">
        <w:rPr>
          <w:color w:val="auto"/>
        </w:rPr>
        <w:t xml:space="preserve">a single </w:t>
      </w:r>
      <w:r w:rsidRPr="00B37E94">
        <w:rPr>
          <w:color w:val="auto"/>
        </w:rPr>
        <w:t>unfitting</w:t>
      </w:r>
      <w:r w:rsidR="000403F4">
        <w:rPr>
          <w:color w:val="auto"/>
        </w:rPr>
        <w:t xml:space="preserve"> condition</w:t>
      </w:r>
      <w:r w:rsidRPr="00B37E94">
        <w:rPr>
          <w:color w:val="auto"/>
        </w:rPr>
        <w:t xml:space="preserve">, rated 10%, </w:t>
      </w:r>
      <w:r w:rsidR="000403F4">
        <w:rPr>
          <w:color w:val="auto"/>
        </w:rPr>
        <w:t>citing criteria of</w:t>
      </w:r>
      <w:r w:rsidRPr="00B37E94">
        <w:rPr>
          <w:color w:val="auto"/>
        </w:rPr>
        <w:t xml:space="preserve"> the Veterans Administration Schedule for Rating Disabilities (VASRD).</w:t>
      </w:r>
      <w:r w:rsidRPr="00C472C7">
        <w:rPr>
          <w:color w:val="auto"/>
        </w:rPr>
        <w:t xml:space="preserve">  The CI made no appeals, and was medically separated </w:t>
      </w:r>
      <w:r w:rsidRPr="00B37E94">
        <w:rPr>
          <w:color w:val="auto"/>
        </w:rPr>
        <w:t>with a 10% disability</w:t>
      </w:r>
      <w:r w:rsidRPr="00C472C7">
        <w:rPr>
          <w:color w:val="auto"/>
        </w:rPr>
        <w:t xml:space="preserve"> rating.</w:t>
      </w:r>
    </w:p>
    <w:p w:rsidR="00734CB8" w:rsidRDefault="00734CB8" w:rsidP="00510F9C">
      <w:pPr>
        <w:pBdr>
          <w:bottom w:val="single" w:sz="12" w:space="1" w:color="auto"/>
        </w:pBdr>
        <w:tabs>
          <w:tab w:val="left" w:pos="288"/>
          <w:tab w:val="left" w:pos="4752"/>
        </w:tabs>
        <w:spacing w:line="240" w:lineRule="exact"/>
        <w:jc w:val="both"/>
        <w:rPr>
          <w:color w:val="auto"/>
        </w:rPr>
      </w:pPr>
    </w:p>
    <w:p w:rsidR="00734CB8" w:rsidRDefault="00734CB8" w:rsidP="00510F9C">
      <w:pPr>
        <w:tabs>
          <w:tab w:val="left" w:pos="288"/>
          <w:tab w:val="left" w:pos="4752"/>
        </w:tabs>
        <w:spacing w:line="240" w:lineRule="exact"/>
        <w:jc w:val="both"/>
        <w:rPr>
          <w:color w:val="auto"/>
          <w:u w:val="single"/>
        </w:rPr>
      </w:pPr>
    </w:p>
    <w:p w:rsidR="00734CB8" w:rsidRPr="005C4D72" w:rsidRDefault="00734CB8" w:rsidP="00510F9C">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8A0379">
        <w:rPr>
          <w:color w:val="auto"/>
        </w:rPr>
        <w:t>Right wrist fusion with hip bursitis.”</w:t>
      </w:r>
      <w:r>
        <w:rPr>
          <w:color w:val="auto"/>
        </w:rPr>
        <w:t xml:space="preserve">  </w:t>
      </w:r>
      <w:r w:rsidRPr="008B673C">
        <w:rPr>
          <w:color w:val="auto"/>
        </w:rPr>
        <w:t>He</w:t>
      </w:r>
      <w:r w:rsidRPr="005C4D72">
        <w:rPr>
          <w:color w:val="auto"/>
        </w:rPr>
        <w:t xml:space="preserve"> elaborates no specific contentions regarding rating or coding and mentions no additionally contended conditions.</w:t>
      </w:r>
    </w:p>
    <w:p w:rsidR="00734CB8" w:rsidRDefault="00734CB8" w:rsidP="00510F9C">
      <w:pPr>
        <w:pBdr>
          <w:bottom w:val="single" w:sz="12" w:space="1" w:color="auto"/>
        </w:pBdr>
        <w:spacing w:line="240" w:lineRule="exact"/>
        <w:rPr>
          <w:color w:val="auto"/>
          <w:u w:val="single"/>
        </w:rPr>
      </w:pPr>
    </w:p>
    <w:p w:rsidR="00734CB8" w:rsidRDefault="00734CB8" w:rsidP="00510F9C">
      <w:pPr>
        <w:spacing w:line="240" w:lineRule="exact"/>
        <w:rPr>
          <w:color w:val="auto"/>
          <w:u w:val="single"/>
        </w:rPr>
      </w:pPr>
    </w:p>
    <w:p w:rsidR="00734CB8" w:rsidRDefault="00734CB8" w:rsidP="00B37E94">
      <w:pPr>
        <w:spacing w:line="240" w:lineRule="exact"/>
        <w:rPr>
          <w:color w:val="auto"/>
        </w:rPr>
      </w:pPr>
      <w:r>
        <w:rPr>
          <w:color w:val="auto"/>
          <w:u w:val="single"/>
        </w:rPr>
        <w:t>R</w:t>
      </w:r>
      <w:r w:rsidRPr="00326C08">
        <w:rPr>
          <w:color w:val="auto"/>
          <w:u w:val="single"/>
        </w:rPr>
        <w:t>ATING COMPARISON</w:t>
      </w:r>
      <w:r w:rsidRPr="00326C08">
        <w:rPr>
          <w:color w:val="auto"/>
        </w:rPr>
        <w:t>:</w:t>
      </w:r>
    </w:p>
    <w:p w:rsidR="00734CB8" w:rsidRPr="008A0379" w:rsidRDefault="00734CB8" w:rsidP="00510F9C">
      <w:pPr>
        <w:spacing w:line="240" w:lineRule="exact"/>
        <w:rPr>
          <w:color w:val="auto"/>
        </w:rPr>
      </w:pPr>
    </w:p>
    <w:tbl>
      <w:tblPr>
        <w:tblW w:w="937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39"/>
        <w:gridCol w:w="711"/>
        <w:gridCol w:w="810"/>
        <w:gridCol w:w="2529"/>
        <w:gridCol w:w="1080"/>
        <w:gridCol w:w="819"/>
        <w:gridCol w:w="990"/>
      </w:tblGrid>
      <w:tr w:rsidR="00734CB8" w:rsidRPr="008A0379" w:rsidTr="00195CA5">
        <w:trPr>
          <w:trHeight w:val="80"/>
          <w:jc w:val="center"/>
        </w:trPr>
        <w:tc>
          <w:tcPr>
            <w:tcW w:w="3960" w:type="dxa"/>
            <w:gridSpan w:val="3"/>
            <w:tcBorders>
              <w:right w:val="thinThickThinSmallGap" w:sz="2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Service IPEB – Dated 20060227</w:t>
            </w:r>
          </w:p>
        </w:tc>
        <w:tc>
          <w:tcPr>
            <w:tcW w:w="5418" w:type="dxa"/>
            <w:gridSpan w:val="4"/>
            <w:tcBorders>
              <w:left w:val="thinThickThinSmallGap" w:sz="2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VA (9 Mo. Post-Separation) – All Effective Date 20060331</w:t>
            </w:r>
          </w:p>
        </w:tc>
      </w:tr>
      <w:tr w:rsidR="00734CB8" w:rsidRPr="008A0379" w:rsidTr="00D661E7">
        <w:trPr>
          <w:trHeight w:val="143"/>
          <w:jc w:val="center"/>
        </w:trPr>
        <w:tc>
          <w:tcPr>
            <w:tcW w:w="2439" w:type="dxa"/>
            <w:tcBorders>
              <w:right w:val="single" w:sz="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Condition</w:t>
            </w:r>
          </w:p>
        </w:tc>
        <w:tc>
          <w:tcPr>
            <w:tcW w:w="711" w:type="dxa"/>
            <w:tcBorders>
              <w:left w:val="single" w:sz="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Code</w:t>
            </w:r>
          </w:p>
        </w:tc>
        <w:tc>
          <w:tcPr>
            <w:tcW w:w="810" w:type="dxa"/>
            <w:tcBorders>
              <w:right w:val="thinThickThinSmallGap" w:sz="2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Rating</w:t>
            </w:r>
          </w:p>
        </w:tc>
        <w:tc>
          <w:tcPr>
            <w:tcW w:w="2529" w:type="dxa"/>
            <w:tcBorders>
              <w:left w:val="thinThickThinSmallGap" w:sz="24" w:space="0" w:color="auto"/>
            </w:tcBorders>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Condition</w:t>
            </w:r>
          </w:p>
        </w:tc>
        <w:tc>
          <w:tcPr>
            <w:tcW w:w="1080" w:type="dxa"/>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Code</w:t>
            </w:r>
          </w:p>
        </w:tc>
        <w:tc>
          <w:tcPr>
            <w:tcW w:w="819" w:type="dxa"/>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Rating</w:t>
            </w:r>
          </w:p>
        </w:tc>
        <w:tc>
          <w:tcPr>
            <w:tcW w:w="990" w:type="dxa"/>
            <w:shd w:val="clear" w:color="auto" w:fill="D9D9D9"/>
            <w:vAlign w:val="center"/>
          </w:tcPr>
          <w:p w:rsidR="00734CB8" w:rsidRPr="00A851A2" w:rsidRDefault="00734CB8" w:rsidP="00195CA5">
            <w:pPr>
              <w:spacing w:line="240" w:lineRule="exact"/>
              <w:contextualSpacing/>
              <w:jc w:val="center"/>
              <w:rPr>
                <w:b/>
                <w:color w:val="auto"/>
                <w:sz w:val="20"/>
              </w:rPr>
            </w:pPr>
            <w:r w:rsidRPr="00A851A2">
              <w:rPr>
                <w:b/>
                <w:color w:val="auto"/>
                <w:sz w:val="20"/>
              </w:rPr>
              <w:t>Exam</w:t>
            </w:r>
          </w:p>
        </w:tc>
      </w:tr>
      <w:tr w:rsidR="00734CB8" w:rsidRPr="008A0379" w:rsidTr="00D661E7">
        <w:trPr>
          <w:trHeight w:val="206"/>
          <w:jc w:val="center"/>
        </w:trPr>
        <w:tc>
          <w:tcPr>
            <w:tcW w:w="2439" w:type="dxa"/>
            <w:tcBorders>
              <w:right w:val="single" w:sz="4" w:space="0" w:color="auto"/>
            </w:tcBorders>
            <w:shd w:val="clear" w:color="auto" w:fill="FFFFFF"/>
            <w:vAlign w:val="center"/>
          </w:tcPr>
          <w:p w:rsidR="00734CB8" w:rsidRPr="00A851A2" w:rsidRDefault="00734CB8" w:rsidP="00195CA5">
            <w:pPr>
              <w:spacing w:line="180" w:lineRule="exact"/>
              <w:contextualSpacing/>
              <w:rPr>
                <w:color w:val="auto"/>
                <w:sz w:val="18"/>
              </w:rPr>
            </w:pPr>
            <w:r w:rsidRPr="00A851A2">
              <w:rPr>
                <w:color w:val="auto"/>
                <w:sz w:val="18"/>
              </w:rPr>
              <w:t xml:space="preserve">Limited Range of Motion of </w:t>
            </w:r>
            <w:r w:rsidR="004D2276">
              <w:rPr>
                <w:color w:val="auto"/>
                <w:sz w:val="18"/>
              </w:rPr>
              <w:t>Dominant</w:t>
            </w:r>
            <w:r w:rsidRPr="00A851A2">
              <w:rPr>
                <w:color w:val="auto"/>
                <w:sz w:val="18"/>
              </w:rPr>
              <w:t xml:space="preserve"> Wrist</w:t>
            </w:r>
          </w:p>
        </w:tc>
        <w:tc>
          <w:tcPr>
            <w:tcW w:w="711" w:type="dxa"/>
            <w:tcBorders>
              <w:left w:val="single" w:sz="4" w:space="0" w:color="auto"/>
            </w:tcBorders>
            <w:shd w:val="clear" w:color="auto" w:fill="FFFFFF"/>
            <w:vAlign w:val="center"/>
          </w:tcPr>
          <w:p w:rsidR="00734CB8" w:rsidRPr="00A851A2" w:rsidRDefault="00734CB8" w:rsidP="00195CA5">
            <w:pPr>
              <w:spacing w:line="180" w:lineRule="exact"/>
              <w:contextualSpacing/>
              <w:jc w:val="center"/>
              <w:rPr>
                <w:color w:val="auto"/>
                <w:sz w:val="18"/>
              </w:rPr>
            </w:pPr>
            <w:r w:rsidRPr="00A851A2">
              <w:rPr>
                <w:color w:val="auto"/>
                <w:sz w:val="18"/>
              </w:rPr>
              <w:t>5215</w:t>
            </w:r>
          </w:p>
        </w:tc>
        <w:tc>
          <w:tcPr>
            <w:tcW w:w="810" w:type="dxa"/>
            <w:tcBorders>
              <w:right w:val="thinThickThinSmallGap" w:sz="24" w:space="0" w:color="auto"/>
            </w:tcBorders>
            <w:shd w:val="clear" w:color="auto" w:fill="FFFFFF"/>
            <w:vAlign w:val="center"/>
          </w:tcPr>
          <w:p w:rsidR="00734CB8" w:rsidRPr="00A851A2" w:rsidRDefault="00734CB8" w:rsidP="00195CA5">
            <w:pPr>
              <w:spacing w:line="180" w:lineRule="exact"/>
              <w:contextualSpacing/>
              <w:jc w:val="center"/>
              <w:rPr>
                <w:color w:val="auto"/>
                <w:sz w:val="18"/>
              </w:rPr>
            </w:pPr>
            <w:r w:rsidRPr="00A851A2">
              <w:rPr>
                <w:color w:val="auto"/>
                <w:sz w:val="18"/>
              </w:rPr>
              <w:t>10%</w:t>
            </w:r>
          </w:p>
        </w:tc>
        <w:tc>
          <w:tcPr>
            <w:tcW w:w="2529" w:type="dxa"/>
            <w:tcBorders>
              <w:left w:val="thinThickThinSmallGap" w:sz="24" w:space="0" w:color="auto"/>
            </w:tcBorders>
            <w:shd w:val="clear" w:color="auto" w:fill="FFFFFF"/>
            <w:vAlign w:val="center"/>
          </w:tcPr>
          <w:p w:rsidR="00734CB8" w:rsidRPr="00A851A2" w:rsidRDefault="00734CB8" w:rsidP="00195CA5">
            <w:pPr>
              <w:spacing w:line="180" w:lineRule="exact"/>
              <w:contextualSpacing/>
              <w:rPr>
                <w:color w:val="auto"/>
                <w:sz w:val="18"/>
              </w:rPr>
            </w:pPr>
            <w:r w:rsidRPr="00A851A2">
              <w:rPr>
                <w:color w:val="auto"/>
                <w:sz w:val="18"/>
              </w:rPr>
              <w:t>Right Wrist, Status Post Scaphoid Fracture</w:t>
            </w:r>
          </w:p>
        </w:tc>
        <w:tc>
          <w:tcPr>
            <w:tcW w:w="108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5010-5215</w:t>
            </w:r>
          </w:p>
        </w:tc>
        <w:tc>
          <w:tcPr>
            <w:tcW w:w="819"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10%</w:t>
            </w:r>
            <w:r w:rsidR="009E5F60" w:rsidRPr="00A851A2">
              <w:rPr>
                <w:color w:val="auto"/>
                <w:sz w:val="18"/>
              </w:rPr>
              <w:t>*</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20070131</w:t>
            </w:r>
          </w:p>
        </w:tc>
      </w:tr>
      <w:tr w:rsidR="00734CB8" w:rsidRPr="008A0379" w:rsidTr="00D661E7">
        <w:trPr>
          <w:trHeight w:val="188"/>
          <w:jc w:val="center"/>
        </w:trPr>
        <w:tc>
          <w:tcPr>
            <w:tcW w:w="2439" w:type="dxa"/>
            <w:tcBorders>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Left Hearing Loss</w:t>
            </w:r>
          </w:p>
        </w:tc>
        <w:tc>
          <w:tcPr>
            <w:tcW w:w="1521" w:type="dxa"/>
            <w:gridSpan w:val="2"/>
            <w:tcBorders>
              <w:left w:val="single" w:sz="4" w:space="0" w:color="auto"/>
              <w:righ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EPTS</w:t>
            </w:r>
          </w:p>
        </w:tc>
        <w:tc>
          <w:tcPr>
            <w:tcW w:w="2529" w:type="dxa"/>
            <w:tcBorders>
              <w:left w:val="thinThickThinSmallGap" w:sz="2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Left Ear Hearing Loss</w:t>
            </w:r>
          </w:p>
        </w:tc>
        <w:tc>
          <w:tcPr>
            <w:tcW w:w="108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6100</w:t>
            </w:r>
          </w:p>
        </w:tc>
        <w:tc>
          <w:tcPr>
            <w:tcW w:w="819"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0%</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20070208</w:t>
            </w:r>
          </w:p>
        </w:tc>
      </w:tr>
      <w:tr w:rsidR="00734CB8" w:rsidRPr="008A0379" w:rsidTr="00D661E7">
        <w:trPr>
          <w:trHeight w:val="80"/>
          <w:jc w:val="center"/>
        </w:trPr>
        <w:tc>
          <w:tcPr>
            <w:tcW w:w="2439" w:type="dxa"/>
            <w:tcBorders>
              <w:right w:val="single" w:sz="4" w:space="0" w:color="auto"/>
            </w:tcBorders>
            <w:shd w:val="clear" w:color="auto" w:fill="FFFFFF"/>
            <w:vAlign w:val="center"/>
          </w:tcPr>
          <w:p w:rsidR="00734CB8" w:rsidRPr="00A851A2" w:rsidRDefault="00734CB8" w:rsidP="00195CA5">
            <w:pPr>
              <w:spacing w:line="180" w:lineRule="exact"/>
              <w:contextualSpacing/>
              <w:rPr>
                <w:color w:val="auto"/>
                <w:sz w:val="18"/>
              </w:rPr>
            </w:pPr>
            <w:r w:rsidRPr="00A851A2">
              <w:rPr>
                <w:color w:val="auto"/>
                <w:sz w:val="18"/>
              </w:rPr>
              <w:t>Insomnia</w:t>
            </w:r>
          </w:p>
        </w:tc>
        <w:tc>
          <w:tcPr>
            <w:tcW w:w="1521" w:type="dxa"/>
            <w:gridSpan w:val="2"/>
            <w:tcBorders>
              <w:left w:val="single" w:sz="4" w:space="0" w:color="auto"/>
              <w:right w:val="thinThickThinSmallGap" w:sz="24" w:space="0" w:color="auto"/>
            </w:tcBorders>
            <w:shd w:val="clear" w:color="auto" w:fill="FFFFFF"/>
            <w:vAlign w:val="center"/>
          </w:tcPr>
          <w:p w:rsidR="00734CB8" w:rsidRPr="00A851A2" w:rsidRDefault="00734CB8" w:rsidP="00195CA5">
            <w:pPr>
              <w:spacing w:line="180" w:lineRule="exact"/>
              <w:contextualSpacing/>
              <w:jc w:val="center"/>
              <w:rPr>
                <w:color w:val="auto"/>
                <w:sz w:val="18"/>
              </w:rPr>
            </w:pPr>
            <w:r w:rsidRPr="00A851A2">
              <w:rPr>
                <w:color w:val="auto"/>
                <w:sz w:val="18"/>
              </w:rPr>
              <w:t>Not Unfitting</w:t>
            </w:r>
          </w:p>
        </w:tc>
        <w:tc>
          <w:tcPr>
            <w:tcW w:w="2529" w:type="dxa"/>
            <w:tcBorders>
              <w:left w:val="thinThickThinSmallGap" w:sz="24" w:space="0" w:color="auto"/>
              <w:right w:val="single" w:sz="4" w:space="0" w:color="auto"/>
            </w:tcBorders>
            <w:shd w:val="clear" w:color="auto" w:fill="FFFFFF"/>
            <w:vAlign w:val="center"/>
          </w:tcPr>
          <w:p w:rsidR="00734CB8" w:rsidRPr="00A851A2" w:rsidRDefault="00734CB8" w:rsidP="00195CA5">
            <w:pPr>
              <w:spacing w:line="180" w:lineRule="exact"/>
              <w:contextualSpacing/>
              <w:rPr>
                <w:color w:val="auto"/>
                <w:sz w:val="18"/>
              </w:rPr>
            </w:pPr>
            <w:r w:rsidRPr="00A851A2">
              <w:rPr>
                <w:color w:val="auto"/>
                <w:sz w:val="18"/>
              </w:rPr>
              <w:t>Adjustment Disorder, Anxiety and Insomnia</w:t>
            </w:r>
          </w:p>
        </w:tc>
        <w:tc>
          <w:tcPr>
            <w:tcW w:w="1080" w:type="dxa"/>
            <w:tcBorders>
              <w:left w:val="single" w:sz="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9440-9411</w:t>
            </w:r>
          </w:p>
        </w:tc>
        <w:tc>
          <w:tcPr>
            <w:tcW w:w="819"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10%</w:t>
            </w:r>
            <w:r w:rsidR="004A5F36">
              <w:rPr>
                <w:color w:val="auto"/>
                <w:sz w:val="18"/>
              </w:rPr>
              <w:t>*</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20070131</w:t>
            </w:r>
          </w:p>
        </w:tc>
      </w:tr>
      <w:tr w:rsidR="00734CB8" w:rsidRPr="008A0379" w:rsidTr="00D661E7">
        <w:trPr>
          <w:trHeight w:val="161"/>
          <w:jc w:val="center"/>
        </w:trPr>
        <w:tc>
          <w:tcPr>
            <w:tcW w:w="2439" w:type="dxa"/>
            <w:tcBorders>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GERD</w:t>
            </w:r>
          </w:p>
        </w:tc>
        <w:tc>
          <w:tcPr>
            <w:tcW w:w="1521" w:type="dxa"/>
            <w:gridSpan w:val="2"/>
            <w:tcBorders>
              <w:left w:val="single" w:sz="4" w:space="0" w:color="auto"/>
              <w:righ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Not Unfitting</w:t>
            </w:r>
          </w:p>
        </w:tc>
        <w:tc>
          <w:tcPr>
            <w:tcW w:w="2529" w:type="dxa"/>
            <w:tcBorders>
              <w:left w:val="thinThickThinSmallGap" w:sz="24" w:space="0" w:color="auto"/>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GERD with Hiatal Hernia</w:t>
            </w:r>
          </w:p>
        </w:tc>
        <w:tc>
          <w:tcPr>
            <w:tcW w:w="1080" w:type="dxa"/>
            <w:tcBorders>
              <w:left w:val="single" w:sz="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7307-7346</w:t>
            </w:r>
          </w:p>
        </w:tc>
        <w:tc>
          <w:tcPr>
            <w:tcW w:w="819"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0%</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20070131</w:t>
            </w:r>
          </w:p>
        </w:tc>
      </w:tr>
      <w:tr w:rsidR="00734CB8" w:rsidRPr="008A0379" w:rsidTr="00D661E7">
        <w:trPr>
          <w:trHeight w:val="152"/>
          <w:jc w:val="center"/>
        </w:trPr>
        <w:tc>
          <w:tcPr>
            <w:tcW w:w="2439" w:type="dxa"/>
            <w:tcBorders>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Weight Gain</w:t>
            </w:r>
          </w:p>
        </w:tc>
        <w:tc>
          <w:tcPr>
            <w:tcW w:w="1521" w:type="dxa"/>
            <w:gridSpan w:val="2"/>
            <w:tcBorders>
              <w:left w:val="single" w:sz="4" w:space="0" w:color="auto"/>
              <w:righ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Not Unfitting</w:t>
            </w:r>
          </w:p>
        </w:tc>
        <w:tc>
          <w:tcPr>
            <w:tcW w:w="4428" w:type="dxa"/>
            <w:gridSpan w:val="3"/>
            <w:tcBorders>
              <w:lef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No VA Entry</w:t>
            </w:r>
          </w:p>
        </w:tc>
        <w:tc>
          <w:tcPr>
            <w:tcW w:w="990" w:type="dxa"/>
            <w:shd w:val="clear" w:color="auto" w:fill="FFFFFF"/>
            <w:vAlign w:val="center"/>
          </w:tcPr>
          <w:p w:rsidR="00734CB8" w:rsidRPr="00A851A2" w:rsidRDefault="00734CB8" w:rsidP="00195CA5">
            <w:pPr>
              <w:spacing w:line="220" w:lineRule="exact"/>
              <w:jc w:val="center"/>
              <w:rPr>
                <w:sz w:val="22"/>
              </w:rPr>
            </w:pPr>
            <w:r w:rsidRPr="00A851A2">
              <w:rPr>
                <w:color w:val="auto"/>
                <w:sz w:val="18"/>
              </w:rPr>
              <w:t>20070131</w:t>
            </w:r>
          </w:p>
        </w:tc>
      </w:tr>
      <w:tr w:rsidR="00734CB8" w:rsidRPr="008A0379" w:rsidTr="00D661E7">
        <w:trPr>
          <w:trHeight w:val="107"/>
          <w:jc w:val="center"/>
        </w:trPr>
        <w:tc>
          <w:tcPr>
            <w:tcW w:w="2439" w:type="dxa"/>
            <w:tcBorders>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Smoking</w:t>
            </w:r>
          </w:p>
        </w:tc>
        <w:tc>
          <w:tcPr>
            <w:tcW w:w="1521" w:type="dxa"/>
            <w:gridSpan w:val="2"/>
            <w:tcBorders>
              <w:left w:val="single" w:sz="4" w:space="0" w:color="auto"/>
              <w:righ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Not Unfitting</w:t>
            </w:r>
          </w:p>
        </w:tc>
        <w:tc>
          <w:tcPr>
            <w:tcW w:w="4428" w:type="dxa"/>
            <w:gridSpan w:val="3"/>
            <w:tcBorders>
              <w:lef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No VA Entry</w:t>
            </w:r>
          </w:p>
        </w:tc>
        <w:tc>
          <w:tcPr>
            <w:tcW w:w="990" w:type="dxa"/>
            <w:shd w:val="clear" w:color="auto" w:fill="FFFFFF"/>
            <w:vAlign w:val="center"/>
          </w:tcPr>
          <w:p w:rsidR="00734CB8" w:rsidRPr="00A851A2" w:rsidRDefault="00734CB8" w:rsidP="00195CA5">
            <w:pPr>
              <w:spacing w:line="220" w:lineRule="exact"/>
              <w:jc w:val="center"/>
              <w:rPr>
                <w:sz w:val="22"/>
              </w:rPr>
            </w:pPr>
            <w:r w:rsidRPr="00A851A2">
              <w:rPr>
                <w:color w:val="auto"/>
                <w:sz w:val="18"/>
              </w:rPr>
              <w:t>20070131</w:t>
            </w:r>
          </w:p>
        </w:tc>
      </w:tr>
      <w:tr w:rsidR="00734CB8" w:rsidRPr="008A0379" w:rsidTr="00195CA5">
        <w:trPr>
          <w:trHeight w:val="143"/>
          <w:jc w:val="center"/>
        </w:trPr>
        <w:tc>
          <w:tcPr>
            <w:tcW w:w="3960" w:type="dxa"/>
            <w:gridSpan w:val="3"/>
            <w:vMerge w:val="restart"/>
            <w:tcBorders>
              <w:right w:val="thinThickThinSmallGap" w:sz="24" w:space="0" w:color="auto"/>
            </w:tcBorders>
            <w:shd w:val="clear" w:color="auto" w:fill="FFFFFF"/>
          </w:tcPr>
          <w:p w:rsidR="00734CB8" w:rsidRPr="00A851A2" w:rsidRDefault="00734CB8" w:rsidP="00195CA5">
            <w:pPr>
              <w:spacing w:line="220" w:lineRule="exact"/>
              <w:contextualSpacing/>
              <w:jc w:val="center"/>
              <w:rPr>
                <w:color w:val="auto"/>
                <w:sz w:val="18"/>
              </w:rPr>
            </w:pPr>
            <w:r w:rsidRPr="00A851A2">
              <w:rPr>
                <w:color w:val="auto"/>
                <w:sz w:val="18"/>
              </w:rPr>
              <w:t>↓No Additional MEB/PEB Entries↓</w:t>
            </w:r>
          </w:p>
        </w:tc>
        <w:tc>
          <w:tcPr>
            <w:tcW w:w="2529" w:type="dxa"/>
            <w:tcBorders>
              <w:left w:val="thinThickThinSmallGap" w:sz="24" w:space="0" w:color="auto"/>
              <w:right w:val="single" w:sz="4" w:space="0" w:color="auto"/>
            </w:tcBorders>
            <w:shd w:val="clear" w:color="auto" w:fill="FFFFFF"/>
            <w:vAlign w:val="center"/>
          </w:tcPr>
          <w:p w:rsidR="00734CB8" w:rsidRPr="00A851A2" w:rsidRDefault="00734CB8" w:rsidP="00195CA5">
            <w:pPr>
              <w:spacing w:line="220" w:lineRule="exact"/>
              <w:contextualSpacing/>
              <w:rPr>
                <w:color w:val="auto"/>
                <w:sz w:val="18"/>
              </w:rPr>
            </w:pPr>
            <w:r w:rsidRPr="00A851A2">
              <w:rPr>
                <w:color w:val="auto"/>
                <w:sz w:val="18"/>
              </w:rPr>
              <w:t>Left Ear Tinnitus</w:t>
            </w:r>
          </w:p>
        </w:tc>
        <w:tc>
          <w:tcPr>
            <w:tcW w:w="1080" w:type="dxa"/>
            <w:tcBorders>
              <w:left w:val="single" w:sz="4" w:space="0" w:color="auto"/>
              <w:right w:val="single" w:sz="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6260</w:t>
            </w:r>
          </w:p>
        </w:tc>
        <w:tc>
          <w:tcPr>
            <w:tcW w:w="819" w:type="dxa"/>
            <w:tcBorders>
              <w:left w:val="single" w:sz="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10%</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20070208</w:t>
            </w:r>
          </w:p>
        </w:tc>
      </w:tr>
      <w:tr w:rsidR="00734CB8" w:rsidRPr="008A0379" w:rsidTr="00195CA5">
        <w:trPr>
          <w:trHeight w:val="46"/>
          <w:jc w:val="center"/>
        </w:trPr>
        <w:tc>
          <w:tcPr>
            <w:tcW w:w="3960" w:type="dxa"/>
            <w:gridSpan w:val="3"/>
            <w:vMerge/>
            <w:tcBorders>
              <w:righ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p>
        </w:tc>
        <w:tc>
          <w:tcPr>
            <w:tcW w:w="4428" w:type="dxa"/>
            <w:gridSpan w:val="3"/>
            <w:tcBorders>
              <w:left w:val="thinThickThinSmallGap" w:sz="24" w:space="0" w:color="auto"/>
            </w:tcBorders>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0% x 7</w:t>
            </w:r>
          </w:p>
        </w:tc>
        <w:tc>
          <w:tcPr>
            <w:tcW w:w="990" w:type="dxa"/>
            <w:shd w:val="clear" w:color="auto" w:fill="FFFFFF"/>
            <w:vAlign w:val="center"/>
          </w:tcPr>
          <w:p w:rsidR="00734CB8" w:rsidRPr="00A851A2" w:rsidRDefault="00734CB8" w:rsidP="00195CA5">
            <w:pPr>
              <w:spacing w:line="220" w:lineRule="exact"/>
              <w:contextualSpacing/>
              <w:jc w:val="center"/>
              <w:rPr>
                <w:color w:val="auto"/>
                <w:sz w:val="18"/>
              </w:rPr>
            </w:pPr>
            <w:r w:rsidRPr="00A851A2">
              <w:rPr>
                <w:color w:val="auto"/>
                <w:sz w:val="18"/>
              </w:rPr>
              <w:t>20070131</w:t>
            </w:r>
          </w:p>
        </w:tc>
      </w:tr>
      <w:tr w:rsidR="00734CB8" w:rsidRPr="008A0379" w:rsidTr="00195CA5">
        <w:trPr>
          <w:trHeight w:val="46"/>
          <w:jc w:val="center"/>
        </w:trPr>
        <w:tc>
          <w:tcPr>
            <w:tcW w:w="3960" w:type="dxa"/>
            <w:gridSpan w:val="3"/>
            <w:tcBorders>
              <w:right w:val="thinThickThinSmallGap" w:sz="24" w:space="0" w:color="auto"/>
            </w:tcBorders>
            <w:shd w:val="clear" w:color="auto" w:fill="D9D9D9"/>
          </w:tcPr>
          <w:p w:rsidR="00734CB8" w:rsidRPr="00A851A2" w:rsidRDefault="00734CB8" w:rsidP="00195CA5">
            <w:pPr>
              <w:spacing w:line="240" w:lineRule="exact"/>
              <w:contextualSpacing/>
              <w:jc w:val="center"/>
              <w:rPr>
                <w:b/>
                <w:color w:val="auto"/>
                <w:sz w:val="20"/>
              </w:rPr>
            </w:pPr>
            <w:r w:rsidRPr="00A851A2">
              <w:rPr>
                <w:b/>
                <w:color w:val="auto"/>
                <w:sz w:val="20"/>
              </w:rPr>
              <w:t>Combined:  10%</w:t>
            </w:r>
          </w:p>
        </w:tc>
        <w:tc>
          <w:tcPr>
            <w:tcW w:w="5418" w:type="dxa"/>
            <w:gridSpan w:val="4"/>
            <w:tcBorders>
              <w:left w:val="thinThickThinSmallGap" w:sz="24" w:space="0" w:color="auto"/>
            </w:tcBorders>
            <w:shd w:val="clear" w:color="auto" w:fill="D9D9D9"/>
          </w:tcPr>
          <w:p w:rsidR="00734CB8" w:rsidRPr="00A851A2" w:rsidRDefault="00734CB8" w:rsidP="00195CA5">
            <w:pPr>
              <w:spacing w:line="240" w:lineRule="exact"/>
              <w:contextualSpacing/>
              <w:jc w:val="center"/>
              <w:rPr>
                <w:b/>
                <w:color w:val="auto"/>
                <w:sz w:val="20"/>
              </w:rPr>
            </w:pPr>
            <w:r w:rsidRPr="00A851A2">
              <w:rPr>
                <w:b/>
                <w:color w:val="auto"/>
                <w:sz w:val="20"/>
              </w:rPr>
              <w:t>Combined:  30%</w:t>
            </w:r>
            <w:r w:rsidR="004A5F36">
              <w:rPr>
                <w:b/>
                <w:color w:val="auto"/>
                <w:sz w:val="20"/>
              </w:rPr>
              <w:t>*</w:t>
            </w:r>
          </w:p>
        </w:tc>
      </w:tr>
    </w:tbl>
    <w:p w:rsidR="00B31E57" w:rsidRDefault="00734CB8" w:rsidP="00A602A0">
      <w:pPr>
        <w:pBdr>
          <w:bottom w:val="single" w:sz="12" w:space="1" w:color="auto"/>
        </w:pBdr>
        <w:tabs>
          <w:tab w:val="left" w:pos="288"/>
          <w:tab w:val="left" w:pos="4752"/>
        </w:tabs>
        <w:spacing w:line="180" w:lineRule="exact"/>
        <w:jc w:val="both"/>
        <w:rPr>
          <w:color w:val="auto"/>
          <w:sz w:val="18"/>
        </w:rPr>
      </w:pPr>
      <w:r w:rsidRPr="00606478">
        <w:rPr>
          <w:b/>
          <w:color w:val="auto"/>
          <w:sz w:val="18"/>
        </w:rPr>
        <w:t>*</w:t>
      </w:r>
      <w:r w:rsidRPr="00606478">
        <w:rPr>
          <w:color w:val="auto"/>
          <w:sz w:val="18"/>
        </w:rPr>
        <w:t xml:space="preserve">VA increased the right wrist </w:t>
      </w:r>
      <w:r w:rsidR="004A5F36">
        <w:rPr>
          <w:color w:val="auto"/>
          <w:sz w:val="18"/>
        </w:rPr>
        <w:t xml:space="preserve">rating </w:t>
      </w:r>
      <w:r w:rsidR="00431BB7">
        <w:rPr>
          <w:color w:val="auto"/>
          <w:sz w:val="18"/>
        </w:rPr>
        <w:t>to 3</w:t>
      </w:r>
      <w:r w:rsidRPr="00606478">
        <w:rPr>
          <w:color w:val="auto"/>
          <w:sz w:val="18"/>
        </w:rPr>
        <w:t>0%</w:t>
      </w:r>
      <w:r w:rsidR="00431BB7">
        <w:rPr>
          <w:color w:val="auto"/>
          <w:sz w:val="18"/>
        </w:rPr>
        <w:t xml:space="preserve"> + 10% </w:t>
      </w:r>
      <w:r w:rsidR="00B31E57">
        <w:rPr>
          <w:color w:val="auto"/>
          <w:sz w:val="18"/>
        </w:rPr>
        <w:t>(explained below),</w:t>
      </w:r>
      <w:r w:rsidRPr="00606478">
        <w:rPr>
          <w:color w:val="auto"/>
          <w:sz w:val="18"/>
        </w:rPr>
        <w:t xml:space="preserve"> </w:t>
      </w:r>
      <w:r w:rsidR="004A5F36">
        <w:rPr>
          <w:color w:val="auto"/>
          <w:sz w:val="18"/>
        </w:rPr>
        <w:t>and</w:t>
      </w:r>
      <w:r w:rsidR="00B31E57">
        <w:rPr>
          <w:color w:val="auto"/>
          <w:sz w:val="18"/>
        </w:rPr>
        <w:t xml:space="preserve"> increased</w:t>
      </w:r>
      <w:r w:rsidR="004A5F36">
        <w:rPr>
          <w:color w:val="auto"/>
          <w:sz w:val="18"/>
        </w:rPr>
        <w:t xml:space="preserve"> the mental health rating to 30%</w:t>
      </w:r>
      <w:r w:rsidR="00B31E57">
        <w:rPr>
          <w:color w:val="auto"/>
          <w:sz w:val="18"/>
        </w:rPr>
        <w:t>;</w:t>
      </w:r>
      <w:r w:rsidR="004A5F36">
        <w:rPr>
          <w:color w:val="auto"/>
          <w:sz w:val="18"/>
        </w:rPr>
        <w:t xml:space="preserve"> based on </w:t>
      </w:r>
    </w:p>
    <w:p w:rsidR="00734CB8" w:rsidRPr="00606478" w:rsidRDefault="00B31E57" w:rsidP="00A602A0">
      <w:pPr>
        <w:pBdr>
          <w:bottom w:val="single" w:sz="12" w:space="1" w:color="auto"/>
        </w:pBdr>
        <w:tabs>
          <w:tab w:val="left" w:pos="288"/>
          <w:tab w:val="left" w:pos="4752"/>
        </w:tabs>
        <w:spacing w:line="180" w:lineRule="exact"/>
        <w:jc w:val="both"/>
        <w:rPr>
          <w:color w:val="auto"/>
          <w:sz w:val="18"/>
        </w:rPr>
      </w:pPr>
      <w:r>
        <w:rPr>
          <w:color w:val="auto"/>
          <w:sz w:val="18"/>
        </w:rPr>
        <w:t xml:space="preserve">   </w:t>
      </w:r>
      <w:proofErr w:type="gramStart"/>
      <w:r w:rsidR="004A5F36">
        <w:rPr>
          <w:color w:val="auto"/>
          <w:sz w:val="18"/>
        </w:rPr>
        <w:t>exam</w:t>
      </w:r>
      <w:r w:rsidR="00195CA5">
        <w:rPr>
          <w:color w:val="auto"/>
          <w:sz w:val="18"/>
        </w:rPr>
        <w:t>s</w:t>
      </w:r>
      <w:proofErr w:type="gramEnd"/>
      <w:r w:rsidR="004A5F36">
        <w:rPr>
          <w:color w:val="auto"/>
          <w:sz w:val="18"/>
        </w:rPr>
        <w:t xml:space="preserve"> </w:t>
      </w:r>
      <w:r w:rsidR="00195CA5">
        <w:rPr>
          <w:color w:val="auto"/>
          <w:sz w:val="18"/>
        </w:rPr>
        <w:t>dated</w:t>
      </w:r>
      <w:r w:rsidR="004A5F36">
        <w:rPr>
          <w:color w:val="auto"/>
          <w:sz w:val="18"/>
        </w:rPr>
        <w:t xml:space="preserve"> 20070808</w:t>
      </w:r>
      <w:r w:rsidR="00195CA5">
        <w:rPr>
          <w:color w:val="auto"/>
          <w:sz w:val="18"/>
        </w:rPr>
        <w:t>.</w:t>
      </w:r>
    </w:p>
    <w:p w:rsidR="00734CB8" w:rsidRPr="00606478" w:rsidRDefault="00734CB8" w:rsidP="00510F9C">
      <w:pPr>
        <w:pBdr>
          <w:bottom w:val="single" w:sz="12" w:space="1" w:color="auto"/>
        </w:pBdr>
        <w:tabs>
          <w:tab w:val="left" w:pos="288"/>
          <w:tab w:val="left" w:pos="4752"/>
        </w:tabs>
        <w:spacing w:line="240" w:lineRule="exact"/>
        <w:jc w:val="both"/>
        <w:rPr>
          <w:color w:val="auto"/>
          <w:sz w:val="18"/>
        </w:rPr>
      </w:pPr>
    </w:p>
    <w:p w:rsidR="00734CB8" w:rsidRPr="00FF1022" w:rsidRDefault="00734CB8" w:rsidP="00510F9C">
      <w:pPr>
        <w:spacing w:line="240" w:lineRule="exact"/>
        <w:rPr>
          <w:color w:val="auto"/>
        </w:rPr>
      </w:pPr>
    </w:p>
    <w:p w:rsidR="00801988" w:rsidRDefault="00801988" w:rsidP="00AA3BAD">
      <w:pPr>
        <w:spacing w:line="240" w:lineRule="exact"/>
        <w:jc w:val="both"/>
        <w:rPr>
          <w:color w:val="auto"/>
          <w:u w:val="single"/>
        </w:rPr>
      </w:pPr>
    </w:p>
    <w:p w:rsidR="00801988" w:rsidRDefault="00801988" w:rsidP="00AA3BAD">
      <w:pPr>
        <w:spacing w:line="240" w:lineRule="exact"/>
        <w:jc w:val="both"/>
        <w:rPr>
          <w:color w:val="auto"/>
          <w:u w:val="single"/>
        </w:rPr>
      </w:pPr>
    </w:p>
    <w:p w:rsidR="00801988" w:rsidRDefault="00801988" w:rsidP="00AA3BAD">
      <w:pPr>
        <w:spacing w:line="240" w:lineRule="exact"/>
        <w:jc w:val="both"/>
        <w:rPr>
          <w:color w:val="auto"/>
          <w:u w:val="single"/>
        </w:rPr>
      </w:pPr>
    </w:p>
    <w:p w:rsidR="00AA3BAD" w:rsidRPr="00AA3BAD" w:rsidRDefault="00734CB8" w:rsidP="00AA3BAD">
      <w:pPr>
        <w:spacing w:line="240" w:lineRule="exact"/>
        <w:jc w:val="both"/>
        <w:rPr>
          <w:color w:val="auto"/>
        </w:rPr>
      </w:pPr>
      <w:r w:rsidRPr="00396779">
        <w:rPr>
          <w:color w:val="auto"/>
          <w:u w:val="single"/>
        </w:rPr>
        <w:t>ANALYSIS SUMMARY</w:t>
      </w:r>
      <w:r w:rsidRPr="00396779">
        <w:rPr>
          <w:color w:val="auto"/>
        </w:rPr>
        <w:t>:</w:t>
      </w:r>
      <w:r w:rsidRPr="00B37E94">
        <w:rPr>
          <w:rFonts w:cs="Calibri"/>
          <w:color w:val="000000"/>
          <w:sz w:val="23"/>
        </w:rPr>
        <w:t xml:space="preserve"> </w:t>
      </w:r>
      <w:r w:rsidR="00AA3BAD" w:rsidRPr="00AA3BAD">
        <w:rPr>
          <w:color w:val="auto"/>
        </w:rPr>
        <w:t>The Board acknowledges the CI’s contenti</w:t>
      </w:r>
      <w:r w:rsidR="00AA3BAD">
        <w:rPr>
          <w:color w:val="auto"/>
        </w:rPr>
        <w:t>on that suggests a Service rating</w:t>
      </w:r>
      <w:r w:rsidR="00AA3BAD" w:rsidRPr="00AA3BAD">
        <w:rPr>
          <w:color w:val="auto"/>
        </w:rPr>
        <w:t xml:space="preserve"> should </w:t>
      </w:r>
      <w:r w:rsidR="00AA3BAD">
        <w:rPr>
          <w:color w:val="auto"/>
        </w:rPr>
        <w:t>be considered for hip disability</w:t>
      </w:r>
      <w:r w:rsidR="00CC5A66">
        <w:rPr>
          <w:color w:val="auto"/>
        </w:rPr>
        <w:t xml:space="preserve">.  </w:t>
      </w:r>
      <w:r w:rsidR="00AA3BAD" w:rsidRPr="00AA3BAD">
        <w:rPr>
          <w:color w:val="auto"/>
        </w:rPr>
        <w:t>The Board wishes to clarify that it is subject to the same laws for Service disability entitlements as those under which the Disability Evaluation Sys</w:t>
      </w:r>
      <w:r w:rsidR="00801988">
        <w:rPr>
          <w:color w:val="auto"/>
        </w:rPr>
        <w:t xml:space="preserve">tem (DES) operates. While the </w:t>
      </w:r>
      <w:r w:rsidR="00AA3BAD" w:rsidRPr="00AA3BAD">
        <w:rPr>
          <w:color w:val="auto"/>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801988">
        <w:rPr>
          <w:color w:val="auto"/>
        </w:rPr>
        <w:t>s’</w:t>
      </w:r>
      <w:r w:rsidR="00AA3BAD" w:rsidRPr="00AA3BAD">
        <w:rPr>
          <w:color w:val="auto"/>
        </w:rPr>
        <w:t xml:space="preserve"> Affairs (DVA), operating under a different set of laws (Title 38, United States Code), is empowered to compensate all service connected conditions and to periodically reevaluate said conditions for the purpose of adjusting the </w:t>
      </w:r>
      <w:r w:rsidR="00801988">
        <w:rPr>
          <w:color w:val="auto"/>
        </w:rPr>
        <w:t>V</w:t>
      </w:r>
      <w:r w:rsidR="00AA3BAD" w:rsidRPr="00AA3BAD">
        <w:rPr>
          <w:color w:val="auto"/>
        </w:rPr>
        <w:t xml:space="preserve">eteran’s disability rating should </w:t>
      </w:r>
      <w:r w:rsidR="00801988">
        <w:rPr>
          <w:color w:val="auto"/>
        </w:rPr>
        <w:t>the</w:t>
      </w:r>
      <w:r w:rsidR="00AA3BAD" w:rsidRPr="00AA3BAD">
        <w:rPr>
          <w:color w:val="auto"/>
        </w:rPr>
        <w:t xml:space="preserve"> degree of impairment vary over time.</w:t>
      </w:r>
    </w:p>
    <w:p w:rsidR="00734CB8" w:rsidRDefault="00734CB8" w:rsidP="00AA3BAD">
      <w:pPr>
        <w:spacing w:line="240" w:lineRule="exact"/>
        <w:jc w:val="both"/>
        <w:rPr>
          <w:color w:val="auto"/>
        </w:rPr>
      </w:pPr>
    </w:p>
    <w:p w:rsidR="00734CB8" w:rsidRPr="00664296" w:rsidRDefault="00734CB8" w:rsidP="00B37E94">
      <w:pPr>
        <w:tabs>
          <w:tab w:val="left" w:pos="288"/>
          <w:tab w:val="left" w:pos="4752"/>
        </w:tabs>
        <w:spacing w:line="240" w:lineRule="exact"/>
        <w:jc w:val="both"/>
        <w:rPr>
          <w:color w:val="auto"/>
        </w:rPr>
      </w:pPr>
      <w:proofErr w:type="gramStart"/>
      <w:r w:rsidRPr="00664296">
        <w:rPr>
          <w:color w:val="auto"/>
          <w:u w:val="single"/>
        </w:rPr>
        <w:t>Right Wrist Condition</w:t>
      </w:r>
      <w:r w:rsidRPr="00664296">
        <w:rPr>
          <w:color w:val="auto"/>
        </w:rPr>
        <w:t>.</w:t>
      </w:r>
      <w:proofErr w:type="gramEnd"/>
      <w:r w:rsidRPr="00664296">
        <w:rPr>
          <w:color w:val="auto"/>
        </w:rPr>
        <w:t xml:space="preserve">  </w:t>
      </w:r>
      <w:r w:rsidR="00691F04" w:rsidRPr="00591815">
        <w:rPr>
          <w:color w:val="auto"/>
        </w:rPr>
        <w:t xml:space="preserve">The CI first injured his right wrist while transporting a detainee in </w:t>
      </w:r>
      <w:r w:rsidR="00801988">
        <w:rPr>
          <w:color w:val="auto"/>
        </w:rPr>
        <w:t xml:space="preserve">   </w:t>
      </w:r>
      <w:r w:rsidR="00691F04" w:rsidRPr="00591815">
        <w:rPr>
          <w:color w:val="auto"/>
        </w:rPr>
        <w:t xml:space="preserve">March 2003.  </w:t>
      </w:r>
      <w:r w:rsidR="00691F04">
        <w:rPr>
          <w:color w:val="auto"/>
        </w:rPr>
        <w:t>As noted in the summary above, he suffered a scaphoid fracture which was complicated by nonunion (failure of the broken halves to heal back together</w:t>
      </w:r>
      <w:r w:rsidR="00E85FFE">
        <w:rPr>
          <w:color w:val="auto"/>
        </w:rPr>
        <w:t xml:space="preserve"> with an intact blood supply</w:t>
      </w:r>
      <w:r w:rsidR="00691F04">
        <w:rPr>
          <w:color w:val="auto"/>
        </w:rPr>
        <w:t>, a common complication of this injury).  The nonunion did not respond to successive non-invasive modalities and surgical interventions; and, ultimately necessitated scaphoid excision and hardware stabilization</w:t>
      </w:r>
      <w:r w:rsidR="006B5968">
        <w:rPr>
          <w:color w:val="auto"/>
        </w:rPr>
        <w:t>.  This procedure</w:t>
      </w:r>
      <w:r w:rsidR="00691F04">
        <w:rPr>
          <w:color w:val="auto"/>
        </w:rPr>
        <w:t xml:space="preserve"> </w:t>
      </w:r>
      <w:r w:rsidR="006B5968">
        <w:rPr>
          <w:color w:val="auto"/>
        </w:rPr>
        <w:t xml:space="preserve">fused motion at </w:t>
      </w:r>
      <w:r w:rsidR="00993E8A">
        <w:rPr>
          <w:color w:val="auto"/>
        </w:rPr>
        <w:t xml:space="preserve">the </w:t>
      </w:r>
      <w:r w:rsidR="006B5968">
        <w:rPr>
          <w:color w:val="auto"/>
        </w:rPr>
        <w:t>scaphoid interfaces</w:t>
      </w:r>
      <w:r w:rsidR="00993E8A">
        <w:rPr>
          <w:color w:val="auto"/>
        </w:rPr>
        <w:t>,</w:t>
      </w:r>
      <w:r w:rsidR="006B5968">
        <w:rPr>
          <w:color w:val="auto"/>
        </w:rPr>
        <w:t xml:space="preserve"> and resulted in </w:t>
      </w:r>
      <w:r w:rsidR="00691F04">
        <w:rPr>
          <w:color w:val="auto"/>
        </w:rPr>
        <w:t>marked limitation of al</w:t>
      </w:r>
      <w:r w:rsidR="006B5968">
        <w:rPr>
          <w:color w:val="auto"/>
        </w:rPr>
        <w:t>l planes of motion at the wrist;</w:t>
      </w:r>
      <w:r w:rsidR="00691F04">
        <w:rPr>
          <w:color w:val="auto"/>
        </w:rPr>
        <w:t xml:space="preserve"> although</w:t>
      </w:r>
      <w:r w:rsidR="006B5968">
        <w:rPr>
          <w:color w:val="auto"/>
        </w:rPr>
        <w:t>,</w:t>
      </w:r>
      <w:r w:rsidR="00691F04">
        <w:rPr>
          <w:color w:val="auto"/>
        </w:rPr>
        <w:t xml:space="preserve"> </w:t>
      </w:r>
      <w:r w:rsidR="00E85FFE">
        <w:rPr>
          <w:color w:val="auto"/>
        </w:rPr>
        <w:t xml:space="preserve">the </w:t>
      </w:r>
      <w:r w:rsidR="00691F04">
        <w:rPr>
          <w:color w:val="auto"/>
        </w:rPr>
        <w:t>joint was not ankylosed (frozen)</w:t>
      </w:r>
      <w:r w:rsidR="00E85FFE">
        <w:rPr>
          <w:color w:val="auto"/>
        </w:rPr>
        <w:t xml:space="preserve"> as a whole</w:t>
      </w:r>
      <w:r w:rsidR="00691F04">
        <w:rPr>
          <w:color w:val="auto"/>
        </w:rPr>
        <w:t xml:space="preserve">.  </w:t>
      </w:r>
      <w:r w:rsidRPr="00664296">
        <w:rPr>
          <w:color w:val="auto"/>
        </w:rPr>
        <w:t xml:space="preserve">There were two range-of-motion (ROM) evaluations in evidence which the Board weighed in arriving at its rating recommendation.  </w:t>
      </w:r>
      <w:r w:rsidRPr="00B37E94">
        <w:rPr>
          <w:color w:val="auto"/>
        </w:rPr>
        <w:t>Both</w:t>
      </w:r>
      <w:r w:rsidRPr="00664296">
        <w:rPr>
          <w:color w:val="auto"/>
        </w:rPr>
        <w:t xml:space="preserve"> of these exams are summarized in the chart below.</w:t>
      </w:r>
      <w:r w:rsidRPr="00A33977">
        <w:rPr>
          <w:color w:val="auto"/>
        </w:rPr>
        <w:t xml:space="preserve"> </w:t>
      </w:r>
    </w:p>
    <w:p w:rsidR="00734CB8" w:rsidRPr="00664296" w:rsidRDefault="00734CB8" w:rsidP="00664296">
      <w:pPr>
        <w:tabs>
          <w:tab w:val="left" w:pos="288"/>
          <w:tab w:val="left" w:pos="4752"/>
        </w:tabs>
        <w:spacing w:line="240" w:lineRule="exact"/>
        <w:rPr>
          <w:color w:val="auto"/>
        </w:rPr>
      </w:pPr>
    </w:p>
    <w:tbl>
      <w:tblPr>
        <w:tblW w:w="7137" w:type="dxa"/>
        <w:jc w:val="center"/>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21"/>
        <w:gridCol w:w="2043"/>
        <w:gridCol w:w="2373"/>
      </w:tblGrid>
      <w:tr w:rsidR="00734CB8" w:rsidRPr="00AA3BAD" w:rsidTr="00D661E7">
        <w:trPr>
          <w:jc w:val="center"/>
        </w:trPr>
        <w:tc>
          <w:tcPr>
            <w:tcW w:w="2721" w:type="dxa"/>
            <w:shd w:val="clear" w:color="auto" w:fill="D9D9D9"/>
            <w:vAlign w:val="center"/>
          </w:tcPr>
          <w:p w:rsidR="00734CB8" w:rsidRPr="00AA3BAD" w:rsidRDefault="00734CB8" w:rsidP="001D7B73">
            <w:pPr>
              <w:spacing w:line="220" w:lineRule="exact"/>
              <w:contextualSpacing/>
              <w:jc w:val="center"/>
              <w:rPr>
                <w:color w:val="auto"/>
                <w:sz w:val="20"/>
              </w:rPr>
            </w:pPr>
            <w:r w:rsidRPr="00AA3BAD">
              <w:rPr>
                <w:color w:val="auto"/>
                <w:sz w:val="20"/>
              </w:rPr>
              <w:t>Right Wrist ROM</w:t>
            </w:r>
          </w:p>
        </w:tc>
        <w:tc>
          <w:tcPr>
            <w:tcW w:w="2043" w:type="dxa"/>
            <w:shd w:val="clear" w:color="auto" w:fill="D9D9D9"/>
            <w:vAlign w:val="center"/>
          </w:tcPr>
          <w:p w:rsidR="00734CB8" w:rsidRPr="00AA3BAD" w:rsidRDefault="00D661E7" w:rsidP="001D7B73">
            <w:pPr>
              <w:spacing w:line="220" w:lineRule="exact"/>
              <w:contextualSpacing/>
              <w:jc w:val="center"/>
              <w:rPr>
                <w:color w:val="auto"/>
                <w:sz w:val="20"/>
              </w:rPr>
            </w:pPr>
            <w:r>
              <w:rPr>
                <w:color w:val="auto"/>
                <w:sz w:val="20"/>
              </w:rPr>
              <w:t>MEB ~</w:t>
            </w:r>
            <w:r w:rsidR="00734CB8" w:rsidRPr="00AA3BAD">
              <w:rPr>
                <w:color w:val="auto"/>
                <w:sz w:val="20"/>
              </w:rPr>
              <w:t>2 Mo. Pre-Sep</w:t>
            </w:r>
          </w:p>
        </w:tc>
        <w:tc>
          <w:tcPr>
            <w:tcW w:w="2373" w:type="dxa"/>
            <w:shd w:val="clear" w:color="auto" w:fill="D9D9D9"/>
            <w:vAlign w:val="center"/>
          </w:tcPr>
          <w:p w:rsidR="00734CB8" w:rsidRPr="00AA3BAD" w:rsidRDefault="00D661E7" w:rsidP="001D7B73">
            <w:pPr>
              <w:spacing w:line="220" w:lineRule="exact"/>
              <w:contextualSpacing/>
              <w:jc w:val="center"/>
              <w:rPr>
                <w:color w:val="auto"/>
                <w:sz w:val="20"/>
              </w:rPr>
            </w:pPr>
            <w:r>
              <w:rPr>
                <w:color w:val="auto"/>
                <w:sz w:val="20"/>
              </w:rPr>
              <w:t>VA C&amp;P ~</w:t>
            </w:r>
            <w:r w:rsidR="00734CB8" w:rsidRPr="00AA3BAD">
              <w:rPr>
                <w:color w:val="auto"/>
                <w:sz w:val="20"/>
              </w:rPr>
              <w:t>10 Mo. Post-Sep</w:t>
            </w:r>
          </w:p>
        </w:tc>
      </w:tr>
      <w:tr w:rsidR="00734CB8" w:rsidRPr="00AA3BAD" w:rsidTr="00D661E7">
        <w:trPr>
          <w:jc w:val="center"/>
        </w:trPr>
        <w:tc>
          <w:tcPr>
            <w:tcW w:w="2721" w:type="dxa"/>
            <w:vAlign w:val="center"/>
          </w:tcPr>
          <w:p w:rsidR="00734CB8" w:rsidRPr="00AA3BAD" w:rsidRDefault="00AA3BAD" w:rsidP="001D7B73">
            <w:pPr>
              <w:spacing w:line="220" w:lineRule="exact"/>
              <w:contextualSpacing/>
              <w:jc w:val="center"/>
              <w:rPr>
                <w:color w:val="auto"/>
                <w:sz w:val="20"/>
              </w:rPr>
            </w:pPr>
            <w:r>
              <w:rPr>
                <w:color w:val="auto"/>
                <w:sz w:val="20"/>
              </w:rPr>
              <w:t xml:space="preserve">Dorsiflexion/Extension </w:t>
            </w:r>
            <w:r w:rsidR="00734CB8" w:rsidRPr="00AA3BAD">
              <w:rPr>
                <w:color w:val="auto"/>
                <w:sz w:val="20"/>
              </w:rPr>
              <w:t>(0-70</w:t>
            </w:r>
            <w:r>
              <w:rPr>
                <w:rFonts w:cs="Calibri"/>
                <w:color w:val="auto"/>
                <w:sz w:val="20"/>
              </w:rPr>
              <w:t>⁰</w:t>
            </w:r>
            <w:r w:rsidR="00734CB8" w:rsidRPr="00AA3BAD">
              <w:rPr>
                <w:color w:val="auto"/>
                <w:sz w:val="20"/>
              </w:rPr>
              <w:t>)</w:t>
            </w:r>
          </w:p>
        </w:tc>
        <w:tc>
          <w:tcPr>
            <w:tcW w:w="204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5⁰</w:t>
            </w:r>
          </w:p>
        </w:tc>
        <w:tc>
          <w:tcPr>
            <w:tcW w:w="237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10⁰</w:t>
            </w:r>
          </w:p>
        </w:tc>
      </w:tr>
      <w:tr w:rsidR="00734CB8" w:rsidRPr="00AA3BAD" w:rsidTr="00D661E7">
        <w:trPr>
          <w:jc w:val="center"/>
        </w:trPr>
        <w:tc>
          <w:tcPr>
            <w:tcW w:w="2721"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Palmar Flexion (0-80</w:t>
            </w:r>
            <w:r w:rsidR="00AA3BAD">
              <w:rPr>
                <w:rFonts w:cs="Calibri"/>
                <w:color w:val="auto"/>
                <w:sz w:val="20"/>
              </w:rPr>
              <w:t>⁰</w:t>
            </w:r>
            <w:r w:rsidRPr="00AA3BAD">
              <w:rPr>
                <w:color w:val="auto"/>
                <w:sz w:val="20"/>
              </w:rPr>
              <w:t>)</w:t>
            </w:r>
          </w:p>
        </w:tc>
        <w:tc>
          <w:tcPr>
            <w:tcW w:w="204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10⁰</w:t>
            </w:r>
          </w:p>
        </w:tc>
        <w:tc>
          <w:tcPr>
            <w:tcW w:w="237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0⁰</w:t>
            </w:r>
          </w:p>
        </w:tc>
      </w:tr>
      <w:tr w:rsidR="00734CB8" w:rsidRPr="00AA3BAD" w:rsidTr="00D661E7">
        <w:trPr>
          <w:jc w:val="center"/>
        </w:trPr>
        <w:tc>
          <w:tcPr>
            <w:tcW w:w="2721"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Ulnar Deviation (0-45</w:t>
            </w:r>
            <w:r w:rsidR="00AA3BAD">
              <w:rPr>
                <w:rFonts w:cs="Calibri"/>
                <w:color w:val="auto"/>
                <w:sz w:val="20"/>
              </w:rPr>
              <w:t>⁰</w:t>
            </w:r>
            <w:r w:rsidRPr="00AA3BAD">
              <w:rPr>
                <w:color w:val="auto"/>
                <w:sz w:val="20"/>
              </w:rPr>
              <w:t>)</w:t>
            </w:r>
          </w:p>
        </w:tc>
        <w:tc>
          <w:tcPr>
            <w:tcW w:w="204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3⁰</w:t>
            </w:r>
          </w:p>
        </w:tc>
        <w:tc>
          <w:tcPr>
            <w:tcW w:w="237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0⁰</w:t>
            </w:r>
          </w:p>
        </w:tc>
      </w:tr>
      <w:tr w:rsidR="00734CB8" w:rsidRPr="00AA3BAD" w:rsidTr="00D661E7">
        <w:trPr>
          <w:jc w:val="center"/>
        </w:trPr>
        <w:tc>
          <w:tcPr>
            <w:tcW w:w="2721"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Radial Deviation (0-20</w:t>
            </w:r>
            <w:r w:rsidR="00AA3BAD">
              <w:rPr>
                <w:rFonts w:cs="Calibri"/>
                <w:color w:val="auto"/>
                <w:sz w:val="20"/>
              </w:rPr>
              <w:t>⁰</w:t>
            </w:r>
            <w:r w:rsidRPr="00AA3BAD">
              <w:rPr>
                <w:color w:val="auto"/>
                <w:sz w:val="20"/>
              </w:rPr>
              <w:t>)</w:t>
            </w:r>
          </w:p>
        </w:tc>
        <w:tc>
          <w:tcPr>
            <w:tcW w:w="204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15⁰</w:t>
            </w:r>
          </w:p>
        </w:tc>
        <w:tc>
          <w:tcPr>
            <w:tcW w:w="2373" w:type="dxa"/>
            <w:vAlign w:val="center"/>
          </w:tcPr>
          <w:p w:rsidR="00734CB8" w:rsidRPr="00AA3BAD" w:rsidRDefault="00734CB8" w:rsidP="001D7B73">
            <w:pPr>
              <w:spacing w:line="220" w:lineRule="exact"/>
              <w:contextualSpacing/>
              <w:jc w:val="center"/>
              <w:rPr>
                <w:color w:val="auto"/>
                <w:sz w:val="20"/>
              </w:rPr>
            </w:pPr>
            <w:r w:rsidRPr="00AA3BAD">
              <w:rPr>
                <w:color w:val="auto"/>
                <w:sz w:val="20"/>
              </w:rPr>
              <w:t>0⁰</w:t>
            </w:r>
          </w:p>
        </w:tc>
      </w:tr>
      <w:tr w:rsidR="00734CB8" w:rsidRPr="00AA3BAD" w:rsidTr="00D661E7">
        <w:trPr>
          <w:jc w:val="center"/>
        </w:trPr>
        <w:tc>
          <w:tcPr>
            <w:tcW w:w="2721" w:type="dxa"/>
            <w:vAlign w:val="center"/>
          </w:tcPr>
          <w:p w:rsidR="00734CB8" w:rsidRPr="00AA3BAD" w:rsidRDefault="00734CB8" w:rsidP="001D7B73">
            <w:pPr>
              <w:tabs>
                <w:tab w:val="left" w:pos="288"/>
                <w:tab w:val="left" w:pos="4752"/>
              </w:tabs>
              <w:spacing w:line="220" w:lineRule="exact"/>
              <w:jc w:val="center"/>
              <w:rPr>
                <w:color w:val="auto"/>
                <w:sz w:val="20"/>
              </w:rPr>
            </w:pPr>
            <w:r w:rsidRPr="00AA3BAD">
              <w:rPr>
                <w:color w:val="auto"/>
                <w:sz w:val="20"/>
              </w:rPr>
              <w:t>Comment</w:t>
            </w:r>
          </w:p>
        </w:tc>
        <w:tc>
          <w:tcPr>
            <w:tcW w:w="2043" w:type="dxa"/>
            <w:vAlign w:val="center"/>
          </w:tcPr>
          <w:p w:rsidR="00734CB8" w:rsidRPr="00AA3BAD" w:rsidRDefault="00734CB8" w:rsidP="001D7B73">
            <w:pPr>
              <w:pStyle w:val="ListParagraph"/>
              <w:spacing w:after="0" w:line="220" w:lineRule="exact"/>
              <w:ind w:left="0"/>
              <w:jc w:val="center"/>
              <w:rPr>
                <w:sz w:val="20"/>
                <w:szCs w:val="20"/>
              </w:rPr>
            </w:pPr>
            <w:r w:rsidRPr="00AA3BAD">
              <w:rPr>
                <w:sz w:val="20"/>
                <w:szCs w:val="20"/>
              </w:rPr>
              <w:t xml:space="preserve">Grip strength somewhat decreased. </w:t>
            </w:r>
          </w:p>
        </w:tc>
        <w:tc>
          <w:tcPr>
            <w:tcW w:w="2373" w:type="dxa"/>
            <w:vAlign w:val="center"/>
          </w:tcPr>
          <w:p w:rsidR="00734CB8" w:rsidRPr="00AA3BAD" w:rsidRDefault="00734CB8" w:rsidP="001D7B73">
            <w:pPr>
              <w:pStyle w:val="ListParagraph"/>
              <w:spacing w:after="0" w:line="220" w:lineRule="exact"/>
              <w:ind w:left="0"/>
              <w:jc w:val="center"/>
              <w:rPr>
                <w:sz w:val="20"/>
                <w:szCs w:val="20"/>
              </w:rPr>
            </w:pPr>
            <w:r w:rsidRPr="00AA3BAD">
              <w:rPr>
                <w:sz w:val="20"/>
                <w:szCs w:val="20"/>
              </w:rPr>
              <w:t>Unable to perform repetitive motions.</w:t>
            </w:r>
          </w:p>
        </w:tc>
      </w:tr>
      <w:tr w:rsidR="00734CB8" w:rsidRPr="00AA3BAD" w:rsidTr="00D661E7">
        <w:trPr>
          <w:jc w:val="center"/>
        </w:trPr>
        <w:tc>
          <w:tcPr>
            <w:tcW w:w="2721" w:type="dxa"/>
            <w:vAlign w:val="center"/>
          </w:tcPr>
          <w:p w:rsidR="00734CB8" w:rsidRPr="00AA3BAD" w:rsidRDefault="00734CB8" w:rsidP="001D7B73">
            <w:pPr>
              <w:tabs>
                <w:tab w:val="left" w:pos="288"/>
                <w:tab w:val="left" w:pos="4752"/>
              </w:tabs>
              <w:spacing w:line="220" w:lineRule="exact"/>
              <w:jc w:val="center"/>
              <w:rPr>
                <w:color w:val="auto"/>
                <w:sz w:val="20"/>
              </w:rPr>
            </w:pPr>
            <w:r w:rsidRPr="00AA3BAD">
              <w:rPr>
                <w:color w:val="auto"/>
                <w:sz w:val="20"/>
              </w:rPr>
              <w:t>§4.71a Rating</w:t>
            </w:r>
          </w:p>
        </w:tc>
        <w:tc>
          <w:tcPr>
            <w:tcW w:w="2043" w:type="dxa"/>
            <w:vAlign w:val="center"/>
          </w:tcPr>
          <w:p w:rsidR="00734CB8" w:rsidRPr="00AA3BAD" w:rsidRDefault="00734CB8" w:rsidP="001D7B73">
            <w:pPr>
              <w:pStyle w:val="ListParagraph"/>
              <w:spacing w:after="0" w:line="220" w:lineRule="exact"/>
              <w:ind w:left="0"/>
              <w:jc w:val="center"/>
              <w:rPr>
                <w:sz w:val="20"/>
                <w:szCs w:val="20"/>
              </w:rPr>
            </w:pPr>
            <w:r w:rsidRPr="00AA3BAD">
              <w:rPr>
                <w:sz w:val="20"/>
                <w:szCs w:val="20"/>
              </w:rPr>
              <w:t>10%</w:t>
            </w:r>
          </w:p>
        </w:tc>
        <w:tc>
          <w:tcPr>
            <w:tcW w:w="2373" w:type="dxa"/>
            <w:vAlign w:val="center"/>
          </w:tcPr>
          <w:p w:rsidR="00734CB8" w:rsidRPr="00AA3BAD" w:rsidRDefault="00734CB8" w:rsidP="001D7B73">
            <w:pPr>
              <w:pStyle w:val="ListParagraph"/>
              <w:spacing w:after="0" w:line="220" w:lineRule="exact"/>
              <w:ind w:left="0"/>
              <w:jc w:val="center"/>
              <w:rPr>
                <w:sz w:val="20"/>
                <w:szCs w:val="20"/>
              </w:rPr>
            </w:pPr>
            <w:r w:rsidRPr="00AA3BAD">
              <w:rPr>
                <w:sz w:val="20"/>
                <w:szCs w:val="20"/>
              </w:rPr>
              <w:t>50%</w:t>
            </w:r>
          </w:p>
        </w:tc>
      </w:tr>
    </w:tbl>
    <w:p w:rsidR="00734CB8" w:rsidRPr="00591815" w:rsidRDefault="00734CB8" w:rsidP="00591815">
      <w:pPr>
        <w:tabs>
          <w:tab w:val="left" w:pos="288"/>
          <w:tab w:val="left" w:pos="4752"/>
        </w:tabs>
        <w:spacing w:line="240" w:lineRule="exact"/>
        <w:rPr>
          <w:color w:val="auto"/>
        </w:rPr>
      </w:pPr>
    </w:p>
    <w:p w:rsidR="005A666B" w:rsidRPr="005A666B" w:rsidRDefault="00E85FFE" w:rsidP="005A666B">
      <w:pPr>
        <w:tabs>
          <w:tab w:val="left" w:pos="288"/>
          <w:tab w:val="left" w:pos="4752"/>
        </w:tabs>
        <w:spacing w:line="240" w:lineRule="exact"/>
        <w:jc w:val="both"/>
        <w:rPr>
          <w:color w:val="auto"/>
        </w:rPr>
      </w:pPr>
      <w:r>
        <w:rPr>
          <w:color w:val="auto"/>
        </w:rPr>
        <w:t>To</w:t>
      </w:r>
      <w:r w:rsidR="00734CB8" w:rsidRPr="00591815">
        <w:rPr>
          <w:color w:val="auto"/>
        </w:rPr>
        <w:t xml:space="preserve"> the </w:t>
      </w:r>
      <w:r>
        <w:rPr>
          <w:color w:val="auto"/>
        </w:rPr>
        <w:t>MEB examiner</w:t>
      </w:r>
      <w:r w:rsidR="00734CB8" w:rsidRPr="00591815">
        <w:rPr>
          <w:color w:val="auto"/>
        </w:rPr>
        <w:t>, the CI repor</w:t>
      </w:r>
      <w:r>
        <w:rPr>
          <w:color w:val="auto"/>
        </w:rPr>
        <w:t>ted improved pain in his wrist (</w:t>
      </w:r>
      <w:r w:rsidR="00801988">
        <w:rPr>
          <w:color w:val="auto"/>
        </w:rPr>
        <w:t>two</w:t>
      </w:r>
      <w:r w:rsidR="00734CB8" w:rsidRPr="00591815">
        <w:rPr>
          <w:color w:val="auto"/>
        </w:rPr>
        <w:t xml:space="preserve"> </w:t>
      </w:r>
      <w:r>
        <w:rPr>
          <w:color w:val="auto"/>
        </w:rPr>
        <w:t xml:space="preserve">out of </w:t>
      </w:r>
      <w:r w:rsidR="00801988">
        <w:rPr>
          <w:color w:val="auto"/>
        </w:rPr>
        <w:t>ten</w:t>
      </w:r>
      <w:r>
        <w:rPr>
          <w:color w:val="auto"/>
        </w:rPr>
        <w:t>)</w:t>
      </w:r>
      <w:r w:rsidR="00734CB8" w:rsidRPr="00591815">
        <w:rPr>
          <w:color w:val="auto"/>
        </w:rPr>
        <w:t xml:space="preserve">.  He was unable to fire a weapon, escort detainee personnel, lift heavy objects, or do pushups.  </w:t>
      </w:r>
      <w:r w:rsidR="00993E8A">
        <w:rPr>
          <w:color w:val="auto"/>
        </w:rPr>
        <w:t xml:space="preserve">Wrist joint ROMs </w:t>
      </w:r>
      <w:r>
        <w:rPr>
          <w:color w:val="auto"/>
        </w:rPr>
        <w:t xml:space="preserve">were markedly limited </w:t>
      </w:r>
      <w:r w:rsidR="00993E8A">
        <w:rPr>
          <w:color w:val="auto"/>
        </w:rPr>
        <w:t>as charted above;</w:t>
      </w:r>
      <w:r>
        <w:rPr>
          <w:color w:val="auto"/>
        </w:rPr>
        <w:t xml:space="preserve"> but</w:t>
      </w:r>
      <w:r w:rsidR="00993E8A">
        <w:rPr>
          <w:color w:val="auto"/>
        </w:rPr>
        <w:t>, the examiner documented</w:t>
      </w:r>
      <w:r>
        <w:rPr>
          <w:color w:val="auto"/>
        </w:rPr>
        <w:t xml:space="preserve"> normal pronation and sup</w:t>
      </w:r>
      <w:r w:rsidR="003B4831">
        <w:rPr>
          <w:color w:val="auto"/>
        </w:rPr>
        <w:t>ination of the forearm.</w:t>
      </w:r>
      <w:r w:rsidR="00734CB8" w:rsidRPr="00B37E94">
        <w:rPr>
          <w:color w:val="auto"/>
        </w:rPr>
        <w:t xml:space="preserve">  </w:t>
      </w:r>
      <w:r>
        <w:rPr>
          <w:color w:val="auto"/>
        </w:rPr>
        <w:t>The neurovascular examination was intact.  At the</w:t>
      </w:r>
      <w:r w:rsidR="00734CB8" w:rsidRPr="00B37E94">
        <w:rPr>
          <w:color w:val="auto"/>
        </w:rPr>
        <w:t xml:space="preserve"> </w:t>
      </w:r>
      <w:r>
        <w:rPr>
          <w:color w:val="auto"/>
        </w:rPr>
        <w:t xml:space="preserve">post-separation </w:t>
      </w:r>
      <w:r w:rsidR="00734CB8" w:rsidRPr="00B37E94">
        <w:rPr>
          <w:color w:val="auto"/>
        </w:rPr>
        <w:t>VA</w:t>
      </w:r>
      <w:r w:rsidR="00786725">
        <w:rPr>
          <w:color w:val="auto"/>
        </w:rPr>
        <w:t xml:space="preserve"> </w:t>
      </w:r>
      <w:r>
        <w:rPr>
          <w:color w:val="auto"/>
        </w:rPr>
        <w:t xml:space="preserve">Compensation and Pension (C&amp;P) </w:t>
      </w:r>
      <w:r w:rsidR="00786725">
        <w:rPr>
          <w:color w:val="auto"/>
        </w:rPr>
        <w:t>exam</w:t>
      </w:r>
      <w:r>
        <w:rPr>
          <w:color w:val="auto"/>
        </w:rPr>
        <w:t>ination,</w:t>
      </w:r>
      <w:r w:rsidR="00786725">
        <w:rPr>
          <w:color w:val="auto"/>
        </w:rPr>
        <w:t xml:space="preserve"> </w:t>
      </w:r>
      <w:r w:rsidR="00734CB8" w:rsidRPr="00B37E94">
        <w:rPr>
          <w:color w:val="auto"/>
        </w:rPr>
        <w:t>the CI report</w:t>
      </w:r>
      <w:r>
        <w:rPr>
          <w:color w:val="auto"/>
        </w:rPr>
        <w:t>ed</w:t>
      </w:r>
      <w:r w:rsidR="00734CB8" w:rsidRPr="00B37E94">
        <w:rPr>
          <w:color w:val="auto"/>
        </w:rPr>
        <w:t xml:space="preserve"> occasional pain about once or twice a week.  </w:t>
      </w:r>
      <w:r w:rsidR="00710256">
        <w:rPr>
          <w:color w:val="auto"/>
        </w:rPr>
        <w:t>H</w:t>
      </w:r>
      <w:r w:rsidR="00734CB8" w:rsidRPr="00B37E94">
        <w:rPr>
          <w:color w:val="auto"/>
        </w:rPr>
        <w:t xml:space="preserve">e was not taking any </w:t>
      </w:r>
      <w:r w:rsidR="00710256" w:rsidRPr="00B37E94">
        <w:rPr>
          <w:color w:val="auto"/>
        </w:rPr>
        <w:t xml:space="preserve">pain </w:t>
      </w:r>
      <w:r w:rsidR="00710256">
        <w:rPr>
          <w:color w:val="auto"/>
        </w:rPr>
        <w:t>medication, but experienced increased pain</w:t>
      </w:r>
      <w:r w:rsidR="00734CB8" w:rsidRPr="00B37E94">
        <w:rPr>
          <w:color w:val="auto"/>
        </w:rPr>
        <w:t xml:space="preserve"> when working with tools.  </w:t>
      </w:r>
      <w:r w:rsidR="00B175DD">
        <w:rPr>
          <w:color w:val="auto"/>
        </w:rPr>
        <w:t xml:space="preserve">He had not missed any time from work and denied any significant impairment to work performance due to the wrist condition.  </w:t>
      </w:r>
      <w:r w:rsidR="00993E8A">
        <w:rPr>
          <w:color w:val="auto"/>
        </w:rPr>
        <w:t>Most of t</w:t>
      </w:r>
      <w:r w:rsidR="00734CB8" w:rsidRPr="00B37E94">
        <w:rPr>
          <w:color w:val="auto"/>
        </w:rPr>
        <w:t>he ROM</w:t>
      </w:r>
      <w:r w:rsidR="00993E8A">
        <w:rPr>
          <w:color w:val="auto"/>
        </w:rPr>
        <w:t>s recorded by the VA examiner were</w:t>
      </w:r>
      <w:r w:rsidR="00734CB8" w:rsidRPr="00B37E94">
        <w:rPr>
          <w:color w:val="auto"/>
        </w:rPr>
        <w:t xml:space="preserve"> worse than </w:t>
      </w:r>
      <w:r w:rsidR="00993E8A">
        <w:rPr>
          <w:color w:val="auto"/>
        </w:rPr>
        <w:t>those</w:t>
      </w:r>
      <w:r w:rsidR="00734CB8" w:rsidRPr="00B37E94">
        <w:rPr>
          <w:color w:val="auto"/>
        </w:rPr>
        <w:t xml:space="preserve"> recorded </w:t>
      </w:r>
      <w:r w:rsidR="00993E8A">
        <w:rPr>
          <w:color w:val="auto"/>
        </w:rPr>
        <w:t>a year earlier by the Service</w:t>
      </w:r>
      <w:r w:rsidR="00B175DD">
        <w:rPr>
          <w:color w:val="auto"/>
        </w:rPr>
        <w:t>, with essentially no motion in several planes</w:t>
      </w:r>
      <w:r w:rsidR="00734CB8" w:rsidRPr="00B37E94">
        <w:rPr>
          <w:color w:val="auto"/>
        </w:rPr>
        <w:t xml:space="preserve">.  </w:t>
      </w:r>
      <w:r w:rsidR="00786725">
        <w:rPr>
          <w:color w:val="auto"/>
        </w:rPr>
        <w:t xml:space="preserve">The PEB and VA initially chose similar coding options for the right wrist condition and arrived at the same rating recommendation.  </w:t>
      </w:r>
      <w:r w:rsidR="00710256">
        <w:rPr>
          <w:color w:val="auto"/>
        </w:rPr>
        <w:t xml:space="preserve">VASRD </w:t>
      </w:r>
      <w:r w:rsidR="00710256">
        <w:rPr>
          <w:rFonts w:cs="Calibri"/>
          <w:color w:val="auto"/>
        </w:rPr>
        <w:t>§</w:t>
      </w:r>
      <w:r w:rsidR="00710256">
        <w:rPr>
          <w:color w:val="auto"/>
        </w:rPr>
        <w:t>4.71a provides only one code for limited motion at the wrist (</w:t>
      </w:r>
      <w:r w:rsidR="006B5968">
        <w:rPr>
          <w:color w:val="auto"/>
        </w:rPr>
        <w:t xml:space="preserve">5215), which confers only a 10% rating (independently of the severity of ROM impairment or whether it is the dominant extremity).  Alternate coding </w:t>
      </w:r>
      <w:r w:rsidR="00993E8A">
        <w:rPr>
          <w:color w:val="auto"/>
        </w:rPr>
        <w:t>with</w:t>
      </w:r>
      <w:r w:rsidR="006B5968">
        <w:rPr>
          <w:color w:val="auto"/>
        </w:rPr>
        <w:t xml:space="preserve"> rating </w:t>
      </w:r>
      <w:r w:rsidR="00E519D4">
        <w:rPr>
          <w:color w:val="auto"/>
        </w:rPr>
        <w:t>by 5003 criteria can be supported</w:t>
      </w:r>
      <w:r w:rsidR="006B5968">
        <w:rPr>
          <w:color w:val="auto"/>
        </w:rPr>
        <w:t xml:space="preserve">, but </w:t>
      </w:r>
      <w:r w:rsidR="00E519D4">
        <w:rPr>
          <w:color w:val="auto"/>
        </w:rPr>
        <w:t xml:space="preserve">is </w:t>
      </w:r>
      <w:r w:rsidR="006B5968">
        <w:rPr>
          <w:color w:val="auto"/>
        </w:rPr>
        <w:t xml:space="preserve">not advantageous.  The only higher rating for the wrist requires ankylosis (5214).  </w:t>
      </w:r>
      <w:r w:rsidR="00B175DD">
        <w:rPr>
          <w:color w:val="auto"/>
        </w:rPr>
        <w:t xml:space="preserve">The Board </w:t>
      </w:r>
      <w:r w:rsidR="00540CA5">
        <w:rPr>
          <w:color w:val="auto"/>
        </w:rPr>
        <w:t xml:space="preserve">considered the </w:t>
      </w:r>
      <w:r w:rsidR="00B175DD">
        <w:rPr>
          <w:color w:val="auto"/>
        </w:rPr>
        <w:t>highly restricted</w:t>
      </w:r>
      <w:r w:rsidR="00540CA5">
        <w:rPr>
          <w:color w:val="auto"/>
        </w:rPr>
        <w:t xml:space="preserve"> right wrist ROM</w:t>
      </w:r>
      <w:r w:rsidR="006B5968">
        <w:rPr>
          <w:color w:val="auto"/>
        </w:rPr>
        <w:t>; but,</w:t>
      </w:r>
      <w:r w:rsidR="00B175DD">
        <w:rPr>
          <w:color w:val="auto"/>
        </w:rPr>
        <w:t xml:space="preserve"> </w:t>
      </w:r>
      <w:r w:rsidR="006B5968">
        <w:rPr>
          <w:color w:val="auto"/>
        </w:rPr>
        <w:t>members</w:t>
      </w:r>
      <w:r w:rsidR="00B175DD">
        <w:rPr>
          <w:color w:val="auto"/>
        </w:rPr>
        <w:t xml:space="preserve"> </w:t>
      </w:r>
      <w:r w:rsidR="00540CA5">
        <w:rPr>
          <w:color w:val="auto"/>
        </w:rPr>
        <w:t xml:space="preserve">agreed that the partial fusion </w:t>
      </w:r>
      <w:r w:rsidR="00B175DD">
        <w:rPr>
          <w:color w:val="auto"/>
        </w:rPr>
        <w:t xml:space="preserve">was not equivalent to ankylosis of the </w:t>
      </w:r>
      <w:r w:rsidR="00B31E57">
        <w:rPr>
          <w:color w:val="auto"/>
        </w:rPr>
        <w:t>joint;</w:t>
      </w:r>
      <w:r w:rsidR="00B175DD">
        <w:rPr>
          <w:color w:val="auto"/>
        </w:rPr>
        <w:t xml:space="preserve"> </w:t>
      </w:r>
      <w:r w:rsidR="00540CA5">
        <w:rPr>
          <w:color w:val="auto"/>
        </w:rPr>
        <w:t>noting that</w:t>
      </w:r>
      <w:r w:rsidR="00BB4F62">
        <w:rPr>
          <w:color w:val="auto"/>
        </w:rPr>
        <w:t xml:space="preserve"> the CI remained reasonably functional with his right hand</w:t>
      </w:r>
      <w:r w:rsidR="00540CA5">
        <w:rPr>
          <w:color w:val="auto"/>
        </w:rPr>
        <w:t xml:space="preserve">.  The Board </w:t>
      </w:r>
      <w:r w:rsidR="00B31E57">
        <w:rPr>
          <w:color w:val="auto"/>
        </w:rPr>
        <w:t>notes</w:t>
      </w:r>
      <w:r w:rsidR="00540CA5">
        <w:rPr>
          <w:color w:val="auto"/>
        </w:rPr>
        <w:t xml:space="preserve"> that 18 months after separation the VA conferred an </w:t>
      </w:r>
      <w:r w:rsidR="00540CA5">
        <w:rPr>
          <w:color w:val="auto"/>
        </w:rPr>
        <w:lastRenderedPageBreak/>
        <w:t xml:space="preserve">additional 30% rating </w:t>
      </w:r>
      <w:r w:rsidR="00B31E57">
        <w:rPr>
          <w:color w:val="auto"/>
        </w:rPr>
        <w:t xml:space="preserve">for </w:t>
      </w:r>
      <w:r w:rsidR="00540CA5">
        <w:rPr>
          <w:color w:val="auto"/>
        </w:rPr>
        <w:t>the condition under code 5213 for the dominant hand fixed in full pronation – a condition that results from fusion of the bones of the forearm at the elbow.  This is clearly an error</w:t>
      </w:r>
      <w:r w:rsidR="00B31E57">
        <w:rPr>
          <w:color w:val="auto"/>
        </w:rPr>
        <w:t>,</w:t>
      </w:r>
      <w:r w:rsidR="00540CA5">
        <w:rPr>
          <w:color w:val="auto"/>
        </w:rPr>
        <w:t xml:space="preserve"> as no such fusion or elbow pathology exists</w:t>
      </w:r>
      <w:r w:rsidR="00B31E57">
        <w:rPr>
          <w:color w:val="auto"/>
        </w:rPr>
        <w:t>;</w:t>
      </w:r>
      <w:r w:rsidR="00EB6EAB">
        <w:rPr>
          <w:color w:val="auto"/>
        </w:rPr>
        <w:t xml:space="preserve"> and</w:t>
      </w:r>
      <w:r w:rsidR="00B31E57">
        <w:rPr>
          <w:color w:val="auto"/>
        </w:rPr>
        <w:t>,</w:t>
      </w:r>
      <w:r w:rsidR="00EB6EAB">
        <w:rPr>
          <w:color w:val="auto"/>
        </w:rPr>
        <w:t xml:space="preserve"> </w:t>
      </w:r>
      <w:r w:rsidR="00B31E57">
        <w:rPr>
          <w:color w:val="auto"/>
        </w:rPr>
        <w:t>full pronation and sup</w:t>
      </w:r>
      <w:r w:rsidR="00EB6EAB">
        <w:rPr>
          <w:color w:val="auto"/>
        </w:rPr>
        <w:t xml:space="preserve">ination </w:t>
      </w:r>
      <w:r w:rsidR="00B31E57">
        <w:rPr>
          <w:color w:val="auto"/>
        </w:rPr>
        <w:t>were well documented</w:t>
      </w:r>
      <w:r w:rsidR="00540CA5">
        <w:rPr>
          <w:color w:val="auto"/>
        </w:rPr>
        <w:t xml:space="preserve">.  </w:t>
      </w:r>
      <w:r w:rsidR="00B31E57">
        <w:rPr>
          <w:color w:val="auto"/>
        </w:rPr>
        <w:t xml:space="preserve">The Board was left to conclude therefore that there is no </w:t>
      </w:r>
      <w:r w:rsidR="00B31E57">
        <w:rPr>
          <w:rFonts w:cs="Calibri"/>
          <w:color w:val="auto"/>
        </w:rPr>
        <w:t>§</w:t>
      </w:r>
      <w:r w:rsidR="00B31E57">
        <w:rPr>
          <w:color w:val="auto"/>
        </w:rPr>
        <w:t>4.71a compliant pathway to a rating higher than 10%</w:t>
      </w:r>
      <w:r w:rsidR="005A666B">
        <w:rPr>
          <w:color w:val="auto"/>
        </w:rPr>
        <w:t>, although acknowledging the significant loss of joint mobility.</w:t>
      </w:r>
      <w:r w:rsidR="005A666B" w:rsidRPr="005A666B">
        <w:rPr>
          <w:rFonts w:eastAsiaTheme="minorHAnsi" w:cstheme="minorBidi"/>
          <w:color w:val="auto"/>
          <w:szCs w:val="24"/>
        </w:rPr>
        <w:t xml:space="preserve"> </w:t>
      </w:r>
      <w:r w:rsidR="005A666B">
        <w:rPr>
          <w:rFonts w:eastAsiaTheme="minorHAnsi" w:cstheme="minorBidi"/>
          <w:color w:val="auto"/>
          <w:szCs w:val="24"/>
        </w:rPr>
        <w:t xml:space="preserve"> </w:t>
      </w:r>
      <w:r w:rsidR="005A666B" w:rsidRPr="005A666B">
        <w:rPr>
          <w:color w:val="auto"/>
        </w:rPr>
        <w:t xml:space="preserve">After due deliberation, considering all of the evidence and mindful of VASRD §4.3 (reasonable doubt), the Board concluded that there was insufficient cause to recommend a change in the PEB adjudication for the </w:t>
      </w:r>
      <w:r w:rsidR="005A666B">
        <w:rPr>
          <w:color w:val="auto"/>
        </w:rPr>
        <w:t>right wrist</w:t>
      </w:r>
      <w:r w:rsidR="005A666B" w:rsidRPr="005A666B">
        <w:rPr>
          <w:color w:val="auto"/>
        </w:rPr>
        <w:t xml:space="preserve"> condition.</w:t>
      </w:r>
    </w:p>
    <w:p w:rsidR="00734CB8" w:rsidRPr="00664296" w:rsidRDefault="00734CB8" w:rsidP="00664296">
      <w:pPr>
        <w:tabs>
          <w:tab w:val="left" w:pos="288"/>
          <w:tab w:val="left" w:pos="4752"/>
        </w:tabs>
        <w:spacing w:line="240" w:lineRule="exact"/>
        <w:rPr>
          <w:color w:val="auto"/>
        </w:rPr>
      </w:pPr>
    </w:p>
    <w:p w:rsidR="00EB6EAB" w:rsidRPr="00EB6EAB" w:rsidRDefault="00734CB8" w:rsidP="00EB6EAB">
      <w:pPr>
        <w:spacing w:line="240" w:lineRule="exact"/>
        <w:jc w:val="both"/>
        <w:rPr>
          <w:rFonts w:eastAsia="HiddenHorzOCR"/>
          <w:color w:val="auto"/>
        </w:rPr>
      </w:pPr>
      <w:r w:rsidRPr="00664296">
        <w:rPr>
          <w:rFonts w:eastAsia="HiddenHorzOCR"/>
          <w:color w:val="auto"/>
          <w:u w:val="single"/>
        </w:rPr>
        <w:t xml:space="preserve">Other </w:t>
      </w:r>
      <w:proofErr w:type="gramStart"/>
      <w:r w:rsidRPr="00664296">
        <w:rPr>
          <w:rFonts w:eastAsia="HiddenHorzOCR"/>
          <w:color w:val="auto"/>
          <w:u w:val="single"/>
        </w:rPr>
        <w:t>PEB  Conditions</w:t>
      </w:r>
      <w:proofErr w:type="gramEnd"/>
      <w:r w:rsidRPr="00664296">
        <w:rPr>
          <w:rFonts w:eastAsia="HiddenHorzOCR"/>
          <w:color w:val="auto"/>
        </w:rPr>
        <w:t xml:space="preserve">.  </w:t>
      </w:r>
      <w:r w:rsidR="00EB6EAB">
        <w:rPr>
          <w:rFonts w:eastAsia="HiddenHorzOCR"/>
          <w:color w:val="auto"/>
        </w:rPr>
        <w:t>Three other</w:t>
      </w:r>
      <w:r w:rsidR="004D2276">
        <w:rPr>
          <w:rFonts w:eastAsia="HiddenHorzOCR"/>
          <w:color w:val="auto"/>
        </w:rPr>
        <w:t xml:space="preserve"> condition</w:t>
      </w:r>
      <w:r w:rsidR="00CE0D43">
        <w:rPr>
          <w:rFonts w:eastAsia="HiddenHorzOCR"/>
          <w:color w:val="auto"/>
        </w:rPr>
        <w:t xml:space="preserve">s </w:t>
      </w:r>
      <w:r w:rsidR="00EB6EAB">
        <w:rPr>
          <w:rFonts w:eastAsia="HiddenHorzOCR"/>
          <w:color w:val="auto"/>
        </w:rPr>
        <w:t>were</w:t>
      </w:r>
      <w:r w:rsidR="004D2276">
        <w:rPr>
          <w:rFonts w:eastAsia="HiddenHorzOCR"/>
          <w:color w:val="auto"/>
        </w:rPr>
        <w:t xml:space="preserve"> forwarded by the MEB</w:t>
      </w:r>
      <w:r w:rsidRPr="00664296">
        <w:rPr>
          <w:rFonts w:eastAsia="HiddenHorzOCR"/>
          <w:color w:val="auto"/>
        </w:rPr>
        <w:t xml:space="preserve"> and adjudicated as not unfitting by the PEB</w:t>
      </w:r>
      <w:r w:rsidR="00CE0D43">
        <w:rPr>
          <w:rFonts w:eastAsia="HiddenHorzOCR"/>
          <w:color w:val="auto"/>
        </w:rPr>
        <w:t>:</w:t>
      </w:r>
      <w:r w:rsidR="00EB6EAB">
        <w:rPr>
          <w:rFonts w:eastAsia="HiddenHorzOCR"/>
          <w:color w:val="auto"/>
        </w:rPr>
        <w:t xml:space="preserve">  </w:t>
      </w:r>
      <w:r w:rsidR="00CE0D43">
        <w:rPr>
          <w:rFonts w:eastAsia="HiddenHorzOCR"/>
          <w:color w:val="auto"/>
        </w:rPr>
        <w:t xml:space="preserve">hearing loss, gastroesophageal reflux disease (GERD), and insomnia.  </w:t>
      </w:r>
      <w:r w:rsidR="00EB6EAB">
        <w:rPr>
          <w:rFonts w:eastAsia="HiddenHorzOCR"/>
          <w:color w:val="auto"/>
        </w:rPr>
        <w:t>The</w:t>
      </w:r>
      <w:r w:rsidRPr="00664296">
        <w:rPr>
          <w:rFonts w:eastAsia="HiddenHorzOCR"/>
          <w:color w:val="auto"/>
        </w:rPr>
        <w:t xml:space="preserve"> hearing loss</w:t>
      </w:r>
      <w:r w:rsidR="00EB6EAB">
        <w:rPr>
          <w:rFonts w:eastAsia="HiddenHorzOCR"/>
          <w:color w:val="auto"/>
        </w:rPr>
        <w:t xml:space="preserve"> </w:t>
      </w:r>
      <w:r w:rsidR="00CE0D43">
        <w:rPr>
          <w:rFonts w:eastAsia="HiddenHorzOCR"/>
          <w:color w:val="auto"/>
        </w:rPr>
        <w:t>carried</w:t>
      </w:r>
      <w:r w:rsidRPr="00664296">
        <w:rPr>
          <w:rFonts w:eastAsia="HiddenHorzOCR"/>
          <w:color w:val="auto"/>
        </w:rPr>
        <w:t xml:space="preserve"> a permanent H2 profile, but was not implicated in the commander’s statement</w:t>
      </w:r>
      <w:r w:rsidR="00EB6EAB" w:rsidRPr="00EB6EAB">
        <w:rPr>
          <w:rFonts w:eastAsia="HiddenHorzOCR"/>
          <w:color w:val="auto"/>
        </w:rPr>
        <w:t xml:space="preserve"> </w:t>
      </w:r>
      <w:r w:rsidR="00EB6EAB">
        <w:rPr>
          <w:rFonts w:eastAsia="HiddenHorzOCR"/>
          <w:color w:val="auto"/>
        </w:rPr>
        <w:t>or judged medically unacceptable by the MEB</w:t>
      </w:r>
      <w:r w:rsidRPr="00664296">
        <w:rPr>
          <w:rFonts w:eastAsia="HiddenHorzOCR"/>
          <w:color w:val="auto"/>
        </w:rPr>
        <w:t xml:space="preserve">.  It is </w:t>
      </w:r>
      <w:r w:rsidR="00CE0D43">
        <w:rPr>
          <w:rFonts w:eastAsia="HiddenHorzOCR"/>
          <w:color w:val="auto"/>
        </w:rPr>
        <w:t>relevant</w:t>
      </w:r>
      <w:r w:rsidRPr="00664296">
        <w:rPr>
          <w:rFonts w:eastAsia="HiddenHorzOCR"/>
          <w:color w:val="auto"/>
        </w:rPr>
        <w:t xml:space="preserve"> that the CI had excessive firearm exposure during his childhood and </w:t>
      </w:r>
      <w:r w:rsidR="00CE0D43">
        <w:rPr>
          <w:rFonts w:eastAsia="HiddenHorzOCR"/>
          <w:color w:val="auto"/>
        </w:rPr>
        <w:t>had pre-existing hearing loss; and, it should be noted that a compensable rating is not achievable irrespective of fitness determination</w:t>
      </w:r>
      <w:r w:rsidRPr="00664296">
        <w:rPr>
          <w:rFonts w:eastAsia="HiddenHorzOCR"/>
          <w:color w:val="auto"/>
        </w:rPr>
        <w:t xml:space="preserve">.  </w:t>
      </w:r>
      <w:r w:rsidR="00EB6EAB" w:rsidRPr="00EB6EAB">
        <w:rPr>
          <w:rFonts w:eastAsia="HiddenHorzOCR"/>
          <w:color w:val="auto"/>
        </w:rPr>
        <w:t>Neither of the</w:t>
      </w:r>
      <w:r w:rsidR="00EB6EAB">
        <w:rPr>
          <w:rFonts w:eastAsia="HiddenHorzOCR"/>
          <w:color w:val="auto"/>
        </w:rPr>
        <w:t xml:space="preserve"> </w:t>
      </w:r>
      <w:r w:rsidR="00B558CA">
        <w:rPr>
          <w:rFonts w:eastAsia="HiddenHorzOCR"/>
          <w:color w:val="auto"/>
        </w:rPr>
        <w:t>remaining two</w:t>
      </w:r>
      <w:r w:rsidR="00EB6EAB" w:rsidRPr="00EB6EAB">
        <w:rPr>
          <w:rFonts w:eastAsia="HiddenHorzOCR"/>
          <w:color w:val="auto"/>
        </w:rPr>
        <w:t xml:space="preserve"> conditions were profiled, implicated in the commander’s statement</w:t>
      </w:r>
      <w:r w:rsidR="00B558CA">
        <w:rPr>
          <w:rFonts w:eastAsia="HiddenHorzOCR"/>
          <w:color w:val="auto"/>
        </w:rPr>
        <w:t>,</w:t>
      </w:r>
      <w:r w:rsidR="00EB6EAB">
        <w:rPr>
          <w:rFonts w:eastAsia="HiddenHorzOCR"/>
          <w:color w:val="auto"/>
        </w:rPr>
        <w:t xml:space="preserve"> </w:t>
      </w:r>
      <w:r w:rsidR="00EB6EAB" w:rsidRPr="00EB6EAB">
        <w:rPr>
          <w:rFonts w:eastAsia="HiddenHorzOCR"/>
          <w:color w:val="auto"/>
        </w:rPr>
        <w:t xml:space="preserve">or noted as failing retention standards.  All </w:t>
      </w:r>
      <w:r w:rsidR="00B558CA">
        <w:rPr>
          <w:rFonts w:eastAsia="HiddenHorzOCR"/>
          <w:color w:val="auto"/>
        </w:rPr>
        <w:t xml:space="preserve">three conditions </w:t>
      </w:r>
      <w:r w:rsidR="00EB6EAB" w:rsidRPr="00EB6EAB">
        <w:rPr>
          <w:rFonts w:eastAsia="HiddenHorzOCR"/>
          <w:color w:val="auto"/>
        </w:rPr>
        <w:t xml:space="preserve">were reviewed by the </w:t>
      </w:r>
      <w:r w:rsidR="00801988">
        <w:rPr>
          <w:rFonts w:eastAsia="HiddenHorzOCR"/>
          <w:color w:val="auto"/>
        </w:rPr>
        <w:t>a</w:t>
      </w:r>
      <w:r w:rsidR="00B558CA" w:rsidRPr="00EB6EAB">
        <w:rPr>
          <w:rFonts w:eastAsia="HiddenHorzOCR"/>
          <w:color w:val="auto"/>
        </w:rPr>
        <w:t xml:space="preserve">ction </w:t>
      </w:r>
      <w:r w:rsidR="00801988">
        <w:rPr>
          <w:rFonts w:eastAsia="HiddenHorzOCR"/>
          <w:color w:val="auto"/>
        </w:rPr>
        <w:t>o</w:t>
      </w:r>
      <w:r w:rsidR="00B558CA" w:rsidRPr="00EB6EAB">
        <w:rPr>
          <w:rFonts w:eastAsia="HiddenHorzOCR"/>
          <w:color w:val="auto"/>
        </w:rPr>
        <w:t xml:space="preserve">fficer </w:t>
      </w:r>
      <w:r w:rsidR="00EB6EAB" w:rsidRPr="00EB6EAB">
        <w:rPr>
          <w:rFonts w:eastAsia="HiddenHorzOCR"/>
          <w:color w:val="auto"/>
        </w:rPr>
        <w:t xml:space="preserve">and considered by the Board.  There was no indication from the record that any of </w:t>
      </w:r>
      <w:r w:rsidR="00B558CA">
        <w:rPr>
          <w:rFonts w:eastAsia="HiddenHorzOCR"/>
          <w:color w:val="auto"/>
        </w:rPr>
        <w:t>them</w:t>
      </w:r>
      <w:r w:rsidR="00EB6EAB" w:rsidRPr="00EB6EAB">
        <w:rPr>
          <w:rFonts w:eastAsia="HiddenHorzOCR"/>
          <w:color w:val="auto"/>
        </w:rPr>
        <w:t xml:space="preserve"> significantly interfered with satisfactory performance of MOS duty requirements.  All evidence considered</w:t>
      </w:r>
      <w:proofErr w:type="gramStart"/>
      <w:r w:rsidR="00EB6EAB" w:rsidRPr="00EB6EAB">
        <w:rPr>
          <w:rFonts w:eastAsia="HiddenHorzOCR"/>
          <w:color w:val="auto"/>
        </w:rPr>
        <w:t>,</w:t>
      </w:r>
      <w:proofErr w:type="gramEnd"/>
      <w:r w:rsidR="00EB6EAB" w:rsidRPr="00EB6EAB">
        <w:rPr>
          <w:rFonts w:eastAsia="HiddenHorzOCR"/>
          <w:color w:val="auto"/>
        </w:rPr>
        <w:t xml:space="preserve"> there is not reasonable doubt in the CI’s favor supporting recharacterization of the PEB fitness adjudication for any of the stated conditions.</w:t>
      </w:r>
    </w:p>
    <w:p w:rsidR="00734CB8" w:rsidRPr="00664296" w:rsidRDefault="00734CB8" w:rsidP="00664296">
      <w:pPr>
        <w:spacing w:line="240" w:lineRule="exact"/>
        <w:jc w:val="both"/>
        <w:rPr>
          <w:rFonts w:eastAsia="HiddenHorzOCR"/>
          <w:color w:val="auto"/>
        </w:rPr>
      </w:pPr>
    </w:p>
    <w:p w:rsidR="00734CB8" w:rsidRPr="00664296" w:rsidRDefault="00734CB8" w:rsidP="00B37E94">
      <w:pPr>
        <w:spacing w:line="240" w:lineRule="exact"/>
        <w:jc w:val="both"/>
        <w:rPr>
          <w:color w:val="auto"/>
        </w:rPr>
      </w:pPr>
      <w:proofErr w:type="gramStart"/>
      <w:r w:rsidRPr="00664296">
        <w:rPr>
          <w:rFonts w:eastAsia="HiddenHorzOCR"/>
          <w:color w:val="auto"/>
          <w:u w:val="single"/>
        </w:rPr>
        <w:t>Other Contended Conditions</w:t>
      </w:r>
      <w:r w:rsidRPr="00664296">
        <w:rPr>
          <w:rFonts w:eastAsia="HiddenHorzOCR"/>
          <w:color w:val="auto"/>
        </w:rPr>
        <w:t>.</w:t>
      </w:r>
      <w:proofErr w:type="gramEnd"/>
      <w:r w:rsidRPr="00664296">
        <w:rPr>
          <w:rFonts w:eastAsia="HiddenHorzOCR"/>
          <w:color w:val="auto"/>
        </w:rPr>
        <w:t xml:space="preserve">  The CI’s application </w:t>
      </w:r>
      <w:r w:rsidR="00EB6EAB">
        <w:rPr>
          <w:rFonts w:eastAsia="HiddenHorzOCR"/>
          <w:color w:val="auto"/>
        </w:rPr>
        <w:t>implies</w:t>
      </w:r>
      <w:r w:rsidRPr="00664296">
        <w:rPr>
          <w:rFonts w:eastAsia="HiddenHorzOCR"/>
          <w:color w:val="auto"/>
        </w:rPr>
        <w:t xml:space="preserve"> that </w:t>
      </w:r>
      <w:r w:rsidR="00EB6EAB">
        <w:rPr>
          <w:rFonts w:eastAsia="HiddenHorzOCR"/>
          <w:color w:val="auto"/>
        </w:rPr>
        <w:t xml:space="preserve">a </w:t>
      </w:r>
      <w:r w:rsidRPr="00664296">
        <w:rPr>
          <w:rFonts w:eastAsia="HiddenHorzOCR"/>
          <w:color w:val="auto"/>
        </w:rPr>
        <w:t xml:space="preserve">compensable rating should be considered for hip bursitis.  The CI began experiencing pain in the hip after a bone graft </w:t>
      </w:r>
      <w:r w:rsidR="00EB6EAB">
        <w:rPr>
          <w:rFonts w:eastAsia="HiddenHorzOCR"/>
          <w:color w:val="auto"/>
        </w:rPr>
        <w:t xml:space="preserve">harvest </w:t>
      </w:r>
      <w:r w:rsidRPr="00664296">
        <w:rPr>
          <w:rFonts w:eastAsia="HiddenHorzOCR"/>
          <w:color w:val="auto"/>
        </w:rPr>
        <w:t xml:space="preserve">for his right wrist in 2004.  While this condition is mentioned in the </w:t>
      </w:r>
      <w:r w:rsidR="00D4724B">
        <w:rPr>
          <w:rFonts w:eastAsia="HiddenHorzOCR"/>
          <w:color w:val="auto"/>
        </w:rPr>
        <w:t>narrative summary</w:t>
      </w:r>
      <w:r w:rsidRPr="00664296">
        <w:rPr>
          <w:rFonts w:eastAsia="HiddenHorzOCR"/>
          <w:color w:val="auto"/>
        </w:rPr>
        <w:t xml:space="preserve">, it was not </w:t>
      </w:r>
      <w:r w:rsidR="00D4724B">
        <w:rPr>
          <w:rFonts w:eastAsia="HiddenHorzOCR"/>
          <w:color w:val="auto"/>
        </w:rPr>
        <w:t xml:space="preserve">clinically active at the time of the MEB and not judged to be medically unacceptable.  </w:t>
      </w:r>
      <w:r w:rsidRPr="00664296">
        <w:rPr>
          <w:rFonts w:eastAsia="HiddenHorzOCR"/>
          <w:color w:val="auto"/>
        </w:rPr>
        <w:t>This</w:t>
      </w:r>
      <w:r w:rsidRPr="00664296">
        <w:rPr>
          <w:color w:val="auto"/>
        </w:rPr>
        <w:t xml:space="preserve"> condition was reviewed by the </w:t>
      </w:r>
      <w:r w:rsidR="00801988">
        <w:rPr>
          <w:color w:val="auto"/>
        </w:rPr>
        <w:t>a</w:t>
      </w:r>
      <w:r w:rsidR="00195CA5" w:rsidRPr="00664296">
        <w:rPr>
          <w:color w:val="auto"/>
        </w:rPr>
        <w:t xml:space="preserve">ction </w:t>
      </w:r>
      <w:r w:rsidR="00801988">
        <w:rPr>
          <w:color w:val="auto"/>
        </w:rPr>
        <w:t>o</w:t>
      </w:r>
      <w:r w:rsidR="00195CA5" w:rsidRPr="00664296">
        <w:rPr>
          <w:color w:val="auto"/>
        </w:rPr>
        <w:t xml:space="preserve">fficer </w:t>
      </w:r>
      <w:r w:rsidRPr="00664296">
        <w:rPr>
          <w:color w:val="auto"/>
        </w:rPr>
        <w:t xml:space="preserve">and considered by the Board.  There was no evidence for concluding that </w:t>
      </w:r>
      <w:r w:rsidR="00B558CA">
        <w:rPr>
          <w:color w:val="auto"/>
        </w:rPr>
        <w:t>it</w:t>
      </w:r>
      <w:r w:rsidRPr="00664296">
        <w:rPr>
          <w:color w:val="auto"/>
        </w:rPr>
        <w:t xml:space="preserve"> interfered with duty performance to a degree that could be argued as unfitting.  The Board determined therefore that this condition was not subject to disability rating.</w:t>
      </w:r>
    </w:p>
    <w:p w:rsidR="00734CB8" w:rsidRPr="00664296" w:rsidRDefault="00734CB8" w:rsidP="00664296">
      <w:pPr>
        <w:spacing w:line="240" w:lineRule="exact"/>
        <w:jc w:val="both"/>
        <w:rPr>
          <w:color w:val="auto"/>
        </w:rPr>
      </w:pPr>
    </w:p>
    <w:p w:rsidR="00734CB8" w:rsidRDefault="00734CB8" w:rsidP="00664296">
      <w:pPr>
        <w:spacing w:line="240" w:lineRule="exact"/>
        <w:jc w:val="both"/>
        <w:rPr>
          <w:color w:val="auto"/>
        </w:rPr>
      </w:pPr>
      <w:proofErr w:type="gramStart"/>
      <w:r w:rsidRPr="00664296">
        <w:rPr>
          <w:color w:val="auto"/>
          <w:u w:val="single"/>
        </w:rPr>
        <w:t>Remaining Conditions</w:t>
      </w:r>
      <w:r w:rsidRPr="00664296">
        <w:rPr>
          <w:color w:val="auto"/>
        </w:rPr>
        <w:t>.</w:t>
      </w:r>
      <w:proofErr w:type="gramEnd"/>
      <w:r w:rsidRPr="00664296">
        <w:rPr>
          <w:color w:val="auto"/>
        </w:rPr>
        <w:t xml:space="preserve">  </w:t>
      </w:r>
      <w:r w:rsidRPr="00B37E94">
        <w:rPr>
          <w:color w:val="auto"/>
        </w:rPr>
        <w:t>Several additional non-acute conditions or medical complaints were also documented.  None of these conditions were clinical</w:t>
      </w:r>
      <w:r w:rsidR="00B558CA">
        <w:rPr>
          <w:color w:val="auto"/>
        </w:rPr>
        <w:t>ly active during the MEB period;</w:t>
      </w:r>
      <w:r w:rsidRPr="00B37E94">
        <w:rPr>
          <w:color w:val="auto"/>
        </w:rPr>
        <w:t xml:space="preserve"> none carried attached profiles</w:t>
      </w:r>
      <w:r w:rsidR="00B558CA">
        <w:rPr>
          <w:color w:val="auto"/>
        </w:rPr>
        <w:t>;</w:t>
      </w:r>
      <w:r w:rsidRPr="00B37E94">
        <w:rPr>
          <w:color w:val="auto"/>
        </w:rPr>
        <w:t xml:space="preserve"> and</w:t>
      </w:r>
      <w:r w:rsidR="00B558CA">
        <w:rPr>
          <w:color w:val="auto"/>
        </w:rPr>
        <w:t>,</w:t>
      </w:r>
      <w:r w:rsidRPr="00B37E94">
        <w:rPr>
          <w:color w:val="auto"/>
        </w:rPr>
        <w:t xml:space="preserve"> none were implicated in the commander’s statement.  These conditions were reviewed by the </w:t>
      </w:r>
      <w:r w:rsidR="00801988">
        <w:rPr>
          <w:color w:val="auto"/>
        </w:rPr>
        <w:t>a</w:t>
      </w:r>
      <w:r w:rsidR="00195CA5" w:rsidRPr="00B37E94">
        <w:rPr>
          <w:color w:val="auto"/>
        </w:rPr>
        <w:t xml:space="preserve">ction </w:t>
      </w:r>
      <w:r w:rsidR="00801988">
        <w:rPr>
          <w:color w:val="auto"/>
        </w:rPr>
        <w:t>o</w:t>
      </w:r>
      <w:r w:rsidR="00195CA5" w:rsidRPr="00B37E94">
        <w:rPr>
          <w:color w:val="auto"/>
        </w:rPr>
        <w:t xml:space="preserve">fficer </w:t>
      </w:r>
      <w:r w:rsidRPr="00B37E94">
        <w:rPr>
          <w:color w:val="auto"/>
        </w:rPr>
        <w:t xml:space="preserve">and considered by the Board.  It was determined that none could be argued as unfitting and subject to separation rating.  </w:t>
      </w:r>
      <w:r w:rsidR="00D4724B" w:rsidRPr="00D4724B">
        <w:rPr>
          <w:color w:val="auto"/>
        </w:rPr>
        <w:t xml:space="preserve">Additionally </w:t>
      </w:r>
      <w:r w:rsidR="0085793C">
        <w:rPr>
          <w:color w:val="auto"/>
        </w:rPr>
        <w:t>tinnitus</w:t>
      </w:r>
      <w:r w:rsidR="00D4724B" w:rsidRPr="00D4724B">
        <w:rPr>
          <w:color w:val="auto"/>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734CB8" w:rsidRPr="00391858" w:rsidRDefault="00734CB8" w:rsidP="00F1737C">
      <w:pPr>
        <w:pBdr>
          <w:bottom w:val="single" w:sz="12" w:space="1" w:color="auto"/>
        </w:pBdr>
        <w:tabs>
          <w:tab w:val="left" w:pos="288"/>
          <w:tab w:val="left" w:pos="4752"/>
        </w:tabs>
        <w:spacing w:line="240" w:lineRule="exact"/>
        <w:jc w:val="both"/>
        <w:rPr>
          <w:b/>
          <w:color w:val="auto"/>
          <w:u w:val="single"/>
        </w:rPr>
      </w:pPr>
    </w:p>
    <w:p w:rsidR="00734CB8" w:rsidRDefault="00734CB8" w:rsidP="00F1737C">
      <w:pPr>
        <w:spacing w:line="240" w:lineRule="exact"/>
        <w:rPr>
          <w:b/>
          <w:color w:val="auto"/>
          <w:u w:val="single"/>
        </w:rPr>
      </w:pPr>
    </w:p>
    <w:p w:rsidR="0085793C" w:rsidRPr="0085793C" w:rsidRDefault="00734CB8" w:rsidP="0085793C">
      <w:pPr>
        <w:spacing w:line="240" w:lineRule="exact"/>
        <w:jc w:val="both"/>
        <w:rPr>
          <w:color w:val="auto"/>
        </w:rPr>
      </w:pPr>
      <w:r w:rsidRPr="009C78FD">
        <w:rPr>
          <w:color w:val="auto"/>
          <w:u w:val="single"/>
        </w:rPr>
        <w:t>BOARD FINDINGS</w:t>
      </w:r>
      <w:r w:rsidRPr="009C78FD">
        <w:rPr>
          <w:color w:val="auto"/>
        </w:rPr>
        <w:t xml:space="preserve">:  IAW DoDI 6040.44, provisions of DoD or Military Department regulations or guidelines relied upon by the PEB will not be considered by the Board to the extent they were </w:t>
      </w:r>
      <w:r w:rsidRPr="00DE494B">
        <w:rPr>
          <w:color w:val="auto"/>
        </w:rPr>
        <w:t>inconsistent with the VASRD in effect at the time of the adjudication.  The Board did not surmise from the record or PEB ruling in this case that any prerogatives outside the VASRD were exercised.  In the matter of the right wrist condition</w:t>
      </w:r>
      <w:r w:rsidR="0085793C" w:rsidRPr="00DE494B">
        <w:rPr>
          <w:rFonts w:asciiTheme="minorHAnsi" w:eastAsiaTheme="minorHAnsi" w:hAnsiTheme="minorHAnsi"/>
          <w:color w:val="auto"/>
          <w:szCs w:val="24"/>
        </w:rPr>
        <w:t xml:space="preserve"> </w:t>
      </w:r>
      <w:r w:rsidR="0085793C" w:rsidRPr="00DE494B">
        <w:rPr>
          <w:color w:val="auto"/>
        </w:rPr>
        <w:t xml:space="preserve">and IAW VASRD §4.71a, the Board unanimously recommends no change in the PEB adjudication. </w:t>
      </w:r>
      <w:r w:rsidRPr="00DE494B">
        <w:rPr>
          <w:color w:val="auto"/>
        </w:rPr>
        <w:t xml:space="preserve"> In the matter of the hearing loss, </w:t>
      </w:r>
      <w:r w:rsidR="00B558CA" w:rsidRPr="00DE494B">
        <w:rPr>
          <w:rFonts w:eastAsia="HiddenHorzOCR"/>
          <w:color w:val="auto"/>
        </w:rPr>
        <w:t>gastroesophageal reflux</w:t>
      </w:r>
      <w:r w:rsidRPr="00DE494B">
        <w:rPr>
          <w:rFonts w:eastAsia="HiddenHorzOCR"/>
          <w:color w:val="auto"/>
        </w:rPr>
        <w:t xml:space="preserve">, </w:t>
      </w:r>
      <w:r w:rsidR="0085793C" w:rsidRPr="00DE494B">
        <w:rPr>
          <w:rFonts w:eastAsia="HiddenHorzOCR"/>
          <w:color w:val="auto"/>
        </w:rPr>
        <w:t>and insomnia</w:t>
      </w:r>
      <w:r w:rsidRPr="00DE494B">
        <w:rPr>
          <w:rFonts w:eastAsia="HiddenHorzOCR"/>
          <w:color w:val="auto"/>
        </w:rPr>
        <w:t xml:space="preserve"> </w:t>
      </w:r>
      <w:r w:rsidR="0085793C" w:rsidRPr="00DE494B">
        <w:rPr>
          <w:color w:val="auto"/>
        </w:rPr>
        <w:t>conditions</w:t>
      </w:r>
      <w:r w:rsidR="00B558CA" w:rsidRPr="00DE494B">
        <w:rPr>
          <w:color w:val="auto"/>
        </w:rPr>
        <w:t>;</w:t>
      </w:r>
      <w:r w:rsidR="0085793C" w:rsidRPr="00DE494B">
        <w:rPr>
          <w:color w:val="auto"/>
        </w:rPr>
        <w:t xml:space="preserve"> the Board unanimously recommends no </w:t>
      </w:r>
      <w:r w:rsidR="0085793C" w:rsidRPr="00DE494B">
        <w:rPr>
          <w:color w:val="auto"/>
        </w:rPr>
        <w:lastRenderedPageBreak/>
        <w:t xml:space="preserve">change from the PEB adjudications as not unfitting.  In the matter of the </w:t>
      </w:r>
      <w:r w:rsidR="00B558CA" w:rsidRPr="00DE494B">
        <w:rPr>
          <w:color w:val="auto"/>
        </w:rPr>
        <w:t xml:space="preserve">contended </w:t>
      </w:r>
      <w:r w:rsidR="0085793C" w:rsidRPr="00DE494B">
        <w:rPr>
          <w:color w:val="auto"/>
        </w:rPr>
        <w:t>hip bursitis condition, the Board unanimously agrees that it cannot recommend a finding of unfit for additional rating at separation.  The</w:t>
      </w:r>
      <w:r w:rsidR="0085793C" w:rsidRPr="0085793C">
        <w:rPr>
          <w:color w:val="auto"/>
        </w:rPr>
        <w:t xml:space="preserve"> Board unanimously agrees that there were no other conditions eligible for Board consideration which could be recommended as additionally unfitting for rating at separation.</w:t>
      </w:r>
    </w:p>
    <w:p w:rsidR="00734CB8" w:rsidRPr="00391858" w:rsidRDefault="00734CB8" w:rsidP="00B37E94">
      <w:pPr>
        <w:pBdr>
          <w:bottom w:val="single" w:sz="12" w:space="1" w:color="auto"/>
        </w:pBdr>
        <w:tabs>
          <w:tab w:val="left" w:pos="288"/>
          <w:tab w:val="left" w:pos="4752"/>
        </w:tabs>
        <w:spacing w:line="240" w:lineRule="exact"/>
        <w:jc w:val="both"/>
        <w:rPr>
          <w:b/>
          <w:color w:val="auto"/>
          <w:u w:val="single"/>
        </w:rPr>
      </w:pPr>
    </w:p>
    <w:p w:rsidR="00734CB8" w:rsidRDefault="00734CB8" w:rsidP="00664296">
      <w:pPr>
        <w:spacing w:line="240" w:lineRule="exact"/>
        <w:rPr>
          <w:b/>
          <w:color w:val="auto"/>
          <w:u w:val="single"/>
        </w:rPr>
      </w:pPr>
    </w:p>
    <w:p w:rsidR="00DE494B" w:rsidRDefault="00DE494B">
      <w:pPr>
        <w:rPr>
          <w:color w:val="auto"/>
          <w:u w:val="single"/>
        </w:rPr>
      </w:pPr>
      <w:r>
        <w:rPr>
          <w:color w:val="auto"/>
          <w:u w:val="single"/>
        </w:rPr>
        <w:br w:type="page"/>
      </w:r>
    </w:p>
    <w:p w:rsidR="00A66169" w:rsidRPr="00A66169" w:rsidRDefault="00734CB8" w:rsidP="00A66169">
      <w:pPr>
        <w:spacing w:line="240" w:lineRule="exact"/>
        <w:jc w:val="both"/>
        <w:rPr>
          <w:color w:val="auto"/>
        </w:rPr>
      </w:pPr>
      <w:r w:rsidRPr="00396779">
        <w:rPr>
          <w:color w:val="auto"/>
          <w:u w:val="single"/>
        </w:rPr>
        <w:lastRenderedPageBreak/>
        <w:t>RECOMMENDATION</w:t>
      </w:r>
      <w:r w:rsidRPr="00396779">
        <w:rPr>
          <w:color w:val="auto"/>
        </w:rPr>
        <w:t>:</w:t>
      </w:r>
      <w:r w:rsidRPr="00396779">
        <w:rPr>
          <w:color w:val="000080"/>
        </w:rPr>
        <w:t xml:space="preserve"> </w:t>
      </w:r>
      <w:r w:rsidRPr="00B427BB">
        <w:rPr>
          <w:color w:val="auto"/>
        </w:rPr>
        <w:t xml:space="preserve"> </w:t>
      </w:r>
      <w:r w:rsidR="00A66169" w:rsidRPr="00A66169">
        <w:rPr>
          <w:color w:val="auto"/>
        </w:rPr>
        <w:t xml:space="preserve">The Board, therefore, recommends that there be no modification of the CI’s disability and separation determination, as follows: </w:t>
      </w:r>
    </w:p>
    <w:p w:rsidR="00734CB8" w:rsidRDefault="00734CB8" w:rsidP="00510F9C">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0"/>
        <w:gridCol w:w="1710"/>
        <w:gridCol w:w="1170"/>
      </w:tblGrid>
      <w:tr w:rsidR="00734CB8" w:rsidRPr="00AF01B2">
        <w:trPr>
          <w:trHeight w:val="233"/>
          <w:jc w:val="center"/>
        </w:trPr>
        <w:tc>
          <w:tcPr>
            <w:tcW w:w="6480" w:type="dxa"/>
            <w:shd w:val="clear" w:color="auto" w:fill="D9D9D9"/>
            <w:vAlign w:val="center"/>
          </w:tcPr>
          <w:p w:rsidR="00734CB8" w:rsidRPr="00AF01B2" w:rsidRDefault="00734CB8" w:rsidP="00103948">
            <w:pPr>
              <w:tabs>
                <w:tab w:val="left" w:pos="288"/>
                <w:tab w:val="left" w:pos="4752"/>
              </w:tabs>
              <w:spacing w:line="240" w:lineRule="exact"/>
              <w:jc w:val="center"/>
              <w:rPr>
                <w:b/>
                <w:color w:val="auto"/>
              </w:rPr>
            </w:pPr>
            <w:r w:rsidRPr="00AF01B2">
              <w:rPr>
                <w:b/>
                <w:color w:val="auto"/>
              </w:rPr>
              <w:t>UNFITTING CONDITION</w:t>
            </w:r>
          </w:p>
        </w:tc>
        <w:tc>
          <w:tcPr>
            <w:tcW w:w="1710" w:type="dxa"/>
            <w:shd w:val="clear" w:color="auto" w:fill="D9D9D9"/>
            <w:vAlign w:val="center"/>
          </w:tcPr>
          <w:p w:rsidR="00734CB8" w:rsidRPr="00AF01B2" w:rsidRDefault="00734CB8" w:rsidP="00103948">
            <w:pPr>
              <w:tabs>
                <w:tab w:val="left" w:pos="288"/>
                <w:tab w:val="left" w:pos="4752"/>
              </w:tabs>
              <w:spacing w:line="240" w:lineRule="exact"/>
              <w:jc w:val="center"/>
              <w:rPr>
                <w:b/>
                <w:color w:val="auto"/>
              </w:rPr>
            </w:pPr>
            <w:r w:rsidRPr="00AF01B2">
              <w:rPr>
                <w:b/>
                <w:color w:val="auto"/>
              </w:rPr>
              <w:t>VASRD CODE</w:t>
            </w:r>
          </w:p>
        </w:tc>
        <w:tc>
          <w:tcPr>
            <w:tcW w:w="1170" w:type="dxa"/>
            <w:shd w:val="clear" w:color="auto" w:fill="D9D9D9"/>
            <w:vAlign w:val="center"/>
          </w:tcPr>
          <w:p w:rsidR="00734CB8" w:rsidRPr="00AF01B2" w:rsidRDefault="00734CB8" w:rsidP="00103948">
            <w:pPr>
              <w:tabs>
                <w:tab w:val="left" w:pos="288"/>
                <w:tab w:val="left" w:pos="4752"/>
              </w:tabs>
              <w:spacing w:line="240" w:lineRule="exact"/>
              <w:jc w:val="center"/>
              <w:rPr>
                <w:b/>
                <w:color w:val="auto"/>
              </w:rPr>
            </w:pPr>
            <w:r w:rsidRPr="00AF01B2">
              <w:rPr>
                <w:b/>
                <w:color w:val="auto"/>
              </w:rPr>
              <w:t>RATING</w:t>
            </w:r>
          </w:p>
        </w:tc>
      </w:tr>
      <w:tr w:rsidR="00734CB8" w:rsidRPr="00AF01B2">
        <w:trPr>
          <w:jc w:val="center"/>
        </w:trPr>
        <w:tc>
          <w:tcPr>
            <w:tcW w:w="6480" w:type="dxa"/>
            <w:vAlign w:val="center"/>
          </w:tcPr>
          <w:p w:rsidR="00734CB8" w:rsidRPr="00AF01B2" w:rsidRDefault="00B558CA" w:rsidP="00B558CA">
            <w:pPr>
              <w:tabs>
                <w:tab w:val="left" w:pos="288"/>
                <w:tab w:val="left" w:pos="4752"/>
              </w:tabs>
              <w:spacing w:line="240" w:lineRule="exact"/>
              <w:rPr>
                <w:color w:val="auto"/>
              </w:rPr>
            </w:pPr>
            <w:r>
              <w:rPr>
                <w:color w:val="auto"/>
              </w:rPr>
              <w:t xml:space="preserve">Surgical Residuals and Limitation of Motion, </w:t>
            </w:r>
            <w:r w:rsidRPr="00AF01B2">
              <w:rPr>
                <w:color w:val="auto"/>
              </w:rPr>
              <w:t>Right Wrist</w:t>
            </w:r>
          </w:p>
        </w:tc>
        <w:tc>
          <w:tcPr>
            <w:tcW w:w="1710" w:type="dxa"/>
            <w:vAlign w:val="center"/>
          </w:tcPr>
          <w:p w:rsidR="00734CB8" w:rsidRPr="00AF01B2" w:rsidRDefault="00734CB8" w:rsidP="00A66169">
            <w:pPr>
              <w:tabs>
                <w:tab w:val="left" w:pos="288"/>
                <w:tab w:val="left" w:pos="4752"/>
              </w:tabs>
              <w:spacing w:line="240" w:lineRule="exact"/>
              <w:jc w:val="center"/>
              <w:rPr>
                <w:color w:val="auto"/>
              </w:rPr>
            </w:pPr>
            <w:r>
              <w:rPr>
                <w:color w:val="auto"/>
              </w:rPr>
              <w:t>521</w:t>
            </w:r>
            <w:r w:rsidR="00A66169">
              <w:rPr>
                <w:color w:val="auto"/>
              </w:rPr>
              <w:t>5</w:t>
            </w:r>
          </w:p>
        </w:tc>
        <w:tc>
          <w:tcPr>
            <w:tcW w:w="1170" w:type="dxa"/>
            <w:vAlign w:val="center"/>
          </w:tcPr>
          <w:p w:rsidR="00734CB8" w:rsidRPr="00AF01B2" w:rsidRDefault="00A66169" w:rsidP="00103948">
            <w:pPr>
              <w:tabs>
                <w:tab w:val="left" w:pos="288"/>
                <w:tab w:val="left" w:pos="4752"/>
              </w:tabs>
              <w:spacing w:line="240" w:lineRule="exact"/>
              <w:jc w:val="center"/>
              <w:rPr>
                <w:color w:val="auto"/>
              </w:rPr>
            </w:pPr>
            <w:r>
              <w:rPr>
                <w:color w:val="auto"/>
              </w:rPr>
              <w:t>1</w:t>
            </w:r>
            <w:r w:rsidR="00734CB8">
              <w:rPr>
                <w:color w:val="auto"/>
              </w:rPr>
              <w:t>0%</w:t>
            </w:r>
          </w:p>
        </w:tc>
      </w:tr>
      <w:tr w:rsidR="00734CB8" w:rsidRPr="00AF01B2">
        <w:tblPrEx>
          <w:tblLook w:val="0000"/>
        </w:tblPrEx>
        <w:trPr>
          <w:gridBefore w:val="1"/>
          <w:wBefore w:w="6480" w:type="dxa"/>
          <w:trHeight w:val="152"/>
          <w:jc w:val="center"/>
        </w:trPr>
        <w:tc>
          <w:tcPr>
            <w:tcW w:w="1710" w:type="dxa"/>
            <w:tcBorders>
              <w:left w:val="single" w:sz="4" w:space="0" w:color="auto"/>
            </w:tcBorders>
            <w:shd w:val="clear" w:color="auto" w:fill="D9D9D9"/>
            <w:vAlign w:val="center"/>
          </w:tcPr>
          <w:p w:rsidR="00734CB8" w:rsidRPr="00AF01B2" w:rsidRDefault="00734CB8" w:rsidP="00103948">
            <w:pPr>
              <w:tabs>
                <w:tab w:val="left" w:pos="288"/>
                <w:tab w:val="left" w:pos="4752"/>
              </w:tabs>
              <w:spacing w:line="240" w:lineRule="exact"/>
              <w:jc w:val="center"/>
              <w:rPr>
                <w:b/>
                <w:color w:val="auto"/>
              </w:rPr>
            </w:pPr>
            <w:r w:rsidRPr="00AF01B2">
              <w:rPr>
                <w:b/>
                <w:color w:val="auto"/>
              </w:rPr>
              <w:t>COMBINED</w:t>
            </w:r>
          </w:p>
        </w:tc>
        <w:tc>
          <w:tcPr>
            <w:tcW w:w="1170" w:type="dxa"/>
            <w:shd w:val="clear" w:color="auto" w:fill="D9D9D9"/>
            <w:vAlign w:val="center"/>
          </w:tcPr>
          <w:p w:rsidR="00734CB8" w:rsidRPr="00AF01B2" w:rsidRDefault="00A66169" w:rsidP="00103948">
            <w:pPr>
              <w:tabs>
                <w:tab w:val="left" w:pos="288"/>
                <w:tab w:val="left" w:pos="4752"/>
              </w:tabs>
              <w:spacing w:line="240" w:lineRule="exact"/>
              <w:jc w:val="center"/>
              <w:rPr>
                <w:b/>
                <w:color w:val="auto"/>
              </w:rPr>
            </w:pPr>
            <w:r>
              <w:rPr>
                <w:b/>
                <w:color w:val="auto"/>
              </w:rPr>
              <w:t>1</w:t>
            </w:r>
            <w:r w:rsidR="00734CB8">
              <w:rPr>
                <w:b/>
                <w:color w:val="auto"/>
              </w:rPr>
              <w:t>0</w:t>
            </w:r>
            <w:r w:rsidR="00734CB8" w:rsidRPr="00AF01B2">
              <w:rPr>
                <w:b/>
                <w:color w:val="auto"/>
              </w:rPr>
              <w:t>%</w:t>
            </w:r>
          </w:p>
        </w:tc>
      </w:tr>
    </w:tbl>
    <w:p w:rsidR="00734CB8" w:rsidRPr="00391858" w:rsidRDefault="00734CB8"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734CB8" w:rsidRPr="00391858" w:rsidRDefault="00734CB8" w:rsidP="00510F9C">
      <w:pPr>
        <w:tabs>
          <w:tab w:val="left" w:pos="288"/>
          <w:tab w:val="left" w:pos="4752"/>
        </w:tabs>
        <w:spacing w:line="240" w:lineRule="exact"/>
        <w:rPr>
          <w:b/>
          <w:color w:val="auto"/>
        </w:rPr>
      </w:pPr>
    </w:p>
    <w:p w:rsidR="00734CB8" w:rsidRPr="00006186" w:rsidRDefault="00734CB8" w:rsidP="00510F9C">
      <w:pPr>
        <w:tabs>
          <w:tab w:val="left" w:pos="288"/>
          <w:tab w:val="left" w:pos="4752"/>
        </w:tabs>
        <w:spacing w:line="240" w:lineRule="exact"/>
        <w:jc w:val="both"/>
        <w:rPr>
          <w:color w:val="auto"/>
        </w:rPr>
      </w:pPr>
      <w:r>
        <w:rPr>
          <w:color w:val="auto"/>
        </w:rPr>
        <w:t>The following documentary evidence was considered:</w:t>
      </w:r>
    </w:p>
    <w:p w:rsidR="00734CB8" w:rsidRPr="00006186" w:rsidRDefault="00734CB8" w:rsidP="00510F9C">
      <w:pPr>
        <w:tabs>
          <w:tab w:val="left" w:pos="288"/>
          <w:tab w:val="left" w:pos="4752"/>
        </w:tabs>
        <w:spacing w:line="240" w:lineRule="exact"/>
        <w:jc w:val="both"/>
        <w:rPr>
          <w:color w:val="auto"/>
        </w:rPr>
      </w:pPr>
    </w:p>
    <w:p w:rsidR="00734CB8" w:rsidRPr="00006186" w:rsidRDefault="00734CB8" w:rsidP="00510F9C">
      <w:pPr>
        <w:tabs>
          <w:tab w:val="left" w:pos="288"/>
          <w:tab w:val="left" w:pos="4752"/>
        </w:tabs>
        <w:spacing w:line="240" w:lineRule="exact"/>
        <w:jc w:val="both"/>
        <w:rPr>
          <w:color w:val="auto"/>
        </w:rPr>
      </w:pPr>
      <w:r>
        <w:rPr>
          <w:color w:val="auto"/>
        </w:rPr>
        <w:t>Exhibit A.  DD Form 294, dated 20110422, w/</w:t>
      </w:r>
      <w:proofErr w:type="spellStart"/>
      <w:r w:rsidR="00801988">
        <w:rPr>
          <w:color w:val="auto"/>
        </w:rPr>
        <w:t>atchs</w:t>
      </w:r>
      <w:proofErr w:type="spellEnd"/>
    </w:p>
    <w:p w:rsidR="00734CB8" w:rsidRPr="00006186" w:rsidRDefault="00734CB8" w:rsidP="00510F9C">
      <w:pPr>
        <w:tabs>
          <w:tab w:val="left" w:pos="288"/>
          <w:tab w:val="left" w:pos="4752"/>
        </w:tabs>
        <w:spacing w:line="240" w:lineRule="exact"/>
        <w:jc w:val="both"/>
        <w:rPr>
          <w:color w:val="auto"/>
        </w:rPr>
      </w:pPr>
      <w:r>
        <w:rPr>
          <w:color w:val="auto"/>
        </w:rPr>
        <w:t>Exhib</w:t>
      </w:r>
      <w:r w:rsidR="00801988">
        <w:rPr>
          <w:color w:val="auto"/>
        </w:rPr>
        <w:t>it B.  Service Treatment Record</w:t>
      </w:r>
    </w:p>
    <w:p w:rsidR="00801988" w:rsidRDefault="00734CB8" w:rsidP="00510F9C">
      <w:pPr>
        <w:tabs>
          <w:tab w:val="left" w:pos="288"/>
          <w:tab w:val="left" w:pos="4752"/>
        </w:tabs>
        <w:spacing w:line="240" w:lineRule="exact"/>
        <w:jc w:val="both"/>
        <w:rPr>
          <w:color w:val="auto"/>
        </w:rPr>
      </w:pPr>
      <w:r>
        <w:rPr>
          <w:color w:val="auto"/>
        </w:rPr>
        <w:t>Exhibit C.  Department of Veterans' Affairs Treatment Record</w:t>
      </w:r>
    </w:p>
    <w:p w:rsidR="00734CB8" w:rsidRPr="00006186" w:rsidRDefault="00801988" w:rsidP="00510F9C">
      <w:pPr>
        <w:tabs>
          <w:tab w:val="left" w:pos="288"/>
          <w:tab w:val="left" w:pos="4752"/>
        </w:tabs>
        <w:spacing w:line="240" w:lineRule="exact"/>
        <w:jc w:val="both"/>
        <w:rPr>
          <w:color w:val="auto"/>
        </w:rPr>
      </w:pPr>
      <w:r w:rsidRPr="00006186">
        <w:rPr>
          <w:color w:val="auto"/>
        </w:rPr>
        <w:t xml:space="preserve"> </w:t>
      </w:r>
    </w:p>
    <w:p w:rsidR="00734CB8" w:rsidRPr="00006186" w:rsidRDefault="00734CB8" w:rsidP="00510F9C">
      <w:pPr>
        <w:tabs>
          <w:tab w:val="left" w:pos="288"/>
          <w:tab w:val="left" w:pos="4752"/>
        </w:tabs>
        <w:spacing w:line="240" w:lineRule="exact"/>
        <w:jc w:val="both"/>
        <w:rPr>
          <w:color w:val="auto"/>
        </w:rPr>
      </w:pPr>
    </w:p>
    <w:p w:rsidR="00734CB8" w:rsidRPr="00006186" w:rsidRDefault="00734CB8" w:rsidP="00510F9C">
      <w:pPr>
        <w:tabs>
          <w:tab w:val="left" w:pos="288"/>
          <w:tab w:val="left" w:pos="4752"/>
        </w:tabs>
        <w:spacing w:line="240" w:lineRule="exact"/>
        <w:jc w:val="both"/>
        <w:rPr>
          <w:color w:val="auto"/>
        </w:rPr>
      </w:pPr>
    </w:p>
    <w:p w:rsidR="00734CB8" w:rsidRPr="00006186" w:rsidRDefault="00734CB8" w:rsidP="00510F9C">
      <w:pPr>
        <w:tabs>
          <w:tab w:val="left" w:pos="288"/>
          <w:tab w:val="left" w:pos="4752"/>
        </w:tabs>
        <w:spacing w:line="240" w:lineRule="exact"/>
        <w:jc w:val="both"/>
        <w:rPr>
          <w:color w:val="auto"/>
        </w:rPr>
      </w:pPr>
    </w:p>
    <w:p w:rsidR="00734CB8" w:rsidRPr="00006186" w:rsidRDefault="00734CB8" w:rsidP="00423148">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596A12" w:rsidRDefault="00596A12">
      <w:pPr>
        <w:rPr>
          <w:color w:val="auto"/>
        </w:rPr>
      </w:pPr>
      <w:r>
        <w:rPr>
          <w:color w:val="auto"/>
        </w:rPr>
        <w:br w:type="page"/>
      </w:r>
    </w:p>
    <w:p w:rsidR="00596A12" w:rsidRDefault="00596A12" w:rsidP="00596A12">
      <w:pPr>
        <w:sectPr w:rsidR="00596A12">
          <w:pgSz w:w="12240" w:h="15840"/>
          <w:pgMar w:top="2160" w:right="1440" w:bottom="1440" w:left="1440" w:header="720" w:footer="720" w:gutter="0"/>
          <w:cols w:space="720"/>
        </w:sectPr>
      </w:pPr>
    </w:p>
    <w:p w:rsidR="00596A12" w:rsidRPr="00596A12" w:rsidRDefault="00596A12" w:rsidP="00596A12">
      <w:pPr>
        <w:pStyle w:val="Header"/>
        <w:tabs>
          <w:tab w:val="left" w:pos="720"/>
        </w:tabs>
        <w:rPr>
          <w:color w:val="auto"/>
        </w:rPr>
      </w:pPr>
      <w:r w:rsidRPr="00596A12">
        <w:rPr>
          <w:color w:val="auto"/>
        </w:rPr>
        <w:lastRenderedPageBreak/>
        <w:t>SFMR-RB</w:t>
      </w:r>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r>
    </w:p>
    <w:p w:rsidR="00596A12" w:rsidRPr="00596A12" w:rsidRDefault="00596A12" w:rsidP="00596A12">
      <w:pPr>
        <w:pStyle w:val="Header"/>
        <w:tabs>
          <w:tab w:val="left" w:pos="720"/>
        </w:tabs>
        <w:rPr>
          <w:color w:val="auto"/>
        </w:rPr>
      </w:pPr>
    </w:p>
    <w:p w:rsidR="00596A12" w:rsidRPr="00596A12" w:rsidRDefault="00596A12" w:rsidP="00596A12">
      <w:pPr>
        <w:rPr>
          <w:color w:val="auto"/>
        </w:rPr>
      </w:pPr>
    </w:p>
    <w:p w:rsidR="00596A12" w:rsidRPr="00596A12" w:rsidRDefault="00596A12" w:rsidP="00596A12">
      <w:pPr>
        <w:rPr>
          <w:color w:val="auto"/>
        </w:rPr>
      </w:pPr>
      <w:r w:rsidRPr="00596A12">
        <w:rPr>
          <w:color w:val="auto"/>
        </w:rPr>
        <w:t xml:space="preserve">MEMORANDUM FOR Commander, US Army Physical Disability Agency </w:t>
      </w:r>
    </w:p>
    <w:p w:rsidR="00596A12" w:rsidRPr="00596A12" w:rsidRDefault="00596A12" w:rsidP="00596A12">
      <w:pPr>
        <w:rPr>
          <w:color w:val="auto"/>
        </w:rPr>
      </w:pPr>
      <w:r w:rsidRPr="00596A12">
        <w:rPr>
          <w:color w:val="auto"/>
        </w:rPr>
        <w:t>(TAPD-ZB /), 2900 Crystal Drive, Suite 300, Arlington, VA  22202</w:t>
      </w:r>
    </w:p>
    <w:p w:rsidR="00596A12" w:rsidRPr="00596A12" w:rsidRDefault="00596A12" w:rsidP="00596A12">
      <w:pPr>
        <w:rPr>
          <w:color w:val="auto"/>
        </w:rPr>
      </w:pPr>
    </w:p>
    <w:p w:rsidR="00596A12" w:rsidRPr="00596A12" w:rsidRDefault="00596A12" w:rsidP="00596A12">
      <w:pPr>
        <w:ind w:right="-180"/>
        <w:rPr>
          <w:color w:val="auto"/>
        </w:rPr>
      </w:pPr>
      <w:r w:rsidRPr="00596A12">
        <w:rPr>
          <w:color w:val="auto"/>
        </w:rPr>
        <w:t xml:space="preserve">SUBJECT:  Department of Defense Physical Disability Board of Review Recommendation for </w:t>
      </w:r>
      <w:r>
        <w:rPr>
          <w:color w:val="auto"/>
        </w:rPr>
        <w:t>XXXXXXXXXXXXXXXXXXX</w:t>
      </w:r>
      <w:r w:rsidRPr="00596A12">
        <w:rPr>
          <w:color w:val="auto"/>
        </w:rPr>
        <w:t xml:space="preserve"> (PD201100288)</w:t>
      </w:r>
    </w:p>
    <w:p w:rsidR="00596A12" w:rsidRPr="00596A12" w:rsidRDefault="00596A12" w:rsidP="00596A12">
      <w:pPr>
        <w:pStyle w:val="Header"/>
        <w:tabs>
          <w:tab w:val="left" w:pos="720"/>
        </w:tabs>
        <w:rPr>
          <w:color w:val="auto"/>
        </w:rPr>
      </w:pPr>
    </w:p>
    <w:p w:rsidR="00596A12" w:rsidRPr="00596A12" w:rsidRDefault="00596A12" w:rsidP="00596A12">
      <w:pPr>
        <w:rPr>
          <w:color w:val="auto"/>
        </w:rPr>
      </w:pPr>
    </w:p>
    <w:p w:rsidR="00596A12" w:rsidRPr="00596A12" w:rsidRDefault="00596A12" w:rsidP="00596A12">
      <w:pPr>
        <w:rPr>
          <w:color w:val="auto"/>
        </w:rPr>
      </w:pPr>
      <w:r w:rsidRPr="00596A12">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596A12" w:rsidRPr="00596A12" w:rsidRDefault="00596A12" w:rsidP="00596A12">
      <w:pPr>
        <w:rPr>
          <w:color w:val="auto"/>
        </w:rPr>
      </w:pPr>
      <w:r w:rsidRPr="00596A12">
        <w:rPr>
          <w:color w:val="auto"/>
        </w:rPr>
        <w:t>This decision is final.  The individual concerned, counsel (if any), and any Members of Congress who have shown interest in this application have been notified of this decision by mail.</w:t>
      </w:r>
    </w:p>
    <w:p w:rsidR="00596A12" w:rsidRPr="00596A12" w:rsidRDefault="00596A12" w:rsidP="00596A12">
      <w:pPr>
        <w:rPr>
          <w:color w:val="auto"/>
        </w:rPr>
      </w:pPr>
    </w:p>
    <w:p w:rsidR="00596A12" w:rsidRPr="00596A12" w:rsidRDefault="00596A12" w:rsidP="00596A12">
      <w:pPr>
        <w:rPr>
          <w:color w:val="auto"/>
        </w:rPr>
      </w:pPr>
      <w:r w:rsidRPr="00596A12">
        <w:rPr>
          <w:color w:val="auto"/>
        </w:rPr>
        <w:t xml:space="preserve"> BY ORDER OF THE SECRETARY OF THE ARMY:</w:t>
      </w:r>
    </w:p>
    <w:p w:rsidR="00596A12" w:rsidRPr="00596A12" w:rsidRDefault="00596A12" w:rsidP="00596A12">
      <w:pPr>
        <w:rPr>
          <w:color w:val="auto"/>
        </w:rPr>
      </w:pPr>
    </w:p>
    <w:p w:rsidR="00596A12" w:rsidRPr="00596A12" w:rsidRDefault="00596A12" w:rsidP="00596A12">
      <w:pPr>
        <w:rPr>
          <w:color w:val="auto"/>
        </w:rPr>
      </w:pPr>
    </w:p>
    <w:p w:rsidR="00596A12" w:rsidRPr="00596A12" w:rsidRDefault="00596A12" w:rsidP="00596A12">
      <w:pPr>
        <w:pStyle w:val="Header"/>
        <w:tabs>
          <w:tab w:val="left" w:pos="720"/>
        </w:tabs>
        <w:rPr>
          <w:color w:val="auto"/>
        </w:rPr>
      </w:pPr>
    </w:p>
    <w:p w:rsidR="00596A12" w:rsidRPr="00596A12" w:rsidRDefault="00596A12" w:rsidP="00596A12">
      <w:pPr>
        <w:rPr>
          <w:color w:val="auto"/>
        </w:rPr>
      </w:pPr>
    </w:p>
    <w:p w:rsidR="00596A12" w:rsidRPr="00596A12" w:rsidRDefault="00596A12" w:rsidP="00596A12">
      <w:pPr>
        <w:rPr>
          <w:color w:val="auto"/>
        </w:rPr>
      </w:pPr>
      <w:bookmarkStart w:id="0" w:name="OLE_LINK4"/>
      <w:bookmarkStart w:id="1" w:name="OLE_LINK3"/>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t xml:space="preserve">     Deputy Assistant Secretary</w:t>
      </w:r>
    </w:p>
    <w:p w:rsidR="00596A12" w:rsidRPr="00596A12" w:rsidRDefault="00596A12" w:rsidP="00596A12">
      <w:pPr>
        <w:rPr>
          <w:color w:val="auto"/>
        </w:rPr>
      </w:pPr>
      <w:r w:rsidRPr="00596A12">
        <w:rPr>
          <w:color w:val="auto"/>
        </w:rPr>
        <w:tab/>
      </w:r>
      <w:r w:rsidRPr="00596A12">
        <w:rPr>
          <w:color w:val="auto"/>
        </w:rPr>
        <w:tab/>
      </w:r>
      <w:r w:rsidRPr="00596A12">
        <w:rPr>
          <w:color w:val="auto"/>
        </w:rPr>
        <w:tab/>
      </w:r>
      <w:r w:rsidRPr="00596A12">
        <w:rPr>
          <w:color w:val="auto"/>
        </w:rPr>
        <w:tab/>
      </w:r>
      <w:r w:rsidRPr="00596A12">
        <w:rPr>
          <w:color w:val="auto"/>
        </w:rPr>
        <w:tab/>
      </w:r>
      <w:r w:rsidRPr="00596A12">
        <w:rPr>
          <w:color w:val="auto"/>
        </w:rPr>
        <w:tab/>
        <w:t xml:space="preserve">         (Army Review Boards)</w:t>
      </w:r>
      <w:bookmarkEnd w:id="0"/>
      <w:bookmarkEnd w:id="1"/>
    </w:p>
    <w:p w:rsidR="00596A12" w:rsidRPr="00596A12" w:rsidRDefault="00596A12" w:rsidP="00596A12">
      <w:pPr>
        <w:rPr>
          <w:color w:val="auto"/>
        </w:rPr>
      </w:pPr>
    </w:p>
    <w:p w:rsidR="00596A12" w:rsidRPr="00596A12" w:rsidRDefault="00596A12" w:rsidP="00596A12">
      <w:pPr>
        <w:rPr>
          <w:color w:val="auto"/>
        </w:rPr>
      </w:pPr>
      <w:r w:rsidRPr="00596A12">
        <w:rPr>
          <w:color w:val="auto"/>
        </w:rPr>
        <w:t xml:space="preserve">CF: </w:t>
      </w:r>
    </w:p>
    <w:p w:rsidR="00596A12" w:rsidRPr="00596A12" w:rsidRDefault="00596A12" w:rsidP="00596A12">
      <w:pPr>
        <w:rPr>
          <w:color w:val="auto"/>
        </w:rPr>
      </w:pPr>
      <w:r w:rsidRPr="00596A12">
        <w:rPr>
          <w:color w:val="auto"/>
        </w:rPr>
        <w:t xml:space="preserve">(  ) </w:t>
      </w:r>
      <w:proofErr w:type="gramStart"/>
      <w:r w:rsidRPr="00596A12">
        <w:rPr>
          <w:color w:val="auto"/>
        </w:rPr>
        <w:t>DoD</w:t>
      </w:r>
      <w:proofErr w:type="gramEnd"/>
      <w:r w:rsidRPr="00596A12">
        <w:rPr>
          <w:color w:val="auto"/>
        </w:rPr>
        <w:t xml:space="preserve"> PDBR</w:t>
      </w:r>
    </w:p>
    <w:p w:rsidR="00596A12" w:rsidRPr="00596A12" w:rsidRDefault="00596A12" w:rsidP="00596A12">
      <w:pPr>
        <w:rPr>
          <w:color w:val="auto"/>
        </w:rPr>
      </w:pPr>
      <w:r w:rsidRPr="00596A12">
        <w:rPr>
          <w:color w:val="auto"/>
        </w:rPr>
        <w:t>(  ) DVA</w:t>
      </w:r>
    </w:p>
    <w:p w:rsidR="00A66169" w:rsidRPr="00A66169" w:rsidRDefault="00A66169" w:rsidP="00A66169">
      <w:pPr>
        <w:spacing w:line="240" w:lineRule="exact"/>
        <w:jc w:val="both"/>
        <w:rPr>
          <w:color w:val="auto"/>
        </w:rPr>
      </w:pPr>
    </w:p>
    <w:sectPr w:rsidR="00A66169" w:rsidRPr="00A66169"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A9" w:rsidRDefault="00A87BA9">
      <w:r>
        <w:separator/>
      </w:r>
    </w:p>
  </w:endnote>
  <w:endnote w:type="continuationSeparator" w:id="0">
    <w:p w:rsidR="00A87BA9" w:rsidRDefault="00A87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B8" w:rsidRPr="00684CE6" w:rsidRDefault="009E3842" w:rsidP="00F65ED5">
    <w:pPr>
      <w:pStyle w:val="Footer"/>
      <w:jc w:val="right"/>
      <w:rPr>
        <w:color w:val="auto"/>
      </w:rPr>
    </w:pPr>
    <w:fldSimple w:instr=" PAGE   \* MERGEFORMAT ">
      <w:r w:rsidR="00596A12" w:rsidRPr="00596A12">
        <w:rPr>
          <w:noProof/>
          <w:color w:val="auto"/>
        </w:rPr>
        <w:t>5</w:t>
      </w:r>
    </w:fldSimple>
    <w:r w:rsidR="00734CB8" w:rsidRPr="00684CE6">
      <w:rPr>
        <w:color w:val="auto"/>
      </w:rPr>
      <w:t xml:space="preserve">                                                                   PD</w:t>
    </w:r>
    <w:r w:rsidR="00734CB8" w:rsidRPr="00C51962">
      <w:rPr>
        <w:color w:val="auto"/>
      </w:rPr>
      <w:t>1100288</w:t>
    </w:r>
  </w:p>
  <w:p w:rsidR="00734CB8" w:rsidRPr="00684CE6" w:rsidRDefault="00734CB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A9" w:rsidRDefault="00A87BA9">
      <w:r>
        <w:separator/>
      </w:r>
    </w:p>
  </w:footnote>
  <w:footnote w:type="continuationSeparator" w:id="0">
    <w:p w:rsidR="00A87BA9" w:rsidRDefault="00A87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6CA"/>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3F4"/>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1EE0"/>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865"/>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1AA"/>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77BA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5CA5"/>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D7B73"/>
    <w:rsid w:val="001E15C0"/>
    <w:rsid w:val="001E18E0"/>
    <w:rsid w:val="001E18E2"/>
    <w:rsid w:val="001E19D0"/>
    <w:rsid w:val="001E2A30"/>
    <w:rsid w:val="001E2FF1"/>
    <w:rsid w:val="001E41FE"/>
    <w:rsid w:val="001E635C"/>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23D"/>
    <w:rsid w:val="00337351"/>
    <w:rsid w:val="00341A54"/>
    <w:rsid w:val="00344A4F"/>
    <w:rsid w:val="00344D17"/>
    <w:rsid w:val="0034669F"/>
    <w:rsid w:val="00350428"/>
    <w:rsid w:val="00351498"/>
    <w:rsid w:val="00352B22"/>
    <w:rsid w:val="00352CBF"/>
    <w:rsid w:val="00354252"/>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57B"/>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B31"/>
    <w:rsid w:val="003A7FF8"/>
    <w:rsid w:val="003B17AC"/>
    <w:rsid w:val="003B227A"/>
    <w:rsid w:val="003B2947"/>
    <w:rsid w:val="003B3A77"/>
    <w:rsid w:val="003B4319"/>
    <w:rsid w:val="003B4831"/>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3148"/>
    <w:rsid w:val="00424612"/>
    <w:rsid w:val="0042528C"/>
    <w:rsid w:val="00425672"/>
    <w:rsid w:val="00425A6A"/>
    <w:rsid w:val="00427F54"/>
    <w:rsid w:val="004316FD"/>
    <w:rsid w:val="00431BB7"/>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3EE"/>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1784"/>
    <w:rsid w:val="0049255F"/>
    <w:rsid w:val="0049445D"/>
    <w:rsid w:val="00495350"/>
    <w:rsid w:val="00495E3C"/>
    <w:rsid w:val="00497156"/>
    <w:rsid w:val="004A0C79"/>
    <w:rsid w:val="004A24D2"/>
    <w:rsid w:val="004A3214"/>
    <w:rsid w:val="004A4136"/>
    <w:rsid w:val="004A417B"/>
    <w:rsid w:val="004A4378"/>
    <w:rsid w:val="004A5F36"/>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276"/>
    <w:rsid w:val="004D2AAB"/>
    <w:rsid w:val="004D6E90"/>
    <w:rsid w:val="004D6F2B"/>
    <w:rsid w:val="004E0248"/>
    <w:rsid w:val="004E21A3"/>
    <w:rsid w:val="004E32EA"/>
    <w:rsid w:val="004E6866"/>
    <w:rsid w:val="004F0C58"/>
    <w:rsid w:val="004F150B"/>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2B65"/>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0CA5"/>
    <w:rsid w:val="00542C9A"/>
    <w:rsid w:val="005436C2"/>
    <w:rsid w:val="005442D4"/>
    <w:rsid w:val="0054586A"/>
    <w:rsid w:val="0054631F"/>
    <w:rsid w:val="0054659F"/>
    <w:rsid w:val="00546C24"/>
    <w:rsid w:val="005471BA"/>
    <w:rsid w:val="00547BE6"/>
    <w:rsid w:val="0055034F"/>
    <w:rsid w:val="0055288D"/>
    <w:rsid w:val="00553D16"/>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8C9"/>
    <w:rsid w:val="0058417C"/>
    <w:rsid w:val="00586EC6"/>
    <w:rsid w:val="00587DDE"/>
    <w:rsid w:val="00591815"/>
    <w:rsid w:val="00593043"/>
    <w:rsid w:val="00595B60"/>
    <w:rsid w:val="00595BF0"/>
    <w:rsid w:val="00596A12"/>
    <w:rsid w:val="00596B90"/>
    <w:rsid w:val="00597E16"/>
    <w:rsid w:val="005A0B1D"/>
    <w:rsid w:val="005A1846"/>
    <w:rsid w:val="005A258C"/>
    <w:rsid w:val="005A3560"/>
    <w:rsid w:val="005A464E"/>
    <w:rsid w:val="005A62FC"/>
    <w:rsid w:val="005A666B"/>
    <w:rsid w:val="005A6C99"/>
    <w:rsid w:val="005A7D5D"/>
    <w:rsid w:val="005B0040"/>
    <w:rsid w:val="005B00DE"/>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3A6"/>
    <w:rsid w:val="005D4A74"/>
    <w:rsid w:val="005D5E91"/>
    <w:rsid w:val="005D67EF"/>
    <w:rsid w:val="005E3064"/>
    <w:rsid w:val="005E6AEE"/>
    <w:rsid w:val="005E72B2"/>
    <w:rsid w:val="005F1115"/>
    <w:rsid w:val="005F1AB6"/>
    <w:rsid w:val="005F27F2"/>
    <w:rsid w:val="005F2B27"/>
    <w:rsid w:val="005F3449"/>
    <w:rsid w:val="005F3567"/>
    <w:rsid w:val="005F3AFE"/>
    <w:rsid w:val="005F424D"/>
    <w:rsid w:val="005F55F5"/>
    <w:rsid w:val="005F5EC1"/>
    <w:rsid w:val="005F67A9"/>
    <w:rsid w:val="005F6B6D"/>
    <w:rsid w:val="006008F8"/>
    <w:rsid w:val="00605AAB"/>
    <w:rsid w:val="00606478"/>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5DC0"/>
    <w:rsid w:val="006770AA"/>
    <w:rsid w:val="00680AB8"/>
    <w:rsid w:val="00680B3C"/>
    <w:rsid w:val="00682486"/>
    <w:rsid w:val="00684CE6"/>
    <w:rsid w:val="00684E2B"/>
    <w:rsid w:val="00687C7E"/>
    <w:rsid w:val="00690569"/>
    <w:rsid w:val="00690FDA"/>
    <w:rsid w:val="00691083"/>
    <w:rsid w:val="00691E61"/>
    <w:rsid w:val="00691F04"/>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5968"/>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28DB"/>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256"/>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4CB8"/>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71043"/>
    <w:rsid w:val="00773AF7"/>
    <w:rsid w:val="00774FFD"/>
    <w:rsid w:val="0077675B"/>
    <w:rsid w:val="00780378"/>
    <w:rsid w:val="0078085E"/>
    <w:rsid w:val="00781BD4"/>
    <w:rsid w:val="00782562"/>
    <w:rsid w:val="007828B4"/>
    <w:rsid w:val="00784832"/>
    <w:rsid w:val="00784EA0"/>
    <w:rsid w:val="00785D77"/>
    <w:rsid w:val="00786111"/>
    <w:rsid w:val="00786725"/>
    <w:rsid w:val="00790963"/>
    <w:rsid w:val="0079154B"/>
    <w:rsid w:val="00791B62"/>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1FFA"/>
    <w:rsid w:val="007A2346"/>
    <w:rsid w:val="007A28E4"/>
    <w:rsid w:val="007A3BB3"/>
    <w:rsid w:val="007A3F91"/>
    <w:rsid w:val="007A512E"/>
    <w:rsid w:val="007A5AD1"/>
    <w:rsid w:val="007A5B7B"/>
    <w:rsid w:val="007A65A9"/>
    <w:rsid w:val="007A685F"/>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988"/>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29"/>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93C"/>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B1E"/>
    <w:rsid w:val="00890CDA"/>
    <w:rsid w:val="00891BBA"/>
    <w:rsid w:val="00892079"/>
    <w:rsid w:val="00892B90"/>
    <w:rsid w:val="00896535"/>
    <w:rsid w:val="00896683"/>
    <w:rsid w:val="00896E71"/>
    <w:rsid w:val="0089750B"/>
    <w:rsid w:val="00897589"/>
    <w:rsid w:val="008A037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673C"/>
    <w:rsid w:val="008C22F3"/>
    <w:rsid w:val="008C3FD0"/>
    <w:rsid w:val="008C4F01"/>
    <w:rsid w:val="008D1484"/>
    <w:rsid w:val="008D29E7"/>
    <w:rsid w:val="008D3C07"/>
    <w:rsid w:val="008D5104"/>
    <w:rsid w:val="008D75F4"/>
    <w:rsid w:val="008D795D"/>
    <w:rsid w:val="008D7B07"/>
    <w:rsid w:val="008E0D8F"/>
    <w:rsid w:val="008E0F4E"/>
    <w:rsid w:val="008E1E94"/>
    <w:rsid w:val="008E2D99"/>
    <w:rsid w:val="008E30D4"/>
    <w:rsid w:val="008E38B0"/>
    <w:rsid w:val="008E3B00"/>
    <w:rsid w:val="008E4A60"/>
    <w:rsid w:val="008E744D"/>
    <w:rsid w:val="008F1E08"/>
    <w:rsid w:val="008F49DC"/>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2C0C"/>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086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3E8A"/>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5E8"/>
    <w:rsid w:val="009E09D0"/>
    <w:rsid w:val="009E1283"/>
    <w:rsid w:val="009E3842"/>
    <w:rsid w:val="009E3A7F"/>
    <w:rsid w:val="009E4C9B"/>
    <w:rsid w:val="009E4DFC"/>
    <w:rsid w:val="009E5789"/>
    <w:rsid w:val="009E57B1"/>
    <w:rsid w:val="009E5F60"/>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977"/>
    <w:rsid w:val="00A377A6"/>
    <w:rsid w:val="00A40FFB"/>
    <w:rsid w:val="00A41468"/>
    <w:rsid w:val="00A414A9"/>
    <w:rsid w:val="00A44141"/>
    <w:rsid w:val="00A44CCA"/>
    <w:rsid w:val="00A44D75"/>
    <w:rsid w:val="00A458DF"/>
    <w:rsid w:val="00A47CF1"/>
    <w:rsid w:val="00A50418"/>
    <w:rsid w:val="00A54A47"/>
    <w:rsid w:val="00A56D26"/>
    <w:rsid w:val="00A571A7"/>
    <w:rsid w:val="00A5749A"/>
    <w:rsid w:val="00A57BA8"/>
    <w:rsid w:val="00A602A0"/>
    <w:rsid w:val="00A608FB"/>
    <w:rsid w:val="00A60D83"/>
    <w:rsid w:val="00A60F68"/>
    <w:rsid w:val="00A63DF3"/>
    <w:rsid w:val="00A65C78"/>
    <w:rsid w:val="00A660A8"/>
    <w:rsid w:val="00A66169"/>
    <w:rsid w:val="00A66A45"/>
    <w:rsid w:val="00A67591"/>
    <w:rsid w:val="00A67CA6"/>
    <w:rsid w:val="00A70AF5"/>
    <w:rsid w:val="00A70E7B"/>
    <w:rsid w:val="00A717EA"/>
    <w:rsid w:val="00A73B84"/>
    <w:rsid w:val="00A7411D"/>
    <w:rsid w:val="00A756C4"/>
    <w:rsid w:val="00A7592B"/>
    <w:rsid w:val="00A76094"/>
    <w:rsid w:val="00A768E2"/>
    <w:rsid w:val="00A82C52"/>
    <w:rsid w:val="00A838E8"/>
    <w:rsid w:val="00A83C15"/>
    <w:rsid w:val="00A84EC4"/>
    <w:rsid w:val="00A851A2"/>
    <w:rsid w:val="00A86CB6"/>
    <w:rsid w:val="00A87BA9"/>
    <w:rsid w:val="00A90D55"/>
    <w:rsid w:val="00A944D8"/>
    <w:rsid w:val="00A959E7"/>
    <w:rsid w:val="00A95BBA"/>
    <w:rsid w:val="00A961EE"/>
    <w:rsid w:val="00AA04B3"/>
    <w:rsid w:val="00AA1253"/>
    <w:rsid w:val="00AA1ED0"/>
    <w:rsid w:val="00AA1F5B"/>
    <w:rsid w:val="00AA28EF"/>
    <w:rsid w:val="00AA3593"/>
    <w:rsid w:val="00AA38CA"/>
    <w:rsid w:val="00AA3BAD"/>
    <w:rsid w:val="00AA493E"/>
    <w:rsid w:val="00AA73AF"/>
    <w:rsid w:val="00AB0A8A"/>
    <w:rsid w:val="00AB1073"/>
    <w:rsid w:val="00AB1754"/>
    <w:rsid w:val="00AB1F8D"/>
    <w:rsid w:val="00AB27DD"/>
    <w:rsid w:val="00AB592E"/>
    <w:rsid w:val="00AB7205"/>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26C3"/>
    <w:rsid w:val="00B140B8"/>
    <w:rsid w:val="00B14FAA"/>
    <w:rsid w:val="00B15BED"/>
    <w:rsid w:val="00B15D30"/>
    <w:rsid w:val="00B16D18"/>
    <w:rsid w:val="00B175DD"/>
    <w:rsid w:val="00B177DE"/>
    <w:rsid w:val="00B20624"/>
    <w:rsid w:val="00B23436"/>
    <w:rsid w:val="00B237F1"/>
    <w:rsid w:val="00B23F10"/>
    <w:rsid w:val="00B24328"/>
    <w:rsid w:val="00B24ED4"/>
    <w:rsid w:val="00B24F33"/>
    <w:rsid w:val="00B26354"/>
    <w:rsid w:val="00B26CA0"/>
    <w:rsid w:val="00B31965"/>
    <w:rsid w:val="00B31E57"/>
    <w:rsid w:val="00B32179"/>
    <w:rsid w:val="00B32341"/>
    <w:rsid w:val="00B32C2B"/>
    <w:rsid w:val="00B33007"/>
    <w:rsid w:val="00B331A9"/>
    <w:rsid w:val="00B33498"/>
    <w:rsid w:val="00B33598"/>
    <w:rsid w:val="00B36569"/>
    <w:rsid w:val="00B37345"/>
    <w:rsid w:val="00B37E94"/>
    <w:rsid w:val="00B37F53"/>
    <w:rsid w:val="00B40A05"/>
    <w:rsid w:val="00B40A3E"/>
    <w:rsid w:val="00B427BB"/>
    <w:rsid w:val="00B43BA2"/>
    <w:rsid w:val="00B449EE"/>
    <w:rsid w:val="00B454AE"/>
    <w:rsid w:val="00B46C36"/>
    <w:rsid w:val="00B50227"/>
    <w:rsid w:val="00B50510"/>
    <w:rsid w:val="00B51AB2"/>
    <w:rsid w:val="00B522CD"/>
    <w:rsid w:val="00B547DF"/>
    <w:rsid w:val="00B55143"/>
    <w:rsid w:val="00B555C8"/>
    <w:rsid w:val="00B558CA"/>
    <w:rsid w:val="00B55917"/>
    <w:rsid w:val="00B5646A"/>
    <w:rsid w:val="00B56F3D"/>
    <w:rsid w:val="00B57921"/>
    <w:rsid w:val="00B57E78"/>
    <w:rsid w:val="00B57EB8"/>
    <w:rsid w:val="00B609F6"/>
    <w:rsid w:val="00B60E75"/>
    <w:rsid w:val="00B643A6"/>
    <w:rsid w:val="00B64DD6"/>
    <w:rsid w:val="00B66505"/>
    <w:rsid w:val="00B6710C"/>
    <w:rsid w:val="00B67E84"/>
    <w:rsid w:val="00B7122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A13"/>
    <w:rsid w:val="00BB1F04"/>
    <w:rsid w:val="00BB32E9"/>
    <w:rsid w:val="00BB45B5"/>
    <w:rsid w:val="00BB4DDE"/>
    <w:rsid w:val="00BB4F62"/>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BD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3C5B"/>
    <w:rsid w:val="00CC5A66"/>
    <w:rsid w:val="00CC69EC"/>
    <w:rsid w:val="00CC78A2"/>
    <w:rsid w:val="00CC7DF8"/>
    <w:rsid w:val="00CD15BE"/>
    <w:rsid w:val="00CD1EF2"/>
    <w:rsid w:val="00CD32BD"/>
    <w:rsid w:val="00CD34C7"/>
    <w:rsid w:val="00CD5653"/>
    <w:rsid w:val="00CD5E6D"/>
    <w:rsid w:val="00CD63C8"/>
    <w:rsid w:val="00CD76F8"/>
    <w:rsid w:val="00CE02E8"/>
    <w:rsid w:val="00CE069E"/>
    <w:rsid w:val="00CE0D43"/>
    <w:rsid w:val="00CE0DE0"/>
    <w:rsid w:val="00CE1D4C"/>
    <w:rsid w:val="00CE3722"/>
    <w:rsid w:val="00CF158D"/>
    <w:rsid w:val="00CF2166"/>
    <w:rsid w:val="00CF4340"/>
    <w:rsid w:val="00CF4394"/>
    <w:rsid w:val="00CF48B4"/>
    <w:rsid w:val="00CF4C8C"/>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4A8"/>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4724B"/>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1E7"/>
    <w:rsid w:val="00D67FD7"/>
    <w:rsid w:val="00D706CB"/>
    <w:rsid w:val="00D72410"/>
    <w:rsid w:val="00D7306E"/>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121"/>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8CE"/>
    <w:rsid w:val="00DC4A3C"/>
    <w:rsid w:val="00DC4FA4"/>
    <w:rsid w:val="00DC5028"/>
    <w:rsid w:val="00DC5B37"/>
    <w:rsid w:val="00DD286D"/>
    <w:rsid w:val="00DD2CAF"/>
    <w:rsid w:val="00DD3593"/>
    <w:rsid w:val="00DD64E0"/>
    <w:rsid w:val="00DD7BE0"/>
    <w:rsid w:val="00DE0C67"/>
    <w:rsid w:val="00DE3AAD"/>
    <w:rsid w:val="00DE494B"/>
    <w:rsid w:val="00DE598A"/>
    <w:rsid w:val="00DE6952"/>
    <w:rsid w:val="00DE7E74"/>
    <w:rsid w:val="00DF071B"/>
    <w:rsid w:val="00DF5C84"/>
    <w:rsid w:val="00DF67BB"/>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19D4"/>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FFE"/>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6EAB"/>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BCA"/>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6C"/>
    <w:rsid w:val="00F171F9"/>
    <w:rsid w:val="00F1737C"/>
    <w:rsid w:val="00F22A26"/>
    <w:rsid w:val="00F24072"/>
    <w:rsid w:val="00F26432"/>
    <w:rsid w:val="00F3197A"/>
    <w:rsid w:val="00F31FF1"/>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703"/>
    <w:rsid w:val="00F629C0"/>
    <w:rsid w:val="00F63FC7"/>
    <w:rsid w:val="00F65E1F"/>
    <w:rsid w:val="00F65ED5"/>
    <w:rsid w:val="00F6608B"/>
    <w:rsid w:val="00F6636A"/>
    <w:rsid w:val="00F667C5"/>
    <w:rsid w:val="00F67E31"/>
    <w:rsid w:val="00F718A8"/>
    <w:rsid w:val="00F72183"/>
    <w:rsid w:val="00F76D01"/>
    <w:rsid w:val="00F77168"/>
    <w:rsid w:val="00F80B43"/>
    <w:rsid w:val="00F81C35"/>
    <w:rsid w:val="00F82981"/>
    <w:rsid w:val="00F8311F"/>
    <w:rsid w:val="00F83248"/>
    <w:rsid w:val="00F83376"/>
    <w:rsid w:val="00F853AE"/>
    <w:rsid w:val="00F908D5"/>
    <w:rsid w:val="00F913B9"/>
    <w:rsid w:val="00F92343"/>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8B2"/>
    <w:rsid w:val="00FC5FF5"/>
    <w:rsid w:val="00FC6285"/>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styleId="Revision">
    <w:name w:val="Revision"/>
    <w:hidden/>
    <w:uiPriority w:val="99"/>
    <w:semiHidden/>
    <w:rsid w:val="005F3449"/>
    <w:rPr>
      <w:color w:val="008080"/>
      <w:sz w:val="24"/>
    </w:rPr>
  </w:style>
</w:styles>
</file>

<file path=word/webSettings.xml><?xml version="1.0" encoding="utf-8"?>
<w:webSettings xmlns:r="http://schemas.openxmlformats.org/officeDocument/2006/relationships" xmlns:w="http://schemas.openxmlformats.org/wordprocessingml/2006/main">
  <w:divs>
    <w:div w:id="49160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2012-02-06T17:55:00Z</cp:lastPrinted>
  <dcterms:created xsi:type="dcterms:W3CDTF">2012-02-27T13:52:00Z</dcterms:created>
  <dcterms:modified xsi:type="dcterms:W3CDTF">2012-02-27T13:52:00Z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