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9876ED" w:rsidRPr="00ED763A" w:rsidRDefault="009876ED" w:rsidP="00A35700">
      <w:pPr>
        <w:tabs>
          <w:tab w:val="left" w:pos="288"/>
          <w:tab w:val="left" w:pos="4752"/>
          <w:tab w:val="left" w:pos="5130"/>
          <w:tab w:val="left" w:pos="6300"/>
          <w:tab w:val="left" w:pos="9270"/>
        </w:tabs>
        <w:jc w:val="both"/>
        <w:rPr>
          <w:caps/>
          <w:color w:val="auto"/>
        </w:rPr>
      </w:pPr>
      <w:r w:rsidRPr="001F29F9">
        <w:rPr>
          <w:caps/>
          <w:color w:val="000000" w:themeColor="text1"/>
        </w:rPr>
        <w:t xml:space="preserve">NAME:  </w:t>
      </w:r>
      <w:r w:rsidR="00B958D8">
        <w:rPr>
          <w:caps/>
          <w:color w:val="000000" w:themeColor="text1"/>
        </w:rPr>
        <w:t xml:space="preserve">XXXXXXXXXXXXXXXX </w:t>
      </w:r>
      <w:r w:rsidRPr="001F29F9">
        <w:rPr>
          <w:caps/>
          <w:color w:val="000000" w:themeColor="text1"/>
        </w:rPr>
        <w:t xml:space="preserve">                </w:t>
      </w:r>
      <w:r>
        <w:rPr>
          <w:caps/>
          <w:color w:val="000000" w:themeColor="text1"/>
        </w:rPr>
        <w:t xml:space="preserve">            </w:t>
      </w:r>
      <w:r w:rsidR="00A35700">
        <w:rPr>
          <w:caps/>
          <w:color w:val="000000" w:themeColor="text1"/>
        </w:rPr>
        <w:t xml:space="preserve">                           </w:t>
      </w:r>
      <w:r w:rsidR="0051272F">
        <w:rPr>
          <w:caps/>
          <w:color w:val="000000" w:themeColor="text1"/>
        </w:rPr>
        <w:t xml:space="preserve">  </w:t>
      </w:r>
      <w:r w:rsidRPr="001F29F9">
        <w:rPr>
          <w:caps/>
          <w:color w:val="000000" w:themeColor="text1"/>
        </w:rPr>
        <w:t>BRANCH OF SERVICE</w:t>
      </w:r>
      <w:r w:rsidRPr="00ED763A">
        <w:rPr>
          <w:caps/>
          <w:color w:val="000000" w:themeColor="text1"/>
        </w:rPr>
        <w:t xml:space="preserve">:  Army </w:t>
      </w:r>
    </w:p>
    <w:p w:rsidR="009876ED" w:rsidRPr="001F29F9" w:rsidRDefault="009876ED" w:rsidP="009876ED">
      <w:pPr>
        <w:tabs>
          <w:tab w:val="left" w:pos="288"/>
          <w:tab w:val="left" w:pos="4166"/>
          <w:tab w:val="left" w:pos="4752"/>
          <w:tab w:val="left" w:pos="5130"/>
          <w:tab w:val="left" w:pos="9270"/>
        </w:tabs>
        <w:jc w:val="both"/>
        <w:rPr>
          <w:caps/>
          <w:color w:val="000000" w:themeColor="text1"/>
        </w:rPr>
      </w:pPr>
      <w:r w:rsidRPr="001F29F9">
        <w:rPr>
          <w:caps/>
          <w:color w:val="000000" w:themeColor="text1"/>
        </w:rPr>
        <w:t>CASE NUMBER:  PD11</w:t>
      </w:r>
      <w:r w:rsidRPr="00ED763A">
        <w:rPr>
          <w:caps/>
          <w:color w:val="000000" w:themeColor="text1"/>
        </w:rPr>
        <w:t>00</w:t>
      </w:r>
      <w:r>
        <w:rPr>
          <w:caps/>
          <w:color w:val="000000" w:themeColor="text1"/>
        </w:rPr>
        <w:t>268</w:t>
      </w:r>
      <w:r w:rsidR="0051272F">
        <w:rPr>
          <w:color w:val="000000" w:themeColor="text1"/>
        </w:rPr>
        <w:t xml:space="preserve"> </w:t>
      </w:r>
      <w:r w:rsidR="0051272F">
        <w:rPr>
          <w:color w:val="000000" w:themeColor="text1"/>
        </w:rPr>
        <w:tab/>
      </w:r>
      <w:r w:rsidR="0051272F">
        <w:rPr>
          <w:color w:val="000000" w:themeColor="text1"/>
        </w:rPr>
        <w:tab/>
        <w:t xml:space="preserve">                      </w:t>
      </w:r>
      <w:r w:rsidRPr="001F29F9">
        <w:rPr>
          <w:color w:val="000000" w:themeColor="text1"/>
        </w:rPr>
        <w:t>SEPARATION DATE:  200</w:t>
      </w:r>
      <w:r>
        <w:rPr>
          <w:color w:val="000000" w:themeColor="text1"/>
        </w:rPr>
        <w:t>40918</w:t>
      </w:r>
    </w:p>
    <w:p w:rsidR="009876ED" w:rsidRPr="001F29F9" w:rsidRDefault="009876ED" w:rsidP="009876ED">
      <w:pPr>
        <w:tabs>
          <w:tab w:val="left" w:pos="288"/>
          <w:tab w:val="left" w:pos="5130"/>
        </w:tabs>
        <w:jc w:val="both"/>
        <w:rPr>
          <w:color w:val="000000" w:themeColor="text1"/>
        </w:rPr>
      </w:pPr>
      <w:r w:rsidRPr="001F29F9">
        <w:rPr>
          <w:caps/>
          <w:color w:val="000000" w:themeColor="text1"/>
        </w:rPr>
        <w:t>BOARD DATE:  201</w:t>
      </w:r>
      <w:r w:rsidR="004F41F9" w:rsidRPr="009076CC">
        <w:rPr>
          <w:caps/>
          <w:color w:val="000000" w:themeColor="text1"/>
        </w:rPr>
        <w:t>2</w:t>
      </w:r>
      <w:r w:rsidR="009076CC" w:rsidRPr="009076CC">
        <w:rPr>
          <w:caps/>
          <w:color w:val="000000" w:themeColor="text1"/>
        </w:rPr>
        <w:t>0409</w:t>
      </w:r>
      <w:r w:rsidRPr="001F29F9">
        <w:rPr>
          <w:caps/>
          <w:color w:val="000000" w:themeColor="text1"/>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9876ED" w:rsidRPr="001F29F9" w:rsidRDefault="00FB0E80" w:rsidP="009876ED">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876ED" w:rsidRPr="001F29F9">
        <w:rPr>
          <w:color w:val="000000" w:themeColor="text1"/>
        </w:rPr>
        <w:t xml:space="preserve">Data extracted from the available evidence of record reflects that this covered individual (CI) </w:t>
      </w:r>
      <w:r w:rsidR="009876ED" w:rsidRPr="001F29F9">
        <w:rPr>
          <w:color w:val="000000" w:themeColor="text1"/>
          <w:szCs w:val="24"/>
        </w:rPr>
        <w:t>was a Reserve SGT/E-5 (</w:t>
      </w:r>
      <w:r w:rsidR="009876ED">
        <w:rPr>
          <w:color w:val="000000" w:themeColor="text1"/>
          <w:szCs w:val="24"/>
        </w:rPr>
        <w:t>92A</w:t>
      </w:r>
      <w:r w:rsidR="009876ED" w:rsidRPr="001F29F9">
        <w:rPr>
          <w:color w:val="000000" w:themeColor="text1"/>
          <w:szCs w:val="24"/>
        </w:rPr>
        <w:t xml:space="preserve">, </w:t>
      </w:r>
      <w:r w:rsidR="009876ED">
        <w:rPr>
          <w:color w:val="000000" w:themeColor="text1"/>
          <w:szCs w:val="24"/>
        </w:rPr>
        <w:t>Unit Supply Specialist</w:t>
      </w:r>
      <w:r w:rsidR="009876ED" w:rsidRPr="001F29F9">
        <w:rPr>
          <w:color w:val="000000" w:themeColor="text1"/>
          <w:szCs w:val="24"/>
        </w:rPr>
        <w:t xml:space="preserve">), medically separated for </w:t>
      </w:r>
      <w:r w:rsidR="00AF61A3">
        <w:rPr>
          <w:color w:val="000000" w:themeColor="text1"/>
          <w:szCs w:val="24"/>
        </w:rPr>
        <w:t>chronic low back p</w:t>
      </w:r>
      <w:r w:rsidR="009876ED">
        <w:rPr>
          <w:color w:val="000000" w:themeColor="text1"/>
          <w:szCs w:val="24"/>
        </w:rPr>
        <w:t>ain</w:t>
      </w:r>
      <w:r w:rsidR="00CD1788">
        <w:rPr>
          <w:color w:val="000000" w:themeColor="text1"/>
          <w:szCs w:val="24"/>
        </w:rPr>
        <w:t xml:space="preserve"> (LBP)</w:t>
      </w:r>
      <w:r w:rsidR="009876ED" w:rsidRPr="001F29F9">
        <w:rPr>
          <w:i/>
          <w:color w:val="000000" w:themeColor="text1"/>
          <w:szCs w:val="24"/>
        </w:rPr>
        <w:t>.</w:t>
      </w:r>
      <w:r w:rsidR="009C0C9C">
        <w:rPr>
          <w:i/>
          <w:color w:val="000000" w:themeColor="text1"/>
          <w:szCs w:val="24"/>
        </w:rPr>
        <w:t xml:space="preserve"> </w:t>
      </w:r>
      <w:r w:rsidR="00FC412A">
        <w:rPr>
          <w:i/>
          <w:color w:val="000000" w:themeColor="text1"/>
          <w:szCs w:val="24"/>
        </w:rPr>
        <w:t xml:space="preserve"> </w:t>
      </w:r>
      <w:r w:rsidR="009C0C9C">
        <w:rPr>
          <w:color w:val="000000" w:themeColor="text1"/>
          <w:szCs w:val="24"/>
        </w:rPr>
        <w:t xml:space="preserve">The CI </w:t>
      </w:r>
      <w:r w:rsidR="0068108B">
        <w:rPr>
          <w:color w:val="000000" w:themeColor="text1"/>
          <w:szCs w:val="24"/>
        </w:rPr>
        <w:t xml:space="preserve">had a long history of </w:t>
      </w:r>
      <w:r w:rsidR="00FC412A">
        <w:rPr>
          <w:color w:val="000000" w:themeColor="text1"/>
          <w:szCs w:val="24"/>
        </w:rPr>
        <w:t>LBP</w:t>
      </w:r>
      <w:r w:rsidR="009C0C9C">
        <w:rPr>
          <w:color w:val="000000" w:themeColor="text1"/>
          <w:szCs w:val="24"/>
        </w:rPr>
        <w:t xml:space="preserve"> </w:t>
      </w:r>
      <w:r w:rsidR="0068108B">
        <w:rPr>
          <w:color w:val="000000" w:themeColor="text1"/>
          <w:szCs w:val="24"/>
        </w:rPr>
        <w:t xml:space="preserve">with a flare </w:t>
      </w:r>
      <w:r w:rsidR="009C0C9C">
        <w:rPr>
          <w:color w:val="000000" w:themeColor="text1"/>
          <w:szCs w:val="24"/>
        </w:rPr>
        <w:t>during his deployment</w:t>
      </w:r>
      <w:r w:rsidR="00A27CD7">
        <w:rPr>
          <w:color w:val="000000" w:themeColor="text1"/>
          <w:szCs w:val="24"/>
        </w:rPr>
        <w:t xml:space="preserve"> </w:t>
      </w:r>
      <w:r w:rsidR="00B6621D">
        <w:rPr>
          <w:color w:val="000000" w:themeColor="text1"/>
          <w:szCs w:val="24"/>
        </w:rPr>
        <w:t xml:space="preserve">that </w:t>
      </w:r>
      <w:r w:rsidR="00A27CD7">
        <w:rPr>
          <w:color w:val="000000" w:themeColor="text1"/>
          <w:szCs w:val="24"/>
        </w:rPr>
        <w:t xml:space="preserve">lead to his </w:t>
      </w:r>
      <w:r w:rsidR="00B6621D">
        <w:rPr>
          <w:color w:val="000000" w:themeColor="text1"/>
          <w:szCs w:val="24"/>
        </w:rPr>
        <w:t xml:space="preserve">early </w:t>
      </w:r>
      <w:r w:rsidR="00A27CD7">
        <w:rPr>
          <w:color w:val="000000" w:themeColor="text1"/>
          <w:szCs w:val="24"/>
        </w:rPr>
        <w:t>redeployment</w:t>
      </w:r>
      <w:r w:rsidR="00851D09">
        <w:rPr>
          <w:color w:val="000000" w:themeColor="text1"/>
          <w:szCs w:val="24"/>
        </w:rPr>
        <w:t xml:space="preserve">. </w:t>
      </w:r>
      <w:r w:rsidR="00AF61A3">
        <w:rPr>
          <w:color w:val="000000" w:themeColor="text1"/>
          <w:szCs w:val="24"/>
        </w:rPr>
        <w:t xml:space="preserve"> </w:t>
      </w:r>
      <w:r w:rsidR="009876ED" w:rsidRPr="001F29F9">
        <w:rPr>
          <w:color w:val="000000" w:themeColor="text1"/>
          <w:szCs w:val="24"/>
        </w:rPr>
        <w:t xml:space="preserve">He did not respond adequately to treatment and was unable to perform within his </w:t>
      </w:r>
      <w:r w:rsidR="009876ED" w:rsidRPr="00A966E5">
        <w:rPr>
          <w:color w:val="000000" w:themeColor="text1"/>
          <w:szCs w:val="24"/>
        </w:rPr>
        <w:t xml:space="preserve">Military Occupational Specialty (MOS) </w:t>
      </w:r>
      <w:r w:rsidR="009876ED" w:rsidRPr="001F29F9">
        <w:rPr>
          <w:color w:val="000000" w:themeColor="text1"/>
          <w:szCs w:val="24"/>
        </w:rPr>
        <w:t>or me</w:t>
      </w:r>
      <w:r w:rsidR="00851D09">
        <w:rPr>
          <w:color w:val="000000" w:themeColor="text1"/>
          <w:szCs w:val="24"/>
        </w:rPr>
        <w:t xml:space="preserve">et physical fitness standards. </w:t>
      </w:r>
      <w:r w:rsidR="00AF61A3">
        <w:rPr>
          <w:color w:val="000000" w:themeColor="text1"/>
          <w:szCs w:val="24"/>
        </w:rPr>
        <w:t xml:space="preserve"> </w:t>
      </w:r>
      <w:r w:rsidR="009876ED" w:rsidRPr="001F29F9">
        <w:rPr>
          <w:color w:val="000000" w:themeColor="text1"/>
          <w:szCs w:val="24"/>
        </w:rPr>
        <w:t xml:space="preserve">He was issued a </w:t>
      </w:r>
      <w:r w:rsidR="009876ED" w:rsidRPr="00A966E5">
        <w:rPr>
          <w:color w:val="000000" w:themeColor="text1"/>
          <w:szCs w:val="24"/>
        </w:rPr>
        <w:t xml:space="preserve">permanent </w:t>
      </w:r>
      <w:r w:rsidR="009876ED">
        <w:rPr>
          <w:color w:val="000000" w:themeColor="text1"/>
          <w:szCs w:val="24"/>
        </w:rPr>
        <w:t>L3</w:t>
      </w:r>
      <w:r w:rsidR="009876ED" w:rsidRPr="00A966E5">
        <w:rPr>
          <w:color w:val="000000" w:themeColor="text1"/>
          <w:szCs w:val="24"/>
        </w:rPr>
        <w:t xml:space="preserve"> profile </w:t>
      </w:r>
      <w:r w:rsidR="009876ED" w:rsidRPr="001F29F9">
        <w:rPr>
          <w:color w:val="000000" w:themeColor="text1"/>
          <w:szCs w:val="24"/>
        </w:rPr>
        <w:t>and underwent a Medical Evaluation Board (MEB).</w:t>
      </w:r>
      <w:r w:rsidR="00AF61A3">
        <w:rPr>
          <w:color w:val="000000" w:themeColor="text1"/>
          <w:szCs w:val="24"/>
        </w:rPr>
        <w:t xml:space="preserve"> </w:t>
      </w:r>
      <w:r w:rsidR="00851D09">
        <w:rPr>
          <w:color w:val="000000" w:themeColor="text1"/>
          <w:szCs w:val="24"/>
        </w:rPr>
        <w:t xml:space="preserve"> </w:t>
      </w:r>
      <w:r w:rsidR="00B6621D" w:rsidRPr="00851D09">
        <w:rPr>
          <w:color w:val="000000" w:themeColor="text1"/>
          <w:szCs w:val="24"/>
        </w:rPr>
        <w:t xml:space="preserve">The MEB forwarded </w:t>
      </w:r>
      <w:r w:rsidR="0068108B" w:rsidRPr="00851D09">
        <w:rPr>
          <w:color w:val="000000" w:themeColor="text1"/>
          <w:szCs w:val="24"/>
        </w:rPr>
        <w:t>LBP</w:t>
      </w:r>
      <w:r w:rsidR="00255FB3" w:rsidRPr="00851D09">
        <w:rPr>
          <w:color w:val="000000" w:themeColor="text1"/>
          <w:szCs w:val="24"/>
        </w:rPr>
        <w:t xml:space="preserve"> </w:t>
      </w:r>
      <w:r w:rsidR="009876ED" w:rsidRPr="00851D09">
        <w:rPr>
          <w:color w:val="000000" w:themeColor="text1"/>
          <w:szCs w:val="24"/>
        </w:rPr>
        <w:t xml:space="preserve">with </w:t>
      </w:r>
      <w:r w:rsidR="00255FB3" w:rsidRPr="00851D09">
        <w:rPr>
          <w:color w:val="000000" w:themeColor="text1"/>
          <w:szCs w:val="24"/>
        </w:rPr>
        <w:t xml:space="preserve">subjective radiculopathy </w:t>
      </w:r>
      <w:r w:rsidR="009876ED" w:rsidRPr="00851D09">
        <w:rPr>
          <w:color w:val="000000" w:themeColor="text1"/>
          <w:szCs w:val="24"/>
        </w:rPr>
        <w:t>to</w:t>
      </w:r>
      <w:r w:rsidR="009876ED" w:rsidRPr="001F29F9">
        <w:rPr>
          <w:color w:val="000000" w:themeColor="text1"/>
          <w:szCs w:val="24"/>
        </w:rPr>
        <w:t xml:space="preserve"> the Physical Evaluation Board (PEB) as medically unacceptable IAW </w:t>
      </w:r>
      <w:r w:rsidR="009876ED" w:rsidRPr="00DE2F4C">
        <w:rPr>
          <w:color w:val="000000" w:themeColor="text1"/>
          <w:szCs w:val="24"/>
        </w:rPr>
        <w:t>AR 40-501</w:t>
      </w:r>
      <w:r w:rsidR="009876ED" w:rsidRPr="001F29F9">
        <w:rPr>
          <w:color w:val="000000" w:themeColor="text1"/>
          <w:szCs w:val="24"/>
        </w:rPr>
        <w:t>.</w:t>
      </w:r>
      <w:r w:rsidR="00851D09">
        <w:rPr>
          <w:color w:val="000000" w:themeColor="text1"/>
          <w:szCs w:val="24"/>
        </w:rPr>
        <w:t xml:space="preserve"> </w:t>
      </w:r>
      <w:r w:rsidR="00AF61A3">
        <w:rPr>
          <w:color w:val="000000" w:themeColor="text1"/>
          <w:szCs w:val="24"/>
        </w:rPr>
        <w:t xml:space="preserve"> </w:t>
      </w:r>
      <w:r w:rsidR="009876ED" w:rsidRPr="001F29F9">
        <w:rPr>
          <w:color w:val="000000" w:themeColor="text1"/>
          <w:szCs w:val="24"/>
        </w:rPr>
        <w:t xml:space="preserve">No other </w:t>
      </w:r>
      <w:r w:rsidR="0068108B">
        <w:rPr>
          <w:color w:val="000000" w:themeColor="text1"/>
          <w:szCs w:val="24"/>
        </w:rPr>
        <w:t>conditions appeared on the MEB</w:t>
      </w:r>
      <w:r w:rsidR="00851D09">
        <w:rPr>
          <w:color w:val="000000" w:themeColor="text1"/>
          <w:szCs w:val="24"/>
        </w:rPr>
        <w:t xml:space="preserve"> submission. </w:t>
      </w:r>
      <w:r w:rsidR="00AF61A3">
        <w:rPr>
          <w:color w:val="000000" w:themeColor="text1"/>
          <w:szCs w:val="24"/>
        </w:rPr>
        <w:t xml:space="preserve"> </w:t>
      </w:r>
      <w:r w:rsidR="009876ED" w:rsidRPr="001F29F9">
        <w:rPr>
          <w:color w:val="000000" w:themeColor="text1"/>
          <w:szCs w:val="24"/>
        </w:rPr>
        <w:t>Other conditions included in the Disability Evaluation System (DES) packet will be discussed below.</w:t>
      </w:r>
      <w:r w:rsidR="009C0C9C">
        <w:rPr>
          <w:color w:val="000000" w:themeColor="text1"/>
          <w:szCs w:val="24"/>
        </w:rPr>
        <w:t xml:space="preserve"> </w:t>
      </w:r>
      <w:r w:rsidR="00AF61A3">
        <w:rPr>
          <w:color w:val="000000" w:themeColor="text1"/>
          <w:szCs w:val="24"/>
        </w:rPr>
        <w:t xml:space="preserve"> </w:t>
      </w:r>
      <w:r w:rsidR="009876ED" w:rsidRPr="001F29F9">
        <w:rPr>
          <w:color w:val="000000" w:themeColor="text1"/>
          <w:szCs w:val="24"/>
        </w:rPr>
        <w:t xml:space="preserve">The </w:t>
      </w:r>
      <w:r w:rsidR="009876ED" w:rsidRPr="00F17527">
        <w:rPr>
          <w:color w:val="000000" w:themeColor="text1"/>
          <w:szCs w:val="24"/>
        </w:rPr>
        <w:t xml:space="preserve">PEB adjudicated the </w:t>
      </w:r>
      <w:r w:rsidR="00255FB3" w:rsidRPr="00F17527">
        <w:rPr>
          <w:color w:val="000000" w:themeColor="text1"/>
          <w:szCs w:val="24"/>
        </w:rPr>
        <w:t xml:space="preserve">chronic </w:t>
      </w:r>
      <w:r w:rsidR="00AF61A3">
        <w:rPr>
          <w:color w:val="000000" w:themeColor="text1"/>
          <w:szCs w:val="24"/>
        </w:rPr>
        <w:t>LBP</w:t>
      </w:r>
      <w:r w:rsidR="009876ED" w:rsidRPr="00F17527">
        <w:rPr>
          <w:color w:val="000000" w:themeColor="text1"/>
          <w:szCs w:val="24"/>
        </w:rPr>
        <w:t xml:space="preserve"> </w:t>
      </w:r>
      <w:r w:rsidR="00255FB3" w:rsidRPr="00F17527">
        <w:rPr>
          <w:color w:val="000000" w:themeColor="text1"/>
          <w:szCs w:val="24"/>
        </w:rPr>
        <w:t>condition as</w:t>
      </w:r>
      <w:r w:rsidR="009876ED" w:rsidRPr="00F17527">
        <w:rPr>
          <w:color w:val="000000" w:themeColor="text1"/>
          <w:szCs w:val="24"/>
        </w:rPr>
        <w:t xml:space="preserve"> unfitting, rated 10</w:t>
      </w:r>
      <w:r w:rsidR="00255FB3" w:rsidRPr="00F17527">
        <w:rPr>
          <w:color w:val="000000" w:themeColor="text1"/>
          <w:szCs w:val="24"/>
        </w:rPr>
        <w:t>% with</w:t>
      </w:r>
      <w:r w:rsidR="009876ED" w:rsidRPr="00F17527">
        <w:rPr>
          <w:color w:val="000000" w:themeColor="text1"/>
          <w:szCs w:val="24"/>
        </w:rPr>
        <w:t xml:space="preserve"> application of the US Army </w:t>
      </w:r>
      <w:r w:rsidR="00ED409E">
        <w:rPr>
          <w:color w:val="000000" w:themeColor="text1"/>
          <w:szCs w:val="24"/>
        </w:rPr>
        <w:t xml:space="preserve">Regulation 635-40 </w:t>
      </w:r>
      <w:r w:rsidR="00B6621D">
        <w:rPr>
          <w:color w:val="000000" w:themeColor="text1"/>
          <w:szCs w:val="24"/>
        </w:rPr>
        <w:t>p</w:t>
      </w:r>
      <w:r w:rsidR="00ED409E">
        <w:rPr>
          <w:color w:val="000000" w:themeColor="text1"/>
          <w:szCs w:val="24"/>
        </w:rPr>
        <w:t>ara</w:t>
      </w:r>
      <w:r w:rsidR="00B6621D">
        <w:rPr>
          <w:color w:val="000000" w:themeColor="text1"/>
          <w:szCs w:val="24"/>
        </w:rPr>
        <w:t>graph</w:t>
      </w:r>
      <w:r w:rsidR="00ED409E">
        <w:rPr>
          <w:color w:val="000000" w:themeColor="text1"/>
          <w:szCs w:val="24"/>
        </w:rPr>
        <w:t xml:space="preserve"> B-29e</w:t>
      </w:r>
      <w:r w:rsidR="009876ED" w:rsidRPr="001F29F9">
        <w:rPr>
          <w:color w:val="000000" w:themeColor="text1"/>
          <w:szCs w:val="24"/>
        </w:rPr>
        <w:t>.</w:t>
      </w:r>
      <w:r w:rsidR="00CD1788">
        <w:rPr>
          <w:color w:val="000000" w:themeColor="text1"/>
          <w:szCs w:val="24"/>
        </w:rPr>
        <w:t xml:space="preserve">  </w:t>
      </w:r>
      <w:r w:rsidR="009876ED" w:rsidRPr="001F29F9">
        <w:rPr>
          <w:color w:val="000000" w:themeColor="text1"/>
        </w:rPr>
        <w:t xml:space="preserve">The CI appealed to </w:t>
      </w:r>
      <w:r w:rsidR="009876ED">
        <w:rPr>
          <w:color w:val="000000" w:themeColor="text1"/>
        </w:rPr>
        <w:t>the Formal PEB (</w:t>
      </w:r>
      <w:r w:rsidR="009876ED" w:rsidRPr="00F17527">
        <w:rPr>
          <w:color w:val="000000" w:themeColor="text1"/>
        </w:rPr>
        <w:t>FPEB)</w:t>
      </w:r>
      <w:r w:rsidR="009876ED" w:rsidRPr="001F29F9">
        <w:rPr>
          <w:color w:val="000000" w:themeColor="text1"/>
        </w:rPr>
        <w:t xml:space="preserve"> </w:t>
      </w:r>
      <w:r w:rsidR="00AF61A3">
        <w:rPr>
          <w:color w:val="000000" w:themeColor="text1"/>
        </w:rPr>
        <w:t xml:space="preserve">which upheld the </w:t>
      </w:r>
      <w:r w:rsidR="00ED409E">
        <w:rPr>
          <w:color w:val="000000" w:themeColor="text1"/>
        </w:rPr>
        <w:t>PEB adjudication</w:t>
      </w:r>
      <w:r w:rsidR="00B6621D">
        <w:rPr>
          <w:color w:val="000000" w:themeColor="text1"/>
        </w:rPr>
        <w:t>.</w:t>
      </w:r>
      <w:r w:rsidR="00ED409E">
        <w:rPr>
          <w:color w:val="000000" w:themeColor="text1"/>
        </w:rPr>
        <w:t xml:space="preserve"> </w:t>
      </w:r>
      <w:r w:rsidR="00AF61A3">
        <w:rPr>
          <w:color w:val="000000" w:themeColor="text1"/>
        </w:rPr>
        <w:t xml:space="preserve"> </w:t>
      </w:r>
      <w:r w:rsidR="00B6621D">
        <w:rPr>
          <w:color w:val="000000" w:themeColor="text1"/>
        </w:rPr>
        <w:t>T</w:t>
      </w:r>
      <w:r w:rsidR="00ED409E">
        <w:rPr>
          <w:color w:val="000000" w:themeColor="text1"/>
        </w:rPr>
        <w:t xml:space="preserve">he case </w:t>
      </w:r>
      <w:r w:rsidR="00B6621D">
        <w:rPr>
          <w:color w:val="000000" w:themeColor="text1"/>
        </w:rPr>
        <w:t xml:space="preserve">was also reviewed by </w:t>
      </w:r>
      <w:r w:rsidR="00ED409E">
        <w:rPr>
          <w:color w:val="000000" w:themeColor="text1"/>
        </w:rPr>
        <w:t xml:space="preserve">the </w:t>
      </w:r>
      <w:r w:rsidR="00ED409E" w:rsidRPr="00F17527">
        <w:rPr>
          <w:color w:val="000000" w:themeColor="text1"/>
          <w:szCs w:val="24"/>
        </w:rPr>
        <w:t>US Army Physical Disability Agency (USAPDA)</w:t>
      </w:r>
      <w:r w:rsidR="00ED409E">
        <w:rPr>
          <w:color w:val="000000" w:themeColor="text1"/>
          <w:szCs w:val="24"/>
        </w:rPr>
        <w:t xml:space="preserve"> </w:t>
      </w:r>
      <w:r w:rsidR="00B6621D">
        <w:rPr>
          <w:color w:val="000000" w:themeColor="text1"/>
          <w:szCs w:val="24"/>
        </w:rPr>
        <w:t>and they administratively changed the disability rating code from 5299-5237 to 5237 without a change in the rating percentage</w:t>
      </w:r>
      <w:r w:rsidR="00851D09">
        <w:rPr>
          <w:color w:val="000000" w:themeColor="text1"/>
          <w:szCs w:val="24"/>
        </w:rPr>
        <w:t xml:space="preserve">. </w:t>
      </w:r>
      <w:r w:rsidR="00AF61A3">
        <w:rPr>
          <w:color w:val="000000" w:themeColor="text1"/>
          <w:szCs w:val="24"/>
        </w:rPr>
        <w:t xml:space="preserve"> </w:t>
      </w:r>
      <w:r w:rsidR="00F144A4">
        <w:rPr>
          <w:color w:val="000000" w:themeColor="text1"/>
          <w:szCs w:val="24"/>
        </w:rPr>
        <w:t xml:space="preserve">The CI </w:t>
      </w:r>
      <w:r w:rsidR="00ED409E">
        <w:rPr>
          <w:color w:val="000000" w:themeColor="text1"/>
          <w:szCs w:val="24"/>
        </w:rPr>
        <w:t xml:space="preserve">made no further appeals </w:t>
      </w:r>
      <w:r w:rsidR="009876ED" w:rsidRPr="001F29F9">
        <w:rPr>
          <w:color w:val="000000" w:themeColor="text1"/>
        </w:rPr>
        <w:t xml:space="preserve">and was then medically separated with a </w:t>
      </w:r>
      <w:r w:rsidR="009876ED">
        <w:rPr>
          <w:color w:val="000000" w:themeColor="text1"/>
        </w:rPr>
        <w:t>10</w:t>
      </w:r>
      <w:r w:rsidR="004F41F9">
        <w:rPr>
          <w:color w:val="000000" w:themeColor="text1"/>
        </w:rPr>
        <w:t xml:space="preserve">% </w:t>
      </w:r>
      <w:r w:rsidR="009876ED" w:rsidRPr="001F29F9">
        <w:rPr>
          <w:color w:val="000000" w:themeColor="text1"/>
        </w:rPr>
        <w:t>disability rating.</w:t>
      </w:r>
    </w:p>
    <w:p w:rsidR="007F49C8" w:rsidRDefault="007F49C8"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3A1186">
        <w:rPr>
          <w:color w:val="000000" w:themeColor="text1"/>
        </w:rPr>
        <w:t xml:space="preserve"> </w:t>
      </w:r>
      <w:r w:rsidR="00255FB3" w:rsidRPr="00255FB3">
        <w:t xml:space="preserve"> </w:t>
      </w:r>
      <w:r w:rsidR="00255FB3" w:rsidRPr="00255FB3">
        <w:rPr>
          <w:color w:val="000000" w:themeColor="text1"/>
        </w:rPr>
        <w:t xml:space="preserve">“Request </w:t>
      </w:r>
      <w:proofErr w:type="gramStart"/>
      <w:r w:rsidR="00255FB3" w:rsidRPr="00255FB3">
        <w:rPr>
          <w:color w:val="000000" w:themeColor="text1"/>
        </w:rPr>
        <w:t>review</w:t>
      </w:r>
      <w:proofErr w:type="gramEnd"/>
      <w:r w:rsidR="00255FB3" w:rsidRPr="00255FB3">
        <w:rPr>
          <w:color w:val="000000" w:themeColor="text1"/>
        </w:rPr>
        <w:t xml:space="preserve"> my records for possible medical retirement</w:t>
      </w:r>
      <w:r w:rsidR="0051272F">
        <w:rPr>
          <w:color w:val="000000" w:themeColor="text1"/>
        </w:rPr>
        <w:t>.</w:t>
      </w:r>
      <w:r w:rsidR="00255FB3" w:rsidRPr="00255FB3">
        <w:rPr>
          <w:color w:val="000000" w:themeColor="text1"/>
        </w:rPr>
        <w:t>”</w:t>
      </w:r>
      <w:r w:rsidR="0051272F">
        <w:rPr>
          <w:color w:val="000000" w:themeColor="text1"/>
        </w:rPr>
        <w:t xml:space="preserve"> </w:t>
      </w:r>
      <w:r w:rsidR="00851D09">
        <w:rPr>
          <w:color w:val="000000" w:themeColor="text1"/>
        </w:rPr>
        <w:t xml:space="preserve"> </w:t>
      </w:r>
      <w:r w:rsidR="00FC412A">
        <w:rPr>
          <w:rFonts w:eastAsiaTheme="minorHAnsi"/>
          <w:color w:val="000000" w:themeColor="text1"/>
          <w:szCs w:val="24"/>
        </w:rPr>
        <w:t xml:space="preserve">Under item 14, he additionally </w:t>
      </w:r>
      <w:r w:rsidR="00ED5284" w:rsidRPr="001F29F9">
        <w:rPr>
          <w:rFonts w:eastAsiaTheme="minorHAnsi"/>
          <w:color w:val="000000" w:themeColor="text1"/>
          <w:szCs w:val="24"/>
        </w:rPr>
        <w:t xml:space="preserve">elaborates </w:t>
      </w:r>
      <w:r w:rsidR="00FC412A">
        <w:rPr>
          <w:rFonts w:eastAsiaTheme="minorHAnsi"/>
          <w:color w:val="000000" w:themeColor="text1"/>
          <w:szCs w:val="24"/>
        </w:rPr>
        <w:t>“I have since went before VA Medical Board they awarded 40% for my back, because I could not back to work due to my condition</w:t>
      </w:r>
      <w:r w:rsidR="00021FC1">
        <w:rPr>
          <w:rFonts w:eastAsiaTheme="minorHAnsi"/>
          <w:color w:val="000000" w:themeColor="text1"/>
          <w:szCs w:val="24"/>
        </w:rPr>
        <w:t xml:space="preserve">—also </w:t>
      </w:r>
      <w:r w:rsidR="00FC412A">
        <w:rPr>
          <w:rFonts w:eastAsiaTheme="minorHAnsi"/>
          <w:color w:val="000000" w:themeColor="text1"/>
          <w:szCs w:val="24"/>
        </w:rPr>
        <w:t>awarded individual unemployability I have been dealing with depression</w:t>
      </w:r>
      <w:r w:rsidR="00021FC1">
        <w:rPr>
          <w:rFonts w:eastAsiaTheme="minorHAnsi"/>
          <w:color w:val="000000" w:themeColor="text1"/>
          <w:szCs w:val="24"/>
        </w:rPr>
        <w:t>.</w:t>
      </w:r>
      <w:r w:rsidR="00FC412A">
        <w:rPr>
          <w:rFonts w:eastAsiaTheme="minorHAnsi"/>
          <w:color w:val="000000" w:themeColor="text1"/>
          <w:szCs w:val="24"/>
        </w:rPr>
        <w:t xml:space="preserve"> I deal with back problem on daily Basic. </w:t>
      </w:r>
      <w:r w:rsidR="00851D09">
        <w:rPr>
          <w:rFonts w:eastAsiaTheme="minorHAnsi"/>
          <w:color w:val="000000" w:themeColor="text1"/>
          <w:szCs w:val="24"/>
        </w:rPr>
        <w:t xml:space="preserve"> Take med. given to me by VA.” </w:t>
      </w:r>
      <w:r w:rsidR="00FC412A">
        <w:rPr>
          <w:rFonts w:eastAsiaTheme="minorHAnsi"/>
          <w:color w:val="000000" w:themeColor="text1"/>
          <w:szCs w:val="24"/>
        </w:rPr>
        <w:t xml:space="preserve">Spelling and grammar errors are left intact.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9876ED" w:rsidRDefault="009876ED" w:rsidP="00BF0E94">
      <w:pPr>
        <w:jc w:val="left"/>
        <w:rPr>
          <w:color w:val="000000" w:themeColor="text1"/>
        </w:rPr>
      </w:pPr>
    </w:p>
    <w:tbl>
      <w:tblPr>
        <w:tblStyle w:val="TableGrid"/>
        <w:tblpPr w:leftFromText="187" w:rightFromText="187" w:vertAnchor="text" w:tblpXSpec="center" w:tblpY="1"/>
        <w:tblOverlap w:val="never"/>
        <w:tblW w:w="9614" w:type="dxa"/>
        <w:jc w:val="center"/>
        <w:tblLayout w:type="fixed"/>
        <w:tblLook w:val="04A0"/>
      </w:tblPr>
      <w:tblGrid>
        <w:gridCol w:w="2178"/>
        <w:gridCol w:w="1080"/>
        <w:gridCol w:w="900"/>
        <w:gridCol w:w="2322"/>
        <w:gridCol w:w="1080"/>
        <w:gridCol w:w="828"/>
        <w:gridCol w:w="1226"/>
      </w:tblGrid>
      <w:tr w:rsidR="009876ED" w:rsidRPr="001F29F9" w:rsidTr="009876ED">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Pr>
                <w:rFonts w:ascii="Calibri" w:hAnsi="Calibri" w:cs="Calibri"/>
                <w:b/>
                <w:color w:val="000000" w:themeColor="text1"/>
                <w:sz w:val="18"/>
                <w:szCs w:val="18"/>
              </w:rPr>
              <w:t>F</w:t>
            </w:r>
            <w:r w:rsidRPr="001F29F9">
              <w:rPr>
                <w:rFonts w:ascii="Calibri" w:hAnsi="Calibri" w:cs="Calibri"/>
                <w:b/>
                <w:color w:val="000000" w:themeColor="text1"/>
                <w:sz w:val="18"/>
                <w:szCs w:val="18"/>
              </w:rPr>
              <w:t>PEB</w:t>
            </w:r>
            <w:r>
              <w:rPr>
                <w:rFonts w:ascii="Calibri" w:hAnsi="Calibri" w:cs="Calibri"/>
                <w:b/>
                <w:color w:val="000000" w:themeColor="text1"/>
                <w:sz w:val="18"/>
                <w:szCs w:val="18"/>
              </w:rPr>
              <w:t xml:space="preserve"> (Admin Correction)</w:t>
            </w:r>
            <w:r w:rsidRPr="001F29F9">
              <w:rPr>
                <w:rFonts w:ascii="Calibri" w:hAnsi="Calibri" w:cs="Calibri"/>
                <w:b/>
                <w:color w:val="000000" w:themeColor="text1"/>
                <w:sz w:val="18"/>
                <w:szCs w:val="18"/>
              </w:rPr>
              <w:t xml:space="preserve"> – Dated 200</w:t>
            </w:r>
            <w:r>
              <w:rPr>
                <w:rFonts w:ascii="Calibri" w:hAnsi="Calibri" w:cs="Calibri"/>
                <w:b/>
                <w:color w:val="000000" w:themeColor="text1"/>
                <w:sz w:val="18"/>
                <w:szCs w:val="18"/>
              </w:rPr>
              <w:t>40407</w:t>
            </w:r>
          </w:p>
        </w:tc>
        <w:tc>
          <w:tcPr>
            <w:tcW w:w="5456" w:type="dxa"/>
            <w:gridSpan w:val="4"/>
            <w:tcBorders>
              <w:left w:val="thinThickThinSmallGap" w:sz="24" w:space="0" w:color="auto"/>
            </w:tcBorders>
            <w:shd w:val="clear" w:color="auto" w:fill="D9D9D9" w:themeFill="background1" w:themeFillShade="D9"/>
            <w:vAlign w:val="center"/>
          </w:tcPr>
          <w:p w:rsidR="009876ED" w:rsidRPr="001F29F9" w:rsidRDefault="009876ED" w:rsidP="009D049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 All Effective 200</w:t>
            </w:r>
            <w:r>
              <w:rPr>
                <w:rFonts w:ascii="Calibri" w:hAnsi="Calibri" w:cs="Calibri"/>
                <w:b/>
                <w:color w:val="000000" w:themeColor="text1"/>
                <w:sz w:val="18"/>
                <w:szCs w:val="18"/>
              </w:rPr>
              <w:t>40919</w:t>
            </w:r>
          </w:p>
        </w:tc>
      </w:tr>
      <w:tr w:rsidR="009876ED" w:rsidRPr="001F29F9" w:rsidTr="009876ED">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226" w:type="dxa"/>
            <w:tcBorders>
              <w:bottom w:val="single" w:sz="4" w:space="0" w:color="000000" w:themeColor="text1"/>
            </w:tcBorders>
            <w:shd w:val="clear" w:color="auto" w:fill="D9D9D9" w:themeFill="background1" w:themeFillShade="D9"/>
            <w:vAlign w:val="center"/>
          </w:tcPr>
          <w:p w:rsidR="009876ED" w:rsidRPr="001F29F9" w:rsidRDefault="009876ED" w:rsidP="009876E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9876ED" w:rsidRPr="001F29F9" w:rsidTr="009876ED">
        <w:trPr>
          <w:trHeight w:val="287"/>
          <w:jc w:val="center"/>
        </w:trPr>
        <w:tc>
          <w:tcPr>
            <w:tcW w:w="2178" w:type="dxa"/>
            <w:tcBorders>
              <w:right w:val="single" w:sz="4" w:space="0" w:color="auto"/>
            </w:tcBorders>
            <w:shd w:val="clear" w:color="auto" w:fill="FFFFFF" w:themeFill="background1"/>
            <w:vAlign w:val="center"/>
          </w:tcPr>
          <w:p w:rsidR="009876ED" w:rsidRPr="001F29F9" w:rsidRDefault="009876ED" w:rsidP="009876E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9876ED" w:rsidRPr="001F29F9" w:rsidRDefault="009876ED" w:rsidP="009876E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9876ED" w:rsidRPr="001F29F9" w:rsidRDefault="009876ED" w:rsidP="009876ED">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9876ED" w:rsidRPr="001F29F9" w:rsidRDefault="00CD1788" w:rsidP="009876E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DDD</w:t>
            </w:r>
            <w:r w:rsidR="009876ED">
              <w:rPr>
                <w:rFonts w:ascii="Calibri" w:eastAsia="Times New Roman" w:hAnsi="Calibri" w:cs="Calibri"/>
                <w:color w:val="000000" w:themeColor="text1"/>
                <w:sz w:val="18"/>
                <w:szCs w:val="18"/>
              </w:rPr>
              <w:t>, Lumbosacral Spine at L4-5 and L5-S1 Levels</w:t>
            </w:r>
          </w:p>
        </w:tc>
        <w:tc>
          <w:tcPr>
            <w:tcW w:w="1080" w:type="dxa"/>
            <w:shd w:val="clear" w:color="auto" w:fill="FFFFFF" w:themeFill="background1"/>
            <w:vAlign w:val="center"/>
          </w:tcPr>
          <w:p w:rsidR="009876ED" w:rsidRPr="001F29F9" w:rsidRDefault="009876ED" w:rsidP="009876E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5234</w:t>
            </w:r>
          </w:p>
        </w:tc>
        <w:tc>
          <w:tcPr>
            <w:tcW w:w="828" w:type="dxa"/>
            <w:shd w:val="clear" w:color="auto" w:fill="FFFFFF" w:themeFill="background1"/>
            <w:vAlign w:val="center"/>
          </w:tcPr>
          <w:p w:rsidR="009876ED" w:rsidRPr="001F29F9" w:rsidRDefault="00021FC1" w:rsidP="009876E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40</w:t>
            </w:r>
            <w:r w:rsidR="009876ED" w:rsidRPr="001F29F9">
              <w:rPr>
                <w:rFonts w:ascii="Calibri" w:hAnsi="Calibri" w:cs="Calibri"/>
                <w:color w:val="000000" w:themeColor="text1"/>
                <w:sz w:val="18"/>
                <w:szCs w:val="18"/>
              </w:rPr>
              <w:t>%</w:t>
            </w:r>
            <w:r w:rsidR="003A1186">
              <w:rPr>
                <w:rFonts w:ascii="Calibri" w:hAnsi="Calibri" w:cs="Calibri"/>
                <w:color w:val="000000" w:themeColor="text1"/>
                <w:sz w:val="18"/>
                <w:szCs w:val="18"/>
              </w:rPr>
              <w:t>*</w:t>
            </w:r>
          </w:p>
        </w:tc>
        <w:tc>
          <w:tcPr>
            <w:tcW w:w="1226" w:type="dxa"/>
            <w:shd w:val="clear" w:color="auto" w:fill="FFFFFF" w:themeFill="background1"/>
            <w:vAlign w:val="center"/>
          </w:tcPr>
          <w:p w:rsidR="009876ED" w:rsidRPr="001F29F9" w:rsidRDefault="00B24212" w:rsidP="009876E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20030530, 20061130</w:t>
            </w:r>
          </w:p>
        </w:tc>
      </w:tr>
      <w:tr w:rsidR="009D0498" w:rsidRPr="001F29F9" w:rsidTr="009876ED">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9D0498" w:rsidRPr="001F29F9" w:rsidRDefault="009D0498" w:rsidP="009876ED">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9D0498" w:rsidRPr="001F29F9" w:rsidRDefault="009D0498" w:rsidP="009876E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S/P Fracture Right Wrist</w:t>
            </w:r>
          </w:p>
        </w:tc>
        <w:tc>
          <w:tcPr>
            <w:tcW w:w="1080" w:type="dxa"/>
            <w:tcBorders>
              <w:left w:val="single" w:sz="4" w:space="0" w:color="auto"/>
            </w:tcBorders>
            <w:shd w:val="clear" w:color="auto" w:fill="FFFFFF" w:themeFill="background1"/>
            <w:vAlign w:val="center"/>
          </w:tcPr>
          <w:p w:rsidR="009D0498" w:rsidRPr="001F29F9" w:rsidRDefault="009D0498" w:rsidP="009876E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5215</w:t>
            </w:r>
          </w:p>
        </w:tc>
        <w:tc>
          <w:tcPr>
            <w:tcW w:w="828" w:type="dxa"/>
            <w:shd w:val="clear" w:color="auto" w:fill="FFFFFF" w:themeFill="background1"/>
            <w:vAlign w:val="center"/>
          </w:tcPr>
          <w:p w:rsidR="009D0498" w:rsidRPr="001F29F9" w:rsidRDefault="009D0498" w:rsidP="009876E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226" w:type="dxa"/>
            <w:shd w:val="clear" w:color="auto" w:fill="FFFFFF" w:themeFill="background1"/>
            <w:vAlign w:val="center"/>
          </w:tcPr>
          <w:p w:rsidR="009D0498" w:rsidRPr="001F29F9" w:rsidRDefault="00B24212" w:rsidP="009876E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20030530</w:t>
            </w:r>
          </w:p>
        </w:tc>
      </w:tr>
      <w:tr w:rsidR="00F144A4" w:rsidRPr="001F29F9" w:rsidTr="00F144A4">
        <w:trPr>
          <w:trHeight w:val="287"/>
          <w:jc w:val="center"/>
        </w:trPr>
        <w:tc>
          <w:tcPr>
            <w:tcW w:w="4158" w:type="dxa"/>
            <w:gridSpan w:val="3"/>
            <w:vMerge/>
            <w:tcBorders>
              <w:right w:val="thinThickThinSmallGap" w:sz="24" w:space="0" w:color="auto"/>
            </w:tcBorders>
            <w:shd w:val="clear" w:color="auto" w:fill="FFFFFF" w:themeFill="background1"/>
            <w:vAlign w:val="center"/>
          </w:tcPr>
          <w:p w:rsidR="00F144A4" w:rsidRPr="001F29F9" w:rsidRDefault="00F144A4" w:rsidP="009D0498">
            <w:pPr>
              <w:spacing w:line="180" w:lineRule="exact"/>
              <w:rPr>
                <w:rFonts w:cs="Calibri"/>
                <w:color w:val="000000" w:themeColor="text1"/>
                <w:sz w:val="18"/>
                <w:szCs w:val="18"/>
              </w:rPr>
            </w:pPr>
          </w:p>
        </w:tc>
        <w:tc>
          <w:tcPr>
            <w:tcW w:w="5456" w:type="dxa"/>
            <w:gridSpan w:val="4"/>
            <w:tcBorders>
              <w:left w:val="thinThickThinSmallGap" w:sz="24" w:space="0" w:color="auto"/>
            </w:tcBorders>
            <w:shd w:val="clear" w:color="auto" w:fill="FFFFFF" w:themeFill="background1"/>
            <w:vAlign w:val="center"/>
          </w:tcPr>
          <w:p w:rsidR="00F144A4" w:rsidRDefault="00F144A4" w:rsidP="009D0498">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0</w:t>
            </w:r>
            <w:r w:rsidR="00AF61A3">
              <w:rPr>
                <w:rFonts w:ascii="Calibri" w:hAnsi="Calibri" w:cs="Calibri"/>
                <w:color w:val="000000" w:themeColor="text1"/>
                <w:sz w:val="18"/>
                <w:szCs w:val="18"/>
              </w:rPr>
              <w:t>/Not Service-</w:t>
            </w:r>
            <w:r w:rsidRPr="001F29F9">
              <w:rPr>
                <w:rFonts w:ascii="Calibri" w:hAnsi="Calibri" w:cs="Calibri"/>
                <w:color w:val="000000" w:themeColor="text1"/>
                <w:sz w:val="18"/>
                <w:szCs w:val="18"/>
              </w:rPr>
              <w:t>Connected x</w:t>
            </w:r>
            <w:r>
              <w:rPr>
                <w:rFonts w:ascii="Calibri" w:hAnsi="Calibri" w:cs="Calibri"/>
                <w:color w:val="000000" w:themeColor="text1"/>
                <w:sz w:val="18"/>
                <w:szCs w:val="18"/>
              </w:rPr>
              <w:t xml:space="preserve"> 0</w:t>
            </w:r>
          </w:p>
        </w:tc>
      </w:tr>
      <w:tr w:rsidR="009D0498" w:rsidRPr="001F29F9" w:rsidTr="009876ED">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9D0498" w:rsidRPr="001F29F9" w:rsidRDefault="009D0498" w:rsidP="009D049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456" w:type="dxa"/>
            <w:gridSpan w:val="4"/>
            <w:tcBorders>
              <w:left w:val="thinThickThinSmallGap" w:sz="24" w:space="0" w:color="auto"/>
            </w:tcBorders>
            <w:shd w:val="clear" w:color="auto" w:fill="D9D9D9" w:themeFill="background1" w:themeFillShade="D9"/>
            <w:vAlign w:val="center"/>
          </w:tcPr>
          <w:p w:rsidR="009D0498" w:rsidRPr="001F29F9" w:rsidRDefault="009D0498" w:rsidP="00D51D1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51D15">
              <w:rPr>
                <w:rFonts w:ascii="Calibri" w:hAnsi="Calibri" w:cs="Calibri"/>
                <w:b/>
                <w:color w:val="000000" w:themeColor="text1"/>
                <w:sz w:val="18"/>
                <w:szCs w:val="18"/>
              </w:rPr>
              <w:t>5</w:t>
            </w:r>
            <w:r w:rsidR="00D51D15"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D51D15">
              <w:rPr>
                <w:rFonts w:ascii="Calibri" w:hAnsi="Calibri" w:cs="Calibri"/>
                <w:b/>
                <w:color w:val="000000" w:themeColor="text1"/>
                <w:sz w:val="18"/>
                <w:szCs w:val="18"/>
              </w:rPr>
              <w:t>**</w:t>
            </w:r>
          </w:p>
        </w:tc>
      </w:tr>
    </w:tbl>
    <w:p w:rsidR="00D51D15" w:rsidRDefault="003A1186" w:rsidP="00BF0E94">
      <w:pPr>
        <w:pBdr>
          <w:bottom w:val="single" w:sz="12" w:space="1" w:color="auto"/>
        </w:pBdr>
        <w:tabs>
          <w:tab w:val="left" w:pos="288"/>
          <w:tab w:val="left" w:pos="4752"/>
        </w:tabs>
        <w:jc w:val="both"/>
        <w:rPr>
          <w:color w:val="000000" w:themeColor="text1"/>
          <w:sz w:val="18"/>
          <w:szCs w:val="18"/>
        </w:rPr>
      </w:pPr>
      <w:r w:rsidRPr="003A1186">
        <w:rPr>
          <w:color w:val="000000" w:themeColor="text1"/>
          <w:sz w:val="18"/>
          <w:szCs w:val="18"/>
        </w:rPr>
        <w:t>*</w:t>
      </w:r>
      <w:r w:rsidR="00D51D15">
        <w:rPr>
          <w:color w:val="000000" w:themeColor="text1"/>
          <w:sz w:val="18"/>
          <w:szCs w:val="18"/>
        </w:rPr>
        <w:t>Initially rated at 20% but increased to 40%</w:t>
      </w:r>
      <w:r w:rsidR="00B24212">
        <w:rPr>
          <w:color w:val="000000" w:themeColor="text1"/>
          <w:sz w:val="18"/>
          <w:szCs w:val="18"/>
        </w:rPr>
        <w:t xml:space="preserve"> effective 20040919 with a Decision Review Officer Decision dated 20081023.</w:t>
      </w:r>
    </w:p>
    <w:p w:rsidR="003A1186" w:rsidRPr="003A1186" w:rsidRDefault="00D51D15" w:rsidP="00BF0E94">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**Increased to 80% effective 20070201 after addition of </w:t>
      </w:r>
      <w:r w:rsidR="003A1186">
        <w:rPr>
          <w:color w:val="000000" w:themeColor="text1"/>
          <w:sz w:val="18"/>
          <w:szCs w:val="18"/>
        </w:rPr>
        <w:t>Depression</w:t>
      </w:r>
      <w:r>
        <w:rPr>
          <w:color w:val="000000" w:themeColor="text1"/>
          <w:sz w:val="18"/>
          <w:szCs w:val="18"/>
        </w:rPr>
        <w:t xml:space="preserve"> </w:t>
      </w:r>
      <w:r w:rsidR="00B1243F">
        <w:rPr>
          <w:color w:val="000000" w:themeColor="text1"/>
          <w:sz w:val="18"/>
          <w:szCs w:val="18"/>
        </w:rPr>
        <w:t xml:space="preserve">(associated with Degenerative Disc Disease) </w:t>
      </w:r>
      <w:r>
        <w:rPr>
          <w:color w:val="000000" w:themeColor="text1"/>
          <w:sz w:val="18"/>
          <w:szCs w:val="18"/>
        </w:rPr>
        <w:t>9434</w:t>
      </w:r>
      <w:r w:rsidR="003A1186">
        <w:rPr>
          <w:color w:val="000000" w:themeColor="text1"/>
          <w:sz w:val="18"/>
          <w:szCs w:val="18"/>
        </w:rPr>
        <w:t xml:space="preserve"> </w:t>
      </w:r>
      <w:r>
        <w:rPr>
          <w:color w:val="000000" w:themeColor="text1"/>
          <w:sz w:val="18"/>
          <w:szCs w:val="18"/>
        </w:rPr>
        <w:t>rated</w:t>
      </w:r>
      <w:r w:rsidR="003A1186">
        <w:rPr>
          <w:color w:val="000000" w:themeColor="text1"/>
          <w:sz w:val="18"/>
          <w:szCs w:val="18"/>
        </w:rPr>
        <w:t xml:space="preserve"> 70%.</w:t>
      </w:r>
    </w:p>
    <w:p w:rsidR="003A1186" w:rsidRPr="001F29F9" w:rsidRDefault="003A1186" w:rsidP="00BF0E94">
      <w:pPr>
        <w:pBdr>
          <w:bottom w:val="single" w:sz="12" w:space="1" w:color="auto"/>
        </w:pBdr>
        <w:tabs>
          <w:tab w:val="left" w:pos="288"/>
          <w:tab w:val="left" w:pos="4752"/>
        </w:tabs>
        <w:jc w:val="both"/>
        <w:rPr>
          <w:color w:val="000000" w:themeColor="text1"/>
        </w:rPr>
      </w:pPr>
    </w:p>
    <w:p w:rsidR="00DE6357" w:rsidRDefault="00DE6357" w:rsidP="00EE476A">
      <w:pPr>
        <w:jc w:val="both"/>
        <w:rPr>
          <w:color w:val="000000" w:themeColor="text1"/>
          <w:szCs w:val="24"/>
          <w:u w:val="single"/>
        </w:rPr>
      </w:pPr>
    </w:p>
    <w:p w:rsidR="00B505E9" w:rsidRDefault="002C6E5B" w:rsidP="00EE476A">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B505E9" w:rsidRPr="00B505E9">
        <w:rPr>
          <w:color w:val="000000" w:themeColor="text1"/>
          <w:szCs w:val="24"/>
        </w:rPr>
        <w:t xml:space="preserve">The Board acknowledges the sentiment expressed in the CI’s application regarding the significant impairment with which his service-aggravated </w:t>
      </w:r>
      <w:r w:rsidR="00B505E9" w:rsidRPr="00851D09">
        <w:rPr>
          <w:color w:val="000000" w:themeColor="text1"/>
          <w:szCs w:val="24"/>
        </w:rPr>
        <w:t>cond</w:t>
      </w:r>
      <w:r w:rsidR="006B7CBD">
        <w:rPr>
          <w:color w:val="000000" w:themeColor="text1"/>
          <w:szCs w:val="24"/>
        </w:rPr>
        <w:t xml:space="preserve">ition continues to burden him. </w:t>
      </w:r>
      <w:r w:rsidR="00AF61A3">
        <w:rPr>
          <w:color w:val="000000" w:themeColor="text1"/>
          <w:szCs w:val="24"/>
        </w:rPr>
        <w:t xml:space="preserve"> </w:t>
      </w:r>
      <w:r w:rsidR="00B505E9" w:rsidRPr="00851D09">
        <w:rPr>
          <w:color w:val="000000" w:themeColor="text1"/>
          <w:szCs w:val="24"/>
        </w:rPr>
        <w:t>It is a fact, however, that the DES has neither the role nor the authority to compensate service members for anticipated future severity or potential complications</w:t>
      </w:r>
      <w:r w:rsidR="00B505E9" w:rsidRPr="00B505E9">
        <w:rPr>
          <w:color w:val="000000" w:themeColor="text1"/>
          <w:szCs w:val="24"/>
        </w:rPr>
        <w:t xml:space="preserve"> of conditions re</w:t>
      </w:r>
      <w:r w:rsidR="006B7CBD">
        <w:rPr>
          <w:color w:val="000000" w:themeColor="text1"/>
          <w:szCs w:val="24"/>
        </w:rPr>
        <w:t xml:space="preserve">sulting in medical separation. </w:t>
      </w:r>
      <w:r w:rsidR="00AF61A3">
        <w:rPr>
          <w:color w:val="000000" w:themeColor="text1"/>
          <w:szCs w:val="24"/>
        </w:rPr>
        <w:t xml:space="preserve"> </w:t>
      </w:r>
      <w:r w:rsidR="00B505E9" w:rsidRPr="00B505E9">
        <w:rPr>
          <w:color w:val="000000" w:themeColor="text1"/>
          <w:szCs w:val="24"/>
        </w:rPr>
        <w:t>This role and authority is granted by Congress to the Depart</w:t>
      </w:r>
      <w:r w:rsidR="006B7CBD">
        <w:rPr>
          <w:color w:val="000000" w:themeColor="text1"/>
          <w:szCs w:val="24"/>
        </w:rPr>
        <w:t>ment of Veteran</w:t>
      </w:r>
      <w:r w:rsidR="00AF61A3">
        <w:rPr>
          <w:color w:val="000000" w:themeColor="text1"/>
          <w:szCs w:val="24"/>
        </w:rPr>
        <w:t>s’</w:t>
      </w:r>
      <w:r w:rsidR="006B7CBD">
        <w:rPr>
          <w:color w:val="000000" w:themeColor="text1"/>
          <w:szCs w:val="24"/>
        </w:rPr>
        <w:t xml:space="preserve"> Affairs (DVA). </w:t>
      </w:r>
      <w:r w:rsidR="00AF61A3">
        <w:rPr>
          <w:color w:val="000000" w:themeColor="text1"/>
          <w:szCs w:val="24"/>
        </w:rPr>
        <w:t xml:space="preserve"> </w:t>
      </w:r>
      <w:r w:rsidR="00B505E9" w:rsidRPr="00B505E9">
        <w:rPr>
          <w:color w:val="000000" w:themeColor="text1"/>
          <w:szCs w:val="24"/>
        </w:rPr>
        <w:t xml:space="preserve">The DVA, operating under a different set of laws (Title </w:t>
      </w:r>
      <w:r w:rsidR="00B505E9" w:rsidRPr="00B505E9">
        <w:rPr>
          <w:color w:val="000000" w:themeColor="text1"/>
          <w:szCs w:val="24"/>
        </w:rPr>
        <w:lastRenderedPageBreak/>
        <w:t xml:space="preserve">38, United States Code), is </w:t>
      </w:r>
      <w:r w:rsidR="00AF61A3">
        <w:rPr>
          <w:color w:val="000000" w:themeColor="text1"/>
          <w:szCs w:val="24"/>
        </w:rPr>
        <w:t>empowered to compensate service-</w:t>
      </w:r>
      <w:r w:rsidR="00B505E9" w:rsidRPr="00B505E9">
        <w:rPr>
          <w:color w:val="000000" w:themeColor="text1"/>
          <w:szCs w:val="24"/>
        </w:rPr>
        <w:t>connected conditions and to periodically re-evaluate said conditions fo</w:t>
      </w:r>
      <w:r w:rsidR="00AF61A3">
        <w:rPr>
          <w:color w:val="000000" w:themeColor="text1"/>
          <w:szCs w:val="24"/>
        </w:rPr>
        <w:t>r the purpose of adjusting the V</w:t>
      </w:r>
      <w:r w:rsidR="00B505E9" w:rsidRPr="00B505E9">
        <w:rPr>
          <w:color w:val="000000" w:themeColor="text1"/>
          <w:szCs w:val="24"/>
        </w:rPr>
        <w:t>etera</w:t>
      </w:r>
      <w:r w:rsidR="00AF61A3">
        <w:rPr>
          <w:color w:val="000000" w:themeColor="text1"/>
          <w:szCs w:val="24"/>
        </w:rPr>
        <w:t>n’s disability rating should the</w:t>
      </w:r>
      <w:r w:rsidR="00B505E9" w:rsidRPr="00B505E9">
        <w:rPr>
          <w:color w:val="000000" w:themeColor="text1"/>
          <w:szCs w:val="24"/>
        </w:rPr>
        <w:t xml:space="preserve"> degree</w:t>
      </w:r>
      <w:r w:rsidR="006B7CBD">
        <w:rPr>
          <w:color w:val="000000" w:themeColor="text1"/>
          <w:szCs w:val="24"/>
        </w:rPr>
        <w:t xml:space="preserve"> of impairment vary over time. </w:t>
      </w:r>
      <w:r w:rsidR="00B505E9" w:rsidRPr="00B505E9">
        <w:rPr>
          <w:color w:val="000000" w:themeColor="text1"/>
          <w:szCs w:val="24"/>
        </w:rPr>
        <w:t>The Board utilizes VA evidence proximal to separation in arriving at its recommendations;</w:t>
      </w:r>
      <w:r w:rsidR="00AF61A3">
        <w:rPr>
          <w:color w:val="000000" w:themeColor="text1"/>
          <w:szCs w:val="24"/>
        </w:rPr>
        <w:t xml:space="preserve"> and, DoDI 6040.44 defines a 12-</w:t>
      </w:r>
      <w:r w:rsidR="00B505E9" w:rsidRPr="00B505E9">
        <w:rPr>
          <w:color w:val="000000" w:themeColor="text1"/>
          <w:szCs w:val="24"/>
        </w:rPr>
        <w:t xml:space="preserve">month interval for special consideration </w:t>
      </w:r>
      <w:r w:rsidR="00F144A4">
        <w:rPr>
          <w:color w:val="000000" w:themeColor="text1"/>
          <w:szCs w:val="24"/>
        </w:rPr>
        <w:t>of</w:t>
      </w:r>
      <w:r w:rsidR="00F144A4" w:rsidRPr="00B505E9">
        <w:rPr>
          <w:color w:val="000000" w:themeColor="text1"/>
          <w:szCs w:val="24"/>
        </w:rPr>
        <w:t xml:space="preserve"> </w:t>
      </w:r>
      <w:r w:rsidR="00B505E9" w:rsidRPr="00B505E9">
        <w:rPr>
          <w:color w:val="000000" w:themeColor="text1"/>
          <w:szCs w:val="24"/>
        </w:rPr>
        <w:t xml:space="preserve">post-separation evidence. </w:t>
      </w:r>
      <w:r w:rsidR="00AF61A3">
        <w:rPr>
          <w:color w:val="000000" w:themeColor="text1"/>
          <w:szCs w:val="24"/>
        </w:rPr>
        <w:t xml:space="preserve"> </w:t>
      </w:r>
      <w:r w:rsidR="00B505E9" w:rsidRPr="00B505E9">
        <w:rPr>
          <w:color w:val="000000" w:themeColor="text1"/>
          <w:szCs w:val="24"/>
        </w:rPr>
        <w:t xml:space="preserve">The Board’s authority as defined in DoDI 6044.40, however, resides in evaluating the fairness of DES fitness determinations and rating decisions for disability at the time of separation. </w:t>
      </w:r>
      <w:r w:rsidR="00AF61A3">
        <w:rPr>
          <w:color w:val="000000" w:themeColor="text1"/>
          <w:szCs w:val="24"/>
        </w:rPr>
        <w:t xml:space="preserve"> </w:t>
      </w:r>
      <w:r w:rsidR="00B505E9" w:rsidRPr="00B505E9">
        <w:rPr>
          <w:color w:val="000000" w:themeColor="text1"/>
          <w:szCs w:val="24"/>
        </w:rPr>
        <w:t>Post-separation evidence therefore is probative only to the extent that it reasonably reflects the disability and fitness implications at the time of separation.</w:t>
      </w:r>
    </w:p>
    <w:p w:rsidR="00CD1788" w:rsidRDefault="00CD1788" w:rsidP="00EE476A">
      <w:pPr>
        <w:jc w:val="both"/>
        <w:rPr>
          <w:color w:val="000000" w:themeColor="text1"/>
          <w:szCs w:val="24"/>
        </w:rPr>
      </w:pPr>
    </w:p>
    <w:p w:rsidR="00341F89" w:rsidRDefault="00CD1788" w:rsidP="00DB0538">
      <w:pPr>
        <w:jc w:val="both"/>
        <w:rPr>
          <w:color w:val="000000" w:themeColor="text1"/>
          <w:szCs w:val="24"/>
        </w:rPr>
      </w:pPr>
      <w:r w:rsidRPr="00CD1788">
        <w:rPr>
          <w:color w:val="000000" w:themeColor="text1"/>
          <w:szCs w:val="24"/>
          <w:u w:val="single"/>
        </w:rPr>
        <w:t xml:space="preserve">Unfitting Condition: </w:t>
      </w:r>
      <w:r w:rsidR="00286B79" w:rsidRPr="00CD1788">
        <w:rPr>
          <w:color w:val="000000" w:themeColor="text1"/>
          <w:szCs w:val="24"/>
          <w:u w:val="single"/>
        </w:rPr>
        <w:t>Low Back Pain</w:t>
      </w:r>
      <w:r>
        <w:rPr>
          <w:color w:val="000000" w:themeColor="text1"/>
          <w:szCs w:val="24"/>
        </w:rPr>
        <w:t>.</w:t>
      </w:r>
      <w:r w:rsidR="00286B79">
        <w:rPr>
          <w:color w:val="000000" w:themeColor="text1"/>
          <w:szCs w:val="24"/>
        </w:rPr>
        <w:t xml:space="preserve"> </w:t>
      </w:r>
      <w:r>
        <w:rPr>
          <w:color w:val="000000" w:themeColor="text1"/>
          <w:szCs w:val="24"/>
        </w:rPr>
        <w:t xml:space="preserve"> </w:t>
      </w:r>
      <w:r w:rsidR="00286B79">
        <w:rPr>
          <w:color w:val="000000" w:themeColor="text1"/>
          <w:szCs w:val="24"/>
        </w:rPr>
        <w:t xml:space="preserve">The CI </w:t>
      </w:r>
      <w:r w:rsidR="0068108B">
        <w:rPr>
          <w:color w:val="000000" w:themeColor="text1"/>
          <w:szCs w:val="24"/>
        </w:rPr>
        <w:t>has a longstanding history of LBP with his first documented visit in 19</w:t>
      </w:r>
      <w:r w:rsidR="0051272F">
        <w:rPr>
          <w:color w:val="000000" w:themeColor="text1"/>
          <w:szCs w:val="24"/>
        </w:rPr>
        <w:t xml:space="preserve">75, a </w:t>
      </w:r>
      <w:r w:rsidR="006B7CBD">
        <w:rPr>
          <w:color w:val="000000" w:themeColor="text1"/>
          <w:szCs w:val="24"/>
        </w:rPr>
        <w:t xml:space="preserve">year after enlistment. </w:t>
      </w:r>
      <w:r w:rsidR="00AF61A3">
        <w:rPr>
          <w:color w:val="000000" w:themeColor="text1"/>
          <w:szCs w:val="24"/>
        </w:rPr>
        <w:t xml:space="preserve"> </w:t>
      </w:r>
      <w:r w:rsidR="0068108B">
        <w:rPr>
          <w:color w:val="000000" w:themeColor="text1"/>
          <w:szCs w:val="24"/>
        </w:rPr>
        <w:t xml:space="preserve">He responded to conservative management </w:t>
      </w:r>
      <w:r w:rsidR="0068108B" w:rsidRPr="00851D09">
        <w:rPr>
          <w:color w:val="000000" w:themeColor="text1"/>
          <w:szCs w:val="24"/>
        </w:rPr>
        <w:t>with no further visits noted in the records av</w:t>
      </w:r>
      <w:r w:rsidR="006B7CBD">
        <w:rPr>
          <w:color w:val="000000" w:themeColor="text1"/>
          <w:szCs w:val="24"/>
        </w:rPr>
        <w:t xml:space="preserve">ailable for review until 1980. </w:t>
      </w:r>
      <w:r w:rsidR="001862E4" w:rsidRPr="00851D09">
        <w:rPr>
          <w:color w:val="000000" w:themeColor="text1"/>
          <w:szCs w:val="24"/>
        </w:rPr>
        <w:t xml:space="preserve">He was seen by an orthopedist who </w:t>
      </w:r>
      <w:r w:rsidR="0068108B" w:rsidRPr="00851D09">
        <w:rPr>
          <w:color w:val="000000" w:themeColor="text1"/>
          <w:szCs w:val="24"/>
        </w:rPr>
        <w:t>noted that he was lifting some heavy steel at his civilian job and developed severe LBP and right hip pain with exacerbation</w:t>
      </w:r>
      <w:r w:rsidR="006B7CBD">
        <w:rPr>
          <w:color w:val="000000" w:themeColor="text1"/>
          <w:szCs w:val="24"/>
        </w:rPr>
        <w:t xml:space="preserve"> from cough, sneeze or strain. </w:t>
      </w:r>
      <w:r w:rsidR="00AF61A3">
        <w:rPr>
          <w:color w:val="000000" w:themeColor="text1"/>
          <w:szCs w:val="24"/>
        </w:rPr>
        <w:t xml:space="preserve"> </w:t>
      </w:r>
      <w:r w:rsidR="001862E4" w:rsidRPr="00851D09">
        <w:rPr>
          <w:color w:val="000000" w:themeColor="text1"/>
          <w:szCs w:val="24"/>
        </w:rPr>
        <w:t>It was also noted that he had been pain free since the episod</w:t>
      </w:r>
      <w:r w:rsidR="006B7CBD">
        <w:rPr>
          <w:color w:val="000000" w:themeColor="text1"/>
          <w:szCs w:val="24"/>
        </w:rPr>
        <w:t xml:space="preserve">e in 1975 until the re-injury. </w:t>
      </w:r>
      <w:r w:rsidR="00AF61A3">
        <w:rPr>
          <w:color w:val="000000" w:themeColor="text1"/>
          <w:szCs w:val="24"/>
        </w:rPr>
        <w:t xml:space="preserve"> </w:t>
      </w:r>
      <w:r w:rsidR="0068108B" w:rsidRPr="00851D09">
        <w:rPr>
          <w:color w:val="000000" w:themeColor="text1"/>
          <w:szCs w:val="24"/>
        </w:rPr>
        <w:t>He had pain which radiated down the right lower extremity (RL</w:t>
      </w:r>
      <w:r w:rsidR="006B7CBD">
        <w:rPr>
          <w:color w:val="000000" w:themeColor="text1"/>
          <w:szCs w:val="24"/>
        </w:rPr>
        <w:t xml:space="preserve">E) to the outside of his foot. </w:t>
      </w:r>
      <w:r w:rsidR="00AF61A3">
        <w:rPr>
          <w:color w:val="000000" w:themeColor="text1"/>
          <w:szCs w:val="24"/>
        </w:rPr>
        <w:t xml:space="preserve"> </w:t>
      </w:r>
      <w:r w:rsidR="0068108B" w:rsidRPr="00851D09">
        <w:rPr>
          <w:color w:val="000000" w:themeColor="text1"/>
          <w:szCs w:val="24"/>
        </w:rPr>
        <w:t xml:space="preserve">He complained that the entire leg felt weak and also of numbness of the lateral 2-3 toes, but no </w:t>
      </w:r>
      <w:r w:rsidR="006B7CBD">
        <w:rPr>
          <w:color w:val="000000" w:themeColor="text1"/>
          <w:szCs w:val="24"/>
        </w:rPr>
        <w:t xml:space="preserve">bowel or bladder incontinence. </w:t>
      </w:r>
      <w:r w:rsidR="00AF61A3">
        <w:rPr>
          <w:color w:val="000000" w:themeColor="text1"/>
          <w:szCs w:val="24"/>
        </w:rPr>
        <w:t xml:space="preserve"> </w:t>
      </w:r>
      <w:r w:rsidR="0068108B" w:rsidRPr="00851D09">
        <w:rPr>
          <w:color w:val="000000" w:themeColor="text1"/>
          <w:szCs w:val="24"/>
        </w:rPr>
        <w:t>Significant lumbosacral spasm was noted as well as pain wi</w:t>
      </w:r>
      <w:r w:rsidR="006B7CBD">
        <w:rPr>
          <w:color w:val="000000" w:themeColor="text1"/>
          <w:szCs w:val="24"/>
        </w:rPr>
        <w:t xml:space="preserve">th any motion. </w:t>
      </w:r>
      <w:r w:rsidR="00AF61A3">
        <w:rPr>
          <w:color w:val="000000" w:themeColor="text1"/>
          <w:szCs w:val="24"/>
        </w:rPr>
        <w:t xml:space="preserve"> </w:t>
      </w:r>
      <w:r w:rsidR="004F18BB" w:rsidRPr="00851D09">
        <w:rPr>
          <w:color w:val="000000" w:themeColor="text1"/>
          <w:szCs w:val="24"/>
        </w:rPr>
        <w:t xml:space="preserve">Weakness of the right </w:t>
      </w:r>
      <w:r w:rsidR="00851D09" w:rsidRPr="00851D09">
        <w:rPr>
          <w:color w:val="000000" w:themeColor="text1"/>
          <w:szCs w:val="24"/>
        </w:rPr>
        <w:t>gastrocnemius</w:t>
      </w:r>
      <w:r w:rsidR="004F18BB" w:rsidRPr="00851D09">
        <w:rPr>
          <w:color w:val="000000" w:themeColor="text1"/>
          <w:szCs w:val="24"/>
        </w:rPr>
        <w:t xml:space="preserve"> muscle and an absent right Achilles reflex were noted. </w:t>
      </w:r>
      <w:r w:rsidR="00AF61A3">
        <w:rPr>
          <w:color w:val="000000" w:themeColor="text1"/>
          <w:szCs w:val="24"/>
        </w:rPr>
        <w:t xml:space="preserve"> </w:t>
      </w:r>
      <w:r w:rsidR="004F18BB" w:rsidRPr="00851D09">
        <w:rPr>
          <w:color w:val="000000" w:themeColor="text1"/>
          <w:szCs w:val="24"/>
        </w:rPr>
        <w:t xml:space="preserve">He was thought to have disc disease with S1 “nerve </w:t>
      </w:r>
      <w:r w:rsidR="006B7CBD">
        <w:rPr>
          <w:color w:val="000000" w:themeColor="text1"/>
          <w:szCs w:val="24"/>
        </w:rPr>
        <w:t>root compromise on the right.”</w:t>
      </w:r>
      <w:r w:rsidR="00634E64">
        <w:rPr>
          <w:color w:val="000000" w:themeColor="text1"/>
          <w:szCs w:val="24"/>
        </w:rPr>
        <w:t xml:space="preserve"> </w:t>
      </w:r>
      <w:r w:rsidR="006B7CBD">
        <w:rPr>
          <w:color w:val="000000" w:themeColor="text1"/>
          <w:szCs w:val="24"/>
        </w:rPr>
        <w:t xml:space="preserve"> </w:t>
      </w:r>
      <w:r w:rsidR="004F18BB" w:rsidRPr="00851D09">
        <w:rPr>
          <w:color w:val="000000" w:themeColor="text1"/>
          <w:szCs w:val="24"/>
        </w:rPr>
        <w:t>The record also documents that he sought compensation from his co</w:t>
      </w:r>
      <w:r w:rsidR="006B7CBD">
        <w:rPr>
          <w:color w:val="000000" w:themeColor="text1"/>
          <w:szCs w:val="24"/>
        </w:rPr>
        <w:t>mpany unsuccessfully.</w:t>
      </w:r>
      <w:r w:rsidR="0051272F">
        <w:rPr>
          <w:color w:val="000000" w:themeColor="text1"/>
          <w:szCs w:val="24"/>
        </w:rPr>
        <w:t xml:space="preserve"> </w:t>
      </w:r>
      <w:r w:rsidR="006B7CBD">
        <w:rPr>
          <w:color w:val="000000" w:themeColor="text1"/>
          <w:szCs w:val="24"/>
        </w:rPr>
        <w:t xml:space="preserve"> </w:t>
      </w:r>
      <w:r w:rsidR="004F18BB" w:rsidRPr="00851D09">
        <w:rPr>
          <w:color w:val="000000" w:themeColor="text1"/>
          <w:szCs w:val="24"/>
        </w:rPr>
        <w:t>Imaging was normal</w:t>
      </w:r>
      <w:r w:rsidR="001862E4" w:rsidRPr="00851D09">
        <w:rPr>
          <w:color w:val="000000" w:themeColor="text1"/>
          <w:szCs w:val="24"/>
        </w:rPr>
        <w:t xml:space="preserve"> and he was again managed conservatively</w:t>
      </w:r>
      <w:r w:rsidR="006B7CBD">
        <w:rPr>
          <w:color w:val="000000" w:themeColor="text1"/>
          <w:szCs w:val="24"/>
        </w:rPr>
        <w:t>.</w:t>
      </w:r>
      <w:r w:rsidR="00DD2643">
        <w:rPr>
          <w:color w:val="000000" w:themeColor="text1"/>
          <w:szCs w:val="24"/>
        </w:rPr>
        <w:t xml:space="preserve"> </w:t>
      </w:r>
      <w:r w:rsidR="006B7CBD">
        <w:rPr>
          <w:color w:val="000000" w:themeColor="text1"/>
          <w:szCs w:val="24"/>
        </w:rPr>
        <w:t xml:space="preserve"> </w:t>
      </w:r>
      <w:r w:rsidR="001862E4" w:rsidRPr="00851D09">
        <w:rPr>
          <w:color w:val="000000" w:themeColor="text1"/>
          <w:szCs w:val="24"/>
        </w:rPr>
        <w:t>He was next seen in 1994 after moving a</w:t>
      </w:r>
      <w:r w:rsidR="006B7CBD">
        <w:rPr>
          <w:color w:val="000000" w:themeColor="text1"/>
          <w:szCs w:val="24"/>
        </w:rPr>
        <w:t xml:space="preserve"> water buffalo with re-injury.</w:t>
      </w:r>
      <w:r w:rsidR="00DD2643">
        <w:rPr>
          <w:color w:val="000000" w:themeColor="text1"/>
          <w:szCs w:val="24"/>
        </w:rPr>
        <w:t xml:space="preserve"> </w:t>
      </w:r>
      <w:r w:rsidR="006B7CBD">
        <w:rPr>
          <w:color w:val="000000" w:themeColor="text1"/>
          <w:szCs w:val="24"/>
        </w:rPr>
        <w:t xml:space="preserve"> </w:t>
      </w:r>
      <w:r w:rsidR="001862E4" w:rsidRPr="00851D09">
        <w:rPr>
          <w:color w:val="000000" w:themeColor="text1"/>
          <w:szCs w:val="24"/>
        </w:rPr>
        <w:t>He was treated with medications and 72 hours quarters</w:t>
      </w:r>
      <w:r w:rsidR="003A1186" w:rsidRPr="00851D09">
        <w:rPr>
          <w:color w:val="000000" w:themeColor="text1"/>
          <w:szCs w:val="24"/>
        </w:rPr>
        <w:t xml:space="preserve"> with apparent resolution of his symptoms</w:t>
      </w:r>
      <w:r w:rsidR="001862E4" w:rsidRPr="00851D09">
        <w:rPr>
          <w:color w:val="000000" w:themeColor="text1"/>
          <w:szCs w:val="24"/>
        </w:rPr>
        <w:t>.  He was next seen May 2002 while deployed to Qatar</w:t>
      </w:r>
      <w:r w:rsidR="006B7CBD">
        <w:rPr>
          <w:color w:val="000000" w:themeColor="text1"/>
          <w:szCs w:val="24"/>
        </w:rPr>
        <w:t xml:space="preserve">. </w:t>
      </w:r>
      <w:r w:rsidR="00AF61A3">
        <w:rPr>
          <w:color w:val="000000" w:themeColor="text1"/>
          <w:szCs w:val="24"/>
        </w:rPr>
        <w:t xml:space="preserve"> </w:t>
      </w:r>
      <w:r w:rsidR="003A1186" w:rsidRPr="00851D09">
        <w:rPr>
          <w:color w:val="000000" w:themeColor="text1"/>
          <w:szCs w:val="24"/>
        </w:rPr>
        <w:t>He presented</w:t>
      </w:r>
      <w:r w:rsidR="001862E4" w:rsidRPr="00851D09">
        <w:rPr>
          <w:color w:val="000000" w:themeColor="text1"/>
          <w:szCs w:val="24"/>
        </w:rPr>
        <w:t xml:space="preserve"> with a 7-10 day history of LBP after increased exe</w:t>
      </w:r>
      <w:r w:rsidR="006B7CBD">
        <w:rPr>
          <w:color w:val="000000" w:themeColor="text1"/>
          <w:szCs w:val="24"/>
        </w:rPr>
        <w:t xml:space="preserve">rcise without specific injury. </w:t>
      </w:r>
      <w:r w:rsidR="00AF61A3">
        <w:rPr>
          <w:color w:val="000000" w:themeColor="text1"/>
          <w:szCs w:val="24"/>
        </w:rPr>
        <w:t xml:space="preserve"> </w:t>
      </w:r>
      <w:r w:rsidR="001862E4" w:rsidRPr="00851D09">
        <w:rPr>
          <w:color w:val="000000" w:themeColor="text1"/>
          <w:szCs w:val="24"/>
        </w:rPr>
        <w:t xml:space="preserve">He failed conservative management and an MRI </w:t>
      </w:r>
      <w:r w:rsidR="00851D09">
        <w:rPr>
          <w:color w:val="000000" w:themeColor="text1"/>
          <w:szCs w:val="24"/>
        </w:rPr>
        <w:t xml:space="preserve">reportedly </w:t>
      </w:r>
      <w:r w:rsidR="001862E4" w:rsidRPr="00851D09">
        <w:rPr>
          <w:color w:val="000000" w:themeColor="text1"/>
          <w:szCs w:val="24"/>
        </w:rPr>
        <w:t xml:space="preserve">showed a herniated nucleus </w:t>
      </w:r>
      <w:proofErr w:type="spellStart"/>
      <w:r w:rsidR="003A1186" w:rsidRPr="00851D09">
        <w:rPr>
          <w:color w:val="000000" w:themeColor="text1"/>
          <w:szCs w:val="24"/>
        </w:rPr>
        <w:t>pulposus</w:t>
      </w:r>
      <w:proofErr w:type="spellEnd"/>
      <w:r w:rsidR="001862E4" w:rsidRPr="00851D09">
        <w:rPr>
          <w:color w:val="000000" w:themeColor="text1"/>
          <w:szCs w:val="24"/>
        </w:rPr>
        <w:t xml:space="preserve"> (HNP) at “L</w:t>
      </w:r>
      <w:r w:rsidR="00BA0390" w:rsidRPr="00851D09">
        <w:rPr>
          <w:color w:val="000000" w:themeColor="text1"/>
          <w:szCs w:val="24"/>
        </w:rPr>
        <w:t>5</w:t>
      </w:r>
      <w:r w:rsidR="00851D09">
        <w:rPr>
          <w:color w:val="000000" w:themeColor="text1"/>
          <w:szCs w:val="24"/>
        </w:rPr>
        <w:t>-</w:t>
      </w:r>
      <w:r w:rsidR="006B7CBD">
        <w:rPr>
          <w:color w:val="000000" w:themeColor="text1"/>
          <w:szCs w:val="24"/>
        </w:rPr>
        <w:t>S1</w:t>
      </w:r>
      <w:r w:rsidR="00AF61A3">
        <w:rPr>
          <w:color w:val="000000" w:themeColor="text1"/>
          <w:szCs w:val="24"/>
        </w:rPr>
        <w:t>.</w:t>
      </w:r>
      <w:r w:rsidR="006B7CBD">
        <w:rPr>
          <w:color w:val="000000" w:themeColor="text1"/>
          <w:szCs w:val="24"/>
        </w:rPr>
        <w:t>”</w:t>
      </w:r>
      <w:r w:rsidR="00AF61A3">
        <w:rPr>
          <w:color w:val="000000" w:themeColor="text1"/>
          <w:szCs w:val="24"/>
        </w:rPr>
        <w:t xml:space="preserve"> </w:t>
      </w:r>
      <w:r w:rsidR="006B7CBD">
        <w:rPr>
          <w:color w:val="000000" w:themeColor="text1"/>
          <w:szCs w:val="24"/>
        </w:rPr>
        <w:t xml:space="preserve"> </w:t>
      </w:r>
      <w:r w:rsidR="001862E4" w:rsidRPr="00851D09">
        <w:rPr>
          <w:color w:val="000000" w:themeColor="text1"/>
          <w:szCs w:val="24"/>
        </w:rPr>
        <w:t xml:space="preserve">The </w:t>
      </w:r>
      <w:r w:rsidR="00851D09">
        <w:rPr>
          <w:color w:val="000000" w:themeColor="text1"/>
          <w:szCs w:val="24"/>
        </w:rPr>
        <w:t xml:space="preserve">MRI </w:t>
      </w:r>
      <w:r w:rsidR="001862E4" w:rsidRPr="00851D09">
        <w:rPr>
          <w:color w:val="000000" w:themeColor="text1"/>
          <w:szCs w:val="24"/>
        </w:rPr>
        <w:t>report is not in the records available for review, but was apparently ob</w:t>
      </w:r>
      <w:r w:rsidR="006B7CBD">
        <w:rPr>
          <w:color w:val="000000" w:themeColor="text1"/>
          <w:szCs w:val="24"/>
        </w:rPr>
        <w:t>tained on the economy in Qatar.</w:t>
      </w:r>
      <w:r w:rsidR="001862E4" w:rsidRPr="00851D09">
        <w:rPr>
          <w:color w:val="000000" w:themeColor="text1"/>
          <w:szCs w:val="24"/>
        </w:rPr>
        <w:t xml:space="preserve"> </w:t>
      </w:r>
      <w:r w:rsidR="00AF61A3">
        <w:rPr>
          <w:color w:val="000000" w:themeColor="text1"/>
          <w:szCs w:val="24"/>
        </w:rPr>
        <w:t xml:space="preserve"> </w:t>
      </w:r>
      <w:r w:rsidR="001862E4" w:rsidRPr="00851D09">
        <w:rPr>
          <w:color w:val="000000" w:themeColor="text1"/>
          <w:szCs w:val="24"/>
        </w:rPr>
        <w:t>He was re-deployed on 18 June 2002 and seen by</w:t>
      </w:r>
      <w:r w:rsidR="00660EE7" w:rsidRPr="00851D09">
        <w:rPr>
          <w:color w:val="000000" w:themeColor="text1"/>
          <w:szCs w:val="24"/>
        </w:rPr>
        <w:t xml:space="preserve"> both an orthopedist and</w:t>
      </w:r>
      <w:r w:rsidR="001862E4" w:rsidRPr="00851D09">
        <w:rPr>
          <w:color w:val="000000" w:themeColor="text1"/>
          <w:szCs w:val="24"/>
        </w:rPr>
        <w:t xml:space="preserve"> a neurologist on</w:t>
      </w:r>
      <w:r w:rsidR="006B7CBD">
        <w:rPr>
          <w:color w:val="000000" w:themeColor="text1"/>
          <w:szCs w:val="24"/>
        </w:rPr>
        <w:t xml:space="preserve"> 20 June 2002. </w:t>
      </w:r>
      <w:r w:rsidR="00AF61A3">
        <w:rPr>
          <w:color w:val="000000" w:themeColor="text1"/>
          <w:szCs w:val="24"/>
        </w:rPr>
        <w:t xml:space="preserve"> </w:t>
      </w:r>
      <w:r w:rsidR="00B95646" w:rsidRPr="00851D09">
        <w:rPr>
          <w:color w:val="000000" w:themeColor="text1"/>
          <w:szCs w:val="24"/>
        </w:rPr>
        <w:t xml:space="preserve">At the orthopedic exam </w:t>
      </w:r>
      <w:r w:rsidR="00660EE7" w:rsidRPr="00851D09">
        <w:rPr>
          <w:color w:val="000000" w:themeColor="text1"/>
          <w:szCs w:val="24"/>
        </w:rPr>
        <w:t xml:space="preserve">he noted that this was the first episode of LBP in his lifetime and that there was a stocking distribution of paresthesias </w:t>
      </w:r>
      <w:r w:rsidR="006B7CBD">
        <w:rPr>
          <w:color w:val="000000" w:themeColor="text1"/>
          <w:szCs w:val="24"/>
        </w:rPr>
        <w:t xml:space="preserve">from the knee down in the RLE. </w:t>
      </w:r>
      <w:r w:rsidR="00AF61A3">
        <w:rPr>
          <w:color w:val="000000" w:themeColor="text1"/>
          <w:szCs w:val="24"/>
        </w:rPr>
        <w:t xml:space="preserve"> </w:t>
      </w:r>
      <w:r w:rsidR="00660EE7" w:rsidRPr="00851D09">
        <w:rPr>
          <w:color w:val="000000" w:themeColor="text1"/>
          <w:szCs w:val="24"/>
        </w:rPr>
        <w:t>Ons</w:t>
      </w:r>
      <w:r w:rsidR="006B7CBD">
        <w:rPr>
          <w:color w:val="000000" w:themeColor="text1"/>
          <w:szCs w:val="24"/>
        </w:rPr>
        <w:t xml:space="preserve">et was described as insidious. </w:t>
      </w:r>
      <w:r w:rsidR="00AF61A3">
        <w:rPr>
          <w:color w:val="000000" w:themeColor="text1"/>
          <w:szCs w:val="24"/>
        </w:rPr>
        <w:t xml:space="preserve"> </w:t>
      </w:r>
      <w:r w:rsidR="00660EE7" w:rsidRPr="00851D09">
        <w:rPr>
          <w:color w:val="000000" w:themeColor="text1"/>
          <w:szCs w:val="24"/>
        </w:rPr>
        <w:t xml:space="preserve">Motor and DTR exams were normal and no bowel or </w:t>
      </w:r>
      <w:r w:rsidR="006B7CBD">
        <w:rPr>
          <w:color w:val="000000" w:themeColor="text1"/>
          <w:szCs w:val="24"/>
        </w:rPr>
        <w:t>bladder incontinence was noted.</w:t>
      </w:r>
      <w:r w:rsidR="00660EE7" w:rsidRPr="00851D09">
        <w:rPr>
          <w:color w:val="000000" w:themeColor="text1"/>
          <w:szCs w:val="24"/>
        </w:rPr>
        <w:t xml:space="preserve"> </w:t>
      </w:r>
      <w:r w:rsidR="00AF61A3">
        <w:rPr>
          <w:color w:val="000000" w:themeColor="text1"/>
          <w:szCs w:val="24"/>
        </w:rPr>
        <w:t xml:space="preserve"> </w:t>
      </w:r>
      <w:r w:rsidR="00660EE7" w:rsidRPr="00851D09">
        <w:rPr>
          <w:color w:val="000000" w:themeColor="text1"/>
          <w:szCs w:val="24"/>
        </w:rPr>
        <w:t>MRI showed an anterior L5-S1 disc bulge</w:t>
      </w:r>
      <w:r w:rsidR="00E264D0" w:rsidRPr="00851D09">
        <w:rPr>
          <w:color w:val="000000" w:themeColor="text1"/>
          <w:szCs w:val="24"/>
        </w:rPr>
        <w:t xml:space="preserve"> and degenerative disc</w:t>
      </w:r>
      <w:r w:rsidR="006B7CBD">
        <w:rPr>
          <w:color w:val="000000" w:themeColor="text1"/>
          <w:szCs w:val="24"/>
        </w:rPr>
        <w:t xml:space="preserve"> disease (DDD) L4-5 and L5-S1. </w:t>
      </w:r>
      <w:r w:rsidR="00AF61A3">
        <w:rPr>
          <w:color w:val="000000" w:themeColor="text1"/>
          <w:szCs w:val="24"/>
        </w:rPr>
        <w:t xml:space="preserve"> </w:t>
      </w:r>
    </w:p>
    <w:p w:rsidR="00341F89" w:rsidRDefault="00341F89" w:rsidP="00DB0538">
      <w:pPr>
        <w:jc w:val="both"/>
        <w:rPr>
          <w:color w:val="000000" w:themeColor="text1"/>
          <w:szCs w:val="24"/>
        </w:rPr>
      </w:pPr>
    </w:p>
    <w:p w:rsidR="00DB0538" w:rsidRPr="003C53E8" w:rsidRDefault="00660EE7" w:rsidP="00DB0538">
      <w:pPr>
        <w:jc w:val="both"/>
        <w:rPr>
          <w:rFonts w:asciiTheme="minorHAnsi" w:hAnsiTheme="minorHAnsi" w:cs="Times New Roman"/>
          <w:color w:val="auto"/>
          <w:szCs w:val="24"/>
        </w:rPr>
      </w:pPr>
      <w:r w:rsidRPr="00851D09">
        <w:rPr>
          <w:color w:val="000000" w:themeColor="text1"/>
          <w:szCs w:val="24"/>
        </w:rPr>
        <w:t xml:space="preserve">He was thought to have a possible atypical radiculopathy of the RLE.  </w:t>
      </w:r>
      <w:r w:rsidR="00AF61A3">
        <w:rPr>
          <w:color w:val="000000" w:themeColor="text1"/>
          <w:szCs w:val="24"/>
        </w:rPr>
        <w:t xml:space="preserve"> </w:t>
      </w:r>
      <w:r w:rsidRPr="00851D09">
        <w:rPr>
          <w:color w:val="000000" w:themeColor="text1"/>
          <w:szCs w:val="24"/>
        </w:rPr>
        <w:t>At the neurology evaluation, t</w:t>
      </w:r>
      <w:r w:rsidR="00A55E92" w:rsidRPr="00851D09">
        <w:rPr>
          <w:color w:val="000000" w:themeColor="text1"/>
          <w:szCs w:val="24"/>
        </w:rPr>
        <w:t>he CI stated that he had injured himself in the mailroom and that conservative man</w:t>
      </w:r>
      <w:r w:rsidR="006B7CBD">
        <w:rPr>
          <w:color w:val="000000" w:themeColor="text1"/>
          <w:szCs w:val="24"/>
        </w:rPr>
        <w:t xml:space="preserve">agement had been unsuccessful. </w:t>
      </w:r>
      <w:r w:rsidR="00DD2643">
        <w:rPr>
          <w:color w:val="000000" w:themeColor="text1"/>
          <w:szCs w:val="24"/>
        </w:rPr>
        <w:t xml:space="preserve"> </w:t>
      </w:r>
      <w:r w:rsidR="00A55E92" w:rsidRPr="00851D09">
        <w:rPr>
          <w:color w:val="000000" w:themeColor="text1"/>
          <w:szCs w:val="24"/>
        </w:rPr>
        <w:t>He also noted RLE weakness and, upon awakening, numbness of the right 4</w:t>
      </w:r>
      <w:r w:rsidR="00634E64">
        <w:rPr>
          <w:color w:val="000000" w:themeColor="text1"/>
          <w:szCs w:val="24"/>
        </w:rPr>
        <w:t>th</w:t>
      </w:r>
      <w:r w:rsidR="00A55E92" w:rsidRPr="00851D09">
        <w:rPr>
          <w:color w:val="000000" w:themeColor="text1"/>
          <w:szCs w:val="24"/>
        </w:rPr>
        <w:t xml:space="preserve"> and 5</w:t>
      </w:r>
      <w:r w:rsidR="00634E64">
        <w:rPr>
          <w:color w:val="000000" w:themeColor="text1"/>
          <w:szCs w:val="24"/>
        </w:rPr>
        <w:t>th</w:t>
      </w:r>
      <w:r w:rsidR="006B7CBD">
        <w:rPr>
          <w:color w:val="000000" w:themeColor="text1"/>
          <w:szCs w:val="24"/>
        </w:rPr>
        <w:t xml:space="preserve"> toes.</w:t>
      </w:r>
      <w:r w:rsidR="00DD2643">
        <w:rPr>
          <w:color w:val="000000" w:themeColor="text1"/>
          <w:szCs w:val="24"/>
        </w:rPr>
        <w:t xml:space="preserve"> </w:t>
      </w:r>
      <w:r w:rsidR="00A55E92" w:rsidRPr="00851D09">
        <w:rPr>
          <w:color w:val="000000" w:themeColor="text1"/>
          <w:szCs w:val="24"/>
        </w:rPr>
        <w:t xml:space="preserve"> His motor exam was normal except for RLE and right upper extremity (RUE) “give way weakness</w:t>
      </w:r>
      <w:r w:rsidR="00DD2643">
        <w:rPr>
          <w:color w:val="000000" w:themeColor="text1"/>
          <w:szCs w:val="24"/>
        </w:rPr>
        <w:t xml:space="preserve">,” </w:t>
      </w:r>
      <w:r w:rsidR="00A55E92" w:rsidRPr="00851D09">
        <w:rPr>
          <w:color w:val="000000" w:themeColor="text1"/>
          <w:szCs w:val="24"/>
        </w:rPr>
        <w:t>an indication of non-organ</w:t>
      </w:r>
      <w:r w:rsidR="006B7CBD">
        <w:rPr>
          <w:color w:val="000000" w:themeColor="text1"/>
          <w:szCs w:val="24"/>
        </w:rPr>
        <w:t>ic etiology for the deficit.</w:t>
      </w:r>
      <w:r w:rsidR="00341F89">
        <w:rPr>
          <w:color w:val="000000" w:themeColor="text1"/>
          <w:szCs w:val="24"/>
        </w:rPr>
        <w:t xml:space="preserve"> </w:t>
      </w:r>
      <w:r w:rsidR="006B7CBD">
        <w:rPr>
          <w:color w:val="000000" w:themeColor="text1"/>
          <w:szCs w:val="24"/>
        </w:rPr>
        <w:t xml:space="preserve"> </w:t>
      </w:r>
      <w:r w:rsidR="00A55E92" w:rsidRPr="00851D09">
        <w:rPr>
          <w:color w:val="000000" w:themeColor="text1"/>
          <w:szCs w:val="24"/>
        </w:rPr>
        <w:t>Deep tendon reflexes (DTRs) were normal and sensation diminished in an L5-S1 distribution.  Straight leg raise (S</w:t>
      </w:r>
      <w:r w:rsidR="006B7CBD">
        <w:rPr>
          <w:color w:val="000000" w:themeColor="text1"/>
          <w:szCs w:val="24"/>
        </w:rPr>
        <w:t xml:space="preserve">LR) on the right was positive. </w:t>
      </w:r>
      <w:r w:rsidR="00DD2643">
        <w:rPr>
          <w:color w:val="000000" w:themeColor="text1"/>
          <w:szCs w:val="24"/>
        </w:rPr>
        <w:t xml:space="preserve"> </w:t>
      </w:r>
      <w:r w:rsidRPr="00851D09">
        <w:rPr>
          <w:color w:val="000000" w:themeColor="text1"/>
          <w:szCs w:val="24"/>
        </w:rPr>
        <w:t>He was referred to physical therapy (PT) where he noted that he had gradual onset of symptoms which worsened on 11</w:t>
      </w:r>
      <w:r w:rsidR="00634E64">
        <w:rPr>
          <w:color w:val="000000" w:themeColor="text1"/>
          <w:szCs w:val="24"/>
        </w:rPr>
        <w:t> </w:t>
      </w:r>
      <w:r w:rsidRPr="00851D09">
        <w:rPr>
          <w:color w:val="000000" w:themeColor="text1"/>
          <w:szCs w:val="24"/>
        </w:rPr>
        <w:t>May 2002 wh</w:t>
      </w:r>
      <w:r w:rsidR="006B7CBD">
        <w:rPr>
          <w:color w:val="000000" w:themeColor="text1"/>
          <w:szCs w:val="24"/>
        </w:rPr>
        <w:t>en he awoke with RLE symptoms.</w:t>
      </w:r>
      <w:r w:rsidR="00DD2643">
        <w:rPr>
          <w:color w:val="000000" w:themeColor="text1"/>
          <w:szCs w:val="24"/>
        </w:rPr>
        <w:t xml:space="preserve"> </w:t>
      </w:r>
      <w:r w:rsidR="006B7CBD">
        <w:rPr>
          <w:color w:val="000000" w:themeColor="text1"/>
          <w:szCs w:val="24"/>
        </w:rPr>
        <w:t xml:space="preserve"> </w:t>
      </w:r>
      <w:r w:rsidRPr="00851D09">
        <w:rPr>
          <w:color w:val="000000" w:themeColor="text1"/>
          <w:szCs w:val="24"/>
        </w:rPr>
        <w:t>He was treated both in the clinic and with a home exercise program (HEP) and noted to have a L5-S1 HNP wi</w:t>
      </w:r>
      <w:r w:rsidR="006B7CBD">
        <w:rPr>
          <w:color w:val="000000" w:themeColor="text1"/>
          <w:szCs w:val="24"/>
        </w:rPr>
        <w:t xml:space="preserve">th a “supratentorial overlay.” </w:t>
      </w:r>
      <w:r w:rsidR="00DD2643">
        <w:rPr>
          <w:color w:val="000000" w:themeColor="text1"/>
          <w:szCs w:val="24"/>
        </w:rPr>
        <w:t xml:space="preserve"> </w:t>
      </w:r>
      <w:r w:rsidR="00E264D0" w:rsidRPr="00851D09">
        <w:rPr>
          <w:color w:val="000000" w:themeColor="text1"/>
          <w:szCs w:val="24"/>
        </w:rPr>
        <w:t>He was seen again in orthopedics on 2 August 2003 and noted to h</w:t>
      </w:r>
      <w:r w:rsidR="00DD2643">
        <w:rPr>
          <w:color w:val="000000" w:themeColor="text1"/>
          <w:szCs w:val="24"/>
        </w:rPr>
        <w:t>ave persistent pain, good range-of-</w:t>
      </w:r>
      <w:r w:rsidR="00E264D0" w:rsidRPr="00851D09">
        <w:rPr>
          <w:color w:val="000000" w:themeColor="text1"/>
          <w:szCs w:val="24"/>
        </w:rPr>
        <w:t>motion (ROM) with a diminished right ankle jerk ref</w:t>
      </w:r>
      <w:r w:rsidR="006B7CBD">
        <w:rPr>
          <w:color w:val="000000" w:themeColor="text1"/>
          <w:szCs w:val="24"/>
        </w:rPr>
        <w:t xml:space="preserve">lex and motor exam of the RLE. </w:t>
      </w:r>
      <w:r w:rsidR="00DD2643">
        <w:rPr>
          <w:color w:val="000000" w:themeColor="text1"/>
          <w:szCs w:val="24"/>
        </w:rPr>
        <w:t xml:space="preserve"> </w:t>
      </w:r>
      <w:r w:rsidR="00E264D0" w:rsidRPr="00851D09">
        <w:rPr>
          <w:color w:val="000000" w:themeColor="text1"/>
          <w:szCs w:val="24"/>
        </w:rPr>
        <w:t>He was referred to neurosurgery where a normal motor, sensory and DTR exam was noted</w:t>
      </w:r>
      <w:r w:rsidR="006B7CBD">
        <w:rPr>
          <w:color w:val="000000" w:themeColor="text1"/>
          <w:szCs w:val="24"/>
        </w:rPr>
        <w:t xml:space="preserve">. </w:t>
      </w:r>
      <w:r w:rsidR="00DD2643">
        <w:rPr>
          <w:color w:val="000000" w:themeColor="text1"/>
          <w:szCs w:val="24"/>
        </w:rPr>
        <w:t xml:space="preserve"> </w:t>
      </w:r>
      <w:r w:rsidR="00D04232" w:rsidRPr="00851D09">
        <w:rPr>
          <w:color w:val="000000" w:themeColor="text1"/>
          <w:szCs w:val="24"/>
        </w:rPr>
        <w:t>The examiner opined that the CI had “</w:t>
      </w:r>
      <w:r w:rsidR="00DD2643">
        <w:rPr>
          <w:color w:val="000000" w:themeColor="text1"/>
          <w:szCs w:val="24"/>
        </w:rPr>
        <w:t xml:space="preserve">DDD </w:t>
      </w:r>
      <w:r w:rsidR="00D04232" w:rsidRPr="00851D09">
        <w:rPr>
          <w:color w:val="000000" w:themeColor="text1"/>
          <w:szCs w:val="24"/>
        </w:rPr>
        <w:t>with a slight bulge at 5-1 but nothing that I thin</w:t>
      </w:r>
      <w:r w:rsidR="006B7CBD">
        <w:rPr>
          <w:color w:val="000000" w:themeColor="text1"/>
          <w:szCs w:val="24"/>
        </w:rPr>
        <w:t xml:space="preserve">k is of surgical significance. </w:t>
      </w:r>
      <w:r w:rsidR="00DD2643">
        <w:rPr>
          <w:color w:val="000000" w:themeColor="text1"/>
          <w:szCs w:val="24"/>
        </w:rPr>
        <w:t xml:space="preserve"> </w:t>
      </w:r>
      <w:r w:rsidR="00D04232" w:rsidRPr="00851D09">
        <w:rPr>
          <w:color w:val="000000" w:themeColor="text1"/>
          <w:szCs w:val="24"/>
        </w:rPr>
        <w:t xml:space="preserve">I don’t think it is related to an injury and it appears to me </w:t>
      </w:r>
      <w:r w:rsidR="006B7CBD">
        <w:rPr>
          <w:color w:val="000000" w:themeColor="text1"/>
          <w:szCs w:val="24"/>
        </w:rPr>
        <w:t xml:space="preserve">to be degenerative in nature.” </w:t>
      </w:r>
      <w:r w:rsidR="00DD2643">
        <w:rPr>
          <w:color w:val="000000" w:themeColor="text1"/>
          <w:szCs w:val="24"/>
        </w:rPr>
        <w:t xml:space="preserve"> </w:t>
      </w:r>
      <w:r w:rsidR="00D04232" w:rsidRPr="00851D09">
        <w:rPr>
          <w:color w:val="000000" w:themeColor="text1"/>
          <w:szCs w:val="24"/>
        </w:rPr>
        <w:t xml:space="preserve">An orthopedic exam </w:t>
      </w:r>
      <w:r w:rsidR="00DD2643">
        <w:rPr>
          <w:color w:val="000000" w:themeColor="text1"/>
          <w:szCs w:val="24"/>
        </w:rPr>
        <w:t>3</w:t>
      </w:r>
      <w:r w:rsidR="00D04232" w:rsidRPr="00851D09">
        <w:rPr>
          <w:color w:val="000000" w:themeColor="text1"/>
          <w:szCs w:val="24"/>
        </w:rPr>
        <w:t xml:space="preserve"> days later showed a decreased S1 reflex, decreased sensation</w:t>
      </w:r>
      <w:r w:rsidR="006B7CBD">
        <w:rPr>
          <w:color w:val="000000" w:themeColor="text1"/>
          <w:szCs w:val="24"/>
        </w:rPr>
        <w:t xml:space="preserve"> at S1 and 4+/5 S1 motor exam. </w:t>
      </w:r>
      <w:r w:rsidR="00DD2643">
        <w:rPr>
          <w:color w:val="000000" w:themeColor="text1"/>
          <w:szCs w:val="24"/>
        </w:rPr>
        <w:t xml:space="preserve"> </w:t>
      </w:r>
      <w:r w:rsidR="00D04232" w:rsidRPr="00851D09">
        <w:rPr>
          <w:color w:val="000000" w:themeColor="text1"/>
          <w:szCs w:val="24"/>
        </w:rPr>
        <w:t xml:space="preserve">An electromyogram/nerve conduction velocity (EMG/NCV) study done </w:t>
      </w:r>
      <w:r w:rsidR="00DD2643">
        <w:rPr>
          <w:color w:val="000000" w:themeColor="text1"/>
          <w:szCs w:val="24"/>
        </w:rPr>
        <w:t>3</w:t>
      </w:r>
      <w:r w:rsidR="00D04232" w:rsidRPr="00851D09">
        <w:rPr>
          <w:color w:val="000000" w:themeColor="text1"/>
          <w:szCs w:val="24"/>
        </w:rPr>
        <w:t xml:space="preserve"> weeks later was negative for a ri</w:t>
      </w:r>
      <w:r w:rsidR="006B7CBD">
        <w:rPr>
          <w:color w:val="000000" w:themeColor="text1"/>
          <w:szCs w:val="24"/>
        </w:rPr>
        <w:t xml:space="preserve">ght lumbosacral radiculopathy. </w:t>
      </w:r>
      <w:r w:rsidR="00DD2643">
        <w:rPr>
          <w:color w:val="000000" w:themeColor="text1"/>
          <w:szCs w:val="24"/>
        </w:rPr>
        <w:t xml:space="preserve"> </w:t>
      </w:r>
      <w:r w:rsidR="00D04232" w:rsidRPr="00851D09">
        <w:rPr>
          <w:color w:val="000000" w:themeColor="text1"/>
          <w:szCs w:val="24"/>
        </w:rPr>
        <w:t>He was</w:t>
      </w:r>
      <w:r w:rsidR="00D04232">
        <w:rPr>
          <w:color w:val="000000" w:themeColor="text1"/>
          <w:szCs w:val="24"/>
        </w:rPr>
        <w:t xml:space="preserve"> </w:t>
      </w:r>
      <w:r w:rsidR="001D5C8D">
        <w:rPr>
          <w:color w:val="000000" w:themeColor="text1"/>
          <w:szCs w:val="24"/>
        </w:rPr>
        <w:t xml:space="preserve">determined to not be a surgical candidate and </w:t>
      </w:r>
      <w:r w:rsidR="00D04232">
        <w:rPr>
          <w:color w:val="000000" w:themeColor="text1"/>
          <w:szCs w:val="24"/>
        </w:rPr>
        <w:t xml:space="preserve">then referred by the </w:t>
      </w:r>
      <w:r w:rsidR="00D04232">
        <w:rPr>
          <w:color w:val="000000" w:themeColor="text1"/>
          <w:szCs w:val="24"/>
        </w:rPr>
        <w:lastRenderedPageBreak/>
        <w:t xml:space="preserve">orthopedist to pain management where </w:t>
      </w:r>
      <w:r w:rsidR="004A0414">
        <w:rPr>
          <w:color w:val="000000" w:themeColor="text1"/>
          <w:szCs w:val="24"/>
        </w:rPr>
        <w:t>h</w:t>
      </w:r>
      <w:r w:rsidR="00D04232">
        <w:rPr>
          <w:color w:val="000000" w:themeColor="text1"/>
          <w:szCs w:val="24"/>
        </w:rPr>
        <w:t xml:space="preserve">is exam </w:t>
      </w:r>
      <w:r w:rsidR="00D04232" w:rsidRPr="00851D09">
        <w:rPr>
          <w:color w:val="000000" w:themeColor="text1"/>
          <w:szCs w:val="24"/>
        </w:rPr>
        <w:t xml:space="preserve">was normal </w:t>
      </w:r>
      <w:r w:rsidR="004A0414" w:rsidRPr="00851D09">
        <w:rPr>
          <w:color w:val="000000" w:themeColor="text1"/>
          <w:szCs w:val="24"/>
        </w:rPr>
        <w:t>including ROM other than a diminished right Achilles reflex</w:t>
      </w:r>
      <w:r w:rsidR="006B7CBD">
        <w:rPr>
          <w:color w:val="000000" w:themeColor="text1"/>
          <w:szCs w:val="24"/>
        </w:rPr>
        <w:t xml:space="preserve">. </w:t>
      </w:r>
      <w:r w:rsidR="00DD2643">
        <w:rPr>
          <w:color w:val="000000" w:themeColor="text1"/>
          <w:szCs w:val="24"/>
        </w:rPr>
        <w:t xml:space="preserve"> </w:t>
      </w:r>
      <w:r w:rsidR="004A0414" w:rsidRPr="00851D09">
        <w:rPr>
          <w:color w:val="000000" w:themeColor="text1"/>
          <w:szCs w:val="24"/>
        </w:rPr>
        <w:t>He was treated with continued medications and epidural steroid injections (ESI) with only temporary relief and</w:t>
      </w:r>
      <w:r w:rsidR="004A0414">
        <w:rPr>
          <w:color w:val="000000" w:themeColor="text1"/>
          <w:szCs w:val="24"/>
        </w:rPr>
        <w:t xml:space="preserve"> it was determined that he should be refer</w:t>
      </w:r>
      <w:r w:rsidR="006B7CBD">
        <w:rPr>
          <w:color w:val="000000" w:themeColor="text1"/>
          <w:szCs w:val="24"/>
        </w:rPr>
        <w:t xml:space="preserve">red to MEB for persistent LBP. </w:t>
      </w:r>
      <w:r w:rsidR="00DD2643">
        <w:rPr>
          <w:color w:val="000000" w:themeColor="text1"/>
          <w:szCs w:val="24"/>
        </w:rPr>
        <w:t xml:space="preserve"> </w:t>
      </w:r>
      <w:r w:rsidR="004A0414">
        <w:rPr>
          <w:color w:val="000000" w:themeColor="text1"/>
          <w:szCs w:val="24"/>
        </w:rPr>
        <w:t>The Board notes that during the MEB period, the CI continued to be seen in the pain management clinic and</w:t>
      </w:r>
      <w:r w:rsidR="006B7CBD">
        <w:rPr>
          <w:color w:val="000000" w:themeColor="text1"/>
          <w:szCs w:val="24"/>
        </w:rPr>
        <w:t xml:space="preserve"> had multiple additional ESIs.</w:t>
      </w:r>
      <w:r w:rsidR="00DD2643">
        <w:rPr>
          <w:color w:val="000000" w:themeColor="text1"/>
          <w:szCs w:val="24"/>
        </w:rPr>
        <w:t xml:space="preserve"> </w:t>
      </w:r>
      <w:r w:rsidR="006B7CBD">
        <w:rPr>
          <w:color w:val="000000" w:themeColor="text1"/>
          <w:szCs w:val="24"/>
        </w:rPr>
        <w:t xml:space="preserve"> </w:t>
      </w:r>
      <w:r w:rsidR="00DB0538" w:rsidRPr="001675AB">
        <w:rPr>
          <w:color w:val="000000" w:themeColor="text1"/>
          <w:szCs w:val="24"/>
        </w:rPr>
        <w:t xml:space="preserve">There were </w:t>
      </w:r>
      <w:r w:rsidR="00DB0538">
        <w:rPr>
          <w:color w:val="000000" w:themeColor="text1"/>
          <w:szCs w:val="24"/>
        </w:rPr>
        <w:t>four</w:t>
      </w:r>
      <w:r w:rsidR="00DB0538" w:rsidRPr="001675AB">
        <w:rPr>
          <w:color w:val="000000" w:themeColor="text1"/>
          <w:szCs w:val="24"/>
        </w:rPr>
        <w:t xml:space="preserve"> goniometric ROM evaluations in evidence, with documentation of additional ratable criteria, which the Board weighed in arriving at its rating recommendation</w:t>
      </w:r>
      <w:r w:rsidR="00DB0538" w:rsidRPr="003C53E8">
        <w:rPr>
          <w:rFonts w:asciiTheme="minorHAnsi" w:hAnsiTheme="minorHAnsi" w:cs="Times New Roman"/>
          <w:color w:val="auto"/>
          <w:szCs w:val="24"/>
        </w:rPr>
        <w:t>.</w:t>
      </w:r>
    </w:p>
    <w:p w:rsidR="00DB0538" w:rsidRPr="003C53E8" w:rsidRDefault="00DB0538" w:rsidP="00DB0538">
      <w:pPr>
        <w:tabs>
          <w:tab w:val="left" w:pos="288"/>
          <w:tab w:val="left" w:pos="4752"/>
        </w:tabs>
        <w:jc w:val="left"/>
        <w:rPr>
          <w:rFonts w:asciiTheme="minorHAnsi" w:hAnsiTheme="minorHAnsi" w:cs="Times New Roman"/>
          <w:color w:val="auto"/>
          <w:szCs w:val="24"/>
        </w:rPr>
      </w:pPr>
    </w:p>
    <w:tbl>
      <w:tblPr>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440"/>
        <w:gridCol w:w="2430"/>
        <w:gridCol w:w="2070"/>
        <w:gridCol w:w="1620"/>
      </w:tblGrid>
      <w:tr w:rsidR="007A2380" w:rsidRPr="003C53E8" w:rsidTr="00A83C63">
        <w:trPr>
          <w:trHeight w:val="475"/>
        </w:trPr>
        <w:tc>
          <w:tcPr>
            <w:tcW w:w="1620" w:type="dxa"/>
            <w:shd w:val="clear" w:color="auto" w:fill="D9D9D9" w:themeFill="background1" w:themeFillShade="D9"/>
          </w:tcPr>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Thoracolumbar ROM</w:t>
            </w:r>
          </w:p>
        </w:tc>
        <w:tc>
          <w:tcPr>
            <w:tcW w:w="1440" w:type="dxa"/>
            <w:shd w:val="clear" w:color="auto" w:fill="D9D9D9" w:themeFill="background1" w:themeFillShade="D9"/>
          </w:tcPr>
          <w:p w:rsidR="007A2380" w:rsidRPr="007A2380" w:rsidRDefault="007A2380" w:rsidP="003A3B31">
            <w:pPr>
              <w:contextualSpacing/>
              <w:rPr>
                <w:rFonts w:eastAsiaTheme="minorHAnsi" w:cstheme="minorBidi"/>
                <w:color w:val="auto"/>
                <w:sz w:val="20"/>
              </w:rPr>
            </w:pPr>
            <w:r w:rsidRPr="007A2380">
              <w:rPr>
                <w:rFonts w:eastAsia="Calibri" w:cs="Times New Roman"/>
                <w:color w:val="auto"/>
                <w:sz w:val="20"/>
              </w:rPr>
              <w:t>VA</w:t>
            </w:r>
            <w:r w:rsidRPr="007A2380">
              <w:rPr>
                <w:rFonts w:eastAsiaTheme="minorHAnsi" w:cstheme="minorBidi"/>
                <w:color w:val="auto"/>
                <w:sz w:val="20"/>
              </w:rPr>
              <w:t xml:space="preserve"> C&amp;P </w:t>
            </w:r>
          </w:p>
          <w:p w:rsidR="007A2380" w:rsidRPr="007A2380" w:rsidRDefault="007A2380" w:rsidP="003A3B31">
            <w:pPr>
              <w:contextualSpacing/>
              <w:rPr>
                <w:rFonts w:eastAsiaTheme="minorHAnsi" w:cstheme="minorBidi"/>
                <w:color w:val="auto"/>
                <w:sz w:val="20"/>
              </w:rPr>
            </w:pPr>
            <w:r w:rsidRPr="007A2380">
              <w:rPr>
                <w:rFonts w:eastAsiaTheme="minorHAnsi" w:cstheme="minorBidi"/>
                <w:color w:val="auto"/>
                <w:sz w:val="20"/>
              </w:rPr>
              <w:t xml:space="preserve">16 </w:t>
            </w:r>
            <w:r w:rsidR="00AF56D7">
              <w:rPr>
                <w:rFonts w:eastAsiaTheme="minorHAnsi" w:cstheme="minorBidi"/>
                <w:color w:val="auto"/>
                <w:sz w:val="20"/>
              </w:rPr>
              <w:t>month</w:t>
            </w:r>
            <w:r w:rsidR="00AF56D7" w:rsidRPr="007A2380">
              <w:rPr>
                <w:rFonts w:eastAsiaTheme="minorHAnsi" w:cstheme="minorBidi"/>
                <w:color w:val="auto"/>
                <w:sz w:val="20"/>
              </w:rPr>
              <w:t xml:space="preserve">s </w:t>
            </w:r>
            <w:r w:rsidRPr="007A2380">
              <w:rPr>
                <w:rFonts w:eastAsiaTheme="minorHAnsi" w:cstheme="minorBidi"/>
                <w:color w:val="auto"/>
                <w:sz w:val="20"/>
              </w:rPr>
              <w:t>Pre</w:t>
            </w:r>
            <w:r w:rsidR="00AF56D7">
              <w:rPr>
                <w:rFonts w:eastAsiaTheme="minorHAnsi" w:cstheme="minorBidi"/>
                <w:color w:val="auto"/>
                <w:sz w:val="20"/>
              </w:rPr>
              <w:t>-</w:t>
            </w:r>
            <w:r w:rsidRPr="007A2380">
              <w:rPr>
                <w:rFonts w:eastAsiaTheme="minorHAnsi" w:cstheme="minorBidi"/>
                <w:color w:val="auto"/>
                <w:sz w:val="20"/>
              </w:rPr>
              <w:t>Sep</w:t>
            </w:r>
            <w:r w:rsidR="00AF56D7">
              <w:rPr>
                <w:rFonts w:eastAsiaTheme="minorHAnsi" w:cstheme="minorBidi"/>
                <w:color w:val="auto"/>
                <w:sz w:val="20"/>
              </w:rPr>
              <w:t>aration</w:t>
            </w:r>
          </w:p>
          <w:p w:rsidR="007A2380" w:rsidRPr="007A2380" w:rsidRDefault="007A2380" w:rsidP="003A3B31">
            <w:pPr>
              <w:contextualSpacing/>
              <w:rPr>
                <w:rFonts w:eastAsia="Calibri" w:cs="Times New Roman"/>
                <w:color w:val="auto"/>
                <w:sz w:val="20"/>
              </w:rPr>
            </w:pPr>
            <w:r w:rsidRPr="007A2380">
              <w:rPr>
                <w:rFonts w:eastAsiaTheme="minorHAnsi" w:cstheme="minorBidi"/>
                <w:color w:val="auto"/>
                <w:sz w:val="20"/>
              </w:rPr>
              <w:t>20030530</w:t>
            </w:r>
          </w:p>
        </w:tc>
        <w:tc>
          <w:tcPr>
            <w:tcW w:w="2430" w:type="dxa"/>
            <w:shd w:val="clear" w:color="auto" w:fill="D9D9D9" w:themeFill="background1" w:themeFillShade="D9"/>
          </w:tcPr>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PT for MEB</w:t>
            </w:r>
          </w:p>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 xml:space="preserve"> 8 Mo</w:t>
            </w:r>
            <w:r w:rsidR="00DD6446">
              <w:rPr>
                <w:rFonts w:eastAsia="Calibri" w:cs="Times New Roman"/>
                <w:color w:val="auto"/>
                <w:sz w:val="20"/>
              </w:rPr>
              <w:t>n</w:t>
            </w:r>
            <w:r w:rsidR="00AF56D7">
              <w:rPr>
                <w:rFonts w:eastAsia="Calibri" w:cs="Times New Roman"/>
                <w:color w:val="auto"/>
                <w:sz w:val="20"/>
              </w:rPr>
              <w:t>th</w:t>
            </w:r>
            <w:r w:rsidRPr="007A2380">
              <w:rPr>
                <w:rFonts w:eastAsia="Calibri" w:cs="Times New Roman"/>
                <w:color w:val="auto"/>
                <w:sz w:val="20"/>
              </w:rPr>
              <w:t>s Pre</w:t>
            </w:r>
            <w:r w:rsidR="00AF56D7">
              <w:rPr>
                <w:rFonts w:eastAsia="Calibri" w:cs="Times New Roman"/>
                <w:color w:val="auto"/>
                <w:sz w:val="20"/>
              </w:rPr>
              <w:t>-</w:t>
            </w:r>
            <w:r w:rsidRPr="007A2380">
              <w:rPr>
                <w:rFonts w:eastAsia="Calibri" w:cs="Times New Roman"/>
                <w:color w:val="auto"/>
                <w:sz w:val="20"/>
              </w:rPr>
              <w:t>Sep</w:t>
            </w:r>
            <w:r w:rsidR="00AF56D7">
              <w:rPr>
                <w:rFonts w:eastAsia="Calibri" w:cs="Times New Roman"/>
                <w:color w:val="auto"/>
                <w:sz w:val="20"/>
              </w:rPr>
              <w:t>aration</w:t>
            </w:r>
          </w:p>
          <w:p w:rsidR="007A2380" w:rsidRPr="007A2380" w:rsidRDefault="007A2380" w:rsidP="00851D09">
            <w:pPr>
              <w:contextualSpacing/>
              <w:rPr>
                <w:rFonts w:eastAsia="Calibri" w:cs="Times New Roman"/>
                <w:color w:val="auto"/>
                <w:sz w:val="20"/>
              </w:rPr>
            </w:pPr>
            <w:r w:rsidRPr="007A2380">
              <w:rPr>
                <w:rFonts w:eastAsia="Calibri" w:cs="Times New Roman"/>
                <w:color w:val="auto"/>
                <w:sz w:val="20"/>
              </w:rPr>
              <w:t>20040115</w:t>
            </w:r>
            <w:r w:rsidR="00DD6446">
              <w:rPr>
                <w:rFonts w:eastAsia="Calibri" w:cs="Times New Roman"/>
                <w:color w:val="auto"/>
                <w:sz w:val="20"/>
              </w:rPr>
              <w:t xml:space="preserve"> </w:t>
            </w:r>
          </w:p>
        </w:tc>
        <w:tc>
          <w:tcPr>
            <w:tcW w:w="2070" w:type="dxa"/>
            <w:shd w:val="clear" w:color="auto" w:fill="D9D9D9" w:themeFill="background1" w:themeFillShade="D9"/>
          </w:tcPr>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Disability H&amp;P</w:t>
            </w:r>
          </w:p>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3 Months Post-Separation</w:t>
            </w:r>
          </w:p>
          <w:p w:rsidR="007A2380" w:rsidRPr="007A2380" w:rsidRDefault="007A2380" w:rsidP="00851D09">
            <w:pPr>
              <w:contextualSpacing/>
              <w:rPr>
                <w:rFonts w:eastAsia="Calibri" w:cs="Times New Roman"/>
                <w:color w:val="auto"/>
                <w:sz w:val="20"/>
              </w:rPr>
            </w:pPr>
            <w:r w:rsidRPr="007A2380">
              <w:rPr>
                <w:rFonts w:eastAsia="Calibri" w:cs="Times New Roman"/>
                <w:color w:val="auto"/>
                <w:sz w:val="20"/>
              </w:rPr>
              <w:t>20041229</w:t>
            </w:r>
            <w:r w:rsidR="00AF56D7">
              <w:rPr>
                <w:rFonts w:eastAsia="Calibri" w:cs="Times New Roman"/>
                <w:color w:val="auto"/>
                <w:sz w:val="20"/>
              </w:rPr>
              <w:t xml:space="preserve"> </w:t>
            </w:r>
          </w:p>
        </w:tc>
        <w:tc>
          <w:tcPr>
            <w:tcW w:w="1620" w:type="dxa"/>
            <w:shd w:val="clear" w:color="auto" w:fill="D9D9D9" w:themeFill="background1" w:themeFillShade="D9"/>
          </w:tcPr>
          <w:p w:rsidR="007A2380" w:rsidRPr="007A2380" w:rsidRDefault="007A2380" w:rsidP="003A3B31">
            <w:pPr>
              <w:contextualSpacing/>
              <w:rPr>
                <w:rFonts w:eastAsiaTheme="minorHAnsi" w:cstheme="minorBidi"/>
                <w:color w:val="auto"/>
                <w:sz w:val="20"/>
              </w:rPr>
            </w:pPr>
            <w:r w:rsidRPr="007A2380">
              <w:rPr>
                <w:rFonts w:eastAsia="Calibri" w:cs="Times New Roman"/>
                <w:color w:val="auto"/>
                <w:sz w:val="20"/>
              </w:rPr>
              <w:t>VA</w:t>
            </w:r>
            <w:r w:rsidRPr="007A2380">
              <w:rPr>
                <w:rFonts w:eastAsiaTheme="minorHAnsi" w:cstheme="minorBidi"/>
                <w:color w:val="auto"/>
                <w:sz w:val="20"/>
              </w:rPr>
              <w:t xml:space="preserve"> C&amp;P </w:t>
            </w:r>
          </w:p>
          <w:p w:rsidR="007A2380" w:rsidRPr="007A2380" w:rsidRDefault="00AF56D7" w:rsidP="003A3B31">
            <w:pPr>
              <w:contextualSpacing/>
              <w:rPr>
                <w:rFonts w:eastAsiaTheme="minorHAnsi" w:cstheme="minorBidi"/>
                <w:color w:val="auto"/>
                <w:sz w:val="20"/>
              </w:rPr>
            </w:pPr>
            <w:r>
              <w:rPr>
                <w:rFonts w:eastAsiaTheme="minorHAnsi" w:cstheme="minorBidi"/>
                <w:color w:val="auto"/>
                <w:sz w:val="20"/>
              </w:rPr>
              <w:t>2</w:t>
            </w:r>
            <w:r w:rsidR="007A2380" w:rsidRPr="007A2380">
              <w:rPr>
                <w:rFonts w:eastAsiaTheme="minorHAnsi" w:cstheme="minorBidi"/>
                <w:color w:val="auto"/>
                <w:sz w:val="20"/>
              </w:rPr>
              <w:t xml:space="preserve">6 </w:t>
            </w:r>
            <w:r>
              <w:rPr>
                <w:rFonts w:eastAsiaTheme="minorHAnsi" w:cstheme="minorBidi"/>
                <w:color w:val="auto"/>
                <w:sz w:val="20"/>
              </w:rPr>
              <w:t>M</w:t>
            </w:r>
            <w:r w:rsidRPr="007A2380">
              <w:rPr>
                <w:rFonts w:eastAsiaTheme="minorHAnsi" w:cstheme="minorBidi"/>
                <w:color w:val="auto"/>
                <w:sz w:val="20"/>
              </w:rPr>
              <w:t>o</w:t>
            </w:r>
            <w:r w:rsidR="00A12CFE">
              <w:rPr>
                <w:rFonts w:eastAsiaTheme="minorHAnsi" w:cstheme="minorBidi"/>
                <w:color w:val="auto"/>
                <w:sz w:val="20"/>
              </w:rPr>
              <w:t>n</w:t>
            </w:r>
            <w:r>
              <w:rPr>
                <w:rFonts w:eastAsiaTheme="minorHAnsi" w:cstheme="minorBidi"/>
                <w:color w:val="auto"/>
                <w:sz w:val="20"/>
              </w:rPr>
              <w:t>th</w:t>
            </w:r>
            <w:r w:rsidRPr="007A2380">
              <w:rPr>
                <w:rFonts w:eastAsiaTheme="minorHAnsi" w:cstheme="minorBidi"/>
                <w:color w:val="auto"/>
                <w:sz w:val="20"/>
              </w:rPr>
              <w:t xml:space="preserve">s </w:t>
            </w:r>
            <w:r w:rsidR="007A2380" w:rsidRPr="007A2380">
              <w:rPr>
                <w:rFonts w:eastAsiaTheme="minorHAnsi" w:cstheme="minorBidi"/>
                <w:color w:val="auto"/>
                <w:sz w:val="20"/>
              </w:rPr>
              <w:t>Post</w:t>
            </w:r>
            <w:r>
              <w:rPr>
                <w:rFonts w:eastAsiaTheme="minorHAnsi" w:cstheme="minorBidi"/>
                <w:color w:val="auto"/>
                <w:sz w:val="20"/>
              </w:rPr>
              <w:t>-</w:t>
            </w:r>
            <w:r w:rsidR="007A2380" w:rsidRPr="007A2380">
              <w:rPr>
                <w:rFonts w:eastAsiaTheme="minorHAnsi" w:cstheme="minorBidi"/>
                <w:color w:val="auto"/>
                <w:sz w:val="20"/>
              </w:rPr>
              <w:t>Sep</w:t>
            </w:r>
            <w:r>
              <w:rPr>
                <w:rFonts w:eastAsiaTheme="minorHAnsi" w:cstheme="minorBidi"/>
                <w:color w:val="auto"/>
                <w:sz w:val="20"/>
              </w:rPr>
              <w:t>aration</w:t>
            </w:r>
          </w:p>
          <w:p w:rsidR="007A2380" w:rsidRPr="007A2380" w:rsidRDefault="007A2380" w:rsidP="003A3B31">
            <w:pPr>
              <w:contextualSpacing/>
              <w:rPr>
                <w:rFonts w:eastAsiaTheme="minorHAnsi" w:cstheme="minorBidi"/>
                <w:color w:val="auto"/>
                <w:sz w:val="20"/>
              </w:rPr>
            </w:pPr>
            <w:r w:rsidRPr="007A2380">
              <w:rPr>
                <w:rFonts w:eastAsiaTheme="minorHAnsi" w:cstheme="minorBidi"/>
                <w:color w:val="auto"/>
                <w:sz w:val="20"/>
              </w:rPr>
              <w:t>20061130</w:t>
            </w:r>
          </w:p>
        </w:tc>
      </w:tr>
      <w:tr w:rsidR="007A2380" w:rsidRPr="003C53E8" w:rsidTr="00A83C63">
        <w:trPr>
          <w:trHeight w:val="237"/>
        </w:trPr>
        <w:tc>
          <w:tcPr>
            <w:tcW w:w="1620" w:type="dxa"/>
          </w:tcPr>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Flexion 0-90⁰ normal</w:t>
            </w:r>
          </w:p>
        </w:tc>
        <w:tc>
          <w:tcPr>
            <w:tcW w:w="1440" w:type="dxa"/>
            <w:vAlign w:val="center"/>
          </w:tcPr>
          <w:p w:rsidR="007A2380" w:rsidRPr="007A2380" w:rsidRDefault="007A2380" w:rsidP="007A2380">
            <w:pPr>
              <w:contextualSpacing/>
              <w:rPr>
                <w:rFonts w:eastAsia="Calibri" w:cs="Times New Roman"/>
                <w:color w:val="auto"/>
                <w:sz w:val="20"/>
              </w:rPr>
            </w:pPr>
            <w:r w:rsidRPr="007A2380">
              <w:rPr>
                <w:rFonts w:eastAsia="Calibri" w:cs="Times New Roman"/>
                <w:color w:val="auto"/>
                <w:sz w:val="20"/>
              </w:rPr>
              <w:t>70⁰</w:t>
            </w:r>
          </w:p>
        </w:tc>
        <w:tc>
          <w:tcPr>
            <w:tcW w:w="2430" w:type="dxa"/>
            <w:vAlign w:val="center"/>
          </w:tcPr>
          <w:p w:rsidR="007A2380" w:rsidRPr="007A2380" w:rsidRDefault="007A2380" w:rsidP="007A2380">
            <w:pPr>
              <w:contextualSpacing/>
              <w:rPr>
                <w:rFonts w:eastAsia="Calibri" w:cs="Times New Roman"/>
                <w:color w:val="auto"/>
                <w:sz w:val="20"/>
              </w:rPr>
            </w:pPr>
            <w:r w:rsidRPr="007A2380">
              <w:rPr>
                <w:rFonts w:eastAsia="Calibri" w:cs="Times New Roman"/>
                <w:color w:val="auto"/>
                <w:sz w:val="20"/>
              </w:rPr>
              <w:t>10⁰ (20</w:t>
            </w:r>
            <w:r w:rsidRPr="007A2380">
              <w:rPr>
                <w:rFonts w:eastAsia="Calibri" w:cs="Calibri"/>
                <w:color w:val="auto"/>
                <w:sz w:val="20"/>
              </w:rPr>
              <w:t>°</w:t>
            </w:r>
            <w:r w:rsidRPr="007A2380">
              <w:rPr>
                <w:rFonts w:eastAsia="Calibri" w:cs="Times New Roman"/>
                <w:color w:val="auto"/>
                <w:sz w:val="20"/>
              </w:rPr>
              <w:t>, 25</w:t>
            </w:r>
            <w:r w:rsidRPr="007A2380">
              <w:rPr>
                <w:rFonts w:eastAsia="Calibri" w:cs="Calibri"/>
                <w:color w:val="auto"/>
                <w:sz w:val="20"/>
              </w:rPr>
              <w:t>°</w:t>
            </w:r>
            <w:r w:rsidRPr="007A2380">
              <w:rPr>
                <w:rFonts w:eastAsia="Calibri" w:cs="Times New Roman"/>
                <w:color w:val="auto"/>
                <w:sz w:val="20"/>
              </w:rPr>
              <w:t>, 10</w:t>
            </w:r>
            <w:r w:rsidRPr="007A2380">
              <w:rPr>
                <w:rFonts w:eastAsia="Calibri" w:cs="Calibri"/>
                <w:color w:val="auto"/>
                <w:sz w:val="20"/>
              </w:rPr>
              <w:t>°</w:t>
            </w:r>
            <w:r w:rsidRPr="007A2380">
              <w:rPr>
                <w:rFonts w:eastAsia="Calibri" w:cs="Times New Roman"/>
                <w:color w:val="auto"/>
                <w:sz w:val="20"/>
              </w:rPr>
              <w:t>)</w:t>
            </w:r>
          </w:p>
        </w:tc>
        <w:tc>
          <w:tcPr>
            <w:tcW w:w="2070" w:type="dxa"/>
            <w:vAlign w:val="center"/>
          </w:tcPr>
          <w:p w:rsidR="007A2380" w:rsidRPr="007A2380" w:rsidRDefault="00AF56D7" w:rsidP="007A2380">
            <w:pPr>
              <w:contextualSpacing/>
              <w:rPr>
                <w:rFonts w:eastAsia="Calibri" w:cs="Times New Roman"/>
                <w:color w:val="auto"/>
                <w:sz w:val="20"/>
              </w:rPr>
            </w:pPr>
            <w:r>
              <w:rPr>
                <w:rFonts w:eastAsia="Calibri" w:cs="Times New Roman"/>
                <w:color w:val="auto"/>
                <w:sz w:val="20"/>
              </w:rPr>
              <w:t xml:space="preserve">About </w:t>
            </w:r>
            <w:r w:rsidR="007A2380" w:rsidRPr="007A2380">
              <w:rPr>
                <w:rFonts w:eastAsia="Calibri" w:cs="Times New Roman"/>
                <w:color w:val="auto"/>
                <w:sz w:val="20"/>
              </w:rPr>
              <w:t>20</w:t>
            </w:r>
            <w:r w:rsidR="007A2380" w:rsidRPr="007A2380">
              <w:rPr>
                <w:rFonts w:eastAsia="Calibri" w:cs="Calibri"/>
                <w:color w:val="auto"/>
                <w:sz w:val="20"/>
              </w:rPr>
              <w:t>°</w:t>
            </w:r>
          </w:p>
        </w:tc>
        <w:tc>
          <w:tcPr>
            <w:tcW w:w="1620" w:type="dxa"/>
            <w:vAlign w:val="center"/>
          </w:tcPr>
          <w:p w:rsidR="007A2380" w:rsidRPr="007A2380" w:rsidRDefault="007A2380" w:rsidP="007A2380">
            <w:pPr>
              <w:contextualSpacing/>
              <w:rPr>
                <w:rFonts w:eastAsia="Calibri" w:cs="Times New Roman"/>
                <w:color w:val="auto"/>
                <w:sz w:val="20"/>
              </w:rPr>
            </w:pPr>
            <w:r w:rsidRPr="007A2380">
              <w:rPr>
                <w:rFonts w:eastAsia="Calibri" w:cs="Times New Roman"/>
                <w:color w:val="auto"/>
                <w:sz w:val="20"/>
              </w:rPr>
              <w:t>20⁰</w:t>
            </w:r>
          </w:p>
        </w:tc>
      </w:tr>
      <w:tr w:rsidR="007A2380" w:rsidRPr="003C53E8" w:rsidTr="00A83C63">
        <w:trPr>
          <w:trHeight w:val="247"/>
        </w:trPr>
        <w:tc>
          <w:tcPr>
            <w:tcW w:w="1620" w:type="dxa"/>
          </w:tcPr>
          <w:p w:rsidR="007A2380" w:rsidRPr="007A2380" w:rsidRDefault="007A2380" w:rsidP="003A3B31">
            <w:pPr>
              <w:contextualSpacing/>
              <w:rPr>
                <w:rFonts w:eastAsia="Calibri" w:cs="Times New Roman"/>
                <w:color w:val="auto"/>
                <w:sz w:val="20"/>
              </w:rPr>
            </w:pPr>
            <w:r w:rsidRPr="007A2380">
              <w:rPr>
                <w:rFonts w:eastAsia="Calibri" w:cs="Times New Roman"/>
                <w:color w:val="auto"/>
                <w:sz w:val="20"/>
              </w:rPr>
              <w:t>Combined 240⁰ normal</w:t>
            </w:r>
          </w:p>
        </w:tc>
        <w:tc>
          <w:tcPr>
            <w:tcW w:w="1440" w:type="dxa"/>
            <w:vAlign w:val="center"/>
          </w:tcPr>
          <w:p w:rsidR="007A2380" w:rsidRPr="007A2380" w:rsidRDefault="00DD6446" w:rsidP="00DD6446">
            <w:pPr>
              <w:contextualSpacing/>
              <w:rPr>
                <w:rFonts w:eastAsia="Calibri" w:cs="Times New Roman"/>
                <w:color w:val="auto"/>
                <w:sz w:val="20"/>
              </w:rPr>
            </w:pPr>
            <w:r w:rsidRPr="007A2380">
              <w:rPr>
                <w:rFonts w:eastAsia="Calibri" w:cs="Times New Roman"/>
                <w:color w:val="auto"/>
                <w:sz w:val="20"/>
              </w:rPr>
              <w:t>2</w:t>
            </w:r>
            <w:r>
              <w:rPr>
                <w:rFonts w:eastAsia="Calibri" w:cs="Times New Roman"/>
                <w:color w:val="auto"/>
                <w:sz w:val="20"/>
              </w:rPr>
              <w:t>10</w:t>
            </w:r>
            <w:r w:rsidR="007A2380" w:rsidRPr="007A2380">
              <w:rPr>
                <w:rFonts w:eastAsia="Calibri" w:cs="Times New Roman"/>
                <w:color w:val="auto"/>
                <w:sz w:val="20"/>
              </w:rPr>
              <w:t>⁰</w:t>
            </w:r>
          </w:p>
        </w:tc>
        <w:tc>
          <w:tcPr>
            <w:tcW w:w="2430" w:type="dxa"/>
            <w:vAlign w:val="center"/>
          </w:tcPr>
          <w:p w:rsidR="007A2380" w:rsidRPr="007A2380" w:rsidRDefault="00DD6446" w:rsidP="00DD6446">
            <w:pPr>
              <w:contextualSpacing/>
              <w:rPr>
                <w:rFonts w:eastAsia="Calibri" w:cs="Times New Roman"/>
                <w:color w:val="auto"/>
                <w:sz w:val="20"/>
              </w:rPr>
            </w:pPr>
            <w:r w:rsidRPr="007A2380">
              <w:rPr>
                <w:rFonts w:eastAsia="Calibri" w:cs="Times New Roman"/>
                <w:color w:val="auto"/>
                <w:sz w:val="20"/>
              </w:rPr>
              <w:t>1</w:t>
            </w:r>
            <w:r>
              <w:rPr>
                <w:rFonts w:eastAsia="Calibri" w:cs="Times New Roman"/>
                <w:color w:val="auto"/>
                <w:sz w:val="20"/>
              </w:rPr>
              <w:t>2</w:t>
            </w:r>
            <w:r w:rsidRPr="007A2380">
              <w:rPr>
                <w:rFonts w:eastAsia="Calibri" w:cs="Times New Roman"/>
                <w:color w:val="auto"/>
                <w:sz w:val="20"/>
              </w:rPr>
              <w:t>5</w:t>
            </w:r>
            <w:r w:rsidR="007A2380" w:rsidRPr="007A2380">
              <w:rPr>
                <w:rFonts w:eastAsia="Calibri" w:cs="Times New Roman"/>
                <w:color w:val="auto"/>
                <w:sz w:val="20"/>
              </w:rPr>
              <w:t>⁰</w:t>
            </w:r>
          </w:p>
        </w:tc>
        <w:tc>
          <w:tcPr>
            <w:tcW w:w="2070" w:type="dxa"/>
            <w:vAlign w:val="center"/>
          </w:tcPr>
          <w:p w:rsidR="007A2380" w:rsidRPr="007A2380" w:rsidRDefault="00AF56D7" w:rsidP="007A2380">
            <w:pPr>
              <w:contextualSpacing/>
              <w:rPr>
                <w:rFonts w:eastAsia="Calibri" w:cs="Times New Roman"/>
                <w:color w:val="auto"/>
                <w:sz w:val="20"/>
              </w:rPr>
            </w:pPr>
            <w:r>
              <w:rPr>
                <w:rFonts w:eastAsia="Calibri" w:cs="Times New Roman"/>
                <w:color w:val="auto"/>
                <w:sz w:val="20"/>
              </w:rPr>
              <w:t>Not measured</w:t>
            </w:r>
          </w:p>
        </w:tc>
        <w:tc>
          <w:tcPr>
            <w:tcW w:w="1620" w:type="dxa"/>
            <w:vAlign w:val="center"/>
          </w:tcPr>
          <w:p w:rsidR="007A2380" w:rsidRPr="007A2380" w:rsidRDefault="007A2380" w:rsidP="007A2380">
            <w:pPr>
              <w:contextualSpacing/>
              <w:rPr>
                <w:rFonts w:eastAsia="Calibri" w:cs="Times New Roman"/>
                <w:color w:val="auto"/>
                <w:sz w:val="20"/>
              </w:rPr>
            </w:pPr>
            <w:r w:rsidRPr="007A2380">
              <w:rPr>
                <w:rFonts w:eastAsia="Calibri" w:cs="Times New Roman"/>
                <w:color w:val="auto"/>
                <w:sz w:val="20"/>
              </w:rPr>
              <w:t>110⁰</w:t>
            </w:r>
          </w:p>
        </w:tc>
      </w:tr>
      <w:tr w:rsidR="007A2380" w:rsidRPr="003C53E8" w:rsidTr="00A83C63">
        <w:trPr>
          <w:trHeight w:val="959"/>
        </w:trPr>
        <w:tc>
          <w:tcPr>
            <w:tcW w:w="1620" w:type="dxa"/>
          </w:tcPr>
          <w:p w:rsidR="007A2380" w:rsidRPr="007A2380" w:rsidRDefault="007A2380" w:rsidP="003A3B31">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Comments</w:t>
            </w:r>
          </w:p>
        </w:tc>
        <w:tc>
          <w:tcPr>
            <w:tcW w:w="144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rPr>
            </w:pPr>
            <w:r w:rsidRPr="00851D09">
              <w:rPr>
                <w:rFonts w:asciiTheme="minorHAnsi" w:eastAsiaTheme="minorHAnsi" w:hAnsiTheme="minorHAnsi" w:cs="Times New Roman"/>
                <w:color w:val="auto"/>
                <w:sz w:val="20"/>
              </w:rPr>
              <w:t>Lumbar spasm and mild limp to the right</w:t>
            </w:r>
            <w:r w:rsidR="00A83C63">
              <w:rPr>
                <w:rFonts w:asciiTheme="minorHAnsi" w:eastAsiaTheme="minorHAnsi" w:hAnsiTheme="minorHAnsi" w:cs="Times New Roman"/>
                <w:color w:val="auto"/>
                <w:sz w:val="20"/>
              </w:rPr>
              <w:t>; not able to walk on heels but is able to go  up and down on his toes; no motor weakness; reflexes 2+; no incontinence</w:t>
            </w:r>
          </w:p>
          <w:p w:rsidR="007A2380" w:rsidRPr="007A2380" w:rsidRDefault="007A2380" w:rsidP="007A2380">
            <w:pPr>
              <w:tabs>
                <w:tab w:val="left" w:pos="288"/>
                <w:tab w:val="left" w:pos="4752"/>
              </w:tabs>
              <w:rPr>
                <w:rFonts w:asciiTheme="minorHAnsi" w:eastAsiaTheme="minorHAnsi" w:hAnsiTheme="minorHAnsi" w:cs="Times New Roman"/>
                <w:color w:val="auto"/>
                <w:sz w:val="20"/>
              </w:rPr>
            </w:pPr>
          </w:p>
        </w:tc>
        <w:tc>
          <w:tcPr>
            <w:tcW w:w="2430" w:type="dxa"/>
            <w:vAlign w:val="center"/>
          </w:tcPr>
          <w:p w:rsidR="007A2380" w:rsidRPr="007A2380" w:rsidRDefault="00D15609" w:rsidP="004B5593">
            <w:pPr>
              <w:tabs>
                <w:tab w:val="left" w:pos="288"/>
                <w:tab w:val="left" w:pos="4752"/>
              </w:tabs>
              <w:rPr>
                <w:rFonts w:asciiTheme="minorHAnsi" w:eastAsiaTheme="minorHAnsi" w:hAnsiTheme="minorHAnsi" w:cs="Times New Roman"/>
                <w:color w:val="auto"/>
                <w:sz w:val="20"/>
              </w:rPr>
            </w:pPr>
            <w:r>
              <w:rPr>
                <w:rFonts w:asciiTheme="minorHAnsi" w:eastAsiaTheme="minorHAnsi" w:hAnsiTheme="minorHAnsi" w:cs="Times New Roman"/>
                <w:color w:val="auto"/>
                <w:sz w:val="20"/>
              </w:rPr>
              <w:t>Rest of exam done 2003</w:t>
            </w:r>
            <w:r w:rsidR="004B5593">
              <w:rPr>
                <w:rFonts w:asciiTheme="minorHAnsi" w:eastAsiaTheme="minorHAnsi" w:hAnsiTheme="minorHAnsi" w:cs="Times New Roman"/>
                <w:color w:val="auto"/>
                <w:sz w:val="20"/>
              </w:rPr>
              <w:t>0916</w:t>
            </w:r>
            <w:r>
              <w:rPr>
                <w:rFonts w:asciiTheme="minorHAnsi" w:eastAsiaTheme="minorHAnsi" w:hAnsiTheme="minorHAnsi" w:cs="Times New Roman"/>
                <w:color w:val="auto"/>
                <w:sz w:val="20"/>
              </w:rPr>
              <w:t>:</w:t>
            </w:r>
            <w:r w:rsidR="00B1243F">
              <w:rPr>
                <w:rFonts w:asciiTheme="minorHAnsi" w:eastAsiaTheme="minorHAnsi" w:hAnsiTheme="minorHAnsi" w:cs="Times New Roman"/>
                <w:color w:val="auto"/>
                <w:sz w:val="20"/>
              </w:rPr>
              <w:t xml:space="preserve"> </w:t>
            </w:r>
            <w:r>
              <w:rPr>
                <w:rFonts w:asciiTheme="minorHAnsi" w:eastAsiaTheme="minorHAnsi" w:hAnsiTheme="minorHAnsi" w:cs="Times New Roman"/>
                <w:color w:val="auto"/>
                <w:sz w:val="20"/>
              </w:rPr>
              <w:t>Moderate t</w:t>
            </w:r>
            <w:r w:rsidR="007A2380" w:rsidRPr="007A2380">
              <w:rPr>
                <w:rFonts w:asciiTheme="minorHAnsi" w:eastAsiaTheme="minorHAnsi" w:hAnsiTheme="minorHAnsi" w:cs="Times New Roman"/>
                <w:color w:val="auto"/>
                <w:sz w:val="20"/>
              </w:rPr>
              <w:t xml:space="preserve">enderness </w:t>
            </w:r>
            <w:r>
              <w:rPr>
                <w:rFonts w:asciiTheme="minorHAnsi" w:eastAsiaTheme="minorHAnsi" w:hAnsiTheme="minorHAnsi" w:cs="Times New Roman"/>
                <w:color w:val="auto"/>
                <w:sz w:val="20"/>
              </w:rPr>
              <w:t>to</w:t>
            </w:r>
            <w:r w:rsidRPr="007A2380">
              <w:rPr>
                <w:rFonts w:asciiTheme="minorHAnsi" w:eastAsiaTheme="minorHAnsi" w:hAnsiTheme="minorHAnsi" w:cs="Times New Roman"/>
                <w:color w:val="auto"/>
                <w:sz w:val="20"/>
              </w:rPr>
              <w:t xml:space="preserve"> </w:t>
            </w:r>
            <w:r w:rsidR="007A2380" w:rsidRPr="007A2380">
              <w:rPr>
                <w:rFonts w:asciiTheme="minorHAnsi" w:eastAsiaTheme="minorHAnsi" w:hAnsiTheme="minorHAnsi" w:cs="Times New Roman"/>
                <w:color w:val="auto"/>
                <w:sz w:val="20"/>
              </w:rPr>
              <w:t xml:space="preserve">palpation; </w:t>
            </w:r>
            <w:r>
              <w:rPr>
                <w:rFonts w:asciiTheme="minorHAnsi" w:eastAsiaTheme="minorHAnsi" w:hAnsiTheme="minorHAnsi" w:cs="Times New Roman"/>
                <w:color w:val="auto"/>
                <w:sz w:val="20"/>
              </w:rPr>
              <w:t>no true SLR; some give-way weakness in right foot and leg and upper extremity but no true motor weakness; decreased sensation in non-anatomic stocking and glove distribution; MRI had mild disc bulge at L5-S1</w:t>
            </w:r>
          </w:p>
        </w:tc>
        <w:tc>
          <w:tcPr>
            <w:tcW w:w="207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Unable to dorsiflex right great toe; no sensation in L5 dermatome on the right; positive SLR on right</w:t>
            </w:r>
            <w:r w:rsidR="00A83C63">
              <w:rPr>
                <w:rFonts w:asciiTheme="minorHAnsi" w:eastAsiaTheme="minorHAnsi" w:hAnsiTheme="minorHAnsi" w:cs="Times New Roman"/>
                <w:color w:val="auto"/>
                <w:sz w:val="20"/>
              </w:rPr>
              <w:t>; normal strength in the left lower extremity; some slight muscle atrophy in the right lower extremity; not able to walk on toes or heels</w:t>
            </w:r>
          </w:p>
        </w:tc>
        <w:tc>
          <w:tcPr>
            <w:tcW w:w="162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Motor and SLR n</w:t>
            </w:r>
            <w:r w:rsidR="00A83C63">
              <w:rPr>
                <w:rFonts w:asciiTheme="minorHAnsi" w:eastAsiaTheme="minorHAnsi" w:hAnsiTheme="minorHAnsi" w:cs="Times New Roman"/>
                <w:color w:val="auto"/>
                <w:sz w:val="20"/>
              </w:rPr>
              <w:t>or</w:t>
            </w:r>
            <w:r w:rsidRPr="007A2380">
              <w:rPr>
                <w:rFonts w:asciiTheme="minorHAnsi" w:eastAsiaTheme="minorHAnsi" w:hAnsiTheme="minorHAnsi" w:cs="Times New Roman"/>
                <w:color w:val="auto"/>
                <w:sz w:val="20"/>
              </w:rPr>
              <w:t>m</w:t>
            </w:r>
            <w:r w:rsidR="00A83C63">
              <w:rPr>
                <w:rFonts w:asciiTheme="minorHAnsi" w:eastAsiaTheme="minorHAnsi" w:hAnsiTheme="minorHAnsi" w:cs="Times New Roman"/>
                <w:color w:val="auto"/>
                <w:sz w:val="20"/>
              </w:rPr>
              <w:t>a</w:t>
            </w:r>
            <w:r w:rsidRPr="007A2380">
              <w:rPr>
                <w:rFonts w:asciiTheme="minorHAnsi" w:eastAsiaTheme="minorHAnsi" w:hAnsiTheme="minorHAnsi" w:cs="Times New Roman"/>
                <w:color w:val="auto"/>
                <w:sz w:val="20"/>
              </w:rPr>
              <w:t>l.  No atrophy.  Antalgic gait and used cane</w:t>
            </w:r>
          </w:p>
        </w:tc>
      </w:tr>
      <w:tr w:rsidR="007A2380" w:rsidRPr="003C53E8" w:rsidTr="00A83C63">
        <w:trPr>
          <w:trHeight w:val="70"/>
        </w:trPr>
        <w:tc>
          <w:tcPr>
            <w:tcW w:w="1620" w:type="dxa"/>
          </w:tcPr>
          <w:p w:rsidR="007A2380" w:rsidRPr="007A2380" w:rsidRDefault="007A2380" w:rsidP="003A3B31">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§4.71a Rating</w:t>
            </w:r>
          </w:p>
        </w:tc>
        <w:tc>
          <w:tcPr>
            <w:tcW w:w="144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highlight w:val="yellow"/>
              </w:rPr>
            </w:pPr>
            <w:r w:rsidRPr="007A2380">
              <w:rPr>
                <w:rFonts w:asciiTheme="minorHAnsi" w:eastAsiaTheme="minorHAnsi" w:hAnsiTheme="minorHAnsi" w:cs="Times New Roman"/>
                <w:color w:val="auto"/>
                <w:sz w:val="20"/>
              </w:rPr>
              <w:t xml:space="preserve">20% </w:t>
            </w:r>
          </w:p>
        </w:tc>
        <w:tc>
          <w:tcPr>
            <w:tcW w:w="243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40%</w:t>
            </w:r>
          </w:p>
        </w:tc>
        <w:tc>
          <w:tcPr>
            <w:tcW w:w="207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40%</w:t>
            </w:r>
          </w:p>
        </w:tc>
        <w:tc>
          <w:tcPr>
            <w:tcW w:w="1620" w:type="dxa"/>
            <w:vAlign w:val="center"/>
          </w:tcPr>
          <w:p w:rsidR="007A2380" w:rsidRPr="007A2380" w:rsidRDefault="007A2380" w:rsidP="007A2380">
            <w:pPr>
              <w:tabs>
                <w:tab w:val="left" w:pos="288"/>
                <w:tab w:val="left" w:pos="4752"/>
              </w:tabs>
              <w:rPr>
                <w:rFonts w:asciiTheme="minorHAnsi" w:eastAsiaTheme="minorHAnsi" w:hAnsiTheme="minorHAnsi" w:cs="Times New Roman"/>
                <w:color w:val="auto"/>
                <w:sz w:val="20"/>
              </w:rPr>
            </w:pPr>
            <w:r w:rsidRPr="007A2380">
              <w:rPr>
                <w:rFonts w:asciiTheme="minorHAnsi" w:eastAsiaTheme="minorHAnsi" w:hAnsiTheme="minorHAnsi" w:cs="Times New Roman"/>
                <w:color w:val="auto"/>
                <w:sz w:val="20"/>
              </w:rPr>
              <w:t xml:space="preserve">40% </w:t>
            </w:r>
          </w:p>
        </w:tc>
      </w:tr>
    </w:tbl>
    <w:p w:rsidR="00DB0538" w:rsidRDefault="00DB0538" w:rsidP="00CD1788">
      <w:pPr>
        <w:jc w:val="both"/>
        <w:rPr>
          <w:color w:val="000000" w:themeColor="text1"/>
          <w:szCs w:val="24"/>
        </w:rPr>
      </w:pPr>
    </w:p>
    <w:p w:rsidR="004A0414" w:rsidRDefault="004A0414" w:rsidP="00CD1788">
      <w:pPr>
        <w:jc w:val="both"/>
        <w:rPr>
          <w:color w:val="000000" w:themeColor="text1"/>
          <w:szCs w:val="24"/>
        </w:rPr>
      </w:pPr>
      <w:r>
        <w:rPr>
          <w:color w:val="000000" w:themeColor="text1"/>
          <w:szCs w:val="24"/>
        </w:rPr>
        <w:t xml:space="preserve">The VA </w:t>
      </w:r>
      <w:r w:rsidR="00DD2643">
        <w:rPr>
          <w:color w:val="000000" w:themeColor="text1"/>
          <w:szCs w:val="24"/>
        </w:rPr>
        <w:t>C&amp;P</w:t>
      </w:r>
      <w:r w:rsidRPr="006B7CBD">
        <w:rPr>
          <w:color w:val="000000" w:themeColor="text1"/>
          <w:szCs w:val="24"/>
        </w:rPr>
        <w:t xml:space="preserve"> exam</w:t>
      </w:r>
      <w:r w:rsidR="001D5C8D" w:rsidRPr="006B7CBD">
        <w:rPr>
          <w:color w:val="000000" w:themeColor="text1"/>
          <w:szCs w:val="24"/>
        </w:rPr>
        <w:t>,</w:t>
      </w:r>
      <w:r w:rsidRPr="006B7CBD">
        <w:rPr>
          <w:color w:val="000000" w:themeColor="text1"/>
          <w:szCs w:val="24"/>
        </w:rPr>
        <w:t xml:space="preserve"> </w:t>
      </w:r>
      <w:r w:rsidR="001D5C8D" w:rsidRPr="006B7CBD">
        <w:rPr>
          <w:color w:val="000000" w:themeColor="text1"/>
          <w:szCs w:val="24"/>
        </w:rPr>
        <w:t xml:space="preserve">utilized for the VA decision </w:t>
      </w:r>
      <w:r w:rsidR="00851D09" w:rsidRPr="006B7CBD">
        <w:rPr>
          <w:color w:val="000000" w:themeColor="text1"/>
          <w:szCs w:val="24"/>
        </w:rPr>
        <w:t xml:space="preserve">most </w:t>
      </w:r>
      <w:r w:rsidR="001D5C8D" w:rsidRPr="006B7CBD">
        <w:rPr>
          <w:color w:val="000000" w:themeColor="text1"/>
          <w:szCs w:val="24"/>
        </w:rPr>
        <w:t xml:space="preserve">proximate to separation, </w:t>
      </w:r>
      <w:r w:rsidRPr="006B7CBD">
        <w:rPr>
          <w:color w:val="000000" w:themeColor="text1"/>
          <w:szCs w:val="24"/>
        </w:rPr>
        <w:t>was done for an increase in the disability for the back</w:t>
      </w:r>
      <w:r w:rsidR="00E731BB" w:rsidRPr="006B7CBD">
        <w:rPr>
          <w:color w:val="000000" w:themeColor="text1"/>
          <w:szCs w:val="24"/>
        </w:rPr>
        <w:t xml:space="preserve"> on 30 May 2003, almost 16 months prior to separation</w:t>
      </w:r>
      <w:r w:rsidRPr="006B7CBD">
        <w:rPr>
          <w:color w:val="000000" w:themeColor="text1"/>
          <w:szCs w:val="24"/>
        </w:rPr>
        <w:t>.</w:t>
      </w:r>
      <w:r w:rsidR="006B7CBD">
        <w:rPr>
          <w:color w:val="000000" w:themeColor="text1"/>
          <w:szCs w:val="24"/>
        </w:rPr>
        <w:t xml:space="preserve"> </w:t>
      </w:r>
      <w:r w:rsidR="00DD2643">
        <w:rPr>
          <w:color w:val="000000" w:themeColor="text1"/>
          <w:szCs w:val="24"/>
        </w:rPr>
        <w:t xml:space="preserve"> </w:t>
      </w:r>
      <w:r w:rsidRPr="006B7CBD">
        <w:rPr>
          <w:color w:val="000000" w:themeColor="text1"/>
          <w:szCs w:val="24"/>
        </w:rPr>
        <w:t>An initial claim in 1980 had been determined to be non-service connected (NSC)</w:t>
      </w:r>
      <w:r w:rsidR="006B7CBD">
        <w:rPr>
          <w:color w:val="000000" w:themeColor="text1"/>
          <w:szCs w:val="24"/>
        </w:rPr>
        <w:t xml:space="preserve"> because he had no</w:t>
      </w:r>
      <w:r w:rsidR="00851D09" w:rsidRPr="006B7CBD">
        <w:rPr>
          <w:color w:val="000000" w:themeColor="text1"/>
          <w:szCs w:val="24"/>
        </w:rPr>
        <w:t xml:space="preserve"> chronic condition at that time</w:t>
      </w:r>
      <w:r w:rsidR="006B7CBD">
        <w:rPr>
          <w:color w:val="000000" w:themeColor="text1"/>
          <w:szCs w:val="24"/>
        </w:rPr>
        <w:t xml:space="preserve">. </w:t>
      </w:r>
      <w:r w:rsidR="00DD2643">
        <w:rPr>
          <w:color w:val="000000" w:themeColor="text1"/>
          <w:szCs w:val="24"/>
        </w:rPr>
        <w:t xml:space="preserve"> </w:t>
      </w:r>
      <w:r w:rsidR="00E731BB" w:rsidRPr="006B7CBD">
        <w:rPr>
          <w:color w:val="000000" w:themeColor="text1"/>
          <w:szCs w:val="24"/>
        </w:rPr>
        <w:t>He was noted to walk without aids and to have a normal gait.  He stated that th</w:t>
      </w:r>
      <w:r w:rsidR="006B7CBD">
        <w:rPr>
          <w:color w:val="000000" w:themeColor="text1"/>
          <w:szCs w:val="24"/>
        </w:rPr>
        <w:t xml:space="preserve">e pain recurred while running. </w:t>
      </w:r>
      <w:r w:rsidR="00DD2643">
        <w:rPr>
          <w:color w:val="000000" w:themeColor="text1"/>
          <w:szCs w:val="24"/>
        </w:rPr>
        <w:t xml:space="preserve"> </w:t>
      </w:r>
      <w:r w:rsidR="00E731BB" w:rsidRPr="006B7CBD">
        <w:rPr>
          <w:color w:val="000000" w:themeColor="text1"/>
          <w:szCs w:val="24"/>
        </w:rPr>
        <w:t>He</w:t>
      </w:r>
      <w:r w:rsidR="006B7CBD">
        <w:rPr>
          <w:color w:val="000000" w:themeColor="text1"/>
          <w:szCs w:val="24"/>
        </w:rPr>
        <w:t xml:space="preserve"> did use a back brace at work. </w:t>
      </w:r>
      <w:r w:rsidR="00DD2643">
        <w:rPr>
          <w:color w:val="000000" w:themeColor="text1"/>
          <w:szCs w:val="24"/>
        </w:rPr>
        <w:t xml:space="preserve"> </w:t>
      </w:r>
      <w:r w:rsidR="00E731BB" w:rsidRPr="006B7CBD">
        <w:rPr>
          <w:color w:val="000000" w:themeColor="text1"/>
          <w:szCs w:val="24"/>
        </w:rPr>
        <w:t>Se</w:t>
      </w:r>
      <w:r w:rsidR="006B7CBD">
        <w:rPr>
          <w:color w:val="000000" w:themeColor="text1"/>
          <w:szCs w:val="24"/>
        </w:rPr>
        <w:t xml:space="preserve">nsory exam was not documented. </w:t>
      </w:r>
      <w:r w:rsidR="00DD2643">
        <w:rPr>
          <w:color w:val="000000" w:themeColor="text1"/>
          <w:szCs w:val="24"/>
        </w:rPr>
        <w:t xml:space="preserve"> </w:t>
      </w:r>
      <w:r w:rsidR="00E731BB" w:rsidRPr="006B7CBD">
        <w:rPr>
          <w:color w:val="000000" w:themeColor="text1"/>
          <w:szCs w:val="24"/>
        </w:rPr>
        <w:t xml:space="preserve">Motor exam and DTRs were normal as was a bilateral SLR.  </w:t>
      </w:r>
      <w:r w:rsidR="00DD2643">
        <w:rPr>
          <w:color w:val="000000" w:themeColor="text1"/>
          <w:szCs w:val="24"/>
        </w:rPr>
        <w:t xml:space="preserve"> </w:t>
      </w:r>
      <w:r w:rsidR="00E731BB" w:rsidRPr="006B7CBD">
        <w:rPr>
          <w:color w:val="000000" w:themeColor="text1"/>
          <w:szCs w:val="24"/>
        </w:rPr>
        <w:t>Incontinence wa</w:t>
      </w:r>
      <w:r w:rsidR="006B7CBD">
        <w:rPr>
          <w:color w:val="000000" w:themeColor="text1"/>
          <w:szCs w:val="24"/>
        </w:rPr>
        <w:t xml:space="preserve">s denied.  Imaging was normal. </w:t>
      </w:r>
      <w:r w:rsidR="00DD2643">
        <w:rPr>
          <w:color w:val="000000" w:themeColor="text1"/>
          <w:szCs w:val="24"/>
        </w:rPr>
        <w:t xml:space="preserve"> </w:t>
      </w:r>
      <w:r w:rsidR="00E731BB" w:rsidRPr="006B7CBD">
        <w:rPr>
          <w:color w:val="000000" w:themeColor="text1"/>
          <w:szCs w:val="24"/>
        </w:rPr>
        <w:t>A 20% disability rating was awarded for spasm and an abnormal gait</w:t>
      </w:r>
      <w:r w:rsidR="006B7CBD">
        <w:rPr>
          <w:color w:val="000000" w:themeColor="text1"/>
          <w:szCs w:val="24"/>
        </w:rPr>
        <w:t xml:space="preserve">. </w:t>
      </w:r>
      <w:r w:rsidR="00DD2643">
        <w:rPr>
          <w:color w:val="000000" w:themeColor="text1"/>
          <w:szCs w:val="24"/>
        </w:rPr>
        <w:t xml:space="preserve"> </w:t>
      </w:r>
      <w:r w:rsidR="00E731BB" w:rsidRPr="006B7CBD">
        <w:rPr>
          <w:color w:val="000000" w:themeColor="text1"/>
          <w:szCs w:val="24"/>
        </w:rPr>
        <w:t xml:space="preserve">It was coded 5243, </w:t>
      </w:r>
      <w:r w:rsidR="006B7CBD">
        <w:rPr>
          <w:color w:val="000000" w:themeColor="text1"/>
          <w:szCs w:val="24"/>
        </w:rPr>
        <w:t xml:space="preserve">intervertebral disc syndrome. </w:t>
      </w:r>
      <w:r w:rsidR="00DD2643">
        <w:rPr>
          <w:color w:val="000000" w:themeColor="text1"/>
          <w:szCs w:val="24"/>
        </w:rPr>
        <w:t xml:space="preserve"> </w:t>
      </w:r>
      <w:r w:rsidR="00922800" w:rsidRPr="006B7CBD">
        <w:rPr>
          <w:color w:val="000000" w:themeColor="text1"/>
          <w:szCs w:val="24"/>
        </w:rPr>
        <w:t>A de novo review of this condition was completed in April 2005 and the 20% rating was continued</w:t>
      </w:r>
      <w:r w:rsidR="009B704A" w:rsidRPr="006B7CBD">
        <w:rPr>
          <w:color w:val="000000" w:themeColor="text1"/>
          <w:szCs w:val="24"/>
        </w:rPr>
        <w:t xml:space="preserve">. </w:t>
      </w:r>
      <w:r w:rsidR="00DD2643">
        <w:rPr>
          <w:color w:val="000000" w:themeColor="text1"/>
          <w:szCs w:val="24"/>
        </w:rPr>
        <w:t xml:space="preserve"> </w:t>
      </w:r>
      <w:r w:rsidR="009B704A" w:rsidRPr="006B7CBD">
        <w:rPr>
          <w:color w:val="000000" w:themeColor="text1"/>
          <w:szCs w:val="24"/>
        </w:rPr>
        <w:t xml:space="preserve">However, upon further appeal, the VA increased the disability rating to 40% effective </w:t>
      </w:r>
      <w:r w:rsidR="00DD2643">
        <w:rPr>
          <w:color w:val="000000" w:themeColor="text1"/>
          <w:szCs w:val="24"/>
        </w:rPr>
        <w:t>19 September 2004</w:t>
      </w:r>
      <w:r w:rsidR="009B704A" w:rsidRPr="006B7CBD">
        <w:rPr>
          <w:color w:val="000000" w:themeColor="text1"/>
          <w:szCs w:val="24"/>
        </w:rPr>
        <w:t>, the day after separation f</w:t>
      </w:r>
      <w:r w:rsidR="00851D09" w:rsidRPr="006B7CBD">
        <w:rPr>
          <w:color w:val="000000" w:themeColor="text1"/>
          <w:szCs w:val="24"/>
        </w:rPr>
        <w:t>ro</w:t>
      </w:r>
      <w:r w:rsidR="009B704A" w:rsidRPr="006B7CBD">
        <w:rPr>
          <w:color w:val="000000" w:themeColor="text1"/>
          <w:szCs w:val="24"/>
        </w:rPr>
        <w:t xml:space="preserve">m service. </w:t>
      </w:r>
      <w:r w:rsidR="00DD2643">
        <w:rPr>
          <w:color w:val="000000" w:themeColor="text1"/>
          <w:szCs w:val="24"/>
        </w:rPr>
        <w:t xml:space="preserve"> </w:t>
      </w:r>
      <w:r w:rsidR="009B704A" w:rsidRPr="006B7CBD">
        <w:rPr>
          <w:color w:val="000000" w:themeColor="text1"/>
          <w:szCs w:val="24"/>
        </w:rPr>
        <w:t xml:space="preserve">This rating decision cited VA C&amp;P examinations of </w:t>
      </w:r>
      <w:r w:rsidR="00DD2643">
        <w:rPr>
          <w:color w:val="000000" w:themeColor="text1"/>
          <w:szCs w:val="24"/>
        </w:rPr>
        <w:t>30</w:t>
      </w:r>
      <w:r w:rsidR="00634E64">
        <w:rPr>
          <w:color w:val="000000" w:themeColor="text1"/>
          <w:szCs w:val="24"/>
        </w:rPr>
        <w:t> </w:t>
      </w:r>
      <w:r w:rsidR="00DD2643">
        <w:rPr>
          <w:color w:val="000000" w:themeColor="text1"/>
          <w:szCs w:val="24"/>
        </w:rPr>
        <w:t xml:space="preserve">November </w:t>
      </w:r>
      <w:r w:rsidR="009B704A" w:rsidRPr="006B7CBD">
        <w:rPr>
          <w:color w:val="000000" w:themeColor="text1"/>
          <w:szCs w:val="24"/>
        </w:rPr>
        <w:t xml:space="preserve">2006 and </w:t>
      </w:r>
      <w:r w:rsidR="00DD2643">
        <w:rPr>
          <w:color w:val="000000" w:themeColor="text1"/>
          <w:szCs w:val="24"/>
        </w:rPr>
        <w:t xml:space="preserve">10 January </w:t>
      </w:r>
      <w:r w:rsidR="009B704A" w:rsidRPr="006B7CBD">
        <w:rPr>
          <w:color w:val="000000" w:themeColor="text1"/>
          <w:szCs w:val="24"/>
        </w:rPr>
        <w:t xml:space="preserve">2008 and testimony from </w:t>
      </w:r>
      <w:r w:rsidR="00DD2643">
        <w:rPr>
          <w:color w:val="000000" w:themeColor="text1"/>
          <w:szCs w:val="24"/>
        </w:rPr>
        <w:t xml:space="preserve">31 January </w:t>
      </w:r>
      <w:r w:rsidR="009B704A" w:rsidRPr="006B7CBD">
        <w:rPr>
          <w:color w:val="000000" w:themeColor="text1"/>
          <w:szCs w:val="24"/>
        </w:rPr>
        <w:t>2007 as supporting this decision.</w:t>
      </w:r>
    </w:p>
    <w:p w:rsidR="00E264D0" w:rsidRDefault="00E264D0" w:rsidP="00CD1788">
      <w:pPr>
        <w:jc w:val="both"/>
        <w:rPr>
          <w:color w:val="000000" w:themeColor="text1"/>
          <w:szCs w:val="24"/>
        </w:rPr>
      </w:pPr>
    </w:p>
    <w:p w:rsidR="001F71D4" w:rsidRDefault="00A940EC" w:rsidP="001F71D4">
      <w:pPr>
        <w:jc w:val="both"/>
        <w:rPr>
          <w:color w:val="auto"/>
          <w:szCs w:val="24"/>
        </w:rPr>
      </w:pPr>
      <w:r w:rsidRPr="00851D09">
        <w:rPr>
          <w:color w:val="000000" w:themeColor="text1"/>
          <w:szCs w:val="24"/>
        </w:rPr>
        <w:t xml:space="preserve">The MEB exam was accomplished 4 November 2003, over </w:t>
      </w:r>
      <w:r w:rsidR="00DD2643">
        <w:rPr>
          <w:color w:val="000000" w:themeColor="text1"/>
          <w:szCs w:val="24"/>
        </w:rPr>
        <w:t>10</w:t>
      </w:r>
      <w:r w:rsidRPr="00851D09">
        <w:rPr>
          <w:color w:val="000000" w:themeColor="text1"/>
          <w:szCs w:val="24"/>
        </w:rPr>
        <w:t xml:space="preserve"> months prior to separation.  </w:t>
      </w:r>
      <w:r w:rsidR="00A24FCC" w:rsidRPr="00851D09">
        <w:rPr>
          <w:color w:val="000000" w:themeColor="text1"/>
          <w:szCs w:val="24"/>
        </w:rPr>
        <w:t>No additional trauma was noted betwe</w:t>
      </w:r>
      <w:r w:rsidR="006B7CBD">
        <w:rPr>
          <w:color w:val="000000" w:themeColor="text1"/>
          <w:szCs w:val="24"/>
        </w:rPr>
        <w:t xml:space="preserve">en the MEB and 2003 C&amp;P exams. </w:t>
      </w:r>
      <w:r w:rsidR="00DD2643">
        <w:rPr>
          <w:color w:val="000000" w:themeColor="text1"/>
          <w:szCs w:val="24"/>
        </w:rPr>
        <w:t xml:space="preserve"> </w:t>
      </w:r>
      <w:r w:rsidRPr="00851D09">
        <w:rPr>
          <w:color w:val="000000" w:themeColor="text1"/>
          <w:szCs w:val="24"/>
        </w:rPr>
        <w:t>Sensation was noted to be decreased throughout the RLE in a stocking distribution (</w:t>
      </w:r>
      <w:r w:rsidR="006B7CBD">
        <w:rPr>
          <w:color w:val="000000" w:themeColor="text1"/>
          <w:szCs w:val="24"/>
        </w:rPr>
        <w:t xml:space="preserve">non-anatomic). </w:t>
      </w:r>
      <w:r w:rsidR="00DD2643">
        <w:rPr>
          <w:color w:val="000000" w:themeColor="text1"/>
          <w:szCs w:val="24"/>
        </w:rPr>
        <w:t xml:space="preserve"> </w:t>
      </w:r>
      <w:r w:rsidRPr="00851D09">
        <w:rPr>
          <w:color w:val="000000" w:themeColor="text1"/>
          <w:szCs w:val="24"/>
        </w:rPr>
        <w:t>Tenderness to palpation was noted, right</w:t>
      </w:r>
      <w:r w:rsidR="006B7CBD">
        <w:rPr>
          <w:color w:val="000000" w:themeColor="text1"/>
          <w:szCs w:val="24"/>
        </w:rPr>
        <w:t xml:space="preserve">&gt;left, about the lumbar spine. </w:t>
      </w:r>
      <w:r w:rsidR="00DD2643">
        <w:rPr>
          <w:color w:val="000000" w:themeColor="text1"/>
          <w:szCs w:val="24"/>
        </w:rPr>
        <w:t xml:space="preserve"> </w:t>
      </w:r>
      <w:r w:rsidRPr="00851D09">
        <w:rPr>
          <w:color w:val="000000" w:themeColor="text1"/>
          <w:szCs w:val="24"/>
        </w:rPr>
        <w:t xml:space="preserve">The motor exam was diminished to 4/5 on the right due to “give way” weakness.  No true positive SLR was noted.  </w:t>
      </w:r>
      <w:r w:rsidR="00035A3B">
        <w:rPr>
          <w:color w:val="000000" w:themeColor="text1"/>
          <w:szCs w:val="24"/>
        </w:rPr>
        <w:t>T</w:t>
      </w:r>
      <w:r w:rsidR="00035A3B" w:rsidRPr="00851D09">
        <w:rPr>
          <w:color w:val="000000" w:themeColor="text1"/>
          <w:szCs w:val="24"/>
        </w:rPr>
        <w:t>he ROM was measured separately on 15 January 2004 (</w:t>
      </w:r>
      <w:r w:rsidR="00DD2643">
        <w:rPr>
          <w:color w:val="000000" w:themeColor="text1"/>
          <w:szCs w:val="24"/>
        </w:rPr>
        <w:t>8</w:t>
      </w:r>
      <w:r w:rsidR="00035A3B" w:rsidRPr="00851D09">
        <w:rPr>
          <w:color w:val="000000" w:themeColor="text1"/>
          <w:szCs w:val="24"/>
        </w:rPr>
        <w:t xml:space="preserve"> months prior to separation) and noted in the chart above</w:t>
      </w:r>
      <w:r w:rsidR="00035A3B">
        <w:rPr>
          <w:color w:val="000000" w:themeColor="text1"/>
          <w:szCs w:val="24"/>
        </w:rPr>
        <w:t xml:space="preserve">. </w:t>
      </w:r>
      <w:r w:rsidR="00DD2643">
        <w:rPr>
          <w:color w:val="000000" w:themeColor="text1"/>
          <w:szCs w:val="24"/>
        </w:rPr>
        <w:t xml:space="preserve"> </w:t>
      </w:r>
      <w:r w:rsidR="00A555A1" w:rsidRPr="00851D09">
        <w:rPr>
          <w:color w:val="000000" w:themeColor="text1"/>
          <w:szCs w:val="24"/>
        </w:rPr>
        <w:t xml:space="preserve">The CI was also noted to have </w:t>
      </w:r>
      <w:r w:rsidR="00D15609" w:rsidRPr="00851D09">
        <w:rPr>
          <w:color w:val="000000" w:themeColor="text1"/>
          <w:szCs w:val="24"/>
        </w:rPr>
        <w:t xml:space="preserve">a </w:t>
      </w:r>
      <w:r w:rsidR="00A555A1" w:rsidRPr="00851D09">
        <w:rPr>
          <w:color w:val="000000" w:themeColor="text1"/>
          <w:szCs w:val="24"/>
        </w:rPr>
        <w:t>non-anatomic</w:t>
      </w:r>
      <w:r w:rsidR="00D15609" w:rsidRPr="00851D09">
        <w:rPr>
          <w:color w:val="000000" w:themeColor="text1"/>
          <w:szCs w:val="24"/>
        </w:rPr>
        <w:t xml:space="preserve"> distribution of</w:t>
      </w:r>
      <w:r w:rsidR="00A555A1" w:rsidRPr="00851D09">
        <w:rPr>
          <w:color w:val="000000" w:themeColor="text1"/>
          <w:szCs w:val="24"/>
        </w:rPr>
        <w:t xml:space="preserve"> sensory loss of the RUE</w:t>
      </w:r>
      <w:r w:rsidR="00CD15C1" w:rsidRPr="00851D09">
        <w:rPr>
          <w:color w:val="000000" w:themeColor="text1"/>
          <w:szCs w:val="24"/>
        </w:rPr>
        <w:t xml:space="preserve"> and this was considered 1 positive Waddell’s sign out of a possible 5</w:t>
      </w:r>
      <w:r w:rsidR="00A555A1" w:rsidRPr="00851D09">
        <w:rPr>
          <w:color w:val="000000" w:themeColor="text1"/>
          <w:szCs w:val="24"/>
        </w:rPr>
        <w:t>.</w:t>
      </w:r>
      <w:r w:rsidR="006B7CBD">
        <w:rPr>
          <w:color w:val="000000" w:themeColor="text1"/>
          <w:szCs w:val="24"/>
        </w:rPr>
        <w:t xml:space="preserve"> </w:t>
      </w:r>
      <w:r w:rsidR="00DD2643">
        <w:rPr>
          <w:color w:val="000000" w:themeColor="text1"/>
          <w:szCs w:val="24"/>
        </w:rPr>
        <w:t xml:space="preserve"> </w:t>
      </w:r>
      <w:r w:rsidR="007E25E2">
        <w:rPr>
          <w:color w:val="000000" w:themeColor="text1"/>
          <w:szCs w:val="24"/>
        </w:rPr>
        <w:t xml:space="preserve">The MEB H&amp;P done in </w:t>
      </w:r>
      <w:r w:rsidR="007E25E2">
        <w:rPr>
          <w:color w:val="000000" w:themeColor="text1"/>
          <w:szCs w:val="24"/>
        </w:rPr>
        <w:lastRenderedPageBreak/>
        <w:t>September 2003 also noted thoracolumbar flexion not greater than 20 degrees.</w:t>
      </w:r>
      <w:r w:rsidR="00DD2643">
        <w:rPr>
          <w:color w:val="000000" w:themeColor="text1"/>
          <w:szCs w:val="24"/>
        </w:rPr>
        <w:t xml:space="preserve"> </w:t>
      </w:r>
      <w:r w:rsidR="007E25E2">
        <w:rPr>
          <w:color w:val="000000" w:themeColor="text1"/>
          <w:szCs w:val="24"/>
        </w:rPr>
        <w:t xml:space="preserve"> </w:t>
      </w:r>
      <w:r w:rsidR="003A3B31">
        <w:rPr>
          <w:color w:val="000000" w:themeColor="text1"/>
          <w:szCs w:val="24"/>
        </w:rPr>
        <w:t xml:space="preserve">The FPEB awarded 10% disability coded </w:t>
      </w:r>
      <w:r w:rsidR="00D15609">
        <w:rPr>
          <w:color w:val="000000" w:themeColor="text1"/>
          <w:szCs w:val="24"/>
        </w:rPr>
        <w:t>5299-</w:t>
      </w:r>
      <w:r w:rsidR="003A3B31">
        <w:rPr>
          <w:color w:val="000000" w:themeColor="text1"/>
          <w:szCs w:val="24"/>
        </w:rPr>
        <w:t>5237, lumbosacral strain</w:t>
      </w:r>
      <w:r w:rsidR="00BD58A7">
        <w:rPr>
          <w:color w:val="000000" w:themeColor="text1"/>
          <w:szCs w:val="24"/>
        </w:rPr>
        <w:t xml:space="preserve">. </w:t>
      </w:r>
      <w:r w:rsidR="00DD2643">
        <w:rPr>
          <w:color w:val="000000" w:themeColor="text1"/>
          <w:szCs w:val="24"/>
        </w:rPr>
        <w:t xml:space="preserve"> </w:t>
      </w:r>
      <w:r w:rsidR="00BD58A7">
        <w:rPr>
          <w:color w:val="000000" w:themeColor="text1"/>
          <w:szCs w:val="24"/>
        </w:rPr>
        <w:t xml:space="preserve">They specifically cited </w:t>
      </w:r>
      <w:r w:rsidR="00BD58A7" w:rsidRPr="00F17527">
        <w:rPr>
          <w:color w:val="000000" w:themeColor="text1"/>
          <w:szCs w:val="24"/>
        </w:rPr>
        <w:t xml:space="preserve">US Army </w:t>
      </w:r>
      <w:r w:rsidR="00BD58A7">
        <w:rPr>
          <w:color w:val="000000" w:themeColor="text1"/>
          <w:szCs w:val="24"/>
        </w:rPr>
        <w:t>Regulation 635-40 paragraph B-29e which states rating for loss of joint motion can only be awarded where a mechanical basis for limited motion is found</w:t>
      </w:r>
      <w:r w:rsidR="003A3B31">
        <w:rPr>
          <w:color w:val="000000" w:themeColor="text1"/>
          <w:szCs w:val="24"/>
        </w:rPr>
        <w:t xml:space="preserve">. </w:t>
      </w:r>
      <w:r w:rsidR="00DD2643">
        <w:rPr>
          <w:color w:val="000000" w:themeColor="text1"/>
          <w:szCs w:val="24"/>
        </w:rPr>
        <w:t xml:space="preserve"> </w:t>
      </w:r>
      <w:r w:rsidR="00BD58A7">
        <w:rPr>
          <w:color w:val="000000" w:themeColor="text1"/>
          <w:szCs w:val="24"/>
        </w:rPr>
        <w:t>T</w:t>
      </w:r>
      <w:r w:rsidR="00DD2643">
        <w:rPr>
          <w:color w:val="000000" w:themeColor="text1"/>
          <w:szCs w:val="24"/>
        </w:rPr>
        <w:t>he USA</w:t>
      </w:r>
      <w:r w:rsidR="00D15609">
        <w:rPr>
          <w:color w:val="000000" w:themeColor="text1"/>
          <w:szCs w:val="24"/>
        </w:rPr>
        <w:t>PDA administratively changed the VASRD code to 5237 alone</w:t>
      </w:r>
      <w:r w:rsidR="00BD58A7">
        <w:rPr>
          <w:color w:val="000000" w:themeColor="text1"/>
          <w:szCs w:val="24"/>
        </w:rPr>
        <w:t xml:space="preserve"> but did not change the rating</w:t>
      </w:r>
      <w:r w:rsidR="00D15609">
        <w:rPr>
          <w:color w:val="000000" w:themeColor="text1"/>
          <w:szCs w:val="24"/>
        </w:rPr>
        <w:t>.</w:t>
      </w:r>
      <w:r w:rsidR="00634E64">
        <w:rPr>
          <w:color w:val="000000" w:themeColor="text1"/>
          <w:szCs w:val="24"/>
        </w:rPr>
        <w:t xml:space="preserve"> </w:t>
      </w:r>
      <w:r w:rsidR="001F71D4">
        <w:rPr>
          <w:color w:val="000000" w:themeColor="text1"/>
          <w:szCs w:val="24"/>
        </w:rPr>
        <w:t xml:space="preserve"> </w:t>
      </w:r>
      <w:r w:rsidR="001F71D4">
        <w:rPr>
          <w:color w:val="auto"/>
          <w:szCs w:val="24"/>
        </w:rPr>
        <w:t xml:space="preserve">While no mechanical basis for the limited </w:t>
      </w:r>
      <w:r w:rsidR="00DD2643">
        <w:rPr>
          <w:color w:val="auto"/>
          <w:szCs w:val="24"/>
        </w:rPr>
        <w:t>ROM</w:t>
      </w:r>
      <w:r w:rsidR="001F71D4">
        <w:rPr>
          <w:color w:val="auto"/>
          <w:szCs w:val="24"/>
        </w:rPr>
        <w:t xml:space="preserve"> existed, the VASRD does not require a mechanical basis and recognizes pain-limited motion as productive of disability.</w:t>
      </w:r>
    </w:p>
    <w:p w:rsidR="00E731BB" w:rsidRDefault="00E731BB" w:rsidP="00CD1788">
      <w:pPr>
        <w:jc w:val="both"/>
        <w:rPr>
          <w:color w:val="000000" w:themeColor="text1"/>
          <w:szCs w:val="24"/>
        </w:rPr>
      </w:pPr>
    </w:p>
    <w:p w:rsidR="00FA631D" w:rsidRDefault="00A24FCC" w:rsidP="00CD1788">
      <w:pPr>
        <w:jc w:val="both"/>
        <w:rPr>
          <w:color w:val="000000" w:themeColor="text1"/>
          <w:szCs w:val="24"/>
        </w:rPr>
      </w:pPr>
      <w:r>
        <w:rPr>
          <w:color w:val="000000" w:themeColor="text1"/>
          <w:szCs w:val="24"/>
        </w:rPr>
        <w:t xml:space="preserve">The Board notes a significant difference in exams between the VA and MEB. </w:t>
      </w:r>
      <w:r w:rsidR="00DD2643">
        <w:rPr>
          <w:color w:val="000000" w:themeColor="text1"/>
          <w:szCs w:val="24"/>
        </w:rPr>
        <w:t xml:space="preserve"> </w:t>
      </w:r>
      <w:r w:rsidR="00D15609">
        <w:rPr>
          <w:color w:val="000000" w:themeColor="text1"/>
          <w:szCs w:val="24"/>
        </w:rPr>
        <w:t xml:space="preserve">Both examinations contain full goniometric measurements of active </w:t>
      </w:r>
      <w:r w:rsidR="00DD2643">
        <w:rPr>
          <w:color w:val="000000" w:themeColor="text1"/>
          <w:szCs w:val="24"/>
        </w:rPr>
        <w:t>ROM</w:t>
      </w:r>
      <w:r w:rsidR="00D15609">
        <w:rPr>
          <w:color w:val="000000" w:themeColor="text1"/>
          <w:szCs w:val="24"/>
        </w:rPr>
        <w:t>.</w:t>
      </w:r>
      <w:r w:rsidR="00DD2643">
        <w:rPr>
          <w:color w:val="000000" w:themeColor="text1"/>
          <w:szCs w:val="24"/>
        </w:rPr>
        <w:t xml:space="preserve"> </w:t>
      </w:r>
      <w:r w:rsidR="00D15609">
        <w:rPr>
          <w:color w:val="000000" w:themeColor="text1"/>
          <w:szCs w:val="24"/>
        </w:rPr>
        <w:t xml:space="preserve"> However, the MEB examination is closer in time to the date </w:t>
      </w:r>
      <w:r w:rsidR="00A83C63">
        <w:rPr>
          <w:color w:val="000000" w:themeColor="text1"/>
          <w:szCs w:val="24"/>
        </w:rPr>
        <w:t>of</w:t>
      </w:r>
      <w:r w:rsidR="00D15609">
        <w:rPr>
          <w:color w:val="000000" w:themeColor="text1"/>
          <w:szCs w:val="24"/>
        </w:rPr>
        <w:t xml:space="preserve"> separation and it is therefore afforded a higher probative value. </w:t>
      </w:r>
      <w:r w:rsidR="00DD2643">
        <w:rPr>
          <w:color w:val="000000" w:themeColor="text1"/>
          <w:szCs w:val="24"/>
        </w:rPr>
        <w:t xml:space="preserve"> </w:t>
      </w:r>
      <w:r w:rsidR="00CD15C1">
        <w:rPr>
          <w:color w:val="000000" w:themeColor="text1"/>
          <w:szCs w:val="24"/>
        </w:rPr>
        <w:t>There is no indication of embellishment of ROM limitations noted in any examination in the record and all examinations after the MEB NARSUM examination showed thoracolumbar flexion less than</w:t>
      </w:r>
      <w:r w:rsidR="00B222FB">
        <w:rPr>
          <w:color w:val="000000" w:themeColor="text1"/>
          <w:szCs w:val="24"/>
        </w:rPr>
        <w:t xml:space="preserve"> or equal to</w:t>
      </w:r>
      <w:r w:rsidR="00CD15C1">
        <w:rPr>
          <w:color w:val="000000" w:themeColor="text1"/>
          <w:szCs w:val="24"/>
        </w:rPr>
        <w:t xml:space="preserve"> 30 degrees. </w:t>
      </w:r>
      <w:r w:rsidR="00DD2643">
        <w:rPr>
          <w:color w:val="000000" w:themeColor="text1"/>
          <w:szCs w:val="24"/>
        </w:rPr>
        <w:t xml:space="preserve"> </w:t>
      </w:r>
      <w:r w:rsidR="00CD15C1">
        <w:rPr>
          <w:color w:val="000000" w:themeColor="text1"/>
          <w:szCs w:val="24"/>
        </w:rPr>
        <w:t>This included</w:t>
      </w:r>
      <w:r w:rsidR="00B222FB">
        <w:rPr>
          <w:color w:val="000000" w:themeColor="text1"/>
          <w:szCs w:val="24"/>
        </w:rPr>
        <w:t xml:space="preserve"> a disability evaluation completed in December 2004 and </w:t>
      </w:r>
      <w:r w:rsidR="001D5C8D">
        <w:rPr>
          <w:color w:val="000000" w:themeColor="text1"/>
          <w:szCs w:val="24"/>
        </w:rPr>
        <w:t xml:space="preserve">two additional C&amp;P examinations accomplished </w:t>
      </w:r>
      <w:r w:rsidR="00CD15C1">
        <w:rPr>
          <w:color w:val="000000" w:themeColor="text1"/>
          <w:szCs w:val="24"/>
        </w:rPr>
        <w:t xml:space="preserve">long </w:t>
      </w:r>
      <w:r w:rsidR="001D5C8D">
        <w:rPr>
          <w:color w:val="000000" w:themeColor="text1"/>
          <w:szCs w:val="24"/>
        </w:rPr>
        <w:t xml:space="preserve">after separation. </w:t>
      </w:r>
      <w:r w:rsidR="00DD2643">
        <w:rPr>
          <w:color w:val="000000" w:themeColor="text1"/>
          <w:szCs w:val="24"/>
        </w:rPr>
        <w:t xml:space="preserve"> </w:t>
      </w:r>
      <w:r w:rsidR="00A83C63">
        <w:rPr>
          <w:color w:val="000000" w:themeColor="text1"/>
          <w:szCs w:val="24"/>
        </w:rPr>
        <w:t xml:space="preserve">The disability evaluation examinations of December 2004 may have been completed as part of an evaluation for social security disability. </w:t>
      </w:r>
      <w:r w:rsidR="00DD2643">
        <w:rPr>
          <w:color w:val="000000" w:themeColor="text1"/>
          <w:szCs w:val="24"/>
        </w:rPr>
        <w:t xml:space="preserve"> </w:t>
      </w:r>
      <w:r w:rsidR="00A83C63">
        <w:rPr>
          <w:color w:val="000000" w:themeColor="text1"/>
          <w:szCs w:val="24"/>
        </w:rPr>
        <w:t>There is evidence in the record of the CI notifying the VA he had received social security disability benefits.</w:t>
      </w:r>
      <w:r w:rsidR="001D5C8D">
        <w:rPr>
          <w:color w:val="000000" w:themeColor="text1"/>
          <w:szCs w:val="24"/>
        </w:rPr>
        <w:t xml:space="preserve"> </w:t>
      </w:r>
      <w:r w:rsidR="00DD2643">
        <w:rPr>
          <w:color w:val="000000" w:themeColor="text1"/>
          <w:szCs w:val="24"/>
        </w:rPr>
        <w:t xml:space="preserve"> </w:t>
      </w:r>
      <w:r w:rsidR="00206607">
        <w:rPr>
          <w:color w:val="000000" w:themeColor="text1"/>
          <w:szCs w:val="24"/>
        </w:rPr>
        <w:t xml:space="preserve">At the 30 November 2006 C&amp;P, the CI was noted to use a cane </w:t>
      </w:r>
      <w:r w:rsidR="006B7CBD">
        <w:rPr>
          <w:color w:val="000000" w:themeColor="text1"/>
          <w:szCs w:val="24"/>
        </w:rPr>
        <w:t xml:space="preserve">and to have an antalgic gait. </w:t>
      </w:r>
      <w:r w:rsidR="00DD2643">
        <w:rPr>
          <w:color w:val="000000" w:themeColor="text1"/>
          <w:szCs w:val="24"/>
        </w:rPr>
        <w:t xml:space="preserve"> </w:t>
      </w:r>
      <w:r w:rsidR="00206607">
        <w:rPr>
          <w:color w:val="000000" w:themeColor="text1"/>
          <w:szCs w:val="24"/>
        </w:rPr>
        <w:t xml:space="preserve">ROM was limited due to pain and is noted below.  </w:t>
      </w:r>
      <w:r w:rsidR="00DD2643">
        <w:rPr>
          <w:color w:val="000000" w:themeColor="text1"/>
          <w:szCs w:val="24"/>
        </w:rPr>
        <w:t xml:space="preserve"> </w:t>
      </w:r>
      <w:r w:rsidR="00206607">
        <w:rPr>
          <w:color w:val="000000" w:themeColor="text1"/>
          <w:szCs w:val="24"/>
        </w:rPr>
        <w:t>There w</w:t>
      </w:r>
      <w:r w:rsidR="006B7CBD">
        <w:rPr>
          <w:color w:val="000000" w:themeColor="text1"/>
          <w:szCs w:val="24"/>
        </w:rPr>
        <w:t xml:space="preserve">as no muscle spasm or atrophy. </w:t>
      </w:r>
      <w:r w:rsidR="00206607">
        <w:rPr>
          <w:color w:val="000000" w:themeColor="text1"/>
          <w:szCs w:val="24"/>
        </w:rPr>
        <w:t>SLR, DTR and motor exa</w:t>
      </w:r>
      <w:r w:rsidR="006B7CBD">
        <w:rPr>
          <w:color w:val="000000" w:themeColor="text1"/>
          <w:szCs w:val="24"/>
        </w:rPr>
        <w:t xml:space="preserve">ms were normal as was imaging. </w:t>
      </w:r>
      <w:r w:rsidR="00DD2643">
        <w:rPr>
          <w:color w:val="000000" w:themeColor="text1"/>
          <w:szCs w:val="24"/>
        </w:rPr>
        <w:t xml:space="preserve"> </w:t>
      </w:r>
      <w:r w:rsidR="00206607">
        <w:rPr>
          <w:color w:val="000000" w:themeColor="text1"/>
          <w:szCs w:val="24"/>
        </w:rPr>
        <w:t>He had no incapacitating episodes at this exam o</w:t>
      </w:r>
      <w:r w:rsidR="006B7CBD">
        <w:rPr>
          <w:color w:val="000000" w:themeColor="text1"/>
          <w:szCs w:val="24"/>
        </w:rPr>
        <w:t xml:space="preserve">r at the 10 January 2008 exam. </w:t>
      </w:r>
      <w:r w:rsidR="00DD2643">
        <w:rPr>
          <w:color w:val="000000" w:themeColor="text1"/>
          <w:szCs w:val="24"/>
        </w:rPr>
        <w:t xml:space="preserve"> </w:t>
      </w:r>
      <w:r w:rsidR="00206607">
        <w:rPr>
          <w:color w:val="000000" w:themeColor="text1"/>
          <w:szCs w:val="24"/>
        </w:rPr>
        <w:t xml:space="preserve">On the 2008 exam, he again </w:t>
      </w:r>
      <w:r w:rsidR="00DB0538">
        <w:rPr>
          <w:color w:val="000000" w:themeColor="text1"/>
          <w:szCs w:val="24"/>
        </w:rPr>
        <w:t>w</w:t>
      </w:r>
      <w:r w:rsidR="00206607">
        <w:rPr>
          <w:color w:val="000000" w:themeColor="text1"/>
          <w:szCs w:val="24"/>
        </w:rPr>
        <w:t xml:space="preserve">as noted to use a cane and had an antalgic gait.  </w:t>
      </w:r>
      <w:r w:rsidR="00DD2643">
        <w:rPr>
          <w:color w:val="000000" w:themeColor="text1"/>
          <w:szCs w:val="24"/>
        </w:rPr>
        <w:t xml:space="preserve"> </w:t>
      </w:r>
      <w:proofErr w:type="spellStart"/>
      <w:r w:rsidR="00B222FB">
        <w:rPr>
          <w:color w:val="000000" w:themeColor="text1"/>
          <w:szCs w:val="24"/>
        </w:rPr>
        <w:t>Thoracolumbar</w:t>
      </w:r>
      <w:proofErr w:type="spellEnd"/>
      <w:r w:rsidR="00B222FB">
        <w:rPr>
          <w:color w:val="000000" w:themeColor="text1"/>
          <w:szCs w:val="24"/>
        </w:rPr>
        <w:t xml:space="preserve"> flexion was limited by pain to 30 degrees. </w:t>
      </w:r>
      <w:r w:rsidR="00DD2643">
        <w:rPr>
          <w:color w:val="000000" w:themeColor="text1"/>
          <w:szCs w:val="24"/>
        </w:rPr>
        <w:t xml:space="preserve"> </w:t>
      </w:r>
      <w:r w:rsidR="00206607">
        <w:rPr>
          <w:color w:val="000000" w:themeColor="text1"/>
          <w:szCs w:val="24"/>
        </w:rPr>
        <w:t>Motor, sensory and DTR exams were normal and there was ne</w:t>
      </w:r>
      <w:r w:rsidR="006B7CBD">
        <w:rPr>
          <w:color w:val="000000" w:themeColor="text1"/>
          <w:szCs w:val="24"/>
        </w:rPr>
        <w:t xml:space="preserve">ither atrophy nor spasm noted. </w:t>
      </w:r>
      <w:r w:rsidR="00DD2643">
        <w:rPr>
          <w:color w:val="000000" w:themeColor="text1"/>
          <w:szCs w:val="24"/>
        </w:rPr>
        <w:t xml:space="preserve"> </w:t>
      </w:r>
      <w:r w:rsidR="006B7CBD">
        <w:rPr>
          <w:color w:val="000000" w:themeColor="text1"/>
          <w:szCs w:val="24"/>
        </w:rPr>
        <w:t xml:space="preserve">SLR was negative. </w:t>
      </w:r>
      <w:r w:rsidR="00DD2643">
        <w:rPr>
          <w:color w:val="000000" w:themeColor="text1"/>
          <w:szCs w:val="24"/>
        </w:rPr>
        <w:t xml:space="preserve"> </w:t>
      </w:r>
      <w:r w:rsidR="004A7267">
        <w:rPr>
          <w:color w:val="000000" w:themeColor="text1"/>
          <w:szCs w:val="24"/>
        </w:rPr>
        <w:t>A CT showed a small posterior bulge at L5-S1 with a small left paramedian disc herniation.</w:t>
      </w:r>
      <w:r w:rsidR="003D63C8">
        <w:rPr>
          <w:color w:val="000000" w:themeColor="text1"/>
          <w:szCs w:val="24"/>
        </w:rPr>
        <w:t xml:space="preserve"> </w:t>
      </w:r>
    </w:p>
    <w:p w:rsidR="0068108B" w:rsidRDefault="003D63C8" w:rsidP="00CD1788">
      <w:pPr>
        <w:jc w:val="both"/>
        <w:rPr>
          <w:color w:val="000000" w:themeColor="text1"/>
          <w:szCs w:val="24"/>
        </w:rPr>
      </w:pPr>
      <w:r>
        <w:rPr>
          <w:color w:val="000000" w:themeColor="text1"/>
          <w:szCs w:val="24"/>
        </w:rPr>
        <w:t xml:space="preserve"> </w:t>
      </w:r>
    </w:p>
    <w:p w:rsidR="00441602" w:rsidRDefault="00441602" w:rsidP="00CD1788">
      <w:pPr>
        <w:jc w:val="both"/>
        <w:rPr>
          <w:color w:val="auto"/>
          <w:szCs w:val="24"/>
        </w:rPr>
      </w:pPr>
      <w:r w:rsidRPr="00441602">
        <w:rPr>
          <w:color w:val="auto"/>
          <w:szCs w:val="24"/>
        </w:rPr>
        <w:t>The Board utilizes VA evidence proximal to separation in arriving at its recommendations a</w:t>
      </w:r>
      <w:r>
        <w:rPr>
          <w:color w:val="auto"/>
          <w:szCs w:val="24"/>
        </w:rPr>
        <w:t>s well as othe</w:t>
      </w:r>
      <w:r w:rsidR="006B7CBD">
        <w:rPr>
          <w:color w:val="auto"/>
          <w:szCs w:val="24"/>
        </w:rPr>
        <w:t xml:space="preserve">r available clinical evidence. </w:t>
      </w:r>
      <w:r w:rsidR="00DD2643">
        <w:rPr>
          <w:color w:val="auto"/>
          <w:szCs w:val="24"/>
        </w:rPr>
        <w:t xml:space="preserve"> </w:t>
      </w:r>
      <w:proofErr w:type="spellStart"/>
      <w:r w:rsidRPr="00441602">
        <w:rPr>
          <w:color w:val="auto"/>
          <w:szCs w:val="24"/>
        </w:rPr>
        <w:t>DoDI</w:t>
      </w:r>
      <w:proofErr w:type="spellEnd"/>
      <w:r w:rsidRPr="00441602">
        <w:rPr>
          <w:color w:val="auto"/>
          <w:szCs w:val="24"/>
        </w:rPr>
        <w:t xml:space="preserve"> 6040.44 defines a 12-month interval for special consideration to post-separation evidence.</w:t>
      </w:r>
      <w:r>
        <w:rPr>
          <w:color w:val="auto"/>
          <w:szCs w:val="24"/>
        </w:rPr>
        <w:t xml:space="preserve"> </w:t>
      </w:r>
      <w:r w:rsidR="00DD2643">
        <w:rPr>
          <w:color w:val="auto"/>
          <w:szCs w:val="24"/>
        </w:rPr>
        <w:t xml:space="preserve"> </w:t>
      </w:r>
      <w:r w:rsidRPr="00441602">
        <w:rPr>
          <w:color w:val="auto"/>
          <w:szCs w:val="24"/>
        </w:rPr>
        <w:t xml:space="preserve">The Board’s authority as defined in DoDI 6040.44, however, resides in evaluating the fairness of DES fitness determinations and rating decisions for disability at the time of separation. </w:t>
      </w:r>
      <w:r w:rsidR="00DD2643">
        <w:rPr>
          <w:color w:val="auto"/>
          <w:szCs w:val="24"/>
        </w:rPr>
        <w:t xml:space="preserve"> </w:t>
      </w:r>
      <w:r w:rsidRPr="00441602">
        <w:rPr>
          <w:color w:val="auto"/>
          <w:szCs w:val="24"/>
        </w:rPr>
        <w:t>Post-separation evidence therefore is probative only to the extent that it reasonably reflects the disability and fitness implications at the time of separation.</w:t>
      </w:r>
      <w:r>
        <w:rPr>
          <w:color w:val="auto"/>
          <w:szCs w:val="24"/>
        </w:rPr>
        <w:t xml:space="preserve">  </w:t>
      </w:r>
      <w:r w:rsidR="00DD2643">
        <w:rPr>
          <w:color w:val="auto"/>
          <w:szCs w:val="24"/>
        </w:rPr>
        <w:t xml:space="preserve"> </w:t>
      </w:r>
      <w:r>
        <w:rPr>
          <w:color w:val="auto"/>
          <w:szCs w:val="24"/>
        </w:rPr>
        <w:t>In this case, the CI first had radiculopathy noted by an orthopedist in 1980, 24 years prior to separation, following an inj</w:t>
      </w:r>
      <w:r w:rsidR="006B7CBD">
        <w:rPr>
          <w:color w:val="auto"/>
          <w:szCs w:val="24"/>
        </w:rPr>
        <w:t xml:space="preserve">ury at his civilian workplace. </w:t>
      </w:r>
      <w:r w:rsidR="00DD2643">
        <w:rPr>
          <w:color w:val="auto"/>
          <w:szCs w:val="24"/>
        </w:rPr>
        <w:t xml:space="preserve"> </w:t>
      </w:r>
      <w:r w:rsidR="00DB0538">
        <w:rPr>
          <w:color w:val="auto"/>
          <w:szCs w:val="24"/>
        </w:rPr>
        <w:t xml:space="preserve">The Board notes that while the CI </w:t>
      </w:r>
      <w:r w:rsidR="00CD15C1">
        <w:rPr>
          <w:color w:val="auto"/>
          <w:szCs w:val="24"/>
        </w:rPr>
        <w:t xml:space="preserve">initially </w:t>
      </w:r>
      <w:r w:rsidR="00DB0538">
        <w:rPr>
          <w:color w:val="auto"/>
          <w:szCs w:val="24"/>
        </w:rPr>
        <w:t>improved</w:t>
      </w:r>
      <w:r w:rsidR="00CD15C1">
        <w:rPr>
          <w:color w:val="auto"/>
          <w:szCs w:val="24"/>
        </w:rPr>
        <w:t xml:space="preserve"> after this injury</w:t>
      </w:r>
      <w:r w:rsidR="00DB0538">
        <w:rPr>
          <w:color w:val="auto"/>
          <w:szCs w:val="24"/>
        </w:rPr>
        <w:t xml:space="preserve">, the symptoms present were similar to those seen </w:t>
      </w:r>
      <w:r w:rsidR="00CD15C1">
        <w:rPr>
          <w:color w:val="auto"/>
          <w:szCs w:val="24"/>
        </w:rPr>
        <w:t xml:space="preserve">much </w:t>
      </w:r>
      <w:r w:rsidR="006B7CBD">
        <w:rPr>
          <w:color w:val="auto"/>
          <w:szCs w:val="24"/>
        </w:rPr>
        <w:t>later which lead to the PEB.</w:t>
      </w:r>
      <w:r w:rsidR="00DD2643">
        <w:rPr>
          <w:color w:val="auto"/>
          <w:szCs w:val="24"/>
        </w:rPr>
        <w:t xml:space="preserve"> </w:t>
      </w:r>
      <w:r w:rsidR="006B7CBD">
        <w:rPr>
          <w:color w:val="auto"/>
          <w:szCs w:val="24"/>
        </w:rPr>
        <w:t xml:space="preserve"> </w:t>
      </w:r>
      <w:r w:rsidR="003A3B31">
        <w:rPr>
          <w:color w:val="auto"/>
          <w:szCs w:val="24"/>
        </w:rPr>
        <w:t xml:space="preserve">The Board also notes that various examiners commented on a non-organic stocking distribution of sensory disturbance.  </w:t>
      </w:r>
    </w:p>
    <w:p w:rsidR="00A555A1" w:rsidRDefault="00A555A1" w:rsidP="00CD1788">
      <w:pPr>
        <w:jc w:val="both"/>
        <w:rPr>
          <w:color w:val="auto"/>
          <w:szCs w:val="24"/>
        </w:rPr>
      </w:pPr>
    </w:p>
    <w:p w:rsidR="00D15609" w:rsidRDefault="00A555A1">
      <w:pPr>
        <w:jc w:val="both"/>
        <w:rPr>
          <w:color w:val="auto"/>
          <w:szCs w:val="24"/>
        </w:rPr>
      </w:pPr>
      <w:r>
        <w:rPr>
          <w:color w:val="auto"/>
          <w:szCs w:val="24"/>
        </w:rPr>
        <w:t>The Board considered the different rating options for the CI which best represent</w:t>
      </w:r>
      <w:r w:rsidR="00634E64">
        <w:rPr>
          <w:color w:val="auto"/>
          <w:szCs w:val="24"/>
        </w:rPr>
        <w:t>s</w:t>
      </w:r>
      <w:r>
        <w:rPr>
          <w:color w:val="auto"/>
          <w:szCs w:val="24"/>
        </w:rPr>
        <w:t xml:space="preserve"> the level of perm</w:t>
      </w:r>
      <w:r w:rsidR="006B7CBD">
        <w:rPr>
          <w:color w:val="auto"/>
          <w:szCs w:val="24"/>
        </w:rPr>
        <w:t>anent disability at separation.</w:t>
      </w:r>
      <w:r>
        <w:rPr>
          <w:color w:val="auto"/>
          <w:szCs w:val="24"/>
        </w:rPr>
        <w:t xml:space="preserve"> </w:t>
      </w:r>
      <w:r w:rsidR="0051272F">
        <w:rPr>
          <w:color w:val="auto"/>
          <w:szCs w:val="24"/>
        </w:rPr>
        <w:t xml:space="preserve"> </w:t>
      </w:r>
      <w:r>
        <w:rPr>
          <w:color w:val="auto"/>
          <w:szCs w:val="24"/>
        </w:rPr>
        <w:t xml:space="preserve">It noted that the sensory exam was non-anatomic and that the motor and DTRs, while </w:t>
      </w:r>
      <w:r w:rsidR="006B7CBD">
        <w:rPr>
          <w:color w:val="auto"/>
          <w:szCs w:val="24"/>
        </w:rPr>
        <w:t xml:space="preserve">variable, tended to be normal. </w:t>
      </w:r>
      <w:r w:rsidR="0051272F">
        <w:rPr>
          <w:color w:val="auto"/>
          <w:szCs w:val="24"/>
        </w:rPr>
        <w:t xml:space="preserve"> </w:t>
      </w:r>
      <w:r w:rsidR="00F44D79">
        <w:rPr>
          <w:color w:val="auto"/>
          <w:szCs w:val="24"/>
        </w:rPr>
        <w:t xml:space="preserve">The </w:t>
      </w:r>
      <w:r w:rsidR="00CD15C1">
        <w:rPr>
          <w:color w:val="auto"/>
          <w:szCs w:val="24"/>
        </w:rPr>
        <w:t xml:space="preserve">significant </w:t>
      </w:r>
      <w:r w:rsidR="00F44D79">
        <w:rPr>
          <w:color w:val="auto"/>
          <w:szCs w:val="24"/>
        </w:rPr>
        <w:t xml:space="preserve">limitation in ROM </w:t>
      </w:r>
      <w:r w:rsidR="00CD15C1">
        <w:rPr>
          <w:color w:val="auto"/>
          <w:szCs w:val="24"/>
        </w:rPr>
        <w:t>documented on the MEB NARSUM examination, remained present for years as documented on VA C&amp;P examinations in 2006 and 2008 without any evidence that questioned the validity of this clinical finding</w:t>
      </w:r>
      <w:r w:rsidR="00F44D79">
        <w:rPr>
          <w:color w:val="auto"/>
          <w:szCs w:val="24"/>
        </w:rPr>
        <w:t xml:space="preserve">.  </w:t>
      </w:r>
    </w:p>
    <w:p w:rsidR="00035CA2" w:rsidRDefault="00035CA2" w:rsidP="00CD1788">
      <w:pPr>
        <w:jc w:val="both"/>
        <w:rPr>
          <w:color w:val="auto"/>
          <w:szCs w:val="24"/>
        </w:rPr>
      </w:pPr>
    </w:p>
    <w:p w:rsidR="00035CA2" w:rsidRDefault="00035CA2" w:rsidP="00035CA2">
      <w:pPr>
        <w:jc w:val="both"/>
        <w:rPr>
          <w:color w:val="auto"/>
          <w:szCs w:val="24"/>
        </w:rPr>
      </w:pPr>
      <w:r w:rsidRPr="00035CA2">
        <w:rPr>
          <w:color w:val="auto"/>
          <w:szCs w:val="24"/>
        </w:rPr>
        <w:t xml:space="preserve">After due deliberation, considering all of the evidence and mindful of VASRD §4.3 (reasonable doubt), the Board recommends a separation rating of </w:t>
      </w:r>
      <w:r w:rsidR="00CD15C1">
        <w:rPr>
          <w:color w:val="auto"/>
          <w:szCs w:val="24"/>
        </w:rPr>
        <w:t>4</w:t>
      </w:r>
      <w:r w:rsidR="00CD15C1" w:rsidRPr="00035CA2">
        <w:rPr>
          <w:color w:val="auto"/>
          <w:szCs w:val="24"/>
        </w:rPr>
        <w:t>0</w:t>
      </w:r>
      <w:r w:rsidRPr="00035CA2">
        <w:rPr>
          <w:color w:val="auto"/>
          <w:szCs w:val="24"/>
        </w:rPr>
        <w:t xml:space="preserve">% for the </w:t>
      </w:r>
      <w:r>
        <w:rPr>
          <w:color w:val="auto"/>
          <w:szCs w:val="24"/>
        </w:rPr>
        <w:t>back</w:t>
      </w:r>
      <w:r w:rsidRPr="00035CA2">
        <w:rPr>
          <w:color w:val="auto"/>
          <w:szCs w:val="24"/>
        </w:rPr>
        <w:t xml:space="preserve"> condition. </w:t>
      </w:r>
      <w:r w:rsidR="0051272F">
        <w:rPr>
          <w:color w:val="auto"/>
          <w:szCs w:val="24"/>
        </w:rPr>
        <w:t xml:space="preserve"> </w:t>
      </w:r>
      <w:r>
        <w:rPr>
          <w:color w:val="auto"/>
          <w:szCs w:val="24"/>
        </w:rPr>
        <w:t>The Board considered the findings proximate to separation, but also reviewed the examinations more distant to separation to gain a picture of th</w:t>
      </w:r>
      <w:r w:rsidR="006B7CBD">
        <w:rPr>
          <w:color w:val="auto"/>
          <w:szCs w:val="24"/>
        </w:rPr>
        <w:t xml:space="preserve">e actual permanent disability. </w:t>
      </w:r>
      <w:r w:rsidR="0051272F">
        <w:rPr>
          <w:color w:val="auto"/>
          <w:szCs w:val="24"/>
        </w:rPr>
        <w:t xml:space="preserve"> </w:t>
      </w:r>
      <w:r>
        <w:rPr>
          <w:color w:val="auto"/>
          <w:szCs w:val="24"/>
        </w:rPr>
        <w:t>It noted that the ROM limitation found on the MEB exam</w:t>
      </w:r>
      <w:r w:rsidR="00D15609">
        <w:rPr>
          <w:color w:val="auto"/>
          <w:szCs w:val="24"/>
        </w:rPr>
        <w:t>, the disability evaluation of Dec</w:t>
      </w:r>
      <w:r w:rsidR="00851D09">
        <w:rPr>
          <w:color w:val="auto"/>
          <w:szCs w:val="24"/>
        </w:rPr>
        <w:t>ember</w:t>
      </w:r>
      <w:r w:rsidR="00D15609">
        <w:rPr>
          <w:color w:val="auto"/>
          <w:szCs w:val="24"/>
        </w:rPr>
        <w:t xml:space="preserve"> 2004</w:t>
      </w:r>
      <w:r w:rsidR="00A83C63">
        <w:rPr>
          <w:color w:val="auto"/>
          <w:szCs w:val="24"/>
        </w:rPr>
        <w:t>, and</w:t>
      </w:r>
      <w:r>
        <w:rPr>
          <w:color w:val="auto"/>
          <w:szCs w:val="24"/>
        </w:rPr>
        <w:t xml:space="preserve"> the 2006 VA C&amp;P exam were </w:t>
      </w:r>
      <w:r w:rsidR="00D15609">
        <w:rPr>
          <w:color w:val="auto"/>
          <w:szCs w:val="24"/>
        </w:rPr>
        <w:t xml:space="preserve">all </w:t>
      </w:r>
      <w:r>
        <w:rPr>
          <w:color w:val="auto"/>
          <w:szCs w:val="24"/>
        </w:rPr>
        <w:t>con</w:t>
      </w:r>
      <w:r w:rsidR="006B7CBD">
        <w:rPr>
          <w:color w:val="auto"/>
          <w:szCs w:val="24"/>
        </w:rPr>
        <w:t xml:space="preserve">sistent with each other and with a 40% evaluation. </w:t>
      </w:r>
      <w:r w:rsidR="0051272F">
        <w:rPr>
          <w:color w:val="auto"/>
          <w:szCs w:val="24"/>
        </w:rPr>
        <w:t xml:space="preserve"> </w:t>
      </w:r>
      <w:r>
        <w:rPr>
          <w:color w:val="auto"/>
          <w:szCs w:val="24"/>
        </w:rPr>
        <w:t>The Board also noted that the CI did have an antalgic gait and used a cane on a regular basis independent of the ROM findings</w:t>
      </w:r>
      <w:r w:rsidR="002262DD">
        <w:rPr>
          <w:color w:val="auto"/>
          <w:szCs w:val="24"/>
        </w:rPr>
        <w:t xml:space="preserve">. </w:t>
      </w:r>
      <w:r w:rsidR="0051272F">
        <w:rPr>
          <w:color w:val="auto"/>
          <w:szCs w:val="24"/>
        </w:rPr>
        <w:t xml:space="preserve"> </w:t>
      </w:r>
      <w:r w:rsidR="002262DD" w:rsidRPr="00035CA2">
        <w:rPr>
          <w:color w:val="auto"/>
          <w:szCs w:val="24"/>
        </w:rPr>
        <w:t xml:space="preserve">After due deliberation, considering all of the evidence and mindful of VASRD </w:t>
      </w:r>
      <w:r w:rsidR="002262DD" w:rsidRPr="00035CA2">
        <w:rPr>
          <w:color w:val="auto"/>
          <w:szCs w:val="24"/>
        </w:rPr>
        <w:lastRenderedPageBreak/>
        <w:t xml:space="preserve">§4.3 (reasonable doubt), the Board recommends a separation rating of </w:t>
      </w:r>
      <w:r w:rsidR="002262DD">
        <w:rPr>
          <w:color w:val="auto"/>
          <w:szCs w:val="24"/>
        </w:rPr>
        <w:t>4</w:t>
      </w:r>
      <w:r w:rsidR="002262DD" w:rsidRPr="00035CA2">
        <w:rPr>
          <w:color w:val="auto"/>
          <w:szCs w:val="24"/>
        </w:rPr>
        <w:t xml:space="preserve">0% for the </w:t>
      </w:r>
      <w:r w:rsidR="002262DD">
        <w:rPr>
          <w:color w:val="auto"/>
          <w:szCs w:val="24"/>
        </w:rPr>
        <w:t>back</w:t>
      </w:r>
      <w:r w:rsidR="002262DD" w:rsidRPr="00035CA2">
        <w:rPr>
          <w:color w:val="auto"/>
          <w:szCs w:val="24"/>
        </w:rPr>
        <w:t xml:space="preserve"> condition</w:t>
      </w:r>
      <w:r w:rsidR="002262DD">
        <w:rPr>
          <w:color w:val="auto"/>
          <w:szCs w:val="24"/>
        </w:rPr>
        <w:t xml:space="preserve"> as best representing the permanent disability at separation</w:t>
      </w:r>
      <w:r w:rsidR="002262DD" w:rsidRPr="00035CA2">
        <w:rPr>
          <w:color w:val="auto"/>
          <w:szCs w:val="24"/>
        </w:rPr>
        <w:t>.</w:t>
      </w:r>
    </w:p>
    <w:p w:rsidR="0089005B" w:rsidRDefault="0089005B" w:rsidP="00035CA2">
      <w:pPr>
        <w:jc w:val="both"/>
        <w:rPr>
          <w:color w:val="auto"/>
          <w:szCs w:val="24"/>
        </w:rPr>
      </w:pPr>
    </w:p>
    <w:p w:rsidR="0089005B" w:rsidRPr="009B5365" w:rsidRDefault="0089005B" w:rsidP="00035CA2">
      <w:pPr>
        <w:jc w:val="both"/>
        <w:rPr>
          <w:color w:val="auto"/>
          <w:szCs w:val="24"/>
        </w:rPr>
      </w:pPr>
      <w:r w:rsidRPr="00851D09">
        <w:rPr>
          <w:color w:val="auto"/>
          <w:szCs w:val="24"/>
        </w:rPr>
        <w:t xml:space="preserve">Additionally, the CI reported pain radiating into his right leg and foot as well as intermittent numbness. </w:t>
      </w:r>
      <w:r w:rsidR="0051272F">
        <w:rPr>
          <w:color w:val="auto"/>
          <w:szCs w:val="24"/>
        </w:rPr>
        <w:t xml:space="preserve"> </w:t>
      </w:r>
      <w:r w:rsidRPr="00851D09">
        <w:rPr>
          <w:color w:val="auto"/>
          <w:szCs w:val="24"/>
        </w:rPr>
        <w:t>However</w:t>
      </w:r>
      <w:r w:rsidR="00851D09" w:rsidRPr="00851D09">
        <w:rPr>
          <w:color w:val="auto"/>
          <w:szCs w:val="24"/>
        </w:rPr>
        <w:t>,</w:t>
      </w:r>
      <w:r w:rsidRPr="00851D09">
        <w:rPr>
          <w:color w:val="auto"/>
          <w:szCs w:val="24"/>
        </w:rPr>
        <w:t xml:space="preserve"> examinations documented inconsistent findings and the CI had an EMG that did not support of finding of a radiculopathy. </w:t>
      </w:r>
      <w:r w:rsidR="0051272F">
        <w:rPr>
          <w:color w:val="auto"/>
          <w:szCs w:val="24"/>
        </w:rPr>
        <w:t xml:space="preserve"> </w:t>
      </w:r>
      <w:r w:rsidRPr="00851D09">
        <w:rPr>
          <w:color w:val="auto"/>
          <w:szCs w:val="24"/>
        </w:rPr>
        <w:t xml:space="preserve">There is no evidence of any true muscle weakness </w:t>
      </w:r>
      <w:r w:rsidR="009B5365" w:rsidRPr="00851D09">
        <w:rPr>
          <w:color w:val="auto"/>
          <w:szCs w:val="24"/>
        </w:rPr>
        <w:t>at</w:t>
      </w:r>
      <w:r w:rsidR="00976553" w:rsidRPr="00851D09">
        <w:rPr>
          <w:color w:val="auto"/>
          <w:szCs w:val="24"/>
        </w:rPr>
        <w:t xml:space="preserve"> </w:t>
      </w:r>
      <w:r w:rsidR="009B5365" w:rsidRPr="00851D09">
        <w:rPr>
          <w:color w:val="auto"/>
          <w:szCs w:val="24"/>
        </w:rPr>
        <w:t xml:space="preserve">the </w:t>
      </w:r>
      <w:r w:rsidR="00976553" w:rsidRPr="00851D09">
        <w:rPr>
          <w:color w:val="auto"/>
          <w:szCs w:val="24"/>
        </w:rPr>
        <w:t>time</w:t>
      </w:r>
      <w:r w:rsidR="009B5365" w:rsidRPr="00851D09">
        <w:rPr>
          <w:color w:val="auto"/>
          <w:szCs w:val="24"/>
        </w:rPr>
        <w:t xml:space="preserve"> of separation</w:t>
      </w:r>
      <w:r w:rsidR="00976553" w:rsidRPr="00851D09">
        <w:rPr>
          <w:color w:val="auto"/>
          <w:szCs w:val="24"/>
        </w:rPr>
        <w:t xml:space="preserve"> </w:t>
      </w:r>
      <w:r w:rsidRPr="00851D09">
        <w:rPr>
          <w:color w:val="auto"/>
          <w:szCs w:val="24"/>
        </w:rPr>
        <w:t>and</w:t>
      </w:r>
      <w:r>
        <w:rPr>
          <w:color w:val="auto"/>
          <w:szCs w:val="24"/>
        </w:rPr>
        <w:t xml:space="preserve"> the </w:t>
      </w:r>
      <w:r w:rsidRPr="009B5365">
        <w:rPr>
          <w:color w:val="auto"/>
          <w:szCs w:val="24"/>
        </w:rPr>
        <w:t xml:space="preserve">give-way weakness noted on the MEB NARSUM examination is most likely attributable to pain. </w:t>
      </w:r>
      <w:r w:rsidR="0051272F">
        <w:rPr>
          <w:color w:val="auto"/>
          <w:szCs w:val="24"/>
        </w:rPr>
        <w:t xml:space="preserve"> </w:t>
      </w:r>
      <w:r w:rsidRPr="009B5365">
        <w:rPr>
          <w:color w:val="auto"/>
          <w:szCs w:val="24"/>
        </w:rPr>
        <w:t xml:space="preserve">Board precedent is that a functional impairment tied to fitness is required to support a recommendation for addition of a peripheral nerve rating at separation. </w:t>
      </w:r>
      <w:r w:rsidR="0051272F">
        <w:rPr>
          <w:color w:val="auto"/>
          <w:szCs w:val="24"/>
        </w:rPr>
        <w:t xml:space="preserve"> </w:t>
      </w:r>
      <w:r w:rsidRPr="009B5365">
        <w:rPr>
          <w:color w:val="auto"/>
          <w:szCs w:val="24"/>
        </w:rPr>
        <w:t xml:space="preserve">The pain component of a radiculopathy is subsumed under the general spine rating as specified in §4.71a. </w:t>
      </w:r>
      <w:r w:rsidR="0051272F">
        <w:rPr>
          <w:color w:val="auto"/>
          <w:szCs w:val="24"/>
        </w:rPr>
        <w:t xml:space="preserve"> </w:t>
      </w:r>
      <w:r w:rsidRPr="009B5365">
        <w:rPr>
          <w:color w:val="auto"/>
          <w:szCs w:val="24"/>
        </w:rPr>
        <w:t xml:space="preserve">The sensory component in this case has no functional implications. </w:t>
      </w:r>
      <w:r w:rsidR="0051272F">
        <w:rPr>
          <w:color w:val="auto"/>
          <w:szCs w:val="24"/>
        </w:rPr>
        <w:t xml:space="preserve"> </w:t>
      </w:r>
      <w:r w:rsidRPr="009B5365">
        <w:rPr>
          <w:color w:val="auto"/>
          <w:szCs w:val="24"/>
        </w:rPr>
        <w:t>As no evidence of functional impairment exists in this case, the Board cannot support a recommendation for additional rating based on peripheral nerve impairment.</w:t>
      </w:r>
    </w:p>
    <w:p w:rsidR="002262DD" w:rsidRDefault="002262DD" w:rsidP="00CD1788">
      <w:pPr>
        <w:jc w:val="both"/>
        <w:rPr>
          <w:rFonts w:asciiTheme="minorHAnsi" w:hAnsiTheme="minorHAnsi" w:cs="Times New Roman"/>
          <w:color w:val="auto"/>
          <w:szCs w:val="24"/>
        </w:rPr>
      </w:pPr>
    </w:p>
    <w:p w:rsidR="00061333" w:rsidRPr="00851D09" w:rsidRDefault="002262DD" w:rsidP="00061333">
      <w:pPr>
        <w:jc w:val="both"/>
        <w:rPr>
          <w:rFonts w:asciiTheme="minorHAnsi" w:hAnsiTheme="minorHAnsi"/>
          <w:color w:val="auto"/>
          <w:szCs w:val="24"/>
        </w:rPr>
      </w:pPr>
      <w:proofErr w:type="gramStart"/>
      <w:r w:rsidRPr="002262DD">
        <w:rPr>
          <w:rFonts w:asciiTheme="minorHAnsi" w:hAnsiTheme="minorHAnsi" w:cs="Times New Roman"/>
          <w:color w:val="auto"/>
          <w:szCs w:val="24"/>
          <w:u w:val="single"/>
        </w:rPr>
        <w:t>Contended conditions</w:t>
      </w:r>
      <w:r>
        <w:rPr>
          <w:rFonts w:asciiTheme="minorHAnsi" w:hAnsiTheme="minorHAnsi" w:cs="Times New Roman"/>
          <w:color w:val="auto"/>
          <w:szCs w:val="24"/>
        </w:rPr>
        <w:t>.</w:t>
      </w:r>
      <w:proofErr w:type="gramEnd"/>
      <w:r>
        <w:rPr>
          <w:rFonts w:asciiTheme="minorHAnsi" w:hAnsiTheme="minorHAnsi" w:cs="Times New Roman"/>
          <w:color w:val="auto"/>
          <w:szCs w:val="24"/>
        </w:rPr>
        <w:t xml:space="preserve">  The CI </w:t>
      </w:r>
      <w:r w:rsidR="00061333" w:rsidRPr="00851D09">
        <w:rPr>
          <w:rFonts w:asciiTheme="minorHAnsi" w:hAnsiTheme="minorHAnsi" w:cs="Times New Roman"/>
          <w:color w:val="auto"/>
          <w:szCs w:val="24"/>
        </w:rPr>
        <w:t>contends</w:t>
      </w:r>
      <w:r w:rsidR="006B7CBD">
        <w:rPr>
          <w:rFonts w:asciiTheme="minorHAnsi" w:hAnsiTheme="minorHAnsi" w:cs="Times New Roman"/>
          <w:color w:val="auto"/>
          <w:szCs w:val="24"/>
        </w:rPr>
        <w:t xml:space="preserve"> for depression under item 14. </w:t>
      </w:r>
      <w:r w:rsidR="0051272F">
        <w:rPr>
          <w:rFonts w:asciiTheme="minorHAnsi" w:hAnsiTheme="minorHAnsi" w:cs="Times New Roman"/>
          <w:color w:val="auto"/>
          <w:szCs w:val="24"/>
        </w:rPr>
        <w:t xml:space="preserve"> </w:t>
      </w:r>
      <w:r w:rsidR="00061333" w:rsidRPr="00851D09">
        <w:rPr>
          <w:rFonts w:asciiTheme="minorHAnsi" w:hAnsiTheme="minorHAnsi" w:cs="Times New Roman"/>
          <w:color w:val="auto"/>
          <w:szCs w:val="24"/>
        </w:rPr>
        <w:t xml:space="preserve">The Board notes that this was </w:t>
      </w:r>
      <w:r w:rsidR="0058124C" w:rsidRPr="00851D09">
        <w:rPr>
          <w:rFonts w:asciiTheme="minorHAnsi" w:hAnsiTheme="minorHAnsi" w:cs="Times New Roman"/>
          <w:color w:val="auto"/>
          <w:szCs w:val="24"/>
        </w:rPr>
        <w:t>not part of the DES</w:t>
      </w:r>
      <w:r w:rsidR="00061333" w:rsidRPr="00851D09">
        <w:rPr>
          <w:rFonts w:asciiTheme="minorHAnsi" w:hAnsiTheme="minorHAnsi" w:cs="Times New Roman"/>
          <w:color w:val="auto"/>
          <w:szCs w:val="24"/>
        </w:rPr>
        <w:t xml:space="preserve"> and that the first visit for mental health issues was almost </w:t>
      </w:r>
      <w:r w:rsidR="0051272F">
        <w:rPr>
          <w:rFonts w:asciiTheme="minorHAnsi" w:hAnsiTheme="minorHAnsi" w:cs="Times New Roman"/>
          <w:color w:val="auto"/>
          <w:szCs w:val="24"/>
        </w:rPr>
        <w:t>a</w:t>
      </w:r>
      <w:r w:rsidR="00061333" w:rsidRPr="00851D09">
        <w:rPr>
          <w:rFonts w:asciiTheme="minorHAnsi" w:hAnsiTheme="minorHAnsi" w:cs="Times New Roman"/>
          <w:color w:val="auto"/>
          <w:szCs w:val="24"/>
        </w:rPr>
        <w:t xml:space="preserve"> y</w:t>
      </w:r>
      <w:r w:rsidR="006B7CBD">
        <w:rPr>
          <w:rFonts w:asciiTheme="minorHAnsi" w:hAnsiTheme="minorHAnsi" w:cs="Times New Roman"/>
          <w:color w:val="auto"/>
          <w:szCs w:val="24"/>
        </w:rPr>
        <w:t xml:space="preserve">ear after separation. </w:t>
      </w:r>
      <w:r w:rsidR="0051272F">
        <w:rPr>
          <w:rFonts w:asciiTheme="minorHAnsi" w:hAnsiTheme="minorHAnsi" w:cs="Times New Roman"/>
          <w:color w:val="auto"/>
          <w:szCs w:val="24"/>
        </w:rPr>
        <w:t xml:space="preserve"> </w:t>
      </w:r>
      <w:r w:rsidR="008E6C57" w:rsidRPr="00851D09">
        <w:rPr>
          <w:rFonts w:asciiTheme="minorHAnsi" w:hAnsiTheme="minorHAnsi"/>
          <w:color w:val="auto"/>
          <w:szCs w:val="24"/>
        </w:rPr>
        <w:t xml:space="preserve">The Board does not have the authority under DoDI 6040.44 to render fitness or rating recommendations for any conditions not considered by the DES. </w:t>
      </w:r>
      <w:r w:rsidR="0051272F">
        <w:rPr>
          <w:rFonts w:asciiTheme="minorHAnsi" w:hAnsiTheme="minorHAnsi"/>
          <w:color w:val="auto"/>
          <w:szCs w:val="24"/>
        </w:rPr>
        <w:t xml:space="preserve"> </w:t>
      </w:r>
      <w:r w:rsidR="008E6C57" w:rsidRPr="00851D09">
        <w:rPr>
          <w:rFonts w:asciiTheme="minorHAnsi" w:hAnsiTheme="minorHAnsi"/>
          <w:color w:val="auto"/>
          <w:szCs w:val="24"/>
        </w:rPr>
        <w:t>The Board, therefore, has no reasonable basis for recommending any additional unfitting conditions for separation rating.</w:t>
      </w:r>
      <w:r w:rsidR="0051272F">
        <w:rPr>
          <w:rFonts w:asciiTheme="minorHAnsi" w:hAnsiTheme="minorHAnsi"/>
          <w:color w:val="auto"/>
          <w:szCs w:val="24"/>
        </w:rPr>
        <w:t xml:space="preserve"> </w:t>
      </w:r>
      <w:r w:rsidR="0089005B" w:rsidRPr="00851D09">
        <w:rPr>
          <w:rFonts w:asciiTheme="minorHAnsi" w:hAnsiTheme="minorHAnsi"/>
          <w:color w:val="auto"/>
          <w:szCs w:val="24"/>
        </w:rPr>
        <w:t xml:space="preserve"> However, this condition remains eligible for adjudication by the Army Board of Correction for Military Records (ABCMR).</w:t>
      </w:r>
    </w:p>
    <w:p w:rsidR="002262DD" w:rsidRPr="00851D09" w:rsidRDefault="002262DD" w:rsidP="00CD1788">
      <w:pPr>
        <w:jc w:val="both"/>
        <w:rPr>
          <w:rFonts w:asciiTheme="minorHAnsi" w:hAnsiTheme="minorHAnsi" w:cs="Times New Roman"/>
          <w:color w:val="auto"/>
          <w:szCs w:val="24"/>
        </w:rPr>
      </w:pPr>
    </w:p>
    <w:p w:rsidR="00A02AA8" w:rsidRPr="001F29F9" w:rsidRDefault="003C5B54" w:rsidP="00976553">
      <w:pPr>
        <w:jc w:val="both"/>
        <w:rPr>
          <w:color w:val="000000" w:themeColor="text1"/>
          <w:szCs w:val="24"/>
        </w:rPr>
      </w:pPr>
      <w:r w:rsidRPr="00851D09">
        <w:rPr>
          <w:color w:val="000000" w:themeColor="text1"/>
          <w:szCs w:val="24"/>
          <w:u w:val="single"/>
        </w:rPr>
        <w:t>Remaining Conditions.</w:t>
      </w:r>
      <w:r w:rsidRPr="00851D09">
        <w:rPr>
          <w:color w:val="000000" w:themeColor="text1"/>
          <w:szCs w:val="24"/>
        </w:rPr>
        <w:t xml:space="preserve">  </w:t>
      </w:r>
      <w:r w:rsidR="00A02AA8" w:rsidRPr="00851D09">
        <w:rPr>
          <w:color w:val="000000" w:themeColor="text1"/>
          <w:szCs w:val="24"/>
        </w:rPr>
        <w:t xml:space="preserve">Other conditions identified in the DES file were </w:t>
      </w:r>
      <w:r w:rsidR="002262DD" w:rsidRPr="00851D09">
        <w:rPr>
          <w:color w:val="000000" w:themeColor="text1"/>
          <w:szCs w:val="24"/>
        </w:rPr>
        <w:t xml:space="preserve">trouble sleeping, sinusitis, GERD, </w:t>
      </w:r>
      <w:r w:rsidR="00EB09ED" w:rsidRPr="00851D09">
        <w:rPr>
          <w:color w:val="000000" w:themeColor="text1"/>
          <w:szCs w:val="24"/>
        </w:rPr>
        <w:t>neck pain</w:t>
      </w:r>
      <w:r w:rsidR="002262DD" w:rsidRPr="00851D09">
        <w:rPr>
          <w:color w:val="000000" w:themeColor="text1"/>
          <w:szCs w:val="24"/>
        </w:rPr>
        <w:t>, shoulder pain</w:t>
      </w:r>
      <w:r w:rsidR="00EB09ED" w:rsidRPr="00851D09">
        <w:rPr>
          <w:color w:val="000000" w:themeColor="text1"/>
          <w:szCs w:val="24"/>
        </w:rPr>
        <w:t>, knee pain</w:t>
      </w:r>
      <w:r w:rsidR="0089005B" w:rsidRPr="00851D09">
        <w:rPr>
          <w:color w:val="000000" w:themeColor="text1"/>
          <w:szCs w:val="24"/>
        </w:rPr>
        <w:t>,</w:t>
      </w:r>
      <w:r w:rsidR="002262DD" w:rsidRPr="00851D09">
        <w:rPr>
          <w:color w:val="000000" w:themeColor="text1"/>
          <w:szCs w:val="24"/>
        </w:rPr>
        <w:t xml:space="preserve"> and ankle pain</w:t>
      </w:r>
      <w:r w:rsidR="006B7CBD">
        <w:rPr>
          <w:color w:val="000000" w:themeColor="text1"/>
          <w:szCs w:val="24"/>
        </w:rPr>
        <w:t xml:space="preserve">. </w:t>
      </w:r>
      <w:r w:rsidR="0051272F">
        <w:rPr>
          <w:color w:val="000000" w:themeColor="text1"/>
          <w:szCs w:val="24"/>
        </w:rPr>
        <w:t xml:space="preserve"> </w:t>
      </w:r>
      <w:r w:rsidR="00A02AA8" w:rsidRPr="00851D09">
        <w:rPr>
          <w:color w:val="000000" w:themeColor="text1"/>
          <w:szCs w:val="24"/>
        </w:rPr>
        <w:t>None of thes</w:t>
      </w:r>
      <w:r w:rsidR="002262DD" w:rsidRPr="00851D09">
        <w:rPr>
          <w:color w:val="000000" w:themeColor="text1"/>
          <w:szCs w:val="24"/>
        </w:rPr>
        <w:t xml:space="preserve">e conditions were </w:t>
      </w:r>
      <w:r w:rsidR="00A02AA8" w:rsidRPr="00851D09">
        <w:rPr>
          <w:color w:val="000000" w:themeColor="text1"/>
          <w:szCs w:val="24"/>
        </w:rPr>
        <w:t xml:space="preserve">clinically or occupationally </w:t>
      </w:r>
      <w:r w:rsidR="002262DD" w:rsidRPr="00851D09">
        <w:rPr>
          <w:color w:val="000000" w:themeColor="text1"/>
          <w:szCs w:val="24"/>
        </w:rPr>
        <w:t>significant</w:t>
      </w:r>
      <w:r w:rsidR="00A02AA8" w:rsidRPr="00851D09">
        <w:rPr>
          <w:color w:val="000000" w:themeColor="text1"/>
          <w:szCs w:val="24"/>
        </w:rPr>
        <w:t xml:space="preserve"> during the MEB period</w:t>
      </w:r>
      <w:r w:rsidR="0080588E" w:rsidRPr="00851D09">
        <w:rPr>
          <w:color w:val="000000" w:themeColor="text1"/>
          <w:szCs w:val="24"/>
        </w:rPr>
        <w:t>,</w:t>
      </w:r>
      <w:r w:rsidR="00A02AA8" w:rsidRPr="00851D09">
        <w:rPr>
          <w:color w:val="000000" w:themeColor="text1"/>
          <w:szCs w:val="24"/>
        </w:rPr>
        <w:t xml:space="preserve"> none carried attached profiles</w:t>
      </w:r>
      <w:r w:rsidR="0080588E" w:rsidRPr="00851D09">
        <w:rPr>
          <w:color w:val="000000" w:themeColor="text1"/>
          <w:szCs w:val="24"/>
        </w:rPr>
        <w:t>,</w:t>
      </w:r>
      <w:r w:rsidR="00A02AA8" w:rsidRPr="00851D09">
        <w:rPr>
          <w:color w:val="000000" w:themeColor="text1"/>
          <w:szCs w:val="24"/>
        </w:rPr>
        <w:t xml:space="preserve"> and none were implicated in the </w:t>
      </w:r>
      <w:r w:rsidR="0080588E" w:rsidRPr="00851D09">
        <w:rPr>
          <w:color w:val="000000" w:themeColor="text1"/>
          <w:szCs w:val="24"/>
        </w:rPr>
        <w:t>c</w:t>
      </w:r>
      <w:r w:rsidR="006B7CBD">
        <w:rPr>
          <w:color w:val="000000" w:themeColor="text1"/>
          <w:szCs w:val="24"/>
        </w:rPr>
        <w:t xml:space="preserve">ommander’s statement. </w:t>
      </w:r>
      <w:r w:rsidR="0051272F">
        <w:rPr>
          <w:color w:val="000000" w:themeColor="text1"/>
          <w:szCs w:val="24"/>
        </w:rPr>
        <w:t xml:space="preserve"> </w:t>
      </w:r>
      <w:r w:rsidR="00A02AA8" w:rsidRPr="00851D09">
        <w:rPr>
          <w:color w:val="000000" w:themeColor="text1"/>
          <w:szCs w:val="24"/>
        </w:rPr>
        <w:t xml:space="preserve">These conditions were reviewed by the </w:t>
      </w:r>
      <w:r w:rsidR="0080588E" w:rsidRPr="00851D09">
        <w:rPr>
          <w:color w:val="000000" w:themeColor="text1"/>
          <w:szCs w:val="24"/>
        </w:rPr>
        <w:t xml:space="preserve">action officer </w:t>
      </w:r>
      <w:r w:rsidR="006B7CBD">
        <w:rPr>
          <w:color w:val="000000" w:themeColor="text1"/>
          <w:szCs w:val="24"/>
        </w:rPr>
        <w:t xml:space="preserve">and considered by the Board. </w:t>
      </w:r>
      <w:r w:rsidR="0051272F">
        <w:rPr>
          <w:color w:val="000000" w:themeColor="text1"/>
          <w:szCs w:val="24"/>
        </w:rPr>
        <w:t xml:space="preserve"> </w:t>
      </w:r>
      <w:r w:rsidR="00A02AA8" w:rsidRPr="00851D09">
        <w:rPr>
          <w:color w:val="000000" w:themeColor="text1"/>
          <w:szCs w:val="24"/>
        </w:rPr>
        <w:t>It was determined that none could be argued as unfitting and</w:t>
      </w:r>
      <w:r w:rsidR="006B7CBD">
        <w:rPr>
          <w:color w:val="000000" w:themeColor="text1"/>
          <w:szCs w:val="24"/>
        </w:rPr>
        <w:t xml:space="preserve"> subject to separation rating. </w:t>
      </w:r>
      <w:r w:rsidR="0051272F">
        <w:rPr>
          <w:color w:val="000000" w:themeColor="text1"/>
          <w:szCs w:val="24"/>
        </w:rPr>
        <w:t xml:space="preserve"> </w:t>
      </w:r>
      <w:r w:rsidR="00A02AA8" w:rsidRPr="00851D09">
        <w:rPr>
          <w:color w:val="000000" w:themeColor="text1"/>
          <w:szCs w:val="24"/>
        </w:rPr>
        <w:t>Additionally</w:t>
      </w:r>
      <w:r w:rsidR="00E01D0E" w:rsidRPr="00851D09">
        <w:rPr>
          <w:color w:val="000000" w:themeColor="text1"/>
          <w:szCs w:val="24"/>
        </w:rPr>
        <w:t>,</w:t>
      </w:r>
      <w:r w:rsidR="00A02AA8" w:rsidRPr="00851D09">
        <w:rPr>
          <w:color w:val="000000" w:themeColor="text1"/>
          <w:szCs w:val="24"/>
        </w:rPr>
        <w:t xml:space="preserve"> </w:t>
      </w:r>
      <w:r w:rsidR="001E0F92" w:rsidRPr="00851D09">
        <w:rPr>
          <w:color w:val="000000" w:themeColor="text1"/>
          <w:szCs w:val="24"/>
        </w:rPr>
        <w:t>right wrist fracture</w:t>
      </w:r>
      <w:r w:rsidR="00A02AA8" w:rsidRPr="00851D09">
        <w:rPr>
          <w:color w:val="000000" w:themeColor="text1"/>
          <w:szCs w:val="24"/>
        </w:rPr>
        <w:t xml:space="preserve"> and several other non-acute conditions were noted in the VA proximal to separation, but were n</w:t>
      </w:r>
      <w:r w:rsidR="006B7CBD">
        <w:rPr>
          <w:color w:val="000000" w:themeColor="text1"/>
          <w:szCs w:val="24"/>
        </w:rPr>
        <w:t xml:space="preserve">ot documented in the DES file. </w:t>
      </w:r>
      <w:r w:rsidR="0051272F">
        <w:rPr>
          <w:color w:val="000000" w:themeColor="text1"/>
          <w:szCs w:val="24"/>
        </w:rPr>
        <w:t xml:space="preserve"> </w:t>
      </w:r>
      <w:r w:rsidR="00A02AA8" w:rsidRPr="00851D09">
        <w:rPr>
          <w:color w:val="000000" w:themeColor="text1"/>
          <w:szCs w:val="24"/>
        </w:rPr>
        <w:t>The Board does not have the authority under DoDI 6040.44 to render fitness or rating recommendations for any conditions</w:t>
      </w:r>
      <w:r w:rsidR="00A02AA8" w:rsidRPr="001F29F9">
        <w:rPr>
          <w:color w:val="000000" w:themeColor="text1"/>
          <w:szCs w:val="24"/>
        </w:rPr>
        <w:t xml:space="preserve"> not considered by the DES.  The Board</w:t>
      </w:r>
      <w:r w:rsidR="00E01D0E">
        <w:rPr>
          <w:color w:val="000000" w:themeColor="text1"/>
          <w:szCs w:val="24"/>
        </w:rPr>
        <w:t>,</w:t>
      </w:r>
      <w:r w:rsidR="00A02AA8" w:rsidRPr="001F29F9">
        <w:rPr>
          <w:color w:val="000000" w:themeColor="text1"/>
          <w:szCs w:val="24"/>
        </w:rPr>
        <w:t xml:space="preserve"> therefore</w:t>
      </w:r>
      <w:r w:rsidR="00E01D0E">
        <w:rPr>
          <w:color w:val="000000" w:themeColor="text1"/>
          <w:szCs w:val="24"/>
        </w:rPr>
        <w:t>,</w:t>
      </w:r>
      <w:r w:rsidR="00A02AA8" w:rsidRPr="001F29F9">
        <w:rPr>
          <w:color w:val="000000" w:themeColor="text1"/>
          <w:szCs w:val="24"/>
        </w:rPr>
        <w:t xml:space="preserve"> has no reasonable basis for recommending any additional unfitting conditions for separation rating.</w:t>
      </w:r>
      <w:r w:rsidR="00061333" w:rsidRPr="001F29F9">
        <w:rPr>
          <w:color w:val="000000" w:themeColor="text1"/>
          <w:szCs w:val="24"/>
        </w:rPr>
        <w:t xml:space="preserve"> </w:t>
      </w:r>
    </w:p>
    <w:p w:rsidR="001031F4" w:rsidRPr="001F29F9" w:rsidRDefault="001031F4" w:rsidP="00976553">
      <w:pPr>
        <w:pBdr>
          <w:bottom w:val="single" w:sz="12" w:space="1" w:color="auto"/>
        </w:pBdr>
        <w:tabs>
          <w:tab w:val="left" w:pos="288"/>
          <w:tab w:val="left" w:pos="4752"/>
        </w:tabs>
        <w:jc w:val="both"/>
        <w:rPr>
          <w:color w:val="000000" w:themeColor="text1"/>
        </w:rPr>
      </w:pPr>
    </w:p>
    <w:p w:rsidR="00F1737C" w:rsidRPr="001F29F9" w:rsidRDefault="00F1737C" w:rsidP="00976553">
      <w:pPr>
        <w:jc w:val="both"/>
        <w:rPr>
          <w:color w:val="000000" w:themeColor="text1"/>
          <w:szCs w:val="24"/>
        </w:rPr>
      </w:pPr>
    </w:p>
    <w:p w:rsidR="00061333" w:rsidRPr="003C53E8" w:rsidRDefault="00C56FC8" w:rsidP="00976553">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B7CBD">
        <w:rPr>
          <w:rFonts w:asciiTheme="minorHAnsi" w:eastAsiaTheme="minorHAnsi" w:hAnsiTheme="minorHAnsi" w:cs="Times New Roman"/>
          <w:color w:val="auto"/>
          <w:szCs w:val="24"/>
        </w:rPr>
        <w:t>.</w:t>
      </w:r>
      <w:r w:rsidR="00E01D0E">
        <w:rPr>
          <w:rFonts w:asciiTheme="minorHAnsi" w:eastAsiaTheme="minorHAnsi" w:hAnsiTheme="minorHAnsi" w:cs="Times New Roman"/>
          <w:color w:val="auto"/>
          <w:szCs w:val="24"/>
        </w:rPr>
        <w:t xml:space="preserve"> </w:t>
      </w:r>
      <w:r w:rsidR="0051272F">
        <w:rPr>
          <w:rFonts w:asciiTheme="minorHAnsi" w:eastAsiaTheme="minorHAnsi" w:hAnsiTheme="minorHAnsi" w:cs="Times New Roman"/>
          <w:color w:val="auto"/>
          <w:szCs w:val="24"/>
        </w:rPr>
        <w:t xml:space="preserve"> </w:t>
      </w:r>
      <w:r w:rsidR="009076CC" w:rsidRPr="009076CC">
        <w:rPr>
          <w:rFonts w:asciiTheme="minorHAnsi" w:eastAsiaTheme="minorHAnsi" w:hAnsiTheme="minorHAnsi" w:cs="Times New Roman"/>
          <w:color w:val="auto"/>
          <w:szCs w:val="24"/>
        </w:rPr>
        <w:t xml:space="preserve">As discussed above, PEB reliance on the </w:t>
      </w:r>
      <w:r w:rsidR="009076CC" w:rsidRPr="00F17527">
        <w:rPr>
          <w:color w:val="000000" w:themeColor="text1"/>
          <w:szCs w:val="24"/>
        </w:rPr>
        <w:t xml:space="preserve">US Army </w:t>
      </w:r>
      <w:r w:rsidR="009076CC">
        <w:rPr>
          <w:color w:val="000000" w:themeColor="text1"/>
          <w:szCs w:val="24"/>
        </w:rPr>
        <w:t>Regulation 635-40 paragraph B-29e</w:t>
      </w:r>
      <w:r w:rsidR="009076CC" w:rsidRPr="009076CC">
        <w:rPr>
          <w:rFonts w:asciiTheme="minorHAnsi" w:eastAsiaTheme="minorHAnsi" w:hAnsiTheme="minorHAnsi" w:cs="Times New Roman"/>
          <w:color w:val="auto"/>
          <w:szCs w:val="24"/>
        </w:rPr>
        <w:t xml:space="preserve"> for rating </w:t>
      </w:r>
      <w:r w:rsidR="009076CC">
        <w:rPr>
          <w:rFonts w:asciiTheme="minorHAnsi" w:eastAsiaTheme="minorHAnsi" w:hAnsiTheme="minorHAnsi" w:cs="Times New Roman"/>
          <w:color w:val="auto"/>
          <w:szCs w:val="24"/>
        </w:rPr>
        <w:t xml:space="preserve">chronic </w:t>
      </w:r>
      <w:r w:rsidR="0051272F">
        <w:rPr>
          <w:rFonts w:asciiTheme="minorHAnsi" w:eastAsiaTheme="minorHAnsi" w:hAnsiTheme="minorHAnsi" w:cs="Times New Roman"/>
          <w:color w:val="auto"/>
          <w:szCs w:val="24"/>
        </w:rPr>
        <w:t>LBP</w:t>
      </w:r>
      <w:r w:rsidR="009076CC" w:rsidRPr="009076CC">
        <w:rPr>
          <w:rFonts w:asciiTheme="minorHAnsi" w:eastAsiaTheme="minorHAnsi" w:hAnsiTheme="minorHAnsi" w:cs="Times New Roman"/>
          <w:color w:val="auto"/>
          <w:szCs w:val="24"/>
        </w:rPr>
        <w:t xml:space="preserve"> was operant in this case and the condition was adjudicated independently of that policy regulation by the Board.</w:t>
      </w:r>
      <w:r w:rsidR="009076CC">
        <w:rPr>
          <w:rFonts w:asciiTheme="minorHAnsi" w:eastAsiaTheme="minorHAnsi" w:hAnsiTheme="minorHAnsi" w:cs="Times New Roman"/>
          <w:color w:val="auto"/>
          <w:szCs w:val="24"/>
        </w:rPr>
        <w:t xml:space="preserve"> </w:t>
      </w:r>
      <w:r w:rsidR="0051272F">
        <w:rPr>
          <w:rFonts w:asciiTheme="minorHAnsi" w:eastAsiaTheme="minorHAnsi" w:hAnsiTheme="minorHAnsi" w:cs="Times New Roman"/>
          <w:color w:val="auto"/>
          <w:szCs w:val="24"/>
        </w:rPr>
        <w:t xml:space="preserve"> </w:t>
      </w:r>
      <w:r w:rsidR="00B314AF">
        <w:rPr>
          <w:rFonts w:cs="Arial"/>
          <w:color w:val="000000"/>
        </w:rPr>
        <w:t xml:space="preserve">In the matter of </w:t>
      </w:r>
      <w:r w:rsidR="00B314AF" w:rsidRPr="00976553">
        <w:rPr>
          <w:rFonts w:cs="Arial"/>
          <w:color w:val="000000"/>
        </w:rPr>
        <w:t xml:space="preserve">the chronic </w:t>
      </w:r>
      <w:r w:rsidR="0051272F">
        <w:rPr>
          <w:rFonts w:cs="Arial"/>
          <w:color w:val="000000"/>
        </w:rPr>
        <w:t>LBP</w:t>
      </w:r>
      <w:r w:rsidR="00B314AF" w:rsidRPr="00976553">
        <w:rPr>
          <w:rFonts w:cs="Arial"/>
          <w:color w:val="000000"/>
        </w:rPr>
        <w:t xml:space="preserve"> condition</w:t>
      </w:r>
      <w:r w:rsidR="00B314AF">
        <w:rPr>
          <w:rFonts w:cs="Arial"/>
          <w:color w:val="000000"/>
        </w:rPr>
        <w:t xml:space="preserve">, the </w:t>
      </w:r>
      <w:r w:rsidR="00B314AF" w:rsidRPr="00851D09">
        <w:rPr>
          <w:rFonts w:cs="Arial"/>
          <w:color w:val="000000"/>
        </w:rPr>
        <w:t>Board</w:t>
      </w:r>
      <w:r w:rsidR="0011451C" w:rsidRPr="00851D09">
        <w:rPr>
          <w:rFonts w:cs="Arial"/>
          <w:color w:val="000000"/>
        </w:rPr>
        <w:t>,</w:t>
      </w:r>
      <w:r w:rsidR="00B314AF" w:rsidRPr="00851D09">
        <w:rPr>
          <w:rFonts w:cs="Arial"/>
          <w:color w:val="000000"/>
        </w:rPr>
        <w:t xml:space="preserve"> </w:t>
      </w:r>
      <w:r w:rsidR="0011451C" w:rsidRPr="00851D09">
        <w:rPr>
          <w:rFonts w:cs="Arial"/>
          <w:color w:val="000000"/>
        </w:rPr>
        <w:t>by simple majority,</w:t>
      </w:r>
      <w:r w:rsidR="00B314AF" w:rsidRPr="00851D09">
        <w:rPr>
          <w:rFonts w:cs="Arial"/>
          <w:color w:val="000000"/>
        </w:rPr>
        <w:t xml:space="preserve"> recommends </w:t>
      </w:r>
      <w:r w:rsidR="00976553" w:rsidRPr="00851D09">
        <w:rPr>
          <w:rFonts w:cs="Arial"/>
          <w:color w:val="000000"/>
        </w:rPr>
        <w:t xml:space="preserve">a disability rating of </w:t>
      </w:r>
      <w:r w:rsidR="00B314AF" w:rsidRPr="00851D09">
        <w:rPr>
          <w:rFonts w:cs="Arial"/>
          <w:color w:val="000000"/>
        </w:rPr>
        <w:t>40%</w:t>
      </w:r>
      <w:r w:rsidR="00735C55" w:rsidRPr="00851D09">
        <w:rPr>
          <w:rFonts w:cs="Arial"/>
          <w:color w:val="000000"/>
        </w:rPr>
        <w:t xml:space="preserve"> coded 5237 IAW VASRD §4.71a</w:t>
      </w:r>
      <w:r w:rsidR="006B7CBD">
        <w:rPr>
          <w:rFonts w:cs="Arial"/>
          <w:color w:val="000000"/>
        </w:rPr>
        <w:t xml:space="preserve">. </w:t>
      </w:r>
      <w:r w:rsidR="0051272F">
        <w:rPr>
          <w:rFonts w:cs="Arial"/>
          <w:color w:val="000000"/>
        </w:rPr>
        <w:t xml:space="preserve"> </w:t>
      </w:r>
      <w:r w:rsidR="009076CC" w:rsidRPr="00851D09">
        <w:rPr>
          <w:rFonts w:cs="Arial"/>
          <w:color w:val="000000"/>
        </w:rPr>
        <w:t xml:space="preserve">The single voter for dissent (who recommended rating </w:t>
      </w:r>
      <w:r w:rsidR="00851D09" w:rsidRPr="00851D09">
        <w:rPr>
          <w:rFonts w:cs="Arial"/>
          <w:color w:val="000000"/>
        </w:rPr>
        <w:t>5237</w:t>
      </w:r>
      <w:r w:rsidR="009076CC" w:rsidRPr="00851D09">
        <w:rPr>
          <w:rFonts w:cs="Arial"/>
          <w:color w:val="000000"/>
        </w:rPr>
        <w:t xml:space="preserve"> at </w:t>
      </w:r>
      <w:r w:rsidR="00851D09" w:rsidRPr="00851D09">
        <w:rPr>
          <w:rFonts w:cs="Arial"/>
          <w:color w:val="000000"/>
        </w:rPr>
        <w:t>20</w:t>
      </w:r>
      <w:r w:rsidR="009076CC" w:rsidRPr="00851D09">
        <w:rPr>
          <w:rFonts w:cs="Arial"/>
          <w:color w:val="000000"/>
        </w:rPr>
        <w:t>%) did not elect to submit a minority opinion.</w:t>
      </w:r>
      <w:r w:rsidR="00851D09" w:rsidRPr="00851D09">
        <w:rPr>
          <w:rFonts w:cs="Arial"/>
          <w:color w:val="000000"/>
        </w:rPr>
        <w:t xml:space="preserve"> </w:t>
      </w:r>
      <w:r w:rsidR="0051272F">
        <w:rPr>
          <w:rFonts w:cs="Arial"/>
          <w:color w:val="000000"/>
        </w:rPr>
        <w:t xml:space="preserve"> </w:t>
      </w:r>
      <w:r w:rsidR="00B314AF" w:rsidRPr="00851D09">
        <w:rPr>
          <w:rFonts w:cs="Arial"/>
          <w:color w:val="000000"/>
        </w:rPr>
        <w:t xml:space="preserve">In the matter of the depression, </w:t>
      </w:r>
      <w:r w:rsidR="00B314AF" w:rsidRPr="00851D09">
        <w:rPr>
          <w:color w:val="000000" w:themeColor="text1"/>
          <w:szCs w:val="24"/>
        </w:rPr>
        <w:t>trouble sleeping, sinusitis, GERD, neck pain, shoulder pain, knee pain</w:t>
      </w:r>
      <w:r w:rsidR="00976553" w:rsidRPr="00851D09">
        <w:rPr>
          <w:color w:val="000000" w:themeColor="text1"/>
          <w:szCs w:val="24"/>
        </w:rPr>
        <w:t>,</w:t>
      </w:r>
      <w:r w:rsidR="00B314AF" w:rsidRPr="00851D09">
        <w:rPr>
          <w:color w:val="000000" w:themeColor="text1"/>
          <w:szCs w:val="24"/>
        </w:rPr>
        <w:t xml:space="preserve"> and ankle pain</w:t>
      </w:r>
      <w:r w:rsidR="00B314AF" w:rsidRPr="00851D09">
        <w:rPr>
          <w:rFonts w:cs="Arial"/>
          <w:color w:val="auto"/>
        </w:rPr>
        <w:t xml:space="preserve">, </w:t>
      </w:r>
      <w:r w:rsidR="00B314AF" w:rsidRPr="00851D09">
        <w:rPr>
          <w:rFonts w:cs="Calibri"/>
          <w:color w:val="auto"/>
          <w:szCs w:val="24"/>
        </w:rPr>
        <w:t>the Board unanimously agrees that it cannot</w:t>
      </w:r>
      <w:r w:rsidR="00B314AF" w:rsidRPr="00E3004D">
        <w:rPr>
          <w:rFonts w:cs="Calibri"/>
          <w:color w:val="auto"/>
          <w:szCs w:val="24"/>
        </w:rPr>
        <w:t xml:space="preserve"> recommend any findings of unfit for additional rating at separation.</w:t>
      </w:r>
    </w:p>
    <w:p w:rsidR="00F1737C" w:rsidRPr="001F29F9" w:rsidRDefault="00F1737C" w:rsidP="00976553">
      <w:pPr>
        <w:pBdr>
          <w:bottom w:val="single" w:sz="12" w:space="1" w:color="auto"/>
        </w:pBdr>
        <w:tabs>
          <w:tab w:val="left" w:pos="288"/>
          <w:tab w:val="left" w:pos="4752"/>
        </w:tabs>
        <w:jc w:val="both"/>
        <w:rPr>
          <w:color w:val="000000" w:themeColor="text1"/>
        </w:rPr>
      </w:pPr>
    </w:p>
    <w:p w:rsidR="00F1737C" w:rsidRPr="001F29F9" w:rsidRDefault="00F1737C" w:rsidP="00976553">
      <w:pPr>
        <w:jc w:val="both"/>
        <w:rPr>
          <w:color w:val="000000" w:themeColor="text1"/>
          <w:szCs w:val="24"/>
        </w:rPr>
      </w:pPr>
    </w:p>
    <w:p w:rsidR="00543C53" w:rsidRDefault="00543C53">
      <w:pPr>
        <w:rPr>
          <w:color w:val="000000" w:themeColor="text1"/>
          <w:szCs w:val="24"/>
          <w:u w:val="single"/>
        </w:rPr>
      </w:pPr>
      <w:r>
        <w:rPr>
          <w:color w:val="000000" w:themeColor="text1"/>
          <w:szCs w:val="24"/>
          <w:u w:val="single"/>
        </w:rPr>
        <w:br w:type="page"/>
      </w:r>
    </w:p>
    <w:p w:rsidR="008208C3" w:rsidRPr="001F29F9" w:rsidRDefault="00C56FC8" w:rsidP="00976553">
      <w:pPr>
        <w:jc w:val="both"/>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B314AF" w:rsidRPr="001F29F9">
        <w:rPr>
          <w:color w:val="000000" w:themeColor="text1"/>
          <w:szCs w:val="24"/>
        </w:rPr>
        <w:t xml:space="preserve">  </w:t>
      </w:r>
      <w:r w:rsidR="008208C3" w:rsidRPr="00976553">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B314AF" w:rsidRPr="00976553">
        <w:rPr>
          <w:color w:val="000000" w:themeColor="text1"/>
          <w:szCs w:val="24"/>
        </w:rPr>
        <w:t xml:space="preserve"> </w:t>
      </w:r>
      <w:r w:rsidR="00911B11" w:rsidRPr="00976553">
        <w:rPr>
          <w:color w:val="000000" w:themeColor="text1"/>
          <w:szCs w:val="24"/>
        </w:rPr>
        <w:t>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976553" w:rsidRDefault="00A95BBA" w:rsidP="00BF0E94">
            <w:pPr>
              <w:tabs>
                <w:tab w:val="left" w:pos="288"/>
                <w:tab w:val="left" w:pos="4752"/>
              </w:tabs>
              <w:rPr>
                <w:b/>
                <w:color w:val="000000" w:themeColor="text1"/>
                <w:szCs w:val="24"/>
              </w:rPr>
            </w:pPr>
            <w:r w:rsidRPr="00976553">
              <w:rPr>
                <w:b/>
                <w:color w:val="000000" w:themeColor="text1"/>
                <w:szCs w:val="24"/>
              </w:rPr>
              <w:t>UNFITTING CONDITION</w:t>
            </w:r>
          </w:p>
        </w:tc>
        <w:tc>
          <w:tcPr>
            <w:tcW w:w="1710" w:type="dxa"/>
            <w:shd w:val="clear" w:color="auto" w:fill="D9D9D9"/>
            <w:vAlign w:val="center"/>
          </w:tcPr>
          <w:p w:rsidR="00A95BBA" w:rsidRPr="00976553" w:rsidRDefault="00A95BBA" w:rsidP="00BF0E94">
            <w:pPr>
              <w:tabs>
                <w:tab w:val="left" w:pos="288"/>
                <w:tab w:val="left" w:pos="4752"/>
              </w:tabs>
              <w:rPr>
                <w:b/>
                <w:color w:val="000000" w:themeColor="text1"/>
                <w:szCs w:val="24"/>
              </w:rPr>
            </w:pPr>
            <w:r w:rsidRPr="00976553">
              <w:rPr>
                <w:b/>
                <w:color w:val="000000" w:themeColor="text1"/>
                <w:szCs w:val="24"/>
              </w:rPr>
              <w:t>VASRD CODE</w:t>
            </w:r>
          </w:p>
        </w:tc>
        <w:tc>
          <w:tcPr>
            <w:tcW w:w="1170" w:type="dxa"/>
            <w:shd w:val="clear" w:color="auto" w:fill="D9D9D9"/>
            <w:vAlign w:val="center"/>
          </w:tcPr>
          <w:p w:rsidR="00A95BBA" w:rsidRPr="00976553" w:rsidRDefault="00A95BBA" w:rsidP="00BF0E94">
            <w:pPr>
              <w:tabs>
                <w:tab w:val="left" w:pos="288"/>
                <w:tab w:val="left" w:pos="4752"/>
              </w:tabs>
              <w:rPr>
                <w:b/>
                <w:color w:val="000000" w:themeColor="text1"/>
                <w:szCs w:val="24"/>
              </w:rPr>
            </w:pPr>
            <w:r w:rsidRPr="00976553">
              <w:rPr>
                <w:b/>
                <w:color w:val="000000" w:themeColor="text1"/>
                <w:szCs w:val="24"/>
              </w:rPr>
              <w:t>RATING</w:t>
            </w:r>
          </w:p>
        </w:tc>
      </w:tr>
      <w:tr w:rsidR="00A95BBA" w:rsidRPr="001F29F9" w:rsidTr="0080588E">
        <w:trPr>
          <w:jc w:val="center"/>
        </w:trPr>
        <w:tc>
          <w:tcPr>
            <w:tcW w:w="6282" w:type="dxa"/>
            <w:vAlign w:val="center"/>
          </w:tcPr>
          <w:p w:rsidR="00A95BBA" w:rsidRPr="00976553" w:rsidRDefault="00735C55" w:rsidP="00BF0E94">
            <w:pPr>
              <w:tabs>
                <w:tab w:val="left" w:pos="288"/>
                <w:tab w:val="left" w:pos="4752"/>
              </w:tabs>
              <w:jc w:val="left"/>
              <w:rPr>
                <w:color w:val="000000" w:themeColor="text1"/>
                <w:szCs w:val="24"/>
              </w:rPr>
            </w:pPr>
            <w:r>
              <w:rPr>
                <w:color w:val="000000" w:themeColor="text1"/>
                <w:szCs w:val="24"/>
              </w:rPr>
              <w:t xml:space="preserve">Chronic </w:t>
            </w:r>
            <w:r w:rsidR="002C0772" w:rsidRPr="00976553">
              <w:rPr>
                <w:color w:val="000000" w:themeColor="text1"/>
                <w:szCs w:val="24"/>
              </w:rPr>
              <w:t>Low Back Pain</w:t>
            </w:r>
          </w:p>
        </w:tc>
        <w:tc>
          <w:tcPr>
            <w:tcW w:w="1710" w:type="dxa"/>
            <w:vAlign w:val="center"/>
          </w:tcPr>
          <w:p w:rsidR="00A95BBA" w:rsidRPr="00976553" w:rsidRDefault="002C0772" w:rsidP="00BF0E94">
            <w:pPr>
              <w:tabs>
                <w:tab w:val="left" w:pos="288"/>
                <w:tab w:val="left" w:pos="4752"/>
              </w:tabs>
              <w:rPr>
                <w:color w:val="000000" w:themeColor="text1"/>
                <w:szCs w:val="24"/>
              </w:rPr>
            </w:pPr>
            <w:r w:rsidRPr="00976553">
              <w:rPr>
                <w:color w:val="000000" w:themeColor="text1"/>
                <w:szCs w:val="24"/>
              </w:rPr>
              <w:t>5237</w:t>
            </w:r>
          </w:p>
        </w:tc>
        <w:tc>
          <w:tcPr>
            <w:tcW w:w="1170" w:type="dxa"/>
            <w:vAlign w:val="center"/>
          </w:tcPr>
          <w:p w:rsidR="00A95BBA" w:rsidRPr="00976553" w:rsidRDefault="00B314AF" w:rsidP="00BF0E94">
            <w:pPr>
              <w:tabs>
                <w:tab w:val="left" w:pos="288"/>
                <w:tab w:val="left" w:pos="4752"/>
              </w:tabs>
              <w:rPr>
                <w:color w:val="000000" w:themeColor="text1"/>
                <w:szCs w:val="24"/>
              </w:rPr>
            </w:pPr>
            <w:r w:rsidRPr="00976553">
              <w:rPr>
                <w:color w:val="000000" w:themeColor="text1"/>
                <w:szCs w:val="24"/>
              </w:rPr>
              <w:t>40</w:t>
            </w:r>
            <w:r w:rsidR="00A95BBA" w:rsidRPr="00976553">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76553" w:rsidRDefault="00A95BBA" w:rsidP="00BF0E94">
            <w:pPr>
              <w:tabs>
                <w:tab w:val="left" w:pos="288"/>
                <w:tab w:val="left" w:pos="4752"/>
              </w:tabs>
              <w:rPr>
                <w:b/>
                <w:color w:val="000000" w:themeColor="text1"/>
                <w:szCs w:val="24"/>
              </w:rPr>
            </w:pPr>
            <w:r w:rsidRPr="00976553">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976553" w:rsidRDefault="00B314AF" w:rsidP="00BF0E94">
            <w:pPr>
              <w:tabs>
                <w:tab w:val="left" w:pos="288"/>
                <w:tab w:val="left" w:pos="4752"/>
              </w:tabs>
              <w:rPr>
                <w:b/>
                <w:color w:val="000000" w:themeColor="text1"/>
                <w:szCs w:val="24"/>
              </w:rPr>
            </w:pPr>
            <w:r w:rsidRPr="00976553">
              <w:rPr>
                <w:b/>
                <w:color w:val="000000" w:themeColor="text1"/>
                <w:szCs w:val="24"/>
              </w:rPr>
              <w:t>40</w:t>
            </w:r>
            <w:r w:rsidR="00A95BBA" w:rsidRPr="00976553">
              <w:rPr>
                <w:b/>
                <w:color w:val="000000" w:themeColor="text1"/>
                <w:szCs w:val="24"/>
              </w:rPr>
              <w:t>%</w:t>
            </w:r>
          </w:p>
        </w:tc>
      </w:tr>
    </w:tbl>
    <w:p w:rsidR="000275DE" w:rsidRPr="001F29F9" w:rsidRDefault="000275DE" w:rsidP="00851D09">
      <w:pPr>
        <w:pBdr>
          <w:bottom w:val="single" w:sz="12" w:space="1" w:color="auto"/>
        </w:pBdr>
        <w:tabs>
          <w:tab w:val="left" w:pos="288"/>
          <w:tab w:val="left" w:pos="4752"/>
        </w:tabs>
        <w:jc w:val="both"/>
        <w:rPr>
          <w:color w:val="000000" w:themeColor="text1"/>
        </w:rPr>
      </w:pPr>
    </w:p>
    <w:p w:rsidR="005B1D09" w:rsidRPr="001F29F9" w:rsidRDefault="005B1D09" w:rsidP="00851D09">
      <w:pPr>
        <w:jc w:val="both"/>
        <w:rPr>
          <w:color w:val="000000" w:themeColor="text1"/>
          <w:szCs w:val="24"/>
        </w:rPr>
      </w:pPr>
    </w:p>
    <w:p w:rsidR="00D91DA6" w:rsidRPr="001F29F9" w:rsidRDefault="00FB1725" w:rsidP="00851D09">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851D09">
      <w:pPr>
        <w:tabs>
          <w:tab w:val="left" w:pos="288"/>
          <w:tab w:val="left" w:pos="4752"/>
        </w:tabs>
        <w:jc w:val="both"/>
        <w:rPr>
          <w:color w:val="000000" w:themeColor="text1"/>
        </w:rPr>
      </w:pPr>
    </w:p>
    <w:p w:rsidR="00114F20" w:rsidRPr="001F29F9" w:rsidRDefault="00FB1725" w:rsidP="00851D0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C0772">
        <w:rPr>
          <w:color w:val="000000" w:themeColor="text1"/>
          <w:szCs w:val="24"/>
        </w:rPr>
        <w:t>10406</w:t>
      </w:r>
      <w:r w:rsidR="0051272F">
        <w:rPr>
          <w:color w:val="000000" w:themeColor="text1"/>
        </w:rPr>
        <w:t>, w/</w:t>
      </w:r>
      <w:proofErr w:type="spellStart"/>
      <w:r w:rsidR="0051272F">
        <w:rPr>
          <w:color w:val="000000" w:themeColor="text1"/>
        </w:rPr>
        <w:t>atchs</w:t>
      </w:r>
      <w:proofErr w:type="spellEnd"/>
    </w:p>
    <w:p w:rsidR="00114F20" w:rsidRPr="001F29F9" w:rsidRDefault="00FB1725" w:rsidP="00851D09">
      <w:pPr>
        <w:tabs>
          <w:tab w:val="left" w:pos="288"/>
          <w:tab w:val="left" w:pos="4752"/>
        </w:tabs>
        <w:jc w:val="both"/>
        <w:rPr>
          <w:color w:val="000000" w:themeColor="text1"/>
        </w:rPr>
      </w:pPr>
      <w:r w:rsidRPr="001F29F9">
        <w:rPr>
          <w:color w:val="000000" w:themeColor="text1"/>
        </w:rPr>
        <w:t>Exhib</w:t>
      </w:r>
      <w:r w:rsidR="0051272F">
        <w:rPr>
          <w:color w:val="000000" w:themeColor="text1"/>
        </w:rPr>
        <w:t>it B.  Service Treatment Record</w:t>
      </w:r>
    </w:p>
    <w:p w:rsidR="00114F20" w:rsidRPr="001F29F9" w:rsidRDefault="00FB1725" w:rsidP="00851D09">
      <w:pPr>
        <w:tabs>
          <w:tab w:val="left" w:pos="288"/>
          <w:tab w:val="left" w:pos="4752"/>
        </w:tabs>
        <w:jc w:val="both"/>
        <w:rPr>
          <w:color w:val="000000" w:themeColor="text1"/>
        </w:rPr>
      </w:pPr>
      <w:r w:rsidRPr="001F29F9">
        <w:rPr>
          <w:color w:val="000000" w:themeColor="text1"/>
        </w:rPr>
        <w:t>Exhibit C.  Department of Ve</w:t>
      </w:r>
      <w:r w:rsidR="0051272F">
        <w:rPr>
          <w:color w:val="000000" w:themeColor="text1"/>
        </w:rPr>
        <w:t>terans Affairs Treatment Record</w:t>
      </w:r>
    </w:p>
    <w:p w:rsidR="00D91DA6" w:rsidRPr="001F29F9" w:rsidRDefault="00D91DA6" w:rsidP="00851D09">
      <w:pPr>
        <w:tabs>
          <w:tab w:val="left" w:pos="288"/>
          <w:tab w:val="left" w:pos="4752"/>
        </w:tabs>
        <w:jc w:val="both"/>
        <w:rPr>
          <w:color w:val="000000" w:themeColor="text1"/>
        </w:rPr>
      </w:pPr>
    </w:p>
    <w:p w:rsidR="00114F20" w:rsidRPr="001F29F9" w:rsidRDefault="00114F20" w:rsidP="00851D09">
      <w:pPr>
        <w:tabs>
          <w:tab w:val="left" w:pos="288"/>
          <w:tab w:val="left" w:pos="4752"/>
        </w:tabs>
        <w:jc w:val="both"/>
        <w:rPr>
          <w:color w:val="000000" w:themeColor="text1"/>
        </w:rPr>
      </w:pPr>
    </w:p>
    <w:p w:rsidR="00114F20" w:rsidRPr="001F29F9" w:rsidRDefault="00114F20" w:rsidP="00851D09">
      <w:pPr>
        <w:tabs>
          <w:tab w:val="left" w:pos="288"/>
          <w:tab w:val="left" w:pos="4752"/>
        </w:tabs>
        <w:jc w:val="both"/>
        <w:rPr>
          <w:color w:val="000000" w:themeColor="text1"/>
        </w:rPr>
      </w:pPr>
    </w:p>
    <w:p w:rsidR="00114F20" w:rsidRPr="001F29F9" w:rsidRDefault="00114F20" w:rsidP="00851D09">
      <w:pPr>
        <w:tabs>
          <w:tab w:val="left" w:pos="288"/>
          <w:tab w:val="left" w:pos="4752"/>
        </w:tabs>
        <w:jc w:val="both"/>
        <w:rPr>
          <w:color w:val="000000" w:themeColor="text1"/>
        </w:rPr>
      </w:pPr>
    </w:p>
    <w:p w:rsidR="00E3077F" w:rsidRPr="001F29F9" w:rsidRDefault="00220FA9" w:rsidP="00851D0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B958D8">
        <w:rPr>
          <w:color w:val="000000" w:themeColor="text1"/>
          <w:szCs w:val="24"/>
        </w:rPr>
        <w:t>XXXXXXXXXXXX</w:t>
      </w:r>
    </w:p>
    <w:p w:rsidR="002F195B" w:rsidRPr="001F29F9" w:rsidRDefault="00220FA9" w:rsidP="00851D0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958D8" w:rsidRDefault="002F195B" w:rsidP="00851D09">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958D8" w:rsidRDefault="00B958D8">
      <w:pPr>
        <w:rPr>
          <w:color w:val="000000" w:themeColor="text1"/>
          <w:szCs w:val="24"/>
        </w:rPr>
      </w:pPr>
      <w:r>
        <w:rPr>
          <w:color w:val="000000" w:themeColor="text1"/>
          <w:szCs w:val="24"/>
        </w:rPr>
        <w:br w:type="page"/>
      </w:r>
    </w:p>
    <w:p w:rsidR="00B958D8" w:rsidRDefault="00B958D8" w:rsidP="00B958D8">
      <w:pPr>
        <w:pStyle w:val="Header"/>
        <w:tabs>
          <w:tab w:val="left" w:pos="720"/>
        </w:tabs>
        <w:jc w:val="left"/>
      </w:pPr>
      <w:r>
        <w:lastRenderedPageBreak/>
        <w:t>SFMR-RB</w:t>
      </w:r>
      <w:r>
        <w:tab/>
      </w:r>
      <w:r>
        <w:tab/>
      </w:r>
      <w:r>
        <w:tab/>
      </w:r>
      <w:r>
        <w:tab/>
      </w:r>
      <w:r>
        <w:tab/>
      </w:r>
      <w:r>
        <w:tab/>
      </w:r>
      <w:r>
        <w:tab/>
      </w:r>
      <w:r>
        <w:tab/>
      </w:r>
      <w:r>
        <w:tab/>
      </w:r>
    </w:p>
    <w:p w:rsidR="00B958D8" w:rsidRDefault="00B958D8" w:rsidP="00B958D8">
      <w:pPr>
        <w:pStyle w:val="Header"/>
        <w:tabs>
          <w:tab w:val="left" w:pos="720"/>
        </w:tabs>
        <w:jc w:val="left"/>
      </w:pPr>
    </w:p>
    <w:p w:rsidR="00B958D8" w:rsidRDefault="00B958D8" w:rsidP="00B958D8">
      <w:pPr>
        <w:jc w:val="left"/>
      </w:pPr>
    </w:p>
    <w:p w:rsidR="00B958D8" w:rsidRDefault="00B958D8" w:rsidP="00B958D8">
      <w:pPr>
        <w:jc w:val="left"/>
      </w:pPr>
      <w:r>
        <w:t xml:space="preserve">MEMORANDUM FOR Commander, US Army Physical Disability Agency </w:t>
      </w:r>
    </w:p>
    <w:p w:rsidR="00B958D8" w:rsidRDefault="00B958D8" w:rsidP="00B958D8">
      <w:pPr>
        <w:jc w:val="left"/>
      </w:pPr>
      <w:r>
        <w:t>(TAPD-ZB / Mr. Brower), 2900 Crystal Drive, Suite 300, Arlington, VA  22202</w:t>
      </w:r>
    </w:p>
    <w:p w:rsidR="00B958D8" w:rsidRDefault="00B958D8" w:rsidP="00B958D8">
      <w:pPr>
        <w:jc w:val="left"/>
      </w:pPr>
    </w:p>
    <w:p w:rsidR="00B958D8" w:rsidRDefault="00B958D8" w:rsidP="00B958D8">
      <w:pPr>
        <w:ind w:right="-180"/>
        <w:jc w:val="left"/>
      </w:pPr>
      <w:r>
        <w:t xml:space="preserve">SUBJECT:  Department of Defense Physical Disability Board of Review Recommendation </w:t>
      </w:r>
    </w:p>
    <w:p w:rsidR="00B958D8" w:rsidRDefault="00B958D8" w:rsidP="00B958D8">
      <w:pPr>
        <w:pStyle w:val="Header"/>
        <w:tabs>
          <w:tab w:val="left" w:pos="720"/>
        </w:tabs>
        <w:jc w:val="left"/>
      </w:pPr>
      <w:proofErr w:type="gramStart"/>
      <w:r>
        <w:t>for</w:t>
      </w:r>
      <w:proofErr w:type="gramEnd"/>
      <w:r>
        <w:t xml:space="preserve"> XXXXXXXXXXXX, AR20120008233 (PD201100268)</w:t>
      </w:r>
    </w:p>
    <w:p w:rsidR="00B958D8" w:rsidRDefault="00B958D8" w:rsidP="00B958D8">
      <w:pPr>
        <w:pStyle w:val="Header"/>
        <w:tabs>
          <w:tab w:val="left" w:pos="720"/>
        </w:tabs>
        <w:jc w:val="left"/>
      </w:pPr>
    </w:p>
    <w:p w:rsidR="00B958D8" w:rsidRDefault="00B958D8" w:rsidP="00B958D8">
      <w:pPr>
        <w:jc w:val="left"/>
      </w:pPr>
    </w:p>
    <w:p w:rsidR="00B958D8" w:rsidRDefault="00B958D8" w:rsidP="00B958D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B958D8" w:rsidRDefault="00B958D8" w:rsidP="00B958D8">
      <w:pPr>
        <w:jc w:val="left"/>
      </w:pPr>
    </w:p>
    <w:p w:rsidR="00B958D8" w:rsidRDefault="00B958D8" w:rsidP="00B958D8">
      <w:pPr>
        <w:jc w:val="left"/>
      </w:pPr>
      <w:r>
        <w:t>2.  I direct that all the Department of the Army records of the individual concerned be corrected accordingly no later than 120 days from the date of this memorandum:</w:t>
      </w:r>
    </w:p>
    <w:p w:rsidR="00B958D8" w:rsidRDefault="00B958D8" w:rsidP="00B958D8">
      <w:pPr>
        <w:jc w:val="left"/>
      </w:pPr>
    </w:p>
    <w:p w:rsidR="00B958D8" w:rsidRDefault="00B958D8" w:rsidP="00B958D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B958D8" w:rsidRDefault="00B958D8" w:rsidP="00B958D8">
      <w:pPr>
        <w:jc w:val="left"/>
      </w:pPr>
    </w:p>
    <w:p w:rsidR="00B958D8" w:rsidRDefault="00B958D8" w:rsidP="00B958D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B958D8" w:rsidRDefault="00B958D8" w:rsidP="00B958D8">
      <w:pPr>
        <w:jc w:val="left"/>
      </w:pPr>
    </w:p>
    <w:p w:rsidR="00B958D8" w:rsidRDefault="00B958D8" w:rsidP="00B958D8">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B958D8" w:rsidRDefault="00B958D8" w:rsidP="00B958D8">
      <w:pPr>
        <w:jc w:val="left"/>
      </w:pPr>
    </w:p>
    <w:p w:rsidR="00B958D8" w:rsidRDefault="00B958D8" w:rsidP="00B958D8">
      <w:pPr>
        <w:jc w:val="left"/>
      </w:pPr>
      <w:r>
        <w:tab/>
      </w:r>
      <w:proofErr w:type="gramStart"/>
      <w:r>
        <w:t>d.  Affording</w:t>
      </w:r>
      <w:proofErr w:type="gramEnd"/>
      <w:r>
        <w:t xml:space="preserve"> the individual the opportunity to elect Survivor Benefit Plan (SBP) and medical TRICARE retiree options.</w:t>
      </w:r>
    </w:p>
    <w:p w:rsidR="00B958D8" w:rsidRDefault="00B958D8" w:rsidP="00B958D8">
      <w:pPr>
        <w:jc w:val="left"/>
      </w:pPr>
    </w:p>
    <w:p w:rsidR="00B958D8" w:rsidRDefault="00B958D8" w:rsidP="00B958D8">
      <w:pPr>
        <w:jc w:val="left"/>
      </w:pPr>
    </w:p>
    <w:p w:rsidR="00B958D8" w:rsidRDefault="00B958D8" w:rsidP="00B958D8">
      <w:pPr>
        <w:jc w:val="left"/>
      </w:pPr>
    </w:p>
    <w:p w:rsidR="00B958D8" w:rsidRDefault="00B958D8" w:rsidP="00B958D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958D8" w:rsidRDefault="00B958D8" w:rsidP="00B958D8">
      <w:pPr>
        <w:jc w:val="left"/>
      </w:pPr>
    </w:p>
    <w:p w:rsidR="00B958D8" w:rsidRDefault="00B958D8" w:rsidP="00B958D8">
      <w:pPr>
        <w:jc w:val="left"/>
      </w:pPr>
      <w:r>
        <w:t>BY ORDER OF THE SECRETARY OF THE ARMY:</w:t>
      </w:r>
    </w:p>
    <w:p w:rsidR="00B958D8" w:rsidRDefault="00B958D8" w:rsidP="00B958D8">
      <w:pPr>
        <w:jc w:val="left"/>
      </w:pPr>
    </w:p>
    <w:p w:rsidR="00B958D8" w:rsidRDefault="00B958D8" w:rsidP="00B958D8">
      <w:pPr>
        <w:jc w:val="left"/>
      </w:pPr>
    </w:p>
    <w:p w:rsidR="00B958D8" w:rsidRDefault="00B958D8" w:rsidP="00B958D8">
      <w:pPr>
        <w:pStyle w:val="Header"/>
        <w:tabs>
          <w:tab w:val="left" w:pos="720"/>
        </w:tabs>
        <w:jc w:val="left"/>
      </w:pPr>
    </w:p>
    <w:p w:rsidR="00B958D8" w:rsidRDefault="00B958D8" w:rsidP="00B958D8">
      <w:pPr>
        <w:jc w:val="left"/>
      </w:pPr>
    </w:p>
    <w:p w:rsidR="00B958D8" w:rsidRDefault="00B958D8" w:rsidP="00B958D8">
      <w:pPr>
        <w:jc w:val="left"/>
      </w:pPr>
      <w:bookmarkStart w:id="0" w:name="OLE_LINK4"/>
      <w:bookmarkStart w:id="1" w:name="OLE_LINK3"/>
      <w:r>
        <w:t>Encl</w:t>
      </w:r>
      <w:r>
        <w:tab/>
      </w:r>
      <w:r>
        <w:tab/>
      </w:r>
      <w:r>
        <w:tab/>
      </w:r>
      <w:r>
        <w:tab/>
      </w:r>
      <w:r>
        <w:tab/>
      </w:r>
      <w:r>
        <w:tab/>
        <w:t xml:space="preserve">     CATHERINE C. MITRANO</w:t>
      </w:r>
    </w:p>
    <w:p w:rsidR="00B958D8" w:rsidRDefault="00B958D8" w:rsidP="00B958D8">
      <w:pPr>
        <w:jc w:val="left"/>
      </w:pPr>
      <w:r>
        <w:tab/>
      </w:r>
      <w:r>
        <w:tab/>
      </w:r>
      <w:r>
        <w:tab/>
      </w:r>
      <w:r>
        <w:tab/>
      </w:r>
      <w:r>
        <w:tab/>
      </w:r>
      <w:r>
        <w:tab/>
        <w:t xml:space="preserve">     Deputy Assistant Secretary</w:t>
      </w:r>
    </w:p>
    <w:p w:rsidR="00B958D8" w:rsidRDefault="00B958D8" w:rsidP="00B958D8">
      <w:pPr>
        <w:jc w:val="left"/>
      </w:pPr>
      <w:r>
        <w:tab/>
      </w:r>
      <w:r>
        <w:tab/>
      </w:r>
      <w:r>
        <w:tab/>
      </w:r>
      <w:r>
        <w:tab/>
      </w:r>
      <w:r>
        <w:tab/>
      </w:r>
      <w:r>
        <w:tab/>
        <w:t xml:space="preserve">         (Army Review Boards)</w:t>
      </w:r>
      <w:bookmarkEnd w:id="0"/>
      <w:bookmarkEnd w:id="1"/>
    </w:p>
    <w:p w:rsidR="00B958D8" w:rsidRDefault="00B958D8" w:rsidP="00B958D8">
      <w:pPr>
        <w:jc w:val="left"/>
      </w:pPr>
    </w:p>
    <w:p w:rsidR="00B958D8" w:rsidRDefault="00B958D8" w:rsidP="00B958D8">
      <w:pPr>
        <w:jc w:val="left"/>
      </w:pPr>
      <w:r>
        <w:t xml:space="preserve">CF: </w:t>
      </w:r>
    </w:p>
    <w:p w:rsidR="00B958D8" w:rsidRDefault="00B958D8" w:rsidP="00B958D8">
      <w:pPr>
        <w:jc w:val="left"/>
      </w:pPr>
      <w:r>
        <w:t xml:space="preserve">(  ) </w:t>
      </w:r>
      <w:proofErr w:type="spellStart"/>
      <w:proofErr w:type="gramStart"/>
      <w:r>
        <w:t>DoD</w:t>
      </w:r>
      <w:proofErr w:type="spellEnd"/>
      <w:proofErr w:type="gramEnd"/>
      <w:r>
        <w:t xml:space="preserve"> PDBR</w:t>
      </w:r>
    </w:p>
    <w:p w:rsidR="00E3077F" w:rsidRPr="001F29F9" w:rsidRDefault="00B958D8" w:rsidP="00B958D8">
      <w:pPr>
        <w:jc w:val="left"/>
        <w:rPr>
          <w:color w:val="000000" w:themeColor="text1"/>
          <w:szCs w:val="24"/>
        </w:rPr>
      </w:pPr>
      <w:r>
        <w:t>(  ) DVA</w:t>
      </w:r>
    </w:p>
    <w:sectPr w:rsidR="00E3077F" w:rsidRPr="001F29F9" w:rsidSect="00A35700">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11" w:rsidRDefault="001D6411">
      <w:r>
        <w:separator/>
      </w:r>
    </w:p>
  </w:endnote>
  <w:endnote w:type="continuationSeparator" w:id="0">
    <w:p w:rsidR="001D6411" w:rsidRDefault="001D6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23959728"/>
      <w:docPartObj>
        <w:docPartGallery w:val="Page Numbers (Bottom of Page)"/>
        <w:docPartUnique/>
      </w:docPartObj>
    </w:sdtPr>
    <w:sdtContent>
      <w:p w:rsidR="00851D09" w:rsidRPr="00374247" w:rsidRDefault="00851D09" w:rsidP="00374247">
        <w:pPr>
          <w:pStyle w:val="Footer"/>
          <w:ind w:firstLine="4320"/>
          <w:rPr>
            <w:color w:val="auto"/>
            <w:szCs w:val="24"/>
          </w:rPr>
        </w:pPr>
        <w:r w:rsidRPr="00374247">
          <w:rPr>
            <w:color w:val="auto"/>
            <w:szCs w:val="24"/>
          </w:rPr>
          <w:t xml:space="preserve">   </w:t>
        </w:r>
        <w:r w:rsidR="003E4E84" w:rsidRPr="00374247">
          <w:rPr>
            <w:color w:val="auto"/>
            <w:szCs w:val="24"/>
          </w:rPr>
          <w:fldChar w:fldCharType="begin"/>
        </w:r>
        <w:r w:rsidRPr="00374247">
          <w:rPr>
            <w:color w:val="auto"/>
            <w:szCs w:val="24"/>
          </w:rPr>
          <w:instrText xml:space="preserve"> PAGE   \* MERGEFORMAT </w:instrText>
        </w:r>
        <w:r w:rsidR="003E4E84" w:rsidRPr="00374247">
          <w:rPr>
            <w:color w:val="auto"/>
            <w:szCs w:val="24"/>
          </w:rPr>
          <w:fldChar w:fldCharType="separate"/>
        </w:r>
        <w:r w:rsidR="00B958D8" w:rsidRPr="00B958D8">
          <w:rPr>
            <w:noProof/>
            <w:color w:val="auto"/>
          </w:rPr>
          <w:t>6</w:t>
        </w:r>
        <w:r w:rsidR="003E4E84" w:rsidRPr="00374247">
          <w:rPr>
            <w:color w:val="auto"/>
            <w:szCs w:val="24"/>
          </w:rPr>
          <w:fldChar w:fldCharType="end"/>
        </w:r>
        <w:r w:rsidRPr="00374247">
          <w:rPr>
            <w:color w:val="auto"/>
            <w:szCs w:val="24"/>
          </w:rPr>
          <w:t xml:space="preserve">                                                           </w:t>
        </w:r>
        <w:r w:rsidRPr="001D64F3">
          <w:rPr>
            <w:color w:val="auto"/>
            <w:szCs w:val="24"/>
          </w:rPr>
          <w:t>PD1</w:t>
        </w:r>
        <w:r w:rsidRPr="001E0F92">
          <w:rPr>
            <w:color w:val="auto"/>
            <w:szCs w:val="24"/>
          </w:rPr>
          <w:t>1</w:t>
        </w:r>
        <w:r w:rsidRPr="001D64F3">
          <w:rPr>
            <w:color w:val="auto"/>
            <w:szCs w:val="24"/>
          </w:rPr>
          <w:t>00</w:t>
        </w:r>
        <w:r>
          <w:rPr>
            <w:caps/>
            <w:color w:val="000000" w:themeColor="text1"/>
          </w:rPr>
          <w:t>268</w:t>
        </w:r>
      </w:p>
    </w:sdtContent>
  </w:sdt>
  <w:p w:rsidR="00851D09" w:rsidRPr="00684CE6" w:rsidRDefault="00851D0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11" w:rsidRDefault="001D6411">
      <w:r>
        <w:separator/>
      </w:r>
    </w:p>
  </w:footnote>
  <w:footnote w:type="continuationSeparator" w:id="0">
    <w:p w:rsidR="001D6411" w:rsidRDefault="001D6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08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1FC1"/>
    <w:rsid w:val="00022CF3"/>
    <w:rsid w:val="00023913"/>
    <w:rsid w:val="00023D43"/>
    <w:rsid w:val="00024002"/>
    <w:rsid w:val="00024DE7"/>
    <w:rsid w:val="00026092"/>
    <w:rsid w:val="000275DE"/>
    <w:rsid w:val="00030776"/>
    <w:rsid w:val="00032E07"/>
    <w:rsid w:val="000332CA"/>
    <w:rsid w:val="0003374E"/>
    <w:rsid w:val="000344D8"/>
    <w:rsid w:val="000344E6"/>
    <w:rsid w:val="00035A3B"/>
    <w:rsid w:val="00035C3A"/>
    <w:rsid w:val="00035CA2"/>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333"/>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51C"/>
    <w:rsid w:val="00114F20"/>
    <w:rsid w:val="0011590B"/>
    <w:rsid w:val="001211AF"/>
    <w:rsid w:val="001215DF"/>
    <w:rsid w:val="001219DF"/>
    <w:rsid w:val="0012220B"/>
    <w:rsid w:val="00122902"/>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75AB"/>
    <w:rsid w:val="0017038B"/>
    <w:rsid w:val="00170C94"/>
    <w:rsid w:val="0017139A"/>
    <w:rsid w:val="001724C8"/>
    <w:rsid w:val="00172751"/>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2E4"/>
    <w:rsid w:val="001865E0"/>
    <w:rsid w:val="001870F0"/>
    <w:rsid w:val="00190785"/>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5C8D"/>
    <w:rsid w:val="001D6411"/>
    <w:rsid w:val="001D64F3"/>
    <w:rsid w:val="001D68CF"/>
    <w:rsid w:val="001D6A8C"/>
    <w:rsid w:val="001D7A56"/>
    <w:rsid w:val="001E0F92"/>
    <w:rsid w:val="001E15C0"/>
    <w:rsid w:val="001E18E0"/>
    <w:rsid w:val="001E18E2"/>
    <w:rsid w:val="001E19D0"/>
    <w:rsid w:val="001E2A30"/>
    <w:rsid w:val="001E2FF1"/>
    <w:rsid w:val="001E3FE1"/>
    <w:rsid w:val="001E41FE"/>
    <w:rsid w:val="001E635C"/>
    <w:rsid w:val="001F0297"/>
    <w:rsid w:val="001F29F9"/>
    <w:rsid w:val="001F6E0B"/>
    <w:rsid w:val="001F71D4"/>
    <w:rsid w:val="00200AA0"/>
    <w:rsid w:val="00202325"/>
    <w:rsid w:val="00202736"/>
    <w:rsid w:val="00203652"/>
    <w:rsid w:val="00204562"/>
    <w:rsid w:val="00205B4F"/>
    <w:rsid w:val="002060B6"/>
    <w:rsid w:val="00206607"/>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2DD"/>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FB3"/>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6B79"/>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772"/>
    <w:rsid w:val="002C0DEA"/>
    <w:rsid w:val="002C34F6"/>
    <w:rsid w:val="002C3A3B"/>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E8F"/>
    <w:rsid w:val="00337351"/>
    <w:rsid w:val="00341A54"/>
    <w:rsid w:val="00341F89"/>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540"/>
    <w:rsid w:val="00364CAB"/>
    <w:rsid w:val="00365767"/>
    <w:rsid w:val="003659C0"/>
    <w:rsid w:val="003660DF"/>
    <w:rsid w:val="00367D4F"/>
    <w:rsid w:val="00370743"/>
    <w:rsid w:val="00370EF5"/>
    <w:rsid w:val="0037135B"/>
    <w:rsid w:val="003718CD"/>
    <w:rsid w:val="00372251"/>
    <w:rsid w:val="00372D10"/>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186"/>
    <w:rsid w:val="003A27B2"/>
    <w:rsid w:val="003A3B31"/>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C7DBC"/>
    <w:rsid w:val="003D2BA3"/>
    <w:rsid w:val="003D316B"/>
    <w:rsid w:val="003D3C22"/>
    <w:rsid w:val="003D56A0"/>
    <w:rsid w:val="003D609F"/>
    <w:rsid w:val="003D63C8"/>
    <w:rsid w:val="003D69F5"/>
    <w:rsid w:val="003D7089"/>
    <w:rsid w:val="003D7DDB"/>
    <w:rsid w:val="003E024F"/>
    <w:rsid w:val="003E02C7"/>
    <w:rsid w:val="003E0543"/>
    <w:rsid w:val="003E061D"/>
    <w:rsid w:val="003E0B5A"/>
    <w:rsid w:val="003E1431"/>
    <w:rsid w:val="003E1682"/>
    <w:rsid w:val="003E31E3"/>
    <w:rsid w:val="003E3E93"/>
    <w:rsid w:val="003E46D1"/>
    <w:rsid w:val="003E4E84"/>
    <w:rsid w:val="003E6214"/>
    <w:rsid w:val="003F070E"/>
    <w:rsid w:val="003F1206"/>
    <w:rsid w:val="003F2418"/>
    <w:rsid w:val="003F28DB"/>
    <w:rsid w:val="003F2EEE"/>
    <w:rsid w:val="003F58B0"/>
    <w:rsid w:val="003F5F95"/>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602"/>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E89"/>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414"/>
    <w:rsid w:val="004A0C79"/>
    <w:rsid w:val="004A24D2"/>
    <w:rsid w:val="004A3214"/>
    <w:rsid w:val="004A4136"/>
    <w:rsid w:val="004A417B"/>
    <w:rsid w:val="004A4378"/>
    <w:rsid w:val="004A712D"/>
    <w:rsid w:val="004A7267"/>
    <w:rsid w:val="004A7C03"/>
    <w:rsid w:val="004B03F3"/>
    <w:rsid w:val="004B0CC9"/>
    <w:rsid w:val="004B2536"/>
    <w:rsid w:val="004B46D7"/>
    <w:rsid w:val="004B559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18BB"/>
    <w:rsid w:val="004F3222"/>
    <w:rsid w:val="004F3639"/>
    <w:rsid w:val="004F3BFA"/>
    <w:rsid w:val="004F41F9"/>
    <w:rsid w:val="004F4E3C"/>
    <w:rsid w:val="004F5A1A"/>
    <w:rsid w:val="004F77A3"/>
    <w:rsid w:val="005000AB"/>
    <w:rsid w:val="00500EAF"/>
    <w:rsid w:val="00500F3C"/>
    <w:rsid w:val="00501C49"/>
    <w:rsid w:val="005025EE"/>
    <w:rsid w:val="00503401"/>
    <w:rsid w:val="00503DDF"/>
    <w:rsid w:val="00505524"/>
    <w:rsid w:val="005058D5"/>
    <w:rsid w:val="00506688"/>
    <w:rsid w:val="00510588"/>
    <w:rsid w:val="00510F9C"/>
    <w:rsid w:val="0051146C"/>
    <w:rsid w:val="0051220B"/>
    <w:rsid w:val="00512253"/>
    <w:rsid w:val="00512484"/>
    <w:rsid w:val="0051272F"/>
    <w:rsid w:val="00513A7B"/>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3C53"/>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623B"/>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24C"/>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B74E4"/>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66A"/>
    <w:rsid w:val="005F27F2"/>
    <w:rsid w:val="005F2B27"/>
    <w:rsid w:val="005F3567"/>
    <w:rsid w:val="005F3AFE"/>
    <w:rsid w:val="005F424D"/>
    <w:rsid w:val="005F47F1"/>
    <w:rsid w:val="005F55F5"/>
    <w:rsid w:val="005F5EC1"/>
    <w:rsid w:val="005F67A9"/>
    <w:rsid w:val="005F6B6D"/>
    <w:rsid w:val="005F73CA"/>
    <w:rsid w:val="006008F8"/>
    <w:rsid w:val="006036C2"/>
    <w:rsid w:val="00605AAB"/>
    <w:rsid w:val="00606BEB"/>
    <w:rsid w:val="0061014A"/>
    <w:rsid w:val="0061054B"/>
    <w:rsid w:val="00610D6E"/>
    <w:rsid w:val="006110FB"/>
    <w:rsid w:val="00612FB0"/>
    <w:rsid w:val="0061356D"/>
    <w:rsid w:val="00613E26"/>
    <w:rsid w:val="00615641"/>
    <w:rsid w:val="00615A66"/>
    <w:rsid w:val="00616119"/>
    <w:rsid w:val="00616959"/>
    <w:rsid w:val="0062036E"/>
    <w:rsid w:val="006211D0"/>
    <w:rsid w:val="00621595"/>
    <w:rsid w:val="0062359D"/>
    <w:rsid w:val="00623634"/>
    <w:rsid w:val="00624D0C"/>
    <w:rsid w:val="00626A0F"/>
    <w:rsid w:val="006274B4"/>
    <w:rsid w:val="006307BA"/>
    <w:rsid w:val="006309A6"/>
    <w:rsid w:val="006315BA"/>
    <w:rsid w:val="006344F2"/>
    <w:rsid w:val="00634C4A"/>
    <w:rsid w:val="00634E64"/>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EE7"/>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8B"/>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CBD"/>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50E"/>
    <w:rsid w:val="00724619"/>
    <w:rsid w:val="00724688"/>
    <w:rsid w:val="00725BC5"/>
    <w:rsid w:val="007260A9"/>
    <w:rsid w:val="00726C1D"/>
    <w:rsid w:val="007272F1"/>
    <w:rsid w:val="00727565"/>
    <w:rsid w:val="0073062D"/>
    <w:rsid w:val="0073093B"/>
    <w:rsid w:val="0073254D"/>
    <w:rsid w:val="007340F3"/>
    <w:rsid w:val="007347BB"/>
    <w:rsid w:val="00735704"/>
    <w:rsid w:val="00735C55"/>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380"/>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F23"/>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5E2"/>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9C8"/>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D09"/>
    <w:rsid w:val="0085206E"/>
    <w:rsid w:val="00852273"/>
    <w:rsid w:val="0085293D"/>
    <w:rsid w:val="00852AD4"/>
    <w:rsid w:val="00852BA8"/>
    <w:rsid w:val="00852BF0"/>
    <w:rsid w:val="00853718"/>
    <w:rsid w:val="008541EF"/>
    <w:rsid w:val="00856428"/>
    <w:rsid w:val="00856AC7"/>
    <w:rsid w:val="00856FA4"/>
    <w:rsid w:val="00857870"/>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383"/>
    <w:rsid w:val="00882CC2"/>
    <w:rsid w:val="00883103"/>
    <w:rsid w:val="0088325A"/>
    <w:rsid w:val="00883930"/>
    <w:rsid w:val="00884535"/>
    <w:rsid w:val="0089005B"/>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EE0"/>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395"/>
    <w:rsid w:val="008C1F43"/>
    <w:rsid w:val="008C22F3"/>
    <w:rsid w:val="008C3223"/>
    <w:rsid w:val="008C3FD0"/>
    <w:rsid w:val="008C4F01"/>
    <w:rsid w:val="008C5152"/>
    <w:rsid w:val="008C51E6"/>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C57"/>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6CC"/>
    <w:rsid w:val="00907FE6"/>
    <w:rsid w:val="009102BF"/>
    <w:rsid w:val="00911490"/>
    <w:rsid w:val="009115F2"/>
    <w:rsid w:val="00911B11"/>
    <w:rsid w:val="00914ADB"/>
    <w:rsid w:val="00917182"/>
    <w:rsid w:val="00920251"/>
    <w:rsid w:val="00921CFD"/>
    <w:rsid w:val="00922800"/>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553"/>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6ED"/>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5365"/>
    <w:rsid w:val="009B6023"/>
    <w:rsid w:val="009B69D3"/>
    <w:rsid w:val="009B704A"/>
    <w:rsid w:val="009B721E"/>
    <w:rsid w:val="009B7BA7"/>
    <w:rsid w:val="009B7C01"/>
    <w:rsid w:val="009C0938"/>
    <w:rsid w:val="009C0C22"/>
    <w:rsid w:val="009C0C9C"/>
    <w:rsid w:val="009C15D9"/>
    <w:rsid w:val="009C1A1D"/>
    <w:rsid w:val="009C22C8"/>
    <w:rsid w:val="009C3F82"/>
    <w:rsid w:val="009C582A"/>
    <w:rsid w:val="009C5C56"/>
    <w:rsid w:val="009C72DD"/>
    <w:rsid w:val="009C78FD"/>
    <w:rsid w:val="009C7DF5"/>
    <w:rsid w:val="009D0498"/>
    <w:rsid w:val="009D056C"/>
    <w:rsid w:val="009D060F"/>
    <w:rsid w:val="009D1ADE"/>
    <w:rsid w:val="009D297C"/>
    <w:rsid w:val="009D3652"/>
    <w:rsid w:val="009D37CA"/>
    <w:rsid w:val="009D4229"/>
    <w:rsid w:val="009D4268"/>
    <w:rsid w:val="009D5DE9"/>
    <w:rsid w:val="009E09D0"/>
    <w:rsid w:val="009E1181"/>
    <w:rsid w:val="009E1283"/>
    <w:rsid w:val="009E1774"/>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EED"/>
    <w:rsid w:val="00A1213C"/>
    <w:rsid w:val="00A12CFE"/>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FCC"/>
    <w:rsid w:val="00A2515A"/>
    <w:rsid w:val="00A253E8"/>
    <w:rsid w:val="00A258B7"/>
    <w:rsid w:val="00A25A0C"/>
    <w:rsid w:val="00A25A83"/>
    <w:rsid w:val="00A262B6"/>
    <w:rsid w:val="00A27CD7"/>
    <w:rsid w:val="00A305AD"/>
    <w:rsid w:val="00A31FE2"/>
    <w:rsid w:val="00A32743"/>
    <w:rsid w:val="00A35700"/>
    <w:rsid w:val="00A40356"/>
    <w:rsid w:val="00A40FFB"/>
    <w:rsid w:val="00A41468"/>
    <w:rsid w:val="00A414A9"/>
    <w:rsid w:val="00A44141"/>
    <w:rsid w:val="00A44CCA"/>
    <w:rsid w:val="00A44D75"/>
    <w:rsid w:val="00A47CF1"/>
    <w:rsid w:val="00A50418"/>
    <w:rsid w:val="00A50B17"/>
    <w:rsid w:val="00A53A9B"/>
    <w:rsid w:val="00A54A47"/>
    <w:rsid w:val="00A555A1"/>
    <w:rsid w:val="00A55E92"/>
    <w:rsid w:val="00A56D26"/>
    <w:rsid w:val="00A571A7"/>
    <w:rsid w:val="00A5749A"/>
    <w:rsid w:val="00A575E1"/>
    <w:rsid w:val="00A57BA8"/>
    <w:rsid w:val="00A57C35"/>
    <w:rsid w:val="00A608FB"/>
    <w:rsid w:val="00A60D83"/>
    <w:rsid w:val="00A60F68"/>
    <w:rsid w:val="00A63DF3"/>
    <w:rsid w:val="00A64027"/>
    <w:rsid w:val="00A65C78"/>
    <w:rsid w:val="00A65F67"/>
    <w:rsid w:val="00A660A8"/>
    <w:rsid w:val="00A66A45"/>
    <w:rsid w:val="00A67591"/>
    <w:rsid w:val="00A67911"/>
    <w:rsid w:val="00A67CA6"/>
    <w:rsid w:val="00A70E7B"/>
    <w:rsid w:val="00A71212"/>
    <w:rsid w:val="00A717EA"/>
    <w:rsid w:val="00A730B0"/>
    <w:rsid w:val="00A73B84"/>
    <w:rsid w:val="00A7411D"/>
    <w:rsid w:val="00A756C4"/>
    <w:rsid w:val="00A7592B"/>
    <w:rsid w:val="00A75ED7"/>
    <w:rsid w:val="00A76094"/>
    <w:rsid w:val="00A768E2"/>
    <w:rsid w:val="00A82C52"/>
    <w:rsid w:val="00A838E8"/>
    <w:rsid w:val="00A83C15"/>
    <w:rsid w:val="00A83C63"/>
    <w:rsid w:val="00A84EC4"/>
    <w:rsid w:val="00A86CB6"/>
    <w:rsid w:val="00A90D55"/>
    <w:rsid w:val="00A9225E"/>
    <w:rsid w:val="00A940EC"/>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8FE"/>
    <w:rsid w:val="00AE2CF4"/>
    <w:rsid w:val="00AE2D29"/>
    <w:rsid w:val="00AE2F15"/>
    <w:rsid w:val="00AE2F62"/>
    <w:rsid w:val="00AE4624"/>
    <w:rsid w:val="00AE4B3E"/>
    <w:rsid w:val="00AE4B90"/>
    <w:rsid w:val="00AE5E14"/>
    <w:rsid w:val="00AE6115"/>
    <w:rsid w:val="00AE625B"/>
    <w:rsid w:val="00AF01B2"/>
    <w:rsid w:val="00AF0A81"/>
    <w:rsid w:val="00AF1103"/>
    <w:rsid w:val="00AF1668"/>
    <w:rsid w:val="00AF25B2"/>
    <w:rsid w:val="00AF28DE"/>
    <w:rsid w:val="00AF41EE"/>
    <w:rsid w:val="00AF4FA5"/>
    <w:rsid w:val="00AF56D7"/>
    <w:rsid w:val="00AF5BB4"/>
    <w:rsid w:val="00AF61A3"/>
    <w:rsid w:val="00AF6ECC"/>
    <w:rsid w:val="00AF7C03"/>
    <w:rsid w:val="00B02145"/>
    <w:rsid w:val="00B022DC"/>
    <w:rsid w:val="00B04562"/>
    <w:rsid w:val="00B0472F"/>
    <w:rsid w:val="00B06930"/>
    <w:rsid w:val="00B0773A"/>
    <w:rsid w:val="00B07955"/>
    <w:rsid w:val="00B1176B"/>
    <w:rsid w:val="00B1243F"/>
    <w:rsid w:val="00B140B8"/>
    <w:rsid w:val="00B14FAA"/>
    <w:rsid w:val="00B15BED"/>
    <w:rsid w:val="00B15D30"/>
    <w:rsid w:val="00B15F09"/>
    <w:rsid w:val="00B16D18"/>
    <w:rsid w:val="00B177DE"/>
    <w:rsid w:val="00B20624"/>
    <w:rsid w:val="00B21F2F"/>
    <w:rsid w:val="00B222FB"/>
    <w:rsid w:val="00B23436"/>
    <w:rsid w:val="00B237F1"/>
    <w:rsid w:val="00B23F10"/>
    <w:rsid w:val="00B24212"/>
    <w:rsid w:val="00B24328"/>
    <w:rsid w:val="00B24ED4"/>
    <w:rsid w:val="00B24F33"/>
    <w:rsid w:val="00B26354"/>
    <w:rsid w:val="00B26CA0"/>
    <w:rsid w:val="00B300BD"/>
    <w:rsid w:val="00B314AF"/>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1066"/>
    <w:rsid w:val="00B522CD"/>
    <w:rsid w:val="00B54208"/>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21D"/>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1EF2"/>
    <w:rsid w:val="00B9322B"/>
    <w:rsid w:val="00B93640"/>
    <w:rsid w:val="00B955D5"/>
    <w:rsid w:val="00B95646"/>
    <w:rsid w:val="00B95833"/>
    <w:rsid w:val="00B958D8"/>
    <w:rsid w:val="00BA0390"/>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58A7"/>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9E2"/>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B6F"/>
    <w:rsid w:val="00CA3F73"/>
    <w:rsid w:val="00CA4670"/>
    <w:rsid w:val="00CA5F89"/>
    <w:rsid w:val="00CA6B1A"/>
    <w:rsid w:val="00CB18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5C1"/>
    <w:rsid w:val="00CD1788"/>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232"/>
    <w:rsid w:val="00D05669"/>
    <w:rsid w:val="00D061EB"/>
    <w:rsid w:val="00D06952"/>
    <w:rsid w:val="00D07A72"/>
    <w:rsid w:val="00D10577"/>
    <w:rsid w:val="00D11E9F"/>
    <w:rsid w:val="00D12405"/>
    <w:rsid w:val="00D12A4E"/>
    <w:rsid w:val="00D1323B"/>
    <w:rsid w:val="00D14BAE"/>
    <w:rsid w:val="00D15107"/>
    <w:rsid w:val="00D15609"/>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1D15"/>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4A"/>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538"/>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C5FC5"/>
    <w:rsid w:val="00DD2643"/>
    <w:rsid w:val="00DD286D"/>
    <w:rsid w:val="00DD2CAF"/>
    <w:rsid w:val="00DD3593"/>
    <w:rsid w:val="00DD6446"/>
    <w:rsid w:val="00DD64E0"/>
    <w:rsid w:val="00DD775C"/>
    <w:rsid w:val="00DD7BE0"/>
    <w:rsid w:val="00DE0C67"/>
    <w:rsid w:val="00DE3AAD"/>
    <w:rsid w:val="00DE598A"/>
    <w:rsid w:val="00DE6357"/>
    <w:rsid w:val="00DE6952"/>
    <w:rsid w:val="00DE6FBE"/>
    <w:rsid w:val="00DE7A7D"/>
    <w:rsid w:val="00DE7E74"/>
    <w:rsid w:val="00DF071B"/>
    <w:rsid w:val="00DF5C84"/>
    <w:rsid w:val="00DF5EC0"/>
    <w:rsid w:val="00DF6EF8"/>
    <w:rsid w:val="00DF6EFE"/>
    <w:rsid w:val="00E00A69"/>
    <w:rsid w:val="00E017BC"/>
    <w:rsid w:val="00E017F0"/>
    <w:rsid w:val="00E01A0E"/>
    <w:rsid w:val="00E01D0E"/>
    <w:rsid w:val="00E025FE"/>
    <w:rsid w:val="00E0346A"/>
    <w:rsid w:val="00E041E4"/>
    <w:rsid w:val="00E04AEE"/>
    <w:rsid w:val="00E06BBD"/>
    <w:rsid w:val="00E071E9"/>
    <w:rsid w:val="00E100E3"/>
    <w:rsid w:val="00E1012B"/>
    <w:rsid w:val="00E103C8"/>
    <w:rsid w:val="00E1085B"/>
    <w:rsid w:val="00E1308B"/>
    <w:rsid w:val="00E14581"/>
    <w:rsid w:val="00E14623"/>
    <w:rsid w:val="00E15539"/>
    <w:rsid w:val="00E16541"/>
    <w:rsid w:val="00E16FF9"/>
    <w:rsid w:val="00E17EC9"/>
    <w:rsid w:val="00E202F4"/>
    <w:rsid w:val="00E207C3"/>
    <w:rsid w:val="00E21386"/>
    <w:rsid w:val="00E2421B"/>
    <w:rsid w:val="00E242AF"/>
    <w:rsid w:val="00E24849"/>
    <w:rsid w:val="00E2536E"/>
    <w:rsid w:val="00E25A99"/>
    <w:rsid w:val="00E25B8A"/>
    <w:rsid w:val="00E25EF8"/>
    <w:rsid w:val="00E2632B"/>
    <w:rsid w:val="00E264D0"/>
    <w:rsid w:val="00E26F75"/>
    <w:rsid w:val="00E27423"/>
    <w:rsid w:val="00E3077F"/>
    <w:rsid w:val="00E322F7"/>
    <w:rsid w:val="00E3369B"/>
    <w:rsid w:val="00E362D2"/>
    <w:rsid w:val="00E36D76"/>
    <w:rsid w:val="00E403CC"/>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A89"/>
    <w:rsid w:val="00E67FAC"/>
    <w:rsid w:val="00E70164"/>
    <w:rsid w:val="00E71485"/>
    <w:rsid w:val="00E7200B"/>
    <w:rsid w:val="00E731BB"/>
    <w:rsid w:val="00E735D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09ED"/>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09E"/>
    <w:rsid w:val="00ED4773"/>
    <w:rsid w:val="00ED5284"/>
    <w:rsid w:val="00ED664B"/>
    <w:rsid w:val="00ED6A61"/>
    <w:rsid w:val="00ED768E"/>
    <w:rsid w:val="00ED7DA4"/>
    <w:rsid w:val="00EE03BB"/>
    <w:rsid w:val="00EE0552"/>
    <w:rsid w:val="00EE0B44"/>
    <w:rsid w:val="00EE125D"/>
    <w:rsid w:val="00EE23DE"/>
    <w:rsid w:val="00EE476A"/>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BA5"/>
    <w:rsid w:val="00F11EBE"/>
    <w:rsid w:val="00F12293"/>
    <w:rsid w:val="00F12BA8"/>
    <w:rsid w:val="00F12D7A"/>
    <w:rsid w:val="00F130D0"/>
    <w:rsid w:val="00F13AC6"/>
    <w:rsid w:val="00F144A4"/>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4D79"/>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31D"/>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2A"/>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B958D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769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342B-89EC-42D2-914D-550D4C36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3509</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2012-05-23T20:41:00Z</dcterms:created>
  <dcterms:modified xsi:type="dcterms:W3CDTF">2012-05-23T20:41:00Z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