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5270D" w:rsidRPr="001F29F9" w:rsidRDefault="0095270D" w:rsidP="0095270D">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853E17">
        <w:rPr>
          <w:caps/>
          <w:color w:val="000000" w:themeColor="text1"/>
        </w:rPr>
        <w:t xml:space="preserve"> </w:t>
      </w:r>
      <w:r>
        <w:rPr>
          <w:caps/>
          <w:color w:val="000000" w:themeColor="text1"/>
        </w:rPr>
        <w:tab/>
        <w:t xml:space="preserve">                             </w:t>
      </w:r>
      <w:r w:rsidRPr="001F29F9">
        <w:rPr>
          <w:caps/>
          <w:color w:val="000000" w:themeColor="text1"/>
        </w:rPr>
        <w:t>BRANCH OF SERVICE</w:t>
      </w:r>
      <w:r w:rsidRPr="00BA4A38">
        <w:rPr>
          <w:caps/>
          <w:color w:val="000000" w:themeColor="text1"/>
        </w:rPr>
        <w:t xml:space="preserve">:  Army </w:t>
      </w:r>
    </w:p>
    <w:p w:rsidR="0095270D" w:rsidRDefault="0095270D" w:rsidP="0095270D">
      <w:pPr>
        <w:tabs>
          <w:tab w:val="left" w:pos="288"/>
          <w:tab w:val="left" w:pos="5130"/>
        </w:tabs>
        <w:jc w:val="both"/>
        <w:rPr>
          <w:color w:val="000000" w:themeColor="text1"/>
        </w:rPr>
      </w:pPr>
      <w:r w:rsidRPr="001F29F9">
        <w:rPr>
          <w:caps/>
          <w:color w:val="000000" w:themeColor="text1"/>
        </w:rPr>
        <w:t xml:space="preserve">CASE NUMBER:  </w:t>
      </w:r>
      <w:r w:rsidR="009C1DD2" w:rsidRPr="001F29F9">
        <w:rPr>
          <w:caps/>
          <w:color w:val="000000" w:themeColor="text1"/>
        </w:rPr>
        <w:t>PD</w:t>
      </w:r>
      <w:r w:rsidR="009C1DD2" w:rsidRPr="004A2965">
        <w:rPr>
          <w:caps/>
          <w:color w:val="000000" w:themeColor="text1"/>
        </w:rPr>
        <w:t>1100261</w:t>
      </w:r>
      <w:r>
        <w:rPr>
          <w:color w:val="000000" w:themeColor="text1"/>
        </w:rPr>
        <w:tab/>
      </w:r>
      <w:r>
        <w:rPr>
          <w:color w:val="000000" w:themeColor="text1"/>
        </w:rPr>
        <w:tab/>
        <w:t xml:space="preserve">          </w:t>
      </w:r>
      <w:r w:rsidRPr="001F29F9">
        <w:rPr>
          <w:color w:val="000000" w:themeColor="text1"/>
        </w:rPr>
        <w:t xml:space="preserve"> SEPARATION DATE:  </w:t>
      </w:r>
      <w:r w:rsidR="009C1DD2" w:rsidRPr="001F29F9">
        <w:rPr>
          <w:color w:val="000000" w:themeColor="text1"/>
        </w:rPr>
        <w:t>200</w:t>
      </w:r>
      <w:r w:rsidR="009C1DD2">
        <w:rPr>
          <w:color w:val="000000" w:themeColor="text1"/>
        </w:rPr>
        <w:t>40415</w:t>
      </w:r>
    </w:p>
    <w:p w:rsidR="00AD2379" w:rsidRDefault="0095270D" w:rsidP="0095270D">
      <w:pPr>
        <w:pBdr>
          <w:bottom w:val="single" w:sz="12" w:space="1" w:color="auto"/>
        </w:pBdr>
        <w:tabs>
          <w:tab w:val="left" w:pos="288"/>
          <w:tab w:val="left" w:pos="4752"/>
        </w:tabs>
        <w:jc w:val="both"/>
        <w:rPr>
          <w:rFonts w:cs="Times New Roman"/>
          <w:caps/>
          <w:color w:val="000000"/>
        </w:rPr>
      </w:pPr>
      <w:r>
        <w:rPr>
          <w:caps/>
          <w:color w:val="000000"/>
        </w:rPr>
        <w:t>BOARD DATE:  2012</w:t>
      </w:r>
      <w:r w:rsidR="006B64F5">
        <w:rPr>
          <w:caps/>
          <w:color w:val="000000"/>
        </w:rPr>
        <w:t>0402</w:t>
      </w:r>
      <w:r>
        <w:rPr>
          <w:rFonts w:cs="Times New Roman"/>
          <w:caps/>
          <w:color w:val="000000"/>
        </w:rPr>
        <w:tab/>
      </w:r>
    </w:p>
    <w:p w:rsidR="0095270D" w:rsidRPr="001F29F9" w:rsidRDefault="0095270D"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5E1416" w:rsidRPr="00A76383" w:rsidRDefault="00AD2379" w:rsidP="00A76383">
      <w:pPr>
        <w:tabs>
          <w:tab w:val="left" w:pos="288"/>
          <w:tab w:val="left" w:pos="4752"/>
        </w:tabs>
        <w:jc w:val="both"/>
        <w:rPr>
          <w:color w:val="000000"/>
        </w:rPr>
      </w:pPr>
      <w:r w:rsidRPr="001F29F9">
        <w:rPr>
          <w:color w:val="000000"/>
          <w:u w:val="single"/>
        </w:rPr>
        <w:t>SUMMARY OF CASE</w:t>
      </w:r>
      <w:r w:rsidRPr="001F29F9">
        <w:rPr>
          <w:color w:val="000000"/>
        </w:rPr>
        <w:t xml:space="preserve">: Data extracted from the available evidence of record reflects that this covered individual (CI) was </w:t>
      </w:r>
      <w:r w:rsidR="00403D90" w:rsidRPr="001F29F9">
        <w:rPr>
          <w:color w:val="000000" w:themeColor="text1"/>
          <w:szCs w:val="24"/>
        </w:rPr>
        <w:t>a</w:t>
      </w:r>
      <w:r w:rsidR="00403D90">
        <w:rPr>
          <w:color w:val="000000" w:themeColor="text1"/>
          <w:szCs w:val="24"/>
        </w:rPr>
        <w:t xml:space="preserve"> mobilized </w:t>
      </w:r>
      <w:r w:rsidR="00335451">
        <w:rPr>
          <w:color w:val="000000" w:themeColor="text1"/>
          <w:szCs w:val="24"/>
        </w:rPr>
        <w:t xml:space="preserve">National </w:t>
      </w:r>
      <w:r w:rsidR="00403D90" w:rsidRPr="001F29F9">
        <w:rPr>
          <w:color w:val="000000" w:themeColor="text1"/>
          <w:szCs w:val="24"/>
        </w:rPr>
        <w:t>G</w:t>
      </w:r>
      <w:r w:rsidR="00403D90">
        <w:rPr>
          <w:color w:val="000000" w:themeColor="text1"/>
          <w:szCs w:val="24"/>
        </w:rPr>
        <w:t xml:space="preserve">uard member, </w:t>
      </w:r>
      <w:r w:rsidR="00403D90" w:rsidRPr="001F29F9">
        <w:rPr>
          <w:color w:val="000000" w:themeColor="text1"/>
          <w:szCs w:val="24"/>
        </w:rPr>
        <w:t>SGT/E-5</w:t>
      </w:r>
      <w:r w:rsidR="00403D90">
        <w:rPr>
          <w:color w:val="000000" w:themeColor="text1"/>
          <w:szCs w:val="24"/>
        </w:rPr>
        <w:t xml:space="preserve"> (95B, Military Police)</w:t>
      </w:r>
      <w:r w:rsidR="00565636">
        <w:rPr>
          <w:color w:val="000000"/>
        </w:rPr>
        <w:t>,</w:t>
      </w:r>
      <w:r w:rsidR="00A70270">
        <w:rPr>
          <w:color w:val="000000"/>
        </w:rPr>
        <w:t xml:space="preserve"> </w:t>
      </w:r>
      <w:r w:rsidRPr="001F29F9">
        <w:rPr>
          <w:color w:val="000000"/>
        </w:rPr>
        <w:t xml:space="preserve">medically separated for </w:t>
      </w:r>
      <w:r w:rsidR="00261B7E">
        <w:rPr>
          <w:color w:val="000000"/>
        </w:rPr>
        <w:t xml:space="preserve">a </w:t>
      </w:r>
      <w:r w:rsidR="00403D90">
        <w:rPr>
          <w:color w:val="000000"/>
        </w:rPr>
        <w:t>lumbar spine</w:t>
      </w:r>
      <w:r w:rsidRPr="001F29F9">
        <w:rPr>
          <w:color w:val="000000"/>
        </w:rPr>
        <w:t xml:space="preserve"> </w:t>
      </w:r>
      <w:r w:rsidR="00261B7E">
        <w:rPr>
          <w:color w:val="000000"/>
        </w:rPr>
        <w:t>condition</w:t>
      </w:r>
      <w:r w:rsidRPr="001F29F9">
        <w:rPr>
          <w:color w:val="000000"/>
        </w:rPr>
        <w:t xml:space="preserve">. </w:t>
      </w:r>
      <w:r w:rsidR="00261B7E">
        <w:rPr>
          <w:color w:val="000000"/>
        </w:rPr>
        <w:t xml:space="preserve"> </w:t>
      </w:r>
      <w:r w:rsidR="00CF7767">
        <w:rPr>
          <w:color w:val="000000"/>
        </w:rPr>
        <w:t xml:space="preserve">He suffered an onset of back pain </w:t>
      </w:r>
      <w:r w:rsidR="006B64F5">
        <w:rPr>
          <w:color w:val="000000"/>
        </w:rPr>
        <w:t xml:space="preserve">with right leg radiation </w:t>
      </w:r>
      <w:r w:rsidR="00CF7767">
        <w:rPr>
          <w:color w:val="000000"/>
        </w:rPr>
        <w:t>in 2002</w:t>
      </w:r>
      <w:r w:rsidR="006B64F5">
        <w:rPr>
          <w:color w:val="000000"/>
        </w:rPr>
        <w:t>,</w:t>
      </w:r>
      <w:r w:rsidR="00CF7767">
        <w:rPr>
          <w:color w:val="000000"/>
        </w:rPr>
        <w:t xml:space="preserve"> </w:t>
      </w:r>
      <w:r w:rsidR="006B64F5">
        <w:rPr>
          <w:color w:val="000000"/>
        </w:rPr>
        <w:t>which</w:t>
      </w:r>
      <w:r w:rsidR="00CF7767">
        <w:rPr>
          <w:color w:val="000000"/>
        </w:rPr>
        <w:t xml:space="preserve"> was ultimately diagnosed as L5/S1 disc disease.  He underwent fusion surgery </w:t>
      </w:r>
      <w:r w:rsidR="00A76383">
        <w:rPr>
          <w:color w:val="000000"/>
        </w:rPr>
        <w:t xml:space="preserve">in 2008 but </w:t>
      </w:r>
      <w:r w:rsidR="00F566B7" w:rsidRPr="00F566B7">
        <w:rPr>
          <w:color w:val="000000"/>
        </w:rPr>
        <w:t>could not be adequately rehabilitated to meet the physical requirements of his Military Occupational Specialty (MOS) or satis</w:t>
      </w:r>
      <w:r w:rsidR="009C12A1">
        <w:rPr>
          <w:color w:val="000000"/>
        </w:rPr>
        <w:t>fy physical fitness standards.</w:t>
      </w:r>
      <w:r w:rsidR="00F566B7" w:rsidRPr="00F566B7">
        <w:rPr>
          <w:color w:val="000000"/>
        </w:rPr>
        <w:t xml:space="preserve"> </w:t>
      </w:r>
      <w:r w:rsidR="009C12A1">
        <w:rPr>
          <w:color w:val="000000"/>
        </w:rPr>
        <w:t xml:space="preserve"> He </w:t>
      </w:r>
      <w:r w:rsidR="00F566B7" w:rsidRPr="00F566B7">
        <w:rPr>
          <w:color w:val="000000"/>
        </w:rPr>
        <w:t xml:space="preserve">was </w:t>
      </w:r>
      <w:r w:rsidR="009C12A1">
        <w:rPr>
          <w:color w:val="000000"/>
        </w:rPr>
        <w:t xml:space="preserve">thus </w:t>
      </w:r>
      <w:r w:rsidR="00F566B7" w:rsidRPr="00F566B7">
        <w:rPr>
          <w:color w:val="000000"/>
        </w:rPr>
        <w:t>issued a permanent L3 profile and</w:t>
      </w:r>
      <w:r w:rsidR="009C12A1">
        <w:rPr>
          <w:color w:val="000000"/>
        </w:rPr>
        <w:t xml:space="preserve"> </w:t>
      </w:r>
      <w:r w:rsidR="00F566B7" w:rsidRPr="00F566B7">
        <w:rPr>
          <w:color w:val="000000"/>
        </w:rPr>
        <w:t xml:space="preserve">referred for a Medical Evaluation Board (MEB).  The </w:t>
      </w:r>
      <w:r w:rsidR="00A76383">
        <w:rPr>
          <w:color w:val="000000"/>
        </w:rPr>
        <w:t>lumbar spine</w:t>
      </w:r>
      <w:r w:rsidR="00F566B7" w:rsidRPr="00F566B7">
        <w:rPr>
          <w:color w:val="000000"/>
        </w:rPr>
        <w:t xml:space="preserve"> condition was forwarded to the Physical Evaluation Board (PEB) as medically unacceptable IAW AR 40-501.  No other condi</w:t>
      </w:r>
      <w:r w:rsidR="00A76383">
        <w:rPr>
          <w:color w:val="000000"/>
        </w:rPr>
        <w:t>tions were submitted by the MEB.</w:t>
      </w:r>
      <w:r w:rsidR="00F566B7" w:rsidRPr="00F566B7">
        <w:rPr>
          <w:color w:val="000000"/>
        </w:rPr>
        <w:t xml:space="preserve"> </w:t>
      </w:r>
      <w:r w:rsidRPr="001F29F9">
        <w:rPr>
          <w:color w:val="000000"/>
        </w:rPr>
        <w:t xml:space="preserve">The </w:t>
      </w:r>
      <w:r w:rsidRPr="00726F84">
        <w:rPr>
          <w:color w:val="000000"/>
        </w:rPr>
        <w:t xml:space="preserve">PEB adjudicated the </w:t>
      </w:r>
      <w:r w:rsidR="00A76383">
        <w:rPr>
          <w:color w:val="000000"/>
        </w:rPr>
        <w:t>lumbar spine</w:t>
      </w:r>
      <w:r w:rsidRPr="00726F84">
        <w:rPr>
          <w:color w:val="000000"/>
        </w:rPr>
        <w:t xml:space="preserve"> condition as unfitting, rated 20%, </w:t>
      </w:r>
      <w:r w:rsidR="00261B7E">
        <w:rPr>
          <w:color w:val="000000"/>
        </w:rPr>
        <w:t>citing criteria of</w:t>
      </w:r>
      <w:r w:rsidRPr="00726F84">
        <w:rPr>
          <w:color w:val="000000"/>
        </w:rPr>
        <w:t xml:space="preserve"> the </w:t>
      </w:r>
      <w:r w:rsidRPr="009A7578">
        <w:rPr>
          <w:color w:val="000000"/>
        </w:rPr>
        <w:t>Veterans Administration Schedule for Rating Disabilities (VASRD)</w:t>
      </w:r>
      <w:r w:rsidRPr="00726F84">
        <w:rPr>
          <w:color w:val="000000"/>
        </w:rPr>
        <w:t>.</w:t>
      </w:r>
      <w:r w:rsidRPr="001F29F9">
        <w:rPr>
          <w:color w:val="000000"/>
        </w:rPr>
        <w:t xml:space="preserve"> </w:t>
      </w:r>
      <w:r w:rsidR="00261B7E">
        <w:rPr>
          <w:color w:val="000000"/>
        </w:rPr>
        <w:t xml:space="preserve"> </w:t>
      </w:r>
      <w:r w:rsidRPr="001F29F9">
        <w:rPr>
          <w:color w:val="000000"/>
        </w:rPr>
        <w:t xml:space="preserve">The CI made no appeals, and was medically </w:t>
      </w:r>
      <w:r w:rsidRPr="00726F84">
        <w:rPr>
          <w:color w:val="000000"/>
        </w:rPr>
        <w:t xml:space="preserve">separated with </w:t>
      </w:r>
      <w:r w:rsidR="00261B7E">
        <w:rPr>
          <w:color w:val="000000"/>
        </w:rPr>
        <w:t>that</w:t>
      </w:r>
      <w:r w:rsidRPr="001F29F9">
        <w:rPr>
          <w:color w:val="000000"/>
        </w:rPr>
        <w:t xml:space="preserve"> </w:t>
      </w:r>
      <w:r w:rsidR="00986395">
        <w:rPr>
          <w:color w:val="000000"/>
        </w:rPr>
        <w:t>s</w:t>
      </w:r>
      <w:r w:rsidR="006E154E">
        <w:rPr>
          <w:color w:val="000000"/>
        </w:rPr>
        <w:t xml:space="preserve">ervice </w:t>
      </w:r>
      <w:r w:rsidRPr="001F29F9">
        <w:rPr>
          <w:color w:val="000000"/>
        </w:rPr>
        <w:t>disability rating.</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4A2728" w:rsidRDefault="00AD2379" w:rsidP="00BF0E94">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00773C45">
        <w:rPr>
          <w:color w:val="000000"/>
        </w:rPr>
        <w:t>“</w:t>
      </w:r>
      <w:r w:rsidR="009C1DD2">
        <w:rPr>
          <w:color w:val="000000" w:themeColor="text1"/>
        </w:rPr>
        <w:t>I am trying to have my rating changed from a medical separation to medical retirement.  I had my back hurt in training at Ft Knox getting ready for deployment for Iraq.  I had a spine fusion on my back at Walter Reed Oct 20, 2003 on L5 S1 area.  They put t</w:t>
      </w:r>
      <w:r w:rsidR="00403D90">
        <w:rPr>
          <w:color w:val="000000" w:themeColor="text1"/>
        </w:rPr>
        <w:t>wo rods in the area</w:t>
      </w:r>
      <w:r w:rsidR="009C1DD2">
        <w:rPr>
          <w:color w:val="000000" w:themeColor="text1"/>
        </w:rPr>
        <w:t xml:space="preserve"> of the breaks.  I served 10 years and was only given a medical separation.  I feel that I should have been medical retired.  There </w:t>
      </w:r>
      <w:proofErr w:type="gramStart"/>
      <w:r w:rsidR="009C1DD2">
        <w:rPr>
          <w:color w:val="000000" w:themeColor="text1"/>
        </w:rPr>
        <w:t>was</w:t>
      </w:r>
      <w:proofErr w:type="gramEnd"/>
      <w:r w:rsidR="009C1DD2">
        <w:rPr>
          <w:color w:val="000000" w:themeColor="text1"/>
        </w:rPr>
        <w:t xml:space="preserve"> others soldiers get retirement with less injuries.</w:t>
      </w:r>
      <w:r w:rsidR="00773C45">
        <w:rPr>
          <w:color w:val="000000"/>
        </w:rPr>
        <w:t>”</w:t>
      </w:r>
      <w:r w:rsidR="004A2728">
        <w:rPr>
          <w:color w:val="000000"/>
        </w:rPr>
        <w:t xml:space="preserve"> </w:t>
      </w:r>
      <w:r w:rsidR="004A2728" w:rsidRPr="005B4932">
        <w:rPr>
          <w:color w:val="000000" w:themeColor="text1"/>
        </w:rPr>
        <w:t>He elaborates no specific contentions regarding rating or coding and mentions no additionally contended conditions.</w:t>
      </w:r>
      <w:r w:rsidR="004A2728">
        <w:rPr>
          <w:color w:val="000000" w:themeColor="text1"/>
        </w:rPr>
        <w:t xml:space="preserve">    </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jc w:val="left"/>
        <w:rPr>
          <w:color w:val="000000"/>
        </w:rPr>
      </w:pPr>
      <w:r w:rsidRPr="001F29F9">
        <w:rPr>
          <w:color w:val="000000"/>
          <w:u w:val="single"/>
        </w:rPr>
        <w:t>RATING COMPARISON</w:t>
      </w:r>
      <w:r w:rsidRPr="001F29F9">
        <w:rPr>
          <w:color w:val="000000"/>
        </w:rPr>
        <w:t>:</w:t>
      </w:r>
      <w:r w:rsidRPr="00726F84">
        <w:rPr>
          <w:color w:val="000000"/>
        </w:rPr>
        <w:t xml:space="preserve"> </w:t>
      </w:r>
    </w:p>
    <w:p w:rsidR="00AD2379" w:rsidRPr="001F29F9" w:rsidRDefault="00AD2379" w:rsidP="00FE7C22">
      <w:pPr>
        <w:jc w:val="both"/>
        <w:rPr>
          <w:color w:val="000000"/>
        </w:rPr>
      </w:pPr>
    </w:p>
    <w:tbl>
      <w:tblPr>
        <w:tblStyle w:val="TableGrid"/>
        <w:tblpPr w:leftFromText="187" w:rightFromText="187" w:vertAnchor="text" w:tblpXSpec="center" w:tblpY="1"/>
        <w:tblOverlap w:val="never"/>
        <w:tblW w:w="9348" w:type="dxa"/>
        <w:tblLayout w:type="fixed"/>
        <w:tblLook w:val="00A0"/>
      </w:tblPr>
      <w:tblGrid>
        <w:gridCol w:w="2538"/>
        <w:gridCol w:w="1080"/>
        <w:gridCol w:w="810"/>
        <w:gridCol w:w="2610"/>
        <w:gridCol w:w="630"/>
        <w:gridCol w:w="720"/>
        <w:gridCol w:w="960"/>
      </w:tblGrid>
      <w:tr w:rsidR="00926C0A" w:rsidRPr="000D5DBE" w:rsidTr="00713FB4">
        <w:trPr>
          <w:trHeight w:val="170"/>
        </w:trPr>
        <w:tc>
          <w:tcPr>
            <w:tcW w:w="4428" w:type="dxa"/>
            <w:gridSpan w:val="3"/>
            <w:tcBorders>
              <w:right w:val="thinThickThinSmallGap" w:sz="24" w:space="0" w:color="auto"/>
            </w:tcBorders>
            <w:shd w:val="clear" w:color="auto" w:fill="D9D9D9"/>
            <w:vAlign w:val="center"/>
          </w:tcPr>
          <w:p w:rsidR="00926C0A" w:rsidRPr="00947728" w:rsidRDefault="00986395" w:rsidP="00926C0A">
            <w:pPr>
              <w:contextualSpacing/>
              <w:rPr>
                <w:rFonts w:cs="Calibri"/>
                <w:b/>
                <w:color w:val="auto"/>
                <w:sz w:val="18"/>
              </w:rPr>
            </w:pPr>
            <w:r>
              <w:rPr>
                <w:b/>
                <w:color w:val="auto"/>
                <w:sz w:val="18"/>
              </w:rPr>
              <w:t xml:space="preserve">Service </w:t>
            </w:r>
            <w:r w:rsidR="00926C0A" w:rsidRPr="00947728">
              <w:rPr>
                <w:b/>
                <w:color w:val="auto"/>
                <w:sz w:val="18"/>
              </w:rPr>
              <w:t xml:space="preserve">PEB – Dated </w:t>
            </w:r>
            <w:r w:rsidR="009C1DD2" w:rsidRPr="001F29F9">
              <w:rPr>
                <w:rFonts w:cs="Calibri"/>
                <w:b/>
                <w:color w:val="000000" w:themeColor="text1"/>
                <w:sz w:val="18"/>
                <w:szCs w:val="18"/>
              </w:rPr>
              <w:t>200</w:t>
            </w:r>
            <w:r w:rsidR="009C1DD2">
              <w:rPr>
                <w:rFonts w:cs="Calibri"/>
                <w:b/>
                <w:color w:val="000000" w:themeColor="text1"/>
                <w:sz w:val="18"/>
                <w:szCs w:val="18"/>
              </w:rPr>
              <w:t>40316</w:t>
            </w:r>
          </w:p>
        </w:tc>
        <w:tc>
          <w:tcPr>
            <w:tcW w:w="4920" w:type="dxa"/>
            <w:gridSpan w:val="4"/>
            <w:tcBorders>
              <w:left w:val="thinThickThinSmallGap" w:sz="24" w:space="0" w:color="auto"/>
            </w:tcBorders>
            <w:shd w:val="clear" w:color="auto" w:fill="D9D9D9"/>
            <w:vAlign w:val="center"/>
          </w:tcPr>
          <w:p w:rsidR="00926C0A" w:rsidRPr="00947728" w:rsidRDefault="009C1DD2" w:rsidP="00986395">
            <w:pPr>
              <w:contextualSpacing/>
              <w:rPr>
                <w:rFonts w:cs="Calibri"/>
                <w:b/>
                <w:color w:val="auto"/>
                <w:sz w:val="18"/>
              </w:rPr>
            </w:pPr>
            <w:r>
              <w:rPr>
                <w:b/>
                <w:color w:val="auto"/>
                <w:sz w:val="18"/>
              </w:rPr>
              <w:t xml:space="preserve">VA (2 </w:t>
            </w:r>
            <w:r w:rsidR="00986395">
              <w:rPr>
                <w:b/>
                <w:color w:val="auto"/>
                <w:sz w:val="18"/>
              </w:rPr>
              <w:t>m</w:t>
            </w:r>
            <w:r w:rsidR="00926C0A" w:rsidRPr="00947728">
              <w:rPr>
                <w:b/>
                <w:color w:val="auto"/>
                <w:sz w:val="18"/>
              </w:rPr>
              <w:t xml:space="preserve">o. </w:t>
            </w:r>
            <w:r w:rsidR="00986395">
              <w:rPr>
                <w:b/>
                <w:color w:val="auto"/>
                <w:sz w:val="18"/>
              </w:rPr>
              <w:t xml:space="preserve">After </w:t>
            </w:r>
            <w:r w:rsidR="00926C0A" w:rsidRPr="00947728">
              <w:rPr>
                <w:b/>
                <w:color w:val="auto"/>
                <w:sz w:val="18"/>
              </w:rPr>
              <w:t xml:space="preserve">Separation) – All Effective Date </w:t>
            </w:r>
            <w:r w:rsidRPr="001F29F9">
              <w:rPr>
                <w:rFonts w:cs="Calibri"/>
                <w:b/>
                <w:color w:val="000000" w:themeColor="text1"/>
                <w:sz w:val="18"/>
                <w:szCs w:val="18"/>
              </w:rPr>
              <w:t>200</w:t>
            </w:r>
            <w:r>
              <w:rPr>
                <w:rFonts w:cs="Calibri"/>
                <w:b/>
                <w:color w:val="000000" w:themeColor="text1"/>
                <w:sz w:val="18"/>
                <w:szCs w:val="18"/>
              </w:rPr>
              <w:t>40416</w:t>
            </w:r>
          </w:p>
        </w:tc>
      </w:tr>
      <w:tr w:rsidR="00261B7E" w:rsidRPr="000D5DBE" w:rsidTr="00713FB4">
        <w:trPr>
          <w:trHeight w:val="97"/>
        </w:trPr>
        <w:tc>
          <w:tcPr>
            <w:tcW w:w="2538" w:type="dxa"/>
            <w:tcBorders>
              <w:right w:val="single" w:sz="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Condition</w:t>
            </w:r>
          </w:p>
        </w:tc>
        <w:tc>
          <w:tcPr>
            <w:tcW w:w="1080" w:type="dxa"/>
            <w:tcBorders>
              <w:left w:val="single" w:sz="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Code</w:t>
            </w:r>
          </w:p>
        </w:tc>
        <w:tc>
          <w:tcPr>
            <w:tcW w:w="810" w:type="dxa"/>
            <w:tcBorders>
              <w:right w:val="thinThickThinSmallGap" w:sz="2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Rating</w:t>
            </w:r>
          </w:p>
        </w:tc>
        <w:tc>
          <w:tcPr>
            <w:tcW w:w="2610" w:type="dxa"/>
            <w:tcBorders>
              <w:left w:val="thinThickThinSmallGap" w:sz="2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Condition</w:t>
            </w:r>
          </w:p>
        </w:tc>
        <w:tc>
          <w:tcPr>
            <w:tcW w:w="630" w:type="dxa"/>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Code</w:t>
            </w:r>
          </w:p>
        </w:tc>
        <w:tc>
          <w:tcPr>
            <w:tcW w:w="720" w:type="dxa"/>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Rating</w:t>
            </w:r>
          </w:p>
        </w:tc>
        <w:tc>
          <w:tcPr>
            <w:tcW w:w="960" w:type="dxa"/>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Exam</w:t>
            </w:r>
          </w:p>
        </w:tc>
      </w:tr>
      <w:tr w:rsidR="00713FB4" w:rsidRPr="000D5DBE" w:rsidTr="00713FB4">
        <w:trPr>
          <w:trHeight w:val="65"/>
        </w:trPr>
        <w:tc>
          <w:tcPr>
            <w:tcW w:w="2538" w:type="dxa"/>
            <w:tcBorders>
              <w:right w:val="single" w:sz="4" w:space="0" w:color="auto"/>
            </w:tcBorders>
            <w:shd w:val="clear" w:color="auto" w:fill="FFFFFF"/>
            <w:vAlign w:val="center"/>
          </w:tcPr>
          <w:p w:rsidR="00713FB4" w:rsidRPr="001F29F9" w:rsidRDefault="00713FB4" w:rsidP="00713FB4">
            <w:pPr>
              <w:spacing w:line="220" w:lineRule="exact"/>
              <w:contextualSpacing/>
              <w:jc w:val="left"/>
              <w:rPr>
                <w:rFonts w:cs="Calibri"/>
                <w:color w:val="000000"/>
                <w:sz w:val="18"/>
              </w:rPr>
            </w:pPr>
            <w:r>
              <w:rPr>
                <w:rFonts w:cs="Calibri"/>
                <w:color w:val="000000"/>
                <w:sz w:val="18"/>
              </w:rPr>
              <w:t>Low Back Pain s/p L5-S1 Fusion</w:t>
            </w:r>
          </w:p>
        </w:tc>
        <w:tc>
          <w:tcPr>
            <w:tcW w:w="1080" w:type="dxa"/>
            <w:tcBorders>
              <w:left w:val="single" w:sz="4" w:space="0" w:color="auto"/>
            </w:tcBorders>
            <w:shd w:val="clear" w:color="auto" w:fill="FFFFFF"/>
            <w:vAlign w:val="center"/>
          </w:tcPr>
          <w:p w:rsidR="00713FB4" w:rsidRPr="001F29F9" w:rsidRDefault="00713FB4" w:rsidP="00713FB4">
            <w:pPr>
              <w:spacing w:line="220" w:lineRule="exact"/>
              <w:contextualSpacing/>
              <w:rPr>
                <w:rFonts w:cs="Calibri"/>
                <w:color w:val="000000"/>
                <w:sz w:val="18"/>
              </w:rPr>
            </w:pPr>
            <w:r>
              <w:rPr>
                <w:rFonts w:cs="Calibri"/>
                <w:color w:val="000000" w:themeColor="text1"/>
                <w:sz w:val="18"/>
                <w:szCs w:val="18"/>
              </w:rPr>
              <w:t>5299-5237</w:t>
            </w:r>
          </w:p>
        </w:tc>
        <w:tc>
          <w:tcPr>
            <w:tcW w:w="810" w:type="dxa"/>
            <w:tcBorders>
              <w:right w:val="thinThickThinSmallGap" w:sz="24" w:space="0" w:color="auto"/>
            </w:tcBorders>
            <w:shd w:val="clear" w:color="auto" w:fill="FFFFFF"/>
            <w:vAlign w:val="center"/>
          </w:tcPr>
          <w:p w:rsidR="00713FB4" w:rsidRPr="001F29F9" w:rsidRDefault="00713FB4" w:rsidP="00713FB4">
            <w:pPr>
              <w:spacing w:line="220" w:lineRule="exact"/>
              <w:rPr>
                <w:rFonts w:cs="Calibri"/>
                <w:color w:val="000000"/>
                <w:sz w:val="18"/>
              </w:rPr>
            </w:pPr>
            <w:r>
              <w:rPr>
                <w:rFonts w:cs="Calibri"/>
                <w:color w:val="000000"/>
                <w:sz w:val="18"/>
              </w:rPr>
              <w:t>20%</w:t>
            </w:r>
          </w:p>
        </w:tc>
        <w:tc>
          <w:tcPr>
            <w:tcW w:w="2610" w:type="dxa"/>
            <w:tcBorders>
              <w:left w:val="thinThickThinSmallGap" w:sz="24" w:space="0" w:color="auto"/>
            </w:tcBorders>
            <w:shd w:val="clear" w:color="auto" w:fill="FFFFFF"/>
            <w:vAlign w:val="center"/>
          </w:tcPr>
          <w:p w:rsidR="00713FB4" w:rsidRPr="001F29F9" w:rsidRDefault="00713FB4" w:rsidP="00713FB4">
            <w:pPr>
              <w:spacing w:line="220" w:lineRule="exact"/>
              <w:contextualSpacing/>
              <w:jc w:val="left"/>
              <w:rPr>
                <w:rFonts w:cs="Calibri"/>
                <w:color w:val="000000"/>
                <w:sz w:val="18"/>
              </w:rPr>
            </w:pPr>
            <w:r>
              <w:rPr>
                <w:rFonts w:cs="Calibri"/>
                <w:color w:val="000000" w:themeColor="text1"/>
                <w:sz w:val="18"/>
                <w:szCs w:val="18"/>
              </w:rPr>
              <w:t>Low Back Fusion</w:t>
            </w:r>
          </w:p>
        </w:tc>
        <w:tc>
          <w:tcPr>
            <w:tcW w:w="630" w:type="dxa"/>
            <w:shd w:val="clear" w:color="auto" w:fill="FFFFFF"/>
            <w:vAlign w:val="center"/>
          </w:tcPr>
          <w:p w:rsidR="00713FB4" w:rsidRPr="001F29F9" w:rsidRDefault="00713FB4" w:rsidP="00713FB4">
            <w:pPr>
              <w:spacing w:line="180" w:lineRule="exact"/>
              <w:contextualSpacing/>
              <w:rPr>
                <w:rFonts w:cs="Calibri"/>
                <w:color w:val="000000" w:themeColor="text1"/>
                <w:sz w:val="18"/>
                <w:szCs w:val="18"/>
              </w:rPr>
            </w:pPr>
            <w:r>
              <w:rPr>
                <w:rFonts w:cs="Calibri"/>
                <w:color w:val="000000" w:themeColor="text1"/>
                <w:sz w:val="18"/>
                <w:szCs w:val="18"/>
              </w:rPr>
              <w:t>5243</w:t>
            </w:r>
          </w:p>
        </w:tc>
        <w:tc>
          <w:tcPr>
            <w:tcW w:w="720" w:type="dxa"/>
            <w:shd w:val="clear" w:color="auto" w:fill="FFFFFF"/>
            <w:vAlign w:val="center"/>
          </w:tcPr>
          <w:p w:rsidR="00713FB4" w:rsidRPr="001F29F9" w:rsidRDefault="00713FB4" w:rsidP="00713FB4">
            <w:pPr>
              <w:spacing w:line="180" w:lineRule="exact"/>
              <w:contextualSpacing/>
              <w:rPr>
                <w:rFonts w:cs="Calibri"/>
                <w:color w:val="000000" w:themeColor="text1"/>
                <w:sz w:val="18"/>
                <w:szCs w:val="18"/>
              </w:rPr>
            </w:pPr>
            <w:r>
              <w:rPr>
                <w:rFonts w:cs="Calibri"/>
                <w:color w:val="000000" w:themeColor="text1"/>
                <w:sz w:val="18"/>
                <w:szCs w:val="18"/>
              </w:rPr>
              <w:t>20%</w:t>
            </w:r>
          </w:p>
        </w:tc>
        <w:tc>
          <w:tcPr>
            <w:tcW w:w="960" w:type="dxa"/>
            <w:shd w:val="clear" w:color="auto" w:fill="FFFFFF"/>
            <w:vAlign w:val="center"/>
          </w:tcPr>
          <w:p w:rsidR="00713FB4" w:rsidRPr="001F29F9" w:rsidRDefault="00713FB4" w:rsidP="00713FB4">
            <w:pPr>
              <w:spacing w:line="18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40604</w:t>
            </w:r>
          </w:p>
        </w:tc>
      </w:tr>
      <w:tr w:rsidR="00AD2379" w:rsidRPr="000D5DBE" w:rsidTr="00713FB4">
        <w:trPr>
          <w:trHeight w:val="172"/>
        </w:trPr>
        <w:tc>
          <w:tcPr>
            <w:tcW w:w="4428" w:type="dxa"/>
            <w:gridSpan w:val="3"/>
            <w:tcBorders>
              <w:right w:val="thinThickThinSmallGap" w:sz="24" w:space="0" w:color="auto"/>
            </w:tcBorders>
            <w:shd w:val="clear" w:color="auto" w:fill="FFFFFF"/>
            <w:vAlign w:val="center"/>
          </w:tcPr>
          <w:p w:rsidR="00AD2379" w:rsidRPr="001F29F9" w:rsidRDefault="00AD2379" w:rsidP="001968BB">
            <w:pPr>
              <w:spacing w:line="220" w:lineRule="exact"/>
              <w:contextualSpacing/>
              <w:rPr>
                <w:rFonts w:cs="Calibri"/>
                <w:color w:val="000000"/>
                <w:sz w:val="18"/>
              </w:rPr>
            </w:pPr>
            <w:r w:rsidRPr="000D5DBE">
              <w:rPr>
                <w:color w:val="000000"/>
                <w:sz w:val="18"/>
              </w:rPr>
              <w:t>No Additional MEB/PEB Entries</w:t>
            </w:r>
          </w:p>
        </w:tc>
        <w:tc>
          <w:tcPr>
            <w:tcW w:w="3960" w:type="dxa"/>
            <w:gridSpan w:val="3"/>
            <w:tcBorders>
              <w:left w:val="thinThickThinSmallGap" w:sz="24" w:space="0" w:color="auto"/>
            </w:tcBorders>
            <w:shd w:val="clear" w:color="auto" w:fill="FFFFFF"/>
            <w:vAlign w:val="center"/>
          </w:tcPr>
          <w:p w:rsidR="00AD2379" w:rsidRPr="001F29F9" w:rsidRDefault="00713FB4" w:rsidP="00713FB4">
            <w:pPr>
              <w:spacing w:line="220" w:lineRule="exact"/>
              <w:contextualSpacing/>
              <w:rPr>
                <w:rFonts w:cs="Calibri"/>
                <w:color w:val="000000"/>
                <w:sz w:val="18"/>
              </w:rPr>
            </w:pPr>
            <w:r>
              <w:rPr>
                <w:color w:val="000000"/>
                <w:sz w:val="18"/>
              </w:rPr>
              <w:t>0% X 2</w:t>
            </w:r>
          </w:p>
        </w:tc>
        <w:tc>
          <w:tcPr>
            <w:tcW w:w="960" w:type="dxa"/>
            <w:shd w:val="clear" w:color="auto" w:fill="FFFFFF"/>
            <w:vAlign w:val="center"/>
          </w:tcPr>
          <w:p w:rsidR="00AD2379" w:rsidRPr="001F29F9" w:rsidRDefault="00713FB4" w:rsidP="001968BB">
            <w:pPr>
              <w:spacing w:line="220" w:lineRule="exact"/>
              <w:contextualSpacing/>
              <w:rPr>
                <w:rFonts w:cs="Calibri"/>
                <w:color w:val="000000"/>
                <w:sz w:val="18"/>
              </w:rPr>
            </w:pPr>
            <w:r w:rsidRPr="001F29F9">
              <w:rPr>
                <w:rFonts w:cs="Calibri"/>
                <w:color w:val="000000" w:themeColor="text1"/>
                <w:sz w:val="18"/>
                <w:szCs w:val="18"/>
              </w:rPr>
              <w:t>200</w:t>
            </w:r>
            <w:r>
              <w:rPr>
                <w:rFonts w:cs="Calibri"/>
                <w:color w:val="000000" w:themeColor="text1"/>
                <w:sz w:val="18"/>
                <w:szCs w:val="18"/>
              </w:rPr>
              <w:t>40604</w:t>
            </w:r>
          </w:p>
        </w:tc>
      </w:tr>
      <w:tr w:rsidR="00AD2379" w:rsidRPr="000D5DBE" w:rsidTr="00713FB4">
        <w:trPr>
          <w:trHeight w:val="124"/>
        </w:trPr>
        <w:tc>
          <w:tcPr>
            <w:tcW w:w="4428" w:type="dxa"/>
            <w:gridSpan w:val="3"/>
            <w:tcBorders>
              <w:right w:val="thinThickThinSmallGap" w:sz="24" w:space="0" w:color="auto"/>
            </w:tcBorders>
            <w:shd w:val="clear" w:color="auto" w:fill="D9D9D9"/>
          </w:tcPr>
          <w:p w:rsidR="00AD2379" w:rsidRPr="000D5DBE" w:rsidRDefault="00AD2379" w:rsidP="001968BB">
            <w:pPr>
              <w:contextualSpacing/>
              <w:rPr>
                <w:rFonts w:cs="Calibri"/>
                <w:b/>
                <w:color w:val="000000"/>
                <w:sz w:val="18"/>
              </w:rPr>
            </w:pPr>
            <w:r w:rsidRPr="000D5DBE">
              <w:rPr>
                <w:b/>
                <w:color w:val="000000"/>
                <w:sz w:val="18"/>
              </w:rPr>
              <w:t>Combined:  20%</w:t>
            </w:r>
          </w:p>
        </w:tc>
        <w:tc>
          <w:tcPr>
            <w:tcW w:w="4920" w:type="dxa"/>
            <w:gridSpan w:val="4"/>
            <w:tcBorders>
              <w:left w:val="thinThickThinSmallGap" w:sz="24" w:space="0" w:color="auto"/>
            </w:tcBorders>
            <w:shd w:val="clear" w:color="auto" w:fill="D9D9D9"/>
          </w:tcPr>
          <w:p w:rsidR="00AD2379" w:rsidRPr="000D5DBE" w:rsidRDefault="00713FB4" w:rsidP="001968BB">
            <w:pPr>
              <w:contextualSpacing/>
              <w:rPr>
                <w:rFonts w:cs="Calibri"/>
                <w:b/>
                <w:color w:val="000000"/>
                <w:sz w:val="18"/>
              </w:rPr>
            </w:pPr>
            <w:r>
              <w:rPr>
                <w:b/>
                <w:color w:val="000000"/>
                <w:sz w:val="18"/>
              </w:rPr>
              <w:t>Combined:  2</w:t>
            </w:r>
            <w:r w:rsidR="00AD2379" w:rsidRPr="000D5DBE">
              <w:rPr>
                <w:b/>
                <w:color w:val="000000"/>
                <w:sz w:val="18"/>
              </w:rPr>
              <w:t>0%</w:t>
            </w:r>
          </w:p>
        </w:tc>
      </w:tr>
    </w:tbl>
    <w:p w:rsidR="00713FB4" w:rsidRPr="001F29F9" w:rsidRDefault="00713FB4" w:rsidP="00713FB4">
      <w:pPr>
        <w:pBdr>
          <w:bottom w:val="single" w:sz="12" w:space="1" w:color="auto"/>
        </w:pBdr>
        <w:tabs>
          <w:tab w:val="left" w:pos="288"/>
          <w:tab w:val="left" w:pos="4752"/>
        </w:tabs>
        <w:jc w:val="both"/>
        <w:rPr>
          <w:color w:val="000000"/>
        </w:rPr>
      </w:pPr>
    </w:p>
    <w:p w:rsidR="00AD2379" w:rsidRPr="001F29F9" w:rsidRDefault="00AD2379" w:rsidP="00403D90">
      <w:pPr>
        <w:jc w:val="both"/>
        <w:rPr>
          <w:color w:val="000000"/>
        </w:rPr>
      </w:pPr>
    </w:p>
    <w:p w:rsidR="00157E01" w:rsidRPr="00157E01" w:rsidRDefault="00AD2379" w:rsidP="00157E01">
      <w:pPr>
        <w:jc w:val="both"/>
        <w:rPr>
          <w:color w:val="000000"/>
        </w:rPr>
      </w:pPr>
      <w:r w:rsidRPr="001F29F9">
        <w:rPr>
          <w:color w:val="000000"/>
          <w:u w:val="single"/>
        </w:rPr>
        <w:t>ANALYSIS SUMMARY</w:t>
      </w:r>
      <w:r w:rsidRPr="001F29F9">
        <w:rPr>
          <w:color w:val="000000"/>
        </w:rPr>
        <w:t>:</w:t>
      </w:r>
      <w:r>
        <w:rPr>
          <w:color w:val="000000"/>
        </w:rPr>
        <w:t xml:space="preserve"> </w:t>
      </w:r>
      <w:r w:rsidR="00157E01">
        <w:rPr>
          <w:color w:val="000000"/>
        </w:rPr>
        <w:t xml:space="preserve"> </w:t>
      </w:r>
      <w:r w:rsidR="00157E01" w:rsidRPr="00157E01">
        <w:rPr>
          <w:color w:val="000000"/>
        </w:rPr>
        <w:t xml:space="preserve">The Board acknowledges the sentiment expressed in the CI’s application, i.e., that </w:t>
      </w:r>
      <w:r w:rsidR="00157E01">
        <w:rPr>
          <w:color w:val="000000"/>
        </w:rPr>
        <w:t xml:space="preserve">the gravity </w:t>
      </w:r>
      <w:r w:rsidR="00157E01" w:rsidRPr="00157E01">
        <w:rPr>
          <w:color w:val="000000"/>
        </w:rPr>
        <w:t xml:space="preserve">and predictable consequences </w:t>
      </w:r>
      <w:r w:rsidR="00157E01">
        <w:rPr>
          <w:color w:val="000000"/>
        </w:rPr>
        <w:t>of his</w:t>
      </w:r>
      <w:r w:rsidR="00157E01" w:rsidRPr="00157E01">
        <w:rPr>
          <w:color w:val="000000"/>
        </w:rPr>
        <w:t xml:space="preserve"> condition which me</w:t>
      </w:r>
      <w:r w:rsidR="00986395">
        <w:rPr>
          <w:color w:val="000000"/>
        </w:rPr>
        <w:t>rit consideration for a higher s</w:t>
      </w:r>
      <w:r w:rsidR="00157E01" w:rsidRPr="00157E01">
        <w:rPr>
          <w:color w:val="000000"/>
        </w:rPr>
        <w:t>ervice disability rating.  The Board wishes to clarify that it is subject t</w:t>
      </w:r>
      <w:r w:rsidR="00986395">
        <w:rPr>
          <w:color w:val="000000"/>
        </w:rPr>
        <w:t>o the same laws for s</w:t>
      </w:r>
      <w:r w:rsidR="00157E01" w:rsidRPr="00157E01">
        <w:rPr>
          <w:color w:val="000000"/>
        </w:rPr>
        <w:t xml:space="preserve">ervice disability entitlements as those under which the </w:t>
      </w:r>
      <w:r w:rsidR="00986395">
        <w:rPr>
          <w:color w:val="000000"/>
        </w:rPr>
        <w:t>Disability Evaluation System (</w:t>
      </w:r>
      <w:r w:rsidR="00157E01" w:rsidRPr="00157E01">
        <w:rPr>
          <w:color w:val="000000"/>
        </w:rPr>
        <w:t xml:space="preserve">DES) operates.  The DES has neither the role nor the authority to compensate service members for anticipated future severity or potential complications of conditions resulting in medical separation.  That role and authority is granted by Congress to the Department of Veteran Affairs (DVA), operating under a different set of laws (Title 38, United States Code).  The Board utilizes </w:t>
      </w:r>
      <w:r w:rsidR="00AD6335">
        <w:rPr>
          <w:color w:val="000000"/>
        </w:rPr>
        <w:t>D</w:t>
      </w:r>
      <w:r w:rsidR="00157E01" w:rsidRPr="00157E01">
        <w:rPr>
          <w:color w:val="000000"/>
        </w:rPr>
        <w:t>VA evidence proximal to separation in arriving at its recommendations;</w:t>
      </w:r>
      <w:r w:rsidR="00AD6335">
        <w:rPr>
          <w:color w:val="000000"/>
        </w:rPr>
        <w:t xml:space="preserve"> and, </w:t>
      </w:r>
      <w:proofErr w:type="spellStart"/>
      <w:r w:rsidR="00AD6335">
        <w:rPr>
          <w:color w:val="000000"/>
        </w:rPr>
        <w:t>DoDI</w:t>
      </w:r>
      <w:proofErr w:type="spellEnd"/>
      <w:r w:rsidR="00AD6335">
        <w:rPr>
          <w:color w:val="000000"/>
        </w:rPr>
        <w:t xml:space="preserve"> 6040.44 defines a 12-</w:t>
      </w:r>
      <w:r w:rsidR="00157E01" w:rsidRPr="00157E01">
        <w:rPr>
          <w:color w:val="000000"/>
        </w:rPr>
        <w:t xml:space="preserve">month interval for special consideration to post-separation evidence. </w:t>
      </w:r>
      <w:r w:rsidR="006B64F5">
        <w:rPr>
          <w:color w:val="000000"/>
        </w:rPr>
        <w:t xml:space="preserve"> </w:t>
      </w:r>
      <w:r w:rsidR="00157E01" w:rsidRPr="00157E01">
        <w:rPr>
          <w:color w:val="000000"/>
        </w:rPr>
        <w:t xml:space="preserve">The Board’s authority as defined in </w:t>
      </w:r>
      <w:proofErr w:type="spellStart"/>
      <w:r w:rsidR="00157E01" w:rsidRPr="00157E01">
        <w:rPr>
          <w:color w:val="000000"/>
        </w:rPr>
        <w:t>DoDI</w:t>
      </w:r>
      <w:proofErr w:type="spellEnd"/>
      <w:r w:rsidR="00157E01" w:rsidRPr="00157E01">
        <w:rPr>
          <w:color w:val="000000"/>
        </w:rPr>
        <w:t xml:space="preserve"> 6044.40, however, resides in evaluating the fairness of DES fitness determinations and rating decisions for disability at the time of separation.</w:t>
      </w:r>
      <w:r w:rsidR="006B64F5">
        <w:rPr>
          <w:color w:val="000000"/>
        </w:rPr>
        <w:t xml:space="preserve"> </w:t>
      </w:r>
      <w:r w:rsidR="00157E01" w:rsidRPr="00157E01">
        <w:rPr>
          <w:color w:val="000000"/>
        </w:rPr>
        <w:t xml:space="preserve"> Post-</w:t>
      </w:r>
      <w:r w:rsidR="00157E01" w:rsidRPr="00157E01">
        <w:rPr>
          <w:color w:val="000000"/>
        </w:rPr>
        <w:lastRenderedPageBreak/>
        <w:t xml:space="preserve">separation evidence therefore is probative only to the extent that it reasonably reflects the disability and fitness implications at the time of separation.  </w:t>
      </w:r>
    </w:p>
    <w:p w:rsidR="00AD2379" w:rsidRPr="00726F84" w:rsidRDefault="00AD2379" w:rsidP="00726F84">
      <w:pPr>
        <w:jc w:val="both"/>
        <w:rPr>
          <w:color w:val="000000"/>
        </w:rPr>
      </w:pPr>
    </w:p>
    <w:p w:rsidR="00CF0280" w:rsidRPr="002924DC" w:rsidRDefault="00CF7767" w:rsidP="0069687C">
      <w:pPr>
        <w:jc w:val="both"/>
        <w:rPr>
          <w:color w:val="000000"/>
        </w:rPr>
      </w:pPr>
      <w:proofErr w:type="gramStart"/>
      <w:r>
        <w:rPr>
          <w:color w:val="000000"/>
          <w:u w:val="single"/>
        </w:rPr>
        <w:t>Lumbar Spine</w:t>
      </w:r>
      <w:r w:rsidR="00AD2379" w:rsidRPr="009A7578">
        <w:rPr>
          <w:color w:val="000000"/>
          <w:u w:val="single"/>
        </w:rPr>
        <w:t xml:space="preserve"> Condition</w:t>
      </w:r>
      <w:r w:rsidR="00AD2379" w:rsidRPr="009A7578">
        <w:rPr>
          <w:color w:val="000000"/>
        </w:rPr>
        <w:t>.</w:t>
      </w:r>
      <w:proofErr w:type="gramEnd"/>
      <w:r w:rsidR="00AD2379" w:rsidRPr="009A7578">
        <w:rPr>
          <w:color w:val="000000"/>
        </w:rPr>
        <w:t xml:space="preserve"> </w:t>
      </w:r>
      <w:r w:rsidR="00A76383">
        <w:rPr>
          <w:color w:val="000000"/>
        </w:rPr>
        <w:t xml:space="preserve"> </w:t>
      </w:r>
      <w:r w:rsidR="00B829A6">
        <w:rPr>
          <w:color w:val="000000"/>
        </w:rPr>
        <w:t xml:space="preserve">The </w:t>
      </w:r>
      <w:r w:rsidR="00986395">
        <w:rPr>
          <w:color w:val="000000"/>
        </w:rPr>
        <w:t>s</w:t>
      </w:r>
      <w:r w:rsidR="00B829A6">
        <w:rPr>
          <w:color w:val="000000"/>
        </w:rPr>
        <w:t xml:space="preserve">ervice file reflects an onset of low back pain during an active duty tour in 2002, </w:t>
      </w:r>
      <w:r w:rsidR="00B41BAA">
        <w:rPr>
          <w:color w:val="000000"/>
        </w:rPr>
        <w:t>associated with the prolonge</w:t>
      </w:r>
      <w:r w:rsidR="00C26634">
        <w:rPr>
          <w:color w:val="000000"/>
        </w:rPr>
        <w:t>d standing required of his MOS.</w:t>
      </w:r>
      <w:r w:rsidR="00B41BAA">
        <w:rPr>
          <w:color w:val="000000"/>
        </w:rPr>
        <w:t xml:space="preserve"> </w:t>
      </w:r>
      <w:r w:rsidR="00C26634">
        <w:rPr>
          <w:color w:val="000000"/>
        </w:rPr>
        <w:t xml:space="preserve"> </w:t>
      </w:r>
      <w:r w:rsidR="00B829A6">
        <w:rPr>
          <w:color w:val="000000"/>
        </w:rPr>
        <w:t xml:space="preserve">X-rays demonstrated chronic </w:t>
      </w:r>
      <w:proofErr w:type="spellStart"/>
      <w:r w:rsidR="00B829A6">
        <w:rPr>
          <w:color w:val="000000"/>
        </w:rPr>
        <w:t>spondylolysis</w:t>
      </w:r>
      <w:proofErr w:type="spellEnd"/>
      <w:r w:rsidR="00B829A6">
        <w:rPr>
          <w:color w:val="000000"/>
        </w:rPr>
        <w:t xml:space="preserve"> (degenerative disease at the articulations of the vertebrae) without fracture.  There was right leg radiation, but no </w:t>
      </w:r>
      <w:proofErr w:type="spellStart"/>
      <w:r w:rsidR="00B829A6">
        <w:rPr>
          <w:color w:val="000000"/>
        </w:rPr>
        <w:t>radiculopathy</w:t>
      </w:r>
      <w:proofErr w:type="spellEnd"/>
      <w:r w:rsidR="00B829A6">
        <w:rPr>
          <w:color w:val="000000"/>
        </w:rPr>
        <w:t xml:space="preserve">.  </w:t>
      </w:r>
      <w:r w:rsidR="00B41BAA">
        <w:rPr>
          <w:color w:val="000000"/>
        </w:rPr>
        <w:t xml:space="preserve">Symptoms improved with physical therapy. </w:t>
      </w:r>
      <w:r w:rsidR="00C26634">
        <w:rPr>
          <w:color w:val="000000"/>
        </w:rPr>
        <w:t xml:space="preserve"> </w:t>
      </w:r>
      <w:r w:rsidR="00B41BAA">
        <w:rPr>
          <w:color w:val="000000"/>
        </w:rPr>
        <w:t>Following a mobilization in 2003, the CI r</w:t>
      </w:r>
      <w:r w:rsidR="00C26634">
        <w:rPr>
          <w:color w:val="000000"/>
        </w:rPr>
        <w:t>eported a “pop” during sit-ups.</w:t>
      </w:r>
      <w:r w:rsidR="00B41BAA">
        <w:rPr>
          <w:color w:val="000000"/>
        </w:rPr>
        <w:t xml:space="preserve"> </w:t>
      </w:r>
      <w:r w:rsidR="00C26634">
        <w:rPr>
          <w:color w:val="000000"/>
        </w:rPr>
        <w:t xml:space="preserve"> </w:t>
      </w:r>
      <w:r w:rsidR="00B41BAA">
        <w:rPr>
          <w:color w:val="000000"/>
        </w:rPr>
        <w:t xml:space="preserve">At this time there were radiographic findings of </w:t>
      </w:r>
      <w:proofErr w:type="spellStart"/>
      <w:r w:rsidR="00B41BAA">
        <w:rPr>
          <w:color w:val="000000"/>
        </w:rPr>
        <w:t>spondylolisthesis</w:t>
      </w:r>
      <w:proofErr w:type="spellEnd"/>
      <w:r w:rsidR="00B41BAA">
        <w:rPr>
          <w:color w:val="000000"/>
        </w:rPr>
        <w:t xml:space="preserve"> (vertebral slippage as a consequence of </w:t>
      </w:r>
      <w:proofErr w:type="spellStart"/>
      <w:r w:rsidR="00B41BAA">
        <w:rPr>
          <w:color w:val="000000"/>
        </w:rPr>
        <w:t>spondylosis</w:t>
      </w:r>
      <w:proofErr w:type="spellEnd"/>
      <w:r w:rsidR="00B41BAA">
        <w:rPr>
          <w:color w:val="000000"/>
        </w:rPr>
        <w:t>)</w:t>
      </w:r>
      <w:r w:rsidR="00E43B2D">
        <w:rPr>
          <w:color w:val="000000"/>
        </w:rPr>
        <w:t xml:space="preserve"> with congenital bilateral pars defect at L5 (</w:t>
      </w:r>
      <w:r w:rsidR="006B64F5">
        <w:rPr>
          <w:color w:val="000000"/>
        </w:rPr>
        <w:t xml:space="preserve">posing a </w:t>
      </w:r>
      <w:r w:rsidR="00E43B2D">
        <w:rPr>
          <w:color w:val="000000"/>
        </w:rPr>
        <w:t xml:space="preserve">predisposition to </w:t>
      </w:r>
      <w:proofErr w:type="spellStart"/>
      <w:r w:rsidR="00E43B2D">
        <w:rPr>
          <w:color w:val="000000"/>
        </w:rPr>
        <w:t>spondylolisthesis</w:t>
      </w:r>
      <w:proofErr w:type="spellEnd"/>
      <w:r w:rsidR="00E43B2D">
        <w:rPr>
          <w:color w:val="000000"/>
        </w:rPr>
        <w:t xml:space="preserve">). </w:t>
      </w:r>
      <w:r w:rsidR="00C26634">
        <w:rPr>
          <w:color w:val="000000"/>
        </w:rPr>
        <w:t xml:space="preserve">  </w:t>
      </w:r>
      <w:r w:rsidR="00E43B2D">
        <w:rPr>
          <w:color w:val="000000"/>
        </w:rPr>
        <w:t>A</w:t>
      </w:r>
      <w:r w:rsidR="002924DC">
        <w:rPr>
          <w:color w:val="000000"/>
        </w:rPr>
        <w:t>lthough</w:t>
      </w:r>
      <w:r w:rsidR="00B41BAA">
        <w:rPr>
          <w:color w:val="000000"/>
        </w:rPr>
        <w:t xml:space="preserve"> </w:t>
      </w:r>
      <w:r w:rsidR="002924DC">
        <w:rPr>
          <w:color w:val="000000"/>
        </w:rPr>
        <w:t xml:space="preserve">no neurologic deficits were present, </w:t>
      </w:r>
      <w:r w:rsidR="00B41BAA">
        <w:rPr>
          <w:color w:val="000000"/>
        </w:rPr>
        <w:t xml:space="preserve">symptoms progressed </w:t>
      </w:r>
      <w:r w:rsidR="002924DC">
        <w:rPr>
          <w:color w:val="000000"/>
        </w:rPr>
        <w:t xml:space="preserve">until surgery was recommended.  In October, 2003 the CI underwent a </w:t>
      </w:r>
      <w:proofErr w:type="spellStart"/>
      <w:r w:rsidR="002924DC">
        <w:rPr>
          <w:color w:val="000000"/>
        </w:rPr>
        <w:t>transforaminal</w:t>
      </w:r>
      <w:proofErr w:type="spellEnd"/>
      <w:r w:rsidR="002924DC">
        <w:rPr>
          <w:color w:val="000000"/>
        </w:rPr>
        <w:t xml:space="preserve"> lumbar </w:t>
      </w:r>
      <w:proofErr w:type="spellStart"/>
      <w:r w:rsidR="002924DC">
        <w:rPr>
          <w:color w:val="000000"/>
        </w:rPr>
        <w:t>interbody</w:t>
      </w:r>
      <w:proofErr w:type="spellEnd"/>
      <w:r w:rsidR="002924DC">
        <w:rPr>
          <w:color w:val="000000"/>
        </w:rPr>
        <w:t xml:space="preserve"> fusion (TLIF) with rod fixation at L5/S1.  Post-operative notes reflect an uncomplicated recovery, but pain-limited restriction of motion persisted and </w:t>
      </w:r>
      <w:r w:rsidR="0031620F">
        <w:rPr>
          <w:color w:val="000000"/>
        </w:rPr>
        <w:t>satisfactory rehabilitation could not be achieved</w:t>
      </w:r>
      <w:r w:rsidR="002924DC">
        <w:rPr>
          <w:color w:val="000000"/>
        </w:rPr>
        <w:t xml:space="preserve">.  </w:t>
      </w:r>
      <w:r w:rsidR="0069687C" w:rsidRPr="00B652C3">
        <w:rPr>
          <w:color w:val="000000"/>
          <w:szCs w:val="24"/>
        </w:rPr>
        <w:t xml:space="preserve">There were </w:t>
      </w:r>
      <w:r w:rsidR="00986395">
        <w:rPr>
          <w:color w:val="000000"/>
          <w:szCs w:val="24"/>
        </w:rPr>
        <w:t>two goniometric range-of-</w:t>
      </w:r>
      <w:r w:rsidR="0069687C" w:rsidRPr="00B652C3">
        <w:rPr>
          <w:color w:val="000000"/>
          <w:szCs w:val="24"/>
        </w:rPr>
        <w:t>motion (ROM) evaluations in evidence, with documentation of additional ratable criteria, which the Board weighed in arriving at its rating recommendation; as summarized in the chart below.</w:t>
      </w:r>
    </w:p>
    <w:p w:rsidR="0052794B" w:rsidRPr="0052794B" w:rsidRDefault="0052794B" w:rsidP="0052794B">
      <w:pPr>
        <w:tabs>
          <w:tab w:val="left" w:pos="288"/>
          <w:tab w:val="left" w:pos="4752"/>
        </w:tabs>
        <w:jc w:val="left"/>
        <w:rPr>
          <w:rFonts w:cs="Times New Roman"/>
          <w:color w:val="auto"/>
        </w:rPr>
      </w:pPr>
    </w:p>
    <w:tbl>
      <w:tblPr>
        <w:tblW w:w="6917" w:type="dxa"/>
        <w:jc w:val="center"/>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7"/>
        <w:gridCol w:w="2160"/>
        <w:gridCol w:w="2490"/>
      </w:tblGrid>
      <w:tr w:rsidR="0052794B" w:rsidRPr="0052794B" w:rsidTr="0031620F">
        <w:trPr>
          <w:jc w:val="center"/>
        </w:trPr>
        <w:tc>
          <w:tcPr>
            <w:tcW w:w="2267" w:type="dxa"/>
            <w:shd w:val="clear" w:color="auto" w:fill="D9D9D9"/>
            <w:vAlign w:val="center"/>
          </w:tcPr>
          <w:p w:rsidR="0052794B" w:rsidRPr="0052794B" w:rsidRDefault="0052794B" w:rsidP="0052794B">
            <w:pPr>
              <w:contextualSpacing/>
              <w:rPr>
                <w:rFonts w:cs="Times New Roman"/>
                <w:color w:val="auto"/>
                <w:sz w:val="22"/>
              </w:rPr>
            </w:pPr>
            <w:proofErr w:type="spellStart"/>
            <w:r w:rsidRPr="0052794B">
              <w:rPr>
                <w:rFonts w:cs="Times New Roman"/>
                <w:color w:val="auto"/>
                <w:sz w:val="22"/>
              </w:rPr>
              <w:t>Thoracolumbar</w:t>
            </w:r>
            <w:proofErr w:type="spellEnd"/>
            <w:r w:rsidRPr="0052794B">
              <w:rPr>
                <w:rFonts w:cs="Times New Roman"/>
                <w:color w:val="auto"/>
                <w:sz w:val="22"/>
              </w:rPr>
              <w:t xml:space="preserve"> ROM</w:t>
            </w:r>
          </w:p>
        </w:tc>
        <w:tc>
          <w:tcPr>
            <w:tcW w:w="2160" w:type="dxa"/>
            <w:shd w:val="clear" w:color="auto" w:fill="D9D9D9"/>
            <w:vAlign w:val="center"/>
          </w:tcPr>
          <w:p w:rsidR="0052794B" w:rsidRPr="0052794B" w:rsidRDefault="0052794B" w:rsidP="0052794B">
            <w:pPr>
              <w:contextualSpacing/>
              <w:rPr>
                <w:rFonts w:cs="Times New Roman"/>
                <w:color w:val="auto"/>
                <w:sz w:val="22"/>
              </w:rPr>
            </w:pPr>
            <w:r>
              <w:rPr>
                <w:rFonts w:cs="Times New Roman"/>
                <w:color w:val="auto"/>
                <w:sz w:val="22"/>
              </w:rPr>
              <w:t>MEB ~2</w:t>
            </w:r>
            <w:r w:rsidRPr="0052794B">
              <w:rPr>
                <w:rFonts w:cs="Times New Roman"/>
                <w:color w:val="auto"/>
                <w:sz w:val="22"/>
              </w:rPr>
              <w:t xml:space="preserve"> Mo. Pre-Sep</w:t>
            </w:r>
          </w:p>
        </w:tc>
        <w:tc>
          <w:tcPr>
            <w:tcW w:w="2490" w:type="dxa"/>
            <w:shd w:val="clear" w:color="auto" w:fill="D9D9D9"/>
            <w:vAlign w:val="center"/>
          </w:tcPr>
          <w:p w:rsidR="0052794B" w:rsidRPr="0052794B" w:rsidRDefault="0052794B" w:rsidP="0052794B">
            <w:pPr>
              <w:contextualSpacing/>
              <w:rPr>
                <w:rFonts w:cs="Times New Roman"/>
                <w:color w:val="auto"/>
                <w:sz w:val="22"/>
              </w:rPr>
            </w:pPr>
            <w:r w:rsidRPr="0052794B">
              <w:rPr>
                <w:rFonts w:cs="Times New Roman"/>
                <w:color w:val="auto"/>
                <w:sz w:val="22"/>
              </w:rPr>
              <w:t>VA C&amp;P ~</w:t>
            </w:r>
            <w:r>
              <w:rPr>
                <w:rFonts w:cs="Times New Roman"/>
                <w:color w:val="auto"/>
                <w:sz w:val="22"/>
              </w:rPr>
              <w:t>2 Mo. Post</w:t>
            </w:r>
            <w:r w:rsidRPr="0052794B">
              <w:rPr>
                <w:rFonts w:cs="Times New Roman"/>
                <w:color w:val="auto"/>
                <w:sz w:val="22"/>
              </w:rPr>
              <w:t>-Sep</w:t>
            </w:r>
          </w:p>
        </w:tc>
      </w:tr>
      <w:tr w:rsidR="0052794B" w:rsidRPr="0052794B" w:rsidTr="0031620F">
        <w:trPr>
          <w:jc w:val="center"/>
        </w:trPr>
        <w:tc>
          <w:tcPr>
            <w:tcW w:w="2267" w:type="dxa"/>
            <w:vAlign w:val="center"/>
          </w:tcPr>
          <w:p w:rsidR="0052794B" w:rsidRPr="0052794B" w:rsidRDefault="0052794B" w:rsidP="0052794B">
            <w:pPr>
              <w:contextualSpacing/>
              <w:rPr>
                <w:rFonts w:cs="Times New Roman"/>
                <w:color w:val="auto"/>
                <w:sz w:val="22"/>
              </w:rPr>
            </w:pPr>
            <w:r w:rsidRPr="0052794B">
              <w:rPr>
                <w:rFonts w:cs="Times New Roman"/>
                <w:color w:val="auto"/>
                <w:sz w:val="22"/>
              </w:rPr>
              <w:t>Flexion (90⁰ Normal)</w:t>
            </w:r>
          </w:p>
        </w:tc>
        <w:tc>
          <w:tcPr>
            <w:tcW w:w="2160" w:type="dxa"/>
            <w:vAlign w:val="center"/>
          </w:tcPr>
          <w:p w:rsidR="0052794B" w:rsidRPr="0052794B" w:rsidRDefault="00912AC5" w:rsidP="0052794B">
            <w:pPr>
              <w:contextualSpacing/>
              <w:rPr>
                <w:rFonts w:cs="Times New Roman"/>
                <w:color w:val="auto"/>
                <w:sz w:val="22"/>
              </w:rPr>
            </w:pPr>
            <w:r>
              <w:rPr>
                <w:rFonts w:cs="Times New Roman"/>
                <w:color w:val="auto"/>
                <w:sz w:val="22"/>
              </w:rPr>
              <w:t>35</w:t>
            </w:r>
            <w:r w:rsidR="0052794B" w:rsidRPr="0052794B">
              <w:rPr>
                <w:rFonts w:cs="Times New Roman"/>
                <w:color w:val="auto"/>
                <w:sz w:val="22"/>
              </w:rPr>
              <w:t>⁰</w:t>
            </w:r>
          </w:p>
        </w:tc>
        <w:tc>
          <w:tcPr>
            <w:tcW w:w="2490" w:type="dxa"/>
            <w:vAlign w:val="center"/>
          </w:tcPr>
          <w:p w:rsidR="0052794B" w:rsidRPr="0052794B" w:rsidRDefault="0052794B" w:rsidP="0052794B">
            <w:pPr>
              <w:contextualSpacing/>
              <w:rPr>
                <w:rFonts w:cs="Times New Roman"/>
                <w:color w:val="auto"/>
                <w:sz w:val="22"/>
              </w:rPr>
            </w:pPr>
            <w:r w:rsidRPr="0052794B">
              <w:rPr>
                <w:rFonts w:cs="Times New Roman"/>
                <w:color w:val="auto"/>
                <w:sz w:val="22"/>
              </w:rPr>
              <w:t>60</w:t>
            </w:r>
            <w:r w:rsidRPr="0052794B">
              <w:rPr>
                <w:color w:val="auto"/>
                <w:sz w:val="22"/>
              </w:rPr>
              <w:t>⁰</w:t>
            </w:r>
          </w:p>
        </w:tc>
      </w:tr>
      <w:tr w:rsidR="0052794B" w:rsidRPr="0052794B" w:rsidTr="0031620F">
        <w:trPr>
          <w:jc w:val="center"/>
        </w:trPr>
        <w:tc>
          <w:tcPr>
            <w:tcW w:w="2267" w:type="dxa"/>
            <w:vAlign w:val="center"/>
          </w:tcPr>
          <w:p w:rsidR="0052794B" w:rsidRPr="0052794B" w:rsidRDefault="0052794B" w:rsidP="0052794B">
            <w:pPr>
              <w:contextualSpacing/>
              <w:rPr>
                <w:rFonts w:cs="Times New Roman"/>
                <w:color w:val="auto"/>
                <w:sz w:val="22"/>
              </w:rPr>
            </w:pPr>
            <w:r w:rsidRPr="0052794B">
              <w:rPr>
                <w:rFonts w:cs="Times New Roman"/>
                <w:color w:val="auto"/>
                <w:sz w:val="22"/>
              </w:rPr>
              <w:t>Combined (240⁰)</w:t>
            </w:r>
          </w:p>
        </w:tc>
        <w:tc>
          <w:tcPr>
            <w:tcW w:w="2160" w:type="dxa"/>
            <w:vAlign w:val="center"/>
          </w:tcPr>
          <w:p w:rsidR="0052794B" w:rsidRPr="0052794B" w:rsidRDefault="00912AC5" w:rsidP="0052794B">
            <w:pPr>
              <w:contextualSpacing/>
              <w:rPr>
                <w:rFonts w:cs="Times New Roman"/>
                <w:color w:val="auto"/>
                <w:sz w:val="22"/>
              </w:rPr>
            </w:pPr>
            <w:r>
              <w:rPr>
                <w:rFonts w:cs="Times New Roman"/>
                <w:color w:val="auto"/>
                <w:sz w:val="22"/>
              </w:rPr>
              <w:t>20</w:t>
            </w:r>
            <w:r w:rsidR="0052794B" w:rsidRPr="0052794B">
              <w:rPr>
                <w:rFonts w:cs="Times New Roman"/>
                <w:color w:val="auto"/>
                <w:sz w:val="22"/>
              </w:rPr>
              <w:t>5⁰</w:t>
            </w:r>
          </w:p>
        </w:tc>
        <w:tc>
          <w:tcPr>
            <w:tcW w:w="2490" w:type="dxa"/>
            <w:vAlign w:val="center"/>
          </w:tcPr>
          <w:p w:rsidR="0052794B" w:rsidRPr="0052794B" w:rsidRDefault="0052794B" w:rsidP="0052794B">
            <w:pPr>
              <w:contextualSpacing/>
              <w:rPr>
                <w:rFonts w:cs="Times New Roman"/>
                <w:color w:val="auto"/>
                <w:sz w:val="22"/>
              </w:rPr>
            </w:pPr>
            <w:r>
              <w:rPr>
                <w:rFonts w:cs="Times New Roman"/>
                <w:color w:val="auto"/>
                <w:sz w:val="22"/>
              </w:rPr>
              <w:t>1</w:t>
            </w:r>
            <w:r w:rsidR="00912AC5">
              <w:rPr>
                <w:rFonts w:cs="Times New Roman"/>
                <w:color w:val="auto"/>
                <w:sz w:val="22"/>
              </w:rPr>
              <w:t>85</w:t>
            </w:r>
            <w:r w:rsidRPr="0052794B">
              <w:rPr>
                <w:rFonts w:cs="Times New Roman"/>
                <w:color w:val="auto"/>
                <w:sz w:val="22"/>
              </w:rPr>
              <w:t>⁰</w:t>
            </w:r>
          </w:p>
        </w:tc>
      </w:tr>
      <w:tr w:rsidR="0052794B" w:rsidRPr="0052794B" w:rsidTr="0031620F">
        <w:trPr>
          <w:trHeight w:val="58"/>
          <w:jc w:val="center"/>
        </w:trPr>
        <w:tc>
          <w:tcPr>
            <w:tcW w:w="2267" w:type="dxa"/>
            <w:vAlign w:val="center"/>
          </w:tcPr>
          <w:p w:rsidR="0052794B" w:rsidRPr="0052794B" w:rsidRDefault="0052794B" w:rsidP="0052794B">
            <w:pPr>
              <w:tabs>
                <w:tab w:val="left" w:pos="288"/>
                <w:tab w:val="left" w:pos="4752"/>
              </w:tabs>
              <w:rPr>
                <w:rFonts w:cs="Times New Roman"/>
                <w:color w:val="auto"/>
                <w:sz w:val="22"/>
              </w:rPr>
            </w:pPr>
            <w:r w:rsidRPr="0052794B">
              <w:rPr>
                <w:rFonts w:cs="Times New Roman"/>
                <w:color w:val="auto"/>
                <w:sz w:val="22"/>
              </w:rPr>
              <w:t>Comments</w:t>
            </w:r>
          </w:p>
        </w:tc>
        <w:tc>
          <w:tcPr>
            <w:tcW w:w="2160" w:type="dxa"/>
            <w:vAlign w:val="center"/>
          </w:tcPr>
          <w:p w:rsidR="0052794B" w:rsidRPr="0052794B" w:rsidRDefault="00E43B2D" w:rsidP="0052794B">
            <w:pPr>
              <w:tabs>
                <w:tab w:val="left" w:pos="288"/>
                <w:tab w:val="left" w:pos="4752"/>
              </w:tabs>
              <w:rPr>
                <w:rFonts w:cs="Times New Roman"/>
                <w:color w:val="auto"/>
                <w:sz w:val="22"/>
              </w:rPr>
            </w:pPr>
            <w:r>
              <w:rPr>
                <w:rFonts w:cs="Times New Roman"/>
                <w:color w:val="auto"/>
                <w:sz w:val="22"/>
              </w:rPr>
              <w:t>Slight</w:t>
            </w:r>
            <w:r w:rsidR="00912AC5">
              <w:rPr>
                <w:rFonts w:cs="Times New Roman"/>
                <w:color w:val="auto"/>
                <w:sz w:val="22"/>
              </w:rPr>
              <w:t xml:space="preserve"> </w:t>
            </w:r>
            <w:proofErr w:type="spellStart"/>
            <w:r w:rsidR="00912AC5">
              <w:rPr>
                <w:rFonts w:cs="Times New Roman"/>
                <w:color w:val="auto"/>
                <w:sz w:val="22"/>
              </w:rPr>
              <w:t>antalgic</w:t>
            </w:r>
            <w:proofErr w:type="spellEnd"/>
            <w:r w:rsidR="00912AC5">
              <w:rPr>
                <w:rFonts w:cs="Times New Roman"/>
                <w:color w:val="auto"/>
                <w:sz w:val="22"/>
              </w:rPr>
              <w:t xml:space="preserve"> gait</w:t>
            </w:r>
            <w:r w:rsidR="0052794B" w:rsidRPr="0052794B">
              <w:rPr>
                <w:rFonts w:cs="Times New Roman"/>
                <w:color w:val="auto"/>
                <w:sz w:val="22"/>
              </w:rPr>
              <w:t>.</w:t>
            </w:r>
          </w:p>
        </w:tc>
        <w:tc>
          <w:tcPr>
            <w:tcW w:w="2490" w:type="dxa"/>
            <w:vAlign w:val="center"/>
          </w:tcPr>
          <w:p w:rsidR="0052794B" w:rsidRPr="0052794B" w:rsidRDefault="00912AC5" w:rsidP="0052794B">
            <w:pPr>
              <w:tabs>
                <w:tab w:val="left" w:pos="288"/>
                <w:tab w:val="left" w:pos="4752"/>
              </w:tabs>
              <w:rPr>
                <w:rFonts w:cs="Times New Roman"/>
                <w:color w:val="auto"/>
                <w:sz w:val="22"/>
              </w:rPr>
            </w:pPr>
            <w:r>
              <w:rPr>
                <w:color w:val="auto"/>
                <w:sz w:val="22"/>
              </w:rPr>
              <w:t>Painful motion</w:t>
            </w:r>
            <w:r w:rsidR="0052794B" w:rsidRPr="0052794B">
              <w:rPr>
                <w:rFonts w:cs="Times New Roman"/>
                <w:color w:val="auto"/>
                <w:sz w:val="22"/>
              </w:rPr>
              <w:t>.</w:t>
            </w:r>
          </w:p>
        </w:tc>
      </w:tr>
      <w:tr w:rsidR="0052794B" w:rsidRPr="0052794B" w:rsidTr="0031620F">
        <w:trPr>
          <w:trHeight w:val="70"/>
          <w:jc w:val="center"/>
        </w:trPr>
        <w:tc>
          <w:tcPr>
            <w:tcW w:w="2267" w:type="dxa"/>
            <w:vAlign w:val="center"/>
          </w:tcPr>
          <w:p w:rsidR="0052794B" w:rsidRPr="0052794B" w:rsidRDefault="0052794B" w:rsidP="0052794B">
            <w:pPr>
              <w:tabs>
                <w:tab w:val="left" w:pos="288"/>
                <w:tab w:val="left" w:pos="4752"/>
              </w:tabs>
              <w:rPr>
                <w:rFonts w:cs="Times New Roman"/>
                <w:color w:val="auto"/>
                <w:sz w:val="22"/>
              </w:rPr>
            </w:pPr>
            <w:r w:rsidRPr="0052794B">
              <w:rPr>
                <w:rFonts w:cs="Times New Roman"/>
                <w:color w:val="auto"/>
                <w:sz w:val="22"/>
              </w:rPr>
              <w:t>§4.71a Rating</w:t>
            </w:r>
          </w:p>
        </w:tc>
        <w:tc>
          <w:tcPr>
            <w:tcW w:w="2160" w:type="dxa"/>
            <w:vAlign w:val="center"/>
          </w:tcPr>
          <w:p w:rsidR="0052794B" w:rsidRPr="0052794B" w:rsidRDefault="0052794B" w:rsidP="0052794B">
            <w:pPr>
              <w:tabs>
                <w:tab w:val="left" w:pos="288"/>
                <w:tab w:val="left" w:pos="4752"/>
              </w:tabs>
              <w:rPr>
                <w:rFonts w:cs="Times New Roman"/>
                <w:color w:val="auto"/>
                <w:sz w:val="22"/>
              </w:rPr>
            </w:pPr>
            <w:r w:rsidRPr="0052794B">
              <w:rPr>
                <w:rFonts w:cs="Times New Roman"/>
                <w:color w:val="auto"/>
                <w:sz w:val="22"/>
              </w:rPr>
              <w:t>20%</w:t>
            </w:r>
          </w:p>
        </w:tc>
        <w:tc>
          <w:tcPr>
            <w:tcW w:w="2490" w:type="dxa"/>
            <w:vAlign w:val="center"/>
          </w:tcPr>
          <w:p w:rsidR="0052794B" w:rsidRPr="0052794B" w:rsidRDefault="0052794B" w:rsidP="0052794B">
            <w:pPr>
              <w:tabs>
                <w:tab w:val="left" w:pos="288"/>
                <w:tab w:val="left" w:pos="4752"/>
              </w:tabs>
              <w:rPr>
                <w:rFonts w:cs="Times New Roman"/>
                <w:color w:val="auto"/>
                <w:sz w:val="22"/>
              </w:rPr>
            </w:pPr>
            <w:r w:rsidRPr="0052794B">
              <w:rPr>
                <w:rFonts w:cs="Times New Roman"/>
                <w:color w:val="auto"/>
                <w:sz w:val="22"/>
              </w:rPr>
              <w:t>20%</w:t>
            </w:r>
          </w:p>
        </w:tc>
      </w:tr>
    </w:tbl>
    <w:p w:rsidR="0052794B" w:rsidRPr="0052794B" w:rsidRDefault="0052794B" w:rsidP="0052794B">
      <w:pPr>
        <w:jc w:val="left"/>
        <w:rPr>
          <w:rFonts w:eastAsia="Calibri" w:cs="Times New Roman"/>
          <w:color w:val="auto"/>
          <w:sz w:val="22"/>
          <w:szCs w:val="22"/>
        </w:rPr>
      </w:pPr>
    </w:p>
    <w:p w:rsidR="00CF0280" w:rsidRDefault="00F503EC" w:rsidP="00CF0280">
      <w:pPr>
        <w:jc w:val="both"/>
        <w:rPr>
          <w:color w:val="000000"/>
          <w:szCs w:val="24"/>
        </w:rPr>
      </w:pPr>
      <w:r>
        <w:rPr>
          <w:color w:val="000000"/>
          <w:szCs w:val="24"/>
        </w:rPr>
        <w:t>T</w:t>
      </w:r>
      <w:r w:rsidR="00E43B2D">
        <w:rPr>
          <w:color w:val="000000"/>
          <w:szCs w:val="24"/>
        </w:rPr>
        <w:t>he MEB exam</w:t>
      </w:r>
      <w:r>
        <w:rPr>
          <w:color w:val="000000"/>
          <w:szCs w:val="24"/>
        </w:rPr>
        <w:t>iner</w:t>
      </w:r>
      <w:r w:rsidR="00E43B2D">
        <w:rPr>
          <w:color w:val="000000"/>
          <w:szCs w:val="24"/>
        </w:rPr>
        <w:t xml:space="preserve"> </w:t>
      </w:r>
      <w:r>
        <w:rPr>
          <w:color w:val="000000"/>
          <w:szCs w:val="24"/>
        </w:rPr>
        <w:t xml:space="preserve">confirmed the history </w:t>
      </w:r>
      <w:r w:rsidR="0031620F">
        <w:rPr>
          <w:color w:val="000000"/>
          <w:szCs w:val="24"/>
        </w:rPr>
        <w:t>just elaborated</w:t>
      </w:r>
      <w:r>
        <w:rPr>
          <w:color w:val="000000"/>
          <w:szCs w:val="24"/>
        </w:rPr>
        <w:t xml:space="preserve"> and </w:t>
      </w:r>
      <w:r w:rsidR="00E43B2D">
        <w:rPr>
          <w:color w:val="000000"/>
          <w:szCs w:val="24"/>
        </w:rPr>
        <w:t xml:space="preserve">reported </w:t>
      </w:r>
      <w:r>
        <w:rPr>
          <w:color w:val="000000"/>
          <w:szCs w:val="24"/>
        </w:rPr>
        <w:t xml:space="preserve">resolution of </w:t>
      </w:r>
      <w:proofErr w:type="spellStart"/>
      <w:r>
        <w:rPr>
          <w:color w:val="000000"/>
          <w:szCs w:val="24"/>
        </w:rPr>
        <w:t>radicular</w:t>
      </w:r>
      <w:proofErr w:type="spellEnd"/>
      <w:r>
        <w:rPr>
          <w:color w:val="000000"/>
          <w:szCs w:val="24"/>
        </w:rPr>
        <w:t xml:space="preserve"> symptoms with surgery</w:t>
      </w:r>
      <w:r w:rsidR="00685ED3">
        <w:rPr>
          <w:color w:val="000000"/>
          <w:szCs w:val="24"/>
        </w:rPr>
        <w:t>,</w:t>
      </w:r>
      <w:r w:rsidR="00986395">
        <w:rPr>
          <w:color w:val="000000"/>
          <w:szCs w:val="24"/>
        </w:rPr>
        <w:t xml:space="preserve"> and “expected” pain rated 4/</w:t>
      </w:r>
      <w:r>
        <w:rPr>
          <w:color w:val="000000"/>
          <w:szCs w:val="24"/>
        </w:rPr>
        <w:t>10.</w:t>
      </w:r>
      <w:r w:rsidR="00CF0280">
        <w:rPr>
          <w:color w:val="000000"/>
          <w:szCs w:val="24"/>
        </w:rPr>
        <w:t xml:space="preserve">  </w:t>
      </w:r>
      <w:r>
        <w:rPr>
          <w:color w:val="000000"/>
          <w:szCs w:val="24"/>
        </w:rPr>
        <w:t>X-rays showed appropriate hardware alignment with no fracture or other acute findings.  Tenderness around the operative site and normal neurologic findings were documented on the</w:t>
      </w:r>
      <w:r w:rsidR="00CF0280">
        <w:rPr>
          <w:color w:val="000000"/>
          <w:szCs w:val="24"/>
        </w:rPr>
        <w:t xml:space="preserve"> MEB physical exam</w:t>
      </w:r>
      <w:r>
        <w:rPr>
          <w:color w:val="000000"/>
          <w:szCs w:val="24"/>
        </w:rPr>
        <w:t>, along with the ROMs charted above.</w:t>
      </w:r>
      <w:r w:rsidR="00CF0280">
        <w:rPr>
          <w:color w:val="000000"/>
          <w:szCs w:val="24"/>
        </w:rPr>
        <w:t xml:space="preserve"> </w:t>
      </w:r>
      <w:r>
        <w:rPr>
          <w:color w:val="000000"/>
          <w:szCs w:val="24"/>
        </w:rPr>
        <w:t xml:space="preserve"> </w:t>
      </w:r>
      <w:r w:rsidR="00CF0280">
        <w:rPr>
          <w:color w:val="000000"/>
          <w:szCs w:val="24"/>
        </w:rPr>
        <w:t xml:space="preserve">At </w:t>
      </w:r>
      <w:r w:rsidR="00CF0280" w:rsidRPr="00F503EC">
        <w:rPr>
          <w:color w:val="000000"/>
          <w:szCs w:val="24"/>
        </w:rPr>
        <w:t xml:space="preserve">the </w:t>
      </w:r>
      <w:r w:rsidR="00CF0280">
        <w:rPr>
          <w:color w:val="000000"/>
          <w:szCs w:val="24"/>
        </w:rPr>
        <w:t xml:space="preserve">VA </w:t>
      </w:r>
      <w:r w:rsidR="00CF0280" w:rsidRPr="00CF0280">
        <w:rPr>
          <w:color w:val="000000"/>
          <w:szCs w:val="24"/>
        </w:rPr>
        <w:t>Compensation and Pension (C&amp;P)</w:t>
      </w:r>
      <w:r w:rsidR="00CF0280">
        <w:rPr>
          <w:color w:val="000000"/>
          <w:szCs w:val="24"/>
        </w:rPr>
        <w:t xml:space="preserve"> exam, </w:t>
      </w:r>
      <w:r w:rsidR="00986395">
        <w:rPr>
          <w:color w:val="000000"/>
          <w:szCs w:val="24"/>
        </w:rPr>
        <w:t xml:space="preserve">after separation, </w:t>
      </w:r>
      <w:r>
        <w:rPr>
          <w:color w:val="000000"/>
          <w:szCs w:val="24"/>
        </w:rPr>
        <w:t xml:space="preserve">a history of “two fractures” and a back injury in Kuwait was </w:t>
      </w:r>
      <w:r w:rsidR="0031620F">
        <w:rPr>
          <w:color w:val="000000"/>
          <w:szCs w:val="24"/>
        </w:rPr>
        <w:t>recorded</w:t>
      </w:r>
      <w:r>
        <w:rPr>
          <w:color w:val="000000"/>
          <w:szCs w:val="24"/>
        </w:rPr>
        <w:t xml:space="preserve">; although, only the course of events detailed </w:t>
      </w:r>
      <w:r w:rsidR="00685ED3">
        <w:rPr>
          <w:color w:val="000000"/>
          <w:szCs w:val="24"/>
        </w:rPr>
        <w:t xml:space="preserve">above </w:t>
      </w:r>
      <w:r w:rsidR="00D03F6B">
        <w:rPr>
          <w:color w:val="000000"/>
          <w:szCs w:val="24"/>
        </w:rPr>
        <w:t>is</w:t>
      </w:r>
      <w:r>
        <w:rPr>
          <w:color w:val="000000"/>
          <w:szCs w:val="24"/>
        </w:rPr>
        <w:t xml:space="preserve"> corroborated by </w:t>
      </w:r>
      <w:r w:rsidR="00D03F6B">
        <w:rPr>
          <w:color w:val="000000"/>
          <w:szCs w:val="24"/>
        </w:rPr>
        <w:t>the</w:t>
      </w:r>
      <w:r w:rsidR="00685ED3">
        <w:rPr>
          <w:color w:val="000000"/>
          <w:szCs w:val="24"/>
        </w:rPr>
        <w:t xml:space="preserve"> </w:t>
      </w:r>
      <w:r w:rsidR="00986395">
        <w:rPr>
          <w:color w:val="000000"/>
          <w:szCs w:val="24"/>
        </w:rPr>
        <w:t>s</w:t>
      </w:r>
      <w:r w:rsidR="00D03F6B">
        <w:rPr>
          <w:color w:val="000000"/>
          <w:szCs w:val="24"/>
        </w:rPr>
        <w:t>ervice file in evidence</w:t>
      </w:r>
      <w:r w:rsidR="00685ED3">
        <w:rPr>
          <w:color w:val="000000"/>
          <w:szCs w:val="24"/>
        </w:rPr>
        <w:t>.  The VA physical exam documented normal posture and gait without assistive devices, normal neurologic findings, and the ROMs charted above.  The VA examiner also stated, “</w:t>
      </w:r>
      <w:proofErr w:type="gramStart"/>
      <w:r w:rsidR="00986395">
        <w:rPr>
          <w:color w:val="000000"/>
          <w:szCs w:val="24"/>
        </w:rPr>
        <w:t>h</w:t>
      </w:r>
      <w:r w:rsidR="00685ED3" w:rsidRPr="00685ED3">
        <w:rPr>
          <w:color w:val="000000"/>
          <w:szCs w:val="24"/>
        </w:rPr>
        <w:t>e</w:t>
      </w:r>
      <w:proofErr w:type="gramEnd"/>
      <w:r w:rsidR="00685ED3" w:rsidRPr="00685ED3">
        <w:rPr>
          <w:color w:val="000000"/>
          <w:szCs w:val="24"/>
        </w:rPr>
        <w:t xml:space="preserve"> complained of</w:t>
      </w:r>
      <w:r w:rsidR="00685ED3">
        <w:rPr>
          <w:color w:val="000000"/>
          <w:szCs w:val="24"/>
        </w:rPr>
        <w:t xml:space="preserve"> </w:t>
      </w:r>
      <w:r w:rsidR="00685ED3" w:rsidRPr="00685ED3">
        <w:rPr>
          <w:color w:val="000000"/>
          <w:szCs w:val="24"/>
        </w:rPr>
        <w:t xml:space="preserve">being tight and sore after his limited </w:t>
      </w:r>
      <w:r w:rsidR="00986395">
        <w:rPr>
          <w:color w:val="000000"/>
          <w:szCs w:val="24"/>
        </w:rPr>
        <w:t>ROM</w:t>
      </w:r>
      <w:r w:rsidR="00685ED3" w:rsidRPr="00685ED3">
        <w:rPr>
          <w:color w:val="000000"/>
          <w:szCs w:val="24"/>
        </w:rPr>
        <w:t xml:space="preserve"> on this</w:t>
      </w:r>
      <w:r w:rsidR="00685ED3">
        <w:rPr>
          <w:color w:val="000000"/>
          <w:szCs w:val="24"/>
        </w:rPr>
        <w:t xml:space="preserve"> </w:t>
      </w:r>
      <w:r w:rsidR="00685ED3" w:rsidRPr="00685ED3">
        <w:rPr>
          <w:color w:val="000000"/>
          <w:szCs w:val="24"/>
        </w:rPr>
        <w:t>e</w:t>
      </w:r>
      <w:r w:rsidR="00685ED3">
        <w:rPr>
          <w:color w:val="000000"/>
          <w:szCs w:val="24"/>
        </w:rPr>
        <w:t>xamination so no additional repe</w:t>
      </w:r>
      <w:r w:rsidR="00685ED3" w:rsidRPr="00685ED3">
        <w:rPr>
          <w:color w:val="000000"/>
          <w:szCs w:val="24"/>
        </w:rPr>
        <w:t>titive motion was attempted</w:t>
      </w:r>
      <w:r w:rsidR="00685ED3">
        <w:rPr>
          <w:color w:val="000000"/>
          <w:szCs w:val="24"/>
        </w:rPr>
        <w:t>.”</w:t>
      </w:r>
    </w:p>
    <w:p w:rsidR="00685ED3" w:rsidRDefault="00685ED3" w:rsidP="00CF0280">
      <w:pPr>
        <w:jc w:val="both"/>
        <w:rPr>
          <w:color w:val="000000"/>
          <w:szCs w:val="24"/>
        </w:rPr>
      </w:pPr>
    </w:p>
    <w:p w:rsidR="00241B01" w:rsidRDefault="00AD2379" w:rsidP="00900A85">
      <w:pPr>
        <w:tabs>
          <w:tab w:val="left" w:pos="288"/>
          <w:tab w:val="left" w:pos="4752"/>
        </w:tabs>
        <w:jc w:val="both"/>
        <w:rPr>
          <w:rFonts w:eastAsia="Calibri" w:cs="Times New Roman"/>
          <w:color w:val="auto"/>
          <w:szCs w:val="24"/>
        </w:rPr>
      </w:pPr>
      <w:r w:rsidRPr="009A7578">
        <w:rPr>
          <w:rFonts w:cs="Times New Roman"/>
          <w:color w:val="auto"/>
        </w:rPr>
        <w:t>The Board directs attenti</w:t>
      </w:r>
      <w:r w:rsidR="00782CC1">
        <w:rPr>
          <w:rFonts w:cs="Times New Roman"/>
          <w:color w:val="auto"/>
        </w:rPr>
        <w:t>on to its rating recommendation</w:t>
      </w:r>
      <w:r w:rsidRPr="009A7578">
        <w:rPr>
          <w:rFonts w:cs="Times New Roman"/>
          <w:color w:val="auto"/>
        </w:rPr>
        <w:t xml:space="preserve"> </w:t>
      </w:r>
      <w:r w:rsidR="00B13A51">
        <w:rPr>
          <w:rFonts w:cs="Times New Roman"/>
          <w:color w:val="auto"/>
        </w:rPr>
        <w:t>based on the above evidence</w:t>
      </w:r>
      <w:r w:rsidRPr="009A7578">
        <w:rPr>
          <w:rFonts w:cs="Times New Roman"/>
          <w:color w:val="auto"/>
        </w:rPr>
        <w:t xml:space="preserve">. </w:t>
      </w:r>
      <w:r w:rsidR="00192392">
        <w:rPr>
          <w:rFonts w:cs="Times New Roman"/>
          <w:color w:val="auto"/>
        </w:rPr>
        <w:t xml:space="preserve"> </w:t>
      </w:r>
      <w:r w:rsidR="009A3D41">
        <w:rPr>
          <w:rFonts w:cs="Times New Roman"/>
          <w:color w:val="auto"/>
        </w:rPr>
        <w:t xml:space="preserve">The flexion </w:t>
      </w:r>
      <w:r w:rsidR="0031620F">
        <w:rPr>
          <w:rFonts w:cs="Times New Roman"/>
          <w:color w:val="auto"/>
        </w:rPr>
        <w:t>measurements</w:t>
      </w:r>
      <w:r w:rsidR="009A3D41">
        <w:rPr>
          <w:rFonts w:cs="Times New Roman"/>
          <w:color w:val="auto"/>
        </w:rPr>
        <w:t xml:space="preserve"> noted above lie </w:t>
      </w:r>
      <w:r w:rsidR="0031620F">
        <w:rPr>
          <w:rFonts w:cs="Times New Roman"/>
          <w:color w:val="auto"/>
        </w:rPr>
        <w:t>at</w:t>
      </w:r>
      <w:r w:rsidR="009A3D41">
        <w:rPr>
          <w:rFonts w:cs="Times New Roman"/>
          <w:color w:val="auto"/>
        </w:rPr>
        <w:t xml:space="preserve"> </w:t>
      </w:r>
      <w:r w:rsidR="0031620F">
        <w:rPr>
          <w:rFonts w:cs="Times New Roman"/>
          <w:color w:val="auto"/>
        </w:rPr>
        <w:t>opposite</w:t>
      </w:r>
      <w:r w:rsidR="009A3D41">
        <w:rPr>
          <w:rFonts w:cs="Times New Roman"/>
          <w:color w:val="auto"/>
        </w:rPr>
        <w:t xml:space="preserve"> ends of the </w:t>
      </w:r>
      <w:r w:rsidR="0031620F">
        <w:rPr>
          <w:rFonts w:cs="Times New Roman"/>
          <w:color w:val="auto"/>
        </w:rPr>
        <w:t xml:space="preserve">range meeting </w:t>
      </w:r>
      <w:r w:rsidR="009A3D41">
        <w:rPr>
          <w:rFonts w:cs="Times New Roman"/>
          <w:color w:val="auto"/>
        </w:rPr>
        <w:t xml:space="preserve">20% criteria IAW </w:t>
      </w:r>
      <w:r w:rsidR="00900A85">
        <w:rPr>
          <w:rFonts w:cs="Times New Roman"/>
          <w:color w:val="auto"/>
        </w:rPr>
        <w:t xml:space="preserve">the </w:t>
      </w:r>
      <w:r w:rsidR="009A3D41">
        <w:rPr>
          <w:rFonts w:cs="Times New Roman"/>
          <w:color w:val="auto"/>
        </w:rPr>
        <w:t xml:space="preserve">VASRD </w:t>
      </w:r>
      <w:r w:rsidR="009A3D41" w:rsidRPr="009A3D41">
        <w:rPr>
          <w:rFonts w:eastAsia="Calibri"/>
          <w:color w:val="auto"/>
          <w:szCs w:val="24"/>
        </w:rPr>
        <w:t>§</w:t>
      </w:r>
      <w:r w:rsidR="009A3D41">
        <w:rPr>
          <w:rFonts w:eastAsia="Calibri" w:cs="Times New Roman"/>
          <w:color w:val="auto"/>
          <w:szCs w:val="24"/>
        </w:rPr>
        <w:t>4.71a</w:t>
      </w:r>
      <w:r w:rsidR="00900A85">
        <w:rPr>
          <w:rFonts w:eastAsia="Calibri" w:cs="Times New Roman"/>
          <w:color w:val="auto"/>
          <w:szCs w:val="24"/>
        </w:rPr>
        <w:t xml:space="preserve"> general rating formula for the spine</w:t>
      </w:r>
      <w:r w:rsidR="009A3D41">
        <w:rPr>
          <w:rFonts w:eastAsia="Calibri" w:cs="Times New Roman"/>
          <w:color w:val="auto"/>
          <w:szCs w:val="24"/>
        </w:rPr>
        <w:t xml:space="preserve">.  The PEB’s DA Form 199 quoted the MEB ROMs in its rating rationale.  It </w:t>
      </w:r>
      <w:r w:rsidR="0031620F">
        <w:rPr>
          <w:rFonts w:eastAsia="Calibri" w:cs="Times New Roman"/>
          <w:color w:val="auto"/>
          <w:szCs w:val="24"/>
        </w:rPr>
        <w:t>cited</w:t>
      </w:r>
      <w:r w:rsidR="009A3D41">
        <w:rPr>
          <w:rFonts w:eastAsia="Calibri" w:cs="Times New Roman"/>
          <w:color w:val="auto"/>
          <w:szCs w:val="24"/>
        </w:rPr>
        <w:t xml:space="preserve"> </w:t>
      </w:r>
      <w:r w:rsidR="0031620F">
        <w:rPr>
          <w:rFonts w:eastAsia="Calibri" w:cs="Times New Roman"/>
          <w:color w:val="auto"/>
          <w:szCs w:val="24"/>
        </w:rPr>
        <w:t>an</w:t>
      </w:r>
      <w:r w:rsidR="009A3D41">
        <w:rPr>
          <w:rFonts w:eastAsia="Calibri" w:cs="Times New Roman"/>
          <w:color w:val="auto"/>
          <w:szCs w:val="24"/>
        </w:rPr>
        <w:t xml:space="preserve"> EPTS (existed prior to service) contribution to the pathology, but confirmed that no deduction was applied.  </w:t>
      </w:r>
      <w:r w:rsidR="00C96748" w:rsidRPr="00280774">
        <w:rPr>
          <w:rFonts w:eastAsia="Calibri"/>
          <w:color w:val="000000"/>
          <w:szCs w:val="24"/>
        </w:rPr>
        <w:t>The MEB and VA applied different VASRD codes</w:t>
      </w:r>
      <w:r w:rsidR="00C96748">
        <w:rPr>
          <w:color w:val="000000"/>
          <w:szCs w:val="24"/>
        </w:rPr>
        <w:t xml:space="preserve"> which did not affect rating</w:t>
      </w:r>
      <w:r w:rsidR="00C96748" w:rsidRPr="00280774">
        <w:rPr>
          <w:rFonts w:eastAsia="Calibri"/>
          <w:color w:val="000000"/>
          <w:szCs w:val="24"/>
        </w:rPr>
        <w:t>.</w:t>
      </w:r>
      <w:r w:rsidR="00C96748">
        <w:rPr>
          <w:rFonts w:eastAsia="Calibri"/>
          <w:color w:val="000000"/>
          <w:szCs w:val="24"/>
        </w:rPr>
        <w:t xml:space="preserve">  </w:t>
      </w:r>
      <w:r w:rsidR="00900A85" w:rsidRPr="00900A85">
        <w:rPr>
          <w:rFonts w:eastAsia="Calibri" w:cs="Times New Roman"/>
          <w:color w:val="auto"/>
          <w:szCs w:val="24"/>
        </w:rPr>
        <w:t>There was no evidence of ratable peripheral nerve impairment or documentation of incapacitating episodes in this case which would provide for additional or higher rating.</w:t>
      </w:r>
      <w:r w:rsidR="00900A85">
        <w:rPr>
          <w:rFonts w:eastAsia="Calibri" w:cs="Times New Roman"/>
          <w:color w:val="auto"/>
          <w:szCs w:val="24"/>
        </w:rPr>
        <w:t xml:space="preserve">  </w:t>
      </w:r>
      <w:r w:rsidR="00EB5B19">
        <w:rPr>
          <w:rFonts w:eastAsia="Calibri" w:cs="Times New Roman"/>
          <w:color w:val="auto"/>
          <w:szCs w:val="24"/>
        </w:rPr>
        <w:t>After due deliberation</w:t>
      </w:r>
      <w:r w:rsidR="00241B01" w:rsidRPr="00241B01">
        <w:rPr>
          <w:rFonts w:eastAsia="Calibri" w:cs="Times New Roman"/>
          <w:color w:val="auto"/>
          <w:szCs w:val="24"/>
        </w:rPr>
        <w:t xml:space="preserve"> </w:t>
      </w:r>
      <w:r w:rsidR="00EB5B19">
        <w:rPr>
          <w:rFonts w:eastAsia="Calibri" w:cs="Times New Roman"/>
          <w:color w:val="auto"/>
          <w:szCs w:val="24"/>
        </w:rPr>
        <w:t>in consideration of the preponderance</w:t>
      </w:r>
      <w:r w:rsidR="00241B01" w:rsidRPr="00241B01">
        <w:rPr>
          <w:rFonts w:eastAsia="Calibri" w:cs="Times New Roman"/>
          <w:color w:val="auto"/>
          <w:szCs w:val="24"/>
        </w:rPr>
        <w:t xml:space="preserve"> of the evidence, the Board concluded that there was insufficient cause to recommend a change in the PEB adjudication for the </w:t>
      </w:r>
      <w:r w:rsidR="00900A85">
        <w:rPr>
          <w:rFonts w:eastAsia="Calibri" w:cs="Times New Roman"/>
          <w:color w:val="auto"/>
          <w:szCs w:val="24"/>
        </w:rPr>
        <w:t>lumbar spine</w:t>
      </w:r>
      <w:r w:rsidR="00241B01" w:rsidRPr="00241B01">
        <w:rPr>
          <w:rFonts w:eastAsia="Calibri" w:cs="Times New Roman"/>
          <w:color w:val="auto"/>
          <w:szCs w:val="24"/>
        </w:rPr>
        <w:t xml:space="preserve"> condition.</w:t>
      </w:r>
    </w:p>
    <w:p w:rsidR="001554E4" w:rsidRDefault="001554E4" w:rsidP="00241B01">
      <w:pPr>
        <w:jc w:val="both"/>
        <w:rPr>
          <w:rFonts w:eastAsia="Calibri" w:cs="Times New Roman"/>
          <w:color w:val="auto"/>
          <w:szCs w:val="24"/>
        </w:rPr>
      </w:pPr>
    </w:p>
    <w:p w:rsidR="00487389" w:rsidRPr="00FC4435" w:rsidRDefault="00AD2379" w:rsidP="00487389">
      <w:pPr>
        <w:jc w:val="both"/>
        <w:rPr>
          <w:color w:val="auto"/>
          <w:szCs w:val="24"/>
        </w:rPr>
      </w:pPr>
      <w:proofErr w:type="gramStart"/>
      <w:r w:rsidRPr="00D8352E">
        <w:rPr>
          <w:color w:val="000000"/>
          <w:u w:val="single"/>
        </w:rPr>
        <w:t>Remaining Conditions</w:t>
      </w:r>
      <w:r w:rsidRPr="00164413">
        <w:rPr>
          <w:color w:val="000000"/>
        </w:rPr>
        <w:t>.</w:t>
      </w:r>
      <w:proofErr w:type="gramEnd"/>
      <w:r w:rsidRPr="00164413">
        <w:rPr>
          <w:color w:val="000000"/>
        </w:rPr>
        <w:t xml:space="preserve"> </w:t>
      </w:r>
      <w:r w:rsidR="00680450">
        <w:rPr>
          <w:color w:val="000000"/>
        </w:rPr>
        <w:t xml:space="preserve"> </w:t>
      </w:r>
      <w:r w:rsidR="00680450" w:rsidRPr="00680450">
        <w:rPr>
          <w:rFonts w:eastAsia="Calibri" w:cs="Times New Roman"/>
          <w:color w:val="auto"/>
          <w:szCs w:val="24"/>
        </w:rPr>
        <w:t xml:space="preserve">Other conditions identified in the </w:t>
      </w:r>
      <w:r w:rsidR="00033287">
        <w:rPr>
          <w:rFonts w:eastAsia="Calibri" w:cs="Times New Roman"/>
          <w:color w:val="auto"/>
          <w:szCs w:val="24"/>
        </w:rPr>
        <w:t xml:space="preserve">core </w:t>
      </w:r>
      <w:r w:rsidR="00680450" w:rsidRPr="00680450">
        <w:rPr>
          <w:rFonts w:eastAsia="Calibri" w:cs="Times New Roman"/>
          <w:color w:val="auto"/>
          <w:szCs w:val="24"/>
        </w:rPr>
        <w:t xml:space="preserve">DES file were </w:t>
      </w:r>
      <w:r w:rsidR="00900A85">
        <w:rPr>
          <w:rFonts w:eastAsia="Calibri" w:cs="Times New Roman"/>
          <w:color w:val="auto"/>
          <w:szCs w:val="24"/>
        </w:rPr>
        <w:t xml:space="preserve">a history of sinusitis </w:t>
      </w:r>
      <w:r w:rsidR="00680450" w:rsidRPr="00680450">
        <w:rPr>
          <w:rFonts w:eastAsia="Calibri" w:cs="Times New Roman"/>
          <w:color w:val="auto"/>
          <w:szCs w:val="24"/>
        </w:rPr>
        <w:t xml:space="preserve">and </w:t>
      </w:r>
      <w:r w:rsidR="00900A85">
        <w:rPr>
          <w:rFonts w:eastAsia="Calibri" w:cs="Times New Roman"/>
          <w:color w:val="auto"/>
          <w:szCs w:val="24"/>
        </w:rPr>
        <w:t>hemorrhoids</w:t>
      </w:r>
      <w:r w:rsidR="00680450" w:rsidRPr="00680450">
        <w:rPr>
          <w:rFonts w:eastAsia="Calibri" w:cs="Times New Roman"/>
          <w:color w:val="auto"/>
          <w:szCs w:val="24"/>
        </w:rPr>
        <w:t xml:space="preserve">.  </w:t>
      </w:r>
      <w:r w:rsidRPr="00D8352E">
        <w:rPr>
          <w:color w:val="000000"/>
        </w:rPr>
        <w:t>Several additional non-acute conditions or medical complaints were also documented.</w:t>
      </w:r>
      <w:r w:rsidR="00033287">
        <w:rPr>
          <w:color w:val="000000"/>
        </w:rPr>
        <w:t xml:space="preserve"> </w:t>
      </w:r>
      <w:r w:rsidRPr="00D8352E">
        <w:rPr>
          <w:color w:val="000000"/>
        </w:rPr>
        <w:t xml:space="preserve"> </w:t>
      </w:r>
      <w:r w:rsidR="00607AC8" w:rsidRPr="00607AC8">
        <w:rPr>
          <w:color w:val="000000"/>
        </w:rPr>
        <w:t>None of these conditions were significantly clinically or occupationally active during the MEB period; none carried attached profiles; and, none were implicated in the c</w:t>
      </w:r>
      <w:r w:rsidR="00607AC8">
        <w:rPr>
          <w:color w:val="000000"/>
        </w:rPr>
        <w:t>ommander’s statement.</w:t>
      </w:r>
      <w:r w:rsidR="00607AC8" w:rsidRPr="00607AC8">
        <w:rPr>
          <w:color w:val="000000"/>
        </w:rPr>
        <w:t xml:space="preserve">  These c</w:t>
      </w:r>
      <w:r w:rsidR="00986395">
        <w:rPr>
          <w:color w:val="000000"/>
        </w:rPr>
        <w:t>onditions were reviewed by the a</w:t>
      </w:r>
      <w:r w:rsidR="00607AC8" w:rsidRPr="00607AC8">
        <w:rPr>
          <w:color w:val="000000"/>
        </w:rPr>
        <w:t xml:space="preserve">ction </w:t>
      </w:r>
      <w:r w:rsidR="00986395">
        <w:rPr>
          <w:color w:val="000000"/>
        </w:rPr>
        <w:t>o</w:t>
      </w:r>
      <w:r w:rsidR="00607AC8" w:rsidRPr="00607AC8">
        <w:rPr>
          <w:color w:val="000000"/>
        </w:rPr>
        <w:t xml:space="preserve">fficer and considered by the Board.  </w:t>
      </w:r>
      <w:r w:rsidRPr="00D8352E">
        <w:rPr>
          <w:color w:val="000000"/>
        </w:rPr>
        <w:t xml:space="preserve">It was determined that none could be argued as unfitting and subject to separation rating. </w:t>
      </w:r>
      <w:r w:rsidR="00607AC8">
        <w:rPr>
          <w:color w:val="000000"/>
        </w:rPr>
        <w:t xml:space="preserve"> </w:t>
      </w:r>
      <w:r w:rsidR="00487389" w:rsidRPr="00AA088E">
        <w:rPr>
          <w:color w:val="auto"/>
          <w:szCs w:val="24"/>
        </w:rPr>
        <w:t>Additionally</w:t>
      </w:r>
      <w:r w:rsidR="00487389">
        <w:rPr>
          <w:color w:val="auto"/>
          <w:szCs w:val="24"/>
        </w:rPr>
        <w:t>, hypertension was noted the VA rating decision proximate</w:t>
      </w:r>
      <w:r w:rsidR="00FC4435">
        <w:rPr>
          <w:color w:val="auto"/>
          <w:szCs w:val="24"/>
        </w:rPr>
        <w:t xml:space="preserve"> to </w:t>
      </w:r>
      <w:r w:rsidR="00FC4435">
        <w:rPr>
          <w:color w:val="auto"/>
          <w:szCs w:val="24"/>
        </w:rPr>
        <w:lastRenderedPageBreak/>
        <w:t>separation, but was</w:t>
      </w:r>
      <w:r w:rsidR="00487389" w:rsidRPr="00AA088E">
        <w:rPr>
          <w:color w:val="auto"/>
          <w:szCs w:val="24"/>
        </w:rPr>
        <w:t xml:space="preserve"> not documented in the core DES file.  </w:t>
      </w:r>
      <w:r w:rsidR="00FC4435">
        <w:rPr>
          <w:color w:val="auto"/>
          <w:szCs w:val="24"/>
        </w:rPr>
        <w:t xml:space="preserve">The VA C&amp;P exam documented the diagnosis and initiation of treatment for hypertension on the eve of </w:t>
      </w:r>
      <w:r w:rsidR="00986395">
        <w:rPr>
          <w:color w:val="auto"/>
          <w:szCs w:val="24"/>
        </w:rPr>
        <w:t>separation, thus it was service-</w:t>
      </w:r>
      <w:r w:rsidR="00FC4435">
        <w:rPr>
          <w:color w:val="auto"/>
          <w:szCs w:val="24"/>
        </w:rPr>
        <w:t xml:space="preserve">connected.  It was controlled on a first-line medication and non-compensable.  </w:t>
      </w:r>
      <w:r w:rsidR="00487389" w:rsidRPr="00D8352E">
        <w:rPr>
          <w:color w:val="000000"/>
        </w:rPr>
        <w:t>The Board therefore has no reasonable basis for recommending any additional unfitting conditions for separation rating.</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560F12" w:rsidRPr="00560F12" w:rsidRDefault="00AD2379" w:rsidP="00560F12">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 xml:space="preserve">IAW </w:t>
      </w:r>
      <w:proofErr w:type="spellStart"/>
      <w:r w:rsidRPr="00D8352E">
        <w:rPr>
          <w:color w:val="000000"/>
        </w:rPr>
        <w:t>DoDI</w:t>
      </w:r>
      <w:proofErr w:type="spellEnd"/>
      <w:r w:rsidRPr="00D8352E">
        <w:rPr>
          <w:color w:val="000000"/>
        </w:rPr>
        <w:t xml:space="preserve"> 6040.44, provisions of </w:t>
      </w:r>
      <w:proofErr w:type="spellStart"/>
      <w:r w:rsidRPr="00D8352E">
        <w:rPr>
          <w:color w:val="000000"/>
        </w:rPr>
        <w:t>DoD</w:t>
      </w:r>
      <w:proofErr w:type="spellEnd"/>
      <w:r w:rsidRPr="00D8352E">
        <w:rPr>
          <w:color w:val="000000"/>
        </w:rPr>
        <w:t xml:space="preserve">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sidR="008734E7">
        <w:rPr>
          <w:rFonts w:cs="Times New Roman"/>
          <w:color w:val="auto"/>
        </w:rPr>
        <w:t xml:space="preserve"> </w:t>
      </w:r>
      <w:r w:rsidRPr="00D8352E">
        <w:rPr>
          <w:rFonts w:cs="Times New Roman"/>
          <w:color w:val="auto"/>
        </w:rPr>
        <w:t>The Board did not surmise from the record or PEB ruling in this case that any prerogatives outside the VASRD were exercised.</w:t>
      </w:r>
      <w:r w:rsidR="008734E7">
        <w:rPr>
          <w:rFonts w:cs="Times New Roman"/>
          <w:color w:val="auto"/>
        </w:rPr>
        <w:t xml:space="preserve"> </w:t>
      </w:r>
      <w:r w:rsidRPr="00D8352E">
        <w:rPr>
          <w:rFonts w:cs="Times New Roman"/>
          <w:color w:val="auto"/>
        </w:rPr>
        <w:t xml:space="preserve"> </w:t>
      </w:r>
      <w:r w:rsidR="00560F12" w:rsidRPr="00560F12">
        <w:rPr>
          <w:rFonts w:eastAsia="Calibri" w:cs="Times New Roman"/>
          <w:color w:val="auto"/>
          <w:szCs w:val="24"/>
        </w:rPr>
        <w:t xml:space="preserve">In the matter of the </w:t>
      </w:r>
      <w:r w:rsidR="00FC4435">
        <w:rPr>
          <w:rFonts w:eastAsia="Calibri" w:cs="Times New Roman"/>
          <w:color w:val="auto"/>
          <w:szCs w:val="24"/>
        </w:rPr>
        <w:t>lumbar spine</w:t>
      </w:r>
      <w:r w:rsidR="00560F12" w:rsidRPr="00560F12">
        <w:rPr>
          <w:rFonts w:eastAsia="Calibri" w:cs="Times New Roman"/>
          <w:color w:val="auto"/>
          <w:szCs w:val="24"/>
        </w:rPr>
        <w:t xml:space="preserve"> condition and IAW </w:t>
      </w:r>
      <w:r w:rsidR="00560F12" w:rsidRPr="00FC4435">
        <w:rPr>
          <w:rFonts w:eastAsia="Calibri" w:cs="Times New Roman"/>
          <w:color w:val="auto"/>
          <w:szCs w:val="24"/>
        </w:rPr>
        <w:t>VASRD §4.71a, the Board unanimously recommends no change in the PEB adjudication.</w:t>
      </w:r>
      <w:r w:rsidR="00560F12" w:rsidRPr="00560F12">
        <w:rPr>
          <w:rFonts w:eastAsia="Calibri" w:cs="Times New Roman"/>
          <w:color w:val="auto"/>
          <w:szCs w:val="24"/>
        </w:rPr>
        <w:t xml:space="preserve">  The Board unanimously agrees that there were no other conditions eligible for Board consideration which could be recommend</w:t>
      </w:r>
      <w:r w:rsidR="00986395">
        <w:rPr>
          <w:rFonts w:eastAsia="Calibri" w:cs="Times New Roman"/>
          <w:color w:val="auto"/>
          <w:szCs w:val="24"/>
        </w:rPr>
        <w:t>ed as unfitting for additional s</w:t>
      </w:r>
      <w:r w:rsidR="00560F12" w:rsidRPr="00560F12">
        <w:rPr>
          <w:rFonts w:eastAsia="Calibri" w:cs="Times New Roman"/>
          <w:color w:val="auto"/>
          <w:szCs w:val="24"/>
        </w:rPr>
        <w:t xml:space="preserve">ervice disability rating.  </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AD2379" w:rsidRDefault="00AD2379" w:rsidP="00B22D42">
      <w:pPr>
        <w:jc w:val="left"/>
        <w:rPr>
          <w:color w:val="000000"/>
        </w:rPr>
      </w:pPr>
      <w:r w:rsidRPr="009A7578">
        <w:rPr>
          <w:color w:val="000000"/>
          <w:u w:val="single"/>
        </w:rPr>
        <w:t>RECOMMENDATION</w:t>
      </w:r>
      <w:r w:rsidRPr="009A7578">
        <w:rPr>
          <w:color w:val="000000"/>
        </w:rPr>
        <w:t>: The</w:t>
      </w:r>
      <w:r w:rsidRPr="001F29F9">
        <w:rPr>
          <w:color w:val="000000"/>
        </w:rPr>
        <w:t xml:space="preserve"> Board, therefore, recommends that there be no </w:t>
      </w:r>
      <w:proofErr w:type="spellStart"/>
      <w:r w:rsidRPr="001F29F9">
        <w:rPr>
          <w:color w:val="000000"/>
        </w:rPr>
        <w:t>recharacterization</w:t>
      </w:r>
      <w:proofErr w:type="spellEnd"/>
      <w:r w:rsidRPr="001F29F9">
        <w:rPr>
          <w:color w:val="000000"/>
        </w:rPr>
        <w:t xml:space="preserve"> of the CI’s disability and separation determination, as follows:</w:t>
      </w:r>
    </w:p>
    <w:p w:rsidR="00AD2379" w:rsidRPr="001F29F9" w:rsidRDefault="00AD2379" w:rsidP="00B22D42">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0D5DBE" w:rsidTr="00C42AED">
        <w:trPr>
          <w:trHeight w:val="233"/>
          <w:jc w:val="center"/>
        </w:trPr>
        <w:tc>
          <w:tcPr>
            <w:tcW w:w="6768"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UNFITTING CONDITION</w:t>
            </w:r>
          </w:p>
        </w:tc>
        <w:tc>
          <w:tcPr>
            <w:tcW w:w="1530"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VASRD CODE</w:t>
            </w:r>
          </w:p>
        </w:tc>
        <w:tc>
          <w:tcPr>
            <w:tcW w:w="1026"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RATING</w:t>
            </w:r>
          </w:p>
        </w:tc>
      </w:tr>
      <w:tr w:rsidR="00AD2379" w:rsidRPr="000D5DBE" w:rsidTr="00C42AED">
        <w:trPr>
          <w:jc w:val="center"/>
        </w:trPr>
        <w:tc>
          <w:tcPr>
            <w:tcW w:w="6768" w:type="dxa"/>
            <w:vAlign w:val="center"/>
          </w:tcPr>
          <w:p w:rsidR="00AD2379" w:rsidRPr="000D5DBE" w:rsidRDefault="009279FC" w:rsidP="00BF0E94">
            <w:pPr>
              <w:tabs>
                <w:tab w:val="left" w:pos="288"/>
                <w:tab w:val="left" w:pos="4752"/>
              </w:tabs>
              <w:jc w:val="left"/>
              <w:rPr>
                <w:color w:val="000000"/>
              </w:rPr>
            </w:pPr>
            <w:r>
              <w:rPr>
                <w:color w:val="000000"/>
              </w:rPr>
              <w:t xml:space="preserve">Chronic </w:t>
            </w:r>
            <w:r w:rsidR="00FC4435">
              <w:rPr>
                <w:color w:val="000000"/>
              </w:rPr>
              <w:t>Back Pain and Surgical Residuals, Lumbar Fusion</w:t>
            </w:r>
          </w:p>
        </w:tc>
        <w:tc>
          <w:tcPr>
            <w:tcW w:w="1530" w:type="dxa"/>
            <w:vAlign w:val="center"/>
          </w:tcPr>
          <w:p w:rsidR="00AD2379" w:rsidRPr="000D5DBE" w:rsidRDefault="00FC4435" w:rsidP="00BF0E94">
            <w:pPr>
              <w:tabs>
                <w:tab w:val="left" w:pos="288"/>
                <w:tab w:val="left" w:pos="4752"/>
              </w:tabs>
              <w:rPr>
                <w:color w:val="000000"/>
              </w:rPr>
            </w:pPr>
            <w:r>
              <w:rPr>
                <w:color w:val="000000"/>
              </w:rPr>
              <w:t>5299-5237</w:t>
            </w:r>
          </w:p>
        </w:tc>
        <w:tc>
          <w:tcPr>
            <w:tcW w:w="1026" w:type="dxa"/>
            <w:vAlign w:val="center"/>
          </w:tcPr>
          <w:p w:rsidR="00AD2379" w:rsidRPr="000D5DBE" w:rsidRDefault="00FC4435" w:rsidP="00BF0E94">
            <w:pPr>
              <w:tabs>
                <w:tab w:val="left" w:pos="288"/>
                <w:tab w:val="left" w:pos="4752"/>
              </w:tabs>
              <w:rPr>
                <w:color w:val="000000"/>
              </w:rPr>
            </w:pPr>
            <w:r>
              <w:rPr>
                <w:color w:val="000000"/>
              </w:rPr>
              <w:t>2</w:t>
            </w:r>
            <w:r w:rsidR="00AD2379" w:rsidRPr="000D5DBE">
              <w:rPr>
                <w:color w:val="000000"/>
              </w:rPr>
              <w:t>0%</w:t>
            </w:r>
          </w:p>
        </w:tc>
      </w:tr>
      <w:tr w:rsidR="00AD2379" w:rsidRPr="000D5DBE" w:rsidTr="00C42AED">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COMBINED</w:t>
            </w:r>
          </w:p>
        </w:tc>
        <w:tc>
          <w:tcPr>
            <w:tcW w:w="1026" w:type="dxa"/>
            <w:shd w:val="clear" w:color="auto" w:fill="D9D9D9"/>
            <w:vAlign w:val="center"/>
          </w:tcPr>
          <w:p w:rsidR="00AD2379" w:rsidRPr="000D5DBE" w:rsidRDefault="00FC4435" w:rsidP="00BF0E94">
            <w:pPr>
              <w:tabs>
                <w:tab w:val="left" w:pos="288"/>
                <w:tab w:val="left" w:pos="4752"/>
              </w:tabs>
              <w:rPr>
                <w:b/>
                <w:color w:val="000000"/>
              </w:rPr>
            </w:pPr>
            <w:r>
              <w:rPr>
                <w:b/>
                <w:color w:val="000000"/>
              </w:rPr>
              <w:t>2</w:t>
            </w:r>
            <w:r w:rsidR="00AD2379" w:rsidRPr="000D5DBE">
              <w:rPr>
                <w:b/>
                <w:color w:val="000000"/>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AD2379" w:rsidRPr="001F29F9" w:rsidRDefault="00AD2379" w:rsidP="00BF0E94">
      <w:pPr>
        <w:tabs>
          <w:tab w:val="left" w:pos="288"/>
          <w:tab w:val="left" w:pos="4752"/>
        </w:tabs>
        <w:jc w:val="both"/>
        <w:rPr>
          <w:color w:val="000000"/>
        </w:rPr>
      </w:pPr>
      <w:r w:rsidRPr="001F29F9">
        <w:rPr>
          <w:color w:val="000000"/>
        </w:rPr>
        <w:t>The following documentary evidence was considered:</w:t>
      </w:r>
    </w:p>
    <w:p w:rsidR="00AD2379" w:rsidRPr="001F29F9" w:rsidRDefault="00AD2379" w:rsidP="00B3575C">
      <w:pPr>
        <w:tabs>
          <w:tab w:val="left" w:pos="288"/>
          <w:tab w:val="left" w:pos="4752"/>
        </w:tabs>
        <w:spacing w:line="440" w:lineRule="exact"/>
        <w:jc w:val="both"/>
        <w:rPr>
          <w:color w:val="000000"/>
        </w:rPr>
      </w:pPr>
      <w:r w:rsidRPr="001F29F9">
        <w:rPr>
          <w:color w:val="000000"/>
        </w:rPr>
        <w:t>Exhibit A.  DD Fo</w:t>
      </w:r>
      <w:r w:rsidR="00986395">
        <w:rPr>
          <w:color w:val="000000"/>
        </w:rPr>
        <w:t>rm 294, dated 20110804, w/</w:t>
      </w:r>
      <w:proofErr w:type="spellStart"/>
      <w:r w:rsidR="00986395">
        <w:rPr>
          <w:color w:val="000000"/>
        </w:rPr>
        <w:t>atchs</w:t>
      </w:r>
      <w:proofErr w:type="spellEnd"/>
    </w:p>
    <w:p w:rsidR="00AD2379" w:rsidRPr="001F29F9" w:rsidRDefault="00AD2379" w:rsidP="00BF0E94">
      <w:pPr>
        <w:tabs>
          <w:tab w:val="left" w:pos="288"/>
          <w:tab w:val="left" w:pos="4752"/>
        </w:tabs>
        <w:jc w:val="both"/>
        <w:rPr>
          <w:color w:val="000000"/>
        </w:rPr>
      </w:pPr>
      <w:r w:rsidRPr="001F29F9">
        <w:rPr>
          <w:color w:val="000000"/>
        </w:rPr>
        <w:t>Exhib</w:t>
      </w:r>
      <w:r w:rsidR="00986395">
        <w:rPr>
          <w:color w:val="000000"/>
        </w:rPr>
        <w:t>it B.  Service Treatment Record</w:t>
      </w:r>
    </w:p>
    <w:p w:rsidR="00AD2379" w:rsidRPr="001F29F9" w:rsidRDefault="00AD2379" w:rsidP="00BF0E94">
      <w:pPr>
        <w:tabs>
          <w:tab w:val="left" w:pos="288"/>
          <w:tab w:val="left" w:pos="4752"/>
        </w:tabs>
        <w:jc w:val="both"/>
        <w:rPr>
          <w:color w:val="000000"/>
        </w:rPr>
      </w:pPr>
      <w:r w:rsidRPr="001F29F9">
        <w:rPr>
          <w:color w:val="000000"/>
        </w:rPr>
        <w:t>Exhibit C.  Department of Ve</w:t>
      </w:r>
      <w:r w:rsidR="00986395">
        <w:rPr>
          <w:color w:val="000000"/>
        </w:rPr>
        <w:t>terans 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853E17" w:rsidRDefault="00AD2379" w:rsidP="00953AC6">
      <w:pPr>
        <w:tabs>
          <w:tab w:val="left" w:pos="0"/>
          <w:tab w:val="left" w:pos="4320"/>
        </w:tabs>
        <w:jc w:val="both"/>
        <w:rPr>
          <w:color w:val="000000"/>
        </w:rPr>
      </w:pPr>
      <w:r w:rsidRPr="001F29F9">
        <w:rPr>
          <w:color w:val="000000"/>
        </w:rPr>
        <w:tab/>
        <w:t xml:space="preserve">           Physical Disability Board of Review</w:t>
      </w:r>
    </w:p>
    <w:p w:rsidR="00853E17" w:rsidRDefault="00853E17">
      <w:pPr>
        <w:spacing w:line="240" w:lineRule="auto"/>
        <w:jc w:val="left"/>
        <w:rPr>
          <w:color w:val="000000"/>
        </w:rPr>
      </w:pPr>
      <w:r>
        <w:rPr>
          <w:color w:val="000000"/>
        </w:rPr>
        <w:br w:type="page"/>
      </w:r>
    </w:p>
    <w:p w:rsidR="00853E17" w:rsidRPr="00853E17" w:rsidRDefault="00853E17" w:rsidP="00853E17">
      <w:pPr>
        <w:tabs>
          <w:tab w:val="left" w:pos="0"/>
          <w:tab w:val="left" w:pos="4320"/>
        </w:tabs>
        <w:jc w:val="both"/>
        <w:rPr>
          <w:color w:val="000000"/>
        </w:rPr>
      </w:pPr>
      <w:r w:rsidRPr="00853E17">
        <w:rPr>
          <w:color w:val="000000"/>
        </w:rPr>
        <w:lastRenderedPageBreak/>
        <w:t>SFMR-RB</w:t>
      </w:r>
      <w:r w:rsidRPr="00853E17">
        <w:rPr>
          <w:color w:val="000000"/>
        </w:rPr>
        <w:tab/>
      </w:r>
      <w:r w:rsidRPr="00853E17">
        <w:rPr>
          <w:color w:val="000000"/>
        </w:rPr>
        <w:tab/>
      </w:r>
      <w:r w:rsidRPr="00853E17">
        <w:rPr>
          <w:color w:val="000000"/>
        </w:rPr>
        <w:tab/>
      </w:r>
      <w:r w:rsidRPr="00853E17">
        <w:rPr>
          <w:color w:val="000000"/>
        </w:rPr>
        <w:tab/>
      </w:r>
      <w:r w:rsidRPr="00853E17">
        <w:rPr>
          <w:color w:val="000000"/>
        </w:rPr>
        <w:tab/>
      </w:r>
      <w:r w:rsidRPr="00853E17">
        <w:rPr>
          <w:color w:val="000000"/>
        </w:rPr>
        <w:tab/>
      </w:r>
      <w:r w:rsidRPr="00853E17">
        <w:rPr>
          <w:color w:val="000000"/>
        </w:rPr>
        <w:tab/>
      </w:r>
      <w:r w:rsidRPr="00853E17">
        <w:rPr>
          <w:color w:val="000000"/>
        </w:rPr>
        <w:tab/>
      </w:r>
      <w:r w:rsidRPr="00853E17">
        <w:rPr>
          <w:color w:val="000000"/>
        </w:rPr>
        <w:tab/>
      </w:r>
    </w:p>
    <w:p w:rsidR="00853E17" w:rsidRPr="00853E17" w:rsidRDefault="00853E17" w:rsidP="00853E17">
      <w:pPr>
        <w:tabs>
          <w:tab w:val="left" w:pos="0"/>
          <w:tab w:val="left" w:pos="4320"/>
        </w:tabs>
        <w:jc w:val="both"/>
        <w:rPr>
          <w:color w:val="000000"/>
        </w:rPr>
      </w:pPr>
    </w:p>
    <w:p w:rsidR="00853E17" w:rsidRPr="00853E17" w:rsidRDefault="00853E17" w:rsidP="00853E17">
      <w:pPr>
        <w:tabs>
          <w:tab w:val="left" w:pos="0"/>
          <w:tab w:val="left" w:pos="4320"/>
        </w:tabs>
        <w:jc w:val="both"/>
        <w:rPr>
          <w:color w:val="000000"/>
        </w:rPr>
      </w:pPr>
    </w:p>
    <w:p w:rsidR="00853E17" w:rsidRPr="00853E17" w:rsidRDefault="00853E17" w:rsidP="00853E17">
      <w:pPr>
        <w:tabs>
          <w:tab w:val="left" w:pos="0"/>
          <w:tab w:val="left" w:pos="4320"/>
        </w:tabs>
        <w:jc w:val="both"/>
        <w:rPr>
          <w:color w:val="000000"/>
        </w:rPr>
      </w:pPr>
      <w:r w:rsidRPr="00853E17">
        <w:rPr>
          <w:color w:val="000000"/>
        </w:rPr>
        <w:t xml:space="preserve">MEMORANDUM FOR Commander, US Army Physical Disability Agency </w:t>
      </w:r>
    </w:p>
    <w:p w:rsidR="00853E17" w:rsidRPr="00853E17" w:rsidRDefault="00853E17" w:rsidP="00853E17">
      <w:pPr>
        <w:tabs>
          <w:tab w:val="left" w:pos="0"/>
          <w:tab w:val="left" w:pos="4320"/>
        </w:tabs>
        <w:jc w:val="both"/>
        <w:rPr>
          <w:color w:val="000000"/>
        </w:rPr>
      </w:pPr>
    </w:p>
    <w:p w:rsidR="00853E17" w:rsidRPr="00853E17" w:rsidRDefault="00853E17" w:rsidP="00853E17">
      <w:pPr>
        <w:tabs>
          <w:tab w:val="left" w:pos="0"/>
          <w:tab w:val="left" w:pos="4320"/>
        </w:tabs>
        <w:jc w:val="both"/>
        <w:rPr>
          <w:color w:val="000000"/>
        </w:rPr>
      </w:pPr>
      <w:r w:rsidRPr="00853E17">
        <w:rPr>
          <w:color w:val="000000"/>
        </w:rPr>
        <w:t xml:space="preserve">SUBJECT:  Department of Defense Physical Disability Board of Review Recommendation </w:t>
      </w:r>
    </w:p>
    <w:p w:rsidR="00853E17" w:rsidRPr="00853E17" w:rsidRDefault="00853E17" w:rsidP="00853E17">
      <w:pPr>
        <w:tabs>
          <w:tab w:val="left" w:pos="0"/>
          <w:tab w:val="left" w:pos="4320"/>
        </w:tabs>
        <w:jc w:val="both"/>
        <w:rPr>
          <w:color w:val="000000"/>
        </w:rPr>
      </w:pPr>
    </w:p>
    <w:p w:rsidR="00853E17" w:rsidRDefault="00853E17" w:rsidP="00853E17">
      <w:pPr>
        <w:tabs>
          <w:tab w:val="left" w:pos="0"/>
          <w:tab w:val="left" w:pos="4320"/>
        </w:tabs>
        <w:jc w:val="both"/>
        <w:rPr>
          <w:color w:val="000000"/>
        </w:rPr>
      </w:pPr>
      <w:r w:rsidRPr="00853E17">
        <w:rPr>
          <w:color w:val="000000"/>
        </w:rPr>
        <w:t>I have reviewed the enclosed Department of Defense Physical Disability Board of Review (</w:t>
      </w:r>
      <w:proofErr w:type="spellStart"/>
      <w:r w:rsidRPr="00853E17">
        <w:rPr>
          <w:color w:val="000000"/>
        </w:rPr>
        <w:t>DoD</w:t>
      </w:r>
      <w:proofErr w:type="spellEnd"/>
      <w:r w:rsidRPr="00853E17">
        <w:rPr>
          <w:color w:val="000000"/>
        </w:rPr>
        <w:t xml:space="preserve"> PDBR) recommendation and record of proceedings pertaining to the subject individual.  Under the authority of Title 10, United States Code, section 1554a,   I accept the Board’s recommendation and hereby deny the individual’s application.  </w:t>
      </w:r>
    </w:p>
    <w:p w:rsidR="00853E17" w:rsidRPr="00853E17" w:rsidRDefault="00853E17" w:rsidP="00853E17">
      <w:pPr>
        <w:tabs>
          <w:tab w:val="left" w:pos="0"/>
          <w:tab w:val="left" w:pos="4320"/>
        </w:tabs>
        <w:jc w:val="both"/>
        <w:rPr>
          <w:color w:val="000000"/>
        </w:rPr>
      </w:pPr>
    </w:p>
    <w:p w:rsidR="00853E17" w:rsidRPr="00853E17" w:rsidRDefault="00853E17" w:rsidP="00853E17">
      <w:pPr>
        <w:tabs>
          <w:tab w:val="left" w:pos="0"/>
          <w:tab w:val="left" w:pos="4320"/>
        </w:tabs>
        <w:jc w:val="both"/>
        <w:rPr>
          <w:color w:val="000000"/>
        </w:rPr>
      </w:pPr>
      <w:r w:rsidRPr="00853E17">
        <w:rPr>
          <w:color w:val="000000"/>
        </w:rPr>
        <w:t>This decision is final.  The individual concerned, counsel (if any), and any Members of Congress who have shown interest in this application have been notified of this decision by mail.</w:t>
      </w:r>
    </w:p>
    <w:p w:rsidR="00853E17" w:rsidRPr="00853E17" w:rsidRDefault="00853E17" w:rsidP="00853E17">
      <w:pPr>
        <w:tabs>
          <w:tab w:val="left" w:pos="0"/>
          <w:tab w:val="left" w:pos="4320"/>
        </w:tabs>
        <w:jc w:val="both"/>
        <w:rPr>
          <w:color w:val="000000"/>
        </w:rPr>
      </w:pPr>
    </w:p>
    <w:p w:rsidR="00853E17" w:rsidRPr="00853E17" w:rsidRDefault="00853E17" w:rsidP="00853E17">
      <w:pPr>
        <w:tabs>
          <w:tab w:val="left" w:pos="0"/>
          <w:tab w:val="left" w:pos="4320"/>
        </w:tabs>
        <w:jc w:val="both"/>
        <w:rPr>
          <w:color w:val="000000"/>
        </w:rPr>
      </w:pPr>
      <w:r w:rsidRPr="00853E17">
        <w:rPr>
          <w:color w:val="000000"/>
        </w:rPr>
        <w:t xml:space="preserve"> BY ORDER OF THE SECRETARY OF THE ARMY:</w:t>
      </w:r>
    </w:p>
    <w:p w:rsidR="00853E17" w:rsidRPr="00853E17" w:rsidRDefault="00853E17" w:rsidP="00853E17">
      <w:pPr>
        <w:tabs>
          <w:tab w:val="left" w:pos="0"/>
          <w:tab w:val="left" w:pos="4320"/>
        </w:tabs>
        <w:jc w:val="both"/>
        <w:rPr>
          <w:color w:val="000000"/>
        </w:rPr>
      </w:pPr>
    </w:p>
    <w:p w:rsidR="00853E17" w:rsidRPr="00853E17" w:rsidRDefault="00853E17" w:rsidP="00853E17">
      <w:pPr>
        <w:tabs>
          <w:tab w:val="left" w:pos="0"/>
          <w:tab w:val="left" w:pos="4320"/>
        </w:tabs>
        <w:jc w:val="both"/>
        <w:rPr>
          <w:color w:val="000000"/>
        </w:rPr>
      </w:pPr>
    </w:p>
    <w:p w:rsidR="00853E17" w:rsidRPr="00853E17" w:rsidRDefault="00853E17" w:rsidP="00853E17">
      <w:pPr>
        <w:tabs>
          <w:tab w:val="left" w:pos="0"/>
          <w:tab w:val="left" w:pos="4320"/>
        </w:tabs>
        <w:jc w:val="both"/>
        <w:rPr>
          <w:color w:val="000000"/>
        </w:rPr>
      </w:pPr>
    </w:p>
    <w:p w:rsidR="00853E17" w:rsidRPr="00853E17" w:rsidRDefault="00853E17" w:rsidP="00853E17">
      <w:pPr>
        <w:tabs>
          <w:tab w:val="left" w:pos="0"/>
          <w:tab w:val="left" w:pos="4320"/>
        </w:tabs>
        <w:jc w:val="both"/>
        <w:rPr>
          <w:color w:val="000000"/>
        </w:rPr>
      </w:pPr>
    </w:p>
    <w:p w:rsidR="00853E17" w:rsidRPr="00853E17" w:rsidRDefault="00853E17" w:rsidP="00853E17">
      <w:pPr>
        <w:tabs>
          <w:tab w:val="left" w:pos="0"/>
          <w:tab w:val="left" w:pos="4320"/>
        </w:tabs>
        <w:jc w:val="both"/>
        <w:rPr>
          <w:color w:val="000000"/>
        </w:rPr>
      </w:pPr>
      <w:bookmarkStart w:id="0" w:name="OLE_LINK3"/>
      <w:bookmarkStart w:id="1" w:name="OLE_LINK4"/>
      <w:r w:rsidRPr="00853E17">
        <w:rPr>
          <w:color w:val="000000"/>
        </w:rPr>
        <w:t>Encl</w:t>
      </w:r>
      <w:r w:rsidRPr="00853E17">
        <w:rPr>
          <w:color w:val="000000"/>
        </w:rPr>
        <w:tab/>
      </w:r>
      <w:r w:rsidRPr="00853E17">
        <w:rPr>
          <w:color w:val="000000"/>
        </w:rPr>
        <w:tab/>
        <w:t xml:space="preserve">    </w:t>
      </w:r>
    </w:p>
    <w:p w:rsidR="00853E17" w:rsidRPr="00853E17" w:rsidRDefault="00853E17" w:rsidP="00853E17">
      <w:pPr>
        <w:tabs>
          <w:tab w:val="left" w:pos="0"/>
          <w:tab w:val="left" w:pos="4320"/>
        </w:tabs>
        <w:jc w:val="both"/>
        <w:rPr>
          <w:color w:val="000000"/>
        </w:rPr>
      </w:pPr>
      <w:r w:rsidRPr="00853E17">
        <w:rPr>
          <w:color w:val="000000"/>
        </w:rPr>
        <w:tab/>
      </w:r>
      <w:r w:rsidRPr="00853E17">
        <w:rPr>
          <w:color w:val="000000"/>
        </w:rPr>
        <w:tab/>
        <w:t xml:space="preserve">     Deputy Assistant Secretary</w:t>
      </w:r>
    </w:p>
    <w:p w:rsidR="00853E17" w:rsidRPr="00853E17" w:rsidRDefault="00853E17" w:rsidP="00853E17">
      <w:pPr>
        <w:tabs>
          <w:tab w:val="left" w:pos="0"/>
          <w:tab w:val="left" w:pos="4320"/>
        </w:tabs>
        <w:jc w:val="both"/>
        <w:rPr>
          <w:color w:val="000000"/>
        </w:rPr>
      </w:pPr>
      <w:r w:rsidRPr="00853E17">
        <w:rPr>
          <w:color w:val="000000"/>
        </w:rPr>
        <w:tab/>
      </w:r>
      <w:r w:rsidRPr="00853E17">
        <w:rPr>
          <w:color w:val="000000"/>
        </w:rPr>
        <w:tab/>
        <w:t xml:space="preserve">         (Army Review Boards)</w:t>
      </w:r>
      <w:bookmarkEnd w:id="0"/>
      <w:bookmarkEnd w:id="1"/>
    </w:p>
    <w:p w:rsidR="00FE7EB9" w:rsidRPr="00B22D42" w:rsidRDefault="00FE7EB9" w:rsidP="00953AC6">
      <w:pPr>
        <w:tabs>
          <w:tab w:val="left" w:pos="0"/>
          <w:tab w:val="left" w:pos="4320"/>
        </w:tabs>
        <w:jc w:val="both"/>
        <w:rPr>
          <w:color w:val="000000"/>
        </w:rPr>
      </w:pPr>
    </w:p>
    <w:sectPr w:rsidR="00FE7EB9" w:rsidRPr="00B22D42"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F37" w:rsidRDefault="00F13F37">
      <w:r>
        <w:separator/>
      </w:r>
    </w:p>
  </w:endnote>
  <w:endnote w:type="continuationSeparator" w:id="0">
    <w:p w:rsidR="00F13F37" w:rsidRDefault="00F13F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9" w:rsidRPr="00374247" w:rsidRDefault="00AD2379" w:rsidP="00726F84">
    <w:pPr>
      <w:pStyle w:val="Footer"/>
      <w:ind w:firstLine="4320"/>
      <w:rPr>
        <w:color w:val="auto"/>
      </w:rPr>
    </w:pPr>
    <w:r w:rsidRPr="00374247">
      <w:rPr>
        <w:color w:val="auto"/>
      </w:rPr>
      <w:t xml:space="preserve">   </w:t>
    </w:r>
    <w:fldSimple w:instr=" PAGE   \* MERGEFORMAT ">
      <w:r w:rsidR="00853E17" w:rsidRPr="00853E17">
        <w:rPr>
          <w:noProof/>
          <w:color w:val="auto"/>
        </w:rPr>
        <w:t>4</w:t>
      </w:r>
    </w:fldSimple>
    <w:r w:rsidRPr="00374247">
      <w:rPr>
        <w:color w:val="auto"/>
      </w:rPr>
      <w:t xml:space="preserve">                                                           </w:t>
    </w:r>
    <w:r w:rsidRPr="001D64F3">
      <w:rPr>
        <w:color w:val="auto"/>
      </w:rPr>
      <w:t>PD1</w:t>
    </w:r>
    <w:r w:rsidRPr="009369A6">
      <w:rPr>
        <w:color w:val="auto"/>
      </w:rPr>
      <w:t>100</w:t>
    </w:r>
    <w:r w:rsidR="00DD3157">
      <w:rPr>
        <w:color w:val="auto"/>
      </w:rPr>
      <w:t>261</w:t>
    </w:r>
  </w:p>
  <w:p w:rsidR="00AD2379" w:rsidRPr="00684CE6" w:rsidRDefault="00AD237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F37" w:rsidRDefault="00F13F37">
      <w:r>
        <w:separator/>
      </w:r>
    </w:p>
  </w:footnote>
  <w:footnote w:type="continuationSeparator" w:id="0">
    <w:p w:rsidR="00F13F37" w:rsidRDefault="00F13F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oNotDisplayPageBoundaries/>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941"/>
    <w:rsid w:val="00021361"/>
    <w:rsid w:val="00022CF3"/>
    <w:rsid w:val="00023913"/>
    <w:rsid w:val="00023D43"/>
    <w:rsid w:val="00024002"/>
    <w:rsid w:val="00024DE7"/>
    <w:rsid w:val="00026092"/>
    <w:rsid w:val="00030776"/>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1071"/>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5D7B"/>
    <w:rsid w:val="0008708B"/>
    <w:rsid w:val="00092619"/>
    <w:rsid w:val="00092C66"/>
    <w:rsid w:val="00092CC9"/>
    <w:rsid w:val="000949DD"/>
    <w:rsid w:val="00094E4F"/>
    <w:rsid w:val="000A2BCE"/>
    <w:rsid w:val="000A31E2"/>
    <w:rsid w:val="000A33C8"/>
    <w:rsid w:val="000A41E3"/>
    <w:rsid w:val="000A4BBA"/>
    <w:rsid w:val="000A5071"/>
    <w:rsid w:val="000B0AD2"/>
    <w:rsid w:val="000B1022"/>
    <w:rsid w:val="000B2FB8"/>
    <w:rsid w:val="000B471C"/>
    <w:rsid w:val="000B478A"/>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5DBE"/>
    <w:rsid w:val="000D62F4"/>
    <w:rsid w:val="000D6457"/>
    <w:rsid w:val="000D7D55"/>
    <w:rsid w:val="000E0993"/>
    <w:rsid w:val="000E2E50"/>
    <w:rsid w:val="000E37E0"/>
    <w:rsid w:val="000E3F20"/>
    <w:rsid w:val="000E4C25"/>
    <w:rsid w:val="000E4CBF"/>
    <w:rsid w:val="000E5577"/>
    <w:rsid w:val="000E7034"/>
    <w:rsid w:val="000F02BE"/>
    <w:rsid w:val="000F0928"/>
    <w:rsid w:val="000F0B3D"/>
    <w:rsid w:val="000F1C77"/>
    <w:rsid w:val="000F1E65"/>
    <w:rsid w:val="000F2F2B"/>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912"/>
    <w:rsid w:val="00153740"/>
    <w:rsid w:val="001537D8"/>
    <w:rsid w:val="00153D88"/>
    <w:rsid w:val="001541C5"/>
    <w:rsid w:val="001554E4"/>
    <w:rsid w:val="0015623F"/>
    <w:rsid w:val="00156585"/>
    <w:rsid w:val="00156BA9"/>
    <w:rsid w:val="00157E01"/>
    <w:rsid w:val="00161642"/>
    <w:rsid w:val="00161761"/>
    <w:rsid w:val="00164413"/>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3F9"/>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1321"/>
    <w:rsid w:val="001B20E6"/>
    <w:rsid w:val="001B4C0B"/>
    <w:rsid w:val="001B4D12"/>
    <w:rsid w:val="001B4EC2"/>
    <w:rsid w:val="001B5B59"/>
    <w:rsid w:val="001B60E0"/>
    <w:rsid w:val="001B6632"/>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AAC"/>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4DC"/>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058C"/>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59DF"/>
    <w:rsid w:val="002F6AD8"/>
    <w:rsid w:val="002F7F81"/>
    <w:rsid w:val="00300A36"/>
    <w:rsid w:val="00301B45"/>
    <w:rsid w:val="003029D5"/>
    <w:rsid w:val="0030433B"/>
    <w:rsid w:val="00304511"/>
    <w:rsid w:val="00305856"/>
    <w:rsid w:val="00305867"/>
    <w:rsid w:val="0030678B"/>
    <w:rsid w:val="00306D16"/>
    <w:rsid w:val="0030700A"/>
    <w:rsid w:val="003071A9"/>
    <w:rsid w:val="00307595"/>
    <w:rsid w:val="00307DA6"/>
    <w:rsid w:val="00310CD7"/>
    <w:rsid w:val="00313C3A"/>
    <w:rsid w:val="00313D7A"/>
    <w:rsid w:val="00314517"/>
    <w:rsid w:val="003155FB"/>
    <w:rsid w:val="0031620F"/>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451"/>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3D90"/>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69B"/>
    <w:rsid w:val="004640E9"/>
    <w:rsid w:val="004647EB"/>
    <w:rsid w:val="00466CED"/>
    <w:rsid w:val="00466EB5"/>
    <w:rsid w:val="00467592"/>
    <w:rsid w:val="00467690"/>
    <w:rsid w:val="00467A14"/>
    <w:rsid w:val="004718E7"/>
    <w:rsid w:val="00472289"/>
    <w:rsid w:val="00472535"/>
    <w:rsid w:val="004761CC"/>
    <w:rsid w:val="00476229"/>
    <w:rsid w:val="004766C9"/>
    <w:rsid w:val="00480D4A"/>
    <w:rsid w:val="00481DA1"/>
    <w:rsid w:val="00483A2B"/>
    <w:rsid w:val="00484212"/>
    <w:rsid w:val="004848C3"/>
    <w:rsid w:val="00484BA9"/>
    <w:rsid w:val="0048599A"/>
    <w:rsid w:val="00486818"/>
    <w:rsid w:val="00487389"/>
    <w:rsid w:val="0049255F"/>
    <w:rsid w:val="0049445D"/>
    <w:rsid w:val="00494D39"/>
    <w:rsid w:val="00495350"/>
    <w:rsid w:val="00495E3C"/>
    <w:rsid w:val="00496041"/>
    <w:rsid w:val="00497156"/>
    <w:rsid w:val="004A0C79"/>
    <w:rsid w:val="004A24D2"/>
    <w:rsid w:val="004A2728"/>
    <w:rsid w:val="004A3214"/>
    <w:rsid w:val="004A4136"/>
    <w:rsid w:val="004A417B"/>
    <w:rsid w:val="004A4378"/>
    <w:rsid w:val="004A712D"/>
    <w:rsid w:val="004A7C03"/>
    <w:rsid w:val="004B03F3"/>
    <w:rsid w:val="004B0CC9"/>
    <w:rsid w:val="004B1C61"/>
    <w:rsid w:val="004B2536"/>
    <w:rsid w:val="004B46D7"/>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4D3A"/>
    <w:rsid w:val="00525003"/>
    <w:rsid w:val="0052590B"/>
    <w:rsid w:val="0052592B"/>
    <w:rsid w:val="00525F5E"/>
    <w:rsid w:val="00526503"/>
    <w:rsid w:val="00526591"/>
    <w:rsid w:val="00527178"/>
    <w:rsid w:val="00527618"/>
    <w:rsid w:val="005278CB"/>
    <w:rsid w:val="0052794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0F1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20A6"/>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EC1"/>
    <w:rsid w:val="005F67A9"/>
    <w:rsid w:val="005F6B6D"/>
    <w:rsid w:val="005F73CA"/>
    <w:rsid w:val="006002FE"/>
    <w:rsid w:val="006008F8"/>
    <w:rsid w:val="006036C2"/>
    <w:rsid w:val="00605AAB"/>
    <w:rsid w:val="00606BEB"/>
    <w:rsid w:val="0060736E"/>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3B69"/>
    <w:rsid w:val="00664296"/>
    <w:rsid w:val="00664427"/>
    <w:rsid w:val="00664840"/>
    <w:rsid w:val="006649CD"/>
    <w:rsid w:val="00665D75"/>
    <w:rsid w:val="006708E3"/>
    <w:rsid w:val="00670DDC"/>
    <w:rsid w:val="00671389"/>
    <w:rsid w:val="00671EB4"/>
    <w:rsid w:val="00673CDC"/>
    <w:rsid w:val="0067443B"/>
    <w:rsid w:val="006770AA"/>
    <w:rsid w:val="00680450"/>
    <w:rsid w:val="0068098E"/>
    <w:rsid w:val="006810BD"/>
    <w:rsid w:val="00682486"/>
    <w:rsid w:val="006833A7"/>
    <w:rsid w:val="00684CE6"/>
    <w:rsid w:val="00684E2B"/>
    <w:rsid w:val="006857A0"/>
    <w:rsid w:val="00685ED3"/>
    <w:rsid w:val="00687C7E"/>
    <w:rsid w:val="00687D3D"/>
    <w:rsid w:val="00690569"/>
    <w:rsid w:val="00690FDA"/>
    <w:rsid w:val="00691E61"/>
    <w:rsid w:val="00692180"/>
    <w:rsid w:val="006937C6"/>
    <w:rsid w:val="00693C5E"/>
    <w:rsid w:val="00693CEE"/>
    <w:rsid w:val="006943AC"/>
    <w:rsid w:val="00694EEA"/>
    <w:rsid w:val="006955B4"/>
    <w:rsid w:val="00695DEF"/>
    <w:rsid w:val="00696476"/>
    <w:rsid w:val="0069687C"/>
    <w:rsid w:val="00696C74"/>
    <w:rsid w:val="00697C9B"/>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4F5"/>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F0DED"/>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FB4"/>
    <w:rsid w:val="007165CE"/>
    <w:rsid w:val="00717463"/>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718"/>
    <w:rsid w:val="00853E17"/>
    <w:rsid w:val="008541EF"/>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593F"/>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A85"/>
    <w:rsid w:val="00900D8F"/>
    <w:rsid w:val="00901229"/>
    <w:rsid w:val="009014E3"/>
    <w:rsid w:val="009020ED"/>
    <w:rsid w:val="009026E8"/>
    <w:rsid w:val="00902FDD"/>
    <w:rsid w:val="00905EEF"/>
    <w:rsid w:val="00906EB7"/>
    <w:rsid w:val="00907FE6"/>
    <w:rsid w:val="009102BF"/>
    <w:rsid w:val="00911490"/>
    <w:rsid w:val="009115F2"/>
    <w:rsid w:val="00911B11"/>
    <w:rsid w:val="00912AC5"/>
    <w:rsid w:val="00914ADB"/>
    <w:rsid w:val="00915196"/>
    <w:rsid w:val="00917182"/>
    <w:rsid w:val="00920251"/>
    <w:rsid w:val="00921CFD"/>
    <w:rsid w:val="00923B25"/>
    <w:rsid w:val="0092402E"/>
    <w:rsid w:val="009259BA"/>
    <w:rsid w:val="00926C0A"/>
    <w:rsid w:val="00926FCB"/>
    <w:rsid w:val="009279FC"/>
    <w:rsid w:val="009303BB"/>
    <w:rsid w:val="0093108A"/>
    <w:rsid w:val="009319EF"/>
    <w:rsid w:val="00931B6D"/>
    <w:rsid w:val="0093311A"/>
    <w:rsid w:val="0093426C"/>
    <w:rsid w:val="009346D0"/>
    <w:rsid w:val="009369A6"/>
    <w:rsid w:val="00936E38"/>
    <w:rsid w:val="00937F57"/>
    <w:rsid w:val="0094031E"/>
    <w:rsid w:val="009419B4"/>
    <w:rsid w:val="00941A4C"/>
    <w:rsid w:val="00942645"/>
    <w:rsid w:val="009461E6"/>
    <w:rsid w:val="00950A3A"/>
    <w:rsid w:val="0095270D"/>
    <w:rsid w:val="00952C0C"/>
    <w:rsid w:val="00952CC5"/>
    <w:rsid w:val="0095340A"/>
    <w:rsid w:val="00953AC6"/>
    <w:rsid w:val="00953AF6"/>
    <w:rsid w:val="0095423E"/>
    <w:rsid w:val="00954581"/>
    <w:rsid w:val="0095466C"/>
    <w:rsid w:val="00954E5B"/>
    <w:rsid w:val="00955100"/>
    <w:rsid w:val="00955316"/>
    <w:rsid w:val="00955E45"/>
    <w:rsid w:val="009576BC"/>
    <w:rsid w:val="00957747"/>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395"/>
    <w:rsid w:val="00986514"/>
    <w:rsid w:val="00986A30"/>
    <w:rsid w:val="00986FCC"/>
    <w:rsid w:val="00990FD6"/>
    <w:rsid w:val="009935C3"/>
    <w:rsid w:val="0099421F"/>
    <w:rsid w:val="00994D33"/>
    <w:rsid w:val="00994FC8"/>
    <w:rsid w:val="00996E46"/>
    <w:rsid w:val="009A0346"/>
    <w:rsid w:val="009A0DE3"/>
    <w:rsid w:val="009A1643"/>
    <w:rsid w:val="009A215A"/>
    <w:rsid w:val="009A26B9"/>
    <w:rsid w:val="009A3D41"/>
    <w:rsid w:val="009A49D3"/>
    <w:rsid w:val="009A4F1B"/>
    <w:rsid w:val="009A66C5"/>
    <w:rsid w:val="009A66E7"/>
    <w:rsid w:val="009A7578"/>
    <w:rsid w:val="009A79BA"/>
    <w:rsid w:val="009B10F9"/>
    <w:rsid w:val="009B14D1"/>
    <w:rsid w:val="009B1534"/>
    <w:rsid w:val="009B4963"/>
    <w:rsid w:val="009B4A3B"/>
    <w:rsid w:val="009B6023"/>
    <w:rsid w:val="009B69D3"/>
    <w:rsid w:val="009B721E"/>
    <w:rsid w:val="009B7BA7"/>
    <w:rsid w:val="009B7C01"/>
    <w:rsid w:val="009C0938"/>
    <w:rsid w:val="009C0C22"/>
    <w:rsid w:val="009C12A1"/>
    <w:rsid w:val="009C15D9"/>
    <w:rsid w:val="009C1A1D"/>
    <w:rsid w:val="009C1DD2"/>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5C1"/>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6444"/>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270"/>
    <w:rsid w:val="00A70E7B"/>
    <w:rsid w:val="00A717EA"/>
    <w:rsid w:val="00A730B0"/>
    <w:rsid w:val="00A73B84"/>
    <w:rsid w:val="00A7411D"/>
    <w:rsid w:val="00A756C4"/>
    <w:rsid w:val="00A7592B"/>
    <w:rsid w:val="00A75ED7"/>
    <w:rsid w:val="00A76094"/>
    <w:rsid w:val="00A76383"/>
    <w:rsid w:val="00A768E2"/>
    <w:rsid w:val="00A82C52"/>
    <w:rsid w:val="00A838E8"/>
    <w:rsid w:val="00A83C15"/>
    <w:rsid w:val="00A84EC4"/>
    <w:rsid w:val="00A86CB6"/>
    <w:rsid w:val="00A90D55"/>
    <w:rsid w:val="00A91E6C"/>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4BA1"/>
    <w:rsid w:val="00AC62CC"/>
    <w:rsid w:val="00AC713F"/>
    <w:rsid w:val="00AC7329"/>
    <w:rsid w:val="00AC7D96"/>
    <w:rsid w:val="00AD00E4"/>
    <w:rsid w:val="00AD067E"/>
    <w:rsid w:val="00AD168B"/>
    <w:rsid w:val="00AD1B4E"/>
    <w:rsid w:val="00AD2379"/>
    <w:rsid w:val="00AD2801"/>
    <w:rsid w:val="00AD3496"/>
    <w:rsid w:val="00AD426A"/>
    <w:rsid w:val="00AD49A1"/>
    <w:rsid w:val="00AD5771"/>
    <w:rsid w:val="00AD6335"/>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4562"/>
    <w:rsid w:val="00B0472F"/>
    <w:rsid w:val="00B06930"/>
    <w:rsid w:val="00B0773A"/>
    <w:rsid w:val="00B07955"/>
    <w:rsid w:val="00B1176B"/>
    <w:rsid w:val="00B11858"/>
    <w:rsid w:val="00B12765"/>
    <w:rsid w:val="00B13A51"/>
    <w:rsid w:val="00B140B8"/>
    <w:rsid w:val="00B14FAA"/>
    <w:rsid w:val="00B15BED"/>
    <w:rsid w:val="00B15D30"/>
    <w:rsid w:val="00B15F09"/>
    <w:rsid w:val="00B16D18"/>
    <w:rsid w:val="00B177DE"/>
    <w:rsid w:val="00B20624"/>
    <w:rsid w:val="00B21109"/>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BAA"/>
    <w:rsid w:val="00B427BB"/>
    <w:rsid w:val="00B43BA2"/>
    <w:rsid w:val="00B449EE"/>
    <w:rsid w:val="00B454AE"/>
    <w:rsid w:val="00B45F15"/>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29A6"/>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34"/>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6748"/>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0280"/>
    <w:rsid w:val="00CF158D"/>
    <w:rsid w:val="00CF2166"/>
    <w:rsid w:val="00CF4340"/>
    <w:rsid w:val="00CF4394"/>
    <w:rsid w:val="00CF48B4"/>
    <w:rsid w:val="00CF5C12"/>
    <w:rsid w:val="00CF7767"/>
    <w:rsid w:val="00CF7B72"/>
    <w:rsid w:val="00CF7FC0"/>
    <w:rsid w:val="00D000A9"/>
    <w:rsid w:val="00D00384"/>
    <w:rsid w:val="00D005DB"/>
    <w:rsid w:val="00D0064E"/>
    <w:rsid w:val="00D00981"/>
    <w:rsid w:val="00D02596"/>
    <w:rsid w:val="00D0280D"/>
    <w:rsid w:val="00D02AEF"/>
    <w:rsid w:val="00D03EC9"/>
    <w:rsid w:val="00D03F6B"/>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662"/>
    <w:rsid w:val="00D46A33"/>
    <w:rsid w:val="00D5062C"/>
    <w:rsid w:val="00D50C8C"/>
    <w:rsid w:val="00D52393"/>
    <w:rsid w:val="00D523E4"/>
    <w:rsid w:val="00D5279D"/>
    <w:rsid w:val="00D52A1B"/>
    <w:rsid w:val="00D52AA7"/>
    <w:rsid w:val="00D52FCC"/>
    <w:rsid w:val="00D53148"/>
    <w:rsid w:val="00D53F14"/>
    <w:rsid w:val="00D54BE4"/>
    <w:rsid w:val="00D54DDB"/>
    <w:rsid w:val="00D554BC"/>
    <w:rsid w:val="00D556EA"/>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0F6F"/>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7D4"/>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A3C"/>
    <w:rsid w:val="00DC4FA4"/>
    <w:rsid w:val="00DC5028"/>
    <w:rsid w:val="00DC5B37"/>
    <w:rsid w:val="00DD286D"/>
    <w:rsid w:val="00DD2CAF"/>
    <w:rsid w:val="00DD3157"/>
    <w:rsid w:val="00DD3593"/>
    <w:rsid w:val="00DD462A"/>
    <w:rsid w:val="00DD64E0"/>
    <w:rsid w:val="00DD775C"/>
    <w:rsid w:val="00DD7BE0"/>
    <w:rsid w:val="00DE0C67"/>
    <w:rsid w:val="00DE3555"/>
    <w:rsid w:val="00DE3AAD"/>
    <w:rsid w:val="00DE598A"/>
    <w:rsid w:val="00DE6952"/>
    <w:rsid w:val="00DE6FBE"/>
    <w:rsid w:val="00DE7A7D"/>
    <w:rsid w:val="00DE7E74"/>
    <w:rsid w:val="00DF071B"/>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B2D"/>
    <w:rsid w:val="00E43F59"/>
    <w:rsid w:val="00E464F0"/>
    <w:rsid w:val="00E46EF3"/>
    <w:rsid w:val="00E47370"/>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57D7"/>
    <w:rsid w:val="00E9634C"/>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3F37"/>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36928"/>
    <w:rsid w:val="00F41D91"/>
    <w:rsid w:val="00F41F52"/>
    <w:rsid w:val="00F41FA1"/>
    <w:rsid w:val="00F42363"/>
    <w:rsid w:val="00F427C4"/>
    <w:rsid w:val="00F43D6C"/>
    <w:rsid w:val="00F46964"/>
    <w:rsid w:val="00F46F9A"/>
    <w:rsid w:val="00F470FD"/>
    <w:rsid w:val="00F503EC"/>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6CA9"/>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435"/>
    <w:rsid w:val="00FC4576"/>
    <w:rsid w:val="00FC494C"/>
    <w:rsid w:val="00FC5FF5"/>
    <w:rsid w:val="00FC6285"/>
    <w:rsid w:val="00FC78FB"/>
    <w:rsid w:val="00FC7DBC"/>
    <w:rsid w:val="00FD076A"/>
    <w:rsid w:val="00FD0AA0"/>
    <w:rsid w:val="00FD1D5A"/>
    <w:rsid w:val="00FD4B85"/>
    <w:rsid w:val="00FD5059"/>
    <w:rsid w:val="00FD554D"/>
    <w:rsid w:val="00FD5BCC"/>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table" w:customStyle="1" w:styleId="TableGrid1">
    <w:name w:val="Table Grid1"/>
    <w:basedOn w:val="TableNormal"/>
    <w:next w:val="TableGrid"/>
    <w:uiPriority w:val="59"/>
    <w:rsid w:val="00912AC5"/>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10</cp:revision>
  <dcterms:created xsi:type="dcterms:W3CDTF">2012-04-02T01:59:00Z</dcterms:created>
  <dcterms:modified xsi:type="dcterms:W3CDTF">2012-04-30T16:21:00Z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