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E62F98" w:rsidRDefault="00540BEF" w:rsidP="00BF0E94">
      <w:pPr>
        <w:tabs>
          <w:tab w:val="left" w:pos="288"/>
          <w:tab w:val="left" w:pos="4752"/>
        </w:tabs>
        <w:rPr>
          <w:color w:val="auto"/>
        </w:rPr>
      </w:pPr>
      <w:r w:rsidRPr="00E62F98">
        <w:rPr>
          <w:color w:val="auto"/>
        </w:rPr>
        <w:t>RECORD OF PROCEEDINGS</w:t>
      </w:r>
    </w:p>
    <w:p w:rsidR="00540BEF" w:rsidRPr="00E62F98" w:rsidRDefault="00540BEF" w:rsidP="00BF0E94">
      <w:pPr>
        <w:tabs>
          <w:tab w:val="left" w:pos="288"/>
          <w:tab w:val="left" w:pos="4752"/>
        </w:tabs>
        <w:rPr>
          <w:color w:val="auto"/>
        </w:rPr>
      </w:pPr>
      <w:r w:rsidRPr="00E62F98">
        <w:rPr>
          <w:color w:val="auto"/>
        </w:rPr>
        <w:t>PHYSICAL DISABILITY BOARD OF REVIEW</w:t>
      </w:r>
    </w:p>
    <w:p w:rsidR="00540BEF" w:rsidRPr="00E62F98" w:rsidRDefault="00540BEF" w:rsidP="00BF0E94">
      <w:pPr>
        <w:tabs>
          <w:tab w:val="left" w:pos="288"/>
          <w:tab w:val="left" w:pos="4752"/>
        </w:tabs>
        <w:jc w:val="both"/>
        <w:rPr>
          <w:caps/>
          <w:color w:val="auto"/>
        </w:rPr>
      </w:pPr>
    </w:p>
    <w:p w:rsidR="00E0346A" w:rsidRPr="00E62F98" w:rsidRDefault="00F629C0" w:rsidP="00BF0E94">
      <w:pPr>
        <w:tabs>
          <w:tab w:val="left" w:pos="288"/>
          <w:tab w:val="left" w:pos="4752"/>
          <w:tab w:val="left" w:pos="5130"/>
          <w:tab w:val="left" w:pos="9270"/>
        </w:tabs>
        <w:jc w:val="both"/>
        <w:rPr>
          <w:caps/>
          <w:color w:val="auto"/>
        </w:rPr>
      </w:pPr>
      <w:r w:rsidRPr="00E62F98">
        <w:rPr>
          <w:caps/>
          <w:color w:val="auto"/>
        </w:rPr>
        <w:t xml:space="preserve">NAME:  </w:t>
      </w:r>
      <w:r w:rsidR="000B4007">
        <w:rPr>
          <w:caps/>
          <w:color w:val="auto"/>
        </w:rPr>
        <w:t>xxxxxxxx</w:t>
      </w:r>
      <w:r w:rsidR="004216DA" w:rsidRPr="00E62F98">
        <w:rPr>
          <w:caps/>
          <w:color w:val="auto"/>
        </w:rPr>
        <w:t xml:space="preserve">             </w:t>
      </w:r>
      <w:r w:rsidR="00332DE3" w:rsidRPr="00E62F98">
        <w:rPr>
          <w:caps/>
          <w:color w:val="auto"/>
        </w:rPr>
        <w:t xml:space="preserve"> </w:t>
      </w:r>
      <w:r w:rsidR="004216DA" w:rsidRPr="00E62F98">
        <w:rPr>
          <w:caps/>
          <w:color w:val="auto"/>
        </w:rPr>
        <w:t xml:space="preserve">  </w:t>
      </w:r>
      <w:r w:rsidR="007C179A" w:rsidRPr="00E62F98">
        <w:rPr>
          <w:caps/>
          <w:color w:val="auto"/>
        </w:rPr>
        <w:tab/>
        <w:t xml:space="preserve">                            </w:t>
      </w:r>
      <w:r w:rsidR="00414CDB" w:rsidRPr="00E62F98">
        <w:rPr>
          <w:caps/>
          <w:color w:val="auto"/>
        </w:rPr>
        <w:t xml:space="preserve">  </w:t>
      </w:r>
      <w:r w:rsidRPr="00E62F98">
        <w:rPr>
          <w:caps/>
          <w:color w:val="auto"/>
        </w:rPr>
        <w:t xml:space="preserve">BRANCH OF SERVICE: </w:t>
      </w:r>
      <w:r w:rsidR="004C24C5" w:rsidRPr="00E62F98">
        <w:rPr>
          <w:caps/>
          <w:color w:val="auto"/>
        </w:rPr>
        <w:t xml:space="preserve"> </w:t>
      </w:r>
      <w:r w:rsidR="00332DE3" w:rsidRPr="00E62F98">
        <w:rPr>
          <w:caps/>
          <w:color w:val="auto"/>
        </w:rPr>
        <w:t>Army</w:t>
      </w:r>
    </w:p>
    <w:p w:rsidR="00DE3AAD" w:rsidRPr="00E62F98" w:rsidRDefault="00012733" w:rsidP="0068098E">
      <w:pPr>
        <w:tabs>
          <w:tab w:val="left" w:pos="288"/>
          <w:tab w:val="left" w:pos="4166"/>
          <w:tab w:val="left" w:pos="4752"/>
          <w:tab w:val="left" w:pos="5130"/>
          <w:tab w:val="left" w:pos="9270"/>
        </w:tabs>
        <w:jc w:val="both"/>
        <w:rPr>
          <w:caps/>
          <w:color w:val="auto"/>
        </w:rPr>
      </w:pPr>
      <w:r w:rsidRPr="00E62F98">
        <w:rPr>
          <w:caps/>
          <w:color w:val="auto"/>
        </w:rPr>
        <w:t>C</w:t>
      </w:r>
      <w:r w:rsidR="00DE3AAD" w:rsidRPr="00E62F98">
        <w:rPr>
          <w:caps/>
          <w:color w:val="auto"/>
        </w:rPr>
        <w:t>ASE NUMBER:  PD</w:t>
      </w:r>
      <w:r w:rsidR="008F58E1" w:rsidRPr="00E62F98">
        <w:rPr>
          <w:caps/>
          <w:color w:val="auto"/>
        </w:rPr>
        <w:t>11</w:t>
      </w:r>
      <w:r w:rsidR="00DE3AAD" w:rsidRPr="00E62F98">
        <w:rPr>
          <w:caps/>
          <w:color w:val="auto"/>
        </w:rPr>
        <w:t>00</w:t>
      </w:r>
      <w:r w:rsidR="00A00093" w:rsidRPr="00E62F98">
        <w:rPr>
          <w:caps/>
          <w:color w:val="auto"/>
        </w:rPr>
        <w:t>251</w:t>
      </w:r>
      <w:r w:rsidR="00DE3AAD" w:rsidRPr="00E62F98">
        <w:rPr>
          <w:color w:val="auto"/>
        </w:rPr>
        <w:t xml:space="preserve"> </w:t>
      </w:r>
      <w:r w:rsidR="00DE3AAD" w:rsidRPr="00E62F98">
        <w:rPr>
          <w:color w:val="auto"/>
        </w:rPr>
        <w:tab/>
      </w:r>
      <w:r w:rsidR="0068098E" w:rsidRPr="00E62F98">
        <w:rPr>
          <w:color w:val="auto"/>
        </w:rPr>
        <w:tab/>
      </w:r>
      <w:r w:rsidR="00DE3AAD" w:rsidRPr="00E62F98">
        <w:rPr>
          <w:color w:val="auto"/>
        </w:rPr>
        <w:t xml:space="preserve">         </w:t>
      </w:r>
      <w:r w:rsidR="00E0346A" w:rsidRPr="00E62F98">
        <w:rPr>
          <w:color w:val="auto"/>
        </w:rPr>
        <w:t xml:space="preserve">                  </w:t>
      </w:r>
      <w:r w:rsidR="00BB2BA7" w:rsidRPr="00E62F98">
        <w:rPr>
          <w:color w:val="auto"/>
        </w:rPr>
        <w:t xml:space="preserve"> </w:t>
      </w:r>
      <w:r w:rsidR="00E0346A" w:rsidRPr="00E62F98">
        <w:rPr>
          <w:color w:val="auto"/>
        </w:rPr>
        <w:t xml:space="preserve">  </w:t>
      </w:r>
      <w:r w:rsidR="00DE3AAD" w:rsidRPr="00E62F98">
        <w:rPr>
          <w:color w:val="auto"/>
        </w:rPr>
        <w:t>SEPARATION DATE:  200</w:t>
      </w:r>
      <w:r w:rsidR="00A00093" w:rsidRPr="00E62F98">
        <w:rPr>
          <w:color w:val="auto"/>
        </w:rPr>
        <w:t>70629</w:t>
      </w:r>
    </w:p>
    <w:p w:rsidR="003B2143" w:rsidRPr="00E62F98" w:rsidRDefault="004F3639" w:rsidP="00BF0E94">
      <w:pPr>
        <w:tabs>
          <w:tab w:val="left" w:pos="288"/>
          <w:tab w:val="left" w:pos="5130"/>
        </w:tabs>
        <w:jc w:val="both"/>
        <w:rPr>
          <w:color w:val="auto"/>
        </w:rPr>
      </w:pPr>
      <w:r w:rsidRPr="00E62F98">
        <w:rPr>
          <w:caps/>
          <w:color w:val="auto"/>
        </w:rPr>
        <w:t>BOARD DATE:  201</w:t>
      </w:r>
      <w:r w:rsidR="007C179A" w:rsidRPr="00E62F98">
        <w:rPr>
          <w:caps/>
          <w:color w:val="auto"/>
        </w:rPr>
        <w:t>2</w:t>
      </w:r>
      <w:r w:rsidR="00D172BA" w:rsidRPr="00E62F98">
        <w:rPr>
          <w:caps/>
          <w:color w:val="auto"/>
        </w:rPr>
        <w:t>0403</w:t>
      </w:r>
    </w:p>
    <w:p w:rsidR="007C179A" w:rsidRPr="00E62F98" w:rsidRDefault="007C179A" w:rsidP="007C179A">
      <w:pPr>
        <w:pBdr>
          <w:bottom w:val="single" w:sz="12" w:space="1" w:color="auto"/>
        </w:pBdr>
        <w:tabs>
          <w:tab w:val="left" w:pos="288"/>
          <w:tab w:val="left" w:pos="4752"/>
        </w:tabs>
        <w:jc w:val="both"/>
        <w:rPr>
          <w:color w:val="auto"/>
        </w:rPr>
      </w:pPr>
    </w:p>
    <w:p w:rsidR="007C179A" w:rsidRPr="00E62F98" w:rsidRDefault="007C179A" w:rsidP="007C179A">
      <w:pPr>
        <w:tabs>
          <w:tab w:val="left" w:pos="288"/>
          <w:tab w:val="left" w:pos="4752"/>
        </w:tabs>
        <w:jc w:val="both"/>
        <w:rPr>
          <w:color w:val="auto"/>
        </w:rPr>
      </w:pPr>
    </w:p>
    <w:p w:rsidR="00F63FC7" w:rsidRPr="00E62F98" w:rsidRDefault="00FB0E80" w:rsidP="00BF0E94">
      <w:pPr>
        <w:tabs>
          <w:tab w:val="left" w:pos="288"/>
          <w:tab w:val="left" w:pos="4752"/>
        </w:tabs>
        <w:jc w:val="both"/>
        <w:rPr>
          <w:color w:val="auto"/>
          <w:szCs w:val="24"/>
        </w:rPr>
      </w:pPr>
      <w:r w:rsidRPr="00E62F98">
        <w:rPr>
          <w:color w:val="auto"/>
          <w:u w:val="single"/>
        </w:rPr>
        <w:t>SUMMARY OF CASE</w:t>
      </w:r>
      <w:r w:rsidRPr="00E62F98">
        <w:rPr>
          <w:color w:val="auto"/>
        </w:rPr>
        <w:t xml:space="preserve">:  </w:t>
      </w:r>
      <w:r w:rsidR="009759C2" w:rsidRPr="00E62F98">
        <w:rPr>
          <w:color w:val="auto"/>
        </w:rPr>
        <w:t>Data extracted from the available evidence of record reflects that this covered individual (CI)</w:t>
      </w:r>
      <w:r w:rsidR="00570754" w:rsidRPr="00E62F98">
        <w:rPr>
          <w:color w:val="auto"/>
        </w:rPr>
        <w:t xml:space="preserve"> </w:t>
      </w:r>
      <w:r w:rsidR="002C6E5B" w:rsidRPr="00E62F98">
        <w:rPr>
          <w:color w:val="auto"/>
          <w:szCs w:val="24"/>
        </w:rPr>
        <w:t xml:space="preserve">was </w:t>
      </w:r>
      <w:r w:rsidR="00A00093" w:rsidRPr="00E62F98">
        <w:rPr>
          <w:color w:val="auto"/>
          <w:szCs w:val="24"/>
        </w:rPr>
        <w:t>a</w:t>
      </w:r>
      <w:r w:rsidR="00E322F7" w:rsidRPr="00E62F98">
        <w:rPr>
          <w:color w:val="auto"/>
          <w:szCs w:val="24"/>
        </w:rPr>
        <w:t xml:space="preserve"> </w:t>
      </w:r>
      <w:r w:rsidR="006D4E0E" w:rsidRPr="00E62F98">
        <w:rPr>
          <w:color w:val="auto"/>
          <w:szCs w:val="24"/>
        </w:rPr>
        <w:t xml:space="preserve">National Guard </w:t>
      </w:r>
      <w:r w:rsidR="00661BA2" w:rsidRPr="00E62F98">
        <w:rPr>
          <w:color w:val="auto"/>
          <w:szCs w:val="24"/>
        </w:rPr>
        <w:t>SGT/E-5</w:t>
      </w:r>
      <w:r w:rsidR="00705C40" w:rsidRPr="00E62F98">
        <w:rPr>
          <w:color w:val="auto"/>
          <w:szCs w:val="24"/>
        </w:rPr>
        <w:t xml:space="preserve"> (</w:t>
      </w:r>
      <w:r w:rsidR="00A00093" w:rsidRPr="00E62F98">
        <w:rPr>
          <w:color w:val="auto"/>
          <w:szCs w:val="24"/>
        </w:rPr>
        <w:t>88M20</w:t>
      </w:r>
      <w:r w:rsidR="0015674C">
        <w:rPr>
          <w:color w:val="auto"/>
          <w:szCs w:val="24"/>
        </w:rPr>
        <w:t>/</w:t>
      </w:r>
      <w:r w:rsidR="00A00093" w:rsidRPr="00E62F98">
        <w:rPr>
          <w:color w:val="auto"/>
          <w:szCs w:val="24"/>
        </w:rPr>
        <w:t>Motor Transport Operations</w:t>
      </w:r>
      <w:r w:rsidR="00E322F7" w:rsidRPr="00E62F98">
        <w:rPr>
          <w:color w:val="auto"/>
          <w:szCs w:val="24"/>
        </w:rPr>
        <w:t>)</w:t>
      </w:r>
      <w:r w:rsidR="00C75F3D" w:rsidRPr="00E62F98">
        <w:rPr>
          <w:color w:val="auto"/>
          <w:szCs w:val="24"/>
        </w:rPr>
        <w:t xml:space="preserve">, </w:t>
      </w:r>
      <w:r w:rsidR="002C6E5B" w:rsidRPr="00E62F98">
        <w:rPr>
          <w:color w:val="auto"/>
          <w:szCs w:val="24"/>
        </w:rPr>
        <w:t xml:space="preserve">medically separated for </w:t>
      </w:r>
      <w:r w:rsidR="00D02985" w:rsidRPr="00E62F98">
        <w:rPr>
          <w:color w:val="auto"/>
          <w:szCs w:val="24"/>
        </w:rPr>
        <w:t>chronic neck pain secondary to degenerative arthritis and multilevel degenerative disc disease</w:t>
      </w:r>
      <w:r w:rsidR="00C376ED">
        <w:rPr>
          <w:color w:val="auto"/>
          <w:szCs w:val="24"/>
        </w:rPr>
        <w:t xml:space="preserve"> (DDD)</w:t>
      </w:r>
      <w:r w:rsidR="00D02985" w:rsidRPr="00E62F98">
        <w:rPr>
          <w:color w:val="auto"/>
          <w:szCs w:val="24"/>
        </w:rPr>
        <w:t>.</w:t>
      </w:r>
      <w:r w:rsidR="00FF4881" w:rsidRPr="00E62F98">
        <w:rPr>
          <w:color w:val="auto"/>
          <w:szCs w:val="24"/>
        </w:rPr>
        <w:t xml:space="preserve">  </w:t>
      </w:r>
      <w:r w:rsidR="002547A2" w:rsidRPr="00E62F98">
        <w:rPr>
          <w:color w:val="auto"/>
          <w:szCs w:val="24"/>
        </w:rPr>
        <w:t>In June 2004, while deployed to Iraq, t</w:t>
      </w:r>
      <w:r w:rsidR="00FF4881" w:rsidRPr="00E62F98">
        <w:rPr>
          <w:color w:val="auto"/>
          <w:szCs w:val="24"/>
        </w:rPr>
        <w:t xml:space="preserve">he CI </w:t>
      </w:r>
      <w:r w:rsidR="002547A2" w:rsidRPr="00E62F98">
        <w:rPr>
          <w:color w:val="auto"/>
          <w:szCs w:val="24"/>
        </w:rPr>
        <w:t xml:space="preserve">developed </w:t>
      </w:r>
      <w:r w:rsidR="00002A61" w:rsidRPr="00E62F98">
        <w:rPr>
          <w:color w:val="auto"/>
          <w:szCs w:val="24"/>
        </w:rPr>
        <w:t>symptoms of chronic neck pain</w:t>
      </w:r>
      <w:r w:rsidR="002547A2" w:rsidRPr="00E62F98">
        <w:rPr>
          <w:color w:val="auto"/>
          <w:szCs w:val="24"/>
        </w:rPr>
        <w:t xml:space="preserve">, aggravated by wear of his Kevlar helmet and his full combat load.  He was medically evacuated out of theater for further evaluation of his symptoms in December 2004, but then returned to Iraq to complete the deployment with his unit.  Upon redeployment to CONUS in June 2005, the CI began physical therapy treatment with traction and use of a </w:t>
      </w:r>
      <w:r w:rsidR="00002A61" w:rsidRPr="00E62F98">
        <w:rPr>
          <w:color w:val="auto"/>
          <w:szCs w:val="24"/>
        </w:rPr>
        <w:t>transcutaneous electrical nerve stimulation</w:t>
      </w:r>
      <w:r w:rsidR="002547A2" w:rsidRPr="00E62F98">
        <w:rPr>
          <w:color w:val="auto"/>
          <w:szCs w:val="24"/>
        </w:rPr>
        <w:t xml:space="preserve"> unit.  Despite conservative treatment, his symptoms did not improve and neurosurgery evaluation determined that he was not a surgical candidate.  </w:t>
      </w:r>
      <w:r w:rsidR="00643C8F" w:rsidRPr="00E62F98">
        <w:rPr>
          <w:color w:val="auto"/>
          <w:szCs w:val="24"/>
        </w:rPr>
        <w:t xml:space="preserve">He did not respond adequately to treatment and was unable to perform within his Military Occupational Specialty (MOS).  He was issued a permanent </w:t>
      </w:r>
      <w:r w:rsidR="00A00093" w:rsidRPr="00E62F98">
        <w:rPr>
          <w:color w:val="auto"/>
          <w:szCs w:val="24"/>
        </w:rPr>
        <w:t>U3/L2/H2</w:t>
      </w:r>
      <w:r w:rsidR="00643C8F" w:rsidRPr="00E62F98">
        <w:rPr>
          <w:color w:val="auto"/>
          <w:szCs w:val="24"/>
        </w:rPr>
        <w:t xml:space="preserve"> profile </w:t>
      </w:r>
      <w:proofErr w:type="gramStart"/>
      <w:r w:rsidR="00643C8F" w:rsidRPr="00E62F98">
        <w:rPr>
          <w:color w:val="auto"/>
          <w:szCs w:val="24"/>
        </w:rPr>
        <w:t>and</w:t>
      </w:r>
      <w:proofErr w:type="gramEnd"/>
      <w:r w:rsidR="00643C8F" w:rsidRPr="00E62F98">
        <w:rPr>
          <w:color w:val="auto"/>
          <w:szCs w:val="24"/>
        </w:rPr>
        <w:t xml:space="preserve"> underwent a Medical Evaluation Board (MEB).</w:t>
      </w:r>
      <w:r w:rsidR="002547A2" w:rsidRPr="00E62F98">
        <w:rPr>
          <w:color w:val="auto"/>
          <w:szCs w:val="24"/>
        </w:rPr>
        <w:t xml:space="preserve">  </w:t>
      </w:r>
      <w:r w:rsidR="00A916E6" w:rsidRPr="00E62F98">
        <w:rPr>
          <w:color w:val="auto"/>
          <w:szCs w:val="24"/>
        </w:rPr>
        <w:t>“</w:t>
      </w:r>
      <w:r w:rsidR="00A00093" w:rsidRPr="00E62F98">
        <w:rPr>
          <w:color w:val="auto"/>
          <w:szCs w:val="24"/>
        </w:rPr>
        <w:t xml:space="preserve">Chronic </w:t>
      </w:r>
      <w:r w:rsidR="002568B5" w:rsidRPr="00E62F98">
        <w:rPr>
          <w:color w:val="auto"/>
          <w:szCs w:val="24"/>
        </w:rPr>
        <w:t xml:space="preserve">neck pain with </w:t>
      </w:r>
      <w:r w:rsidR="00C376ED">
        <w:rPr>
          <w:color w:val="auto"/>
          <w:szCs w:val="24"/>
        </w:rPr>
        <w:t>DDD</w:t>
      </w:r>
      <w:r w:rsidR="0015674C">
        <w:rPr>
          <w:color w:val="auto"/>
          <w:szCs w:val="24"/>
        </w:rPr>
        <w:t xml:space="preserve"> </w:t>
      </w:r>
      <w:r w:rsidR="0034525B" w:rsidRPr="00E62F98">
        <w:rPr>
          <w:color w:val="auto"/>
          <w:szCs w:val="24"/>
        </w:rPr>
        <w:t xml:space="preserve">without </w:t>
      </w:r>
      <w:proofErr w:type="spellStart"/>
      <w:r w:rsidR="0034525B" w:rsidRPr="00E62F98">
        <w:rPr>
          <w:color w:val="auto"/>
          <w:szCs w:val="24"/>
        </w:rPr>
        <w:t>radiculopathy</w:t>
      </w:r>
      <w:proofErr w:type="spellEnd"/>
      <w:r w:rsidR="0034525B" w:rsidRPr="00E62F98">
        <w:rPr>
          <w:color w:val="auto"/>
          <w:szCs w:val="24"/>
        </w:rPr>
        <w:t>/</w:t>
      </w:r>
      <w:proofErr w:type="spellStart"/>
      <w:r w:rsidR="0034525B" w:rsidRPr="00E62F98">
        <w:rPr>
          <w:color w:val="auto"/>
          <w:szCs w:val="24"/>
        </w:rPr>
        <w:t>myelopathy</w:t>
      </w:r>
      <w:proofErr w:type="spellEnd"/>
      <w:r w:rsidR="00A916E6" w:rsidRPr="00E62F98">
        <w:rPr>
          <w:color w:val="auto"/>
          <w:szCs w:val="24"/>
        </w:rPr>
        <w:t>”</w:t>
      </w:r>
      <w:r w:rsidR="0034525B" w:rsidRPr="00E62F98">
        <w:rPr>
          <w:color w:val="auto"/>
          <w:szCs w:val="24"/>
        </w:rPr>
        <w:t xml:space="preserve"> </w:t>
      </w:r>
      <w:r w:rsidR="00A00093" w:rsidRPr="00E62F98">
        <w:rPr>
          <w:color w:val="auto"/>
          <w:szCs w:val="24"/>
        </w:rPr>
        <w:t>was</w:t>
      </w:r>
      <w:r w:rsidR="000A33C8" w:rsidRPr="00E62F98">
        <w:rPr>
          <w:color w:val="auto"/>
          <w:szCs w:val="24"/>
        </w:rPr>
        <w:t xml:space="preserve"> forwarded to the Physical Evaluation Board (PEB) as medically unacceptable IAW AR 40-501</w:t>
      </w:r>
      <w:r w:rsidR="00376E08" w:rsidRPr="00E62F98">
        <w:rPr>
          <w:color w:val="auto"/>
          <w:szCs w:val="24"/>
        </w:rPr>
        <w:t>.</w:t>
      </w:r>
      <w:r w:rsidR="002547A2" w:rsidRPr="00E62F98">
        <w:rPr>
          <w:color w:val="auto"/>
          <w:szCs w:val="24"/>
        </w:rPr>
        <w:t xml:space="preserve">  </w:t>
      </w:r>
      <w:r w:rsidR="00A00093" w:rsidRPr="00E62F98">
        <w:rPr>
          <w:color w:val="auto"/>
          <w:szCs w:val="24"/>
        </w:rPr>
        <w:t>Seven</w:t>
      </w:r>
      <w:r w:rsidR="009C5C56" w:rsidRPr="00E62F98">
        <w:rPr>
          <w:color w:val="auto"/>
          <w:szCs w:val="24"/>
        </w:rPr>
        <w:t xml:space="preserve"> </w:t>
      </w:r>
      <w:r w:rsidR="00954E5B" w:rsidRPr="00E62F98">
        <w:rPr>
          <w:color w:val="auto"/>
          <w:szCs w:val="24"/>
        </w:rPr>
        <w:t xml:space="preserve">other conditions, as identified in the rating chart below, were forwarded on the </w:t>
      </w:r>
      <w:r w:rsidR="00B04562" w:rsidRPr="00E62F98">
        <w:rPr>
          <w:color w:val="auto"/>
          <w:szCs w:val="24"/>
        </w:rPr>
        <w:t xml:space="preserve">MEB submission </w:t>
      </w:r>
      <w:r w:rsidR="00954E5B" w:rsidRPr="00E62F98">
        <w:rPr>
          <w:color w:val="auto"/>
          <w:szCs w:val="24"/>
        </w:rPr>
        <w:t xml:space="preserve">as </w:t>
      </w:r>
      <w:r w:rsidR="00D65525" w:rsidRPr="00E62F98">
        <w:rPr>
          <w:color w:val="auto"/>
          <w:szCs w:val="24"/>
        </w:rPr>
        <w:t>meeting retention standards.</w:t>
      </w:r>
      <w:r w:rsidR="002547A2" w:rsidRPr="00E62F98">
        <w:rPr>
          <w:color w:val="auto"/>
          <w:szCs w:val="24"/>
        </w:rPr>
        <w:t xml:space="preserve">  </w:t>
      </w:r>
      <w:r w:rsidR="00842BAA" w:rsidRPr="00E62F98">
        <w:rPr>
          <w:color w:val="auto"/>
          <w:szCs w:val="24"/>
        </w:rPr>
        <w:t xml:space="preserve">The PEB adjudicated the </w:t>
      </w:r>
      <w:r w:rsidR="0034525B" w:rsidRPr="00E62F98">
        <w:rPr>
          <w:color w:val="auto"/>
          <w:szCs w:val="24"/>
        </w:rPr>
        <w:t xml:space="preserve">chronic neck pain (secondary to degenerative arthritis and multilevel </w:t>
      </w:r>
      <w:r w:rsidR="0015674C">
        <w:rPr>
          <w:color w:val="auto"/>
          <w:szCs w:val="24"/>
        </w:rPr>
        <w:t>DDD</w:t>
      </w:r>
      <w:r w:rsidR="0034525B" w:rsidRPr="00E62F98">
        <w:rPr>
          <w:color w:val="auto"/>
          <w:szCs w:val="24"/>
        </w:rPr>
        <w:t>) condition</w:t>
      </w:r>
      <w:r w:rsidR="00842BAA" w:rsidRPr="00E62F98">
        <w:rPr>
          <w:color w:val="auto"/>
          <w:szCs w:val="24"/>
        </w:rPr>
        <w:t xml:space="preserve"> as unfitting, rated </w:t>
      </w:r>
      <w:r w:rsidR="00A00093" w:rsidRPr="00E62F98">
        <w:rPr>
          <w:color w:val="auto"/>
          <w:szCs w:val="24"/>
        </w:rPr>
        <w:t>10</w:t>
      </w:r>
      <w:r w:rsidR="00842BAA" w:rsidRPr="00E62F98">
        <w:rPr>
          <w:color w:val="auto"/>
          <w:szCs w:val="24"/>
        </w:rPr>
        <w:t xml:space="preserve">%; with </w:t>
      </w:r>
      <w:r w:rsidR="00A916E6" w:rsidRPr="00E62F98">
        <w:rPr>
          <w:color w:val="auto"/>
          <w:szCs w:val="24"/>
        </w:rPr>
        <w:t xml:space="preserve">likely </w:t>
      </w:r>
      <w:r w:rsidR="00842BAA" w:rsidRPr="00E62F98">
        <w:rPr>
          <w:color w:val="auto"/>
          <w:szCs w:val="24"/>
        </w:rPr>
        <w:t>application of the US Army Physical Disability Agency (USAPDA) pain policy.</w:t>
      </w:r>
      <w:r w:rsidR="00A62550" w:rsidRPr="00E62F98">
        <w:rPr>
          <w:color w:val="auto"/>
          <w:szCs w:val="24"/>
        </w:rPr>
        <w:t xml:space="preserve">  The CI appealed to </w:t>
      </w:r>
      <w:r w:rsidR="002429D5">
        <w:rPr>
          <w:color w:val="auto"/>
          <w:szCs w:val="24"/>
        </w:rPr>
        <w:t>a</w:t>
      </w:r>
      <w:r w:rsidR="00A62550" w:rsidRPr="00E62F98">
        <w:rPr>
          <w:color w:val="auto"/>
          <w:szCs w:val="24"/>
        </w:rPr>
        <w:t xml:space="preserve"> Formal PEB </w:t>
      </w:r>
      <w:r w:rsidR="0015674C">
        <w:rPr>
          <w:color w:val="auto"/>
          <w:szCs w:val="24"/>
        </w:rPr>
        <w:t xml:space="preserve">(FPEB) </w:t>
      </w:r>
      <w:r w:rsidR="00A62550" w:rsidRPr="00E62F98">
        <w:rPr>
          <w:color w:val="auto"/>
          <w:szCs w:val="24"/>
        </w:rPr>
        <w:t xml:space="preserve">and requested </w:t>
      </w:r>
      <w:r w:rsidR="0015674C">
        <w:rPr>
          <w:color w:val="auto"/>
          <w:szCs w:val="24"/>
        </w:rPr>
        <w:t>c</w:t>
      </w:r>
      <w:r w:rsidR="00A62550" w:rsidRPr="00E62F98">
        <w:rPr>
          <w:color w:val="auto"/>
          <w:szCs w:val="24"/>
        </w:rPr>
        <w:t xml:space="preserve">ontinuance on </w:t>
      </w:r>
      <w:r w:rsidR="0015674C">
        <w:rPr>
          <w:color w:val="auto"/>
          <w:szCs w:val="24"/>
        </w:rPr>
        <w:t>a</w:t>
      </w:r>
      <w:r w:rsidR="00A62550" w:rsidRPr="00E62F98">
        <w:rPr>
          <w:color w:val="auto"/>
          <w:szCs w:val="24"/>
        </w:rPr>
        <w:t xml:space="preserve">ctive </w:t>
      </w:r>
      <w:r w:rsidR="002429D5">
        <w:rPr>
          <w:color w:val="auto"/>
          <w:szCs w:val="24"/>
        </w:rPr>
        <w:t>R</w:t>
      </w:r>
      <w:r w:rsidR="00A62550" w:rsidRPr="00E62F98">
        <w:rPr>
          <w:color w:val="auto"/>
          <w:szCs w:val="24"/>
        </w:rPr>
        <w:t xml:space="preserve">eserve (COAR) </w:t>
      </w:r>
      <w:r w:rsidR="0015674C">
        <w:rPr>
          <w:color w:val="auto"/>
          <w:szCs w:val="24"/>
        </w:rPr>
        <w:t>s</w:t>
      </w:r>
      <w:r w:rsidR="00A62550" w:rsidRPr="00E62F98">
        <w:rPr>
          <w:color w:val="auto"/>
          <w:szCs w:val="24"/>
        </w:rPr>
        <w:t xml:space="preserve">tatus, but </w:t>
      </w:r>
      <w:r w:rsidR="00FB7BE8" w:rsidRPr="00E62F98">
        <w:rPr>
          <w:color w:val="auto"/>
          <w:szCs w:val="24"/>
        </w:rPr>
        <w:t>subsequently</w:t>
      </w:r>
      <w:r w:rsidR="00A62550" w:rsidRPr="00E62F98">
        <w:rPr>
          <w:color w:val="auto"/>
          <w:szCs w:val="24"/>
        </w:rPr>
        <w:t xml:space="preserve"> withdrew both</w:t>
      </w:r>
      <w:r w:rsidR="00FB7BE8" w:rsidRPr="00E62F98">
        <w:rPr>
          <w:color w:val="auto"/>
          <w:szCs w:val="24"/>
        </w:rPr>
        <w:t xml:space="preserve"> requests.  </w:t>
      </w:r>
      <w:r w:rsidR="00FB7BE8" w:rsidRPr="00E62F98">
        <w:rPr>
          <w:color w:val="auto"/>
        </w:rPr>
        <w:t>He</w:t>
      </w:r>
      <w:r w:rsidR="00B20624" w:rsidRPr="00E62F98">
        <w:rPr>
          <w:color w:val="auto"/>
        </w:rPr>
        <w:t xml:space="preserve"> was medically separated with a </w:t>
      </w:r>
      <w:r w:rsidR="00833475" w:rsidRPr="00E62F98">
        <w:rPr>
          <w:color w:val="auto"/>
        </w:rPr>
        <w:t>10</w:t>
      </w:r>
      <w:r w:rsidR="00B20624" w:rsidRPr="00E62F98">
        <w:rPr>
          <w:color w:val="auto"/>
        </w:rPr>
        <w:t>% combined disability rating.</w:t>
      </w:r>
    </w:p>
    <w:p w:rsidR="004174F0" w:rsidRPr="00E62F98" w:rsidRDefault="004174F0" w:rsidP="00BF0E94">
      <w:pPr>
        <w:pBdr>
          <w:bottom w:val="single" w:sz="12" w:space="1" w:color="auto"/>
        </w:pBdr>
        <w:tabs>
          <w:tab w:val="left" w:pos="288"/>
          <w:tab w:val="left" w:pos="4752"/>
        </w:tabs>
        <w:jc w:val="both"/>
        <w:rPr>
          <w:color w:val="auto"/>
        </w:rPr>
      </w:pPr>
    </w:p>
    <w:p w:rsidR="004174F0" w:rsidRPr="00E62F98" w:rsidRDefault="004174F0" w:rsidP="00BF0E94">
      <w:pPr>
        <w:tabs>
          <w:tab w:val="left" w:pos="288"/>
          <w:tab w:val="left" w:pos="4752"/>
        </w:tabs>
        <w:jc w:val="both"/>
        <w:rPr>
          <w:color w:val="auto"/>
        </w:rPr>
      </w:pPr>
    </w:p>
    <w:p w:rsidR="00085D7B" w:rsidRPr="00E62F98" w:rsidRDefault="002C6E5B" w:rsidP="00833475">
      <w:pPr>
        <w:tabs>
          <w:tab w:val="left" w:pos="288"/>
          <w:tab w:val="left" w:pos="4752"/>
        </w:tabs>
        <w:jc w:val="both"/>
        <w:rPr>
          <w:color w:val="auto"/>
        </w:rPr>
      </w:pPr>
      <w:r w:rsidRPr="00E62F98">
        <w:rPr>
          <w:color w:val="auto"/>
          <w:u w:val="single"/>
        </w:rPr>
        <w:t>CI CONTENTION</w:t>
      </w:r>
      <w:r w:rsidRPr="00E62F98">
        <w:rPr>
          <w:color w:val="auto"/>
        </w:rPr>
        <w:t>:</w:t>
      </w:r>
      <w:r w:rsidR="00833475" w:rsidRPr="00E62F98">
        <w:rPr>
          <w:color w:val="auto"/>
        </w:rPr>
        <w:t xml:space="preserve"> </w:t>
      </w:r>
      <w:r w:rsidR="007C179A" w:rsidRPr="00E62F98">
        <w:rPr>
          <w:color w:val="auto"/>
        </w:rPr>
        <w:t xml:space="preserve"> </w:t>
      </w:r>
      <w:r w:rsidR="00833475" w:rsidRPr="00E62F98">
        <w:rPr>
          <w:color w:val="auto"/>
        </w:rPr>
        <w:t xml:space="preserve">“The Army only gave me 10% for the chronic neck pain associated with the degenerative dise disease. </w:t>
      </w:r>
      <w:r w:rsidR="00BB2BA7" w:rsidRPr="00E62F98">
        <w:rPr>
          <w:color w:val="auto"/>
        </w:rPr>
        <w:t xml:space="preserve"> </w:t>
      </w:r>
      <w:proofErr w:type="gramStart"/>
      <w:r w:rsidR="00833475" w:rsidRPr="00E62F98">
        <w:rPr>
          <w:color w:val="auto"/>
        </w:rPr>
        <w:t>As the V.A. has awarded me 20%.</w:t>
      </w:r>
      <w:proofErr w:type="gramEnd"/>
      <w:r w:rsidR="00833475" w:rsidRPr="00E62F98">
        <w:rPr>
          <w:color w:val="auto"/>
        </w:rPr>
        <w:t xml:space="preserve"> </w:t>
      </w:r>
      <w:r w:rsidR="00BB2BA7" w:rsidRPr="00E62F98">
        <w:rPr>
          <w:color w:val="auto"/>
        </w:rPr>
        <w:t xml:space="preserve"> </w:t>
      </w:r>
      <w:r w:rsidR="00833475" w:rsidRPr="00E62F98">
        <w:rPr>
          <w:color w:val="auto"/>
        </w:rPr>
        <w:t xml:space="preserve">And the Army does not recognize the 20% for the left hand neuropathy. </w:t>
      </w:r>
      <w:r w:rsidR="00BB2BA7" w:rsidRPr="00E62F98">
        <w:rPr>
          <w:color w:val="auto"/>
        </w:rPr>
        <w:t xml:space="preserve"> </w:t>
      </w:r>
      <w:r w:rsidR="00833475" w:rsidRPr="00E62F98">
        <w:rPr>
          <w:color w:val="auto"/>
        </w:rPr>
        <w:t xml:space="preserve">Also with a truck driving MOS can the Army provide 120-V electric power for my C-PAP while I'm in the field, and or </w:t>
      </w:r>
      <w:proofErr w:type="gramStart"/>
      <w:r w:rsidR="00833475" w:rsidRPr="00E62F98">
        <w:rPr>
          <w:color w:val="auto"/>
        </w:rPr>
        <w:t>battlefield.</w:t>
      </w:r>
      <w:proofErr w:type="gramEnd"/>
      <w:r w:rsidR="00833475" w:rsidRPr="00E62F98">
        <w:rPr>
          <w:color w:val="auto"/>
        </w:rPr>
        <w:t>”</w:t>
      </w:r>
    </w:p>
    <w:p w:rsidR="004174F0" w:rsidRPr="00E62F98" w:rsidRDefault="004174F0" w:rsidP="00BF0E94">
      <w:pPr>
        <w:pBdr>
          <w:bottom w:val="single" w:sz="12" w:space="1" w:color="auto"/>
        </w:pBdr>
        <w:tabs>
          <w:tab w:val="left" w:pos="288"/>
          <w:tab w:val="left" w:pos="4752"/>
        </w:tabs>
        <w:jc w:val="both"/>
        <w:rPr>
          <w:color w:val="auto"/>
        </w:rPr>
      </w:pPr>
    </w:p>
    <w:p w:rsidR="00317769" w:rsidRPr="00E62F98" w:rsidRDefault="00317769" w:rsidP="00D65525">
      <w:pPr>
        <w:jc w:val="both"/>
        <w:rPr>
          <w:color w:val="auto"/>
          <w:u w:val="single"/>
        </w:rPr>
      </w:pPr>
    </w:p>
    <w:p w:rsidR="001537D8" w:rsidRPr="00E62F98" w:rsidRDefault="00317769" w:rsidP="00D65525">
      <w:pPr>
        <w:jc w:val="both"/>
        <w:rPr>
          <w:color w:val="auto"/>
          <w:u w:val="single"/>
        </w:rPr>
      </w:pPr>
      <w:r w:rsidRPr="00E62F98">
        <w:rPr>
          <w:color w:val="auto"/>
          <w:u w:val="single"/>
        </w:rPr>
        <w:br w:type="page"/>
      </w:r>
      <w:r w:rsidR="007F0AB7" w:rsidRPr="00E62F98">
        <w:rPr>
          <w:color w:val="auto"/>
          <w:u w:val="single"/>
        </w:rPr>
        <w:lastRenderedPageBreak/>
        <w:t>R</w:t>
      </w:r>
      <w:r w:rsidR="002C6E5B" w:rsidRPr="00E62F98">
        <w:rPr>
          <w:color w:val="auto"/>
          <w:u w:val="single"/>
        </w:rPr>
        <w:t>ATING COMPARISON</w:t>
      </w:r>
      <w:r w:rsidR="002C6E5B" w:rsidRPr="00E62F98">
        <w:rPr>
          <w:color w:val="auto"/>
        </w:rPr>
        <w:t>:</w:t>
      </w:r>
      <w:r w:rsidR="0034525B" w:rsidRPr="00E62F98">
        <w:rPr>
          <w:color w:val="auto"/>
        </w:rPr>
        <w:t xml:space="preserve">  </w:t>
      </w:r>
    </w:p>
    <w:p w:rsidR="002151AB" w:rsidRPr="00E62F98" w:rsidRDefault="002151AB" w:rsidP="00833475">
      <w:pPr>
        <w:jc w:val="both"/>
        <w:rPr>
          <w:color w:val="auto"/>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810"/>
        <w:gridCol w:w="810"/>
        <w:gridCol w:w="2610"/>
        <w:gridCol w:w="1080"/>
        <w:gridCol w:w="720"/>
        <w:gridCol w:w="990"/>
      </w:tblGrid>
      <w:tr w:rsidR="002B4E22" w:rsidRPr="00E62F98" w:rsidTr="007C179A">
        <w:trPr>
          <w:trHeight w:val="233"/>
          <w:jc w:val="center"/>
        </w:trPr>
        <w:tc>
          <w:tcPr>
            <w:tcW w:w="3978" w:type="dxa"/>
            <w:gridSpan w:val="3"/>
            <w:tcBorders>
              <w:right w:val="thinThickThinSmallGap" w:sz="24" w:space="0" w:color="auto"/>
            </w:tcBorders>
            <w:shd w:val="clear" w:color="auto" w:fill="D9D9D9"/>
            <w:vAlign w:val="center"/>
          </w:tcPr>
          <w:p w:rsidR="002B4E22" w:rsidRPr="00E62F98" w:rsidRDefault="00B731E4" w:rsidP="007C179A">
            <w:pPr>
              <w:spacing w:line="180" w:lineRule="exact"/>
              <w:contextualSpacing/>
              <w:rPr>
                <w:rFonts w:eastAsia="Calibri"/>
                <w:b/>
                <w:color w:val="auto"/>
                <w:sz w:val="18"/>
                <w:szCs w:val="18"/>
              </w:rPr>
            </w:pPr>
            <w:r w:rsidRPr="00E62F98">
              <w:rPr>
                <w:rFonts w:eastAsia="Calibri"/>
                <w:b/>
                <w:color w:val="auto"/>
                <w:sz w:val="18"/>
                <w:szCs w:val="18"/>
              </w:rPr>
              <w:t xml:space="preserve">Service </w:t>
            </w:r>
            <w:r w:rsidR="00217788" w:rsidRPr="00E62F98">
              <w:rPr>
                <w:rFonts w:eastAsia="Calibri"/>
                <w:b/>
                <w:color w:val="auto"/>
                <w:sz w:val="18"/>
                <w:szCs w:val="18"/>
              </w:rPr>
              <w:t xml:space="preserve">Revised </w:t>
            </w:r>
            <w:r w:rsidRPr="00E62F98">
              <w:rPr>
                <w:rFonts w:eastAsia="Calibri"/>
                <w:b/>
                <w:color w:val="auto"/>
                <w:sz w:val="18"/>
                <w:szCs w:val="18"/>
              </w:rPr>
              <w:t>PEB – Dated 200</w:t>
            </w:r>
            <w:r w:rsidR="00833475" w:rsidRPr="00E62F98">
              <w:rPr>
                <w:rFonts w:eastAsia="Calibri"/>
                <w:b/>
                <w:color w:val="auto"/>
                <w:sz w:val="18"/>
                <w:szCs w:val="18"/>
              </w:rPr>
              <w:t>70705</w:t>
            </w:r>
          </w:p>
        </w:tc>
        <w:tc>
          <w:tcPr>
            <w:tcW w:w="5400" w:type="dxa"/>
            <w:gridSpan w:val="4"/>
            <w:tcBorders>
              <w:left w:val="thinThickThinSmallGap" w:sz="24" w:space="0" w:color="auto"/>
            </w:tcBorders>
            <w:shd w:val="clear" w:color="auto" w:fill="D9D9D9"/>
            <w:vAlign w:val="center"/>
          </w:tcPr>
          <w:p w:rsidR="002B4E22" w:rsidRPr="00E62F98" w:rsidRDefault="002B4E22" w:rsidP="007C179A">
            <w:pPr>
              <w:spacing w:line="180" w:lineRule="exact"/>
              <w:contextualSpacing/>
              <w:rPr>
                <w:rFonts w:eastAsia="Calibri"/>
                <w:b/>
                <w:color w:val="auto"/>
                <w:sz w:val="18"/>
                <w:szCs w:val="18"/>
              </w:rPr>
            </w:pPr>
            <w:r w:rsidRPr="00E62F98">
              <w:rPr>
                <w:rFonts w:eastAsia="Calibri"/>
                <w:b/>
                <w:color w:val="auto"/>
                <w:sz w:val="18"/>
                <w:szCs w:val="18"/>
              </w:rPr>
              <w:t>VA (</w:t>
            </w:r>
            <w:r w:rsidR="001709FC" w:rsidRPr="00E62F98">
              <w:rPr>
                <w:rFonts w:eastAsia="Calibri"/>
                <w:b/>
                <w:color w:val="auto"/>
                <w:sz w:val="18"/>
                <w:szCs w:val="18"/>
              </w:rPr>
              <w:t>3</w:t>
            </w:r>
            <w:r w:rsidR="0079154B" w:rsidRPr="00E62F98">
              <w:rPr>
                <w:rFonts w:eastAsia="Calibri"/>
                <w:b/>
                <w:color w:val="auto"/>
                <w:sz w:val="18"/>
                <w:szCs w:val="18"/>
              </w:rPr>
              <w:t xml:space="preserve"> </w:t>
            </w:r>
            <w:r w:rsidRPr="00E62F98">
              <w:rPr>
                <w:rFonts w:eastAsia="Calibri"/>
                <w:b/>
                <w:color w:val="auto"/>
                <w:sz w:val="18"/>
                <w:szCs w:val="18"/>
              </w:rPr>
              <w:t xml:space="preserve">Mo. After Separation) – All Effective Date </w:t>
            </w:r>
            <w:r w:rsidR="002D08F3" w:rsidRPr="00E62F98">
              <w:rPr>
                <w:rFonts w:eastAsia="Calibri"/>
                <w:b/>
                <w:color w:val="auto"/>
                <w:sz w:val="18"/>
                <w:szCs w:val="18"/>
              </w:rPr>
              <w:t>200</w:t>
            </w:r>
            <w:r w:rsidR="001709FC" w:rsidRPr="00E62F98">
              <w:rPr>
                <w:rFonts w:eastAsia="Calibri"/>
                <w:b/>
                <w:color w:val="auto"/>
                <w:sz w:val="18"/>
                <w:szCs w:val="18"/>
              </w:rPr>
              <w:t>70630</w:t>
            </w:r>
          </w:p>
        </w:tc>
      </w:tr>
      <w:tr w:rsidR="002B4E22" w:rsidRPr="00E62F98" w:rsidTr="007C179A">
        <w:trPr>
          <w:trHeight w:val="278"/>
          <w:jc w:val="center"/>
        </w:trPr>
        <w:tc>
          <w:tcPr>
            <w:tcW w:w="2358" w:type="dxa"/>
            <w:tcBorders>
              <w:bottom w:val="single" w:sz="4" w:space="0" w:color="000000"/>
              <w:right w:val="single" w:sz="4" w:space="0" w:color="auto"/>
            </w:tcBorders>
            <w:shd w:val="clear" w:color="auto" w:fill="D9D9D9"/>
            <w:vAlign w:val="center"/>
          </w:tcPr>
          <w:p w:rsidR="002B4E22" w:rsidRPr="00E62F98" w:rsidRDefault="002B4E22" w:rsidP="007C179A">
            <w:pPr>
              <w:spacing w:line="180" w:lineRule="exact"/>
              <w:contextualSpacing/>
              <w:rPr>
                <w:rFonts w:eastAsia="Calibri"/>
                <w:b/>
                <w:color w:val="auto"/>
                <w:sz w:val="18"/>
                <w:szCs w:val="18"/>
              </w:rPr>
            </w:pPr>
            <w:r w:rsidRPr="00E62F98">
              <w:rPr>
                <w:rFonts w:eastAsia="Calibri"/>
                <w:b/>
                <w:color w:val="auto"/>
                <w:sz w:val="18"/>
                <w:szCs w:val="18"/>
              </w:rPr>
              <w:t>Condition</w:t>
            </w:r>
          </w:p>
        </w:tc>
        <w:tc>
          <w:tcPr>
            <w:tcW w:w="810" w:type="dxa"/>
            <w:tcBorders>
              <w:left w:val="single" w:sz="4" w:space="0" w:color="auto"/>
              <w:bottom w:val="single" w:sz="4" w:space="0" w:color="000000"/>
            </w:tcBorders>
            <w:shd w:val="clear" w:color="auto" w:fill="D9D9D9"/>
            <w:vAlign w:val="center"/>
          </w:tcPr>
          <w:p w:rsidR="002B4E22" w:rsidRPr="00E62F98" w:rsidRDefault="002B4E22" w:rsidP="007C179A">
            <w:pPr>
              <w:spacing w:line="180" w:lineRule="exact"/>
              <w:contextualSpacing/>
              <w:rPr>
                <w:rFonts w:eastAsia="Calibri"/>
                <w:b/>
                <w:color w:val="auto"/>
                <w:sz w:val="18"/>
                <w:szCs w:val="18"/>
              </w:rPr>
            </w:pPr>
            <w:r w:rsidRPr="00E62F98">
              <w:rPr>
                <w:rFonts w:eastAsia="Calibri"/>
                <w:b/>
                <w:color w:val="auto"/>
                <w:sz w:val="18"/>
                <w:szCs w:val="18"/>
              </w:rPr>
              <w:t>Code</w:t>
            </w:r>
          </w:p>
        </w:tc>
        <w:tc>
          <w:tcPr>
            <w:tcW w:w="810" w:type="dxa"/>
            <w:tcBorders>
              <w:bottom w:val="single" w:sz="4" w:space="0" w:color="000000"/>
              <w:right w:val="thinThickThinSmallGap" w:sz="24" w:space="0" w:color="auto"/>
            </w:tcBorders>
            <w:shd w:val="clear" w:color="auto" w:fill="D9D9D9"/>
            <w:vAlign w:val="center"/>
          </w:tcPr>
          <w:p w:rsidR="002B4E22" w:rsidRPr="00E62F98" w:rsidRDefault="002B4E22" w:rsidP="007C179A">
            <w:pPr>
              <w:spacing w:line="180" w:lineRule="exact"/>
              <w:contextualSpacing/>
              <w:rPr>
                <w:rFonts w:eastAsia="Calibri"/>
                <w:b/>
                <w:color w:val="auto"/>
                <w:sz w:val="18"/>
                <w:szCs w:val="18"/>
              </w:rPr>
            </w:pPr>
            <w:r w:rsidRPr="00E62F98">
              <w:rPr>
                <w:rFonts w:eastAsia="Calibri"/>
                <w:b/>
                <w:color w:val="auto"/>
                <w:sz w:val="18"/>
                <w:szCs w:val="18"/>
              </w:rPr>
              <w:t>Rating</w:t>
            </w:r>
          </w:p>
        </w:tc>
        <w:tc>
          <w:tcPr>
            <w:tcW w:w="2610" w:type="dxa"/>
            <w:tcBorders>
              <w:left w:val="thinThickThinSmallGap" w:sz="24" w:space="0" w:color="auto"/>
              <w:bottom w:val="single" w:sz="4" w:space="0" w:color="000000"/>
            </w:tcBorders>
            <w:shd w:val="clear" w:color="auto" w:fill="D9D9D9"/>
            <w:vAlign w:val="center"/>
          </w:tcPr>
          <w:p w:rsidR="002B4E22" w:rsidRPr="00E62F98" w:rsidRDefault="002B4E22" w:rsidP="007C179A">
            <w:pPr>
              <w:spacing w:line="180" w:lineRule="exact"/>
              <w:contextualSpacing/>
              <w:rPr>
                <w:rFonts w:eastAsia="Calibri"/>
                <w:b/>
                <w:color w:val="auto"/>
                <w:sz w:val="18"/>
                <w:szCs w:val="18"/>
              </w:rPr>
            </w:pPr>
            <w:r w:rsidRPr="00E62F98">
              <w:rPr>
                <w:rFonts w:eastAsia="Calibri"/>
                <w:b/>
                <w:color w:val="auto"/>
                <w:sz w:val="18"/>
                <w:szCs w:val="18"/>
              </w:rPr>
              <w:t>Condition</w:t>
            </w:r>
          </w:p>
        </w:tc>
        <w:tc>
          <w:tcPr>
            <w:tcW w:w="1080" w:type="dxa"/>
            <w:tcBorders>
              <w:bottom w:val="single" w:sz="4" w:space="0" w:color="000000"/>
            </w:tcBorders>
            <w:shd w:val="clear" w:color="auto" w:fill="D9D9D9"/>
            <w:vAlign w:val="center"/>
          </w:tcPr>
          <w:p w:rsidR="002B4E22" w:rsidRPr="00E62F98" w:rsidRDefault="002B4E22" w:rsidP="007C179A">
            <w:pPr>
              <w:spacing w:line="180" w:lineRule="exact"/>
              <w:contextualSpacing/>
              <w:rPr>
                <w:rFonts w:eastAsia="Calibri"/>
                <w:b/>
                <w:color w:val="auto"/>
                <w:sz w:val="18"/>
                <w:szCs w:val="18"/>
              </w:rPr>
            </w:pPr>
            <w:r w:rsidRPr="00E62F98">
              <w:rPr>
                <w:rFonts w:eastAsia="Calibri"/>
                <w:b/>
                <w:color w:val="auto"/>
                <w:sz w:val="18"/>
                <w:szCs w:val="18"/>
              </w:rPr>
              <w:t>Code</w:t>
            </w:r>
          </w:p>
        </w:tc>
        <w:tc>
          <w:tcPr>
            <w:tcW w:w="720" w:type="dxa"/>
            <w:tcBorders>
              <w:bottom w:val="single" w:sz="4" w:space="0" w:color="000000"/>
            </w:tcBorders>
            <w:shd w:val="clear" w:color="auto" w:fill="D9D9D9"/>
            <w:vAlign w:val="center"/>
          </w:tcPr>
          <w:p w:rsidR="002B4E22" w:rsidRPr="00E62F98" w:rsidRDefault="002B4E22" w:rsidP="007C179A">
            <w:pPr>
              <w:spacing w:line="180" w:lineRule="exact"/>
              <w:contextualSpacing/>
              <w:rPr>
                <w:rFonts w:eastAsia="Calibri"/>
                <w:b/>
                <w:color w:val="auto"/>
                <w:sz w:val="18"/>
                <w:szCs w:val="18"/>
              </w:rPr>
            </w:pPr>
            <w:r w:rsidRPr="00E62F98">
              <w:rPr>
                <w:rFonts w:eastAsia="Calibri"/>
                <w:b/>
                <w:color w:val="auto"/>
                <w:sz w:val="18"/>
                <w:szCs w:val="18"/>
              </w:rPr>
              <w:t>Rating</w:t>
            </w:r>
          </w:p>
        </w:tc>
        <w:tc>
          <w:tcPr>
            <w:tcW w:w="990" w:type="dxa"/>
            <w:tcBorders>
              <w:bottom w:val="single" w:sz="4" w:space="0" w:color="000000"/>
            </w:tcBorders>
            <w:shd w:val="clear" w:color="auto" w:fill="D9D9D9"/>
            <w:vAlign w:val="center"/>
          </w:tcPr>
          <w:p w:rsidR="002B4E22" w:rsidRPr="00E62F98" w:rsidRDefault="002B4E22" w:rsidP="007C179A">
            <w:pPr>
              <w:spacing w:line="180" w:lineRule="exact"/>
              <w:contextualSpacing/>
              <w:rPr>
                <w:rFonts w:eastAsia="Calibri"/>
                <w:b/>
                <w:color w:val="auto"/>
                <w:sz w:val="18"/>
                <w:szCs w:val="18"/>
              </w:rPr>
            </w:pPr>
            <w:r w:rsidRPr="00E62F98">
              <w:rPr>
                <w:rFonts w:eastAsia="Calibri"/>
                <w:b/>
                <w:color w:val="auto"/>
                <w:sz w:val="18"/>
                <w:szCs w:val="18"/>
              </w:rPr>
              <w:t>Exam</w:t>
            </w:r>
          </w:p>
        </w:tc>
      </w:tr>
      <w:tr w:rsidR="002547A2" w:rsidRPr="00E62F98" w:rsidTr="007C179A">
        <w:trPr>
          <w:trHeight w:val="287"/>
          <w:jc w:val="center"/>
        </w:trPr>
        <w:tc>
          <w:tcPr>
            <w:tcW w:w="2358" w:type="dxa"/>
            <w:vMerge w:val="restart"/>
            <w:tcBorders>
              <w:right w:val="single" w:sz="4" w:space="0" w:color="auto"/>
            </w:tcBorders>
            <w:shd w:val="clear" w:color="auto" w:fill="FFFFFF"/>
            <w:vAlign w:val="center"/>
          </w:tcPr>
          <w:p w:rsidR="002547A2" w:rsidRPr="00E62F98" w:rsidRDefault="002547A2" w:rsidP="007C179A">
            <w:pPr>
              <w:spacing w:line="180" w:lineRule="exact"/>
              <w:contextualSpacing/>
              <w:jc w:val="left"/>
              <w:rPr>
                <w:color w:val="auto"/>
                <w:sz w:val="18"/>
                <w:szCs w:val="18"/>
              </w:rPr>
            </w:pPr>
            <w:r w:rsidRPr="00E62F98">
              <w:rPr>
                <w:rFonts w:eastAsia="Calibri"/>
                <w:color w:val="auto"/>
                <w:sz w:val="18"/>
                <w:szCs w:val="18"/>
              </w:rPr>
              <w:t>Chronic Neck Pain</w:t>
            </w:r>
            <w:r w:rsidR="00A432DD" w:rsidRPr="00E62F98">
              <w:rPr>
                <w:rFonts w:eastAsia="Calibri"/>
                <w:color w:val="auto"/>
                <w:sz w:val="18"/>
                <w:szCs w:val="18"/>
              </w:rPr>
              <w:t xml:space="preserve"> …DDD</w:t>
            </w:r>
          </w:p>
        </w:tc>
        <w:tc>
          <w:tcPr>
            <w:tcW w:w="810" w:type="dxa"/>
            <w:vMerge w:val="restart"/>
            <w:tcBorders>
              <w:left w:val="single" w:sz="4" w:space="0" w:color="auto"/>
            </w:tcBorders>
            <w:shd w:val="clear" w:color="auto" w:fill="FFFFFF"/>
            <w:vAlign w:val="center"/>
          </w:tcPr>
          <w:p w:rsidR="002547A2" w:rsidRPr="00E62F98" w:rsidRDefault="002547A2" w:rsidP="007C179A">
            <w:pPr>
              <w:spacing w:line="180" w:lineRule="exact"/>
              <w:contextualSpacing/>
              <w:rPr>
                <w:color w:val="auto"/>
                <w:sz w:val="18"/>
                <w:szCs w:val="18"/>
              </w:rPr>
            </w:pPr>
            <w:r w:rsidRPr="00E62F98">
              <w:rPr>
                <w:rFonts w:eastAsia="Calibri"/>
                <w:color w:val="auto"/>
                <w:sz w:val="18"/>
                <w:szCs w:val="18"/>
              </w:rPr>
              <w:t>5242</w:t>
            </w:r>
          </w:p>
        </w:tc>
        <w:tc>
          <w:tcPr>
            <w:tcW w:w="810" w:type="dxa"/>
            <w:vMerge w:val="restart"/>
            <w:tcBorders>
              <w:right w:val="thinThickThinSmallGap" w:sz="24" w:space="0" w:color="auto"/>
            </w:tcBorders>
            <w:shd w:val="clear" w:color="auto" w:fill="FFFFFF"/>
            <w:vAlign w:val="center"/>
          </w:tcPr>
          <w:p w:rsidR="002547A2" w:rsidRPr="00E62F98" w:rsidRDefault="002547A2" w:rsidP="007C179A">
            <w:pPr>
              <w:spacing w:line="180" w:lineRule="exact"/>
              <w:rPr>
                <w:color w:val="auto"/>
                <w:sz w:val="18"/>
                <w:szCs w:val="18"/>
              </w:rPr>
            </w:pPr>
            <w:r w:rsidRPr="00E62F98">
              <w:rPr>
                <w:rFonts w:eastAsia="Calibri"/>
                <w:color w:val="auto"/>
                <w:sz w:val="18"/>
                <w:szCs w:val="18"/>
              </w:rPr>
              <w:t>10%</w:t>
            </w:r>
          </w:p>
        </w:tc>
        <w:tc>
          <w:tcPr>
            <w:tcW w:w="2610" w:type="dxa"/>
            <w:tcBorders>
              <w:left w:val="thinThickThinSmallGap" w:sz="24" w:space="0" w:color="auto"/>
            </w:tcBorders>
            <w:shd w:val="clear" w:color="auto" w:fill="FFFFFF"/>
            <w:vAlign w:val="center"/>
          </w:tcPr>
          <w:p w:rsidR="002547A2" w:rsidRPr="00E62F98" w:rsidRDefault="002547A2" w:rsidP="007C179A">
            <w:pPr>
              <w:spacing w:line="180" w:lineRule="exact"/>
              <w:contextualSpacing/>
              <w:jc w:val="left"/>
              <w:rPr>
                <w:color w:val="auto"/>
                <w:sz w:val="18"/>
                <w:szCs w:val="18"/>
              </w:rPr>
            </w:pPr>
            <w:r w:rsidRPr="00E62F98">
              <w:rPr>
                <w:rFonts w:eastAsia="Calibri"/>
                <w:color w:val="auto"/>
                <w:sz w:val="18"/>
                <w:szCs w:val="18"/>
              </w:rPr>
              <w:t>Cervical Spine DDD</w:t>
            </w:r>
          </w:p>
        </w:tc>
        <w:tc>
          <w:tcPr>
            <w:tcW w:w="108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rFonts w:eastAsia="Calibri"/>
                <w:color w:val="auto"/>
                <w:sz w:val="18"/>
                <w:szCs w:val="18"/>
              </w:rPr>
              <w:t>5243</w:t>
            </w:r>
          </w:p>
        </w:tc>
        <w:tc>
          <w:tcPr>
            <w:tcW w:w="72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rFonts w:eastAsia="Calibri"/>
                <w:color w:val="auto"/>
                <w:sz w:val="18"/>
                <w:szCs w:val="18"/>
              </w:rPr>
              <w:t>20%</w:t>
            </w:r>
          </w:p>
        </w:tc>
        <w:tc>
          <w:tcPr>
            <w:tcW w:w="99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rFonts w:eastAsia="Calibri"/>
                <w:color w:val="auto"/>
                <w:sz w:val="18"/>
                <w:szCs w:val="18"/>
              </w:rPr>
              <w:t>20070919</w:t>
            </w:r>
          </w:p>
        </w:tc>
      </w:tr>
      <w:tr w:rsidR="002547A2" w:rsidRPr="00E62F98" w:rsidTr="007C179A">
        <w:trPr>
          <w:trHeight w:val="287"/>
          <w:jc w:val="center"/>
        </w:trPr>
        <w:tc>
          <w:tcPr>
            <w:tcW w:w="2358" w:type="dxa"/>
            <w:vMerge/>
            <w:tcBorders>
              <w:right w:val="single" w:sz="4" w:space="0" w:color="auto"/>
            </w:tcBorders>
            <w:shd w:val="clear" w:color="auto" w:fill="FFFFFF"/>
            <w:vAlign w:val="center"/>
          </w:tcPr>
          <w:p w:rsidR="002547A2" w:rsidRPr="00E62F98" w:rsidRDefault="002547A2" w:rsidP="007C179A">
            <w:pPr>
              <w:spacing w:line="180" w:lineRule="exact"/>
              <w:contextualSpacing/>
              <w:jc w:val="left"/>
              <w:rPr>
                <w:rFonts w:eastAsia="Calibri"/>
                <w:color w:val="auto"/>
                <w:sz w:val="18"/>
                <w:szCs w:val="18"/>
              </w:rPr>
            </w:pPr>
          </w:p>
        </w:tc>
        <w:tc>
          <w:tcPr>
            <w:tcW w:w="810" w:type="dxa"/>
            <w:vMerge/>
            <w:tcBorders>
              <w:left w:val="single" w:sz="4" w:space="0" w:color="auto"/>
            </w:tcBorders>
            <w:shd w:val="clear" w:color="auto" w:fill="FFFFFF"/>
            <w:vAlign w:val="center"/>
          </w:tcPr>
          <w:p w:rsidR="002547A2" w:rsidRPr="00E62F98" w:rsidRDefault="002547A2" w:rsidP="007C179A">
            <w:pPr>
              <w:spacing w:line="180" w:lineRule="exact"/>
              <w:contextualSpacing/>
              <w:rPr>
                <w:rFonts w:eastAsia="Calibri"/>
                <w:color w:val="auto"/>
                <w:sz w:val="18"/>
                <w:szCs w:val="18"/>
              </w:rPr>
            </w:pPr>
          </w:p>
        </w:tc>
        <w:tc>
          <w:tcPr>
            <w:tcW w:w="810" w:type="dxa"/>
            <w:vMerge/>
            <w:tcBorders>
              <w:right w:val="thinThickThinSmallGap" w:sz="24" w:space="0" w:color="auto"/>
            </w:tcBorders>
            <w:shd w:val="clear" w:color="auto" w:fill="FFFFFF"/>
            <w:vAlign w:val="center"/>
          </w:tcPr>
          <w:p w:rsidR="002547A2" w:rsidRPr="00E62F98" w:rsidRDefault="002547A2" w:rsidP="007C179A">
            <w:pPr>
              <w:spacing w:line="180" w:lineRule="exact"/>
              <w:rPr>
                <w:rFonts w:eastAsia="Calibri"/>
                <w:color w:val="auto"/>
                <w:sz w:val="18"/>
                <w:szCs w:val="18"/>
              </w:rPr>
            </w:pPr>
          </w:p>
        </w:tc>
        <w:tc>
          <w:tcPr>
            <w:tcW w:w="2610" w:type="dxa"/>
            <w:tcBorders>
              <w:left w:val="thinThickThinSmallGap" w:sz="24" w:space="0" w:color="auto"/>
            </w:tcBorders>
            <w:shd w:val="clear" w:color="auto" w:fill="FFFFFF"/>
            <w:vAlign w:val="center"/>
          </w:tcPr>
          <w:p w:rsidR="002547A2" w:rsidRPr="00E62F98" w:rsidRDefault="002547A2" w:rsidP="007C179A">
            <w:pPr>
              <w:spacing w:line="180" w:lineRule="exact"/>
              <w:contextualSpacing/>
              <w:jc w:val="left"/>
              <w:rPr>
                <w:rFonts w:eastAsia="Calibri"/>
                <w:color w:val="auto"/>
                <w:sz w:val="18"/>
                <w:szCs w:val="18"/>
              </w:rPr>
            </w:pPr>
            <w:r w:rsidRPr="00E62F98">
              <w:rPr>
                <w:rFonts w:eastAsia="Calibri"/>
                <w:color w:val="auto"/>
                <w:sz w:val="18"/>
                <w:szCs w:val="18"/>
              </w:rPr>
              <w:t>L</w:t>
            </w:r>
            <w:r w:rsidR="00A432DD" w:rsidRPr="00E62F98">
              <w:rPr>
                <w:rFonts w:eastAsia="Calibri"/>
                <w:color w:val="auto"/>
                <w:sz w:val="18"/>
                <w:szCs w:val="18"/>
              </w:rPr>
              <w:t xml:space="preserve">UE </w:t>
            </w:r>
            <w:r w:rsidRPr="00E62F98">
              <w:rPr>
                <w:rFonts w:eastAsia="Calibri"/>
                <w:color w:val="auto"/>
                <w:sz w:val="18"/>
                <w:szCs w:val="18"/>
              </w:rPr>
              <w:t>Neuropathy</w:t>
            </w:r>
            <w:r w:rsidR="00A432DD" w:rsidRPr="00E62F98">
              <w:rPr>
                <w:rFonts w:eastAsia="Calibri"/>
                <w:color w:val="auto"/>
                <w:sz w:val="18"/>
                <w:szCs w:val="18"/>
              </w:rPr>
              <w:t xml:space="preserve"> … Cervical DDD</w:t>
            </w:r>
          </w:p>
        </w:tc>
        <w:tc>
          <w:tcPr>
            <w:tcW w:w="1080" w:type="dxa"/>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8514</w:t>
            </w:r>
          </w:p>
        </w:tc>
        <w:tc>
          <w:tcPr>
            <w:tcW w:w="720" w:type="dxa"/>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20%</w:t>
            </w:r>
          </w:p>
        </w:tc>
        <w:tc>
          <w:tcPr>
            <w:tcW w:w="990" w:type="dxa"/>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20070919</w:t>
            </w:r>
          </w:p>
        </w:tc>
      </w:tr>
      <w:tr w:rsidR="002547A2" w:rsidRPr="00E62F98" w:rsidTr="007C179A">
        <w:trPr>
          <w:trHeight w:val="287"/>
          <w:jc w:val="center"/>
        </w:trPr>
        <w:tc>
          <w:tcPr>
            <w:tcW w:w="2358" w:type="dxa"/>
            <w:tcBorders>
              <w:right w:val="single" w:sz="4" w:space="0" w:color="auto"/>
            </w:tcBorders>
            <w:shd w:val="clear" w:color="auto" w:fill="FFFFFF"/>
            <w:vAlign w:val="center"/>
          </w:tcPr>
          <w:p w:rsidR="002547A2" w:rsidRPr="00E62F98" w:rsidRDefault="002547A2" w:rsidP="007C179A">
            <w:pPr>
              <w:spacing w:line="180" w:lineRule="exact"/>
              <w:contextualSpacing/>
              <w:jc w:val="left"/>
              <w:rPr>
                <w:color w:val="auto"/>
                <w:sz w:val="18"/>
                <w:szCs w:val="18"/>
              </w:rPr>
            </w:pPr>
            <w:r w:rsidRPr="00E62F98">
              <w:rPr>
                <w:rFonts w:eastAsia="Calibri"/>
                <w:color w:val="auto"/>
                <w:sz w:val="18"/>
                <w:szCs w:val="18"/>
              </w:rPr>
              <w:t>Right Trochanteric Bursitis</w:t>
            </w:r>
          </w:p>
        </w:tc>
        <w:tc>
          <w:tcPr>
            <w:tcW w:w="1620" w:type="dxa"/>
            <w:gridSpan w:val="2"/>
            <w:tcBorders>
              <w:left w:val="single" w:sz="4" w:space="0" w:color="auto"/>
              <w:right w:val="thinThickThinSmallGap" w:sz="24" w:space="0" w:color="auto"/>
            </w:tcBorders>
            <w:shd w:val="clear" w:color="auto" w:fill="FFFFFF"/>
            <w:vAlign w:val="center"/>
          </w:tcPr>
          <w:p w:rsidR="002547A2" w:rsidRPr="00E62F98" w:rsidRDefault="002547A2" w:rsidP="007C179A">
            <w:pPr>
              <w:spacing w:line="180" w:lineRule="exact"/>
              <w:rPr>
                <w:color w:val="auto"/>
                <w:sz w:val="18"/>
                <w:szCs w:val="18"/>
              </w:rPr>
            </w:pPr>
            <w:r w:rsidRPr="00E62F98">
              <w:rPr>
                <w:color w:val="auto"/>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2547A2" w:rsidRPr="00E62F98" w:rsidRDefault="002547A2" w:rsidP="007C179A">
            <w:pPr>
              <w:spacing w:line="180" w:lineRule="exact"/>
              <w:contextualSpacing/>
              <w:jc w:val="left"/>
              <w:rPr>
                <w:color w:val="auto"/>
                <w:sz w:val="18"/>
                <w:szCs w:val="18"/>
              </w:rPr>
            </w:pPr>
            <w:r w:rsidRPr="00E62F98">
              <w:rPr>
                <w:rFonts w:eastAsia="Calibri"/>
                <w:color w:val="auto"/>
                <w:sz w:val="18"/>
                <w:szCs w:val="18"/>
              </w:rPr>
              <w:t>Right Hip Bursitis</w:t>
            </w:r>
          </w:p>
        </w:tc>
        <w:tc>
          <w:tcPr>
            <w:tcW w:w="1080" w:type="dxa"/>
            <w:tcBorders>
              <w:left w:val="single" w:sz="4" w:space="0" w:color="auto"/>
            </w:tcBorders>
            <w:shd w:val="clear" w:color="auto" w:fill="FFFFFF"/>
            <w:vAlign w:val="center"/>
          </w:tcPr>
          <w:p w:rsidR="002547A2" w:rsidRPr="00E62F98" w:rsidRDefault="002547A2" w:rsidP="007C179A">
            <w:pPr>
              <w:spacing w:line="180" w:lineRule="exact"/>
              <w:contextualSpacing/>
              <w:rPr>
                <w:color w:val="auto"/>
                <w:sz w:val="18"/>
                <w:szCs w:val="18"/>
              </w:rPr>
            </w:pPr>
            <w:r w:rsidRPr="00E62F98">
              <w:rPr>
                <w:rFonts w:eastAsia="Calibri"/>
                <w:color w:val="auto"/>
                <w:sz w:val="18"/>
                <w:szCs w:val="18"/>
              </w:rPr>
              <w:t>5019</w:t>
            </w:r>
          </w:p>
        </w:tc>
        <w:tc>
          <w:tcPr>
            <w:tcW w:w="72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rFonts w:eastAsia="Calibri"/>
                <w:color w:val="auto"/>
                <w:sz w:val="18"/>
                <w:szCs w:val="18"/>
              </w:rPr>
              <w:t>10%</w:t>
            </w:r>
          </w:p>
        </w:tc>
        <w:tc>
          <w:tcPr>
            <w:tcW w:w="99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rFonts w:eastAsia="Calibri"/>
                <w:color w:val="auto"/>
                <w:sz w:val="18"/>
                <w:szCs w:val="18"/>
              </w:rPr>
              <w:t>20070919</w:t>
            </w:r>
          </w:p>
        </w:tc>
      </w:tr>
      <w:tr w:rsidR="002547A2" w:rsidRPr="00E62F98" w:rsidTr="007C179A">
        <w:trPr>
          <w:trHeight w:val="287"/>
          <w:jc w:val="center"/>
        </w:trPr>
        <w:tc>
          <w:tcPr>
            <w:tcW w:w="2358" w:type="dxa"/>
            <w:tcBorders>
              <w:right w:val="single" w:sz="4" w:space="0" w:color="auto"/>
            </w:tcBorders>
            <w:shd w:val="clear" w:color="auto" w:fill="FFFFFF"/>
            <w:vAlign w:val="center"/>
          </w:tcPr>
          <w:p w:rsidR="002547A2" w:rsidRPr="00E62F98" w:rsidRDefault="002547A2" w:rsidP="007C179A">
            <w:pPr>
              <w:spacing w:line="180" w:lineRule="exact"/>
              <w:contextualSpacing/>
              <w:jc w:val="left"/>
              <w:rPr>
                <w:color w:val="auto"/>
                <w:sz w:val="18"/>
                <w:szCs w:val="18"/>
              </w:rPr>
            </w:pPr>
            <w:r w:rsidRPr="00E62F98">
              <w:rPr>
                <w:color w:val="auto"/>
                <w:sz w:val="18"/>
                <w:szCs w:val="18"/>
              </w:rPr>
              <w:t>Right RPPS</w:t>
            </w:r>
          </w:p>
        </w:tc>
        <w:tc>
          <w:tcPr>
            <w:tcW w:w="1620" w:type="dxa"/>
            <w:gridSpan w:val="2"/>
            <w:tcBorders>
              <w:left w:val="single" w:sz="4" w:space="0" w:color="auto"/>
              <w:right w:val="thinThickThinSmallGap" w:sz="24" w:space="0" w:color="auto"/>
            </w:tcBorders>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2547A2" w:rsidRPr="00E62F98" w:rsidRDefault="002547A2" w:rsidP="007C179A">
            <w:pPr>
              <w:spacing w:line="180" w:lineRule="exact"/>
              <w:contextualSpacing/>
              <w:jc w:val="left"/>
              <w:rPr>
                <w:color w:val="auto"/>
                <w:sz w:val="18"/>
                <w:szCs w:val="18"/>
              </w:rPr>
            </w:pPr>
            <w:r w:rsidRPr="00E62F98">
              <w:rPr>
                <w:color w:val="auto"/>
                <w:sz w:val="18"/>
                <w:szCs w:val="18"/>
              </w:rPr>
              <w:t>Right Knee RPPS</w:t>
            </w:r>
          </w:p>
        </w:tc>
        <w:tc>
          <w:tcPr>
            <w:tcW w:w="1080" w:type="dxa"/>
            <w:tcBorders>
              <w:left w:val="single" w:sz="4" w:space="0" w:color="auto"/>
            </w:tcBorders>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5299-5261</w:t>
            </w:r>
          </w:p>
        </w:tc>
        <w:tc>
          <w:tcPr>
            <w:tcW w:w="72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0%</w:t>
            </w:r>
          </w:p>
        </w:tc>
        <w:tc>
          <w:tcPr>
            <w:tcW w:w="99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20070919</w:t>
            </w:r>
          </w:p>
        </w:tc>
      </w:tr>
      <w:tr w:rsidR="002547A2" w:rsidRPr="00E62F98" w:rsidTr="007C179A">
        <w:trPr>
          <w:trHeight w:val="287"/>
          <w:jc w:val="center"/>
        </w:trPr>
        <w:tc>
          <w:tcPr>
            <w:tcW w:w="2358" w:type="dxa"/>
            <w:tcBorders>
              <w:right w:val="single" w:sz="4" w:space="0" w:color="auto"/>
            </w:tcBorders>
            <w:shd w:val="clear" w:color="auto" w:fill="FFFFFF"/>
            <w:vAlign w:val="center"/>
          </w:tcPr>
          <w:p w:rsidR="002547A2" w:rsidRPr="00E62F98" w:rsidRDefault="002547A2" w:rsidP="007C179A">
            <w:pPr>
              <w:spacing w:line="180" w:lineRule="exact"/>
              <w:contextualSpacing/>
              <w:jc w:val="left"/>
              <w:rPr>
                <w:color w:val="auto"/>
                <w:sz w:val="18"/>
                <w:szCs w:val="18"/>
              </w:rPr>
            </w:pPr>
            <w:r w:rsidRPr="00E62F98">
              <w:rPr>
                <w:color w:val="auto"/>
                <w:sz w:val="18"/>
                <w:szCs w:val="18"/>
              </w:rPr>
              <w:t>Depressive Disorder</w:t>
            </w:r>
          </w:p>
        </w:tc>
        <w:tc>
          <w:tcPr>
            <w:tcW w:w="1620" w:type="dxa"/>
            <w:gridSpan w:val="2"/>
            <w:tcBorders>
              <w:left w:val="single" w:sz="4" w:space="0" w:color="auto"/>
              <w:right w:val="thinThickThinSmallGap" w:sz="24" w:space="0" w:color="auto"/>
            </w:tcBorders>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2547A2" w:rsidRPr="00E62F98" w:rsidRDefault="002547A2" w:rsidP="007C179A">
            <w:pPr>
              <w:spacing w:line="180" w:lineRule="exact"/>
              <w:contextualSpacing/>
              <w:jc w:val="left"/>
              <w:rPr>
                <w:color w:val="auto"/>
                <w:sz w:val="18"/>
                <w:szCs w:val="18"/>
              </w:rPr>
            </w:pPr>
            <w:r w:rsidRPr="00E62F98">
              <w:rPr>
                <w:color w:val="auto"/>
                <w:sz w:val="18"/>
                <w:szCs w:val="18"/>
              </w:rPr>
              <w:t>Major Depression</w:t>
            </w:r>
          </w:p>
        </w:tc>
        <w:tc>
          <w:tcPr>
            <w:tcW w:w="1080" w:type="dxa"/>
            <w:tcBorders>
              <w:left w:val="single" w:sz="4" w:space="0" w:color="auto"/>
            </w:tcBorders>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9434</w:t>
            </w:r>
          </w:p>
        </w:tc>
        <w:tc>
          <w:tcPr>
            <w:tcW w:w="72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10%</w:t>
            </w:r>
          </w:p>
        </w:tc>
        <w:tc>
          <w:tcPr>
            <w:tcW w:w="99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20070920</w:t>
            </w:r>
          </w:p>
        </w:tc>
      </w:tr>
      <w:tr w:rsidR="002547A2" w:rsidRPr="00E62F98" w:rsidTr="007C179A">
        <w:trPr>
          <w:trHeight w:val="287"/>
          <w:jc w:val="center"/>
        </w:trPr>
        <w:tc>
          <w:tcPr>
            <w:tcW w:w="2358" w:type="dxa"/>
            <w:tcBorders>
              <w:right w:val="single" w:sz="4" w:space="0" w:color="auto"/>
            </w:tcBorders>
            <w:shd w:val="clear" w:color="auto" w:fill="FFFFFF"/>
            <w:vAlign w:val="center"/>
          </w:tcPr>
          <w:p w:rsidR="002547A2" w:rsidRPr="00E62F98" w:rsidRDefault="002547A2" w:rsidP="007C179A">
            <w:pPr>
              <w:spacing w:line="180" w:lineRule="exact"/>
              <w:contextualSpacing/>
              <w:jc w:val="left"/>
              <w:rPr>
                <w:color w:val="auto"/>
                <w:sz w:val="18"/>
                <w:szCs w:val="18"/>
              </w:rPr>
            </w:pPr>
            <w:r w:rsidRPr="00E62F98">
              <w:rPr>
                <w:rFonts w:eastAsia="Calibri"/>
                <w:color w:val="auto"/>
                <w:sz w:val="18"/>
                <w:szCs w:val="18"/>
              </w:rPr>
              <w:t>Morton Neuroma, R Foot</w:t>
            </w:r>
          </w:p>
        </w:tc>
        <w:tc>
          <w:tcPr>
            <w:tcW w:w="1620" w:type="dxa"/>
            <w:gridSpan w:val="2"/>
            <w:tcBorders>
              <w:left w:val="single" w:sz="4" w:space="0" w:color="auto"/>
              <w:right w:val="thinThickThinSmallGap" w:sz="24" w:space="0" w:color="auto"/>
            </w:tcBorders>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2547A2" w:rsidRPr="00E62F98" w:rsidRDefault="002547A2" w:rsidP="007C179A">
            <w:pPr>
              <w:spacing w:line="180" w:lineRule="exact"/>
              <w:contextualSpacing/>
              <w:jc w:val="left"/>
              <w:rPr>
                <w:color w:val="auto"/>
                <w:sz w:val="18"/>
                <w:szCs w:val="18"/>
              </w:rPr>
            </w:pPr>
            <w:r w:rsidRPr="00E62F98">
              <w:rPr>
                <w:color w:val="auto"/>
                <w:sz w:val="18"/>
                <w:szCs w:val="18"/>
              </w:rPr>
              <w:t>Morton’s Neuroma R Foot</w:t>
            </w:r>
          </w:p>
        </w:tc>
        <w:tc>
          <w:tcPr>
            <w:tcW w:w="1080" w:type="dxa"/>
            <w:tcBorders>
              <w:left w:val="single" w:sz="4" w:space="0" w:color="auto"/>
              <w:right w:val="single" w:sz="4" w:space="0" w:color="auto"/>
            </w:tcBorders>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5279</w:t>
            </w:r>
          </w:p>
        </w:tc>
        <w:tc>
          <w:tcPr>
            <w:tcW w:w="720" w:type="dxa"/>
            <w:tcBorders>
              <w:left w:val="single" w:sz="4" w:space="0" w:color="auto"/>
            </w:tcBorders>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10%</w:t>
            </w:r>
          </w:p>
        </w:tc>
        <w:tc>
          <w:tcPr>
            <w:tcW w:w="99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20070919</w:t>
            </w:r>
          </w:p>
        </w:tc>
      </w:tr>
      <w:tr w:rsidR="002547A2" w:rsidRPr="00E62F98" w:rsidTr="007C179A">
        <w:trPr>
          <w:trHeight w:val="287"/>
          <w:jc w:val="center"/>
        </w:trPr>
        <w:tc>
          <w:tcPr>
            <w:tcW w:w="2358" w:type="dxa"/>
            <w:tcBorders>
              <w:right w:val="single" w:sz="4" w:space="0" w:color="auto"/>
            </w:tcBorders>
            <w:shd w:val="clear" w:color="auto" w:fill="FFFFFF"/>
            <w:vAlign w:val="center"/>
          </w:tcPr>
          <w:p w:rsidR="002547A2" w:rsidRPr="00E62F98" w:rsidRDefault="002547A2" w:rsidP="007C179A">
            <w:pPr>
              <w:spacing w:line="180" w:lineRule="exact"/>
              <w:contextualSpacing/>
              <w:jc w:val="left"/>
              <w:rPr>
                <w:color w:val="auto"/>
                <w:sz w:val="18"/>
                <w:szCs w:val="18"/>
              </w:rPr>
            </w:pPr>
            <w:r w:rsidRPr="00E62F98">
              <w:rPr>
                <w:rFonts w:eastAsia="Calibri"/>
                <w:color w:val="auto"/>
                <w:sz w:val="18"/>
                <w:szCs w:val="18"/>
              </w:rPr>
              <w:t>Neuritis, Left Foot</w:t>
            </w:r>
          </w:p>
        </w:tc>
        <w:tc>
          <w:tcPr>
            <w:tcW w:w="1620" w:type="dxa"/>
            <w:gridSpan w:val="2"/>
            <w:tcBorders>
              <w:left w:val="single" w:sz="4" w:space="0" w:color="auto"/>
              <w:right w:val="thinThickThinSmallGap" w:sz="24" w:space="0" w:color="auto"/>
            </w:tcBorders>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2547A2" w:rsidRPr="00E62F98" w:rsidRDefault="002547A2" w:rsidP="007C179A">
            <w:pPr>
              <w:spacing w:line="180" w:lineRule="exact"/>
              <w:contextualSpacing/>
              <w:jc w:val="left"/>
              <w:rPr>
                <w:color w:val="auto"/>
                <w:sz w:val="18"/>
                <w:szCs w:val="18"/>
              </w:rPr>
            </w:pPr>
            <w:r w:rsidRPr="00E62F98">
              <w:rPr>
                <w:color w:val="auto"/>
                <w:sz w:val="18"/>
                <w:szCs w:val="18"/>
              </w:rPr>
              <w:t>L Foot Condition</w:t>
            </w:r>
          </w:p>
        </w:tc>
        <w:tc>
          <w:tcPr>
            <w:tcW w:w="1080" w:type="dxa"/>
            <w:tcBorders>
              <w:left w:val="single" w:sz="4" w:space="0" w:color="auto"/>
              <w:right w:val="single" w:sz="4" w:space="0" w:color="auto"/>
            </w:tcBorders>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8524</w:t>
            </w:r>
          </w:p>
        </w:tc>
        <w:tc>
          <w:tcPr>
            <w:tcW w:w="720" w:type="dxa"/>
            <w:tcBorders>
              <w:left w:val="single" w:sz="4" w:space="0" w:color="auto"/>
            </w:tcBorders>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NSC</w:t>
            </w:r>
          </w:p>
        </w:tc>
        <w:tc>
          <w:tcPr>
            <w:tcW w:w="99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color w:val="auto"/>
                <w:sz w:val="18"/>
                <w:szCs w:val="18"/>
              </w:rPr>
              <w:t>20070919</w:t>
            </w:r>
          </w:p>
        </w:tc>
      </w:tr>
      <w:tr w:rsidR="002547A2" w:rsidRPr="00E62F98" w:rsidTr="007C179A">
        <w:trPr>
          <w:trHeight w:val="287"/>
          <w:jc w:val="center"/>
        </w:trPr>
        <w:tc>
          <w:tcPr>
            <w:tcW w:w="2358" w:type="dxa"/>
            <w:tcBorders>
              <w:right w:val="single" w:sz="4" w:space="0" w:color="auto"/>
            </w:tcBorders>
            <w:shd w:val="clear" w:color="auto" w:fill="FFFFFF"/>
            <w:vAlign w:val="center"/>
          </w:tcPr>
          <w:p w:rsidR="002547A2" w:rsidRPr="00E62F98" w:rsidRDefault="002547A2" w:rsidP="007C179A">
            <w:pPr>
              <w:spacing w:line="180" w:lineRule="exact"/>
              <w:contextualSpacing/>
              <w:jc w:val="left"/>
              <w:rPr>
                <w:rFonts w:eastAsia="Calibri"/>
                <w:color w:val="auto"/>
                <w:sz w:val="18"/>
                <w:szCs w:val="18"/>
              </w:rPr>
            </w:pPr>
            <w:r w:rsidRPr="00E62F98">
              <w:rPr>
                <w:rFonts w:eastAsia="Calibri"/>
                <w:color w:val="auto"/>
                <w:sz w:val="18"/>
                <w:szCs w:val="18"/>
              </w:rPr>
              <w:t>Left Subclavian Stenosis</w:t>
            </w:r>
          </w:p>
        </w:tc>
        <w:tc>
          <w:tcPr>
            <w:tcW w:w="1620" w:type="dxa"/>
            <w:gridSpan w:val="2"/>
            <w:tcBorders>
              <w:left w:val="single" w:sz="4" w:space="0" w:color="auto"/>
              <w:right w:val="thinThickThinSmallGap" w:sz="24" w:space="0" w:color="auto"/>
            </w:tcBorders>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color w:val="auto"/>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2547A2" w:rsidRPr="00E62F98" w:rsidRDefault="002547A2" w:rsidP="007C179A">
            <w:pPr>
              <w:spacing w:line="180" w:lineRule="exact"/>
              <w:contextualSpacing/>
              <w:jc w:val="left"/>
              <w:rPr>
                <w:rFonts w:eastAsia="Calibri"/>
                <w:color w:val="auto"/>
                <w:sz w:val="18"/>
                <w:szCs w:val="18"/>
              </w:rPr>
            </w:pPr>
            <w:r w:rsidRPr="00E62F98">
              <w:rPr>
                <w:rFonts w:eastAsia="Calibri"/>
                <w:color w:val="auto"/>
                <w:sz w:val="18"/>
                <w:szCs w:val="18"/>
              </w:rPr>
              <w:t>L Subclavian Stenosis</w:t>
            </w:r>
          </w:p>
        </w:tc>
        <w:tc>
          <w:tcPr>
            <w:tcW w:w="1080" w:type="dxa"/>
            <w:tcBorders>
              <w:left w:val="single" w:sz="4" w:space="0" w:color="auto"/>
              <w:right w:val="single" w:sz="4" w:space="0" w:color="auto"/>
            </w:tcBorders>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8099-8008</w:t>
            </w:r>
          </w:p>
        </w:tc>
        <w:tc>
          <w:tcPr>
            <w:tcW w:w="720" w:type="dxa"/>
            <w:tcBorders>
              <w:left w:val="single" w:sz="4" w:space="0" w:color="auto"/>
            </w:tcBorders>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0%</w:t>
            </w:r>
          </w:p>
        </w:tc>
        <w:tc>
          <w:tcPr>
            <w:tcW w:w="990" w:type="dxa"/>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20070919</w:t>
            </w:r>
          </w:p>
        </w:tc>
      </w:tr>
      <w:tr w:rsidR="002547A2" w:rsidRPr="00E62F98" w:rsidTr="007C179A">
        <w:trPr>
          <w:trHeight w:val="287"/>
          <w:jc w:val="center"/>
        </w:trPr>
        <w:tc>
          <w:tcPr>
            <w:tcW w:w="2358" w:type="dxa"/>
            <w:tcBorders>
              <w:right w:val="single" w:sz="4" w:space="0" w:color="auto"/>
            </w:tcBorders>
            <w:shd w:val="clear" w:color="auto" w:fill="FFFFFF"/>
            <w:vAlign w:val="center"/>
          </w:tcPr>
          <w:p w:rsidR="002547A2" w:rsidRPr="00E62F98" w:rsidRDefault="002547A2" w:rsidP="007C179A">
            <w:pPr>
              <w:spacing w:line="180" w:lineRule="exact"/>
              <w:contextualSpacing/>
              <w:jc w:val="left"/>
              <w:rPr>
                <w:rFonts w:eastAsia="Calibri"/>
                <w:color w:val="auto"/>
                <w:sz w:val="18"/>
                <w:szCs w:val="18"/>
              </w:rPr>
            </w:pPr>
            <w:r w:rsidRPr="00E62F98">
              <w:rPr>
                <w:rFonts w:eastAsia="Calibri"/>
                <w:color w:val="auto"/>
                <w:sz w:val="18"/>
                <w:szCs w:val="18"/>
              </w:rPr>
              <w:t>Mild OSA</w:t>
            </w:r>
          </w:p>
        </w:tc>
        <w:tc>
          <w:tcPr>
            <w:tcW w:w="1620" w:type="dxa"/>
            <w:gridSpan w:val="2"/>
            <w:tcBorders>
              <w:left w:val="single" w:sz="4" w:space="0" w:color="auto"/>
              <w:right w:val="thinThickThinSmallGap" w:sz="24" w:space="0" w:color="auto"/>
            </w:tcBorders>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color w:val="auto"/>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2547A2" w:rsidRPr="00E62F98" w:rsidRDefault="002547A2" w:rsidP="007C179A">
            <w:pPr>
              <w:spacing w:line="180" w:lineRule="exact"/>
              <w:contextualSpacing/>
              <w:jc w:val="left"/>
              <w:rPr>
                <w:rFonts w:eastAsia="Calibri"/>
                <w:color w:val="auto"/>
                <w:sz w:val="18"/>
                <w:szCs w:val="18"/>
              </w:rPr>
            </w:pPr>
            <w:r w:rsidRPr="00E62F98">
              <w:rPr>
                <w:rFonts w:eastAsia="Calibri"/>
                <w:color w:val="auto"/>
                <w:sz w:val="18"/>
                <w:szCs w:val="18"/>
              </w:rPr>
              <w:t>Sleep Apnea</w:t>
            </w:r>
          </w:p>
        </w:tc>
        <w:tc>
          <w:tcPr>
            <w:tcW w:w="1080" w:type="dxa"/>
            <w:tcBorders>
              <w:left w:val="single" w:sz="4" w:space="0" w:color="auto"/>
              <w:right w:val="single" w:sz="4" w:space="0" w:color="auto"/>
            </w:tcBorders>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6847</w:t>
            </w:r>
          </w:p>
        </w:tc>
        <w:tc>
          <w:tcPr>
            <w:tcW w:w="720" w:type="dxa"/>
            <w:tcBorders>
              <w:left w:val="single" w:sz="4" w:space="0" w:color="auto"/>
            </w:tcBorders>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50%</w:t>
            </w:r>
          </w:p>
        </w:tc>
        <w:tc>
          <w:tcPr>
            <w:tcW w:w="990" w:type="dxa"/>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20070919</w:t>
            </w:r>
          </w:p>
        </w:tc>
      </w:tr>
      <w:tr w:rsidR="002547A2" w:rsidRPr="00E62F98" w:rsidTr="007C179A">
        <w:trPr>
          <w:trHeight w:val="260"/>
          <w:jc w:val="center"/>
        </w:trPr>
        <w:tc>
          <w:tcPr>
            <w:tcW w:w="3978" w:type="dxa"/>
            <w:gridSpan w:val="3"/>
            <w:vMerge w:val="restart"/>
            <w:tcBorders>
              <w:right w:val="thinThickThinSmallGap" w:sz="24" w:space="0" w:color="auto"/>
            </w:tcBorders>
            <w:shd w:val="clear" w:color="auto" w:fill="FFFFFF"/>
            <w:vAlign w:val="center"/>
          </w:tcPr>
          <w:p w:rsidR="002547A2" w:rsidRPr="00E62F98" w:rsidRDefault="002547A2" w:rsidP="007C179A">
            <w:pPr>
              <w:spacing w:line="180" w:lineRule="exact"/>
              <w:contextualSpacing/>
              <w:rPr>
                <w:color w:val="auto"/>
                <w:sz w:val="18"/>
                <w:szCs w:val="18"/>
              </w:rPr>
            </w:pPr>
            <w:r w:rsidRPr="00E62F98">
              <w:rPr>
                <w:rFonts w:eastAsia="Calibri"/>
                <w:color w:val="auto"/>
                <w:sz w:val="18"/>
                <w:szCs w:val="18"/>
              </w:rPr>
              <w:t>↓No Additional MEB/PEB Entries↓</w:t>
            </w:r>
          </w:p>
        </w:tc>
        <w:tc>
          <w:tcPr>
            <w:tcW w:w="2610" w:type="dxa"/>
            <w:tcBorders>
              <w:left w:val="thinThickThinSmallGap" w:sz="24" w:space="0" w:color="auto"/>
              <w:right w:val="single" w:sz="4" w:space="0" w:color="auto"/>
            </w:tcBorders>
            <w:shd w:val="clear" w:color="auto" w:fill="FFFFFF"/>
            <w:vAlign w:val="center"/>
          </w:tcPr>
          <w:p w:rsidR="002547A2" w:rsidRPr="00E62F98" w:rsidRDefault="002547A2" w:rsidP="007C179A">
            <w:pPr>
              <w:spacing w:line="180" w:lineRule="exact"/>
              <w:jc w:val="left"/>
              <w:rPr>
                <w:color w:val="auto"/>
                <w:sz w:val="18"/>
                <w:szCs w:val="18"/>
              </w:rPr>
            </w:pPr>
            <w:r w:rsidRPr="00E62F98">
              <w:rPr>
                <w:rFonts w:eastAsia="Calibri"/>
                <w:color w:val="auto"/>
                <w:sz w:val="18"/>
                <w:szCs w:val="18"/>
              </w:rPr>
              <w:t>Tinnitus</w:t>
            </w:r>
          </w:p>
        </w:tc>
        <w:tc>
          <w:tcPr>
            <w:tcW w:w="1080" w:type="dxa"/>
            <w:tcBorders>
              <w:left w:val="single" w:sz="4" w:space="0" w:color="auto"/>
            </w:tcBorders>
            <w:shd w:val="clear" w:color="auto" w:fill="FFFFFF"/>
            <w:vAlign w:val="center"/>
          </w:tcPr>
          <w:p w:rsidR="002547A2" w:rsidRPr="00E62F98" w:rsidRDefault="002547A2" w:rsidP="007C179A">
            <w:pPr>
              <w:spacing w:line="180" w:lineRule="exact"/>
              <w:contextualSpacing/>
              <w:rPr>
                <w:color w:val="auto"/>
                <w:sz w:val="18"/>
                <w:szCs w:val="18"/>
              </w:rPr>
            </w:pPr>
            <w:r w:rsidRPr="00E62F98">
              <w:rPr>
                <w:rFonts w:eastAsia="Calibri"/>
                <w:color w:val="auto"/>
                <w:sz w:val="18"/>
                <w:szCs w:val="18"/>
              </w:rPr>
              <w:t>6260</w:t>
            </w:r>
          </w:p>
        </w:tc>
        <w:tc>
          <w:tcPr>
            <w:tcW w:w="72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rFonts w:eastAsia="Calibri"/>
                <w:color w:val="auto"/>
                <w:sz w:val="18"/>
                <w:szCs w:val="18"/>
              </w:rPr>
              <w:t>10%</w:t>
            </w:r>
          </w:p>
        </w:tc>
        <w:tc>
          <w:tcPr>
            <w:tcW w:w="99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rFonts w:eastAsia="Calibri"/>
                <w:color w:val="auto"/>
                <w:sz w:val="18"/>
                <w:szCs w:val="18"/>
              </w:rPr>
              <w:t>20070822</w:t>
            </w:r>
          </w:p>
        </w:tc>
      </w:tr>
      <w:tr w:rsidR="002547A2" w:rsidRPr="00E62F98" w:rsidTr="007C179A">
        <w:trPr>
          <w:trHeight w:val="260"/>
          <w:jc w:val="center"/>
        </w:trPr>
        <w:tc>
          <w:tcPr>
            <w:tcW w:w="3978" w:type="dxa"/>
            <w:gridSpan w:val="3"/>
            <w:vMerge/>
            <w:tcBorders>
              <w:right w:val="thinThickThinSmallGap" w:sz="24" w:space="0" w:color="auto"/>
            </w:tcBorders>
            <w:shd w:val="clear" w:color="auto" w:fill="FFFFFF"/>
            <w:vAlign w:val="center"/>
          </w:tcPr>
          <w:p w:rsidR="002547A2" w:rsidRPr="00E62F98" w:rsidRDefault="002547A2" w:rsidP="007C179A">
            <w:pPr>
              <w:spacing w:line="180" w:lineRule="exact"/>
              <w:contextualSpacing/>
              <w:rPr>
                <w:rFonts w:eastAsia="Calibri"/>
                <w:color w:val="auto"/>
                <w:sz w:val="18"/>
                <w:szCs w:val="18"/>
              </w:rPr>
            </w:pPr>
          </w:p>
        </w:tc>
        <w:tc>
          <w:tcPr>
            <w:tcW w:w="2610" w:type="dxa"/>
            <w:tcBorders>
              <w:left w:val="thinThickThinSmallGap" w:sz="24" w:space="0" w:color="auto"/>
              <w:right w:val="single" w:sz="4" w:space="0" w:color="auto"/>
            </w:tcBorders>
            <w:shd w:val="clear" w:color="auto" w:fill="FFFFFF"/>
            <w:vAlign w:val="center"/>
          </w:tcPr>
          <w:p w:rsidR="002547A2" w:rsidRPr="00E62F98" w:rsidRDefault="002547A2" w:rsidP="007C179A">
            <w:pPr>
              <w:spacing w:line="180" w:lineRule="exact"/>
              <w:jc w:val="left"/>
              <w:rPr>
                <w:rFonts w:eastAsia="Calibri"/>
                <w:color w:val="auto"/>
                <w:sz w:val="18"/>
                <w:szCs w:val="18"/>
              </w:rPr>
            </w:pPr>
            <w:r w:rsidRPr="00E62F98">
              <w:rPr>
                <w:rFonts w:eastAsia="Calibri"/>
                <w:color w:val="auto"/>
                <w:sz w:val="18"/>
                <w:szCs w:val="18"/>
              </w:rPr>
              <w:t>Hiatal Hernia</w:t>
            </w:r>
          </w:p>
        </w:tc>
        <w:tc>
          <w:tcPr>
            <w:tcW w:w="1080" w:type="dxa"/>
            <w:tcBorders>
              <w:left w:val="single" w:sz="4" w:space="0" w:color="auto"/>
            </w:tcBorders>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7346</w:t>
            </w:r>
          </w:p>
        </w:tc>
        <w:tc>
          <w:tcPr>
            <w:tcW w:w="720" w:type="dxa"/>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10%</w:t>
            </w:r>
          </w:p>
        </w:tc>
        <w:tc>
          <w:tcPr>
            <w:tcW w:w="990" w:type="dxa"/>
            <w:shd w:val="clear" w:color="auto" w:fill="FFFFFF"/>
            <w:vAlign w:val="center"/>
          </w:tcPr>
          <w:p w:rsidR="002547A2"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20070919</w:t>
            </w:r>
          </w:p>
        </w:tc>
      </w:tr>
      <w:tr w:rsidR="002547A2" w:rsidRPr="00E62F98" w:rsidTr="007C179A">
        <w:trPr>
          <w:trHeight w:val="260"/>
          <w:jc w:val="center"/>
        </w:trPr>
        <w:tc>
          <w:tcPr>
            <w:tcW w:w="3978" w:type="dxa"/>
            <w:gridSpan w:val="3"/>
            <w:vMerge/>
            <w:tcBorders>
              <w:right w:val="thinThickThinSmallGap" w:sz="24" w:space="0" w:color="auto"/>
            </w:tcBorders>
            <w:shd w:val="clear" w:color="auto" w:fill="FFFFFF"/>
          </w:tcPr>
          <w:p w:rsidR="002547A2" w:rsidRPr="00E62F98" w:rsidRDefault="002547A2" w:rsidP="007C179A">
            <w:pPr>
              <w:spacing w:line="180" w:lineRule="exact"/>
              <w:contextualSpacing/>
              <w:rPr>
                <w:color w:val="auto"/>
                <w:sz w:val="18"/>
                <w:szCs w:val="18"/>
              </w:rPr>
            </w:pPr>
          </w:p>
        </w:tc>
        <w:tc>
          <w:tcPr>
            <w:tcW w:w="4410" w:type="dxa"/>
            <w:gridSpan w:val="3"/>
            <w:tcBorders>
              <w:left w:val="thinThickThinSmallGap" w:sz="24" w:space="0" w:color="auto"/>
            </w:tcBorders>
            <w:shd w:val="clear" w:color="auto" w:fill="FFFFFF"/>
            <w:vAlign w:val="center"/>
          </w:tcPr>
          <w:p w:rsidR="002547A2" w:rsidRPr="00E62F98" w:rsidRDefault="0015674C" w:rsidP="007C179A">
            <w:pPr>
              <w:spacing w:line="180" w:lineRule="exact"/>
              <w:contextualSpacing/>
              <w:rPr>
                <w:color w:val="auto"/>
                <w:sz w:val="18"/>
                <w:szCs w:val="18"/>
              </w:rPr>
            </w:pPr>
            <w:r>
              <w:rPr>
                <w:rFonts w:eastAsia="Calibri"/>
                <w:color w:val="auto"/>
                <w:sz w:val="18"/>
                <w:szCs w:val="18"/>
              </w:rPr>
              <w:t>0% x 1/Not Service-</w:t>
            </w:r>
            <w:r w:rsidR="002547A2" w:rsidRPr="00E62F98">
              <w:rPr>
                <w:rFonts w:eastAsia="Calibri"/>
                <w:color w:val="auto"/>
                <w:sz w:val="18"/>
                <w:szCs w:val="18"/>
              </w:rPr>
              <w:t>Connected x 1</w:t>
            </w:r>
          </w:p>
        </w:tc>
        <w:tc>
          <w:tcPr>
            <w:tcW w:w="990" w:type="dxa"/>
            <w:shd w:val="clear" w:color="auto" w:fill="FFFFFF"/>
            <w:vAlign w:val="center"/>
          </w:tcPr>
          <w:p w:rsidR="002547A2" w:rsidRPr="00E62F98" w:rsidRDefault="002547A2" w:rsidP="007C179A">
            <w:pPr>
              <w:spacing w:line="180" w:lineRule="exact"/>
              <w:contextualSpacing/>
              <w:rPr>
                <w:color w:val="auto"/>
                <w:sz w:val="18"/>
                <w:szCs w:val="18"/>
              </w:rPr>
            </w:pPr>
            <w:r w:rsidRPr="00E62F98">
              <w:rPr>
                <w:rFonts w:eastAsia="Calibri"/>
                <w:color w:val="auto"/>
                <w:sz w:val="18"/>
                <w:szCs w:val="18"/>
              </w:rPr>
              <w:t>20070919</w:t>
            </w:r>
          </w:p>
        </w:tc>
      </w:tr>
      <w:tr w:rsidR="002547A2" w:rsidRPr="00E62F98" w:rsidTr="007C179A">
        <w:trPr>
          <w:trHeight w:val="242"/>
          <w:jc w:val="center"/>
        </w:trPr>
        <w:tc>
          <w:tcPr>
            <w:tcW w:w="3978" w:type="dxa"/>
            <w:gridSpan w:val="3"/>
            <w:tcBorders>
              <w:right w:val="thinThickThinSmallGap" w:sz="24" w:space="0" w:color="auto"/>
            </w:tcBorders>
            <w:shd w:val="clear" w:color="auto" w:fill="D9D9D9"/>
            <w:vAlign w:val="center"/>
          </w:tcPr>
          <w:p w:rsidR="002547A2" w:rsidRPr="00E62F98" w:rsidRDefault="002547A2" w:rsidP="007C179A">
            <w:pPr>
              <w:spacing w:line="180" w:lineRule="exact"/>
              <w:contextualSpacing/>
              <w:rPr>
                <w:rFonts w:eastAsia="Calibri"/>
                <w:b/>
                <w:color w:val="auto"/>
                <w:sz w:val="18"/>
                <w:szCs w:val="18"/>
              </w:rPr>
            </w:pPr>
            <w:r w:rsidRPr="00E62F98">
              <w:rPr>
                <w:rFonts w:eastAsia="Calibri"/>
                <w:b/>
                <w:color w:val="auto"/>
                <w:sz w:val="18"/>
                <w:szCs w:val="18"/>
              </w:rPr>
              <w:t>Combined:  10%</w:t>
            </w:r>
          </w:p>
        </w:tc>
        <w:tc>
          <w:tcPr>
            <w:tcW w:w="5400" w:type="dxa"/>
            <w:gridSpan w:val="4"/>
            <w:tcBorders>
              <w:left w:val="thinThickThinSmallGap" w:sz="24" w:space="0" w:color="auto"/>
            </w:tcBorders>
            <w:shd w:val="clear" w:color="auto" w:fill="D9D9D9"/>
            <w:vAlign w:val="center"/>
          </w:tcPr>
          <w:p w:rsidR="002547A2" w:rsidRPr="00E62F98" w:rsidRDefault="002547A2" w:rsidP="007C179A">
            <w:pPr>
              <w:spacing w:line="180" w:lineRule="exact"/>
              <w:contextualSpacing/>
              <w:rPr>
                <w:rFonts w:eastAsia="Calibri"/>
                <w:b/>
                <w:color w:val="auto"/>
                <w:sz w:val="18"/>
                <w:szCs w:val="18"/>
              </w:rPr>
            </w:pPr>
            <w:r w:rsidRPr="00E62F98">
              <w:rPr>
                <w:rFonts w:eastAsia="Calibri"/>
                <w:b/>
                <w:color w:val="auto"/>
                <w:sz w:val="18"/>
                <w:szCs w:val="18"/>
              </w:rPr>
              <w:t>Combined:  80%</w:t>
            </w:r>
          </w:p>
        </w:tc>
      </w:tr>
    </w:tbl>
    <w:p w:rsidR="00A97CD9" w:rsidRPr="00E62F98" w:rsidRDefault="00A97CD9" w:rsidP="00A97CD9">
      <w:pPr>
        <w:pBdr>
          <w:bottom w:val="single" w:sz="12" w:space="1" w:color="auto"/>
        </w:pBdr>
        <w:tabs>
          <w:tab w:val="left" w:pos="288"/>
          <w:tab w:val="left" w:pos="4752"/>
        </w:tabs>
        <w:jc w:val="both"/>
        <w:rPr>
          <w:color w:val="auto"/>
          <w:szCs w:val="24"/>
        </w:rPr>
      </w:pPr>
    </w:p>
    <w:p w:rsidR="006B73E7" w:rsidRPr="00E62F98" w:rsidRDefault="006B73E7" w:rsidP="006B73E7">
      <w:pPr>
        <w:jc w:val="both"/>
        <w:rPr>
          <w:color w:val="auto"/>
        </w:rPr>
      </w:pPr>
    </w:p>
    <w:p w:rsidR="002C6E5B" w:rsidRPr="00E62F98" w:rsidRDefault="002C6E5B" w:rsidP="006B73E7">
      <w:pPr>
        <w:jc w:val="both"/>
        <w:rPr>
          <w:color w:val="auto"/>
        </w:rPr>
      </w:pPr>
      <w:r w:rsidRPr="00E62F98">
        <w:rPr>
          <w:color w:val="auto"/>
          <w:szCs w:val="24"/>
          <w:u w:val="single"/>
        </w:rPr>
        <w:t>ANALYSIS SUMMARY</w:t>
      </w:r>
      <w:r w:rsidRPr="00E62F98">
        <w:rPr>
          <w:color w:val="auto"/>
          <w:szCs w:val="24"/>
        </w:rPr>
        <w:t>:</w:t>
      </w:r>
      <w:r w:rsidR="00841351" w:rsidRPr="00E62F98">
        <w:rPr>
          <w:color w:val="auto"/>
          <w:szCs w:val="24"/>
        </w:rPr>
        <w:t xml:space="preserve">  The Board acknowledges the CI’s contention that suggests service ratings should have been conferred for other conditions documented at the time of separation.  The Board wishes to clarify that it is subject to the same laws for service disability entitlements as those under which the Disability Evaluation System (DES) operates.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15674C">
        <w:rPr>
          <w:color w:val="auto"/>
          <w:szCs w:val="24"/>
        </w:rPr>
        <w:t xml:space="preserve">s’ Affairs, </w:t>
      </w:r>
      <w:r w:rsidR="00841351" w:rsidRPr="00E62F98">
        <w:rPr>
          <w:color w:val="auto"/>
          <w:szCs w:val="24"/>
        </w:rPr>
        <w:t>operating under a different set of laws (Title 38, United States Code), is empo</w:t>
      </w:r>
      <w:r w:rsidR="0015674C">
        <w:rPr>
          <w:color w:val="auto"/>
          <w:szCs w:val="24"/>
        </w:rPr>
        <w:t>wered to compensate all service-</w:t>
      </w:r>
      <w:r w:rsidR="00841351" w:rsidRPr="00E62F98">
        <w:rPr>
          <w:color w:val="auto"/>
          <w:szCs w:val="24"/>
        </w:rPr>
        <w:t xml:space="preserve">connected conditions and to periodically reevaluate said conditions for the purpose of adjusting the </w:t>
      </w:r>
      <w:r w:rsidR="0015674C">
        <w:rPr>
          <w:color w:val="auto"/>
          <w:szCs w:val="24"/>
        </w:rPr>
        <w:t>V</w:t>
      </w:r>
      <w:r w:rsidR="00841351" w:rsidRPr="00E62F98">
        <w:rPr>
          <w:color w:val="auto"/>
          <w:szCs w:val="24"/>
        </w:rPr>
        <w:t xml:space="preserve">eteran’s disability rating should </w:t>
      </w:r>
      <w:r w:rsidR="0015674C">
        <w:rPr>
          <w:color w:val="auto"/>
          <w:szCs w:val="24"/>
        </w:rPr>
        <w:t>the</w:t>
      </w:r>
      <w:r w:rsidR="00841351" w:rsidRPr="00E62F98">
        <w:rPr>
          <w:color w:val="auto"/>
          <w:szCs w:val="24"/>
        </w:rPr>
        <w:t xml:space="preserve"> degree of impairment vary over time. </w:t>
      </w:r>
      <w:r w:rsidR="007C179A" w:rsidRPr="00E62F98">
        <w:rPr>
          <w:color w:val="auto"/>
          <w:szCs w:val="24"/>
        </w:rPr>
        <w:t xml:space="preserve"> </w:t>
      </w:r>
    </w:p>
    <w:p w:rsidR="002F6AD8" w:rsidRPr="00E62F98" w:rsidRDefault="002F6AD8" w:rsidP="00BF0E94">
      <w:pPr>
        <w:jc w:val="left"/>
        <w:rPr>
          <w:color w:val="auto"/>
          <w:szCs w:val="24"/>
          <w:u w:val="single"/>
        </w:rPr>
      </w:pPr>
    </w:p>
    <w:p w:rsidR="00777C98" w:rsidRPr="00E62F98" w:rsidRDefault="00841351" w:rsidP="00DB355E">
      <w:pPr>
        <w:jc w:val="both"/>
        <w:rPr>
          <w:color w:val="auto"/>
          <w:szCs w:val="24"/>
        </w:rPr>
      </w:pPr>
      <w:proofErr w:type="gramStart"/>
      <w:r w:rsidRPr="00E62F98">
        <w:rPr>
          <w:color w:val="auto"/>
          <w:szCs w:val="24"/>
          <w:u w:val="single"/>
        </w:rPr>
        <w:t>Chronic Neck Pain</w:t>
      </w:r>
      <w:r w:rsidR="003F2EEE" w:rsidRPr="00E62F98">
        <w:rPr>
          <w:color w:val="auto"/>
          <w:szCs w:val="24"/>
          <w:u w:val="single"/>
        </w:rPr>
        <w:t xml:space="preserve"> Condition</w:t>
      </w:r>
      <w:r w:rsidR="003F2EEE" w:rsidRPr="00E62F98">
        <w:rPr>
          <w:color w:val="auto"/>
          <w:szCs w:val="24"/>
        </w:rPr>
        <w:t>.</w:t>
      </w:r>
      <w:proofErr w:type="gramEnd"/>
      <w:r w:rsidR="00C70DBD" w:rsidRPr="00E62F98">
        <w:rPr>
          <w:color w:val="auto"/>
          <w:szCs w:val="24"/>
        </w:rPr>
        <w:t xml:space="preserve">  </w:t>
      </w:r>
      <w:r w:rsidR="00777C98" w:rsidRPr="00E62F98">
        <w:rPr>
          <w:color w:val="auto"/>
          <w:szCs w:val="24"/>
        </w:rPr>
        <w:t>There were</w:t>
      </w:r>
      <w:r w:rsidRPr="00E62F98">
        <w:rPr>
          <w:color w:val="auto"/>
          <w:szCs w:val="24"/>
        </w:rPr>
        <w:t xml:space="preserve"> three </w:t>
      </w:r>
      <w:r w:rsidR="00C70DBD" w:rsidRPr="00E62F98">
        <w:rPr>
          <w:color w:val="auto"/>
          <w:szCs w:val="24"/>
        </w:rPr>
        <w:t xml:space="preserve">cervical spine </w:t>
      </w:r>
      <w:r w:rsidRPr="00E62F98">
        <w:rPr>
          <w:color w:val="auto"/>
          <w:szCs w:val="24"/>
        </w:rPr>
        <w:t>evaluations in evidence, two with</w:t>
      </w:r>
      <w:r w:rsidR="0015674C">
        <w:rPr>
          <w:color w:val="auto"/>
          <w:szCs w:val="24"/>
        </w:rPr>
        <w:t xml:space="preserve"> goniometric range-of-</w:t>
      </w:r>
      <w:r w:rsidR="00777C98" w:rsidRPr="00E62F98">
        <w:rPr>
          <w:color w:val="auto"/>
          <w:szCs w:val="24"/>
        </w:rPr>
        <w:t>motion (ROM)</w:t>
      </w:r>
      <w:r w:rsidRPr="00E62F98">
        <w:rPr>
          <w:color w:val="auto"/>
          <w:szCs w:val="24"/>
        </w:rPr>
        <w:t xml:space="preserve"> measurements,</w:t>
      </w:r>
      <w:r w:rsidR="00777C98" w:rsidRPr="00E62F98">
        <w:rPr>
          <w:color w:val="auto"/>
          <w:szCs w:val="24"/>
        </w:rPr>
        <w:t xml:space="preserve"> which the Board weighed in arriving at its rating recommendation.</w:t>
      </w:r>
      <w:r w:rsidRPr="00E62F98">
        <w:rPr>
          <w:color w:val="auto"/>
          <w:szCs w:val="24"/>
        </w:rPr>
        <w:t xml:space="preserve">  These were a physical therapy (PT) </w:t>
      </w:r>
      <w:r w:rsidR="00094D5E" w:rsidRPr="00E62F98">
        <w:rPr>
          <w:color w:val="auto"/>
          <w:szCs w:val="24"/>
        </w:rPr>
        <w:t xml:space="preserve">response to </w:t>
      </w:r>
      <w:r w:rsidRPr="00E62F98">
        <w:rPr>
          <w:color w:val="auto"/>
          <w:szCs w:val="24"/>
        </w:rPr>
        <w:t xml:space="preserve">treatment evaluation, the MEB examination with PT ROM measurements and the VA </w:t>
      </w:r>
      <w:r w:rsidR="0015674C">
        <w:rPr>
          <w:color w:val="auto"/>
          <w:szCs w:val="24"/>
        </w:rPr>
        <w:t>Compensation and Pension (</w:t>
      </w:r>
      <w:r w:rsidRPr="00E62F98">
        <w:rPr>
          <w:color w:val="auto"/>
          <w:szCs w:val="24"/>
        </w:rPr>
        <w:t>C&amp;P</w:t>
      </w:r>
      <w:r w:rsidR="0015674C">
        <w:rPr>
          <w:color w:val="auto"/>
          <w:szCs w:val="24"/>
        </w:rPr>
        <w:t>)</w:t>
      </w:r>
      <w:r w:rsidRPr="00E62F98">
        <w:rPr>
          <w:color w:val="auto"/>
          <w:szCs w:val="24"/>
        </w:rPr>
        <w:t xml:space="preserve"> examination.  The exam findings are summarized in the table below.</w:t>
      </w:r>
    </w:p>
    <w:p w:rsidR="00EB604C" w:rsidRPr="00E62F98" w:rsidRDefault="00841351" w:rsidP="009A3891">
      <w:pPr>
        <w:jc w:val="left"/>
        <w:rPr>
          <w:color w:val="auto"/>
          <w:szCs w:val="24"/>
        </w:rPr>
      </w:pPr>
      <w:r w:rsidRPr="00E62F98">
        <w:rPr>
          <w:color w:val="auto"/>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036"/>
        <w:gridCol w:w="2340"/>
        <w:gridCol w:w="2786"/>
      </w:tblGrid>
      <w:tr w:rsidR="00F92CF6" w:rsidRPr="00E62F98" w:rsidTr="007C179A">
        <w:trPr>
          <w:jc w:val="center"/>
        </w:trPr>
        <w:tc>
          <w:tcPr>
            <w:tcW w:w="9172" w:type="dxa"/>
            <w:gridSpan w:val="4"/>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92CF6" w:rsidRPr="00E62F98" w:rsidRDefault="00F92CF6" w:rsidP="007C179A">
            <w:pPr>
              <w:spacing w:line="180" w:lineRule="exact"/>
              <w:contextualSpacing/>
              <w:rPr>
                <w:rFonts w:eastAsia="Calibri"/>
                <w:i/>
                <w:color w:val="auto"/>
                <w:sz w:val="16"/>
                <w:szCs w:val="16"/>
              </w:rPr>
            </w:pPr>
            <w:r w:rsidRPr="00E62F98">
              <w:rPr>
                <w:rFonts w:eastAsia="Calibri"/>
                <w:color w:val="auto"/>
                <w:sz w:val="18"/>
                <w:szCs w:val="18"/>
              </w:rPr>
              <w:t>Separation Date:  20070629</w:t>
            </w:r>
          </w:p>
        </w:tc>
      </w:tr>
      <w:tr w:rsidR="00F92CF6" w:rsidRPr="00E62F98" w:rsidTr="00317769">
        <w:trPr>
          <w:jc w:val="center"/>
        </w:trPr>
        <w:tc>
          <w:tcPr>
            <w:tcW w:w="20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92CF6" w:rsidRPr="00E62F98" w:rsidRDefault="00A432DD" w:rsidP="007C179A">
            <w:pPr>
              <w:spacing w:line="180" w:lineRule="exact"/>
              <w:contextualSpacing/>
              <w:rPr>
                <w:rFonts w:eastAsia="Calibri"/>
                <w:b/>
                <w:color w:val="auto"/>
                <w:sz w:val="18"/>
                <w:szCs w:val="18"/>
              </w:rPr>
            </w:pPr>
            <w:r w:rsidRPr="00E62F98">
              <w:rPr>
                <w:rFonts w:eastAsia="Calibri"/>
                <w:color w:val="auto"/>
                <w:sz w:val="18"/>
                <w:szCs w:val="18"/>
              </w:rPr>
              <w:t xml:space="preserve">Goniometric </w:t>
            </w:r>
            <w:r w:rsidR="00F92CF6" w:rsidRPr="00E62F98">
              <w:rPr>
                <w:rFonts w:eastAsia="Calibri"/>
                <w:color w:val="auto"/>
                <w:sz w:val="18"/>
                <w:szCs w:val="18"/>
              </w:rPr>
              <w:t>ROM – Cervical</w:t>
            </w:r>
          </w:p>
        </w:tc>
        <w:tc>
          <w:tcPr>
            <w:tcW w:w="2036" w:type="dxa"/>
            <w:tcBorders>
              <w:top w:val="single" w:sz="4" w:space="0" w:color="000000"/>
              <w:left w:val="single" w:sz="4" w:space="0" w:color="000000"/>
              <w:bottom w:val="single" w:sz="4" w:space="0" w:color="000000"/>
              <w:right w:val="single" w:sz="4" w:space="0" w:color="000000"/>
            </w:tcBorders>
            <w:shd w:val="pct15" w:color="auto" w:fill="auto"/>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PT ~ 12 Mo. Pre-Sep</w:t>
            </w:r>
          </w:p>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(20060613)</w:t>
            </w:r>
          </w:p>
        </w:tc>
        <w:tc>
          <w:tcPr>
            <w:tcW w:w="23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MEB</w:t>
            </w:r>
            <w:r w:rsidR="002547A2" w:rsidRPr="00E62F98">
              <w:rPr>
                <w:rFonts w:eastAsia="Calibri"/>
                <w:color w:val="auto"/>
                <w:sz w:val="18"/>
                <w:szCs w:val="18"/>
              </w:rPr>
              <w:t>/PT</w:t>
            </w:r>
            <w:r w:rsidRPr="00E62F98">
              <w:rPr>
                <w:rFonts w:eastAsia="Calibri"/>
                <w:color w:val="auto"/>
                <w:sz w:val="18"/>
                <w:szCs w:val="18"/>
              </w:rPr>
              <w:t xml:space="preserve"> ~ 9 Mo. Pre-Sep</w:t>
            </w:r>
          </w:p>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(20060919)</w:t>
            </w:r>
          </w:p>
        </w:tc>
        <w:tc>
          <w:tcPr>
            <w:tcW w:w="278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VA C&amp;P ~ 3 Mo. After-Sep</w:t>
            </w:r>
          </w:p>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(20070919)</w:t>
            </w:r>
          </w:p>
        </w:tc>
      </w:tr>
      <w:tr w:rsidR="00F92CF6" w:rsidRPr="00E62F98" w:rsidTr="00317769">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Flex (0-45)</w:t>
            </w:r>
          </w:p>
        </w:tc>
        <w:tc>
          <w:tcPr>
            <w:tcW w:w="2036" w:type="dxa"/>
            <w:tcBorders>
              <w:top w:val="single" w:sz="4" w:space="0" w:color="000000"/>
              <w:left w:val="single" w:sz="4" w:space="0" w:color="000000"/>
              <w:bottom w:val="single" w:sz="4" w:space="0" w:color="000000"/>
              <w:right w:val="single" w:sz="4" w:space="0" w:color="000000"/>
            </w:tcBorders>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30</w:t>
            </w:r>
            <w:r w:rsidR="006F08EC" w:rsidRPr="00E62F98">
              <w:rPr>
                <w:rFonts w:eastAsia="Calibri"/>
                <w:color w:val="auto"/>
                <w:sz w:val="18"/>
                <w:szCs w:val="18"/>
              </w:rPr>
              <w:t>⁰</w:t>
            </w:r>
          </w:p>
        </w:tc>
        <w:tc>
          <w:tcPr>
            <w:tcW w:w="2340"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35⁰</w:t>
            </w:r>
            <w:r w:rsidR="002547A2" w:rsidRPr="00E62F98">
              <w:rPr>
                <w:rFonts w:eastAsia="Calibri"/>
                <w:color w:val="auto"/>
                <w:sz w:val="18"/>
                <w:szCs w:val="18"/>
              </w:rPr>
              <w:t>,</w:t>
            </w:r>
            <w:r w:rsidRPr="00E62F98">
              <w:rPr>
                <w:rFonts w:eastAsia="Calibri"/>
                <w:color w:val="auto"/>
                <w:sz w:val="18"/>
                <w:szCs w:val="18"/>
              </w:rPr>
              <w:t xml:space="preserve"> </w:t>
            </w:r>
            <w:r w:rsidR="002547A2" w:rsidRPr="00E62F98">
              <w:rPr>
                <w:rFonts w:eastAsia="Calibri"/>
                <w:color w:val="auto"/>
                <w:sz w:val="18"/>
                <w:szCs w:val="18"/>
              </w:rPr>
              <w:t>35⁰, 40⁰</w:t>
            </w:r>
            <w:r w:rsidR="007C179A" w:rsidRPr="00E62F98">
              <w:rPr>
                <w:rFonts w:eastAsia="Calibri"/>
                <w:color w:val="auto"/>
                <w:sz w:val="18"/>
                <w:szCs w:val="18"/>
              </w:rPr>
              <w:t xml:space="preserve"> (35⁰)</w:t>
            </w:r>
          </w:p>
        </w:tc>
        <w:tc>
          <w:tcPr>
            <w:tcW w:w="2786"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30⁰</w:t>
            </w:r>
          </w:p>
        </w:tc>
      </w:tr>
      <w:tr w:rsidR="00F92CF6" w:rsidRPr="00E62F98" w:rsidTr="00317769">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Ext (0-45)</w:t>
            </w:r>
          </w:p>
        </w:tc>
        <w:tc>
          <w:tcPr>
            <w:tcW w:w="2036" w:type="dxa"/>
            <w:tcBorders>
              <w:top w:val="single" w:sz="4" w:space="0" w:color="000000"/>
              <w:left w:val="single" w:sz="4" w:space="0" w:color="000000"/>
              <w:bottom w:val="single" w:sz="4" w:space="0" w:color="000000"/>
              <w:right w:val="single" w:sz="4" w:space="0" w:color="000000"/>
            </w:tcBorders>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25</w:t>
            </w:r>
            <w:r w:rsidR="006F08EC" w:rsidRPr="00E62F98">
              <w:rPr>
                <w:rFonts w:eastAsia="Calibri"/>
                <w:color w:val="auto"/>
                <w:sz w:val="18"/>
                <w:szCs w:val="18"/>
              </w:rPr>
              <w:t>⁰</w:t>
            </w:r>
          </w:p>
        </w:tc>
        <w:tc>
          <w:tcPr>
            <w:tcW w:w="2340"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35⁰</w:t>
            </w:r>
          </w:p>
        </w:tc>
        <w:tc>
          <w:tcPr>
            <w:tcW w:w="2786"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45⁰</w:t>
            </w:r>
          </w:p>
        </w:tc>
      </w:tr>
      <w:tr w:rsidR="00F92CF6" w:rsidRPr="00E62F98" w:rsidTr="00317769">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R Lat Flex (0-45)</w:t>
            </w:r>
          </w:p>
        </w:tc>
        <w:tc>
          <w:tcPr>
            <w:tcW w:w="2036" w:type="dxa"/>
            <w:tcBorders>
              <w:top w:val="single" w:sz="4" w:space="0" w:color="000000"/>
              <w:left w:val="single" w:sz="4" w:space="0" w:color="000000"/>
              <w:bottom w:val="single" w:sz="4" w:space="0" w:color="000000"/>
              <w:right w:val="single" w:sz="4" w:space="0" w:color="000000"/>
            </w:tcBorders>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20</w:t>
            </w:r>
            <w:r w:rsidR="006F08EC" w:rsidRPr="00E62F98">
              <w:rPr>
                <w:rFonts w:eastAsia="Calibri"/>
                <w:color w:val="auto"/>
                <w:sz w:val="18"/>
                <w:szCs w:val="18"/>
              </w:rPr>
              <w:t>⁰</w:t>
            </w:r>
          </w:p>
        </w:tc>
        <w:tc>
          <w:tcPr>
            <w:tcW w:w="2340"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25⁰</w:t>
            </w:r>
          </w:p>
        </w:tc>
        <w:tc>
          <w:tcPr>
            <w:tcW w:w="2786"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45⁰</w:t>
            </w:r>
          </w:p>
        </w:tc>
      </w:tr>
      <w:tr w:rsidR="00F92CF6" w:rsidRPr="00E62F98" w:rsidTr="00317769">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L Lat Flex (0-45)</w:t>
            </w:r>
          </w:p>
        </w:tc>
        <w:tc>
          <w:tcPr>
            <w:tcW w:w="2036" w:type="dxa"/>
            <w:tcBorders>
              <w:top w:val="single" w:sz="4" w:space="0" w:color="000000"/>
              <w:left w:val="single" w:sz="4" w:space="0" w:color="000000"/>
              <w:bottom w:val="single" w:sz="4" w:space="0" w:color="000000"/>
              <w:right w:val="single" w:sz="4" w:space="0" w:color="000000"/>
            </w:tcBorders>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15</w:t>
            </w:r>
            <w:r w:rsidR="006F08EC" w:rsidRPr="00E62F98">
              <w:rPr>
                <w:rFonts w:eastAsia="Calibri"/>
                <w:color w:val="auto"/>
                <w:sz w:val="18"/>
                <w:szCs w:val="18"/>
              </w:rPr>
              <w:t>⁰</w:t>
            </w:r>
          </w:p>
        </w:tc>
        <w:tc>
          <w:tcPr>
            <w:tcW w:w="2340"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25⁰</w:t>
            </w:r>
          </w:p>
        </w:tc>
        <w:tc>
          <w:tcPr>
            <w:tcW w:w="2786"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30⁰</w:t>
            </w:r>
          </w:p>
        </w:tc>
      </w:tr>
      <w:tr w:rsidR="00F92CF6" w:rsidRPr="00E62F98" w:rsidTr="00317769">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R Rotation (0-80)</w:t>
            </w:r>
          </w:p>
        </w:tc>
        <w:tc>
          <w:tcPr>
            <w:tcW w:w="2036" w:type="dxa"/>
            <w:tcBorders>
              <w:top w:val="single" w:sz="4" w:space="0" w:color="000000"/>
              <w:left w:val="single" w:sz="4" w:space="0" w:color="000000"/>
              <w:bottom w:val="single" w:sz="4" w:space="0" w:color="000000"/>
              <w:right w:val="single" w:sz="4" w:space="0" w:color="000000"/>
            </w:tcBorders>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60</w:t>
            </w:r>
            <w:r w:rsidR="006F08EC" w:rsidRPr="00E62F98">
              <w:rPr>
                <w:rFonts w:eastAsia="Calibri"/>
                <w:color w:val="auto"/>
                <w:sz w:val="18"/>
                <w:szCs w:val="18"/>
              </w:rPr>
              <w:t>⁰</w:t>
            </w:r>
          </w:p>
        </w:tc>
        <w:tc>
          <w:tcPr>
            <w:tcW w:w="2340"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20⁰, 20⁰, 25⁰</w:t>
            </w:r>
            <w:r w:rsidR="007C179A" w:rsidRPr="00E62F98">
              <w:rPr>
                <w:rFonts w:eastAsia="Calibri"/>
                <w:color w:val="auto"/>
                <w:sz w:val="18"/>
                <w:szCs w:val="18"/>
              </w:rPr>
              <w:t xml:space="preserve"> (20⁰)</w:t>
            </w:r>
          </w:p>
        </w:tc>
        <w:tc>
          <w:tcPr>
            <w:tcW w:w="2786"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80⁰</w:t>
            </w:r>
          </w:p>
        </w:tc>
      </w:tr>
      <w:tr w:rsidR="00F92CF6" w:rsidRPr="00E62F98" w:rsidTr="00317769">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L Rotation (0-80)</w:t>
            </w:r>
          </w:p>
        </w:tc>
        <w:tc>
          <w:tcPr>
            <w:tcW w:w="2036" w:type="dxa"/>
            <w:tcBorders>
              <w:top w:val="single" w:sz="4" w:space="0" w:color="000000"/>
              <w:left w:val="single" w:sz="4" w:space="0" w:color="000000"/>
              <w:bottom w:val="single" w:sz="4" w:space="0" w:color="000000"/>
              <w:right w:val="single" w:sz="4" w:space="0" w:color="000000"/>
            </w:tcBorders>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40</w:t>
            </w:r>
            <w:r w:rsidR="006F08EC" w:rsidRPr="00E62F98">
              <w:rPr>
                <w:rFonts w:eastAsia="Calibri"/>
                <w:color w:val="auto"/>
                <w:sz w:val="18"/>
                <w:szCs w:val="18"/>
              </w:rPr>
              <w:t>⁰</w:t>
            </w:r>
          </w:p>
        </w:tc>
        <w:tc>
          <w:tcPr>
            <w:tcW w:w="2340"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2547A2" w:rsidP="007C179A">
            <w:pPr>
              <w:spacing w:line="180" w:lineRule="exact"/>
              <w:contextualSpacing/>
              <w:rPr>
                <w:rFonts w:eastAsia="Calibri"/>
                <w:color w:val="auto"/>
                <w:sz w:val="18"/>
                <w:szCs w:val="18"/>
              </w:rPr>
            </w:pPr>
            <w:r w:rsidRPr="00E62F98">
              <w:rPr>
                <w:rFonts w:eastAsia="Calibri"/>
                <w:color w:val="auto"/>
                <w:sz w:val="18"/>
                <w:szCs w:val="18"/>
              </w:rPr>
              <w:t>25⁰</w:t>
            </w:r>
          </w:p>
        </w:tc>
        <w:tc>
          <w:tcPr>
            <w:tcW w:w="2786"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60⁰</w:t>
            </w:r>
          </w:p>
        </w:tc>
      </w:tr>
      <w:tr w:rsidR="00F92CF6" w:rsidRPr="00E62F98" w:rsidTr="00317769">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COMBINED (340)</w:t>
            </w:r>
          </w:p>
        </w:tc>
        <w:tc>
          <w:tcPr>
            <w:tcW w:w="2036" w:type="dxa"/>
            <w:tcBorders>
              <w:top w:val="single" w:sz="4" w:space="0" w:color="000000"/>
              <w:left w:val="single" w:sz="4" w:space="0" w:color="000000"/>
              <w:bottom w:val="single" w:sz="4" w:space="0" w:color="000000"/>
              <w:right w:val="single" w:sz="4" w:space="0" w:color="000000"/>
            </w:tcBorders>
          </w:tcPr>
          <w:p w:rsidR="00F92CF6" w:rsidRPr="00E62F98" w:rsidRDefault="00F92CF6" w:rsidP="007C179A">
            <w:pPr>
              <w:spacing w:line="180" w:lineRule="exact"/>
              <w:rPr>
                <w:rFonts w:eastAsia="Calibri"/>
                <w:color w:val="auto"/>
                <w:sz w:val="18"/>
                <w:szCs w:val="18"/>
              </w:rPr>
            </w:pPr>
            <w:r w:rsidRPr="00E62F98">
              <w:rPr>
                <w:rFonts w:eastAsia="Calibri"/>
                <w:color w:val="auto"/>
                <w:sz w:val="18"/>
                <w:szCs w:val="18"/>
              </w:rPr>
              <w:t>190⁰</w:t>
            </w:r>
          </w:p>
        </w:tc>
        <w:tc>
          <w:tcPr>
            <w:tcW w:w="2340"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F92CF6" w:rsidP="007C179A">
            <w:pPr>
              <w:spacing w:line="180" w:lineRule="exact"/>
              <w:rPr>
                <w:color w:val="auto"/>
                <w:sz w:val="18"/>
                <w:szCs w:val="18"/>
              </w:rPr>
            </w:pPr>
            <w:r w:rsidRPr="00E62F98">
              <w:rPr>
                <w:rFonts w:eastAsia="Calibri"/>
                <w:color w:val="auto"/>
                <w:sz w:val="18"/>
                <w:szCs w:val="18"/>
              </w:rPr>
              <w:t>165⁰</w:t>
            </w:r>
          </w:p>
        </w:tc>
        <w:tc>
          <w:tcPr>
            <w:tcW w:w="2786" w:type="dxa"/>
            <w:tcBorders>
              <w:top w:val="single" w:sz="4" w:space="0" w:color="000000"/>
              <w:left w:val="single" w:sz="4" w:space="0" w:color="000000"/>
              <w:bottom w:val="single" w:sz="4" w:space="0" w:color="000000"/>
              <w:right w:val="single" w:sz="4" w:space="0" w:color="000000"/>
            </w:tcBorders>
            <w:vAlign w:val="center"/>
          </w:tcPr>
          <w:p w:rsidR="00F92CF6" w:rsidRPr="00E62F98" w:rsidRDefault="00F92CF6" w:rsidP="007C179A">
            <w:pPr>
              <w:spacing w:line="180" w:lineRule="exact"/>
              <w:rPr>
                <w:color w:val="auto"/>
                <w:sz w:val="18"/>
                <w:szCs w:val="18"/>
              </w:rPr>
            </w:pPr>
            <w:r w:rsidRPr="00E62F98">
              <w:rPr>
                <w:rFonts w:eastAsia="Calibri"/>
                <w:color w:val="auto"/>
                <w:sz w:val="18"/>
                <w:szCs w:val="18"/>
              </w:rPr>
              <w:t>290⁰</w:t>
            </w:r>
          </w:p>
        </w:tc>
      </w:tr>
      <w:tr w:rsidR="00F92CF6" w:rsidRPr="00E62F98" w:rsidTr="00317769">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Comment</w:t>
            </w:r>
          </w:p>
        </w:tc>
        <w:tc>
          <w:tcPr>
            <w:tcW w:w="2036" w:type="dxa"/>
            <w:tcBorders>
              <w:top w:val="single" w:sz="4" w:space="0" w:color="000000"/>
              <w:left w:val="single" w:sz="4" w:space="0" w:color="000000"/>
              <w:bottom w:val="single" w:sz="4" w:space="0" w:color="auto"/>
              <w:right w:val="single" w:sz="4" w:space="0" w:color="000000"/>
            </w:tcBorders>
          </w:tcPr>
          <w:p w:rsidR="00F92CF6" w:rsidRPr="00E62F98" w:rsidRDefault="005C2A47" w:rsidP="007C179A">
            <w:pPr>
              <w:tabs>
                <w:tab w:val="left" w:pos="288"/>
                <w:tab w:val="left" w:pos="4752"/>
              </w:tabs>
              <w:spacing w:line="180" w:lineRule="exact"/>
              <w:jc w:val="left"/>
              <w:rPr>
                <w:rFonts w:eastAsia="Calibri"/>
                <w:color w:val="auto"/>
                <w:sz w:val="18"/>
                <w:szCs w:val="18"/>
              </w:rPr>
            </w:pPr>
            <w:r w:rsidRPr="00E62F98">
              <w:rPr>
                <w:rFonts w:eastAsia="Calibri"/>
                <w:color w:val="auto"/>
                <w:sz w:val="18"/>
                <w:szCs w:val="18"/>
              </w:rPr>
              <w:t>Some improvement in numbness but no change in pain with traction -</w:t>
            </w:r>
            <w:r w:rsidR="002547A2" w:rsidRPr="00E62F98">
              <w:rPr>
                <w:rFonts w:eastAsia="Calibri"/>
                <w:color w:val="auto"/>
                <w:sz w:val="18"/>
                <w:szCs w:val="18"/>
              </w:rPr>
              <w:t>Traction tx discontinued</w:t>
            </w:r>
          </w:p>
        </w:tc>
        <w:tc>
          <w:tcPr>
            <w:tcW w:w="2340" w:type="dxa"/>
            <w:tcBorders>
              <w:top w:val="single" w:sz="4" w:space="0" w:color="000000"/>
              <w:left w:val="single" w:sz="4" w:space="0" w:color="000000"/>
              <w:bottom w:val="single" w:sz="4" w:space="0" w:color="auto"/>
              <w:right w:val="single" w:sz="4" w:space="0" w:color="000000"/>
            </w:tcBorders>
            <w:vAlign w:val="center"/>
          </w:tcPr>
          <w:p w:rsidR="00F92CF6" w:rsidRPr="00E62F98" w:rsidRDefault="002547A2" w:rsidP="00317769">
            <w:pPr>
              <w:tabs>
                <w:tab w:val="left" w:pos="288"/>
                <w:tab w:val="left" w:pos="4752"/>
              </w:tabs>
              <w:spacing w:line="180" w:lineRule="exact"/>
              <w:jc w:val="left"/>
              <w:rPr>
                <w:rFonts w:eastAsia="Calibri"/>
                <w:color w:val="auto"/>
                <w:sz w:val="18"/>
                <w:szCs w:val="18"/>
              </w:rPr>
            </w:pPr>
            <w:r w:rsidRPr="00E62F98">
              <w:rPr>
                <w:rFonts w:eastAsia="Calibri"/>
                <w:color w:val="auto"/>
                <w:sz w:val="18"/>
                <w:szCs w:val="18"/>
              </w:rPr>
              <w:t>Pain at limits of ROM, tenderness of lower C-spine; negative Spurling; intact DTRs and no motor deficits</w:t>
            </w:r>
            <w:r w:rsidR="00704012" w:rsidRPr="00E62F98">
              <w:rPr>
                <w:rFonts w:eastAsia="Calibri"/>
                <w:color w:val="auto"/>
                <w:sz w:val="18"/>
                <w:szCs w:val="18"/>
              </w:rPr>
              <w:t>; numbness L hand of medial thumb and lateral index finger</w:t>
            </w:r>
            <w:r w:rsidR="005E01B4" w:rsidRPr="00E62F98">
              <w:rPr>
                <w:rFonts w:eastAsia="Calibri"/>
                <w:color w:val="auto"/>
                <w:sz w:val="18"/>
                <w:szCs w:val="18"/>
              </w:rPr>
              <w:t xml:space="preserve"> </w:t>
            </w:r>
            <w:r w:rsidR="003A703A" w:rsidRPr="00E62F98">
              <w:rPr>
                <w:rFonts w:eastAsia="Calibri"/>
                <w:color w:val="auto"/>
                <w:sz w:val="18"/>
                <w:szCs w:val="18"/>
              </w:rPr>
              <w:t>(DD 2808)</w:t>
            </w:r>
          </w:p>
        </w:tc>
        <w:tc>
          <w:tcPr>
            <w:tcW w:w="2786" w:type="dxa"/>
            <w:tcBorders>
              <w:top w:val="single" w:sz="4" w:space="0" w:color="000000"/>
              <w:left w:val="single" w:sz="4" w:space="0" w:color="000000"/>
              <w:bottom w:val="single" w:sz="4" w:space="0" w:color="auto"/>
              <w:right w:val="single" w:sz="4" w:space="0" w:color="000000"/>
            </w:tcBorders>
            <w:vAlign w:val="center"/>
          </w:tcPr>
          <w:p w:rsidR="00F92CF6" w:rsidRPr="00E62F98" w:rsidRDefault="002547A2" w:rsidP="007C179A">
            <w:pPr>
              <w:tabs>
                <w:tab w:val="left" w:pos="288"/>
                <w:tab w:val="left" w:pos="4752"/>
              </w:tabs>
              <w:spacing w:line="180" w:lineRule="exact"/>
              <w:jc w:val="left"/>
              <w:rPr>
                <w:rFonts w:eastAsia="Calibri"/>
                <w:color w:val="auto"/>
                <w:sz w:val="18"/>
                <w:szCs w:val="18"/>
              </w:rPr>
            </w:pPr>
            <w:r w:rsidRPr="00E62F98">
              <w:rPr>
                <w:rFonts w:eastAsia="Calibri"/>
                <w:color w:val="auto"/>
                <w:sz w:val="18"/>
                <w:szCs w:val="18"/>
              </w:rPr>
              <w:t>Normal gait and posture; no spasm or ankylosis; pain at limits of ROM; joint function additionally limited by pain after repetitive use</w:t>
            </w:r>
            <w:r w:rsidR="00FB7BE8" w:rsidRPr="00E62F98">
              <w:rPr>
                <w:rFonts w:eastAsia="Calibri"/>
                <w:color w:val="auto"/>
                <w:sz w:val="18"/>
                <w:szCs w:val="18"/>
              </w:rPr>
              <w:t xml:space="preserve"> but no additional loss of ROM</w:t>
            </w:r>
            <w:r w:rsidRPr="00E62F98">
              <w:rPr>
                <w:rFonts w:eastAsia="Calibri"/>
                <w:color w:val="auto"/>
                <w:sz w:val="18"/>
                <w:szCs w:val="18"/>
              </w:rPr>
              <w:t>; sensory deficit LUE; 2+ reflexes BUE</w:t>
            </w:r>
            <w:r w:rsidR="005C2A47" w:rsidRPr="00E62F98">
              <w:rPr>
                <w:rFonts w:eastAsia="Calibri"/>
                <w:color w:val="auto"/>
                <w:sz w:val="18"/>
                <w:szCs w:val="18"/>
              </w:rPr>
              <w:t>; normal hand strength</w:t>
            </w:r>
            <w:r w:rsidR="008D1E2A" w:rsidRPr="00E62F98">
              <w:rPr>
                <w:rFonts w:eastAsia="Calibri"/>
                <w:color w:val="auto"/>
                <w:sz w:val="18"/>
                <w:szCs w:val="18"/>
              </w:rPr>
              <w:t>.</w:t>
            </w:r>
          </w:p>
        </w:tc>
      </w:tr>
      <w:tr w:rsidR="00F92CF6" w:rsidRPr="00E62F98" w:rsidTr="00317769">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F92CF6" w:rsidRPr="00E62F98" w:rsidRDefault="00F92CF6" w:rsidP="007C179A">
            <w:pPr>
              <w:spacing w:line="180" w:lineRule="exact"/>
              <w:contextualSpacing/>
              <w:rPr>
                <w:rFonts w:eastAsia="Calibri"/>
                <w:color w:val="auto"/>
                <w:sz w:val="18"/>
                <w:szCs w:val="18"/>
              </w:rPr>
            </w:pPr>
            <w:r w:rsidRPr="00E62F98">
              <w:rPr>
                <w:rFonts w:eastAsia="Calibri"/>
                <w:color w:val="auto"/>
                <w:sz w:val="18"/>
                <w:szCs w:val="18"/>
              </w:rPr>
              <w:t>§4.71a Rating</w:t>
            </w:r>
          </w:p>
        </w:tc>
        <w:tc>
          <w:tcPr>
            <w:tcW w:w="2036" w:type="dxa"/>
            <w:tcBorders>
              <w:top w:val="single" w:sz="4" w:space="0" w:color="000000"/>
              <w:left w:val="single" w:sz="4" w:space="0" w:color="000000"/>
              <w:bottom w:val="single" w:sz="4" w:space="0" w:color="auto"/>
              <w:right w:val="single" w:sz="4" w:space="0" w:color="000000"/>
            </w:tcBorders>
            <w:vAlign w:val="center"/>
          </w:tcPr>
          <w:p w:rsidR="00F92CF6" w:rsidRPr="00E62F98" w:rsidRDefault="00F92CF6" w:rsidP="007C179A">
            <w:pPr>
              <w:tabs>
                <w:tab w:val="left" w:pos="288"/>
                <w:tab w:val="left" w:pos="4752"/>
              </w:tabs>
              <w:spacing w:line="180" w:lineRule="exact"/>
              <w:rPr>
                <w:rFonts w:eastAsia="Calibri"/>
                <w:color w:val="auto"/>
                <w:sz w:val="18"/>
                <w:szCs w:val="18"/>
              </w:rPr>
            </w:pPr>
            <w:r w:rsidRPr="00E62F98">
              <w:rPr>
                <w:rFonts w:eastAsia="Calibri"/>
                <w:color w:val="auto"/>
                <w:sz w:val="18"/>
                <w:szCs w:val="18"/>
              </w:rPr>
              <w:t>20%</w:t>
            </w:r>
          </w:p>
        </w:tc>
        <w:tc>
          <w:tcPr>
            <w:tcW w:w="2340" w:type="dxa"/>
            <w:tcBorders>
              <w:top w:val="single" w:sz="4" w:space="0" w:color="000000"/>
              <w:left w:val="single" w:sz="4" w:space="0" w:color="000000"/>
              <w:bottom w:val="single" w:sz="4" w:space="0" w:color="auto"/>
              <w:right w:val="single" w:sz="4" w:space="0" w:color="000000"/>
            </w:tcBorders>
            <w:vAlign w:val="center"/>
          </w:tcPr>
          <w:p w:rsidR="00F92CF6" w:rsidRPr="00E62F98" w:rsidRDefault="002547A2" w:rsidP="007C179A">
            <w:pPr>
              <w:tabs>
                <w:tab w:val="left" w:pos="288"/>
                <w:tab w:val="left" w:pos="4752"/>
              </w:tabs>
              <w:spacing w:line="180" w:lineRule="exact"/>
              <w:rPr>
                <w:rFonts w:eastAsia="Calibri"/>
                <w:color w:val="auto"/>
                <w:sz w:val="18"/>
                <w:szCs w:val="18"/>
              </w:rPr>
            </w:pPr>
            <w:r w:rsidRPr="00E62F98">
              <w:rPr>
                <w:rFonts w:eastAsia="Calibri"/>
                <w:color w:val="auto"/>
                <w:sz w:val="18"/>
                <w:szCs w:val="18"/>
              </w:rPr>
              <w:t>20%</w:t>
            </w:r>
            <w:r w:rsidR="00FF2BD7" w:rsidRPr="00E62F98">
              <w:rPr>
                <w:rFonts w:eastAsia="Calibri"/>
                <w:color w:val="auto"/>
                <w:sz w:val="18"/>
                <w:szCs w:val="18"/>
              </w:rPr>
              <w:t xml:space="preserve"> (PEB – 10%)</w:t>
            </w:r>
          </w:p>
        </w:tc>
        <w:tc>
          <w:tcPr>
            <w:tcW w:w="2786" w:type="dxa"/>
            <w:tcBorders>
              <w:top w:val="single" w:sz="4" w:space="0" w:color="000000"/>
              <w:left w:val="single" w:sz="4" w:space="0" w:color="000000"/>
              <w:bottom w:val="single" w:sz="4" w:space="0" w:color="auto"/>
              <w:right w:val="single" w:sz="4" w:space="0" w:color="000000"/>
            </w:tcBorders>
            <w:vAlign w:val="center"/>
          </w:tcPr>
          <w:p w:rsidR="00F92CF6" w:rsidRPr="00E62F98" w:rsidRDefault="00F92CF6" w:rsidP="007C179A">
            <w:pPr>
              <w:tabs>
                <w:tab w:val="left" w:pos="288"/>
                <w:tab w:val="left" w:pos="4752"/>
              </w:tabs>
              <w:spacing w:line="180" w:lineRule="exact"/>
              <w:rPr>
                <w:rFonts w:eastAsia="Calibri"/>
                <w:color w:val="auto"/>
                <w:sz w:val="18"/>
                <w:szCs w:val="18"/>
              </w:rPr>
            </w:pPr>
            <w:r w:rsidRPr="00E62F98">
              <w:rPr>
                <w:rFonts w:eastAsia="Calibri"/>
                <w:color w:val="auto"/>
                <w:sz w:val="18"/>
                <w:szCs w:val="18"/>
              </w:rPr>
              <w:t>20%</w:t>
            </w:r>
          </w:p>
        </w:tc>
      </w:tr>
    </w:tbl>
    <w:p w:rsidR="00777C98" w:rsidRPr="00E62F98" w:rsidRDefault="00777C98" w:rsidP="00994767">
      <w:pPr>
        <w:jc w:val="both"/>
        <w:rPr>
          <w:color w:val="auto"/>
          <w:szCs w:val="24"/>
        </w:rPr>
      </w:pPr>
    </w:p>
    <w:p w:rsidR="00873CAA" w:rsidRPr="00E62F98" w:rsidRDefault="00717705" w:rsidP="00994767">
      <w:pPr>
        <w:jc w:val="both"/>
        <w:rPr>
          <w:color w:val="auto"/>
          <w:szCs w:val="24"/>
        </w:rPr>
      </w:pPr>
      <w:r w:rsidRPr="00E62F98">
        <w:rPr>
          <w:color w:val="auto"/>
          <w:szCs w:val="24"/>
        </w:rPr>
        <w:t>At the MEB exam, t</w:t>
      </w:r>
      <w:r w:rsidR="0063121E" w:rsidRPr="00E62F98">
        <w:rPr>
          <w:color w:val="auto"/>
          <w:szCs w:val="24"/>
        </w:rPr>
        <w:t xml:space="preserve">he CI complained of neck pain radiating to the left upper extremity.  </w:t>
      </w:r>
      <w:r w:rsidR="00094D5E" w:rsidRPr="00E62F98">
        <w:rPr>
          <w:color w:val="auto"/>
          <w:szCs w:val="24"/>
        </w:rPr>
        <w:t>All three examinations documented similar degrees of limitation of cervical spine flexion,</w:t>
      </w:r>
      <w:r w:rsidR="00DF29A6" w:rsidRPr="00E62F98">
        <w:rPr>
          <w:color w:val="auto"/>
          <w:szCs w:val="24"/>
        </w:rPr>
        <w:t xml:space="preserve"> and all documented limitation of the combined </w:t>
      </w:r>
      <w:r w:rsidR="0015674C">
        <w:rPr>
          <w:color w:val="auto"/>
          <w:szCs w:val="24"/>
        </w:rPr>
        <w:t>ROM</w:t>
      </w:r>
      <w:r w:rsidR="00DF29A6" w:rsidRPr="00E62F98">
        <w:rPr>
          <w:color w:val="auto"/>
          <w:szCs w:val="24"/>
        </w:rPr>
        <w:t xml:space="preserve"> of the cervical spine.  Both </w:t>
      </w:r>
      <w:r w:rsidR="00094D5E" w:rsidRPr="00E62F98">
        <w:rPr>
          <w:color w:val="auto"/>
          <w:szCs w:val="24"/>
        </w:rPr>
        <w:t xml:space="preserve">the MEB exam and the VA C&amp;P exam noted pain at the limits of </w:t>
      </w:r>
      <w:r w:rsidR="0015674C">
        <w:rPr>
          <w:color w:val="auto"/>
          <w:szCs w:val="24"/>
        </w:rPr>
        <w:t>ROM</w:t>
      </w:r>
      <w:r w:rsidR="00094D5E" w:rsidRPr="00E62F98">
        <w:rPr>
          <w:color w:val="auto"/>
          <w:szCs w:val="24"/>
        </w:rPr>
        <w:t xml:space="preserve">.  </w:t>
      </w:r>
      <w:r w:rsidR="00D65525" w:rsidRPr="00E62F98">
        <w:rPr>
          <w:color w:val="auto"/>
          <w:szCs w:val="24"/>
        </w:rPr>
        <w:t>Additionally, t</w:t>
      </w:r>
      <w:r w:rsidR="00094D5E" w:rsidRPr="00E62F98">
        <w:rPr>
          <w:color w:val="auto"/>
          <w:szCs w:val="24"/>
        </w:rPr>
        <w:t>he MEB exam documented tenderness of the cervical spine</w:t>
      </w:r>
      <w:r w:rsidR="00DF29A6" w:rsidRPr="00E62F98">
        <w:rPr>
          <w:color w:val="auto"/>
          <w:szCs w:val="24"/>
        </w:rPr>
        <w:t xml:space="preserve"> with no motor deficits and a negative</w:t>
      </w:r>
      <w:r w:rsidR="00094D5E" w:rsidRPr="00E62F98">
        <w:rPr>
          <w:color w:val="auto"/>
          <w:szCs w:val="24"/>
        </w:rPr>
        <w:t xml:space="preserve"> Spurling test.  </w:t>
      </w:r>
      <w:r w:rsidR="00783E04" w:rsidRPr="00E62F98">
        <w:rPr>
          <w:color w:val="auto"/>
          <w:szCs w:val="24"/>
        </w:rPr>
        <w:t xml:space="preserve">At the VA C&amp;P exam, joint function was additionally limited by pain after repetitive use, </w:t>
      </w:r>
      <w:r w:rsidR="00DF29A6" w:rsidRPr="00E62F98">
        <w:rPr>
          <w:color w:val="auto"/>
          <w:szCs w:val="24"/>
        </w:rPr>
        <w:t>but did not result in</w:t>
      </w:r>
      <w:r w:rsidR="00783E04" w:rsidRPr="00E62F98">
        <w:rPr>
          <w:color w:val="auto"/>
          <w:szCs w:val="24"/>
        </w:rPr>
        <w:t xml:space="preserve"> additional loss of ROM.  The CI had </w:t>
      </w:r>
      <w:r w:rsidRPr="00E62F98">
        <w:rPr>
          <w:color w:val="auto"/>
          <w:szCs w:val="24"/>
        </w:rPr>
        <w:t xml:space="preserve">a </w:t>
      </w:r>
      <w:r w:rsidR="00783E04" w:rsidRPr="00E62F98">
        <w:rPr>
          <w:color w:val="auto"/>
          <w:szCs w:val="24"/>
        </w:rPr>
        <w:t>normal gait and posture, and there was no spasm or ankylosis.  The C&amp;P examiner also documented a sensory deficit of the left lateral forearm, left thumb and left index finger.  Reflexes were normal and bilateral hand strength was normal.</w:t>
      </w:r>
      <w:r w:rsidR="0063121E" w:rsidRPr="00E62F98">
        <w:rPr>
          <w:color w:val="auto"/>
          <w:szCs w:val="24"/>
        </w:rPr>
        <w:t xml:space="preserve">  Plain films of the cervical spine were remarkable for multi-level cervical spondylosis with degenerative changes primarily at C5</w:t>
      </w:r>
      <w:r w:rsidRPr="00E62F98">
        <w:rPr>
          <w:color w:val="auto"/>
          <w:szCs w:val="24"/>
        </w:rPr>
        <w:t>-C6 and C6-C7 with disk</w:t>
      </w:r>
      <w:r w:rsidR="0063121E" w:rsidRPr="00E62F98">
        <w:rPr>
          <w:color w:val="auto"/>
          <w:szCs w:val="24"/>
        </w:rPr>
        <w:t xml:space="preserve"> space narrowing.  MRI findings documented a posterior disk osteophyte complex at C5-C6 resulting in moderate right-sided foraminal narrowing and moderate canal stenosis.</w:t>
      </w:r>
      <w:r w:rsidR="00317769" w:rsidRPr="00E62F98">
        <w:rPr>
          <w:color w:val="auto"/>
          <w:szCs w:val="24"/>
        </w:rPr>
        <w:t xml:space="preserve">  </w:t>
      </w:r>
    </w:p>
    <w:p w:rsidR="002547A2" w:rsidRPr="00E62F98" w:rsidRDefault="002547A2" w:rsidP="00994767">
      <w:pPr>
        <w:jc w:val="both"/>
        <w:rPr>
          <w:color w:val="auto"/>
          <w:szCs w:val="24"/>
        </w:rPr>
      </w:pPr>
    </w:p>
    <w:p w:rsidR="00FB7BE8" w:rsidRPr="00E62F98" w:rsidRDefault="0063121E" w:rsidP="00994767">
      <w:pPr>
        <w:jc w:val="both"/>
        <w:rPr>
          <w:color w:val="auto"/>
          <w:szCs w:val="24"/>
        </w:rPr>
      </w:pPr>
      <w:r w:rsidRPr="00E62F98">
        <w:rPr>
          <w:color w:val="auto"/>
          <w:szCs w:val="24"/>
        </w:rPr>
        <w:t xml:space="preserve">The MEB examiner noted worsening of the CI’s neck pain symptoms with </w:t>
      </w:r>
      <w:r w:rsidR="008B22F8" w:rsidRPr="00E62F98">
        <w:rPr>
          <w:color w:val="auto"/>
          <w:szCs w:val="24"/>
        </w:rPr>
        <w:t>wear</w:t>
      </w:r>
      <w:r w:rsidR="002547A2" w:rsidRPr="00E62F98">
        <w:rPr>
          <w:color w:val="auto"/>
          <w:szCs w:val="24"/>
        </w:rPr>
        <w:t xml:space="preserve"> of t</w:t>
      </w:r>
      <w:r w:rsidR="008B22F8" w:rsidRPr="00E62F98">
        <w:rPr>
          <w:color w:val="auto"/>
          <w:szCs w:val="24"/>
        </w:rPr>
        <w:t xml:space="preserve">he Kevlar helmet, wear of the armored vest </w:t>
      </w:r>
      <w:r w:rsidR="002547A2" w:rsidRPr="00E62F98">
        <w:rPr>
          <w:color w:val="auto"/>
          <w:szCs w:val="24"/>
        </w:rPr>
        <w:t xml:space="preserve">and </w:t>
      </w:r>
      <w:r w:rsidR="008B22F8" w:rsidRPr="00E62F98">
        <w:rPr>
          <w:color w:val="auto"/>
          <w:szCs w:val="24"/>
        </w:rPr>
        <w:t xml:space="preserve">performance of </w:t>
      </w:r>
      <w:r w:rsidR="002547A2" w:rsidRPr="00E62F98">
        <w:rPr>
          <w:color w:val="auto"/>
          <w:szCs w:val="24"/>
        </w:rPr>
        <w:t>any impact activities</w:t>
      </w:r>
      <w:r w:rsidR="008B22F8" w:rsidRPr="00E62F98">
        <w:rPr>
          <w:color w:val="auto"/>
          <w:szCs w:val="24"/>
        </w:rPr>
        <w:t xml:space="preserve">.  Additionally, the neck pain caused extreme difficulty riding and driving over rough, uneven terrain, as well as performing overhead work and keeping the </w:t>
      </w:r>
      <w:r w:rsidR="00242F05" w:rsidRPr="00E62F98">
        <w:rPr>
          <w:color w:val="auto"/>
          <w:szCs w:val="24"/>
        </w:rPr>
        <w:t>he</w:t>
      </w:r>
      <w:r w:rsidR="008B22F8" w:rsidRPr="00E62F98">
        <w:rPr>
          <w:color w:val="auto"/>
          <w:szCs w:val="24"/>
        </w:rPr>
        <w:t xml:space="preserve">ad and neck extended.  </w:t>
      </w:r>
      <w:r w:rsidR="00242F05" w:rsidRPr="00E62F98">
        <w:rPr>
          <w:color w:val="auto"/>
          <w:szCs w:val="24"/>
        </w:rPr>
        <w:t xml:space="preserve">The examiner concluded that the prognosis for improvement was fair to poor and opined that symptoms “will likely increase with time and age due to the degenerative nature of the condition.”  </w:t>
      </w:r>
      <w:r w:rsidR="008B22F8" w:rsidRPr="00E62F98">
        <w:rPr>
          <w:color w:val="auto"/>
          <w:szCs w:val="24"/>
        </w:rPr>
        <w:t xml:space="preserve">The permanent profile </w:t>
      </w:r>
      <w:r w:rsidR="00242F05" w:rsidRPr="00E62F98">
        <w:rPr>
          <w:color w:val="auto"/>
          <w:szCs w:val="24"/>
        </w:rPr>
        <w:t>detailed</w:t>
      </w:r>
      <w:r w:rsidR="008B22F8" w:rsidRPr="00E62F98">
        <w:rPr>
          <w:color w:val="auto"/>
          <w:szCs w:val="24"/>
        </w:rPr>
        <w:t>, “</w:t>
      </w:r>
      <w:r w:rsidR="0015674C">
        <w:rPr>
          <w:color w:val="auto"/>
          <w:szCs w:val="24"/>
        </w:rPr>
        <w:t>no running,</w:t>
      </w:r>
      <w:r w:rsidR="008B22F8" w:rsidRPr="00E62F98">
        <w:rPr>
          <w:color w:val="auto"/>
          <w:szCs w:val="24"/>
        </w:rPr>
        <w:t xml:space="preserve"> </w:t>
      </w:r>
      <w:r w:rsidR="0015674C">
        <w:rPr>
          <w:color w:val="auto"/>
          <w:szCs w:val="24"/>
        </w:rPr>
        <w:t>no jumping,</w:t>
      </w:r>
      <w:r w:rsidR="008B22F8" w:rsidRPr="00E62F98">
        <w:rPr>
          <w:color w:val="auto"/>
          <w:szCs w:val="24"/>
        </w:rPr>
        <w:t xml:space="preserve"> </w:t>
      </w:r>
      <w:r w:rsidR="0015674C">
        <w:rPr>
          <w:color w:val="auto"/>
          <w:szCs w:val="24"/>
        </w:rPr>
        <w:t>n</w:t>
      </w:r>
      <w:r w:rsidR="008B22F8" w:rsidRPr="00E62F98">
        <w:rPr>
          <w:color w:val="auto"/>
          <w:szCs w:val="24"/>
        </w:rPr>
        <w:t>o sit-ups or lif</w:t>
      </w:r>
      <w:r w:rsidR="0015674C">
        <w:rPr>
          <w:color w:val="auto"/>
          <w:szCs w:val="24"/>
        </w:rPr>
        <w:t>ting greater than 50 pounds,</w:t>
      </w:r>
      <w:r w:rsidR="008B22F8" w:rsidRPr="00E62F98">
        <w:rPr>
          <w:color w:val="auto"/>
          <w:szCs w:val="24"/>
        </w:rPr>
        <w:t xml:space="preserve"> </w:t>
      </w:r>
      <w:r w:rsidR="0015674C">
        <w:rPr>
          <w:color w:val="auto"/>
          <w:szCs w:val="24"/>
        </w:rPr>
        <w:t>n</w:t>
      </w:r>
      <w:r w:rsidR="008B22F8" w:rsidRPr="00E62F98">
        <w:rPr>
          <w:color w:val="auto"/>
          <w:szCs w:val="24"/>
        </w:rPr>
        <w:t>o wearing of rucksack a</w:t>
      </w:r>
      <w:r w:rsidR="0015674C">
        <w:rPr>
          <w:color w:val="auto"/>
          <w:szCs w:val="24"/>
        </w:rPr>
        <w:t>rmored vest or full combat load,</w:t>
      </w:r>
      <w:r w:rsidR="008B22F8" w:rsidRPr="00E62F98">
        <w:rPr>
          <w:color w:val="auto"/>
          <w:szCs w:val="24"/>
        </w:rPr>
        <w:t xml:space="preserve"> </w:t>
      </w:r>
      <w:r w:rsidR="0015674C">
        <w:rPr>
          <w:color w:val="auto"/>
          <w:szCs w:val="24"/>
        </w:rPr>
        <w:t xml:space="preserve">no </w:t>
      </w:r>
      <w:proofErr w:type="spellStart"/>
      <w:r w:rsidR="0015674C">
        <w:rPr>
          <w:color w:val="auto"/>
          <w:szCs w:val="24"/>
        </w:rPr>
        <w:t>ruckmarching</w:t>
      </w:r>
      <w:proofErr w:type="spellEnd"/>
      <w:r w:rsidR="0015674C">
        <w:rPr>
          <w:color w:val="auto"/>
          <w:szCs w:val="24"/>
        </w:rPr>
        <w:t>,</w:t>
      </w:r>
      <w:r w:rsidR="008B22F8" w:rsidRPr="00E62F98">
        <w:rPr>
          <w:color w:val="auto"/>
          <w:szCs w:val="24"/>
        </w:rPr>
        <w:t xml:space="preserve">  </w:t>
      </w:r>
      <w:r w:rsidR="0015674C">
        <w:rPr>
          <w:color w:val="auto"/>
          <w:szCs w:val="24"/>
        </w:rPr>
        <w:t>a</w:t>
      </w:r>
      <w:r w:rsidR="008B22F8" w:rsidRPr="00E62F98">
        <w:rPr>
          <w:color w:val="auto"/>
          <w:szCs w:val="24"/>
        </w:rPr>
        <w:t xml:space="preserve">lternate APFT.” </w:t>
      </w:r>
      <w:r w:rsidR="0034525B" w:rsidRPr="00E62F98">
        <w:rPr>
          <w:color w:val="auto"/>
          <w:szCs w:val="24"/>
        </w:rPr>
        <w:t xml:space="preserve"> The </w:t>
      </w:r>
      <w:r w:rsidR="00242F05" w:rsidRPr="00E62F98">
        <w:rPr>
          <w:color w:val="auto"/>
          <w:szCs w:val="24"/>
        </w:rPr>
        <w:t xml:space="preserve">PEB </w:t>
      </w:r>
      <w:r w:rsidR="0034525B" w:rsidRPr="00E62F98">
        <w:rPr>
          <w:color w:val="auto"/>
          <w:szCs w:val="24"/>
        </w:rPr>
        <w:t xml:space="preserve">noted that “pain and profile restrictions prevent full duty function.”  </w:t>
      </w:r>
    </w:p>
    <w:p w:rsidR="0034525B" w:rsidRPr="00E62F98" w:rsidRDefault="0034525B" w:rsidP="00994767">
      <w:pPr>
        <w:jc w:val="both"/>
        <w:rPr>
          <w:color w:val="auto"/>
          <w:szCs w:val="24"/>
        </w:rPr>
      </w:pPr>
    </w:p>
    <w:p w:rsidR="00717705" w:rsidRPr="00E62F98" w:rsidRDefault="00717705" w:rsidP="00994767">
      <w:pPr>
        <w:jc w:val="both"/>
        <w:rPr>
          <w:color w:val="auto"/>
          <w:szCs w:val="24"/>
        </w:rPr>
      </w:pPr>
      <w:r w:rsidRPr="00E62F98">
        <w:rPr>
          <w:color w:val="auto"/>
          <w:szCs w:val="24"/>
        </w:rPr>
        <w:t>The PEB and the VA chose similar coding for the condition</w:t>
      </w:r>
      <w:r w:rsidR="00704012" w:rsidRPr="00E62F98">
        <w:rPr>
          <w:color w:val="auto"/>
          <w:szCs w:val="24"/>
        </w:rPr>
        <w:t>,</w:t>
      </w:r>
      <w:r w:rsidRPr="00E62F98">
        <w:rPr>
          <w:color w:val="auto"/>
          <w:szCs w:val="24"/>
        </w:rPr>
        <w:t xml:space="preserve"> but arrived at different rating recommendations.  Both codes rate based upon the </w:t>
      </w:r>
      <w:r w:rsidR="0015674C">
        <w:rPr>
          <w:color w:val="auto"/>
          <w:szCs w:val="24"/>
        </w:rPr>
        <w:t>g</w:t>
      </w:r>
      <w:r w:rsidRPr="00E62F98">
        <w:rPr>
          <w:color w:val="auto"/>
          <w:szCs w:val="24"/>
        </w:rPr>
        <w:t xml:space="preserve">eneral </w:t>
      </w:r>
      <w:r w:rsidR="0015674C">
        <w:rPr>
          <w:color w:val="auto"/>
          <w:szCs w:val="24"/>
        </w:rPr>
        <w:t>r</w:t>
      </w:r>
      <w:r w:rsidRPr="00E62F98">
        <w:rPr>
          <w:color w:val="auto"/>
          <w:szCs w:val="24"/>
        </w:rPr>
        <w:t xml:space="preserve">ating </w:t>
      </w:r>
      <w:r w:rsidR="0015674C">
        <w:rPr>
          <w:color w:val="auto"/>
          <w:szCs w:val="24"/>
        </w:rPr>
        <w:t>f</w:t>
      </w:r>
      <w:r w:rsidRPr="00E62F98">
        <w:rPr>
          <w:color w:val="auto"/>
          <w:szCs w:val="24"/>
        </w:rPr>
        <w:t xml:space="preserve">ormula for </w:t>
      </w:r>
      <w:r w:rsidR="0015674C">
        <w:rPr>
          <w:color w:val="auto"/>
          <w:szCs w:val="24"/>
        </w:rPr>
        <w:t>d</w:t>
      </w:r>
      <w:r w:rsidRPr="00E62F98">
        <w:rPr>
          <w:color w:val="auto"/>
          <w:szCs w:val="24"/>
        </w:rPr>
        <w:t xml:space="preserve">iseases and </w:t>
      </w:r>
      <w:r w:rsidR="0015674C">
        <w:rPr>
          <w:color w:val="auto"/>
          <w:szCs w:val="24"/>
        </w:rPr>
        <w:t>i</w:t>
      </w:r>
      <w:r w:rsidRPr="00E62F98">
        <w:rPr>
          <w:color w:val="auto"/>
          <w:szCs w:val="24"/>
        </w:rPr>
        <w:t xml:space="preserve">njuries of the </w:t>
      </w:r>
      <w:r w:rsidR="0015674C">
        <w:rPr>
          <w:color w:val="auto"/>
          <w:szCs w:val="24"/>
        </w:rPr>
        <w:t>s</w:t>
      </w:r>
      <w:r w:rsidRPr="00E62F98">
        <w:rPr>
          <w:color w:val="auto"/>
          <w:szCs w:val="24"/>
        </w:rPr>
        <w:t xml:space="preserve">pine.  </w:t>
      </w:r>
      <w:r w:rsidR="00D217DD" w:rsidRPr="00E62F98">
        <w:rPr>
          <w:color w:val="auto"/>
          <w:szCs w:val="24"/>
        </w:rPr>
        <w:t>The PEB coded for degenerative arthritis of the spine and rated 10% based upon “</w:t>
      </w:r>
      <w:r w:rsidR="008D140D" w:rsidRPr="00E62F98">
        <w:rPr>
          <w:color w:val="auto"/>
          <w:szCs w:val="24"/>
        </w:rPr>
        <w:t xml:space="preserve">Full </w:t>
      </w:r>
      <w:r w:rsidR="0015674C">
        <w:rPr>
          <w:color w:val="auto"/>
          <w:szCs w:val="24"/>
        </w:rPr>
        <w:t>ROM</w:t>
      </w:r>
      <w:r w:rsidR="008D140D" w:rsidRPr="00E62F98">
        <w:rPr>
          <w:color w:val="auto"/>
          <w:szCs w:val="24"/>
        </w:rPr>
        <w:t xml:space="preserve"> with pain on motion, no radiculopathy or spasm.” </w:t>
      </w:r>
      <w:r w:rsidR="00704012" w:rsidRPr="00E62F98">
        <w:rPr>
          <w:color w:val="auto"/>
          <w:szCs w:val="24"/>
        </w:rPr>
        <w:t xml:space="preserve"> </w:t>
      </w:r>
      <w:r w:rsidR="00D217DD" w:rsidRPr="00E62F98">
        <w:rPr>
          <w:color w:val="auto"/>
          <w:szCs w:val="24"/>
        </w:rPr>
        <w:t xml:space="preserve">There was no </w:t>
      </w:r>
      <w:r w:rsidR="00704012" w:rsidRPr="00E62F98">
        <w:rPr>
          <w:color w:val="auto"/>
          <w:szCs w:val="24"/>
        </w:rPr>
        <w:t xml:space="preserve">rating </w:t>
      </w:r>
      <w:r w:rsidR="00D217DD" w:rsidRPr="00E62F98">
        <w:rPr>
          <w:color w:val="auto"/>
          <w:szCs w:val="24"/>
        </w:rPr>
        <w:t>deduction for existing prior to service (EPTS</w:t>
      </w:r>
      <w:r w:rsidR="00704012" w:rsidRPr="00E62F98">
        <w:rPr>
          <w:color w:val="auto"/>
          <w:szCs w:val="24"/>
        </w:rPr>
        <w:t>-UND</w:t>
      </w:r>
      <w:r w:rsidR="00D217DD" w:rsidRPr="00E62F98">
        <w:rPr>
          <w:color w:val="auto"/>
          <w:szCs w:val="24"/>
        </w:rPr>
        <w:t>).</w:t>
      </w:r>
      <w:r w:rsidR="008D140D" w:rsidRPr="00E62F98">
        <w:rPr>
          <w:color w:val="auto"/>
          <w:szCs w:val="24"/>
        </w:rPr>
        <w:t xml:space="preserve">  The VA coded for intervertebral disc syndrome and rated 20% based upon forward flexion of the cervical spine of greater than 15 degrees but not greater than 30 degrees.  There was no documentation of incapacitating episodes to justify rating based upon </w:t>
      </w:r>
      <w:proofErr w:type="gramStart"/>
      <w:r w:rsidR="008D140D" w:rsidRPr="00E62F98">
        <w:rPr>
          <w:color w:val="auto"/>
          <w:szCs w:val="24"/>
        </w:rPr>
        <w:t>that criteria</w:t>
      </w:r>
      <w:proofErr w:type="gramEnd"/>
      <w:r w:rsidR="008D140D" w:rsidRPr="00E62F98">
        <w:rPr>
          <w:color w:val="auto"/>
          <w:szCs w:val="24"/>
        </w:rPr>
        <w:t xml:space="preserve">.  </w:t>
      </w:r>
    </w:p>
    <w:p w:rsidR="00FB7BE8" w:rsidRPr="00E62F98" w:rsidRDefault="00FB7BE8" w:rsidP="00994767">
      <w:pPr>
        <w:jc w:val="both"/>
        <w:rPr>
          <w:color w:val="auto"/>
          <w:szCs w:val="24"/>
        </w:rPr>
      </w:pPr>
    </w:p>
    <w:p w:rsidR="007C179A" w:rsidRPr="00E62F98" w:rsidRDefault="00704012" w:rsidP="00334F38">
      <w:pPr>
        <w:jc w:val="both"/>
        <w:rPr>
          <w:color w:val="auto"/>
          <w:szCs w:val="24"/>
        </w:rPr>
      </w:pPr>
      <w:r w:rsidRPr="00E62F98">
        <w:rPr>
          <w:color w:val="auto"/>
          <w:szCs w:val="24"/>
        </w:rPr>
        <w:t xml:space="preserve">All exams met the 20% rating criteria for ROMs.  </w:t>
      </w:r>
      <w:r w:rsidR="00FF2BD7" w:rsidRPr="00E62F98">
        <w:rPr>
          <w:color w:val="auto"/>
          <w:szCs w:val="24"/>
        </w:rPr>
        <w:t>The Board noted that the degree of limitation of cervical spine flexion documented in the physical therapy note and at the VA C&amp;P exam meet</w:t>
      </w:r>
      <w:r w:rsidR="00321CDD" w:rsidRPr="00E62F98">
        <w:rPr>
          <w:color w:val="auto"/>
          <w:szCs w:val="24"/>
        </w:rPr>
        <w:t>s</w:t>
      </w:r>
      <w:r w:rsidR="00FF2BD7" w:rsidRPr="00E62F98">
        <w:rPr>
          <w:color w:val="auto"/>
          <w:szCs w:val="24"/>
        </w:rPr>
        <w:t xml:space="preserve"> the criteria for the 20% rating’s “forward flexion of the cervical spine greater than 15 degrees but not greater than 30 degrees.”  </w:t>
      </w:r>
    </w:p>
    <w:p w:rsidR="007C179A" w:rsidRPr="00E62F98" w:rsidRDefault="007C179A" w:rsidP="00334F38">
      <w:pPr>
        <w:jc w:val="both"/>
        <w:rPr>
          <w:color w:val="auto"/>
          <w:szCs w:val="24"/>
        </w:rPr>
      </w:pPr>
    </w:p>
    <w:p w:rsidR="00CA031F" w:rsidRPr="00E62F98" w:rsidRDefault="007C179A" w:rsidP="00334F38">
      <w:pPr>
        <w:jc w:val="both"/>
        <w:rPr>
          <w:color w:val="auto"/>
          <w:szCs w:val="24"/>
        </w:rPr>
      </w:pPr>
      <w:r w:rsidRPr="00E62F98">
        <w:rPr>
          <w:color w:val="auto"/>
          <w:szCs w:val="24"/>
        </w:rPr>
        <w:lastRenderedPageBreak/>
        <w:t xml:space="preserve">The MEB exam documented three measurements for each ROM as noted in the chart.  Board precedent, IAW VASRD §4.71a and congruent with VA rating practice, is to round to the nearest five degrees and to utilize the lowest of multiple measurements for rating purposes.  </w:t>
      </w:r>
      <w:r w:rsidR="00CA031F" w:rsidRPr="00E62F98">
        <w:rPr>
          <w:color w:val="auto"/>
          <w:szCs w:val="24"/>
        </w:rPr>
        <w:t xml:space="preserve">The </w:t>
      </w:r>
      <w:r w:rsidR="00704012" w:rsidRPr="00E62F98">
        <w:rPr>
          <w:color w:val="auto"/>
          <w:szCs w:val="24"/>
        </w:rPr>
        <w:t xml:space="preserve">MEB exam’s </w:t>
      </w:r>
      <w:r w:rsidR="00CA031F" w:rsidRPr="00E62F98">
        <w:rPr>
          <w:color w:val="auto"/>
          <w:szCs w:val="24"/>
        </w:rPr>
        <w:t xml:space="preserve">degree of limitation of </w:t>
      </w:r>
      <w:r w:rsidR="0091658B" w:rsidRPr="00E62F98">
        <w:rPr>
          <w:color w:val="auto"/>
          <w:szCs w:val="24"/>
        </w:rPr>
        <w:t xml:space="preserve">combined </w:t>
      </w:r>
      <w:r w:rsidR="0015674C">
        <w:rPr>
          <w:color w:val="auto"/>
          <w:szCs w:val="24"/>
        </w:rPr>
        <w:t>ROM</w:t>
      </w:r>
      <w:r w:rsidR="00FF2BD7" w:rsidRPr="00E62F98">
        <w:rPr>
          <w:color w:val="auto"/>
          <w:szCs w:val="24"/>
        </w:rPr>
        <w:t xml:space="preserve"> </w:t>
      </w:r>
      <w:r w:rsidR="00704012" w:rsidRPr="00E62F98">
        <w:rPr>
          <w:color w:val="auto"/>
          <w:szCs w:val="24"/>
        </w:rPr>
        <w:t xml:space="preserve">therefore </w:t>
      </w:r>
      <w:r w:rsidR="0091658B" w:rsidRPr="00E62F98">
        <w:rPr>
          <w:color w:val="auto"/>
          <w:szCs w:val="24"/>
        </w:rPr>
        <w:t>meet</w:t>
      </w:r>
      <w:r w:rsidR="00CA031F" w:rsidRPr="00E62F98">
        <w:rPr>
          <w:color w:val="auto"/>
          <w:szCs w:val="24"/>
        </w:rPr>
        <w:t>s</w:t>
      </w:r>
      <w:r w:rsidR="0091658B" w:rsidRPr="00E62F98">
        <w:rPr>
          <w:color w:val="auto"/>
          <w:szCs w:val="24"/>
        </w:rPr>
        <w:t xml:space="preserve"> the criteria for the </w:t>
      </w:r>
      <w:r w:rsidR="00CA031F" w:rsidRPr="00E62F98">
        <w:rPr>
          <w:color w:val="auto"/>
          <w:szCs w:val="24"/>
        </w:rPr>
        <w:t xml:space="preserve">higher </w:t>
      </w:r>
      <w:r w:rsidR="0091658B" w:rsidRPr="00E62F98">
        <w:rPr>
          <w:color w:val="auto"/>
          <w:szCs w:val="24"/>
        </w:rPr>
        <w:t xml:space="preserve">20% rating’s “the combined </w:t>
      </w:r>
      <w:r w:rsidR="0015674C">
        <w:rPr>
          <w:color w:val="auto"/>
          <w:szCs w:val="24"/>
        </w:rPr>
        <w:t>ROM</w:t>
      </w:r>
      <w:r w:rsidR="0091658B" w:rsidRPr="00E62F98">
        <w:rPr>
          <w:color w:val="auto"/>
          <w:szCs w:val="24"/>
        </w:rPr>
        <w:t xml:space="preserve"> of the cervical spine not greater than 170 degrees.”  </w:t>
      </w:r>
      <w:r w:rsidR="00334F38" w:rsidRPr="00E62F98">
        <w:rPr>
          <w:color w:val="auto"/>
          <w:szCs w:val="24"/>
        </w:rPr>
        <w:t xml:space="preserve">The </w:t>
      </w:r>
      <w:r w:rsidR="006E0610" w:rsidRPr="00E62F98">
        <w:rPr>
          <w:color w:val="auto"/>
          <w:szCs w:val="24"/>
        </w:rPr>
        <w:t>Board considered the CI’s functional limitations</w:t>
      </w:r>
      <w:r w:rsidR="00477855" w:rsidRPr="00E62F98">
        <w:rPr>
          <w:color w:val="auto"/>
          <w:szCs w:val="24"/>
        </w:rPr>
        <w:t xml:space="preserve"> and duty restrictions</w:t>
      </w:r>
      <w:r w:rsidR="006E0610" w:rsidRPr="00E62F98">
        <w:rPr>
          <w:color w:val="auto"/>
          <w:szCs w:val="24"/>
        </w:rPr>
        <w:t xml:space="preserve">, as well as the cervical ROM limitations documented in </w:t>
      </w:r>
      <w:r w:rsidR="00E83255" w:rsidRPr="00E62F98">
        <w:rPr>
          <w:color w:val="auto"/>
          <w:szCs w:val="24"/>
        </w:rPr>
        <w:t>all exam</w:t>
      </w:r>
      <w:r w:rsidR="006E0610" w:rsidRPr="00E62F98">
        <w:rPr>
          <w:color w:val="auto"/>
          <w:szCs w:val="24"/>
        </w:rPr>
        <w:t>, and concluded that the CI’s overall disability picture more clo</w:t>
      </w:r>
      <w:r w:rsidR="00477855" w:rsidRPr="00E62F98">
        <w:rPr>
          <w:color w:val="auto"/>
          <w:szCs w:val="24"/>
        </w:rPr>
        <w:t>sely approximates</w:t>
      </w:r>
      <w:r w:rsidR="006E0610" w:rsidRPr="00E62F98">
        <w:rPr>
          <w:color w:val="auto"/>
          <w:szCs w:val="24"/>
        </w:rPr>
        <w:t xml:space="preserve"> the criteria for the 20% rating.</w:t>
      </w:r>
      <w:r w:rsidR="00E83255" w:rsidRPr="00E62F98">
        <w:rPr>
          <w:color w:val="auto"/>
          <w:szCs w:val="24"/>
        </w:rPr>
        <w:t xml:space="preserve">  </w:t>
      </w:r>
    </w:p>
    <w:p w:rsidR="0065616B" w:rsidRPr="00E62F98" w:rsidRDefault="0065616B" w:rsidP="00994767">
      <w:pPr>
        <w:jc w:val="both"/>
        <w:rPr>
          <w:color w:val="auto"/>
          <w:szCs w:val="24"/>
        </w:rPr>
      </w:pPr>
    </w:p>
    <w:p w:rsidR="00704012" w:rsidRPr="00E62F98" w:rsidRDefault="00EA6923" w:rsidP="0015674C">
      <w:pPr>
        <w:jc w:val="both"/>
        <w:rPr>
          <w:color w:val="auto"/>
          <w:szCs w:val="24"/>
        </w:rPr>
      </w:pPr>
      <w:proofErr w:type="spellStart"/>
      <w:r w:rsidRPr="00E62F98">
        <w:rPr>
          <w:color w:val="auto"/>
          <w:szCs w:val="24"/>
          <w:u w:val="single"/>
        </w:rPr>
        <w:t>Radiculopathy</w:t>
      </w:r>
      <w:proofErr w:type="spellEnd"/>
      <w:r w:rsidRPr="00E62F98">
        <w:rPr>
          <w:color w:val="auto"/>
          <w:szCs w:val="24"/>
          <w:u w:val="single"/>
        </w:rPr>
        <w:t xml:space="preserve"> Condition</w:t>
      </w:r>
      <w:r w:rsidRPr="00E62F98">
        <w:rPr>
          <w:color w:val="auto"/>
          <w:szCs w:val="24"/>
        </w:rPr>
        <w:t xml:space="preserve">.  </w:t>
      </w:r>
      <w:r w:rsidR="0065616B" w:rsidRPr="00E62F98">
        <w:rPr>
          <w:color w:val="auto"/>
          <w:szCs w:val="24"/>
        </w:rPr>
        <w:t xml:space="preserve">The CI </w:t>
      </w:r>
      <w:r w:rsidR="0005345F" w:rsidRPr="00E62F98">
        <w:rPr>
          <w:color w:val="auto"/>
          <w:szCs w:val="24"/>
        </w:rPr>
        <w:t xml:space="preserve">was </w:t>
      </w:r>
      <w:r w:rsidR="00611B70" w:rsidRPr="00E62F98">
        <w:rPr>
          <w:color w:val="auto"/>
          <w:szCs w:val="24"/>
        </w:rPr>
        <w:t>right</w:t>
      </w:r>
      <w:r w:rsidR="0005345F" w:rsidRPr="00E62F98">
        <w:rPr>
          <w:color w:val="auto"/>
          <w:szCs w:val="24"/>
        </w:rPr>
        <w:t xml:space="preserve">-handed and </w:t>
      </w:r>
      <w:r w:rsidR="0065616B" w:rsidRPr="00E62F98">
        <w:rPr>
          <w:color w:val="auto"/>
          <w:szCs w:val="24"/>
        </w:rPr>
        <w:t xml:space="preserve">complained of neck pain radiating to the left arm and </w:t>
      </w:r>
      <w:r w:rsidR="005C2A47" w:rsidRPr="00E62F98">
        <w:rPr>
          <w:color w:val="auto"/>
          <w:szCs w:val="24"/>
        </w:rPr>
        <w:t xml:space="preserve">constant numbness in the left arm, thumb and index finger.  </w:t>
      </w:r>
      <w:r w:rsidR="008D1E2A" w:rsidRPr="00E62F98">
        <w:rPr>
          <w:color w:val="auto"/>
          <w:szCs w:val="24"/>
        </w:rPr>
        <w:t xml:space="preserve">The </w:t>
      </w:r>
      <w:r w:rsidRPr="00E62F98">
        <w:rPr>
          <w:color w:val="auto"/>
          <w:szCs w:val="24"/>
        </w:rPr>
        <w:t xml:space="preserve">CI had multiple </w:t>
      </w:r>
      <w:r w:rsidR="008D1E2A" w:rsidRPr="00E62F98">
        <w:rPr>
          <w:color w:val="auto"/>
          <w:szCs w:val="24"/>
        </w:rPr>
        <w:t>electromyogram stud</w:t>
      </w:r>
      <w:r w:rsidRPr="00E62F98">
        <w:rPr>
          <w:color w:val="auto"/>
          <w:szCs w:val="24"/>
        </w:rPr>
        <w:t xml:space="preserve">ies </w:t>
      </w:r>
      <w:r w:rsidR="008D1E2A" w:rsidRPr="00E62F98">
        <w:rPr>
          <w:color w:val="auto"/>
          <w:szCs w:val="24"/>
        </w:rPr>
        <w:t xml:space="preserve">of the </w:t>
      </w:r>
      <w:r w:rsidRPr="00E62F98">
        <w:rPr>
          <w:color w:val="auto"/>
          <w:szCs w:val="24"/>
        </w:rPr>
        <w:t>left</w:t>
      </w:r>
      <w:r w:rsidR="008D1E2A" w:rsidRPr="00E62F98">
        <w:rPr>
          <w:color w:val="auto"/>
          <w:szCs w:val="24"/>
        </w:rPr>
        <w:t xml:space="preserve"> upper extremit</w:t>
      </w:r>
      <w:r w:rsidRPr="00E62F98">
        <w:rPr>
          <w:color w:val="auto"/>
          <w:szCs w:val="24"/>
        </w:rPr>
        <w:t>y;</w:t>
      </w:r>
      <w:r w:rsidR="008D1E2A" w:rsidRPr="00E62F98">
        <w:rPr>
          <w:color w:val="auto"/>
          <w:szCs w:val="24"/>
        </w:rPr>
        <w:t xml:space="preserve"> </w:t>
      </w:r>
      <w:r w:rsidRPr="00E62F98">
        <w:rPr>
          <w:color w:val="auto"/>
          <w:szCs w:val="24"/>
        </w:rPr>
        <w:t xml:space="preserve">March 2005 normal, September 2005 mild cubital tunnel </w:t>
      </w:r>
      <w:proofErr w:type="gramStart"/>
      <w:r w:rsidRPr="00E62F98">
        <w:rPr>
          <w:color w:val="auto"/>
          <w:szCs w:val="24"/>
        </w:rPr>
        <w:t>syndrome,</w:t>
      </w:r>
      <w:proofErr w:type="gramEnd"/>
      <w:r w:rsidRPr="00E62F98">
        <w:rPr>
          <w:color w:val="auto"/>
          <w:szCs w:val="24"/>
        </w:rPr>
        <w:t xml:space="preserve"> and March 2006 normal (“showed no evidence of carpal tunnel syndrome, thoracic outlet syndrome or damage in the innervation of any C5-C8 myotomes”).  MEB exam documented pain and numbness on the left hand of “medial thumb and lateral index finger</w:t>
      </w:r>
      <w:r w:rsidR="0015674C">
        <w:rPr>
          <w:color w:val="auto"/>
          <w:szCs w:val="24"/>
        </w:rPr>
        <w:t>.</w:t>
      </w:r>
      <w:r w:rsidRPr="00E62F98">
        <w:rPr>
          <w:color w:val="auto"/>
          <w:szCs w:val="24"/>
        </w:rPr>
        <w:t xml:space="preserve">”  </w:t>
      </w:r>
      <w:r w:rsidR="005C2A47" w:rsidRPr="00E62F98">
        <w:rPr>
          <w:color w:val="auto"/>
          <w:szCs w:val="24"/>
        </w:rPr>
        <w:t>Neurosurgical evaluation confirmed diminished sensation in a C7 type distribution in the left upper extremity</w:t>
      </w:r>
      <w:r w:rsidR="008D1E2A" w:rsidRPr="00E62F98">
        <w:rPr>
          <w:color w:val="auto"/>
          <w:szCs w:val="24"/>
        </w:rPr>
        <w:t xml:space="preserve">, but </w:t>
      </w:r>
      <w:r w:rsidR="005C2A47" w:rsidRPr="00E62F98">
        <w:rPr>
          <w:color w:val="auto"/>
          <w:szCs w:val="24"/>
        </w:rPr>
        <w:t>motor strength</w:t>
      </w:r>
      <w:r w:rsidR="008D1E2A" w:rsidRPr="00E62F98">
        <w:rPr>
          <w:color w:val="auto"/>
          <w:szCs w:val="24"/>
        </w:rPr>
        <w:t xml:space="preserve"> </w:t>
      </w:r>
      <w:r w:rsidRPr="00E62F98">
        <w:rPr>
          <w:color w:val="auto"/>
          <w:szCs w:val="24"/>
        </w:rPr>
        <w:t xml:space="preserve">and reflexes were </w:t>
      </w:r>
      <w:r w:rsidR="008D1E2A" w:rsidRPr="00E62F98">
        <w:rPr>
          <w:color w:val="auto"/>
          <w:szCs w:val="24"/>
        </w:rPr>
        <w:t>normal</w:t>
      </w:r>
      <w:r w:rsidR="005C2A47" w:rsidRPr="00E62F98">
        <w:rPr>
          <w:color w:val="auto"/>
          <w:szCs w:val="24"/>
        </w:rPr>
        <w:t xml:space="preserve">.  </w:t>
      </w:r>
      <w:r w:rsidRPr="00E62F98">
        <w:rPr>
          <w:color w:val="auto"/>
          <w:szCs w:val="24"/>
        </w:rPr>
        <w:t>The VA exam documented similar left upper extremity findings of normal motor and reflex exams with “</w:t>
      </w:r>
      <w:r w:rsidR="0015674C">
        <w:rPr>
          <w:color w:val="auto"/>
          <w:szCs w:val="24"/>
        </w:rPr>
        <w:t>s</w:t>
      </w:r>
      <w:r w:rsidR="00704012" w:rsidRPr="00E62F98">
        <w:rPr>
          <w:color w:val="auto"/>
          <w:szCs w:val="24"/>
        </w:rPr>
        <w:t>ensory deficit of left lateral forearm, le</w:t>
      </w:r>
      <w:r w:rsidRPr="00E62F98">
        <w:rPr>
          <w:color w:val="auto"/>
          <w:szCs w:val="24"/>
        </w:rPr>
        <w:t xml:space="preserve">ft thumb and left index finger.”  </w:t>
      </w:r>
    </w:p>
    <w:p w:rsidR="00704012" w:rsidRPr="00E62F98" w:rsidRDefault="00704012" w:rsidP="00994767">
      <w:pPr>
        <w:jc w:val="both"/>
        <w:rPr>
          <w:color w:val="auto"/>
          <w:szCs w:val="24"/>
        </w:rPr>
      </w:pPr>
    </w:p>
    <w:p w:rsidR="008D1E2A" w:rsidRPr="00E62F98" w:rsidRDefault="008D1E2A" w:rsidP="00994767">
      <w:pPr>
        <w:jc w:val="both"/>
        <w:rPr>
          <w:color w:val="auto"/>
          <w:szCs w:val="24"/>
        </w:rPr>
      </w:pPr>
      <w:r w:rsidRPr="00E62F98">
        <w:rPr>
          <w:color w:val="auto"/>
          <w:szCs w:val="24"/>
        </w:rPr>
        <w:t xml:space="preserve">Board precedent is that a functional impairment tied to fitness is required to support a recommendation for addition of a peripheral nerve rating at separation.  </w:t>
      </w:r>
      <w:r w:rsidR="0005345F" w:rsidRPr="00E62F98">
        <w:rPr>
          <w:color w:val="auto"/>
          <w:szCs w:val="24"/>
        </w:rPr>
        <w:t>The commander’s statement specified that he was unable to evaluate the CI’s functioning and the CI was work</w:t>
      </w:r>
      <w:r w:rsidR="0015674C">
        <w:rPr>
          <w:color w:val="auto"/>
          <w:szCs w:val="24"/>
        </w:rPr>
        <w:t xml:space="preserve">ing out of his MOS.  </w:t>
      </w:r>
      <w:r w:rsidR="0005345F" w:rsidRPr="00E62F98">
        <w:rPr>
          <w:color w:val="auto"/>
          <w:szCs w:val="24"/>
        </w:rPr>
        <w:t xml:space="preserve">There was no evidence of dropping items, inadvertent injury to the left hand/fingers, restriction from driving, or other functional impairments from the partial hand numbness.  </w:t>
      </w:r>
      <w:r w:rsidRPr="00E62F98">
        <w:rPr>
          <w:color w:val="auto"/>
          <w:szCs w:val="24"/>
        </w:rPr>
        <w:t xml:space="preserve">The pain component of a radiculopathy is subsumed under the general spine rating as specified in §4.71a.  </w:t>
      </w:r>
      <w:r w:rsidR="00AE64C5" w:rsidRPr="00E62F98">
        <w:rPr>
          <w:color w:val="auto"/>
          <w:szCs w:val="24"/>
        </w:rPr>
        <w:t xml:space="preserve">The Board noted the left hand symptoms may have overlapped in etiology with the CI’s left subclavian artery stenosis, but attributed all hand symptoms to the peripheral nerve category when determining fitness implications for a radiculopathy.  </w:t>
      </w:r>
      <w:r w:rsidRPr="00E62F98">
        <w:rPr>
          <w:color w:val="auto"/>
          <w:szCs w:val="24"/>
        </w:rPr>
        <w:t>The sensory component in this case ha</w:t>
      </w:r>
      <w:r w:rsidR="00317769" w:rsidRPr="00E62F98">
        <w:rPr>
          <w:color w:val="auto"/>
          <w:szCs w:val="24"/>
        </w:rPr>
        <w:t>d</w:t>
      </w:r>
      <w:r w:rsidRPr="00E62F98">
        <w:rPr>
          <w:color w:val="auto"/>
          <w:szCs w:val="24"/>
        </w:rPr>
        <w:t xml:space="preserve"> no functional implications.  The</w:t>
      </w:r>
      <w:r w:rsidR="002429D5">
        <w:rPr>
          <w:color w:val="auto"/>
          <w:szCs w:val="24"/>
        </w:rPr>
        <w:t>re</w:t>
      </w:r>
      <w:r w:rsidRPr="00E62F98">
        <w:rPr>
          <w:color w:val="auto"/>
          <w:szCs w:val="24"/>
        </w:rPr>
        <w:t xml:space="preserve"> was no motor impairment that could be linked to significant physical impairment.  Since no evidence of functional impairment exists in this case, the Board cannot support a recommendation for additional rating based on peripheral nerve impairment.</w:t>
      </w:r>
      <w:r w:rsidR="00EA6923" w:rsidRPr="00E62F98">
        <w:rPr>
          <w:color w:val="auto"/>
          <w:szCs w:val="24"/>
        </w:rPr>
        <w:t xml:space="preserve">  </w:t>
      </w:r>
      <w:r w:rsidRPr="00E62F98">
        <w:rPr>
          <w:color w:val="auto"/>
          <w:szCs w:val="24"/>
        </w:rPr>
        <w:t>After due deliberation, considering all of the evidence and mindful of VASRD §4.3 (reasonable doubt)</w:t>
      </w:r>
      <w:r w:rsidR="00D54C83" w:rsidRPr="00E62F98">
        <w:rPr>
          <w:color w:val="auto"/>
          <w:szCs w:val="24"/>
        </w:rPr>
        <w:t xml:space="preserve"> </w:t>
      </w:r>
      <w:r w:rsidRPr="00E62F98">
        <w:rPr>
          <w:color w:val="auto"/>
          <w:szCs w:val="24"/>
        </w:rPr>
        <w:t xml:space="preserve">the Board recommends a separation rating of 20% for the </w:t>
      </w:r>
      <w:r w:rsidR="00D54C83" w:rsidRPr="00E62F98">
        <w:rPr>
          <w:color w:val="auto"/>
          <w:szCs w:val="24"/>
        </w:rPr>
        <w:t>chronic neck pain</w:t>
      </w:r>
      <w:r w:rsidRPr="00E62F98">
        <w:rPr>
          <w:color w:val="auto"/>
          <w:szCs w:val="24"/>
        </w:rPr>
        <w:t xml:space="preserve"> condition</w:t>
      </w:r>
      <w:r w:rsidR="0005345F" w:rsidRPr="00E62F98">
        <w:rPr>
          <w:color w:val="auto"/>
          <w:szCs w:val="24"/>
        </w:rPr>
        <w:t>, and not unfitting for any peripheral nerve condition</w:t>
      </w:r>
      <w:r w:rsidRPr="00E62F98">
        <w:rPr>
          <w:color w:val="auto"/>
          <w:szCs w:val="24"/>
        </w:rPr>
        <w:t>.</w:t>
      </w:r>
      <w:r w:rsidR="00DC3EC9" w:rsidRPr="00E62F98">
        <w:rPr>
          <w:color w:val="auto"/>
          <w:szCs w:val="24"/>
        </w:rPr>
        <w:t xml:space="preserve">  </w:t>
      </w:r>
    </w:p>
    <w:p w:rsidR="0005345F" w:rsidRPr="00E62F98" w:rsidRDefault="0005345F" w:rsidP="00994767">
      <w:pPr>
        <w:jc w:val="both"/>
        <w:rPr>
          <w:color w:val="auto"/>
          <w:szCs w:val="24"/>
        </w:rPr>
      </w:pPr>
    </w:p>
    <w:p w:rsidR="004D1BE2" w:rsidRPr="00E62F98" w:rsidRDefault="004C60A3" w:rsidP="00887C2D">
      <w:pPr>
        <w:jc w:val="both"/>
        <w:rPr>
          <w:color w:val="auto"/>
          <w:szCs w:val="24"/>
        </w:rPr>
      </w:pPr>
      <w:proofErr w:type="gramStart"/>
      <w:r w:rsidRPr="00E62F98">
        <w:rPr>
          <w:rFonts w:eastAsia="HiddenHorzOCR"/>
          <w:color w:val="auto"/>
          <w:szCs w:val="24"/>
          <w:u w:val="single"/>
        </w:rPr>
        <w:t>Ot</w:t>
      </w:r>
      <w:r w:rsidR="003604A5" w:rsidRPr="00E62F98">
        <w:rPr>
          <w:rFonts w:eastAsia="HiddenHorzOCR"/>
          <w:color w:val="auto"/>
          <w:szCs w:val="24"/>
          <w:u w:val="single"/>
        </w:rPr>
        <w:t xml:space="preserve">her </w:t>
      </w:r>
      <w:r w:rsidR="008F30F4" w:rsidRPr="00E62F98">
        <w:rPr>
          <w:rFonts w:eastAsia="HiddenHorzOCR"/>
          <w:color w:val="auto"/>
          <w:szCs w:val="24"/>
          <w:u w:val="single"/>
        </w:rPr>
        <w:t xml:space="preserve">PEB </w:t>
      </w:r>
      <w:r w:rsidR="003604A5" w:rsidRPr="00E62F98">
        <w:rPr>
          <w:rFonts w:eastAsia="HiddenHorzOCR"/>
          <w:color w:val="auto"/>
          <w:szCs w:val="24"/>
          <w:u w:val="single"/>
        </w:rPr>
        <w:t>Conditions</w:t>
      </w:r>
      <w:r w:rsidR="004D1BE2" w:rsidRPr="00E62F98">
        <w:rPr>
          <w:rFonts w:eastAsia="HiddenHorzOCR"/>
          <w:color w:val="auto"/>
          <w:szCs w:val="24"/>
        </w:rPr>
        <w:t>.</w:t>
      </w:r>
      <w:proofErr w:type="gramEnd"/>
      <w:r w:rsidR="002F2981" w:rsidRPr="00E62F98">
        <w:rPr>
          <w:rFonts w:eastAsia="HiddenHorzOCR"/>
          <w:color w:val="auto"/>
          <w:szCs w:val="24"/>
        </w:rPr>
        <w:t xml:space="preserve"> </w:t>
      </w:r>
      <w:r w:rsidR="004D1BE2" w:rsidRPr="00E62F98">
        <w:rPr>
          <w:rFonts w:eastAsia="HiddenHorzOCR"/>
          <w:color w:val="auto"/>
          <w:szCs w:val="24"/>
        </w:rPr>
        <w:t xml:space="preserve"> </w:t>
      </w:r>
      <w:r w:rsidR="008C3223" w:rsidRPr="00E62F98">
        <w:rPr>
          <w:color w:val="auto"/>
          <w:szCs w:val="24"/>
        </w:rPr>
        <w:t xml:space="preserve">The other conditions forwarded by the MEB and adjudicated as not unfitting by the PEB were </w:t>
      </w:r>
      <w:r w:rsidR="006220A9" w:rsidRPr="00E62F98">
        <w:rPr>
          <w:color w:val="auto"/>
          <w:szCs w:val="24"/>
        </w:rPr>
        <w:t>right greater trochanteric bursitis</w:t>
      </w:r>
      <w:r w:rsidR="00DC3EC9" w:rsidRPr="00E62F98">
        <w:rPr>
          <w:color w:val="auto"/>
          <w:szCs w:val="24"/>
        </w:rPr>
        <w:t xml:space="preserve"> (hip)</w:t>
      </w:r>
      <w:r w:rsidR="006220A9" w:rsidRPr="00E62F98">
        <w:rPr>
          <w:color w:val="auto"/>
          <w:szCs w:val="24"/>
        </w:rPr>
        <w:t>, right retropatellar pain syndrome</w:t>
      </w:r>
      <w:r w:rsidR="00DC3EC9" w:rsidRPr="00E62F98">
        <w:rPr>
          <w:color w:val="auto"/>
          <w:szCs w:val="24"/>
        </w:rPr>
        <w:t xml:space="preserve"> (knee)</w:t>
      </w:r>
      <w:r w:rsidR="006220A9" w:rsidRPr="00E62F98">
        <w:rPr>
          <w:color w:val="auto"/>
          <w:szCs w:val="24"/>
        </w:rPr>
        <w:t>, depressive disorder, M</w:t>
      </w:r>
      <w:r w:rsidR="00C7653A" w:rsidRPr="00E62F98">
        <w:rPr>
          <w:color w:val="auto"/>
          <w:szCs w:val="24"/>
        </w:rPr>
        <w:t xml:space="preserve">orton </w:t>
      </w:r>
      <w:proofErr w:type="spellStart"/>
      <w:r w:rsidR="00C376ED">
        <w:rPr>
          <w:color w:val="auto"/>
          <w:szCs w:val="24"/>
        </w:rPr>
        <w:t>n</w:t>
      </w:r>
      <w:r w:rsidR="006220A9" w:rsidRPr="00E62F98">
        <w:rPr>
          <w:color w:val="auto"/>
          <w:szCs w:val="24"/>
        </w:rPr>
        <w:t>euroma</w:t>
      </w:r>
      <w:proofErr w:type="spellEnd"/>
      <w:r w:rsidR="006220A9" w:rsidRPr="00E62F98">
        <w:rPr>
          <w:color w:val="auto"/>
          <w:szCs w:val="24"/>
        </w:rPr>
        <w:t xml:space="preserve"> </w:t>
      </w:r>
      <w:r w:rsidR="004D1BE2" w:rsidRPr="00E62F98">
        <w:rPr>
          <w:color w:val="auto"/>
          <w:szCs w:val="24"/>
        </w:rPr>
        <w:t>(</w:t>
      </w:r>
      <w:r w:rsidR="006220A9" w:rsidRPr="00E62F98">
        <w:rPr>
          <w:color w:val="auto"/>
          <w:szCs w:val="24"/>
        </w:rPr>
        <w:t>right foot</w:t>
      </w:r>
      <w:r w:rsidR="004D1BE2" w:rsidRPr="00E62F98">
        <w:rPr>
          <w:color w:val="auto"/>
          <w:szCs w:val="24"/>
        </w:rPr>
        <w:t>)</w:t>
      </w:r>
      <w:r w:rsidR="006220A9" w:rsidRPr="00E62F98">
        <w:rPr>
          <w:color w:val="auto"/>
          <w:szCs w:val="24"/>
        </w:rPr>
        <w:t xml:space="preserve">, neuritis </w:t>
      </w:r>
      <w:r w:rsidR="004D1BE2" w:rsidRPr="00E62F98">
        <w:rPr>
          <w:color w:val="auto"/>
          <w:szCs w:val="24"/>
        </w:rPr>
        <w:t>(</w:t>
      </w:r>
      <w:r w:rsidR="006220A9" w:rsidRPr="00E62F98">
        <w:rPr>
          <w:color w:val="auto"/>
          <w:szCs w:val="24"/>
        </w:rPr>
        <w:t>left foot</w:t>
      </w:r>
      <w:r w:rsidR="004D1BE2" w:rsidRPr="00E62F98">
        <w:rPr>
          <w:color w:val="auto"/>
          <w:szCs w:val="24"/>
        </w:rPr>
        <w:t>), left subclavi</w:t>
      </w:r>
      <w:r w:rsidR="006220A9" w:rsidRPr="00E62F98">
        <w:rPr>
          <w:color w:val="auto"/>
          <w:szCs w:val="24"/>
        </w:rPr>
        <w:t>an stenosis</w:t>
      </w:r>
      <w:r w:rsidR="004D1BE2" w:rsidRPr="00E62F98">
        <w:rPr>
          <w:color w:val="auto"/>
          <w:szCs w:val="24"/>
        </w:rPr>
        <w:t xml:space="preserve"> (with steal syndrome)</w:t>
      </w:r>
      <w:r w:rsidR="006220A9" w:rsidRPr="00E62F98">
        <w:rPr>
          <w:color w:val="auto"/>
          <w:szCs w:val="24"/>
        </w:rPr>
        <w:t xml:space="preserve"> and mild obstructive sleep apnea</w:t>
      </w:r>
      <w:r w:rsidR="00DF052C" w:rsidRPr="00E62F98">
        <w:rPr>
          <w:color w:val="auto"/>
          <w:szCs w:val="24"/>
        </w:rPr>
        <w:t xml:space="preserve"> (OSA)</w:t>
      </w:r>
      <w:r w:rsidR="006220A9" w:rsidRPr="00E62F98">
        <w:rPr>
          <w:color w:val="auto"/>
          <w:szCs w:val="24"/>
        </w:rPr>
        <w:t xml:space="preserve">.  </w:t>
      </w:r>
      <w:r w:rsidR="0086622B" w:rsidRPr="00E62F98">
        <w:rPr>
          <w:color w:val="auto"/>
          <w:szCs w:val="24"/>
        </w:rPr>
        <w:t>The CI complained of occasional pain i</w:t>
      </w:r>
      <w:r w:rsidR="00B44E80" w:rsidRPr="00E62F98">
        <w:rPr>
          <w:color w:val="auto"/>
          <w:szCs w:val="24"/>
        </w:rPr>
        <w:t>n the right hip and right knee and had had some temporary profiles which included the right knee condition.  The MEB examiner</w:t>
      </w:r>
      <w:r w:rsidR="00D1223C" w:rsidRPr="00E62F98">
        <w:rPr>
          <w:color w:val="auto"/>
          <w:szCs w:val="24"/>
        </w:rPr>
        <w:t xml:space="preserve"> commented that the hip and knee symptoms were </w:t>
      </w:r>
      <w:r w:rsidR="0086622B" w:rsidRPr="00E62F98">
        <w:rPr>
          <w:color w:val="auto"/>
          <w:szCs w:val="24"/>
        </w:rPr>
        <w:t xml:space="preserve">relieved with physical therapy, rest and use of </w:t>
      </w:r>
      <w:r w:rsidR="00DC3EC9" w:rsidRPr="00E62F98">
        <w:rPr>
          <w:color w:val="auto"/>
          <w:szCs w:val="24"/>
        </w:rPr>
        <w:t>non-narcotic medication (</w:t>
      </w:r>
      <w:r w:rsidR="00C376ED">
        <w:rPr>
          <w:color w:val="auto"/>
          <w:szCs w:val="24"/>
        </w:rPr>
        <w:t>I</w:t>
      </w:r>
      <w:r w:rsidR="0086622B" w:rsidRPr="00E62F98">
        <w:rPr>
          <w:color w:val="auto"/>
          <w:szCs w:val="24"/>
        </w:rPr>
        <w:t>buprofen</w:t>
      </w:r>
      <w:r w:rsidR="00DC3EC9" w:rsidRPr="00E62F98">
        <w:rPr>
          <w:color w:val="auto"/>
          <w:szCs w:val="24"/>
        </w:rPr>
        <w:t>)</w:t>
      </w:r>
      <w:r w:rsidR="0086622B" w:rsidRPr="00E62F98">
        <w:rPr>
          <w:color w:val="auto"/>
          <w:szCs w:val="24"/>
        </w:rPr>
        <w:t>.  The examiner noted</w:t>
      </w:r>
      <w:r w:rsidR="009561A5" w:rsidRPr="00E62F98">
        <w:rPr>
          <w:color w:val="auto"/>
          <w:szCs w:val="24"/>
        </w:rPr>
        <w:t xml:space="preserve"> an excellent prognosis and concluded</w:t>
      </w:r>
      <w:r w:rsidR="0086622B" w:rsidRPr="00E62F98">
        <w:rPr>
          <w:color w:val="auto"/>
          <w:szCs w:val="24"/>
        </w:rPr>
        <w:t xml:space="preserve"> that</w:t>
      </w:r>
      <w:r w:rsidR="009561A5" w:rsidRPr="00E62F98">
        <w:rPr>
          <w:color w:val="auto"/>
          <w:szCs w:val="24"/>
        </w:rPr>
        <w:t xml:space="preserve"> the CI “is able to do his MOS in regards to his knee and hip pain.”  </w:t>
      </w:r>
      <w:r w:rsidR="00B44E80" w:rsidRPr="00E62F98">
        <w:rPr>
          <w:color w:val="auto"/>
          <w:szCs w:val="24"/>
        </w:rPr>
        <w:t xml:space="preserve">The CI was diagnosed with depression and started on the anti-depressant Celexa shortly after return from deployment.  During the MEB psychiatric evaluation, </w:t>
      </w:r>
      <w:r w:rsidR="00DC3EC9" w:rsidRPr="00E62F98">
        <w:rPr>
          <w:color w:val="auto"/>
          <w:szCs w:val="24"/>
        </w:rPr>
        <w:t>the CI</w:t>
      </w:r>
      <w:r w:rsidR="00B44E80" w:rsidRPr="00E62F98">
        <w:rPr>
          <w:color w:val="auto"/>
          <w:szCs w:val="24"/>
        </w:rPr>
        <w:t xml:space="preserve"> reported that his depressive symptoms had improved with medication.</w:t>
      </w:r>
      <w:r w:rsidR="00D1223C" w:rsidRPr="00E62F98">
        <w:rPr>
          <w:color w:val="auto"/>
          <w:szCs w:val="24"/>
        </w:rPr>
        <w:t xml:space="preserve">  The psychiatric examiner noted that the CI had not required hospitalization and had never been profiled for psychiatric reasons.  The diagnosis was Depressive disorder, in remission, and the examiner concluded that there was no impairment for further military duty.  The CI was diagnosed with a Morton’s neuroma in the right foot and a possible neuroma in the left foot.  </w:t>
      </w:r>
      <w:r w:rsidR="00DC6F7F" w:rsidRPr="00E62F98">
        <w:rPr>
          <w:color w:val="auto"/>
          <w:szCs w:val="24"/>
        </w:rPr>
        <w:t>The right foot</w:t>
      </w:r>
      <w:r w:rsidR="00D1223C" w:rsidRPr="00E62F98">
        <w:rPr>
          <w:color w:val="auto"/>
          <w:szCs w:val="24"/>
        </w:rPr>
        <w:t xml:space="preserve"> </w:t>
      </w:r>
      <w:r w:rsidR="00DC6F7F" w:rsidRPr="00E62F98">
        <w:rPr>
          <w:color w:val="auto"/>
          <w:szCs w:val="24"/>
        </w:rPr>
        <w:t xml:space="preserve">condition required treatment with steroid injections and did result in some temporary profile restrictions.  In January 2005, podiatry </w:t>
      </w:r>
      <w:r w:rsidR="00DC6F7F" w:rsidRPr="00E62F98">
        <w:rPr>
          <w:color w:val="auto"/>
          <w:szCs w:val="24"/>
        </w:rPr>
        <w:lastRenderedPageBreak/>
        <w:t xml:space="preserve">noted that </w:t>
      </w:r>
      <w:r w:rsidR="00321CDD" w:rsidRPr="00E62F98">
        <w:rPr>
          <w:color w:val="auto"/>
          <w:szCs w:val="24"/>
        </w:rPr>
        <w:t>the foot pain</w:t>
      </w:r>
      <w:r w:rsidR="00DC6F7F" w:rsidRPr="00E62F98">
        <w:rPr>
          <w:color w:val="auto"/>
          <w:szCs w:val="24"/>
        </w:rPr>
        <w:t xml:space="preserve"> condition was nearly resolved and the CI was released back to work without restrictions.  The podiatry </w:t>
      </w:r>
      <w:r w:rsidR="00321CDD" w:rsidRPr="00E62F98">
        <w:rPr>
          <w:color w:val="auto"/>
          <w:szCs w:val="24"/>
        </w:rPr>
        <w:t xml:space="preserve">MEB </w:t>
      </w:r>
      <w:r w:rsidR="00DC6F7F" w:rsidRPr="00E62F98">
        <w:rPr>
          <w:color w:val="auto"/>
          <w:szCs w:val="24"/>
        </w:rPr>
        <w:t xml:space="preserve">exam documented that the CI was able to perform his MOS and could return to duty from the standpoint of his podiatric diagnoses.  </w:t>
      </w:r>
    </w:p>
    <w:p w:rsidR="004D1BE2" w:rsidRPr="00E62F98" w:rsidRDefault="004D1BE2" w:rsidP="00887C2D">
      <w:pPr>
        <w:jc w:val="both"/>
        <w:rPr>
          <w:color w:val="auto"/>
          <w:szCs w:val="24"/>
        </w:rPr>
      </w:pPr>
    </w:p>
    <w:p w:rsidR="009F0BA7" w:rsidRPr="00E62F98" w:rsidRDefault="00DC6F7F" w:rsidP="008C3223">
      <w:pPr>
        <w:jc w:val="both"/>
        <w:rPr>
          <w:color w:val="auto"/>
          <w:szCs w:val="24"/>
        </w:rPr>
      </w:pPr>
      <w:r w:rsidRPr="00E62F98">
        <w:rPr>
          <w:color w:val="auto"/>
          <w:szCs w:val="24"/>
        </w:rPr>
        <w:t>The CI was diagnosed with left subclavian artery stenosis</w:t>
      </w:r>
      <w:r w:rsidR="00D50687" w:rsidRPr="00E62F98">
        <w:rPr>
          <w:color w:val="auto"/>
          <w:szCs w:val="24"/>
        </w:rPr>
        <w:t xml:space="preserve"> and left subclavian steal syndrome due to complaints of aching</w:t>
      </w:r>
      <w:r w:rsidR="00523FA8" w:rsidRPr="00E62F98">
        <w:rPr>
          <w:color w:val="auto"/>
          <w:szCs w:val="24"/>
        </w:rPr>
        <w:t xml:space="preserve"> and</w:t>
      </w:r>
      <w:r w:rsidR="00D50687" w:rsidRPr="00E62F98">
        <w:rPr>
          <w:color w:val="auto"/>
          <w:szCs w:val="24"/>
        </w:rPr>
        <w:t xml:space="preserve"> fatigue in the left arm and numbness and tingling in the left thumb and fingers</w:t>
      </w:r>
      <w:r w:rsidR="00523FA8" w:rsidRPr="00E62F98">
        <w:rPr>
          <w:color w:val="auto"/>
          <w:szCs w:val="24"/>
        </w:rPr>
        <w:t>.  At the time of the MEB vascular evaluation, the CI denied any central nervous system symptoms to include vision loss, dizziness or facial droop.  The CI initially declined surgery</w:t>
      </w:r>
      <w:r w:rsidR="00DC3EC9" w:rsidRPr="00E62F98">
        <w:rPr>
          <w:color w:val="auto"/>
          <w:szCs w:val="24"/>
        </w:rPr>
        <w:t>;</w:t>
      </w:r>
      <w:r w:rsidR="00523FA8" w:rsidRPr="00E62F98">
        <w:rPr>
          <w:color w:val="auto"/>
          <w:szCs w:val="24"/>
        </w:rPr>
        <w:t xml:space="preserve"> however, in December 2006 (</w:t>
      </w:r>
      <w:r w:rsidR="00C376ED">
        <w:rPr>
          <w:color w:val="auto"/>
          <w:szCs w:val="24"/>
        </w:rPr>
        <w:t>a</w:t>
      </w:r>
      <w:r w:rsidR="00523FA8" w:rsidRPr="00E62F98">
        <w:rPr>
          <w:color w:val="auto"/>
          <w:szCs w:val="24"/>
        </w:rPr>
        <w:t xml:space="preserve"> month after the MEB and 7 months pr</w:t>
      </w:r>
      <w:r w:rsidR="00C376ED">
        <w:rPr>
          <w:color w:val="auto"/>
          <w:szCs w:val="24"/>
        </w:rPr>
        <w:t xml:space="preserve">ior to </w:t>
      </w:r>
      <w:r w:rsidR="00523FA8" w:rsidRPr="00E62F98">
        <w:rPr>
          <w:color w:val="auto"/>
          <w:szCs w:val="24"/>
        </w:rPr>
        <w:t xml:space="preserve">separation) he underwent placement of a stent in the left subclavian artery due to complaints of imbalance and exertional fatigue in the left upper extremity.  </w:t>
      </w:r>
      <w:r w:rsidR="002F1374" w:rsidRPr="00E62F98">
        <w:rPr>
          <w:color w:val="auto"/>
          <w:szCs w:val="24"/>
        </w:rPr>
        <w:t xml:space="preserve">The immediate post-procedure angiogram documented resolution of the left subclavian artery stenosis and resolution of the subclavian steal phenomenon.  A </w:t>
      </w:r>
      <w:r w:rsidR="00D2303E" w:rsidRPr="00E62F98">
        <w:rPr>
          <w:color w:val="auto"/>
          <w:szCs w:val="24"/>
        </w:rPr>
        <w:t>subsequent</w:t>
      </w:r>
      <w:r w:rsidR="002F1374" w:rsidRPr="00E62F98">
        <w:rPr>
          <w:color w:val="auto"/>
          <w:szCs w:val="24"/>
        </w:rPr>
        <w:t xml:space="preserve"> civilian cardiology visit in December 2006 </w:t>
      </w:r>
      <w:r w:rsidR="00D2303E" w:rsidRPr="00E62F98">
        <w:rPr>
          <w:color w:val="auto"/>
          <w:szCs w:val="24"/>
        </w:rPr>
        <w:t>noted</w:t>
      </w:r>
      <w:r w:rsidR="002F1374" w:rsidRPr="00E62F98">
        <w:rPr>
          <w:color w:val="auto"/>
          <w:szCs w:val="24"/>
        </w:rPr>
        <w:t xml:space="preserve"> some persistent symptoms of dizziness on standing</w:t>
      </w:r>
      <w:r w:rsidR="00D2303E" w:rsidRPr="00E62F98">
        <w:rPr>
          <w:color w:val="auto"/>
          <w:szCs w:val="24"/>
        </w:rPr>
        <w:t xml:space="preserve">.  A cerebrovascular ultrasound performed at that visit documented </w:t>
      </w:r>
      <w:r w:rsidR="00763C7C" w:rsidRPr="00E62F98">
        <w:rPr>
          <w:color w:val="auto"/>
          <w:szCs w:val="24"/>
        </w:rPr>
        <w:t>a</w:t>
      </w:r>
      <w:r w:rsidR="00D2303E" w:rsidRPr="00E62F98">
        <w:rPr>
          <w:color w:val="auto"/>
          <w:szCs w:val="24"/>
        </w:rPr>
        <w:t xml:space="preserve"> 50 – 75% stenosis of the left subclavian artery and was suggestive of a latent vertebral to subclavian steal syndrome.  </w:t>
      </w:r>
      <w:r w:rsidR="00763C7C" w:rsidRPr="00E62F98">
        <w:rPr>
          <w:color w:val="auto"/>
          <w:szCs w:val="24"/>
        </w:rPr>
        <w:t xml:space="preserve">The CI complained of </w:t>
      </w:r>
      <w:r w:rsidR="009F0BA7" w:rsidRPr="00E62F98">
        <w:rPr>
          <w:color w:val="auto"/>
          <w:szCs w:val="24"/>
        </w:rPr>
        <w:t xml:space="preserve">ongoing </w:t>
      </w:r>
      <w:r w:rsidR="00763C7C" w:rsidRPr="00E62F98">
        <w:rPr>
          <w:color w:val="auto"/>
          <w:szCs w:val="24"/>
        </w:rPr>
        <w:t xml:space="preserve">symptoms of vertigo and memory loss in his appeal to the </w:t>
      </w:r>
      <w:r w:rsidR="009F0BA7" w:rsidRPr="00E62F98">
        <w:rPr>
          <w:color w:val="auto"/>
          <w:szCs w:val="24"/>
        </w:rPr>
        <w:t>MEB (December 20, 2006), however, by the time of the C&amp;P exam (3 months after separation) he denied any symptoms or limitations.</w:t>
      </w:r>
      <w:r w:rsidR="00DF052C" w:rsidRPr="00E62F98">
        <w:rPr>
          <w:color w:val="auto"/>
          <w:szCs w:val="24"/>
        </w:rPr>
        <w:t xml:space="preserve">  </w:t>
      </w:r>
      <w:r w:rsidR="00321CDD" w:rsidRPr="00E62F98">
        <w:rPr>
          <w:color w:val="auto"/>
          <w:szCs w:val="24"/>
        </w:rPr>
        <w:t>The Board notes that i</w:t>
      </w:r>
      <w:r w:rsidR="00DF052C" w:rsidRPr="00E62F98">
        <w:rPr>
          <w:color w:val="auto"/>
          <w:szCs w:val="24"/>
        </w:rPr>
        <w:t>t is not uncommon for members to be separated for an established unfitting condition with pending treatment issues for conditions unrelated to the reason for a MEB.  The service’s responsibility in such cases is to assure that there are no safety concerns with transfer of care, not to see all conditions through to their maximal resolution.  When assessing the fitness implications of these collateral conditions, the PEB acknowledges that the member is not remaining on active duty for other reasons.  It must therefore anticipate the typical clinical course and expected impact on long-term MOS performance.  The Board must judge the fairness of the PEB’s fitness adjudication in such cases on the basis of that principle, not on the particulars in effect on the day of separation.</w:t>
      </w:r>
      <w:r w:rsidR="00DC3EC9" w:rsidRPr="00E62F98">
        <w:rPr>
          <w:color w:val="auto"/>
          <w:szCs w:val="24"/>
        </w:rPr>
        <w:t xml:space="preserve">  </w:t>
      </w:r>
    </w:p>
    <w:p w:rsidR="00DF052C" w:rsidRPr="00E62F98" w:rsidRDefault="00DF052C" w:rsidP="008C3223">
      <w:pPr>
        <w:jc w:val="both"/>
        <w:rPr>
          <w:color w:val="auto"/>
          <w:szCs w:val="24"/>
        </w:rPr>
      </w:pPr>
    </w:p>
    <w:p w:rsidR="0078509D" w:rsidRPr="00E62F98" w:rsidRDefault="00DF052C" w:rsidP="008C3223">
      <w:pPr>
        <w:jc w:val="both"/>
        <w:rPr>
          <w:color w:val="auto"/>
          <w:szCs w:val="24"/>
        </w:rPr>
      </w:pPr>
      <w:r w:rsidRPr="00E62F98">
        <w:rPr>
          <w:color w:val="auto"/>
          <w:szCs w:val="24"/>
        </w:rPr>
        <w:t>The CI was diagnosed with mild OSA that was treated with continuous positive airway pressure</w:t>
      </w:r>
      <w:r w:rsidR="00DC3EC9" w:rsidRPr="00E62F98">
        <w:rPr>
          <w:color w:val="auto"/>
          <w:szCs w:val="24"/>
        </w:rPr>
        <w:t xml:space="preserve"> (CPAP)</w:t>
      </w:r>
      <w:r w:rsidRPr="00E62F98">
        <w:rPr>
          <w:color w:val="auto"/>
          <w:szCs w:val="24"/>
        </w:rPr>
        <w:t xml:space="preserve">.  Routinely OSA is not considered unfitting solely on the basis of field and operational impediments to the use of CPAP.  There is no evidence in this case that OSA was associated with any unfitting impairments not corrected by CPAP.  The PEB’s fitness adjudication was therefore expected and reasonable.  </w:t>
      </w:r>
    </w:p>
    <w:p w:rsidR="00002A61" w:rsidRPr="00E62F98" w:rsidRDefault="00002A61" w:rsidP="008C3223">
      <w:pPr>
        <w:jc w:val="both"/>
        <w:rPr>
          <w:color w:val="auto"/>
          <w:szCs w:val="24"/>
        </w:rPr>
      </w:pPr>
    </w:p>
    <w:p w:rsidR="00DC6F7F" w:rsidRPr="00E62F98" w:rsidRDefault="00DF052C" w:rsidP="00DC6F7F">
      <w:pPr>
        <w:jc w:val="both"/>
        <w:rPr>
          <w:rFonts w:eastAsia="HiddenHorzOCR"/>
          <w:color w:val="auto"/>
          <w:szCs w:val="24"/>
          <w:u w:val="single"/>
        </w:rPr>
      </w:pPr>
      <w:r w:rsidRPr="00E62F98">
        <w:rPr>
          <w:color w:val="auto"/>
          <w:szCs w:val="24"/>
        </w:rPr>
        <w:t>None of the</w:t>
      </w:r>
      <w:r w:rsidR="00002A61" w:rsidRPr="00E62F98">
        <w:rPr>
          <w:color w:val="auto"/>
          <w:szCs w:val="24"/>
        </w:rPr>
        <w:t xml:space="preserve"> discussed</w:t>
      </w:r>
      <w:r w:rsidRPr="00E62F98">
        <w:rPr>
          <w:color w:val="auto"/>
          <w:szCs w:val="24"/>
        </w:rPr>
        <w:t xml:space="preserve"> conditions w</w:t>
      </w:r>
      <w:r w:rsidR="00002A61" w:rsidRPr="00E62F98">
        <w:rPr>
          <w:color w:val="auto"/>
          <w:szCs w:val="24"/>
        </w:rPr>
        <w:t>as</w:t>
      </w:r>
      <w:r w:rsidRPr="00E62F98">
        <w:rPr>
          <w:color w:val="auto"/>
          <w:szCs w:val="24"/>
        </w:rPr>
        <w:t xml:space="preserve"> permanently profiled,</w:t>
      </w:r>
      <w:r w:rsidR="00DC6F7F" w:rsidRPr="00E62F98">
        <w:rPr>
          <w:color w:val="auto"/>
          <w:szCs w:val="24"/>
        </w:rPr>
        <w:t xml:space="preserve"> implicated in the commander’s statement or noted as failing retention standards.  All </w:t>
      </w:r>
      <w:r w:rsidRPr="00E62F98">
        <w:rPr>
          <w:color w:val="auto"/>
          <w:szCs w:val="24"/>
        </w:rPr>
        <w:t xml:space="preserve">conditions </w:t>
      </w:r>
      <w:r w:rsidR="00DC6F7F" w:rsidRPr="00E62F98">
        <w:rPr>
          <w:color w:val="auto"/>
          <w:szCs w:val="24"/>
        </w:rPr>
        <w:t>were reviewed by the action officer and considered by the Board.  There was no indication from the record that any of these conditions significantly interfered with satisfactory duty performance.  All evidence considered</w:t>
      </w:r>
      <w:proofErr w:type="gramStart"/>
      <w:r w:rsidR="00DC6F7F" w:rsidRPr="00E62F98">
        <w:rPr>
          <w:color w:val="auto"/>
          <w:szCs w:val="24"/>
        </w:rPr>
        <w:t>,</w:t>
      </w:r>
      <w:proofErr w:type="gramEnd"/>
      <w:r w:rsidR="00DC6F7F" w:rsidRPr="00E62F98">
        <w:rPr>
          <w:color w:val="auto"/>
          <w:szCs w:val="24"/>
        </w:rPr>
        <w:t xml:space="preserve"> there is not </w:t>
      </w:r>
      <w:r w:rsidR="00DC3EC9" w:rsidRPr="00E62F98">
        <w:rPr>
          <w:color w:val="auto"/>
          <w:szCs w:val="24"/>
        </w:rPr>
        <w:t>a preponderance of evidence</w:t>
      </w:r>
      <w:r w:rsidR="00DC6F7F" w:rsidRPr="00E62F98">
        <w:rPr>
          <w:color w:val="auto"/>
          <w:szCs w:val="24"/>
        </w:rPr>
        <w:t xml:space="preserve"> in the CI’s favor supporting recharacterization of the PEB fitness adjudication for any of the stated conditions.</w:t>
      </w:r>
      <w:r w:rsidR="00DC3EC9" w:rsidRPr="00E62F98">
        <w:rPr>
          <w:color w:val="auto"/>
          <w:szCs w:val="24"/>
        </w:rPr>
        <w:t xml:space="preserve">  </w:t>
      </w:r>
    </w:p>
    <w:p w:rsidR="0078509D" w:rsidRPr="00E62F98" w:rsidRDefault="0078509D" w:rsidP="008C3223">
      <w:pPr>
        <w:jc w:val="both"/>
        <w:rPr>
          <w:color w:val="auto"/>
          <w:szCs w:val="24"/>
        </w:rPr>
      </w:pPr>
    </w:p>
    <w:p w:rsidR="00B17764" w:rsidRPr="00E62F98" w:rsidRDefault="00EC337D" w:rsidP="00BF0E94">
      <w:pPr>
        <w:jc w:val="both"/>
        <w:rPr>
          <w:color w:val="auto"/>
          <w:szCs w:val="24"/>
        </w:rPr>
      </w:pPr>
      <w:proofErr w:type="gramStart"/>
      <w:r w:rsidRPr="00E62F98">
        <w:rPr>
          <w:rFonts w:eastAsia="HiddenHorzOCR"/>
          <w:color w:val="auto"/>
          <w:szCs w:val="24"/>
          <w:u w:val="single"/>
        </w:rPr>
        <w:t>Other Contended Conditions</w:t>
      </w:r>
      <w:r w:rsidRPr="00E62F98">
        <w:rPr>
          <w:rFonts w:eastAsia="HiddenHorzOCR"/>
          <w:color w:val="auto"/>
          <w:szCs w:val="24"/>
        </w:rPr>
        <w:t>.</w:t>
      </w:r>
      <w:proofErr w:type="gramEnd"/>
      <w:r w:rsidRPr="00E62F98">
        <w:rPr>
          <w:rFonts w:eastAsia="HiddenHorzOCR"/>
          <w:color w:val="auto"/>
          <w:szCs w:val="24"/>
        </w:rPr>
        <w:t xml:space="preserve">  The CI’s application asserts that compensable ratings should be considered </w:t>
      </w:r>
      <w:r w:rsidR="00B17764" w:rsidRPr="00E62F98">
        <w:rPr>
          <w:rFonts w:eastAsia="HiddenHorzOCR"/>
          <w:color w:val="auto"/>
          <w:szCs w:val="24"/>
        </w:rPr>
        <w:t>for left hand neuropathy</w:t>
      </w:r>
      <w:r w:rsidR="00BF6346" w:rsidRPr="00E62F98">
        <w:rPr>
          <w:rFonts w:eastAsia="HiddenHorzOCR"/>
          <w:color w:val="auto"/>
          <w:szCs w:val="24"/>
        </w:rPr>
        <w:t xml:space="preserve"> and </w:t>
      </w:r>
      <w:r w:rsidR="00C376ED">
        <w:rPr>
          <w:color w:val="auto"/>
          <w:szCs w:val="24"/>
        </w:rPr>
        <w:t>OSA</w:t>
      </w:r>
      <w:r w:rsidRPr="00E62F98">
        <w:rPr>
          <w:rFonts w:eastAsia="HiddenHorzOCR"/>
          <w:color w:val="auto"/>
          <w:szCs w:val="24"/>
        </w:rPr>
        <w:t xml:space="preserve">.  </w:t>
      </w:r>
      <w:r w:rsidR="00DB355E" w:rsidRPr="00E62F98">
        <w:rPr>
          <w:rFonts w:eastAsia="HiddenHorzOCR"/>
          <w:color w:val="auto"/>
          <w:szCs w:val="24"/>
        </w:rPr>
        <w:t>As discussed above, these</w:t>
      </w:r>
      <w:r w:rsidR="006B73E7" w:rsidRPr="00E62F98">
        <w:rPr>
          <w:color w:val="auto"/>
          <w:szCs w:val="24"/>
        </w:rPr>
        <w:t xml:space="preserve"> condition</w:t>
      </w:r>
      <w:r w:rsidR="00DB355E" w:rsidRPr="00E62F98">
        <w:rPr>
          <w:color w:val="auto"/>
          <w:szCs w:val="24"/>
        </w:rPr>
        <w:t>s</w:t>
      </w:r>
      <w:r w:rsidRPr="00E62F98">
        <w:rPr>
          <w:color w:val="auto"/>
          <w:szCs w:val="24"/>
        </w:rPr>
        <w:t xml:space="preserve"> w</w:t>
      </w:r>
      <w:r w:rsidR="00DB355E" w:rsidRPr="00E62F98">
        <w:rPr>
          <w:color w:val="auto"/>
          <w:szCs w:val="24"/>
        </w:rPr>
        <w:t>ere</w:t>
      </w:r>
      <w:r w:rsidRPr="00E62F98">
        <w:rPr>
          <w:color w:val="auto"/>
          <w:szCs w:val="24"/>
        </w:rPr>
        <w:t xml:space="preserve"> reviewed by the </w:t>
      </w:r>
      <w:r w:rsidR="0080588E" w:rsidRPr="00E62F98">
        <w:rPr>
          <w:color w:val="auto"/>
          <w:szCs w:val="24"/>
        </w:rPr>
        <w:t xml:space="preserve">action officer </w:t>
      </w:r>
      <w:r w:rsidRPr="00E62F98">
        <w:rPr>
          <w:color w:val="auto"/>
          <w:szCs w:val="24"/>
        </w:rPr>
        <w:t xml:space="preserve">and considered by the Board.  There was </w:t>
      </w:r>
      <w:r w:rsidR="00317769" w:rsidRPr="00E62F98">
        <w:rPr>
          <w:color w:val="auto"/>
          <w:szCs w:val="24"/>
        </w:rPr>
        <w:t xml:space="preserve">not a preponderance of evidence in the CI’s favor for </w:t>
      </w:r>
      <w:r w:rsidRPr="00E62F98">
        <w:rPr>
          <w:color w:val="auto"/>
          <w:szCs w:val="24"/>
        </w:rPr>
        <w:t xml:space="preserve">concluding that </w:t>
      </w:r>
      <w:r w:rsidR="00DB355E" w:rsidRPr="00E62F98">
        <w:rPr>
          <w:color w:val="auto"/>
          <w:szCs w:val="24"/>
        </w:rPr>
        <w:t>either</w:t>
      </w:r>
      <w:r w:rsidR="006B73E7" w:rsidRPr="00E62F98">
        <w:rPr>
          <w:color w:val="auto"/>
          <w:szCs w:val="24"/>
        </w:rPr>
        <w:t xml:space="preserve"> condition</w:t>
      </w:r>
      <w:r w:rsidRPr="00E62F98">
        <w:rPr>
          <w:color w:val="auto"/>
          <w:szCs w:val="24"/>
        </w:rPr>
        <w:t xml:space="preserve"> interfered with duty performance to a degree that could be argued as unfitting.  The Board determined therefore that </w:t>
      </w:r>
      <w:r w:rsidR="00DB355E" w:rsidRPr="00E62F98">
        <w:rPr>
          <w:color w:val="auto"/>
          <w:szCs w:val="24"/>
        </w:rPr>
        <w:t xml:space="preserve">neither the left hand neuropathy nor the </w:t>
      </w:r>
      <w:r w:rsidR="00C376ED">
        <w:rPr>
          <w:color w:val="auto"/>
          <w:szCs w:val="24"/>
        </w:rPr>
        <w:t>OSA</w:t>
      </w:r>
      <w:r w:rsidR="006B73E7" w:rsidRPr="00E62F98">
        <w:rPr>
          <w:color w:val="auto"/>
          <w:szCs w:val="24"/>
        </w:rPr>
        <w:t xml:space="preserve"> condition</w:t>
      </w:r>
      <w:r w:rsidR="00DB355E" w:rsidRPr="00E62F98">
        <w:rPr>
          <w:color w:val="auto"/>
          <w:szCs w:val="24"/>
        </w:rPr>
        <w:t>s</w:t>
      </w:r>
      <w:r w:rsidR="006B73E7" w:rsidRPr="00E62F98">
        <w:rPr>
          <w:color w:val="auto"/>
          <w:szCs w:val="24"/>
        </w:rPr>
        <w:t xml:space="preserve"> </w:t>
      </w:r>
      <w:r w:rsidR="00DB355E" w:rsidRPr="00E62F98">
        <w:rPr>
          <w:color w:val="auto"/>
          <w:szCs w:val="24"/>
        </w:rPr>
        <w:t>are</w:t>
      </w:r>
      <w:r w:rsidR="006B73E7" w:rsidRPr="00E62F98">
        <w:rPr>
          <w:color w:val="auto"/>
          <w:szCs w:val="24"/>
        </w:rPr>
        <w:t xml:space="preserve"> </w:t>
      </w:r>
      <w:r w:rsidR="0028261C" w:rsidRPr="00E62F98">
        <w:rPr>
          <w:color w:val="auto"/>
          <w:szCs w:val="24"/>
        </w:rPr>
        <w:t>subject to s</w:t>
      </w:r>
      <w:r w:rsidRPr="00E62F98">
        <w:rPr>
          <w:color w:val="auto"/>
          <w:szCs w:val="24"/>
        </w:rPr>
        <w:t>ervice disability rating.</w:t>
      </w:r>
      <w:r w:rsidR="00DC3EC9" w:rsidRPr="00E62F98">
        <w:rPr>
          <w:color w:val="auto"/>
          <w:szCs w:val="24"/>
        </w:rPr>
        <w:t xml:space="preserve">  </w:t>
      </w:r>
    </w:p>
    <w:p w:rsidR="00EC337D" w:rsidRPr="00E62F98" w:rsidRDefault="00EC337D" w:rsidP="00BF0E94">
      <w:pPr>
        <w:jc w:val="both"/>
        <w:rPr>
          <w:color w:val="auto"/>
          <w:szCs w:val="24"/>
        </w:rPr>
      </w:pPr>
    </w:p>
    <w:p w:rsidR="00CA7482" w:rsidRPr="00E62F98" w:rsidRDefault="003C5B54" w:rsidP="00BF0E94">
      <w:pPr>
        <w:jc w:val="both"/>
        <w:rPr>
          <w:color w:val="auto"/>
          <w:szCs w:val="24"/>
        </w:rPr>
      </w:pPr>
      <w:proofErr w:type="gramStart"/>
      <w:r w:rsidRPr="00E62F98">
        <w:rPr>
          <w:color w:val="auto"/>
          <w:szCs w:val="24"/>
          <w:u w:val="single"/>
        </w:rPr>
        <w:t>Remaining Conditions.</w:t>
      </w:r>
      <w:proofErr w:type="gramEnd"/>
      <w:r w:rsidRPr="00E62F98">
        <w:rPr>
          <w:color w:val="auto"/>
          <w:szCs w:val="24"/>
        </w:rPr>
        <w:t xml:space="preserve">  </w:t>
      </w:r>
      <w:r w:rsidR="00DB355E" w:rsidRPr="00E62F98">
        <w:rPr>
          <w:color w:val="auto"/>
          <w:szCs w:val="24"/>
        </w:rPr>
        <w:t xml:space="preserve">One other condition </w:t>
      </w:r>
      <w:r w:rsidR="00512590" w:rsidRPr="00E62F98">
        <w:rPr>
          <w:color w:val="auto"/>
          <w:szCs w:val="24"/>
        </w:rPr>
        <w:t xml:space="preserve">identified in the </w:t>
      </w:r>
      <w:r w:rsidR="00F80C40" w:rsidRPr="00E62F98">
        <w:rPr>
          <w:color w:val="auto"/>
          <w:szCs w:val="24"/>
        </w:rPr>
        <w:t>VA</w:t>
      </w:r>
      <w:r w:rsidR="00DB355E" w:rsidRPr="00E62F98">
        <w:rPr>
          <w:color w:val="auto"/>
          <w:szCs w:val="24"/>
        </w:rPr>
        <w:t>RD proximal to separation</w:t>
      </w:r>
      <w:r w:rsidR="00F80C40" w:rsidRPr="00E62F98">
        <w:rPr>
          <w:color w:val="auto"/>
          <w:szCs w:val="24"/>
        </w:rPr>
        <w:t xml:space="preserve"> and</w:t>
      </w:r>
      <w:r w:rsidR="00DB355E" w:rsidRPr="00E62F98">
        <w:rPr>
          <w:color w:val="auto"/>
          <w:szCs w:val="24"/>
        </w:rPr>
        <w:t xml:space="preserve"> documented in</w:t>
      </w:r>
      <w:r w:rsidR="00F80C40" w:rsidRPr="00E62F98">
        <w:rPr>
          <w:color w:val="auto"/>
          <w:szCs w:val="24"/>
        </w:rPr>
        <w:t xml:space="preserve"> the </w:t>
      </w:r>
      <w:r w:rsidR="00512590" w:rsidRPr="00E62F98">
        <w:rPr>
          <w:color w:val="auto"/>
          <w:szCs w:val="24"/>
        </w:rPr>
        <w:t>DES file w</w:t>
      </w:r>
      <w:r w:rsidR="00DB355E" w:rsidRPr="00E62F98">
        <w:rPr>
          <w:color w:val="auto"/>
          <w:szCs w:val="24"/>
        </w:rPr>
        <w:t>as</w:t>
      </w:r>
      <w:r w:rsidR="00512590" w:rsidRPr="00E62F98">
        <w:rPr>
          <w:color w:val="auto"/>
          <w:szCs w:val="24"/>
        </w:rPr>
        <w:t xml:space="preserve"> </w:t>
      </w:r>
      <w:r w:rsidR="00F80C40" w:rsidRPr="00E62F98">
        <w:rPr>
          <w:color w:val="auto"/>
          <w:szCs w:val="24"/>
        </w:rPr>
        <w:t>hiatal hernia (</w:t>
      </w:r>
      <w:r w:rsidR="00DB355E" w:rsidRPr="00E62F98">
        <w:rPr>
          <w:color w:val="auto"/>
          <w:szCs w:val="24"/>
        </w:rPr>
        <w:t>listed as gastroesophageal reflux disease</w:t>
      </w:r>
      <w:r w:rsidR="00F80C40" w:rsidRPr="00E62F98">
        <w:rPr>
          <w:color w:val="auto"/>
          <w:szCs w:val="24"/>
        </w:rPr>
        <w:t xml:space="preserve"> </w:t>
      </w:r>
      <w:r w:rsidR="00DC3EC9" w:rsidRPr="00E62F98">
        <w:rPr>
          <w:color w:val="auto"/>
          <w:szCs w:val="24"/>
        </w:rPr>
        <w:t xml:space="preserve">[GERD] </w:t>
      </w:r>
      <w:r w:rsidR="00F80C40" w:rsidRPr="00E62F98">
        <w:rPr>
          <w:color w:val="auto"/>
          <w:szCs w:val="24"/>
        </w:rPr>
        <w:t>in the DES)</w:t>
      </w:r>
      <w:r w:rsidR="00A02AA8" w:rsidRPr="00E62F98">
        <w:rPr>
          <w:color w:val="auto"/>
          <w:szCs w:val="24"/>
        </w:rPr>
        <w:t>.  Several additional non-acute conditions or medical complaints were also documented</w:t>
      </w:r>
      <w:r w:rsidR="008F4601" w:rsidRPr="00E62F98">
        <w:rPr>
          <w:color w:val="auto"/>
          <w:szCs w:val="24"/>
        </w:rPr>
        <w:t xml:space="preserve"> </w:t>
      </w:r>
      <w:r w:rsidR="00DB355E" w:rsidRPr="00E62F98">
        <w:rPr>
          <w:color w:val="auto"/>
          <w:szCs w:val="24"/>
        </w:rPr>
        <w:t>in the MEB history and physical</w:t>
      </w:r>
      <w:r w:rsidR="00317769" w:rsidRPr="00E62F98">
        <w:rPr>
          <w:color w:val="auto"/>
          <w:szCs w:val="24"/>
        </w:rPr>
        <w:t>.</w:t>
      </w:r>
      <w:r w:rsidR="00DB355E" w:rsidRPr="00E62F98">
        <w:rPr>
          <w:color w:val="auto"/>
          <w:szCs w:val="24"/>
        </w:rPr>
        <w:t xml:space="preserve"> </w:t>
      </w:r>
      <w:r w:rsidR="00F80C40" w:rsidRPr="00E62F98">
        <w:rPr>
          <w:color w:val="auto"/>
          <w:szCs w:val="24"/>
        </w:rPr>
        <w:t xml:space="preserve"> </w:t>
      </w:r>
      <w:r w:rsidR="00A02AA8" w:rsidRPr="00E62F98">
        <w:rPr>
          <w:color w:val="auto"/>
          <w:szCs w:val="24"/>
        </w:rPr>
        <w:t>None of these conditions were significantly clinically or occupationally active during the MEB period</w:t>
      </w:r>
      <w:r w:rsidR="0080588E" w:rsidRPr="00E62F98">
        <w:rPr>
          <w:color w:val="auto"/>
          <w:szCs w:val="24"/>
        </w:rPr>
        <w:t>,</w:t>
      </w:r>
      <w:r w:rsidR="00A02AA8" w:rsidRPr="00E62F98">
        <w:rPr>
          <w:color w:val="auto"/>
          <w:szCs w:val="24"/>
        </w:rPr>
        <w:t xml:space="preserve"> none carried attached profiles</w:t>
      </w:r>
      <w:r w:rsidR="0080588E" w:rsidRPr="00E62F98">
        <w:rPr>
          <w:color w:val="auto"/>
          <w:szCs w:val="24"/>
        </w:rPr>
        <w:t>,</w:t>
      </w:r>
      <w:r w:rsidR="00A02AA8" w:rsidRPr="00E62F98">
        <w:rPr>
          <w:color w:val="auto"/>
          <w:szCs w:val="24"/>
        </w:rPr>
        <w:t xml:space="preserve"> and none were implicated in the </w:t>
      </w:r>
      <w:r w:rsidR="0080588E" w:rsidRPr="00E62F98">
        <w:rPr>
          <w:color w:val="auto"/>
          <w:szCs w:val="24"/>
        </w:rPr>
        <w:t>c</w:t>
      </w:r>
      <w:r w:rsidR="00A02AA8" w:rsidRPr="00E62F98">
        <w:rPr>
          <w:color w:val="auto"/>
          <w:szCs w:val="24"/>
        </w:rPr>
        <w:t xml:space="preserve">ommander’s statement.  These conditions were reviewed by the </w:t>
      </w:r>
      <w:r w:rsidR="0080588E" w:rsidRPr="00E62F98">
        <w:rPr>
          <w:color w:val="auto"/>
          <w:szCs w:val="24"/>
        </w:rPr>
        <w:lastRenderedPageBreak/>
        <w:t xml:space="preserve">action officer </w:t>
      </w:r>
      <w:r w:rsidR="00A02AA8" w:rsidRPr="00E62F98">
        <w:rPr>
          <w:color w:val="auto"/>
          <w:szCs w:val="24"/>
        </w:rPr>
        <w:t xml:space="preserve">and considered by the Board.  It was determined that none could be argued as unfitting and subject to separation rating.  Additionally </w:t>
      </w:r>
      <w:r w:rsidR="00F80C40" w:rsidRPr="00E62F98">
        <w:rPr>
          <w:color w:val="auto"/>
          <w:szCs w:val="24"/>
        </w:rPr>
        <w:t>the condition of tinnitus was</w:t>
      </w:r>
      <w:r w:rsidR="00A02AA8" w:rsidRPr="00E62F98">
        <w:rPr>
          <w:color w:val="auto"/>
          <w:szCs w:val="24"/>
        </w:rPr>
        <w:t xml:space="preserve"> noted in the VA</w:t>
      </w:r>
      <w:r w:rsidR="00F80C40" w:rsidRPr="00E62F98">
        <w:rPr>
          <w:color w:val="auto"/>
          <w:szCs w:val="24"/>
        </w:rPr>
        <w:t>RD</w:t>
      </w:r>
      <w:r w:rsidR="00A02AA8" w:rsidRPr="00E62F98">
        <w:rPr>
          <w:color w:val="auto"/>
          <w:szCs w:val="24"/>
        </w:rPr>
        <w:t xml:space="preserve"> proximal to separation, but w</w:t>
      </w:r>
      <w:r w:rsidR="00F80C40" w:rsidRPr="00E62F98">
        <w:rPr>
          <w:color w:val="auto"/>
          <w:szCs w:val="24"/>
        </w:rPr>
        <w:t>as</w:t>
      </w:r>
      <w:r w:rsidR="00A02AA8" w:rsidRPr="00E62F98">
        <w:rPr>
          <w:color w:val="auto"/>
          <w:szCs w:val="24"/>
        </w:rPr>
        <w:t xml:space="preserv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r w:rsidR="00DC3EC9" w:rsidRPr="00E62F98">
        <w:rPr>
          <w:color w:val="auto"/>
          <w:szCs w:val="24"/>
        </w:rPr>
        <w:t xml:space="preserve">  </w:t>
      </w:r>
    </w:p>
    <w:p w:rsidR="001031F4" w:rsidRPr="00E62F98" w:rsidRDefault="001031F4" w:rsidP="00BF0E94">
      <w:pPr>
        <w:pBdr>
          <w:bottom w:val="single" w:sz="12" w:space="1" w:color="auto"/>
        </w:pBdr>
        <w:tabs>
          <w:tab w:val="left" w:pos="288"/>
          <w:tab w:val="left" w:pos="4752"/>
        </w:tabs>
        <w:jc w:val="both"/>
        <w:rPr>
          <w:color w:val="auto"/>
        </w:rPr>
      </w:pPr>
    </w:p>
    <w:p w:rsidR="00F1737C" w:rsidRPr="00E62F98" w:rsidRDefault="00F1737C" w:rsidP="006364ED">
      <w:pPr>
        <w:jc w:val="left"/>
        <w:rPr>
          <w:color w:val="auto"/>
          <w:szCs w:val="24"/>
        </w:rPr>
      </w:pPr>
    </w:p>
    <w:p w:rsidR="009838E4" w:rsidRPr="00E62F98" w:rsidRDefault="00C56FC8" w:rsidP="00317769">
      <w:pPr>
        <w:jc w:val="both"/>
        <w:rPr>
          <w:rFonts w:eastAsia="Calibri"/>
          <w:color w:val="auto"/>
          <w:szCs w:val="24"/>
        </w:rPr>
      </w:pPr>
      <w:r w:rsidRPr="00E62F98">
        <w:rPr>
          <w:color w:val="auto"/>
          <w:szCs w:val="24"/>
          <w:u w:val="single"/>
        </w:rPr>
        <w:t>BOARD FINDINGS</w:t>
      </w:r>
      <w:r w:rsidRPr="00E62F98">
        <w:rPr>
          <w:color w:val="auto"/>
          <w:szCs w:val="24"/>
        </w:rPr>
        <w:t>:</w:t>
      </w:r>
      <w:r w:rsidRPr="00E62F98">
        <w:rPr>
          <w:rFonts w:eastAsia="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A1260D" w:rsidRPr="00E62F98">
        <w:rPr>
          <w:rFonts w:eastAsia="Calibri"/>
          <w:color w:val="auto"/>
          <w:szCs w:val="24"/>
        </w:rPr>
        <w:t xml:space="preserve">  As discussed above, PEB reliance on the USAPDA pain policy for rating the chronic neck pain condition was operant in this case and the condition was adjudicated independently of that policy regulation by the Board.</w:t>
      </w:r>
      <w:r w:rsidR="009838E4" w:rsidRPr="00E62F98">
        <w:rPr>
          <w:rFonts w:eastAsia="Calibri"/>
          <w:color w:val="auto"/>
          <w:szCs w:val="24"/>
        </w:rPr>
        <w:t xml:space="preserve">  </w:t>
      </w:r>
      <w:r w:rsidR="00A1260D" w:rsidRPr="00E62F98">
        <w:rPr>
          <w:rFonts w:eastAsia="Calibri"/>
          <w:color w:val="auto"/>
          <w:szCs w:val="24"/>
        </w:rPr>
        <w:t>In the matter of the chronic neck pain condition, the Board unanimously recommends a permanent service disability rating of 20%, coded 5242 IAW VASRD §4.71a.</w:t>
      </w:r>
      <w:r w:rsidR="009838E4" w:rsidRPr="00E62F98">
        <w:rPr>
          <w:rFonts w:eastAsia="Calibri"/>
          <w:color w:val="auto"/>
          <w:szCs w:val="24"/>
        </w:rPr>
        <w:t xml:space="preserve">  </w:t>
      </w:r>
      <w:r w:rsidR="00A1260D" w:rsidRPr="00E62F98">
        <w:rPr>
          <w:rFonts w:eastAsia="Calibri"/>
          <w:color w:val="auto"/>
          <w:szCs w:val="24"/>
        </w:rPr>
        <w:t xml:space="preserve">In the matter of the </w:t>
      </w:r>
      <w:r w:rsidR="00A1260D" w:rsidRPr="00E62F98">
        <w:rPr>
          <w:color w:val="auto"/>
          <w:szCs w:val="24"/>
        </w:rPr>
        <w:t xml:space="preserve">right greater trochanteric bursitis, right retropatellar pain syndrome, depressive disorder, Morton </w:t>
      </w:r>
      <w:proofErr w:type="spellStart"/>
      <w:r w:rsidR="00C12753">
        <w:rPr>
          <w:color w:val="auto"/>
          <w:szCs w:val="24"/>
        </w:rPr>
        <w:t>n</w:t>
      </w:r>
      <w:r w:rsidR="00A1260D" w:rsidRPr="00E62F98">
        <w:rPr>
          <w:color w:val="auto"/>
          <w:szCs w:val="24"/>
        </w:rPr>
        <w:t>euroma</w:t>
      </w:r>
      <w:proofErr w:type="spellEnd"/>
      <w:r w:rsidR="00A1260D" w:rsidRPr="00E62F98">
        <w:rPr>
          <w:color w:val="auto"/>
          <w:szCs w:val="24"/>
        </w:rPr>
        <w:t xml:space="preserve"> (right foot), neuritis (left foot), left subclavian stenosis (with steal syndrome) and mild obstructive sleep apnea </w:t>
      </w:r>
      <w:r w:rsidR="00A1260D" w:rsidRPr="00E62F98">
        <w:rPr>
          <w:rFonts w:eastAsia="Calibri"/>
          <w:color w:val="auto"/>
          <w:szCs w:val="24"/>
        </w:rPr>
        <w:t>conditions, the Board unanimously recommends no change from the PEB adjudications as not unfitting.</w:t>
      </w:r>
      <w:r w:rsidR="009838E4" w:rsidRPr="00E62F98">
        <w:rPr>
          <w:rFonts w:eastAsia="Calibri"/>
          <w:color w:val="auto"/>
          <w:szCs w:val="24"/>
        </w:rPr>
        <w:t xml:space="preserve">  In the matter of left hand neuropathy condition, the Board unanimously agrees that it cannot recommend a finding of unfit for additional rating at separation.  In the matter of the hiatal hernia conditions or any other medical conditions eligible for Board consideration, the Board unanimously agrees that it cannot recommend any findings of unfit for additional rating at separation.  </w:t>
      </w:r>
    </w:p>
    <w:p w:rsidR="00A1260D" w:rsidRPr="00E62F98" w:rsidRDefault="00A1260D" w:rsidP="00BF0E94">
      <w:pPr>
        <w:pBdr>
          <w:bottom w:val="single" w:sz="12" w:space="1" w:color="auto"/>
        </w:pBdr>
        <w:tabs>
          <w:tab w:val="left" w:pos="288"/>
          <w:tab w:val="left" w:pos="4752"/>
        </w:tabs>
        <w:jc w:val="both"/>
        <w:rPr>
          <w:color w:val="auto"/>
        </w:rPr>
      </w:pPr>
    </w:p>
    <w:p w:rsidR="00F1737C" w:rsidRPr="00E62F98" w:rsidRDefault="00F1737C" w:rsidP="006364ED">
      <w:pPr>
        <w:jc w:val="left"/>
        <w:rPr>
          <w:color w:val="auto"/>
          <w:szCs w:val="24"/>
        </w:rPr>
      </w:pPr>
    </w:p>
    <w:p w:rsidR="00C56FC8" w:rsidRPr="00E62F98" w:rsidRDefault="00C56FC8" w:rsidP="00DB355E">
      <w:pPr>
        <w:jc w:val="left"/>
        <w:rPr>
          <w:color w:val="auto"/>
        </w:rPr>
      </w:pPr>
      <w:r w:rsidRPr="00E62F98">
        <w:rPr>
          <w:color w:val="auto"/>
          <w:szCs w:val="24"/>
          <w:u w:val="single"/>
        </w:rPr>
        <w:t>RECOMMENDATION</w:t>
      </w:r>
      <w:r w:rsidRPr="00E62F98">
        <w:rPr>
          <w:color w:val="auto"/>
          <w:szCs w:val="24"/>
        </w:rPr>
        <w:t>:</w:t>
      </w:r>
      <w:r w:rsidR="00DB355E" w:rsidRPr="00E62F98">
        <w:rPr>
          <w:color w:val="auto"/>
        </w:rPr>
        <w:t xml:space="preserve">  </w:t>
      </w:r>
      <w:r w:rsidRPr="00E62F98">
        <w:rPr>
          <w:color w:val="auto"/>
          <w:szCs w:val="24"/>
        </w:rPr>
        <w:t>The Board recommends that the CI’s prior determination be modified as follows, effective as of the date of his</w:t>
      </w:r>
      <w:r w:rsidR="00911B11" w:rsidRPr="00E62F98">
        <w:rPr>
          <w:color w:val="auto"/>
          <w:szCs w:val="24"/>
        </w:rPr>
        <w:t xml:space="preserve"> prior medical separation:</w:t>
      </w:r>
    </w:p>
    <w:p w:rsidR="00BA6A9C" w:rsidRPr="00E62F98" w:rsidRDefault="00BA6A9C" w:rsidP="00BF0E94">
      <w:pPr>
        <w:tabs>
          <w:tab w:val="left" w:pos="288"/>
          <w:tab w:val="left" w:pos="4752"/>
        </w:tabs>
        <w:jc w:val="both"/>
        <w:rPr>
          <w:color w:val="auto"/>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E62F98" w:rsidTr="0080588E">
        <w:trPr>
          <w:trHeight w:val="233"/>
          <w:jc w:val="center"/>
        </w:trPr>
        <w:tc>
          <w:tcPr>
            <w:tcW w:w="6282" w:type="dxa"/>
            <w:shd w:val="clear" w:color="auto" w:fill="D9D9D9"/>
            <w:vAlign w:val="center"/>
          </w:tcPr>
          <w:p w:rsidR="00A95BBA" w:rsidRPr="00E62F98" w:rsidRDefault="00A95BBA" w:rsidP="00BF0E94">
            <w:pPr>
              <w:tabs>
                <w:tab w:val="left" w:pos="288"/>
                <w:tab w:val="left" w:pos="4752"/>
              </w:tabs>
              <w:rPr>
                <w:b/>
                <w:color w:val="auto"/>
                <w:szCs w:val="24"/>
              </w:rPr>
            </w:pPr>
            <w:r w:rsidRPr="00E62F98">
              <w:rPr>
                <w:b/>
                <w:color w:val="auto"/>
                <w:szCs w:val="24"/>
              </w:rPr>
              <w:t>UNFITTING CONDITION</w:t>
            </w:r>
          </w:p>
        </w:tc>
        <w:tc>
          <w:tcPr>
            <w:tcW w:w="1710" w:type="dxa"/>
            <w:shd w:val="clear" w:color="auto" w:fill="D9D9D9"/>
            <w:vAlign w:val="center"/>
          </w:tcPr>
          <w:p w:rsidR="00A95BBA" w:rsidRPr="00E62F98" w:rsidRDefault="00A95BBA" w:rsidP="00BF0E94">
            <w:pPr>
              <w:tabs>
                <w:tab w:val="left" w:pos="288"/>
                <w:tab w:val="left" w:pos="4752"/>
              </w:tabs>
              <w:rPr>
                <w:b/>
                <w:color w:val="auto"/>
                <w:szCs w:val="24"/>
              </w:rPr>
            </w:pPr>
            <w:r w:rsidRPr="00E62F98">
              <w:rPr>
                <w:b/>
                <w:color w:val="auto"/>
                <w:szCs w:val="24"/>
              </w:rPr>
              <w:t>VASRD CODE</w:t>
            </w:r>
          </w:p>
        </w:tc>
        <w:tc>
          <w:tcPr>
            <w:tcW w:w="1170" w:type="dxa"/>
            <w:shd w:val="clear" w:color="auto" w:fill="D9D9D9"/>
            <w:vAlign w:val="center"/>
          </w:tcPr>
          <w:p w:rsidR="00A95BBA" w:rsidRPr="00E62F98" w:rsidRDefault="00A95BBA" w:rsidP="00BF0E94">
            <w:pPr>
              <w:tabs>
                <w:tab w:val="left" w:pos="288"/>
                <w:tab w:val="left" w:pos="4752"/>
              </w:tabs>
              <w:rPr>
                <w:b/>
                <w:color w:val="auto"/>
                <w:szCs w:val="24"/>
              </w:rPr>
            </w:pPr>
            <w:r w:rsidRPr="00E62F98">
              <w:rPr>
                <w:b/>
                <w:color w:val="auto"/>
                <w:szCs w:val="24"/>
              </w:rPr>
              <w:t>RATING</w:t>
            </w:r>
          </w:p>
        </w:tc>
      </w:tr>
      <w:tr w:rsidR="00A95BBA" w:rsidRPr="00E62F98" w:rsidTr="0080588E">
        <w:trPr>
          <w:jc w:val="center"/>
        </w:trPr>
        <w:tc>
          <w:tcPr>
            <w:tcW w:w="6282" w:type="dxa"/>
            <w:vAlign w:val="center"/>
          </w:tcPr>
          <w:p w:rsidR="00A95BBA" w:rsidRPr="00E62F98" w:rsidRDefault="006B73E7" w:rsidP="00BF0E94">
            <w:pPr>
              <w:tabs>
                <w:tab w:val="left" w:pos="288"/>
                <w:tab w:val="left" w:pos="4752"/>
              </w:tabs>
              <w:jc w:val="left"/>
              <w:rPr>
                <w:color w:val="auto"/>
                <w:szCs w:val="24"/>
              </w:rPr>
            </w:pPr>
            <w:r w:rsidRPr="00E62F98">
              <w:rPr>
                <w:color w:val="auto"/>
                <w:szCs w:val="24"/>
              </w:rPr>
              <w:t>Chronic Neck Pain</w:t>
            </w:r>
          </w:p>
        </w:tc>
        <w:tc>
          <w:tcPr>
            <w:tcW w:w="1710" w:type="dxa"/>
            <w:vAlign w:val="center"/>
          </w:tcPr>
          <w:p w:rsidR="00A95BBA" w:rsidRPr="00E62F98" w:rsidRDefault="006B73E7" w:rsidP="00BF0E94">
            <w:pPr>
              <w:tabs>
                <w:tab w:val="left" w:pos="288"/>
                <w:tab w:val="left" w:pos="4752"/>
              </w:tabs>
              <w:rPr>
                <w:color w:val="auto"/>
                <w:szCs w:val="24"/>
              </w:rPr>
            </w:pPr>
            <w:r w:rsidRPr="00E62F98">
              <w:rPr>
                <w:color w:val="auto"/>
                <w:szCs w:val="24"/>
              </w:rPr>
              <w:t>524</w:t>
            </w:r>
            <w:r w:rsidR="006131AC" w:rsidRPr="00E62F98">
              <w:rPr>
                <w:color w:val="auto"/>
                <w:szCs w:val="24"/>
              </w:rPr>
              <w:t>2</w:t>
            </w:r>
          </w:p>
        </w:tc>
        <w:tc>
          <w:tcPr>
            <w:tcW w:w="1170" w:type="dxa"/>
            <w:vAlign w:val="center"/>
          </w:tcPr>
          <w:p w:rsidR="00A95BBA" w:rsidRPr="00E62F98" w:rsidRDefault="006131AC" w:rsidP="00BF0E94">
            <w:pPr>
              <w:tabs>
                <w:tab w:val="left" w:pos="288"/>
                <w:tab w:val="left" w:pos="4752"/>
              </w:tabs>
              <w:rPr>
                <w:color w:val="auto"/>
                <w:szCs w:val="24"/>
              </w:rPr>
            </w:pPr>
            <w:r w:rsidRPr="00E62F98">
              <w:rPr>
                <w:color w:val="auto"/>
                <w:szCs w:val="24"/>
              </w:rPr>
              <w:t>2</w:t>
            </w:r>
            <w:r w:rsidR="00A95BBA" w:rsidRPr="00E62F98">
              <w:rPr>
                <w:color w:val="auto"/>
                <w:szCs w:val="24"/>
              </w:rPr>
              <w:t>0%</w:t>
            </w:r>
          </w:p>
        </w:tc>
      </w:tr>
      <w:tr w:rsidR="00A95BBA" w:rsidRPr="00E62F98"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vAlign w:val="center"/>
          </w:tcPr>
          <w:p w:rsidR="00A95BBA" w:rsidRPr="00E62F98" w:rsidRDefault="00A95BBA" w:rsidP="007C179A">
            <w:pPr>
              <w:tabs>
                <w:tab w:val="left" w:pos="288"/>
                <w:tab w:val="left" w:pos="4752"/>
              </w:tabs>
              <w:rPr>
                <w:b/>
                <w:color w:val="auto"/>
                <w:szCs w:val="24"/>
              </w:rPr>
            </w:pPr>
            <w:r w:rsidRPr="00E62F98">
              <w:rPr>
                <w:b/>
                <w:color w:val="auto"/>
                <w:szCs w:val="24"/>
              </w:rPr>
              <w:t>COMBINED</w:t>
            </w:r>
          </w:p>
        </w:tc>
        <w:tc>
          <w:tcPr>
            <w:tcW w:w="1170" w:type="dxa"/>
            <w:tcBorders>
              <w:bottom w:val="single" w:sz="4" w:space="0" w:color="000000"/>
            </w:tcBorders>
            <w:shd w:val="clear" w:color="auto" w:fill="D9D9D9"/>
            <w:vAlign w:val="center"/>
          </w:tcPr>
          <w:p w:rsidR="00A95BBA" w:rsidRPr="00E62F98" w:rsidRDefault="006131AC" w:rsidP="007C179A">
            <w:pPr>
              <w:tabs>
                <w:tab w:val="left" w:pos="288"/>
                <w:tab w:val="left" w:pos="4752"/>
              </w:tabs>
              <w:rPr>
                <w:b/>
                <w:color w:val="auto"/>
                <w:szCs w:val="24"/>
              </w:rPr>
            </w:pPr>
            <w:r w:rsidRPr="00E62F98">
              <w:rPr>
                <w:b/>
                <w:color w:val="auto"/>
                <w:szCs w:val="24"/>
              </w:rPr>
              <w:t>2</w:t>
            </w:r>
            <w:r w:rsidR="00A95BBA" w:rsidRPr="00E62F98">
              <w:rPr>
                <w:b/>
                <w:color w:val="auto"/>
                <w:szCs w:val="24"/>
              </w:rPr>
              <w:t>0%</w:t>
            </w:r>
          </w:p>
        </w:tc>
      </w:tr>
    </w:tbl>
    <w:p w:rsidR="003757D4" w:rsidRPr="00E62F98" w:rsidRDefault="003757D4" w:rsidP="007C179A">
      <w:pPr>
        <w:pBdr>
          <w:bottom w:val="single" w:sz="12" w:space="1" w:color="auto"/>
        </w:pBdr>
        <w:tabs>
          <w:tab w:val="left" w:pos="288"/>
          <w:tab w:val="left" w:pos="4752"/>
        </w:tabs>
        <w:jc w:val="both"/>
        <w:rPr>
          <w:color w:val="auto"/>
        </w:rPr>
      </w:pPr>
    </w:p>
    <w:p w:rsidR="003757D4" w:rsidRPr="00E62F98" w:rsidRDefault="003757D4" w:rsidP="007C179A">
      <w:pPr>
        <w:jc w:val="left"/>
        <w:rPr>
          <w:color w:val="auto"/>
          <w:szCs w:val="24"/>
        </w:rPr>
      </w:pPr>
    </w:p>
    <w:p w:rsidR="00D91DA6" w:rsidRPr="00E62F98" w:rsidRDefault="00FB1725" w:rsidP="007C179A">
      <w:pPr>
        <w:tabs>
          <w:tab w:val="left" w:pos="288"/>
          <w:tab w:val="left" w:pos="4752"/>
        </w:tabs>
        <w:jc w:val="both"/>
        <w:rPr>
          <w:color w:val="auto"/>
        </w:rPr>
      </w:pPr>
      <w:r w:rsidRPr="00E62F98">
        <w:rPr>
          <w:color w:val="auto"/>
        </w:rPr>
        <w:t>The following documentary evidence was considered:</w:t>
      </w:r>
    </w:p>
    <w:p w:rsidR="00EB5EFD" w:rsidRPr="00E62F98" w:rsidRDefault="00EB5EFD" w:rsidP="007C179A">
      <w:pPr>
        <w:tabs>
          <w:tab w:val="left" w:pos="288"/>
          <w:tab w:val="left" w:pos="4752"/>
        </w:tabs>
        <w:jc w:val="both"/>
        <w:rPr>
          <w:color w:val="auto"/>
        </w:rPr>
      </w:pPr>
    </w:p>
    <w:p w:rsidR="00114F20" w:rsidRPr="00E62F98" w:rsidRDefault="00FB1725" w:rsidP="007C179A">
      <w:pPr>
        <w:tabs>
          <w:tab w:val="left" w:pos="288"/>
          <w:tab w:val="left" w:pos="4752"/>
        </w:tabs>
        <w:jc w:val="both"/>
        <w:rPr>
          <w:color w:val="auto"/>
        </w:rPr>
      </w:pPr>
      <w:r w:rsidRPr="00E62F98">
        <w:rPr>
          <w:color w:val="auto"/>
        </w:rPr>
        <w:t xml:space="preserve">Exhibit A.  DD Form 294, </w:t>
      </w:r>
      <w:r w:rsidRPr="00E62F98">
        <w:rPr>
          <w:color w:val="auto"/>
          <w:szCs w:val="24"/>
        </w:rPr>
        <w:t>dated 20</w:t>
      </w:r>
      <w:r w:rsidR="001215DF" w:rsidRPr="00E62F98">
        <w:rPr>
          <w:color w:val="auto"/>
          <w:szCs w:val="24"/>
        </w:rPr>
        <w:t>1</w:t>
      </w:r>
      <w:r w:rsidR="006B73E7" w:rsidRPr="00E62F98">
        <w:rPr>
          <w:color w:val="auto"/>
          <w:szCs w:val="24"/>
        </w:rPr>
        <w:t>00406</w:t>
      </w:r>
      <w:r w:rsidR="00C12753">
        <w:rPr>
          <w:color w:val="auto"/>
        </w:rPr>
        <w:t>, w/</w:t>
      </w:r>
      <w:proofErr w:type="spellStart"/>
      <w:r w:rsidR="00C12753">
        <w:rPr>
          <w:color w:val="auto"/>
        </w:rPr>
        <w:t>atchs</w:t>
      </w:r>
      <w:proofErr w:type="spellEnd"/>
    </w:p>
    <w:p w:rsidR="00114F20" w:rsidRPr="00E62F98" w:rsidRDefault="00FB1725" w:rsidP="007C179A">
      <w:pPr>
        <w:tabs>
          <w:tab w:val="left" w:pos="288"/>
          <w:tab w:val="left" w:pos="4752"/>
        </w:tabs>
        <w:jc w:val="both"/>
        <w:rPr>
          <w:color w:val="auto"/>
        </w:rPr>
      </w:pPr>
      <w:r w:rsidRPr="00E62F98">
        <w:rPr>
          <w:color w:val="auto"/>
        </w:rPr>
        <w:t>Exhib</w:t>
      </w:r>
      <w:r w:rsidR="00C12753">
        <w:rPr>
          <w:color w:val="auto"/>
        </w:rPr>
        <w:t>it B.  Service Treatment Record</w:t>
      </w:r>
    </w:p>
    <w:p w:rsidR="00114F20" w:rsidRPr="00E62F98" w:rsidRDefault="00FB1725" w:rsidP="007C179A">
      <w:pPr>
        <w:tabs>
          <w:tab w:val="left" w:pos="288"/>
          <w:tab w:val="left" w:pos="4752"/>
        </w:tabs>
        <w:jc w:val="both"/>
        <w:rPr>
          <w:color w:val="auto"/>
        </w:rPr>
      </w:pPr>
      <w:r w:rsidRPr="00E62F98">
        <w:rPr>
          <w:color w:val="auto"/>
        </w:rPr>
        <w:t>Exhibit C.  Department of Ve</w:t>
      </w:r>
      <w:r w:rsidR="00C12753">
        <w:rPr>
          <w:color w:val="auto"/>
        </w:rPr>
        <w:t>terans Affairs Treatment Record</w:t>
      </w:r>
    </w:p>
    <w:p w:rsidR="00D91DA6" w:rsidRPr="00E62F98" w:rsidRDefault="00D91DA6" w:rsidP="007C179A">
      <w:pPr>
        <w:tabs>
          <w:tab w:val="left" w:pos="288"/>
          <w:tab w:val="left" w:pos="4752"/>
        </w:tabs>
        <w:jc w:val="both"/>
        <w:rPr>
          <w:color w:val="auto"/>
        </w:rPr>
      </w:pPr>
    </w:p>
    <w:p w:rsidR="00114F20" w:rsidRPr="00E62F98" w:rsidRDefault="00114F20" w:rsidP="007C179A">
      <w:pPr>
        <w:tabs>
          <w:tab w:val="left" w:pos="288"/>
          <w:tab w:val="left" w:pos="4752"/>
        </w:tabs>
        <w:jc w:val="both"/>
        <w:rPr>
          <w:color w:val="auto"/>
        </w:rPr>
      </w:pPr>
    </w:p>
    <w:p w:rsidR="00114F20" w:rsidRPr="00E62F98" w:rsidRDefault="00114F20" w:rsidP="007C179A">
      <w:pPr>
        <w:tabs>
          <w:tab w:val="left" w:pos="288"/>
          <w:tab w:val="left" w:pos="4752"/>
        </w:tabs>
        <w:jc w:val="both"/>
        <w:rPr>
          <w:color w:val="auto"/>
        </w:rPr>
      </w:pPr>
    </w:p>
    <w:p w:rsidR="00114F20" w:rsidRPr="00E62F98" w:rsidRDefault="00114F20" w:rsidP="00BF0E94">
      <w:pPr>
        <w:tabs>
          <w:tab w:val="left" w:pos="288"/>
          <w:tab w:val="left" w:pos="4752"/>
        </w:tabs>
        <w:jc w:val="both"/>
        <w:rPr>
          <w:color w:val="auto"/>
        </w:rPr>
      </w:pPr>
    </w:p>
    <w:p w:rsidR="00E3077F" w:rsidRPr="00E62F98" w:rsidRDefault="00220FA9" w:rsidP="00BF0E94">
      <w:pPr>
        <w:tabs>
          <w:tab w:val="left" w:pos="0"/>
          <w:tab w:val="left" w:pos="4320"/>
        </w:tabs>
        <w:jc w:val="both"/>
        <w:rPr>
          <w:color w:val="auto"/>
          <w:szCs w:val="24"/>
        </w:rPr>
      </w:pPr>
      <w:r w:rsidRPr="00E62F98">
        <w:rPr>
          <w:color w:val="auto"/>
          <w:szCs w:val="24"/>
        </w:rPr>
        <w:tab/>
      </w:r>
      <w:r w:rsidR="008E3C90" w:rsidRPr="00E62F98">
        <w:rPr>
          <w:color w:val="auto"/>
          <w:szCs w:val="24"/>
        </w:rPr>
        <w:t xml:space="preserve">           </w:t>
      </w:r>
      <w:r w:rsidR="000B4007">
        <w:rPr>
          <w:color w:val="auto"/>
          <w:szCs w:val="24"/>
        </w:rPr>
        <w:t>XXXXXXXXXX</w:t>
      </w:r>
    </w:p>
    <w:p w:rsidR="002F195B" w:rsidRPr="00E62F98" w:rsidRDefault="00220FA9" w:rsidP="00BF0E94">
      <w:pPr>
        <w:tabs>
          <w:tab w:val="left" w:pos="0"/>
          <w:tab w:val="left" w:pos="4320"/>
        </w:tabs>
        <w:jc w:val="both"/>
        <w:rPr>
          <w:color w:val="auto"/>
          <w:szCs w:val="24"/>
        </w:rPr>
      </w:pPr>
      <w:r w:rsidRPr="00E62F98">
        <w:rPr>
          <w:color w:val="auto"/>
          <w:szCs w:val="24"/>
        </w:rPr>
        <w:tab/>
      </w:r>
      <w:r w:rsidR="008E3C90" w:rsidRPr="00E62F98">
        <w:rPr>
          <w:color w:val="auto"/>
          <w:szCs w:val="24"/>
        </w:rPr>
        <w:t xml:space="preserve">           </w:t>
      </w:r>
      <w:r w:rsidR="005F73CA" w:rsidRPr="00E62F98">
        <w:rPr>
          <w:color w:val="auto"/>
          <w:szCs w:val="24"/>
        </w:rPr>
        <w:t>President</w:t>
      </w:r>
    </w:p>
    <w:p w:rsidR="000B4007" w:rsidRDefault="002F195B" w:rsidP="00BF0E94">
      <w:pPr>
        <w:tabs>
          <w:tab w:val="left" w:pos="0"/>
          <w:tab w:val="left" w:pos="4320"/>
        </w:tabs>
        <w:jc w:val="both"/>
        <w:rPr>
          <w:color w:val="auto"/>
          <w:szCs w:val="24"/>
        </w:rPr>
      </w:pPr>
      <w:r w:rsidRPr="00E62F98">
        <w:rPr>
          <w:color w:val="auto"/>
          <w:szCs w:val="24"/>
        </w:rPr>
        <w:tab/>
        <w:t xml:space="preserve">           </w:t>
      </w:r>
      <w:r w:rsidR="00220FA9" w:rsidRPr="00E62F98">
        <w:rPr>
          <w:color w:val="auto"/>
          <w:szCs w:val="24"/>
        </w:rPr>
        <w:t>P</w:t>
      </w:r>
      <w:r w:rsidR="00E3077F" w:rsidRPr="00E62F98">
        <w:rPr>
          <w:color w:val="auto"/>
          <w:szCs w:val="24"/>
        </w:rPr>
        <w:t>hysical Disability Board of Review</w:t>
      </w:r>
    </w:p>
    <w:p w:rsidR="000B4007" w:rsidRDefault="000B4007" w:rsidP="000B4007">
      <w:r>
        <w:rPr>
          <w:color w:val="auto"/>
          <w:szCs w:val="24"/>
        </w:rPr>
        <w:br w:type="page"/>
      </w:r>
      <w:r>
        <w:lastRenderedPageBreak/>
        <w:t>SFMR-RB</w:t>
      </w:r>
      <w:r>
        <w:tab/>
      </w:r>
      <w:r>
        <w:tab/>
      </w:r>
      <w:r>
        <w:tab/>
      </w:r>
      <w:r>
        <w:tab/>
      </w:r>
      <w:r>
        <w:tab/>
      </w:r>
      <w:r>
        <w:tab/>
      </w:r>
      <w:r>
        <w:tab/>
      </w:r>
      <w:r>
        <w:tab/>
      </w:r>
      <w:r>
        <w:tab/>
      </w:r>
    </w:p>
    <w:p w:rsidR="000B4007" w:rsidRDefault="000B4007" w:rsidP="000B4007">
      <w:pPr>
        <w:pStyle w:val="Header"/>
        <w:tabs>
          <w:tab w:val="left" w:pos="720"/>
        </w:tabs>
        <w:jc w:val="left"/>
      </w:pPr>
    </w:p>
    <w:p w:rsidR="000B4007" w:rsidRDefault="000B4007" w:rsidP="000B4007">
      <w:pPr>
        <w:jc w:val="left"/>
      </w:pPr>
    </w:p>
    <w:p w:rsidR="000B4007" w:rsidRDefault="000B4007" w:rsidP="000B4007">
      <w:pPr>
        <w:jc w:val="left"/>
      </w:pPr>
      <w:r>
        <w:t xml:space="preserve">MEMORANDUM FOR Commander, US Army Physical Disability Agency </w:t>
      </w:r>
    </w:p>
    <w:p w:rsidR="000B4007" w:rsidRDefault="000B4007" w:rsidP="000B4007">
      <w:pPr>
        <w:jc w:val="left"/>
      </w:pPr>
      <w:r>
        <w:t>(TAPD-ZB /), 2900 Crystal Drive, Suite 300, Arlington, VA  22202</w:t>
      </w:r>
    </w:p>
    <w:p w:rsidR="000B4007" w:rsidRDefault="000B4007" w:rsidP="000B4007">
      <w:pPr>
        <w:jc w:val="left"/>
      </w:pPr>
    </w:p>
    <w:p w:rsidR="000B4007" w:rsidRDefault="000B4007" w:rsidP="000B4007">
      <w:pPr>
        <w:ind w:right="-180"/>
        <w:jc w:val="left"/>
      </w:pPr>
      <w:r>
        <w:t xml:space="preserve">SUBJECT:  Department of Defense Physical Disability Board of Review Recommendation </w:t>
      </w:r>
    </w:p>
    <w:p w:rsidR="000B4007" w:rsidRDefault="000B4007" w:rsidP="000B4007">
      <w:pPr>
        <w:pStyle w:val="Header"/>
        <w:tabs>
          <w:tab w:val="left" w:pos="720"/>
        </w:tabs>
        <w:jc w:val="left"/>
      </w:pPr>
      <w:proofErr w:type="gramStart"/>
      <w:r>
        <w:t>for</w:t>
      </w:r>
      <w:proofErr w:type="gramEnd"/>
      <w:r>
        <w:t xml:space="preserve"> XXXXXXXXXX, AR20120008231 (PD201100251)</w:t>
      </w:r>
    </w:p>
    <w:p w:rsidR="000B4007" w:rsidRDefault="000B4007" w:rsidP="000B4007">
      <w:pPr>
        <w:pStyle w:val="Header"/>
        <w:tabs>
          <w:tab w:val="left" w:pos="720"/>
        </w:tabs>
        <w:jc w:val="left"/>
      </w:pPr>
    </w:p>
    <w:p w:rsidR="000B4007" w:rsidRDefault="000B4007" w:rsidP="000B4007">
      <w:pPr>
        <w:jc w:val="left"/>
      </w:pPr>
    </w:p>
    <w:p w:rsidR="000B4007" w:rsidRDefault="000B4007" w:rsidP="000B4007">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0B4007" w:rsidRDefault="000B4007" w:rsidP="000B4007">
      <w:pPr>
        <w:jc w:val="left"/>
      </w:pPr>
    </w:p>
    <w:p w:rsidR="000B4007" w:rsidRDefault="000B4007" w:rsidP="000B4007">
      <w:pPr>
        <w:jc w:val="left"/>
      </w:pPr>
      <w:r>
        <w:t xml:space="preserve">2.  I direct that all the Department of the Army records of the individual concerned be corrected accordingly no later than 120 days from the date of this memorandum.   </w:t>
      </w:r>
    </w:p>
    <w:p w:rsidR="000B4007" w:rsidRDefault="000B4007" w:rsidP="000B4007">
      <w:pPr>
        <w:jc w:val="left"/>
      </w:pPr>
    </w:p>
    <w:p w:rsidR="000B4007" w:rsidRDefault="000B4007" w:rsidP="000B4007">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0B4007" w:rsidRDefault="000B4007" w:rsidP="000B4007">
      <w:pPr>
        <w:jc w:val="left"/>
      </w:pPr>
    </w:p>
    <w:p w:rsidR="000B4007" w:rsidRDefault="000B4007" w:rsidP="000B4007">
      <w:pPr>
        <w:jc w:val="left"/>
      </w:pPr>
      <w:r>
        <w:t xml:space="preserve"> BY ORDER OF THE SECRETARY OF THE ARMY:</w:t>
      </w:r>
    </w:p>
    <w:p w:rsidR="000B4007" w:rsidRDefault="000B4007" w:rsidP="000B4007">
      <w:pPr>
        <w:jc w:val="left"/>
      </w:pPr>
    </w:p>
    <w:p w:rsidR="000B4007" w:rsidRDefault="000B4007" w:rsidP="000B4007">
      <w:pPr>
        <w:jc w:val="left"/>
      </w:pPr>
    </w:p>
    <w:p w:rsidR="000B4007" w:rsidRDefault="000B4007" w:rsidP="000B4007">
      <w:pPr>
        <w:pStyle w:val="Header"/>
        <w:tabs>
          <w:tab w:val="left" w:pos="720"/>
        </w:tabs>
        <w:jc w:val="left"/>
      </w:pPr>
    </w:p>
    <w:p w:rsidR="000B4007" w:rsidRDefault="000B4007" w:rsidP="000B4007">
      <w:pPr>
        <w:jc w:val="left"/>
      </w:pPr>
    </w:p>
    <w:p w:rsidR="000B4007" w:rsidRDefault="000B4007" w:rsidP="000B4007">
      <w:pPr>
        <w:jc w:val="left"/>
      </w:pPr>
      <w:bookmarkStart w:id="0" w:name="OLE_LINK4"/>
      <w:bookmarkStart w:id="1" w:name="OLE_LINK3"/>
      <w:r>
        <w:t>Encl</w:t>
      </w:r>
      <w:r>
        <w:tab/>
      </w:r>
      <w:r>
        <w:tab/>
      </w:r>
      <w:r>
        <w:tab/>
      </w:r>
      <w:r>
        <w:tab/>
      </w:r>
      <w:r>
        <w:tab/>
      </w:r>
      <w:r>
        <w:tab/>
        <w:t xml:space="preserve">     XXXXXXXXX</w:t>
      </w:r>
    </w:p>
    <w:p w:rsidR="000B4007" w:rsidRDefault="000B4007" w:rsidP="000B4007">
      <w:pPr>
        <w:jc w:val="left"/>
      </w:pPr>
      <w:r>
        <w:tab/>
      </w:r>
      <w:r>
        <w:tab/>
      </w:r>
      <w:r>
        <w:tab/>
      </w:r>
      <w:r>
        <w:tab/>
      </w:r>
      <w:r>
        <w:tab/>
      </w:r>
      <w:r>
        <w:tab/>
        <w:t xml:space="preserve">     Deputy Assistant Secretary</w:t>
      </w:r>
    </w:p>
    <w:p w:rsidR="000B4007" w:rsidRDefault="000B4007" w:rsidP="000B4007">
      <w:pPr>
        <w:jc w:val="left"/>
      </w:pPr>
      <w:r>
        <w:tab/>
      </w:r>
      <w:r>
        <w:tab/>
      </w:r>
      <w:r>
        <w:tab/>
      </w:r>
      <w:r>
        <w:tab/>
      </w:r>
      <w:r>
        <w:tab/>
      </w:r>
      <w:r>
        <w:tab/>
        <w:t xml:space="preserve">         (Army Review Boards)</w:t>
      </w:r>
      <w:bookmarkEnd w:id="0"/>
      <w:bookmarkEnd w:id="1"/>
    </w:p>
    <w:p w:rsidR="000B4007" w:rsidRDefault="000B4007" w:rsidP="000B4007">
      <w:pPr>
        <w:jc w:val="left"/>
      </w:pPr>
    </w:p>
    <w:p w:rsidR="000B4007" w:rsidRDefault="000B4007" w:rsidP="000B4007">
      <w:pPr>
        <w:jc w:val="left"/>
      </w:pPr>
      <w:r>
        <w:t xml:space="preserve">CF: </w:t>
      </w:r>
    </w:p>
    <w:p w:rsidR="000B4007" w:rsidRDefault="000B4007" w:rsidP="000B4007">
      <w:pPr>
        <w:jc w:val="left"/>
      </w:pPr>
      <w:r>
        <w:t xml:space="preserve">(  ) </w:t>
      </w:r>
      <w:proofErr w:type="spellStart"/>
      <w:proofErr w:type="gramStart"/>
      <w:r>
        <w:t>DoD</w:t>
      </w:r>
      <w:proofErr w:type="spellEnd"/>
      <w:proofErr w:type="gramEnd"/>
      <w:r>
        <w:t xml:space="preserve"> PDBR</w:t>
      </w:r>
    </w:p>
    <w:p w:rsidR="000B4007" w:rsidRDefault="000B4007" w:rsidP="000B4007">
      <w:pPr>
        <w:jc w:val="left"/>
      </w:pPr>
      <w:r>
        <w:t>(  ) DVA</w:t>
      </w:r>
    </w:p>
    <w:p w:rsidR="00E3077F" w:rsidRPr="00E62F98" w:rsidRDefault="00E3077F" w:rsidP="00BF0E94">
      <w:pPr>
        <w:tabs>
          <w:tab w:val="left" w:pos="0"/>
          <w:tab w:val="left" w:pos="4320"/>
        </w:tabs>
        <w:jc w:val="both"/>
        <w:rPr>
          <w:color w:val="auto"/>
          <w:szCs w:val="24"/>
        </w:rPr>
      </w:pPr>
    </w:p>
    <w:sectPr w:rsidR="00E3077F" w:rsidRPr="00E62F98" w:rsidSect="00E7016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C25" w:rsidRDefault="00F25C25">
      <w:r>
        <w:separator/>
      </w:r>
    </w:p>
  </w:endnote>
  <w:endnote w:type="continuationSeparator" w:id="0">
    <w:p w:rsidR="00F25C25" w:rsidRDefault="00F25C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953" w:rsidRPr="00374247" w:rsidRDefault="00051953" w:rsidP="00374247">
    <w:pPr>
      <w:pStyle w:val="Footer"/>
      <w:ind w:firstLine="4320"/>
      <w:rPr>
        <w:color w:val="auto"/>
        <w:szCs w:val="24"/>
      </w:rPr>
    </w:pPr>
    <w:r w:rsidRPr="00374247">
      <w:rPr>
        <w:color w:val="auto"/>
        <w:szCs w:val="24"/>
      </w:rPr>
      <w:t xml:space="preserve">   </w:t>
    </w:r>
    <w:r w:rsidR="00291062" w:rsidRPr="006B73E7">
      <w:rPr>
        <w:color w:val="auto"/>
        <w:szCs w:val="24"/>
      </w:rPr>
      <w:fldChar w:fldCharType="begin"/>
    </w:r>
    <w:r w:rsidRPr="006B73E7">
      <w:rPr>
        <w:color w:val="auto"/>
        <w:szCs w:val="24"/>
      </w:rPr>
      <w:instrText xml:space="preserve"> PAGE   \* MERGEFORMAT </w:instrText>
    </w:r>
    <w:r w:rsidR="00291062" w:rsidRPr="006B73E7">
      <w:rPr>
        <w:color w:val="auto"/>
        <w:szCs w:val="24"/>
      </w:rPr>
      <w:fldChar w:fldCharType="separate"/>
    </w:r>
    <w:r w:rsidR="000B4007" w:rsidRPr="000B4007">
      <w:rPr>
        <w:noProof/>
        <w:color w:val="auto"/>
      </w:rPr>
      <w:t>2</w:t>
    </w:r>
    <w:r w:rsidR="00291062" w:rsidRPr="006B73E7">
      <w:rPr>
        <w:color w:val="auto"/>
        <w:szCs w:val="24"/>
      </w:rPr>
      <w:fldChar w:fldCharType="end"/>
    </w:r>
    <w:r w:rsidRPr="006B73E7">
      <w:rPr>
        <w:color w:val="auto"/>
        <w:szCs w:val="24"/>
      </w:rPr>
      <w:t xml:space="preserve">                                                           PD1100251</w:t>
    </w:r>
  </w:p>
  <w:p w:rsidR="00051953" w:rsidRPr="00684CE6" w:rsidRDefault="0005195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C25" w:rsidRDefault="00F25C25">
      <w:r>
        <w:separator/>
      </w:r>
    </w:p>
  </w:footnote>
  <w:footnote w:type="continuationSeparator" w:id="0">
    <w:p w:rsidR="00F25C25" w:rsidRDefault="00F25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activeWritingStyle w:appName="MSWord" w:lang="en-US" w:vendorID="8" w:dllVersion="513" w:checkStyle="1"/>
  <w:proofState w:spelling="clean" w:grammar="clean"/>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3010"/>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0C3B"/>
    <w:rsid w:val="000024F5"/>
    <w:rsid w:val="00002A61"/>
    <w:rsid w:val="000059FA"/>
    <w:rsid w:val="00006186"/>
    <w:rsid w:val="00006F87"/>
    <w:rsid w:val="00007107"/>
    <w:rsid w:val="000107C0"/>
    <w:rsid w:val="00010ABA"/>
    <w:rsid w:val="00010B0F"/>
    <w:rsid w:val="00012428"/>
    <w:rsid w:val="00012733"/>
    <w:rsid w:val="00013417"/>
    <w:rsid w:val="00013B93"/>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3B0"/>
    <w:rsid w:val="00037929"/>
    <w:rsid w:val="000379D0"/>
    <w:rsid w:val="00040FC4"/>
    <w:rsid w:val="000416F8"/>
    <w:rsid w:val="00042C26"/>
    <w:rsid w:val="00043382"/>
    <w:rsid w:val="00044623"/>
    <w:rsid w:val="000452D7"/>
    <w:rsid w:val="00050BA8"/>
    <w:rsid w:val="00051497"/>
    <w:rsid w:val="00051622"/>
    <w:rsid w:val="00051953"/>
    <w:rsid w:val="00051A11"/>
    <w:rsid w:val="00052234"/>
    <w:rsid w:val="0005345F"/>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D5E"/>
    <w:rsid w:val="00094E4F"/>
    <w:rsid w:val="000A2BCE"/>
    <w:rsid w:val="000A31E2"/>
    <w:rsid w:val="000A33C8"/>
    <w:rsid w:val="000A375D"/>
    <w:rsid w:val="000A41E3"/>
    <w:rsid w:val="000A4906"/>
    <w:rsid w:val="000A4BBA"/>
    <w:rsid w:val="000A5071"/>
    <w:rsid w:val="000B0AD2"/>
    <w:rsid w:val="000B1022"/>
    <w:rsid w:val="000B2FB8"/>
    <w:rsid w:val="000B4007"/>
    <w:rsid w:val="000B471C"/>
    <w:rsid w:val="000B4C99"/>
    <w:rsid w:val="000B5312"/>
    <w:rsid w:val="000B5894"/>
    <w:rsid w:val="000C0212"/>
    <w:rsid w:val="000C06F6"/>
    <w:rsid w:val="000C15F8"/>
    <w:rsid w:val="000C1D34"/>
    <w:rsid w:val="000C2362"/>
    <w:rsid w:val="000C2717"/>
    <w:rsid w:val="000C2FA8"/>
    <w:rsid w:val="000C3C13"/>
    <w:rsid w:val="000C4D5F"/>
    <w:rsid w:val="000C4F02"/>
    <w:rsid w:val="000C53F9"/>
    <w:rsid w:val="000C5813"/>
    <w:rsid w:val="000C714C"/>
    <w:rsid w:val="000C7161"/>
    <w:rsid w:val="000C75CF"/>
    <w:rsid w:val="000C7B83"/>
    <w:rsid w:val="000C7DE4"/>
    <w:rsid w:val="000D0AE6"/>
    <w:rsid w:val="000D155B"/>
    <w:rsid w:val="000D15E7"/>
    <w:rsid w:val="000D18ED"/>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391D"/>
    <w:rsid w:val="0013525F"/>
    <w:rsid w:val="00135385"/>
    <w:rsid w:val="00136204"/>
    <w:rsid w:val="001364D1"/>
    <w:rsid w:val="001374C7"/>
    <w:rsid w:val="0014045D"/>
    <w:rsid w:val="00140FA4"/>
    <w:rsid w:val="00141BC9"/>
    <w:rsid w:val="001421FD"/>
    <w:rsid w:val="001425C8"/>
    <w:rsid w:val="00142EBA"/>
    <w:rsid w:val="00143B79"/>
    <w:rsid w:val="00145965"/>
    <w:rsid w:val="00150B8A"/>
    <w:rsid w:val="00150DCB"/>
    <w:rsid w:val="00151912"/>
    <w:rsid w:val="00153740"/>
    <w:rsid w:val="001537D8"/>
    <w:rsid w:val="00153D88"/>
    <w:rsid w:val="00153EA6"/>
    <w:rsid w:val="001541C5"/>
    <w:rsid w:val="0015623F"/>
    <w:rsid w:val="00156585"/>
    <w:rsid w:val="0015674C"/>
    <w:rsid w:val="00156BA9"/>
    <w:rsid w:val="00161642"/>
    <w:rsid w:val="00161761"/>
    <w:rsid w:val="00166182"/>
    <w:rsid w:val="001665A7"/>
    <w:rsid w:val="0017038B"/>
    <w:rsid w:val="001709FC"/>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689B"/>
    <w:rsid w:val="001870F0"/>
    <w:rsid w:val="00190E48"/>
    <w:rsid w:val="0019114B"/>
    <w:rsid w:val="0019273F"/>
    <w:rsid w:val="00193814"/>
    <w:rsid w:val="00193AAB"/>
    <w:rsid w:val="00193AD5"/>
    <w:rsid w:val="00194930"/>
    <w:rsid w:val="00195AAC"/>
    <w:rsid w:val="00195F2A"/>
    <w:rsid w:val="00196C40"/>
    <w:rsid w:val="001A025E"/>
    <w:rsid w:val="001A08CD"/>
    <w:rsid w:val="001A0A1E"/>
    <w:rsid w:val="001A2182"/>
    <w:rsid w:val="001A323E"/>
    <w:rsid w:val="001A3761"/>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1AF3"/>
    <w:rsid w:val="001F29F9"/>
    <w:rsid w:val="001F6E0B"/>
    <w:rsid w:val="002002A8"/>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810"/>
    <w:rsid w:val="00215C4C"/>
    <w:rsid w:val="00215ED6"/>
    <w:rsid w:val="00216049"/>
    <w:rsid w:val="002163FA"/>
    <w:rsid w:val="00217606"/>
    <w:rsid w:val="00217788"/>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9D5"/>
    <w:rsid w:val="00242D14"/>
    <w:rsid w:val="00242F05"/>
    <w:rsid w:val="002432F4"/>
    <w:rsid w:val="00246860"/>
    <w:rsid w:val="002468D9"/>
    <w:rsid w:val="00246995"/>
    <w:rsid w:val="00246DFF"/>
    <w:rsid w:val="00246E89"/>
    <w:rsid w:val="0025183C"/>
    <w:rsid w:val="00252351"/>
    <w:rsid w:val="002528EC"/>
    <w:rsid w:val="00253EAA"/>
    <w:rsid w:val="002547A2"/>
    <w:rsid w:val="00255049"/>
    <w:rsid w:val="002568B5"/>
    <w:rsid w:val="00257538"/>
    <w:rsid w:val="00257AFF"/>
    <w:rsid w:val="00257DE5"/>
    <w:rsid w:val="00260531"/>
    <w:rsid w:val="00260B9A"/>
    <w:rsid w:val="00262EA5"/>
    <w:rsid w:val="0026318D"/>
    <w:rsid w:val="00264148"/>
    <w:rsid w:val="0026472B"/>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1062"/>
    <w:rsid w:val="00292397"/>
    <w:rsid w:val="00292AB2"/>
    <w:rsid w:val="00292B82"/>
    <w:rsid w:val="00293DB6"/>
    <w:rsid w:val="00293FE8"/>
    <w:rsid w:val="00294437"/>
    <w:rsid w:val="00296686"/>
    <w:rsid w:val="00297A00"/>
    <w:rsid w:val="00297A45"/>
    <w:rsid w:val="00297E20"/>
    <w:rsid w:val="002A1CAC"/>
    <w:rsid w:val="002A233F"/>
    <w:rsid w:val="002A3237"/>
    <w:rsid w:val="002A4119"/>
    <w:rsid w:val="002A58B7"/>
    <w:rsid w:val="002A5943"/>
    <w:rsid w:val="002A5C3C"/>
    <w:rsid w:val="002A685E"/>
    <w:rsid w:val="002A72C7"/>
    <w:rsid w:val="002B0204"/>
    <w:rsid w:val="002B03B2"/>
    <w:rsid w:val="002B049B"/>
    <w:rsid w:val="002B0749"/>
    <w:rsid w:val="002B2645"/>
    <w:rsid w:val="002B303A"/>
    <w:rsid w:val="002B32E9"/>
    <w:rsid w:val="002B3479"/>
    <w:rsid w:val="002B4E22"/>
    <w:rsid w:val="002B6FA0"/>
    <w:rsid w:val="002B7710"/>
    <w:rsid w:val="002C0DEA"/>
    <w:rsid w:val="002C34F6"/>
    <w:rsid w:val="002C3B6D"/>
    <w:rsid w:val="002C3F59"/>
    <w:rsid w:val="002C5D9D"/>
    <w:rsid w:val="002C5F10"/>
    <w:rsid w:val="002C63CC"/>
    <w:rsid w:val="002C6E5B"/>
    <w:rsid w:val="002D08F3"/>
    <w:rsid w:val="002D1606"/>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092"/>
    <w:rsid w:val="002E65E6"/>
    <w:rsid w:val="002E7072"/>
    <w:rsid w:val="002E7570"/>
    <w:rsid w:val="002E764B"/>
    <w:rsid w:val="002E7C25"/>
    <w:rsid w:val="002F0D6A"/>
    <w:rsid w:val="002F0E28"/>
    <w:rsid w:val="002F1374"/>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17769"/>
    <w:rsid w:val="0032136A"/>
    <w:rsid w:val="00321CDD"/>
    <w:rsid w:val="003224D8"/>
    <w:rsid w:val="00322AA4"/>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F38"/>
    <w:rsid w:val="0033555E"/>
    <w:rsid w:val="0033601F"/>
    <w:rsid w:val="00336805"/>
    <w:rsid w:val="00337351"/>
    <w:rsid w:val="00341A54"/>
    <w:rsid w:val="00344A4F"/>
    <w:rsid w:val="00344D17"/>
    <w:rsid w:val="0034525B"/>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7D4"/>
    <w:rsid w:val="00375809"/>
    <w:rsid w:val="00375CF1"/>
    <w:rsid w:val="0037628C"/>
    <w:rsid w:val="00376A07"/>
    <w:rsid w:val="00376B81"/>
    <w:rsid w:val="00376E08"/>
    <w:rsid w:val="00377BD2"/>
    <w:rsid w:val="00380FD4"/>
    <w:rsid w:val="00381E16"/>
    <w:rsid w:val="003821E1"/>
    <w:rsid w:val="00383ADB"/>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8C9"/>
    <w:rsid w:val="003A6A99"/>
    <w:rsid w:val="003A6E60"/>
    <w:rsid w:val="003A703A"/>
    <w:rsid w:val="003A76AB"/>
    <w:rsid w:val="003A7FF8"/>
    <w:rsid w:val="003B17AC"/>
    <w:rsid w:val="003B2143"/>
    <w:rsid w:val="003B227A"/>
    <w:rsid w:val="003B3A77"/>
    <w:rsid w:val="003B4319"/>
    <w:rsid w:val="003B5854"/>
    <w:rsid w:val="003B6764"/>
    <w:rsid w:val="003B7A8B"/>
    <w:rsid w:val="003C1BA8"/>
    <w:rsid w:val="003C247E"/>
    <w:rsid w:val="003C294B"/>
    <w:rsid w:val="003C5046"/>
    <w:rsid w:val="003C5B54"/>
    <w:rsid w:val="003C6068"/>
    <w:rsid w:val="003C7AEC"/>
    <w:rsid w:val="003D2BA3"/>
    <w:rsid w:val="003D316B"/>
    <w:rsid w:val="003D3C22"/>
    <w:rsid w:val="003D4FE3"/>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BD8"/>
    <w:rsid w:val="003E6214"/>
    <w:rsid w:val="003F070E"/>
    <w:rsid w:val="003F1206"/>
    <w:rsid w:val="003F2418"/>
    <w:rsid w:val="003F28DB"/>
    <w:rsid w:val="003F2EEE"/>
    <w:rsid w:val="003F58B0"/>
    <w:rsid w:val="003F776F"/>
    <w:rsid w:val="004007E9"/>
    <w:rsid w:val="00400810"/>
    <w:rsid w:val="00401825"/>
    <w:rsid w:val="00401BBC"/>
    <w:rsid w:val="00401CEE"/>
    <w:rsid w:val="004026FC"/>
    <w:rsid w:val="00402C6A"/>
    <w:rsid w:val="00403BFB"/>
    <w:rsid w:val="004041DB"/>
    <w:rsid w:val="00404B45"/>
    <w:rsid w:val="00405BCF"/>
    <w:rsid w:val="004068E0"/>
    <w:rsid w:val="00406CC5"/>
    <w:rsid w:val="00406FCA"/>
    <w:rsid w:val="004074A4"/>
    <w:rsid w:val="004101B2"/>
    <w:rsid w:val="004123D7"/>
    <w:rsid w:val="00412658"/>
    <w:rsid w:val="004129DA"/>
    <w:rsid w:val="00413E07"/>
    <w:rsid w:val="00414C52"/>
    <w:rsid w:val="00414CDB"/>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71B"/>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168"/>
    <w:rsid w:val="00460E3F"/>
    <w:rsid w:val="0046111A"/>
    <w:rsid w:val="00462F68"/>
    <w:rsid w:val="0046325C"/>
    <w:rsid w:val="0046369B"/>
    <w:rsid w:val="004640E9"/>
    <w:rsid w:val="004647EB"/>
    <w:rsid w:val="00466CED"/>
    <w:rsid w:val="00466EB5"/>
    <w:rsid w:val="00467592"/>
    <w:rsid w:val="00467690"/>
    <w:rsid w:val="00467A14"/>
    <w:rsid w:val="004718E7"/>
    <w:rsid w:val="00472289"/>
    <w:rsid w:val="00472535"/>
    <w:rsid w:val="00474719"/>
    <w:rsid w:val="004761CC"/>
    <w:rsid w:val="004766C9"/>
    <w:rsid w:val="00477855"/>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5B2B"/>
    <w:rsid w:val="004A6E92"/>
    <w:rsid w:val="004A712D"/>
    <w:rsid w:val="004A7C03"/>
    <w:rsid w:val="004B014A"/>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1BE2"/>
    <w:rsid w:val="004D2AAB"/>
    <w:rsid w:val="004D3C7F"/>
    <w:rsid w:val="004D42CB"/>
    <w:rsid w:val="004D548F"/>
    <w:rsid w:val="004D6E90"/>
    <w:rsid w:val="004D6F2B"/>
    <w:rsid w:val="004E0248"/>
    <w:rsid w:val="004E19AF"/>
    <w:rsid w:val="004E21A3"/>
    <w:rsid w:val="004E32EA"/>
    <w:rsid w:val="004E3517"/>
    <w:rsid w:val="004E6866"/>
    <w:rsid w:val="004E6EFB"/>
    <w:rsid w:val="004F085A"/>
    <w:rsid w:val="004F0C58"/>
    <w:rsid w:val="004F1161"/>
    <w:rsid w:val="004F1850"/>
    <w:rsid w:val="004F3222"/>
    <w:rsid w:val="004F3639"/>
    <w:rsid w:val="004F3BFA"/>
    <w:rsid w:val="004F4E3C"/>
    <w:rsid w:val="004F5A1A"/>
    <w:rsid w:val="004F77A3"/>
    <w:rsid w:val="005000AB"/>
    <w:rsid w:val="00500EAF"/>
    <w:rsid w:val="00500F3C"/>
    <w:rsid w:val="005025EE"/>
    <w:rsid w:val="00502C9B"/>
    <w:rsid w:val="00503401"/>
    <w:rsid w:val="00503DDF"/>
    <w:rsid w:val="00505524"/>
    <w:rsid w:val="005058D5"/>
    <w:rsid w:val="00506688"/>
    <w:rsid w:val="00510588"/>
    <w:rsid w:val="00510F9C"/>
    <w:rsid w:val="0051146C"/>
    <w:rsid w:val="0051220B"/>
    <w:rsid w:val="00512253"/>
    <w:rsid w:val="00512484"/>
    <w:rsid w:val="00512590"/>
    <w:rsid w:val="00514449"/>
    <w:rsid w:val="00515419"/>
    <w:rsid w:val="005157BD"/>
    <w:rsid w:val="005214A3"/>
    <w:rsid w:val="005222E7"/>
    <w:rsid w:val="00523488"/>
    <w:rsid w:val="00523A8B"/>
    <w:rsid w:val="00523E04"/>
    <w:rsid w:val="00523FA8"/>
    <w:rsid w:val="00525003"/>
    <w:rsid w:val="0052590B"/>
    <w:rsid w:val="0052592B"/>
    <w:rsid w:val="00526591"/>
    <w:rsid w:val="00527178"/>
    <w:rsid w:val="00527618"/>
    <w:rsid w:val="005278CB"/>
    <w:rsid w:val="00530388"/>
    <w:rsid w:val="0053044B"/>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186"/>
    <w:rsid w:val="005822A2"/>
    <w:rsid w:val="00583379"/>
    <w:rsid w:val="0058417C"/>
    <w:rsid w:val="005854F9"/>
    <w:rsid w:val="00586EC6"/>
    <w:rsid w:val="00587DDE"/>
    <w:rsid w:val="00593043"/>
    <w:rsid w:val="0059459A"/>
    <w:rsid w:val="00595298"/>
    <w:rsid w:val="00595B60"/>
    <w:rsid w:val="00595B63"/>
    <w:rsid w:val="00595BF0"/>
    <w:rsid w:val="00596DC8"/>
    <w:rsid w:val="00597E16"/>
    <w:rsid w:val="005A0B1D"/>
    <w:rsid w:val="005A1846"/>
    <w:rsid w:val="005A258C"/>
    <w:rsid w:val="005A3560"/>
    <w:rsid w:val="005A464E"/>
    <w:rsid w:val="005A595B"/>
    <w:rsid w:val="005A62FC"/>
    <w:rsid w:val="005A6C99"/>
    <w:rsid w:val="005A7D5D"/>
    <w:rsid w:val="005B0040"/>
    <w:rsid w:val="005B011A"/>
    <w:rsid w:val="005B0283"/>
    <w:rsid w:val="005B1ADA"/>
    <w:rsid w:val="005B1D09"/>
    <w:rsid w:val="005B1D8F"/>
    <w:rsid w:val="005B1E94"/>
    <w:rsid w:val="005B3251"/>
    <w:rsid w:val="005B4B36"/>
    <w:rsid w:val="005B5B3D"/>
    <w:rsid w:val="005B5E8F"/>
    <w:rsid w:val="005B64CF"/>
    <w:rsid w:val="005B72DA"/>
    <w:rsid w:val="005C0E87"/>
    <w:rsid w:val="005C1398"/>
    <w:rsid w:val="005C16F3"/>
    <w:rsid w:val="005C2A47"/>
    <w:rsid w:val="005C3758"/>
    <w:rsid w:val="005C4D72"/>
    <w:rsid w:val="005C50C1"/>
    <w:rsid w:val="005C62C2"/>
    <w:rsid w:val="005D05D0"/>
    <w:rsid w:val="005D2306"/>
    <w:rsid w:val="005D2562"/>
    <w:rsid w:val="005D2666"/>
    <w:rsid w:val="005D4548"/>
    <w:rsid w:val="005D4A74"/>
    <w:rsid w:val="005D5E91"/>
    <w:rsid w:val="005D67EF"/>
    <w:rsid w:val="005E01B4"/>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857"/>
    <w:rsid w:val="005F55F5"/>
    <w:rsid w:val="005F5EC1"/>
    <w:rsid w:val="005F67A9"/>
    <w:rsid w:val="005F6B6D"/>
    <w:rsid w:val="005F73CA"/>
    <w:rsid w:val="006008F8"/>
    <w:rsid w:val="006036C2"/>
    <w:rsid w:val="00605AAB"/>
    <w:rsid w:val="00606BEB"/>
    <w:rsid w:val="0061014A"/>
    <w:rsid w:val="0061054B"/>
    <w:rsid w:val="006110FB"/>
    <w:rsid w:val="00611B70"/>
    <w:rsid w:val="00612FB0"/>
    <w:rsid w:val="006131AC"/>
    <w:rsid w:val="0061356D"/>
    <w:rsid w:val="00613E26"/>
    <w:rsid w:val="00615641"/>
    <w:rsid w:val="00615A66"/>
    <w:rsid w:val="00616959"/>
    <w:rsid w:val="0062036E"/>
    <w:rsid w:val="006211D0"/>
    <w:rsid w:val="00621595"/>
    <w:rsid w:val="006220A9"/>
    <w:rsid w:val="0062359D"/>
    <w:rsid w:val="00623634"/>
    <w:rsid w:val="00624D0C"/>
    <w:rsid w:val="00626A0F"/>
    <w:rsid w:val="006274B4"/>
    <w:rsid w:val="006307BA"/>
    <w:rsid w:val="0063121E"/>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16B"/>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353"/>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3E7"/>
    <w:rsid w:val="006C1D6E"/>
    <w:rsid w:val="006C2EF6"/>
    <w:rsid w:val="006C3A68"/>
    <w:rsid w:val="006C3B08"/>
    <w:rsid w:val="006C56DD"/>
    <w:rsid w:val="006C6AB1"/>
    <w:rsid w:val="006C6E6B"/>
    <w:rsid w:val="006C73D4"/>
    <w:rsid w:val="006D145F"/>
    <w:rsid w:val="006D2000"/>
    <w:rsid w:val="006D2D39"/>
    <w:rsid w:val="006D2F31"/>
    <w:rsid w:val="006D4250"/>
    <w:rsid w:val="006D4E0E"/>
    <w:rsid w:val="006D5861"/>
    <w:rsid w:val="006D5CE2"/>
    <w:rsid w:val="006D7854"/>
    <w:rsid w:val="006E0610"/>
    <w:rsid w:val="006E06D1"/>
    <w:rsid w:val="006E122E"/>
    <w:rsid w:val="006E1313"/>
    <w:rsid w:val="006E2DC8"/>
    <w:rsid w:val="006E58CB"/>
    <w:rsid w:val="006E6B68"/>
    <w:rsid w:val="006E7356"/>
    <w:rsid w:val="006E77C8"/>
    <w:rsid w:val="006F08EC"/>
    <w:rsid w:val="006F0F9C"/>
    <w:rsid w:val="006F149D"/>
    <w:rsid w:val="006F1A46"/>
    <w:rsid w:val="006F45A0"/>
    <w:rsid w:val="006F4F06"/>
    <w:rsid w:val="006F5A4E"/>
    <w:rsid w:val="006F5D37"/>
    <w:rsid w:val="006F6005"/>
    <w:rsid w:val="007005EA"/>
    <w:rsid w:val="0070220D"/>
    <w:rsid w:val="00703B6C"/>
    <w:rsid w:val="00703BB0"/>
    <w:rsid w:val="00704012"/>
    <w:rsid w:val="00704519"/>
    <w:rsid w:val="00704C40"/>
    <w:rsid w:val="00704C88"/>
    <w:rsid w:val="00704EA1"/>
    <w:rsid w:val="00705BE5"/>
    <w:rsid w:val="00705C40"/>
    <w:rsid w:val="00706482"/>
    <w:rsid w:val="00706754"/>
    <w:rsid w:val="00706BEF"/>
    <w:rsid w:val="00707028"/>
    <w:rsid w:val="00707290"/>
    <w:rsid w:val="00707ECE"/>
    <w:rsid w:val="00710CE8"/>
    <w:rsid w:val="00711350"/>
    <w:rsid w:val="00711538"/>
    <w:rsid w:val="007116BC"/>
    <w:rsid w:val="00711961"/>
    <w:rsid w:val="00711CA6"/>
    <w:rsid w:val="00715361"/>
    <w:rsid w:val="007165CE"/>
    <w:rsid w:val="00717705"/>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0F21"/>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7C"/>
    <w:rsid w:val="00763CAE"/>
    <w:rsid w:val="00763F95"/>
    <w:rsid w:val="007651ED"/>
    <w:rsid w:val="0076589D"/>
    <w:rsid w:val="00766C87"/>
    <w:rsid w:val="00771043"/>
    <w:rsid w:val="0077272B"/>
    <w:rsid w:val="00773AF7"/>
    <w:rsid w:val="00774FFD"/>
    <w:rsid w:val="00777C98"/>
    <w:rsid w:val="00780378"/>
    <w:rsid w:val="0078085E"/>
    <w:rsid w:val="00781BD4"/>
    <w:rsid w:val="00782562"/>
    <w:rsid w:val="007828B4"/>
    <w:rsid w:val="00783244"/>
    <w:rsid w:val="00783E04"/>
    <w:rsid w:val="00784832"/>
    <w:rsid w:val="00784EA0"/>
    <w:rsid w:val="0078509D"/>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E4A"/>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1605"/>
    <w:rsid w:val="007C179A"/>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F5B"/>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475"/>
    <w:rsid w:val="0083387F"/>
    <w:rsid w:val="00834458"/>
    <w:rsid w:val="00834AEA"/>
    <w:rsid w:val="00835841"/>
    <w:rsid w:val="00835BF8"/>
    <w:rsid w:val="00835FB7"/>
    <w:rsid w:val="00837465"/>
    <w:rsid w:val="0084002E"/>
    <w:rsid w:val="00840159"/>
    <w:rsid w:val="00840621"/>
    <w:rsid w:val="00841243"/>
    <w:rsid w:val="00841351"/>
    <w:rsid w:val="00841457"/>
    <w:rsid w:val="00842BAA"/>
    <w:rsid w:val="00842D8F"/>
    <w:rsid w:val="0084374E"/>
    <w:rsid w:val="00844842"/>
    <w:rsid w:val="0084493E"/>
    <w:rsid w:val="00844A53"/>
    <w:rsid w:val="00844B99"/>
    <w:rsid w:val="00844DD0"/>
    <w:rsid w:val="008455C8"/>
    <w:rsid w:val="008458CA"/>
    <w:rsid w:val="00846407"/>
    <w:rsid w:val="0085006A"/>
    <w:rsid w:val="00850127"/>
    <w:rsid w:val="0085089F"/>
    <w:rsid w:val="00850915"/>
    <w:rsid w:val="0085206E"/>
    <w:rsid w:val="00852273"/>
    <w:rsid w:val="0085293D"/>
    <w:rsid w:val="00852AD4"/>
    <w:rsid w:val="00852BA8"/>
    <w:rsid w:val="00852BF0"/>
    <w:rsid w:val="00853718"/>
    <w:rsid w:val="008541EF"/>
    <w:rsid w:val="00856428"/>
    <w:rsid w:val="00856AC7"/>
    <w:rsid w:val="00856FA4"/>
    <w:rsid w:val="0085796A"/>
    <w:rsid w:val="00860869"/>
    <w:rsid w:val="00860E60"/>
    <w:rsid w:val="0086102A"/>
    <w:rsid w:val="0086162B"/>
    <w:rsid w:val="00861710"/>
    <w:rsid w:val="00861D5C"/>
    <w:rsid w:val="00861E7C"/>
    <w:rsid w:val="0086429C"/>
    <w:rsid w:val="00865207"/>
    <w:rsid w:val="008656A7"/>
    <w:rsid w:val="00865FA3"/>
    <w:rsid w:val="0086622B"/>
    <w:rsid w:val="00866231"/>
    <w:rsid w:val="00871262"/>
    <w:rsid w:val="0087170E"/>
    <w:rsid w:val="00871D4E"/>
    <w:rsid w:val="00871E7B"/>
    <w:rsid w:val="008721BB"/>
    <w:rsid w:val="00873CAA"/>
    <w:rsid w:val="0087566D"/>
    <w:rsid w:val="00875B50"/>
    <w:rsid w:val="00875B51"/>
    <w:rsid w:val="00875F2D"/>
    <w:rsid w:val="008762E7"/>
    <w:rsid w:val="008764DC"/>
    <w:rsid w:val="00882CC2"/>
    <w:rsid w:val="00883103"/>
    <w:rsid w:val="0088325A"/>
    <w:rsid w:val="00883930"/>
    <w:rsid w:val="00884535"/>
    <w:rsid w:val="00887C2D"/>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AE8"/>
    <w:rsid w:val="008A39D7"/>
    <w:rsid w:val="008A3E6E"/>
    <w:rsid w:val="008A55DE"/>
    <w:rsid w:val="008A5705"/>
    <w:rsid w:val="008A5C34"/>
    <w:rsid w:val="008A63A9"/>
    <w:rsid w:val="008A7073"/>
    <w:rsid w:val="008A79F0"/>
    <w:rsid w:val="008A7F7E"/>
    <w:rsid w:val="008B04DB"/>
    <w:rsid w:val="008B09B4"/>
    <w:rsid w:val="008B1B11"/>
    <w:rsid w:val="008B1DF4"/>
    <w:rsid w:val="008B22F8"/>
    <w:rsid w:val="008B27FD"/>
    <w:rsid w:val="008B2FDB"/>
    <w:rsid w:val="008B3AF2"/>
    <w:rsid w:val="008B446D"/>
    <w:rsid w:val="008B515D"/>
    <w:rsid w:val="008B5D31"/>
    <w:rsid w:val="008B6705"/>
    <w:rsid w:val="008C0CB4"/>
    <w:rsid w:val="008C22F3"/>
    <w:rsid w:val="008C2DDF"/>
    <w:rsid w:val="008C3223"/>
    <w:rsid w:val="008C3FD0"/>
    <w:rsid w:val="008C4F01"/>
    <w:rsid w:val="008C5152"/>
    <w:rsid w:val="008C710E"/>
    <w:rsid w:val="008D140D"/>
    <w:rsid w:val="008D1484"/>
    <w:rsid w:val="008D1DBF"/>
    <w:rsid w:val="008D1E2A"/>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601"/>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2092"/>
    <w:rsid w:val="00914ADB"/>
    <w:rsid w:val="0091658B"/>
    <w:rsid w:val="00917182"/>
    <w:rsid w:val="00920251"/>
    <w:rsid w:val="00921CFD"/>
    <w:rsid w:val="00923B25"/>
    <w:rsid w:val="0092402E"/>
    <w:rsid w:val="009259BA"/>
    <w:rsid w:val="00926FCB"/>
    <w:rsid w:val="009303BB"/>
    <w:rsid w:val="0093108A"/>
    <w:rsid w:val="00931B6D"/>
    <w:rsid w:val="0093311A"/>
    <w:rsid w:val="009346D0"/>
    <w:rsid w:val="009369A6"/>
    <w:rsid w:val="00937902"/>
    <w:rsid w:val="00937F57"/>
    <w:rsid w:val="0094031E"/>
    <w:rsid w:val="009419B4"/>
    <w:rsid w:val="00941A4C"/>
    <w:rsid w:val="00942645"/>
    <w:rsid w:val="00943FA6"/>
    <w:rsid w:val="009461E6"/>
    <w:rsid w:val="00950A3A"/>
    <w:rsid w:val="00952CC5"/>
    <w:rsid w:val="0095340A"/>
    <w:rsid w:val="00953AF6"/>
    <w:rsid w:val="0095423E"/>
    <w:rsid w:val="00954581"/>
    <w:rsid w:val="0095466C"/>
    <w:rsid w:val="00954E5B"/>
    <w:rsid w:val="00955100"/>
    <w:rsid w:val="00955316"/>
    <w:rsid w:val="00955E45"/>
    <w:rsid w:val="009561A5"/>
    <w:rsid w:val="009576BC"/>
    <w:rsid w:val="00957899"/>
    <w:rsid w:val="00957927"/>
    <w:rsid w:val="00960357"/>
    <w:rsid w:val="0096168C"/>
    <w:rsid w:val="00961840"/>
    <w:rsid w:val="009625E3"/>
    <w:rsid w:val="00962F2D"/>
    <w:rsid w:val="00963A7A"/>
    <w:rsid w:val="00966575"/>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8E4"/>
    <w:rsid w:val="009842F3"/>
    <w:rsid w:val="00984EBF"/>
    <w:rsid w:val="00985099"/>
    <w:rsid w:val="00985D32"/>
    <w:rsid w:val="00986514"/>
    <w:rsid w:val="00986FCC"/>
    <w:rsid w:val="009870E9"/>
    <w:rsid w:val="00990FD6"/>
    <w:rsid w:val="00992267"/>
    <w:rsid w:val="009935C3"/>
    <w:rsid w:val="0099421F"/>
    <w:rsid w:val="00994767"/>
    <w:rsid w:val="00994FC8"/>
    <w:rsid w:val="00997085"/>
    <w:rsid w:val="009A0DE3"/>
    <w:rsid w:val="009A1643"/>
    <w:rsid w:val="009A215A"/>
    <w:rsid w:val="009A26B9"/>
    <w:rsid w:val="009A35E0"/>
    <w:rsid w:val="009A3891"/>
    <w:rsid w:val="009A49D3"/>
    <w:rsid w:val="009A4F1B"/>
    <w:rsid w:val="009A66C5"/>
    <w:rsid w:val="009A66E7"/>
    <w:rsid w:val="009A79BA"/>
    <w:rsid w:val="009B10F9"/>
    <w:rsid w:val="009B14D1"/>
    <w:rsid w:val="009B1534"/>
    <w:rsid w:val="009B386E"/>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25FC"/>
    <w:rsid w:val="009E3A7F"/>
    <w:rsid w:val="009E4C9B"/>
    <w:rsid w:val="009E4DFC"/>
    <w:rsid w:val="009E5789"/>
    <w:rsid w:val="009E57B1"/>
    <w:rsid w:val="009E6379"/>
    <w:rsid w:val="009F020F"/>
    <w:rsid w:val="009F0BA7"/>
    <w:rsid w:val="009F3B63"/>
    <w:rsid w:val="009F43E2"/>
    <w:rsid w:val="009F6292"/>
    <w:rsid w:val="009F7809"/>
    <w:rsid w:val="009F7822"/>
    <w:rsid w:val="009F7AF5"/>
    <w:rsid w:val="00A00093"/>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260D"/>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4C8"/>
    <w:rsid w:val="00A258B7"/>
    <w:rsid w:val="00A25A0C"/>
    <w:rsid w:val="00A25A83"/>
    <w:rsid w:val="00A262B6"/>
    <w:rsid w:val="00A305AD"/>
    <w:rsid w:val="00A31FE2"/>
    <w:rsid w:val="00A32743"/>
    <w:rsid w:val="00A40356"/>
    <w:rsid w:val="00A40FFB"/>
    <w:rsid w:val="00A41468"/>
    <w:rsid w:val="00A414A9"/>
    <w:rsid w:val="00A432DD"/>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2550"/>
    <w:rsid w:val="00A63DF3"/>
    <w:rsid w:val="00A65C78"/>
    <w:rsid w:val="00A65F67"/>
    <w:rsid w:val="00A660A8"/>
    <w:rsid w:val="00A66A45"/>
    <w:rsid w:val="00A67591"/>
    <w:rsid w:val="00A67911"/>
    <w:rsid w:val="00A67CA6"/>
    <w:rsid w:val="00A70E7B"/>
    <w:rsid w:val="00A717EA"/>
    <w:rsid w:val="00A7222D"/>
    <w:rsid w:val="00A730B0"/>
    <w:rsid w:val="00A73B84"/>
    <w:rsid w:val="00A7411D"/>
    <w:rsid w:val="00A75345"/>
    <w:rsid w:val="00A756C4"/>
    <w:rsid w:val="00A7592B"/>
    <w:rsid w:val="00A75ED7"/>
    <w:rsid w:val="00A76094"/>
    <w:rsid w:val="00A768E2"/>
    <w:rsid w:val="00A82C52"/>
    <w:rsid w:val="00A838E8"/>
    <w:rsid w:val="00A83C15"/>
    <w:rsid w:val="00A84EC4"/>
    <w:rsid w:val="00A86CB6"/>
    <w:rsid w:val="00A90D55"/>
    <w:rsid w:val="00A916E6"/>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3EA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05"/>
    <w:rsid w:val="00AE2F15"/>
    <w:rsid w:val="00AE4624"/>
    <w:rsid w:val="00AE4B3E"/>
    <w:rsid w:val="00AE4B90"/>
    <w:rsid w:val="00AE5E14"/>
    <w:rsid w:val="00AE6115"/>
    <w:rsid w:val="00AE625B"/>
    <w:rsid w:val="00AE64C5"/>
    <w:rsid w:val="00AF01B2"/>
    <w:rsid w:val="00AF1103"/>
    <w:rsid w:val="00AF1668"/>
    <w:rsid w:val="00AF25B2"/>
    <w:rsid w:val="00AF28DE"/>
    <w:rsid w:val="00AF41EE"/>
    <w:rsid w:val="00AF4FA5"/>
    <w:rsid w:val="00AF5BB4"/>
    <w:rsid w:val="00AF6ECC"/>
    <w:rsid w:val="00B02145"/>
    <w:rsid w:val="00B022DC"/>
    <w:rsid w:val="00B03F44"/>
    <w:rsid w:val="00B04562"/>
    <w:rsid w:val="00B0472F"/>
    <w:rsid w:val="00B06930"/>
    <w:rsid w:val="00B0773A"/>
    <w:rsid w:val="00B07955"/>
    <w:rsid w:val="00B1176B"/>
    <w:rsid w:val="00B140B8"/>
    <w:rsid w:val="00B14FAA"/>
    <w:rsid w:val="00B15BED"/>
    <w:rsid w:val="00B15D30"/>
    <w:rsid w:val="00B15F09"/>
    <w:rsid w:val="00B16D18"/>
    <w:rsid w:val="00B17764"/>
    <w:rsid w:val="00B177DE"/>
    <w:rsid w:val="00B20624"/>
    <w:rsid w:val="00B20E2D"/>
    <w:rsid w:val="00B21F2F"/>
    <w:rsid w:val="00B23436"/>
    <w:rsid w:val="00B237F1"/>
    <w:rsid w:val="00B23F10"/>
    <w:rsid w:val="00B24328"/>
    <w:rsid w:val="00B24ED4"/>
    <w:rsid w:val="00B24F33"/>
    <w:rsid w:val="00B26354"/>
    <w:rsid w:val="00B26810"/>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4E80"/>
    <w:rsid w:val="00B454AE"/>
    <w:rsid w:val="00B50227"/>
    <w:rsid w:val="00B50510"/>
    <w:rsid w:val="00B50837"/>
    <w:rsid w:val="00B522CD"/>
    <w:rsid w:val="00B55143"/>
    <w:rsid w:val="00B553B2"/>
    <w:rsid w:val="00B555C8"/>
    <w:rsid w:val="00B55917"/>
    <w:rsid w:val="00B55D87"/>
    <w:rsid w:val="00B5646A"/>
    <w:rsid w:val="00B56F3D"/>
    <w:rsid w:val="00B57921"/>
    <w:rsid w:val="00B57E78"/>
    <w:rsid w:val="00B57EB8"/>
    <w:rsid w:val="00B60384"/>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31E"/>
    <w:rsid w:val="00B93640"/>
    <w:rsid w:val="00B955D5"/>
    <w:rsid w:val="00B95833"/>
    <w:rsid w:val="00BA1824"/>
    <w:rsid w:val="00BA2D98"/>
    <w:rsid w:val="00BA2F0C"/>
    <w:rsid w:val="00BA30D1"/>
    <w:rsid w:val="00BA30E1"/>
    <w:rsid w:val="00BA4609"/>
    <w:rsid w:val="00BA5BE2"/>
    <w:rsid w:val="00BA64F2"/>
    <w:rsid w:val="00BA6A9C"/>
    <w:rsid w:val="00BA7F46"/>
    <w:rsid w:val="00BB0388"/>
    <w:rsid w:val="00BB0A0A"/>
    <w:rsid w:val="00BB133C"/>
    <w:rsid w:val="00BB1F04"/>
    <w:rsid w:val="00BB2BA7"/>
    <w:rsid w:val="00BB3355"/>
    <w:rsid w:val="00BB45B5"/>
    <w:rsid w:val="00BB4DDE"/>
    <w:rsid w:val="00BB6064"/>
    <w:rsid w:val="00BB65CE"/>
    <w:rsid w:val="00BB7012"/>
    <w:rsid w:val="00BC09D1"/>
    <w:rsid w:val="00BC1CF3"/>
    <w:rsid w:val="00BC2BE0"/>
    <w:rsid w:val="00BC3573"/>
    <w:rsid w:val="00BC5860"/>
    <w:rsid w:val="00BC70CB"/>
    <w:rsid w:val="00BC7F82"/>
    <w:rsid w:val="00BD0D96"/>
    <w:rsid w:val="00BD1844"/>
    <w:rsid w:val="00BD2277"/>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346"/>
    <w:rsid w:val="00BF6759"/>
    <w:rsid w:val="00BF70A6"/>
    <w:rsid w:val="00BF7B4F"/>
    <w:rsid w:val="00BF7B63"/>
    <w:rsid w:val="00BF7F3C"/>
    <w:rsid w:val="00C005D4"/>
    <w:rsid w:val="00C0359D"/>
    <w:rsid w:val="00C038EC"/>
    <w:rsid w:val="00C03C21"/>
    <w:rsid w:val="00C05C6D"/>
    <w:rsid w:val="00C05C83"/>
    <w:rsid w:val="00C072D7"/>
    <w:rsid w:val="00C10302"/>
    <w:rsid w:val="00C104DB"/>
    <w:rsid w:val="00C10A22"/>
    <w:rsid w:val="00C10F5B"/>
    <w:rsid w:val="00C1122B"/>
    <w:rsid w:val="00C12753"/>
    <w:rsid w:val="00C127F2"/>
    <w:rsid w:val="00C13B34"/>
    <w:rsid w:val="00C13F26"/>
    <w:rsid w:val="00C1474E"/>
    <w:rsid w:val="00C14C37"/>
    <w:rsid w:val="00C15006"/>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376ED"/>
    <w:rsid w:val="00C42443"/>
    <w:rsid w:val="00C42CBA"/>
    <w:rsid w:val="00C4338C"/>
    <w:rsid w:val="00C43C2B"/>
    <w:rsid w:val="00C45B27"/>
    <w:rsid w:val="00C45E7E"/>
    <w:rsid w:val="00C4652E"/>
    <w:rsid w:val="00C472C7"/>
    <w:rsid w:val="00C5019E"/>
    <w:rsid w:val="00C50C8C"/>
    <w:rsid w:val="00C51962"/>
    <w:rsid w:val="00C5377C"/>
    <w:rsid w:val="00C53E8A"/>
    <w:rsid w:val="00C54DF3"/>
    <w:rsid w:val="00C560A7"/>
    <w:rsid w:val="00C56FC8"/>
    <w:rsid w:val="00C60DD2"/>
    <w:rsid w:val="00C60F23"/>
    <w:rsid w:val="00C6170B"/>
    <w:rsid w:val="00C62EB2"/>
    <w:rsid w:val="00C63431"/>
    <w:rsid w:val="00C63E0F"/>
    <w:rsid w:val="00C63EB4"/>
    <w:rsid w:val="00C64C87"/>
    <w:rsid w:val="00C65414"/>
    <w:rsid w:val="00C665FE"/>
    <w:rsid w:val="00C70DBD"/>
    <w:rsid w:val="00C71BEC"/>
    <w:rsid w:val="00C73942"/>
    <w:rsid w:val="00C73A83"/>
    <w:rsid w:val="00C74D3A"/>
    <w:rsid w:val="00C75F3D"/>
    <w:rsid w:val="00C7653A"/>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31F"/>
    <w:rsid w:val="00CA068D"/>
    <w:rsid w:val="00CA08DF"/>
    <w:rsid w:val="00CA1228"/>
    <w:rsid w:val="00CA1C73"/>
    <w:rsid w:val="00CA282D"/>
    <w:rsid w:val="00CA3F73"/>
    <w:rsid w:val="00CA4670"/>
    <w:rsid w:val="00CA5F89"/>
    <w:rsid w:val="00CA6B1A"/>
    <w:rsid w:val="00CA7482"/>
    <w:rsid w:val="00CB1B18"/>
    <w:rsid w:val="00CB20DC"/>
    <w:rsid w:val="00CB23DC"/>
    <w:rsid w:val="00CB2487"/>
    <w:rsid w:val="00CB28E2"/>
    <w:rsid w:val="00CB2F20"/>
    <w:rsid w:val="00CB3395"/>
    <w:rsid w:val="00CB5801"/>
    <w:rsid w:val="00CB758D"/>
    <w:rsid w:val="00CB7A3E"/>
    <w:rsid w:val="00CB7CE2"/>
    <w:rsid w:val="00CB7FF7"/>
    <w:rsid w:val="00CC0D0E"/>
    <w:rsid w:val="00CC1253"/>
    <w:rsid w:val="00CC19B3"/>
    <w:rsid w:val="00CC2044"/>
    <w:rsid w:val="00CC39D2"/>
    <w:rsid w:val="00CC69EC"/>
    <w:rsid w:val="00CC7439"/>
    <w:rsid w:val="00CC78A2"/>
    <w:rsid w:val="00CC7DF8"/>
    <w:rsid w:val="00CD15BE"/>
    <w:rsid w:val="00CD1EF2"/>
    <w:rsid w:val="00CD32BD"/>
    <w:rsid w:val="00CD34C7"/>
    <w:rsid w:val="00CD5653"/>
    <w:rsid w:val="00CD5E6D"/>
    <w:rsid w:val="00CD63C8"/>
    <w:rsid w:val="00CD69E8"/>
    <w:rsid w:val="00CD76F8"/>
    <w:rsid w:val="00CD78A5"/>
    <w:rsid w:val="00CE02E8"/>
    <w:rsid w:val="00CE069E"/>
    <w:rsid w:val="00CE0DE0"/>
    <w:rsid w:val="00CE2CC2"/>
    <w:rsid w:val="00CE3722"/>
    <w:rsid w:val="00CF0151"/>
    <w:rsid w:val="00CF158D"/>
    <w:rsid w:val="00CF2166"/>
    <w:rsid w:val="00CF334E"/>
    <w:rsid w:val="00CF4340"/>
    <w:rsid w:val="00CF4394"/>
    <w:rsid w:val="00CF48B4"/>
    <w:rsid w:val="00CF5C12"/>
    <w:rsid w:val="00CF7B72"/>
    <w:rsid w:val="00D000A9"/>
    <w:rsid w:val="00D00384"/>
    <w:rsid w:val="00D005DB"/>
    <w:rsid w:val="00D0064E"/>
    <w:rsid w:val="00D00981"/>
    <w:rsid w:val="00D02468"/>
    <w:rsid w:val="00D02596"/>
    <w:rsid w:val="00D0280D"/>
    <w:rsid w:val="00D02985"/>
    <w:rsid w:val="00D02AEF"/>
    <w:rsid w:val="00D03EC9"/>
    <w:rsid w:val="00D05669"/>
    <w:rsid w:val="00D061EB"/>
    <w:rsid w:val="00D06952"/>
    <w:rsid w:val="00D07A72"/>
    <w:rsid w:val="00D10577"/>
    <w:rsid w:val="00D1223C"/>
    <w:rsid w:val="00D12405"/>
    <w:rsid w:val="00D12A4E"/>
    <w:rsid w:val="00D12C80"/>
    <w:rsid w:val="00D1323B"/>
    <w:rsid w:val="00D14BAE"/>
    <w:rsid w:val="00D15107"/>
    <w:rsid w:val="00D1648B"/>
    <w:rsid w:val="00D16819"/>
    <w:rsid w:val="00D16A18"/>
    <w:rsid w:val="00D172BA"/>
    <w:rsid w:val="00D17DD9"/>
    <w:rsid w:val="00D20AC0"/>
    <w:rsid w:val="00D217DD"/>
    <w:rsid w:val="00D229E7"/>
    <w:rsid w:val="00D2303E"/>
    <w:rsid w:val="00D2321B"/>
    <w:rsid w:val="00D23350"/>
    <w:rsid w:val="00D237E7"/>
    <w:rsid w:val="00D23DE4"/>
    <w:rsid w:val="00D25A5C"/>
    <w:rsid w:val="00D26873"/>
    <w:rsid w:val="00D2699F"/>
    <w:rsid w:val="00D2702D"/>
    <w:rsid w:val="00D27C99"/>
    <w:rsid w:val="00D31683"/>
    <w:rsid w:val="00D33452"/>
    <w:rsid w:val="00D336C8"/>
    <w:rsid w:val="00D339E8"/>
    <w:rsid w:val="00D33FDD"/>
    <w:rsid w:val="00D3654A"/>
    <w:rsid w:val="00D3662E"/>
    <w:rsid w:val="00D373F1"/>
    <w:rsid w:val="00D37567"/>
    <w:rsid w:val="00D40B1F"/>
    <w:rsid w:val="00D40D75"/>
    <w:rsid w:val="00D43412"/>
    <w:rsid w:val="00D43978"/>
    <w:rsid w:val="00D43CBD"/>
    <w:rsid w:val="00D449F0"/>
    <w:rsid w:val="00D462D7"/>
    <w:rsid w:val="00D46A33"/>
    <w:rsid w:val="00D5062C"/>
    <w:rsid w:val="00D50687"/>
    <w:rsid w:val="00D50C8C"/>
    <w:rsid w:val="00D52393"/>
    <w:rsid w:val="00D523E4"/>
    <w:rsid w:val="00D5279D"/>
    <w:rsid w:val="00D52A1B"/>
    <w:rsid w:val="00D52AA7"/>
    <w:rsid w:val="00D52FCC"/>
    <w:rsid w:val="00D53F14"/>
    <w:rsid w:val="00D54BE4"/>
    <w:rsid w:val="00D54C83"/>
    <w:rsid w:val="00D54DDB"/>
    <w:rsid w:val="00D554BC"/>
    <w:rsid w:val="00D560DC"/>
    <w:rsid w:val="00D56602"/>
    <w:rsid w:val="00D60483"/>
    <w:rsid w:val="00D61ABB"/>
    <w:rsid w:val="00D62D5C"/>
    <w:rsid w:val="00D63577"/>
    <w:rsid w:val="00D65525"/>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AA"/>
    <w:rsid w:val="00D972D4"/>
    <w:rsid w:val="00DA0FE3"/>
    <w:rsid w:val="00DA195B"/>
    <w:rsid w:val="00DA20BF"/>
    <w:rsid w:val="00DA21FA"/>
    <w:rsid w:val="00DA27F3"/>
    <w:rsid w:val="00DA2D1E"/>
    <w:rsid w:val="00DA3EC8"/>
    <w:rsid w:val="00DA40C1"/>
    <w:rsid w:val="00DA5564"/>
    <w:rsid w:val="00DA6119"/>
    <w:rsid w:val="00DA6B55"/>
    <w:rsid w:val="00DA6B97"/>
    <w:rsid w:val="00DA6CEE"/>
    <w:rsid w:val="00DB0015"/>
    <w:rsid w:val="00DB0359"/>
    <w:rsid w:val="00DB0ABB"/>
    <w:rsid w:val="00DB2AAD"/>
    <w:rsid w:val="00DB355E"/>
    <w:rsid w:val="00DB44E2"/>
    <w:rsid w:val="00DB4A6D"/>
    <w:rsid w:val="00DB5941"/>
    <w:rsid w:val="00DB626D"/>
    <w:rsid w:val="00DB6365"/>
    <w:rsid w:val="00DB756C"/>
    <w:rsid w:val="00DB7BE6"/>
    <w:rsid w:val="00DC07B7"/>
    <w:rsid w:val="00DC0BF1"/>
    <w:rsid w:val="00DC17F2"/>
    <w:rsid w:val="00DC3EC9"/>
    <w:rsid w:val="00DC4001"/>
    <w:rsid w:val="00DC41C3"/>
    <w:rsid w:val="00DC4A3C"/>
    <w:rsid w:val="00DC4FA4"/>
    <w:rsid w:val="00DC5B37"/>
    <w:rsid w:val="00DC6F7F"/>
    <w:rsid w:val="00DD286D"/>
    <w:rsid w:val="00DD2CAF"/>
    <w:rsid w:val="00DD328B"/>
    <w:rsid w:val="00DD3593"/>
    <w:rsid w:val="00DD64E0"/>
    <w:rsid w:val="00DD775C"/>
    <w:rsid w:val="00DD7BE0"/>
    <w:rsid w:val="00DE0C67"/>
    <w:rsid w:val="00DE3AAD"/>
    <w:rsid w:val="00DE598A"/>
    <w:rsid w:val="00DE6952"/>
    <w:rsid w:val="00DE6BC6"/>
    <w:rsid w:val="00DE6FBE"/>
    <w:rsid w:val="00DE7A7D"/>
    <w:rsid w:val="00DE7E74"/>
    <w:rsid w:val="00DF052C"/>
    <w:rsid w:val="00DF071B"/>
    <w:rsid w:val="00DF29A6"/>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6F2"/>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370"/>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2F98"/>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3255"/>
    <w:rsid w:val="00E840D4"/>
    <w:rsid w:val="00E84DDA"/>
    <w:rsid w:val="00E8608F"/>
    <w:rsid w:val="00E86C1D"/>
    <w:rsid w:val="00E90703"/>
    <w:rsid w:val="00E90A62"/>
    <w:rsid w:val="00E9265E"/>
    <w:rsid w:val="00E956DB"/>
    <w:rsid w:val="00E95BD2"/>
    <w:rsid w:val="00E9763D"/>
    <w:rsid w:val="00EA1177"/>
    <w:rsid w:val="00EA118B"/>
    <w:rsid w:val="00EA11B6"/>
    <w:rsid w:val="00EA2181"/>
    <w:rsid w:val="00EA2DD8"/>
    <w:rsid w:val="00EA30FC"/>
    <w:rsid w:val="00EA4475"/>
    <w:rsid w:val="00EA52FE"/>
    <w:rsid w:val="00EA64F9"/>
    <w:rsid w:val="00EA681F"/>
    <w:rsid w:val="00EA6923"/>
    <w:rsid w:val="00EB04C6"/>
    <w:rsid w:val="00EB06A6"/>
    <w:rsid w:val="00EB1677"/>
    <w:rsid w:val="00EB29EA"/>
    <w:rsid w:val="00EB3307"/>
    <w:rsid w:val="00EB3823"/>
    <w:rsid w:val="00EB3CBB"/>
    <w:rsid w:val="00EB47D8"/>
    <w:rsid w:val="00EB57D3"/>
    <w:rsid w:val="00EB5EFD"/>
    <w:rsid w:val="00EB604C"/>
    <w:rsid w:val="00EB679F"/>
    <w:rsid w:val="00EB76E4"/>
    <w:rsid w:val="00EC0E65"/>
    <w:rsid w:val="00EC1251"/>
    <w:rsid w:val="00EC2938"/>
    <w:rsid w:val="00EC337D"/>
    <w:rsid w:val="00EC38EF"/>
    <w:rsid w:val="00EC50C9"/>
    <w:rsid w:val="00EC58B4"/>
    <w:rsid w:val="00EC5BB2"/>
    <w:rsid w:val="00EC6ECC"/>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087"/>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716"/>
    <w:rsid w:val="00F05807"/>
    <w:rsid w:val="00F06451"/>
    <w:rsid w:val="00F07052"/>
    <w:rsid w:val="00F0706C"/>
    <w:rsid w:val="00F11DA8"/>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5C25"/>
    <w:rsid w:val="00F26432"/>
    <w:rsid w:val="00F3197A"/>
    <w:rsid w:val="00F32139"/>
    <w:rsid w:val="00F33CF0"/>
    <w:rsid w:val="00F33D56"/>
    <w:rsid w:val="00F34E08"/>
    <w:rsid w:val="00F364ED"/>
    <w:rsid w:val="00F41D91"/>
    <w:rsid w:val="00F41F52"/>
    <w:rsid w:val="00F41FA1"/>
    <w:rsid w:val="00F42363"/>
    <w:rsid w:val="00F427C4"/>
    <w:rsid w:val="00F42FB8"/>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7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40"/>
    <w:rsid w:val="00F80C97"/>
    <w:rsid w:val="00F81C35"/>
    <w:rsid w:val="00F82981"/>
    <w:rsid w:val="00F8311F"/>
    <w:rsid w:val="00F83248"/>
    <w:rsid w:val="00F83376"/>
    <w:rsid w:val="00F853AE"/>
    <w:rsid w:val="00F908D5"/>
    <w:rsid w:val="00F913B9"/>
    <w:rsid w:val="00F92CF6"/>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A7C55"/>
    <w:rsid w:val="00FB09FE"/>
    <w:rsid w:val="00FB0E80"/>
    <w:rsid w:val="00FB101D"/>
    <w:rsid w:val="00FB1725"/>
    <w:rsid w:val="00FB2493"/>
    <w:rsid w:val="00FB42B7"/>
    <w:rsid w:val="00FB4484"/>
    <w:rsid w:val="00FB5604"/>
    <w:rsid w:val="00FB593A"/>
    <w:rsid w:val="00FB6410"/>
    <w:rsid w:val="00FB6E82"/>
    <w:rsid w:val="00FB792E"/>
    <w:rsid w:val="00FB7BE8"/>
    <w:rsid w:val="00FB7CF0"/>
    <w:rsid w:val="00FC0042"/>
    <w:rsid w:val="00FC1E67"/>
    <w:rsid w:val="00FC2A13"/>
    <w:rsid w:val="00FC4284"/>
    <w:rsid w:val="00FC4576"/>
    <w:rsid w:val="00FC5478"/>
    <w:rsid w:val="00FC5FF5"/>
    <w:rsid w:val="00FC6285"/>
    <w:rsid w:val="00FC78FB"/>
    <w:rsid w:val="00FC7DBC"/>
    <w:rsid w:val="00FD076A"/>
    <w:rsid w:val="00FD0AA0"/>
    <w:rsid w:val="00FD1D5A"/>
    <w:rsid w:val="00FD5059"/>
    <w:rsid w:val="00FD554D"/>
    <w:rsid w:val="00FD57FA"/>
    <w:rsid w:val="00FD5BCC"/>
    <w:rsid w:val="00FD66B0"/>
    <w:rsid w:val="00FD7B23"/>
    <w:rsid w:val="00FE2A48"/>
    <w:rsid w:val="00FE2DEF"/>
    <w:rsid w:val="00FE323C"/>
    <w:rsid w:val="00FE3A27"/>
    <w:rsid w:val="00FE45CF"/>
    <w:rsid w:val="00FE5D0A"/>
    <w:rsid w:val="00FE6469"/>
    <w:rsid w:val="00FE7C6D"/>
    <w:rsid w:val="00FF05D0"/>
    <w:rsid w:val="00FF06CE"/>
    <w:rsid w:val="00FF0DC2"/>
    <w:rsid w:val="00FF0FF7"/>
    <w:rsid w:val="00FF1022"/>
    <w:rsid w:val="00FF10A2"/>
    <w:rsid w:val="00FF1438"/>
    <w:rsid w:val="00FF2BD7"/>
    <w:rsid w:val="00FF3A38"/>
    <w:rsid w:val="00FF3C25"/>
    <w:rsid w:val="00FF4129"/>
    <w:rsid w:val="00FF44F7"/>
    <w:rsid w:val="00FF4881"/>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0B4007"/>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90395747">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3274</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2011-04-08T10:41:00Z</cp:lastPrinted>
  <dcterms:created xsi:type="dcterms:W3CDTF">2012-05-23T20:37:00Z</dcterms:created>
  <dcterms:modified xsi:type="dcterms:W3CDTF">2012-05-23T20:37:00Z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