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E0346A" w:rsidRDefault="00F629C0" w:rsidP="00E0346A">
      <w:pPr>
        <w:tabs>
          <w:tab w:val="left" w:pos="288"/>
          <w:tab w:val="left" w:pos="4752"/>
          <w:tab w:val="left" w:pos="5130"/>
          <w:tab w:val="left" w:pos="9270"/>
        </w:tabs>
        <w:spacing w:line="240" w:lineRule="exact"/>
        <w:jc w:val="both"/>
        <w:rPr>
          <w:caps/>
          <w:color w:val="auto"/>
        </w:rPr>
      </w:pPr>
      <w:r w:rsidRPr="00FD6C41">
        <w:rPr>
          <w:caps/>
          <w:color w:val="auto"/>
        </w:rPr>
        <w:t xml:space="preserve">NAME: </w:t>
      </w:r>
      <w:r>
        <w:rPr>
          <w:caps/>
          <w:color w:val="auto"/>
        </w:rPr>
        <w:t xml:space="preserve"> </w:t>
      </w:r>
      <w:r w:rsidR="00FB265B">
        <w:rPr>
          <w:caps/>
          <w:color w:val="auto"/>
        </w:rPr>
        <w:t>XXXXXXXXXXXXXXXXX</w:t>
      </w:r>
      <w:r w:rsidR="008A4FD6">
        <w:rPr>
          <w:caps/>
          <w:color w:val="auto"/>
        </w:rPr>
        <w:t xml:space="preserve"> </w:t>
      </w:r>
      <w:r w:rsidR="004216DA">
        <w:rPr>
          <w:caps/>
          <w:color w:val="auto"/>
        </w:rPr>
        <w:t xml:space="preserve"> </w:t>
      </w:r>
      <w:r w:rsidR="00332DE3">
        <w:rPr>
          <w:caps/>
          <w:color w:val="auto"/>
        </w:rPr>
        <w:t xml:space="preserve"> </w:t>
      </w:r>
      <w:r w:rsidR="004216DA">
        <w:rPr>
          <w:caps/>
          <w:color w:val="auto"/>
        </w:rPr>
        <w:t xml:space="preserve">  </w:t>
      </w:r>
      <w:r w:rsidR="00A46494">
        <w:rPr>
          <w:caps/>
          <w:color w:val="auto"/>
        </w:rPr>
        <w:t xml:space="preserve">                     </w:t>
      </w:r>
      <w:r w:rsidR="008A4FD6">
        <w:rPr>
          <w:caps/>
          <w:color w:val="auto"/>
        </w:rPr>
        <w:t xml:space="preserve">                             </w:t>
      </w:r>
      <w:r w:rsidR="00271743">
        <w:rPr>
          <w:caps/>
          <w:color w:val="auto"/>
        </w:rPr>
        <w:t xml:space="preserve">    </w:t>
      </w:r>
      <w:r w:rsidR="00665B91">
        <w:rPr>
          <w:caps/>
          <w:color w:val="auto"/>
        </w:rPr>
        <w:t xml:space="preserve">     </w:t>
      </w:r>
      <w:r w:rsidR="00271743">
        <w:rPr>
          <w:caps/>
          <w:color w:val="auto"/>
        </w:rPr>
        <w:t xml:space="preserve"> </w:t>
      </w:r>
      <w:r w:rsidRPr="00FD6C41">
        <w:rPr>
          <w:caps/>
          <w:color w:val="auto"/>
        </w:rPr>
        <w:t>BRANCH OF SERVICE</w:t>
      </w:r>
      <w:r w:rsidRPr="00816CCB">
        <w:rPr>
          <w:caps/>
          <w:color w:val="auto"/>
        </w:rPr>
        <w:t xml:space="preserve">: </w:t>
      </w:r>
      <w:r w:rsidR="001D3F82">
        <w:rPr>
          <w:caps/>
          <w:color w:val="auto"/>
        </w:rPr>
        <w:t>army</w:t>
      </w:r>
      <w:r w:rsidR="004C24C5" w:rsidRPr="004216DA">
        <w:rPr>
          <w:caps/>
          <w:color w:val="auto"/>
          <w:highlight w:val="yellow"/>
        </w:rPr>
        <w:t xml:space="preserve"> </w:t>
      </w:r>
    </w:p>
    <w:p w:rsidR="00DE3AAD" w:rsidRDefault="00012733" w:rsidP="00E0346A">
      <w:pPr>
        <w:tabs>
          <w:tab w:val="left" w:pos="288"/>
          <w:tab w:val="left" w:pos="4752"/>
          <w:tab w:val="left" w:pos="5130"/>
          <w:tab w:val="left" w:pos="9270"/>
        </w:tabs>
        <w:spacing w:line="240" w:lineRule="exact"/>
        <w:jc w:val="both"/>
        <w:rPr>
          <w:caps/>
          <w:color w:val="auto"/>
        </w:rPr>
      </w:pPr>
      <w:r>
        <w:rPr>
          <w:caps/>
          <w:color w:val="auto"/>
        </w:rPr>
        <w:t>C</w:t>
      </w:r>
      <w:r w:rsidR="00DE3AAD" w:rsidRPr="00FD6C41">
        <w:rPr>
          <w:caps/>
          <w:color w:val="auto"/>
        </w:rPr>
        <w:t xml:space="preserve">ASE NUMBER: </w:t>
      </w:r>
      <w:r w:rsidR="00DE3AAD">
        <w:rPr>
          <w:caps/>
          <w:color w:val="auto"/>
        </w:rPr>
        <w:t xml:space="preserve"> </w:t>
      </w:r>
      <w:r w:rsidR="00DE3AAD" w:rsidRPr="00FD6C41">
        <w:rPr>
          <w:caps/>
          <w:color w:val="auto"/>
        </w:rPr>
        <w:t>PD</w:t>
      </w:r>
      <w:r w:rsidR="00DE3AAD" w:rsidRPr="001D3F82">
        <w:rPr>
          <w:caps/>
          <w:color w:val="auto"/>
        </w:rPr>
        <w:t>1</w:t>
      </w:r>
      <w:r w:rsidR="001D3F82" w:rsidRPr="001D3F82">
        <w:rPr>
          <w:caps/>
          <w:color w:val="auto"/>
        </w:rPr>
        <w:t>1</w:t>
      </w:r>
      <w:r w:rsidR="00DE3AAD" w:rsidRPr="001D3F82">
        <w:rPr>
          <w:caps/>
          <w:color w:val="auto"/>
        </w:rPr>
        <w:t>00</w:t>
      </w:r>
      <w:r w:rsidR="001D3F82" w:rsidRPr="001D3F82">
        <w:rPr>
          <w:caps/>
          <w:color w:val="auto"/>
        </w:rPr>
        <w:t>246</w:t>
      </w:r>
      <w:r w:rsidR="00DE3AAD" w:rsidRPr="00DE3AAD">
        <w:rPr>
          <w:color w:val="auto"/>
        </w:rPr>
        <w:t xml:space="preserve"> </w:t>
      </w:r>
      <w:r w:rsidR="00DE3AAD">
        <w:rPr>
          <w:color w:val="auto"/>
        </w:rPr>
        <w:tab/>
        <w:t xml:space="preserve">         </w:t>
      </w:r>
      <w:r w:rsidR="00E0346A">
        <w:rPr>
          <w:color w:val="auto"/>
        </w:rPr>
        <w:t xml:space="preserve">                    </w:t>
      </w:r>
      <w:r w:rsidR="00A27EB6">
        <w:rPr>
          <w:color w:val="auto"/>
        </w:rPr>
        <w:t xml:space="preserve"> </w:t>
      </w:r>
      <w:r w:rsidR="00DE3AAD" w:rsidRPr="00DE3AAD">
        <w:rPr>
          <w:color w:val="auto"/>
        </w:rPr>
        <w:t>SEPARATION DATE:  200</w:t>
      </w:r>
      <w:r w:rsidR="001D3F82">
        <w:rPr>
          <w:color w:val="auto"/>
        </w:rPr>
        <w:t>50806</w:t>
      </w:r>
    </w:p>
    <w:p w:rsidR="00271743" w:rsidRDefault="004F3639" w:rsidP="00510F9C">
      <w:pPr>
        <w:tabs>
          <w:tab w:val="left" w:pos="288"/>
          <w:tab w:val="left" w:pos="5130"/>
        </w:tabs>
        <w:spacing w:line="240" w:lineRule="exact"/>
        <w:jc w:val="both"/>
        <w:rPr>
          <w:caps/>
          <w:color w:val="auto"/>
        </w:rPr>
      </w:pPr>
      <w:r w:rsidRPr="00FD6C41">
        <w:rPr>
          <w:caps/>
          <w:color w:val="auto"/>
        </w:rPr>
        <w:t xml:space="preserve">BOARD DATE: </w:t>
      </w:r>
      <w:r>
        <w:rPr>
          <w:caps/>
          <w:color w:val="auto"/>
        </w:rPr>
        <w:t xml:space="preserve"> </w:t>
      </w:r>
      <w:r w:rsidRPr="00655258">
        <w:rPr>
          <w:caps/>
          <w:color w:val="auto"/>
        </w:rPr>
        <w:t>201</w:t>
      </w:r>
      <w:r w:rsidR="007E4DDB">
        <w:rPr>
          <w:caps/>
          <w:color w:val="auto"/>
        </w:rPr>
        <w:t>2</w:t>
      </w:r>
      <w:r w:rsidR="00271743">
        <w:rPr>
          <w:caps/>
          <w:color w:val="auto"/>
        </w:rPr>
        <w:t>0202</w:t>
      </w:r>
    </w:p>
    <w:p w:rsidR="008E0D8F" w:rsidRDefault="008E0D8F" w:rsidP="00510F9C">
      <w:pPr>
        <w:pBdr>
          <w:bottom w:val="single" w:sz="12" w:space="1" w:color="auto"/>
        </w:pBdr>
        <w:tabs>
          <w:tab w:val="left" w:pos="288"/>
          <w:tab w:val="left" w:pos="4752"/>
        </w:tabs>
        <w:spacing w:line="240" w:lineRule="exact"/>
        <w:jc w:val="both"/>
        <w:rPr>
          <w:color w:val="auto"/>
          <w:u w:val="single"/>
        </w:rPr>
      </w:pPr>
    </w:p>
    <w:p w:rsidR="003519A6" w:rsidRDefault="003519A6" w:rsidP="00510F9C">
      <w:pPr>
        <w:tabs>
          <w:tab w:val="left" w:pos="288"/>
          <w:tab w:val="left" w:pos="4752"/>
        </w:tabs>
        <w:spacing w:line="240" w:lineRule="exact"/>
        <w:jc w:val="both"/>
        <w:rPr>
          <w:color w:val="auto"/>
          <w:u w:val="single"/>
        </w:rPr>
      </w:pPr>
    </w:p>
    <w:p w:rsidR="00F63FC7" w:rsidRPr="00C472C7" w:rsidRDefault="00FB0E80"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w:t>
      </w:r>
      <w:r w:rsidR="009759C2" w:rsidRPr="00EC337D">
        <w:rPr>
          <w:color w:val="auto"/>
        </w:rPr>
        <w:t>Data extracted from the available evidence of record reflects that this covered individual (CI)</w:t>
      </w:r>
      <w:r w:rsidR="00570754" w:rsidRPr="00EC337D">
        <w:rPr>
          <w:color w:val="auto"/>
        </w:rPr>
        <w:t xml:space="preserve"> </w:t>
      </w:r>
      <w:r w:rsidR="002C6E5B" w:rsidRPr="00AD7F8F">
        <w:rPr>
          <w:color w:val="auto"/>
          <w:szCs w:val="24"/>
        </w:rPr>
        <w:t xml:space="preserve">was </w:t>
      </w:r>
      <w:r w:rsidR="00E322F7" w:rsidRPr="00AD7F8F">
        <w:rPr>
          <w:color w:val="auto"/>
          <w:szCs w:val="24"/>
        </w:rPr>
        <w:t xml:space="preserve">a </w:t>
      </w:r>
      <w:r w:rsidR="008A4FD6">
        <w:rPr>
          <w:color w:val="auto"/>
          <w:szCs w:val="24"/>
        </w:rPr>
        <w:t xml:space="preserve">mobilized Army </w:t>
      </w:r>
      <w:r w:rsidR="00312A23">
        <w:rPr>
          <w:color w:val="auto"/>
          <w:szCs w:val="24"/>
        </w:rPr>
        <w:t>National Guard</w:t>
      </w:r>
      <w:r w:rsidR="002E65E6">
        <w:rPr>
          <w:color w:val="auto"/>
          <w:szCs w:val="24"/>
        </w:rPr>
        <w:t xml:space="preserve"> </w:t>
      </w:r>
      <w:r w:rsidR="00312A23">
        <w:rPr>
          <w:color w:val="auto"/>
          <w:szCs w:val="24"/>
        </w:rPr>
        <w:t>s</w:t>
      </w:r>
      <w:r w:rsidR="00071973">
        <w:rPr>
          <w:color w:val="auto"/>
          <w:szCs w:val="24"/>
        </w:rPr>
        <w:t>oldier</w:t>
      </w:r>
      <w:r w:rsidR="002E65E6">
        <w:rPr>
          <w:color w:val="auto"/>
          <w:szCs w:val="24"/>
        </w:rPr>
        <w:t>,</w:t>
      </w:r>
      <w:r w:rsidR="006D4E0E" w:rsidRPr="00AD7F8F">
        <w:rPr>
          <w:color w:val="auto"/>
          <w:szCs w:val="24"/>
        </w:rPr>
        <w:t xml:space="preserve"> </w:t>
      </w:r>
      <w:r w:rsidR="00071973">
        <w:rPr>
          <w:color w:val="auto"/>
          <w:szCs w:val="24"/>
        </w:rPr>
        <w:t>SGT/E5</w:t>
      </w:r>
      <w:r w:rsidR="00705C40" w:rsidRPr="00AD7F8F">
        <w:rPr>
          <w:color w:val="auto"/>
          <w:szCs w:val="24"/>
        </w:rPr>
        <w:t xml:space="preserve"> (</w:t>
      </w:r>
      <w:r w:rsidR="00071973">
        <w:rPr>
          <w:color w:val="auto"/>
          <w:szCs w:val="24"/>
        </w:rPr>
        <w:t>31B</w:t>
      </w:r>
      <w:r w:rsidR="00C75F3D">
        <w:rPr>
          <w:color w:val="auto"/>
          <w:szCs w:val="24"/>
        </w:rPr>
        <w:t xml:space="preserve">, </w:t>
      </w:r>
      <w:r w:rsidR="00770EE7">
        <w:rPr>
          <w:color w:val="auto"/>
          <w:szCs w:val="24"/>
        </w:rPr>
        <w:t>Military Police</w:t>
      </w:r>
      <w:r w:rsidR="00E322F7" w:rsidRPr="00AD7F8F">
        <w:rPr>
          <w:color w:val="auto"/>
          <w:szCs w:val="24"/>
        </w:rPr>
        <w:t>)</w:t>
      </w:r>
      <w:r w:rsidR="00C75F3D">
        <w:rPr>
          <w:color w:val="auto"/>
          <w:szCs w:val="24"/>
        </w:rPr>
        <w:t xml:space="preserve"> </w:t>
      </w:r>
      <w:r w:rsidR="002C6E5B" w:rsidRPr="00AD7F8F">
        <w:rPr>
          <w:color w:val="auto"/>
          <w:szCs w:val="24"/>
        </w:rPr>
        <w:t xml:space="preserve">medically separated for </w:t>
      </w:r>
      <w:r w:rsidR="00312A23">
        <w:rPr>
          <w:color w:val="auto"/>
          <w:szCs w:val="24"/>
        </w:rPr>
        <w:t xml:space="preserve">chronic right ankle pain </w:t>
      </w:r>
      <w:r w:rsidR="00DE5893">
        <w:rPr>
          <w:color w:val="auto"/>
          <w:szCs w:val="24"/>
        </w:rPr>
        <w:t>and bilateral plantar fasciitis.</w:t>
      </w:r>
      <w:r w:rsidR="00727FD0">
        <w:rPr>
          <w:color w:val="auto"/>
          <w:szCs w:val="24"/>
        </w:rPr>
        <w:t xml:space="preserve"> </w:t>
      </w:r>
      <w:r w:rsidR="00CC6ADD">
        <w:rPr>
          <w:color w:val="auto"/>
          <w:szCs w:val="24"/>
        </w:rPr>
        <w:t xml:space="preserve"> </w:t>
      </w:r>
      <w:r w:rsidR="00E322F7" w:rsidRPr="00C472C7">
        <w:rPr>
          <w:color w:val="auto"/>
          <w:szCs w:val="24"/>
        </w:rPr>
        <w:t xml:space="preserve">He did not respond adequately </w:t>
      </w:r>
      <w:r w:rsidR="00C75F3D" w:rsidRPr="00C472C7">
        <w:rPr>
          <w:color w:val="auto"/>
          <w:szCs w:val="24"/>
        </w:rPr>
        <w:t xml:space="preserve">to </w:t>
      </w:r>
      <w:r w:rsidR="00727FD0">
        <w:rPr>
          <w:color w:val="auto"/>
          <w:szCs w:val="24"/>
        </w:rPr>
        <w:t>conservative and</w:t>
      </w:r>
      <w:r w:rsidR="00874E69">
        <w:rPr>
          <w:color w:val="auto"/>
          <w:szCs w:val="24"/>
        </w:rPr>
        <w:t xml:space="preserve"> surgical </w:t>
      </w:r>
      <w:r w:rsidR="00C75F3D" w:rsidRPr="00C472C7">
        <w:rPr>
          <w:color w:val="auto"/>
          <w:szCs w:val="24"/>
        </w:rPr>
        <w:t>treatment</w:t>
      </w:r>
      <w:r w:rsidR="00CC6ADD">
        <w:rPr>
          <w:color w:val="auto"/>
          <w:szCs w:val="24"/>
        </w:rPr>
        <w:t xml:space="preserve">, </w:t>
      </w:r>
      <w:r w:rsidR="00C75F3D" w:rsidRPr="00C472C7">
        <w:rPr>
          <w:color w:val="auto"/>
          <w:szCs w:val="24"/>
        </w:rPr>
        <w:t xml:space="preserve">and </w:t>
      </w:r>
      <w:r w:rsidR="00727FD0">
        <w:rPr>
          <w:color w:val="auto"/>
          <w:szCs w:val="24"/>
        </w:rPr>
        <w:t xml:space="preserve">he </w:t>
      </w:r>
      <w:r w:rsidR="00C75F3D" w:rsidRPr="00C472C7">
        <w:rPr>
          <w:color w:val="auto"/>
          <w:szCs w:val="24"/>
        </w:rPr>
        <w:t xml:space="preserve">was unable to </w:t>
      </w:r>
      <w:r w:rsidR="00E322F7" w:rsidRPr="00C472C7">
        <w:rPr>
          <w:color w:val="auto"/>
          <w:szCs w:val="24"/>
        </w:rPr>
        <w:t xml:space="preserve">perform within his </w:t>
      </w:r>
      <w:r w:rsidR="007F0066">
        <w:rPr>
          <w:color w:val="auto"/>
          <w:szCs w:val="24"/>
        </w:rPr>
        <w:t>M</w:t>
      </w:r>
      <w:r w:rsidR="009020ED" w:rsidRPr="00DE5893">
        <w:rPr>
          <w:color w:val="auto"/>
          <w:szCs w:val="24"/>
        </w:rPr>
        <w:t xml:space="preserve">ilitary </w:t>
      </w:r>
      <w:r w:rsidR="007F0066">
        <w:rPr>
          <w:color w:val="auto"/>
          <w:szCs w:val="24"/>
        </w:rPr>
        <w:t>O</w:t>
      </w:r>
      <w:r w:rsidR="00705C40" w:rsidRPr="00DE5893">
        <w:rPr>
          <w:color w:val="auto"/>
          <w:szCs w:val="24"/>
        </w:rPr>
        <w:t xml:space="preserve">ccupational </w:t>
      </w:r>
      <w:r w:rsidR="007F0066">
        <w:rPr>
          <w:color w:val="auto"/>
          <w:szCs w:val="24"/>
        </w:rPr>
        <w:t>S</w:t>
      </w:r>
      <w:r w:rsidR="003A40B4" w:rsidRPr="00DE5893">
        <w:rPr>
          <w:color w:val="auto"/>
          <w:szCs w:val="24"/>
        </w:rPr>
        <w:t>pecialty</w:t>
      </w:r>
      <w:r w:rsidR="002752AE" w:rsidRPr="00DE5893">
        <w:rPr>
          <w:color w:val="auto"/>
          <w:szCs w:val="24"/>
        </w:rPr>
        <w:t xml:space="preserve"> (MOS)</w:t>
      </w:r>
      <w:r w:rsidR="00555C66">
        <w:rPr>
          <w:color w:val="auto"/>
          <w:szCs w:val="24"/>
        </w:rPr>
        <w:t xml:space="preserve">.  </w:t>
      </w:r>
      <w:r w:rsidR="00DE5893">
        <w:rPr>
          <w:color w:val="auto"/>
          <w:szCs w:val="24"/>
        </w:rPr>
        <w:t>H</w:t>
      </w:r>
      <w:r w:rsidR="00555C66" w:rsidRPr="00555C66">
        <w:rPr>
          <w:color w:val="auto"/>
          <w:szCs w:val="24"/>
        </w:rPr>
        <w:t>e was issued</w:t>
      </w:r>
      <w:r w:rsidR="00E322F7" w:rsidRPr="00C472C7">
        <w:rPr>
          <w:color w:val="auto"/>
          <w:szCs w:val="24"/>
        </w:rPr>
        <w:t xml:space="preserve"> a </w:t>
      </w:r>
      <w:r w:rsidR="00E322F7" w:rsidRPr="00DE5893">
        <w:rPr>
          <w:color w:val="auto"/>
          <w:szCs w:val="24"/>
        </w:rPr>
        <w:t xml:space="preserve">permanent </w:t>
      </w:r>
      <w:r w:rsidR="00DE5893" w:rsidRPr="00DE5893">
        <w:rPr>
          <w:color w:val="auto"/>
          <w:szCs w:val="24"/>
        </w:rPr>
        <w:t>L3</w:t>
      </w:r>
      <w:r w:rsidR="0044411E" w:rsidRPr="00DE5893">
        <w:rPr>
          <w:color w:val="auto"/>
          <w:szCs w:val="24"/>
        </w:rPr>
        <w:t xml:space="preserve"> </w:t>
      </w:r>
      <w:r w:rsidR="00E322F7" w:rsidRPr="00DE5893">
        <w:rPr>
          <w:color w:val="auto"/>
          <w:szCs w:val="24"/>
        </w:rPr>
        <w:t>profile</w:t>
      </w:r>
      <w:r w:rsidR="00B32341" w:rsidRPr="00DE5893">
        <w:rPr>
          <w:color w:val="auto"/>
          <w:szCs w:val="24"/>
        </w:rPr>
        <w:t xml:space="preserve"> </w:t>
      </w:r>
      <w:r w:rsidR="00E322F7" w:rsidRPr="00C472C7">
        <w:rPr>
          <w:color w:val="auto"/>
          <w:szCs w:val="24"/>
        </w:rPr>
        <w:t xml:space="preserve">and underwent a </w:t>
      </w:r>
      <w:r w:rsidR="00705C40" w:rsidRPr="00C472C7">
        <w:rPr>
          <w:color w:val="auto"/>
          <w:szCs w:val="24"/>
        </w:rPr>
        <w:t>Medical Evaluation Board (</w:t>
      </w:r>
      <w:r w:rsidR="00E322F7" w:rsidRPr="00C472C7">
        <w:rPr>
          <w:color w:val="auto"/>
          <w:szCs w:val="24"/>
        </w:rPr>
        <w:t>MEB</w:t>
      </w:r>
      <w:r w:rsidR="00705C40" w:rsidRPr="00C472C7">
        <w:rPr>
          <w:color w:val="auto"/>
          <w:szCs w:val="24"/>
        </w:rPr>
        <w:t>)</w:t>
      </w:r>
      <w:r w:rsidR="00E322F7" w:rsidRPr="00C472C7">
        <w:rPr>
          <w:color w:val="auto"/>
          <w:szCs w:val="24"/>
        </w:rPr>
        <w:t>.</w:t>
      </w:r>
      <w:r w:rsidR="00DE5893">
        <w:rPr>
          <w:color w:val="auto"/>
          <w:szCs w:val="24"/>
        </w:rPr>
        <w:t xml:space="preserve"> </w:t>
      </w:r>
      <w:r w:rsidR="00CC6ADD">
        <w:rPr>
          <w:color w:val="auto"/>
          <w:szCs w:val="24"/>
        </w:rPr>
        <w:t xml:space="preserve"> </w:t>
      </w:r>
      <w:r w:rsidR="00DE5893">
        <w:rPr>
          <w:color w:val="auto"/>
          <w:szCs w:val="24"/>
        </w:rPr>
        <w:t>Chronic right ankle pain and chronic bilateral plantar fasciitis</w:t>
      </w:r>
      <w:r w:rsidR="000A33C8" w:rsidRPr="00C472C7">
        <w:rPr>
          <w:color w:val="auto"/>
          <w:szCs w:val="24"/>
        </w:rPr>
        <w:t xml:space="preserve"> </w:t>
      </w:r>
      <w:r w:rsidR="000A33C8" w:rsidRPr="00DE5893">
        <w:rPr>
          <w:color w:val="auto"/>
          <w:szCs w:val="24"/>
        </w:rPr>
        <w:t>were</w:t>
      </w:r>
      <w:r w:rsidR="000A33C8" w:rsidRPr="00C472C7">
        <w:rPr>
          <w:color w:val="auto"/>
          <w:szCs w:val="24"/>
        </w:rPr>
        <w:t xml:space="preserve"> forwarded to the Physical Evaluation Board (PEB) as medically unacceptable IAW </w:t>
      </w:r>
      <w:r w:rsidR="000A33C8" w:rsidRPr="00DE5893">
        <w:rPr>
          <w:color w:val="auto"/>
          <w:szCs w:val="24"/>
        </w:rPr>
        <w:t>AR 40-501</w:t>
      </w:r>
      <w:r w:rsidR="00DE5893">
        <w:rPr>
          <w:color w:val="auto"/>
          <w:szCs w:val="24"/>
        </w:rPr>
        <w:t xml:space="preserve">, paragraphs 3-14b and 3-13(5) respectively. </w:t>
      </w:r>
      <w:r w:rsidR="00CC6ADD">
        <w:rPr>
          <w:color w:val="auto"/>
          <w:szCs w:val="24"/>
        </w:rPr>
        <w:t xml:space="preserve"> </w:t>
      </w:r>
      <w:r w:rsidR="001A5E62" w:rsidRPr="00C472C7">
        <w:rPr>
          <w:color w:val="auto"/>
          <w:szCs w:val="24"/>
        </w:rPr>
        <w:t>No other conditions appeared on the MEB’s submission.  Other conditions included in the</w:t>
      </w:r>
      <w:r w:rsidR="00DC17F2">
        <w:rPr>
          <w:color w:val="auto"/>
          <w:szCs w:val="24"/>
        </w:rPr>
        <w:t xml:space="preserve"> </w:t>
      </w:r>
      <w:r w:rsidR="00555C66" w:rsidRPr="00D93A41">
        <w:rPr>
          <w:color w:val="auto"/>
          <w:szCs w:val="24"/>
        </w:rPr>
        <w:t>Disability Evaluation System (DES)</w:t>
      </w:r>
      <w:r w:rsidR="00555C66" w:rsidRPr="00555C66">
        <w:rPr>
          <w:color w:val="auto"/>
          <w:szCs w:val="24"/>
        </w:rPr>
        <w:t xml:space="preserve"> </w:t>
      </w:r>
      <w:r w:rsidR="001A5E62" w:rsidRPr="00C472C7">
        <w:rPr>
          <w:color w:val="auto"/>
          <w:szCs w:val="24"/>
        </w:rPr>
        <w:t>packet will be discussed below.</w:t>
      </w:r>
      <w:r w:rsidR="00DE5893">
        <w:rPr>
          <w:color w:val="auto"/>
          <w:szCs w:val="24"/>
        </w:rPr>
        <w:t xml:space="preserve"> </w:t>
      </w:r>
      <w:r w:rsidR="00CC6ADD">
        <w:rPr>
          <w:color w:val="auto"/>
          <w:szCs w:val="24"/>
        </w:rPr>
        <w:t xml:space="preserve"> </w:t>
      </w:r>
      <w:r w:rsidR="00B20624" w:rsidRPr="00C472C7">
        <w:rPr>
          <w:color w:val="auto"/>
          <w:szCs w:val="24"/>
        </w:rPr>
        <w:t xml:space="preserve">The </w:t>
      </w:r>
      <w:r w:rsidR="0053238D">
        <w:rPr>
          <w:color w:val="auto"/>
          <w:szCs w:val="24"/>
        </w:rPr>
        <w:t>IPEB</w:t>
      </w:r>
      <w:r w:rsidR="00B20624" w:rsidRPr="00C472C7">
        <w:rPr>
          <w:color w:val="auto"/>
          <w:szCs w:val="24"/>
        </w:rPr>
        <w:t xml:space="preserve"> adjudicated the </w:t>
      </w:r>
      <w:r w:rsidR="00DE5893">
        <w:rPr>
          <w:color w:val="auto"/>
          <w:szCs w:val="24"/>
        </w:rPr>
        <w:t>right ankle pain</w:t>
      </w:r>
      <w:r w:rsidR="00B20624" w:rsidRPr="00DE5893">
        <w:rPr>
          <w:color w:val="auto"/>
          <w:szCs w:val="24"/>
        </w:rPr>
        <w:t xml:space="preserve"> and </w:t>
      </w:r>
      <w:r w:rsidR="00DE5893" w:rsidRPr="00DE5893">
        <w:rPr>
          <w:color w:val="auto"/>
          <w:szCs w:val="24"/>
        </w:rPr>
        <w:t>bilateral plantar fasciitis</w:t>
      </w:r>
      <w:r w:rsidR="00C127F2">
        <w:rPr>
          <w:color w:val="auto"/>
          <w:szCs w:val="24"/>
        </w:rPr>
        <w:t xml:space="preserve"> </w:t>
      </w:r>
      <w:r w:rsidR="00B20624" w:rsidRPr="00C472C7">
        <w:rPr>
          <w:color w:val="auto"/>
          <w:szCs w:val="24"/>
        </w:rPr>
        <w:t xml:space="preserve">as unfitting, rated </w:t>
      </w:r>
      <w:r w:rsidR="00DE5893">
        <w:rPr>
          <w:color w:val="auto"/>
          <w:szCs w:val="24"/>
        </w:rPr>
        <w:t>20%</w:t>
      </w:r>
      <w:r w:rsidR="00B37345" w:rsidRPr="00DE5893">
        <w:rPr>
          <w:color w:val="auto"/>
          <w:szCs w:val="24"/>
        </w:rPr>
        <w:t xml:space="preserve"> and </w:t>
      </w:r>
      <w:r w:rsidR="00DE5893" w:rsidRPr="00DE5893">
        <w:rPr>
          <w:color w:val="auto"/>
          <w:szCs w:val="24"/>
        </w:rPr>
        <w:t>0</w:t>
      </w:r>
      <w:r w:rsidR="00D93A41" w:rsidRPr="00DE5893">
        <w:rPr>
          <w:color w:val="auto"/>
          <w:szCs w:val="24"/>
        </w:rPr>
        <w:t>%</w:t>
      </w:r>
      <w:r w:rsidR="00620B3D" w:rsidRPr="00DE5893">
        <w:rPr>
          <w:color w:val="auto"/>
          <w:szCs w:val="24"/>
        </w:rPr>
        <w:t xml:space="preserve">, </w:t>
      </w:r>
      <w:r w:rsidR="00D93A41" w:rsidRPr="00DE5893">
        <w:rPr>
          <w:color w:val="auto"/>
          <w:szCs w:val="24"/>
        </w:rPr>
        <w:t>respectively</w:t>
      </w:r>
      <w:r w:rsidR="00B80EDD" w:rsidRPr="00DE5893">
        <w:rPr>
          <w:color w:val="auto"/>
          <w:szCs w:val="24"/>
        </w:rPr>
        <w:t>,</w:t>
      </w:r>
      <w:r w:rsidR="00B20624" w:rsidRPr="00DE5893">
        <w:rPr>
          <w:color w:val="auto"/>
          <w:szCs w:val="24"/>
        </w:rPr>
        <w:t xml:space="preserve"> with application of the </w:t>
      </w:r>
      <w:r w:rsidR="00874E69" w:rsidRPr="00874E69">
        <w:rPr>
          <w:color w:val="auto"/>
          <w:szCs w:val="24"/>
        </w:rPr>
        <w:t>US Army Physical Disability Agency (USAPDA) pain policy</w:t>
      </w:r>
      <w:r w:rsidR="00CC6ADD">
        <w:rPr>
          <w:color w:val="auto"/>
          <w:szCs w:val="24"/>
        </w:rPr>
        <w:t xml:space="preserve"> and the VA Schedule for Rating Disabilities (VASRD) respectively.</w:t>
      </w:r>
      <w:r w:rsidR="00874E69" w:rsidRPr="00874E69">
        <w:rPr>
          <w:color w:val="auto"/>
          <w:szCs w:val="24"/>
        </w:rPr>
        <w:t xml:space="preserve"> </w:t>
      </w:r>
      <w:r w:rsidR="00CC6ADD">
        <w:rPr>
          <w:color w:val="auto"/>
          <w:szCs w:val="24"/>
        </w:rPr>
        <w:t xml:space="preserve"> </w:t>
      </w:r>
      <w:r w:rsidR="00B20624" w:rsidRPr="00874E69">
        <w:rPr>
          <w:color w:val="auto"/>
        </w:rPr>
        <w:t xml:space="preserve">The CI </w:t>
      </w:r>
      <w:r w:rsidR="00190E48" w:rsidRPr="00874E69">
        <w:rPr>
          <w:color w:val="auto"/>
        </w:rPr>
        <w:t>made no appeals,</w:t>
      </w:r>
      <w:r w:rsidR="00190E48" w:rsidRPr="00C472C7">
        <w:rPr>
          <w:color w:val="auto"/>
        </w:rPr>
        <w:t xml:space="preserve"> </w:t>
      </w:r>
      <w:r w:rsidR="00B20624" w:rsidRPr="00C472C7">
        <w:rPr>
          <w:color w:val="auto"/>
        </w:rPr>
        <w:t xml:space="preserve">and was medically separated with a </w:t>
      </w:r>
      <w:r w:rsidR="00DE5893">
        <w:rPr>
          <w:color w:val="auto"/>
        </w:rPr>
        <w:t>20</w:t>
      </w:r>
      <w:r w:rsidR="00B20624" w:rsidRPr="00C472C7">
        <w:rPr>
          <w:color w:val="auto"/>
        </w:rPr>
        <w:t>% combined disability rating.</w:t>
      </w:r>
      <w:r w:rsidR="003519A6">
        <w:rPr>
          <w:color w:val="auto"/>
        </w:rPr>
        <w:t xml:space="preserve">  The CI elected disability severance pay in lieu of transfer to the Retired Reserve</w:t>
      </w:r>
      <w:r w:rsidR="008A4FD6">
        <w:rPr>
          <w:color w:val="auto"/>
        </w:rPr>
        <w:t>.</w:t>
      </w:r>
    </w:p>
    <w:p w:rsidR="008E0D8F" w:rsidRDefault="008E0D8F" w:rsidP="00510F9C">
      <w:pPr>
        <w:pBdr>
          <w:bottom w:val="single" w:sz="12" w:space="1" w:color="auto"/>
        </w:pBdr>
        <w:tabs>
          <w:tab w:val="left" w:pos="288"/>
          <w:tab w:val="left" w:pos="4752"/>
        </w:tabs>
        <w:spacing w:line="240" w:lineRule="exact"/>
        <w:jc w:val="both"/>
        <w:rPr>
          <w:color w:val="auto"/>
        </w:rPr>
      </w:pPr>
    </w:p>
    <w:p w:rsidR="00DE598A" w:rsidRDefault="00DE598A" w:rsidP="00510F9C">
      <w:pPr>
        <w:tabs>
          <w:tab w:val="left" w:pos="288"/>
          <w:tab w:val="left" w:pos="4752"/>
        </w:tabs>
        <w:spacing w:line="240" w:lineRule="exact"/>
        <w:jc w:val="both"/>
        <w:rPr>
          <w:color w:val="auto"/>
          <w:u w:val="single"/>
        </w:rPr>
      </w:pPr>
    </w:p>
    <w:p w:rsidR="00ED5284" w:rsidRPr="006615EC" w:rsidRDefault="002C6E5B" w:rsidP="00271743">
      <w:pPr>
        <w:autoSpaceDE w:val="0"/>
        <w:autoSpaceDN w:val="0"/>
        <w:adjustRightInd w:val="0"/>
        <w:spacing w:line="240" w:lineRule="exact"/>
        <w:jc w:val="both"/>
        <w:rPr>
          <w:rFonts w:eastAsia="Calibri" w:cs="Calibri"/>
          <w:color w:val="auto"/>
          <w:szCs w:val="24"/>
        </w:rPr>
      </w:pPr>
      <w:r w:rsidRPr="00326C08">
        <w:rPr>
          <w:color w:val="auto"/>
          <w:u w:val="single"/>
        </w:rPr>
        <w:t>CI CONTENTION</w:t>
      </w:r>
      <w:r w:rsidRPr="00326C08">
        <w:rPr>
          <w:color w:val="auto"/>
        </w:rPr>
        <w:t>:</w:t>
      </w:r>
      <w:r w:rsidR="007E19EB">
        <w:rPr>
          <w:color w:val="auto"/>
        </w:rPr>
        <w:t xml:space="preserve"> The CI states: </w:t>
      </w:r>
      <w:r w:rsidR="007E19EB" w:rsidRPr="006615EC">
        <w:rPr>
          <w:rFonts w:cs="Calibri"/>
          <w:color w:val="auto"/>
          <w:szCs w:val="24"/>
        </w:rPr>
        <w:t>“Residuals, right ankle fracture, status post open locks up on me. The carpel tunnel I had turned out to be a Subclavian artery aneurysm. I had 2 surgeries at the VA in Las Vegas, N</w:t>
      </w:r>
      <w:r w:rsidR="00770EE7">
        <w:rPr>
          <w:rFonts w:cs="Calibri"/>
          <w:color w:val="auto"/>
          <w:szCs w:val="24"/>
        </w:rPr>
        <w:t>V</w:t>
      </w:r>
      <w:r w:rsidR="007E19EB" w:rsidRPr="006615EC">
        <w:rPr>
          <w:rFonts w:cs="Calibri"/>
          <w:color w:val="auto"/>
          <w:szCs w:val="24"/>
        </w:rPr>
        <w:t xml:space="preserve">. </w:t>
      </w:r>
      <w:proofErr w:type="gramStart"/>
      <w:r w:rsidR="007E19EB" w:rsidRPr="006615EC">
        <w:rPr>
          <w:rFonts w:cs="Calibri"/>
          <w:color w:val="auto"/>
          <w:szCs w:val="24"/>
        </w:rPr>
        <w:t>both</w:t>
      </w:r>
      <w:proofErr w:type="gramEnd"/>
      <w:r w:rsidR="007E19EB" w:rsidRPr="006615EC">
        <w:rPr>
          <w:rFonts w:cs="Calibri"/>
          <w:color w:val="auto"/>
          <w:szCs w:val="24"/>
        </w:rPr>
        <w:t xml:space="preserve"> times the artery collapsed. I was put on an aspirin regiment to thin out my blood. I have nerve damage in both my hands and all of my fingers due to the aneurysm and the hypertension has gotten worst. </w:t>
      </w:r>
      <w:proofErr w:type="gramStart"/>
      <w:r w:rsidR="007E19EB" w:rsidRPr="006615EC">
        <w:rPr>
          <w:rFonts w:cs="Calibri"/>
          <w:color w:val="auto"/>
          <w:szCs w:val="24"/>
        </w:rPr>
        <w:t>Had to be put on two medicines for it</w:t>
      </w:r>
      <w:r w:rsidR="007E19EB" w:rsidRPr="006615EC">
        <w:rPr>
          <w:rFonts w:cs="Calibri"/>
          <w:i/>
          <w:iCs/>
          <w:color w:val="auto"/>
          <w:szCs w:val="24"/>
        </w:rPr>
        <w:t>.</w:t>
      </w:r>
      <w:proofErr w:type="gramEnd"/>
      <w:r w:rsidR="007E19EB" w:rsidRPr="006615EC">
        <w:rPr>
          <w:rFonts w:cs="Calibri"/>
          <w:i/>
          <w:iCs/>
          <w:color w:val="auto"/>
          <w:szCs w:val="24"/>
        </w:rPr>
        <w:t xml:space="preserve"> </w:t>
      </w:r>
      <w:r w:rsidR="007E19EB" w:rsidRPr="006615EC">
        <w:rPr>
          <w:rFonts w:cs="Calibri"/>
          <w:color w:val="auto"/>
          <w:szCs w:val="24"/>
        </w:rPr>
        <w:t xml:space="preserve">The Bilateral plantar fascitis has not gotten any better. I still have to wait for a few minutes in the morning to allow my feet to not hurt before I can walk.” </w:t>
      </w:r>
      <w:r w:rsidR="00ED5284" w:rsidRPr="006615EC">
        <w:rPr>
          <w:rFonts w:eastAsia="Calibri" w:cs="Calibri"/>
          <w:color w:val="auto"/>
          <w:szCs w:val="24"/>
        </w:rPr>
        <w:t>He mentions no additionally contended conditions.</w:t>
      </w:r>
    </w:p>
    <w:p w:rsidR="003E1682" w:rsidRDefault="003E1682" w:rsidP="00510F9C">
      <w:pPr>
        <w:pBdr>
          <w:bottom w:val="single" w:sz="12" w:space="1" w:color="auto"/>
        </w:pBdr>
        <w:spacing w:line="240" w:lineRule="exact"/>
        <w:rPr>
          <w:color w:val="auto"/>
          <w:u w:val="single"/>
        </w:rPr>
      </w:pPr>
    </w:p>
    <w:p w:rsidR="000F0928" w:rsidRPr="002A4119" w:rsidRDefault="000F0928" w:rsidP="00510F9C">
      <w:pPr>
        <w:spacing w:line="240" w:lineRule="exac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6"/>
        <w:gridCol w:w="1062"/>
        <w:gridCol w:w="900"/>
        <w:gridCol w:w="2538"/>
        <w:gridCol w:w="1062"/>
        <w:gridCol w:w="828"/>
        <w:gridCol w:w="990"/>
      </w:tblGrid>
      <w:tr w:rsidR="002B4E22" w:rsidRPr="002A4119" w:rsidTr="00593C7D">
        <w:trPr>
          <w:trHeight w:val="233"/>
          <w:jc w:val="center"/>
        </w:trPr>
        <w:tc>
          <w:tcPr>
            <w:tcW w:w="4158" w:type="dxa"/>
            <w:gridSpan w:val="3"/>
            <w:tcBorders>
              <w:right w:val="thinThickThinSmallGap" w:sz="24" w:space="0" w:color="auto"/>
            </w:tcBorders>
            <w:shd w:val="clear" w:color="auto" w:fill="D9D9D9"/>
            <w:vAlign w:val="center"/>
          </w:tcPr>
          <w:p w:rsidR="002B4E22" w:rsidRPr="00593C7D" w:rsidRDefault="00B731E4" w:rsidP="00593C7D">
            <w:pPr>
              <w:spacing w:line="200" w:lineRule="exact"/>
              <w:contextualSpacing/>
              <w:jc w:val="center"/>
              <w:rPr>
                <w:rFonts w:eastAsia="Calibri"/>
                <w:b/>
                <w:color w:val="auto"/>
                <w:sz w:val="20"/>
              </w:rPr>
            </w:pPr>
            <w:r w:rsidRPr="00593C7D">
              <w:rPr>
                <w:rFonts w:eastAsia="Calibri"/>
                <w:b/>
                <w:color w:val="auto"/>
                <w:sz w:val="20"/>
              </w:rPr>
              <w:t xml:space="preserve">Service </w:t>
            </w:r>
            <w:r w:rsidR="00B21C45" w:rsidRPr="00593C7D">
              <w:rPr>
                <w:rFonts w:eastAsia="Calibri"/>
                <w:b/>
                <w:color w:val="auto"/>
                <w:sz w:val="20"/>
              </w:rPr>
              <w:t>I</w:t>
            </w:r>
            <w:r w:rsidRPr="00593C7D">
              <w:rPr>
                <w:rFonts w:eastAsia="Calibri"/>
                <w:b/>
                <w:color w:val="auto"/>
                <w:sz w:val="20"/>
              </w:rPr>
              <w:t>PEB – Dated 200</w:t>
            </w:r>
            <w:r w:rsidR="00B21C45" w:rsidRPr="00593C7D">
              <w:rPr>
                <w:rFonts w:eastAsia="Calibri"/>
                <w:b/>
                <w:color w:val="auto"/>
                <w:sz w:val="20"/>
              </w:rPr>
              <w:t>50602</w:t>
            </w:r>
          </w:p>
        </w:tc>
        <w:tc>
          <w:tcPr>
            <w:tcW w:w="5418" w:type="dxa"/>
            <w:gridSpan w:val="4"/>
            <w:tcBorders>
              <w:left w:val="thinThickThinSmallGap" w:sz="24" w:space="0" w:color="auto"/>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VA (</w:t>
            </w:r>
            <w:r w:rsidR="00D5400C" w:rsidRPr="00593C7D">
              <w:rPr>
                <w:rFonts w:eastAsia="Calibri"/>
                <w:b/>
                <w:color w:val="auto"/>
                <w:sz w:val="20"/>
              </w:rPr>
              <w:t>1 &amp; 2</w:t>
            </w:r>
            <w:r w:rsidR="0079154B" w:rsidRPr="00593C7D">
              <w:rPr>
                <w:rFonts w:eastAsia="Calibri"/>
                <w:b/>
                <w:color w:val="auto"/>
                <w:sz w:val="20"/>
              </w:rPr>
              <w:t xml:space="preserve"> </w:t>
            </w:r>
            <w:r w:rsidRPr="00593C7D">
              <w:rPr>
                <w:rFonts w:eastAsia="Calibri"/>
                <w:b/>
                <w:color w:val="auto"/>
                <w:sz w:val="20"/>
              </w:rPr>
              <w:t xml:space="preserve">Mo. After Separation) – All Effective Date </w:t>
            </w:r>
            <w:r w:rsidR="002D08F3" w:rsidRPr="00593C7D">
              <w:rPr>
                <w:rFonts w:eastAsia="Calibri"/>
                <w:b/>
                <w:color w:val="auto"/>
                <w:sz w:val="20"/>
              </w:rPr>
              <w:t>200</w:t>
            </w:r>
            <w:r w:rsidR="00D5400C" w:rsidRPr="00593C7D">
              <w:rPr>
                <w:rFonts w:eastAsia="Calibri"/>
                <w:b/>
                <w:color w:val="auto"/>
                <w:sz w:val="20"/>
              </w:rPr>
              <w:t>50807</w:t>
            </w:r>
          </w:p>
        </w:tc>
      </w:tr>
      <w:tr w:rsidR="002B4E22" w:rsidRPr="002A4119" w:rsidTr="00593C7D">
        <w:trPr>
          <w:trHeight w:val="278"/>
          <w:jc w:val="center"/>
        </w:trPr>
        <w:tc>
          <w:tcPr>
            <w:tcW w:w="2196" w:type="dxa"/>
            <w:tcBorders>
              <w:bottom w:val="single" w:sz="4" w:space="0" w:color="000000"/>
              <w:right w:val="single" w:sz="4" w:space="0" w:color="auto"/>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Condition</w:t>
            </w:r>
          </w:p>
        </w:tc>
        <w:tc>
          <w:tcPr>
            <w:tcW w:w="1062" w:type="dxa"/>
            <w:tcBorders>
              <w:left w:val="single" w:sz="4" w:space="0" w:color="auto"/>
              <w:bottom w:val="single" w:sz="4" w:space="0" w:color="000000"/>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Rating</w:t>
            </w:r>
          </w:p>
        </w:tc>
        <w:tc>
          <w:tcPr>
            <w:tcW w:w="2538" w:type="dxa"/>
            <w:tcBorders>
              <w:left w:val="thinThickThinSmallGap" w:sz="24" w:space="0" w:color="auto"/>
              <w:bottom w:val="single" w:sz="4" w:space="0" w:color="000000"/>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Condition</w:t>
            </w:r>
          </w:p>
        </w:tc>
        <w:tc>
          <w:tcPr>
            <w:tcW w:w="1062" w:type="dxa"/>
            <w:tcBorders>
              <w:bottom w:val="single" w:sz="4" w:space="0" w:color="000000"/>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Code</w:t>
            </w:r>
          </w:p>
        </w:tc>
        <w:tc>
          <w:tcPr>
            <w:tcW w:w="828" w:type="dxa"/>
            <w:tcBorders>
              <w:bottom w:val="single" w:sz="4" w:space="0" w:color="000000"/>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Rating</w:t>
            </w:r>
          </w:p>
        </w:tc>
        <w:tc>
          <w:tcPr>
            <w:tcW w:w="990" w:type="dxa"/>
            <w:tcBorders>
              <w:bottom w:val="single" w:sz="4" w:space="0" w:color="000000"/>
            </w:tcBorders>
            <w:shd w:val="clear" w:color="auto" w:fill="D9D9D9"/>
            <w:vAlign w:val="center"/>
          </w:tcPr>
          <w:p w:rsidR="002B4E22" w:rsidRPr="00593C7D" w:rsidRDefault="002B4E22" w:rsidP="00593C7D">
            <w:pPr>
              <w:spacing w:line="200" w:lineRule="exact"/>
              <w:contextualSpacing/>
              <w:jc w:val="center"/>
              <w:rPr>
                <w:rFonts w:eastAsia="Calibri"/>
                <w:b/>
                <w:color w:val="auto"/>
                <w:sz w:val="20"/>
              </w:rPr>
            </w:pPr>
            <w:r w:rsidRPr="00593C7D">
              <w:rPr>
                <w:rFonts w:eastAsia="Calibri"/>
                <w:b/>
                <w:color w:val="auto"/>
                <w:sz w:val="20"/>
              </w:rPr>
              <w:t>Exam</w:t>
            </w:r>
          </w:p>
        </w:tc>
      </w:tr>
      <w:tr w:rsidR="002D08F3" w:rsidRPr="002A4119" w:rsidTr="00593C7D">
        <w:trPr>
          <w:trHeight w:val="287"/>
          <w:jc w:val="center"/>
        </w:trPr>
        <w:tc>
          <w:tcPr>
            <w:tcW w:w="2196" w:type="dxa"/>
            <w:tcBorders>
              <w:right w:val="single" w:sz="4" w:space="0" w:color="auto"/>
            </w:tcBorders>
            <w:shd w:val="clear" w:color="auto" w:fill="FFFFFF"/>
            <w:vAlign w:val="center"/>
          </w:tcPr>
          <w:p w:rsidR="002D08F3" w:rsidRPr="00593C7D" w:rsidRDefault="00B21C45" w:rsidP="00593C7D">
            <w:pPr>
              <w:spacing w:line="180" w:lineRule="exact"/>
              <w:contextualSpacing/>
              <w:rPr>
                <w:rFonts w:eastAsia="Calibri"/>
                <w:color w:val="auto"/>
                <w:sz w:val="18"/>
                <w:szCs w:val="18"/>
              </w:rPr>
            </w:pPr>
            <w:r w:rsidRPr="00593C7D">
              <w:rPr>
                <w:rFonts w:eastAsia="Calibri"/>
                <w:color w:val="auto"/>
                <w:sz w:val="18"/>
                <w:szCs w:val="18"/>
              </w:rPr>
              <w:t>Chronic R</w:t>
            </w:r>
            <w:r w:rsidR="00E7256F" w:rsidRPr="00593C7D">
              <w:rPr>
                <w:rFonts w:eastAsia="Calibri"/>
                <w:color w:val="auto"/>
                <w:sz w:val="18"/>
                <w:szCs w:val="18"/>
              </w:rPr>
              <w:t>ight</w:t>
            </w:r>
            <w:r w:rsidRPr="00593C7D">
              <w:rPr>
                <w:rFonts w:eastAsia="Calibri"/>
                <w:color w:val="auto"/>
                <w:sz w:val="18"/>
                <w:szCs w:val="18"/>
              </w:rPr>
              <w:t xml:space="preserve"> Ankle</w:t>
            </w:r>
            <w:r w:rsidR="00E7256F" w:rsidRPr="00593C7D">
              <w:rPr>
                <w:rFonts w:eastAsia="Calibri"/>
                <w:color w:val="auto"/>
                <w:sz w:val="18"/>
                <w:szCs w:val="18"/>
              </w:rPr>
              <w:t xml:space="preserve"> Pain</w:t>
            </w:r>
          </w:p>
        </w:tc>
        <w:tc>
          <w:tcPr>
            <w:tcW w:w="1062" w:type="dxa"/>
            <w:tcBorders>
              <w:left w:val="single" w:sz="4" w:space="0" w:color="auto"/>
            </w:tcBorders>
            <w:shd w:val="clear" w:color="auto" w:fill="FFFFFF"/>
            <w:vAlign w:val="center"/>
          </w:tcPr>
          <w:p w:rsidR="002D08F3" w:rsidRPr="00593C7D" w:rsidRDefault="00B21C45" w:rsidP="00593C7D">
            <w:pPr>
              <w:spacing w:line="180" w:lineRule="exact"/>
              <w:contextualSpacing/>
              <w:jc w:val="center"/>
              <w:rPr>
                <w:rFonts w:eastAsia="Calibri"/>
                <w:color w:val="auto"/>
                <w:sz w:val="18"/>
                <w:szCs w:val="18"/>
              </w:rPr>
            </w:pPr>
            <w:r w:rsidRPr="00593C7D">
              <w:rPr>
                <w:rFonts w:eastAsia="Calibri"/>
                <w:color w:val="auto"/>
                <w:sz w:val="18"/>
                <w:szCs w:val="18"/>
              </w:rPr>
              <w:t>5099-5003</w:t>
            </w:r>
          </w:p>
        </w:tc>
        <w:tc>
          <w:tcPr>
            <w:tcW w:w="900" w:type="dxa"/>
            <w:tcBorders>
              <w:right w:val="thinThickThinSmallGap" w:sz="24" w:space="0" w:color="auto"/>
            </w:tcBorders>
            <w:shd w:val="clear" w:color="auto" w:fill="FFFFFF"/>
            <w:vAlign w:val="center"/>
          </w:tcPr>
          <w:p w:rsidR="002D08F3" w:rsidRPr="00593C7D" w:rsidRDefault="00B21C45" w:rsidP="00593C7D">
            <w:pPr>
              <w:spacing w:line="180" w:lineRule="exact"/>
              <w:contextualSpacing/>
              <w:jc w:val="center"/>
              <w:rPr>
                <w:rFonts w:eastAsia="Calibri"/>
                <w:color w:val="auto"/>
                <w:sz w:val="18"/>
                <w:szCs w:val="18"/>
                <w:highlight w:val="yellow"/>
              </w:rPr>
            </w:pPr>
            <w:r w:rsidRPr="00593C7D">
              <w:rPr>
                <w:rFonts w:eastAsia="Calibri"/>
                <w:color w:val="auto"/>
                <w:sz w:val="18"/>
                <w:szCs w:val="18"/>
              </w:rPr>
              <w:t>20%</w:t>
            </w:r>
          </w:p>
        </w:tc>
        <w:tc>
          <w:tcPr>
            <w:tcW w:w="2538" w:type="dxa"/>
            <w:tcBorders>
              <w:left w:val="thinThickThinSmallGap" w:sz="24" w:space="0" w:color="auto"/>
            </w:tcBorders>
            <w:shd w:val="clear" w:color="auto" w:fill="FFFFFF"/>
            <w:vAlign w:val="center"/>
          </w:tcPr>
          <w:p w:rsidR="002D08F3" w:rsidRPr="00593C7D" w:rsidRDefault="00FB4C40" w:rsidP="00593C7D">
            <w:pPr>
              <w:spacing w:line="180" w:lineRule="exact"/>
              <w:contextualSpacing/>
              <w:rPr>
                <w:rFonts w:eastAsia="Calibri"/>
                <w:color w:val="auto"/>
                <w:sz w:val="18"/>
                <w:szCs w:val="18"/>
              </w:rPr>
            </w:pPr>
            <w:r w:rsidRPr="00593C7D">
              <w:rPr>
                <w:rFonts w:eastAsia="Calibri"/>
                <w:color w:val="auto"/>
                <w:sz w:val="18"/>
                <w:szCs w:val="18"/>
              </w:rPr>
              <w:t>R</w:t>
            </w:r>
            <w:r w:rsidR="00BF6F31" w:rsidRPr="00593C7D">
              <w:rPr>
                <w:rFonts w:eastAsia="Calibri"/>
                <w:color w:val="auto"/>
                <w:sz w:val="18"/>
                <w:szCs w:val="18"/>
              </w:rPr>
              <w:t>ight</w:t>
            </w:r>
            <w:r w:rsidRPr="00593C7D">
              <w:rPr>
                <w:rFonts w:eastAsia="Calibri"/>
                <w:color w:val="auto"/>
                <w:sz w:val="18"/>
                <w:szCs w:val="18"/>
              </w:rPr>
              <w:t xml:space="preserve"> Ankle Fracture, S</w:t>
            </w:r>
            <w:r w:rsidR="00BF6F31" w:rsidRPr="00593C7D">
              <w:rPr>
                <w:rFonts w:eastAsia="Calibri"/>
                <w:color w:val="auto"/>
                <w:sz w:val="18"/>
                <w:szCs w:val="18"/>
              </w:rPr>
              <w:t>/</w:t>
            </w:r>
            <w:r w:rsidRPr="00593C7D">
              <w:rPr>
                <w:rFonts w:eastAsia="Calibri"/>
                <w:color w:val="auto"/>
                <w:sz w:val="18"/>
                <w:szCs w:val="18"/>
              </w:rPr>
              <w:t>P</w:t>
            </w:r>
            <w:r w:rsidR="00BF6F31" w:rsidRPr="00593C7D">
              <w:rPr>
                <w:rFonts w:eastAsia="Calibri"/>
                <w:color w:val="auto"/>
                <w:sz w:val="18"/>
                <w:szCs w:val="18"/>
              </w:rPr>
              <w:t xml:space="preserve"> </w:t>
            </w:r>
            <w:r w:rsidRPr="00593C7D">
              <w:rPr>
                <w:rFonts w:eastAsia="Calibri"/>
                <w:color w:val="auto"/>
                <w:sz w:val="18"/>
                <w:szCs w:val="18"/>
              </w:rPr>
              <w:t>O</w:t>
            </w:r>
            <w:r w:rsidR="00BF6F31" w:rsidRPr="00593C7D">
              <w:rPr>
                <w:rFonts w:eastAsia="Calibri"/>
                <w:color w:val="auto"/>
                <w:sz w:val="18"/>
                <w:szCs w:val="18"/>
              </w:rPr>
              <w:t>RIF</w:t>
            </w:r>
            <w:r w:rsidRPr="00593C7D">
              <w:rPr>
                <w:rFonts w:eastAsia="Calibri"/>
                <w:color w:val="auto"/>
                <w:sz w:val="18"/>
                <w:szCs w:val="18"/>
              </w:rPr>
              <w:t xml:space="preserve"> </w:t>
            </w:r>
          </w:p>
        </w:tc>
        <w:tc>
          <w:tcPr>
            <w:tcW w:w="1062" w:type="dxa"/>
            <w:shd w:val="clear" w:color="auto" w:fill="FFFFFF"/>
            <w:vAlign w:val="center"/>
          </w:tcPr>
          <w:p w:rsidR="002D08F3" w:rsidRPr="00593C7D" w:rsidRDefault="00FB4C40" w:rsidP="00593C7D">
            <w:pPr>
              <w:spacing w:line="180" w:lineRule="exact"/>
              <w:contextualSpacing/>
              <w:jc w:val="center"/>
              <w:rPr>
                <w:rFonts w:eastAsia="Calibri"/>
                <w:color w:val="auto"/>
                <w:sz w:val="18"/>
                <w:szCs w:val="18"/>
              </w:rPr>
            </w:pPr>
            <w:r w:rsidRPr="00593C7D">
              <w:rPr>
                <w:rFonts w:eastAsia="Calibri"/>
                <w:color w:val="auto"/>
                <w:sz w:val="18"/>
                <w:szCs w:val="18"/>
              </w:rPr>
              <w:t>5271</w:t>
            </w:r>
          </w:p>
        </w:tc>
        <w:tc>
          <w:tcPr>
            <w:tcW w:w="828" w:type="dxa"/>
            <w:shd w:val="clear" w:color="auto" w:fill="FFFFFF"/>
            <w:vAlign w:val="center"/>
          </w:tcPr>
          <w:p w:rsidR="002D08F3" w:rsidRPr="00593C7D" w:rsidRDefault="00FB4C40" w:rsidP="00593C7D">
            <w:pPr>
              <w:spacing w:line="180" w:lineRule="exact"/>
              <w:contextualSpacing/>
              <w:jc w:val="center"/>
              <w:rPr>
                <w:rFonts w:eastAsia="Calibri"/>
                <w:color w:val="auto"/>
                <w:sz w:val="18"/>
                <w:szCs w:val="18"/>
              </w:rPr>
            </w:pPr>
            <w:r w:rsidRPr="00593C7D">
              <w:rPr>
                <w:rFonts w:eastAsia="Calibri"/>
                <w:color w:val="auto"/>
                <w:sz w:val="18"/>
                <w:szCs w:val="18"/>
              </w:rPr>
              <w:t>20%</w:t>
            </w:r>
          </w:p>
        </w:tc>
        <w:tc>
          <w:tcPr>
            <w:tcW w:w="990" w:type="dxa"/>
            <w:shd w:val="clear" w:color="auto" w:fill="FFFFFF"/>
            <w:vAlign w:val="center"/>
          </w:tcPr>
          <w:p w:rsidR="002D08F3" w:rsidRPr="00593C7D" w:rsidRDefault="00FB4C40" w:rsidP="00593C7D">
            <w:pPr>
              <w:spacing w:line="180" w:lineRule="exact"/>
              <w:contextualSpacing/>
              <w:jc w:val="center"/>
              <w:rPr>
                <w:rFonts w:eastAsia="Calibri"/>
                <w:color w:val="auto"/>
                <w:sz w:val="18"/>
                <w:szCs w:val="18"/>
                <w:highlight w:val="yellow"/>
              </w:rPr>
            </w:pPr>
            <w:r w:rsidRPr="00593C7D">
              <w:rPr>
                <w:rFonts w:eastAsia="Calibri"/>
                <w:color w:val="auto"/>
                <w:sz w:val="18"/>
                <w:szCs w:val="18"/>
              </w:rPr>
              <w:t>20051001</w:t>
            </w:r>
          </w:p>
        </w:tc>
      </w:tr>
      <w:tr w:rsidR="002D08F3" w:rsidRPr="002A4119" w:rsidTr="00593C7D">
        <w:trPr>
          <w:trHeight w:val="287"/>
          <w:jc w:val="center"/>
        </w:trPr>
        <w:tc>
          <w:tcPr>
            <w:tcW w:w="2196" w:type="dxa"/>
            <w:tcBorders>
              <w:right w:val="single" w:sz="4" w:space="0" w:color="auto"/>
            </w:tcBorders>
            <w:shd w:val="clear" w:color="auto" w:fill="FFFFFF"/>
            <w:vAlign w:val="center"/>
          </w:tcPr>
          <w:p w:rsidR="002D08F3" w:rsidRPr="00593C7D" w:rsidRDefault="00B21C45" w:rsidP="00593C7D">
            <w:pPr>
              <w:spacing w:line="180" w:lineRule="exact"/>
              <w:contextualSpacing/>
              <w:rPr>
                <w:rFonts w:eastAsia="Calibri"/>
                <w:color w:val="auto"/>
                <w:sz w:val="18"/>
                <w:szCs w:val="18"/>
              </w:rPr>
            </w:pPr>
            <w:r w:rsidRPr="00593C7D">
              <w:rPr>
                <w:rFonts w:eastAsia="Calibri"/>
                <w:color w:val="auto"/>
                <w:sz w:val="18"/>
                <w:szCs w:val="18"/>
              </w:rPr>
              <w:t>Bilateral Plantar Fasciitis</w:t>
            </w:r>
          </w:p>
        </w:tc>
        <w:tc>
          <w:tcPr>
            <w:tcW w:w="1062" w:type="dxa"/>
            <w:tcBorders>
              <w:left w:val="single" w:sz="4" w:space="0" w:color="auto"/>
            </w:tcBorders>
            <w:shd w:val="clear" w:color="auto" w:fill="FFFFFF"/>
            <w:vAlign w:val="center"/>
          </w:tcPr>
          <w:p w:rsidR="002D08F3" w:rsidRPr="00593C7D" w:rsidRDefault="00B21C45" w:rsidP="00593C7D">
            <w:pPr>
              <w:spacing w:line="180" w:lineRule="exact"/>
              <w:contextualSpacing/>
              <w:jc w:val="center"/>
              <w:rPr>
                <w:rFonts w:eastAsia="Calibri"/>
                <w:color w:val="auto"/>
                <w:sz w:val="18"/>
                <w:szCs w:val="18"/>
              </w:rPr>
            </w:pPr>
            <w:r w:rsidRPr="00593C7D">
              <w:rPr>
                <w:rFonts w:eastAsia="Calibri"/>
                <w:color w:val="auto"/>
                <w:sz w:val="18"/>
                <w:szCs w:val="18"/>
              </w:rPr>
              <w:t>5399-5310</w:t>
            </w:r>
          </w:p>
        </w:tc>
        <w:tc>
          <w:tcPr>
            <w:tcW w:w="900" w:type="dxa"/>
            <w:tcBorders>
              <w:right w:val="thinThickThinSmallGap" w:sz="24" w:space="0" w:color="auto"/>
            </w:tcBorders>
            <w:shd w:val="clear" w:color="auto" w:fill="FFFFFF"/>
            <w:vAlign w:val="center"/>
          </w:tcPr>
          <w:p w:rsidR="002D08F3" w:rsidRPr="00593C7D" w:rsidRDefault="00B21C45" w:rsidP="00593C7D">
            <w:pPr>
              <w:spacing w:line="180" w:lineRule="exact"/>
              <w:contextualSpacing/>
              <w:jc w:val="center"/>
              <w:rPr>
                <w:rFonts w:eastAsia="Calibri"/>
                <w:color w:val="auto"/>
                <w:sz w:val="18"/>
                <w:szCs w:val="18"/>
                <w:highlight w:val="yellow"/>
              </w:rPr>
            </w:pPr>
            <w:r w:rsidRPr="00593C7D">
              <w:rPr>
                <w:rFonts w:eastAsia="Calibri"/>
                <w:color w:val="auto"/>
                <w:sz w:val="18"/>
                <w:szCs w:val="18"/>
              </w:rPr>
              <w:t>0%</w:t>
            </w:r>
          </w:p>
        </w:tc>
        <w:tc>
          <w:tcPr>
            <w:tcW w:w="2538" w:type="dxa"/>
            <w:tcBorders>
              <w:left w:val="thinThickThinSmallGap" w:sz="24" w:space="0" w:color="auto"/>
              <w:right w:val="single" w:sz="4" w:space="0" w:color="auto"/>
            </w:tcBorders>
            <w:shd w:val="clear" w:color="auto" w:fill="FFFFFF"/>
            <w:vAlign w:val="center"/>
          </w:tcPr>
          <w:p w:rsidR="002D08F3" w:rsidRPr="00593C7D" w:rsidRDefault="00FB4C40" w:rsidP="00593C7D">
            <w:pPr>
              <w:spacing w:line="180" w:lineRule="exact"/>
              <w:contextualSpacing/>
              <w:rPr>
                <w:rFonts w:eastAsia="Calibri"/>
                <w:color w:val="auto"/>
                <w:sz w:val="18"/>
                <w:szCs w:val="18"/>
              </w:rPr>
            </w:pPr>
            <w:r w:rsidRPr="00593C7D">
              <w:rPr>
                <w:rFonts w:eastAsia="Calibri"/>
                <w:color w:val="auto"/>
                <w:sz w:val="18"/>
                <w:szCs w:val="18"/>
              </w:rPr>
              <w:t>Bilateral Plantar Fasciitis</w:t>
            </w:r>
          </w:p>
        </w:tc>
        <w:tc>
          <w:tcPr>
            <w:tcW w:w="1062" w:type="dxa"/>
            <w:tcBorders>
              <w:left w:val="single" w:sz="4" w:space="0" w:color="auto"/>
            </w:tcBorders>
            <w:shd w:val="clear" w:color="auto" w:fill="FFFFFF"/>
            <w:vAlign w:val="center"/>
          </w:tcPr>
          <w:p w:rsidR="002D08F3" w:rsidRPr="00593C7D" w:rsidRDefault="00FB4C40" w:rsidP="00593C7D">
            <w:pPr>
              <w:spacing w:line="180" w:lineRule="exact"/>
              <w:contextualSpacing/>
              <w:jc w:val="center"/>
              <w:rPr>
                <w:rFonts w:eastAsia="Calibri"/>
                <w:color w:val="auto"/>
                <w:sz w:val="18"/>
                <w:szCs w:val="18"/>
              </w:rPr>
            </w:pPr>
            <w:r w:rsidRPr="00593C7D">
              <w:rPr>
                <w:rFonts w:eastAsia="Calibri"/>
                <w:color w:val="auto"/>
                <w:sz w:val="18"/>
                <w:szCs w:val="18"/>
              </w:rPr>
              <w:t>5299-5276</w:t>
            </w:r>
          </w:p>
        </w:tc>
        <w:tc>
          <w:tcPr>
            <w:tcW w:w="828" w:type="dxa"/>
            <w:shd w:val="clear" w:color="auto" w:fill="FFFFFF"/>
            <w:vAlign w:val="center"/>
          </w:tcPr>
          <w:p w:rsidR="002D08F3" w:rsidRPr="00593C7D" w:rsidRDefault="00FB4C40" w:rsidP="00593C7D">
            <w:pPr>
              <w:spacing w:line="180" w:lineRule="exact"/>
              <w:contextualSpacing/>
              <w:jc w:val="center"/>
              <w:rPr>
                <w:rFonts w:eastAsia="Calibri"/>
                <w:color w:val="auto"/>
                <w:sz w:val="18"/>
                <w:szCs w:val="18"/>
              </w:rPr>
            </w:pPr>
            <w:r w:rsidRPr="00593C7D">
              <w:rPr>
                <w:rFonts w:eastAsia="Calibri"/>
                <w:color w:val="auto"/>
                <w:sz w:val="18"/>
                <w:szCs w:val="18"/>
              </w:rPr>
              <w:t>0%</w:t>
            </w:r>
          </w:p>
        </w:tc>
        <w:tc>
          <w:tcPr>
            <w:tcW w:w="990" w:type="dxa"/>
            <w:shd w:val="clear" w:color="auto" w:fill="FFFFFF"/>
            <w:vAlign w:val="center"/>
          </w:tcPr>
          <w:p w:rsidR="002D08F3" w:rsidRPr="00593C7D" w:rsidRDefault="00FB4C40" w:rsidP="00593C7D">
            <w:pPr>
              <w:spacing w:line="180" w:lineRule="exact"/>
              <w:contextualSpacing/>
              <w:jc w:val="center"/>
              <w:rPr>
                <w:rFonts w:eastAsia="Calibri"/>
                <w:color w:val="auto"/>
                <w:sz w:val="18"/>
                <w:szCs w:val="18"/>
                <w:highlight w:val="yellow"/>
              </w:rPr>
            </w:pPr>
            <w:r w:rsidRPr="00593C7D">
              <w:rPr>
                <w:rFonts w:eastAsia="Calibri"/>
                <w:color w:val="auto"/>
                <w:sz w:val="18"/>
                <w:szCs w:val="18"/>
              </w:rPr>
              <w:t>20051001</w:t>
            </w:r>
          </w:p>
        </w:tc>
      </w:tr>
      <w:tr w:rsidR="002F356C" w:rsidRPr="002A4119" w:rsidTr="00593C7D">
        <w:trPr>
          <w:trHeight w:val="287"/>
          <w:jc w:val="center"/>
        </w:trPr>
        <w:tc>
          <w:tcPr>
            <w:tcW w:w="4158" w:type="dxa"/>
            <w:gridSpan w:val="3"/>
            <w:vMerge w:val="restart"/>
            <w:tcBorders>
              <w:right w:val="thinThickThinSmallGap" w:sz="24" w:space="0" w:color="auto"/>
            </w:tcBorders>
            <w:shd w:val="clear" w:color="auto" w:fill="FFFFFF"/>
            <w:vAlign w:val="center"/>
          </w:tcPr>
          <w:p w:rsidR="002F356C" w:rsidRPr="00593C7D" w:rsidRDefault="002F356C" w:rsidP="00593C7D">
            <w:pPr>
              <w:spacing w:line="180" w:lineRule="exact"/>
              <w:contextualSpacing/>
              <w:jc w:val="center"/>
              <w:rPr>
                <w:rFonts w:eastAsia="Calibri"/>
                <w:color w:val="auto"/>
                <w:sz w:val="18"/>
                <w:szCs w:val="18"/>
              </w:rPr>
            </w:pPr>
            <w:r w:rsidRPr="00593C7D">
              <w:rPr>
                <w:rFonts w:eastAsia="Calibri"/>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vAlign w:val="center"/>
          </w:tcPr>
          <w:p w:rsidR="002F356C" w:rsidRPr="00593C7D" w:rsidRDefault="00FB4C40" w:rsidP="00593C7D">
            <w:pPr>
              <w:spacing w:line="180" w:lineRule="exact"/>
              <w:contextualSpacing/>
              <w:rPr>
                <w:rFonts w:eastAsia="Calibri"/>
                <w:color w:val="auto"/>
                <w:sz w:val="18"/>
                <w:szCs w:val="18"/>
              </w:rPr>
            </w:pPr>
            <w:r w:rsidRPr="00593C7D">
              <w:rPr>
                <w:rFonts w:eastAsia="Calibri"/>
                <w:color w:val="auto"/>
                <w:sz w:val="18"/>
                <w:szCs w:val="18"/>
              </w:rPr>
              <w:t>IBS</w:t>
            </w:r>
          </w:p>
        </w:tc>
        <w:tc>
          <w:tcPr>
            <w:tcW w:w="1062" w:type="dxa"/>
            <w:tcBorders>
              <w:left w:val="single" w:sz="4" w:space="0" w:color="auto"/>
              <w:right w:val="single" w:sz="4" w:space="0" w:color="auto"/>
            </w:tcBorders>
            <w:shd w:val="clear" w:color="auto" w:fill="FFFFFF"/>
            <w:vAlign w:val="center"/>
          </w:tcPr>
          <w:p w:rsidR="002F356C" w:rsidRPr="00593C7D" w:rsidRDefault="00FB4C40" w:rsidP="00593C7D">
            <w:pPr>
              <w:spacing w:line="180" w:lineRule="exact"/>
              <w:contextualSpacing/>
              <w:jc w:val="center"/>
              <w:rPr>
                <w:rFonts w:eastAsia="Calibri"/>
                <w:color w:val="auto"/>
                <w:sz w:val="18"/>
                <w:szCs w:val="18"/>
              </w:rPr>
            </w:pPr>
            <w:r w:rsidRPr="00593C7D">
              <w:rPr>
                <w:rFonts w:eastAsia="Calibri"/>
                <w:color w:val="auto"/>
                <w:sz w:val="18"/>
                <w:szCs w:val="18"/>
              </w:rPr>
              <w:t>7319</w:t>
            </w:r>
          </w:p>
        </w:tc>
        <w:tc>
          <w:tcPr>
            <w:tcW w:w="828" w:type="dxa"/>
            <w:tcBorders>
              <w:left w:val="single" w:sz="4" w:space="0" w:color="auto"/>
            </w:tcBorders>
            <w:shd w:val="clear" w:color="auto" w:fill="FFFFFF"/>
            <w:vAlign w:val="center"/>
          </w:tcPr>
          <w:p w:rsidR="002F356C" w:rsidRPr="00593C7D" w:rsidRDefault="00FB4C40" w:rsidP="00593C7D">
            <w:pPr>
              <w:spacing w:line="180" w:lineRule="exact"/>
              <w:contextualSpacing/>
              <w:jc w:val="center"/>
              <w:rPr>
                <w:rFonts w:eastAsia="Calibri"/>
                <w:color w:val="auto"/>
                <w:sz w:val="18"/>
                <w:szCs w:val="18"/>
              </w:rPr>
            </w:pPr>
            <w:r w:rsidRPr="00593C7D">
              <w:rPr>
                <w:rFonts w:eastAsia="Calibri"/>
                <w:color w:val="auto"/>
                <w:sz w:val="18"/>
                <w:szCs w:val="18"/>
              </w:rPr>
              <w:t>10%</w:t>
            </w:r>
          </w:p>
        </w:tc>
        <w:tc>
          <w:tcPr>
            <w:tcW w:w="990" w:type="dxa"/>
            <w:shd w:val="clear" w:color="auto" w:fill="FFFFFF"/>
            <w:vAlign w:val="center"/>
          </w:tcPr>
          <w:p w:rsidR="002F356C" w:rsidRPr="00593C7D" w:rsidRDefault="00FB4C40" w:rsidP="00593C7D">
            <w:pPr>
              <w:spacing w:line="180" w:lineRule="exact"/>
              <w:contextualSpacing/>
              <w:jc w:val="center"/>
              <w:rPr>
                <w:rFonts w:eastAsia="Calibri"/>
                <w:color w:val="auto"/>
                <w:sz w:val="18"/>
                <w:szCs w:val="18"/>
                <w:highlight w:val="yellow"/>
              </w:rPr>
            </w:pPr>
            <w:r w:rsidRPr="00593C7D">
              <w:rPr>
                <w:rFonts w:eastAsia="Calibri"/>
                <w:color w:val="auto"/>
                <w:sz w:val="18"/>
                <w:szCs w:val="18"/>
              </w:rPr>
              <w:t>20051001</w:t>
            </w:r>
          </w:p>
        </w:tc>
      </w:tr>
      <w:tr w:rsidR="002F356C" w:rsidRPr="002A4119" w:rsidTr="00593C7D">
        <w:trPr>
          <w:trHeight w:val="260"/>
          <w:jc w:val="center"/>
        </w:trPr>
        <w:tc>
          <w:tcPr>
            <w:tcW w:w="4158" w:type="dxa"/>
            <w:gridSpan w:val="3"/>
            <w:vMerge/>
            <w:tcBorders>
              <w:right w:val="thinThickThinSmallGap" w:sz="24" w:space="0" w:color="auto"/>
            </w:tcBorders>
            <w:shd w:val="clear" w:color="auto" w:fill="FFFFFF"/>
          </w:tcPr>
          <w:p w:rsidR="002F356C" w:rsidRPr="00593C7D" w:rsidRDefault="002F356C" w:rsidP="00593C7D">
            <w:pPr>
              <w:spacing w:line="180" w:lineRule="exact"/>
              <w:contextualSpacing/>
              <w:jc w:val="center"/>
              <w:rPr>
                <w:rFonts w:eastAsia="Calibri"/>
                <w:color w:val="auto"/>
                <w:sz w:val="18"/>
                <w:szCs w:val="18"/>
              </w:rPr>
            </w:pPr>
          </w:p>
        </w:tc>
        <w:tc>
          <w:tcPr>
            <w:tcW w:w="4428" w:type="dxa"/>
            <w:gridSpan w:val="3"/>
            <w:tcBorders>
              <w:left w:val="thinThickThinSmallGap" w:sz="24" w:space="0" w:color="auto"/>
            </w:tcBorders>
            <w:shd w:val="clear" w:color="auto" w:fill="FFFFFF"/>
            <w:vAlign w:val="center"/>
          </w:tcPr>
          <w:p w:rsidR="002F356C" w:rsidRPr="00593C7D" w:rsidRDefault="002F356C" w:rsidP="00593C7D">
            <w:pPr>
              <w:spacing w:line="180" w:lineRule="exact"/>
              <w:contextualSpacing/>
              <w:jc w:val="center"/>
              <w:rPr>
                <w:rFonts w:eastAsia="Calibri"/>
                <w:color w:val="auto"/>
                <w:sz w:val="18"/>
                <w:szCs w:val="18"/>
              </w:rPr>
            </w:pPr>
            <w:r w:rsidRPr="00593C7D">
              <w:rPr>
                <w:rFonts w:eastAsia="Calibri"/>
                <w:color w:val="auto"/>
                <w:sz w:val="18"/>
                <w:szCs w:val="18"/>
              </w:rPr>
              <w:t xml:space="preserve">0% x </w:t>
            </w:r>
            <w:r w:rsidR="00E7256F" w:rsidRPr="00593C7D">
              <w:rPr>
                <w:rFonts w:eastAsia="Calibri"/>
                <w:color w:val="auto"/>
                <w:sz w:val="18"/>
                <w:szCs w:val="18"/>
              </w:rPr>
              <w:t xml:space="preserve">4 (includes above) </w:t>
            </w:r>
            <w:r w:rsidR="00FB4C40" w:rsidRPr="00593C7D">
              <w:rPr>
                <w:rFonts w:eastAsia="Calibri"/>
                <w:color w:val="auto"/>
                <w:sz w:val="18"/>
                <w:szCs w:val="18"/>
              </w:rPr>
              <w:t>/</w:t>
            </w:r>
            <w:r w:rsidR="00E7256F" w:rsidRPr="00593C7D">
              <w:rPr>
                <w:rFonts w:eastAsia="Calibri"/>
                <w:color w:val="auto"/>
                <w:sz w:val="18"/>
                <w:szCs w:val="18"/>
              </w:rPr>
              <w:t xml:space="preserve"> </w:t>
            </w:r>
            <w:r w:rsidRPr="00593C7D">
              <w:rPr>
                <w:rFonts w:eastAsia="Calibri"/>
                <w:color w:val="auto"/>
                <w:sz w:val="18"/>
                <w:szCs w:val="18"/>
              </w:rPr>
              <w:t xml:space="preserve">Not Service Connected x </w:t>
            </w:r>
            <w:r w:rsidR="00FB4C40" w:rsidRPr="00593C7D">
              <w:rPr>
                <w:rFonts w:eastAsia="Calibri"/>
                <w:color w:val="auto"/>
                <w:sz w:val="18"/>
                <w:szCs w:val="18"/>
              </w:rPr>
              <w:t>3</w:t>
            </w:r>
          </w:p>
        </w:tc>
        <w:tc>
          <w:tcPr>
            <w:tcW w:w="990" w:type="dxa"/>
            <w:shd w:val="clear" w:color="auto" w:fill="FFFFFF"/>
            <w:vAlign w:val="center"/>
          </w:tcPr>
          <w:p w:rsidR="002F356C" w:rsidRPr="00593C7D" w:rsidRDefault="002F356C" w:rsidP="00593C7D">
            <w:pPr>
              <w:spacing w:line="180" w:lineRule="exact"/>
              <w:contextualSpacing/>
              <w:jc w:val="center"/>
              <w:rPr>
                <w:rFonts w:eastAsia="Calibri"/>
                <w:color w:val="auto"/>
                <w:sz w:val="18"/>
                <w:szCs w:val="18"/>
              </w:rPr>
            </w:pPr>
            <w:r w:rsidRPr="00593C7D">
              <w:rPr>
                <w:rFonts w:eastAsia="Calibri"/>
                <w:color w:val="auto"/>
                <w:sz w:val="18"/>
                <w:szCs w:val="18"/>
              </w:rPr>
              <w:t>200</w:t>
            </w:r>
            <w:r w:rsidR="00FB4C40" w:rsidRPr="00593C7D">
              <w:rPr>
                <w:rFonts w:eastAsia="Calibri"/>
                <w:color w:val="auto"/>
                <w:sz w:val="18"/>
                <w:szCs w:val="18"/>
              </w:rPr>
              <w:t>51001</w:t>
            </w:r>
          </w:p>
        </w:tc>
      </w:tr>
      <w:tr w:rsidR="007A65A9" w:rsidRPr="002A4119" w:rsidTr="00593C7D">
        <w:trPr>
          <w:trHeight w:val="242"/>
          <w:jc w:val="center"/>
        </w:trPr>
        <w:tc>
          <w:tcPr>
            <w:tcW w:w="4158" w:type="dxa"/>
            <w:gridSpan w:val="3"/>
            <w:tcBorders>
              <w:right w:val="thinThickThinSmallGap" w:sz="24" w:space="0" w:color="auto"/>
            </w:tcBorders>
            <w:shd w:val="clear" w:color="auto" w:fill="D9D9D9"/>
            <w:vAlign w:val="center"/>
          </w:tcPr>
          <w:p w:rsidR="007A65A9" w:rsidRPr="00593C7D" w:rsidRDefault="007A65A9" w:rsidP="00593C7D">
            <w:pPr>
              <w:spacing w:line="200" w:lineRule="exact"/>
              <w:contextualSpacing/>
              <w:jc w:val="center"/>
              <w:rPr>
                <w:rFonts w:eastAsia="Calibri"/>
                <w:b/>
                <w:color w:val="auto"/>
                <w:sz w:val="20"/>
              </w:rPr>
            </w:pPr>
            <w:r w:rsidRPr="00593C7D">
              <w:rPr>
                <w:rFonts w:eastAsia="Calibri"/>
                <w:b/>
                <w:color w:val="auto"/>
                <w:sz w:val="20"/>
              </w:rPr>
              <w:t xml:space="preserve">Combined: </w:t>
            </w:r>
            <w:r w:rsidR="006458FD" w:rsidRPr="00593C7D">
              <w:rPr>
                <w:rFonts w:eastAsia="Calibri"/>
                <w:b/>
                <w:color w:val="auto"/>
                <w:sz w:val="20"/>
              </w:rPr>
              <w:t xml:space="preserve"> </w:t>
            </w:r>
            <w:r w:rsidR="002F356C" w:rsidRPr="00593C7D">
              <w:rPr>
                <w:rFonts w:eastAsia="Calibri"/>
                <w:b/>
                <w:color w:val="auto"/>
                <w:sz w:val="20"/>
              </w:rPr>
              <w:t>20</w:t>
            </w:r>
            <w:r w:rsidRPr="00593C7D">
              <w:rPr>
                <w:rFonts w:eastAsia="Calibri"/>
                <w:b/>
                <w:color w:val="auto"/>
                <w:sz w:val="20"/>
              </w:rPr>
              <w:t>%</w:t>
            </w:r>
          </w:p>
        </w:tc>
        <w:tc>
          <w:tcPr>
            <w:tcW w:w="5418" w:type="dxa"/>
            <w:gridSpan w:val="4"/>
            <w:tcBorders>
              <w:left w:val="thinThickThinSmallGap" w:sz="24" w:space="0" w:color="auto"/>
            </w:tcBorders>
            <w:shd w:val="clear" w:color="auto" w:fill="D9D9D9"/>
            <w:vAlign w:val="center"/>
          </w:tcPr>
          <w:p w:rsidR="007A65A9" w:rsidRPr="00593C7D" w:rsidRDefault="007A65A9" w:rsidP="00593C7D">
            <w:pPr>
              <w:spacing w:line="200" w:lineRule="exact"/>
              <w:contextualSpacing/>
              <w:jc w:val="center"/>
              <w:rPr>
                <w:rFonts w:eastAsia="Calibri"/>
                <w:b/>
                <w:color w:val="auto"/>
                <w:sz w:val="20"/>
              </w:rPr>
            </w:pPr>
            <w:r w:rsidRPr="00593C7D">
              <w:rPr>
                <w:rFonts w:eastAsia="Calibri"/>
                <w:b/>
                <w:color w:val="auto"/>
                <w:sz w:val="20"/>
              </w:rPr>
              <w:t xml:space="preserve">Combined:  </w:t>
            </w:r>
            <w:r w:rsidR="00FB4C40" w:rsidRPr="00593C7D">
              <w:rPr>
                <w:rFonts w:eastAsia="Calibri"/>
                <w:b/>
                <w:color w:val="auto"/>
                <w:sz w:val="20"/>
              </w:rPr>
              <w:t>3</w:t>
            </w:r>
            <w:r w:rsidR="006F0F9C" w:rsidRPr="00593C7D">
              <w:rPr>
                <w:rFonts w:eastAsia="Calibri"/>
                <w:b/>
                <w:color w:val="auto"/>
                <w:sz w:val="20"/>
              </w:rPr>
              <w:t>0</w:t>
            </w:r>
            <w:r w:rsidRPr="00593C7D">
              <w:rPr>
                <w:rFonts w:eastAsia="Calibri"/>
                <w:b/>
                <w:color w:val="auto"/>
                <w:sz w:val="20"/>
              </w:rPr>
              <w:t>%</w:t>
            </w:r>
          </w:p>
        </w:tc>
      </w:tr>
    </w:tbl>
    <w:p w:rsidR="00437D18" w:rsidRPr="00391858" w:rsidRDefault="00437D18" w:rsidP="00510F9C">
      <w:pPr>
        <w:pBdr>
          <w:bottom w:val="single" w:sz="12" w:space="1" w:color="auto"/>
        </w:pBdr>
        <w:tabs>
          <w:tab w:val="left" w:pos="288"/>
          <w:tab w:val="left" w:pos="4752"/>
        </w:tabs>
        <w:spacing w:line="240" w:lineRule="exact"/>
        <w:jc w:val="both"/>
        <w:rPr>
          <w:b/>
          <w:color w:val="auto"/>
          <w:u w:val="single"/>
        </w:rPr>
      </w:pPr>
    </w:p>
    <w:p w:rsidR="00312A23" w:rsidRDefault="00312A23" w:rsidP="00C6170B">
      <w:pPr>
        <w:rPr>
          <w:color w:val="auto"/>
          <w:szCs w:val="24"/>
          <w:u w:val="single"/>
        </w:rPr>
      </w:pPr>
    </w:p>
    <w:p w:rsidR="00101EA9" w:rsidRDefault="002C6E5B" w:rsidP="00101EA9">
      <w:pPr>
        <w:spacing w:line="240" w:lineRule="exact"/>
        <w:jc w:val="both"/>
        <w:rPr>
          <w:rFonts w:asciiTheme="minorHAnsi" w:hAnsiTheme="minorHAnsi"/>
          <w:color w:val="auto"/>
          <w:szCs w:val="24"/>
        </w:rPr>
      </w:pPr>
      <w:r w:rsidRPr="00396779">
        <w:rPr>
          <w:color w:val="auto"/>
          <w:szCs w:val="24"/>
          <w:u w:val="single"/>
        </w:rPr>
        <w:t>ANALYSIS SUMMARY</w:t>
      </w:r>
      <w:r w:rsidRPr="00396779">
        <w:rPr>
          <w:color w:val="auto"/>
          <w:szCs w:val="24"/>
        </w:rPr>
        <w:t>:</w:t>
      </w:r>
      <w:r w:rsidR="00874E69">
        <w:rPr>
          <w:color w:val="auto"/>
          <w:szCs w:val="24"/>
        </w:rPr>
        <w:t xml:space="preserve">  </w:t>
      </w:r>
      <w:r w:rsidR="00727FD0" w:rsidRPr="00636A4F">
        <w:rPr>
          <w:color w:val="auto"/>
          <w:szCs w:val="24"/>
        </w:rPr>
        <w:t xml:space="preserve">The Military Services, by law, can only rate and compensate for those conditions that were found unfitting for continued military service based on the severity of the condition at the time of separation and not based on possible future changes.  However, the </w:t>
      </w:r>
      <w:r w:rsidR="0053238D">
        <w:rPr>
          <w:color w:val="auto"/>
          <w:szCs w:val="24"/>
        </w:rPr>
        <w:t>Department of Veterans’ Affairs (D</w:t>
      </w:r>
      <w:r w:rsidR="00727FD0" w:rsidRPr="00636A4F">
        <w:rPr>
          <w:color w:val="auto"/>
          <w:szCs w:val="24"/>
        </w:rPr>
        <w:t>VA</w:t>
      </w:r>
      <w:r w:rsidR="0053238D">
        <w:rPr>
          <w:color w:val="auto"/>
          <w:szCs w:val="24"/>
        </w:rPr>
        <w:t>)</w:t>
      </w:r>
      <w:r w:rsidR="00727FD0" w:rsidRPr="00636A4F">
        <w:rPr>
          <w:color w:val="auto"/>
          <w:szCs w:val="24"/>
        </w:rPr>
        <w:t xml:space="preserve">, </w:t>
      </w:r>
      <w:r w:rsidR="00727FD0" w:rsidRPr="004C721F">
        <w:rPr>
          <w:color w:val="auto"/>
          <w:szCs w:val="24"/>
        </w:rPr>
        <w:t>operating under a different set of laws</w:t>
      </w:r>
      <w:r w:rsidR="00727FD0" w:rsidRPr="00636A4F">
        <w:rPr>
          <w:color w:val="auto"/>
          <w:szCs w:val="24"/>
        </w:rPr>
        <w:t xml:space="preserve">, can rate and </w:t>
      </w:r>
      <w:r w:rsidR="00727FD0" w:rsidRPr="00636A4F">
        <w:rPr>
          <w:color w:val="auto"/>
          <w:szCs w:val="24"/>
        </w:rPr>
        <w:lastRenderedPageBreak/>
        <w:t xml:space="preserve">compensate all service connected conditions without regard to their impact on performance of military duties, including conditions developing after separation that are direct complications of a service connected condition.  The </w:t>
      </w:r>
      <w:r w:rsidR="001E0821">
        <w:rPr>
          <w:color w:val="auto"/>
          <w:szCs w:val="24"/>
        </w:rPr>
        <w:t>D</w:t>
      </w:r>
      <w:r w:rsidR="00727FD0" w:rsidRPr="00636A4F">
        <w:rPr>
          <w:color w:val="auto"/>
          <w:szCs w:val="24"/>
        </w:rPr>
        <w:t xml:space="preserve">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at the time of separation.  </w:t>
      </w:r>
      <w:r w:rsidR="00727FD0" w:rsidRPr="001F5378">
        <w:rPr>
          <w:color w:val="auto"/>
          <w:szCs w:val="24"/>
        </w:rPr>
        <w:t xml:space="preserve">The Board’s threshold for countering DES fitness determinations is higher than the VASRD §4.3 reasonable doubt standard used for its rating recommendations; but, remains adherent to the </w:t>
      </w:r>
      <w:proofErr w:type="spellStart"/>
      <w:r w:rsidR="00727FD0" w:rsidRPr="001F5378">
        <w:rPr>
          <w:color w:val="auto"/>
          <w:szCs w:val="24"/>
        </w:rPr>
        <w:t>DoDI</w:t>
      </w:r>
      <w:proofErr w:type="spellEnd"/>
      <w:r w:rsidR="00727FD0" w:rsidRPr="001F5378">
        <w:rPr>
          <w:color w:val="auto"/>
          <w:szCs w:val="24"/>
        </w:rPr>
        <w:t xml:space="preserve"> 6040.44 “fair and equitable” standard.</w:t>
      </w:r>
      <w:r w:rsidR="00101EA9">
        <w:rPr>
          <w:color w:val="auto"/>
          <w:szCs w:val="24"/>
        </w:rPr>
        <w:t xml:space="preserve">  </w:t>
      </w:r>
      <w:r w:rsidR="00101EA9" w:rsidRPr="00D53297">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suspected </w:t>
      </w:r>
      <w:r w:rsidR="00101EA9">
        <w:rPr>
          <w:rFonts w:asciiTheme="minorHAnsi" w:hAnsiTheme="minorHAnsi"/>
          <w:color w:val="auto"/>
          <w:szCs w:val="24"/>
        </w:rPr>
        <w:t>missed diagnoses</w:t>
      </w:r>
      <w:r w:rsidR="00101EA9" w:rsidRPr="00D53297">
        <w:rPr>
          <w:rFonts w:asciiTheme="minorHAnsi" w:hAnsiTheme="minorHAnsi"/>
          <w:color w:val="auto"/>
          <w:szCs w:val="24"/>
        </w:rPr>
        <w:t>.</w:t>
      </w:r>
    </w:p>
    <w:p w:rsidR="00D27EEF" w:rsidRDefault="00D27EEF" w:rsidP="00EC1611">
      <w:pPr>
        <w:spacing w:line="240" w:lineRule="exact"/>
        <w:jc w:val="both"/>
        <w:rPr>
          <w:color w:val="auto"/>
          <w:szCs w:val="24"/>
          <w:u w:val="single"/>
        </w:rPr>
      </w:pPr>
    </w:p>
    <w:p w:rsidR="00570706" w:rsidRDefault="00570706" w:rsidP="00EC1611">
      <w:pPr>
        <w:spacing w:line="240" w:lineRule="exact"/>
        <w:jc w:val="both"/>
        <w:rPr>
          <w:color w:val="auto"/>
          <w:szCs w:val="24"/>
        </w:rPr>
      </w:pPr>
      <w:proofErr w:type="gramStart"/>
      <w:r>
        <w:rPr>
          <w:color w:val="auto"/>
          <w:szCs w:val="24"/>
          <w:u w:val="single"/>
        </w:rPr>
        <w:t>Chronic Right Ankle Pain</w:t>
      </w:r>
      <w:r w:rsidR="00727FD0">
        <w:rPr>
          <w:color w:val="auto"/>
          <w:szCs w:val="24"/>
          <w:u w:val="single"/>
        </w:rPr>
        <w:t xml:space="preserve"> Condition</w:t>
      </w:r>
      <w:r w:rsidR="004C60A3" w:rsidRPr="004C60A3">
        <w:rPr>
          <w:color w:val="auto"/>
          <w:szCs w:val="24"/>
          <w:u w:val="single"/>
        </w:rPr>
        <w:t>.</w:t>
      </w:r>
      <w:proofErr w:type="gramEnd"/>
      <w:r w:rsidR="001E0821" w:rsidRPr="001E0821">
        <w:rPr>
          <w:color w:val="auto"/>
          <w:szCs w:val="24"/>
        </w:rPr>
        <w:t xml:space="preserve">  </w:t>
      </w:r>
      <w:r w:rsidRPr="00664296">
        <w:rPr>
          <w:color w:val="auto"/>
          <w:szCs w:val="24"/>
        </w:rPr>
        <w:t xml:space="preserve">There were </w:t>
      </w:r>
      <w:r w:rsidR="00334431">
        <w:rPr>
          <w:color w:val="auto"/>
          <w:szCs w:val="24"/>
        </w:rPr>
        <w:t xml:space="preserve">four </w:t>
      </w:r>
      <w:r>
        <w:rPr>
          <w:color w:val="auto"/>
          <w:szCs w:val="24"/>
        </w:rPr>
        <w:t>goniomet</w:t>
      </w:r>
      <w:r w:rsidR="009B4968">
        <w:rPr>
          <w:color w:val="auto"/>
          <w:szCs w:val="24"/>
        </w:rPr>
        <w:t>ric</w:t>
      </w:r>
      <w:r w:rsidRPr="00664296">
        <w:rPr>
          <w:color w:val="auto"/>
          <w:szCs w:val="24"/>
        </w:rPr>
        <w:t xml:space="preserve"> range-of-motion (ROM) evaluations in evidence which the Board weighed in arrivin</w:t>
      </w:r>
      <w:r w:rsidR="007C06B9">
        <w:rPr>
          <w:color w:val="auto"/>
          <w:szCs w:val="24"/>
        </w:rPr>
        <w:t xml:space="preserve">g at its rating recommendation.  </w:t>
      </w:r>
      <w:r w:rsidR="00AE7E3E">
        <w:rPr>
          <w:color w:val="auto"/>
          <w:szCs w:val="24"/>
        </w:rPr>
        <w:t>T</w:t>
      </w:r>
      <w:r w:rsidRPr="00664296">
        <w:rPr>
          <w:color w:val="auto"/>
          <w:szCs w:val="24"/>
        </w:rPr>
        <w:t>hese exam</w:t>
      </w:r>
      <w:r w:rsidR="00AE7E3E">
        <w:rPr>
          <w:color w:val="auto"/>
          <w:szCs w:val="24"/>
        </w:rPr>
        <w:t>ination</w:t>
      </w:r>
      <w:r w:rsidRPr="00664296">
        <w:rPr>
          <w:color w:val="auto"/>
          <w:szCs w:val="24"/>
        </w:rPr>
        <w:t>s are summarized in the chart below.</w:t>
      </w:r>
    </w:p>
    <w:p w:rsidR="00570706" w:rsidRPr="00C34CEB" w:rsidRDefault="00570706" w:rsidP="00570706">
      <w:pPr>
        <w:spacing w:line="180" w:lineRule="exact"/>
        <w:rPr>
          <w:rFonts w:eastAsia="Calibri"/>
          <w:color w:val="auto"/>
          <w:sz w:val="18"/>
          <w:szCs w:val="18"/>
        </w:rPr>
      </w:pPr>
    </w:p>
    <w:tbl>
      <w:tblPr>
        <w:tblW w:w="8367" w:type="dxa"/>
        <w:jc w:val="center"/>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437"/>
        <w:gridCol w:w="1440"/>
        <w:gridCol w:w="1440"/>
        <w:gridCol w:w="1890"/>
      </w:tblGrid>
      <w:tr w:rsidR="00334431" w:rsidRPr="00C34CEB" w:rsidTr="00334431">
        <w:trPr>
          <w:trHeight w:val="467"/>
          <w:jc w:val="center"/>
        </w:trPr>
        <w:tc>
          <w:tcPr>
            <w:tcW w:w="2160" w:type="dxa"/>
            <w:shd w:val="clear" w:color="auto" w:fill="D9D9D9"/>
            <w:vAlign w:val="center"/>
          </w:tcPr>
          <w:p w:rsidR="00334431" w:rsidRPr="00282DB6" w:rsidRDefault="00334431" w:rsidP="00AA21F4">
            <w:pPr>
              <w:spacing w:line="200" w:lineRule="exact"/>
              <w:contextualSpacing/>
              <w:jc w:val="center"/>
              <w:rPr>
                <w:rFonts w:eastAsia="Calibri"/>
                <w:color w:val="auto"/>
                <w:sz w:val="20"/>
              </w:rPr>
            </w:pPr>
            <w:r w:rsidRPr="00282DB6">
              <w:rPr>
                <w:rFonts w:eastAsia="Calibri"/>
                <w:color w:val="auto"/>
                <w:sz w:val="20"/>
              </w:rPr>
              <w:t>Goniometric ROM –</w:t>
            </w:r>
          </w:p>
          <w:p w:rsidR="00334431" w:rsidRPr="00282DB6" w:rsidRDefault="00334431" w:rsidP="00AA21F4">
            <w:pPr>
              <w:spacing w:line="200" w:lineRule="exact"/>
              <w:contextualSpacing/>
              <w:jc w:val="center"/>
              <w:rPr>
                <w:rFonts w:eastAsia="Calibri"/>
                <w:color w:val="auto"/>
                <w:sz w:val="20"/>
              </w:rPr>
            </w:pPr>
            <w:r w:rsidRPr="00F606D5">
              <w:rPr>
                <w:rFonts w:eastAsia="Calibri"/>
                <w:color w:val="auto"/>
                <w:sz w:val="20"/>
              </w:rPr>
              <w:t xml:space="preserve">R </w:t>
            </w:r>
            <w:r w:rsidRPr="00282DB6">
              <w:rPr>
                <w:rFonts w:eastAsia="Calibri"/>
                <w:color w:val="auto"/>
                <w:sz w:val="20"/>
              </w:rPr>
              <w:t>Ankle</w:t>
            </w:r>
          </w:p>
        </w:tc>
        <w:tc>
          <w:tcPr>
            <w:tcW w:w="1437" w:type="dxa"/>
            <w:shd w:val="clear" w:color="auto" w:fill="D9D9D9"/>
            <w:vAlign w:val="center"/>
          </w:tcPr>
          <w:p w:rsidR="00334431" w:rsidRDefault="00334431" w:rsidP="007C06B9">
            <w:pPr>
              <w:spacing w:line="200" w:lineRule="exact"/>
              <w:contextualSpacing/>
              <w:jc w:val="center"/>
              <w:rPr>
                <w:rFonts w:eastAsia="Calibri"/>
                <w:color w:val="auto"/>
                <w:sz w:val="20"/>
              </w:rPr>
            </w:pPr>
            <w:r w:rsidRPr="00FB42B7">
              <w:rPr>
                <w:rFonts w:eastAsia="Calibri"/>
                <w:color w:val="auto"/>
                <w:sz w:val="20"/>
              </w:rPr>
              <w:t xml:space="preserve">PT ~ </w:t>
            </w:r>
            <w:r>
              <w:rPr>
                <w:rFonts w:eastAsia="Calibri"/>
                <w:color w:val="auto"/>
                <w:sz w:val="20"/>
              </w:rPr>
              <w:t>4</w:t>
            </w:r>
            <w:r w:rsidRPr="00FB42B7">
              <w:rPr>
                <w:rFonts w:eastAsia="Calibri"/>
                <w:color w:val="auto"/>
                <w:sz w:val="20"/>
              </w:rPr>
              <w:t xml:space="preserve"> Mo. Pre-Sep</w:t>
            </w:r>
          </w:p>
          <w:p w:rsidR="00334431" w:rsidRPr="00FB42B7" w:rsidRDefault="00334431" w:rsidP="007C06B9">
            <w:pPr>
              <w:spacing w:line="200" w:lineRule="exact"/>
              <w:contextualSpacing/>
              <w:jc w:val="center"/>
              <w:rPr>
                <w:rFonts w:eastAsia="Calibri"/>
                <w:color w:val="auto"/>
                <w:sz w:val="20"/>
              </w:rPr>
            </w:pPr>
            <w:r>
              <w:rPr>
                <w:rFonts w:eastAsia="Calibri"/>
                <w:color w:val="auto"/>
                <w:sz w:val="20"/>
              </w:rPr>
              <w:t>25 APR 2005</w:t>
            </w:r>
          </w:p>
        </w:tc>
        <w:tc>
          <w:tcPr>
            <w:tcW w:w="1440" w:type="dxa"/>
            <w:shd w:val="clear" w:color="auto" w:fill="D9D9D9"/>
            <w:vAlign w:val="center"/>
          </w:tcPr>
          <w:p w:rsidR="00334431" w:rsidRDefault="00334431" w:rsidP="007C06B9">
            <w:pPr>
              <w:spacing w:line="200" w:lineRule="exact"/>
              <w:contextualSpacing/>
              <w:jc w:val="center"/>
              <w:rPr>
                <w:rFonts w:eastAsia="Calibri"/>
                <w:color w:val="auto"/>
                <w:sz w:val="20"/>
              </w:rPr>
            </w:pPr>
            <w:r w:rsidRPr="00FB42B7">
              <w:rPr>
                <w:rFonts w:eastAsia="Calibri"/>
                <w:color w:val="auto"/>
                <w:sz w:val="20"/>
              </w:rPr>
              <w:t xml:space="preserve">MEB ~ </w:t>
            </w:r>
            <w:r>
              <w:rPr>
                <w:rFonts w:eastAsia="Calibri"/>
                <w:color w:val="auto"/>
                <w:sz w:val="20"/>
              </w:rPr>
              <w:t>3</w:t>
            </w:r>
            <w:r w:rsidRPr="00FB42B7">
              <w:rPr>
                <w:rFonts w:eastAsia="Calibri"/>
                <w:color w:val="auto"/>
                <w:sz w:val="20"/>
              </w:rPr>
              <w:t xml:space="preserve"> Mo. Pre-Sep</w:t>
            </w:r>
          </w:p>
          <w:p w:rsidR="00334431" w:rsidRPr="00FB42B7" w:rsidRDefault="00334431" w:rsidP="007C06B9">
            <w:pPr>
              <w:spacing w:line="200" w:lineRule="exact"/>
              <w:contextualSpacing/>
              <w:jc w:val="center"/>
              <w:rPr>
                <w:rFonts w:eastAsia="Calibri"/>
                <w:color w:val="auto"/>
                <w:sz w:val="20"/>
              </w:rPr>
            </w:pPr>
            <w:r>
              <w:rPr>
                <w:rFonts w:eastAsia="Calibri"/>
                <w:color w:val="auto"/>
                <w:sz w:val="20"/>
              </w:rPr>
              <w:t>5 MAY 2005</w:t>
            </w:r>
          </w:p>
        </w:tc>
        <w:tc>
          <w:tcPr>
            <w:tcW w:w="1440" w:type="dxa"/>
            <w:shd w:val="clear" w:color="auto" w:fill="D9D9D9"/>
          </w:tcPr>
          <w:p w:rsidR="00334431" w:rsidRDefault="00334431" w:rsidP="00C01C67">
            <w:pPr>
              <w:spacing w:line="200" w:lineRule="exact"/>
              <w:contextualSpacing/>
              <w:jc w:val="center"/>
              <w:rPr>
                <w:rFonts w:eastAsia="Calibri"/>
                <w:color w:val="auto"/>
                <w:sz w:val="20"/>
              </w:rPr>
            </w:pPr>
            <w:r>
              <w:rPr>
                <w:rFonts w:eastAsia="Calibri"/>
                <w:color w:val="auto"/>
                <w:sz w:val="20"/>
              </w:rPr>
              <w:t>PT ~ 3 Mo. Pre-Sep</w:t>
            </w:r>
          </w:p>
          <w:p w:rsidR="00334431" w:rsidRPr="00FB42B7" w:rsidRDefault="00334431" w:rsidP="00C01C67">
            <w:pPr>
              <w:spacing w:line="200" w:lineRule="exact"/>
              <w:contextualSpacing/>
              <w:jc w:val="center"/>
              <w:rPr>
                <w:rFonts w:eastAsia="Calibri"/>
                <w:color w:val="auto"/>
                <w:sz w:val="20"/>
              </w:rPr>
            </w:pPr>
            <w:r>
              <w:rPr>
                <w:rFonts w:eastAsia="Calibri"/>
                <w:color w:val="auto"/>
                <w:sz w:val="20"/>
              </w:rPr>
              <w:t>5 May 2005</w:t>
            </w:r>
          </w:p>
        </w:tc>
        <w:tc>
          <w:tcPr>
            <w:tcW w:w="1890" w:type="dxa"/>
            <w:shd w:val="clear" w:color="auto" w:fill="D9D9D9"/>
            <w:vAlign w:val="center"/>
          </w:tcPr>
          <w:p w:rsidR="00334431" w:rsidRDefault="00334431" w:rsidP="00C01C67">
            <w:pPr>
              <w:spacing w:line="200" w:lineRule="exact"/>
              <w:contextualSpacing/>
              <w:jc w:val="center"/>
              <w:rPr>
                <w:rFonts w:eastAsia="Calibri"/>
                <w:color w:val="auto"/>
                <w:sz w:val="20"/>
              </w:rPr>
            </w:pPr>
            <w:r w:rsidRPr="00FB42B7">
              <w:rPr>
                <w:rFonts w:eastAsia="Calibri"/>
                <w:color w:val="auto"/>
                <w:sz w:val="20"/>
              </w:rPr>
              <w:t xml:space="preserve">VA C&amp;P ~ </w:t>
            </w:r>
            <w:r>
              <w:rPr>
                <w:rFonts w:eastAsia="Calibri"/>
                <w:color w:val="auto"/>
                <w:sz w:val="20"/>
              </w:rPr>
              <w:t>2</w:t>
            </w:r>
            <w:r w:rsidRPr="00FB42B7">
              <w:rPr>
                <w:rFonts w:eastAsia="Calibri"/>
                <w:color w:val="auto"/>
                <w:sz w:val="20"/>
              </w:rPr>
              <w:t xml:space="preserve"> Mo. After-Sep</w:t>
            </w:r>
          </w:p>
          <w:p w:rsidR="00334431" w:rsidRPr="00FB42B7" w:rsidRDefault="00334431" w:rsidP="00C01C67">
            <w:pPr>
              <w:spacing w:line="200" w:lineRule="exact"/>
              <w:contextualSpacing/>
              <w:jc w:val="center"/>
              <w:rPr>
                <w:rFonts w:eastAsia="Calibri"/>
                <w:color w:val="auto"/>
                <w:sz w:val="20"/>
              </w:rPr>
            </w:pPr>
            <w:r>
              <w:rPr>
                <w:rFonts w:eastAsia="Calibri"/>
                <w:color w:val="auto"/>
                <w:sz w:val="20"/>
              </w:rPr>
              <w:t>1 OCT 2005</w:t>
            </w:r>
          </w:p>
        </w:tc>
      </w:tr>
      <w:tr w:rsidR="00334431" w:rsidRPr="00C34CEB" w:rsidTr="00334431">
        <w:trPr>
          <w:jc w:val="center"/>
        </w:trPr>
        <w:tc>
          <w:tcPr>
            <w:tcW w:w="2160" w:type="dxa"/>
            <w:vAlign w:val="center"/>
          </w:tcPr>
          <w:p w:rsidR="00334431" w:rsidRPr="00AE4B3E" w:rsidRDefault="00334431" w:rsidP="00334431">
            <w:pPr>
              <w:spacing w:line="180" w:lineRule="exact"/>
              <w:contextualSpacing/>
              <w:jc w:val="center"/>
              <w:rPr>
                <w:rFonts w:eastAsia="Calibri"/>
                <w:color w:val="auto"/>
                <w:sz w:val="18"/>
                <w:szCs w:val="18"/>
              </w:rPr>
            </w:pPr>
            <w:r w:rsidRPr="00AE4B3E">
              <w:rPr>
                <w:rFonts w:eastAsia="Calibri"/>
                <w:color w:val="auto"/>
                <w:sz w:val="18"/>
                <w:szCs w:val="18"/>
              </w:rPr>
              <w:t>Right Dorsiflexion  (20</w:t>
            </w:r>
            <w:r w:rsidRPr="00C34CEB">
              <w:rPr>
                <w:rFonts w:eastAsia="Calibri"/>
                <w:color w:val="auto"/>
                <w:sz w:val="18"/>
                <w:szCs w:val="18"/>
              </w:rPr>
              <w:t>⁰</w:t>
            </w:r>
            <w:r w:rsidRPr="00AE4B3E">
              <w:rPr>
                <w:rFonts w:eastAsia="Calibri"/>
                <w:color w:val="auto"/>
                <w:sz w:val="18"/>
                <w:szCs w:val="18"/>
              </w:rPr>
              <w:t>)</w:t>
            </w:r>
          </w:p>
        </w:tc>
        <w:tc>
          <w:tcPr>
            <w:tcW w:w="1437" w:type="dxa"/>
            <w:vAlign w:val="center"/>
          </w:tcPr>
          <w:p w:rsidR="00334431" w:rsidRPr="00AE4B3E" w:rsidRDefault="00334431" w:rsidP="00AA21F4">
            <w:pPr>
              <w:spacing w:line="180" w:lineRule="exact"/>
              <w:contextualSpacing/>
              <w:jc w:val="center"/>
              <w:rPr>
                <w:rFonts w:eastAsia="Calibri"/>
                <w:color w:val="auto"/>
                <w:sz w:val="18"/>
                <w:szCs w:val="18"/>
              </w:rPr>
            </w:pPr>
            <w:r>
              <w:rPr>
                <w:rFonts w:eastAsia="Calibri"/>
                <w:color w:val="auto"/>
                <w:sz w:val="18"/>
                <w:szCs w:val="18"/>
              </w:rPr>
              <w:t>5</w:t>
            </w:r>
            <w:r w:rsidRPr="00AE4B3E">
              <w:rPr>
                <w:rFonts w:eastAsia="Calibri"/>
                <w:color w:val="auto"/>
                <w:sz w:val="18"/>
                <w:szCs w:val="18"/>
              </w:rPr>
              <w:t>⁰</w:t>
            </w:r>
          </w:p>
        </w:tc>
        <w:tc>
          <w:tcPr>
            <w:tcW w:w="1440" w:type="dxa"/>
            <w:vAlign w:val="center"/>
          </w:tcPr>
          <w:p w:rsidR="00334431" w:rsidRPr="00AE4B3E" w:rsidRDefault="00334431" w:rsidP="00AA21F4">
            <w:pPr>
              <w:spacing w:line="180" w:lineRule="exact"/>
              <w:contextualSpacing/>
              <w:jc w:val="center"/>
              <w:rPr>
                <w:rFonts w:eastAsia="Calibri"/>
                <w:color w:val="auto"/>
                <w:sz w:val="18"/>
                <w:szCs w:val="18"/>
              </w:rPr>
            </w:pPr>
            <w:r>
              <w:rPr>
                <w:rFonts w:eastAsia="Calibri"/>
                <w:color w:val="auto"/>
                <w:sz w:val="18"/>
                <w:szCs w:val="18"/>
              </w:rPr>
              <w:t>10</w:t>
            </w:r>
            <w:r w:rsidRPr="00AE4B3E">
              <w:rPr>
                <w:rFonts w:eastAsia="Calibri"/>
                <w:color w:val="auto"/>
                <w:sz w:val="18"/>
                <w:szCs w:val="18"/>
              </w:rPr>
              <w:t>⁰</w:t>
            </w:r>
          </w:p>
        </w:tc>
        <w:tc>
          <w:tcPr>
            <w:tcW w:w="1440" w:type="dxa"/>
          </w:tcPr>
          <w:p w:rsidR="00334431" w:rsidRDefault="00334431" w:rsidP="00AA21F4">
            <w:pPr>
              <w:spacing w:line="180" w:lineRule="exact"/>
              <w:contextualSpacing/>
              <w:jc w:val="center"/>
              <w:rPr>
                <w:rFonts w:eastAsia="Calibri"/>
                <w:color w:val="auto"/>
                <w:sz w:val="18"/>
                <w:szCs w:val="18"/>
              </w:rPr>
            </w:pPr>
            <w:r>
              <w:rPr>
                <w:rFonts w:eastAsia="Calibri"/>
                <w:color w:val="auto"/>
                <w:sz w:val="18"/>
                <w:szCs w:val="18"/>
              </w:rPr>
              <w:t>15</w:t>
            </w:r>
            <w:r w:rsidRPr="00C34CEB">
              <w:rPr>
                <w:rFonts w:eastAsia="Calibri"/>
                <w:color w:val="auto"/>
                <w:sz w:val="18"/>
                <w:szCs w:val="18"/>
              </w:rPr>
              <w:t>⁰</w:t>
            </w:r>
          </w:p>
        </w:tc>
        <w:tc>
          <w:tcPr>
            <w:tcW w:w="1890" w:type="dxa"/>
            <w:vAlign w:val="center"/>
          </w:tcPr>
          <w:p w:rsidR="00334431" w:rsidRPr="00AE4B3E" w:rsidRDefault="00334431" w:rsidP="00AA21F4">
            <w:pPr>
              <w:spacing w:line="180" w:lineRule="exact"/>
              <w:contextualSpacing/>
              <w:jc w:val="center"/>
              <w:rPr>
                <w:rFonts w:eastAsia="Calibri"/>
                <w:color w:val="auto"/>
                <w:sz w:val="18"/>
                <w:szCs w:val="18"/>
              </w:rPr>
            </w:pPr>
            <w:r>
              <w:rPr>
                <w:rFonts w:eastAsia="Calibri"/>
                <w:color w:val="auto"/>
                <w:sz w:val="18"/>
                <w:szCs w:val="18"/>
              </w:rPr>
              <w:t>5</w:t>
            </w:r>
            <w:r w:rsidRPr="00AE4B3E">
              <w:rPr>
                <w:rFonts w:eastAsia="Calibri"/>
                <w:color w:val="auto"/>
                <w:sz w:val="18"/>
                <w:szCs w:val="18"/>
              </w:rPr>
              <w:t>⁰</w:t>
            </w:r>
          </w:p>
        </w:tc>
      </w:tr>
      <w:tr w:rsidR="00334431" w:rsidRPr="00C34CEB" w:rsidTr="00334431">
        <w:trPr>
          <w:jc w:val="center"/>
        </w:trPr>
        <w:tc>
          <w:tcPr>
            <w:tcW w:w="2160" w:type="dxa"/>
            <w:vAlign w:val="center"/>
          </w:tcPr>
          <w:p w:rsidR="00334431" w:rsidRPr="00C34CEB" w:rsidRDefault="00334431" w:rsidP="00334431">
            <w:pPr>
              <w:spacing w:line="180" w:lineRule="exact"/>
              <w:contextualSpacing/>
              <w:jc w:val="center"/>
              <w:rPr>
                <w:rFonts w:eastAsia="Calibri"/>
                <w:color w:val="auto"/>
                <w:sz w:val="18"/>
                <w:szCs w:val="18"/>
              </w:rPr>
            </w:pPr>
            <w:r w:rsidRPr="00C34CEB">
              <w:rPr>
                <w:rFonts w:eastAsia="Calibri"/>
                <w:color w:val="auto"/>
                <w:sz w:val="18"/>
                <w:szCs w:val="18"/>
              </w:rPr>
              <w:t>Right Plantar Flexion (45⁰)</w:t>
            </w:r>
          </w:p>
        </w:tc>
        <w:tc>
          <w:tcPr>
            <w:tcW w:w="1437" w:type="dxa"/>
            <w:vAlign w:val="center"/>
          </w:tcPr>
          <w:p w:rsidR="00334431" w:rsidRPr="00C34CEB" w:rsidRDefault="00334431" w:rsidP="008667C3">
            <w:pPr>
              <w:spacing w:line="180" w:lineRule="exact"/>
              <w:contextualSpacing/>
              <w:jc w:val="center"/>
              <w:rPr>
                <w:rFonts w:eastAsia="Calibri"/>
                <w:color w:val="auto"/>
                <w:sz w:val="18"/>
                <w:szCs w:val="18"/>
              </w:rPr>
            </w:pPr>
            <w:r>
              <w:rPr>
                <w:rFonts w:eastAsia="Calibri"/>
                <w:color w:val="auto"/>
                <w:sz w:val="18"/>
                <w:szCs w:val="18"/>
              </w:rPr>
              <w:t>55</w:t>
            </w:r>
            <w:r w:rsidRPr="00C34CEB">
              <w:rPr>
                <w:rFonts w:eastAsia="Calibri"/>
                <w:color w:val="auto"/>
                <w:sz w:val="18"/>
                <w:szCs w:val="18"/>
              </w:rPr>
              <w:t>⁰</w:t>
            </w:r>
          </w:p>
        </w:tc>
        <w:tc>
          <w:tcPr>
            <w:tcW w:w="1440" w:type="dxa"/>
            <w:vAlign w:val="center"/>
          </w:tcPr>
          <w:p w:rsidR="00334431" w:rsidRPr="00C34CEB" w:rsidRDefault="00334431" w:rsidP="00AA21F4">
            <w:pPr>
              <w:spacing w:line="180" w:lineRule="exact"/>
              <w:contextualSpacing/>
              <w:jc w:val="center"/>
              <w:rPr>
                <w:rFonts w:eastAsia="Calibri"/>
                <w:color w:val="auto"/>
                <w:sz w:val="18"/>
                <w:szCs w:val="18"/>
              </w:rPr>
            </w:pPr>
            <w:r>
              <w:rPr>
                <w:rFonts w:eastAsia="Calibri"/>
                <w:color w:val="auto"/>
                <w:sz w:val="18"/>
                <w:szCs w:val="18"/>
              </w:rPr>
              <w:t>45</w:t>
            </w:r>
            <w:r w:rsidRPr="00C34CEB">
              <w:rPr>
                <w:rFonts w:eastAsia="Calibri"/>
                <w:color w:val="auto"/>
                <w:sz w:val="18"/>
                <w:szCs w:val="18"/>
              </w:rPr>
              <w:t>⁰</w:t>
            </w:r>
          </w:p>
        </w:tc>
        <w:tc>
          <w:tcPr>
            <w:tcW w:w="1440" w:type="dxa"/>
          </w:tcPr>
          <w:p w:rsidR="00334431" w:rsidRDefault="00334431" w:rsidP="00AA21F4">
            <w:pPr>
              <w:spacing w:line="180" w:lineRule="exact"/>
              <w:contextualSpacing/>
              <w:jc w:val="center"/>
              <w:rPr>
                <w:rFonts w:eastAsia="Calibri"/>
                <w:color w:val="auto"/>
                <w:sz w:val="18"/>
                <w:szCs w:val="18"/>
              </w:rPr>
            </w:pPr>
            <w:r>
              <w:rPr>
                <w:rFonts w:eastAsia="Calibri"/>
                <w:color w:val="auto"/>
                <w:sz w:val="18"/>
                <w:szCs w:val="18"/>
              </w:rPr>
              <w:t>55</w:t>
            </w:r>
            <w:r w:rsidRPr="00C34CEB">
              <w:rPr>
                <w:rFonts w:eastAsia="Calibri"/>
                <w:color w:val="auto"/>
                <w:sz w:val="18"/>
                <w:szCs w:val="18"/>
              </w:rPr>
              <w:t>⁰</w:t>
            </w:r>
          </w:p>
        </w:tc>
        <w:tc>
          <w:tcPr>
            <w:tcW w:w="1890" w:type="dxa"/>
            <w:vAlign w:val="center"/>
          </w:tcPr>
          <w:p w:rsidR="00334431" w:rsidRPr="00C34CEB" w:rsidRDefault="00334431" w:rsidP="00AA21F4">
            <w:pPr>
              <w:spacing w:line="180" w:lineRule="exact"/>
              <w:contextualSpacing/>
              <w:jc w:val="center"/>
              <w:rPr>
                <w:rFonts w:eastAsia="Calibri"/>
                <w:color w:val="auto"/>
                <w:sz w:val="18"/>
                <w:szCs w:val="18"/>
              </w:rPr>
            </w:pPr>
            <w:r>
              <w:rPr>
                <w:rFonts w:eastAsia="Calibri"/>
                <w:color w:val="auto"/>
                <w:sz w:val="18"/>
                <w:szCs w:val="18"/>
              </w:rPr>
              <w:t>10</w:t>
            </w:r>
            <w:r w:rsidRPr="00C34CEB">
              <w:rPr>
                <w:rFonts w:eastAsia="Calibri"/>
                <w:color w:val="auto"/>
                <w:sz w:val="18"/>
                <w:szCs w:val="18"/>
              </w:rPr>
              <w:t>⁰</w:t>
            </w:r>
          </w:p>
        </w:tc>
      </w:tr>
      <w:tr w:rsidR="00334431" w:rsidRPr="00C34CEB" w:rsidTr="00334431">
        <w:trPr>
          <w:jc w:val="center"/>
        </w:trPr>
        <w:tc>
          <w:tcPr>
            <w:tcW w:w="2160" w:type="dxa"/>
            <w:vAlign w:val="center"/>
          </w:tcPr>
          <w:p w:rsidR="00334431" w:rsidRPr="00C34CEB" w:rsidRDefault="00334431" w:rsidP="00334431">
            <w:pPr>
              <w:tabs>
                <w:tab w:val="left" w:pos="288"/>
                <w:tab w:val="left" w:pos="4752"/>
              </w:tabs>
              <w:spacing w:line="180" w:lineRule="exact"/>
              <w:jc w:val="center"/>
              <w:rPr>
                <w:rFonts w:eastAsia="Calibri"/>
                <w:color w:val="auto"/>
                <w:sz w:val="18"/>
                <w:szCs w:val="18"/>
              </w:rPr>
            </w:pPr>
            <w:r w:rsidRPr="00C34CEB">
              <w:rPr>
                <w:rFonts w:eastAsia="Calibri"/>
                <w:color w:val="auto"/>
                <w:sz w:val="18"/>
                <w:szCs w:val="18"/>
              </w:rPr>
              <w:t>Comment</w:t>
            </w:r>
          </w:p>
        </w:tc>
        <w:tc>
          <w:tcPr>
            <w:tcW w:w="1437" w:type="dxa"/>
            <w:vAlign w:val="center"/>
          </w:tcPr>
          <w:p w:rsidR="00334431" w:rsidRDefault="00334431" w:rsidP="004A6EA9">
            <w:pPr>
              <w:pStyle w:val="ListParagraph"/>
              <w:spacing w:after="0" w:line="180" w:lineRule="exact"/>
              <w:ind w:left="0"/>
              <w:jc w:val="center"/>
              <w:rPr>
                <w:sz w:val="18"/>
                <w:szCs w:val="18"/>
              </w:rPr>
            </w:pPr>
            <w:r w:rsidRPr="00593C7D">
              <w:rPr>
                <w:sz w:val="18"/>
                <w:szCs w:val="18"/>
              </w:rPr>
              <w:t>w</w:t>
            </w:r>
            <w:r>
              <w:rPr>
                <w:sz w:val="18"/>
                <w:szCs w:val="18"/>
              </w:rPr>
              <w:t>/</w:t>
            </w:r>
            <w:r w:rsidRPr="00593C7D">
              <w:rPr>
                <w:sz w:val="18"/>
                <w:szCs w:val="18"/>
              </w:rPr>
              <w:t xml:space="preserve"> pain</w:t>
            </w:r>
          </w:p>
          <w:p w:rsidR="00334431" w:rsidRPr="00593C7D" w:rsidRDefault="00334431" w:rsidP="004A6EA9">
            <w:pPr>
              <w:pStyle w:val="ListParagraph"/>
              <w:spacing w:after="0" w:line="180" w:lineRule="exact"/>
              <w:ind w:left="0"/>
              <w:jc w:val="center"/>
              <w:rPr>
                <w:sz w:val="18"/>
                <w:szCs w:val="18"/>
              </w:rPr>
            </w:pPr>
            <w:r>
              <w:rPr>
                <w:sz w:val="18"/>
                <w:szCs w:val="18"/>
              </w:rPr>
              <w:t>Non antalgic gait.</w:t>
            </w:r>
          </w:p>
        </w:tc>
        <w:tc>
          <w:tcPr>
            <w:tcW w:w="1440" w:type="dxa"/>
            <w:vAlign w:val="center"/>
          </w:tcPr>
          <w:p w:rsidR="00334431" w:rsidRPr="00593C7D" w:rsidRDefault="00334431" w:rsidP="008A4FD6">
            <w:pPr>
              <w:pStyle w:val="ListParagraph"/>
              <w:spacing w:after="0" w:line="180" w:lineRule="exact"/>
              <w:ind w:left="0"/>
              <w:jc w:val="center"/>
              <w:rPr>
                <w:sz w:val="18"/>
                <w:szCs w:val="18"/>
              </w:rPr>
            </w:pPr>
            <w:r w:rsidRPr="00593C7D">
              <w:rPr>
                <w:sz w:val="18"/>
                <w:szCs w:val="18"/>
              </w:rPr>
              <w:t xml:space="preserve">Some joint tenderness </w:t>
            </w:r>
          </w:p>
        </w:tc>
        <w:tc>
          <w:tcPr>
            <w:tcW w:w="1440" w:type="dxa"/>
            <w:vAlign w:val="center"/>
          </w:tcPr>
          <w:p w:rsidR="00334431" w:rsidRDefault="00334431" w:rsidP="00334431">
            <w:pPr>
              <w:pStyle w:val="ListParagraph"/>
              <w:spacing w:after="0" w:line="180" w:lineRule="exact"/>
              <w:ind w:left="0"/>
              <w:jc w:val="center"/>
              <w:rPr>
                <w:sz w:val="18"/>
                <w:szCs w:val="18"/>
              </w:rPr>
            </w:pPr>
            <w:r>
              <w:rPr>
                <w:sz w:val="18"/>
                <w:szCs w:val="18"/>
              </w:rPr>
              <w:t>Non antalgic gait</w:t>
            </w:r>
          </w:p>
        </w:tc>
        <w:tc>
          <w:tcPr>
            <w:tcW w:w="1890" w:type="dxa"/>
            <w:vAlign w:val="center"/>
          </w:tcPr>
          <w:p w:rsidR="00334431" w:rsidRDefault="00334431" w:rsidP="004A6EA9">
            <w:pPr>
              <w:pStyle w:val="ListParagraph"/>
              <w:spacing w:after="0" w:line="180" w:lineRule="exact"/>
              <w:ind w:left="0"/>
              <w:jc w:val="center"/>
              <w:rPr>
                <w:sz w:val="18"/>
                <w:szCs w:val="18"/>
              </w:rPr>
            </w:pPr>
            <w:r>
              <w:rPr>
                <w:sz w:val="18"/>
                <w:szCs w:val="18"/>
              </w:rPr>
              <w:t>Limitation due to pain with pain throughout motion.</w:t>
            </w:r>
          </w:p>
          <w:p w:rsidR="00334431" w:rsidRPr="00593C7D" w:rsidRDefault="00334431" w:rsidP="004A6EA9">
            <w:pPr>
              <w:pStyle w:val="ListParagraph"/>
              <w:spacing w:after="0" w:line="180" w:lineRule="exact"/>
              <w:ind w:left="0"/>
              <w:jc w:val="center"/>
              <w:rPr>
                <w:sz w:val="18"/>
                <w:szCs w:val="18"/>
              </w:rPr>
            </w:pPr>
            <w:r>
              <w:rPr>
                <w:sz w:val="18"/>
                <w:szCs w:val="18"/>
              </w:rPr>
              <w:t xml:space="preserve"> Normal gait at moderate pace.</w:t>
            </w:r>
          </w:p>
        </w:tc>
      </w:tr>
      <w:tr w:rsidR="00334431" w:rsidRPr="00C34CEB" w:rsidTr="00334431">
        <w:trPr>
          <w:jc w:val="center"/>
        </w:trPr>
        <w:tc>
          <w:tcPr>
            <w:tcW w:w="2160" w:type="dxa"/>
            <w:vAlign w:val="center"/>
          </w:tcPr>
          <w:p w:rsidR="00334431" w:rsidRPr="00C34CEB" w:rsidRDefault="00334431" w:rsidP="00AA21F4">
            <w:pPr>
              <w:tabs>
                <w:tab w:val="left" w:pos="288"/>
                <w:tab w:val="left" w:pos="4752"/>
              </w:tabs>
              <w:spacing w:line="180" w:lineRule="exact"/>
              <w:jc w:val="center"/>
              <w:rPr>
                <w:rFonts w:eastAsia="Calibri"/>
                <w:color w:val="auto"/>
                <w:sz w:val="18"/>
                <w:szCs w:val="18"/>
              </w:rPr>
            </w:pPr>
            <w:r w:rsidRPr="00C34CEB">
              <w:rPr>
                <w:rFonts w:eastAsia="Calibri"/>
                <w:color w:val="auto"/>
                <w:sz w:val="18"/>
                <w:szCs w:val="18"/>
              </w:rPr>
              <w:t>§4.71a Rating</w:t>
            </w:r>
          </w:p>
        </w:tc>
        <w:tc>
          <w:tcPr>
            <w:tcW w:w="1437" w:type="dxa"/>
            <w:vAlign w:val="center"/>
          </w:tcPr>
          <w:p w:rsidR="00334431" w:rsidRPr="00593C7D" w:rsidRDefault="00334431" w:rsidP="00AA21F4">
            <w:pPr>
              <w:pStyle w:val="ListParagraph"/>
              <w:spacing w:after="0" w:line="180" w:lineRule="exact"/>
              <w:ind w:left="0"/>
              <w:jc w:val="center"/>
              <w:rPr>
                <w:sz w:val="18"/>
                <w:szCs w:val="18"/>
              </w:rPr>
            </w:pPr>
            <w:r w:rsidRPr="00593C7D">
              <w:rPr>
                <w:sz w:val="18"/>
                <w:szCs w:val="18"/>
              </w:rPr>
              <w:t>10%</w:t>
            </w:r>
          </w:p>
        </w:tc>
        <w:tc>
          <w:tcPr>
            <w:tcW w:w="1440" w:type="dxa"/>
            <w:vAlign w:val="center"/>
          </w:tcPr>
          <w:p w:rsidR="00334431" w:rsidRPr="00593C7D" w:rsidRDefault="00334431" w:rsidP="008A4FD6">
            <w:pPr>
              <w:pStyle w:val="ListParagraph"/>
              <w:spacing w:after="0" w:line="180" w:lineRule="exact"/>
              <w:ind w:left="0"/>
              <w:jc w:val="center"/>
              <w:rPr>
                <w:sz w:val="18"/>
                <w:szCs w:val="18"/>
              </w:rPr>
            </w:pPr>
            <w:r w:rsidRPr="00593C7D">
              <w:rPr>
                <w:sz w:val="18"/>
                <w:szCs w:val="18"/>
              </w:rPr>
              <w:t>10%</w:t>
            </w:r>
            <w:r>
              <w:rPr>
                <w:sz w:val="18"/>
                <w:szCs w:val="18"/>
              </w:rPr>
              <w:t xml:space="preserve"> </w:t>
            </w:r>
          </w:p>
        </w:tc>
        <w:tc>
          <w:tcPr>
            <w:tcW w:w="1440" w:type="dxa"/>
          </w:tcPr>
          <w:p w:rsidR="00334431" w:rsidRPr="00593C7D" w:rsidRDefault="00334431" w:rsidP="00AA21F4">
            <w:pPr>
              <w:pStyle w:val="ListParagraph"/>
              <w:spacing w:after="0" w:line="180" w:lineRule="exact"/>
              <w:ind w:left="0"/>
              <w:jc w:val="center"/>
              <w:rPr>
                <w:sz w:val="18"/>
                <w:szCs w:val="18"/>
              </w:rPr>
            </w:pPr>
            <w:r>
              <w:rPr>
                <w:sz w:val="18"/>
                <w:szCs w:val="18"/>
              </w:rPr>
              <w:t>0%</w:t>
            </w:r>
          </w:p>
        </w:tc>
        <w:tc>
          <w:tcPr>
            <w:tcW w:w="1890" w:type="dxa"/>
            <w:vAlign w:val="center"/>
          </w:tcPr>
          <w:p w:rsidR="00334431" w:rsidRPr="00593C7D" w:rsidRDefault="00334431" w:rsidP="00AA21F4">
            <w:pPr>
              <w:pStyle w:val="ListParagraph"/>
              <w:spacing w:after="0" w:line="180" w:lineRule="exact"/>
              <w:ind w:left="0"/>
              <w:jc w:val="center"/>
              <w:rPr>
                <w:sz w:val="18"/>
                <w:szCs w:val="18"/>
              </w:rPr>
            </w:pPr>
            <w:r w:rsidRPr="00593C7D">
              <w:rPr>
                <w:sz w:val="18"/>
                <w:szCs w:val="18"/>
              </w:rPr>
              <w:t>20%</w:t>
            </w:r>
          </w:p>
        </w:tc>
      </w:tr>
    </w:tbl>
    <w:p w:rsidR="00570706" w:rsidRDefault="00570706" w:rsidP="00EC1611">
      <w:pPr>
        <w:spacing w:line="240" w:lineRule="exact"/>
        <w:jc w:val="both"/>
        <w:rPr>
          <w:color w:val="auto"/>
          <w:szCs w:val="24"/>
          <w:u w:val="single"/>
        </w:rPr>
      </w:pPr>
    </w:p>
    <w:p w:rsidR="00C82A7A" w:rsidRDefault="00994345" w:rsidP="00E515B9">
      <w:pPr>
        <w:spacing w:line="240" w:lineRule="exact"/>
        <w:jc w:val="both"/>
        <w:rPr>
          <w:color w:val="auto"/>
          <w:szCs w:val="24"/>
        </w:rPr>
      </w:pPr>
      <w:r>
        <w:rPr>
          <w:color w:val="auto"/>
          <w:szCs w:val="24"/>
        </w:rPr>
        <w:t>The CI had a h</w:t>
      </w:r>
      <w:r w:rsidR="00CC6ADD">
        <w:rPr>
          <w:color w:val="auto"/>
          <w:szCs w:val="24"/>
        </w:rPr>
        <w:t xml:space="preserve">istory of recurrent right ankle injuries incurred </w:t>
      </w:r>
      <w:r>
        <w:rPr>
          <w:color w:val="auto"/>
          <w:szCs w:val="24"/>
        </w:rPr>
        <w:t xml:space="preserve">during </w:t>
      </w:r>
      <w:r w:rsidR="00CC6ADD">
        <w:rPr>
          <w:color w:val="auto"/>
          <w:szCs w:val="24"/>
        </w:rPr>
        <w:t>periods of extended active duty including a right ankle fracture (distal fibula) requiring surgery for open reduction and internal fixation in February 2002.</w:t>
      </w:r>
      <w:r>
        <w:rPr>
          <w:color w:val="auto"/>
          <w:szCs w:val="24"/>
        </w:rPr>
        <w:t xml:space="preserve">  In 2004, h</w:t>
      </w:r>
      <w:r w:rsidR="00860937">
        <w:rPr>
          <w:color w:val="auto"/>
          <w:szCs w:val="24"/>
        </w:rPr>
        <w:t xml:space="preserve">is unit was scheduled to deploy and he was advised to have the hardware removed to be medically qualified for deployment.  </w:t>
      </w:r>
      <w:r w:rsidR="00CC6ADD">
        <w:rPr>
          <w:color w:val="auto"/>
          <w:szCs w:val="24"/>
        </w:rPr>
        <w:t xml:space="preserve">In </w:t>
      </w:r>
      <w:r w:rsidR="001E0821">
        <w:rPr>
          <w:color w:val="auto"/>
          <w:szCs w:val="24"/>
        </w:rPr>
        <w:t xml:space="preserve">  </w:t>
      </w:r>
      <w:r w:rsidR="00CC6ADD">
        <w:rPr>
          <w:color w:val="auto"/>
          <w:szCs w:val="24"/>
        </w:rPr>
        <w:t xml:space="preserve">September 2004, right ankle hardware was removed uneventfully and he was </w:t>
      </w:r>
      <w:r w:rsidR="00860937">
        <w:rPr>
          <w:color w:val="auto"/>
          <w:szCs w:val="24"/>
        </w:rPr>
        <w:t>mobilized with his unit.</w:t>
      </w:r>
      <w:r w:rsidR="005E73A6">
        <w:rPr>
          <w:color w:val="auto"/>
          <w:szCs w:val="24"/>
        </w:rPr>
        <w:t xml:space="preserve">  However, </w:t>
      </w:r>
      <w:r>
        <w:rPr>
          <w:color w:val="auto"/>
          <w:szCs w:val="24"/>
        </w:rPr>
        <w:t xml:space="preserve">while in pre-deployment training, </w:t>
      </w:r>
      <w:r w:rsidR="005E73A6">
        <w:rPr>
          <w:color w:val="auto"/>
          <w:szCs w:val="24"/>
        </w:rPr>
        <w:t>he r</w:t>
      </w:r>
      <w:r w:rsidR="00860937">
        <w:rPr>
          <w:color w:val="auto"/>
          <w:szCs w:val="24"/>
        </w:rPr>
        <w:t xml:space="preserve">einjured </w:t>
      </w:r>
      <w:r w:rsidR="005E73A6">
        <w:rPr>
          <w:color w:val="auto"/>
          <w:szCs w:val="24"/>
        </w:rPr>
        <w:t xml:space="preserve">his right </w:t>
      </w:r>
      <w:r w:rsidR="00860937">
        <w:rPr>
          <w:color w:val="auto"/>
          <w:szCs w:val="24"/>
        </w:rPr>
        <w:t xml:space="preserve">ankle in </w:t>
      </w:r>
      <w:r w:rsidR="001E0821">
        <w:rPr>
          <w:color w:val="auto"/>
          <w:szCs w:val="24"/>
        </w:rPr>
        <w:t xml:space="preserve">      </w:t>
      </w:r>
      <w:r w:rsidR="00860937">
        <w:rPr>
          <w:color w:val="auto"/>
          <w:szCs w:val="24"/>
        </w:rPr>
        <w:t>Nov</w:t>
      </w:r>
      <w:r w:rsidR="005E73A6">
        <w:rPr>
          <w:color w:val="auto"/>
          <w:szCs w:val="24"/>
        </w:rPr>
        <w:t>ember 20</w:t>
      </w:r>
      <w:r w:rsidR="00860937">
        <w:rPr>
          <w:color w:val="auto"/>
          <w:szCs w:val="24"/>
        </w:rPr>
        <w:t>04</w:t>
      </w:r>
      <w:r w:rsidR="005E73A6">
        <w:rPr>
          <w:color w:val="auto"/>
          <w:szCs w:val="24"/>
        </w:rPr>
        <w:t xml:space="preserve"> and </w:t>
      </w:r>
      <w:r>
        <w:rPr>
          <w:color w:val="auto"/>
          <w:szCs w:val="24"/>
        </w:rPr>
        <w:t xml:space="preserve">again </w:t>
      </w:r>
      <w:r w:rsidR="00860937">
        <w:rPr>
          <w:color w:val="auto"/>
          <w:szCs w:val="24"/>
        </w:rPr>
        <w:t>Dec</w:t>
      </w:r>
      <w:r w:rsidR="005E73A6">
        <w:rPr>
          <w:color w:val="auto"/>
          <w:szCs w:val="24"/>
        </w:rPr>
        <w:t>ember 20</w:t>
      </w:r>
      <w:r w:rsidR="00860937">
        <w:rPr>
          <w:color w:val="auto"/>
          <w:szCs w:val="24"/>
        </w:rPr>
        <w:t>04</w:t>
      </w:r>
      <w:r>
        <w:rPr>
          <w:color w:val="auto"/>
          <w:szCs w:val="24"/>
        </w:rPr>
        <w:t xml:space="preserve"> resulting in persistent duty limiting right ankle pain.  </w:t>
      </w:r>
      <w:r w:rsidR="00506050">
        <w:rPr>
          <w:color w:val="auto"/>
          <w:szCs w:val="24"/>
        </w:rPr>
        <w:t>Evaluation documented degenerative changes and he was diagnosed with anter</w:t>
      </w:r>
      <w:r>
        <w:rPr>
          <w:color w:val="auto"/>
          <w:szCs w:val="24"/>
        </w:rPr>
        <w:t>i</w:t>
      </w:r>
      <w:r w:rsidR="00506050">
        <w:rPr>
          <w:color w:val="auto"/>
          <w:szCs w:val="24"/>
        </w:rPr>
        <w:t>o</w:t>
      </w:r>
      <w:r>
        <w:rPr>
          <w:color w:val="auto"/>
          <w:szCs w:val="24"/>
        </w:rPr>
        <w:t>r</w:t>
      </w:r>
      <w:r w:rsidR="00506050">
        <w:rPr>
          <w:color w:val="auto"/>
          <w:szCs w:val="24"/>
        </w:rPr>
        <w:t xml:space="preserve"> </w:t>
      </w:r>
      <w:proofErr w:type="spellStart"/>
      <w:r w:rsidR="00506050">
        <w:rPr>
          <w:color w:val="auto"/>
          <w:szCs w:val="24"/>
        </w:rPr>
        <w:t>talotibial</w:t>
      </w:r>
      <w:proofErr w:type="spellEnd"/>
      <w:r w:rsidR="00506050">
        <w:rPr>
          <w:color w:val="auto"/>
          <w:szCs w:val="24"/>
        </w:rPr>
        <w:t xml:space="preserve"> </w:t>
      </w:r>
      <w:r w:rsidR="001E0821">
        <w:rPr>
          <w:color w:val="auto"/>
          <w:szCs w:val="24"/>
        </w:rPr>
        <w:t>impingement</w:t>
      </w:r>
      <w:r w:rsidR="00506050">
        <w:rPr>
          <w:color w:val="auto"/>
          <w:szCs w:val="24"/>
        </w:rPr>
        <w:t xml:space="preserve"> with a large osteophyte</w:t>
      </w:r>
      <w:r>
        <w:rPr>
          <w:color w:val="auto"/>
          <w:szCs w:val="24"/>
        </w:rPr>
        <w:t>.</w:t>
      </w:r>
      <w:r w:rsidR="00271743">
        <w:rPr>
          <w:color w:val="auto"/>
          <w:szCs w:val="24"/>
        </w:rPr>
        <w:t xml:space="preserve">  </w:t>
      </w:r>
      <w:r>
        <w:rPr>
          <w:color w:val="auto"/>
          <w:szCs w:val="24"/>
        </w:rPr>
        <w:t xml:space="preserve">Following </w:t>
      </w:r>
      <w:r w:rsidR="005E73A6">
        <w:rPr>
          <w:color w:val="auto"/>
          <w:szCs w:val="24"/>
        </w:rPr>
        <w:t xml:space="preserve">right </w:t>
      </w:r>
      <w:r w:rsidR="00860937">
        <w:rPr>
          <w:color w:val="auto"/>
          <w:szCs w:val="24"/>
        </w:rPr>
        <w:t xml:space="preserve">ankle arthroscopic surgery </w:t>
      </w:r>
      <w:r w:rsidR="005E73A6">
        <w:rPr>
          <w:color w:val="auto"/>
          <w:szCs w:val="24"/>
        </w:rPr>
        <w:t xml:space="preserve">on </w:t>
      </w:r>
      <w:r w:rsidR="00860937">
        <w:rPr>
          <w:color w:val="auto"/>
          <w:szCs w:val="24"/>
        </w:rPr>
        <w:t>22</w:t>
      </w:r>
      <w:r w:rsidR="005E73A6">
        <w:rPr>
          <w:color w:val="auto"/>
          <w:szCs w:val="24"/>
        </w:rPr>
        <w:t xml:space="preserve"> </w:t>
      </w:r>
      <w:r w:rsidR="00860937">
        <w:rPr>
          <w:color w:val="auto"/>
          <w:szCs w:val="24"/>
        </w:rPr>
        <w:t>Mar</w:t>
      </w:r>
      <w:r w:rsidR="005E73A6">
        <w:rPr>
          <w:color w:val="auto"/>
          <w:szCs w:val="24"/>
        </w:rPr>
        <w:t>ch 20</w:t>
      </w:r>
      <w:r w:rsidR="00860937">
        <w:rPr>
          <w:color w:val="auto"/>
          <w:szCs w:val="24"/>
        </w:rPr>
        <w:t>05</w:t>
      </w:r>
      <w:r>
        <w:rPr>
          <w:color w:val="auto"/>
          <w:szCs w:val="24"/>
        </w:rPr>
        <w:t xml:space="preserve">, he </w:t>
      </w:r>
      <w:r w:rsidR="005E73A6">
        <w:rPr>
          <w:color w:val="auto"/>
          <w:szCs w:val="24"/>
        </w:rPr>
        <w:t xml:space="preserve">continued to experience duty limiting right </w:t>
      </w:r>
      <w:r w:rsidR="00860937">
        <w:rPr>
          <w:color w:val="auto"/>
          <w:szCs w:val="24"/>
        </w:rPr>
        <w:t>ankle pain</w:t>
      </w:r>
      <w:r w:rsidR="005E73A6">
        <w:rPr>
          <w:color w:val="auto"/>
          <w:szCs w:val="24"/>
        </w:rPr>
        <w:t xml:space="preserve"> and was restricted from </w:t>
      </w:r>
      <w:proofErr w:type="spellStart"/>
      <w:r w:rsidR="005E73A6">
        <w:rPr>
          <w:color w:val="auto"/>
          <w:szCs w:val="24"/>
        </w:rPr>
        <w:t>ruck</w:t>
      </w:r>
      <w:proofErr w:type="spellEnd"/>
      <w:r w:rsidR="005E73A6">
        <w:rPr>
          <w:color w:val="auto"/>
          <w:szCs w:val="24"/>
        </w:rPr>
        <w:t xml:space="preserve"> marching and running.</w:t>
      </w:r>
      <w:r w:rsidR="00EC1611">
        <w:rPr>
          <w:color w:val="auto"/>
          <w:szCs w:val="24"/>
        </w:rPr>
        <w:t xml:space="preserve">  </w:t>
      </w:r>
      <w:r w:rsidR="0090608A">
        <w:rPr>
          <w:color w:val="auto"/>
          <w:szCs w:val="24"/>
        </w:rPr>
        <w:t xml:space="preserve">At the time of the MEB NARSUM, 5 May 2005, six weeks after surgery, the CI reported his pain was moderate and constant.  </w:t>
      </w:r>
      <w:r w:rsidR="001E0821">
        <w:rPr>
          <w:color w:val="auto"/>
          <w:szCs w:val="24"/>
        </w:rPr>
        <w:t>ROM</w:t>
      </w:r>
      <w:r w:rsidR="0090608A">
        <w:rPr>
          <w:color w:val="auto"/>
          <w:szCs w:val="24"/>
        </w:rPr>
        <w:t xml:space="preserve"> was reduced in dorsiflexion however the gait was normal</w:t>
      </w:r>
      <w:r w:rsidR="008667C3">
        <w:rPr>
          <w:color w:val="auto"/>
          <w:szCs w:val="24"/>
        </w:rPr>
        <w:t xml:space="preserve"> indicating functional dorsiflexion.  Strength of the lower extremities was normal.  </w:t>
      </w:r>
      <w:r w:rsidR="0003494A">
        <w:rPr>
          <w:color w:val="auto"/>
          <w:szCs w:val="24"/>
        </w:rPr>
        <w:t xml:space="preserve">A 5 May 2005 physical therapy encounter recorded CI pain report of </w:t>
      </w:r>
      <w:r w:rsidR="001E0821">
        <w:rPr>
          <w:color w:val="auto"/>
          <w:szCs w:val="24"/>
        </w:rPr>
        <w:t>one</w:t>
      </w:r>
      <w:r w:rsidR="0003494A">
        <w:rPr>
          <w:color w:val="auto"/>
          <w:szCs w:val="24"/>
        </w:rPr>
        <w:t xml:space="preserve"> to </w:t>
      </w:r>
      <w:r w:rsidR="001E0821">
        <w:rPr>
          <w:color w:val="auto"/>
          <w:szCs w:val="24"/>
        </w:rPr>
        <w:t>two</w:t>
      </w:r>
      <w:r w:rsidR="0003494A">
        <w:rPr>
          <w:color w:val="auto"/>
          <w:szCs w:val="24"/>
        </w:rPr>
        <w:t xml:space="preserve"> on a 10 scale (mild) and that the ankle was improving.  The CI felt that his limping gait was due to his plantar fasciitis (see below).  On examination gait was non-antalgic, dorsiflexion was 15 degrees (improved from </w:t>
      </w:r>
      <w:r w:rsidR="001E0821">
        <w:rPr>
          <w:color w:val="auto"/>
          <w:szCs w:val="24"/>
        </w:rPr>
        <w:t>five</w:t>
      </w:r>
      <w:r w:rsidR="0003494A">
        <w:rPr>
          <w:color w:val="auto"/>
          <w:szCs w:val="24"/>
        </w:rPr>
        <w:t xml:space="preserve"> degrees) and plantar flexion 55 degrees.</w:t>
      </w:r>
      <w:r w:rsidR="00334431">
        <w:rPr>
          <w:color w:val="auto"/>
          <w:szCs w:val="24"/>
        </w:rPr>
        <w:t xml:space="preserve">  </w:t>
      </w:r>
      <w:r w:rsidR="008667C3">
        <w:rPr>
          <w:color w:val="auto"/>
          <w:szCs w:val="24"/>
        </w:rPr>
        <w:t xml:space="preserve">A </w:t>
      </w:r>
      <w:r w:rsidR="001E0821">
        <w:rPr>
          <w:color w:val="auto"/>
          <w:szCs w:val="24"/>
        </w:rPr>
        <w:t xml:space="preserve">     </w:t>
      </w:r>
      <w:r w:rsidR="008667C3">
        <w:rPr>
          <w:color w:val="auto"/>
          <w:szCs w:val="24"/>
        </w:rPr>
        <w:t>9 May 2005 orthopedic examination stated the CI was doing well in therapy 6 weeks post surgery, had a pain score of 4 on a 10 scale, and documented a range of motion examination that was the same as the MEB examination a few days before (dorsiflexion 10 degrees, plantar flexion 45 degrees).  A physical therapy examination 15 April 2005, three weeks post surgery documented a non-antalgic gait.</w:t>
      </w:r>
      <w:r w:rsidR="00EC1611">
        <w:rPr>
          <w:color w:val="auto"/>
          <w:szCs w:val="24"/>
        </w:rPr>
        <w:t xml:space="preserve">  </w:t>
      </w:r>
      <w:r w:rsidR="00EF07E9">
        <w:rPr>
          <w:color w:val="auto"/>
          <w:szCs w:val="24"/>
        </w:rPr>
        <w:t xml:space="preserve">At the time of the VA </w:t>
      </w:r>
      <w:r w:rsidR="001E0821">
        <w:rPr>
          <w:color w:val="auto"/>
          <w:szCs w:val="24"/>
        </w:rPr>
        <w:t>C</w:t>
      </w:r>
      <w:r w:rsidR="00EF07E9">
        <w:rPr>
          <w:color w:val="auto"/>
          <w:szCs w:val="24"/>
        </w:rPr>
        <w:t xml:space="preserve">ompensation and </w:t>
      </w:r>
      <w:r w:rsidR="001E0821">
        <w:rPr>
          <w:color w:val="auto"/>
          <w:szCs w:val="24"/>
        </w:rPr>
        <w:t>P</w:t>
      </w:r>
      <w:r w:rsidR="00EF07E9">
        <w:rPr>
          <w:color w:val="auto"/>
          <w:szCs w:val="24"/>
        </w:rPr>
        <w:t xml:space="preserve">ension </w:t>
      </w:r>
      <w:r w:rsidR="001E0821">
        <w:rPr>
          <w:color w:val="auto"/>
          <w:szCs w:val="24"/>
        </w:rPr>
        <w:t xml:space="preserve">(C&amp;P) </w:t>
      </w:r>
      <w:r w:rsidR="00EF07E9">
        <w:rPr>
          <w:color w:val="auto"/>
          <w:szCs w:val="24"/>
        </w:rPr>
        <w:t>examination, 1 October 2005, two months after separation</w:t>
      </w:r>
      <w:r w:rsidR="00C05D6C">
        <w:rPr>
          <w:color w:val="auto"/>
          <w:szCs w:val="24"/>
        </w:rPr>
        <w:t>, the CI reported constant right ankle pain that worsened with walking, climbing stairs, and standing.</w:t>
      </w:r>
      <w:r w:rsidR="001C4E4A">
        <w:rPr>
          <w:color w:val="auto"/>
          <w:szCs w:val="24"/>
        </w:rPr>
        <w:t xml:space="preserve">  </w:t>
      </w:r>
      <w:r w:rsidR="00C05D6C">
        <w:rPr>
          <w:color w:val="auto"/>
          <w:szCs w:val="24"/>
        </w:rPr>
        <w:t>The CI stated since the surgery there was no significant instability</w:t>
      </w:r>
      <w:r w:rsidR="001C4E4A">
        <w:rPr>
          <w:color w:val="auto"/>
          <w:szCs w:val="24"/>
        </w:rPr>
        <w:t>.  On examination there was m</w:t>
      </w:r>
      <w:r w:rsidR="004A6EA9">
        <w:rPr>
          <w:color w:val="auto"/>
          <w:szCs w:val="24"/>
        </w:rPr>
        <w:t xml:space="preserve">ild tenderness and swelling on </w:t>
      </w:r>
      <w:r w:rsidR="004A6EA9">
        <w:rPr>
          <w:color w:val="auto"/>
          <w:szCs w:val="24"/>
        </w:rPr>
        <w:lastRenderedPageBreak/>
        <w:t>the lateral aspect of the right ankle.</w:t>
      </w:r>
      <w:r w:rsidR="001C4E4A">
        <w:rPr>
          <w:color w:val="auto"/>
          <w:szCs w:val="24"/>
        </w:rPr>
        <w:t xml:space="preserve">  There was a m</w:t>
      </w:r>
      <w:r w:rsidR="004A6EA9">
        <w:rPr>
          <w:color w:val="auto"/>
          <w:szCs w:val="24"/>
        </w:rPr>
        <w:t xml:space="preserve">arked decreased </w:t>
      </w:r>
      <w:r w:rsidR="001E0821">
        <w:rPr>
          <w:color w:val="auto"/>
          <w:szCs w:val="24"/>
        </w:rPr>
        <w:t>ROM</w:t>
      </w:r>
      <w:r w:rsidR="004A6EA9">
        <w:rPr>
          <w:color w:val="auto"/>
          <w:szCs w:val="24"/>
        </w:rPr>
        <w:t xml:space="preserve"> without </w:t>
      </w:r>
      <w:r w:rsidR="001C4E4A">
        <w:rPr>
          <w:color w:val="auto"/>
          <w:szCs w:val="24"/>
        </w:rPr>
        <w:t xml:space="preserve">a </w:t>
      </w:r>
      <w:r w:rsidR="004A6EA9">
        <w:rPr>
          <w:color w:val="auto"/>
          <w:szCs w:val="24"/>
        </w:rPr>
        <w:t xml:space="preserve">history of recurrent injury to explain the </w:t>
      </w:r>
      <w:r w:rsidR="001C4E4A">
        <w:rPr>
          <w:color w:val="auto"/>
          <w:szCs w:val="24"/>
        </w:rPr>
        <w:t xml:space="preserve">dramatic </w:t>
      </w:r>
      <w:r w:rsidR="004A6EA9">
        <w:rPr>
          <w:color w:val="auto"/>
          <w:szCs w:val="24"/>
        </w:rPr>
        <w:t>reduction compared with examinations while on active duty.</w:t>
      </w:r>
      <w:r w:rsidR="001C4E4A">
        <w:rPr>
          <w:color w:val="auto"/>
          <w:szCs w:val="24"/>
        </w:rPr>
        <w:t xml:space="preserve">  </w:t>
      </w:r>
      <w:r w:rsidR="004A6EA9">
        <w:rPr>
          <w:color w:val="auto"/>
          <w:szCs w:val="24"/>
        </w:rPr>
        <w:t>The CI was observed to ambulate down the hall at a moderate</w:t>
      </w:r>
      <w:r w:rsidR="00271743">
        <w:rPr>
          <w:color w:val="auto"/>
          <w:szCs w:val="24"/>
        </w:rPr>
        <w:t xml:space="preserve"> pace </w:t>
      </w:r>
      <w:r w:rsidR="004A6EA9">
        <w:rPr>
          <w:color w:val="auto"/>
          <w:szCs w:val="24"/>
        </w:rPr>
        <w:t>with a normal gait which is inconsistent with the marked limitation of motion due to pain reported in the examination.</w:t>
      </w:r>
      <w:r w:rsidR="00271743">
        <w:rPr>
          <w:color w:val="auto"/>
          <w:szCs w:val="24"/>
        </w:rPr>
        <w:t xml:space="preserve"> </w:t>
      </w:r>
      <w:r w:rsidR="001C4E4A">
        <w:rPr>
          <w:color w:val="auto"/>
          <w:szCs w:val="24"/>
        </w:rPr>
        <w:t xml:space="preserve"> Strength was normal in all extremities.</w:t>
      </w:r>
      <w:r w:rsidR="00EC1611">
        <w:rPr>
          <w:color w:val="auto"/>
          <w:szCs w:val="24"/>
        </w:rPr>
        <w:t xml:space="preserve">  </w:t>
      </w:r>
      <w:r w:rsidR="001C4E4A">
        <w:rPr>
          <w:color w:val="auto"/>
          <w:szCs w:val="24"/>
        </w:rPr>
        <w:t xml:space="preserve">The </w:t>
      </w:r>
      <w:r w:rsidR="00C82A7A">
        <w:rPr>
          <w:color w:val="auto"/>
          <w:szCs w:val="24"/>
        </w:rPr>
        <w:t xml:space="preserve">PEB rated </w:t>
      </w:r>
      <w:r w:rsidR="001C4E4A">
        <w:rPr>
          <w:color w:val="auto"/>
          <w:szCs w:val="24"/>
        </w:rPr>
        <w:t xml:space="preserve">the ankle condition 20% with application of the USAPDA </w:t>
      </w:r>
      <w:r w:rsidR="007F0066">
        <w:rPr>
          <w:color w:val="auto"/>
          <w:szCs w:val="24"/>
        </w:rPr>
        <w:t>p</w:t>
      </w:r>
      <w:r w:rsidR="00C82A7A">
        <w:rPr>
          <w:color w:val="auto"/>
          <w:szCs w:val="24"/>
        </w:rPr>
        <w:t>ain policy</w:t>
      </w:r>
      <w:r w:rsidR="001C4E4A">
        <w:rPr>
          <w:color w:val="auto"/>
          <w:szCs w:val="24"/>
        </w:rPr>
        <w:t xml:space="preserve"> (moderate constant pain), coded 5099-5003</w:t>
      </w:r>
      <w:r w:rsidR="007F0066">
        <w:rPr>
          <w:color w:val="auto"/>
          <w:szCs w:val="24"/>
        </w:rPr>
        <w:t>;</w:t>
      </w:r>
      <w:r w:rsidR="001C4E4A">
        <w:rPr>
          <w:color w:val="auto"/>
          <w:szCs w:val="24"/>
        </w:rPr>
        <w:t xml:space="preserve"> </w:t>
      </w:r>
      <w:r w:rsidR="00C82A7A">
        <w:rPr>
          <w:color w:val="auto"/>
          <w:szCs w:val="24"/>
        </w:rPr>
        <w:t>however</w:t>
      </w:r>
      <w:r w:rsidR="007F0066">
        <w:rPr>
          <w:color w:val="auto"/>
          <w:szCs w:val="24"/>
        </w:rPr>
        <w:t>,</w:t>
      </w:r>
      <w:r w:rsidR="00C82A7A">
        <w:rPr>
          <w:color w:val="auto"/>
          <w:szCs w:val="24"/>
        </w:rPr>
        <w:t xml:space="preserve"> the Board noted the ROMs were consistent with a 10% rating.</w:t>
      </w:r>
      <w:r w:rsidR="001C4E4A">
        <w:rPr>
          <w:color w:val="auto"/>
          <w:szCs w:val="24"/>
        </w:rPr>
        <w:t xml:space="preserve">  </w:t>
      </w:r>
      <w:r w:rsidR="00C82A7A">
        <w:rPr>
          <w:color w:val="auto"/>
          <w:szCs w:val="24"/>
        </w:rPr>
        <w:t>The VA’s 20% rating</w:t>
      </w:r>
      <w:r w:rsidR="001C4E4A">
        <w:rPr>
          <w:color w:val="auto"/>
          <w:szCs w:val="24"/>
        </w:rPr>
        <w:t>,</w:t>
      </w:r>
      <w:r w:rsidR="00C82A7A">
        <w:rPr>
          <w:color w:val="auto"/>
          <w:szCs w:val="24"/>
        </w:rPr>
        <w:t xml:space="preserve"> </w:t>
      </w:r>
      <w:r w:rsidR="001C4E4A">
        <w:rPr>
          <w:color w:val="auto"/>
          <w:szCs w:val="24"/>
        </w:rPr>
        <w:t xml:space="preserve">using the limited motion code 5271, </w:t>
      </w:r>
      <w:r w:rsidR="00C82A7A">
        <w:rPr>
          <w:color w:val="auto"/>
          <w:szCs w:val="24"/>
        </w:rPr>
        <w:t>was based on the marked decrease in ROM of the post separa</w:t>
      </w:r>
      <w:r w:rsidR="001C4E4A">
        <w:rPr>
          <w:color w:val="auto"/>
          <w:szCs w:val="24"/>
        </w:rPr>
        <w:t>t</w:t>
      </w:r>
      <w:r w:rsidR="00C82A7A">
        <w:rPr>
          <w:color w:val="auto"/>
          <w:szCs w:val="24"/>
        </w:rPr>
        <w:t>ion C&amp;P</w:t>
      </w:r>
      <w:r w:rsidR="001C4E4A">
        <w:rPr>
          <w:color w:val="auto"/>
          <w:szCs w:val="24"/>
        </w:rPr>
        <w:t xml:space="preserve"> </w:t>
      </w:r>
      <w:r w:rsidR="00C82A7A">
        <w:rPr>
          <w:color w:val="auto"/>
          <w:szCs w:val="24"/>
        </w:rPr>
        <w:t xml:space="preserve">examination.  The Board concluded there was no evidence to support a higher rating than that adjudicated by the PEB even though the </w:t>
      </w:r>
      <w:r w:rsidR="00EC1611">
        <w:rPr>
          <w:color w:val="auto"/>
          <w:szCs w:val="24"/>
        </w:rPr>
        <w:t>USAPDA p</w:t>
      </w:r>
      <w:r w:rsidR="00C82A7A">
        <w:rPr>
          <w:color w:val="auto"/>
          <w:szCs w:val="24"/>
        </w:rPr>
        <w:t>ain policy rather than VASRD criteria were employed.</w:t>
      </w:r>
    </w:p>
    <w:p w:rsidR="00C82A7A" w:rsidRPr="00727FD0" w:rsidRDefault="00C82A7A" w:rsidP="00E515B9">
      <w:pPr>
        <w:spacing w:line="240" w:lineRule="exact"/>
        <w:jc w:val="both"/>
        <w:rPr>
          <w:color w:val="auto"/>
          <w:szCs w:val="24"/>
        </w:rPr>
      </w:pPr>
    </w:p>
    <w:p w:rsidR="00E515B9" w:rsidRDefault="00570706" w:rsidP="00E515B9">
      <w:pPr>
        <w:spacing w:line="240" w:lineRule="exact"/>
        <w:jc w:val="both"/>
        <w:rPr>
          <w:rFonts w:asciiTheme="minorHAnsi" w:hAnsiTheme="minorHAnsi"/>
          <w:color w:val="auto"/>
          <w:szCs w:val="24"/>
        </w:rPr>
      </w:pPr>
      <w:proofErr w:type="gramStart"/>
      <w:r>
        <w:rPr>
          <w:color w:val="auto"/>
          <w:szCs w:val="24"/>
          <w:u w:val="single"/>
        </w:rPr>
        <w:t>Bilateral Plantar Fasciitis.</w:t>
      </w:r>
      <w:proofErr w:type="gramEnd"/>
      <w:r w:rsidR="00BE1665">
        <w:rPr>
          <w:color w:val="auto"/>
          <w:szCs w:val="24"/>
        </w:rPr>
        <w:t xml:space="preserve">  </w:t>
      </w:r>
      <w:r w:rsidR="003B2846">
        <w:rPr>
          <w:color w:val="auto"/>
          <w:szCs w:val="24"/>
        </w:rPr>
        <w:t xml:space="preserve">Plantar fasciitis was </w:t>
      </w:r>
      <w:r w:rsidR="0058419E">
        <w:rPr>
          <w:color w:val="auto"/>
          <w:szCs w:val="24"/>
        </w:rPr>
        <w:t>diagnosed as a co-existing condition at the time the CI underwent evaluation for his right ankle and is reflected in the duty limiting profile and determined to be unfitting by the PEB.  Both the PEB and VA rated the condition 0%.</w:t>
      </w:r>
      <w:r w:rsidR="0062218F">
        <w:rPr>
          <w:color w:val="auto"/>
          <w:szCs w:val="24"/>
        </w:rPr>
        <w:t xml:space="preserve">  </w:t>
      </w:r>
      <w:r w:rsidR="0058419E">
        <w:rPr>
          <w:color w:val="auto"/>
          <w:szCs w:val="24"/>
        </w:rPr>
        <w:t xml:space="preserve">Evidence of the record shows the CI was diagnosed and treated for right plantar fasciitis in August 2004, two months prior to entry on active duty.  </w:t>
      </w:r>
      <w:r w:rsidR="0003494A">
        <w:rPr>
          <w:color w:val="auto"/>
          <w:szCs w:val="24"/>
        </w:rPr>
        <w:t xml:space="preserve">On 29 July 2004 the CI saw his family physician and reported right foot pain since jumping off of a truck in April of that year.  </w:t>
      </w:r>
      <w:r w:rsidR="0058419E">
        <w:rPr>
          <w:color w:val="auto"/>
          <w:szCs w:val="24"/>
        </w:rPr>
        <w:t xml:space="preserve">On 2 August 2004, the CI’s civilian </w:t>
      </w:r>
      <w:r w:rsidR="00B9213D">
        <w:rPr>
          <w:color w:val="auto"/>
          <w:szCs w:val="24"/>
        </w:rPr>
        <w:t xml:space="preserve">podiatrist </w:t>
      </w:r>
      <w:r w:rsidR="0058419E">
        <w:rPr>
          <w:color w:val="auto"/>
          <w:szCs w:val="24"/>
        </w:rPr>
        <w:t>diagnosed right plantar fasciitis that was caused by jumping out of a truck in March 2004.  The CI reported that he experienc</w:t>
      </w:r>
      <w:r w:rsidR="00271743">
        <w:rPr>
          <w:color w:val="auto"/>
          <w:szCs w:val="24"/>
        </w:rPr>
        <w:t>ed</w:t>
      </w:r>
      <w:r w:rsidR="0058419E">
        <w:rPr>
          <w:color w:val="auto"/>
          <w:szCs w:val="24"/>
        </w:rPr>
        <w:t xml:space="preserve"> a lot of pain in the foot and limping by the end of the day, and on examination, there was extreme pain with palpation.  At the time of the MEB NARSUM, 5 May 2005</w:t>
      </w:r>
      <w:r w:rsidR="0062218F">
        <w:rPr>
          <w:color w:val="auto"/>
          <w:szCs w:val="24"/>
        </w:rPr>
        <w:t xml:space="preserve">, there was tenderness of the plantar fascia of both feet, and gait was normal.  </w:t>
      </w:r>
      <w:r w:rsidR="00334431">
        <w:rPr>
          <w:color w:val="auto"/>
          <w:szCs w:val="24"/>
        </w:rPr>
        <w:t xml:space="preserve">A 5 May 2005 physical therapy encounter recorded CI pain report of </w:t>
      </w:r>
      <w:r w:rsidR="001E0821">
        <w:rPr>
          <w:color w:val="auto"/>
          <w:szCs w:val="24"/>
        </w:rPr>
        <w:t>one</w:t>
      </w:r>
      <w:r w:rsidR="00334431">
        <w:rPr>
          <w:color w:val="auto"/>
          <w:szCs w:val="24"/>
        </w:rPr>
        <w:t xml:space="preserve"> to </w:t>
      </w:r>
      <w:r w:rsidR="001E0821">
        <w:rPr>
          <w:color w:val="auto"/>
          <w:szCs w:val="24"/>
        </w:rPr>
        <w:t>two</w:t>
      </w:r>
      <w:r w:rsidR="00334431">
        <w:rPr>
          <w:color w:val="auto"/>
          <w:szCs w:val="24"/>
        </w:rPr>
        <w:t xml:space="preserve"> on a 10 scale (mild).  The CI felt that his limping was due to his plantar fasciitis since his ankle was getting better.  On examination the gait was non-antalgic.</w:t>
      </w:r>
      <w:r w:rsidR="00271743">
        <w:rPr>
          <w:color w:val="auto"/>
          <w:szCs w:val="24"/>
        </w:rPr>
        <w:t xml:space="preserve">  </w:t>
      </w:r>
      <w:r w:rsidR="0062218F">
        <w:rPr>
          <w:color w:val="auto"/>
          <w:szCs w:val="24"/>
        </w:rPr>
        <w:t>At the time of the VA C&amp;P examination, 1 October 2005, the CI reported pain and stiffness in the arches of his feet when he first woke up in the morning that lasted five minutes and gradually subsided with activity.  His ability to walk was not limited by the condition as the discomfort resolved soon after he started to walk.  He experienced discomfort after a prolonged rest but to a lesser degree.  He did not take medications for the condition, and had no difficulty with standing or walking.  The examiner observed that the CI ambulated down the hallway with a normal gait at a moderate pace.  The Board noted that the medical evidence regarding the plantar fasciitis condition following surgery was limited and overshadowed by the right ankle condition.  However the C&amp;P examination was close to the date of separation and was consistent with the 0% rating adjudicated by both the PEB and VA.  While it appeared the condition was aggravated by service, by the time of the C&amp;P examination two months after separation, it was actually better than the examination of August 2004 prior to entry on active duty.</w:t>
      </w:r>
      <w:r w:rsidR="00E515B9">
        <w:rPr>
          <w:color w:val="auto"/>
          <w:szCs w:val="24"/>
        </w:rPr>
        <w:t xml:space="preserve"> </w:t>
      </w:r>
      <w:r w:rsidR="00E515B9">
        <w:rPr>
          <w:rFonts w:asciiTheme="minorHAnsi" w:eastAsia="HiddenHorzOCR" w:hAnsiTheme="minorHAnsi"/>
          <w:color w:val="auto"/>
          <w:szCs w:val="24"/>
        </w:rPr>
        <w:t xml:space="preserve"> </w:t>
      </w:r>
      <w:r w:rsidR="00E515B9" w:rsidRPr="00664296">
        <w:rPr>
          <w:rFonts w:asciiTheme="minorHAnsi" w:hAnsiTheme="minorHAnsi"/>
          <w:color w:val="auto"/>
          <w:szCs w:val="24"/>
        </w:rPr>
        <w:t>All evidence considered</w:t>
      </w:r>
      <w:proofErr w:type="gramStart"/>
      <w:r w:rsidR="00E515B9" w:rsidRPr="00664296">
        <w:rPr>
          <w:rFonts w:asciiTheme="minorHAnsi" w:hAnsiTheme="minorHAnsi"/>
          <w:color w:val="auto"/>
          <w:szCs w:val="24"/>
        </w:rPr>
        <w:t>,</w:t>
      </w:r>
      <w:proofErr w:type="gramEnd"/>
      <w:r w:rsidR="00E515B9" w:rsidRPr="00664296">
        <w:rPr>
          <w:rFonts w:asciiTheme="minorHAnsi" w:hAnsiTheme="minorHAnsi"/>
          <w:color w:val="auto"/>
          <w:szCs w:val="24"/>
        </w:rPr>
        <w:t xml:space="preserve"> there is not reasonable doubt in the CI’s favor supporting a change from the PEB’s rating decision for the </w:t>
      </w:r>
      <w:r w:rsidR="003D58A5">
        <w:rPr>
          <w:rFonts w:asciiTheme="minorHAnsi" w:hAnsiTheme="minorHAnsi"/>
          <w:color w:val="auto"/>
          <w:szCs w:val="24"/>
        </w:rPr>
        <w:t xml:space="preserve">bilateral </w:t>
      </w:r>
      <w:r w:rsidR="0019225F">
        <w:rPr>
          <w:rFonts w:asciiTheme="minorHAnsi" w:hAnsiTheme="minorHAnsi"/>
          <w:color w:val="auto"/>
          <w:szCs w:val="24"/>
        </w:rPr>
        <w:t>plantar fasciitis</w:t>
      </w:r>
      <w:r w:rsidR="00E515B9" w:rsidRPr="00664296">
        <w:rPr>
          <w:rFonts w:asciiTheme="minorHAnsi" w:hAnsiTheme="minorHAnsi"/>
          <w:color w:val="auto"/>
          <w:szCs w:val="24"/>
        </w:rPr>
        <w:t>.</w:t>
      </w:r>
    </w:p>
    <w:p w:rsidR="007B2C8D" w:rsidRDefault="007B2C8D" w:rsidP="00D37B70">
      <w:pPr>
        <w:spacing w:line="240" w:lineRule="exact"/>
        <w:jc w:val="both"/>
        <w:rPr>
          <w:color w:val="auto"/>
          <w:szCs w:val="24"/>
          <w:u w:val="single"/>
        </w:rPr>
      </w:pPr>
    </w:p>
    <w:p w:rsidR="00EC337D" w:rsidRPr="001E0821" w:rsidRDefault="00EC337D" w:rsidP="00D37B70">
      <w:pPr>
        <w:spacing w:line="240" w:lineRule="exact"/>
        <w:jc w:val="both"/>
        <w:rPr>
          <w:rFonts w:eastAsia="HiddenHorzOCR"/>
          <w:color w:val="auto"/>
          <w:szCs w:val="24"/>
        </w:rPr>
      </w:pPr>
      <w:proofErr w:type="gramStart"/>
      <w:r w:rsidRPr="007973D8">
        <w:rPr>
          <w:rFonts w:eastAsia="HiddenHorzOCR"/>
          <w:color w:val="auto"/>
          <w:szCs w:val="24"/>
          <w:u w:val="single"/>
        </w:rPr>
        <w:t>Other Contended Conditions</w:t>
      </w:r>
      <w:r w:rsidR="001E0821">
        <w:rPr>
          <w:rFonts w:eastAsia="HiddenHorzOCR"/>
          <w:color w:val="auto"/>
          <w:szCs w:val="24"/>
          <w:u w:val="single"/>
        </w:rPr>
        <w:t>.</w:t>
      </w:r>
      <w:proofErr w:type="gramEnd"/>
      <w:r w:rsidR="001E0821" w:rsidRPr="001E0821">
        <w:rPr>
          <w:rFonts w:eastAsia="HiddenHorzOCR"/>
          <w:color w:val="auto"/>
          <w:szCs w:val="24"/>
        </w:rPr>
        <w:t xml:space="preserve"> </w:t>
      </w:r>
      <w:r w:rsidRPr="007973D8">
        <w:rPr>
          <w:rFonts w:eastAsia="HiddenHorzOCR"/>
          <w:color w:val="auto"/>
          <w:szCs w:val="24"/>
        </w:rPr>
        <w:t>The</w:t>
      </w:r>
      <w:r w:rsidRPr="00711350">
        <w:rPr>
          <w:rFonts w:eastAsia="HiddenHorzOCR"/>
          <w:color w:val="auto"/>
          <w:szCs w:val="24"/>
        </w:rPr>
        <w:t xml:space="preserve"> CI’s application asserts that compensable ratings should be considered for </w:t>
      </w:r>
      <w:r w:rsidR="007922DF">
        <w:rPr>
          <w:rFonts w:eastAsia="HiddenHorzOCR"/>
          <w:color w:val="auto"/>
          <w:szCs w:val="24"/>
        </w:rPr>
        <w:t xml:space="preserve">hypertension and subclavian artery </w:t>
      </w:r>
      <w:r w:rsidR="007922DF" w:rsidRPr="006615EC">
        <w:rPr>
          <w:rFonts w:cs="Calibri"/>
          <w:color w:val="auto"/>
          <w:szCs w:val="24"/>
        </w:rPr>
        <w:t>aneurysm</w:t>
      </w:r>
      <w:r w:rsidR="002340A7">
        <w:rPr>
          <w:rFonts w:eastAsia="HiddenHorzOCR"/>
          <w:color w:val="auto"/>
          <w:szCs w:val="24"/>
        </w:rPr>
        <w:t>.</w:t>
      </w:r>
      <w:r w:rsidR="00E515B9">
        <w:rPr>
          <w:rFonts w:eastAsia="HiddenHorzOCR"/>
          <w:color w:val="auto"/>
          <w:szCs w:val="24"/>
        </w:rPr>
        <w:t xml:space="preserve">  The CI had treated hypertension controlled with medication that was not disqualifying for military service and did not interfere with performance of duties.  </w:t>
      </w:r>
      <w:r w:rsidR="00E515B9">
        <w:rPr>
          <w:color w:val="auto"/>
          <w:szCs w:val="24"/>
        </w:rPr>
        <w:t xml:space="preserve">The subclavian artery aneurysm was not diagnosed until </w:t>
      </w:r>
      <w:r w:rsidR="00D37B70">
        <w:rPr>
          <w:color w:val="auto"/>
          <w:szCs w:val="24"/>
        </w:rPr>
        <w:t xml:space="preserve">two years </w:t>
      </w:r>
      <w:r w:rsidR="00E515B9">
        <w:rPr>
          <w:color w:val="auto"/>
          <w:szCs w:val="24"/>
        </w:rPr>
        <w:t xml:space="preserve">after separation from the Army.  </w:t>
      </w:r>
      <w:r w:rsidR="007B2C8D">
        <w:rPr>
          <w:color w:val="auto"/>
          <w:szCs w:val="24"/>
        </w:rPr>
        <w:t xml:space="preserve">VA records record a history of right hand and arm weakness in 1993 while on extended active duty with subsequent diagnosis of carpal tunnel syndrome.  </w:t>
      </w:r>
      <w:r w:rsidR="001E0821">
        <w:rPr>
          <w:color w:val="auto"/>
          <w:szCs w:val="24"/>
        </w:rPr>
        <w:t xml:space="preserve">      </w:t>
      </w:r>
      <w:r w:rsidR="00D37B70">
        <w:rPr>
          <w:rFonts w:eastAsia="HiddenHorzOCR"/>
          <w:color w:val="auto"/>
          <w:szCs w:val="24"/>
        </w:rPr>
        <w:t>A</w:t>
      </w:r>
      <w:r w:rsidR="009B4968">
        <w:rPr>
          <w:rFonts w:eastAsia="HiddenHorzOCR"/>
          <w:color w:val="auto"/>
          <w:szCs w:val="24"/>
        </w:rPr>
        <w:t xml:space="preserve"> </w:t>
      </w:r>
      <w:r w:rsidR="00D37B70" w:rsidRPr="00271743">
        <w:rPr>
          <w:rFonts w:eastAsia="HiddenHorzOCR"/>
          <w:color w:val="auto"/>
          <w:szCs w:val="24"/>
        </w:rPr>
        <w:t>2 March</w:t>
      </w:r>
      <w:r w:rsidR="00D37B70">
        <w:rPr>
          <w:rFonts w:eastAsia="HiddenHorzOCR"/>
          <w:color w:val="auto"/>
          <w:szCs w:val="24"/>
        </w:rPr>
        <w:t xml:space="preserve"> 2005 service treatment record </w:t>
      </w:r>
      <w:r w:rsidR="007F0066">
        <w:rPr>
          <w:rFonts w:eastAsia="HiddenHorzOCR"/>
          <w:color w:val="auto"/>
          <w:szCs w:val="24"/>
        </w:rPr>
        <w:t xml:space="preserve">entry </w:t>
      </w:r>
      <w:r w:rsidR="00D37B70">
        <w:rPr>
          <w:rFonts w:eastAsia="HiddenHorzOCR"/>
          <w:color w:val="auto"/>
          <w:szCs w:val="24"/>
        </w:rPr>
        <w:t xml:space="preserve">documents complaint of right forearm and hand numbness for three weeks that was diagnosed as carpal tunnel syndrome based on symptoms and a positive examination test for </w:t>
      </w:r>
      <w:r w:rsidR="00AA55B3">
        <w:rPr>
          <w:rFonts w:eastAsia="HiddenHorzOCR"/>
          <w:color w:val="auto"/>
          <w:szCs w:val="24"/>
        </w:rPr>
        <w:t xml:space="preserve">carpal tunnel syndrome. </w:t>
      </w:r>
      <w:r w:rsidR="00271743">
        <w:rPr>
          <w:rFonts w:eastAsia="HiddenHorzOCR"/>
          <w:color w:val="auto"/>
          <w:szCs w:val="24"/>
        </w:rPr>
        <w:t xml:space="preserve"> </w:t>
      </w:r>
      <w:r w:rsidR="00D37B70">
        <w:rPr>
          <w:rFonts w:eastAsia="HiddenHorzOCR"/>
          <w:color w:val="auto"/>
          <w:szCs w:val="24"/>
        </w:rPr>
        <w:t>At the time of the C&amp;P examination</w:t>
      </w:r>
      <w:r w:rsidR="00AD72A3">
        <w:rPr>
          <w:rFonts w:eastAsia="HiddenHorzOCR"/>
          <w:color w:val="auto"/>
          <w:szCs w:val="24"/>
        </w:rPr>
        <w:t>, two months after separation</w:t>
      </w:r>
      <w:r w:rsidR="00D37B70">
        <w:rPr>
          <w:rFonts w:eastAsia="HiddenHorzOCR"/>
          <w:color w:val="auto"/>
          <w:szCs w:val="24"/>
        </w:rPr>
        <w:t xml:space="preserve">, the CI reported a diagnosis of carpal tunnel syndrome that was confirmed by electrodiagnostic testing.  He reported symptoms consistent </w:t>
      </w:r>
      <w:r w:rsidR="00D37B70">
        <w:rPr>
          <w:rFonts w:eastAsia="HiddenHorzOCR"/>
          <w:color w:val="auto"/>
          <w:szCs w:val="24"/>
        </w:rPr>
        <w:lastRenderedPageBreak/>
        <w:t xml:space="preserve">with the diagnosis that occurred primarily with typing for more than 15 minutes and that were relieved by stopping.  There were no other precipitating or alleviating factors. </w:t>
      </w:r>
      <w:r w:rsidR="00271743">
        <w:rPr>
          <w:rFonts w:eastAsia="HiddenHorzOCR"/>
          <w:color w:val="auto"/>
          <w:szCs w:val="24"/>
        </w:rPr>
        <w:t xml:space="preserve"> </w:t>
      </w:r>
      <w:r w:rsidR="00D37B70">
        <w:rPr>
          <w:rFonts w:eastAsia="HiddenHorzOCR"/>
          <w:color w:val="auto"/>
          <w:szCs w:val="24"/>
        </w:rPr>
        <w:t xml:space="preserve">VA treatment records from October 2007 </w:t>
      </w:r>
      <w:r w:rsidR="00AA55B3">
        <w:rPr>
          <w:rFonts w:eastAsia="HiddenHorzOCR"/>
          <w:color w:val="auto"/>
          <w:szCs w:val="24"/>
        </w:rPr>
        <w:t>(</w:t>
      </w:r>
      <w:r w:rsidR="001E0821">
        <w:rPr>
          <w:rFonts w:eastAsia="HiddenHorzOCR"/>
          <w:color w:val="auto"/>
          <w:szCs w:val="24"/>
        </w:rPr>
        <w:t>two</w:t>
      </w:r>
      <w:r w:rsidR="00AA55B3">
        <w:rPr>
          <w:rFonts w:eastAsia="HiddenHorzOCR"/>
          <w:color w:val="auto"/>
          <w:szCs w:val="24"/>
        </w:rPr>
        <w:t xml:space="preserve"> years after separation) </w:t>
      </w:r>
      <w:r w:rsidR="00D37B70">
        <w:rPr>
          <w:rFonts w:eastAsia="HiddenHorzOCR"/>
          <w:color w:val="auto"/>
          <w:szCs w:val="24"/>
        </w:rPr>
        <w:t>document acute thrombosis of the right arm brachial artery due to a right subclavian artery aneurysm.  Evaluation disclosed the presence of a cervical rib (a congenital condition that was present on both sides) that was compressing the subclavian artery</w:t>
      </w:r>
      <w:r w:rsidR="00AD72A3">
        <w:rPr>
          <w:rFonts w:eastAsia="HiddenHorzOCR"/>
          <w:color w:val="auto"/>
          <w:szCs w:val="24"/>
        </w:rPr>
        <w:t>.  T</w:t>
      </w:r>
      <w:r w:rsidR="00D37B70">
        <w:rPr>
          <w:rFonts w:eastAsia="HiddenHorzOCR"/>
          <w:color w:val="auto"/>
          <w:szCs w:val="24"/>
        </w:rPr>
        <w:t xml:space="preserve">he </w:t>
      </w:r>
      <w:r w:rsidR="00AD72A3">
        <w:rPr>
          <w:rFonts w:eastAsia="HiddenHorzOCR"/>
          <w:color w:val="auto"/>
          <w:szCs w:val="24"/>
        </w:rPr>
        <w:t xml:space="preserve">consulting </w:t>
      </w:r>
      <w:r w:rsidR="00D37B70">
        <w:rPr>
          <w:rFonts w:eastAsia="HiddenHorzOCR"/>
          <w:color w:val="auto"/>
          <w:szCs w:val="24"/>
        </w:rPr>
        <w:t>vascular surgeon concluded th</w:t>
      </w:r>
      <w:r w:rsidR="00AD72A3">
        <w:rPr>
          <w:rFonts w:eastAsia="HiddenHorzOCR"/>
          <w:color w:val="auto"/>
          <w:szCs w:val="24"/>
        </w:rPr>
        <w:t xml:space="preserve">e cervical rib </w:t>
      </w:r>
      <w:r w:rsidR="00D37B70">
        <w:rPr>
          <w:rFonts w:eastAsia="HiddenHorzOCR"/>
          <w:color w:val="auto"/>
          <w:szCs w:val="24"/>
        </w:rPr>
        <w:t>was the cause</w:t>
      </w:r>
      <w:r w:rsidR="00AD72A3">
        <w:rPr>
          <w:rFonts w:eastAsia="HiddenHorzOCR"/>
          <w:color w:val="auto"/>
          <w:szCs w:val="24"/>
        </w:rPr>
        <w:t xml:space="preserve"> of the artery problem</w:t>
      </w:r>
      <w:r w:rsidR="00D37B70">
        <w:rPr>
          <w:rFonts w:eastAsia="HiddenHorzOCR"/>
          <w:color w:val="auto"/>
          <w:szCs w:val="24"/>
        </w:rPr>
        <w:t xml:space="preserve">.  In addition, </w:t>
      </w:r>
      <w:r w:rsidR="00AD72A3">
        <w:rPr>
          <w:rFonts w:eastAsia="HiddenHorzOCR"/>
          <w:color w:val="auto"/>
          <w:szCs w:val="24"/>
        </w:rPr>
        <w:t xml:space="preserve">at the time of surgery, </w:t>
      </w:r>
      <w:r w:rsidR="00D37B70">
        <w:rPr>
          <w:rFonts w:eastAsia="HiddenHorzOCR"/>
          <w:color w:val="auto"/>
          <w:szCs w:val="24"/>
        </w:rPr>
        <w:t xml:space="preserve">there was a fibrous band that was also </w:t>
      </w:r>
      <w:r w:rsidR="00AD72A3">
        <w:rPr>
          <w:rFonts w:eastAsia="HiddenHorzOCR"/>
          <w:color w:val="auto"/>
          <w:szCs w:val="24"/>
        </w:rPr>
        <w:t xml:space="preserve">discovered to be </w:t>
      </w:r>
      <w:r w:rsidR="00D37B70">
        <w:rPr>
          <w:rFonts w:eastAsia="HiddenHorzOCR"/>
          <w:color w:val="auto"/>
          <w:szCs w:val="24"/>
        </w:rPr>
        <w:t>compressing the artery.</w:t>
      </w:r>
      <w:r w:rsidR="00271743">
        <w:rPr>
          <w:rFonts w:eastAsia="HiddenHorzOCR"/>
          <w:color w:val="auto"/>
          <w:szCs w:val="24"/>
        </w:rPr>
        <w:t xml:space="preserve">  </w:t>
      </w:r>
      <w:r w:rsidR="00AD72A3">
        <w:rPr>
          <w:color w:val="auto"/>
          <w:szCs w:val="24"/>
        </w:rPr>
        <w:t xml:space="preserve">Regardless of cause of the right forearm and hand numbness while on active duty, there was no evidence that it prevented performance of duties.  </w:t>
      </w:r>
      <w:r w:rsidRPr="00711350">
        <w:rPr>
          <w:color w:val="auto"/>
          <w:szCs w:val="24"/>
        </w:rPr>
        <w:t>There was no evidence for concluding that any of the conditions interfered with duty</w:t>
      </w:r>
      <w:r w:rsidR="00D37B70">
        <w:rPr>
          <w:color w:val="auto"/>
          <w:szCs w:val="24"/>
        </w:rPr>
        <w:t xml:space="preserve"> </w:t>
      </w:r>
      <w:r w:rsidRPr="00711350">
        <w:rPr>
          <w:color w:val="auto"/>
          <w:szCs w:val="24"/>
        </w:rPr>
        <w:t>performance to a degree that could be argued as unfitting.  The Board determined therefore that none of the stated conditions were subject to Service disability rating.</w:t>
      </w:r>
    </w:p>
    <w:p w:rsidR="00AD72A3" w:rsidRDefault="00AD72A3" w:rsidP="007922DF">
      <w:pPr>
        <w:spacing w:line="240" w:lineRule="exact"/>
        <w:rPr>
          <w:color w:val="auto"/>
          <w:szCs w:val="24"/>
          <w:u w:val="single"/>
        </w:rPr>
      </w:pPr>
    </w:p>
    <w:p w:rsidR="00EC337D" w:rsidRDefault="00EC337D" w:rsidP="00223D21">
      <w:pPr>
        <w:spacing w:line="240" w:lineRule="exact"/>
        <w:jc w:val="both"/>
        <w:rPr>
          <w:i/>
          <w:color w:val="auto"/>
          <w:szCs w:val="24"/>
        </w:rPr>
      </w:pPr>
      <w:proofErr w:type="gramStart"/>
      <w:r w:rsidRPr="00EC337D">
        <w:rPr>
          <w:color w:val="auto"/>
          <w:szCs w:val="24"/>
          <w:u w:val="single"/>
        </w:rPr>
        <w:t>Remaining Conditions</w:t>
      </w:r>
      <w:r w:rsidR="007922DF">
        <w:rPr>
          <w:color w:val="auto"/>
          <w:szCs w:val="24"/>
        </w:rPr>
        <w:t>.</w:t>
      </w:r>
      <w:proofErr w:type="gramEnd"/>
      <w:r w:rsidR="007922DF">
        <w:rPr>
          <w:color w:val="auto"/>
          <w:szCs w:val="24"/>
        </w:rPr>
        <w:t xml:space="preserve">  </w:t>
      </w:r>
      <w:r w:rsidRPr="00711350">
        <w:rPr>
          <w:color w:val="auto"/>
          <w:szCs w:val="24"/>
        </w:rPr>
        <w:t xml:space="preserve">Other conditions identified in the DES file were </w:t>
      </w:r>
      <w:r w:rsidR="007922DF">
        <w:rPr>
          <w:color w:val="auto"/>
          <w:szCs w:val="24"/>
        </w:rPr>
        <w:t>headaches and carpal tunnel syndrome</w:t>
      </w:r>
      <w:r w:rsidRPr="00711350">
        <w:rPr>
          <w:color w:val="auto"/>
          <w:szCs w:val="24"/>
        </w:rPr>
        <w:t>.  Several additional non-acute conditions or medical complaints were also documented.  N</w:t>
      </w:r>
      <w:r w:rsidR="003D68BE">
        <w:rPr>
          <w:color w:val="auto"/>
          <w:szCs w:val="24"/>
        </w:rPr>
        <w:t>one</w:t>
      </w:r>
      <w:r w:rsidRPr="00711350">
        <w:rPr>
          <w:color w:val="auto"/>
          <w:szCs w:val="24"/>
        </w:rPr>
        <w:t xml:space="preserve"> of these </w:t>
      </w:r>
      <w:r w:rsidRPr="007922DF">
        <w:rPr>
          <w:color w:val="auto"/>
          <w:szCs w:val="24"/>
        </w:rPr>
        <w:t xml:space="preserve">conditions were clinically </w:t>
      </w:r>
      <w:r w:rsidR="008D6CF0">
        <w:rPr>
          <w:color w:val="auto"/>
          <w:szCs w:val="24"/>
        </w:rPr>
        <w:t xml:space="preserve">or occupationally significant </w:t>
      </w:r>
      <w:r w:rsidRPr="007922DF">
        <w:rPr>
          <w:color w:val="auto"/>
          <w:szCs w:val="24"/>
        </w:rPr>
        <w:t>during the MEB period</w:t>
      </w:r>
      <w:r w:rsidR="006008F8" w:rsidRPr="007922DF">
        <w:rPr>
          <w:color w:val="auto"/>
          <w:szCs w:val="24"/>
        </w:rPr>
        <w:t>,</w:t>
      </w:r>
      <w:r w:rsidRPr="007922DF">
        <w:rPr>
          <w:color w:val="auto"/>
          <w:szCs w:val="24"/>
        </w:rPr>
        <w:t xml:space="preserve"> none carried attached profiles</w:t>
      </w:r>
      <w:r w:rsidR="007922DF">
        <w:rPr>
          <w:color w:val="auto"/>
          <w:szCs w:val="24"/>
        </w:rPr>
        <w:t xml:space="preserve">, </w:t>
      </w:r>
      <w:r w:rsidRPr="007922DF">
        <w:rPr>
          <w:color w:val="auto"/>
          <w:szCs w:val="24"/>
        </w:rPr>
        <w:t xml:space="preserve">and none were implicated in the </w:t>
      </w:r>
      <w:r w:rsidR="00B5646A" w:rsidRPr="007922DF">
        <w:rPr>
          <w:color w:val="auto"/>
          <w:szCs w:val="24"/>
        </w:rPr>
        <w:t>c</w:t>
      </w:r>
      <w:r w:rsidRPr="007922DF">
        <w:rPr>
          <w:color w:val="auto"/>
          <w:szCs w:val="24"/>
        </w:rPr>
        <w:t>ommander’s</w:t>
      </w:r>
      <w:r w:rsidR="00774FFD" w:rsidRPr="007922DF">
        <w:rPr>
          <w:color w:val="auto"/>
          <w:szCs w:val="24"/>
        </w:rPr>
        <w:t xml:space="preserve"> statement</w:t>
      </w:r>
      <w:r w:rsidRPr="007922DF">
        <w:rPr>
          <w:color w:val="auto"/>
          <w:szCs w:val="24"/>
        </w:rPr>
        <w:t xml:space="preserve">.  These conditions were reviewed by the </w:t>
      </w:r>
      <w:r w:rsidR="003B4319" w:rsidRPr="007922DF">
        <w:rPr>
          <w:color w:val="auto"/>
          <w:szCs w:val="24"/>
        </w:rPr>
        <w:t>a</w:t>
      </w:r>
      <w:r w:rsidRPr="007922DF">
        <w:rPr>
          <w:color w:val="auto"/>
          <w:szCs w:val="24"/>
        </w:rPr>
        <w:t xml:space="preserve">ction </w:t>
      </w:r>
      <w:r w:rsidR="003B4319" w:rsidRPr="007922DF">
        <w:rPr>
          <w:color w:val="auto"/>
          <w:szCs w:val="24"/>
        </w:rPr>
        <w:t>o</w:t>
      </w:r>
      <w:r w:rsidRPr="007922DF">
        <w:rPr>
          <w:color w:val="auto"/>
          <w:szCs w:val="24"/>
        </w:rPr>
        <w:t xml:space="preserve">fficer and considered by the Board.  It was determined that none could be argued as unfitting and subject to separation rating.  Additionally </w:t>
      </w:r>
      <w:r w:rsidR="007922DF">
        <w:rPr>
          <w:color w:val="auto"/>
          <w:szCs w:val="24"/>
        </w:rPr>
        <w:t>irritable bowel syndrome</w:t>
      </w:r>
      <w:r w:rsidRPr="007922DF">
        <w:rPr>
          <w:color w:val="auto"/>
          <w:szCs w:val="24"/>
        </w:rPr>
        <w:t xml:space="preserve"> and several other non-acute conditions were noted in the VA rating decision proximal to separation</w:t>
      </w:r>
      <w:r w:rsidRPr="00711350">
        <w:rPr>
          <w:color w:val="auto"/>
          <w:szCs w:val="24"/>
        </w:rPr>
        <w:t>, but were not documented in the DES file.  The Board does not have the authority under DoDI 6040.44 to render fitness or rating recommendations for any conditions not considered by the DES.</w:t>
      </w:r>
      <w:r w:rsidR="00817572">
        <w:rPr>
          <w:color w:val="auto"/>
          <w:szCs w:val="24"/>
        </w:rPr>
        <w:t xml:space="preserve">  </w:t>
      </w:r>
      <w:r w:rsidR="00817572" w:rsidRPr="00B56F3D">
        <w:rPr>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DB0001" w:rsidRPr="009C78FD" w:rsidRDefault="00C56FC8" w:rsidP="00510F9C">
      <w:pPr>
        <w:spacing w:line="240" w:lineRule="exact"/>
        <w:jc w:val="both"/>
        <w:rPr>
          <w:rFonts w:eastAsia="Calibri"/>
          <w:color w:val="auto"/>
          <w:szCs w:val="24"/>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71743">
        <w:rPr>
          <w:rFonts w:eastAsia="Calibri"/>
          <w:color w:val="auto"/>
          <w:szCs w:val="24"/>
        </w:rPr>
        <w:t xml:space="preserve">  </w:t>
      </w:r>
      <w:r w:rsidR="005D7CC0">
        <w:rPr>
          <w:rFonts w:eastAsia="Calibri"/>
          <w:color w:val="auto"/>
          <w:szCs w:val="24"/>
        </w:rPr>
        <w:t xml:space="preserve">Although the PEB rated the unfitting right ankle condition using the USPDA pain policy, </w:t>
      </w:r>
      <w:r w:rsidR="00271743">
        <w:rPr>
          <w:rFonts w:eastAsia="Calibri"/>
          <w:color w:val="auto"/>
          <w:szCs w:val="24"/>
        </w:rPr>
        <w:t xml:space="preserve">rating IAW with VASRD guidelines results in a lower rating and </w:t>
      </w:r>
      <w:r w:rsidR="005D7CC0">
        <w:rPr>
          <w:rFonts w:eastAsia="Calibri"/>
          <w:color w:val="auto"/>
          <w:szCs w:val="24"/>
        </w:rPr>
        <w:t xml:space="preserve">the Board </w:t>
      </w:r>
      <w:r w:rsidR="00271743">
        <w:rPr>
          <w:rFonts w:eastAsia="Calibri"/>
          <w:color w:val="auto"/>
          <w:szCs w:val="24"/>
        </w:rPr>
        <w:t xml:space="preserve">therefore </w:t>
      </w:r>
      <w:r w:rsidR="005D7CC0">
        <w:rPr>
          <w:rFonts w:eastAsia="Calibri"/>
          <w:color w:val="auto"/>
          <w:szCs w:val="24"/>
        </w:rPr>
        <w:t>unanimously recommends no change in the 20% separation rating.</w:t>
      </w:r>
      <w:r w:rsidR="00271743">
        <w:rPr>
          <w:rFonts w:eastAsia="Calibri"/>
          <w:color w:val="auto"/>
          <w:szCs w:val="24"/>
        </w:rPr>
        <w:t xml:space="preserve">  </w:t>
      </w:r>
      <w:r w:rsidR="005D7CC0" w:rsidRPr="005D7CC0">
        <w:rPr>
          <w:rFonts w:eastAsia="Calibri"/>
          <w:color w:val="auto"/>
          <w:szCs w:val="24"/>
        </w:rPr>
        <w:t xml:space="preserve">In the matter of the plantar fasciitis condition, and </w:t>
      </w:r>
      <w:r w:rsidR="005D7CC0" w:rsidRPr="005D7CC0">
        <w:rPr>
          <w:rFonts w:asciiTheme="minorHAnsi" w:eastAsiaTheme="minorHAnsi" w:hAnsiTheme="minorHAnsi"/>
          <w:color w:val="auto"/>
          <w:szCs w:val="24"/>
        </w:rPr>
        <w:t xml:space="preserve">IAW VASRD §4.71a, </w:t>
      </w:r>
      <w:r w:rsidR="005D7CC0" w:rsidRPr="005D7CC0">
        <w:rPr>
          <w:rFonts w:eastAsia="Calibri"/>
          <w:color w:val="auto"/>
          <w:szCs w:val="24"/>
        </w:rPr>
        <w:t>the Board unanimously recommends no change in the PEB rating at sep</w:t>
      </w:r>
      <w:r w:rsidR="005D7CC0">
        <w:rPr>
          <w:rFonts w:eastAsia="Calibri"/>
          <w:color w:val="auto"/>
          <w:szCs w:val="24"/>
        </w:rPr>
        <w:t>a</w:t>
      </w:r>
      <w:r w:rsidR="005D7CC0" w:rsidRPr="005D7CC0">
        <w:rPr>
          <w:rFonts w:eastAsia="Calibri"/>
          <w:color w:val="auto"/>
          <w:szCs w:val="24"/>
        </w:rPr>
        <w:t>ration.</w:t>
      </w:r>
      <w:r w:rsidR="00271743">
        <w:rPr>
          <w:rFonts w:eastAsia="Calibri"/>
          <w:color w:val="auto"/>
          <w:szCs w:val="24"/>
        </w:rPr>
        <w:t xml:space="preserve">  </w:t>
      </w:r>
      <w:r w:rsidR="005D7CC0" w:rsidRPr="000D59FD">
        <w:rPr>
          <w:rFonts w:asciiTheme="minorHAnsi" w:eastAsiaTheme="minorHAnsi" w:hAnsiTheme="minorHAnsi"/>
          <w:color w:val="auto"/>
          <w:szCs w:val="24"/>
        </w:rPr>
        <w:t>In the matter of th</w:t>
      </w:r>
      <w:r w:rsidR="00C130D2">
        <w:rPr>
          <w:rFonts w:asciiTheme="minorHAnsi" w:eastAsiaTheme="minorHAnsi" w:hAnsiTheme="minorHAnsi"/>
          <w:color w:val="auto"/>
          <w:szCs w:val="24"/>
        </w:rPr>
        <w:t xml:space="preserve">e hypertension, headaches, carpal tunnel syndrome, </w:t>
      </w:r>
      <w:r w:rsidR="005D7CC0">
        <w:rPr>
          <w:rFonts w:asciiTheme="minorHAnsi" w:hAnsiTheme="minorHAnsi"/>
          <w:color w:val="auto"/>
          <w:szCs w:val="24"/>
        </w:rPr>
        <w:t>or any other</w:t>
      </w:r>
      <w:r w:rsidR="005D7CC0" w:rsidRPr="00AE3316">
        <w:rPr>
          <w:rFonts w:asciiTheme="minorHAnsi" w:hAnsiTheme="minorHAnsi"/>
          <w:color w:val="auto"/>
          <w:szCs w:val="24"/>
        </w:rPr>
        <w:t xml:space="preserve"> medical conditions</w:t>
      </w:r>
      <w:r w:rsidR="005D7CC0">
        <w:rPr>
          <w:rFonts w:asciiTheme="minorHAnsi" w:hAnsiTheme="minorHAnsi"/>
          <w:color w:val="auto"/>
          <w:szCs w:val="24"/>
        </w:rPr>
        <w:t xml:space="preserve"> eligible for Board consideration</w:t>
      </w:r>
      <w:r w:rsidR="005D7CC0" w:rsidRPr="00AE3316">
        <w:rPr>
          <w:rFonts w:asciiTheme="minorHAnsi" w:hAnsiTheme="minorHAnsi"/>
          <w:color w:val="auto"/>
          <w:szCs w:val="24"/>
        </w:rPr>
        <w:t xml:space="preserve">; the Board </w:t>
      </w:r>
      <w:r w:rsidR="005D7CC0" w:rsidRPr="00CE4893">
        <w:rPr>
          <w:rFonts w:asciiTheme="minorHAnsi" w:hAnsiTheme="minorHAnsi"/>
          <w:color w:val="auto"/>
          <w:szCs w:val="24"/>
        </w:rPr>
        <w:t xml:space="preserve">unanimously </w:t>
      </w:r>
      <w:r w:rsidR="005D7CC0" w:rsidRPr="00AE3316">
        <w:rPr>
          <w:rFonts w:asciiTheme="minorHAnsi" w:hAnsiTheme="minorHAnsi"/>
          <w:color w:val="auto"/>
          <w:szCs w:val="24"/>
        </w:rPr>
        <w:t>agrees that it cannot</w:t>
      </w:r>
      <w:r w:rsidR="005D7CC0" w:rsidRPr="00AE3316">
        <w:rPr>
          <w:rFonts w:asciiTheme="minorHAnsi" w:hAnsiTheme="minorHAnsi"/>
          <w:color w:val="000080"/>
          <w:szCs w:val="24"/>
        </w:rPr>
        <w:t xml:space="preserve"> </w:t>
      </w:r>
      <w:r w:rsidR="005D7CC0" w:rsidRPr="00AE3316">
        <w:rPr>
          <w:rFonts w:asciiTheme="minorHAnsi" w:hAnsiTheme="minorHAnsi"/>
          <w:color w:val="auto"/>
          <w:szCs w:val="24"/>
        </w:rPr>
        <w:t>recommend a</w:t>
      </w:r>
      <w:r w:rsidR="005D7CC0">
        <w:rPr>
          <w:rFonts w:asciiTheme="minorHAnsi" w:hAnsiTheme="minorHAnsi"/>
          <w:color w:val="auto"/>
          <w:szCs w:val="24"/>
        </w:rPr>
        <w:t>ny</w:t>
      </w:r>
      <w:r w:rsidR="005D7CC0" w:rsidRPr="00AE3316">
        <w:rPr>
          <w:rFonts w:asciiTheme="minorHAnsi" w:hAnsiTheme="minorHAnsi"/>
          <w:color w:val="auto"/>
          <w:szCs w:val="24"/>
        </w:rPr>
        <w:t xml:space="preserve"> finding</w:t>
      </w:r>
      <w:r w:rsidR="005D7CC0">
        <w:rPr>
          <w:rFonts w:asciiTheme="minorHAnsi" w:hAnsiTheme="minorHAnsi"/>
          <w:color w:val="auto"/>
          <w:szCs w:val="24"/>
        </w:rPr>
        <w:t>s</w:t>
      </w:r>
      <w:r w:rsidR="005D7CC0" w:rsidRPr="00AE3316">
        <w:rPr>
          <w:rFonts w:asciiTheme="minorHAnsi" w:hAnsiTheme="minorHAnsi"/>
          <w:color w:val="auto"/>
          <w:szCs w:val="24"/>
        </w:rPr>
        <w:t xml:space="preserve"> of unfit for additional rating at separation.</w:t>
      </w:r>
      <w:r w:rsidR="005D7CC0">
        <w:rPr>
          <w:rFonts w:asciiTheme="minorHAnsi" w:hAnsiTheme="minorHAnsi"/>
          <w:color w:val="auto"/>
          <w:szCs w:val="24"/>
        </w:rPr>
        <w:t xml:space="preserve">  </w:t>
      </w:r>
      <w:r w:rsidR="005D7CC0" w:rsidRPr="00CD15BE">
        <w:rPr>
          <w:rFonts w:asciiTheme="minorHAnsi" w:hAnsiTheme="minorHAnsi"/>
          <w:color w:val="auto"/>
          <w:szCs w:val="24"/>
        </w:rPr>
        <w:t xml:space="preserve">The Board </w:t>
      </w:r>
      <w:r w:rsidR="005D7CC0" w:rsidRPr="00CE4893">
        <w:rPr>
          <w:rFonts w:asciiTheme="minorHAnsi" w:hAnsiTheme="minorHAnsi"/>
          <w:color w:val="auto"/>
          <w:szCs w:val="24"/>
        </w:rPr>
        <w:t>unanimously</w:t>
      </w:r>
      <w:r w:rsidR="005D7CC0" w:rsidRPr="00CD15BE">
        <w:rPr>
          <w:rFonts w:asciiTheme="minorHAnsi" w:hAnsiTheme="minorHAnsi"/>
          <w:color w:val="auto"/>
          <w:szCs w:val="24"/>
        </w:rPr>
        <w:t xml:space="preserve"> agrees that there w</w:t>
      </w:r>
      <w:r w:rsidR="005D7CC0">
        <w:rPr>
          <w:rFonts w:asciiTheme="minorHAnsi" w:hAnsiTheme="minorHAnsi"/>
          <w:color w:val="auto"/>
          <w:szCs w:val="24"/>
        </w:rPr>
        <w:t>ere</w:t>
      </w:r>
      <w:r w:rsidR="005D7CC0" w:rsidRPr="00CD15BE">
        <w:rPr>
          <w:rFonts w:asciiTheme="minorHAnsi" w:hAnsiTheme="minorHAnsi"/>
          <w:color w:val="auto"/>
          <w:szCs w:val="24"/>
        </w:rPr>
        <w:t xml:space="preserve"> no other condition</w:t>
      </w:r>
      <w:r w:rsidR="005D7CC0">
        <w:rPr>
          <w:rFonts w:asciiTheme="minorHAnsi" w:hAnsiTheme="minorHAnsi"/>
          <w:color w:val="auto"/>
          <w:szCs w:val="24"/>
        </w:rPr>
        <w:t>s</w:t>
      </w:r>
      <w:r w:rsidR="005D7CC0" w:rsidRPr="00CD15BE">
        <w:rPr>
          <w:rFonts w:asciiTheme="minorHAnsi" w:hAnsiTheme="minorHAnsi"/>
          <w:color w:val="auto"/>
          <w:szCs w:val="24"/>
        </w:rPr>
        <w:t xml:space="preserve"> eligible for </w:t>
      </w:r>
      <w:r w:rsidR="005D7CC0">
        <w:rPr>
          <w:rFonts w:asciiTheme="minorHAnsi" w:hAnsiTheme="minorHAnsi"/>
          <w:color w:val="auto"/>
          <w:szCs w:val="24"/>
        </w:rPr>
        <w:t>Board consideration</w:t>
      </w:r>
      <w:r w:rsidR="005D7CC0" w:rsidRPr="00CD15BE">
        <w:rPr>
          <w:rFonts w:asciiTheme="minorHAnsi" w:hAnsiTheme="minorHAnsi"/>
          <w:color w:val="auto"/>
          <w:szCs w:val="24"/>
        </w:rPr>
        <w:t xml:space="preserve"> which </w:t>
      </w:r>
      <w:r w:rsidR="005D7CC0">
        <w:rPr>
          <w:rFonts w:asciiTheme="minorHAnsi" w:hAnsiTheme="minorHAnsi"/>
          <w:color w:val="auto"/>
          <w:szCs w:val="24"/>
        </w:rPr>
        <w:t>could be recommended</w:t>
      </w:r>
      <w:r w:rsidR="005D7CC0" w:rsidRPr="00CD15BE">
        <w:rPr>
          <w:rFonts w:asciiTheme="minorHAnsi" w:hAnsiTheme="minorHAnsi"/>
          <w:color w:val="auto"/>
          <w:szCs w:val="24"/>
        </w:rPr>
        <w:t xml:space="preserve"> as additionally unfitting</w:t>
      </w:r>
      <w:r w:rsidR="005D7CC0">
        <w:rPr>
          <w:rFonts w:asciiTheme="minorHAnsi" w:hAnsiTheme="minorHAnsi"/>
          <w:color w:val="auto"/>
          <w:szCs w:val="24"/>
        </w:rPr>
        <w:t xml:space="preserve"> for rating at separation</w:t>
      </w:r>
      <w:r w:rsidR="005D7CC0" w:rsidRPr="00CD15BE">
        <w:rPr>
          <w:rFonts w:asciiTheme="minorHAnsi" w:hAnsiTheme="minorHAnsi"/>
          <w:color w:val="auto"/>
          <w:szCs w:val="24"/>
        </w:rPr>
        <w:t>.</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C56FC8" w:rsidRDefault="00C56FC8" w:rsidP="00DB0001">
      <w:pPr>
        <w:spacing w:line="240" w:lineRule="exact"/>
        <w:rPr>
          <w:color w:val="auto"/>
          <w:szCs w:val="24"/>
        </w:rPr>
      </w:pPr>
      <w:r w:rsidRPr="00396779">
        <w:rPr>
          <w:color w:val="auto"/>
          <w:szCs w:val="24"/>
          <w:u w:val="single"/>
        </w:rPr>
        <w:t>RECOMMENDATION</w:t>
      </w:r>
      <w:r w:rsidRPr="00396779">
        <w:rPr>
          <w:color w:val="auto"/>
          <w:szCs w:val="24"/>
        </w:rPr>
        <w:t>:</w:t>
      </w:r>
      <w:r w:rsidRPr="00396779">
        <w:rPr>
          <w:color w:val="000080"/>
          <w:szCs w:val="24"/>
        </w:rPr>
        <w:t xml:space="preserve"> </w:t>
      </w:r>
      <w:r w:rsidR="00DB0001">
        <w:rPr>
          <w:color w:val="auto"/>
          <w:szCs w:val="24"/>
        </w:rPr>
        <w:t>T</w:t>
      </w:r>
      <w:r w:rsidRPr="00396779">
        <w:rPr>
          <w:color w:val="auto"/>
          <w:szCs w:val="24"/>
        </w:rPr>
        <w:t>he Board</w:t>
      </w:r>
      <w:r w:rsidR="006A543A">
        <w:rPr>
          <w:color w:val="auto"/>
          <w:szCs w:val="24"/>
        </w:rPr>
        <w:t>,</w:t>
      </w:r>
      <w:r w:rsidRPr="00396779">
        <w:rPr>
          <w:color w:val="auto"/>
          <w:szCs w:val="24"/>
        </w:rPr>
        <w:t xml:space="preserve"> therefore</w:t>
      </w:r>
      <w:r w:rsidR="006A543A">
        <w:rPr>
          <w:color w:val="auto"/>
          <w:szCs w:val="24"/>
        </w:rPr>
        <w:t>,</w:t>
      </w:r>
      <w:r w:rsidRPr="00396779">
        <w:rPr>
          <w:color w:val="auto"/>
          <w:szCs w:val="24"/>
        </w:rPr>
        <w:t xml:space="preserve"> recommends that there be no recharacterization of the CI’s </w:t>
      </w:r>
      <w:r w:rsidRPr="00B427BB">
        <w:rPr>
          <w:color w:val="auto"/>
          <w:szCs w:val="24"/>
        </w:rPr>
        <w:t>disability and separation determination</w:t>
      </w:r>
      <w:r w:rsidR="008C3FD0">
        <w:rPr>
          <w:color w:val="auto"/>
          <w:szCs w:val="24"/>
        </w:rPr>
        <w:t>,</w:t>
      </w:r>
      <w:r w:rsidR="00BD2A49">
        <w:rPr>
          <w:color w:val="auto"/>
          <w:szCs w:val="24"/>
        </w:rPr>
        <w:t xml:space="preserve"> as follows:</w:t>
      </w:r>
      <w:r w:rsidR="003604A5">
        <w:rPr>
          <w:color w:val="auto"/>
          <w:szCs w:val="24"/>
        </w:rPr>
        <w:t xml:space="preserve"> </w:t>
      </w:r>
    </w:p>
    <w:p w:rsidR="004101B2" w:rsidRPr="00AF01B2" w:rsidRDefault="004101B2" w:rsidP="00510F9C">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UNFITTING CONDITION</w:t>
            </w:r>
          </w:p>
        </w:tc>
        <w:tc>
          <w:tcPr>
            <w:tcW w:w="1710" w:type="dxa"/>
            <w:shd w:val="clear" w:color="auto" w:fill="D9D9D9"/>
            <w:vAlign w:val="center"/>
          </w:tcPr>
          <w:p w:rsidR="00A95BBA" w:rsidRPr="00AF01B2" w:rsidRDefault="00A95BBA" w:rsidP="00223D21">
            <w:pPr>
              <w:tabs>
                <w:tab w:val="left" w:pos="288"/>
                <w:tab w:val="left" w:pos="4752"/>
              </w:tabs>
              <w:spacing w:line="240" w:lineRule="exact"/>
              <w:jc w:val="center"/>
              <w:rPr>
                <w:b/>
                <w:color w:val="auto"/>
                <w:szCs w:val="24"/>
              </w:rPr>
            </w:pPr>
            <w:r w:rsidRPr="00AF01B2">
              <w:rPr>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RATING</w:t>
            </w:r>
          </w:p>
        </w:tc>
      </w:tr>
      <w:tr w:rsidR="00A95BBA" w:rsidRPr="00AF01B2" w:rsidTr="00103948">
        <w:trPr>
          <w:jc w:val="center"/>
        </w:trPr>
        <w:tc>
          <w:tcPr>
            <w:tcW w:w="6480" w:type="dxa"/>
            <w:vAlign w:val="center"/>
          </w:tcPr>
          <w:p w:rsidR="00A95BBA" w:rsidRPr="00AF01B2" w:rsidRDefault="00DB0001" w:rsidP="00103948">
            <w:pPr>
              <w:tabs>
                <w:tab w:val="left" w:pos="288"/>
                <w:tab w:val="left" w:pos="4752"/>
              </w:tabs>
              <w:spacing w:line="240" w:lineRule="exact"/>
              <w:rPr>
                <w:color w:val="auto"/>
                <w:szCs w:val="24"/>
              </w:rPr>
            </w:pPr>
            <w:r>
              <w:rPr>
                <w:color w:val="auto"/>
                <w:szCs w:val="24"/>
              </w:rPr>
              <w:t>Right ankle chronic pain with limited ROM</w:t>
            </w:r>
          </w:p>
        </w:tc>
        <w:tc>
          <w:tcPr>
            <w:tcW w:w="1710" w:type="dxa"/>
            <w:vAlign w:val="center"/>
          </w:tcPr>
          <w:p w:rsidR="00A95BBA" w:rsidRPr="00AF01B2" w:rsidRDefault="00223D21" w:rsidP="00103948">
            <w:pPr>
              <w:tabs>
                <w:tab w:val="left" w:pos="288"/>
                <w:tab w:val="left" w:pos="4752"/>
              </w:tabs>
              <w:spacing w:line="240" w:lineRule="exact"/>
              <w:jc w:val="center"/>
              <w:rPr>
                <w:color w:val="auto"/>
                <w:szCs w:val="24"/>
              </w:rPr>
            </w:pPr>
            <w:r>
              <w:rPr>
                <w:color w:val="auto"/>
                <w:szCs w:val="24"/>
              </w:rPr>
              <w:t>5099-5003</w:t>
            </w:r>
          </w:p>
        </w:tc>
        <w:tc>
          <w:tcPr>
            <w:tcW w:w="1170" w:type="dxa"/>
            <w:vAlign w:val="center"/>
          </w:tcPr>
          <w:p w:rsidR="00A95BBA" w:rsidRPr="00AF01B2" w:rsidRDefault="00DB0001" w:rsidP="00103948">
            <w:pPr>
              <w:tabs>
                <w:tab w:val="left" w:pos="288"/>
                <w:tab w:val="left" w:pos="4752"/>
              </w:tabs>
              <w:spacing w:line="240" w:lineRule="exact"/>
              <w:jc w:val="center"/>
              <w:rPr>
                <w:color w:val="auto"/>
                <w:szCs w:val="24"/>
              </w:rPr>
            </w:pPr>
            <w:r w:rsidRPr="00C130D2">
              <w:rPr>
                <w:color w:val="auto"/>
                <w:szCs w:val="24"/>
              </w:rPr>
              <w:t>2</w:t>
            </w:r>
            <w:r w:rsidR="00A95BBA" w:rsidRPr="00C130D2">
              <w:rPr>
                <w:color w:val="auto"/>
                <w:szCs w:val="24"/>
              </w:rPr>
              <w:t>0</w:t>
            </w:r>
            <w:r w:rsidR="00A95BBA" w:rsidRPr="00AF01B2">
              <w:rPr>
                <w:color w:val="auto"/>
                <w:szCs w:val="24"/>
              </w:rPr>
              <w:t>%</w:t>
            </w:r>
          </w:p>
        </w:tc>
      </w:tr>
      <w:tr w:rsidR="00223D21" w:rsidRPr="00AF01B2" w:rsidTr="00103948">
        <w:trPr>
          <w:jc w:val="center"/>
        </w:trPr>
        <w:tc>
          <w:tcPr>
            <w:tcW w:w="6480" w:type="dxa"/>
            <w:vAlign w:val="center"/>
          </w:tcPr>
          <w:p w:rsidR="00223D21" w:rsidRPr="00AF01B2" w:rsidRDefault="00223D21" w:rsidP="007612F2">
            <w:pPr>
              <w:tabs>
                <w:tab w:val="left" w:pos="288"/>
                <w:tab w:val="left" w:pos="4752"/>
              </w:tabs>
              <w:spacing w:line="240" w:lineRule="exact"/>
              <w:rPr>
                <w:color w:val="auto"/>
                <w:szCs w:val="24"/>
              </w:rPr>
            </w:pPr>
            <w:r>
              <w:rPr>
                <w:color w:val="auto"/>
                <w:szCs w:val="24"/>
              </w:rPr>
              <w:t>Bilateral Plantar Fasciitis</w:t>
            </w:r>
          </w:p>
        </w:tc>
        <w:tc>
          <w:tcPr>
            <w:tcW w:w="1710" w:type="dxa"/>
            <w:vAlign w:val="center"/>
          </w:tcPr>
          <w:p w:rsidR="00223D21" w:rsidRPr="00AF01B2" w:rsidRDefault="00C130D2" w:rsidP="007612F2">
            <w:pPr>
              <w:tabs>
                <w:tab w:val="left" w:pos="288"/>
                <w:tab w:val="left" w:pos="4752"/>
              </w:tabs>
              <w:spacing w:line="240" w:lineRule="exact"/>
              <w:jc w:val="center"/>
              <w:rPr>
                <w:color w:val="auto"/>
                <w:szCs w:val="24"/>
              </w:rPr>
            </w:pPr>
            <w:r>
              <w:rPr>
                <w:color w:val="auto"/>
                <w:szCs w:val="24"/>
              </w:rPr>
              <w:t>5399-</w:t>
            </w:r>
            <w:r w:rsidR="00223D21">
              <w:rPr>
                <w:color w:val="auto"/>
                <w:szCs w:val="24"/>
              </w:rPr>
              <w:t>5310</w:t>
            </w:r>
          </w:p>
        </w:tc>
        <w:tc>
          <w:tcPr>
            <w:tcW w:w="1170" w:type="dxa"/>
            <w:vAlign w:val="center"/>
          </w:tcPr>
          <w:p w:rsidR="00223D21" w:rsidRPr="00AF01B2" w:rsidRDefault="00223D21" w:rsidP="007612F2">
            <w:pPr>
              <w:tabs>
                <w:tab w:val="left" w:pos="288"/>
                <w:tab w:val="left" w:pos="4752"/>
              </w:tabs>
              <w:spacing w:line="240" w:lineRule="exact"/>
              <w:jc w:val="center"/>
              <w:rPr>
                <w:color w:val="auto"/>
                <w:szCs w:val="24"/>
              </w:rPr>
            </w:pPr>
            <w:r w:rsidRPr="00C130D2">
              <w:rPr>
                <w:color w:val="auto"/>
                <w:szCs w:val="24"/>
              </w:rPr>
              <w:t>0</w:t>
            </w:r>
            <w:r w:rsidRPr="00AF01B2">
              <w:rPr>
                <w:color w:val="auto"/>
                <w:szCs w:val="24"/>
              </w:rPr>
              <w:t>%</w:t>
            </w:r>
          </w:p>
        </w:tc>
      </w:tr>
      <w:tr w:rsidR="00223D21"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vAlign w:val="center"/>
          </w:tcPr>
          <w:p w:rsidR="00223D21" w:rsidRPr="00AF01B2" w:rsidRDefault="00223D21" w:rsidP="00103948">
            <w:pPr>
              <w:tabs>
                <w:tab w:val="left" w:pos="288"/>
                <w:tab w:val="left" w:pos="4752"/>
              </w:tabs>
              <w:spacing w:line="240" w:lineRule="exact"/>
              <w:jc w:val="center"/>
              <w:rPr>
                <w:b/>
                <w:color w:val="auto"/>
                <w:szCs w:val="24"/>
              </w:rPr>
            </w:pPr>
            <w:r w:rsidRPr="00AF01B2">
              <w:rPr>
                <w:b/>
                <w:color w:val="auto"/>
                <w:szCs w:val="24"/>
              </w:rPr>
              <w:t>COMBINED</w:t>
            </w:r>
          </w:p>
        </w:tc>
        <w:tc>
          <w:tcPr>
            <w:tcW w:w="1170" w:type="dxa"/>
            <w:tcBorders>
              <w:bottom w:val="single" w:sz="4" w:space="0" w:color="000000"/>
            </w:tcBorders>
            <w:shd w:val="clear" w:color="auto" w:fill="D9D9D9"/>
            <w:vAlign w:val="center"/>
          </w:tcPr>
          <w:p w:rsidR="00223D21" w:rsidRPr="00AF01B2" w:rsidRDefault="00223D21" w:rsidP="00103948">
            <w:pPr>
              <w:tabs>
                <w:tab w:val="left" w:pos="288"/>
                <w:tab w:val="left" w:pos="4752"/>
              </w:tabs>
              <w:spacing w:line="240" w:lineRule="exact"/>
              <w:jc w:val="center"/>
              <w:rPr>
                <w:b/>
                <w:color w:val="auto"/>
                <w:szCs w:val="24"/>
              </w:rPr>
            </w:pPr>
            <w:r w:rsidRPr="00C130D2">
              <w:rPr>
                <w:b/>
                <w:color w:val="auto"/>
                <w:szCs w:val="24"/>
              </w:rPr>
              <w:t>20</w:t>
            </w:r>
            <w:r w:rsidRPr="00AF01B2">
              <w:rPr>
                <w:b/>
                <w:color w:val="auto"/>
                <w:szCs w:val="24"/>
              </w:rPr>
              <w:t>%</w:t>
            </w:r>
          </w:p>
        </w:tc>
      </w:tr>
    </w:tbl>
    <w:p w:rsidR="00A83C15" w:rsidRPr="00391858" w:rsidRDefault="00A83C15"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7922DF" w:rsidRDefault="007922DF" w:rsidP="00510F9C">
      <w:pPr>
        <w:tabs>
          <w:tab w:val="left" w:pos="288"/>
          <w:tab w:val="left" w:pos="4752"/>
        </w:tabs>
        <w:spacing w:line="240" w:lineRule="exact"/>
        <w:jc w:val="both"/>
        <w:rPr>
          <w:color w:val="auto"/>
        </w:rPr>
      </w:pPr>
    </w:p>
    <w:p w:rsidR="00D91DA6" w:rsidRPr="00006186" w:rsidRDefault="00FB1725" w:rsidP="00510F9C">
      <w:pPr>
        <w:tabs>
          <w:tab w:val="left" w:pos="288"/>
          <w:tab w:val="left" w:pos="4752"/>
        </w:tabs>
        <w:spacing w:line="240" w:lineRule="exact"/>
        <w:jc w:val="both"/>
        <w:rPr>
          <w:color w:val="auto"/>
        </w:rPr>
      </w:pPr>
      <w:r>
        <w:rPr>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FB1725" w:rsidP="00510F9C">
      <w:pPr>
        <w:tabs>
          <w:tab w:val="left" w:pos="288"/>
          <w:tab w:val="left" w:pos="4752"/>
        </w:tabs>
        <w:spacing w:line="240" w:lineRule="exact"/>
        <w:jc w:val="both"/>
        <w:rPr>
          <w:color w:val="auto"/>
        </w:rPr>
      </w:pPr>
      <w:r>
        <w:rPr>
          <w:color w:val="auto"/>
        </w:rPr>
        <w:t>Exhibit A.  DD Form 294, dated 20</w:t>
      </w:r>
      <w:r w:rsidR="007C06B9">
        <w:rPr>
          <w:color w:val="auto"/>
        </w:rPr>
        <w:t>110327</w:t>
      </w:r>
      <w:r w:rsidR="001E0821">
        <w:rPr>
          <w:color w:val="auto"/>
        </w:rPr>
        <w:t xml:space="preserve"> w/</w:t>
      </w:r>
      <w:proofErr w:type="spellStart"/>
      <w:r w:rsidR="001E0821">
        <w:rPr>
          <w:color w:val="auto"/>
        </w:rPr>
        <w:t>atchs</w:t>
      </w:r>
      <w:proofErr w:type="spellEnd"/>
    </w:p>
    <w:p w:rsidR="00114F20" w:rsidRPr="00006186" w:rsidRDefault="00FB1725" w:rsidP="00510F9C">
      <w:pPr>
        <w:tabs>
          <w:tab w:val="left" w:pos="288"/>
          <w:tab w:val="left" w:pos="4752"/>
        </w:tabs>
        <w:spacing w:line="240" w:lineRule="exact"/>
        <w:jc w:val="both"/>
        <w:rPr>
          <w:color w:val="auto"/>
        </w:rPr>
      </w:pPr>
      <w:r>
        <w:rPr>
          <w:color w:val="auto"/>
        </w:rPr>
        <w:t>Exhib</w:t>
      </w:r>
      <w:r w:rsidR="001E0821">
        <w:rPr>
          <w:color w:val="auto"/>
        </w:rPr>
        <w:t>it B.  Service Treatment Record</w:t>
      </w:r>
    </w:p>
    <w:p w:rsidR="00D91DA6" w:rsidRDefault="00FB1725" w:rsidP="00510F9C">
      <w:pPr>
        <w:tabs>
          <w:tab w:val="left" w:pos="288"/>
          <w:tab w:val="left" w:pos="4752"/>
        </w:tabs>
        <w:spacing w:line="240" w:lineRule="exact"/>
        <w:jc w:val="both"/>
        <w:rPr>
          <w:color w:val="auto"/>
        </w:rPr>
      </w:pPr>
      <w:r>
        <w:rPr>
          <w:color w:val="auto"/>
        </w:rPr>
        <w:t>Exhibit C.  Department of Veterans' Affairs Treatment Record</w:t>
      </w:r>
    </w:p>
    <w:p w:rsidR="001E0821" w:rsidRPr="00006186" w:rsidRDefault="001E0821"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D91DA6" w:rsidRPr="00006186" w:rsidRDefault="00FB1725" w:rsidP="00510F9C">
      <w:pPr>
        <w:tabs>
          <w:tab w:val="left" w:pos="0"/>
          <w:tab w:val="left" w:pos="4320"/>
        </w:tabs>
        <w:spacing w:line="240" w:lineRule="exact"/>
        <w:jc w:val="both"/>
        <w:rPr>
          <w:color w:val="auto"/>
        </w:rPr>
      </w:pPr>
      <w:r>
        <w:rPr>
          <w:color w:val="auto"/>
        </w:rPr>
        <w:t xml:space="preserve">              </w:t>
      </w:r>
      <w:r w:rsidR="007C06B9">
        <w:rPr>
          <w:color w:val="auto"/>
        </w:rPr>
        <w:t xml:space="preserve">               </w:t>
      </w:r>
      <w:r w:rsidR="007C06B9">
        <w:rPr>
          <w:color w:val="auto"/>
        </w:rPr>
        <w:tab/>
      </w:r>
      <w:r w:rsidR="007C06B9">
        <w:rPr>
          <w:color w:val="auto"/>
        </w:rPr>
        <w:tab/>
        <w:t>President</w:t>
      </w:r>
    </w:p>
    <w:p w:rsidR="00FB265B" w:rsidRDefault="00FB1725" w:rsidP="00510F9C">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FB265B" w:rsidRDefault="00FB265B">
      <w:pPr>
        <w:rPr>
          <w:color w:val="auto"/>
        </w:rPr>
      </w:pPr>
      <w:r>
        <w:rPr>
          <w:color w:val="auto"/>
        </w:rPr>
        <w:br w:type="page"/>
      </w:r>
    </w:p>
    <w:p w:rsidR="00FB265B" w:rsidRDefault="00FB265B" w:rsidP="00FB265B">
      <w:pPr>
        <w:sectPr w:rsidR="00FB265B">
          <w:pgSz w:w="12240" w:h="15840"/>
          <w:pgMar w:top="2160" w:right="1440" w:bottom="1440" w:left="1440" w:header="720" w:footer="720" w:gutter="0"/>
          <w:cols w:space="720"/>
        </w:sectPr>
      </w:pPr>
    </w:p>
    <w:p w:rsidR="00FB265B" w:rsidRPr="00FB265B" w:rsidRDefault="00FB265B" w:rsidP="00FB265B">
      <w:pPr>
        <w:pStyle w:val="Header"/>
        <w:tabs>
          <w:tab w:val="left" w:pos="720"/>
        </w:tabs>
        <w:rPr>
          <w:color w:val="auto"/>
        </w:rPr>
      </w:pPr>
      <w:r w:rsidRPr="00FB265B">
        <w:rPr>
          <w:color w:val="auto"/>
        </w:rPr>
        <w:lastRenderedPageBreak/>
        <w:t>SFMR-RB</w:t>
      </w:r>
      <w:r w:rsidRPr="00FB265B">
        <w:rPr>
          <w:color w:val="auto"/>
        </w:rPr>
        <w:tab/>
      </w:r>
      <w:r w:rsidRPr="00FB265B">
        <w:rPr>
          <w:color w:val="auto"/>
        </w:rPr>
        <w:tab/>
      </w:r>
      <w:r w:rsidRPr="00FB265B">
        <w:rPr>
          <w:color w:val="auto"/>
        </w:rPr>
        <w:tab/>
      </w:r>
      <w:r w:rsidRPr="00FB265B">
        <w:rPr>
          <w:color w:val="auto"/>
        </w:rPr>
        <w:tab/>
      </w:r>
      <w:r w:rsidRPr="00FB265B">
        <w:rPr>
          <w:color w:val="auto"/>
        </w:rPr>
        <w:tab/>
      </w:r>
      <w:r w:rsidRPr="00FB265B">
        <w:rPr>
          <w:color w:val="auto"/>
        </w:rPr>
        <w:tab/>
      </w:r>
      <w:r w:rsidRPr="00FB265B">
        <w:rPr>
          <w:color w:val="auto"/>
        </w:rPr>
        <w:tab/>
      </w:r>
      <w:r w:rsidRPr="00FB265B">
        <w:rPr>
          <w:color w:val="auto"/>
        </w:rPr>
        <w:tab/>
      </w:r>
      <w:r w:rsidRPr="00FB265B">
        <w:rPr>
          <w:color w:val="auto"/>
        </w:rPr>
        <w:tab/>
      </w:r>
    </w:p>
    <w:p w:rsidR="00FB265B" w:rsidRPr="00FB265B" w:rsidRDefault="00FB265B" w:rsidP="00FB265B">
      <w:pPr>
        <w:pStyle w:val="Header"/>
        <w:tabs>
          <w:tab w:val="left" w:pos="720"/>
        </w:tabs>
        <w:rPr>
          <w:color w:val="auto"/>
        </w:rPr>
      </w:pPr>
    </w:p>
    <w:p w:rsidR="00FB265B" w:rsidRPr="00FB265B" w:rsidRDefault="00FB265B" w:rsidP="00FB265B">
      <w:pPr>
        <w:rPr>
          <w:color w:val="auto"/>
        </w:rPr>
      </w:pPr>
    </w:p>
    <w:p w:rsidR="00FB265B" w:rsidRPr="00FB265B" w:rsidRDefault="00FB265B" w:rsidP="00FB265B">
      <w:pPr>
        <w:rPr>
          <w:color w:val="auto"/>
        </w:rPr>
      </w:pPr>
      <w:r w:rsidRPr="00FB265B">
        <w:rPr>
          <w:color w:val="auto"/>
        </w:rPr>
        <w:t xml:space="preserve">MEMORANDUM FOR Commander, US Army Physical Disability Agency </w:t>
      </w:r>
    </w:p>
    <w:p w:rsidR="00FB265B" w:rsidRPr="00FB265B" w:rsidRDefault="00FB265B" w:rsidP="00FB265B">
      <w:pPr>
        <w:rPr>
          <w:color w:val="auto"/>
        </w:rPr>
      </w:pPr>
      <w:r w:rsidRPr="00FB265B">
        <w:rPr>
          <w:color w:val="auto"/>
        </w:rPr>
        <w:t>(TAPD-ZB /), 2900 Crystal Drive, Suite 300, Arlington, VA  22202</w:t>
      </w:r>
    </w:p>
    <w:p w:rsidR="00FB265B" w:rsidRPr="00FB265B" w:rsidRDefault="00FB265B" w:rsidP="00FB265B">
      <w:pPr>
        <w:rPr>
          <w:color w:val="auto"/>
        </w:rPr>
      </w:pPr>
    </w:p>
    <w:p w:rsidR="00FB265B" w:rsidRPr="00FB265B" w:rsidRDefault="00FB265B" w:rsidP="00FB265B">
      <w:pPr>
        <w:ind w:right="-180"/>
        <w:rPr>
          <w:color w:val="auto"/>
        </w:rPr>
      </w:pPr>
      <w:r w:rsidRPr="00FB265B">
        <w:rPr>
          <w:color w:val="auto"/>
        </w:rPr>
        <w:t xml:space="preserve">SUBJECT:  Department of Defense Physical Disability Board of Review Recommendation for </w:t>
      </w:r>
      <w:r>
        <w:rPr>
          <w:color w:val="auto"/>
        </w:rPr>
        <w:t>XXXXXXXXXXX</w:t>
      </w:r>
      <w:r w:rsidRPr="00FB265B">
        <w:rPr>
          <w:color w:val="auto"/>
        </w:rPr>
        <w:t xml:space="preserve"> (PD201100246)</w:t>
      </w:r>
    </w:p>
    <w:p w:rsidR="00FB265B" w:rsidRPr="00FB265B" w:rsidRDefault="00FB265B" w:rsidP="00FB265B">
      <w:pPr>
        <w:pStyle w:val="Header"/>
        <w:tabs>
          <w:tab w:val="left" w:pos="720"/>
        </w:tabs>
        <w:rPr>
          <w:color w:val="auto"/>
        </w:rPr>
      </w:pPr>
    </w:p>
    <w:p w:rsidR="00FB265B" w:rsidRPr="00FB265B" w:rsidRDefault="00FB265B" w:rsidP="00FB265B">
      <w:pPr>
        <w:rPr>
          <w:color w:val="auto"/>
        </w:rPr>
      </w:pPr>
    </w:p>
    <w:p w:rsidR="00FB265B" w:rsidRPr="00FB265B" w:rsidRDefault="00FB265B" w:rsidP="00FB265B">
      <w:pPr>
        <w:rPr>
          <w:color w:val="auto"/>
        </w:rPr>
      </w:pPr>
      <w:r w:rsidRPr="00FB265B">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FB265B" w:rsidRPr="00FB265B" w:rsidRDefault="00FB265B" w:rsidP="00FB265B">
      <w:pPr>
        <w:rPr>
          <w:color w:val="auto"/>
        </w:rPr>
      </w:pPr>
      <w:r w:rsidRPr="00FB265B">
        <w:rPr>
          <w:color w:val="auto"/>
        </w:rPr>
        <w:t>This decision is final.  The individual concerned, counsel (if any), and any Members of Congress who have shown interest in this application have been notified of this decision by mail.</w:t>
      </w:r>
    </w:p>
    <w:p w:rsidR="00FB265B" w:rsidRPr="00FB265B" w:rsidRDefault="00FB265B" w:rsidP="00FB265B">
      <w:pPr>
        <w:rPr>
          <w:color w:val="auto"/>
        </w:rPr>
      </w:pPr>
    </w:p>
    <w:p w:rsidR="00FB265B" w:rsidRPr="00FB265B" w:rsidRDefault="00FB265B" w:rsidP="00FB265B">
      <w:pPr>
        <w:rPr>
          <w:color w:val="auto"/>
        </w:rPr>
      </w:pPr>
      <w:r w:rsidRPr="00FB265B">
        <w:rPr>
          <w:color w:val="auto"/>
        </w:rPr>
        <w:t xml:space="preserve"> BY ORDER OF THE SECRETARY OF THE ARMY:</w:t>
      </w:r>
    </w:p>
    <w:p w:rsidR="00FB265B" w:rsidRPr="00FB265B" w:rsidRDefault="00FB265B" w:rsidP="00FB265B">
      <w:pPr>
        <w:rPr>
          <w:color w:val="auto"/>
        </w:rPr>
      </w:pPr>
    </w:p>
    <w:p w:rsidR="00FB265B" w:rsidRPr="00FB265B" w:rsidRDefault="00FB265B" w:rsidP="00FB265B">
      <w:pPr>
        <w:rPr>
          <w:color w:val="auto"/>
        </w:rPr>
      </w:pPr>
    </w:p>
    <w:p w:rsidR="00FB265B" w:rsidRPr="00FB265B" w:rsidRDefault="00FB265B" w:rsidP="00FB265B">
      <w:pPr>
        <w:pStyle w:val="Header"/>
        <w:tabs>
          <w:tab w:val="left" w:pos="720"/>
        </w:tabs>
        <w:rPr>
          <w:color w:val="auto"/>
        </w:rPr>
      </w:pPr>
    </w:p>
    <w:p w:rsidR="00FB265B" w:rsidRPr="00FB265B" w:rsidRDefault="00FB265B" w:rsidP="00FB265B">
      <w:pPr>
        <w:rPr>
          <w:color w:val="auto"/>
        </w:rPr>
      </w:pPr>
    </w:p>
    <w:p w:rsidR="00FB265B" w:rsidRPr="00FB265B" w:rsidRDefault="00FB265B" w:rsidP="00FB265B">
      <w:pPr>
        <w:rPr>
          <w:color w:val="auto"/>
        </w:rPr>
      </w:pPr>
      <w:bookmarkStart w:id="0" w:name="OLE_LINK4"/>
      <w:bookmarkStart w:id="1" w:name="OLE_LINK3"/>
      <w:r w:rsidRPr="00FB265B">
        <w:rPr>
          <w:color w:val="auto"/>
        </w:rPr>
        <w:tab/>
      </w:r>
      <w:r w:rsidRPr="00FB265B">
        <w:rPr>
          <w:color w:val="auto"/>
        </w:rPr>
        <w:tab/>
      </w:r>
      <w:r w:rsidRPr="00FB265B">
        <w:rPr>
          <w:color w:val="auto"/>
        </w:rPr>
        <w:tab/>
      </w:r>
      <w:r w:rsidRPr="00FB265B">
        <w:rPr>
          <w:color w:val="auto"/>
        </w:rPr>
        <w:tab/>
      </w:r>
      <w:r w:rsidRPr="00FB265B">
        <w:rPr>
          <w:color w:val="auto"/>
        </w:rPr>
        <w:tab/>
      </w:r>
      <w:r w:rsidRPr="00FB265B">
        <w:rPr>
          <w:color w:val="auto"/>
        </w:rPr>
        <w:tab/>
        <w:t xml:space="preserve">     Deputy Assistant Secretary</w:t>
      </w:r>
    </w:p>
    <w:p w:rsidR="00FB265B" w:rsidRPr="00FB265B" w:rsidRDefault="00FB265B" w:rsidP="00FB265B">
      <w:pPr>
        <w:rPr>
          <w:color w:val="auto"/>
        </w:rPr>
      </w:pPr>
      <w:r w:rsidRPr="00FB265B">
        <w:rPr>
          <w:color w:val="auto"/>
        </w:rPr>
        <w:tab/>
      </w:r>
      <w:r w:rsidRPr="00FB265B">
        <w:rPr>
          <w:color w:val="auto"/>
        </w:rPr>
        <w:tab/>
      </w:r>
      <w:r w:rsidRPr="00FB265B">
        <w:rPr>
          <w:color w:val="auto"/>
        </w:rPr>
        <w:tab/>
      </w:r>
      <w:r w:rsidRPr="00FB265B">
        <w:rPr>
          <w:color w:val="auto"/>
        </w:rPr>
        <w:tab/>
      </w:r>
      <w:r w:rsidRPr="00FB265B">
        <w:rPr>
          <w:color w:val="auto"/>
        </w:rPr>
        <w:tab/>
      </w:r>
      <w:r w:rsidRPr="00FB265B">
        <w:rPr>
          <w:color w:val="auto"/>
        </w:rPr>
        <w:tab/>
        <w:t xml:space="preserve">         (Army Review Boards)</w:t>
      </w:r>
      <w:bookmarkEnd w:id="0"/>
      <w:bookmarkEnd w:id="1"/>
    </w:p>
    <w:p w:rsidR="00FB265B" w:rsidRPr="00FB265B" w:rsidRDefault="00FB265B" w:rsidP="00FB265B">
      <w:pPr>
        <w:rPr>
          <w:color w:val="auto"/>
        </w:rPr>
      </w:pPr>
    </w:p>
    <w:p w:rsidR="00FB265B" w:rsidRPr="00FB265B" w:rsidRDefault="00FB265B" w:rsidP="00FB265B">
      <w:pPr>
        <w:rPr>
          <w:color w:val="auto"/>
        </w:rPr>
      </w:pPr>
      <w:r w:rsidRPr="00FB265B">
        <w:rPr>
          <w:color w:val="auto"/>
        </w:rPr>
        <w:t xml:space="preserve">CF: </w:t>
      </w:r>
    </w:p>
    <w:p w:rsidR="00FB265B" w:rsidRPr="00FB265B" w:rsidRDefault="00FB265B" w:rsidP="00FB265B">
      <w:pPr>
        <w:rPr>
          <w:color w:val="auto"/>
        </w:rPr>
      </w:pPr>
      <w:r w:rsidRPr="00FB265B">
        <w:rPr>
          <w:color w:val="auto"/>
        </w:rPr>
        <w:t xml:space="preserve">(  ) </w:t>
      </w:r>
      <w:proofErr w:type="gramStart"/>
      <w:r w:rsidRPr="00FB265B">
        <w:rPr>
          <w:color w:val="auto"/>
        </w:rPr>
        <w:t>DoD</w:t>
      </w:r>
      <w:proofErr w:type="gramEnd"/>
      <w:r w:rsidRPr="00FB265B">
        <w:rPr>
          <w:color w:val="auto"/>
        </w:rPr>
        <w:t xml:space="preserve"> PDBR</w:t>
      </w:r>
    </w:p>
    <w:p w:rsidR="00FB265B" w:rsidRPr="00FB265B" w:rsidRDefault="00FB265B" w:rsidP="00FB265B">
      <w:pPr>
        <w:rPr>
          <w:color w:val="auto"/>
        </w:rPr>
      </w:pPr>
      <w:r w:rsidRPr="00FB265B">
        <w:rPr>
          <w:color w:val="auto"/>
        </w:rPr>
        <w:t>(  ) DVA</w:t>
      </w:r>
    </w:p>
    <w:p w:rsidR="003519A6" w:rsidRDefault="003519A6" w:rsidP="00510F9C">
      <w:pPr>
        <w:tabs>
          <w:tab w:val="left" w:pos="288"/>
          <w:tab w:val="left" w:pos="4320"/>
          <w:tab w:val="left" w:pos="4410"/>
          <w:tab w:val="left" w:pos="4770"/>
          <w:tab w:val="left" w:pos="4860"/>
          <w:tab w:val="left" w:pos="5040"/>
        </w:tabs>
        <w:spacing w:line="240" w:lineRule="exact"/>
        <w:jc w:val="both"/>
        <w:rPr>
          <w:color w:val="auto"/>
        </w:rPr>
      </w:pPr>
    </w:p>
    <w:sectPr w:rsidR="003519A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CA" w:rsidRDefault="001F74CA">
      <w:r>
        <w:separator/>
      </w:r>
    </w:p>
  </w:endnote>
  <w:endnote w:type="continuationSeparator" w:id="0">
    <w:p w:rsidR="001F74CA" w:rsidRDefault="001F7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70" w:rsidRPr="00684CE6" w:rsidRDefault="00705EE0" w:rsidP="00F65ED5">
    <w:pPr>
      <w:pStyle w:val="Footer"/>
      <w:jc w:val="right"/>
      <w:rPr>
        <w:color w:val="auto"/>
      </w:rPr>
    </w:pPr>
    <w:r w:rsidRPr="00684CE6">
      <w:rPr>
        <w:color w:val="auto"/>
      </w:rPr>
      <w:fldChar w:fldCharType="begin"/>
    </w:r>
    <w:r w:rsidR="00D37B70" w:rsidRPr="00684CE6">
      <w:rPr>
        <w:color w:val="auto"/>
      </w:rPr>
      <w:instrText xml:space="preserve"> PAGE   \* MERGEFORMAT </w:instrText>
    </w:r>
    <w:r w:rsidRPr="00684CE6">
      <w:rPr>
        <w:color w:val="auto"/>
      </w:rPr>
      <w:fldChar w:fldCharType="separate"/>
    </w:r>
    <w:r w:rsidR="00FB265B">
      <w:rPr>
        <w:noProof/>
        <w:color w:val="auto"/>
      </w:rPr>
      <w:t>5</w:t>
    </w:r>
    <w:r w:rsidRPr="00684CE6">
      <w:rPr>
        <w:color w:val="auto"/>
      </w:rPr>
      <w:fldChar w:fldCharType="end"/>
    </w:r>
    <w:r w:rsidR="00D37B70" w:rsidRPr="00684CE6">
      <w:rPr>
        <w:color w:val="auto"/>
      </w:rPr>
      <w:t xml:space="preserve">                                                           PD</w:t>
    </w:r>
    <w:r w:rsidR="00D37B70" w:rsidRPr="001D3F82">
      <w:rPr>
        <w:color w:val="auto"/>
      </w:rPr>
      <w:t>1100246</w:t>
    </w:r>
  </w:p>
  <w:p w:rsidR="00D37B70" w:rsidRPr="00684CE6" w:rsidRDefault="00D37B70">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70" w:rsidRPr="00DB4A6D" w:rsidRDefault="00D37B70"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CA" w:rsidRDefault="001F74CA">
      <w:r>
        <w:separator/>
      </w:r>
    </w:p>
  </w:footnote>
  <w:footnote w:type="continuationSeparator" w:id="0">
    <w:p w:rsidR="001F74CA" w:rsidRDefault="001F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6306"/>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494A"/>
    <w:rsid w:val="00035C3A"/>
    <w:rsid w:val="00036E4B"/>
    <w:rsid w:val="00037929"/>
    <w:rsid w:val="000379D0"/>
    <w:rsid w:val="00040FC4"/>
    <w:rsid w:val="000416F8"/>
    <w:rsid w:val="00042C26"/>
    <w:rsid w:val="00043382"/>
    <w:rsid w:val="00044623"/>
    <w:rsid w:val="00044F7A"/>
    <w:rsid w:val="000452D7"/>
    <w:rsid w:val="00051622"/>
    <w:rsid w:val="00051A11"/>
    <w:rsid w:val="00052234"/>
    <w:rsid w:val="00053D7C"/>
    <w:rsid w:val="000575C5"/>
    <w:rsid w:val="000577C9"/>
    <w:rsid w:val="00060FFD"/>
    <w:rsid w:val="0006431E"/>
    <w:rsid w:val="000652EA"/>
    <w:rsid w:val="00065E21"/>
    <w:rsid w:val="000673ED"/>
    <w:rsid w:val="00070DED"/>
    <w:rsid w:val="00071973"/>
    <w:rsid w:val="00072433"/>
    <w:rsid w:val="0007488B"/>
    <w:rsid w:val="00075702"/>
    <w:rsid w:val="00075A0C"/>
    <w:rsid w:val="000775C2"/>
    <w:rsid w:val="000806AD"/>
    <w:rsid w:val="00080BDF"/>
    <w:rsid w:val="00082482"/>
    <w:rsid w:val="00084CF2"/>
    <w:rsid w:val="00085D7B"/>
    <w:rsid w:val="0008708B"/>
    <w:rsid w:val="00087930"/>
    <w:rsid w:val="00091305"/>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7CE"/>
    <w:rsid w:val="001008C1"/>
    <w:rsid w:val="00101EA9"/>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0FD"/>
    <w:rsid w:val="001374C7"/>
    <w:rsid w:val="001421FD"/>
    <w:rsid w:val="001425C8"/>
    <w:rsid w:val="00142721"/>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25F"/>
    <w:rsid w:val="0019273F"/>
    <w:rsid w:val="00193814"/>
    <w:rsid w:val="00193AAB"/>
    <w:rsid w:val="00193AD5"/>
    <w:rsid w:val="00194930"/>
    <w:rsid w:val="00195AAC"/>
    <w:rsid w:val="00197907"/>
    <w:rsid w:val="001A025E"/>
    <w:rsid w:val="001A08CD"/>
    <w:rsid w:val="001A0A1E"/>
    <w:rsid w:val="001A20C1"/>
    <w:rsid w:val="001A2182"/>
    <w:rsid w:val="001A2691"/>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4E4A"/>
    <w:rsid w:val="001C5BDA"/>
    <w:rsid w:val="001C5CFC"/>
    <w:rsid w:val="001C7231"/>
    <w:rsid w:val="001C7418"/>
    <w:rsid w:val="001C7EBE"/>
    <w:rsid w:val="001D0051"/>
    <w:rsid w:val="001D169A"/>
    <w:rsid w:val="001D2224"/>
    <w:rsid w:val="001D31AA"/>
    <w:rsid w:val="001D3DC0"/>
    <w:rsid w:val="001D3F82"/>
    <w:rsid w:val="001D4F88"/>
    <w:rsid w:val="001D68CF"/>
    <w:rsid w:val="001D6A8C"/>
    <w:rsid w:val="001D7A56"/>
    <w:rsid w:val="001E0821"/>
    <w:rsid w:val="001E15C0"/>
    <w:rsid w:val="001E18E0"/>
    <w:rsid w:val="001E18E2"/>
    <w:rsid w:val="001E19D0"/>
    <w:rsid w:val="001E2A30"/>
    <w:rsid w:val="001E2FF1"/>
    <w:rsid w:val="001E41FE"/>
    <w:rsid w:val="001E635C"/>
    <w:rsid w:val="001F0297"/>
    <w:rsid w:val="001F74CA"/>
    <w:rsid w:val="00200AA0"/>
    <w:rsid w:val="00200E34"/>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68F5"/>
    <w:rsid w:val="00217606"/>
    <w:rsid w:val="00217C09"/>
    <w:rsid w:val="0022096C"/>
    <w:rsid w:val="00220F5C"/>
    <w:rsid w:val="002216BF"/>
    <w:rsid w:val="00221B9B"/>
    <w:rsid w:val="00222268"/>
    <w:rsid w:val="00223D2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0A7"/>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1743"/>
    <w:rsid w:val="002722F2"/>
    <w:rsid w:val="00274549"/>
    <w:rsid w:val="00274E46"/>
    <w:rsid w:val="002752AE"/>
    <w:rsid w:val="002769AF"/>
    <w:rsid w:val="00276C86"/>
    <w:rsid w:val="00276FD0"/>
    <w:rsid w:val="00277217"/>
    <w:rsid w:val="002810A4"/>
    <w:rsid w:val="00282DB6"/>
    <w:rsid w:val="002843BA"/>
    <w:rsid w:val="00284A26"/>
    <w:rsid w:val="00285095"/>
    <w:rsid w:val="00287006"/>
    <w:rsid w:val="00292397"/>
    <w:rsid w:val="00292AB2"/>
    <w:rsid w:val="00293DB6"/>
    <w:rsid w:val="00293FE8"/>
    <w:rsid w:val="00294437"/>
    <w:rsid w:val="00297A45"/>
    <w:rsid w:val="00297E20"/>
    <w:rsid w:val="002A233F"/>
    <w:rsid w:val="002A249A"/>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56C"/>
    <w:rsid w:val="002F6AD8"/>
    <w:rsid w:val="002F7F81"/>
    <w:rsid w:val="00300A36"/>
    <w:rsid w:val="00301B45"/>
    <w:rsid w:val="00302527"/>
    <w:rsid w:val="00302A89"/>
    <w:rsid w:val="00305856"/>
    <w:rsid w:val="0030678B"/>
    <w:rsid w:val="00306D16"/>
    <w:rsid w:val="00307595"/>
    <w:rsid w:val="00310CD7"/>
    <w:rsid w:val="00312A23"/>
    <w:rsid w:val="00313D7A"/>
    <w:rsid w:val="00314EAA"/>
    <w:rsid w:val="0032136A"/>
    <w:rsid w:val="00323A90"/>
    <w:rsid w:val="00323E70"/>
    <w:rsid w:val="003258A7"/>
    <w:rsid w:val="00325BA2"/>
    <w:rsid w:val="00325EC6"/>
    <w:rsid w:val="003262BD"/>
    <w:rsid w:val="00326B1C"/>
    <w:rsid w:val="00326C08"/>
    <w:rsid w:val="00326F7F"/>
    <w:rsid w:val="00330311"/>
    <w:rsid w:val="00330D55"/>
    <w:rsid w:val="003320E8"/>
    <w:rsid w:val="003328FD"/>
    <w:rsid w:val="00332DE3"/>
    <w:rsid w:val="0033334F"/>
    <w:rsid w:val="00334431"/>
    <w:rsid w:val="00334514"/>
    <w:rsid w:val="0033555E"/>
    <w:rsid w:val="00336805"/>
    <w:rsid w:val="00337351"/>
    <w:rsid w:val="0034042D"/>
    <w:rsid w:val="00341A54"/>
    <w:rsid w:val="00344A4F"/>
    <w:rsid w:val="00344D17"/>
    <w:rsid w:val="0034669F"/>
    <w:rsid w:val="00351498"/>
    <w:rsid w:val="003519A6"/>
    <w:rsid w:val="00352B22"/>
    <w:rsid w:val="00352CBF"/>
    <w:rsid w:val="00354547"/>
    <w:rsid w:val="003549F5"/>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2846"/>
    <w:rsid w:val="003B3A77"/>
    <w:rsid w:val="003B4319"/>
    <w:rsid w:val="003B5854"/>
    <w:rsid w:val="003B6764"/>
    <w:rsid w:val="003B7A8B"/>
    <w:rsid w:val="003C294B"/>
    <w:rsid w:val="003C5046"/>
    <w:rsid w:val="003C6068"/>
    <w:rsid w:val="003C7AEC"/>
    <w:rsid w:val="003D2BA3"/>
    <w:rsid w:val="003D316B"/>
    <w:rsid w:val="003D3C22"/>
    <w:rsid w:val="003D56A0"/>
    <w:rsid w:val="003D58A5"/>
    <w:rsid w:val="003D68BE"/>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3BFB"/>
    <w:rsid w:val="00404B45"/>
    <w:rsid w:val="00405871"/>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673D"/>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271E"/>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1971"/>
    <w:rsid w:val="004A24D2"/>
    <w:rsid w:val="004A3214"/>
    <w:rsid w:val="004A4136"/>
    <w:rsid w:val="004A417B"/>
    <w:rsid w:val="004A4378"/>
    <w:rsid w:val="004A6EA9"/>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050"/>
    <w:rsid w:val="00506688"/>
    <w:rsid w:val="00510588"/>
    <w:rsid w:val="00510F9C"/>
    <w:rsid w:val="0051146C"/>
    <w:rsid w:val="0051220B"/>
    <w:rsid w:val="00512253"/>
    <w:rsid w:val="00512484"/>
    <w:rsid w:val="00512749"/>
    <w:rsid w:val="00514449"/>
    <w:rsid w:val="00515419"/>
    <w:rsid w:val="005157BD"/>
    <w:rsid w:val="005214A3"/>
    <w:rsid w:val="005222E7"/>
    <w:rsid w:val="00523A8B"/>
    <w:rsid w:val="00523E04"/>
    <w:rsid w:val="00525003"/>
    <w:rsid w:val="0052590B"/>
    <w:rsid w:val="00526591"/>
    <w:rsid w:val="00527178"/>
    <w:rsid w:val="005278CB"/>
    <w:rsid w:val="0053238D"/>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5102"/>
    <w:rsid w:val="005701C1"/>
    <w:rsid w:val="005703BF"/>
    <w:rsid w:val="00570706"/>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419E"/>
    <w:rsid w:val="00586EC6"/>
    <w:rsid w:val="00587DDE"/>
    <w:rsid w:val="00593043"/>
    <w:rsid w:val="00593C7D"/>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CC0"/>
    <w:rsid w:val="005E3064"/>
    <w:rsid w:val="005E6AEE"/>
    <w:rsid w:val="005E72B2"/>
    <w:rsid w:val="005E73A6"/>
    <w:rsid w:val="005F1115"/>
    <w:rsid w:val="005F1AB6"/>
    <w:rsid w:val="005F27F2"/>
    <w:rsid w:val="005F2B27"/>
    <w:rsid w:val="005F3567"/>
    <w:rsid w:val="005F3AFE"/>
    <w:rsid w:val="005F424D"/>
    <w:rsid w:val="005F55F5"/>
    <w:rsid w:val="005F5EC1"/>
    <w:rsid w:val="005F67A9"/>
    <w:rsid w:val="005F6B6D"/>
    <w:rsid w:val="006008F8"/>
    <w:rsid w:val="006020DC"/>
    <w:rsid w:val="00605AAB"/>
    <w:rsid w:val="00606BEB"/>
    <w:rsid w:val="0061014A"/>
    <w:rsid w:val="0061054B"/>
    <w:rsid w:val="00612FB0"/>
    <w:rsid w:val="0061356D"/>
    <w:rsid w:val="00613E26"/>
    <w:rsid w:val="00615641"/>
    <w:rsid w:val="00616959"/>
    <w:rsid w:val="0062036E"/>
    <w:rsid w:val="00620B3D"/>
    <w:rsid w:val="006211D0"/>
    <w:rsid w:val="00621595"/>
    <w:rsid w:val="0062218F"/>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15EC"/>
    <w:rsid w:val="00662AD0"/>
    <w:rsid w:val="00662F08"/>
    <w:rsid w:val="00663589"/>
    <w:rsid w:val="006649CD"/>
    <w:rsid w:val="00665B91"/>
    <w:rsid w:val="00665D75"/>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24DD"/>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C12"/>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5EE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72F1"/>
    <w:rsid w:val="00727FD0"/>
    <w:rsid w:val="0073062D"/>
    <w:rsid w:val="0073093B"/>
    <w:rsid w:val="0073254D"/>
    <w:rsid w:val="007340F3"/>
    <w:rsid w:val="00735704"/>
    <w:rsid w:val="00736A49"/>
    <w:rsid w:val="007419A1"/>
    <w:rsid w:val="00743524"/>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69A2"/>
    <w:rsid w:val="0076100C"/>
    <w:rsid w:val="007612A5"/>
    <w:rsid w:val="00763CAE"/>
    <w:rsid w:val="00763F95"/>
    <w:rsid w:val="007651ED"/>
    <w:rsid w:val="00766C87"/>
    <w:rsid w:val="00770EE7"/>
    <w:rsid w:val="00771043"/>
    <w:rsid w:val="00773AF7"/>
    <w:rsid w:val="00774316"/>
    <w:rsid w:val="00774FFD"/>
    <w:rsid w:val="00780378"/>
    <w:rsid w:val="0078085E"/>
    <w:rsid w:val="00781BD4"/>
    <w:rsid w:val="00782562"/>
    <w:rsid w:val="007828B4"/>
    <w:rsid w:val="00784832"/>
    <w:rsid w:val="00784EA0"/>
    <w:rsid w:val="00785D77"/>
    <w:rsid w:val="00786111"/>
    <w:rsid w:val="00790963"/>
    <w:rsid w:val="0079154B"/>
    <w:rsid w:val="00791F1E"/>
    <w:rsid w:val="007922DF"/>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2C8D"/>
    <w:rsid w:val="007B4181"/>
    <w:rsid w:val="007B5C5C"/>
    <w:rsid w:val="007B6CE0"/>
    <w:rsid w:val="007B7B37"/>
    <w:rsid w:val="007B7C41"/>
    <w:rsid w:val="007C05C5"/>
    <w:rsid w:val="007C06B9"/>
    <w:rsid w:val="007C11E9"/>
    <w:rsid w:val="007C433E"/>
    <w:rsid w:val="007C4452"/>
    <w:rsid w:val="007C4B3C"/>
    <w:rsid w:val="007C4DB1"/>
    <w:rsid w:val="007C6046"/>
    <w:rsid w:val="007C6F0C"/>
    <w:rsid w:val="007D0292"/>
    <w:rsid w:val="007D136C"/>
    <w:rsid w:val="007D21AC"/>
    <w:rsid w:val="007D24B0"/>
    <w:rsid w:val="007D2C55"/>
    <w:rsid w:val="007D3882"/>
    <w:rsid w:val="007D39E4"/>
    <w:rsid w:val="007D3FE7"/>
    <w:rsid w:val="007D568A"/>
    <w:rsid w:val="007D574E"/>
    <w:rsid w:val="007D57C0"/>
    <w:rsid w:val="007D67CB"/>
    <w:rsid w:val="007D6BFE"/>
    <w:rsid w:val="007E19EB"/>
    <w:rsid w:val="007E2046"/>
    <w:rsid w:val="007E3385"/>
    <w:rsid w:val="007E3883"/>
    <w:rsid w:val="007E4876"/>
    <w:rsid w:val="007E48CD"/>
    <w:rsid w:val="007E4ACB"/>
    <w:rsid w:val="007E4DDB"/>
    <w:rsid w:val="007E4FBB"/>
    <w:rsid w:val="007E55BF"/>
    <w:rsid w:val="007E59E3"/>
    <w:rsid w:val="007E5E39"/>
    <w:rsid w:val="007E71B1"/>
    <w:rsid w:val="007E7B4E"/>
    <w:rsid w:val="007E7F02"/>
    <w:rsid w:val="007F0066"/>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4BF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937"/>
    <w:rsid w:val="00860E60"/>
    <w:rsid w:val="00860F71"/>
    <w:rsid w:val="0086102A"/>
    <w:rsid w:val="0086162B"/>
    <w:rsid w:val="00861710"/>
    <w:rsid w:val="00861D5C"/>
    <w:rsid w:val="00861E7C"/>
    <w:rsid w:val="00863369"/>
    <w:rsid w:val="00865207"/>
    <w:rsid w:val="008656A7"/>
    <w:rsid w:val="00865FA3"/>
    <w:rsid w:val="00866231"/>
    <w:rsid w:val="008667C3"/>
    <w:rsid w:val="00871262"/>
    <w:rsid w:val="0087170E"/>
    <w:rsid w:val="00871D4E"/>
    <w:rsid w:val="00871E7B"/>
    <w:rsid w:val="008721BB"/>
    <w:rsid w:val="00874E69"/>
    <w:rsid w:val="0087566D"/>
    <w:rsid w:val="00875B50"/>
    <w:rsid w:val="00875B51"/>
    <w:rsid w:val="00875F2D"/>
    <w:rsid w:val="008764DC"/>
    <w:rsid w:val="00876C0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4FD6"/>
    <w:rsid w:val="008A55DE"/>
    <w:rsid w:val="008A5C34"/>
    <w:rsid w:val="008A63A9"/>
    <w:rsid w:val="008A6B2A"/>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3D7E"/>
    <w:rsid w:val="008D5104"/>
    <w:rsid w:val="008D6CF0"/>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389"/>
    <w:rsid w:val="00905EEF"/>
    <w:rsid w:val="0090608A"/>
    <w:rsid w:val="00906EB7"/>
    <w:rsid w:val="009102BF"/>
    <w:rsid w:val="00911490"/>
    <w:rsid w:val="009115F2"/>
    <w:rsid w:val="00911B11"/>
    <w:rsid w:val="00914ADB"/>
    <w:rsid w:val="009158F7"/>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345"/>
    <w:rsid w:val="00994FC8"/>
    <w:rsid w:val="009A0DE3"/>
    <w:rsid w:val="009A1643"/>
    <w:rsid w:val="009A215A"/>
    <w:rsid w:val="009A49D3"/>
    <w:rsid w:val="009A4F1B"/>
    <w:rsid w:val="009A66C5"/>
    <w:rsid w:val="009A66E7"/>
    <w:rsid w:val="009A79BA"/>
    <w:rsid w:val="009B14D1"/>
    <w:rsid w:val="009B1534"/>
    <w:rsid w:val="009B4963"/>
    <w:rsid w:val="009B4968"/>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D40"/>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11F"/>
    <w:rsid w:val="00A2270B"/>
    <w:rsid w:val="00A23B89"/>
    <w:rsid w:val="00A23FE3"/>
    <w:rsid w:val="00A248C3"/>
    <w:rsid w:val="00A2496E"/>
    <w:rsid w:val="00A2515A"/>
    <w:rsid w:val="00A253E8"/>
    <w:rsid w:val="00A258B7"/>
    <w:rsid w:val="00A25A0C"/>
    <w:rsid w:val="00A25A83"/>
    <w:rsid w:val="00A262B6"/>
    <w:rsid w:val="00A27EB6"/>
    <w:rsid w:val="00A31FE2"/>
    <w:rsid w:val="00A32743"/>
    <w:rsid w:val="00A409DE"/>
    <w:rsid w:val="00A40FFB"/>
    <w:rsid w:val="00A41468"/>
    <w:rsid w:val="00A414A9"/>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1F4"/>
    <w:rsid w:val="00AA28EF"/>
    <w:rsid w:val="00AA3593"/>
    <w:rsid w:val="00AA38CA"/>
    <w:rsid w:val="00AA493E"/>
    <w:rsid w:val="00AA55B3"/>
    <w:rsid w:val="00AA6417"/>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2A3"/>
    <w:rsid w:val="00AD7F8F"/>
    <w:rsid w:val="00AE0BF9"/>
    <w:rsid w:val="00AE1273"/>
    <w:rsid w:val="00AE18C5"/>
    <w:rsid w:val="00AE2CF4"/>
    <w:rsid w:val="00AE2D29"/>
    <w:rsid w:val="00AE2F15"/>
    <w:rsid w:val="00AE4624"/>
    <w:rsid w:val="00AE4B3E"/>
    <w:rsid w:val="00AE5E14"/>
    <w:rsid w:val="00AE6115"/>
    <w:rsid w:val="00AE625B"/>
    <w:rsid w:val="00AE7E3E"/>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1C45"/>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43F"/>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213D"/>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1665"/>
    <w:rsid w:val="00BE2AB8"/>
    <w:rsid w:val="00BE2FC1"/>
    <w:rsid w:val="00BE3142"/>
    <w:rsid w:val="00BE4039"/>
    <w:rsid w:val="00BE6365"/>
    <w:rsid w:val="00BF01B7"/>
    <w:rsid w:val="00BF0B7F"/>
    <w:rsid w:val="00BF2988"/>
    <w:rsid w:val="00BF421F"/>
    <w:rsid w:val="00BF4720"/>
    <w:rsid w:val="00BF4F49"/>
    <w:rsid w:val="00BF6759"/>
    <w:rsid w:val="00BF6F31"/>
    <w:rsid w:val="00BF70A6"/>
    <w:rsid w:val="00BF7B4F"/>
    <w:rsid w:val="00BF7B63"/>
    <w:rsid w:val="00C01C67"/>
    <w:rsid w:val="00C0359D"/>
    <w:rsid w:val="00C038EC"/>
    <w:rsid w:val="00C05C6D"/>
    <w:rsid w:val="00C05D6C"/>
    <w:rsid w:val="00C072D7"/>
    <w:rsid w:val="00C104DB"/>
    <w:rsid w:val="00C10F5B"/>
    <w:rsid w:val="00C1122B"/>
    <w:rsid w:val="00C127F2"/>
    <w:rsid w:val="00C130D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2A7A"/>
    <w:rsid w:val="00C83740"/>
    <w:rsid w:val="00C84AD1"/>
    <w:rsid w:val="00C85579"/>
    <w:rsid w:val="00C862F1"/>
    <w:rsid w:val="00C863E5"/>
    <w:rsid w:val="00C87BE6"/>
    <w:rsid w:val="00C87F76"/>
    <w:rsid w:val="00C915E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6ADD"/>
    <w:rsid w:val="00CC78A2"/>
    <w:rsid w:val="00CC7DF8"/>
    <w:rsid w:val="00CD15BE"/>
    <w:rsid w:val="00CD1EF2"/>
    <w:rsid w:val="00CD32BD"/>
    <w:rsid w:val="00CD32ED"/>
    <w:rsid w:val="00CD34C7"/>
    <w:rsid w:val="00CD5653"/>
    <w:rsid w:val="00CD5E6D"/>
    <w:rsid w:val="00CD63C8"/>
    <w:rsid w:val="00CD76F8"/>
    <w:rsid w:val="00CE02E8"/>
    <w:rsid w:val="00CE069E"/>
    <w:rsid w:val="00CE0DE0"/>
    <w:rsid w:val="00CE3722"/>
    <w:rsid w:val="00CE53B6"/>
    <w:rsid w:val="00CF158D"/>
    <w:rsid w:val="00CF2166"/>
    <w:rsid w:val="00CF4340"/>
    <w:rsid w:val="00CF4394"/>
    <w:rsid w:val="00CF48B4"/>
    <w:rsid w:val="00CF4FEC"/>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EEF"/>
    <w:rsid w:val="00D31683"/>
    <w:rsid w:val="00D336C8"/>
    <w:rsid w:val="00D339E8"/>
    <w:rsid w:val="00D3654A"/>
    <w:rsid w:val="00D3662E"/>
    <w:rsid w:val="00D37B70"/>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00C"/>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00C6"/>
    <w:rsid w:val="00D91040"/>
    <w:rsid w:val="00D910C2"/>
    <w:rsid w:val="00D9168C"/>
    <w:rsid w:val="00D9189B"/>
    <w:rsid w:val="00D91DA6"/>
    <w:rsid w:val="00D921A0"/>
    <w:rsid w:val="00D92549"/>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01"/>
    <w:rsid w:val="00DB0015"/>
    <w:rsid w:val="00DB0359"/>
    <w:rsid w:val="00DB0ABB"/>
    <w:rsid w:val="00DB2AAD"/>
    <w:rsid w:val="00DB44E2"/>
    <w:rsid w:val="00DB4A6D"/>
    <w:rsid w:val="00DB5941"/>
    <w:rsid w:val="00DB626D"/>
    <w:rsid w:val="00DB6365"/>
    <w:rsid w:val="00DC07B7"/>
    <w:rsid w:val="00DC0BF1"/>
    <w:rsid w:val="00DC0FAB"/>
    <w:rsid w:val="00DC17F2"/>
    <w:rsid w:val="00DC41C3"/>
    <w:rsid w:val="00DC4A3C"/>
    <w:rsid w:val="00DC4FA4"/>
    <w:rsid w:val="00DC5B37"/>
    <w:rsid w:val="00DD286D"/>
    <w:rsid w:val="00DD2CAF"/>
    <w:rsid w:val="00DD3593"/>
    <w:rsid w:val="00DD64E0"/>
    <w:rsid w:val="00DD7BE0"/>
    <w:rsid w:val="00DE0C67"/>
    <w:rsid w:val="00DE3AAD"/>
    <w:rsid w:val="00DE5893"/>
    <w:rsid w:val="00DE598A"/>
    <w:rsid w:val="00DE6952"/>
    <w:rsid w:val="00DE7E74"/>
    <w:rsid w:val="00DF071B"/>
    <w:rsid w:val="00DF13E3"/>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1F7"/>
    <w:rsid w:val="00E202F4"/>
    <w:rsid w:val="00E207C3"/>
    <w:rsid w:val="00E21386"/>
    <w:rsid w:val="00E242AF"/>
    <w:rsid w:val="00E24849"/>
    <w:rsid w:val="00E2536E"/>
    <w:rsid w:val="00E253B0"/>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15B9"/>
    <w:rsid w:val="00E548FA"/>
    <w:rsid w:val="00E57703"/>
    <w:rsid w:val="00E57ED4"/>
    <w:rsid w:val="00E57FED"/>
    <w:rsid w:val="00E6046C"/>
    <w:rsid w:val="00E6092F"/>
    <w:rsid w:val="00E62049"/>
    <w:rsid w:val="00E629DA"/>
    <w:rsid w:val="00E64374"/>
    <w:rsid w:val="00E6469F"/>
    <w:rsid w:val="00E65D39"/>
    <w:rsid w:val="00E670F8"/>
    <w:rsid w:val="00E6741B"/>
    <w:rsid w:val="00E67FAC"/>
    <w:rsid w:val="00E7200B"/>
    <w:rsid w:val="00E7256F"/>
    <w:rsid w:val="00E73246"/>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110A"/>
    <w:rsid w:val="00EB3307"/>
    <w:rsid w:val="00EB3823"/>
    <w:rsid w:val="00EB47D8"/>
    <w:rsid w:val="00EB57D3"/>
    <w:rsid w:val="00EB5EFD"/>
    <w:rsid w:val="00EB679F"/>
    <w:rsid w:val="00EB76E4"/>
    <w:rsid w:val="00EC0E65"/>
    <w:rsid w:val="00EC1251"/>
    <w:rsid w:val="00EC161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E9D"/>
    <w:rsid w:val="00EE6FE0"/>
    <w:rsid w:val="00EE704A"/>
    <w:rsid w:val="00EE7840"/>
    <w:rsid w:val="00EF07E9"/>
    <w:rsid w:val="00EF2E75"/>
    <w:rsid w:val="00EF4C74"/>
    <w:rsid w:val="00EF5268"/>
    <w:rsid w:val="00EF608E"/>
    <w:rsid w:val="00EF6C4A"/>
    <w:rsid w:val="00F0044B"/>
    <w:rsid w:val="00F03525"/>
    <w:rsid w:val="00F0424D"/>
    <w:rsid w:val="00F04957"/>
    <w:rsid w:val="00F05807"/>
    <w:rsid w:val="00F06451"/>
    <w:rsid w:val="00F07052"/>
    <w:rsid w:val="00F0706C"/>
    <w:rsid w:val="00F10178"/>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AA7"/>
    <w:rsid w:val="00F43D6C"/>
    <w:rsid w:val="00F43E0A"/>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65B"/>
    <w:rsid w:val="00FB42B7"/>
    <w:rsid w:val="00FB4484"/>
    <w:rsid w:val="00FB4C40"/>
    <w:rsid w:val="00FB593A"/>
    <w:rsid w:val="00FB6410"/>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7C06B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FB265B"/>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174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B066-7698-491A-8A9D-CB6C1F70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2012-02-06T17:51:00Z</cp:lastPrinted>
  <dcterms:created xsi:type="dcterms:W3CDTF">2012-02-27T13:48:00Z</dcterms:created>
  <dcterms:modified xsi:type="dcterms:W3CDTF">2012-02-27T13:48:00Z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