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RECORD OF PROCEEDINGS</w:t>
      </w:r>
    </w:p>
    <w:p w:rsidR="00540BEF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PHYSICAL DISABILITY BOARD OF REVIEW</w:t>
      </w:r>
    </w:p>
    <w:p w:rsidR="00540BEF" w:rsidRPr="001F29F9" w:rsidRDefault="00540BEF" w:rsidP="00BF0E94">
      <w:pPr>
        <w:tabs>
          <w:tab w:val="left" w:pos="288"/>
          <w:tab w:val="left" w:pos="4752"/>
        </w:tabs>
        <w:jc w:val="both"/>
        <w:rPr>
          <w:caps/>
          <w:color w:val="000000" w:themeColor="text1"/>
        </w:rPr>
      </w:pPr>
    </w:p>
    <w:p w:rsidR="00E0346A" w:rsidRPr="001F29F9" w:rsidRDefault="00F629C0" w:rsidP="00711244">
      <w:pPr>
        <w:tabs>
          <w:tab w:val="left" w:pos="288"/>
          <w:tab w:val="left" w:pos="5142"/>
          <w:tab w:val="left" w:pos="6570"/>
          <w:tab w:val="left" w:pos="9270"/>
        </w:tabs>
        <w:jc w:val="both"/>
        <w:rPr>
          <w:caps/>
          <w:color w:val="000000" w:themeColor="text1"/>
        </w:rPr>
      </w:pPr>
      <w:r w:rsidRPr="00852F13">
        <w:rPr>
          <w:caps/>
          <w:color w:val="000000" w:themeColor="text1"/>
        </w:rPr>
        <w:t xml:space="preserve">NAME:  </w:t>
      </w:r>
      <w:r w:rsidR="00B42320">
        <w:rPr>
          <w:caps/>
          <w:color w:val="000000" w:themeColor="text1"/>
        </w:rPr>
        <w:t xml:space="preserve"> </w:t>
      </w:r>
      <w:r w:rsidR="00711244">
        <w:rPr>
          <w:caps/>
          <w:color w:val="000000" w:themeColor="text1"/>
        </w:rPr>
        <w:tab/>
      </w:r>
      <w:r w:rsidRPr="001F29F9">
        <w:rPr>
          <w:caps/>
          <w:color w:val="000000" w:themeColor="text1"/>
        </w:rPr>
        <w:t xml:space="preserve">BRANCH OF </w:t>
      </w:r>
      <w:r w:rsidRPr="00EA013E">
        <w:rPr>
          <w:caps/>
          <w:color w:val="000000" w:themeColor="text1"/>
        </w:rPr>
        <w:t xml:space="preserve">SERVICE: </w:t>
      </w:r>
      <w:r w:rsidR="004C24C5" w:rsidRPr="00EA013E">
        <w:rPr>
          <w:caps/>
          <w:color w:val="000000" w:themeColor="text1"/>
        </w:rPr>
        <w:t xml:space="preserve"> </w:t>
      </w:r>
      <w:r w:rsidR="00332DE3" w:rsidRPr="00EA013E">
        <w:rPr>
          <w:caps/>
          <w:color w:val="000000" w:themeColor="text1"/>
        </w:rPr>
        <w:t xml:space="preserve">Army </w:t>
      </w:r>
    </w:p>
    <w:p w:rsidR="00DE3AAD" w:rsidRPr="001F29F9" w:rsidRDefault="00012733" w:rsidP="0068098E">
      <w:pPr>
        <w:tabs>
          <w:tab w:val="left" w:pos="288"/>
          <w:tab w:val="left" w:pos="4166"/>
          <w:tab w:val="left" w:pos="4752"/>
          <w:tab w:val="left" w:pos="5130"/>
          <w:tab w:val="left" w:pos="9270"/>
        </w:tabs>
        <w:jc w:val="both"/>
        <w:rPr>
          <w:caps/>
          <w:color w:val="000000" w:themeColor="text1"/>
        </w:rPr>
      </w:pPr>
      <w:r w:rsidRPr="001F29F9">
        <w:rPr>
          <w:caps/>
          <w:color w:val="000000" w:themeColor="text1"/>
        </w:rPr>
        <w:t>C</w:t>
      </w:r>
      <w:r w:rsidR="00DE3AAD" w:rsidRPr="001F29F9">
        <w:rPr>
          <w:caps/>
          <w:color w:val="000000" w:themeColor="text1"/>
        </w:rPr>
        <w:t xml:space="preserve">ASE NUMBER:  </w:t>
      </w:r>
      <w:r w:rsidR="00F21347" w:rsidRPr="00F21347">
        <w:rPr>
          <w:caps/>
          <w:color w:val="000000" w:themeColor="text1"/>
        </w:rPr>
        <w:t>PD1100224</w:t>
      </w:r>
      <w:r w:rsidR="00DE3AAD" w:rsidRPr="001F29F9">
        <w:rPr>
          <w:color w:val="000000" w:themeColor="text1"/>
        </w:rPr>
        <w:t xml:space="preserve"> </w:t>
      </w:r>
      <w:r w:rsidR="00DE3AAD" w:rsidRPr="001F29F9">
        <w:rPr>
          <w:color w:val="000000" w:themeColor="text1"/>
        </w:rPr>
        <w:tab/>
      </w:r>
      <w:r w:rsidR="0068098E" w:rsidRPr="001F29F9">
        <w:rPr>
          <w:color w:val="000000" w:themeColor="text1"/>
        </w:rPr>
        <w:tab/>
      </w:r>
      <w:r w:rsidR="00EA013E">
        <w:rPr>
          <w:color w:val="000000" w:themeColor="text1"/>
        </w:rPr>
        <w:t xml:space="preserve">       </w:t>
      </w:r>
      <w:r w:rsidR="00EA013E" w:rsidRPr="001F29F9">
        <w:rPr>
          <w:rFonts w:cs="Times New Roman"/>
          <w:color w:val="000000" w:themeColor="text1"/>
          <w:szCs w:val="24"/>
        </w:rPr>
        <w:t xml:space="preserve">DATE OF PLACEMENT ON TDRL:  </w:t>
      </w:r>
      <w:r w:rsidR="00EA013E" w:rsidRPr="00EA013E">
        <w:rPr>
          <w:color w:val="000000" w:themeColor="text1"/>
        </w:rPr>
        <w:t>20040422</w:t>
      </w:r>
    </w:p>
    <w:p w:rsidR="003B2143" w:rsidRPr="00711244" w:rsidRDefault="004F3639" w:rsidP="00711244">
      <w:pPr>
        <w:tabs>
          <w:tab w:val="left" w:pos="288"/>
          <w:tab w:val="left" w:pos="4680"/>
        </w:tabs>
        <w:ind w:left="2880" w:hanging="2880"/>
        <w:jc w:val="both"/>
        <w:rPr>
          <w:caps/>
          <w:color w:val="000000" w:themeColor="text1"/>
        </w:rPr>
      </w:pPr>
      <w:r w:rsidRPr="001F29F9">
        <w:rPr>
          <w:caps/>
          <w:color w:val="000000" w:themeColor="text1"/>
        </w:rPr>
        <w:t xml:space="preserve">BOARD </w:t>
      </w:r>
      <w:r w:rsidR="00353B43">
        <w:rPr>
          <w:caps/>
          <w:color w:val="000000" w:themeColor="text1"/>
        </w:rPr>
        <w:t>DATE:  2012</w:t>
      </w:r>
      <w:r w:rsidR="00FB68E3">
        <w:rPr>
          <w:caps/>
          <w:color w:val="000000" w:themeColor="text1"/>
        </w:rPr>
        <w:t>0402</w:t>
      </w:r>
      <w:r w:rsidR="00353B43">
        <w:rPr>
          <w:rFonts w:cs="Times New Roman"/>
          <w:caps/>
          <w:color w:val="000000" w:themeColor="text1"/>
          <w:szCs w:val="24"/>
        </w:rPr>
        <w:t xml:space="preserve">  </w:t>
      </w:r>
      <w:r w:rsidR="00353B43">
        <w:rPr>
          <w:color w:val="000000" w:themeColor="text1"/>
        </w:rPr>
        <w:t xml:space="preserve">       </w:t>
      </w:r>
      <w:r w:rsidR="00711244">
        <w:rPr>
          <w:caps/>
          <w:color w:val="000000" w:themeColor="text1"/>
        </w:rPr>
        <w:tab/>
      </w:r>
      <w:r w:rsidR="00711244">
        <w:rPr>
          <w:caps/>
          <w:color w:val="000000" w:themeColor="text1"/>
        </w:rPr>
        <w:tab/>
        <w:t xml:space="preserve">  </w:t>
      </w:r>
      <w:r w:rsidR="00EA013E" w:rsidRPr="001F29F9">
        <w:rPr>
          <w:rFonts w:cs="Times New Roman"/>
          <w:color w:val="000000" w:themeColor="text1"/>
          <w:szCs w:val="24"/>
        </w:rPr>
        <w:t>SEPARATION</w:t>
      </w:r>
      <w:r w:rsidR="005F5E7F">
        <w:rPr>
          <w:rFonts w:cs="Times New Roman"/>
          <w:color w:val="000000" w:themeColor="text1"/>
          <w:szCs w:val="24"/>
        </w:rPr>
        <w:t xml:space="preserve"> DATE</w:t>
      </w:r>
      <w:r w:rsidR="00EA013E" w:rsidRPr="001F29F9">
        <w:rPr>
          <w:rFonts w:cs="Times New Roman"/>
          <w:color w:val="000000" w:themeColor="text1"/>
          <w:szCs w:val="24"/>
        </w:rPr>
        <w:t xml:space="preserve">:  </w:t>
      </w:r>
      <w:r w:rsidR="00852F13">
        <w:rPr>
          <w:rFonts w:cs="Times New Roman"/>
          <w:color w:val="000000" w:themeColor="text1"/>
          <w:szCs w:val="24"/>
        </w:rPr>
        <w:t>20050413</w:t>
      </w:r>
    </w:p>
    <w:p w:rsidR="003C53E8" w:rsidRPr="001F29F9" w:rsidRDefault="003C53E8" w:rsidP="003C53E8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9369A6" w:rsidRPr="001F29F9" w:rsidRDefault="009369A6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2C6E5B" w:rsidRDefault="00FB0E80" w:rsidP="00EA013E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  <w:u w:val="single"/>
        </w:rPr>
        <w:t>SUMMARY OF CASE</w:t>
      </w:r>
      <w:r w:rsidRPr="001F29F9">
        <w:rPr>
          <w:color w:val="000000" w:themeColor="text1"/>
        </w:rPr>
        <w:t xml:space="preserve">:  </w:t>
      </w:r>
      <w:r w:rsidR="00EA013E" w:rsidRPr="00EA013E">
        <w:rPr>
          <w:color w:val="000000" w:themeColor="text1"/>
        </w:rPr>
        <w:t>Data extracted from the available evidence of record reflects that this covered individual (CI) was</w:t>
      </w:r>
      <w:r w:rsidR="00852F13">
        <w:rPr>
          <w:color w:val="000000" w:themeColor="text1"/>
        </w:rPr>
        <w:t xml:space="preserve"> an active duty SSG/E-6</w:t>
      </w:r>
      <w:r w:rsidR="00EA013E" w:rsidRPr="00EA013E">
        <w:rPr>
          <w:color w:val="000000" w:themeColor="text1"/>
        </w:rPr>
        <w:t xml:space="preserve"> (74B, Training Instructor) medically separated for asthma</w:t>
      </w:r>
      <w:r w:rsidR="00EA013E" w:rsidRPr="00EA013E">
        <w:rPr>
          <w:i/>
          <w:color w:val="000000" w:themeColor="text1"/>
        </w:rPr>
        <w:t xml:space="preserve">.  </w:t>
      </w:r>
      <w:r w:rsidR="00283D31">
        <w:rPr>
          <w:color w:val="000000" w:themeColor="text1"/>
        </w:rPr>
        <w:t xml:space="preserve">He </w:t>
      </w:r>
      <w:r w:rsidR="006E4FF7">
        <w:rPr>
          <w:color w:val="000000" w:themeColor="text1"/>
        </w:rPr>
        <w:t>began developing wheezing with</w:t>
      </w:r>
      <w:r w:rsidR="00283D31">
        <w:rPr>
          <w:color w:val="000000" w:themeColor="text1"/>
        </w:rPr>
        <w:t xml:space="preserve"> exertion in 1997</w:t>
      </w:r>
      <w:r w:rsidR="006E4FF7">
        <w:rPr>
          <w:color w:val="000000" w:themeColor="text1"/>
        </w:rPr>
        <w:t>, initially responsive to occasional use of a rescue inhaler</w:t>
      </w:r>
      <w:r w:rsidR="00283D31">
        <w:rPr>
          <w:color w:val="000000" w:themeColor="text1"/>
        </w:rPr>
        <w:t xml:space="preserve">.  </w:t>
      </w:r>
      <w:r w:rsidR="006E4FF7">
        <w:rPr>
          <w:color w:val="000000" w:themeColor="text1"/>
        </w:rPr>
        <w:t xml:space="preserve">His asthma progressed to </w:t>
      </w:r>
      <w:r w:rsidR="0062609E">
        <w:rPr>
          <w:color w:val="000000" w:themeColor="text1"/>
        </w:rPr>
        <w:t>the point of req</w:t>
      </w:r>
      <w:r w:rsidR="00FB68E3">
        <w:rPr>
          <w:color w:val="000000" w:themeColor="text1"/>
        </w:rPr>
        <w:t>uiring maintenance medications;</w:t>
      </w:r>
      <w:r w:rsidR="0062609E">
        <w:rPr>
          <w:color w:val="000000" w:themeColor="text1"/>
        </w:rPr>
        <w:t xml:space="preserve"> and</w:t>
      </w:r>
      <w:r w:rsidR="00FB68E3">
        <w:rPr>
          <w:color w:val="000000" w:themeColor="text1"/>
        </w:rPr>
        <w:t>,</w:t>
      </w:r>
      <w:r w:rsidR="0062609E">
        <w:rPr>
          <w:color w:val="000000" w:themeColor="text1"/>
        </w:rPr>
        <w:t xml:space="preserve"> </w:t>
      </w:r>
      <w:r w:rsidR="00BA29C6">
        <w:rPr>
          <w:color w:val="000000" w:themeColor="text1"/>
        </w:rPr>
        <w:t xml:space="preserve">he </w:t>
      </w:r>
      <w:r w:rsidR="0062609E">
        <w:rPr>
          <w:color w:val="000000" w:themeColor="text1"/>
        </w:rPr>
        <w:t xml:space="preserve">was no longer </w:t>
      </w:r>
      <w:r w:rsidR="00BA29C6">
        <w:rPr>
          <w:color w:val="000000" w:themeColor="text1"/>
        </w:rPr>
        <w:t xml:space="preserve">able to meet the soldiering </w:t>
      </w:r>
      <w:r w:rsidR="0062609E">
        <w:rPr>
          <w:color w:val="000000" w:themeColor="text1"/>
        </w:rPr>
        <w:t xml:space="preserve">requirements of his </w:t>
      </w:r>
      <w:r w:rsidR="00EA013E" w:rsidRPr="00EA013E">
        <w:rPr>
          <w:color w:val="000000" w:themeColor="text1"/>
        </w:rPr>
        <w:t>Military Occupa</w:t>
      </w:r>
      <w:r w:rsidR="0062609E">
        <w:rPr>
          <w:color w:val="000000" w:themeColor="text1"/>
        </w:rPr>
        <w:t xml:space="preserve">tional Specialty (MOS) or </w:t>
      </w:r>
      <w:r w:rsidR="00BA29C6">
        <w:rPr>
          <w:color w:val="000000" w:themeColor="text1"/>
        </w:rPr>
        <w:t>pass</w:t>
      </w:r>
      <w:r w:rsidR="0062609E">
        <w:rPr>
          <w:color w:val="000000" w:themeColor="text1"/>
        </w:rPr>
        <w:t xml:space="preserve"> the </w:t>
      </w:r>
      <w:r w:rsidR="00BA29C6">
        <w:rPr>
          <w:color w:val="000000" w:themeColor="text1"/>
        </w:rPr>
        <w:t xml:space="preserve">Army </w:t>
      </w:r>
      <w:r w:rsidR="00802CE2">
        <w:rPr>
          <w:color w:val="000000" w:themeColor="text1"/>
        </w:rPr>
        <w:t>P</w:t>
      </w:r>
      <w:r w:rsidR="00EA013E" w:rsidRPr="00EA013E">
        <w:rPr>
          <w:color w:val="000000" w:themeColor="text1"/>
        </w:rPr>
        <w:t xml:space="preserve">hysical </w:t>
      </w:r>
      <w:r w:rsidR="00802CE2">
        <w:rPr>
          <w:color w:val="000000" w:themeColor="text1"/>
        </w:rPr>
        <w:t>F</w:t>
      </w:r>
      <w:r w:rsidR="00EA013E" w:rsidRPr="00EA013E">
        <w:rPr>
          <w:color w:val="000000" w:themeColor="text1"/>
        </w:rPr>
        <w:t xml:space="preserve">itness </w:t>
      </w:r>
      <w:r w:rsidR="00802CE2">
        <w:rPr>
          <w:color w:val="000000" w:themeColor="text1"/>
        </w:rPr>
        <w:t>T</w:t>
      </w:r>
      <w:r w:rsidR="0062609E">
        <w:rPr>
          <w:color w:val="000000" w:themeColor="text1"/>
        </w:rPr>
        <w:t>est</w:t>
      </w:r>
      <w:r w:rsidR="00BA29C6">
        <w:rPr>
          <w:color w:val="000000" w:themeColor="text1"/>
        </w:rPr>
        <w:t xml:space="preserve"> (APFT)</w:t>
      </w:r>
      <w:r w:rsidR="00EA013E">
        <w:rPr>
          <w:color w:val="000000" w:themeColor="text1"/>
        </w:rPr>
        <w:t>.  He</w:t>
      </w:r>
      <w:r w:rsidR="00EA013E" w:rsidRPr="00EA013E">
        <w:rPr>
          <w:color w:val="000000" w:themeColor="text1"/>
        </w:rPr>
        <w:t xml:space="preserve"> was issued a permanent P3 profile and </w:t>
      </w:r>
      <w:r w:rsidR="0062609E">
        <w:rPr>
          <w:color w:val="000000" w:themeColor="text1"/>
        </w:rPr>
        <w:t>referred for</w:t>
      </w:r>
      <w:r w:rsidR="00EA013E" w:rsidRPr="00EA013E">
        <w:rPr>
          <w:color w:val="000000" w:themeColor="text1"/>
        </w:rPr>
        <w:t xml:space="preserve"> a Medical Evaluation Board (MEB).</w:t>
      </w:r>
      <w:r w:rsidR="00EA013E">
        <w:rPr>
          <w:color w:val="000000" w:themeColor="text1"/>
        </w:rPr>
        <w:t xml:space="preserve">  </w:t>
      </w:r>
      <w:r w:rsidR="009F020B">
        <w:rPr>
          <w:color w:val="000000" w:themeColor="text1"/>
        </w:rPr>
        <w:t>Exercise induced a</w:t>
      </w:r>
      <w:r w:rsidR="00EA013E" w:rsidRPr="00EA013E">
        <w:rPr>
          <w:color w:val="000000" w:themeColor="text1"/>
        </w:rPr>
        <w:t>sthma was forwarded to the</w:t>
      </w:r>
      <w:r w:rsidR="00B938C6">
        <w:rPr>
          <w:color w:val="000000" w:themeColor="text1"/>
        </w:rPr>
        <w:t xml:space="preserve"> </w:t>
      </w:r>
      <w:r w:rsidR="00EA013E" w:rsidRPr="00EA013E">
        <w:rPr>
          <w:color w:val="000000" w:themeColor="text1"/>
        </w:rPr>
        <w:t xml:space="preserve">Physical Evaluation Board (PEB) as </w:t>
      </w:r>
      <w:r w:rsidR="0017607A">
        <w:rPr>
          <w:color w:val="000000" w:themeColor="text1"/>
        </w:rPr>
        <w:t xml:space="preserve">a </w:t>
      </w:r>
      <w:r w:rsidR="00EA013E" w:rsidRPr="00EA013E">
        <w:rPr>
          <w:color w:val="000000" w:themeColor="text1"/>
        </w:rPr>
        <w:t xml:space="preserve">medically unacceptable </w:t>
      </w:r>
      <w:r w:rsidR="0017607A">
        <w:rPr>
          <w:color w:val="000000" w:themeColor="text1"/>
        </w:rPr>
        <w:t xml:space="preserve">condition </w:t>
      </w:r>
      <w:r w:rsidR="00EA013E" w:rsidRPr="00EA013E">
        <w:rPr>
          <w:color w:val="000000" w:themeColor="text1"/>
        </w:rPr>
        <w:t xml:space="preserve">IAW AR 40-501.  No other conditions appeared on the MEB’s submission.  Other conditions included in the Disability Evaluation System (DES) </w:t>
      </w:r>
      <w:r w:rsidR="00EA013E">
        <w:rPr>
          <w:color w:val="000000" w:themeColor="text1"/>
        </w:rPr>
        <w:t>file</w:t>
      </w:r>
      <w:r w:rsidR="00EA013E" w:rsidRPr="00EA013E">
        <w:rPr>
          <w:color w:val="000000" w:themeColor="text1"/>
        </w:rPr>
        <w:t xml:space="preserve"> </w:t>
      </w:r>
      <w:r w:rsidR="0062609E">
        <w:rPr>
          <w:color w:val="000000" w:themeColor="text1"/>
        </w:rPr>
        <w:t xml:space="preserve">are addressed below.  The </w:t>
      </w:r>
      <w:r w:rsidR="00EA013E" w:rsidRPr="00EA013E">
        <w:rPr>
          <w:color w:val="000000" w:themeColor="text1"/>
        </w:rPr>
        <w:t xml:space="preserve">PEB adjudicated the </w:t>
      </w:r>
      <w:r w:rsidR="00283D31">
        <w:rPr>
          <w:color w:val="000000" w:themeColor="text1"/>
        </w:rPr>
        <w:t>a</w:t>
      </w:r>
      <w:r w:rsidR="00EA013E" w:rsidRPr="00EA013E">
        <w:rPr>
          <w:color w:val="000000" w:themeColor="text1"/>
        </w:rPr>
        <w:t xml:space="preserve">sthma condition as unfitting, rated </w:t>
      </w:r>
      <w:r w:rsidR="00EA013E">
        <w:rPr>
          <w:color w:val="000000" w:themeColor="text1"/>
        </w:rPr>
        <w:t>3</w:t>
      </w:r>
      <w:r w:rsidR="00EA013E" w:rsidRPr="00EA013E">
        <w:rPr>
          <w:color w:val="000000" w:themeColor="text1"/>
        </w:rPr>
        <w:t xml:space="preserve">0%, </w:t>
      </w:r>
      <w:r w:rsidR="0062609E">
        <w:rPr>
          <w:color w:val="000000" w:themeColor="text1"/>
        </w:rPr>
        <w:t xml:space="preserve">citing “daily oral or inhalational therapy” IAW the </w:t>
      </w:r>
      <w:r w:rsidR="0062609E" w:rsidRPr="00283D31">
        <w:rPr>
          <w:color w:val="000000" w:themeColor="text1"/>
        </w:rPr>
        <w:t>Veterans Administration Schedule f</w:t>
      </w:r>
      <w:r w:rsidR="0062609E">
        <w:rPr>
          <w:color w:val="000000" w:themeColor="text1"/>
        </w:rPr>
        <w:t>or Rating Disabilities (VASRD); and,</w:t>
      </w:r>
      <w:r w:rsidR="0062609E" w:rsidRPr="00283D31">
        <w:rPr>
          <w:color w:val="000000" w:themeColor="text1"/>
        </w:rPr>
        <w:t xml:space="preserve"> </w:t>
      </w:r>
      <w:r w:rsidR="00EA013E" w:rsidRPr="00EA013E">
        <w:rPr>
          <w:color w:val="000000" w:themeColor="text1"/>
        </w:rPr>
        <w:t>placed</w:t>
      </w:r>
      <w:r w:rsidR="00EA013E">
        <w:rPr>
          <w:color w:val="000000" w:themeColor="text1"/>
        </w:rPr>
        <w:t xml:space="preserve"> the</w:t>
      </w:r>
      <w:r w:rsidR="00EA013E" w:rsidRPr="00EA013E">
        <w:rPr>
          <w:color w:val="000000" w:themeColor="text1"/>
        </w:rPr>
        <w:t xml:space="preserve"> CI on </w:t>
      </w:r>
      <w:r w:rsidR="0017607A">
        <w:rPr>
          <w:color w:val="000000" w:themeColor="text1"/>
        </w:rPr>
        <w:t xml:space="preserve">the </w:t>
      </w:r>
      <w:r w:rsidR="00EA013E" w:rsidRPr="00EA013E">
        <w:rPr>
          <w:color w:val="000000" w:themeColor="text1"/>
        </w:rPr>
        <w:t xml:space="preserve">Temporary Disability Retired List (TDRL).  </w:t>
      </w:r>
      <w:r w:rsidR="00EA013E">
        <w:rPr>
          <w:color w:val="000000" w:themeColor="text1"/>
        </w:rPr>
        <w:t xml:space="preserve">After </w:t>
      </w:r>
      <w:r w:rsidR="00852F13">
        <w:rPr>
          <w:color w:val="000000" w:themeColor="text1"/>
        </w:rPr>
        <w:t>12</w:t>
      </w:r>
      <w:r w:rsidR="00EA013E">
        <w:rPr>
          <w:color w:val="000000" w:themeColor="text1"/>
        </w:rPr>
        <w:t xml:space="preserve"> months</w:t>
      </w:r>
      <w:r w:rsidR="00852F13">
        <w:rPr>
          <w:color w:val="000000" w:themeColor="text1"/>
        </w:rPr>
        <w:t xml:space="preserve"> of TDRL</w:t>
      </w:r>
      <w:r w:rsidR="00EA013E">
        <w:rPr>
          <w:color w:val="000000" w:themeColor="text1"/>
        </w:rPr>
        <w:t xml:space="preserve"> the</w:t>
      </w:r>
      <w:r w:rsidR="00197156">
        <w:rPr>
          <w:color w:val="000000" w:themeColor="text1"/>
        </w:rPr>
        <w:t xml:space="preserve"> asthma condition was considered to be stable, but still unfitting.  The </w:t>
      </w:r>
      <w:r w:rsidR="00EA013E">
        <w:rPr>
          <w:color w:val="000000" w:themeColor="text1"/>
        </w:rPr>
        <w:t>PEB assigned a permanent separation rating of 10%</w:t>
      </w:r>
      <w:r w:rsidR="00197156">
        <w:rPr>
          <w:color w:val="000000" w:themeColor="text1"/>
        </w:rPr>
        <w:t xml:space="preserve">, citing “intermittent bronchodilator requirement” IAW the VASRD. </w:t>
      </w:r>
      <w:r w:rsidR="00EA013E">
        <w:rPr>
          <w:color w:val="000000" w:themeColor="text1"/>
        </w:rPr>
        <w:t xml:space="preserve"> </w:t>
      </w:r>
      <w:r w:rsidR="00EA013E" w:rsidRPr="00283D31">
        <w:rPr>
          <w:color w:val="000000" w:themeColor="text1"/>
        </w:rPr>
        <w:t>The CI made no a</w:t>
      </w:r>
      <w:r w:rsidR="00EA013E" w:rsidRPr="00EA013E">
        <w:rPr>
          <w:color w:val="000000" w:themeColor="text1"/>
        </w:rPr>
        <w:t xml:space="preserve">ppeals, and was medically separated with </w:t>
      </w:r>
      <w:r w:rsidR="00197156">
        <w:rPr>
          <w:color w:val="000000" w:themeColor="text1"/>
        </w:rPr>
        <w:t xml:space="preserve">that </w:t>
      </w:r>
      <w:r w:rsidR="00722108">
        <w:rPr>
          <w:color w:val="000000" w:themeColor="text1"/>
        </w:rPr>
        <w:t>s</w:t>
      </w:r>
      <w:r w:rsidR="00197156">
        <w:rPr>
          <w:color w:val="000000" w:themeColor="text1"/>
        </w:rPr>
        <w:t>ervice</w:t>
      </w:r>
      <w:r w:rsidR="00EA013E" w:rsidRPr="00EA013E">
        <w:rPr>
          <w:color w:val="000000" w:themeColor="text1"/>
        </w:rPr>
        <w:t xml:space="preserve"> disability rating.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4174F0" w:rsidRPr="001F29F9" w:rsidRDefault="004174F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ED5284" w:rsidRPr="001F29F9" w:rsidRDefault="002C6E5B" w:rsidP="00BF0E94">
      <w:pPr>
        <w:tabs>
          <w:tab w:val="left" w:pos="288"/>
          <w:tab w:val="left" w:pos="4752"/>
        </w:tabs>
        <w:jc w:val="both"/>
        <w:rPr>
          <w:rFonts w:eastAsiaTheme="minorHAnsi"/>
          <w:color w:val="000000" w:themeColor="text1"/>
          <w:szCs w:val="24"/>
        </w:rPr>
      </w:pPr>
      <w:r w:rsidRPr="001F29F9">
        <w:rPr>
          <w:color w:val="000000" w:themeColor="text1"/>
          <w:u w:val="single"/>
        </w:rPr>
        <w:t>CI CONTENTION</w:t>
      </w:r>
      <w:r w:rsidRPr="001F29F9">
        <w:rPr>
          <w:color w:val="000000" w:themeColor="text1"/>
        </w:rPr>
        <w:t>:</w:t>
      </w:r>
      <w:r w:rsidR="00283D31">
        <w:rPr>
          <w:color w:val="000000" w:themeColor="text1"/>
        </w:rPr>
        <w:t xml:space="preserve">  The CI states: “</w:t>
      </w:r>
      <w:r w:rsidR="00283D31" w:rsidRPr="00283D31">
        <w:rPr>
          <w:color w:val="000000" w:themeColor="text1"/>
        </w:rPr>
        <w:t>due to the required daily use of inhalation bronchodilator asthma the</w:t>
      </w:r>
      <w:r w:rsidR="00283D31">
        <w:rPr>
          <w:color w:val="000000" w:themeColor="text1"/>
        </w:rPr>
        <w:t>ra</w:t>
      </w:r>
      <w:r w:rsidR="00283D31" w:rsidRPr="00283D31">
        <w:rPr>
          <w:color w:val="000000" w:themeColor="text1"/>
        </w:rPr>
        <w:t>py</w:t>
      </w:r>
      <w:r w:rsidR="00283D31">
        <w:rPr>
          <w:color w:val="000000" w:themeColor="text1"/>
        </w:rPr>
        <w:t xml:space="preserve">”.  </w:t>
      </w:r>
      <w:r w:rsidR="00ED5284" w:rsidRPr="001F29F9">
        <w:rPr>
          <w:rFonts w:eastAsiaTheme="minorHAnsi"/>
          <w:color w:val="000000" w:themeColor="text1"/>
          <w:szCs w:val="24"/>
        </w:rPr>
        <w:t xml:space="preserve">He </w:t>
      </w:r>
      <w:r w:rsidR="00EF1D21">
        <w:rPr>
          <w:rFonts w:eastAsiaTheme="minorHAnsi"/>
          <w:color w:val="000000" w:themeColor="text1"/>
          <w:szCs w:val="24"/>
        </w:rPr>
        <w:t>does not elaborate</w:t>
      </w:r>
      <w:r w:rsidR="00ED5284" w:rsidRPr="001F29F9">
        <w:rPr>
          <w:rFonts w:eastAsiaTheme="minorHAnsi"/>
          <w:color w:val="000000" w:themeColor="text1"/>
          <w:szCs w:val="24"/>
        </w:rPr>
        <w:t xml:space="preserve"> </w:t>
      </w:r>
      <w:r w:rsidR="00EF1D21">
        <w:rPr>
          <w:rFonts w:eastAsiaTheme="minorHAnsi"/>
          <w:color w:val="000000" w:themeColor="text1"/>
          <w:szCs w:val="24"/>
        </w:rPr>
        <w:t>further or note any</w:t>
      </w:r>
      <w:r w:rsidR="00ED5284" w:rsidRPr="001F29F9">
        <w:rPr>
          <w:rFonts w:eastAsiaTheme="minorHAnsi"/>
          <w:color w:val="000000" w:themeColor="text1"/>
          <w:szCs w:val="24"/>
        </w:rPr>
        <w:t xml:space="preserve"> additionally contended conditions.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4174F0" w:rsidRPr="001F29F9" w:rsidRDefault="004174F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537D8" w:rsidRPr="001F29F9" w:rsidRDefault="007F0AB7" w:rsidP="00BF0E94">
      <w:pPr>
        <w:jc w:val="left"/>
        <w:rPr>
          <w:color w:val="000000" w:themeColor="text1"/>
        </w:rPr>
      </w:pPr>
      <w:r w:rsidRPr="001F29F9">
        <w:rPr>
          <w:color w:val="000000" w:themeColor="text1"/>
          <w:u w:val="single"/>
        </w:rPr>
        <w:t>R</w:t>
      </w:r>
      <w:r w:rsidR="002C6E5B" w:rsidRPr="001F29F9">
        <w:rPr>
          <w:color w:val="000000" w:themeColor="text1"/>
          <w:u w:val="single"/>
        </w:rPr>
        <w:t>ATING COMPARISON</w:t>
      </w:r>
      <w:r w:rsidR="002C6E5B" w:rsidRPr="001F29F9">
        <w:rPr>
          <w:color w:val="000000" w:themeColor="text1"/>
        </w:rPr>
        <w:t>:</w:t>
      </w:r>
    </w:p>
    <w:p w:rsidR="00E57703" w:rsidRPr="001F29F9" w:rsidRDefault="00E57703" w:rsidP="00BF0E94">
      <w:pPr>
        <w:tabs>
          <w:tab w:val="left" w:pos="288"/>
          <w:tab w:val="left" w:pos="4752"/>
        </w:tabs>
        <w:jc w:val="both"/>
        <w:rPr>
          <w:b/>
          <w:color w:val="000000" w:themeColor="text1"/>
          <w:sz w:val="18"/>
          <w:szCs w:val="18"/>
          <w:u w:val="single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9360" w:type="dxa"/>
        <w:jc w:val="center"/>
        <w:tblLayout w:type="fixed"/>
        <w:tblLook w:val="04A0"/>
      </w:tblPr>
      <w:tblGrid>
        <w:gridCol w:w="2340"/>
        <w:gridCol w:w="720"/>
        <w:gridCol w:w="630"/>
        <w:gridCol w:w="630"/>
        <w:gridCol w:w="2700"/>
        <w:gridCol w:w="630"/>
        <w:gridCol w:w="720"/>
        <w:gridCol w:w="990"/>
      </w:tblGrid>
      <w:tr w:rsidR="00BF70A6" w:rsidRPr="001F29F9" w:rsidTr="00353B43">
        <w:trPr>
          <w:trHeight w:val="166"/>
          <w:jc w:val="center"/>
        </w:trPr>
        <w:tc>
          <w:tcPr>
            <w:tcW w:w="4320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F70A6" w:rsidRPr="001F29F9" w:rsidRDefault="00A57C35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 xml:space="preserve">Final Service PEB – Dated </w:t>
            </w:r>
            <w:r w:rsidR="005F035C" w:rsidRPr="005F035C">
              <w:rPr>
                <w:b/>
                <w:color w:val="000000" w:themeColor="text1"/>
                <w:sz w:val="18"/>
                <w:szCs w:val="18"/>
              </w:rPr>
              <w:t>20050331</w:t>
            </w:r>
          </w:p>
        </w:tc>
        <w:tc>
          <w:tcPr>
            <w:tcW w:w="504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F70A6" w:rsidRPr="001F29F9" w:rsidRDefault="00C14FCF" w:rsidP="00C14FCF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VA (18 Mo. Post-Permanent Separation)</w:t>
            </w:r>
            <w:r w:rsidR="00A57C35" w:rsidRPr="001F29F9">
              <w:rPr>
                <w:b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C35" w:rsidRPr="001F29F9">
              <w:rPr>
                <w:b/>
                <w:color w:val="000000" w:themeColor="text1"/>
                <w:sz w:val="18"/>
                <w:szCs w:val="18"/>
              </w:rPr>
              <w:t xml:space="preserve">Effective </w:t>
            </w:r>
            <w:r w:rsidR="005F035C" w:rsidRPr="005F035C">
              <w:rPr>
                <w:b/>
                <w:color w:val="000000" w:themeColor="text1"/>
                <w:sz w:val="18"/>
                <w:szCs w:val="18"/>
              </w:rPr>
              <w:t>20051102</w:t>
            </w:r>
          </w:p>
        </w:tc>
      </w:tr>
      <w:tr w:rsidR="008902BE" w:rsidRPr="001F29F9" w:rsidTr="00353B43">
        <w:trPr>
          <w:trHeight w:val="94"/>
          <w:jc w:val="center"/>
        </w:trPr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2700" w:type="dxa"/>
            <w:vMerge w:val="restart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Exam</w:t>
            </w:r>
          </w:p>
        </w:tc>
      </w:tr>
      <w:tr w:rsidR="008902BE" w:rsidRPr="001F29F9" w:rsidTr="00353B43">
        <w:trPr>
          <w:trHeight w:val="121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 xml:space="preserve">On TDRL – </w:t>
            </w:r>
            <w:r w:rsidR="005F035C" w:rsidRPr="005F035C">
              <w:rPr>
                <w:b/>
                <w:color w:val="000000" w:themeColor="text1"/>
                <w:sz w:val="18"/>
                <w:szCs w:val="18"/>
              </w:rPr>
              <w:t>20040302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902BE" w:rsidRPr="001F29F9" w:rsidRDefault="008902BE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TDRL</w:t>
            </w:r>
          </w:p>
        </w:tc>
        <w:tc>
          <w:tcPr>
            <w:tcW w:w="63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353B43">
            <w:pPr>
              <w:tabs>
                <w:tab w:val="left" w:pos="206"/>
                <w:tab w:val="center" w:pos="387"/>
              </w:tabs>
              <w:spacing w:line="200" w:lineRule="exact"/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Sep.</w:t>
            </w:r>
          </w:p>
        </w:tc>
        <w:tc>
          <w:tcPr>
            <w:tcW w:w="2700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8902BE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8902BE" w:rsidRPr="001F29F9" w:rsidRDefault="008902BE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C6D9F1" w:themeFill="text2" w:themeFillTint="33"/>
            <w:vAlign w:val="center"/>
          </w:tcPr>
          <w:p w:rsidR="008902BE" w:rsidRPr="001F29F9" w:rsidRDefault="008902BE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6D9F1" w:themeFill="text2" w:themeFillTint="33"/>
            <w:vAlign w:val="center"/>
          </w:tcPr>
          <w:p w:rsidR="008902BE" w:rsidRPr="001F29F9" w:rsidRDefault="008902BE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D2CFD" w:rsidRPr="001F29F9" w:rsidTr="00353B43">
        <w:trPr>
          <w:trHeight w:val="125"/>
          <w:jc w:val="center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60" w:rsidRPr="005F035C" w:rsidRDefault="005F035C" w:rsidP="00353B43">
            <w:pPr>
              <w:spacing w:line="220" w:lineRule="exact"/>
              <w:contextualSpacing/>
              <w:jc w:val="left"/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Moderate Persistent Asthma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6602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30</w:t>
            </w:r>
            <w:r w:rsidR="000D2CFD"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3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</w:t>
            </w:r>
            <w:r w:rsidR="000D2CFD"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70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Asthma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6602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C5860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20061010</w:t>
            </w:r>
          </w:p>
        </w:tc>
      </w:tr>
      <w:tr w:rsidR="005F035C" w:rsidRPr="001F29F9" w:rsidTr="00353B43">
        <w:trPr>
          <w:trHeight w:val="125"/>
          <w:jc w:val="center"/>
        </w:trPr>
        <w:tc>
          <w:tcPr>
            <w:tcW w:w="4320" w:type="dxa"/>
            <w:gridSpan w:val="4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↓No Additional MEB/PEB Entries↓</w:t>
            </w:r>
          </w:p>
        </w:tc>
        <w:tc>
          <w:tcPr>
            <w:tcW w:w="270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Cervical Spine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5242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20061010</w:t>
            </w:r>
          </w:p>
        </w:tc>
      </w:tr>
      <w:tr w:rsidR="005F035C" w:rsidRPr="001F29F9" w:rsidTr="00353B43">
        <w:trPr>
          <w:trHeight w:val="188"/>
          <w:jc w:val="center"/>
        </w:trPr>
        <w:tc>
          <w:tcPr>
            <w:tcW w:w="4320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035C"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Gastroesophage</w:t>
            </w: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a</w:t>
            </w:r>
            <w:r w:rsidRPr="005F035C"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l</w:t>
            </w:r>
            <w:proofErr w:type="spellEnd"/>
            <w:r w:rsidRPr="005F035C"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 xml:space="preserve"> Reflux Disease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7346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20061010</w:t>
            </w:r>
          </w:p>
        </w:tc>
      </w:tr>
      <w:tr w:rsidR="005F035C" w:rsidRPr="001F29F9" w:rsidTr="00353B43">
        <w:trPr>
          <w:trHeight w:val="188"/>
          <w:jc w:val="center"/>
        </w:trPr>
        <w:tc>
          <w:tcPr>
            <w:tcW w:w="4320" w:type="dxa"/>
            <w:gridSpan w:val="4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Not Service Connected x 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035C" w:rsidRPr="001F29F9" w:rsidRDefault="005F035C" w:rsidP="00353B43">
            <w:pPr>
              <w:spacing w:line="22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20061010</w:t>
            </w:r>
          </w:p>
        </w:tc>
      </w:tr>
      <w:tr w:rsidR="006D4250" w:rsidRPr="001F29F9" w:rsidTr="00353B43">
        <w:trPr>
          <w:trHeight w:val="56"/>
          <w:jc w:val="center"/>
        </w:trPr>
        <w:tc>
          <w:tcPr>
            <w:tcW w:w="4320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D4250" w:rsidRPr="005F035C" w:rsidRDefault="006D4250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 xml:space="preserve">Combined:  </w:t>
            </w:r>
            <w:r w:rsidR="005F035C"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04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6D4250" w:rsidRPr="005F035C" w:rsidRDefault="006D4250" w:rsidP="00353B43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 xml:space="preserve">Combined: </w:t>
            </w:r>
            <w:r w:rsidR="00E57FED"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35C"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3</w:t>
            </w:r>
            <w:r w:rsidR="006F0F9C"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5F035C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9369A6" w:rsidRPr="001F29F9" w:rsidRDefault="009369A6" w:rsidP="009369A6">
      <w:pPr>
        <w:rPr>
          <w:color w:val="000000" w:themeColor="text1"/>
          <w:szCs w:val="24"/>
          <w:u w:val="single"/>
        </w:rPr>
      </w:pPr>
    </w:p>
    <w:p w:rsidR="00B505E9" w:rsidRPr="00152720" w:rsidRDefault="002C6E5B" w:rsidP="00353B43">
      <w:pPr>
        <w:pStyle w:val="Default"/>
        <w:spacing w:line="240" w:lineRule="exact"/>
        <w:jc w:val="both"/>
        <w:rPr>
          <w:color w:val="FF0000"/>
          <w:sz w:val="23"/>
          <w:szCs w:val="23"/>
        </w:rPr>
      </w:pPr>
      <w:r w:rsidRPr="001F29F9">
        <w:rPr>
          <w:color w:val="000000" w:themeColor="text1"/>
          <w:u w:val="single"/>
        </w:rPr>
        <w:t>ANALYSIS SUMMARY</w:t>
      </w:r>
      <w:r w:rsidRPr="001F29F9">
        <w:rPr>
          <w:color w:val="000000" w:themeColor="text1"/>
        </w:rPr>
        <w:t>:</w:t>
      </w:r>
      <w:r w:rsidR="00B505E9">
        <w:rPr>
          <w:color w:val="000000" w:themeColor="text1"/>
        </w:rPr>
        <w:t xml:space="preserve">  </w:t>
      </w:r>
      <w:r w:rsidR="00152720">
        <w:rPr>
          <w:color w:val="FF0000"/>
          <w:sz w:val="23"/>
          <w:szCs w:val="23"/>
        </w:rPr>
        <w:t xml:space="preserve"> </w:t>
      </w:r>
    </w:p>
    <w:p w:rsidR="00565897" w:rsidRPr="00DC1607" w:rsidRDefault="00152720" w:rsidP="0015272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leader="dot" w:pos="9180"/>
        </w:tabs>
        <w:overflowPunct w:val="0"/>
        <w:autoSpaceDE w:val="0"/>
        <w:autoSpaceDN w:val="0"/>
        <w:adjustRightInd w:val="0"/>
        <w:spacing w:line="240" w:lineRule="auto"/>
        <w:ind w:left="1152" w:right="864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000000" w:themeColor="text1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565897" w:rsidRPr="00136C20" w:rsidRDefault="00EF1D21" w:rsidP="0056589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proofErr w:type="gramStart"/>
      <w:r w:rsidRPr="00565897">
        <w:rPr>
          <w:color w:val="000000" w:themeColor="text1"/>
          <w:szCs w:val="24"/>
          <w:u w:val="single"/>
        </w:rPr>
        <w:t>Asthma Condition</w:t>
      </w:r>
      <w:r w:rsidRPr="00565897">
        <w:rPr>
          <w:color w:val="000000" w:themeColor="text1"/>
          <w:szCs w:val="24"/>
        </w:rPr>
        <w:t>.</w:t>
      </w:r>
      <w:proofErr w:type="gramEnd"/>
      <w:r w:rsidRPr="00565897">
        <w:rPr>
          <w:color w:val="000000" w:themeColor="text1"/>
          <w:szCs w:val="24"/>
        </w:rPr>
        <w:t xml:space="preserve">  </w:t>
      </w:r>
      <w:r w:rsidR="00197156">
        <w:rPr>
          <w:color w:val="000000" w:themeColor="text1"/>
          <w:szCs w:val="24"/>
        </w:rPr>
        <w:t xml:space="preserve">The CI first manifested </w:t>
      </w:r>
      <w:proofErr w:type="spellStart"/>
      <w:r w:rsidR="00197156">
        <w:rPr>
          <w:color w:val="000000" w:themeColor="text1"/>
          <w:szCs w:val="24"/>
        </w:rPr>
        <w:t>exertional</w:t>
      </w:r>
      <w:proofErr w:type="spellEnd"/>
      <w:r w:rsidR="00197156">
        <w:rPr>
          <w:color w:val="000000" w:themeColor="text1"/>
          <w:szCs w:val="24"/>
        </w:rPr>
        <w:t xml:space="preserve"> </w:t>
      </w:r>
      <w:proofErr w:type="spellStart"/>
      <w:r w:rsidR="00197156">
        <w:rPr>
          <w:color w:val="000000" w:themeColor="text1"/>
          <w:szCs w:val="24"/>
        </w:rPr>
        <w:t>bronchospasm</w:t>
      </w:r>
      <w:proofErr w:type="spellEnd"/>
      <w:r w:rsidR="00197156">
        <w:rPr>
          <w:color w:val="000000" w:themeColor="text1"/>
          <w:szCs w:val="24"/>
        </w:rPr>
        <w:t xml:space="preserve"> during </w:t>
      </w:r>
      <w:r w:rsidR="00BA29C6">
        <w:rPr>
          <w:color w:val="000000" w:themeColor="text1"/>
          <w:szCs w:val="24"/>
        </w:rPr>
        <w:t xml:space="preserve">a tour in Korea in 1997, and for some time required only occasional use of a rescue inhaler.  He was able to pass the </w:t>
      </w:r>
      <w:r w:rsidR="00555333">
        <w:rPr>
          <w:color w:val="000000" w:themeColor="text1"/>
          <w:szCs w:val="24"/>
        </w:rPr>
        <w:t>APFT up until 2002.  He began experiencing frequent bouts of wheezing with poor exercise tolerance, also accompanied by symptoms of chest pain and pre-syncope.  He underwent an extensive cardiology evaluation in 2003 which was normal</w:t>
      </w:r>
      <w:r w:rsidR="0017607A">
        <w:rPr>
          <w:color w:val="000000" w:themeColor="text1"/>
          <w:szCs w:val="24"/>
        </w:rPr>
        <w:t>, and the associated symptoms were attributed to asthma</w:t>
      </w:r>
      <w:r w:rsidR="00555333">
        <w:rPr>
          <w:color w:val="000000" w:themeColor="text1"/>
          <w:szCs w:val="24"/>
        </w:rPr>
        <w:t xml:space="preserve">.  </w:t>
      </w:r>
      <w:r w:rsidR="0017607A">
        <w:rPr>
          <w:color w:val="000000"/>
        </w:rPr>
        <w:t>The a</w:t>
      </w:r>
      <w:r w:rsidR="00555333">
        <w:rPr>
          <w:color w:val="000000"/>
        </w:rPr>
        <w:t xml:space="preserve">sthma </w:t>
      </w:r>
      <w:r w:rsidR="00964577">
        <w:rPr>
          <w:color w:val="000000"/>
        </w:rPr>
        <w:t xml:space="preserve">exacerbations were brought under </w:t>
      </w:r>
      <w:r w:rsidR="0017607A">
        <w:rPr>
          <w:color w:val="000000"/>
        </w:rPr>
        <w:t>reasonable</w:t>
      </w:r>
      <w:r w:rsidR="00964577">
        <w:rPr>
          <w:color w:val="000000"/>
        </w:rPr>
        <w:t xml:space="preserve"> control with daily maintenance doses of</w:t>
      </w:r>
      <w:r w:rsidR="00555333">
        <w:rPr>
          <w:color w:val="000000"/>
        </w:rPr>
        <w:t xml:space="preserve"> </w:t>
      </w:r>
      <w:proofErr w:type="spellStart"/>
      <w:r w:rsidR="00555333" w:rsidRPr="00FF5304">
        <w:rPr>
          <w:color w:val="000000"/>
        </w:rPr>
        <w:t>Advair</w:t>
      </w:r>
      <w:proofErr w:type="spellEnd"/>
      <w:r w:rsidR="00555333" w:rsidRPr="00FF5304">
        <w:rPr>
          <w:color w:val="000000"/>
        </w:rPr>
        <w:t xml:space="preserve"> </w:t>
      </w:r>
      <w:r w:rsidR="00555333">
        <w:rPr>
          <w:color w:val="000000"/>
        </w:rPr>
        <w:t>(a</w:t>
      </w:r>
      <w:r w:rsidR="0017607A">
        <w:rPr>
          <w:color w:val="000000"/>
        </w:rPr>
        <w:t xml:space="preserve">n </w:t>
      </w:r>
      <w:r w:rsidR="00555333">
        <w:rPr>
          <w:rFonts w:cs="Times New Roman"/>
          <w:color w:val="auto"/>
        </w:rPr>
        <w:t>inhalational steroid/long-acting bronchodilator combination)</w:t>
      </w:r>
      <w:r w:rsidR="00964577">
        <w:rPr>
          <w:rFonts w:cs="Times New Roman"/>
          <w:color w:val="auto"/>
        </w:rPr>
        <w:t xml:space="preserve"> and</w:t>
      </w:r>
      <w:r w:rsidR="00555333">
        <w:rPr>
          <w:rFonts w:cs="Times New Roman"/>
          <w:color w:val="auto"/>
        </w:rPr>
        <w:t xml:space="preserve"> </w:t>
      </w:r>
      <w:proofErr w:type="spellStart"/>
      <w:r w:rsidR="00555333">
        <w:rPr>
          <w:rFonts w:cs="Times New Roman"/>
          <w:color w:val="auto"/>
        </w:rPr>
        <w:t>Singulair</w:t>
      </w:r>
      <w:proofErr w:type="spellEnd"/>
      <w:r w:rsidR="00555333">
        <w:rPr>
          <w:color w:val="000000"/>
        </w:rPr>
        <w:t xml:space="preserve"> (oral indirect-acting bronchodilator)</w:t>
      </w:r>
      <w:r w:rsidR="00964577">
        <w:rPr>
          <w:color w:val="000000"/>
        </w:rPr>
        <w:t xml:space="preserve">; but, the </w:t>
      </w:r>
      <w:proofErr w:type="spellStart"/>
      <w:r w:rsidR="00964577">
        <w:rPr>
          <w:color w:val="000000"/>
        </w:rPr>
        <w:t>lability</w:t>
      </w:r>
      <w:proofErr w:type="spellEnd"/>
      <w:r w:rsidR="00964577">
        <w:rPr>
          <w:color w:val="000000"/>
        </w:rPr>
        <w:t xml:space="preserve"> of the disease </w:t>
      </w:r>
      <w:r w:rsidR="00964577">
        <w:rPr>
          <w:color w:val="000000"/>
        </w:rPr>
        <w:lastRenderedPageBreak/>
        <w:t xml:space="preserve">and </w:t>
      </w:r>
      <w:r w:rsidR="00517CA6">
        <w:rPr>
          <w:color w:val="000000"/>
        </w:rPr>
        <w:t xml:space="preserve">associated </w:t>
      </w:r>
      <w:r w:rsidR="00964577">
        <w:rPr>
          <w:color w:val="000000"/>
        </w:rPr>
        <w:t>poor exercise tolerance remained incompatible with continued service.</w:t>
      </w:r>
      <w:r w:rsidR="00136C20">
        <w:rPr>
          <w:color w:val="000000" w:themeColor="text1"/>
          <w:szCs w:val="24"/>
        </w:rPr>
        <w:t xml:space="preserve">  </w:t>
      </w:r>
      <w:r w:rsidR="00565897" w:rsidRPr="00DC1607">
        <w:rPr>
          <w:rFonts w:asciiTheme="minorHAnsi" w:hAnsiTheme="minorHAnsi" w:cs="Times New Roman"/>
          <w:color w:val="auto"/>
          <w:szCs w:val="24"/>
        </w:rPr>
        <w:t xml:space="preserve">There were </w:t>
      </w:r>
      <w:r w:rsidR="00722108">
        <w:rPr>
          <w:rFonts w:asciiTheme="minorHAnsi" w:hAnsiTheme="minorHAnsi" w:cs="Times New Roman"/>
          <w:color w:val="auto"/>
          <w:szCs w:val="24"/>
        </w:rPr>
        <w:t>three</w:t>
      </w:r>
      <w:r w:rsidR="00565897" w:rsidRPr="00DC1607">
        <w:rPr>
          <w:rFonts w:asciiTheme="minorHAnsi" w:hAnsiTheme="minorHAnsi" w:cs="Times New Roman"/>
          <w:color w:val="auto"/>
          <w:szCs w:val="24"/>
        </w:rPr>
        <w:t xml:space="preserve"> pulmonary evaluations in evidence documenting the ratable parameters which the Board weighed in arriving at its rating recommendation.  These exams are summarized in the chart below:</w:t>
      </w:r>
    </w:p>
    <w:p w:rsidR="00565897" w:rsidRPr="00DC1607" w:rsidRDefault="00565897" w:rsidP="00565897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Cs w:val="24"/>
        </w:rPr>
      </w:pPr>
    </w:p>
    <w:tbl>
      <w:tblPr>
        <w:tblW w:w="8758" w:type="dxa"/>
        <w:jc w:val="center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3000"/>
        <w:gridCol w:w="2105"/>
        <w:gridCol w:w="1863"/>
      </w:tblGrid>
      <w:tr w:rsidR="00E226B0" w:rsidRPr="00565897" w:rsidTr="00E226B0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65897" w:rsidRPr="00565897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Exam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65897" w:rsidRPr="00565897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Service</w:t>
            </w:r>
          </w:p>
          <w:p w:rsidR="00565897" w:rsidRPr="00565897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~</w:t>
            </w:r>
            <w:r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8</w:t>
            </w: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 xml:space="preserve"> Mo. Pre-</w:t>
            </w:r>
            <w:r w:rsidR="001E0CB6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TDRL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65897" w:rsidRPr="00565897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NARSUM</w:t>
            </w:r>
          </w:p>
          <w:p w:rsidR="00565897" w:rsidRPr="00565897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~</w:t>
            </w:r>
            <w:r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2</w:t>
            </w: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 xml:space="preserve"> Mo. Pre-</w:t>
            </w:r>
            <w:r w:rsidR="001E0CB6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TDRL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65897" w:rsidRPr="00565897" w:rsidRDefault="00565897" w:rsidP="00E226B0">
            <w:pPr>
              <w:spacing w:line="200" w:lineRule="exact"/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VA</w:t>
            </w:r>
            <w:r w:rsidRPr="00565897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C&amp;P</w:t>
            </w:r>
          </w:p>
          <w:p w:rsidR="00565897" w:rsidRPr="00565897" w:rsidRDefault="00565897" w:rsidP="00B40657">
            <w:pPr>
              <w:spacing w:line="200" w:lineRule="exact"/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</w:pP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~</w:t>
            </w:r>
            <w:r w:rsidR="001E0CB6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18</w:t>
            </w:r>
            <w:r w:rsidRPr="0056589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 xml:space="preserve"> Mo. Post-</w:t>
            </w:r>
            <w:r w:rsidR="00B40657">
              <w:rPr>
                <w:rFonts w:asciiTheme="minorHAnsi" w:eastAsia="Calibri" w:hAnsiTheme="minorHAnsi" w:cs="Times New Roman"/>
                <w:b/>
                <w:color w:val="auto"/>
                <w:sz w:val="20"/>
              </w:rPr>
              <w:t>Sep</w:t>
            </w:r>
          </w:p>
        </w:tc>
      </w:tr>
      <w:tr w:rsidR="00E226B0" w:rsidRPr="00565897" w:rsidTr="00E226B0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FEV1 (% Predicted)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98%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98%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22B7E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86</w:t>
            </w:r>
            <w:r w:rsidR="00565897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%</w:t>
            </w:r>
          </w:p>
        </w:tc>
      </w:tr>
      <w:tr w:rsidR="00E226B0" w:rsidRPr="00565897" w:rsidTr="00E226B0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FEV1/FVC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111%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97%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1E0CB6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7</w:t>
            </w:r>
            <w:r w:rsidR="00522B7E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4</w:t>
            </w:r>
            <w:r w:rsidR="00565897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%</w:t>
            </w:r>
          </w:p>
        </w:tc>
      </w:tr>
      <w:tr w:rsidR="00E226B0" w:rsidRPr="00565897" w:rsidTr="00E226B0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Meds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proofErr w:type="spellStart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Albuterol</w:t>
            </w:r>
            <w:proofErr w:type="spellEnd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(as needed);</w:t>
            </w: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r w:rsidR="00B938C6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proofErr w:type="spellStart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Singulair</w:t>
            </w:r>
            <w:proofErr w:type="spellEnd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, </w:t>
            </w:r>
            <w:proofErr w:type="spellStart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Advair</w:t>
            </w:r>
            <w:proofErr w:type="spellEnd"/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(daily), </w:t>
            </w:r>
            <w:proofErr w:type="spellStart"/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C</w:t>
            </w:r>
            <w:r w:rsidR="00B938C6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romolyn</w:t>
            </w:r>
            <w:proofErr w:type="spellEnd"/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E226B0">
            <w:pPr>
              <w:spacing w:line="200" w:lineRule="exact"/>
              <w:rPr>
                <w:rFonts w:asciiTheme="minorHAnsi" w:eastAsia="Calibri" w:hAnsiTheme="minorHAnsi" w:cs="Times New Roman"/>
                <w:color w:val="auto"/>
                <w:sz w:val="20"/>
              </w:rPr>
            </w:pPr>
            <w:proofErr w:type="spellStart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Albuterol</w:t>
            </w:r>
            <w:proofErr w:type="spellEnd"/>
            <w:r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(as needed);</w:t>
            </w:r>
            <w:r w:rsidR="00522B7E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 xml:space="preserve"> </w:t>
            </w:r>
            <w:proofErr w:type="spellStart"/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C</w:t>
            </w:r>
            <w:r w:rsidR="00076C20" w:rsidRPr="00353B43">
              <w:rPr>
                <w:rFonts w:asciiTheme="minorHAnsi" w:eastAsia="Calibri" w:hAnsiTheme="minorHAnsi" w:cs="Times New Roman"/>
                <w:color w:val="auto"/>
                <w:sz w:val="20"/>
              </w:rPr>
              <w:t>romolyn</w:t>
            </w:r>
            <w:proofErr w:type="spellEnd"/>
            <w:r w:rsidR="00E226B0">
              <w:rPr>
                <w:rFonts w:asciiTheme="minorHAnsi" w:eastAsia="Calibri" w:hAnsiTheme="minorHAnsi" w:cs="Times New Roman"/>
                <w:color w:val="auto"/>
                <w:sz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B0" w:rsidRDefault="00565897" w:rsidP="00E226B0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353B43">
              <w:rPr>
                <w:rFonts w:asciiTheme="minorHAnsi" w:hAnsiTheme="minorHAnsi"/>
                <w:color w:val="auto"/>
                <w:sz w:val="20"/>
              </w:rPr>
              <w:t>Albuterol</w:t>
            </w:r>
            <w:proofErr w:type="spellEnd"/>
            <w:r w:rsidRPr="00353B43">
              <w:rPr>
                <w:rFonts w:asciiTheme="minorHAnsi" w:hAnsiTheme="minorHAnsi"/>
                <w:color w:val="auto"/>
                <w:sz w:val="20"/>
              </w:rPr>
              <w:t xml:space="preserve"> Inhaler </w:t>
            </w:r>
          </w:p>
          <w:p w:rsidR="00565897" w:rsidRPr="00353B43" w:rsidRDefault="00565897" w:rsidP="00E226B0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Times New Roman"/>
                <w:color w:val="auto"/>
                <w:sz w:val="20"/>
                <w:highlight w:val="yellow"/>
              </w:rPr>
            </w:pPr>
            <w:r w:rsidRPr="00353B43">
              <w:rPr>
                <w:rFonts w:asciiTheme="minorHAnsi" w:hAnsiTheme="minorHAnsi"/>
                <w:color w:val="auto"/>
                <w:sz w:val="20"/>
              </w:rPr>
              <w:t>(</w:t>
            </w:r>
            <w:r w:rsidR="001E0CB6" w:rsidRPr="00353B43">
              <w:rPr>
                <w:rFonts w:asciiTheme="minorHAnsi" w:hAnsiTheme="minorHAnsi"/>
                <w:color w:val="auto"/>
                <w:sz w:val="20"/>
              </w:rPr>
              <w:t>8-10</w:t>
            </w:r>
            <w:r w:rsidRPr="00353B43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1E0CB6" w:rsidRPr="00353B43">
              <w:rPr>
                <w:rFonts w:asciiTheme="minorHAnsi" w:hAnsiTheme="minorHAnsi"/>
                <w:color w:val="auto"/>
                <w:sz w:val="20"/>
              </w:rPr>
              <w:t>Puffs</w:t>
            </w:r>
            <w:r w:rsidRPr="00353B43">
              <w:rPr>
                <w:rFonts w:asciiTheme="minorHAnsi" w:hAnsiTheme="minorHAnsi"/>
                <w:color w:val="auto"/>
                <w:sz w:val="20"/>
              </w:rPr>
              <w:t>/Month)</w:t>
            </w:r>
            <w:r w:rsidR="00E226B0">
              <w:rPr>
                <w:rFonts w:asciiTheme="minorHAnsi" w:hAnsiTheme="minorHAnsi"/>
                <w:color w:val="auto"/>
                <w:sz w:val="20"/>
              </w:rPr>
              <w:t>.</w:t>
            </w:r>
          </w:p>
        </w:tc>
      </w:tr>
      <w:tr w:rsidR="00E226B0" w:rsidRPr="00565897" w:rsidTr="00E226B0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565897" w:rsidP="00353B43">
            <w:pPr>
              <w:spacing w:line="220" w:lineRule="exact"/>
              <w:rPr>
                <w:rFonts w:asciiTheme="minorHAnsi" w:eastAsia="Calibri" w:hAnsiTheme="minorHAnsi"/>
                <w:color w:val="auto"/>
                <w:sz w:val="20"/>
              </w:rPr>
            </w:pPr>
            <w:r w:rsidRPr="00353B43">
              <w:rPr>
                <w:rFonts w:asciiTheme="minorHAnsi" w:eastAsia="Calibri" w:hAnsiTheme="minorHAnsi"/>
                <w:color w:val="auto"/>
                <w:sz w:val="20"/>
              </w:rPr>
              <w:t>§</w:t>
            </w:r>
            <w:r w:rsidRPr="00353B43">
              <w:rPr>
                <w:rFonts w:asciiTheme="minorHAnsi" w:hAnsiTheme="minorHAnsi"/>
                <w:color w:val="auto"/>
                <w:sz w:val="20"/>
              </w:rPr>
              <w:t xml:space="preserve">4.97 </w:t>
            </w:r>
            <w:r w:rsidRPr="00353B43">
              <w:rPr>
                <w:rFonts w:asciiTheme="minorHAnsi" w:eastAsia="Calibri" w:hAnsiTheme="minorHAnsi"/>
                <w:color w:val="auto"/>
                <w:sz w:val="20"/>
              </w:rPr>
              <w:t>Rating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283D31" w:rsidP="00353B43">
            <w:pPr>
              <w:spacing w:line="220" w:lineRule="exact"/>
              <w:rPr>
                <w:rFonts w:cs="Times New Roman"/>
                <w:sz w:val="20"/>
              </w:rPr>
            </w:pPr>
            <w:r w:rsidRPr="00353B43">
              <w:rPr>
                <w:rFonts w:asciiTheme="minorHAnsi" w:eastAsia="Calibri" w:hAnsiTheme="minorHAnsi"/>
                <w:color w:val="auto"/>
                <w:sz w:val="20"/>
              </w:rPr>
              <w:t>3</w:t>
            </w:r>
            <w:r w:rsidR="00565897" w:rsidRPr="00353B43">
              <w:rPr>
                <w:rFonts w:asciiTheme="minorHAnsi" w:eastAsia="Calibri" w:hAnsiTheme="minorHAnsi"/>
                <w:color w:val="auto"/>
                <w:sz w:val="20"/>
              </w:rPr>
              <w:t>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076C20" w:rsidP="00353B43">
            <w:pPr>
              <w:spacing w:line="220" w:lineRule="exact"/>
              <w:rPr>
                <w:rFonts w:cs="Times New Roman"/>
                <w:sz w:val="20"/>
              </w:rPr>
            </w:pPr>
            <w:r w:rsidRPr="00353B43">
              <w:rPr>
                <w:rFonts w:asciiTheme="minorHAnsi" w:eastAsia="Calibri" w:hAnsiTheme="minorHAnsi"/>
                <w:color w:val="auto"/>
                <w:sz w:val="20"/>
              </w:rPr>
              <w:t>1</w:t>
            </w:r>
            <w:r w:rsidR="00565897" w:rsidRPr="00353B43">
              <w:rPr>
                <w:rFonts w:asciiTheme="minorHAnsi" w:eastAsia="Calibri" w:hAnsiTheme="minorHAnsi"/>
                <w:color w:val="auto"/>
                <w:sz w:val="20"/>
              </w:rPr>
              <w:t>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97" w:rsidRPr="00353B43" w:rsidRDefault="001E0CB6" w:rsidP="00353B43">
            <w:pPr>
              <w:spacing w:line="220" w:lineRule="exact"/>
              <w:rPr>
                <w:rFonts w:cs="Times New Roman"/>
                <w:sz w:val="20"/>
              </w:rPr>
            </w:pPr>
            <w:r w:rsidRPr="00353B43">
              <w:rPr>
                <w:rFonts w:asciiTheme="minorHAnsi" w:eastAsia="Calibri" w:hAnsiTheme="minorHAnsi"/>
                <w:color w:val="auto"/>
                <w:sz w:val="20"/>
              </w:rPr>
              <w:t>1</w:t>
            </w:r>
            <w:r w:rsidR="00565897" w:rsidRPr="00353B43">
              <w:rPr>
                <w:rFonts w:asciiTheme="minorHAnsi" w:eastAsia="Calibri" w:hAnsiTheme="minorHAnsi"/>
                <w:color w:val="auto"/>
                <w:sz w:val="20"/>
              </w:rPr>
              <w:t>0%</w:t>
            </w:r>
          </w:p>
        </w:tc>
      </w:tr>
    </w:tbl>
    <w:p w:rsidR="00565897" w:rsidRDefault="00565897" w:rsidP="003C53E8">
      <w:pPr>
        <w:tabs>
          <w:tab w:val="left" w:pos="288"/>
          <w:tab w:val="left" w:pos="4752"/>
        </w:tabs>
        <w:jc w:val="left"/>
        <w:rPr>
          <w:rFonts w:asciiTheme="minorHAnsi" w:hAnsiTheme="minorHAnsi" w:cs="Times New Roman"/>
          <w:color w:val="auto"/>
          <w:szCs w:val="24"/>
        </w:rPr>
      </w:pPr>
    </w:p>
    <w:p w:rsidR="001A5443" w:rsidRDefault="003A70D5" w:rsidP="00797185">
      <w:pPr>
        <w:tabs>
          <w:tab w:val="left" w:pos="288"/>
          <w:tab w:val="left" w:pos="4752"/>
        </w:tabs>
        <w:jc w:val="both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The pre-TDRL narrative summary (NARSUM</w:t>
      </w:r>
      <w:r w:rsidR="00B938C6">
        <w:rPr>
          <w:rFonts w:asciiTheme="minorHAnsi" w:hAnsiTheme="minorHAnsi" w:cs="Times New Roman"/>
          <w:color w:val="auto"/>
          <w:szCs w:val="24"/>
        </w:rPr>
        <w:t>)</w:t>
      </w:r>
      <w:r>
        <w:rPr>
          <w:rFonts w:asciiTheme="minorHAnsi" w:hAnsiTheme="minorHAnsi" w:cs="Times New Roman"/>
          <w:color w:val="auto"/>
          <w:szCs w:val="24"/>
        </w:rPr>
        <w:t xml:space="preserve"> noted that the CI had</w:t>
      </w:r>
      <w:r w:rsidR="00B938C6">
        <w:rPr>
          <w:rFonts w:asciiTheme="minorHAnsi" w:hAnsiTheme="minorHAnsi" w:cs="Times New Roman"/>
          <w:color w:val="auto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Cs w:val="24"/>
        </w:rPr>
        <w:t xml:space="preserve">a “benign” evaluation and that his condition was stable.  He was able to </w:t>
      </w:r>
      <w:r w:rsidR="00991096">
        <w:rPr>
          <w:rFonts w:asciiTheme="minorHAnsi" w:hAnsiTheme="minorHAnsi" w:cs="Times New Roman"/>
          <w:color w:val="auto"/>
          <w:szCs w:val="24"/>
        </w:rPr>
        <w:t>function well</w:t>
      </w:r>
      <w:r>
        <w:rPr>
          <w:rFonts w:asciiTheme="minorHAnsi" w:hAnsiTheme="minorHAnsi" w:cs="Times New Roman"/>
          <w:color w:val="auto"/>
          <w:szCs w:val="24"/>
        </w:rPr>
        <w:t xml:space="preserve"> in a garrison environment</w:t>
      </w:r>
      <w:r w:rsidR="0017607A">
        <w:rPr>
          <w:rFonts w:asciiTheme="minorHAnsi" w:hAnsiTheme="minorHAnsi" w:cs="Times New Roman"/>
          <w:color w:val="auto"/>
          <w:szCs w:val="24"/>
        </w:rPr>
        <w:t xml:space="preserve"> without </w:t>
      </w:r>
      <w:proofErr w:type="spellStart"/>
      <w:r w:rsidR="0017607A">
        <w:rPr>
          <w:rFonts w:asciiTheme="minorHAnsi" w:hAnsiTheme="minorHAnsi" w:cs="Times New Roman"/>
          <w:color w:val="auto"/>
          <w:szCs w:val="24"/>
        </w:rPr>
        <w:t>exertional</w:t>
      </w:r>
      <w:proofErr w:type="spellEnd"/>
      <w:r w:rsidR="0017607A">
        <w:rPr>
          <w:rFonts w:asciiTheme="minorHAnsi" w:hAnsiTheme="minorHAnsi" w:cs="Times New Roman"/>
          <w:color w:val="auto"/>
          <w:szCs w:val="24"/>
        </w:rPr>
        <w:t xml:space="preserve"> demands</w:t>
      </w:r>
      <w:r>
        <w:rPr>
          <w:rFonts w:asciiTheme="minorHAnsi" w:hAnsiTheme="minorHAnsi" w:cs="Times New Roman"/>
          <w:color w:val="auto"/>
          <w:szCs w:val="24"/>
        </w:rPr>
        <w:t>.</w:t>
      </w:r>
      <w:r w:rsidR="00991096">
        <w:rPr>
          <w:rFonts w:asciiTheme="minorHAnsi" w:hAnsiTheme="minorHAnsi" w:cs="Times New Roman"/>
          <w:color w:val="auto"/>
          <w:szCs w:val="24"/>
        </w:rPr>
        <w:t xml:space="preserve">  </w:t>
      </w:r>
      <w:r w:rsidR="001A5443">
        <w:rPr>
          <w:rFonts w:asciiTheme="minorHAnsi" w:hAnsiTheme="minorHAnsi" w:cs="Times New Roman"/>
          <w:color w:val="auto"/>
          <w:szCs w:val="24"/>
        </w:rPr>
        <w:t xml:space="preserve">Sequential </w:t>
      </w:r>
      <w:r w:rsidR="00991096">
        <w:rPr>
          <w:rFonts w:asciiTheme="minorHAnsi" w:hAnsiTheme="minorHAnsi" w:cs="Times New Roman"/>
          <w:color w:val="auto"/>
          <w:szCs w:val="24"/>
        </w:rPr>
        <w:t>pulmonary function test</w:t>
      </w:r>
      <w:r w:rsidR="007D6F18">
        <w:rPr>
          <w:rFonts w:asciiTheme="minorHAnsi" w:hAnsiTheme="minorHAnsi" w:cs="Times New Roman"/>
          <w:color w:val="auto"/>
          <w:szCs w:val="24"/>
        </w:rPr>
        <w:t xml:space="preserve"> (PFT)</w:t>
      </w:r>
      <w:r w:rsidR="001A5443">
        <w:rPr>
          <w:rFonts w:asciiTheme="minorHAnsi" w:hAnsiTheme="minorHAnsi" w:cs="Times New Roman"/>
          <w:color w:val="auto"/>
          <w:szCs w:val="24"/>
        </w:rPr>
        <w:t xml:space="preserve"> results during the MEB period, as noted above, documented good control; although, the CI was maintained on a daily treatment regimen as detailed</w:t>
      </w:r>
      <w:r w:rsidR="00A234DE">
        <w:rPr>
          <w:rFonts w:asciiTheme="minorHAnsi" w:hAnsiTheme="minorHAnsi" w:cs="Times New Roman"/>
          <w:color w:val="auto"/>
          <w:szCs w:val="24"/>
        </w:rPr>
        <w:t xml:space="preserve"> above</w:t>
      </w:r>
      <w:r w:rsidR="007D6F18">
        <w:rPr>
          <w:rFonts w:asciiTheme="minorHAnsi" w:hAnsiTheme="minorHAnsi" w:cs="Times New Roman"/>
          <w:color w:val="auto"/>
          <w:szCs w:val="24"/>
        </w:rPr>
        <w:t>.</w:t>
      </w:r>
      <w:r w:rsidR="00B938C6">
        <w:rPr>
          <w:rFonts w:asciiTheme="minorHAnsi" w:hAnsiTheme="minorHAnsi" w:cs="Times New Roman"/>
          <w:color w:val="auto"/>
          <w:szCs w:val="24"/>
        </w:rPr>
        <w:t xml:space="preserve"> </w:t>
      </w:r>
      <w:r w:rsidR="00991096">
        <w:rPr>
          <w:rFonts w:asciiTheme="minorHAnsi" w:hAnsiTheme="minorHAnsi" w:cs="Times New Roman"/>
          <w:color w:val="auto"/>
          <w:szCs w:val="24"/>
        </w:rPr>
        <w:t xml:space="preserve"> 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The frequency of </w:t>
      </w:r>
      <w:proofErr w:type="spellStart"/>
      <w:r w:rsidR="00722108">
        <w:rPr>
          <w:rFonts w:asciiTheme="minorHAnsi" w:hAnsiTheme="minorHAnsi" w:cs="Times New Roman"/>
          <w:color w:val="auto"/>
          <w:szCs w:val="24"/>
        </w:rPr>
        <w:t>A</w:t>
      </w:r>
      <w:r w:rsidR="001A5443">
        <w:rPr>
          <w:rFonts w:asciiTheme="minorHAnsi" w:hAnsiTheme="minorHAnsi" w:cs="Times New Roman"/>
          <w:color w:val="auto"/>
          <w:szCs w:val="24"/>
        </w:rPr>
        <w:t>lbuterol</w:t>
      </w:r>
      <w:proofErr w:type="spellEnd"/>
      <w:r w:rsidR="001A5443">
        <w:rPr>
          <w:rFonts w:asciiTheme="minorHAnsi" w:hAnsiTheme="minorHAnsi" w:cs="Times New Roman"/>
          <w:color w:val="auto"/>
          <w:szCs w:val="24"/>
        </w:rPr>
        <w:t xml:space="preserve"> use was not specified.  There are no progress notes during the TDRL period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; and, </w:t>
      </w:r>
      <w:r w:rsidR="00517CA6">
        <w:rPr>
          <w:rFonts w:asciiTheme="minorHAnsi" w:hAnsiTheme="minorHAnsi" w:cs="Times New Roman"/>
          <w:color w:val="auto"/>
          <w:szCs w:val="24"/>
        </w:rPr>
        <w:t xml:space="preserve">there is 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no </w:t>
      </w:r>
      <w:r w:rsidR="001A5443">
        <w:rPr>
          <w:rFonts w:asciiTheme="minorHAnsi" w:hAnsiTheme="minorHAnsi" w:cs="Times New Roman"/>
          <w:color w:val="auto"/>
          <w:szCs w:val="24"/>
        </w:rPr>
        <w:t xml:space="preserve">repeat PFT evidence until 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the VA </w:t>
      </w:r>
      <w:r w:rsidR="00136C20" w:rsidRPr="003C53E8">
        <w:rPr>
          <w:rFonts w:asciiTheme="minorHAnsi" w:hAnsiTheme="minorHAnsi" w:cs="Times New Roman"/>
          <w:color w:val="auto"/>
          <w:szCs w:val="24"/>
        </w:rPr>
        <w:t xml:space="preserve">Compensation &amp; Pension (C&amp;P) 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evaluation </w:t>
      </w:r>
      <w:r w:rsidR="001A5443">
        <w:rPr>
          <w:rFonts w:asciiTheme="minorHAnsi" w:hAnsiTheme="minorHAnsi" w:cs="Times New Roman"/>
          <w:color w:val="auto"/>
          <w:szCs w:val="24"/>
        </w:rPr>
        <w:t>well after permanent separation</w:t>
      </w:r>
      <w:r w:rsidR="00136C20">
        <w:rPr>
          <w:rFonts w:asciiTheme="minorHAnsi" w:hAnsiTheme="minorHAnsi" w:cs="Times New Roman"/>
          <w:color w:val="auto"/>
          <w:szCs w:val="24"/>
        </w:rPr>
        <w:t>, as charted above</w:t>
      </w:r>
      <w:r w:rsidR="001A5443">
        <w:rPr>
          <w:rFonts w:asciiTheme="minorHAnsi" w:hAnsiTheme="minorHAnsi" w:cs="Times New Roman"/>
          <w:color w:val="auto"/>
          <w:szCs w:val="24"/>
        </w:rPr>
        <w:t>.  T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he 12 month TDRL reevaluation noted that the CI lived an area without access to reimbursed meds, and </w:t>
      </w:r>
      <w:r w:rsidR="00517CA6">
        <w:rPr>
          <w:rFonts w:asciiTheme="minorHAnsi" w:hAnsiTheme="minorHAnsi" w:cs="Times New Roman"/>
          <w:color w:val="auto"/>
          <w:szCs w:val="24"/>
        </w:rPr>
        <w:t xml:space="preserve">that he 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had consequently discontinued </w:t>
      </w:r>
      <w:proofErr w:type="spellStart"/>
      <w:r w:rsidR="00136C20">
        <w:rPr>
          <w:rFonts w:asciiTheme="minorHAnsi" w:hAnsiTheme="minorHAnsi" w:cs="Times New Roman"/>
          <w:color w:val="auto"/>
          <w:szCs w:val="24"/>
        </w:rPr>
        <w:t>Singulair</w:t>
      </w:r>
      <w:proofErr w:type="spellEnd"/>
      <w:r w:rsidR="00136C20">
        <w:rPr>
          <w:rFonts w:asciiTheme="minorHAnsi" w:hAnsiTheme="minorHAnsi" w:cs="Times New Roman"/>
          <w:color w:val="auto"/>
          <w:szCs w:val="24"/>
        </w:rPr>
        <w:t xml:space="preserve"> and </w:t>
      </w:r>
      <w:proofErr w:type="spellStart"/>
      <w:r w:rsidR="00136C20">
        <w:rPr>
          <w:rFonts w:asciiTheme="minorHAnsi" w:hAnsiTheme="minorHAnsi" w:cs="Times New Roman"/>
          <w:color w:val="auto"/>
          <w:szCs w:val="24"/>
        </w:rPr>
        <w:t>Advair</w:t>
      </w:r>
      <w:proofErr w:type="spellEnd"/>
      <w:r w:rsidR="00136C20">
        <w:rPr>
          <w:rFonts w:asciiTheme="minorHAnsi" w:hAnsiTheme="minorHAnsi" w:cs="Times New Roman"/>
          <w:color w:val="auto"/>
          <w:szCs w:val="24"/>
        </w:rPr>
        <w:t xml:space="preserve"> </w:t>
      </w:r>
      <w:r w:rsidR="00517CA6">
        <w:rPr>
          <w:rFonts w:asciiTheme="minorHAnsi" w:hAnsiTheme="minorHAnsi" w:cs="Times New Roman"/>
          <w:color w:val="auto"/>
          <w:szCs w:val="24"/>
        </w:rPr>
        <w:t>after his supply was exhausted</w:t>
      </w:r>
      <w:r w:rsidR="00136C20">
        <w:rPr>
          <w:rFonts w:asciiTheme="minorHAnsi" w:hAnsiTheme="minorHAnsi" w:cs="Times New Roman"/>
          <w:color w:val="auto"/>
          <w:szCs w:val="24"/>
        </w:rPr>
        <w:t xml:space="preserve">.  The TDRL 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exam stated “He has been using </w:t>
      </w:r>
      <w:proofErr w:type="spellStart"/>
      <w:r w:rsidR="00722108">
        <w:rPr>
          <w:rFonts w:asciiTheme="minorHAnsi" w:hAnsiTheme="minorHAnsi" w:cs="Times New Roman"/>
          <w:color w:val="auto"/>
          <w:szCs w:val="24"/>
        </w:rPr>
        <w:t>A</w:t>
      </w:r>
      <w:r w:rsidR="00136C20">
        <w:rPr>
          <w:rFonts w:asciiTheme="minorHAnsi" w:hAnsiTheme="minorHAnsi" w:cs="Times New Roman"/>
          <w:color w:val="auto"/>
          <w:szCs w:val="24"/>
        </w:rPr>
        <w:t>lbuterol</w:t>
      </w:r>
      <w:proofErr w:type="spellEnd"/>
      <w:r w:rsidR="00136C20">
        <w:rPr>
          <w:rFonts w:asciiTheme="minorHAnsi" w:hAnsiTheme="minorHAnsi" w:cs="Times New Roman"/>
          <w:color w:val="auto"/>
          <w:szCs w:val="24"/>
        </w:rPr>
        <w:t xml:space="preserve"> and </w:t>
      </w:r>
      <w:proofErr w:type="spellStart"/>
      <w:r w:rsidR="00722108">
        <w:rPr>
          <w:rFonts w:asciiTheme="minorHAnsi" w:hAnsiTheme="minorHAnsi" w:cs="Times New Roman"/>
          <w:color w:val="auto"/>
          <w:szCs w:val="24"/>
        </w:rPr>
        <w:t>C</w:t>
      </w:r>
      <w:r w:rsidR="00136C20">
        <w:rPr>
          <w:rFonts w:asciiTheme="minorHAnsi" w:hAnsiTheme="minorHAnsi" w:cs="Times New Roman"/>
          <w:color w:val="auto"/>
          <w:szCs w:val="24"/>
        </w:rPr>
        <w:t>romolyn</w:t>
      </w:r>
      <w:proofErr w:type="spellEnd"/>
      <w:r w:rsidR="00136C20">
        <w:rPr>
          <w:rFonts w:asciiTheme="minorHAnsi" w:hAnsiTheme="minorHAnsi" w:cs="Times New Roman"/>
          <w:color w:val="auto"/>
          <w:szCs w:val="24"/>
        </w:rPr>
        <w:t xml:space="preserve">.”  No details of dosing frequency were specified, and no pharmacy records are in evidence.  </w:t>
      </w:r>
      <w:r w:rsidR="00E94A45">
        <w:rPr>
          <w:rFonts w:asciiTheme="minorHAnsi" w:hAnsiTheme="minorHAnsi" w:cs="Times New Roman"/>
          <w:color w:val="auto"/>
          <w:szCs w:val="24"/>
        </w:rPr>
        <w:t xml:space="preserve">The TDRL exam documented that the CI had suffered no acute attacks or required emergency room visits; that he was still unable to tolerate </w:t>
      </w:r>
      <w:proofErr w:type="spellStart"/>
      <w:r w:rsidR="00E94A45">
        <w:rPr>
          <w:rFonts w:asciiTheme="minorHAnsi" w:hAnsiTheme="minorHAnsi" w:cs="Times New Roman"/>
          <w:color w:val="auto"/>
          <w:szCs w:val="24"/>
        </w:rPr>
        <w:t>exertional</w:t>
      </w:r>
      <w:proofErr w:type="spellEnd"/>
      <w:r w:rsidR="00E94A45">
        <w:rPr>
          <w:rFonts w:asciiTheme="minorHAnsi" w:hAnsiTheme="minorHAnsi" w:cs="Times New Roman"/>
          <w:color w:val="auto"/>
          <w:szCs w:val="24"/>
        </w:rPr>
        <w:t xml:space="preserve"> demands (citing the </w:t>
      </w:r>
      <w:r w:rsidR="00722108">
        <w:rPr>
          <w:rFonts w:asciiTheme="minorHAnsi" w:hAnsiTheme="minorHAnsi" w:cs="Times New Roman"/>
          <w:color w:val="auto"/>
          <w:szCs w:val="24"/>
        </w:rPr>
        <w:t>two</w:t>
      </w:r>
      <w:r w:rsidR="00E94A45">
        <w:rPr>
          <w:rFonts w:asciiTheme="minorHAnsi" w:hAnsiTheme="minorHAnsi" w:cs="Times New Roman"/>
          <w:color w:val="auto"/>
          <w:szCs w:val="24"/>
        </w:rPr>
        <w:t>-mile run requirement of the APFT); that he was completing college degree work; and, that he continued to smoke.  The 18 month VA C&amp;P evaluation specifically elaborated ratable details for medication use.  The VA exam stated that the CI had “</w:t>
      </w:r>
      <w:r w:rsidR="00E94A45" w:rsidRPr="005C7821">
        <w:rPr>
          <w:rFonts w:asciiTheme="minorHAnsi" w:hAnsiTheme="minorHAnsi" w:cs="Times New Roman"/>
          <w:color w:val="auto"/>
          <w:szCs w:val="24"/>
        </w:rPr>
        <w:t>not been short of breath</w:t>
      </w:r>
      <w:r w:rsidR="00E94A45">
        <w:rPr>
          <w:rFonts w:asciiTheme="minorHAnsi" w:hAnsiTheme="minorHAnsi" w:cs="Times New Roman"/>
          <w:color w:val="auto"/>
          <w:szCs w:val="24"/>
        </w:rPr>
        <w:t xml:space="preserve"> </w:t>
      </w:r>
      <w:r w:rsidR="00E94A45" w:rsidRPr="005C7821">
        <w:rPr>
          <w:rFonts w:asciiTheme="minorHAnsi" w:hAnsiTheme="minorHAnsi" w:cs="Times New Roman"/>
          <w:color w:val="auto"/>
          <w:szCs w:val="24"/>
        </w:rPr>
        <w:t>for a long time</w:t>
      </w:r>
      <w:r w:rsidR="00E94A45">
        <w:rPr>
          <w:rFonts w:asciiTheme="minorHAnsi" w:hAnsiTheme="minorHAnsi" w:cs="Times New Roman"/>
          <w:color w:val="auto"/>
          <w:szCs w:val="24"/>
        </w:rPr>
        <w:t xml:space="preserve">,” and was not prescribed any daily 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medications.  He was using his </w:t>
      </w:r>
      <w:proofErr w:type="spellStart"/>
      <w:r w:rsidR="00722108">
        <w:rPr>
          <w:rFonts w:asciiTheme="minorHAnsi" w:hAnsiTheme="minorHAnsi" w:cs="Times New Roman"/>
          <w:color w:val="auto"/>
          <w:szCs w:val="24"/>
        </w:rPr>
        <w:t>A</w:t>
      </w:r>
      <w:r w:rsidR="00E94A45">
        <w:rPr>
          <w:rFonts w:asciiTheme="minorHAnsi" w:hAnsiTheme="minorHAnsi" w:cs="Times New Roman"/>
          <w:color w:val="auto"/>
          <w:szCs w:val="24"/>
        </w:rPr>
        <w:t>lbuterol</w:t>
      </w:r>
      <w:proofErr w:type="spellEnd"/>
      <w:r w:rsidR="00E94A45">
        <w:rPr>
          <w:rFonts w:asciiTheme="minorHAnsi" w:hAnsiTheme="minorHAnsi" w:cs="Times New Roman"/>
          <w:color w:val="auto"/>
          <w:szCs w:val="24"/>
        </w:rPr>
        <w:t xml:space="preserve"> rescue inhaler 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one to two </w:t>
      </w:r>
      <w:r w:rsidR="00E94A45">
        <w:rPr>
          <w:rFonts w:asciiTheme="minorHAnsi" w:hAnsiTheme="minorHAnsi" w:cs="Times New Roman"/>
          <w:color w:val="auto"/>
          <w:szCs w:val="24"/>
        </w:rPr>
        <w:t xml:space="preserve">times per week to successfully abort attacks.  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He </w:t>
      </w:r>
      <w:r w:rsidR="008C727E">
        <w:rPr>
          <w:rFonts w:asciiTheme="minorHAnsi" w:hAnsiTheme="minorHAnsi" w:cs="Times New Roman"/>
          <w:color w:val="auto"/>
          <w:szCs w:val="24"/>
        </w:rPr>
        <w:t xml:space="preserve">was “able to perform his duties as a carpenter without limitation”; but, 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had </w:t>
      </w:r>
      <w:r w:rsidR="008C727E">
        <w:rPr>
          <w:rFonts w:asciiTheme="minorHAnsi" w:hAnsiTheme="minorHAnsi" w:cs="Times New Roman"/>
          <w:color w:val="auto"/>
          <w:szCs w:val="24"/>
        </w:rPr>
        <w:t>“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missed 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3 to 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4 days work </w:t>
      </w:r>
      <w:r w:rsidR="008C727E">
        <w:rPr>
          <w:rFonts w:asciiTheme="minorHAnsi" w:hAnsiTheme="minorHAnsi" w:cs="Times New Roman"/>
          <w:color w:val="auto"/>
          <w:szCs w:val="24"/>
        </w:rPr>
        <w:t>in the past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 12 months due to asthma</w:t>
      </w:r>
      <w:r w:rsidR="00360B1E">
        <w:rPr>
          <w:rFonts w:asciiTheme="minorHAnsi" w:hAnsiTheme="minorHAnsi" w:cs="Times New Roman"/>
          <w:color w:val="auto"/>
          <w:szCs w:val="24"/>
        </w:rPr>
        <w:t>.</w:t>
      </w:r>
      <w:r w:rsidR="008C727E">
        <w:rPr>
          <w:rFonts w:asciiTheme="minorHAnsi" w:hAnsiTheme="minorHAnsi" w:cs="Times New Roman"/>
          <w:color w:val="auto"/>
          <w:szCs w:val="24"/>
        </w:rPr>
        <w:t>”</w:t>
      </w:r>
      <w:r w:rsidR="003E59B1">
        <w:rPr>
          <w:rFonts w:asciiTheme="minorHAnsi" w:hAnsiTheme="minorHAnsi" w:cs="Times New Roman"/>
          <w:color w:val="auto"/>
          <w:szCs w:val="24"/>
        </w:rPr>
        <w:t xml:space="preserve">  Physical exam and chest x-ray remained normal.  The PFT parameters had deteriorated somewhat, as charted above, but remained satisfactory.</w:t>
      </w:r>
    </w:p>
    <w:p w:rsidR="00E226B0" w:rsidRDefault="00E226B0" w:rsidP="00797185">
      <w:pPr>
        <w:tabs>
          <w:tab w:val="left" w:pos="288"/>
          <w:tab w:val="left" w:pos="4752"/>
        </w:tabs>
        <w:jc w:val="both"/>
        <w:rPr>
          <w:rFonts w:asciiTheme="minorHAnsi" w:hAnsiTheme="minorHAnsi" w:cs="Times New Roman"/>
          <w:color w:val="auto"/>
          <w:szCs w:val="24"/>
        </w:rPr>
      </w:pPr>
    </w:p>
    <w:p w:rsidR="000A5470" w:rsidRPr="008B21EE" w:rsidRDefault="003E59B1" w:rsidP="000A5470">
      <w:pPr>
        <w:jc w:val="both"/>
        <w:rPr>
          <w:rFonts w:asciiTheme="minorHAnsi" w:hAnsiTheme="minorHAnsi" w:cs="Times New Roman"/>
          <w:color w:val="auto"/>
          <w:szCs w:val="24"/>
        </w:rPr>
      </w:pPr>
      <w:r w:rsidRPr="00491380">
        <w:rPr>
          <w:rFonts w:asciiTheme="minorHAnsi" w:hAnsiTheme="minorHAnsi" w:cs="Times New Roman"/>
          <w:color w:val="auto"/>
          <w:szCs w:val="24"/>
        </w:rPr>
        <w:t xml:space="preserve">The Board directs attention to its rating recommendations based on the above evidence.  </w:t>
      </w:r>
      <w:r w:rsidR="00491380" w:rsidRPr="00491380">
        <w:rPr>
          <w:rFonts w:asciiTheme="minorHAnsi" w:hAnsiTheme="minorHAnsi" w:cs="Times New Roman"/>
          <w:color w:val="auto"/>
          <w:szCs w:val="24"/>
        </w:rPr>
        <w:t xml:space="preserve">The unequivocal VASRD code for rating asthma is 6602.  VASRD §4.97 defines both PFT-derived criteria and clinical treatment criteria for rating under 6602.  The specified PFT parameters (as charted above) do not in themselves support a compensable rating at either temporary retirement or permanent separation.  The non-PFT derived criteria under 6602 are: “intermittent inhalational or oral bronchodilator therapy” for 10%; </w:t>
      </w:r>
      <w:r w:rsidR="00491380">
        <w:rPr>
          <w:rFonts w:asciiTheme="minorHAnsi" w:hAnsiTheme="minorHAnsi" w:cs="Times New Roman"/>
          <w:color w:val="auto"/>
          <w:szCs w:val="24"/>
        </w:rPr>
        <w:t xml:space="preserve">and, </w:t>
      </w:r>
      <w:r w:rsidR="00491380" w:rsidRPr="00491380">
        <w:rPr>
          <w:rFonts w:asciiTheme="minorHAnsi" w:hAnsiTheme="minorHAnsi" w:cs="Times New Roman"/>
          <w:color w:val="auto"/>
          <w:szCs w:val="24"/>
        </w:rPr>
        <w:t>“daily inhalational</w:t>
      </w:r>
      <w:r w:rsidR="00517CA6">
        <w:rPr>
          <w:rFonts w:asciiTheme="minorHAnsi" w:hAnsiTheme="minorHAnsi" w:cs="Times New Roman"/>
          <w:color w:val="auto"/>
          <w:szCs w:val="24"/>
        </w:rPr>
        <w:t xml:space="preserve"> or oral bronchodilator therapy; or,</w:t>
      </w:r>
      <w:r w:rsidR="00491380" w:rsidRPr="00491380">
        <w:rPr>
          <w:rFonts w:asciiTheme="minorHAnsi" w:hAnsiTheme="minorHAnsi" w:cs="Times New Roman"/>
          <w:color w:val="auto"/>
          <w:szCs w:val="24"/>
        </w:rPr>
        <w:t xml:space="preserve"> inhalational anti-inflammatory medication” for 30%</w:t>
      </w:r>
      <w:r w:rsidR="00491380">
        <w:rPr>
          <w:rFonts w:asciiTheme="minorHAnsi" w:hAnsiTheme="minorHAnsi" w:cs="Times New Roman"/>
          <w:color w:val="auto"/>
          <w:szCs w:val="24"/>
        </w:rPr>
        <w:t xml:space="preserve">.  The criteria for any higher ratings were not met at any interval for this case.  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The </w:t>
      </w:r>
      <w:r w:rsidR="00B263AF">
        <w:rPr>
          <w:rFonts w:asciiTheme="minorHAnsi" w:hAnsiTheme="minorHAnsi" w:cs="Times New Roman"/>
          <w:color w:val="auto"/>
          <w:szCs w:val="24"/>
        </w:rPr>
        <w:t>30% criterion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 for daily use of </w:t>
      </w:r>
      <w:r w:rsidR="00EB2589">
        <w:rPr>
          <w:rFonts w:asciiTheme="minorHAnsi" w:hAnsiTheme="minorHAnsi" w:cs="Times New Roman"/>
          <w:color w:val="auto"/>
          <w:szCs w:val="24"/>
        </w:rPr>
        <w:t>ratable medications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 at the time of TDRL placement </w:t>
      </w:r>
      <w:r w:rsidR="00B263AF">
        <w:rPr>
          <w:rFonts w:asciiTheme="minorHAnsi" w:hAnsiTheme="minorHAnsi" w:cs="Times New Roman"/>
          <w:color w:val="auto"/>
          <w:szCs w:val="24"/>
        </w:rPr>
        <w:t>was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 documented </w:t>
      </w:r>
      <w:r w:rsidR="00B263AF">
        <w:rPr>
          <w:rFonts w:asciiTheme="minorHAnsi" w:hAnsiTheme="minorHAnsi" w:cs="Times New Roman"/>
          <w:color w:val="auto"/>
          <w:szCs w:val="24"/>
        </w:rPr>
        <w:t xml:space="preserve">in the NARSUM 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and </w:t>
      </w:r>
      <w:r w:rsidR="00B263AF">
        <w:rPr>
          <w:rFonts w:asciiTheme="minorHAnsi" w:hAnsiTheme="minorHAnsi" w:cs="Times New Roman"/>
          <w:color w:val="auto"/>
          <w:szCs w:val="24"/>
        </w:rPr>
        <w:t>corroborated in the treatment record</w:t>
      </w:r>
      <w:r w:rsidR="00B00B7A">
        <w:rPr>
          <w:rFonts w:asciiTheme="minorHAnsi" w:hAnsiTheme="minorHAnsi" w:cs="Times New Roman"/>
          <w:color w:val="auto"/>
          <w:szCs w:val="24"/>
        </w:rPr>
        <w:t xml:space="preserve">.  </w:t>
      </w:r>
      <w:r w:rsidR="003A5957">
        <w:rPr>
          <w:rFonts w:asciiTheme="minorHAnsi" w:hAnsiTheme="minorHAnsi" w:cs="Times New Roman"/>
          <w:color w:val="auto"/>
          <w:szCs w:val="24"/>
        </w:rPr>
        <w:t>The PEB’s rationale for its 10% decision at separation</w:t>
      </w:r>
      <w:r w:rsidR="002D6B0E">
        <w:rPr>
          <w:rFonts w:asciiTheme="minorHAnsi" w:hAnsiTheme="minorHAnsi" w:cs="Times New Roman"/>
          <w:color w:val="auto"/>
          <w:szCs w:val="24"/>
        </w:rPr>
        <w:t xml:space="preserve"> was stated on the DA Form 199 as, “</w:t>
      </w:r>
      <w:r w:rsidR="002D6B0E" w:rsidRPr="002D6B0E">
        <w:rPr>
          <w:rFonts w:asciiTheme="minorHAnsi" w:hAnsiTheme="minorHAnsi" w:cs="Times New Roman"/>
          <w:color w:val="auto"/>
          <w:szCs w:val="24"/>
        </w:rPr>
        <w:t>Since being placed on TDRL 1 year ago has</w:t>
      </w:r>
      <w:r w:rsidR="00B8425C">
        <w:rPr>
          <w:rFonts w:asciiTheme="minorHAnsi" w:hAnsiTheme="minorHAnsi" w:cs="Times New Roman"/>
          <w:color w:val="auto"/>
          <w:szCs w:val="24"/>
        </w:rPr>
        <w:t xml:space="preserve"> let asthma prescriptions lapse, h</w:t>
      </w:r>
      <w:r w:rsidR="002D6B0E" w:rsidRPr="002D6B0E">
        <w:rPr>
          <w:rFonts w:asciiTheme="minorHAnsi" w:hAnsiTheme="minorHAnsi" w:cs="Times New Roman"/>
          <w:color w:val="auto"/>
          <w:szCs w:val="24"/>
        </w:rPr>
        <w:t xml:space="preserve">as been attending school full time using only occasional </w:t>
      </w:r>
      <w:proofErr w:type="spellStart"/>
      <w:r w:rsidR="002D6B0E" w:rsidRPr="002D6B0E">
        <w:rPr>
          <w:rFonts w:asciiTheme="minorHAnsi" w:hAnsiTheme="minorHAnsi" w:cs="Times New Roman"/>
          <w:color w:val="auto"/>
          <w:szCs w:val="24"/>
        </w:rPr>
        <w:t>Albuterol</w:t>
      </w:r>
      <w:proofErr w:type="spellEnd"/>
      <w:r w:rsidR="00722108">
        <w:rPr>
          <w:rFonts w:asciiTheme="minorHAnsi" w:hAnsiTheme="minorHAnsi" w:cs="Times New Roman"/>
          <w:color w:val="auto"/>
          <w:szCs w:val="24"/>
        </w:rPr>
        <w:t>, exam</w:t>
      </w:r>
      <w:r w:rsidR="002D6B0E" w:rsidRPr="002D6B0E">
        <w:rPr>
          <w:rFonts w:asciiTheme="minorHAnsi" w:hAnsiTheme="minorHAnsi" w:cs="Times New Roman"/>
          <w:color w:val="auto"/>
          <w:szCs w:val="24"/>
        </w:rPr>
        <w:t xml:space="preserve"> shows clear lungs and nor</w:t>
      </w:r>
      <w:r w:rsidR="00B8425C">
        <w:rPr>
          <w:rFonts w:asciiTheme="minorHAnsi" w:hAnsiTheme="minorHAnsi" w:cs="Times New Roman"/>
          <w:color w:val="auto"/>
          <w:szCs w:val="24"/>
        </w:rPr>
        <w:t>mal pulmonary function tests, r</w:t>
      </w:r>
      <w:r w:rsidR="002D6B0E" w:rsidRPr="002D6B0E">
        <w:rPr>
          <w:rFonts w:asciiTheme="minorHAnsi" w:hAnsiTheme="minorHAnsi" w:cs="Times New Roman"/>
          <w:color w:val="auto"/>
          <w:szCs w:val="24"/>
        </w:rPr>
        <w:t>ated for intermit</w:t>
      </w:r>
      <w:r w:rsidR="00B8425C">
        <w:rPr>
          <w:rFonts w:asciiTheme="minorHAnsi" w:hAnsiTheme="minorHAnsi" w:cs="Times New Roman"/>
          <w:color w:val="auto"/>
          <w:szCs w:val="24"/>
        </w:rPr>
        <w:t>tent bronchodilator requirement, and n</w:t>
      </w:r>
      <w:r w:rsidR="002D6B0E" w:rsidRPr="002D6B0E">
        <w:rPr>
          <w:rFonts w:asciiTheme="minorHAnsi" w:hAnsiTheme="minorHAnsi" w:cs="Times New Roman"/>
          <w:color w:val="auto"/>
          <w:szCs w:val="24"/>
        </w:rPr>
        <w:t>o deduction for non-compliance of medication lapse or tobacco use at this time.</w:t>
      </w:r>
      <w:r w:rsidR="002D6B0E">
        <w:rPr>
          <w:rFonts w:asciiTheme="minorHAnsi" w:hAnsiTheme="minorHAnsi" w:cs="Times New Roman"/>
          <w:color w:val="auto"/>
          <w:szCs w:val="24"/>
        </w:rPr>
        <w:t xml:space="preserve">”  </w:t>
      </w:r>
      <w:r w:rsidR="00EB2589">
        <w:rPr>
          <w:rFonts w:asciiTheme="minorHAnsi" w:hAnsiTheme="minorHAnsi" w:cs="Times New Roman"/>
          <w:color w:val="auto"/>
          <w:szCs w:val="24"/>
        </w:rPr>
        <w:t xml:space="preserve">The TDRL exam makes it clear that daily </w:t>
      </w:r>
      <w:proofErr w:type="spellStart"/>
      <w:r w:rsidR="00EB2589">
        <w:rPr>
          <w:rFonts w:asciiTheme="minorHAnsi" w:hAnsiTheme="minorHAnsi" w:cs="Times New Roman"/>
          <w:color w:val="auto"/>
          <w:szCs w:val="24"/>
        </w:rPr>
        <w:t>Singulair</w:t>
      </w:r>
      <w:proofErr w:type="spellEnd"/>
      <w:r w:rsidR="00EB2589">
        <w:rPr>
          <w:rFonts w:asciiTheme="minorHAnsi" w:hAnsiTheme="minorHAnsi" w:cs="Times New Roman"/>
          <w:color w:val="auto"/>
          <w:szCs w:val="24"/>
        </w:rPr>
        <w:t xml:space="preserve"> and </w:t>
      </w:r>
      <w:proofErr w:type="spellStart"/>
      <w:r w:rsidR="00EB2589">
        <w:rPr>
          <w:rFonts w:asciiTheme="minorHAnsi" w:hAnsiTheme="minorHAnsi" w:cs="Times New Roman"/>
          <w:color w:val="auto"/>
          <w:szCs w:val="24"/>
        </w:rPr>
        <w:t>Advair</w:t>
      </w:r>
      <w:proofErr w:type="spellEnd"/>
      <w:r w:rsidR="00AC54AA">
        <w:rPr>
          <w:rFonts w:asciiTheme="minorHAnsi" w:hAnsiTheme="minorHAnsi" w:cs="Times New Roman"/>
          <w:color w:val="auto"/>
          <w:szCs w:val="24"/>
        </w:rPr>
        <w:t xml:space="preserve"> had been discontinued</w:t>
      </w:r>
      <w:r w:rsidR="002D6B0E">
        <w:rPr>
          <w:rFonts w:asciiTheme="minorHAnsi" w:hAnsiTheme="minorHAnsi" w:cs="Times New Roman"/>
          <w:color w:val="auto"/>
          <w:szCs w:val="24"/>
        </w:rPr>
        <w:t>;</w:t>
      </w:r>
      <w:r w:rsidR="00AC54AA">
        <w:rPr>
          <w:rFonts w:asciiTheme="minorHAnsi" w:hAnsiTheme="minorHAnsi" w:cs="Times New Roman"/>
          <w:color w:val="auto"/>
          <w:szCs w:val="24"/>
        </w:rPr>
        <w:t xml:space="preserve"> although</w:t>
      </w:r>
      <w:r w:rsidR="002D6B0E">
        <w:rPr>
          <w:rFonts w:asciiTheme="minorHAnsi" w:hAnsiTheme="minorHAnsi" w:cs="Times New Roman"/>
          <w:color w:val="auto"/>
          <w:szCs w:val="24"/>
        </w:rPr>
        <w:t>,</w:t>
      </w:r>
      <w:r w:rsidR="00AC54AA">
        <w:rPr>
          <w:rFonts w:asciiTheme="minorHAnsi" w:hAnsiTheme="minorHAnsi" w:cs="Times New Roman"/>
          <w:color w:val="auto"/>
          <w:szCs w:val="24"/>
        </w:rPr>
        <w:t xml:space="preserve"> </w:t>
      </w:r>
      <w:r w:rsidR="002D6B0E">
        <w:rPr>
          <w:rFonts w:asciiTheme="minorHAnsi" w:hAnsiTheme="minorHAnsi" w:cs="Times New Roman"/>
          <w:color w:val="auto"/>
          <w:szCs w:val="24"/>
        </w:rPr>
        <w:t>the PE</w:t>
      </w:r>
      <w:r w:rsidR="00722108">
        <w:rPr>
          <w:rFonts w:asciiTheme="minorHAnsi" w:hAnsiTheme="minorHAnsi" w:cs="Times New Roman"/>
          <w:color w:val="auto"/>
          <w:szCs w:val="24"/>
        </w:rPr>
        <w:t xml:space="preserve">B’s conclusion that the use of </w:t>
      </w:r>
      <w:proofErr w:type="spellStart"/>
      <w:r w:rsidR="00722108">
        <w:rPr>
          <w:rFonts w:asciiTheme="minorHAnsi" w:hAnsiTheme="minorHAnsi" w:cs="Times New Roman"/>
          <w:color w:val="auto"/>
          <w:szCs w:val="24"/>
        </w:rPr>
        <w:t>A</w:t>
      </w:r>
      <w:r w:rsidR="002D6B0E">
        <w:rPr>
          <w:rFonts w:asciiTheme="minorHAnsi" w:hAnsiTheme="minorHAnsi" w:cs="Times New Roman"/>
          <w:color w:val="auto"/>
          <w:szCs w:val="24"/>
        </w:rPr>
        <w:t>lbuterol</w:t>
      </w:r>
      <w:proofErr w:type="spellEnd"/>
      <w:r w:rsidR="002D6B0E">
        <w:rPr>
          <w:rFonts w:asciiTheme="minorHAnsi" w:hAnsiTheme="minorHAnsi" w:cs="Times New Roman"/>
          <w:color w:val="auto"/>
          <w:szCs w:val="24"/>
        </w:rPr>
        <w:t xml:space="preserve"> was “occasional” was not explicitly stated (or refuted) by the examiner.  </w:t>
      </w:r>
      <w:r w:rsidR="00D82E9B">
        <w:rPr>
          <w:rFonts w:cs="Times New Roman"/>
          <w:color w:val="auto"/>
        </w:rPr>
        <w:t>T</w:t>
      </w:r>
      <w:r w:rsidR="002D6B0E">
        <w:rPr>
          <w:rFonts w:cs="Times New Roman"/>
          <w:color w:val="auto"/>
        </w:rPr>
        <w:t xml:space="preserve">he </w:t>
      </w:r>
      <w:r w:rsidR="00B263AF">
        <w:rPr>
          <w:rFonts w:cs="Times New Roman"/>
          <w:color w:val="auto"/>
        </w:rPr>
        <w:t>TDRL summary</w:t>
      </w:r>
      <w:r w:rsidR="00D82E9B">
        <w:rPr>
          <w:rFonts w:cs="Times New Roman"/>
          <w:color w:val="auto"/>
        </w:rPr>
        <w:t xml:space="preserve"> </w:t>
      </w:r>
      <w:r w:rsidR="002D6B0E">
        <w:rPr>
          <w:rFonts w:cs="Times New Roman"/>
          <w:color w:val="auto"/>
        </w:rPr>
        <w:t xml:space="preserve">does not exclude the possibility of daily use of </w:t>
      </w:r>
      <w:proofErr w:type="spellStart"/>
      <w:r w:rsidR="00722108">
        <w:rPr>
          <w:rFonts w:cs="Times New Roman"/>
          <w:color w:val="auto"/>
        </w:rPr>
        <w:t>A</w:t>
      </w:r>
      <w:r w:rsidR="002D6B0E">
        <w:rPr>
          <w:rFonts w:cs="Times New Roman"/>
          <w:color w:val="auto"/>
        </w:rPr>
        <w:t>lbuterol</w:t>
      </w:r>
      <w:proofErr w:type="spellEnd"/>
      <w:r w:rsidR="002D6B0E">
        <w:rPr>
          <w:rFonts w:cs="Times New Roman"/>
          <w:color w:val="auto"/>
        </w:rPr>
        <w:t xml:space="preserve">, </w:t>
      </w:r>
      <w:r w:rsidR="00B263AF">
        <w:rPr>
          <w:rFonts w:cs="Times New Roman"/>
          <w:color w:val="auto"/>
        </w:rPr>
        <w:t xml:space="preserve">and no supplementary source of information is in evidence.   If such were the case, this </w:t>
      </w:r>
      <w:r w:rsidR="00D82E9B">
        <w:rPr>
          <w:rFonts w:cs="Times New Roman"/>
          <w:color w:val="auto"/>
        </w:rPr>
        <w:t xml:space="preserve">would satisfy the 30% language and align with the CI’s brief </w:t>
      </w:r>
      <w:r w:rsidR="00D82E9B">
        <w:rPr>
          <w:rFonts w:cs="Times New Roman"/>
          <w:color w:val="auto"/>
        </w:rPr>
        <w:lastRenderedPageBreak/>
        <w:t xml:space="preserve">contention.  </w:t>
      </w:r>
      <w:r w:rsidR="00F67B76">
        <w:rPr>
          <w:rFonts w:cs="Times New Roman"/>
          <w:color w:val="auto"/>
        </w:rPr>
        <w:t xml:space="preserve">Likewise, </w:t>
      </w:r>
      <w:proofErr w:type="spellStart"/>
      <w:r w:rsidR="00722108">
        <w:rPr>
          <w:rFonts w:cs="Times New Roman"/>
          <w:color w:val="auto"/>
        </w:rPr>
        <w:t>C</w:t>
      </w:r>
      <w:r w:rsidR="00F67B76">
        <w:rPr>
          <w:rFonts w:cs="Times New Roman"/>
          <w:color w:val="auto"/>
        </w:rPr>
        <w:t>romolyn</w:t>
      </w:r>
      <w:proofErr w:type="spellEnd"/>
      <w:r w:rsidR="00F67B76">
        <w:rPr>
          <w:rFonts w:cs="Times New Roman"/>
          <w:color w:val="auto"/>
        </w:rPr>
        <w:t xml:space="preserve"> (which could be characterized as an anti-inflammatory) may have been used in inhaled form on a daily basis; although therapeutic dosing would require its use </w:t>
      </w:r>
      <w:r w:rsidR="009A0B96">
        <w:rPr>
          <w:rFonts w:cs="Times New Roman"/>
          <w:color w:val="auto"/>
        </w:rPr>
        <w:t>via</w:t>
      </w:r>
      <w:r w:rsidR="00F67B76">
        <w:rPr>
          <w:rFonts w:cs="Times New Roman"/>
          <w:color w:val="auto"/>
        </w:rPr>
        <w:t xml:space="preserve"> a nebulizer </w:t>
      </w:r>
      <w:r w:rsidR="00722108">
        <w:rPr>
          <w:rFonts w:cs="Times New Roman"/>
          <w:color w:val="auto"/>
        </w:rPr>
        <w:t>four</w:t>
      </w:r>
      <w:r w:rsidR="00F67B76">
        <w:rPr>
          <w:rFonts w:cs="Times New Roman"/>
          <w:color w:val="auto"/>
        </w:rPr>
        <w:t xml:space="preserve"> times daily.  </w:t>
      </w:r>
      <w:r w:rsidR="00EE3E29">
        <w:rPr>
          <w:rFonts w:cs="Times New Roman"/>
          <w:color w:val="auto"/>
        </w:rPr>
        <w:t>However, a</w:t>
      </w:r>
      <w:r w:rsidR="00F67B76">
        <w:rPr>
          <w:rFonts w:cs="Times New Roman"/>
          <w:color w:val="auto"/>
        </w:rPr>
        <w:t xml:space="preserve"> regimen of this nature for either of these agents, without adjunctive medications or evidence of more severe disease</w:t>
      </w:r>
      <w:r w:rsidR="00EE3E29">
        <w:rPr>
          <w:rFonts w:cs="Times New Roman"/>
          <w:color w:val="auto"/>
        </w:rPr>
        <w:t>,</w:t>
      </w:r>
      <w:r w:rsidR="00F67B76">
        <w:rPr>
          <w:rFonts w:cs="Times New Roman"/>
          <w:color w:val="auto"/>
        </w:rPr>
        <w:t xml:space="preserve"> </w:t>
      </w:r>
      <w:r w:rsidR="00EE3E29">
        <w:rPr>
          <w:rFonts w:cs="Times New Roman"/>
          <w:color w:val="auto"/>
        </w:rPr>
        <w:t xml:space="preserve">would be quite atypical and not clinically appropriate.  The </w:t>
      </w:r>
      <w:r w:rsidR="00722108">
        <w:rPr>
          <w:rFonts w:cs="Times New Roman"/>
          <w:color w:val="auto"/>
        </w:rPr>
        <w:t>a</w:t>
      </w:r>
      <w:r w:rsidR="00EE3E29">
        <w:rPr>
          <w:rFonts w:cs="Times New Roman"/>
          <w:color w:val="auto"/>
        </w:rPr>
        <w:t xml:space="preserve">ction </w:t>
      </w:r>
      <w:r w:rsidR="00722108">
        <w:rPr>
          <w:rFonts w:cs="Times New Roman"/>
          <w:color w:val="auto"/>
        </w:rPr>
        <w:t>o</w:t>
      </w:r>
      <w:r w:rsidR="00EE3E29">
        <w:rPr>
          <w:rFonts w:cs="Times New Roman"/>
          <w:color w:val="auto"/>
        </w:rPr>
        <w:t xml:space="preserve">fficer opined that, at least more likely than not, a daily treatment regimen with </w:t>
      </w:r>
      <w:proofErr w:type="spellStart"/>
      <w:r w:rsidR="00722108">
        <w:rPr>
          <w:rFonts w:cs="Times New Roman"/>
          <w:color w:val="auto"/>
        </w:rPr>
        <w:t>A</w:t>
      </w:r>
      <w:r w:rsidR="00EE3E29">
        <w:rPr>
          <w:rFonts w:cs="Times New Roman"/>
          <w:color w:val="auto"/>
        </w:rPr>
        <w:t>lbuterol</w:t>
      </w:r>
      <w:proofErr w:type="spellEnd"/>
      <w:r w:rsidR="00EE3E29">
        <w:rPr>
          <w:rFonts w:cs="Times New Roman"/>
          <w:color w:val="auto"/>
        </w:rPr>
        <w:t xml:space="preserve"> and/or </w:t>
      </w:r>
      <w:proofErr w:type="spellStart"/>
      <w:r w:rsidR="00722108">
        <w:rPr>
          <w:rFonts w:cs="Times New Roman"/>
          <w:color w:val="auto"/>
        </w:rPr>
        <w:t>C</w:t>
      </w:r>
      <w:r w:rsidR="00EE3E29">
        <w:rPr>
          <w:rFonts w:cs="Times New Roman"/>
          <w:color w:val="auto"/>
        </w:rPr>
        <w:t>romolyn</w:t>
      </w:r>
      <w:proofErr w:type="spellEnd"/>
      <w:r w:rsidR="00EE3E29">
        <w:rPr>
          <w:rFonts w:cs="Times New Roman"/>
          <w:color w:val="auto"/>
        </w:rPr>
        <w:t xml:space="preserve"> was </w:t>
      </w:r>
      <w:r w:rsidR="009A0B96">
        <w:rPr>
          <w:rFonts w:cs="Times New Roman"/>
          <w:color w:val="auto"/>
        </w:rPr>
        <w:t>neither</w:t>
      </w:r>
      <w:r w:rsidR="00EE3E29">
        <w:rPr>
          <w:rFonts w:cs="Times New Roman"/>
          <w:color w:val="auto"/>
        </w:rPr>
        <w:t xml:space="preserve"> clinically indicated</w:t>
      </w:r>
      <w:r w:rsidR="009A0B96">
        <w:rPr>
          <w:rFonts w:cs="Times New Roman"/>
          <w:color w:val="auto"/>
        </w:rPr>
        <w:t xml:space="preserve"> nor in effect</w:t>
      </w:r>
      <w:r w:rsidR="00EE3E29">
        <w:rPr>
          <w:rFonts w:cs="Times New Roman"/>
          <w:color w:val="auto"/>
        </w:rPr>
        <w:t>.</w:t>
      </w:r>
      <w:r w:rsidR="009A0B96">
        <w:rPr>
          <w:rFonts w:cs="Times New Roman"/>
          <w:color w:val="auto"/>
        </w:rPr>
        <w:t xml:space="preserve">  It would thus be quite speculative to concede the daily treatment criteria based on the lack of documentation that this was </w:t>
      </w:r>
      <w:r w:rsidR="009A0B96" w:rsidRPr="009A0B96">
        <w:rPr>
          <w:rFonts w:cs="Times New Roman"/>
          <w:i/>
          <w:color w:val="auto"/>
        </w:rPr>
        <w:t>not</w:t>
      </w:r>
      <w:r w:rsidR="009A0B96">
        <w:rPr>
          <w:rFonts w:cs="Times New Roman"/>
          <w:color w:val="auto"/>
        </w:rPr>
        <w:t xml:space="preserve"> the case: and, </w:t>
      </w:r>
      <w:r w:rsidR="009A0B96">
        <w:rPr>
          <w:rFonts w:asciiTheme="minorHAnsi" w:hAnsiTheme="minorHAnsi" w:cs="Times New Roman"/>
          <w:color w:val="auto"/>
          <w:szCs w:val="24"/>
        </w:rPr>
        <w:t>t</w:t>
      </w:r>
      <w:r w:rsidR="00630A04">
        <w:rPr>
          <w:rFonts w:asciiTheme="minorHAnsi" w:hAnsiTheme="minorHAnsi" w:cs="Times New Roman"/>
          <w:color w:val="auto"/>
          <w:szCs w:val="24"/>
        </w:rPr>
        <w:t>he only non-speculative source of evidence which goes to the ratable use of medications is the VA’s C&amp;P evaluation</w:t>
      </w:r>
      <w:r w:rsidR="009A0B96">
        <w:rPr>
          <w:rFonts w:asciiTheme="minorHAnsi" w:hAnsiTheme="minorHAnsi" w:cs="Times New Roman"/>
          <w:color w:val="auto"/>
          <w:szCs w:val="24"/>
        </w:rPr>
        <w:t xml:space="preserve"> which clearly supports 10% criteria</w:t>
      </w:r>
      <w:r w:rsidR="00630A04">
        <w:rPr>
          <w:rFonts w:asciiTheme="minorHAnsi" w:hAnsiTheme="minorHAnsi" w:cs="Times New Roman"/>
          <w:color w:val="auto"/>
          <w:szCs w:val="24"/>
        </w:rPr>
        <w:t xml:space="preserve">.  Although </w:t>
      </w:r>
      <w:r w:rsidR="009A0B96">
        <w:rPr>
          <w:rFonts w:asciiTheme="minorHAnsi" w:hAnsiTheme="minorHAnsi" w:cs="Times New Roman"/>
          <w:color w:val="auto"/>
          <w:szCs w:val="24"/>
        </w:rPr>
        <w:t>the VA evidence</w:t>
      </w:r>
      <w:r w:rsidR="00630A04">
        <w:rPr>
          <w:rFonts w:asciiTheme="minorHAnsi" w:hAnsiTheme="minorHAnsi" w:cs="Times New Roman"/>
          <w:color w:val="auto"/>
          <w:szCs w:val="24"/>
        </w:rPr>
        <w:t xml:space="preserve"> falls outside </w:t>
      </w:r>
      <w:r w:rsidR="000A5470">
        <w:rPr>
          <w:rFonts w:asciiTheme="minorHAnsi" w:hAnsiTheme="minorHAnsi" w:cs="Times New Roman"/>
          <w:color w:val="auto"/>
          <w:szCs w:val="24"/>
        </w:rPr>
        <w:t xml:space="preserve">a distinctly probative interval, it </w:t>
      </w:r>
      <w:r w:rsidR="008B21EE">
        <w:rPr>
          <w:rFonts w:asciiTheme="minorHAnsi" w:hAnsiTheme="minorHAnsi" w:cs="Times New Roman"/>
          <w:color w:val="auto"/>
          <w:szCs w:val="24"/>
        </w:rPr>
        <w:t xml:space="preserve">reflected a period when the CI was employed as a carpenter compared to the rating interval when he was a student; and, the PFT results suggest that, if anything, the severity of asthma was more acute at the time of the VA confirmed treatment regimen.  </w:t>
      </w:r>
      <w:r w:rsidR="000A5470">
        <w:rPr>
          <w:rFonts w:asciiTheme="minorHAnsi" w:hAnsiTheme="minorHAnsi" w:cs="Times New Roman"/>
          <w:color w:val="auto"/>
          <w:szCs w:val="24"/>
        </w:rPr>
        <w:t xml:space="preserve">The </w:t>
      </w:r>
      <w:r w:rsidR="008B21EE">
        <w:rPr>
          <w:rFonts w:asciiTheme="minorHAnsi" w:hAnsiTheme="minorHAnsi" w:cs="Times New Roman"/>
          <w:color w:val="auto"/>
          <w:szCs w:val="24"/>
        </w:rPr>
        <w:t xml:space="preserve">post-separation VA evidence </w:t>
      </w:r>
      <w:r w:rsidR="000A5470">
        <w:rPr>
          <w:rFonts w:asciiTheme="minorHAnsi" w:hAnsiTheme="minorHAnsi" w:cs="Times New Roman"/>
          <w:color w:val="auto"/>
          <w:szCs w:val="24"/>
        </w:rPr>
        <w:t xml:space="preserve">thus </w:t>
      </w:r>
      <w:r w:rsidR="008B21EE">
        <w:rPr>
          <w:rFonts w:asciiTheme="minorHAnsi" w:hAnsiTheme="minorHAnsi" w:cs="Times New Roman"/>
          <w:color w:val="auto"/>
          <w:szCs w:val="24"/>
        </w:rPr>
        <w:t xml:space="preserve">further </w:t>
      </w:r>
      <w:r w:rsidR="000A5470">
        <w:rPr>
          <w:rFonts w:asciiTheme="minorHAnsi" w:hAnsiTheme="minorHAnsi" w:cs="Times New Roman"/>
          <w:color w:val="auto"/>
          <w:szCs w:val="24"/>
        </w:rPr>
        <w:t xml:space="preserve">undermines support for a 30% </w:t>
      </w:r>
      <w:r w:rsidR="008B21EE">
        <w:rPr>
          <w:rFonts w:asciiTheme="minorHAnsi" w:hAnsiTheme="minorHAnsi" w:cs="Times New Roman"/>
          <w:color w:val="auto"/>
          <w:szCs w:val="24"/>
        </w:rPr>
        <w:t>permanent rating recommendation.</w:t>
      </w:r>
      <w:r w:rsidR="000A5470">
        <w:rPr>
          <w:rFonts w:asciiTheme="minorHAnsi" w:hAnsiTheme="minorHAnsi" w:cs="Times New Roman"/>
          <w:color w:val="auto"/>
          <w:szCs w:val="24"/>
        </w:rPr>
        <w:t xml:space="preserve">  </w:t>
      </w:r>
      <w:r w:rsidR="000A5470">
        <w:rPr>
          <w:rFonts w:eastAsia="Calibri" w:cs="Times New Roman"/>
          <w:color w:val="auto"/>
          <w:szCs w:val="24"/>
        </w:rPr>
        <w:t>After due deliberation</w:t>
      </w:r>
      <w:r w:rsidR="000A5470" w:rsidRPr="00241B01">
        <w:rPr>
          <w:rFonts w:eastAsia="Calibri" w:cs="Times New Roman"/>
          <w:color w:val="auto"/>
          <w:szCs w:val="24"/>
        </w:rPr>
        <w:t xml:space="preserve"> </w:t>
      </w:r>
      <w:r w:rsidR="000A5470">
        <w:rPr>
          <w:rFonts w:eastAsia="Calibri" w:cs="Times New Roman"/>
          <w:color w:val="auto"/>
          <w:szCs w:val="24"/>
        </w:rPr>
        <w:t>in consideration of the preponderance</w:t>
      </w:r>
      <w:r w:rsidR="000A5470" w:rsidRPr="00241B01">
        <w:rPr>
          <w:rFonts w:eastAsia="Calibri" w:cs="Times New Roman"/>
          <w:color w:val="auto"/>
          <w:szCs w:val="24"/>
        </w:rPr>
        <w:t xml:space="preserve"> of the evidence, the Board concluded that there was insufficient cause t</w:t>
      </w:r>
      <w:r w:rsidR="001939A8">
        <w:rPr>
          <w:rFonts w:eastAsia="Calibri" w:cs="Times New Roman"/>
          <w:color w:val="auto"/>
          <w:szCs w:val="24"/>
        </w:rPr>
        <w:t xml:space="preserve">o recommend a change in the PEB’s final </w:t>
      </w:r>
      <w:r w:rsidR="000A5470">
        <w:rPr>
          <w:rFonts w:eastAsia="Calibri" w:cs="Times New Roman"/>
          <w:color w:val="auto"/>
          <w:szCs w:val="24"/>
        </w:rPr>
        <w:t xml:space="preserve">rating </w:t>
      </w:r>
      <w:r w:rsidR="000A5470" w:rsidRPr="00241B01">
        <w:rPr>
          <w:rFonts w:eastAsia="Calibri" w:cs="Times New Roman"/>
          <w:color w:val="auto"/>
          <w:szCs w:val="24"/>
        </w:rPr>
        <w:t xml:space="preserve">adjudication for the </w:t>
      </w:r>
      <w:r w:rsidR="000A5470">
        <w:rPr>
          <w:rFonts w:eastAsia="Calibri" w:cs="Times New Roman"/>
          <w:color w:val="auto"/>
          <w:szCs w:val="24"/>
        </w:rPr>
        <w:t>asthma</w:t>
      </w:r>
      <w:r w:rsidR="000A5470" w:rsidRPr="00241B01">
        <w:rPr>
          <w:rFonts w:eastAsia="Calibri" w:cs="Times New Roman"/>
          <w:color w:val="auto"/>
          <w:szCs w:val="24"/>
        </w:rPr>
        <w:t xml:space="preserve"> condition.</w:t>
      </w:r>
    </w:p>
    <w:p w:rsidR="00EC337D" w:rsidRPr="001F29F9" w:rsidRDefault="00EC337D" w:rsidP="00BF0E94">
      <w:pPr>
        <w:jc w:val="both"/>
        <w:rPr>
          <w:color w:val="000000" w:themeColor="text1"/>
          <w:szCs w:val="24"/>
        </w:rPr>
      </w:pPr>
    </w:p>
    <w:p w:rsidR="004C60A3" w:rsidRPr="001F29F9" w:rsidRDefault="00EC337D" w:rsidP="00797185">
      <w:pPr>
        <w:jc w:val="both"/>
        <w:rPr>
          <w:rFonts w:eastAsia="HiddenHorzOCR"/>
          <w:i/>
          <w:color w:val="000000" w:themeColor="text1"/>
          <w:sz w:val="20"/>
        </w:rPr>
      </w:pPr>
      <w:proofErr w:type="gramStart"/>
      <w:r w:rsidRPr="001F29F9">
        <w:rPr>
          <w:color w:val="000000" w:themeColor="text1"/>
          <w:szCs w:val="24"/>
          <w:u w:val="single"/>
        </w:rPr>
        <w:t>Remaining Conditions</w:t>
      </w:r>
      <w:r w:rsidRPr="001F29F9">
        <w:rPr>
          <w:color w:val="000000" w:themeColor="text1"/>
          <w:szCs w:val="24"/>
        </w:rPr>
        <w:t>.</w:t>
      </w:r>
      <w:proofErr w:type="gramEnd"/>
      <w:r w:rsidRPr="001F29F9">
        <w:rPr>
          <w:color w:val="000000" w:themeColor="text1"/>
          <w:szCs w:val="24"/>
        </w:rPr>
        <w:t xml:space="preserve">  </w:t>
      </w:r>
      <w:r w:rsidR="00055A0B" w:rsidRPr="00055A0B">
        <w:rPr>
          <w:color w:val="000000" w:themeColor="text1"/>
          <w:szCs w:val="24"/>
        </w:rPr>
        <w:t xml:space="preserve">Other conditions identified in the </w:t>
      </w:r>
      <w:r w:rsidR="000A5470">
        <w:rPr>
          <w:color w:val="000000" w:themeColor="text1"/>
          <w:szCs w:val="24"/>
        </w:rPr>
        <w:t xml:space="preserve">core </w:t>
      </w:r>
      <w:r w:rsidR="00055A0B" w:rsidRPr="00055A0B">
        <w:rPr>
          <w:color w:val="000000" w:themeColor="text1"/>
          <w:szCs w:val="24"/>
        </w:rPr>
        <w:t>DE</w:t>
      </w:r>
      <w:r w:rsidR="000A5470">
        <w:rPr>
          <w:color w:val="000000" w:themeColor="text1"/>
          <w:szCs w:val="24"/>
        </w:rPr>
        <w:t>S file were recurrent neck pain</w:t>
      </w:r>
      <w:r w:rsidR="00055A0B" w:rsidRPr="00055A0B">
        <w:rPr>
          <w:color w:val="000000" w:themeColor="text1"/>
          <w:szCs w:val="24"/>
        </w:rPr>
        <w:t xml:space="preserve"> and right hand pain.  Several additional non-acute conditions or medical complaints were also documented.  None of these conditions were clinical</w:t>
      </w:r>
      <w:r w:rsidR="000A5470">
        <w:rPr>
          <w:color w:val="000000" w:themeColor="text1"/>
          <w:szCs w:val="24"/>
        </w:rPr>
        <w:t>ly active during the MEB period;</w:t>
      </w:r>
      <w:r w:rsidR="00055A0B" w:rsidRPr="00055A0B">
        <w:rPr>
          <w:color w:val="000000" w:themeColor="text1"/>
          <w:szCs w:val="24"/>
        </w:rPr>
        <w:t xml:space="preserve"> none carried attached</w:t>
      </w:r>
      <w:r w:rsidR="00276F1E">
        <w:rPr>
          <w:color w:val="000000" w:themeColor="text1"/>
          <w:szCs w:val="24"/>
        </w:rPr>
        <w:t xml:space="preserve"> profiles</w:t>
      </w:r>
      <w:r w:rsidR="000A5470">
        <w:rPr>
          <w:color w:val="000000" w:themeColor="text1"/>
          <w:szCs w:val="24"/>
        </w:rPr>
        <w:t>;</w:t>
      </w:r>
      <w:r w:rsidR="00055A0B" w:rsidRPr="00055A0B">
        <w:rPr>
          <w:color w:val="000000" w:themeColor="text1"/>
          <w:szCs w:val="24"/>
        </w:rPr>
        <w:t xml:space="preserve"> and</w:t>
      </w:r>
      <w:r w:rsidR="000A5470">
        <w:rPr>
          <w:color w:val="000000" w:themeColor="text1"/>
          <w:szCs w:val="24"/>
        </w:rPr>
        <w:t>,</w:t>
      </w:r>
      <w:r w:rsidR="00055A0B" w:rsidRPr="00055A0B">
        <w:rPr>
          <w:color w:val="000000" w:themeColor="text1"/>
          <w:szCs w:val="24"/>
        </w:rPr>
        <w:t xml:space="preserve"> none were implicated in the commander’s statement.  These conditions were reviewed by the </w:t>
      </w:r>
      <w:r w:rsidR="00722108">
        <w:rPr>
          <w:color w:val="000000" w:themeColor="text1"/>
          <w:szCs w:val="24"/>
        </w:rPr>
        <w:t>a</w:t>
      </w:r>
      <w:r w:rsidR="000A5470" w:rsidRPr="00055A0B">
        <w:rPr>
          <w:color w:val="000000" w:themeColor="text1"/>
          <w:szCs w:val="24"/>
        </w:rPr>
        <w:t xml:space="preserve">ction </w:t>
      </w:r>
      <w:r w:rsidR="00722108">
        <w:rPr>
          <w:color w:val="000000" w:themeColor="text1"/>
          <w:szCs w:val="24"/>
        </w:rPr>
        <w:t>o</w:t>
      </w:r>
      <w:r w:rsidR="000A5470" w:rsidRPr="00055A0B">
        <w:rPr>
          <w:color w:val="000000" w:themeColor="text1"/>
          <w:szCs w:val="24"/>
        </w:rPr>
        <w:t xml:space="preserve">fficer </w:t>
      </w:r>
      <w:r w:rsidR="00055A0B" w:rsidRPr="00055A0B">
        <w:rPr>
          <w:color w:val="000000" w:themeColor="text1"/>
          <w:szCs w:val="24"/>
        </w:rPr>
        <w:t>and considered by the Board.  It was determined that none could be argued as unfitting and subject to s</w:t>
      </w:r>
      <w:r w:rsidR="00276F1E">
        <w:rPr>
          <w:color w:val="000000" w:themeColor="text1"/>
          <w:szCs w:val="24"/>
        </w:rPr>
        <w:t xml:space="preserve">eparation rating.  Additionally, </w:t>
      </w:r>
      <w:proofErr w:type="spellStart"/>
      <w:r w:rsidR="002210A4" w:rsidRPr="00055A0B">
        <w:rPr>
          <w:color w:val="000000" w:themeColor="text1"/>
          <w:szCs w:val="24"/>
        </w:rPr>
        <w:t>gastroesophag</w:t>
      </w:r>
      <w:r w:rsidR="002210A4">
        <w:rPr>
          <w:color w:val="000000" w:themeColor="text1"/>
          <w:szCs w:val="24"/>
        </w:rPr>
        <w:t>e</w:t>
      </w:r>
      <w:r w:rsidR="002210A4" w:rsidRPr="00055A0B">
        <w:rPr>
          <w:color w:val="000000" w:themeColor="text1"/>
          <w:szCs w:val="24"/>
        </w:rPr>
        <w:t>al</w:t>
      </w:r>
      <w:proofErr w:type="spellEnd"/>
      <w:r w:rsidR="00055A0B" w:rsidRPr="00055A0B">
        <w:rPr>
          <w:color w:val="000000" w:themeColor="text1"/>
          <w:szCs w:val="24"/>
        </w:rPr>
        <w:t xml:space="preserve"> reflux disease was noted in the VA rating decision proximal to separation, but was not documented in the DES file.  The Board does not have the authority under </w:t>
      </w:r>
      <w:proofErr w:type="spellStart"/>
      <w:r w:rsidR="00055A0B" w:rsidRPr="00055A0B">
        <w:rPr>
          <w:color w:val="000000" w:themeColor="text1"/>
          <w:szCs w:val="24"/>
        </w:rPr>
        <w:t>DoDI</w:t>
      </w:r>
      <w:proofErr w:type="spellEnd"/>
      <w:r w:rsidR="00055A0B" w:rsidRPr="00055A0B">
        <w:rPr>
          <w:color w:val="000000" w:themeColor="text1"/>
          <w:szCs w:val="24"/>
        </w:rPr>
        <w:t xml:space="preserve"> 6040.44 to render fitness or rating recommendations for any conditions not considered by the DES.  The Board therefore has no reasonable basis for recommending any additional unfitting conditions for separation rating.</w:t>
      </w:r>
    </w:p>
    <w:p w:rsidR="001031F4" w:rsidRPr="001F29F9" w:rsidRDefault="001031F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F1737C" w:rsidRPr="001F29F9" w:rsidRDefault="00F1737C" w:rsidP="006364ED">
      <w:pPr>
        <w:jc w:val="left"/>
        <w:rPr>
          <w:color w:val="000000" w:themeColor="text1"/>
          <w:szCs w:val="24"/>
        </w:rPr>
      </w:pPr>
    </w:p>
    <w:p w:rsidR="003C53E8" w:rsidRPr="003C53E8" w:rsidRDefault="00C56FC8" w:rsidP="00276F1E">
      <w:pPr>
        <w:jc w:val="both"/>
        <w:rPr>
          <w:rFonts w:asciiTheme="minorHAnsi" w:hAnsiTheme="minorHAnsi" w:cs="Times New Roman"/>
          <w:color w:val="auto"/>
          <w:szCs w:val="24"/>
        </w:rPr>
      </w:pPr>
      <w:r w:rsidRPr="001F29F9">
        <w:rPr>
          <w:color w:val="000000" w:themeColor="text1"/>
          <w:szCs w:val="24"/>
          <w:u w:val="single"/>
        </w:rPr>
        <w:t>BOARD FINDINGS</w:t>
      </w:r>
      <w:r w:rsidRPr="001F29F9">
        <w:rPr>
          <w:color w:val="000000" w:themeColor="text1"/>
          <w:szCs w:val="24"/>
        </w:rPr>
        <w:t>:</w:t>
      </w:r>
      <w:r w:rsidRPr="001F29F9">
        <w:rPr>
          <w:rFonts w:eastAsiaTheme="minorHAnsi"/>
          <w:color w:val="000000" w:themeColor="text1"/>
          <w:szCs w:val="24"/>
        </w:rPr>
        <w:t xml:space="preserve">  IAW </w:t>
      </w:r>
      <w:proofErr w:type="spellStart"/>
      <w:r w:rsidRPr="001F29F9">
        <w:rPr>
          <w:rFonts w:eastAsiaTheme="minorHAnsi"/>
          <w:color w:val="000000" w:themeColor="text1"/>
          <w:szCs w:val="24"/>
        </w:rPr>
        <w:t>DoDI</w:t>
      </w:r>
      <w:proofErr w:type="spellEnd"/>
      <w:r w:rsidRPr="001F29F9">
        <w:rPr>
          <w:rFonts w:eastAsiaTheme="minorHAnsi"/>
          <w:color w:val="000000" w:themeColor="text1"/>
          <w:szCs w:val="24"/>
        </w:rPr>
        <w:t xml:space="preserve"> 6040.44, provisions of </w:t>
      </w:r>
      <w:proofErr w:type="spellStart"/>
      <w:r w:rsidRPr="001F29F9">
        <w:rPr>
          <w:rFonts w:eastAsiaTheme="minorHAnsi"/>
          <w:color w:val="000000" w:themeColor="text1"/>
          <w:szCs w:val="24"/>
        </w:rPr>
        <w:t>DoD</w:t>
      </w:r>
      <w:proofErr w:type="spellEnd"/>
      <w:r w:rsidRPr="001F29F9">
        <w:rPr>
          <w:rFonts w:eastAsiaTheme="minorHAnsi"/>
          <w:color w:val="000000" w:themeColor="text1"/>
          <w:szCs w:val="24"/>
        </w:rPr>
        <w:t xml:space="preserve"> or Military Department regulations or guidelines relied upon by the PEB will not be considered by the Board to the extent they were </w:t>
      </w:r>
      <w:r w:rsidRPr="00276F1E">
        <w:rPr>
          <w:rFonts w:eastAsiaTheme="minorHAnsi"/>
          <w:color w:val="000000" w:themeColor="text1"/>
          <w:szCs w:val="24"/>
        </w:rPr>
        <w:t xml:space="preserve">inconsistent with the </w:t>
      </w:r>
      <w:r w:rsidRPr="002060DE">
        <w:rPr>
          <w:rFonts w:eastAsiaTheme="minorHAnsi"/>
          <w:color w:val="000000" w:themeColor="text1"/>
          <w:szCs w:val="24"/>
        </w:rPr>
        <w:t>VASRD in effect at the time of the adjudication</w:t>
      </w:r>
      <w:r w:rsidR="00276F1E" w:rsidRPr="002060DE">
        <w:rPr>
          <w:rFonts w:asciiTheme="minorHAnsi" w:eastAsiaTheme="minorHAnsi" w:hAnsiTheme="minorHAnsi" w:cs="Times New Roman"/>
          <w:color w:val="auto"/>
          <w:szCs w:val="24"/>
        </w:rPr>
        <w:t xml:space="preserve">.  The Board did not surmise from the record or PEB ruling in this case that any prerogatives outside the VASRD were exercised.  </w:t>
      </w:r>
      <w:r w:rsidR="003C53E8" w:rsidRPr="002060DE">
        <w:rPr>
          <w:rFonts w:asciiTheme="minorHAnsi" w:eastAsiaTheme="minorHAnsi" w:hAnsiTheme="minorHAnsi" w:cs="Times New Roman"/>
          <w:color w:val="auto"/>
          <w:szCs w:val="24"/>
        </w:rPr>
        <w:t xml:space="preserve">In the matter of the </w:t>
      </w:r>
      <w:r w:rsidR="00276F1E" w:rsidRPr="002060DE">
        <w:rPr>
          <w:rFonts w:asciiTheme="minorHAnsi" w:eastAsiaTheme="minorHAnsi" w:hAnsiTheme="minorHAnsi" w:cs="Times New Roman"/>
          <w:color w:val="auto"/>
          <w:szCs w:val="24"/>
        </w:rPr>
        <w:t>asthma</w:t>
      </w:r>
      <w:r w:rsidR="003C53E8" w:rsidRPr="002060DE">
        <w:rPr>
          <w:rFonts w:asciiTheme="minorHAnsi" w:eastAsiaTheme="minorHAnsi" w:hAnsiTheme="minorHAnsi" w:cs="Times New Roman"/>
          <w:color w:val="auto"/>
          <w:szCs w:val="24"/>
        </w:rPr>
        <w:t xml:space="preserve"> condition and </w:t>
      </w:r>
      <w:r w:rsidR="003C53E8" w:rsidRPr="002060DE">
        <w:rPr>
          <w:rFonts w:asciiTheme="minorHAnsi" w:hAnsiTheme="minorHAnsi" w:cs="Times New Roman"/>
          <w:color w:val="auto"/>
          <w:szCs w:val="24"/>
        </w:rPr>
        <w:t>IAW VASRD §4.</w:t>
      </w:r>
      <w:r w:rsidR="00276F1E" w:rsidRPr="002060DE">
        <w:rPr>
          <w:rFonts w:asciiTheme="minorHAnsi" w:hAnsiTheme="minorHAnsi" w:cs="Times New Roman"/>
          <w:color w:val="auto"/>
          <w:szCs w:val="24"/>
        </w:rPr>
        <w:t>9</w:t>
      </w:r>
      <w:r w:rsidR="003C53E8" w:rsidRPr="002060DE">
        <w:rPr>
          <w:rFonts w:asciiTheme="minorHAnsi" w:hAnsiTheme="minorHAnsi" w:cs="Times New Roman"/>
          <w:color w:val="auto"/>
          <w:szCs w:val="24"/>
        </w:rPr>
        <w:t>7</w:t>
      </w:r>
      <w:r w:rsidR="003C53E8" w:rsidRPr="002060DE">
        <w:rPr>
          <w:rFonts w:asciiTheme="minorHAnsi" w:eastAsiaTheme="minorHAnsi" w:hAnsiTheme="minorHAnsi" w:cs="Times New Roman"/>
          <w:color w:val="auto"/>
          <w:szCs w:val="24"/>
        </w:rPr>
        <w:t>, the Board unanimously recommends no change in the PEB adjudication</w:t>
      </w:r>
      <w:r w:rsidR="000A5470" w:rsidRPr="002060DE">
        <w:rPr>
          <w:rFonts w:asciiTheme="minorHAnsi" w:eastAsiaTheme="minorHAnsi" w:hAnsiTheme="minorHAnsi" w:cs="Times New Roman"/>
          <w:color w:val="auto"/>
          <w:szCs w:val="24"/>
        </w:rPr>
        <w:t>s at TDRL or at permanent separation</w:t>
      </w:r>
      <w:r w:rsidR="003C53E8" w:rsidRPr="002060DE">
        <w:rPr>
          <w:rFonts w:asciiTheme="minorHAnsi" w:hAnsiTheme="minorHAnsi" w:cs="Times New Roman"/>
          <w:color w:val="auto"/>
          <w:szCs w:val="24"/>
        </w:rPr>
        <w:t>.  The Board unanimously agrees that there were no other conditions eligible for Board consideration which could be recommended</w:t>
      </w:r>
      <w:r w:rsidR="003C53E8" w:rsidRPr="00276F1E">
        <w:rPr>
          <w:rFonts w:asciiTheme="minorHAnsi" w:hAnsiTheme="minorHAnsi" w:cs="Times New Roman"/>
          <w:color w:val="auto"/>
          <w:szCs w:val="24"/>
        </w:rPr>
        <w:t xml:space="preserve"> as additionally unfitting for rating at separation.</w:t>
      </w:r>
    </w:p>
    <w:p w:rsidR="00F1737C" w:rsidRPr="001F29F9" w:rsidRDefault="00F1737C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F1737C" w:rsidRPr="001F29F9" w:rsidRDefault="00F1737C" w:rsidP="006364ED">
      <w:pPr>
        <w:jc w:val="left"/>
        <w:rPr>
          <w:color w:val="000000" w:themeColor="text1"/>
          <w:szCs w:val="24"/>
        </w:rPr>
      </w:pPr>
    </w:p>
    <w:p w:rsidR="00FB593A" w:rsidRDefault="00C56FC8" w:rsidP="00BF0E94">
      <w:pPr>
        <w:jc w:val="left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  <w:u w:val="single"/>
        </w:rPr>
        <w:t>RECOMMENDATION</w:t>
      </w:r>
      <w:r w:rsidRPr="001F29F9">
        <w:rPr>
          <w:color w:val="000000" w:themeColor="text1"/>
          <w:szCs w:val="24"/>
        </w:rPr>
        <w:t>:</w:t>
      </w:r>
      <w:r w:rsidR="00276F1E" w:rsidRPr="00276F1E">
        <w:rPr>
          <w:color w:val="000000" w:themeColor="text1"/>
          <w:szCs w:val="24"/>
        </w:rPr>
        <w:t xml:space="preserve"> </w:t>
      </w:r>
      <w:r w:rsidR="00276F1E">
        <w:rPr>
          <w:color w:val="000000" w:themeColor="text1"/>
          <w:szCs w:val="24"/>
        </w:rPr>
        <w:t xml:space="preserve"> </w:t>
      </w:r>
      <w:r w:rsidR="00276F1E" w:rsidRPr="001F29F9">
        <w:rPr>
          <w:color w:val="000000" w:themeColor="text1"/>
          <w:szCs w:val="24"/>
        </w:rPr>
        <w:t xml:space="preserve">The Board, therefore, recommends that there be no </w:t>
      </w:r>
      <w:proofErr w:type="spellStart"/>
      <w:r w:rsidR="00276F1E" w:rsidRPr="001F29F9">
        <w:rPr>
          <w:color w:val="000000" w:themeColor="text1"/>
          <w:szCs w:val="24"/>
        </w:rPr>
        <w:t>recharacterization</w:t>
      </w:r>
      <w:proofErr w:type="spellEnd"/>
      <w:r w:rsidR="00276F1E" w:rsidRPr="001F29F9">
        <w:rPr>
          <w:color w:val="000000" w:themeColor="text1"/>
          <w:szCs w:val="24"/>
        </w:rPr>
        <w:t xml:space="preserve"> of the CI’s disability and separation determination, as follows:</w:t>
      </w:r>
    </w:p>
    <w:p w:rsidR="00BA6A9C" w:rsidRDefault="00BA6A9C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0"/>
        <w:gridCol w:w="1530"/>
        <w:gridCol w:w="810"/>
        <w:gridCol w:w="1530"/>
      </w:tblGrid>
      <w:tr w:rsidR="003E2BB7" w:rsidRPr="00071071" w:rsidTr="009A0B96">
        <w:trPr>
          <w:trHeight w:val="206"/>
          <w:jc w:val="center"/>
        </w:trPr>
        <w:tc>
          <w:tcPr>
            <w:tcW w:w="5490" w:type="dxa"/>
            <w:vMerge w:val="restart"/>
            <w:shd w:val="clear" w:color="auto" w:fill="D9D9D9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VASRD CODE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2BB7" w:rsidRPr="00071071" w:rsidRDefault="003E2BB7" w:rsidP="009A0B96">
            <w:pPr>
              <w:rPr>
                <w:color w:val="000000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RATING</w:t>
            </w:r>
          </w:p>
        </w:tc>
      </w:tr>
      <w:tr w:rsidR="003E2BB7" w:rsidRPr="00071071" w:rsidTr="009A0B96">
        <w:trPr>
          <w:trHeight w:val="194"/>
          <w:jc w:val="center"/>
        </w:trPr>
        <w:tc>
          <w:tcPr>
            <w:tcW w:w="5490" w:type="dxa"/>
            <w:vMerge/>
            <w:shd w:val="clear" w:color="auto" w:fill="D9D9D9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2BB7" w:rsidRPr="00071071" w:rsidRDefault="003E2BB7" w:rsidP="009A0B96">
            <w:pPr>
              <w:rPr>
                <w:color w:val="000000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TDRL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PERMANENT</w:t>
            </w:r>
          </w:p>
        </w:tc>
      </w:tr>
      <w:tr w:rsidR="003E2BB7" w:rsidRPr="00071071" w:rsidTr="009A0B96">
        <w:trPr>
          <w:trHeight w:val="197"/>
          <w:jc w:val="center"/>
        </w:trPr>
        <w:tc>
          <w:tcPr>
            <w:tcW w:w="5490" w:type="dxa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jc w:val="left"/>
              <w:rPr>
                <w:rFonts w:eastAsia="Calibri" w:cs="Times New Roman"/>
                <w:color w:val="auto"/>
                <w:szCs w:val="24"/>
              </w:rPr>
            </w:pPr>
            <w:r>
              <w:rPr>
                <w:color w:val="000000" w:themeColor="text1"/>
                <w:szCs w:val="24"/>
              </w:rPr>
              <w:t>Asthma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E2BB7" w:rsidRPr="000D5DBE" w:rsidRDefault="003E2BB7" w:rsidP="009A0B96">
            <w:pPr>
              <w:tabs>
                <w:tab w:val="left" w:pos="288"/>
                <w:tab w:val="left" w:pos="4752"/>
              </w:tabs>
              <w:rPr>
                <w:color w:val="000000"/>
              </w:rPr>
            </w:pPr>
            <w:r>
              <w:rPr>
                <w:color w:val="000000" w:themeColor="text1"/>
                <w:szCs w:val="24"/>
              </w:rPr>
              <w:t>6602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E2BB7" w:rsidRPr="000D5DBE" w:rsidRDefault="003E2BB7" w:rsidP="009A0B96">
            <w:pPr>
              <w:tabs>
                <w:tab w:val="left" w:pos="288"/>
                <w:tab w:val="left" w:pos="4752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D5DBE">
              <w:rPr>
                <w:color w:val="000000"/>
              </w:rPr>
              <w:t>0%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</w:t>
            </w:r>
            <w:r w:rsidRPr="00071071">
              <w:rPr>
                <w:rFonts w:eastAsia="Calibri" w:cs="Times New Roman"/>
                <w:color w:val="auto"/>
                <w:szCs w:val="24"/>
              </w:rPr>
              <w:t>0%</w:t>
            </w:r>
          </w:p>
        </w:tc>
      </w:tr>
      <w:tr w:rsidR="003E2BB7" w:rsidRPr="00071071" w:rsidTr="009A0B96">
        <w:tblPrEx>
          <w:tblLook w:val="0000"/>
        </w:tblPrEx>
        <w:trPr>
          <w:gridBefore w:val="1"/>
          <w:wBefore w:w="5490" w:type="dxa"/>
          <w:trHeight w:val="161"/>
          <w:jc w:val="center"/>
        </w:trPr>
        <w:tc>
          <w:tcPr>
            <w:tcW w:w="153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071071">
              <w:rPr>
                <w:rFonts w:eastAsia="Calibri" w:cs="Times New Roman"/>
                <w:b/>
                <w:color w:val="auto"/>
                <w:szCs w:val="24"/>
              </w:rPr>
              <w:t>COMBINED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b/>
                <w:color w:val="auto"/>
                <w:szCs w:val="24"/>
              </w:rPr>
              <w:t>3</w:t>
            </w:r>
            <w:r w:rsidRPr="00071071">
              <w:rPr>
                <w:rFonts w:eastAsia="Calibri" w:cs="Times New Roman"/>
                <w:b/>
                <w:color w:val="auto"/>
                <w:szCs w:val="24"/>
              </w:rPr>
              <w:t>0%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3E2BB7" w:rsidRPr="00071071" w:rsidRDefault="003E2BB7" w:rsidP="009A0B96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b/>
                <w:color w:val="auto"/>
                <w:szCs w:val="24"/>
              </w:rPr>
              <w:t>1</w:t>
            </w:r>
            <w:r w:rsidRPr="00071071">
              <w:rPr>
                <w:rFonts w:eastAsia="Calibri" w:cs="Times New Roman"/>
                <w:b/>
                <w:color w:val="auto"/>
                <w:szCs w:val="24"/>
              </w:rPr>
              <w:t>0%</w:t>
            </w:r>
          </w:p>
        </w:tc>
      </w:tr>
    </w:tbl>
    <w:p w:rsidR="005B1D09" w:rsidRPr="001F29F9" w:rsidRDefault="005B1D09" w:rsidP="00722108">
      <w:pPr>
        <w:jc w:val="both"/>
        <w:rPr>
          <w:color w:val="000000" w:themeColor="text1"/>
          <w:szCs w:val="24"/>
        </w:rPr>
      </w:pPr>
    </w:p>
    <w:p w:rsidR="002060DE" w:rsidRDefault="002060D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91DA6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lastRenderedPageBreak/>
        <w:t>The following documentary evidence was considered:</w:t>
      </w:r>
    </w:p>
    <w:p w:rsidR="00114F20" w:rsidRPr="001F29F9" w:rsidRDefault="00FB1725" w:rsidP="00B3575C">
      <w:pPr>
        <w:tabs>
          <w:tab w:val="left" w:pos="288"/>
          <w:tab w:val="left" w:pos="4752"/>
        </w:tabs>
        <w:spacing w:line="440" w:lineRule="exact"/>
        <w:jc w:val="both"/>
        <w:rPr>
          <w:color w:val="000000" w:themeColor="text1"/>
        </w:rPr>
      </w:pPr>
      <w:r w:rsidRPr="001F29F9">
        <w:rPr>
          <w:color w:val="000000" w:themeColor="text1"/>
        </w:rPr>
        <w:t xml:space="preserve">Exhibit A.  DD Form 294, </w:t>
      </w:r>
      <w:r w:rsidRPr="001F29F9">
        <w:rPr>
          <w:color w:val="000000" w:themeColor="text1"/>
          <w:szCs w:val="24"/>
        </w:rPr>
        <w:t>dated 20</w:t>
      </w:r>
      <w:r w:rsidR="00276F1E">
        <w:rPr>
          <w:color w:val="000000" w:themeColor="text1"/>
          <w:szCs w:val="24"/>
        </w:rPr>
        <w:t>110401</w:t>
      </w:r>
      <w:r w:rsidR="00722108">
        <w:rPr>
          <w:color w:val="000000" w:themeColor="text1"/>
        </w:rPr>
        <w:t>, w/</w:t>
      </w:r>
      <w:proofErr w:type="spellStart"/>
      <w:r w:rsidR="00722108">
        <w:rPr>
          <w:color w:val="000000" w:themeColor="text1"/>
        </w:rPr>
        <w:t>atchs</w:t>
      </w:r>
      <w:proofErr w:type="spellEnd"/>
    </w:p>
    <w:p w:rsidR="00114F20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Exhib</w:t>
      </w:r>
      <w:r w:rsidR="00722108">
        <w:rPr>
          <w:color w:val="000000" w:themeColor="text1"/>
        </w:rPr>
        <w:t>it B.  Service Treatment Record</w:t>
      </w:r>
    </w:p>
    <w:p w:rsidR="00114F20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Exhibit C.  Department of Ve</w:t>
      </w:r>
      <w:r w:rsidR="00722108">
        <w:rPr>
          <w:color w:val="000000" w:themeColor="text1"/>
        </w:rPr>
        <w:t>terans Affairs Treatment Record</w:t>
      </w:r>
    </w:p>
    <w:p w:rsidR="00D91DA6" w:rsidRPr="001F29F9" w:rsidRDefault="00D91DA6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114F2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E3077F" w:rsidRPr="001F29F9" w:rsidRDefault="00B42320" w:rsidP="00BF0E94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 xml:space="preserve"> </w:t>
      </w:r>
    </w:p>
    <w:p w:rsidR="002F195B" w:rsidRPr="001F29F9" w:rsidRDefault="00220FA9" w:rsidP="00BF0E94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</w:r>
      <w:r w:rsidR="008E3C90" w:rsidRPr="001F29F9">
        <w:rPr>
          <w:color w:val="000000" w:themeColor="text1"/>
          <w:szCs w:val="24"/>
        </w:rPr>
        <w:t xml:space="preserve">           </w:t>
      </w:r>
      <w:r w:rsidR="005F73CA" w:rsidRPr="001F29F9">
        <w:rPr>
          <w:color w:val="000000" w:themeColor="text1"/>
          <w:szCs w:val="24"/>
        </w:rPr>
        <w:t>President</w:t>
      </w:r>
    </w:p>
    <w:p w:rsidR="00B42320" w:rsidRDefault="002F195B" w:rsidP="00BF0E94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  <w:t xml:space="preserve">           </w:t>
      </w:r>
      <w:r w:rsidR="00220FA9" w:rsidRPr="001F29F9">
        <w:rPr>
          <w:color w:val="000000" w:themeColor="text1"/>
          <w:szCs w:val="24"/>
        </w:rPr>
        <w:t>P</w:t>
      </w:r>
      <w:r w:rsidR="00E3077F" w:rsidRPr="001F29F9">
        <w:rPr>
          <w:color w:val="000000" w:themeColor="text1"/>
          <w:szCs w:val="24"/>
        </w:rPr>
        <w:t>hysical Disability Board of Review</w:t>
      </w:r>
    </w:p>
    <w:p w:rsidR="00B42320" w:rsidRDefault="00B4232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lastRenderedPageBreak/>
        <w:t>SFMR-RB</w:t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  <w:r w:rsidRPr="00B42320">
        <w:rPr>
          <w:color w:val="000000" w:themeColor="text1"/>
          <w:szCs w:val="24"/>
        </w:rPr>
        <w:tab/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 xml:space="preserve">MEMORANDUM FOR Commander, US Army Physical Disability Agency </w:t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 xml:space="preserve">SUBJECT:  Department of Defense Physical Disability Board of Review Recommendation </w:t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>I have reviewed the enclosed Department of Defense Physical Disability Board of Review (</w:t>
      </w:r>
      <w:proofErr w:type="spellStart"/>
      <w:r w:rsidRPr="00B42320">
        <w:rPr>
          <w:color w:val="000000" w:themeColor="text1"/>
          <w:szCs w:val="24"/>
        </w:rPr>
        <w:t>DoD</w:t>
      </w:r>
      <w:proofErr w:type="spellEnd"/>
      <w:r w:rsidRPr="00B42320">
        <w:rPr>
          <w:color w:val="000000" w:themeColor="text1"/>
          <w:szCs w:val="24"/>
        </w:rPr>
        <w:t xml:space="preserve"> PDBR) recommendation and record of proceedings pertaining to the subject individual.  Under the authority of Title 10, United States Code, section 1554a,   I accept the Board’s recommendation and hereby deny the individual’s application.  </w:t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>This decision is final.  The individual concerned, counsel (if any), and any Members of Congress who have shown interest in this application have been notified of this decision by mail.</w:t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 xml:space="preserve"> BY ORDER OF THE SECRETARY OF THE ARMY:</w:t>
      </w: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2320" w:rsidRPr="00B42320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bookmarkStart w:id="0" w:name="OLE_LINK3"/>
      <w:bookmarkStart w:id="1" w:name="OLE_LINK4"/>
      <w:r w:rsidRPr="00B42320">
        <w:rPr>
          <w:color w:val="000000" w:themeColor="text1"/>
          <w:szCs w:val="24"/>
        </w:rPr>
        <w:tab/>
        <w:t xml:space="preserve">     Deputy Assistant Secretary</w:t>
      </w:r>
    </w:p>
    <w:p w:rsidR="00E3077F" w:rsidRPr="001F29F9" w:rsidRDefault="00B42320" w:rsidP="00B42320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B42320">
        <w:rPr>
          <w:color w:val="000000" w:themeColor="text1"/>
          <w:szCs w:val="24"/>
        </w:rPr>
        <w:tab/>
        <w:t xml:space="preserve">         (Army Review Boards)</w:t>
      </w:r>
      <w:bookmarkEnd w:id="0"/>
      <w:bookmarkEnd w:id="1"/>
    </w:p>
    <w:p w:rsidR="00BF3578" w:rsidRPr="00FE67BC" w:rsidRDefault="00FE67BC" w:rsidP="00FE67BC">
      <w:pPr>
        <w:tabs>
          <w:tab w:val="left" w:pos="292"/>
          <w:tab w:val="center" w:pos="4680"/>
        </w:tabs>
        <w:jc w:val="left"/>
        <w:rPr>
          <w:color w:val="000000" w:themeColor="text1"/>
          <w:szCs w:val="24"/>
        </w:rPr>
      </w:pPr>
      <w:r w:rsidRPr="00FE67BC">
        <w:rPr>
          <w:color w:val="000000" w:themeColor="text1"/>
          <w:szCs w:val="24"/>
        </w:rPr>
        <w:tab/>
      </w:r>
      <w:r w:rsidRPr="00FE67BC">
        <w:rPr>
          <w:color w:val="000000" w:themeColor="text1"/>
          <w:szCs w:val="24"/>
        </w:rPr>
        <w:tab/>
      </w:r>
      <w:r w:rsidRPr="00FE67BC">
        <w:rPr>
          <w:color w:val="000000" w:themeColor="text1"/>
          <w:szCs w:val="24"/>
        </w:rPr>
        <w:tab/>
      </w:r>
    </w:p>
    <w:sectPr w:rsidR="00BF3578" w:rsidRPr="00FE67BC" w:rsidSect="00E70164"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78" w:rsidRDefault="00FC6C78">
      <w:r>
        <w:separator/>
      </w:r>
    </w:p>
  </w:endnote>
  <w:endnote w:type="continuationSeparator" w:id="0">
    <w:p w:rsidR="00FC6C78" w:rsidRDefault="00FC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50D031D-F320-4E16-AC26-1EC6914C8A5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Cs w:val="24"/>
      </w:rPr>
      <w:id w:val="94093361"/>
      <w:docPartObj>
        <w:docPartGallery w:val="Page Numbers (Bottom of Page)"/>
        <w:docPartUnique/>
      </w:docPartObj>
    </w:sdtPr>
    <w:sdtContent>
      <w:p w:rsidR="009A0B96" w:rsidRPr="00374247" w:rsidRDefault="009A0B96" w:rsidP="00374247">
        <w:pPr>
          <w:pStyle w:val="Footer"/>
          <w:ind w:firstLine="4320"/>
          <w:rPr>
            <w:color w:val="auto"/>
            <w:szCs w:val="24"/>
          </w:rPr>
        </w:pPr>
        <w:r w:rsidRPr="00374247">
          <w:rPr>
            <w:color w:val="auto"/>
            <w:szCs w:val="24"/>
          </w:rPr>
          <w:t xml:space="preserve">   </w:t>
        </w:r>
        <w:r w:rsidR="00B86ACE" w:rsidRPr="00374247">
          <w:rPr>
            <w:color w:val="auto"/>
            <w:szCs w:val="24"/>
          </w:rPr>
          <w:fldChar w:fldCharType="begin"/>
        </w:r>
        <w:r w:rsidRPr="00374247">
          <w:rPr>
            <w:color w:val="auto"/>
            <w:szCs w:val="24"/>
          </w:rPr>
          <w:instrText xml:space="preserve"> PAGE   \* MERGEFORMAT </w:instrText>
        </w:r>
        <w:r w:rsidR="00B86ACE" w:rsidRPr="00374247">
          <w:rPr>
            <w:color w:val="auto"/>
            <w:szCs w:val="24"/>
          </w:rPr>
          <w:fldChar w:fldCharType="separate"/>
        </w:r>
        <w:r w:rsidR="00B42320" w:rsidRPr="00B42320">
          <w:rPr>
            <w:noProof/>
            <w:color w:val="auto"/>
          </w:rPr>
          <w:t>5</w:t>
        </w:r>
        <w:r w:rsidR="00B86ACE" w:rsidRPr="00374247">
          <w:rPr>
            <w:color w:val="auto"/>
            <w:szCs w:val="24"/>
          </w:rPr>
          <w:fldChar w:fldCharType="end"/>
        </w:r>
        <w:r w:rsidRPr="00374247">
          <w:rPr>
            <w:color w:val="auto"/>
            <w:szCs w:val="24"/>
          </w:rPr>
          <w:t xml:space="preserve">                                                           </w:t>
        </w:r>
        <w:r w:rsidRPr="00F21347">
          <w:rPr>
            <w:color w:val="auto"/>
            <w:szCs w:val="24"/>
          </w:rPr>
          <w:t>PD1100224</w:t>
        </w:r>
      </w:p>
    </w:sdtContent>
  </w:sdt>
  <w:p w:rsidR="009A0B96" w:rsidRPr="00684CE6" w:rsidRDefault="009A0B96">
    <w:pPr>
      <w:pStyle w:val="Foo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78" w:rsidRDefault="00FC6C78">
      <w:r>
        <w:separator/>
      </w:r>
    </w:p>
  </w:footnote>
  <w:footnote w:type="continuationSeparator" w:id="0">
    <w:p w:rsidR="00FC6C78" w:rsidRDefault="00FC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CC"/>
    <w:multiLevelType w:val="hybridMultilevel"/>
    <w:tmpl w:val="BFA4751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CC"/>
    <w:multiLevelType w:val="hybridMultilevel"/>
    <w:tmpl w:val="F26CA91A"/>
    <w:lvl w:ilvl="0" w:tplc="8F7AB93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F9B"/>
    <w:multiLevelType w:val="hybridMultilevel"/>
    <w:tmpl w:val="D61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4EEB"/>
    <w:multiLevelType w:val="hybridMultilevel"/>
    <w:tmpl w:val="A5C2833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C56"/>
    <w:multiLevelType w:val="hybridMultilevel"/>
    <w:tmpl w:val="E8F47BEC"/>
    <w:lvl w:ilvl="0" w:tplc="8426079A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17BA7C44"/>
    <w:multiLevelType w:val="hybridMultilevel"/>
    <w:tmpl w:val="7C12628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22F0"/>
    <w:multiLevelType w:val="hybridMultilevel"/>
    <w:tmpl w:val="DF66D32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D80"/>
    <w:multiLevelType w:val="hybridMultilevel"/>
    <w:tmpl w:val="A89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8FD"/>
    <w:multiLevelType w:val="hybridMultilevel"/>
    <w:tmpl w:val="6AA8201E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A3FF5"/>
    <w:multiLevelType w:val="hybridMultilevel"/>
    <w:tmpl w:val="CDACECDE"/>
    <w:lvl w:ilvl="0" w:tplc="DF86C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F193D"/>
    <w:multiLevelType w:val="hybridMultilevel"/>
    <w:tmpl w:val="9C4EF4C6"/>
    <w:lvl w:ilvl="0" w:tplc="3B98A07E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6437"/>
    <w:multiLevelType w:val="hybridMultilevel"/>
    <w:tmpl w:val="F88001A6"/>
    <w:lvl w:ilvl="0" w:tplc="5E7A03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6844"/>
    <w:multiLevelType w:val="hybridMultilevel"/>
    <w:tmpl w:val="979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253"/>
    <w:multiLevelType w:val="hybridMultilevel"/>
    <w:tmpl w:val="5E96218A"/>
    <w:lvl w:ilvl="0" w:tplc="4F8E8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E172F4"/>
    <w:multiLevelType w:val="hybridMultilevel"/>
    <w:tmpl w:val="3B98A040"/>
    <w:lvl w:ilvl="0" w:tplc="C5A26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37FB"/>
    <w:multiLevelType w:val="hybridMultilevel"/>
    <w:tmpl w:val="E81C20AE"/>
    <w:lvl w:ilvl="0" w:tplc="41C21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C58B7"/>
    <w:multiLevelType w:val="hybridMultilevel"/>
    <w:tmpl w:val="871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20263"/>
    <w:multiLevelType w:val="hybridMultilevel"/>
    <w:tmpl w:val="5ABA2AD0"/>
    <w:lvl w:ilvl="0" w:tplc="C3D8CF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670E"/>
    <w:multiLevelType w:val="hybridMultilevel"/>
    <w:tmpl w:val="7C92692E"/>
    <w:lvl w:ilvl="0" w:tplc="20A6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A16B7"/>
    <w:multiLevelType w:val="hybridMultilevel"/>
    <w:tmpl w:val="3BD2466C"/>
    <w:lvl w:ilvl="0" w:tplc="AABA2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21"/>
  </w:num>
  <w:num w:numId="16">
    <w:abstractNumId w:val="1"/>
  </w:num>
  <w:num w:numId="17">
    <w:abstractNumId w:val="19"/>
  </w:num>
  <w:num w:numId="18">
    <w:abstractNumId w:val="10"/>
  </w:num>
  <w:num w:numId="19">
    <w:abstractNumId w:val="13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NotDisplayPageBoundaries/>
  <w:printFractionalCharacterWidth/>
  <w:embedTrueTypeFonts/>
  <w:embedSystemFonts/>
  <w:saveSubset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4F5"/>
    <w:rsid w:val="000059FA"/>
    <w:rsid w:val="00006186"/>
    <w:rsid w:val="00006F87"/>
    <w:rsid w:val="00007107"/>
    <w:rsid w:val="00010ABA"/>
    <w:rsid w:val="00010B0F"/>
    <w:rsid w:val="00012428"/>
    <w:rsid w:val="00012733"/>
    <w:rsid w:val="00013417"/>
    <w:rsid w:val="000145C2"/>
    <w:rsid w:val="0001473F"/>
    <w:rsid w:val="00014A47"/>
    <w:rsid w:val="00014A9E"/>
    <w:rsid w:val="00017778"/>
    <w:rsid w:val="00021361"/>
    <w:rsid w:val="00022CF3"/>
    <w:rsid w:val="00023913"/>
    <w:rsid w:val="00023D43"/>
    <w:rsid w:val="00024002"/>
    <w:rsid w:val="00024DE7"/>
    <w:rsid w:val="00026092"/>
    <w:rsid w:val="000266C9"/>
    <w:rsid w:val="00030776"/>
    <w:rsid w:val="00032E07"/>
    <w:rsid w:val="000332CA"/>
    <w:rsid w:val="0003374E"/>
    <w:rsid w:val="000344D8"/>
    <w:rsid w:val="000344E6"/>
    <w:rsid w:val="00035C3A"/>
    <w:rsid w:val="00036E4B"/>
    <w:rsid w:val="00037929"/>
    <w:rsid w:val="000379D0"/>
    <w:rsid w:val="00040FC4"/>
    <w:rsid w:val="000416F8"/>
    <w:rsid w:val="00042C26"/>
    <w:rsid w:val="00043382"/>
    <w:rsid w:val="00044623"/>
    <w:rsid w:val="000452D7"/>
    <w:rsid w:val="000470C9"/>
    <w:rsid w:val="00051622"/>
    <w:rsid w:val="00051A11"/>
    <w:rsid w:val="00052234"/>
    <w:rsid w:val="00053D7C"/>
    <w:rsid w:val="00055A0B"/>
    <w:rsid w:val="000575C5"/>
    <w:rsid w:val="000577C9"/>
    <w:rsid w:val="00060FFD"/>
    <w:rsid w:val="00061D69"/>
    <w:rsid w:val="0006431E"/>
    <w:rsid w:val="000652EA"/>
    <w:rsid w:val="00065E21"/>
    <w:rsid w:val="000673ED"/>
    <w:rsid w:val="00067854"/>
    <w:rsid w:val="00070DED"/>
    <w:rsid w:val="00072433"/>
    <w:rsid w:val="00072B3E"/>
    <w:rsid w:val="0007488B"/>
    <w:rsid w:val="00075702"/>
    <w:rsid w:val="00075A0C"/>
    <w:rsid w:val="00076C20"/>
    <w:rsid w:val="000775C2"/>
    <w:rsid w:val="00077835"/>
    <w:rsid w:val="000806AD"/>
    <w:rsid w:val="00080BDF"/>
    <w:rsid w:val="00080C57"/>
    <w:rsid w:val="00082482"/>
    <w:rsid w:val="00082CA0"/>
    <w:rsid w:val="00084CF2"/>
    <w:rsid w:val="00085D7B"/>
    <w:rsid w:val="0008708B"/>
    <w:rsid w:val="00092619"/>
    <w:rsid w:val="00092C66"/>
    <w:rsid w:val="000949DD"/>
    <w:rsid w:val="00094E4F"/>
    <w:rsid w:val="000A2BCE"/>
    <w:rsid w:val="000A31E2"/>
    <w:rsid w:val="000A32F2"/>
    <w:rsid w:val="000A33C8"/>
    <w:rsid w:val="000A41E3"/>
    <w:rsid w:val="000A4BBA"/>
    <w:rsid w:val="000A5071"/>
    <w:rsid w:val="000A5470"/>
    <w:rsid w:val="000B0AD2"/>
    <w:rsid w:val="000B1022"/>
    <w:rsid w:val="000B2FB8"/>
    <w:rsid w:val="000B471C"/>
    <w:rsid w:val="000B4C99"/>
    <w:rsid w:val="000C06F6"/>
    <w:rsid w:val="000C15F8"/>
    <w:rsid w:val="000C1D34"/>
    <w:rsid w:val="000C2362"/>
    <w:rsid w:val="000C2FA8"/>
    <w:rsid w:val="000C3C13"/>
    <w:rsid w:val="000C4D5F"/>
    <w:rsid w:val="000C53F9"/>
    <w:rsid w:val="000C5813"/>
    <w:rsid w:val="000C714C"/>
    <w:rsid w:val="000C7161"/>
    <w:rsid w:val="000C75CF"/>
    <w:rsid w:val="000C7B83"/>
    <w:rsid w:val="000C7DE4"/>
    <w:rsid w:val="000D0AE6"/>
    <w:rsid w:val="000D15E7"/>
    <w:rsid w:val="000D1A24"/>
    <w:rsid w:val="000D1CF4"/>
    <w:rsid w:val="000D1DBC"/>
    <w:rsid w:val="000D21C7"/>
    <w:rsid w:val="000D248A"/>
    <w:rsid w:val="000D2CFD"/>
    <w:rsid w:val="000D35D8"/>
    <w:rsid w:val="000D43F9"/>
    <w:rsid w:val="000D4717"/>
    <w:rsid w:val="000D6457"/>
    <w:rsid w:val="000D79D4"/>
    <w:rsid w:val="000D7D55"/>
    <w:rsid w:val="000E0993"/>
    <w:rsid w:val="000E2E50"/>
    <w:rsid w:val="000E37E0"/>
    <w:rsid w:val="000E3F20"/>
    <w:rsid w:val="000E4C25"/>
    <w:rsid w:val="000E4CBF"/>
    <w:rsid w:val="000E5577"/>
    <w:rsid w:val="000E7034"/>
    <w:rsid w:val="000F02BE"/>
    <w:rsid w:val="000F03C2"/>
    <w:rsid w:val="000F0928"/>
    <w:rsid w:val="000F0B3D"/>
    <w:rsid w:val="000F1E65"/>
    <w:rsid w:val="000F427B"/>
    <w:rsid w:val="000F43D0"/>
    <w:rsid w:val="000F4F18"/>
    <w:rsid w:val="000F688E"/>
    <w:rsid w:val="000F7181"/>
    <w:rsid w:val="000F7581"/>
    <w:rsid w:val="001007CE"/>
    <w:rsid w:val="001008C1"/>
    <w:rsid w:val="001023DB"/>
    <w:rsid w:val="00102B8D"/>
    <w:rsid w:val="001031F4"/>
    <w:rsid w:val="00103948"/>
    <w:rsid w:val="00103CCF"/>
    <w:rsid w:val="0010417F"/>
    <w:rsid w:val="001042D2"/>
    <w:rsid w:val="0010530E"/>
    <w:rsid w:val="00105C07"/>
    <w:rsid w:val="00106920"/>
    <w:rsid w:val="00106AD8"/>
    <w:rsid w:val="001078DB"/>
    <w:rsid w:val="001079FA"/>
    <w:rsid w:val="00107EC5"/>
    <w:rsid w:val="001103CD"/>
    <w:rsid w:val="00113D2A"/>
    <w:rsid w:val="00114F20"/>
    <w:rsid w:val="0011590B"/>
    <w:rsid w:val="001211AF"/>
    <w:rsid w:val="001215DF"/>
    <w:rsid w:val="001219DF"/>
    <w:rsid w:val="0012220B"/>
    <w:rsid w:val="00122ABE"/>
    <w:rsid w:val="001231DC"/>
    <w:rsid w:val="0012453A"/>
    <w:rsid w:val="0012489B"/>
    <w:rsid w:val="001272AE"/>
    <w:rsid w:val="00130756"/>
    <w:rsid w:val="001315DD"/>
    <w:rsid w:val="0013525F"/>
    <w:rsid w:val="00135385"/>
    <w:rsid w:val="00136204"/>
    <w:rsid w:val="001364D1"/>
    <w:rsid w:val="00136C20"/>
    <w:rsid w:val="001374C7"/>
    <w:rsid w:val="00140FA4"/>
    <w:rsid w:val="00141BC9"/>
    <w:rsid w:val="001421FD"/>
    <w:rsid w:val="001425C8"/>
    <w:rsid w:val="00142EBA"/>
    <w:rsid w:val="00143B79"/>
    <w:rsid w:val="00145965"/>
    <w:rsid w:val="00150B8A"/>
    <w:rsid w:val="00150DCB"/>
    <w:rsid w:val="00151912"/>
    <w:rsid w:val="00152720"/>
    <w:rsid w:val="00153740"/>
    <w:rsid w:val="001537D8"/>
    <w:rsid w:val="00153D88"/>
    <w:rsid w:val="001541C5"/>
    <w:rsid w:val="0015623F"/>
    <w:rsid w:val="00156585"/>
    <w:rsid w:val="00156BA9"/>
    <w:rsid w:val="00161642"/>
    <w:rsid w:val="00161761"/>
    <w:rsid w:val="00166182"/>
    <w:rsid w:val="00167C1A"/>
    <w:rsid w:val="0017009C"/>
    <w:rsid w:val="0017038B"/>
    <w:rsid w:val="00170C94"/>
    <w:rsid w:val="0017139A"/>
    <w:rsid w:val="001724C8"/>
    <w:rsid w:val="001732C4"/>
    <w:rsid w:val="001745DD"/>
    <w:rsid w:val="00174FDE"/>
    <w:rsid w:val="00174FE3"/>
    <w:rsid w:val="0017607A"/>
    <w:rsid w:val="00176D63"/>
    <w:rsid w:val="00177659"/>
    <w:rsid w:val="001779E5"/>
    <w:rsid w:val="00180826"/>
    <w:rsid w:val="00181240"/>
    <w:rsid w:val="00182A4C"/>
    <w:rsid w:val="00183F77"/>
    <w:rsid w:val="00183FB3"/>
    <w:rsid w:val="001844D8"/>
    <w:rsid w:val="00185DA8"/>
    <w:rsid w:val="00185ECB"/>
    <w:rsid w:val="001865E0"/>
    <w:rsid w:val="001870F0"/>
    <w:rsid w:val="00190E48"/>
    <w:rsid w:val="0019114B"/>
    <w:rsid w:val="0019273F"/>
    <w:rsid w:val="00193814"/>
    <w:rsid w:val="001939A8"/>
    <w:rsid w:val="00193AAB"/>
    <w:rsid w:val="00193AD5"/>
    <w:rsid w:val="00194930"/>
    <w:rsid w:val="00195AAC"/>
    <w:rsid w:val="00197156"/>
    <w:rsid w:val="001A025E"/>
    <w:rsid w:val="001A08CD"/>
    <w:rsid w:val="001A0A1E"/>
    <w:rsid w:val="001A2182"/>
    <w:rsid w:val="001A323E"/>
    <w:rsid w:val="001A5320"/>
    <w:rsid w:val="001A5443"/>
    <w:rsid w:val="001A5E62"/>
    <w:rsid w:val="001A6848"/>
    <w:rsid w:val="001A7538"/>
    <w:rsid w:val="001B06FB"/>
    <w:rsid w:val="001B0B1A"/>
    <w:rsid w:val="001B20E6"/>
    <w:rsid w:val="001B4C0B"/>
    <w:rsid w:val="001B4D12"/>
    <w:rsid w:val="001B4EC2"/>
    <w:rsid w:val="001B5B59"/>
    <w:rsid w:val="001B60E0"/>
    <w:rsid w:val="001B755A"/>
    <w:rsid w:val="001B7C8C"/>
    <w:rsid w:val="001C051D"/>
    <w:rsid w:val="001C0688"/>
    <w:rsid w:val="001C181A"/>
    <w:rsid w:val="001C1877"/>
    <w:rsid w:val="001C2053"/>
    <w:rsid w:val="001C252F"/>
    <w:rsid w:val="001C28D1"/>
    <w:rsid w:val="001C3473"/>
    <w:rsid w:val="001C5BDA"/>
    <w:rsid w:val="001C5CFC"/>
    <w:rsid w:val="001C7231"/>
    <w:rsid w:val="001C7418"/>
    <w:rsid w:val="001C7EBE"/>
    <w:rsid w:val="001D0051"/>
    <w:rsid w:val="001D150B"/>
    <w:rsid w:val="001D169A"/>
    <w:rsid w:val="001D2224"/>
    <w:rsid w:val="001D31AA"/>
    <w:rsid w:val="001D37B9"/>
    <w:rsid w:val="001D3DC0"/>
    <w:rsid w:val="001D4F88"/>
    <w:rsid w:val="001D64F3"/>
    <w:rsid w:val="001D68CF"/>
    <w:rsid w:val="001D6A8C"/>
    <w:rsid w:val="001D7A56"/>
    <w:rsid w:val="001E0CB6"/>
    <w:rsid w:val="001E15C0"/>
    <w:rsid w:val="001E18E0"/>
    <w:rsid w:val="001E18E2"/>
    <w:rsid w:val="001E19D0"/>
    <w:rsid w:val="001E2A30"/>
    <w:rsid w:val="001E2FF1"/>
    <w:rsid w:val="001E3FE1"/>
    <w:rsid w:val="001E41FE"/>
    <w:rsid w:val="001E635C"/>
    <w:rsid w:val="001F0297"/>
    <w:rsid w:val="001F29F9"/>
    <w:rsid w:val="001F59DE"/>
    <w:rsid w:val="001F6E0B"/>
    <w:rsid w:val="001F7D67"/>
    <w:rsid w:val="00200AA0"/>
    <w:rsid w:val="00202325"/>
    <w:rsid w:val="00202736"/>
    <w:rsid w:val="00203652"/>
    <w:rsid w:val="00204562"/>
    <w:rsid w:val="00205B4F"/>
    <w:rsid w:val="002060B6"/>
    <w:rsid w:val="002060DE"/>
    <w:rsid w:val="002066B5"/>
    <w:rsid w:val="00210EAC"/>
    <w:rsid w:val="00211612"/>
    <w:rsid w:val="002119B6"/>
    <w:rsid w:val="00212389"/>
    <w:rsid w:val="00212B40"/>
    <w:rsid w:val="00213BD0"/>
    <w:rsid w:val="00214DBA"/>
    <w:rsid w:val="002151AB"/>
    <w:rsid w:val="0021548C"/>
    <w:rsid w:val="00215C4C"/>
    <w:rsid w:val="00215ED6"/>
    <w:rsid w:val="00216049"/>
    <w:rsid w:val="002163FA"/>
    <w:rsid w:val="00217606"/>
    <w:rsid w:val="00217C09"/>
    <w:rsid w:val="00220F5C"/>
    <w:rsid w:val="00220FA9"/>
    <w:rsid w:val="002210A4"/>
    <w:rsid w:val="002216BF"/>
    <w:rsid w:val="00221B9B"/>
    <w:rsid w:val="00222268"/>
    <w:rsid w:val="00225080"/>
    <w:rsid w:val="00225196"/>
    <w:rsid w:val="00225CB4"/>
    <w:rsid w:val="00226B1A"/>
    <w:rsid w:val="00227F0B"/>
    <w:rsid w:val="0023049F"/>
    <w:rsid w:val="002310C3"/>
    <w:rsid w:val="002316F6"/>
    <w:rsid w:val="00232C9B"/>
    <w:rsid w:val="00232E73"/>
    <w:rsid w:val="00232F09"/>
    <w:rsid w:val="002335D5"/>
    <w:rsid w:val="002338CA"/>
    <w:rsid w:val="00233FE5"/>
    <w:rsid w:val="00234B3B"/>
    <w:rsid w:val="00234D98"/>
    <w:rsid w:val="00235AD0"/>
    <w:rsid w:val="00236018"/>
    <w:rsid w:val="002374C9"/>
    <w:rsid w:val="0024162D"/>
    <w:rsid w:val="0024174E"/>
    <w:rsid w:val="00242238"/>
    <w:rsid w:val="0024227D"/>
    <w:rsid w:val="00242D14"/>
    <w:rsid w:val="002432F4"/>
    <w:rsid w:val="00246860"/>
    <w:rsid w:val="002468D9"/>
    <w:rsid w:val="00246995"/>
    <w:rsid w:val="00246DFF"/>
    <w:rsid w:val="00246E89"/>
    <w:rsid w:val="00250FCF"/>
    <w:rsid w:val="0025183C"/>
    <w:rsid w:val="00252351"/>
    <w:rsid w:val="002528EC"/>
    <w:rsid w:val="00253EAA"/>
    <w:rsid w:val="00255049"/>
    <w:rsid w:val="00257538"/>
    <w:rsid w:val="00257AFF"/>
    <w:rsid w:val="00257DE5"/>
    <w:rsid w:val="00260531"/>
    <w:rsid w:val="00260B9A"/>
    <w:rsid w:val="00262EA5"/>
    <w:rsid w:val="0026318D"/>
    <w:rsid w:val="00264148"/>
    <w:rsid w:val="002660AF"/>
    <w:rsid w:val="00270864"/>
    <w:rsid w:val="002712F7"/>
    <w:rsid w:val="0027159C"/>
    <w:rsid w:val="002722F2"/>
    <w:rsid w:val="00274549"/>
    <w:rsid w:val="00274E46"/>
    <w:rsid w:val="002752AE"/>
    <w:rsid w:val="00275AFD"/>
    <w:rsid w:val="002769AF"/>
    <w:rsid w:val="00276C86"/>
    <w:rsid w:val="00276F1E"/>
    <w:rsid w:val="00276FD0"/>
    <w:rsid w:val="00277217"/>
    <w:rsid w:val="002810A4"/>
    <w:rsid w:val="0028261C"/>
    <w:rsid w:val="00282DB6"/>
    <w:rsid w:val="00283D31"/>
    <w:rsid w:val="00284A26"/>
    <w:rsid w:val="00285095"/>
    <w:rsid w:val="00287006"/>
    <w:rsid w:val="0029030A"/>
    <w:rsid w:val="00292397"/>
    <w:rsid w:val="00292AB2"/>
    <w:rsid w:val="00292B82"/>
    <w:rsid w:val="00293DB6"/>
    <w:rsid w:val="00293FE8"/>
    <w:rsid w:val="00294437"/>
    <w:rsid w:val="00296686"/>
    <w:rsid w:val="00297A00"/>
    <w:rsid w:val="00297A45"/>
    <w:rsid w:val="00297E20"/>
    <w:rsid w:val="002A233F"/>
    <w:rsid w:val="002A3237"/>
    <w:rsid w:val="002A4119"/>
    <w:rsid w:val="002A58B7"/>
    <w:rsid w:val="002A5943"/>
    <w:rsid w:val="002A5C3C"/>
    <w:rsid w:val="002A685E"/>
    <w:rsid w:val="002A72C7"/>
    <w:rsid w:val="002B0204"/>
    <w:rsid w:val="002B03B2"/>
    <w:rsid w:val="002B0749"/>
    <w:rsid w:val="002B2645"/>
    <w:rsid w:val="002B303A"/>
    <w:rsid w:val="002B32E9"/>
    <w:rsid w:val="002B4E22"/>
    <w:rsid w:val="002B6FA0"/>
    <w:rsid w:val="002B7710"/>
    <w:rsid w:val="002C0DEA"/>
    <w:rsid w:val="002C34F6"/>
    <w:rsid w:val="002C3B6D"/>
    <w:rsid w:val="002C3F59"/>
    <w:rsid w:val="002C5D9D"/>
    <w:rsid w:val="002C5F10"/>
    <w:rsid w:val="002C6E5B"/>
    <w:rsid w:val="002D08F3"/>
    <w:rsid w:val="002D18B4"/>
    <w:rsid w:val="002D2058"/>
    <w:rsid w:val="002D231A"/>
    <w:rsid w:val="002D5330"/>
    <w:rsid w:val="002D5F57"/>
    <w:rsid w:val="002D6B0E"/>
    <w:rsid w:val="002D73D4"/>
    <w:rsid w:val="002D7787"/>
    <w:rsid w:val="002E1877"/>
    <w:rsid w:val="002E1C31"/>
    <w:rsid w:val="002E2E0F"/>
    <w:rsid w:val="002E333A"/>
    <w:rsid w:val="002E3474"/>
    <w:rsid w:val="002E400C"/>
    <w:rsid w:val="002E49C3"/>
    <w:rsid w:val="002E5114"/>
    <w:rsid w:val="002E5988"/>
    <w:rsid w:val="002E65E6"/>
    <w:rsid w:val="002E7072"/>
    <w:rsid w:val="002E7570"/>
    <w:rsid w:val="002E764B"/>
    <w:rsid w:val="002E7C25"/>
    <w:rsid w:val="002F0D6A"/>
    <w:rsid w:val="002F0E28"/>
    <w:rsid w:val="002F195B"/>
    <w:rsid w:val="002F287E"/>
    <w:rsid w:val="002F2981"/>
    <w:rsid w:val="002F2D63"/>
    <w:rsid w:val="002F6AD8"/>
    <w:rsid w:val="002F7F81"/>
    <w:rsid w:val="00300A36"/>
    <w:rsid w:val="00301B45"/>
    <w:rsid w:val="00305856"/>
    <w:rsid w:val="00305867"/>
    <w:rsid w:val="0030678B"/>
    <w:rsid w:val="00306D16"/>
    <w:rsid w:val="0030700A"/>
    <w:rsid w:val="00307595"/>
    <w:rsid w:val="00307DA6"/>
    <w:rsid w:val="00310CD7"/>
    <w:rsid w:val="003117E6"/>
    <w:rsid w:val="00313C3A"/>
    <w:rsid w:val="00313D7A"/>
    <w:rsid w:val="003155FB"/>
    <w:rsid w:val="00320371"/>
    <w:rsid w:val="0032136A"/>
    <w:rsid w:val="003224D8"/>
    <w:rsid w:val="00323A90"/>
    <w:rsid w:val="00323E70"/>
    <w:rsid w:val="003258A7"/>
    <w:rsid w:val="00325BA2"/>
    <w:rsid w:val="003262BD"/>
    <w:rsid w:val="00326798"/>
    <w:rsid w:val="00326B1C"/>
    <w:rsid w:val="00326C08"/>
    <w:rsid w:val="00326F7F"/>
    <w:rsid w:val="00327616"/>
    <w:rsid w:val="00330311"/>
    <w:rsid w:val="00330D55"/>
    <w:rsid w:val="003320E8"/>
    <w:rsid w:val="0033238E"/>
    <w:rsid w:val="003328FD"/>
    <w:rsid w:val="00332DE3"/>
    <w:rsid w:val="0033334F"/>
    <w:rsid w:val="0033414F"/>
    <w:rsid w:val="00334514"/>
    <w:rsid w:val="0033555E"/>
    <w:rsid w:val="0033601F"/>
    <w:rsid w:val="00336805"/>
    <w:rsid w:val="00337351"/>
    <w:rsid w:val="00341A54"/>
    <w:rsid w:val="00344A4F"/>
    <w:rsid w:val="00344D17"/>
    <w:rsid w:val="0034669F"/>
    <w:rsid w:val="003470C4"/>
    <w:rsid w:val="00351498"/>
    <w:rsid w:val="00352B22"/>
    <w:rsid w:val="00352CBF"/>
    <w:rsid w:val="00353B43"/>
    <w:rsid w:val="00354547"/>
    <w:rsid w:val="003549F5"/>
    <w:rsid w:val="00355ACB"/>
    <w:rsid w:val="003567DE"/>
    <w:rsid w:val="003574F3"/>
    <w:rsid w:val="00357831"/>
    <w:rsid w:val="003604A5"/>
    <w:rsid w:val="00360760"/>
    <w:rsid w:val="00360B1E"/>
    <w:rsid w:val="0036114B"/>
    <w:rsid w:val="003618B6"/>
    <w:rsid w:val="0036199A"/>
    <w:rsid w:val="003620C8"/>
    <w:rsid w:val="0036319E"/>
    <w:rsid w:val="003632A4"/>
    <w:rsid w:val="00363362"/>
    <w:rsid w:val="0036392A"/>
    <w:rsid w:val="00364CAB"/>
    <w:rsid w:val="00365767"/>
    <w:rsid w:val="003659C0"/>
    <w:rsid w:val="003660DF"/>
    <w:rsid w:val="00367D4F"/>
    <w:rsid w:val="00370743"/>
    <w:rsid w:val="00370EF5"/>
    <w:rsid w:val="0037135B"/>
    <w:rsid w:val="003718CD"/>
    <w:rsid w:val="00372251"/>
    <w:rsid w:val="00373F64"/>
    <w:rsid w:val="00374247"/>
    <w:rsid w:val="00374EA1"/>
    <w:rsid w:val="0037520D"/>
    <w:rsid w:val="00375724"/>
    <w:rsid w:val="00375809"/>
    <w:rsid w:val="00375CF1"/>
    <w:rsid w:val="0037628C"/>
    <w:rsid w:val="00376A07"/>
    <w:rsid w:val="00376B81"/>
    <w:rsid w:val="00376C6D"/>
    <w:rsid w:val="00376E08"/>
    <w:rsid w:val="00377BD2"/>
    <w:rsid w:val="00380FD4"/>
    <w:rsid w:val="00381E16"/>
    <w:rsid w:val="003821E1"/>
    <w:rsid w:val="003840F6"/>
    <w:rsid w:val="00384866"/>
    <w:rsid w:val="003851BA"/>
    <w:rsid w:val="003857D4"/>
    <w:rsid w:val="00385D6F"/>
    <w:rsid w:val="00386D43"/>
    <w:rsid w:val="00387095"/>
    <w:rsid w:val="00387E95"/>
    <w:rsid w:val="00390092"/>
    <w:rsid w:val="00390CFA"/>
    <w:rsid w:val="00391858"/>
    <w:rsid w:val="00393651"/>
    <w:rsid w:val="00393D7D"/>
    <w:rsid w:val="00394926"/>
    <w:rsid w:val="00394FF9"/>
    <w:rsid w:val="00395651"/>
    <w:rsid w:val="00395E12"/>
    <w:rsid w:val="003962A8"/>
    <w:rsid w:val="00396779"/>
    <w:rsid w:val="00397DB7"/>
    <w:rsid w:val="003A27B2"/>
    <w:rsid w:val="003A40B4"/>
    <w:rsid w:val="003A41BA"/>
    <w:rsid w:val="003A5491"/>
    <w:rsid w:val="003A5957"/>
    <w:rsid w:val="003A5958"/>
    <w:rsid w:val="003A6A99"/>
    <w:rsid w:val="003A6E60"/>
    <w:rsid w:val="003A70D5"/>
    <w:rsid w:val="003A76AB"/>
    <w:rsid w:val="003A7FF8"/>
    <w:rsid w:val="003B17AC"/>
    <w:rsid w:val="003B2143"/>
    <w:rsid w:val="003B227A"/>
    <w:rsid w:val="003B3A77"/>
    <w:rsid w:val="003B4319"/>
    <w:rsid w:val="003B5854"/>
    <w:rsid w:val="003B6764"/>
    <w:rsid w:val="003B7A8B"/>
    <w:rsid w:val="003C247E"/>
    <w:rsid w:val="003C294B"/>
    <w:rsid w:val="003C5046"/>
    <w:rsid w:val="003C53E8"/>
    <w:rsid w:val="003C5B54"/>
    <w:rsid w:val="003C6068"/>
    <w:rsid w:val="003C7AEC"/>
    <w:rsid w:val="003D278C"/>
    <w:rsid w:val="003D2BA3"/>
    <w:rsid w:val="003D316B"/>
    <w:rsid w:val="003D3C22"/>
    <w:rsid w:val="003D56A0"/>
    <w:rsid w:val="003D609F"/>
    <w:rsid w:val="003D69F5"/>
    <w:rsid w:val="003D7089"/>
    <w:rsid w:val="003D7DDB"/>
    <w:rsid w:val="003E024F"/>
    <w:rsid w:val="003E02C7"/>
    <w:rsid w:val="003E0543"/>
    <w:rsid w:val="003E061D"/>
    <w:rsid w:val="003E0B5A"/>
    <w:rsid w:val="003E1682"/>
    <w:rsid w:val="003E2BB7"/>
    <w:rsid w:val="003E31E3"/>
    <w:rsid w:val="003E3E93"/>
    <w:rsid w:val="003E46D1"/>
    <w:rsid w:val="003E59B1"/>
    <w:rsid w:val="003E6214"/>
    <w:rsid w:val="003F070E"/>
    <w:rsid w:val="003F1206"/>
    <w:rsid w:val="003F14AA"/>
    <w:rsid w:val="003F2418"/>
    <w:rsid w:val="003F28DB"/>
    <w:rsid w:val="003F2EEE"/>
    <w:rsid w:val="003F58B0"/>
    <w:rsid w:val="003F776F"/>
    <w:rsid w:val="004007E9"/>
    <w:rsid w:val="00400810"/>
    <w:rsid w:val="00401825"/>
    <w:rsid w:val="00401BBC"/>
    <w:rsid w:val="004026FC"/>
    <w:rsid w:val="00403BFB"/>
    <w:rsid w:val="00404B45"/>
    <w:rsid w:val="00405BCF"/>
    <w:rsid w:val="004068E0"/>
    <w:rsid w:val="00406CC5"/>
    <w:rsid w:val="00406FCA"/>
    <w:rsid w:val="004074A4"/>
    <w:rsid w:val="004101B2"/>
    <w:rsid w:val="004123D7"/>
    <w:rsid w:val="00412658"/>
    <w:rsid w:val="004129DA"/>
    <w:rsid w:val="00415EA4"/>
    <w:rsid w:val="0041604B"/>
    <w:rsid w:val="004172DB"/>
    <w:rsid w:val="004174F0"/>
    <w:rsid w:val="00420A1D"/>
    <w:rsid w:val="00420B1E"/>
    <w:rsid w:val="004211FD"/>
    <w:rsid w:val="00421485"/>
    <w:rsid w:val="004216DA"/>
    <w:rsid w:val="00421DEA"/>
    <w:rsid w:val="00422B75"/>
    <w:rsid w:val="00422E38"/>
    <w:rsid w:val="00424612"/>
    <w:rsid w:val="0042528C"/>
    <w:rsid w:val="00425672"/>
    <w:rsid w:val="00425A6A"/>
    <w:rsid w:val="00426A23"/>
    <w:rsid w:val="00427C7F"/>
    <w:rsid w:val="00427F54"/>
    <w:rsid w:val="004316FD"/>
    <w:rsid w:val="00433F36"/>
    <w:rsid w:val="00434860"/>
    <w:rsid w:val="00434BBD"/>
    <w:rsid w:val="0043503A"/>
    <w:rsid w:val="00437B8A"/>
    <w:rsid w:val="00437D18"/>
    <w:rsid w:val="00437D77"/>
    <w:rsid w:val="00441D99"/>
    <w:rsid w:val="004435BE"/>
    <w:rsid w:val="0044384F"/>
    <w:rsid w:val="0044411E"/>
    <w:rsid w:val="00444472"/>
    <w:rsid w:val="00444B93"/>
    <w:rsid w:val="00444F80"/>
    <w:rsid w:val="00445599"/>
    <w:rsid w:val="00446018"/>
    <w:rsid w:val="0044769D"/>
    <w:rsid w:val="0045027B"/>
    <w:rsid w:val="004504E7"/>
    <w:rsid w:val="00451F9D"/>
    <w:rsid w:val="00453167"/>
    <w:rsid w:val="0045361D"/>
    <w:rsid w:val="004543BC"/>
    <w:rsid w:val="00454F28"/>
    <w:rsid w:val="0045645D"/>
    <w:rsid w:val="0045707D"/>
    <w:rsid w:val="004574C6"/>
    <w:rsid w:val="00457743"/>
    <w:rsid w:val="00457BCF"/>
    <w:rsid w:val="00457DCE"/>
    <w:rsid w:val="00460E3F"/>
    <w:rsid w:val="0046111A"/>
    <w:rsid w:val="00462F68"/>
    <w:rsid w:val="0046369B"/>
    <w:rsid w:val="004640E9"/>
    <w:rsid w:val="004647EB"/>
    <w:rsid w:val="00466CED"/>
    <w:rsid w:val="00466EB5"/>
    <w:rsid w:val="00467592"/>
    <w:rsid w:val="00467690"/>
    <w:rsid w:val="00467A14"/>
    <w:rsid w:val="004718E7"/>
    <w:rsid w:val="00472074"/>
    <w:rsid w:val="00472289"/>
    <w:rsid w:val="00472535"/>
    <w:rsid w:val="004732E2"/>
    <w:rsid w:val="004761CC"/>
    <w:rsid w:val="004766C9"/>
    <w:rsid w:val="00480D4A"/>
    <w:rsid w:val="00481DA1"/>
    <w:rsid w:val="00483A2B"/>
    <w:rsid w:val="00484212"/>
    <w:rsid w:val="004848C3"/>
    <w:rsid w:val="00484BA9"/>
    <w:rsid w:val="0048599A"/>
    <w:rsid w:val="00486818"/>
    <w:rsid w:val="00491380"/>
    <w:rsid w:val="0049255F"/>
    <w:rsid w:val="0049445D"/>
    <w:rsid w:val="00494D39"/>
    <w:rsid w:val="00495350"/>
    <w:rsid w:val="00495E3C"/>
    <w:rsid w:val="00496041"/>
    <w:rsid w:val="00497156"/>
    <w:rsid w:val="004A0C79"/>
    <w:rsid w:val="004A24D2"/>
    <w:rsid w:val="004A3214"/>
    <w:rsid w:val="004A4136"/>
    <w:rsid w:val="004A417B"/>
    <w:rsid w:val="004A4378"/>
    <w:rsid w:val="004A57AF"/>
    <w:rsid w:val="004A712D"/>
    <w:rsid w:val="004A7C03"/>
    <w:rsid w:val="004B03F3"/>
    <w:rsid w:val="004B0CC9"/>
    <w:rsid w:val="004B2536"/>
    <w:rsid w:val="004B46D7"/>
    <w:rsid w:val="004B6AF3"/>
    <w:rsid w:val="004B6F1F"/>
    <w:rsid w:val="004B715E"/>
    <w:rsid w:val="004B7169"/>
    <w:rsid w:val="004B79C9"/>
    <w:rsid w:val="004C00DD"/>
    <w:rsid w:val="004C05CF"/>
    <w:rsid w:val="004C0776"/>
    <w:rsid w:val="004C1EF8"/>
    <w:rsid w:val="004C2063"/>
    <w:rsid w:val="004C24C5"/>
    <w:rsid w:val="004C2645"/>
    <w:rsid w:val="004C47D5"/>
    <w:rsid w:val="004C4CAF"/>
    <w:rsid w:val="004C5E33"/>
    <w:rsid w:val="004C60A3"/>
    <w:rsid w:val="004C6CDA"/>
    <w:rsid w:val="004D10D4"/>
    <w:rsid w:val="004D16BD"/>
    <w:rsid w:val="004D2AAB"/>
    <w:rsid w:val="004D3C7F"/>
    <w:rsid w:val="004D42CB"/>
    <w:rsid w:val="004D6E90"/>
    <w:rsid w:val="004D6F2B"/>
    <w:rsid w:val="004E0248"/>
    <w:rsid w:val="004E21A3"/>
    <w:rsid w:val="004E32EA"/>
    <w:rsid w:val="004E3517"/>
    <w:rsid w:val="004E6866"/>
    <w:rsid w:val="004F0C58"/>
    <w:rsid w:val="004F3222"/>
    <w:rsid w:val="004F3639"/>
    <w:rsid w:val="004F3BFA"/>
    <w:rsid w:val="004F4E3C"/>
    <w:rsid w:val="004F5A1A"/>
    <w:rsid w:val="004F77A3"/>
    <w:rsid w:val="005000AB"/>
    <w:rsid w:val="00500EAF"/>
    <w:rsid w:val="00500F3C"/>
    <w:rsid w:val="005025EE"/>
    <w:rsid w:val="00503401"/>
    <w:rsid w:val="00503DDF"/>
    <w:rsid w:val="00504BAB"/>
    <w:rsid w:val="00505524"/>
    <w:rsid w:val="005058D5"/>
    <w:rsid w:val="00506688"/>
    <w:rsid w:val="00510588"/>
    <w:rsid w:val="00510F9C"/>
    <w:rsid w:val="0051146C"/>
    <w:rsid w:val="0051220B"/>
    <w:rsid w:val="00512253"/>
    <w:rsid w:val="00512484"/>
    <w:rsid w:val="00514449"/>
    <w:rsid w:val="00515419"/>
    <w:rsid w:val="005157BD"/>
    <w:rsid w:val="00517CA6"/>
    <w:rsid w:val="005214A3"/>
    <w:rsid w:val="005222E7"/>
    <w:rsid w:val="00522B7E"/>
    <w:rsid w:val="00523488"/>
    <w:rsid w:val="00523A8B"/>
    <w:rsid w:val="00523E04"/>
    <w:rsid w:val="00525003"/>
    <w:rsid w:val="0052590B"/>
    <w:rsid w:val="0052592B"/>
    <w:rsid w:val="00526591"/>
    <w:rsid w:val="00527178"/>
    <w:rsid w:val="00527618"/>
    <w:rsid w:val="0052786F"/>
    <w:rsid w:val="005278CB"/>
    <w:rsid w:val="00530388"/>
    <w:rsid w:val="00531997"/>
    <w:rsid w:val="00531DA0"/>
    <w:rsid w:val="00532E9D"/>
    <w:rsid w:val="00533075"/>
    <w:rsid w:val="00534D42"/>
    <w:rsid w:val="005350A5"/>
    <w:rsid w:val="00536379"/>
    <w:rsid w:val="00537238"/>
    <w:rsid w:val="005400C5"/>
    <w:rsid w:val="005404CD"/>
    <w:rsid w:val="00540BE0"/>
    <w:rsid w:val="00540BEF"/>
    <w:rsid w:val="00542B34"/>
    <w:rsid w:val="00542C9A"/>
    <w:rsid w:val="005436C2"/>
    <w:rsid w:val="005442D4"/>
    <w:rsid w:val="0054586A"/>
    <w:rsid w:val="0054631F"/>
    <w:rsid w:val="00546C24"/>
    <w:rsid w:val="005471BA"/>
    <w:rsid w:val="00547BDA"/>
    <w:rsid w:val="00547BE6"/>
    <w:rsid w:val="0055034F"/>
    <w:rsid w:val="00550476"/>
    <w:rsid w:val="0055288D"/>
    <w:rsid w:val="00555259"/>
    <w:rsid w:val="00555333"/>
    <w:rsid w:val="00555C66"/>
    <w:rsid w:val="005569EF"/>
    <w:rsid w:val="00556BDE"/>
    <w:rsid w:val="00560D57"/>
    <w:rsid w:val="00562A94"/>
    <w:rsid w:val="00563FAD"/>
    <w:rsid w:val="00565897"/>
    <w:rsid w:val="005701C1"/>
    <w:rsid w:val="005703BF"/>
    <w:rsid w:val="00570754"/>
    <w:rsid w:val="005709F7"/>
    <w:rsid w:val="00570EAA"/>
    <w:rsid w:val="005710A9"/>
    <w:rsid w:val="005716B0"/>
    <w:rsid w:val="00571B11"/>
    <w:rsid w:val="00571D1B"/>
    <w:rsid w:val="00571DA3"/>
    <w:rsid w:val="005738F5"/>
    <w:rsid w:val="00573D34"/>
    <w:rsid w:val="00574A1B"/>
    <w:rsid w:val="00575963"/>
    <w:rsid w:val="00575EBE"/>
    <w:rsid w:val="0058039C"/>
    <w:rsid w:val="00580A63"/>
    <w:rsid w:val="00583379"/>
    <w:rsid w:val="0058417C"/>
    <w:rsid w:val="005854F9"/>
    <w:rsid w:val="00586EC6"/>
    <w:rsid w:val="00587DDE"/>
    <w:rsid w:val="00592C4A"/>
    <w:rsid w:val="00593043"/>
    <w:rsid w:val="00595B60"/>
    <w:rsid w:val="00595B63"/>
    <w:rsid w:val="00595BF0"/>
    <w:rsid w:val="00597E16"/>
    <w:rsid w:val="005A0B1D"/>
    <w:rsid w:val="005A1846"/>
    <w:rsid w:val="005A212A"/>
    <w:rsid w:val="005A258C"/>
    <w:rsid w:val="005A3560"/>
    <w:rsid w:val="005A464E"/>
    <w:rsid w:val="005A62FC"/>
    <w:rsid w:val="005A6C99"/>
    <w:rsid w:val="005A7D5D"/>
    <w:rsid w:val="005B0040"/>
    <w:rsid w:val="005B011A"/>
    <w:rsid w:val="005B0283"/>
    <w:rsid w:val="005B1ADA"/>
    <w:rsid w:val="005B1D09"/>
    <w:rsid w:val="005B1D8F"/>
    <w:rsid w:val="005B1E94"/>
    <w:rsid w:val="005B5B3D"/>
    <w:rsid w:val="005B5E8F"/>
    <w:rsid w:val="005B64CF"/>
    <w:rsid w:val="005B72DA"/>
    <w:rsid w:val="005C0E87"/>
    <w:rsid w:val="005C1398"/>
    <w:rsid w:val="005C16F3"/>
    <w:rsid w:val="005C3758"/>
    <w:rsid w:val="005C4D72"/>
    <w:rsid w:val="005C50C1"/>
    <w:rsid w:val="005C62C2"/>
    <w:rsid w:val="005C7821"/>
    <w:rsid w:val="005D2306"/>
    <w:rsid w:val="005D2562"/>
    <w:rsid w:val="005D2666"/>
    <w:rsid w:val="005D4548"/>
    <w:rsid w:val="005D4A74"/>
    <w:rsid w:val="005D5E91"/>
    <w:rsid w:val="005D67EF"/>
    <w:rsid w:val="005E3064"/>
    <w:rsid w:val="005E54DC"/>
    <w:rsid w:val="005E65DC"/>
    <w:rsid w:val="005E6AEE"/>
    <w:rsid w:val="005E72B2"/>
    <w:rsid w:val="005E79A0"/>
    <w:rsid w:val="005F035C"/>
    <w:rsid w:val="005F097E"/>
    <w:rsid w:val="005F1115"/>
    <w:rsid w:val="005F1AB6"/>
    <w:rsid w:val="005F27F2"/>
    <w:rsid w:val="005F2B27"/>
    <w:rsid w:val="005F3567"/>
    <w:rsid w:val="005F3AFE"/>
    <w:rsid w:val="005F424D"/>
    <w:rsid w:val="005F55F5"/>
    <w:rsid w:val="005F5E7F"/>
    <w:rsid w:val="005F5EC1"/>
    <w:rsid w:val="005F67A9"/>
    <w:rsid w:val="005F6B6D"/>
    <w:rsid w:val="005F73CA"/>
    <w:rsid w:val="006008F8"/>
    <w:rsid w:val="006022D4"/>
    <w:rsid w:val="006036C2"/>
    <w:rsid w:val="00605AAB"/>
    <w:rsid w:val="00606BEB"/>
    <w:rsid w:val="0061014A"/>
    <w:rsid w:val="0061054B"/>
    <w:rsid w:val="006110FB"/>
    <w:rsid w:val="00612FB0"/>
    <w:rsid w:val="0061356D"/>
    <w:rsid w:val="00613E26"/>
    <w:rsid w:val="00615641"/>
    <w:rsid w:val="00615A66"/>
    <w:rsid w:val="00616959"/>
    <w:rsid w:val="0062036E"/>
    <w:rsid w:val="006211D0"/>
    <w:rsid w:val="00621595"/>
    <w:rsid w:val="0062359D"/>
    <w:rsid w:val="00623634"/>
    <w:rsid w:val="00624D0C"/>
    <w:rsid w:val="0062609E"/>
    <w:rsid w:val="00626A0F"/>
    <w:rsid w:val="006274B4"/>
    <w:rsid w:val="006307BA"/>
    <w:rsid w:val="00630A04"/>
    <w:rsid w:val="006315BA"/>
    <w:rsid w:val="00634C4A"/>
    <w:rsid w:val="0063532E"/>
    <w:rsid w:val="0063579F"/>
    <w:rsid w:val="006364ED"/>
    <w:rsid w:val="00637063"/>
    <w:rsid w:val="0063737C"/>
    <w:rsid w:val="00637BDC"/>
    <w:rsid w:val="00640363"/>
    <w:rsid w:val="00640622"/>
    <w:rsid w:val="006418C9"/>
    <w:rsid w:val="00642BD6"/>
    <w:rsid w:val="00643C8F"/>
    <w:rsid w:val="00645046"/>
    <w:rsid w:val="0064527A"/>
    <w:rsid w:val="006458FD"/>
    <w:rsid w:val="00645DE8"/>
    <w:rsid w:val="00645EA2"/>
    <w:rsid w:val="00651E6D"/>
    <w:rsid w:val="0065237D"/>
    <w:rsid w:val="00652943"/>
    <w:rsid w:val="00653AB2"/>
    <w:rsid w:val="00653D2D"/>
    <w:rsid w:val="0065435E"/>
    <w:rsid w:val="00654551"/>
    <w:rsid w:val="00654F91"/>
    <w:rsid w:val="006555E7"/>
    <w:rsid w:val="00655CCC"/>
    <w:rsid w:val="006560B6"/>
    <w:rsid w:val="0065726D"/>
    <w:rsid w:val="006573F2"/>
    <w:rsid w:val="00661BA2"/>
    <w:rsid w:val="00662AD0"/>
    <w:rsid w:val="00662F08"/>
    <w:rsid w:val="00663589"/>
    <w:rsid w:val="00664427"/>
    <w:rsid w:val="00664840"/>
    <w:rsid w:val="006649CD"/>
    <w:rsid w:val="00665D75"/>
    <w:rsid w:val="006708E3"/>
    <w:rsid w:val="00670DDC"/>
    <w:rsid w:val="00671389"/>
    <w:rsid w:val="00671EB4"/>
    <w:rsid w:val="00673CDC"/>
    <w:rsid w:val="0067443B"/>
    <w:rsid w:val="006770AA"/>
    <w:rsid w:val="0068098E"/>
    <w:rsid w:val="006810BD"/>
    <w:rsid w:val="006811EE"/>
    <w:rsid w:val="00682486"/>
    <w:rsid w:val="006833A7"/>
    <w:rsid w:val="00684CE6"/>
    <w:rsid w:val="00684E2B"/>
    <w:rsid w:val="006857A0"/>
    <w:rsid w:val="00687C7E"/>
    <w:rsid w:val="00687D3D"/>
    <w:rsid w:val="00687E8F"/>
    <w:rsid w:val="00690569"/>
    <w:rsid w:val="00690FDA"/>
    <w:rsid w:val="00691E61"/>
    <w:rsid w:val="00692180"/>
    <w:rsid w:val="006937C6"/>
    <w:rsid w:val="00693C5E"/>
    <w:rsid w:val="00693CEE"/>
    <w:rsid w:val="00694EEA"/>
    <w:rsid w:val="006955B4"/>
    <w:rsid w:val="00695DEF"/>
    <w:rsid w:val="00696476"/>
    <w:rsid w:val="00696C74"/>
    <w:rsid w:val="00697C9B"/>
    <w:rsid w:val="006A10FA"/>
    <w:rsid w:val="006A12E0"/>
    <w:rsid w:val="006A40E6"/>
    <w:rsid w:val="006A516B"/>
    <w:rsid w:val="006A5362"/>
    <w:rsid w:val="006A543A"/>
    <w:rsid w:val="006A5C07"/>
    <w:rsid w:val="006A75FA"/>
    <w:rsid w:val="006B07D5"/>
    <w:rsid w:val="006B1309"/>
    <w:rsid w:val="006B31E6"/>
    <w:rsid w:val="006B3923"/>
    <w:rsid w:val="006B3F3E"/>
    <w:rsid w:val="006B4AA2"/>
    <w:rsid w:val="006B4C4D"/>
    <w:rsid w:val="006B53C4"/>
    <w:rsid w:val="006B586B"/>
    <w:rsid w:val="006B5923"/>
    <w:rsid w:val="006B67D9"/>
    <w:rsid w:val="006B6C14"/>
    <w:rsid w:val="006B7159"/>
    <w:rsid w:val="006B715E"/>
    <w:rsid w:val="006C1D6E"/>
    <w:rsid w:val="006C2EF6"/>
    <w:rsid w:val="006C3A68"/>
    <w:rsid w:val="006C3B08"/>
    <w:rsid w:val="006C6AB1"/>
    <w:rsid w:val="006C6E6B"/>
    <w:rsid w:val="006C73D4"/>
    <w:rsid w:val="006D145F"/>
    <w:rsid w:val="006D2000"/>
    <w:rsid w:val="006D2D39"/>
    <w:rsid w:val="006D2F31"/>
    <w:rsid w:val="006D4250"/>
    <w:rsid w:val="006D4E0E"/>
    <w:rsid w:val="006D5861"/>
    <w:rsid w:val="006D5CE2"/>
    <w:rsid w:val="006D7854"/>
    <w:rsid w:val="006E06D1"/>
    <w:rsid w:val="006E122E"/>
    <w:rsid w:val="006E1313"/>
    <w:rsid w:val="006E2DC8"/>
    <w:rsid w:val="006E4FF7"/>
    <w:rsid w:val="006E58CB"/>
    <w:rsid w:val="006E6B68"/>
    <w:rsid w:val="006E7356"/>
    <w:rsid w:val="006E77C8"/>
    <w:rsid w:val="006F0F9C"/>
    <w:rsid w:val="006F149D"/>
    <w:rsid w:val="006F1A46"/>
    <w:rsid w:val="006F45A0"/>
    <w:rsid w:val="006F4F06"/>
    <w:rsid w:val="006F5A4E"/>
    <w:rsid w:val="006F5D37"/>
    <w:rsid w:val="006F6005"/>
    <w:rsid w:val="007005EA"/>
    <w:rsid w:val="0070220D"/>
    <w:rsid w:val="00703B6C"/>
    <w:rsid w:val="00703BB0"/>
    <w:rsid w:val="00704519"/>
    <w:rsid w:val="00704C40"/>
    <w:rsid w:val="00704C88"/>
    <w:rsid w:val="00704EA1"/>
    <w:rsid w:val="00705BE5"/>
    <w:rsid w:val="00705C40"/>
    <w:rsid w:val="00706482"/>
    <w:rsid w:val="00706754"/>
    <w:rsid w:val="00706BEF"/>
    <w:rsid w:val="00707028"/>
    <w:rsid w:val="00707ECE"/>
    <w:rsid w:val="00710CE8"/>
    <w:rsid w:val="00711244"/>
    <w:rsid w:val="00711350"/>
    <w:rsid w:val="00711538"/>
    <w:rsid w:val="007116BC"/>
    <w:rsid w:val="00711961"/>
    <w:rsid w:val="00711CA6"/>
    <w:rsid w:val="007165CE"/>
    <w:rsid w:val="00717CEB"/>
    <w:rsid w:val="0072035D"/>
    <w:rsid w:val="00720968"/>
    <w:rsid w:val="00721705"/>
    <w:rsid w:val="00721B7A"/>
    <w:rsid w:val="00721D12"/>
    <w:rsid w:val="00721F8B"/>
    <w:rsid w:val="00722108"/>
    <w:rsid w:val="007236E0"/>
    <w:rsid w:val="007237CE"/>
    <w:rsid w:val="00724619"/>
    <w:rsid w:val="00724688"/>
    <w:rsid w:val="00725BC5"/>
    <w:rsid w:val="007260A9"/>
    <w:rsid w:val="00726C1D"/>
    <w:rsid w:val="007272F1"/>
    <w:rsid w:val="00727565"/>
    <w:rsid w:val="0073062D"/>
    <w:rsid w:val="0073093B"/>
    <w:rsid w:val="0073254D"/>
    <w:rsid w:val="007340F3"/>
    <w:rsid w:val="007347BB"/>
    <w:rsid w:val="00735704"/>
    <w:rsid w:val="00736A49"/>
    <w:rsid w:val="00737A71"/>
    <w:rsid w:val="007410A5"/>
    <w:rsid w:val="007419A1"/>
    <w:rsid w:val="00743B71"/>
    <w:rsid w:val="00743C2D"/>
    <w:rsid w:val="00743C3A"/>
    <w:rsid w:val="00743E36"/>
    <w:rsid w:val="00743F05"/>
    <w:rsid w:val="007441C1"/>
    <w:rsid w:val="007446F7"/>
    <w:rsid w:val="00744C68"/>
    <w:rsid w:val="00744EBB"/>
    <w:rsid w:val="00745B0A"/>
    <w:rsid w:val="00745DBE"/>
    <w:rsid w:val="007468AC"/>
    <w:rsid w:val="00746AE2"/>
    <w:rsid w:val="00750C82"/>
    <w:rsid w:val="00750E3A"/>
    <w:rsid w:val="00752035"/>
    <w:rsid w:val="0076100C"/>
    <w:rsid w:val="007612A5"/>
    <w:rsid w:val="00763CAE"/>
    <w:rsid w:val="00763F95"/>
    <w:rsid w:val="007651ED"/>
    <w:rsid w:val="00766C87"/>
    <w:rsid w:val="00771043"/>
    <w:rsid w:val="0077272B"/>
    <w:rsid w:val="00773AF7"/>
    <w:rsid w:val="00774FFD"/>
    <w:rsid w:val="00780378"/>
    <w:rsid w:val="0078085E"/>
    <w:rsid w:val="00781BD4"/>
    <w:rsid w:val="00782562"/>
    <w:rsid w:val="007828B4"/>
    <w:rsid w:val="007833CA"/>
    <w:rsid w:val="00784832"/>
    <w:rsid w:val="00784EA0"/>
    <w:rsid w:val="00785D77"/>
    <w:rsid w:val="00786111"/>
    <w:rsid w:val="00790963"/>
    <w:rsid w:val="0079150B"/>
    <w:rsid w:val="0079154B"/>
    <w:rsid w:val="00791EED"/>
    <w:rsid w:val="00791F1E"/>
    <w:rsid w:val="007927BE"/>
    <w:rsid w:val="007935B8"/>
    <w:rsid w:val="00794ADE"/>
    <w:rsid w:val="00794F3D"/>
    <w:rsid w:val="00795CE9"/>
    <w:rsid w:val="00796045"/>
    <w:rsid w:val="007968AC"/>
    <w:rsid w:val="007969AB"/>
    <w:rsid w:val="00797185"/>
    <w:rsid w:val="007973D8"/>
    <w:rsid w:val="00797801"/>
    <w:rsid w:val="007A0861"/>
    <w:rsid w:val="007A0B39"/>
    <w:rsid w:val="007A14A4"/>
    <w:rsid w:val="007A168F"/>
    <w:rsid w:val="007A2346"/>
    <w:rsid w:val="007A28E4"/>
    <w:rsid w:val="007A3BB3"/>
    <w:rsid w:val="007A3F91"/>
    <w:rsid w:val="007A3F9C"/>
    <w:rsid w:val="007A5AAA"/>
    <w:rsid w:val="007A5AD1"/>
    <w:rsid w:val="007A5B7B"/>
    <w:rsid w:val="007A65A9"/>
    <w:rsid w:val="007A7155"/>
    <w:rsid w:val="007A7FD8"/>
    <w:rsid w:val="007B0128"/>
    <w:rsid w:val="007B0635"/>
    <w:rsid w:val="007B0A06"/>
    <w:rsid w:val="007B0B24"/>
    <w:rsid w:val="007B0F8B"/>
    <w:rsid w:val="007B1C83"/>
    <w:rsid w:val="007B4181"/>
    <w:rsid w:val="007B5746"/>
    <w:rsid w:val="007B5C5C"/>
    <w:rsid w:val="007B6CE0"/>
    <w:rsid w:val="007B7B37"/>
    <w:rsid w:val="007B7C41"/>
    <w:rsid w:val="007C05C5"/>
    <w:rsid w:val="007C0715"/>
    <w:rsid w:val="007C0B04"/>
    <w:rsid w:val="007C11E9"/>
    <w:rsid w:val="007C238B"/>
    <w:rsid w:val="007C2802"/>
    <w:rsid w:val="007C3E5A"/>
    <w:rsid w:val="007C433E"/>
    <w:rsid w:val="007C4452"/>
    <w:rsid w:val="007C4B3C"/>
    <w:rsid w:val="007C4DB1"/>
    <w:rsid w:val="007C6046"/>
    <w:rsid w:val="007C605A"/>
    <w:rsid w:val="007C6F0C"/>
    <w:rsid w:val="007D0292"/>
    <w:rsid w:val="007D136C"/>
    <w:rsid w:val="007D1FCE"/>
    <w:rsid w:val="007D21AC"/>
    <w:rsid w:val="007D24B0"/>
    <w:rsid w:val="007D3882"/>
    <w:rsid w:val="007D39E4"/>
    <w:rsid w:val="007D3FE7"/>
    <w:rsid w:val="007D4CFC"/>
    <w:rsid w:val="007D568A"/>
    <w:rsid w:val="007D574E"/>
    <w:rsid w:val="007D57C0"/>
    <w:rsid w:val="007D67CB"/>
    <w:rsid w:val="007D6BFE"/>
    <w:rsid w:val="007D6F18"/>
    <w:rsid w:val="007E176C"/>
    <w:rsid w:val="007E2046"/>
    <w:rsid w:val="007E3883"/>
    <w:rsid w:val="007E4876"/>
    <w:rsid w:val="007E48CD"/>
    <w:rsid w:val="007E4ACB"/>
    <w:rsid w:val="007E4FBB"/>
    <w:rsid w:val="007E55BF"/>
    <w:rsid w:val="007E59E3"/>
    <w:rsid w:val="007E5E39"/>
    <w:rsid w:val="007E71B1"/>
    <w:rsid w:val="007E7B4E"/>
    <w:rsid w:val="007E7F02"/>
    <w:rsid w:val="007F0292"/>
    <w:rsid w:val="007F0722"/>
    <w:rsid w:val="007F0AB7"/>
    <w:rsid w:val="007F0CE2"/>
    <w:rsid w:val="007F0EFF"/>
    <w:rsid w:val="007F1375"/>
    <w:rsid w:val="007F1AFD"/>
    <w:rsid w:val="007F30E4"/>
    <w:rsid w:val="0080064F"/>
    <w:rsid w:val="00801B85"/>
    <w:rsid w:val="00802CE2"/>
    <w:rsid w:val="00803850"/>
    <w:rsid w:val="008039E8"/>
    <w:rsid w:val="00804385"/>
    <w:rsid w:val="00804E0E"/>
    <w:rsid w:val="008051EB"/>
    <w:rsid w:val="0080588E"/>
    <w:rsid w:val="00805AFD"/>
    <w:rsid w:val="00806397"/>
    <w:rsid w:val="008078D8"/>
    <w:rsid w:val="0080798E"/>
    <w:rsid w:val="00811BD9"/>
    <w:rsid w:val="00811D5B"/>
    <w:rsid w:val="00813C51"/>
    <w:rsid w:val="00816CCB"/>
    <w:rsid w:val="00817572"/>
    <w:rsid w:val="00817713"/>
    <w:rsid w:val="008208C3"/>
    <w:rsid w:val="008220F1"/>
    <w:rsid w:val="0082340B"/>
    <w:rsid w:val="00823D6A"/>
    <w:rsid w:val="00827B29"/>
    <w:rsid w:val="00827DB6"/>
    <w:rsid w:val="008304B2"/>
    <w:rsid w:val="00830999"/>
    <w:rsid w:val="00830D5E"/>
    <w:rsid w:val="00830F69"/>
    <w:rsid w:val="00831940"/>
    <w:rsid w:val="008324D9"/>
    <w:rsid w:val="00833418"/>
    <w:rsid w:val="0083387F"/>
    <w:rsid w:val="00834458"/>
    <w:rsid w:val="00834AEA"/>
    <w:rsid w:val="00835841"/>
    <w:rsid w:val="00835BF8"/>
    <w:rsid w:val="00835FB7"/>
    <w:rsid w:val="00837465"/>
    <w:rsid w:val="0084002E"/>
    <w:rsid w:val="00840159"/>
    <w:rsid w:val="00840621"/>
    <w:rsid w:val="00841243"/>
    <w:rsid w:val="00841457"/>
    <w:rsid w:val="00842BAA"/>
    <w:rsid w:val="00842D8F"/>
    <w:rsid w:val="0084374E"/>
    <w:rsid w:val="00844842"/>
    <w:rsid w:val="0084493E"/>
    <w:rsid w:val="00844A53"/>
    <w:rsid w:val="00844B99"/>
    <w:rsid w:val="00844DD0"/>
    <w:rsid w:val="008455C8"/>
    <w:rsid w:val="00846407"/>
    <w:rsid w:val="00846429"/>
    <w:rsid w:val="0085006A"/>
    <w:rsid w:val="00850127"/>
    <w:rsid w:val="0085089F"/>
    <w:rsid w:val="0085206E"/>
    <w:rsid w:val="00852273"/>
    <w:rsid w:val="0085293D"/>
    <w:rsid w:val="00852AD4"/>
    <w:rsid w:val="00852BA8"/>
    <w:rsid w:val="00852BF0"/>
    <w:rsid w:val="00852F13"/>
    <w:rsid w:val="00853718"/>
    <w:rsid w:val="008541EF"/>
    <w:rsid w:val="00856428"/>
    <w:rsid w:val="00856AC7"/>
    <w:rsid w:val="00856FA4"/>
    <w:rsid w:val="00860869"/>
    <w:rsid w:val="00860E60"/>
    <w:rsid w:val="0086102A"/>
    <w:rsid w:val="0086162B"/>
    <w:rsid w:val="00861710"/>
    <w:rsid w:val="00861D5C"/>
    <w:rsid w:val="00861E7C"/>
    <w:rsid w:val="0086429C"/>
    <w:rsid w:val="00865207"/>
    <w:rsid w:val="008656A7"/>
    <w:rsid w:val="00865FA3"/>
    <w:rsid w:val="00866231"/>
    <w:rsid w:val="00871262"/>
    <w:rsid w:val="0087164D"/>
    <w:rsid w:val="0087170E"/>
    <w:rsid w:val="00871D4E"/>
    <w:rsid w:val="00871E7B"/>
    <w:rsid w:val="008721BB"/>
    <w:rsid w:val="0087566D"/>
    <w:rsid w:val="00875B50"/>
    <w:rsid w:val="00875B51"/>
    <w:rsid w:val="00875F2D"/>
    <w:rsid w:val="008762E7"/>
    <w:rsid w:val="008764DC"/>
    <w:rsid w:val="00877977"/>
    <w:rsid w:val="008827A8"/>
    <w:rsid w:val="00882CC2"/>
    <w:rsid w:val="00883103"/>
    <w:rsid w:val="0088313F"/>
    <w:rsid w:val="0088325A"/>
    <w:rsid w:val="00883930"/>
    <w:rsid w:val="00884535"/>
    <w:rsid w:val="008902BE"/>
    <w:rsid w:val="0089038F"/>
    <w:rsid w:val="00890CDA"/>
    <w:rsid w:val="00891BBA"/>
    <w:rsid w:val="00892079"/>
    <w:rsid w:val="00892B90"/>
    <w:rsid w:val="00896535"/>
    <w:rsid w:val="00896683"/>
    <w:rsid w:val="00896E71"/>
    <w:rsid w:val="0089750B"/>
    <w:rsid w:val="00897589"/>
    <w:rsid w:val="008A0C99"/>
    <w:rsid w:val="008A0D4F"/>
    <w:rsid w:val="008A1CC3"/>
    <w:rsid w:val="008A39D7"/>
    <w:rsid w:val="008A55DE"/>
    <w:rsid w:val="008A5705"/>
    <w:rsid w:val="008A5C34"/>
    <w:rsid w:val="008A63A9"/>
    <w:rsid w:val="008A7073"/>
    <w:rsid w:val="008A79F0"/>
    <w:rsid w:val="008A7F7E"/>
    <w:rsid w:val="008B04DB"/>
    <w:rsid w:val="008B09B4"/>
    <w:rsid w:val="008B1B11"/>
    <w:rsid w:val="008B1DF4"/>
    <w:rsid w:val="008B21EE"/>
    <w:rsid w:val="008B27FD"/>
    <w:rsid w:val="008B2FDB"/>
    <w:rsid w:val="008B3AF2"/>
    <w:rsid w:val="008B446D"/>
    <w:rsid w:val="008B515D"/>
    <w:rsid w:val="008B5D31"/>
    <w:rsid w:val="008B6705"/>
    <w:rsid w:val="008C22F3"/>
    <w:rsid w:val="008C3223"/>
    <w:rsid w:val="008C3FD0"/>
    <w:rsid w:val="008C4F01"/>
    <w:rsid w:val="008C5152"/>
    <w:rsid w:val="008C710E"/>
    <w:rsid w:val="008C727E"/>
    <w:rsid w:val="008D1484"/>
    <w:rsid w:val="008D29E7"/>
    <w:rsid w:val="008D5104"/>
    <w:rsid w:val="008D75F4"/>
    <w:rsid w:val="008D795D"/>
    <w:rsid w:val="008D7B07"/>
    <w:rsid w:val="008D7C30"/>
    <w:rsid w:val="008E0D8F"/>
    <w:rsid w:val="008E0F4E"/>
    <w:rsid w:val="008E1E94"/>
    <w:rsid w:val="008E2D99"/>
    <w:rsid w:val="008E30D4"/>
    <w:rsid w:val="008E38B0"/>
    <w:rsid w:val="008E3C90"/>
    <w:rsid w:val="008E4A60"/>
    <w:rsid w:val="008E744D"/>
    <w:rsid w:val="008F1E08"/>
    <w:rsid w:val="008F30F4"/>
    <w:rsid w:val="008F58E1"/>
    <w:rsid w:val="008F6E05"/>
    <w:rsid w:val="008F6FC8"/>
    <w:rsid w:val="0090045D"/>
    <w:rsid w:val="00900906"/>
    <w:rsid w:val="00900D8F"/>
    <w:rsid w:val="00901229"/>
    <w:rsid w:val="009014E3"/>
    <w:rsid w:val="009020ED"/>
    <w:rsid w:val="009026E8"/>
    <w:rsid w:val="00902FDD"/>
    <w:rsid w:val="00905EEF"/>
    <w:rsid w:val="009063CB"/>
    <w:rsid w:val="00906EB7"/>
    <w:rsid w:val="00907FE6"/>
    <w:rsid w:val="009102BF"/>
    <w:rsid w:val="00911490"/>
    <w:rsid w:val="009115F2"/>
    <w:rsid w:val="00911B11"/>
    <w:rsid w:val="00914ADB"/>
    <w:rsid w:val="00917182"/>
    <w:rsid w:val="00920251"/>
    <w:rsid w:val="00921CFD"/>
    <w:rsid w:val="00923B25"/>
    <w:rsid w:val="0092402E"/>
    <w:rsid w:val="009259BA"/>
    <w:rsid w:val="00926FCB"/>
    <w:rsid w:val="009303BB"/>
    <w:rsid w:val="0093108A"/>
    <w:rsid w:val="00931B6D"/>
    <w:rsid w:val="0093311A"/>
    <w:rsid w:val="009346D0"/>
    <w:rsid w:val="009369A6"/>
    <w:rsid w:val="00937F57"/>
    <w:rsid w:val="0094031E"/>
    <w:rsid w:val="009415A8"/>
    <w:rsid w:val="009419B4"/>
    <w:rsid w:val="00941A4C"/>
    <w:rsid w:val="00942645"/>
    <w:rsid w:val="009461E6"/>
    <w:rsid w:val="00950A3A"/>
    <w:rsid w:val="00952CC5"/>
    <w:rsid w:val="0095340A"/>
    <w:rsid w:val="00953AF6"/>
    <w:rsid w:val="0095423E"/>
    <w:rsid w:val="00954581"/>
    <w:rsid w:val="0095466C"/>
    <w:rsid w:val="00954E5B"/>
    <w:rsid w:val="00955100"/>
    <w:rsid w:val="00955316"/>
    <w:rsid w:val="00955E45"/>
    <w:rsid w:val="009576BC"/>
    <w:rsid w:val="00957899"/>
    <w:rsid w:val="00957927"/>
    <w:rsid w:val="00960357"/>
    <w:rsid w:val="0096168C"/>
    <w:rsid w:val="00961840"/>
    <w:rsid w:val="009625E3"/>
    <w:rsid w:val="00962F2D"/>
    <w:rsid w:val="00963A7A"/>
    <w:rsid w:val="00964577"/>
    <w:rsid w:val="009672CD"/>
    <w:rsid w:val="00971810"/>
    <w:rsid w:val="00972996"/>
    <w:rsid w:val="009730B4"/>
    <w:rsid w:val="0097320E"/>
    <w:rsid w:val="009732B8"/>
    <w:rsid w:val="00974647"/>
    <w:rsid w:val="0097514A"/>
    <w:rsid w:val="009759C2"/>
    <w:rsid w:val="00975C72"/>
    <w:rsid w:val="00976869"/>
    <w:rsid w:val="00977740"/>
    <w:rsid w:val="00977CB4"/>
    <w:rsid w:val="009809B8"/>
    <w:rsid w:val="00981086"/>
    <w:rsid w:val="009818AF"/>
    <w:rsid w:val="00981B1C"/>
    <w:rsid w:val="0098222D"/>
    <w:rsid w:val="009842F3"/>
    <w:rsid w:val="00984EBF"/>
    <w:rsid w:val="00985099"/>
    <w:rsid w:val="00985D32"/>
    <w:rsid w:val="00986514"/>
    <w:rsid w:val="00986FCC"/>
    <w:rsid w:val="00990FD6"/>
    <w:rsid w:val="00991096"/>
    <w:rsid w:val="009935C3"/>
    <w:rsid w:val="0099421F"/>
    <w:rsid w:val="00994FC8"/>
    <w:rsid w:val="009A055F"/>
    <w:rsid w:val="009A0B96"/>
    <w:rsid w:val="009A0DE3"/>
    <w:rsid w:val="009A1643"/>
    <w:rsid w:val="009A215A"/>
    <w:rsid w:val="009A26B9"/>
    <w:rsid w:val="009A49D3"/>
    <w:rsid w:val="009A4F1B"/>
    <w:rsid w:val="009A66C5"/>
    <w:rsid w:val="009A66E7"/>
    <w:rsid w:val="009A79BA"/>
    <w:rsid w:val="009B10F9"/>
    <w:rsid w:val="009B14D1"/>
    <w:rsid w:val="009B1534"/>
    <w:rsid w:val="009B4963"/>
    <w:rsid w:val="009B4A3B"/>
    <w:rsid w:val="009B6023"/>
    <w:rsid w:val="009B69D3"/>
    <w:rsid w:val="009B721E"/>
    <w:rsid w:val="009B7BA7"/>
    <w:rsid w:val="009B7C01"/>
    <w:rsid w:val="009C0938"/>
    <w:rsid w:val="009C0C22"/>
    <w:rsid w:val="009C15D9"/>
    <w:rsid w:val="009C1A1D"/>
    <w:rsid w:val="009C22C8"/>
    <w:rsid w:val="009C3F82"/>
    <w:rsid w:val="009C582A"/>
    <w:rsid w:val="009C5C56"/>
    <w:rsid w:val="009C72DD"/>
    <w:rsid w:val="009C78FD"/>
    <w:rsid w:val="009C7C8D"/>
    <w:rsid w:val="009C7DF5"/>
    <w:rsid w:val="009D056C"/>
    <w:rsid w:val="009D060F"/>
    <w:rsid w:val="009D1ADE"/>
    <w:rsid w:val="009D297C"/>
    <w:rsid w:val="009D3652"/>
    <w:rsid w:val="009D37CA"/>
    <w:rsid w:val="009D4229"/>
    <w:rsid w:val="009D4268"/>
    <w:rsid w:val="009D5DE9"/>
    <w:rsid w:val="009E09D0"/>
    <w:rsid w:val="009E1181"/>
    <w:rsid w:val="009E1283"/>
    <w:rsid w:val="009E3A7F"/>
    <w:rsid w:val="009E4C9B"/>
    <w:rsid w:val="009E4DFC"/>
    <w:rsid w:val="009E5789"/>
    <w:rsid w:val="009E57B1"/>
    <w:rsid w:val="009E6379"/>
    <w:rsid w:val="009F020B"/>
    <w:rsid w:val="009F020F"/>
    <w:rsid w:val="009F3B63"/>
    <w:rsid w:val="009F43E2"/>
    <w:rsid w:val="009F6292"/>
    <w:rsid w:val="009F7809"/>
    <w:rsid w:val="009F7822"/>
    <w:rsid w:val="009F7AF5"/>
    <w:rsid w:val="00A00613"/>
    <w:rsid w:val="00A006F1"/>
    <w:rsid w:val="00A007A7"/>
    <w:rsid w:val="00A00D14"/>
    <w:rsid w:val="00A01408"/>
    <w:rsid w:val="00A02457"/>
    <w:rsid w:val="00A02AA8"/>
    <w:rsid w:val="00A03190"/>
    <w:rsid w:val="00A03A9E"/>
    <w:rsid w:val="00A0404B"/>
    <w:rsid w:val="00A06F66"/>
    <w:rsid w:val="00A0798C"/>
    <w:rsid w:val="00A07BDD"/>
    <w:rsid w:val="00A07F12"/>
    <w:rsid w:val="00A1105B"/>
    <w:rsid w:val="00A1213C"/>
    <w:rsid w:val="00A130E8"/>
    <w:rsid w:val="00A15B6B"/>
    <w:rsid w:val="00A15EB4"/>
    <w:rsid w:val="00A16172"/>
    <w:rsid w:val="00A16876"/>
    <w:rsid w:val="00A200AA"/>
    <w:rsid w:val="00A20558"/>
    <w:rsid w:val="00A211DD"/>
    <w:rsid w:val="00A2186F"/>
    <w:rsid w:val="00A2270B"/>
    <w:rsid w:val="00A22E4F"/>
    <w:rsid w:val="00A234DE"/>
    <w:rsid w:val="00A23B89"/>
    <w:rsid w:val="00A23C4F"/>
    <w:rsid w:val="00A23FE3"/>
    <w:rsid w:val="00A248C3"/>
    <w:rsid w:val="00A2496E"/>
    <w:rsid w:val="00A2515A"/>
    <w:rsid w:val="00A253E8"/>
    <w:rsid w:val="00A258B7"/>
    <w:rsid w:val="00A25A0C"/>
    <w:rsid w:val="00A25A83"/>
    <w:rsid w:val="00A262B6"/>
    <w:rsid w:val="00A305AD"/>
    <w:rsid w:val="00A31597"/>
    <w:rsid w:val="00A31FE2"/>
    <w:rsid w:val="00A32743"/>
    <w:rsid w:val="00A40356"/>
    <w:rsid w:val="00A40FFB"/>
    <w:rsid w:val="00A41468"/>
    <w:rsid w:val="00A414A9"/>
    <w:rsid w:val="00A44141"/>
    <w:rsid w:val="00A44CCA"/>
    <w:rsid w:val="00A44D75"/>
    <w:rsid w:val="00A47CF1"/>
    <w:rsid w:val="00A50418"/>
    <w:rsid w:val="00A50B17"/>
    <w:rsid w:val="00A53A9B"/>
    <w:rsid w:val="00A54A47"/>
    <w:rsid w:val="00A56D26"/>
    <w:rsid w:val="00A571A7"/>
    <w:rsid w:val="00A5749A"/>
    <w:rsid w:val="00A575E1"/>
    <w:rsid w:val="00A57BA8"/>
    <w:rsid w:val="00A57C35"/>
    <w:rsid w:val="00A608FB"/>
    <w:rsid w:val="00A60D83"/>
    <w:rsid w:val="00A60F68"/>
    <w:rsid w:val="00A63DF3"/>
    <w:rsid w:val="00A65C78"/>
    <w:rsid w:val="00A65F67"/>
    <w:rsid w:val="00A660A8"/>
    <w:rsid w:val="00A66A45"/>
    <w:rsid w:val="00A67591"/>
    <w:rsid w:val="00A67911"/>
    <w:rsid w:val="00A67CA6"/>
    <w:rsid w:val="00A70E7B"/>
    <w:rsid w:val="00A717EA"/>
    <w:rsid w:val="00A730B0"/>
    <w:rsid w:val="00A73B84"/>
    <w:rsid w:val="00A7411D"/>
    <w:rsid w:val="00A756C4"/>
    <w:rsid w:val="00A7592B"/>
    <w:rsid w:val="00A75ED7"/>
    <w:rsid w:val="00A76094"/>
    <w:rsid w:val="00A768E2"/>
    <w:rsid w:val="00A82C52"/>
    <w:rsid w:val="00A838E8"/>
    <w:rsid w:val="00A83C15"/>
    <w:rsid w:val="00A84EC4"/>
    <w:rsid w:val="00A86CB6"/>
    <w:rsid w:val="00A90D55"/>
    <w:rsid w:val="00A9225E"/>
    <w:rsid w:val="00A944D8"/>
    <w:rsid w:val="00A959E7"/>
    <w:rsid w:val="00A95BBA"/>
    <w:rsid w:val="00A961EE"/>
    <w:rsid w:val="00A96559"/>
    <w:rsid w:val="00A97B11"/>
    <w:rsid w:val="00A97CD9"/>
    <w:rsid w:val="00AA020A"/>
    <w:rsid w:val="00AA04B3"/>
    <w:rsid w:val="00AA1253"/>
    <w:rsid w:val="00AA1ED0"/>
    <w:rsid w:val="00AA1F5B"/>
    <w:rsid w:val="00AA28EF"/>
    <w:rsid w:val="00AA3593"/>
    <w:rsid w:val="00AA38CA"/>
    <w:rsid w:val="00AA493E"/>
    <w:rsid w:val="00AA73AF"/>
    <w:rsid w:val="00AB062D"/>
    <w:rsid w:val="00AB0A8A"/>
    <w:rsid w:val="00AB1754"/>
    <w:rsid w:val="00AB1F8D"/>
    <w:rsid w:val="00AB27DD"/>
    <w:rsid w:val="00AB4BA4"/>
    <w:rsid w:val="00AB592E"/>
    <w:rsid w:val="00AB6CB3"/>
    <w:rsid w:val="00AC0C1C"/>
    <w:rsid w:val="00AC1305"/>
    <w:rsid w:val="00AC37BE"/>
    <w:rsid w:val="00AC439D"/>
    <w:rsid w:val="00AC54AA"/>
    <w:rsid w:val="00AC62CC"/>
    <w:rsid w:val="00AC713F"/>
    <w:rsid w:val="00AC7329"/>
    <w:rsid w:val="00AC7D96"/>
    <w:rsid w:val="00AD00E4"/>
    <w:rsid w:val="00AD067E"/>
    <w:rsid w:val="00AD168B"/>
    <w:rsid w:val="00AD1B4E"/>
    <w:rsid w:val="00AD2801"/>
    <w:rsid w:val="00AD3496"/>
    <w:rsid w:val="00AD426A"/>
    <w:rsid w:val="00AD49A1"/>
    <w:rsid w:val="00AD5771"/>
    <w:rsid w:val="00AD6870"/>
    <w:rsid w:val="00AD68C5"/>
    <w:rsid w:val="00AD7F8F"/>
    <w:rsid w:val="00AE0BF9"/>
    <w:rsid w:val="00AE1273"/>
    <w:rsid w:val="00AE18C5"/>
    <w:rsid w:val="00AE2540"/>
    <w:rsid w:val="00AE2CF4"/>
    <w:rsid w:val="00AE2D29"/>
    <w:rsid w:val="00AE2F15"/>
    <w:rsid w:val="00AE4624"/>
    <w:rsid w:val="00AE4B3E"/>
    <w:rsid w:val="00AE4B90"/>
    <w:rsid w:val="00AE5E14"/>
    <w:rsid w:val="00AE6115"/>
    <w:rsid w:val="00AE625B"/>
    <w:rsid w:val="00AF01B2"/>
    <w:rsid w:val="00AF1103"/>
    <w:rsid w:val="00AF1668"/>
    <w:rsid w:val="00AF25B2"/>
    <w:rsid w:val="00AF28DE"/>
    <w:rsid w:val="00AF41EE"/>
    <w:rsid w:val="00AF4FA5"/>
    <w:rsid w:val="00AF5BB4"/>
    <w:rsid w:val="00AF6ECC"/>
    <w:rsid w:val="00B00B7A"/>
    <w:rsid w:val="00B02145"/>
    <w:rsid w:val="00B022DC"/>
    <w:rsid w:val="00B04562"/>
    <w:rsid w:val="00B0472F"/>
    <w:rsid w:val="00B06930"/>
    <w:rsid w:val="00B0773A"/>
    <w:rsid w:val="00B07955"/>
    <w:rsid w:val="00B1176B"/>
    <w:rsid w:val="00B140B8"/>
    <w:rsid w:val="00B14FAA"/>
    <w:rsid w:val="00B15BED"/>
    <w:rsid w:val="00B15D30"/>
    <w:rsid w:val="00B15F09"/>
    <w:rsid w:val="00B16D18"/>
    <w:rsid w:val="00B177DE"/>
    <w:rsid w:val="00B20624"/>
    <w:rsid w:val="00B21F2F"/>
    <w:rsid w:val="00B23436"/>
    <w:rsid w:val="00B237F1"/>
    <w:rsid w:val="00B23F10"/>
    <w:rsid w:val="00B24328"/>
    <w:rsid w:val="00B24ED4"/>
    <w:rsid w:val="00B24F33"/>
    <w:rsid w:val="00B26354"/>
    <w:rsid w:val="00B263AF"/>
    <w:rsid w:val="00B26CA0"/>
    <w:rsid w:val="00B300BD"/>
    <w:rsid w:val="00B31965"/>
    <w:rsid w:val="00B32179"/>
    <w:rsid w:val="00B32341"/>
    <w:rsid w:val="00B32685"/>
    <w:rsid w:val="00B32C2B"/>
    <w:rsid w:val="00B33007"/>
    <w:rsid w:val="00B331A9"/>
    <w:rsid w:val="00B33498"/>
    <w:rsid w:val="00B33598"/>
    <w:rsid w:val="00B3575C"/>
    <w:rsid w:val="00B36569"/>
    <w:rsid w:val="00B37345"/>
    <w:rsid w:val="00B37F53"/>
    <w:rsid w:val="00B40657"/>
    <w:rsid w:val="00B40A05"/>
    <w:rsid w:val="00B40A3E"/>
    <w:rsid w:val="00B42320"/>
    <w:rsid w:val="00B427BB"/>
    <w:rsid w:val="00B43BA2"/>
    <w:rsid w:val="00B449EE"/>
    <w:rsid w:val="00B4505D"/>
    <w:rsid w:val="00B454AE"/>
    <w:rsid w:val="00B46244"/>
    <w:rsid w:val="00B50227"/>
    <w:rsid w:val="00B50510"/>
    <w:rsid w:val="00B505E9"/>
    <w:rsid w:val="00B522CD"/>
    <w:rsid w:val="00B55143"/>
    <w:rsid w:val="00B553B2"/>
    <w:rsid w:val="00B555C8"/>
    <w:rsid w:val="00B55917"/>
    <w:rsid w:val="00B55D87"/>
    <w:rsid w:val="00B5646A"/>
    <w:rsid w:val="00B56F3D"/>
    <w:rsid w:val="00B57921"/>
    <w:rsid w:val="00B57E78"/>
    <w:rsid w:val="00B57EB8"/>
    <w:rsid w:val="00B609F6"/>
    <w:rsid w:val="00B60E75"/>
    <w:rsid w:val="00B643A6"/>
    <w:rsid w:val="00B64DD6"/>
    <w:rsid w:val="00B66505"/>
    <w:rsid w:val="00B6710C"/>
    <w:rsid w:val="00B67E84"/>
    <w:rsid w:val="00B72076"/>
    <w:rsid w:val="00B72303"/>
    <w:rsid w:val="00B727A9"/>
    <w:rsid w:val="00B72C72"/>
    <w:rsid w:val="00B72ED9"/>
    <w:rsid w:val="00B731E4"/>
    <w:rsid w:val="00B751CE"/>
    <w:rsid w:val="00B75A8B"/>
    <w:rsid w:val="00B75B61"/>
    <w:rsid w:val="00B76796"/>
    <w:rsid w:val="00B771E0"/>
    <w:rsid w:val="00B7793B"/>
    <w:rsid w:val="00B77EE7"/>
    <w:rsid w:val="00B80EDD"/>
    <w:rsid w:val="00B812BD"/>
    <w:rsid w:val="00B81964"/>
    <w:rsid w:val="00B82277"/>
    <w:rsid w:val="00B82821"/>
    <w:rsid w:val="00B83F87"/>
    <w:rsid w:val="00B8425C"/>
    <w:rsid w:val="00B8478F"/>
    <w:rsid w:val="00B84F93"/>
    <w:rsid w:val="00B86ACE"/>
    <w:rsid w:val="00B91676"/>
    <w:rsid w:val="00B9322B"/>
    <w:rsid w:val="00B93640"/>
    <w:rsid w:val="00B938C6"/>
    <w:rsid w:val="00B955D5"/>
    <w:rsid w:val="00B95833"/>
    <w:rsid w:val="00BA1824"/>
    <w:rsid w:val="00BA29C6"/>
    <w:rsid w:val="00BA2D98"/>
    <w:rsid w:val="00BA2F0C"/>
    <w:rsid w:val="00BA30D1"/>
    <w:rsid w:val="00BA30E1"/>
    <w:rsid w:val="00BA4609"/>
    <w:rsid w:val="00BA5BE2"/>
    <w:rsid w:val="00BA6A9C"/>
    <w:rsid w:val="00BA7F46"/>
    <w:rsid w:val="00BB0388"/>
    <w:rsid w:val="00BB0A0A"/>
    <w:rsid w:val="00BB133C"/>
    <w:rsid w:val="00BB1F04"/>
    <w:rsid w:val="00BB45B5"/>
    <w:rsid w:val="00BB4DDE"/>
    <w:rsid w:val="00BB6064"/>
    <w:rsid w:val="00BB65CE"/>
    <w:rsid w:val="00BB7012"/>
    <w:rsid w:val="00BC09D1"/>
    <w:rsid w:val="00BC1CF3"/>
    <w:rsid w:val="00BC2BE0"/>
    <w:rsid w:val="00BC3573"/>
    <w:rsid w:val="00BC5860"/>
    <w:rsid w:val="00BC7F82"/>
    <w:rsid w:val="00BD1844"/>
    <w:rsid w:val="00BD2A49"/>
    <w:rsid w:val="00BD3683"/>
    <w:rsid w:val="00BD40AB"/>
    <w:rsid w:val="00BD40DE"/>
    <w:rsid w:val="00BD6297"/>
    <w:rsid w:val="00BD6806"/>
    <w:rsid w:val="00BD6939"/>
    <w:rsid w:val="00BD7433"/>
    <w:rsid w:val="00BD7831"/>
    <w:rsid w:val="00BD7C10"/>
    <w:rsid w:val="00BE046F"/>
    <w:rsid w:val="00BE0DEB"/>
    <w:rsid w:val="00BE229C"/>
    <w:rsid w:val="00BE2AB8"/>
    <w:rsid w:val="00BE2FC1"/>
    <w:rsid w:val="00BE3142"/>
    <w:rsid w:val="00BE4039"/>
    <w:rsid w:val="00BE4854"/>
    <w:rsid w:val="00BE6365"/>
    <w:rsid w:val="00BF01B7"/>
    <w:rsid w:val="00BF0B7F"/>
    <w:rsid w:val="00BF0E94"/>
    <w:rsid w:val="00BF2988"/>
    <w:rsid w:val="00BF3578"/>
    <w:rsid w:val="00BF3FB9"/>
    <w:rsid w:val="00BF4012"/>
    <w:rsid w:val="00BF4720"/>
    <w:rsid w:val="00BF4F49"/>
    <w:rsid w:val="00BF6759"/>
    <w:rsid w:val="00BF70A6"/>
    <w:rsid w:val="00BF7B4F"/>
    <w:rsid w:val="00BF7B63"/>
    <w:rsid w:val="00BF7F3C"/>
    <w:rsid w:val="00C005D4"/>
    <w:rsid w:val="00C0359D"/>
    <w:rsid w:val="00C038EC"/>
    <w:rsid w:val="00C03C21"/>
    <w:rsid w:val="00C05C6D"/>
    <w:rsid w:val="00C072D7"/>
    <w:rsid w:val="00C10302"/>
    <w:rsid w:val="00C104DB"/>
    <w:rsid w:val="00C10A22"/>
    <w:rsid w:val="00C10F5B"/>
    <w:rsid w:val="00C1122B"/>
    <w:rsid w:val="00C127F2"/>
    <w:rsid w:val="00C13B34"/>
    <w:rsid w:val="00C13F26"/>
    <w:rsid w:val="00C1474E"/>
    <w:rsid w:val="00C14C37"/>
    <w:rsid w:val="00C14FCF"/>
    <w:rsid w:val="00C157AA"/>
    <w:rsid w:val="00C162E1"/>
    <w:rsid w:val="00C16BE4"/>
    <w:rsid w:val="00C16E9F"/>
    <w:rsid w:val="00C1713D"/>
    <w:rsid w:val="00C17523"/>
    <w:rsid w:val="00C177F1"/>
    <w:rsid w:val="00C17EE6"/>
    <w:rsid w:val="00C217F7"/>
    <w:rsid w:val="00C2272E"/>
    <w:rsid w:val="00C22F3A"/>
    <w:rsid w:val="00C23311"/>
    <w:rsid w:val="00C24AD9"/>
    <w:rsid w:val="00C25978"/>
    <w:rsid w:val="00C261C6"/>
    <w:rsid w:val="00C26621"/>
    <w:rsid w:val="00C26B27"/>
    <w:rsid w:val="00C26E7C"/>
    <w:rsid w:val="00C276CD"/>
    <w:rsid w:val="00C27827"/>
    <w:rsid w:val="00C30A97"/>
    <w:rsid w:val="00C31DDC"/>
    <w:rsid w:val="00C3223A"/>
    <w:rsid w:val="00C34168"/>
    <w:rsid w:val="00C34247"/>
    <w:rsid w:val="00C34326"/>
    <w:rsid w:val="00C34CEB"/>
    <w:rsid w:val="00C36201"/>
    <w:rsid w:val="00C368E8"/>
    <w:rsid w:val="00C36C3D"/>
    <w:rsid w:val="00C372C7"/>
    <w:rsid w:val="00C376A7"/>
    <w:rsid w:val="00C42443"/>
    <w:rsid w:val="00C42CBA"/>
    <w:rsid w:val="00C4338C"/>
    <w:rsid w:val="00C43C2B"/>
    <w:rsid w:val="00C45B27"/>
    <w:rsid w:val="00C4652E"/>
    <w:rsid w:val="00C472C7"/>
    <w:rsid w:val="00C5019E"/>
    <w:rsid w:val="00C50C8C"/>
    <w:rsid w:val="00C51962"/>
    <w:rsid w:val="00C5377C"/>
    <w:rsid w:val="00C53E8A"/>
    <w:rsid w:val="00C54DF3"/>
    <w:rsid w:val="00C560A7"/>
    <w:rsid w:val="00C56FC8"/>
    <w:rsid w:val="00C60F23"/>
    <w:rsid w:val="00C6170B"/>
    <w:rsid w:val="00C62EB2"/>
    <w:rsid w:val="00C63431"/>
    <w:rsid w:val="00C64C87"/>
    <w:rsid w:val="00C65414"/>
    <w:rsid w:val="00C665FE"/>
    <w:rsid w:val="00C71BEC"/>
    <w:rsid w:val="00C73942"/>
    <w:rsid w:val="00C73A83"/>
    <w:rsid w:val="00C74D3A"/>
    <w:rsid w:val="00C75F3D"/>
    <w:rsid w:val="00C80511"/>
    <w:rsid w:val="00C80655"/>
    <w:rsid w:val="00C80CFE"/>
    <w:rsid w:val="00C81937"/>
    <w:rsid w:val="00C826F5"/>
    <w:rsid w:val="00C83740"/>
    <w:rsid w:val="00C84527"/>
    <w:rsid w:val="00C84AD1"/>
    <w:rsid w:val="00C85579"/>
    <w:rsid w:val="00C8590C"/>
    <w:rsid w:val="00C862F1"/>
    <w:rsid w:val="00C863E5"/>
    <w:rsid w:val="00C87BE6"/>
    <w:rsid w:val="00C87F76"/>
    <w:rsid w:val="00C931FC"/>
    <w:rsid w:val="00C932C5"/>
    <w:rsid w:val="00C94CB6"/>
    <w:rsid w:val="00C95299"/>
    <w:rsid w:val="00C95A72"/>
    <w:rsid w:val="00C9650E"/>
    <w:rsid w:val="00C97000"/>
    <w:rsid w:val="00C975BD"/>
    <w:rsid w:val="00CA068D"/>
    <w:rsid w:val="00CA08DF"/>
    <w:rsid w:val="00CA1228"/>
    <w:rsid w:val="00CA1C73"/>
    <w:rsid w:val="00CA282D"/>
    <w:rsid w:val="00CA3F73"/>
    <w:rsid w:val="00CA4670"/>
    <w:rsid w:val="00CA5F89"/>
    <w:rsid w:val="00CA6B1A"/>
    <w:rsid w:val="00CB1B18"/>
    <w:rsid w:val="00CB20DC"/>
    <w:rsid w:val="00CB23DC"/>
    <w:rsid w:val="00CB2487"/>
    <w:rsid w:val="00CB28E2"/>
    <w:rsid w:val="00CB2F20"/>
    <w:rsid w:val="00CB31FA"/>
    <w:rsid w:val="00CB3395"/>
    <w:rsid w:val="00CB5801"/>
    <w:rsid w:val="00CB758D"/>
    <w:rsid w:val="00CB7A3E"/>
    <w:rsid w:val="00CB7FF7"/>
    <w:rsid w:val="00CC0D0E"/>
    <w:rsid w:val="00CC1253"/>
    <w:rsid w:val="00CC19B3"/>
    <w:rsid w:val="00CC2044"/>
    <w:rsid w:val="00CC39D2"/>
    <w:rsid w:val="00CC69EC"/>
    <w:rsid w:val="00CC78A2"/>
    <w:rsid w:val="00CC7DF8"/>
    <w:rsid w:val="00CD15BE"/>
    <w:rsid w:val="00CD16AB"/>
    <w:rsid w:val="00CD1EF2"/>
    <w:rsid w:val="00CD32BD"/>
    <w:rsid w:val="00CD34C7"/>
    <w:rsid w:val="00CD5653"/>
    <w:rsid w:val="00CD5E6D"/>
    <w:rsid w:val="00CD63C8"/>
    <w:rsid w:val="00CD76F8"/>
    <w:rsid w:val="00CD78A5"/>
    <w:rsid w:val="00CE02E8"/>
    <w:rsid w:val="00CE069E"/>
    <w:rsid w:val="00CE0DE0"/>
    <w:rsid w:val="00CE2CC2"/>
    <w:rsid w:val="00CE3722"/>
    <w:rsid w:val="00CF158D"/>
    <w:rsid w:val="00CF2166"/>
    <w:rsid w:val="00CF4340"/>
    <w:rsid w:val="00CF4394"/>
    <w:rsid w:val="00CF48B4"/>
    <w:rsid w:val="00CF5C12"/>
    <w:rsid w:val="00CF7B72"/>
    <w:rsid w:val="00D000A9"/>
    <w:rsid w:val="00D00384"/>
    <w:rsid w:val="00D005DB"/>
    <w:rsid w:val="00D0064E"/>
    <w:rsid w:val="00D00981"/>
    <w:rsid w:val="00D02596"/>
    <w:rsid w:val="00D0280D"/>
    <w:rsid w:val="00D02AEF"/>
    <w:rsid w:val="00D03EC9"/>
    <w:rsid w:val="00D05669"/>
    <w:rsid w:val="00D061EB"/>
    <w:rsid w:val="00D06952"/>
    <w:rsid w:val="00D07A72"/>
    <w:rsid w:val="00D10577"/>
    <w:rsid w:val="00D12405"/>
    <w:rsid w:val="00D12A4E"/>
    <w:rsid w:val="00D1323B"/>
    <w:rsid w:val="00D14BAE"/>
    <w:rsid w:val="00D15107"/>
    <w:rsid w:val="00D1648B"/>
    <w:rsid w:val="00D16819"/>
    <w:rsid w:val="00D17DD9"/>
    <w:rsid w:val="00D20AC0"/>
    <w:rsid w:val="00D229E7"/>
    <w:rsid w:val="00D2321B"/>
    <w:rsid w:val="00D23350"/>
    <w:rsid w:val="00D237E7"/>
    <w:rsid w:val="00D23DE4"/>
    <w:rsid w:val="00D25A5C"/>
    <w:rsid w:val="00D26873"/>
    <w:rsid w:val="00D27C99"/>
    <w:rsid w:val="00D31683"/>
    <w:rsid w:val="00D33452"/>
    <w:rsid w:val="00D336C8"/>
    <w:rsid w:val="00D339E8"/>
    <w:rsid w:val="00D33FDD"/>
    <w:rsid w:val="00D3654A"/>
    <w:rsid w:val="00D3662E"/>
    <w:rsid w:val="00D373F1"/>
    <w:rsid w:val="00D37567"/>
    <w:rsid w:val="00D40B1F"/>
    <w:rsid w:val="00D40D75"/>
    <w:rsid w:val="00D414F0"/>
    <w:rsid w:val="00D43978"/>
    <w:rsid w:val="00D43CBD"/>
    <w:rsid w:val="00D449F0"/>
    <w:rsid w:val="00D462D7"/>
    <w:rsid w:val="00D46A33"/>
    <w:rsid w:val="00D5062C"/>
    <w:rsid w:val="00D50C8C"/>
    <w:rsid w:val="00D52393"/>
    <w:rsid w:val="00D523E4"/>
    <w:rsid w:val="00D5279D"/>
    <w:rsid w:val="00D52A1B"/>
    <w:rsid w:val="00D52AA7"/>
    <w:rsid w:val="00D52FCC"/>
    <w:rsid w:val="00D53F14"/>
    <w:rsid w:val="00D54BE4"/>
    <w:rsid w:val="00D54DDB"/>
    <w:rsid w:val="00D554BC"/>
    <w:rsid w:val="00D560DC"/>
    <w:rsid w:val="00D56602"/>
    <w:rsid w:val="00D60483"/>
    <w:rsid w:val="00D61ABB"/>
    <w:rsid w:val="00D62D5C"/>
    <w:rsid w:val="00D63577"/>
    <w:rsid w:val="00D67FD7"/>
    <w:rsid w:val="00D704E4"/>
    <w:rsid w:val="00D72410"/>
    <w:rsid w:val="00D73D53"/>
    <w:rsid w:val="00D7402C"/>
    <w:rsid w:val="00D7408A"/>
    <w:rsid w:val="00D74261"/>
    <w:rsid w:val="00D7441B"/>
    <w:rsid w:val="00D75589"/>
    <w:rsid w:val="00D76AB2"/>
    <w:rsid w:val="00D80490"/>
    <w:rsid w:val="00D828F9"/>
    <w:rsid w:val="00D829AD"/>
    <w:rsid w:val="00D82E9B"/>
    <w:rsid w:val="00D82EE2"/>
    <w:rsid w:val="00D83D1B"/>
    <w:rsid w:val="00D84133"/>
    <w:rsid w:val="00D84B8D"/>
    <w:rsid w:val="00D8545C"/>
    <w:rsid w:val="00D86AB5"/>
    <w:rsid w:val="00D86E57"/>
    <w:rsid w:val="00D876AD"/>
    <w:rsid w:val="00D87788"/>
    <w:rsid w:val="00D877C8"/>
    <w:rsid w:val="00D91040"/>
    <w:rsid w:val="00D910C2"/>
    <w:rsid w:val="00D9168C"/>
    <w:rsid w:val="00D9189B"/>
    <w:rsid w:val="00D91DA6"/>
    <w:rsid w:val="00D921A0"/>
    <w:rsid w:val="00D93A41"/>
    <w:rsid w:val="00D93B9A"/>
    <w:rsid w:val="00D95984"/>
    <w:rsid w:val="00D95C64"/>
    <w:rsid w:val="00D96462"/>
    <w:rsid w:val="00D9706F"/>
    <w:rsid w:val="00D972D4"/>
    <w:rsid w:val="00DA0FE3"/>
    <w:rsid w:val="00DA195B"/>
    <w:rsid w:val="00DA27F3"/>
    <w:rsid w:val="00DA2D1E"/>
    <w:rsid w:val="00DA3EC8"/>
    <w:rsid w:val="00DA40C1"/>
    <w:rsid w:val="00DA5564"/>
    <w:rsid w:val="00DA6B55"/>
    <w:rsid w:val="00DA6B97"/>
    <w:rsid w:val="00DA6CEE"/>
    <w:rsid w:val="00DA7387"/>
    <w:rsid w:val="00DB0015"/>
    <w:rsid w:val="00DB0359"/>
    <w:rsid w:val="00DB0ABB"/>
    <w:rsid w:val="00DB1D01"/>
    <w:rsid w:val="00DB2AAD"/>
    <w:rsid w:val="00DB44E2"/>
    <w:rsid w:val="00DB4A6D"/>
    <w:rsid w:val="00DB5941"/>
    <w:rsid w:val="00DB626D"/>
    <w:rsid w:val="00DB6365"/>
    <w:rsid w:val="00DB756C"/>
    <w:rsid w:val="00DC07B7"/>
    <w:rsid w:val="00DC0BF1"/>
    <w:rsid w:val="00DC1607"/>
    <w:rsid w:val="00DC17F2"/>
    <w:rsid w:val="00DC4001"/>
    <w:rsid w:val="00DC41C3"/>
    <w:rsid w:val="00DC4A3C"/>
    <w:rsid w:val="00DC4FA4"/>
    <w:rsid w:val="00DC5B37"/>
    <w:rsid w:val="00DD286D"/>
    <w:rsid w:val="00DD2CAF"/>
    <w:rsid w:val="00DD3593"/>
    <w:rsid w:val="00DD64E0"/>
    <w:rsid w:val="00DD775C"/>
    <w:rsid w:val="00DD7BE0"/>
    <w:rsid w:val="00DE0C67"/>
    <w:rsid w:val="00DE3AAD"/>
    <w:rsid w:val="00DE598A"/>
    <w:rsid w:val="00DE6952"/>
    <w:rsid w:val="00DE6FBE"/>
    <w:rsid w:val="00DE7A7D"/>
    <w:rsid w:val="00DE7E74"/>
    <w:rsid w:val="00DF071B"/>
    <w:rsid w:val="00DF2519"/>
    <w:rsid w:val="00DF5C84"/>
    <w:rsid w:val="00DF5EC0"/>
    <w:rsid w:val="00DF6EF8"/>
    <w:rsid w:val="00DF6EFE"/>
    <w:rsid w:val="00E00A69"/>
    <w:rsid w:val="00E017BC"/>
    <w:rsid w:val="00E017F0"/>
    <w:rsid w:val="00E01A0E"/>
    <w:rsid w:val="00E025FE"/>
    <w:rsid w:val="00E0346A"/>
    <w:rsid w:val="00E041E4"/>
    <w:rsid w:val="00E04AEE"/>
    <w:rsid w:val="00E062B1"/>
    <w:rsid w:val="00E06BBD"/>
    <w:rsid w:val="00E100E3"/>
    <w:rsid w:val="00E1012B"/>
    <w:rsid w:val="00E103C8"/>
    <w:rsid w:val="00E1085B"/>
    <w:rsid w:val="00E1308B"/>
    <w:rsid w:val="00E13585"/>
    <w:rsid w:val="00E14581"/>
    <w:rsid w:val="00E14623"/>
    <w:rsid w:val="00E15539"/>
    <w:rsid w:val="00E16541"/>
    <w:rsid w:val="00E17EC9"/>
    <w:rsid w:val="00E202F4"/>
    <w:rsid w:val="00E207C3"/>
    <w:rsid w:val="00E21386"/>
    <w:rsid w:val="00E226B0"/>
    <w:rsid w:val="00E2421B"/>
    <w:rsid w:val="00E242AF"/>
    <w:rsid w:val="00E24849"/>
    <w:rsid w:val="00E2536E"/>
    <w:rsid w:val="00E25A99"/>
    <w:rsid w:val="00E25B8A"/>
    <w:rsid w:val="00E25EF8"/>
    <w:rsid w:val="00E2632B"/>
    <w:rsid w:val="00E26F75"/>
    <w:rsid w:val="00E27423"/>
    <w:rsid w:val="00E3077F"/>
    <w:rsid w:val="00E322F7"/>
    <w:rsid w:val="00E3369B"/>
    <w:rsid w:val="00E34CBD"/>
    <w:rsid w:val="00E362D2"/>
    <w:rsid w:val="00E36D76"/>
    <w:rsid w:val="00E40478"/>
    <w:rsid w:val="00E405EA"/>
    <w:rsid w:val="00E408B7"/>
    <w:rsid w:val="00E412EB"/>
    <w:rsid w:val="00E41637"/>
    <w:rsid w:val="00E42789"/>
    <w:rsid w:val="00E43F59"/>
    <w:rsid w:val="00E464F0"/>
    <w:rsid w:val="00E46EF3"/>
    <w:rsid w:val="00E47370"/>
    <w:rsid w:val="00E473E9"/>
    <w:rsid w:val="00E47B47"/>
    <w:rsid w:val="00E50BEB"/>
    <w:rsid w:val="00E51B5C"/>
    <w:rsid w:val="00E53460"/>
    <w:rsid w:val="00E548FA"/>
    <w:rsid w:val="00E55CD9"/>
    <w:rsid w:val="00E57703"/>
    <w:rsid w:val="00E57ED4"/>
    <w:rsid w:val="00E57FED"/>
    <w:rsid w:val="00E6092F"/>
    <w:rsid w:val="00E61EE9"/>
    <w:rsid w:val="00E62049"/>
    <w:rsid w:val="00E629DA"/>
    <w:rsid w:val="00E64374"/>
    <w:rsid w:val="00E6451F"/>
    <w:rsid w:val="00E6469F"/>
    <w:rsid w:val="00E6546A"/>
    <w:rsid w:val="00E65C05"/>
    <w:rsid w:val="00E65D39"/>
    <w:rsid w:val="00E670F8"/>
    <w:rsid w:val="00E6741B"/>
    <w:rsid w:val="00E67FAC"/>
    <w:rsid w:val="00E70164"/>
    <w:rsid w:val="00E71485"/>
    <w:rsid w:val="00E7200B"/>
    <w:rsid w:val="00E738CB"/>
    <w:rsid w:val="00E73C88"/>
    <w:rsid w:val="00E74437"/>
    <w:rsid w:val="00E7443D"/>
    <w:rsid w:val="00E75ACE"/>
    <w:rsid w:val="00E771AF"/>
    <w:rsid w:val="00E80386"/>
    <w:rsid w:val="00E809C3"/>
    <w:rsid w:val="00E814D4"/>
    <w:rsid w:val="00E81A1A"/>
    <w:rsid w:val="00E81C3E"/>
    <w:rsid w:val="00E82359"/>
    <w:rsid w:val="00E82B6D"/>
    <w:rsid w:val="00E83187"/>
    <w:rsid w:val="00E831E9"/>
    <w:rsid w:val="00E84DDA"/>
    <w:rsid w:val="00E8608F"/>
    <w:rsid w:val="00E86C1D"/>
    <w:rsid w:val="00E90703"/>
    <w:rsid w:val="00E90A62"/>
    <w:rsid w:val="00E9265E"/>
    <w:rsid w:val="00E94A45"/>
    <w:rsid w:val="00E956DB"/>
    <w:rsid w:val="00E96CF1"/>
    <w:rsid w:val="00E9763D"/>
    <w:rsid w:val="00EA013E"/>
    <w:rsid w:val="00EA1177"/>
    <w:rsid w:val="00EA118B"/>
    <w:rsid w:val="00EA11B6"/>
    <w:rsid w:val="00EA2181"/>
    <w:rsid w:val="00EA2DD8"/>
    <w:rsid w:val="00EA30FC"/>
    <w:rsid w:val="00EA4475"/>
    <w:rsid w:val="00EA52FE"/>
    <w:rsid w:val="00EA681F"/>
    <w:rsid w:val="00EB04C6"/>
    <w:rsid w:val="00EB06A6"/>
    <w:rsid w:val="00EB1982"/>
    <w:rsid w:val="00EB2589"/>
    <w:rsid w:val="00EB29EA"/>
    <w:rsid w:val="00EB3307"/>
    <w:rsid w:val="00EB3823"/>
    <w:rsid w:val="00EB3CBB"/>
    <w:rsid w:val="00EB4351"/>
    <w:rsid w:val="00EB47D8"/>
    <w:rsid w:val="00EB57D3"/>
    <w:rsid w:val="00EB5EFD"/>
    <w:rsid w:val="00EB679F"/>
    <w:rsid w:val="00EB76E4"/>
    <w:rsid w:val="00EC0E65"/>
    <w:rsid w:val="00EC1251"/>
    <w:rsid w:val="00EC2938"/>
    <w:rsid w:val="00EC337D"/>
    <w:rsid w:val="00EC38EF"/>
    <w:rsid w:val="00EC50C9"/>
    <w:rsid w:val="00EC58B4"/>
    <w:rsid w:val="00EC5BB2"/>
    <w:rsid w:val="00EC75AF"/>
    <w:rsid w:val="00ED12F0"/>
    <w:rsid w:val="00ED2874"/>
    <w:rsid w:val="00ED290C"/>
    <w:rsid w:val="00ED2A6C"/>
    <w:rsid w:val="00ED4773"/>
    <w:rsid w:val="00ED5284"/>
    <w:rsid w:val="00ED664B"/>
    <w:rsid w:val="00ED6A61"/>
    <w:rsid w:val="00ED768E"/>
    <w:rsid w:val="00ED7DA4"/>
    <w:rsid w:val="00EE03BB"/>
    <w:rsid w:val="00EE0552"/>
    <w:rsid w:val="00EE0B44"/>
    <w:rsid w:val="00EE125D"/>
    <w:rsid w:val="00EE23DE"/>
    <w:rsid w:val="00EE3E29"/>
    <w:rsid w:val="00EE48BB"/>
    <w:rsid w:val="00EE6FE0"/>
    <w:rsid w:val="00EE704A"/>
    <w:rsid w:val="00EE7840"/>
    <w:rsid w:val="00EF1D21"/>
    <w:rsid w:val="00EF2E75"/>
    <w:rsid w:val="00EF4C74"/>
    <w:rsid w:val="00EF5268"/>
    <w:rsid w:val="00EF608E"/>
    <w:rsid w:val="00EF6C4A"/>
    <w:rsid w:val="00F0044B"/>
    <w:rsid w:val="00F00E60"/>
    <w:rsid w:val="00F02F9F"/>
    <w:rsid w:val="00F03525"/>
    <w:rsid w:val="00F039A8"/>
    <w:rsid w:val="00F0424D"/>
    <w:rsid w:val="00F04957"/>
    <w:rsid w:val="00F053F0"/>
    <w:rsid w:val="00F05807"/>
    <w:rsid w:val="00F06451"/>
    <w:rsid w:val="00F07052"/>
    <w:rsid w:val="00F0706C"/>
    <w:rsid w:val="00F11EBE"/>
    <w:rsid w:val="00F12293"/>
    <w:rsid w:val="00F12BA8"/>
    <w:rsid w:val="00F12D7A"/>
    <w:rsid w:val="00F130D0"/>
    <w:rsid w:val="00F13AC6"/>
    <w:rsid w:val="00F14933"/>
    <w:rsid w:val="00F1516A"/>
    <w:rsid w:val="00F15EE5"/>
    <w:rsid w:val="00F171F9"/>
    <w:rsid w:val="00F1737C"/>
    <w:rsid w:val="00F173AA"/>
    <w:rsid w:val="00F21347"/>
    <w:rsid w:val="00F22A26"/>
    <w:rsid w:val="00F24072"/>
    <w:rsid w:val="00F26432"/>
    <w:rsid w:val="00F3197A"/>
    <w:rsid w:val="00F32139"/>
    <w:rsid w:val="00F33CF0"/>
    <w:rsid w:val="00F33D56"/>
    <w:rsid w:val="00F34E08"/>
    <w:rsid w:val="00F36750"/>
    <w:rsid w:val="00F41209"/>
    <w:rsid w:val="00F41D91"/>
    <w:rsid w:val="00F41F52"/>
    <w:rsid w:val="00F41FA1"/>
    <w:rsid w:val="00F42363"/>
    <w:rsid w:val="00F427C4"/>
    <w:rsid w:val="00F43D6C"/>
    <w:rsid w:val="00F46964"/>
    <w:rsid w:val="00F46F9A"/>
    <w:rsid w:val="00F470FD"/>
    <w:rsid w:val="00F50F30"/>
    <w:rsid w:val="00F5105B"/>
    <w:rsid w:val="00F5126A"/>
    <w:rsid w:val="00F5126E"/>
    <w:rsid w:val="00F516EF"/>
    <w:rsid w:val="00F51755"/>
    <w:rsid w:val="00F51C83"/>
    <w:rsid w:val="00F531D9"/>
    <w:rsid w:val="00F54D8E"/>
    <w:rsid w:val="00F5580D"/>
    <w:rsid w:val="00F56EA1"/>
    <w:rsid w:val="00F606D5"/>
    <w:rsid w:val="00F611B3"/>
    <w:rsid w:val="00F6196E"/>
    <w:rsid w:val="00F61CCC"/>
    <w:rsid w:val="00F624DD"/>
    <w:rsid w:val="00F629C0"/>
    <w:rsid w:val="00F63FC7"/>
    <w:rsid w:val="00F65E1F"/>
    <w:rsid w:val="00F65ED5"/>
    <w:rsid w:val="00F6608B"/>
    <w:rsid w:val="00F6636A"/>
    <w:rsid w:val="00F667C5"/>
    <w:rsid w:val="00F67B76"/>
    <w:rsid w:val="00F67E31"/>
    <w:rsid w:val="00F70B44"/>
    <w:rsid w:val="00F71436"/>
    <w:rsid w:val="00F718A8"/>
    <w:rsid w:val="00F7207E"/>
    <w:rsid w:val="00F72183"/>
    <w:rsid w:val="00F75C12"/>
    <w:rsid w:val="00F76D01"/>
    <w:rsid w:val="00F80B43"/>
    <w:rsid w:val="00F80C97"/>
    <w:rsid w:val="00F81C35"/>
    <w:rsid w:val="00F82981"/>
    <w:rsid w:val="00F8311F"/>
    <w:rsid w:val="00F83248"/>
    <w:rsid w:val="00F83376"/>
    <w:rsid w:val="00F853AE"/>
    <w:rsid w:val="00F908D5"/>
    <w:rsid w:val="00F913B9"/>
    <w:rsid w:val="00F92524"/>
    <w:rsid w:val="00F93C74"/>
    <w:rsid w:val="00F93DCC"/>
    <w:rsid w:val="00F9435D"/>
    <w:rsid w:val="00F966F9"/>
    <w:rsid w:val="00F96F61"/>
    <w:rsid w:val="00F97740"/>
    <w:rsid w:val="00FA0C8F"/>
    <w:rsid w:val="00FA2DEF"/>
    <w:rsid w:val="00FA2F7B"/>
    <w:rsid w:val="00FA3C90"/>
    <w:rsid w:val="00FA3C97"/>
    <w:rsid w:val="00FA3D30"/>
    <w:rsid w:val="00FA4B49"/>
    <w:rsid w:val="00FA54F8"/>
    <w:rsid w:val="00FA78C8"/>
    <w:rsid w:val="00FA7A2F"/>
    <w:rsid w:val="00FB09FE"/>
    <w:rsid w:val="00FB0E80"/>
    <w:rsid w:val="00FB101D"/>
    <w:rsid w:val="00FB1725"/>
    <w:rsid w:val="00FB2493"/>
    <w:rsid w:val="00FB42B7"/>
    <w:rsid w:val="00FB4484"/>
    <w:rsid w:val="00FB593A"/>
    <w:rsid w:val="00FB6410"/>
    <w:rsid w:val="00FB68E3"/>
    <w:rsid w:val="00FB6E82"/>
    <w:rsid w:val="00FB792E"/>
    <w:rsid w:val="00FB7CF0"/>
    <w:rsid w:val="00FC0042"/>
    <w:rsid w:val="00FC1E67"/>
    <w:rsid w:val="00FC2A13"/>
    <w:rsid w:val="00FC4284"/>
    <w:rsid w:val="00FC4576"/>
    <w:rsid w:val="00FC5FF5"/>
    <w:rsid w:val="00FC6285"/>
    <w:rsid w:val="00FC6C78"/>
    <w:rsid w:val="00FC7687"/>
    <w:rsid w:val="00FC78FB"/>
    <w:rsid w:val="00FC7DBC"/>
    <w:rsid w:val="00FD076A"/>
    <w:rsid w:val="00FD0AA0"/>
    <w:rsid w:val="00FD1D5A"/>
    <w:rsid w:val="00FD5059"/>
    <w:rsid w:val="00FD554D"/>
    <w:rsid w:val="00FD5BCC"/>
    <w:rsid w:val="00FD7B23"/>
    <w:rsid w:val="00FE2A48"/>
    <w:rsid w:val="00FE2DEF"/>
    <w:rsid w:val="00FE323C"/>
    <w:rsid w:val="00FE36CF"/>
    <w:rsid w:val="00FE3A27"/>
    <w:rsid w:val="00FE5D0A"/>
    <w:rsid w:val="00FE6469"/>
    <w:rsid w:val="00FE67BC"/>
    <w:rsid w:val="00FE7C22"/>
    <w:rsid w:val="00FE7C6D"/>
    <w:rsid w:val="00FF05D0"/>
    <w:rsid w:val="00FF06CE"/>
    <w:rsid w:val="00FF0DC2"/>
    <w:rsid w:val="00FF0FF7"/>
    <w:rsid w:val="00FF1022"/>
    <w:rsid w:val="00FF10A2"/>
    <w:rsid w:val="00FF1438"/>
    <w:rsid w:val="00FF3A38"/>
    <w:rsid w:val="00FF3C25"/>
    <w:rsid w:val="00FF4129"/>
    <w:rsid w:val="00FF44F7"/>
    <w:rsid w:val="00FF4C90"/>
    <w:rsid w:val="00FF5806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color w:val="000000" w:themeColor="text1"/>
        <w:sz w:val="24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44"/>
    <w:rPr>
      <w:color w:val="0080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LineNumber">
    <w:name w:val="line number"/>
    <w:basedOn w:val="DefaultParagraphFont"/>
    <w:rsid w:val="004766C9"/>
  </w:style>
  <w:style w:type="character" w:styleId="CommentReference">
    <w:name w:val="annotation reference"/>
    <w:basedOn w:val="DefaultParagraphFont"/>
    <w:rsid w:val="00461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11A"/>
    <w:rPr>
      <w:color w:val="008080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6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1A"/>
    <w:rPr>
      <w:b/>
      <w:bCs/>
    </w:rPr>
  </w:style>
  <w:style w:type="character" w:styleId="Hyperlink">
    <w:name w:val="Hyperlink"/>
    <w:basedOn w:val="DefaultParagraphFont"/>
    <w:rsid w:val="00750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0E3A"/>
    <w:rPr>
      <w:color w:val="800080" w:themeColor="followedHyperlink"/>
      <w:u w:val="single"/>
    </w:rPr>
  </w:style>
  <w:style w:type="paragraph" w:customStyle="1" w:styleId="Default">
    <w:name w:val="Default"/>
    <w:rsid w:val="009F7822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8312-D125-47A3-88EA-8FD8B49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julie.raveau</cp:lastModifiedBy>
  <cp:revision>12</cp:revision>
  <cp:lastPrinted>2012-04-05T14:08:00Z</cp:lastPrinted>
  <dcterms:created xsi:type="dcterms:W3CDTF">2012-04-02T01:28:00Z</dcterms:created>
  <dcterms:modified xsi:type="dcterms:W3CDTF">2012-04-30T16:18:00Z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