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41180B">
      <w:pPr>
        <w:tabs>
          <w:tab w:val="left" w:pos="5670"/>
        </w:tabs>
        <w:jc w:val="both"/>
        <w:rPr>
          <w:caps/>
          <w:color w:val="000000" w:themeColor="text1"/>
        </w:rPr>
      </w:pPr>
      <w:r w:rsidRPr="001F29F9">
        <w:rPr>
          <w:caps/>
          <w:color w:val="000000" w:themeColor="text1"/>
        </w:rPr>
        <w:t xml:space="preserve">NAME:  </w:t>
      </w:r>
      <w:r w:rsidR="0041180B">
        <w:rPr>
          <w:caps/>
          <w:color w:val="000000" w:themeColor="text1"/>
        </w:rPr>
        <w:t xml:space="preserve"> </w:t>
      </w:r>
      <w:r w:rsidR="0041180B">
        <w:rPr>
          <w:caps/>
          <w:color w:val="000000" w:themeColor="text1"/>
        </w:rPr>
        <w:tab/>
      </w:r>
      <w:r w:rsidRPr="001F29F9">
        <w:rPr>
          <w:caps/>
          <w:color w:val="000000" w:themeColor="text1"/>
        </w:rPr>
        <w:t xml:space="preserve">BRANCH OF SERVICE: </w:t>
      </w:r>
      <w:r w:rsidR="00332DE3" w:rsidRPr="0007019A">
        <w:rPr>
          <w:caps/>
          <w:color w:val="000000" w:themeColor="text1"/>
        </w:rPr>
        <w:t>marine</w:t>
      </w:r>
      <w:r w:rsidR="0007019A">
        <w:rPr>
          <w:caps/>
          <w:color w:val="auto"/>
        </w:rPr>
        <w:t xml:space="preserve"> Corps</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07019A">
        <w:rPr>
          <w:caps/>
          <w:color w:val="000000" w:themeColor="text1"/>
        </w:rPr>
        <w:t>00</w:t>
      </w:r>
      <w:r w:rsidR="0007019A">
        <w:rPr>
          <w:caps/>
          <w:color w:val="000000" w:themeColor="text1"/>
        </w:rPr>
        <w:t>198</w:t>
      </w:r>
      <w:r w:rsidR="00DE3AAD" w:rsidRPr="001F29F9">
        <w:rPr>
          <w:color w:val="000000" w:themeColor="text1"/>
        </w:rPr>
        <w:tab/>
      </w:r>
      <w:r w:rsidR="0068098E" w:rsidRPr="001F29F9">
        <w:rPr>
          <w:color w:val="000000" w:themeColor="text1"/>
        </w:rPr>
        <w:tab/>
      </w:r>
      <w:r w:rsidR="009D3599">
        <w:rPr>
          <w:color w:val="000000" w:themeColor="text1"/>
        </w:rPr>
        <w:t xml:space="preserve">   </w:t>
      </w:r>
      <w:r w:rsidR="00AE492E">
        <w:rPr>
          <w:color w:val="000000" w:themeColor="text1"/>
        </w:rPr>
        <w:t xml:space="preserve">         </w:t>
      </w:r>
      <w:r w:rsidR="00E0346A" w:rsidRPr="001F29F9">
        <w:rPr>
          <w:color w:val="000000" w:themeColor="text1"/>
        </w:rPr>
        <w:t xml:space="preserve"> </w:t>
      </w:r>
      <w:r w:rsidR="005D0269">
        <w:rPr>
          <w:color w:val="000000" w:themeColor="text1"/>
        </w:rPr>
        <w:t xml:space="preserve">   </w:t>
      </w:r>
      <w:r w:rsidR="00706404">
        <w:rPr>
          <w:color w:val="000000" w:themeColor="text1"/>
        </w:rPr>
        <w:t xml:space="preserve">              </w:t>
      </w:r>
      <w:r w:rsidR="00DE3AAD" w:rsidRPr="001F29F9">
        <w:rPr>
          <w:color w:val="000000" w:themeColor="text1"/>
        </w:rPr>
        <w:t>SEPARATION DATE:  200</w:t>
      </w:r>
      <w:r w:rsidR="0007019A">
        <w:rPr>
          <w:color w:val="000000" w:themeColor="text1"/>
        </w:rPr>
        <w:t>60430</w:t>
      </w:r>
    </w:p>
    <w:p w:rsidR="003B2143" w:rsidRPr="001F29F9" w:rsidRDefault="0034004C" w:rsidP="00BF0E94">
      <w:pPr>
        <w:tabs>
          <w:tab w:val="left" w:pos="288"/>
          <w:tab w:val="left" w:pos="5130"/>
        </w:tabs>
        <w:jc w:val="both"/>
        <w:rPr>
          <w:color w:val="000000" w:themeColor="text1"/>
        </w:rPr>
      </w:pPr>
      <w:r>
        <w:rPr>
          <w:caps/>
          <w:color w:val="000000" w:themeColor="text1"/>
        </w:rPr>
        <w:t>BOARD DATE:  2012</w:t>
      </w:r>
      <w:r w:rsidR="005A3F83">
        <w:rPr>
          <w:caps/>
          <w:color w:val="000000" w:themeColor="text1"/>
        </w:rPr>
        <w:t>0313</w:t>
      </w:r>
      <w:r w:rsidR="003B2143" w:rsidRPr="001F29F9">
        <w:rPr>
          <w:caps/>
          <w:color w:val="000000" w:themeColor="text1"/>
        </w:rPr>
        <w:tab/>
      </w:r>
    </w:p>
    <w:p w:rsidR="009D3599" w:rsidRPr="001F29F9" w:rsidRDefault="009D3599" w:rsidP="009D3599">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07019A">
        <w:rPr>
          <w:color w:val="000000" w:themeColor="text1"/>
          <w:szCs w:val="24"/>
        </w:rPr>
        <w:t>LCPL</w:t>
      </w:r>
      <w:r w:rsidR="00661BA2" w:rsidRPr="001F29F9">
        <w:rPr>
          <w:color w:val="000000" w:themeColor="text1"/>
          <w:szCs w:val="24"/>
        </w:rPr>
        <w:t>/E-</w:t>
      </w:r>
      <w:r w:rsidR="0007019A">
        <w:rPr>
          <w:color w:val="000000" w:themeColor="text1"/>
          <w:szCs w:val="24"/>
        </w:rPr>
        <w:t>3</w:t>
      </w:r>
      <w:r w:rsidR="00705C40" w:rsidRPr="001F29F9">
        <w:rPr>
          <w:color w:val="000000" w:themeColor="text1"/>
          <w:szCs w:val="24"/>
        </w:rPr>
        <w:t xml:space="preserve"> (</w:t>
      </w:r>
      <w:r w:rsidR="0007019A">
        <w:rPr>
          <w:color w:val="000000" w:themeColor="text1"/>
          <w:szCs w:val="24"/>
        </w:rPr>
        <w:t>0341</w:t>
      </w:r>
      <w:r w:rsidR="00C75F3D" w:rsidRPr="001F29F9">
        <w:rPr>
          <w:color w:val="000000" w:themeColor="text1"/>
          <w:szCs w:val="24"/>
        </w:rPr>
        <w:t xml:space="preserve">, </w:t>
      </w:r>
      <w:proofErr w:type="spellStart"/>
      <w:r w:rsidR="0007019A">
        <w:rPr>
          <w:color w:val="000000" w:themeColor="text1"/>
          <w:szCs w:val="24"/>
        </w:rPr>
        <w:t>Mortarman</w:t>
      </w:r>
      <w:proofErr w:type="spellEnd"/>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706404">
        <w:rPr>
          <w:color w:val="000000" w:themeColor="text1"/>
          <w:szCs w:val="24"/>
        </w:rPr>
        <w:t xml:space="preserve"> </w:t>
      </w:r>
      <w:r w:rsidR="0061794C">
        <w:rPr>
          <w:color w:val="000000" w:themeColor="text1"/>
          <w:szCs w:val="24"/>
        </w:rPr>
        <w:t>l</w:t>
      </w:r>
      <w:r w:rsidR="0007019A">
        <w:rPr>
          <w:color w:val="000000" w:themeColor="text1"/>
          <w:szCs w:val="24"/>
        </w:rPr>
        <w:t xml:space="preserve">eft </w:t>
      </w:r>
      <w:r w:rsidR="0061794C">
        <w:rPr>
          <w:color w:val="000000" w:themeColor="text1"/>
          <w:szCs w:val="24"/>
        </w:rPr>
        <w:t>s</w:t>
      </w:r>
      <w:r w:rsidR="0007019A">
        <w:rPr>
          <w:color w:val="000000" w:themeColor="text1"/>
          <w:szCs w:val="24"/>
        </w:rPr>
        <w:t xml:space="preserve">houlder </w:t>
      </w:r>
      <w:r w:rsidR="0061794C">
        <w:rPr>
          <w:color w:val="000000" w:themeColor="text1"/>
          <w:szCs w:val="24"/>
        </w:rPr>
        <w:t>t</w:t>
      </w:r>
      <w:r w:rsidR="0007019A">
        <w:rPr>
          <w:color w:val="000000" w:themeColor="text1"/>
          <w:szCs w:val="24"/>
        </w:rPr>
        <w:t xml:space="preserve">ype </w:t>
      </w:r>
      <w:r w:rsidR="00600AF5">
        <w:rPr>
          <w:color w:val="000000" w:themeColor="text1"/>
          <w:szCs w:val="24"/>
        </w:rPr>
        <w:t>2</w:t>
      </w:r>
      <w:r w:rsidR="0007019A">
        <w:rPr>
          <w:color w:val="000000" w:themeColor="text1"/>
          <w:szCs w:val="24"/>
        </w:rPr>
        <w:t xml:space="preserve"> AC </w:t>
      </w:r>
      <w:r w:rsidR="0061794C">
        <w:rPr>
          <w:color w:val="000000" w:themeColor="text1"/>
          <w:szCs w:val="24"/>
        </w:rPr>
        <w:t>j</w:t>
      </w:r>
      <w:r w:rsidR="0007019A">
        <w:rPr>
          <w:color w:val="000000" w:themeColor="text1"/>
          <w:szCs w:val="24"/>
        </w:rPr>
        <w:t xml:space="preserve">oint </w:t>
      </w:r>
      <w:r w:rsidR="0061794C">
        <w:rPr>
          <w:color w:val="000000" w:themeColor="text1"/>
          <w:szCs w:val="24"/>
        </w:rPr>
        <w:t>s</w:t>
      </w:r>
      <w:r w:rsidR="0007019A">
        <w:rPr>
          <w:color w:val="000000" w:themeColor="text1"/>
          <w:szCs w:val="24"/>
        </w:rPr>
        <w:t>eparation</w:t>
      </w:r>
      <w:r w:rsidR="00C75F3D" w:rsidRPr="001F29F9">
        <w:rPr>
          <w:i/>
          <w:color w:val="000000" w:themeColor="text1"/>
          <w:szCs w:val="24"/>
        </w:rPr>
        <w:t>.</w:t>
      </w:r>
      <w:r w:rsidR="00777F15">
        <w:rPr>
          <w:i/>
          <w:color w:val="000000" w:themeColor="text1"/>
          <w:szCs w:val="24"/>
        </w:rPr>
        <w:t xml:space="preserve"> </w:t>
      </w:r>
      <w:r w:rsidR="00357BBC">
        <w:rPr>
          <w:i/>
          <w:color w:val="000000" w:themeColor="text1"/>
          <w:szCs w:val="24"/>
        </w:rPr>
        <w:t xml:space="preserve"> </w:t>
      </w:r>
      <w:r w:rsidR="008B7EDD">
        <w:rPr>
          <w:color w:val="000000" w:themeColor="text1"/>
          <w:szCs w:val="24"/>
        </w:rPr>
        <w:t>T</w:t>
      </w:r>
      <w:r w:rsidR="00777F15">
        <w:rPr>
          <w:color w:val="000000" w:themeColor="text1"/>
          <w:szCs w:val="24"/>
        </w:rPr>
        <w:t>he CI was blown from his vehicle by an improvised explosive device</w:t>
      </w:r>
      <w:r w:rsidR="00D4668B">
        <w:rPr>
          <w:color w:val="000000" w:themeColor="text1"/>
          <w:szCs w:val="24"/>
        </w:rPr>
        <w:t xml:space="preserve"> (IED)</w:t>
      </w:r>
      <w:r w:rsidR="00777F15">
        <w:rPr>
          <w:color w:val="000000" w:themeColor="text1"/>
          <w:szCs w:val="24"/>
        </w:rPr>
        <w:t xml:space="preserve"> blast </w:t>
      </w:r>
      <w:r w:rsidR="008B7EDD">
        <w:rPr>
          <w:color w:val="000000" w:themeColor="text1"/>
          <w:szCs w:val="24"/>
        </w:rPr>
        <w:t>while</w:t>
      </w:r>
      <w:r w:rsidR="00777F15">
        <w:rPr>
          <w:color w:val="000000" w:themeColor="text1"/>
          <w:szCs w:val="24"/>
        </w:rPr>
        <w:t xml:space="preserve"> deploye</w:t>
      </w:r>
      <w:r w:rsidR="008B7EDD">
        <w:rPr>
          <w:color w:val="000000" w:themeColor="text1"/>
          <w:szCs w:val="24"/>
        </w:rPr>
        <w:t>d</w:t>
      </w:r>
      <w:r w:rsidR="00777F15">
        <w:rPr>
          <w:color w:val="000000" w:themeColor="text1"/>
          <w:szCs w:val="24"/>
        </w:rPr>
        <w:t xml:space="preserve"> </w:t>
      </w:r>
      <w:r w:rsidR="008B7EDD">
        <w:rPr>
          <w:color w:val="000000" w:themeColor="text1"/>
          <w:szCs w:val="24"/>
        </w:rPr>
        <w:t>to</w:t>
      </w:r>
      <w:r w:rsidR="00777F15">
        <w:rPr>
          <w:color w:val="000000" w:themeColor="text1"/>
          <w:szCs w:val="24"/>
        </w:rPr>
        <w:t xml:space="preserve"> Iraq in July 2005.</w:t>
      </w:r>
      <w:r w:rsidR="00357BBC">
        <w:rPr>
          <w:color w:val="000000" w:themeColor="text1"/>
          <w:szCs w:val="24"/>
        </w:rPr>
        <w:t xml:space="preserve"> </w:t>
      </w:r>
      <w:r w:rsidR="00777F15">
        <w:rPr>
          <w:color w:val="000000" w:themeColor="text1"/>
          <w:szCs w:val="24"/>
        </w:rPr>
        <w:t xml:space="preserve"> There was immediate deformity in the left shoulder.</w:t>
      </w:r>
      <w:r w:rsidR="00706404">
        <w:rPr>
          <w:color w:val="000000" w:themeColor="text1"/>
          <w:szCs w:val="24"/>
        </w:rPr>
        <w:t xml:space="preserve"> </w:t>
      </w:r>
      <w:r w:rsidR="00357BBC">
        <w:rPr>
          <w:color w:val="000000" w:themeColor="text1"/>
          <w:szCs w:val="24"/>
        </w:rPr>
        <w:t xml:space="preserve"> </w:t>
      </w:r>
      <w:r w:rsidR="008B7EDD">
        <w:rPr>
          <w:color w:val="000000" w:themeColor="text1"/>
          <w:szCs w:val="24"/>
        </w:rPr>
        <w:t>He was returned to his home station shortly afterwards</w:t>
      </w:r>
      <w:r w:rsidR="0034004C">
        <w:rPr>
          <w:color w:val="000000" w:themeColor="text1"/>
          <w:szCs w:val="24"/>
        </w:rPr>
        <w:t xml:space="preserve"> for definitive treatment</w:t>
      </w:r>
      <w:r w:rsidR="008B7EDD">
        <w:rPr>
          <w:color w:val="000000" w:themeColor="text1"/>
          <w:szCs w:val="24"/>
        </w:rPr>
        <w:t>.</w:t>
      </w:r>
      <w:r w:rsidR="00357BBC">
        <w:rPr>
          <w:color w:val="000000" w:themeColor="text1"/>
          <w:szCs w:val="24"/>
        </w:rPr>
        <w:t xml:space="preserve"> </w:t>
      </w:r>
      <w:r w:rsidR="008B7EDD">
        <w:rPr>
          <w:color w:val="000000" w:themeColor="text1"/>
          <w:szCs w:val="24"/>
        </w:rPr>
        <w:t xml:space="preserve"> Conservative </w:t>
      </w:r>
      <w:r w:rsidR="00EA68B0">
        <w:rPr>
          <w:color w:val="000000" w:themeColor="text1"/>
          <w:szCs w:val="24"/>
        </w:rPr>
        <w:t>management</w:t>
      </w:r>
      <w:r w:rsidR="008B7EDD">
        <w:rPr>
          <w:color w:val="000000" w:themeColor="text1"/>
          <w:szCs w:val="24"/>
        </w:rPr>
        <w:t xml:space="preserve"> was unsuccessful and he </w:t>
      </w:r>
      <w:r w:rsidR="00777F15">
        <w:rPr>
          <w:color w:val="000000" w:themeColor="text1"/>
          <w:szCs w:val="24"/>
        </w:rPr>
        <w:t>underwent reconstr</w:t>
      </w:r>
      <w:r w:rsidR="00706404">
        <w:rPr>
          <w:color w:val="000000" w:themeColor="text1"/>
          <w:szCs w:val="24"/>
        </w:rPr>
        <w:t>uctive surgery in October 2005.</w:t>
      </w:r>
      <w:r w:rsidR="00357BBC">
        <w:rPr>
          <w:color w:val="000000" w:themeColor="text1"/>
          <w:szCs w:val="24"/>
        </w:rPr>
        <w:t xml:space="preserve"> </w:t>
      </w:r>
      <w:r w:rsidR="005A3F83">
        <w:rPr>
          <w:color w:val="000000" w:themeColor="text1"/>
          <w:szCs w:val="24"/>
        </w:rPr>
        <w:t xml:space="preserve"> </w:t>
      </w:r>
      <w:r w:rsidR="00643C8F" w:rsidRPr="001F29F9">
        <w:rPr>
          <w:color w:val="000000" w:themeColor="text1"/>
          <w:szCs w:val="24"/>
        </w:rPr>
        <w:t xml:space="preserve">He did not respond adequately to </w:t>
      </w:r>
      <w:r w:rsidR="008B7EDD">
        <w:rPr>
          <w:color w:val="000000" w:themeColor="text1"/>
          <w:szCs w:val="24"/>
        </w:rPr>
        <w:t>post-operative rehabilitation including physical therapy and w</w:t>
      </w:r>
      <w:r w:rsidR="00643C8F" w:rsidRPr="001F29F9">
        <w:rPr>
          <w:color w:val="000000" w:themeColor="text1"/>
          <w:szCs w:val="24"/>
        </w:rPr>
        <w:t xml:space="preserve">as unable to perform within his </w:t>
      </w:r>
      <w:r w:rsidR="00643C8F" w:rsidRPr="0007019A">
        <w:rPr>
          <w:color w:val="000000" w:themeColor="text1"/>
          <w:szCs w:val="24"/>
        </w:rPr>
        <w:t xml:space="preserve">Military Occupational Specialty (MOS) </w:t>
      </w:r>
      <w:r w:rsidR="00643C8F" w:rsidRPr="001F29F9">
        <w:rPr>
          <w:color w:val="000000" w:themeColor="text1"/>
          <w:szCs w:val="24"/>
        </w:rPr>
        <w:t xml:space="preserve">or meet physical fitness standards. </w:t>
      </w:r>
      <w:r w:rsidR="00357BBC">
        <w:rPr>
          <w:color w:val="000000" w:themeColor="text1"/>
          <w:szCs w:val="24"/>
        </w:rPr>
        <w:t xml:space="preserve"> </w:t>
      </w:r>
      <w:r w:rsidR="00643C8F" w:rsidRPr="001F29F9">
        <w:rPr>
          <w:color w:val="000000" w:themeColor="text1"/>
          <w:szCs w:val="24"/>
        </w:rPr>
        <w:t>He</w:t>
      </w:r>
      <w:r w:rsidR="00CC2230">
        <w:rPr>
          <w:color w:val="000000" w:themeColor="text1"/>
          <w:szCs w:val="24"/>
        </w:rPr>
        <w:t xml:space="preserve"> was</w:t>
      </w:r>
      <w:r w:rsidR="00643C8F" w:rsidRPr="001F29F9">
        <w:rPr>
          <w:color w:val="000000" w:themeColor="text1"/>
          <w:szCs w:val="24"/>
        </w:rPr>
        <w:t xml:space="preserve"> </w:t>
      </w:r>
      <w:r w:rsidR="00643C8F" w:rsidRPr="0007019A">
        <w:rPr>
          <w:color w:val="000000" w:themeColor="text1"/>
          <w:szCs w:val="24"/>
        </w:rPr>
        <w:t>placed on limited duty</w:t>
      </w:r>
      <w:r w:rsidR="00643C8F" w:rsidRPr="001F29F9">
        <w:rPr>
          <w:color w:val="000000" w:themeColor="text1"/>
          <w:szCs w:val="24"/>
        </w:rPr>
        <w:t xml:space="preserve"> </w:t>
      </w:r>
      <w:r w:rsidR="008B7EDD">
        <w:rPr>
          <w:color w:val="000000" w:themeColor="text1"/>
          <w:szCs w:val="24"/>
        </w:rPr>
        <w:t xml:space="preserve">(LIMDU) </w:t>
      </w:r>
      <w:r w:rsidR="00643C8F" w:rsidRPr="001F29F9">
        <w:rPr>
          <w:color w:val="000000" w:themeColor="text1"/>
          <w:szCs w:val="24"/>
        </w:rPr>
        <w:t>and underwent a Medical Evaluation Board (MEB).</w:t>
      </w:r>
      <w:r w:rsidR="00CC2230">
        <w:rPr>
          <w:color w:val="000000" w:themeColor="text1"/>
          <w:szCs w:val="24"/>
        </w:rPr>
        <w:t xml:space="preserve"> </w:t>
      </w:r>
      <w:r w:rsidR="00357BBC">
        <w:rPr>
          <w:color w:val="000000" w:themeColor="text1"/>
          <w:szCs w:val="24"/>
        </w:rPr>
        <w:t xml:space="preserve"> </w:t>
      </w:r>
      <w:r w:rsidR="0007019A" w:rsidRPr="008F22B3">
        <w:rPr>
          <w:color w:val="000000" w:themeColor="text1"/>
          <w:szCs w:val="24"/>
        </w:rPr>
        <w:t xml:space="preserve">Closed </w:t>
      </w:r>
      <w:r w:rsidR="007804D7" w:rsidRPr="008F22B3">
        <w:rPr>
          <w:color w:val="000000" w:themeColor="text1"/>
          <w:szCs w:val="24"/>
        </w:rPr>
        <w:t>dislocation of shoulder</w:t>
      </w:r>
      <w:r w:rsidR="008F22B3" w:rsidRPr="008F22B3">
        <w:rPr>
          <w:color w:val="000000" w:themeColor="text1"/>
          <w:szCs w:val="24"/>
        </w:rPr>
        <w:t xml:space="preserve">, </w:t>
      </w:r>
      <w:r w:rsidR="007804D7" w:rsidRPr="008F22B3">
        <w:rPr>
          <w:color w:val="000000" w:themeColor="text1"/>
          <w:szCs w:val="24"/>
        </w:rPr>
        <w:t xml:space="preserve">unspecified site and unspecified orthopedic aftercare </w:t>
      </w:r>
      <w:r w:rsidR="000A33C8" w:rsidRPr="008F22B3">
        <w:rPr>
          <w:color w:val="000000" w:themeColor="text1"/>
          <w:szCs w:val="24"/>
        </w:rPr>
        <w:t>were</w:t>
      </w:r>
      <w:r w:rsidR="000A33C8" w:rsidRPr="001F29F9">
        <w:rPr>
          <w:color w:val="000000" w:themeColor="text1"/>
          <w:szCs w:val="24"/>
        </w:rPr>
        <w:t xml:space="preserve"> forwarded to the Physical Evaluation Board (PEB) IAW </w:t>
      </w:r>
      <w:r w:rsidR="00AB1F8D" w:rsidRPr="008F22B3">
        <w:rPr>
          <w:color w:val="000000" w:themeColor="text1"/>
          <w:szCs w:val="24"/>
        </w:rPr>
        <w:t>SECNAVINST 1850.4E</w:t>
      </w:r>
      <w:r w:rsidR="00376E08" w:rsidRPr="001F29F9">
        <w:rPr>
          <w:color w:val="000000" w:themeColor="text1"/>
          <w:szCs w:val="24"/>
        </w:rPr>
        <w:t>.</w:t>
      </w:r>
      <w:r w:rsidR="00CC2230">
        <w:rPr>
          <w:color w:val="000000" w:themeColor="text1"/>
          <w:szCs w:val="24"/>
        </w:rPr>
        <w:t xml:space="preserve"> </w:t>
      </w:r>
      <w:r w:rsidR="00357BBC">
        <w:rPr>
          <w:color w:val="000000" w:themeColor="text1"/>
          <w:szCs w:val="24"/>
        </w:rPr>
        <w:t xml:space="preserve"> </w:t>
      </w:r>
      <w:r w:rsidR="001A5E62" w:rsidRPr="001F29F9">
        <w:rPr>
          <w:color w:val="000000" w:themeColor="text1"/>
          <w:szCs w:val="24"/>
        </w:rPr>
        <w:t xml:space="preserve">No other conditions appeared on the MEB’s submission. </w:t>
      </w:r>
      <w:r w:rsidR="002438FA">
        <w:rPr>
          <w:color w:val="000000" w:themeColor="text1"/>
          <w:szCs w:val="24"/>
        </w:rPr>
        <w:t xml:space="preserve"> </w:t>
      </w:r>
      <w:r w:rsidR="001A5E62" w:rsidRPr="001F29F9">
        <w:rPr>
          <w:color w:val="000000" w:themeColor="text1"/>
          <w:szCs w:val="24"/>
        </w:rPr>
        <w:t>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CC2230">
        <w:rPr>
          <w:color w:val="000000" w:themeColor="text1"/>
          <w:szCs w:val="24"/>
        </w:rPr>
        <w:t xml:space="preserve"> </w:t>
      </w:r>
      <w:r w:rsidR="002438FA">
        <w:rPr>
          <w:color w:val="000000" w:themeColor="text1"/>
          <w:szCs w:val="24"/>
        </w:rPr>
        <w:t xml:space="preserve"> </w:t>
      </w:r>
      <w:r w:rsidR="00842BAA" w:rsidRPr="001F29F9">
        <w:rPr>
          <w:color w:val="000000" w:themeColor="text1"/>
          <w:szCs w:val="24"/>
        </w:rPr>
        <w:t xml:space="preserve">The PEB adjudicated the </w:t>
      </w:r>
      <w:r w:rsidR="0061794C">
        <w:rPr>
          <w:color w:val="000000" w:themeColor="text1"/>
          <w:szCs w:val="24"/>
        </w:rPr>
        <w:t>l</w:t>
      </w:r>
      <w:r w:rsidR="00402F06">
        <w:rPr>
          <w:color w:val="000000" w:themeColor="text1"/>
          <w:szCs w:val="24"/>
        </w:rPr>
        <w:t xml:space="preserve">eft </w:t>
      </w:r>
      <w:r w:rsidR="0061794C">
        <w:rPr>
          <w:color w:val="000000" w:themeColor="text1"/>
          <w:szCs w:val="24"/>
        </w:rPr>
        <w:t>s</w:t>
      </w:r>
      <w:r w:rsidR="00402F06">
        <w:rPr>
          <w:color w:val="000000" w:themeColor="text1"/>
          <w:szCs w:val="24"/>
        </w:rPr>
        <w:t xml:space="preserve">houlder </w:t>
      </w:r>
      <w:r w:rsidR="0061794C">
        <w:rPr>
          <w:color w:val="000000" w:themeColor="text1"/>
          <w:szCs w:val="24"/>
        </w:rPr>
        <w:t>t</w:t>
      </w:r>
      <w:r w:rsidR="00402F06">
        <w:rPr>
          <w:color w:val="000000" w:themeColor="text1"/>
          <w:szCs w:val="24"/>
        </w:rPr>
        <w:t xml:space="preserve">ype </w:t>
      </w:r>
      <w:r w:rsidR="00600AF5">
        <w:rPr>
          <w:color w:val="000000" w:themeColor="text1"/>
          <w:szCs w:val="24"/>
        </w:rPr>
        <w:t>2</w:t>
      </w:r>
      <w:r w:rsidR="00402F06">
        <w:rPr>
          <w:color w:val="000000" w:themeColor="text1"/>
          <w:szCs w:val="24"/>
        </w:rPr>
        <w:t xml:space="preserve"> AC </w:t>
      </w:r>
      <w:r w:rsidR="00932916">
        <w:rPr>
          <w:color w:val="000000" w:themeColor="text1"/>
          <w:szCs w:val="24"/>
        </w:rPr>
        <w:t>(</w:t>
      </w:r>
      <w:proofErr w:type="spellStart"/>
      <w:r w:rsidR="00932916">
        <w:rPr>
          <w:color w:val="000000" w:themeColor="text1"/>
          <w:szCs w:val="24"/>
        </w:rPr>
        <w:t>acromioclavicular</w:t>
      </w:r>
      <w:proofErr w:type="spellEnd"/>
      <w:r w:rsidR="00932916">
        <w:rPr>
          <w:color w:val="000000" w:themeColor="text1"/>
          <w:szCs w:val="24"/>
        </w:rPr>
        <w:t xml:space="preserve">) </w:t>
      </w:r>
      <w:r w:rsidR="0061794C">
        <w:rPr>
          <w:color w:val="000000" w:themeColor="text1"/>
          <w:szCs w:val="24"/>
        </w:rPr>
        <w:t>j</w:t>
      </w:r>
      <w:r w:rsidR="00402F06">
        <w:rPr>
          <w:color w:val="000000" w:themeColor="text1"/>
          <w:szCs w:val="24"/>
        </w:rPr>
        <w:t xml:space="preserve">oint </w:t>
      </w:r>
      <w:proofErr w:type="gramStart"/>
      <w:r w:rsidR="0061794C">
        <w:rPr>
          <w:color w:val="000000" w:themeColor="text1"/>
          <w:szCs w:val="24"/>
        </w:rPr>
        <w:t>s</w:t>
      </w:r>
      <w:r w:rsidR="00402F06">
        <w:rPr>
          <w:color w:val="000000" w:themeColor="text1"/>
          <w:szCs w:val="24"/>
        </w:rPr>
        <w:t>eparation</w:t>
      </w:r>
      <w:r w:rsidR="00EA68B0">
        <w:rPr>
          <w:color w:val="000000" w:themeColor="text1"/>
          <w:szCs w:val="24"/>
        </w:rPr>
        <w:t>,</w:t>
      </w:r>
      <w:proofErr w:type="gramEnd"/>
      <w:r w:rsidR="00402F06">
        <w:rPr>
          <w:color w:val="000000" w:themeColor="text1"/>
          <w:szCs w:val="24"/>
        </w:rPr>
        <w:t xml:space="preserve"> </w:t>
      </w:r>
      <w:r w:rsidR="0061794C">
        <w:rPr>
          <w:color w:val="000000" w:themeColor="text1"/>
          <w:szCs w:val="24"/>
        </w:rPr>
        <w:t>status p</w:t>
      </w:r>
      <w:r w:rsidR="00402F06" w:rsidRPr="00402F06">
        <w:rPr>
          <w:color w:val="000000" w:themeColor="text1"/>
          <w:szCs w:val="24"/>
        </w:rPr>
        <w:t xml:space="preserve">ost </w:t>
      </w:r>
      <w:r w:rsidR="0061794C">
        <w:rPr>
          <w:color w:val="000000" w:themeColor="text1"/>
          <w:szCs w:val="24"/>
        </w:rPr>
        <w:t>l</w:t>
      </w:r>
      <w:r w:rsidR="00402F06" w:rsidRPr="00402F06">
        <w:rPr>
          <w:color w:val="000000" w:themeColor="text1"/>
          <w:szCs w:val="24"/>
        </w:rPr>
        <w:t xml:space="preserve">eft </w:t>
      </w:r>
      <w:r w:rsidR="0061794C">
        <w:rPr>
          <w:color w:val="000000" w:themeColor="text1"/>
          <w:szCs w:val="24"/>
        </w:rPr>
        <w:t>s</w:t>
      </w:r>
      <w:r w:rsidR="00402F06" w:rsidRPr="00402F06">
        <w:rPr>
          <w:color w:val="000000" w:themeColor="text1"/>
          <w:szCs w:val="24"/>
        </w:rPr>
        <w:t xml:space="preserve">houlder AC </w:t>
      </w:r>
      <w:r w:rsidR="0061794C">
        <w:rPr>
          <w:color w:val="000000" w:themeColor="text1"/>
          <w:szCs w:val="24"/>
        </w:rPr>
        <w:t>j</w:t>
      </w:r>
      <w:r w:rsidR="00402F06" w:rsidRPr="00402F06">
        <w:rPr>
          <w:color w:val="000000" w:themeColor="text1"/>
          <w:szCs w:val="24"/>
        </w:rPr>
        <w:t xml:space="preserve">oint </w:t>
      </w:r>
      <w:r w:rsidR="0061794C">
        <w:rPr>
          <w:color w:val="000000" w:themeColor="text1"/>
          <w:szCs w:val="24"/>
        </w:rPr>
        <w:t>r</w:t>
      </w:r>
      <w:r w:rsidR="00402F06" w:rsidRPr="00402F06">
        <w:rPr>
          <w:color w:val="000000" w:themeColor="text1"/>
          <w:szCs w:val="24"/>
        </w:rPr>
        <w:t>econstruction</w:t>
      </w:r>
      <w:r w:rsidR="007804D7">
        <w:rPr>
          <w:color w:val="000000" w:themeColor="text1"/>
          <w:szCs w:val="24"/>
        </w:rPr>
        <w:t xml:space="preserve"> condition </w:t>
      </w:r>
      <w:r w:rsidR="00EA68B0" w:rsidRPr="001F29F9">
        <w:rPr>
          <w:color w:val="000000" w:themeColor="text1"/>
          <w:szCs w:val="24"/>
        </w:rPr>
        <w:t xml:space="preserve">as unfitting, rated </w:t>
      </w:r>
      <w:r w:rsidR="00EA68B0" w:rsidRPr="00402F06">
        <w:rPr>
          <w:color w:val="000000" w:themeColor="text1"/>
          <w:szCs w:val="24"/>
        </w:rPr>
        <w:t>10</w:t>
      </w:r>
      <w:r w:rsidR="00EA68B0">
        <w:rPr>
          <w:color w:val="000000" w:themeColor="text1"/>
          <w:szCs w:val="24"/>
        </w:rPr>
        <w:t>%</w:t>
      </w:r>
      <w:r w:rsidR="007804D7">
        <w:rPr>
          <w:color w:val="000000" w:themeColor="text1"/>
          <w:szCs w:val="24"/>
        </w:rPr>
        <w:t>,</w:t>
      </w:r>
      <w:r w:rsidR="008B7EDD">
        <w:rPr>
          <w:color w:val="000000" w:themeColor="text1"/>
          <w:szCs w:val="24"/>
        </w:rPr>
        <w:t xml:space="preserve"> </w:t>
      </w:r>
      <w:r w:rsidR="00842BAA" w:rsidRPr="00402F06">
        <w:rPr>
          <w:color w:val="000000" w:themeColor="text1"/>
          <w:szCs w:val="24"/>
        </w:rPr>
        <w:t xml:space="preserve">with </w:t>
      </w:r>
      <w:r w:rsidR="008B7EDD">
        <w:rPr>
          <w:color w:val="000000" w:themeColor="text1"/>
          <w:szCs w:val="24"/>
        </w:rPr>
        <w:t xml:space="preserve">probable </w:t>
      </w:r>
      <w:r w:rsidR="00842BAA" w:rsidRPr="00402F06">
        <w:rPr>
          <w:color w:val="000000" w:themeColor="text1"/>
          <w:szCs w:val="24"/>
        </w:rPr>
        <w:t xml:space="preserve">application of </w:t>
      </w:r>
      <w:r w:rsidR="00402F06" w:rsidRPr="00402F06">
        <w:rPr>
          <w:color w:val="000000" w:themeColor="text1"/>
          <w:szCs w:val="24"/>
        </w:rPr>
        <w:t xml:space="preserve">SECNAVINST 1850.4E, </w:t>
      </w:r>
      <w:r w:rsidR="00842BAA" w:rsidRPr="00402F06">
        <w:rPr>
          <w:color w:val="000000" w:themeColor="text1"/>
          <w:szCs w:val="24"/>
        </w:rPr>
        <w:t>DoDI 1332.39</w:t>
      </w:r>
      <w:r w:rsidR="00BD0387">
        <w:rPr>
          <w:color w:val="000000" w:themeColor="text1"/>
          <w:szCs w:val="24"/>
        </w:rPr>
        <w:t>,</w:t>
      </w:r>
      <w:r w:rsidR="00842BAA" w:rsidRPr="00402F06">
        <w:rPr>
          <w:color w:val="000000" w:themeColor="text1"/>
          <w:szCs w:val="24"/>
        </w:rPr>
        <w:t xml:space="preserve"> and</w:t>
      </w:r>
      <w:r w:rsidR="00402F06" w:rsidRPr="00402F06">
        <w:rPr>
          <w:color w:val="000000" w:themeColor="text1"/>
          <w:szCs w:val="24"/>
        </w:rPr>
        <w:t xml:space="preserve"> the</w:t>
      </w:r>
      <w:r w:rsidR="00842BAA" w:rsidRPr="00402F06">
        <w:rPr>
          <w:color w:val="000000" w:themeColor="text1"/>
          <w:szCs w:val="24"/>
        </w:rPr>
        <w:t xml:space="preserve"> Veterans Administration Schedule for Rating Di</w:t>
      </w:r>
      <w:r w:rsidR="008B7EDD">
        <w:rPr>
          <w:color w:val="000000" w:themeColor="text1"/>
          <w:szCs w:val="24"/>
        </w:rPr>
        <w:t>sabilities (VASRD)</w:t>
      </w:r>
      <w:r w:rsidR="00842BAA" w:rsidRPr="00402F06">
        <w:rPr>
          <w:color w:val="000000" w:themeColor="text1"/>
          <w:szCs w:val="24"/>
        </w:rPr>
        <w:t>.</w:t>
      </w:r>
      <w:r w:rsidR="007804D7">
        <w:rPr>
          <w:color w:val="000000" w:themeColor="text1"/>
          <w:szCs w:val="24"/>
        </w:rPr>
        <w:t xml:space="preserve"> </w:t>
      </w:r>
      <w:r w:rsidR="002438FA">
        <w:rPr>
          <w:color w:val="000000" w:themeColor="text1"/>
          <w:szCs w:val="24"/>
        </w:rPr>
        <w:t xml:space="preserve"> </w:t>
      </w:r>
      <w:r w:rsidR="00932916">
        <w:rPr>
          <w:color w:val="000000" w:themeColor="text1"/>
          <w:szCs w:val="24"/>
        </w:rPr>
        <w:t xml:space="preserve">Status </w:t>
      </w:r>
      <w:r w:rsidR="0061794C">
        <w:rPr>
          <w:color w:val="000000" w:themeColor="text1"/>
          <w:szCs w:val="24"/>
        </w:rPr>
        <w:t>p</w:t>
      </w:r>
      <w:r w:rsidR="00932916">
        <w:rPr>
          <w:color w:val="000000" w:themeColor="text1"/>
          <w:szCs w:val="24"/>
        </w:rPr>
        <w:t xml:space="preserve">ost </w:t>
      </w:r>
      <w:r w:rsidR="0061794C">
        <w:rPr>
          <w:color w:val="000000" w:themeColor="text1"/>
          <w:szCs w:val="24"/>
        </w:rPr>
        <w:t>l</w:t>
      </w:r>
      <w:r w:rsidR="00932916">
        <w:rPr>
          <w:color w:val="000000" w:themeColor="text1"/>
          <w:szCs w:val="24"/>
        </w:rPr>
        <w:t xml:space="preserve">eft </w:t>
      </w:r>
      <w:r w:rsidR="0061794C">
        <w:rPr>
          <w:color w:val="000000" w:themeColor="text1"/>
          <w:szCs w:val="24"/>
        </w:rPr>
        <w:t>shoulder AC j</w:t>
      </w:r>
      <w:r w:rsidR="00932916">
        <w:rPr>
          <w:color w:val="000000" w:themeColor="text1"/>
          <w:szCs w:val="24"/>
        </w:rPr>
        <w:t xml:space="preserve">oint </w:t>
      </w:r>
      <w:r w:rsidR="0061794C">
        <w:rPr>
          <w:color w:val="000000" w:themeColor="text1"/>
          <w:szCs w:val="24"/>
        </w:rPr>
        <w:t>r</w:t>
      </w:r>
      <w:r w:rsidR="00932916">
        <w:rPr>
          <w:color w:val="000000" w:themeColor="text1"/>
          <w:szCs w:val="24"/>
        </w:rPr>
        <w:t xml:space="preserve">econstruction condition was adjudicated as </w:t>
      </w:r>
      <w:r w:rsidR="0061794C">
        <w:rPr>
          <w:color w:val="000000" w:themeColor="text1"/>
          <w:szCs w:val="24"/>
        </w:rPr>
        <w:t>c</w:t>
      </w:r>
      <w:r w:rsidR="00932916">
        <w:rPr>
          <w:color w:val="000000" w:themeColor="text1"/>
          <w:szCs w:val="24"/>
        </w:rPr>
        <w:t xml:space="preserve">ategory II, related to the unfitting condition but not separately unfitting. </w:t>
      </w:r>
      <w:r w:rsidR="002438FA">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402F06">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402F06">
        <w:rPr>
          <w:color w:val="000000" w:themeColor="text1"/>
        </w:rPr>
        <w:t xml:space="preserve">  “TBI, PTSD and other conditions were overlooked and when I was discharged </w:t>
      </w:r>
      <w:r w:rsidR="00EA68B0">
        <w:rPr>
          <w:color w:val="000000" w:themeColor="text1"/>
        </w:rPr>
        <w:t>t</w:t>
      </w:r>
      <w:r w:rsidR="00706404">
        <w:rPr>
          <w:color w:val="000000" w:themeColor="text1"/>
        </w:rPr>
        <w:t xml:space="preserve">he rating was only 10%. </w:t>
      </w:r>
      <w:r w:rsidR="00402F06">
        <w:rPr>
          <w:color w:val="000000" w:themeColor="text1"/>
        </w:rPr>
        <w:t>I feel I was not fairly treated</w:t>
      </w:r>
      <w:r w:rsidR="0061794C">
        <w:rPr>
          <w:color w:val="000000" w:themeColor="text1"/>
        </w:rPr>
        <w:t>.</w:t>
      </w:r>
      <w:r w:rsidR="00402F06">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F9228C" w:rsidRPr="00F9228C">
        <w:rPr>
          <w:color w:val="000000" w:themeColor="text1"/>
        </w:rPr>
        <w:t xml:space="preserve"> </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198" w:type="dxa"/>
        <w:jc w:val="center"/>
        <w:tblLayout w:type="fixed"/>
        <w:tblLook w:val="04A0"/>
      </w:tblPr>
      <w:tblGrid>
        <w:gridCol w:w="2268"/>
        <w:gridCol w:w="1170"/>
        <w:gridCol w:w="900"/>
        <w:gridCol w:w="2070"/>
        <w:gridCol w:w="1080"/>
        <w:gridCol w:w="720"/>
        <w:gridCol w:w="990"/>
      </w:tblGrid>
      <w:tr w:rsidR="002B4E22" w:rsidRPr="00706404" w:rsidTr="00D520DF">
        <w:trPr>
          <w:trHeight w:val="233"/>
          <w:jc w:val="center"/>
        </w:trPr>
        <w:tc>
          <w:tcPr>
            <w:tcW w:w="4338" w:type="dxa"/>
            <w:gridSpan w:val="3"/>
            <w:tcBorders>
              <w:right w:val="thinThickThinSmallGap" w:sz="24" w:space="0" w:color="auto"/>
            </w:tcBorders>
            <w:shd w:val="clear" w:color="auto" w:fill="D9D9D9" w:themeFill="background1" w:themeFillShade="D9"/>
            <w:vAlign w:val="center"/>
          </w:tcPr>
          <w:p w:rsidR="002B4E22" w:rsidRPr="00706404" w:rsidRDefault="00B731E4"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Service PEB – Dated 200</w:t>
            </w:r>
            <w:r w:rsidR="00402F06" w:rsidRPr="00706404">
              <w:rPr>
                <w:rFonts w:cstheme="minorHAnsi"/>
                <w:b/>
                <w:color w:val="000000" w:themeColor="text1"/>
                <w:sz w:val="18"/>
                <w:szCs w:val="18"/>
              </w:rPr>
              <w:t>60308</w:t>
            </w:r>
          </w:p>
        </w:tc>
        <w:tc>
          <w:tcPr>
            <w:tcW w:w="4860" w:type="dxa"/>
            <w:gridSpan w:val="4"/>
            <w:tcBorders>
              <w:left w:val="thinThickThinSmallGap" w:sz="24" w:space="0" w:color="auto"/>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VA (</w:t>
            </w:r>
            <w:r w:rsidR="009447CC" w:rsidRPr="00706404">
              <w:rPr>
                <w:rFonts w:cstheme="minorHAnsi"/>
                <w:b/>
                <w:color w:val="000000" w:themeColor="text1"/>
                <w:sz w:val="18"/>
                <w:szCs w:val="18"/>
              </w:rPr>
              <w:t>2</w:t>
            </w:r>
            <w:r w:rsidR="0079154B" w:rsidRPr="00706404">
              <w:rPr>
                <w:rFonts w:cstheme="minorHAnsi"/>
                <w:b/>
                <w:color w:val="000000" w:themeColor="text1"/>
                <w:sz w:val="18"/>
                <w:szCs w:val="18"/>
              </w:rPr>
              <w:t xml:space="preserve"> </w:t>
            </w:r>
            <w:r w:rsidRPr="00706404">
              <w:rPr>
                <w:rFonts w:cstheme="minorHAnsi"/>
                <w:b/>
                <w:color w:val="000000" w:themeColor="text1"/>
                <w:sz w:val="18"/>
                <w:szCs w:val="18"/>
              </w:rPr>
              <w:t xml:space="preserve">Mo. After Separation) – All Effective </w:t>
            </w:r>
            <w:r w:rsidR="002D08F3" w:rsidRPr="00706404">
              <w:rPr>
                <w:rFonts w:cstheme="minorHAnsi"/>
                <w:b/>
                <w:color w:val="000000" w:themeColor="text1"/>
                <w:sz w:val="18"/>
                <w:szCs w:val="18"/>
              </w:rPr>
              <w:t>200</w:t>
            </w:r>
            <w:r w:rsidR="009447CC" w:rsidRPr="00706404">
              <w:rPr>
                <w:rFonts w:cstheme="minorHAnsi"/>
                <w:b/>
                <w:color w:val="000000" w:themeColor="text1"/>
                <w:sz w:val="18"/>
                <w:szCs w:val="18"/>
              </w:rPr>
              <w:t>60501</w:t>
            </w:r>
          </w:p>
        </w:tc>
      </w:tr>
      <w:tr w:rsidR="00D520DF" w:rsidRPr="00706404" w:rsidTr="00706404">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Rating</w:t>
            </w:r>
          </w:p>
        </w:tc>
        <w:tc>
          <w:tcPr>
            <w:tcW w:w="207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06404" w:rsidRDefault="002B4E22"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Exam</w:t>
            </w:r>
          </w:p>
        </w:tc>
      </w:tr>
      <w:tr w:rsidR="00D520DF" w:rsidRPr="00706404" w:rsidTr="00706404">
        <w:trPr>
          <w:trHeight w:val="287"/>
          <w:jc w:val="center"/>
        </w:trPr>
        <w:tc>
          <w:tcPr>
            <w:tcW w:w="2268" w:type="dxa"/>
            <w:tcBorders>
              <w:right w:val="single" w:sz="4" w:space="0" w:color="auto"/>
            </w:tcBorders>
            <w:shd w:val="clear" w:color="auto" w:fill="FFFFFF" w:themeFill="background1"/>
            <w:vAlign w:val="center"/>
          </w:tcPr>
          <w:p w:rsidR="009447CC" w:rsidRPr="00706404" w:rsidRDefault="009447CC" w:rsidP="00357BBC">
            <w:pPr>
              <w:spacing w:line="180" w:lineRule="exact"/>
              <w:contextualSpacing/>
              <w:jc w:val="left"/>
              <w:rPr>
                <w:rFonts w:eastAsia="Times New Roman" w:cstheme="minorHAnsi"/>
                <w:color w:val="000000" w:themeColor="text1"/>
                <w:sz w:val="18"/>
                <w:szCs w:val="18"/>
              </w:rPr>
            </w:pPr>
            <w:r w:rsidRPr="00706404">
              <w:rPr>
                <w:rFonts w:cstheme="minorHAnsi"/>
                <w:color w:val="000000" w:themeColor="text1"/>
                <w:sz w:val="18"/>
                <w:szCs w:val="18"/>
              </w:rPr>
              <w:t xml:space="preserve">Left Shoulder Type 2 AC Joint </w:t>
            </w:r>
            <w:r w:rsidR="00F9228C" w:rsidRPr="00706404">
              <w:rPr>
                <w:rFonts w:cstheme="minorHAnsi"/>
                <w:color w:val="000000" w:themeColor="text1"/>
                <w:sz w:val="18"/>
                <w:szCs w:val="18"/>
              </w:rPr>
              <w:t>Se</w:t>
            </w:r>
            <w:r w:rsidR="00932916" w:rsidRPr="00706404">
              <w:rPr>
                <w:rFonts w:cstheme="minorHAnsi"/>
                <w:color w:val="000000" w:themeColor="text1"/>
                <w:sz w:val="18"/>
                <w:szCs w:val="18"/>
              </w:rPr>
              <w:t>paration</w:t>
            </w:r>
          </w:p>
        </w:tc>
        <w:tc>
          <w:tcPr>
            <w:tcW w:w="1170" w:type="dxa"/>
            <w:tcBorders>
              <w:left w:val="single" w:sz="4" w:space="0" w:color="auto"/>
            </w:tcBorders>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5299-5203</w:t>
            </w:r>
          </w:p>
        </w:tc>
        <w:tc>
          <w:tcPr>
            <w:tcW w:w="900" w:type="dxa"/>
            <w:tcBorders>
              <w:right w:val="thinThickThinSmallGap" w:sz="24" w:space="0" w:color="auto"/>
            </w:tcBorders>
            <w:shd w:val="clear" w:color="auto" w:fill="FFFFFF" w:themeFill="background1"/>
            <w:vAlign w:val="center"/>
          </w:tcPr>
          <w:p w:rsidR="009447CC" w:rsidRPr="00706404" w:rsidRDefault="009447CC" w:rsidP="00706404">
            <w:pPr>
              <w:spacing w:line="180" w:lineRule="exact"/>
              <w:rPr>
                <w:rFonts w:eastAsia="Times New Roman" w:cstheme="minorHAnsi"/>
                <w:color w:val="000000" w:themeColor="text1"/>
                <w:sz w:val="18"/>
                <w:szCs w:val="18"/>
              </w:rPr>
            </w:pPr>
            <w:r w:rsidRPr="00706404">
              <w:rPr>
                <w:rFonts w:cstheme="minorHAnsi"/>
                <w:color w:val="000000" w:themeColor="text1"/>
                <w:sz w:val="18"/>
                <w:szCs w:val="18"/>
              </w:rPr>
              <w:t>10%</w:t>
            </w:r>
          </w:p>
        </w:tc>
        <w:tc>
          <w:tcPr>
            <w:tcW w:w="2070" w:type="dxa"/>
            <w:vMerge w:val="restart"/>
            <w:tcBorders>
              <w:left w:val="thinThickThinSmallGap" w:sz="24" w:space="0" w:color="auto"/>
            </w:tcBorders>
            <w:shd w:val="clear" w:color="auto" w:fill="FFFFFF" w:themeFill="background1"/>
            <w:vAlign w:val="center"/>
          </w:tcPr>
          <w:p w:rsidR="009447CC" w:rsidRPr="00706404" w:rsidRDefault="00BE5831" w:rsidP="00706404">
            <w:pPr>
              <w:spacing w:line="180" w:lineRule="exact"/>
              <w:contextualSpacing/>
              <w:jc w:val="left"/>
              <w:rPr>
                <w:rFonts w:eastAsia="Times New Roman" w:cstheme="minorHAnsi"/>
                <w:color w:val="000000" w:themeColor="text1"/>
                <w:sz w:val="18"/>
                <w:szCs w:val="18"/>
              </w:rPr>
            </w:pPr>
            <w:r w:rsidRPr="00706404">
              <w:rPr>
                <w:rFonts w:cstheme="minorHAnsi"/>
                <w:color w:val="000000" w:themeColor="text1"/>
                <w:sz w:val="18"/>
                <w:szCs w:val="18"/>
              </w:rPr>
              <w:t xml:space="preserve">Status Post Type 3 AC </w:t>
            </w:r>
            <w:r w:rsidR="009447CC" w:rsidRPr="00706404">
              <w:rPr>
                <w:rFonts w:cstheme="minorHAnsi"/>
                <w:color w:val="000000" w:themeColor="text1"/>
                <w:sz w:val="18"/>
                <w:szCs w:val="18"/>
              </w:rPr>
              <w:t>Separation of Left Shoulder</w:t>
            </w:r>
          </w:p>
        </w:tc>
        <w:tc>
          <w:tcPr>
            <w:tcW w:w="1080" w:type="dxa"/>
            <w:vMerge w:val="restart"/>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5201</w:t>
            </w:r>
          </w:p>
        </w:tc>
        <w:tc>
          <w:tcPr>
            <w:tcW w:w="720" w:type="dxa"/>
            <w:vMerge w:val="restart"/>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0%</w:t>
            </w:r>
            <w:r w:rsidR="008B7EDD" w:rsidRPr="00706404">
              <w:rPr>
                <w:rFonts w:cstheme="minorHAnsi"/>
                <w:color w:val="000000" w:themeColor="text1"/>
                <w:sz w:val="18"/>
                <w:szCs w:val="18"/>
              </w:rPr>
              <w:t>*</w:t>
            </w:r>
          </w:p>
        </w:tc>
        <w:tc>
          <w:tcPr>
            <w:tcW w:w="990" w:type="dxa"/>
            <w:vMerge w:val="restart"/>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20060622</w:t>
            </w:r>
          </w:p>
        </w:tc>
      </w:tr>
      <w:tr w:rsidR="00D520DF" w:rsidRPr="00706404" w:rsidTr="00706404">
        <w:trPr>
          <w:trHeight w:val="287"/>
          <w:jc w:val="center"/>
        </w:trPr>
        <w:tc>
          <w:tcPr>
            <w:tcW w:w="2268" w:type="dxa"/>
            <w:tcBorders>
              <w:right w:val="single" w:sz="4" w:space="0" w:color="auto"/>
            </w:tcBorders>
            <w:shd w:val="clear" w:color="auto" w:fill="FFFFFF" w:themeFill="background1"/>
            <w:vAlign w:val="center"/>
          </w:tcPr>
          <w:p w:rsidR="009447CC" w:rsidRPr="00706404" w:rsidRDefault="009447CC" w:rsidP="00706404">
            <w:pPr>
              <w:spacing w:line="180" w:lineRule="exact"/>
              <w:contextualSpacing/>
              <w:jc w:val="left"/>
              <w:rPr>
                <w:rFonts w:eastAsia="Times New Roman" w:cstheme="minorHAnsi"/>
                <w:color w:val="000000" w:themeColor="text1"/>
                <w:sz w:val="18"/>
                <w:szCs w:val="18"/>
              </w:rPr>
            </w:pPr>
            <w:r w:rsidRPr="00706404">
              <w:rPr>
                <w:rFonts w:cstheme="minorHAnsi"/>
                <w:color w:val="000000" w:themeColor="text1"/>
                <w:sz w:val="18"/>
                <w:szCs w:val="18"/>
              </w:rPr>
              <w:t>Status Post Left Shoulder AC Joint</w:t>
            </w:r>
            <w:r w:rsidR="00D520DF" w:rsidRPr="00706404">
              <w:rPr>
                <w:rFonts w:cstheme="minorHAnsi"/>
                <w:color w:val="000000" w:themeColor="text1"/>
                <w:sz w:val="18"/>
                <w:szCs w:val="18"/>
              </w:rPr>
              <w:t xml:space="preserve"> </w:t>
            </w:r>
            <w:r w:rsidR="00932916" w:rsidRPr="00706404">
              <w:rPr>
                <w:rFonts w:cstheme="minorHAnsi"/>
                <w:color w:val="000000" w:themeColor="text1"/>
                <w:sz w:val="18"/>
                <w:szCs w:val="18"/>
              </w:rPr>
              <w:t>Reconstruction</w:t>
            </w:r>
          </w:p>
        </w:tc>
        <w:tc>
          <w:tcPr>
            <w:tcW w:w="2070" w:type="dxa"/>
            <w:gridSpan w:val="2"/>
            <w:tcBorders>
              <w:left w:val="single" w:sz="4" w:space="0" w:color="auto"/>
              <w:right w:val="thinThickThinSmallGap" w:sz="24" w:space="0" w:color="auto"/>
            </w:tcBorders>
            <w:shd w:val="clear" w:color="auto" w:fill="FFFFFF" w:themeFill="background1"/>
            <w:vAlign w:val="center"/>
          </w:tcPr>
          <w:p w:rsidR="009447CC" w:rsidRPr="00706404" w:rsidRDefault="009447CC" w:rsidP="00706404">
            <w:pPr>
              <w:spacing w:line="180" w:lineRule="exact"/>
              <w:rPr>
                <w:rFonts w:eastAsia="Times New Roman" w:cstheme="minorHAnsi"/>
                <w:color w:val="000000" w:themeColor="text1"/>
                <w:sz w:val="18"/>
                <w:szCs w:val="18"/>
              </w:rPr>
            </w:pPr>
            <w:r w:rsidRPr="00706404">
              <w:rPr>
                <w:rFonts w:eastAsia="Times New Roman" w:cstheme="minorHAnsi"/>
                <w:color w:val="000000" w:themeColor="text1"/>
                <w:sz w:val="18"/>
                <w:szCs w:val="18"/>
              </w:rPr>
              <w:t>Cat II</w:t>
            </w:r>
          </w:p>
        </w:tc>
        <w:tc>
          <w:tcPr>
            <w:tcW w:w="2070" w:type="dxa"/>
            <w:vMerge/>
            <w:tcBorders>
              <w:left w:val="thinThickThinSmallGap" w:sz="24" w:space="0" w:color="auto"/>
            </w:tcBorders>
            <w:shd w:val="clear" w:color="auto" w:fill="FFFFFF" w:themeFill="background1"/>
            <w:vAlign w:val="center"/>
          </w:tcPr>
          <w:p w:rsidR="009447CC" w:rsidRPr="00706404" w:rsidRDefault="009447CC" w:rsidP="00706404">
            <w:pPr>
              <w:spacing w:line="180" w:lineRule="exact"/>
              <w:contextualSpacing/>
              <w:jc w:val="left"/>
              <w:rPr>
                <w:rFonts w:eastAsia="Times New Roman" w:cstheme="minorHAnsi"/>
                <w:color w:val="000000" w:themeColor="text1"/>
                <w:sz w:val="18"/>
                <w:szCs w:val="18"/>
              </w:rPr>
            </w:pPr>
          </w:p>
        </w:tc>
        <w:tc>
          <w:tcPr>
            <w:tcW w:w="1080" w:type="dxa"/>
            <w:vMerge/>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p>
        </w:tc>
        <w:tc>
          <w:tcPr>
            <w:tcW w:w="720" w:type="dxa"/>
            <w:vMerge/>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p>
        </w:tc>
        <w:tc>
          <w:tcPr>
            <w:tcW w:w="990" w:type="dxa"/>
            <w:vMerge/>
            <w:shd w:val="clear" w:color="auto" w:fill="FFFFFF" w:themeFill="background1"/>
            <w:vAlign w:val="center"/>
          </w:tcPr>
          <w:p w:rsidR="009447CC" w:rsidRPr="00706404" w:rsidRDefault="009447CC" w:rsidP="00706404">
            <w:pPr>
              <w:spacing w:line="180" w:lineRule="exact"/>
              <w:contextualSpacing/>
              <w:rPr>
                <w:rFonts w:eastAsia="Times New Roman" w:cstheme="minorHAnsi"/>
                <w:color w:val="000000" w:themeColor="text1"/>
                <w:sz w:val="18"/>
                <w:szCs w:val="18"/>
              </w:rPr>
            </w:pPr>
          </w:p>
        </w:tc>
      </w:tr>
      <w:tr w:rsidR="00D520DF" w:rsidRPr="00706404" w:rsidTr="00706404">
        <w:trPr>
          <w:trHeight w:val="287"/>
          <w:jc w:val="center"/>
        </w:trPr>
        <w:tc>
          <w:tcPr>
            <w:tcW w:w="4338" w:type="dxa"/>
            <w:gridSpan w:val="3"/>
            <w:vMerge w:val="restart"/>
            <w:tcBorders>
              <w:right w:val="thinThickThinSmallGap" w:sz="2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highlight w:val="yellow"/>
              </w:rPr>
            </w:pPr>
            <w:r w:rsidRPr="00706404">
              <w:rPr>
                <w:rFonts w:cstheme="minorHAnsi"/>
                <w:color w:val="000000" w:themeColor="text1"/>
                <w:sz w:val="18"/>
                <w:szCs w:val="18"/>
              </w:rPr>
              <w:t>↓No Additional MEB/PEB Entries↓</w:t>
            </w:r>
          </w:p>
        </w:tc>
        <w:tc>
          <w:tcPr>
            <w:tcW w:w="2070" w:type="dxa"/>
            <w:tcBorders>
              <w:left w:val="thinThickThinSmallGap" w:sz="24" w:space="0" w:color="auto"/>
              <w:right w:val="single" w:sz="4" w:space="0" w:color="auto"/>
            </w:tcBorders>
            <w:shd w:val="clear" w:color="auto" w:fill="FFFFFF" w:themeFill="background1"/>
            <w:vAlign w:val="center"/>
          </w:tcPr>
          <w:p w:rsidR="007F7CFB" w:rsidRPr="00706404" w:rsidRDefault="00BE5831" w:rsidP="00706404">
            <w:pPr>
              <w:spacing w:line="180" w:lineRule="exact"/>
              <w:contextualSpacing/>
              <w:jc w:val="left"/>
              <w:rPr>
                <w:rFonts w:eastAsia="Times New Roman" w:cstheme="minorHAnsi"/>
                <w:color w:val="000000" w:themeColor="text1"/>
                <w:sz w:val="18"/>
                <w:szCs w:val="18"/>
              </w:rPr>
            </w:pPr>
            <w:r w:rsidRPr="00706404">
              <w:rPr>
                <w:rFonts w:eastAsia="Times New Roman" w:cstheme="minorHAnsi"/>
                <w:color w:val="000000" w:themeColor="text1"/>
                <w:sz w:val="18"/>
                <w:szCs w:val="18"/>
              </w:rPr>
              <w:t>PTSD</w:t>
            </w:r>
          </w:p>
        </w:tc>
        <w:tc>
          <w:tcPr>
            <w:tcW w:w="1080" w:type="dxa"/>
            <w:tcBorders>
              <w:left w:val="single" w:sz="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9411</w:t>
            </w:r>
          </w:p>
        </w:tc>
        <w:tc>
          <w:tcPr>
            <w:tcW w:w="72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50%</w:t>
            </w:r>
            <w:r w:rsidR="008B7EDD" w:rsidRPr="00706404">
              <w:rPr>
                <w:rFonts w:eastAsia="Times New Roman" w:cstheme="minorHAnsi"/>
                <w:color w:val="000000" w:themeColor="text1"/>
                <w:sz w:val="18"/>
                <w:szCs w:val="18"/>
              </w:rPr>
              <w:t>**</w:t>
            </w:r>
          </w:p>
        </w:tc>
        <w:tc>
          <w:tcPr>
            <w:tcW w:w="99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highlight w:val="yellow"/>
              </w:rPr>
            </w:pPr>
            <w:r w:rsidRPr="00706404">
              <w:rPr>
                <w:rFonts w:eastAsia="Times New Roman" w:cstheme="minorHAnsi"/>
                <w:color w:val="000000" w:themeColor="text1"/>
                <w:sz w:val="18"/>
                <w:szCs w:val="18"/>
              </w:rPr>
              <w:t>20060619</w:t>
            </w:r>
          </w:p>
        </w:tc>
      </w:tr>
      <w:tr w:rsidR="00D520DF" w:rsidRPr="00706404" w:rsidTr="00706404">
        <w:trPr>
          <w:trHeight w:val="287"/>
          <w:jc w:val="center"/>
        </w:trPr>
        <w:tc>
          <w:tcPr>
            <w:tcW w:w="4338" w:type="dxa"/>
            <w:gridSpan w:val="3"/>
            <w:vMerge/>
            <w:tcBorders>
              <w:right w:val="thinThickThinSmallGap" w:sz="2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highlight w:val="yellow"/>
              </w:rPr>
            </w:pPr>
          </w:p>
        </w:tc>
        <w:tc>
          <w:tcPr>
            <w:tcW w:w="2070" w:type="dxa"/>
            <w:tcBorders>
              <w:left w:val="thinThickThinSmallGap" w:sz="24" w:space="0" w:color="auto"/>
              <w:right w:val="single" w:sz="4" w:space="0" w:color="auto"/>
            </w:tcBorders>
            <w:shd w:val="clear" w:color="auto" w:fill="FFFFFF" w:themeFill="background1"/>
            <w:vAlign w:val="center"/>
          </w:tcPr>
          <w:p w:rsidR="007F7CFB" w:rsidRPr="00706404" w:rsidRDefault="007F7CFB" w:rsidP="00706404">
            <w:pPr>
              <w:spacing w:line="180" w:lineRule="exact"/>
              <w:contextualSpacing/>
              <w:jc w:val="left"/>
              <w:rPr>
                <w:rFonts w:eastAsia="Times New Roman" w:cstheme="minorHAnsi"/>
                <w:color w:val="000000" w:themeColor="text1"/>
                <w:sz w:val="18"/>
                <w:szCs w:val="18"/>
              </w:rPr>
            </w:pPr>
            <w:proofErr w:type="spellStart"/>
            <w:r w:rsidRPr="00706404">
              <w:rPr>
                <w:rFonts w:eastAsia="Times New Roman" w:cstheme="minorHAnsi"/>
                <w:color w:val="000000" w:themeColor="text1"/>
                <w:sz w:val="18"/>
                <w:szCs w:val="18"/>
              </w:rPr>
              <w:t>Tinea</w:t>
            </w:r>
            <w:proofErr w:type="spellEnd"/>
            <w:r w:rsidRPr="00706404">
              <w:rPr>
                <w:rFonts w:eastAsia="Times New Roman" w:cstheme="minorHAnsi"/>
                <w:color w:val="000000" w:themeColor="text1"/>
                <w:sz w:val="18"/>
                <w:szCs w:val="18"/>
              </w:rPr>
              <w:t xml:space="preserve"> </w:t>
            </w:r>
            <w:proofErr w:type="spellStart"/>
            <w:r w:rsidRPr="00706404">
              <w:rPr>
                <w:rFonts w:eastAsia="Times New Roman" w:cstheme="minorHAnsi"/>
                <w:color w:val="000000" w:themeColor="text1"/>
                <w:sz w:val="18"/>
                <w:szCs w:val="18"/>
              </w:rPr>
              <w:t>Versicolor</w:t>
            </w:r>
            <w:proofErr w:type="spellEnd"/>
          </w:p>
        </w:tc>
        <w:tc>
          <w:tcPr>
            <w:tcW w:w="1080" w:type="dxa"/>
            <w:tcBorders>
              <w:left w:val="single" w:sz="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7813-7806</w:t>
            </w:r>
          </w:p>
        </w:tc>
        <w:tc>
          <w:tcPr>
            <w:tcW w:w="72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30%</w:t>
            </w:r>
          </w:p>
        </w:tc>
        <w:tc>
          <w:tcPr>
            <w:tcW w:w="99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highlight w:val="yellow"/>
              </w:rPr>
            </w:pPr>
            <w:r w:rsidRPr="00706404">
              <w:rPr>
                <w:rFonts w:eastAsia="Times New Roman" w:cstheme="minorHAnsi"/>
                <w:color w:val="000000" w:themeColor="text1"/>
                <w:sz w:val="18"/>
                <w:szCs w:val="18"/>
              </w:rPr>
              <w:t>20060622</w:t>
            </w:r>
          </w:p>
        </w:tc>
      </w:tr>
      <w:tr w:rsidR="00D520DF" w:rsidRPr="00706404" w:rsidTr="00706404">
        <w:trPr>
          <w:trHeight w:val="287"/>
          <w:jc w:val="center"/>
        </w:trPr>
        <w:tc>
          <w:tcPr>
            <w:tcW w:w="4338" w:type="dxa"/>
            <w:gridSpan w:val="3"/>
            <w:vMerge/>
            <w:tcBorders>
              <w:right w:val="thinThickThinSmallGap" w:sz="2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p>
        </w:tc>
        <w:tc>
          <w:tcPr>
            <w:tcW w:w="2070" w:type="dxa"/>
            <w:tcBorders>
              <w:left w:val="thinThickThinSmallGap" w:sz="24" w:space="0" w:color="auto"/>
              <w:right w:val="single" w:sz="4" w:space="0" w:color="auto"/>
            </w:tcBorders>
            <w:shd w:val="clear" w:color="auto" w:fill="FFFFFF" w:themeFill="background1"/>
            <w:vAlign w:val="center"/>
          </w:tcPr>
          <w:p w:rsidR="007F7CFB" w:rsidRPr="00706404" w:rsidRDefault="007F7CFB" w:rsidP="00706404">
            <w:pPr>
              <w:spacing w:line="180" w:lineRule="exact"/>
              <w:contextualSpacing/>
              <w:jc w:val="left"/>
              <w:rPr>
                <w:rFonts w:eastAsia="Times New Roman" w:cstheme="minorHAnsi"/>
                <w:color w:val="000000" w:themeColor="text1"/>
                <w:sz w:val="18"/>
                <w:szCs w:val="18"/>
              </w:rPr>
            </w:pPr>
            <w:r w:rsidRPr="00706404">
              <w:rPr>
                <w:rFonts w:eastAsia="Times New Roman" w:cstheme="minorHAns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6260</w:t>
            </w:r>
          </w:p>
        </w:tc>
        <w:tc>
          <w:tcPr>
            <w:tcW w:w="720" w:type="dxa"/>
            <w:tcBorders>
              <w:left w:val="single" w:sz="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eastAsia="Times New Roman" w:cstheme="minorHAnsi"/>
                <w:color w:val="000000" w:themeColor="text1"/>
                <w:sz w:val="18"/>
                <w:szCs w:val="18"/>
              </w:rPr>
              <w:t>10%</w:t>
            </w:r>
          </w:p>
        </w:tc>
        <w:tc>
          <w:tcPr>
            <w:tcW w:w="99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highlight w:val="yellow"/>
              </w:rPr>
            </w:pPr>
            <w:r w:rsidRPr="00706404">
              <w:rPr>
                <w:rFonts w:eastAsia="Times New Roman" w:cstheme="minorHAnsi"/>
                <w:color w:val="000000" w:themeColor="text1"/>
                <w:sz w:val="18"/>
                <w:szCs w:val="18"/>
              </w:rPr>
              <w:t>20060626</w:t>
            </w:r>
          </w:p>
        </w:tc>
      </w:tr>
      <w:tr w:rsidR="007F7CFB" w:rsidRPr="00706404" w:rsidTr="00706404">
        <w:trPr>
          <w:trHeight w:val="260"/>
          <w:jc w:val="center"/>
        </w:trPr>
        <w:tc>
          <w:tcPr>
            <w:tcW w:w="4338" w:type="dxa"/>
            <w:gridSpan w:val="3"/>
            <w:vMerge/>
            <w:tcBorders>
              <w:right w:val="thinThickThinSmallGap" w:sz="24" w:space="0" w:color="auto"/>
            </w:tcBorders>
            <w:shd w:val="clear" w:color="auto" w:fill="FFFFFF" w:themeFill="background1"/>
          </w:tcPr>
          <w:p w:rsidR="007F7CFB" w:rsidRPr="00706404" w:rsidRDefault="007F7CFB" w:rsidP="00706404">
            <w:pPr>
              <w:spacing w:line="180" w:lineRule="exact"/>
              <w:contextualSpacing/>
              <w:rPr>
                <w:rFonts w:eastAsia="Times New Roman" w:cstheme="minorHAnsi"/>
                <w:color w:val="000000" w:themeColor="text1"/>
                <w:sz w:val="18"/>
                <w:szCs w:val="18"/>
              </w:rPr>
            </w:pPr>
          </w:p>
        </w:tc>
        <w:tc>
          <w:tcPr>
            <w:tcW w:w="3870" w:type="dxa"/>
            <w:gridSpan w:val="3"/>
            <w:tcBorders>
              <w:left w:val="thinThickThinSmallGap" w:sz="24" w:space="0" w:color="auto"/>
            </w:tcBorders>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 xml:space="preserve">0% x </w:t>
            </w:r>
            <w:r w:rsidR="00BE5831" w:rsidRPr="00706404">
              <w:rPr>
                <w:rFonts w:cstheme="minorHAnsi"/>
                <w:color w:val="000000" w:themeColor="text1"/>
                <w:sz w:val="18"/>
                <w:szCs w:val="18"/>
              </w:rPr>
              <w:t>4</w:t>
            </w:r>
            <w:r w:rsidRPr="00706404">
              <w:rPr>
                <w:rFonts w:cstheme="minorHAnsi"/>
                <w:color w:val="000000" w:themeColor="text1"/>
                <w:sz w:val="18"/>
                <w:szCs w:val="18"/>
              </w:rPr>
              <w:t>/Not Service Connected x 1</w:t>
            </w:r>
          </w:p>
        </w:tc>
        <w:tc>
          <w:tcPr>
            <w:tcW w:w="990" w:type="dxa"/>
            <w:shd w:val="clear" w:color="auto" w:fill="FFFFFF" w:themeFill="background1"/>
            <w:vAlign w:val="center"/>
          </w:tcPr>
          <w:p w:rsidR="007F7CFB" w:rsidRPr="00706404" w:rsidRDefault="007F7CFB" w:rsidP="00706404">
            <w:pPr>
              <w:spacing w:line="180" w:lineRule="exact"/>
              <w:contextualSpacing/>
              <w:rPr>
                <w:rFonts w:eastAsia="Times New Roman" w:cstheme="minorHAnsi"/>
                <w:color w:val="000000" w:themeColor="text1"/>
                <w:sz w:val="18"/>
                <w:szCs w:val="18"/>
              </w:rPr>
            </w:pPr>
            <w:r w:rsidRPr="00706404">
              <w:rPr>
                <w:rFonts w:cstheme="minorHAnsi"/>
                <w:color w:val="000000" w:themeColor="text1"/>
                <w:sz w:val="18"/>
                <w:szCs w:val="18"/>
              </w:rPr>
              <w:t>20060622</w:t>
            </w:r>
          </w:p>
        </w:tc>
      </w:tr>
      <w:tr w:rsidR="007A65A9" w:rsidRPr="00706404" w:rsidTr="00D520DF">
        <w:trPr>
          <w:trHeight w:val="242"/>
          <w:jc w:val="center"/>
        </w:trPr>
        <w:tc>
          <w:tcPr>
            <w:tcW w:w="4338" w:type="dxa"/>
            <w:gridSpan w:val="3"/>
            <w:tcBorders>
              <w:right w:val="thinThickThinSmallGap" w:sz="24" w:space="0" w:color="auto"/>
            </w:tcBorders>
            <w:shd w:val="clear" w:color="auto" w:fill="D9D9D9" w:themeFill="background1" w:themeFillShade="D9"/>
            <w:vAlign w:val="center"/>
          </w:tcPr>
          <w:p w:rsidR="007A65A9" w:rsidRPr="00706404" w:rsidRDefault="007A65A9"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 xml:space="preserve">Combined: </w:t>
            </w:r>
            <w:r w:rsidR="006458FD" w:rsidRPr="00706404">
              <w:rPr>
                <w:rFonts w:cstheme="minorHAnsi"/>
                <w:b/>
                <w:color w:val="000000" w:themeColor="text1"/>
                <w:sz w:val="18"/>
                <w:szCs w:val="18"/>
              </w:rPr>
              <w:t xml:space="preserve"> </w:t>
            </w:r>
            <w:r w:rsidR="007F7CFB" w:rsidRPr="00706404">
              <w:rPr>
                <w:rFonts w:cstheme="minorHAnsi"/>
                <w:b/>
                <w:color w:val="000000" w:themeColor="text1"/>
                <w:sz w:val="18"/>
                <w:szCs w:val="18"/>
              </w:rPr>
              <w:t>10</w:t>
            </w:r>
            <w:r w:rsidRPr="00706404">
              <w:rPr>
                <w:rFonts w:cstheme="minorHAnsi"/>
                <w:b/>
                <w:color w:val="000000" w:themeColor="text1"/>
                <w:sz w:val="18"/>
                <w:szCs w:val="18"/>
              </w:rPr>
              <w:t>%</w:t>
            </w:r>
          </w:p>
        </w:tc>
        <w:tc>
          <w:tcPr>
            <w:tcW w:w="4860" w:type="dxa"/>
            <w:gridSpan w:val="4"/>
            <w:tcBorders>
              <w:left w:val="thinThickThinSmallGap" w:sz="24" w:space="0" w:color="auto"/>
            </w:tcBorders>
            <w:shd w:val="clear" w:color="auto" w:fill="D9D9D9" w:themeFill="background1" w:themeFillShade="D9"/>
            <w:vAlign w:val="center"/>
          </w:tcPr>
          <w:p w:rsidR="007A65A9" w:rsidRPr="00706404" w:rsidRDefault="007A65A9" w:rsidP="00706404">
            <w:pPr>
              <w:spacing w:line="180" w:lineRule="exact"/>
              <w:contextualSpacing/>
              <w:rPr>
                <w:rFonts w:cstheme="minorHAnsi"/>
                <w:b/>
                <w:color w:val="000000" w:themeColor="text1"/>
                <w:sz w:val="18"/>
                <w:szCs w:val="18"/>
              </w:rPr>
            </w:pPr>
            <w:r w:rsidRPr="00706404">
              <w:rPr>
                <w:rFonts w:cstheme="minorHAnsi"/>
                <w:b/>
                <w:color w:val="000000" w:themeColor="text1"/>
                <w:sz w:val="18"/>
                <w:szCs w:val="18"/>
              </w:rPr>
              <w:t xml:space="preserve">Combined:  </w:t>
            </w:r>
            <w:r w:rsidR="007F7CFB" w:rsidRPr="00706404">
              <w:rPr>
                <w:rFonts w:cstheme="minorHAnsi"/>
                <w:b/>
                <w:color w:val="000000" w:themeColor="text1"/>
                <w:sz w:val="18"/>
                <w:szCs w:val="18"/>
              </w:rPr>
              <w:t>7</w:t>
            </w:r>
            <w:r w:rsidR="006F0F9C" w:rsidRPr="00706404">
              <w:rPr>
                <w:rFonts w:cstheme="minorHAnsi"/>
                <w:b/>
                <w:color w:val="000000" w:themeColor="text1"/>
                <w:sz w:val="18"/>
                <w:szCs w:val="18"/>
              </w:rPr>
              <w:t>0</w:t>
            </w:r>
            <w:r w:rsidRPr="00706404">
              <w:rPr>
                <w:rFonts w:cstheme="minorHAnsi"/>
                <w:b/>
                <w:color w:val="000000" w:themeColor="text1"/>
                <w:sz w:val="18"/>
                <w:szCs w:val="18"/>
              </w:rPr>
              <w:t>%</w:t>
            </w:r>
          </w:p>
        </w:tc>
      </w:tr>
    </w:tbl>
    <w:p w:rsidR="00A97CD9" w:rsidRPr="00706404" w:rsidRDefault="008B7EDD" w:rsidP="00706404">
      <w:pPr>
        <w:pBdr>
          <w:bottom w:val="single" w:sz="12" w:space="1" w:color="auto"/>
        </w:pBdr>
        <w:tabs>
          <w:tab w:val="left" w:pos="288"/>
          <w:tab w:val="left" w:pos="4752"/>
        </w:tabs>
        <w:spacing w:line="180" w:lineRule="exact"/>
        <w:jc w:val="both"/>
        <w:rPr>
          <w:rFonts w:asciiTheme="minorHAnsi" w:hAnsiTheme="minorHAnsi"/>
          <w:color w:val="000000" w:themeColor="text1"/>
          <w:sz w:val="18"/>
          <w:szCs w:val="18"/>
        </w:rPr>
      </w:pPr>
      <w:r w:rsidRPr="00706404">
        <w:rPr>
          <w:rFonts w:asciiTheme="minorHAnsi" w:hAnsiTheme="minorHAnsi"/>
          <w:color w:val="000000" w:themeColor="text1"/>
          <w:sz w:val="18"/>
          <w:szCs w:val="18"/>
        </w:rPr>
        <w:t>* Increased to 20% 20070702, combined 80%</w:t>
      </w:r>
    </w:p>
    <w:p w:rsidR="008B7EDD" w:rsidRPr="00706404" w:rsidRDefault="000E570F" w:rsidP="00706404">
      <w:pPr>
        <w:pBdr>
          <w:bottom w:val="single" w:sz="12" w:space="1" w:color="auto"/>
        </w:pBdr>
        <w:tabs>
          <w:tab w:val="left" w:pos="288"/>
          <w:tab w:val="left" w:pos="4752"/>
        </w:tabs>
        <w:spacing w:line="180" w:lineRule="exact"/>
        <w:jc w:val="both"/>
        <w:rPr>
          <w:rFonts w:asciiTheme="minorHAnsi" w:hAnsiTheme="minorHAnsi"/>
          <w:color w:val="000000" w:themeColor="text1"/>
          <w:sz w:val="18"/>
          <w:szCs w:val="18"/>
        </w:rPr>
      </w:pPr>
      <w:r w:rsidRPr="00706404">
        <w:rPr>
          <w:rFonts w:asciiTheme="minorHAnsi" w:hAnsiTheme="minorHAnsi"/>
          <w:color w:val="000000" w:themeColor="text1"/>
          <w:sz w:val="18"/>
          <w:szCs w:val="18"/>
        </w:rPr>
        <w:t>**Decrea</w:t>
      </w:r>
      <w:r w:rsidR="00BE5831" w:rsidRPr="00706404">
        <w:rPr>
          <w:rFonts w:asciiTheme="minorHAnsi" w:hAnsiTheme="minorHAnsi"/>
          <w:color w:val="000000" w:themeColor="text1"/>
          <w:sz w:val="18"/>
          <w:szCs w:val="18"/>
        </w:rPr>
        <w:t>sed to 30% 20100401, combined 70</w:t>
      </w:r>
      <w:r w:rsidRPr="00706404">
        <w:rPr>
          <w:rFonts w:asciiTheme="minorHAnsi" w:hAnsiTheme="minorHAnsi"/>
          <w:color w:val="000000" w:themeColor="text1"/>
          <w:sz w:val="18"/>
          <w:szCs w:val="18"/>
        </w:rPr>
        <w:t>%</w:t>
      </w:r>
    </w:p>
    <w:p w:rsidR="00A97CD9" w:rsidRPr="001F29F9" w:rsidRDefault="00A97CD9" w:rsidP="00EC6CE8">
      <w:pPr>
        <w:pBdr>
          <w:bottom w:val="single" w:sz="12" w:space="1" w:color="auto"/>
        </w:pBdr>
        <w:tabs>
          <w:tab w:val="left" w:pos="288"/>
          <w:tab w:val="left" w:pos="4752"/>
        </w:tabs>
        <w:jc w:val="both"/>
        <w:rPr>
          <w:color w:val="000000" w:themeColor="text1"/>
          <w:szCs w:val="24"/>
        </w:rPr>
      </w:pPr>
    </w:p>
    <w:p w:rsidR="009D3599" w:rsidRDefault="009D3599" w:rsidP="00EC6CE8">
      <w:pPr>
        <w:jc w:val="both"/>
        <w:rPr>
          <w:color w:val="000000" w:themeColor="text1"/>
        </w:rPr>
      </w:pPr>
    </w:p>
    <w:p w:rsidR="0061794C" w:rsidRDefault="0061794C" w:rsidP="00EC6CE8">
      <w:pPr>
        <w:jc w:val="both"/>
        <w:rPr>
          <w:color w:val="000000" w:themeColor="text1"/>
          <w:szCs w:val="24"/>
          <w:u w:val="single"/>
        </w:rPr>
      </w:pPr>
    </w:p>
    <w:p w:rsidR="0061794C" w:rsidRDefault="0061794C" w:rsidP="00EC6CE8">
      <w:pPr>
        <w:jc w:val="both"/>
        <w:rPr>
          <w:color w:val="000000" w:themeColor="text1"/>
          <w:szCs w:val="24"/>
          <w:u w:val="single"/>
        </w:rPr>
      </w:pPr>
    </w:p>
    <w:p w:rsidR="00522BAA" w:rsidRDefault="002C6E5B" w:rsidP="00EC6CE8">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F9228C" w:rsidRPr="00F9228C">
        <w:rPr>
          <w:color w:val="000000" w:themeColor="text1"/>
          <w:szCs w:val="24"/>
        </w:rPr>
        <w:t xml:space="preserve"> </w:t>
      </w:r>
      <w:r w:rsidR="00EA68B0">
        <w:rPr>
          <w:color w:val="000000" w:themeColor="text1"/>
          <w:szCs w:val="24"/>
        </w:rPr>
        <w:t xml:space="preserve"> </w:t>
      </w:r>
      <w:r w:rsidR="00F9228C" w:rsidRPr="00B505E9">
        <w:rPr>
          <w:color w:val="000000" w:themeColor="text1"/>
          <w:szCs w:val="24"/>
        </w:rPr>
        <w:t xml:space="preserve">The Board acknowledges the sentiment expressed in the CI’s application regarding the significant impairment with which his service-aggravated condition continues to </w:t>
      </w:r>
      <w:r w:rsidR="00421BF0">
        <w:rPr>
          <w:color w:val="000000" w:themeColor="text1"/>
          <w:szCs w:val="24"/>
        </w:rPr>
        <w:t xml:space="preserve">burden him. </w:t>
      </w:r>
      <w:r w:rsidR="00F9228C" w:rsidRPr="00B505E9">
        <w:rPr>
          <w:color w:val="000000" w:themeColor="text1"/>
          <w:szCs w:val="24"/>
        </w:rPr>
        <w:t>It is a fact, however, that the DES has neither the role nor the authority to compensate service members for anticipated future severity or potential complications of conditions re</w:t>
      </w:r>
      <w:r w:rsidR="00421BF0">
        <w:rPr>
          <w:color w:val="000000" w:themeColor="text1"/>
          <w:szCs w:val="24"/>
        </w:rPr>
        <w:t xml:space="preserve">sulting in medical separation. </w:t>
      </w:r>
      <w:r w:rsidR="00F9228C" w:rsidRPr="00B505E9">
        <w:rPr>
          <w:color w:val="000000" w:themeColor="text1"/>
          <w:szCs w:val="24"/>
        </w:rPr>
        <w:t>This role and authority is granted by Congress to the Depart</w:t>
      </w:r>
      <w:r w:rsidR="00421BF0">
        <w:rPr>
          <w:color w:val="000000" w:themeColor="text1"/>
          <w:szCs w:val="24"/>
        </w:rPr>
        <w:t>ment of Veteran</w:t>
      </w:r>
      <w:r w:rsidR="0061794C">
        <w:rPr>
          <w:color w:val="000000" w:themeColor="text1"/>
          <w:szCs w:val="24"/>
        </w:rPr>
        <w:t>s’</w:t>
      </w:r>
      <w:r w:rsidR="00421BF0">
        <w:rPr>
          <w:color w:val="000000" w:themeColor="text1"/>
          <w:szCs w:val="24"/>
        </w:rPr>
        <w:t xml:space="preserve"> Affairs (DVA). </w:t>
      </w:r>
      <w:r w:rsidR="00F9228C" w:rsidRPr="00B505E9">
        <w:rPr>
          <w:color w:val="000000" w:themeColor="text1"/>
          <w:szCs w:val="24"/>
        </w:rPr>
        <w:t xml:space="preserve">The DVA, operating under a different set of laws (Title 38, United States Code), is </w:t>
      </w:r>
      <w:r w:rsidR="0061794C">
        <w:rPr>
          <w:color w:val="000000" w:themeColor="text1"/>
          <w:szCs w:val="24"/>
        </w:rPr>
        <w:t>empowered to compensate service-</w:t>
      </w:r>
      <w:r w:rsidR="00F9228C" w:rsidRPr="00B505E9">
        <w:rPr>
          <w:color w:val="000000" w:themeColor="text1"/>
          <w:szCs w:val="24"/>
        </w:rPr>
        <w:t xml:space="preserve">connected conditions and to periodically re-evaluate said conditions for the purpose of adjusting the </w:t>
      </w:r>
      <w:r w:rsidR="0061794C">
        <w:rPr>
          <w:color w:val="000000" w:themeColor="text1"/>
          <w:szCs w:val="24"/>
        </w:rPr>
        <w:t>V</w:t>
      </w:r>
      <w:r w:rsidR="00F9228C" w:rsidRPr="00B505E9">
        <w:rPr>
          <w:color w:val="000000" w:themeColor="text1"/>
          <w:szCs w:val="24"/>
        </w:rPr>
        <w:t xml:space="preserve">eteran’s disability rating should </w:t>
      </w:r>
      <w:r w:rsidR="0061794C">
        <w:rPr>
          <w:color w:val="000000" w:themeColor="text1"/>
          <w:szCs w:val="24"/>
        </w:rPr>
        <w:t>the</w:t>
      </w:r>
      <w:r w:rsidR="00F9228C" w:rsidRPr="00B505E9">
        <w:rPr>
          <w:color w:val="000000" w:themeColor="text1"/>
          <w:szCs w:val="24"/>
        </w:rPr>
        <w:t xml:space="preserve"> degree of impairment vary ove</w:t>
      </w:r>
      <w:r w:rsidR="00421BF0">
        <w:rPr>
          <w:color w:val="000000" w:themeColor="text1"/>
          <w:szCs w:val="24"/>
        </w:rPr>
        <w:t xml:space="preserve">r time. </w:t>
      </w:r>
      <w:r w:rsidR="00F9228C" w:rsidRPr="00B505E9">
        <w:rPr>
          <w:color w:val="000000" w:themeColor="text1"/>
          <w:szCs w:val="24"/>
        </w:rPr>
        <w:t>The Board utilizes VA evidence proximal to separation in arriving at its recommendations and DoDI 6040.44 defines a 12</w:t>
      </w:r>
      <w:r w:rsidR="002438FA">
        <w:rPr>
          <w:color w:val="000000" w:themeColor="text1"/>
          <w:szCs w:val="24"/>
        </w:rPr>
        <w:t>-</w:t>
      </w:r>
      <w:r w:rsidR="00F9228C" w:rsidRPr="00B505E9">
        <w:rPr>
          <w:color w:val="000000" w:themeColor="text1"/>
          <w:szCs w:val="24"/>
        </w:rPr>
        <w:t xml:space="preserve">month interval for special consideration to post-separation evidence. </w:t>
      </w:r>
      <w:r w:rsidR="002438FA">
        <w:rPr>
          <w:color w:val="000000" w:themeColor="text1"/>
          <w:szCs w:val="24"/>
        </w:rPr>
        <w:t xml:space="preserve"> </w:t>
      </w:r>
      <w:r w:rsidR="00F9228C" w:rsidRPr="00B505E9">
        <w:rPr>
          <w:color w:val="000000" w:themeColor="text1"/>
          <w:szCs w:val="24"/>
        </w:rPr>
        <w:t>The Board’s authority as defined in DoDI 6044.40, however, resides in evaluating the fairness of DES fitness determinations and rating decisions for disability at the time of separation.</w:t>
      </w:r>
      <w:r w:rsidR="002438FA">
        <w:rPr>
          <w:color w:val="000000" w:themeColor="text1"/>
          <w:szCs w:val="24"/>
        </w:rPr>
        <w:t xml:space="preserve"> </w:t>
      </w:r>
      <w:r w:rsidR="00F9228C" w:rsidRPr="00B505E9">
        <w:rPr>
          <w:color w:val="000000" w:themeColor="text1"/>
          <w:szCs w:val="24"/>
        </w:rPr>
        <w:t xml:space="preserve"> Post-separation evidence therefore is probative only to the extent that it reasonably reflects the disability and fitness implications at the time of separation.</w:t>
      </w:r>
      <w:r w:rsidR="00EA68B0">
        <w:rPr>
          <w:color w:val="000000" w:themeColor="text1"/>
          <w:szCs w:val="24"/>
        </w:rPr>
        <w:t xml:space="preserve">  </w:t>
      </w:r>
    </w:p>
    <w:p w:rsidR="002C6E5B" w:rsidRPr="001F29F9" w:rsidRDefault="002C6E5B" w:rsidP="00EC6CE8">
      <w:pPr>
        <w:jc w:val="both"/>
        <w:rPr>
          <w:color w:val="000000" w:themeColor="text1"/>
          <w:szCs w:val="24"/>
          <w:u w:val="single"/>
        </w:rPr>
      </w:pPr>
    </w:p>
    <w:p w:rsidR="00615A66" w:rsidRPr="001F29F9" w:rsidRDefault="00B120AA" w:rsidP="00EC6CE8">
      <w:pPr>
        <w:jc w:val="both"/>
        <w:rPr>
          <w:color w:val="000000" w:themeColor="text1"/>
          <w:szCs w:val="24"/>
        </w:rPr>
      </w:pPr>
      <w:r>
        <w:rPr>
          <w:color w:val="000000" w:themeColor="text1"/>
          <w:szCs w:val="24"/>
          <w:u w:val="single"/>
        </w:rPr>
        <w:t xml:space="preserve">Left </w:t>
      </w:r>
      <w:r w:rsidR="002438FA">
        <w:rPr>
          <w:color w:val="000000" w:themeColor="text1"/>
          <w:szCs w:val="24"/>
          <w:u w:val="single"/>
        </w:rPr>
        <w:t xml:space="preserve">Shoulder </w:t>
      </w:r>
      <w:r>
        <w:rPr>
          <w:color w:val="000000" w:themeColor="text1"/>
          <w:szCs w:val="24"/>
          <w:u w:val="single"/>
        </w:rPr>
        <w:t xml:space="preserve">Type </w:t>
      </w:r>
      <w:r w:rsidR="002438FA">
        <w:rPr>
          <w:color w:val="000000" w:themeColor="text1"/>
          <w:szCs w:val="24"/>
          <w:u w:val="single"/>
        </w:rPr>
        <w:t xml:space="preserve">2 </w:t>
      </w:r>
      <w:r>
        <w:rPr>
          <w:color w:val="000000" w:themeColor="text1"/>
          <w:szCs w:val="24"/>
          <w:u w:val="single"/>
        </w:rPr>
        <w:t>AC Joint Separation</w:t>
      </w:r>
      <w:r w:rsidR="005A278B">
        <w:rPr>
          <w:color w:val="000000" w:themeColor="text1"/>
          <w:szCs w:val="24"/>
          <w:u w:val="single"/>
        </w:rPr>
        <w:t xml:space="preserve"> </w:t>
      </w:r>
      <w:r w:rsidR="002438FA">
        <w:rPr>
          <w:color w:val="000000" w:themeColor="text1"/>
          <w:szCs w:val="24"/>
          <w:u w:val="single"/>
        </w:rPr>
        <w:t xml:space="preserve">Status Post Left Shoulder </w:t>
      </w:r>
      <w:r w:rsidR="005A278B">
        <w:rPr>
          <w:color w:val="000000" w:themeColor="text1"/>
          <w:szCs w:val="24"/>
          <w:u w:val="single"/>
        </w:rPr>
        <w:t xml:space="preserve">AC </w:t>
      </w:r>
      <w:r w:rsidR="002438FA">
        <w:rPr>
          <w:color w:val="000000" w:themeColor="text1"/>
          <w:szCs w:val="24"/>
          <w:u w:val="single"/>
        </w:rPr>
        <w:t>Joint Reconstruction</w:t>
      </w:r>
      <w:r>
        <w:rPr>
          <w:color w:val="000000" w:themeColor="text1"/>
          <w:szCs w:val="24"/>
        </w:rPr>
        <w:t xml:space="preserve">.  As noted above, the CI was a passenger in a </w:t>
      </w:r>
      <w:r w:rsidR="00B57392">
        <w:rPr>
          <w:color w:val="000000" w:themeColor="text1"/>
          <w:szCs w:val="24"/>
        </w:rPr>
        <w:t>HUMVEE when</w:t>
      </w:r>
      <w:r>
        <w:rPr>
          <w:color w:val="000000" w:themeColor="text1"/>
          <w:szCs w:val="24"/>
        </w:rPr>
        <w:t xml:space="preserve"> it ran over an IED (this is variously described as underneath the vehicle, in front of it</w:t>
      </w:r>
      <w:r w:rsidR="00776DB3">
        <w:rPr>
          <w:color w:val="000000" w:themeColor="text1"/>
          <w:szCs w:val="24"/>
        </w:rPr>
        <w:t>,</w:t>
      </w:r>
      <w:r w:rsidR="00421BF0">
        <w:rPr>
          <w:color w:val="000000" w:themeColor="text1"/>
          <w:szCs w:val="24"/>
        </w:rPr>
        <w:t xml:space="preserve"> and near it) on 17 July 2005. </w:t>
      </w:r>
      <w:r w:rsidR="002438FA">
        <w:rPr>
          <w:color w:val="000000" w:themeColor="text1"/>
          <w:szCs w:val="24"/>
        </w:rPr>
        <w:t xml:space="preserve"> </w:t>
      </w:r>
      <w:r>
        <w:rPr>
          <w:color w:val="000000" w:themeColor="text1"/>
          <w:szCs w:val="24"/>
        </w:rPr>
        <w:t>The CI was thrown from the vehicle some distance (described as 10-50 meters</w:t>
      </w:r>
      <w:r w:rsidR="00B57392">
        <w:rPr>
          <w:color w:val="000000" w:themeColor="text1"/>
          <w:szCs w:val="24"/>
        </w:rPr>
        <w:t xml:space="preserve"> in different histories</w:t>
      </w:r>
      <w:r>
        <w:rPr>
          <w:color w:val="000000" w:themeColor="text1"/>
          <w:szCs w:val="24"/>
        </w:rPr>
        <w:t xml:space="preserve">) </w:t>
      </w:r>
      <w:r w:rsidR="00421BF0">
        <w:rPr>
          <w:color w:val="000000" w:themeColor="text1"/>
          <w:szCs w:val="24"/>
        </w:rPr>
        <w:t xml:space="preserve">and injured his left shoulder. </w:t>
      </w:r>
      <w:r w:rsidR="002438FA">
        <w:rPr>
          <w:color w:val="000000" w:themeColor="text1"/>
          <w:szCs w:val="24"/>
        </w:rPr>
        <w:t xml:space="preserve"> </w:t>
      </w:r>
      <w:r>
        <w:rPr>
          <w:color w:val="000000" w:themeColor="text1"/>
          <w:szCs w:val="24"/>
        </w:rPr>
        <w:t>He was treated in theater with na</w:t>
      </w:r>
      <w:r w:rsidR="00421BF0">
        <w:rPr>
          <w:color w:val="000000" w:themeColor="text1"/>
          <w:szCs w:val="24"/>
        </w:rPr>
        <w:t xml:space="preserve">rcotic analgesics and a sling. </w:t>
      </w:r>
      <w:r w:rsidR="002438FA">
        <w:rPr>
          <w:color w:val="000000" w:themeColor="text1"/>
          <w:szCs w:val="24"/>
        </w:rPr>
        <w:t xml:space="preserve"> </w:t>
      </w:r>
      <w:r>
        <w:rPr>
          <w:color w:val="000000" w:themeColor="text1"/>
          <w:szCs w:val="24"/>
        </w:rPr>
        <w:t xml:space="preserve">He continued to have pain and was next seen </w:t>
      </w:r>
      <w:r w:rsidR="002438FA">
        <w:rPr>
          <w:color w:val="000000" w:themeColor="text1"/>
          <w:szCs w:val="24"/>
        </w:rPr>
        <w:t>five</w:t>
      </w:r>
      <w:r>
        <w:rPr>
          <w:color w:val="000000" w:themeColor="text1"/>
          <w:szCs w:val="24"/>
        </w:rPr>
        <w:t xml:space="preserve"> days later, 22 July 2005, when a third degree </w:t>
      </w:r>
      <w:proofErr w:type="spellStart"/>
      <w:r w:rsidR="00932916">
        <w:rPr>
          <w:color w:val="000000" w:themeColor="text1"/>
          <w:szCs w:val="24"/>
        </w:rPr>
        <w:t>acromioclavicular</w:t>
      </w:r>
      <w:proofErr w:type="spellEnd"/>
      <w:r w:rsidR="00932916">
        <w:rPr>
          <w:color w:val="000000" w:themeColor="text1"/>
          <w:szCs w:val="24"/>
        </w:rPr>
        <w:t xml:space="preserve"> </w:t>
      </w:r>
      <w:r>
        <w:rPr>
          <w:color w:val="000000" w:themeColor="text1"/>
          <w:szCs w:val="24"/>
        </w:rPr>
        <w:t>separation was noted on imaging</w:t>
      </w:r>
      <w:r w:rsidR="00B57392">
        <w:rPr>
          <w:color w:val="000000" w:themeColor="text1"/>
          <w:szCs w:val="24"/>
        </w:rPr>
        <w:t>,</w:t>
      </w:r>
      <w:r w:rsidR="00421BF0">
        <w:rPr>
          <w:color w:val="000000" w:themeColor="text1"/>
          <w:szCs w:val="24"/>
        </w:rPr>
        <w:t xml:space="preserve"> leading to his redeployment.</w:t>
      </w:r>
      <w:r w:rsidR="002438FA">
        <w:rPr>
          <w:color w:val="000000" w:themeColor="text1"/>
          <w:szCs w:val="24"/>
        </w:rPr>
        <w:t xml:space="preserve"> </w:t>
      </w:r>
      <w:r w:rsidR="00421BF0">
        <w:rPr>
          <w:color w:val="000000" w:themeColor="text1"/>
          <w:szCs w:val="24"/>
        </w:rPr>
        <w:t xml:space="preserve"> </w:t>
      </w:r>
      <w:r>
        <w:rPr>
          <w:color w:val="000000" w:themeColor="text1"/>
          <w:szCs w:val="24"/>
        </w:rPr>
        <w:t xml:space="preserve">He was next seen </w:t>
      </w:r>
      <w:r w:rsidR="002438FA">
        <w:rPr>
          <w:color w:val="000000" w:themeColor="text1"/>
          <w:szCs w:val="24"/>
        </w:rPr>
        <w:t xml:space="preserve">on </w:t>
      </w:r>
      <w:r>
        <w:rPr>
          <w:color w:val="000000" w:themeColor="text1"/>
          <w:szCs w:val="24"/>
        </w:rPr>
        <w:t xml:space="preserve">1 August 2005 in orthopedics at Camp </w:t>
      </w:r>
      <w:proofErr w:type="spellStart"/>
      <w:r>
        <w:rPr>
          <w:color w:val="000000" w:themeColor="text1"/>
          <w:szCs w:val="24"/>
        </w:rPr>
        <w:t>Le</w:t>
      </w:r>
      <w:r w:rsidR="00421BF0">
        <w:rPr>
          <w:color w:val="000000" w:themeColor="text1"/>
          <w:szCs w:val="24"/>
        </w:rPr>
        <w:t>j</w:t>
      </w:r>
      <w:r>
        <w:rPr>
          <w:color w:val="000000" w:themeColor="text1"/>
          <w:szCs w:val="24"/>
        </w:rPr>
        <w:t>eune</w:t>
      </w:r>
      <w:proofErr w:type="spellEnd"/>
      <w:r>
        <w:rPr>
          <w:color w:val="000000" w:themeColor="text1"/>
          <w:szCs w:val="24"/>
        </w:rPr>
        <w:t>, two weeks after the</w:t>
      </w:r>
      <w:r w:rsidR="00421BF0">
        <w:rPr>
          <w:color w:val="000000" w:themeColor="text1"/>
          <w:szCs w:val="24"/>
        </w:rPr>
        <w:t xml:space="preserve"> initial injury. </w:t>
      </w:r>
      <w:r>
        <w:rPr>
          <w:color w:val="000000" w:themeColor="text1"/>
          <w:szCs w:val="24"/>
        </w:rPr>
        <w:t xml:space="preserve">Conservative management was unsuccessful and </w:t>
      </w:r>
      <w:r w:rsidR="00932916">
        <w:rPr>
          <w:color w:val="000000" w:themeColor="text1"/>
          <w:szCs w:val="24"/>
        </w:rPr>
        <w:t xml:space="preserve">a </w:t>
      </w:r>
      <w:r>
        <w:rPr>
          <w:color w:val="000000" w:themeColor="text1"/>
          <w:szCs w:val="24"/>
        </w:rPr>
        <w:t>modified Weaver-Dunn procedure was accomplished</w:t>
      </w:r>
      <w:r w:rsidR="00B57392">
        <w:rPr>
          <w:color w:val="000000" w:themeColor="text1"/>
          <w:szCs w:val="24"/>
        </w:rPr>
        <w:t xml:space="preserve"> </w:t>
      </w:r>
      <w:r w:rsidR="002438FA">
        <w:rPr>
          <w:color w:val="000000" w:themeColor="text1"/>
          <w:szCs w:val="24"/>
        </w:rPr>
        <w:t xml:space="preserve">on </w:t>
      </w:r>
      <w:r w:rsidR="00421BF0">
        <w:rPr>
          <w:color w:val="000000" w:themeColor="text1"/>
          <w:szCs w:val="24"/>
        </w:rPr>
        <w:t xml:space="preserve">17 August 2005. </w:t>
      </w:r>
      <w:r w:rsidR="002438FA">
        <w:rPr>
          <w:color w:val="000000" w:themeColor="text1"/>
          <w:szCs w:val="24"/>
        </w:rPr>
        <w:t xml:space="preserve"> </w:t>
      </w:r>
      <w:r w:rsidR="00E20352">
        <w:rPr>
          <w:color w:val="000000" w:themeColor="text1"/>
          <w:szCs w:val="24"/>
        </w:rPr>
        <w:t xml:space="preserve">Despite post-operative rehabilitation, the CI had persistent pain and limitation of </w:t>
      </w:r>
      <w:r w:rsidR="0061794C">
        <w:rPr>
          <w:color w:val="000000" w:themeColor="text1"/>
          <w:szCs w:val="24"/>
        </w:rPr>
        <w:t>range</w:t>
      </w:r>
      <w:r w:rsidR="002438FA">
        <w:rPr>
          <w:color w:val="000000" w:themeColor="text1"/>
          <w:szCs w:val="24"/>
        </w:rPr>
        <w:t xml:space="preserve"> </w:t>
      </w:r>
      <w:r w:rsidR="0061794C">
        <w:rPr>
          <w:color w:val="000000" w:themeColor="text1"/>
          <w:szCs w:val="24"/>
        </w:rPr>
        <w:t>of</w:t>
      </w:r>
      <w:r w:rsidR="002438FA">
        <w:rPr>
          <w:color w:val="000000" w:themeColor="text1"/>
          <w:szCs w:val="24"/>
        </w:rPr>
        <w:t xml:space="preserve"> </w:t>
      </w:r>
      <w:r w:rsidR="00E20352" w:rsidRPr="00EB1E6A">
        <w:rPr>
          <w:color w:val="000000" w:themeColor="text1"/>
          <w:szCs w:val="24"/>
        </w:rPr>
        <w:t>motion (ROM)</w:t>
      </w:r>
      <w:r w:rsidR="00E20352">
        <w:rPr>
          <w:color w:val="000000" w:themeColor="text1"/>
          <w:szCs w:val="24"/>
        </w:rPr>
        <w:t xml:space="preserve"> impairing his ability to mee</w:t>
      </w:r>
      <w:r w:rsidR="00421BF0">
        <w:rPr>
          <w:color w:val="000000" w:themeColor="text1"/>
          <w:szCs w:val="24"/>
        </w:rPr>
        <w:t xml:space="preserve">t the requirements of his MOS. </w:t>
      </w:r>
      <w:r w:rsidR="002438FA">
        <w:rPr>
          <w:color w:val="000000" w:themeColor="text1"/>
          <w:szCs w:val="24"/>
        </w:rPr>
        <w:t xml:space="preserve"> </w:t>
      </w:r>
      <w:r w:rsidR="00A57C35" w:rsidRPr="00EB1E6A">
        <w:rPr>
          <w:color w:val="000000" w:themeColor="text1"/>
          <w:szCs w:val="24"/>
        </w:rPr>
        <w:t xml:space="preserve">There were </w:t>
      </w:r>
      <w:r w:rsidR="00EB1E6A" w:rsidRPr="00EB1E6A">
        <w:rPr>
          <w:color w:val="000000" w:themeColor="text1"/>
          <w:szCs w:val="24"/>
        </w:rPr>
        <w:t>two</w:t>
      </w:r>
      <w:r w:rsidR="00A57C35" w:rsidRPr="00EB1E6A">
        <w:rPr>
          <w:color w:val="000000" w:themeColor="text1"/>
          <w:szCs w:val="24"/>
        </w:rPr>
        <w:t xml:space="preserve"> </w:t>
      </w:r>
      <w:r w:rsidR="00E20352" w:rsidRPr="00EB1E6A">
        <w:rPr>
          <w:color w:val="000000" w:themeColor="text1"/>
          <w:szCs w:val="24"/>
        </w:rPr>
        <w:t xml:space="preserve">ROM </w:t>
      </w:r>
      <w:r w:rsidR="00A57C35" w:rsidRPr="00EB1E6A">
        <w:rPr>
          <w:color w:val="000000" w:themeColor="text1"/>
          <w:szCs w:val="24"/>
        </w:rPr>
        <w:t>evaluations in evidence, with documentation of additional ratable criteria, which the Board weighed in arriving at its rating recommendation.</w:t>
      </w:r>
    </w:p>
    <w:p w:rsidR="00B432BF" w:rsidRDefault="00B432BF" w:rsidP="00BF0E94">
      <w:pPr>
        <w:jc w:val="left"/>
        <w:rPr>
          <w:color w:val="000000" w:themeColor="text1"/>
          <w:szCs w:val="24"/>
          <w:u w:val="single"/>
        </w:rPr>
      </w:pPr>
    </w:p>
    <w:tbl>
      <w:tblPr>
        <w:tblpPr w:leftFromText="180" w:rightFromText="180" w:vertAnchor="text" w:tblpXSpec="center"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8"/>
        <w:gridCol w:w="2700"/>
        <w:gridCol w:w="3132"/>
      </w:tblGrid>
      <w:tr w:rsidR="00B432BF" w:rsidRPr="001F29F9" w:rsidTr="00421BF0">
        <w:tc>
          <w:tcPr>
            <w:tcW w:w="2898" w:type="dxa"/>
            <w:shd w:val="clear" w:color="auto" w:fill="D9D9D9" w:themeFill="background1" w:themeFillShade="D9"/>
            <w:vAlign w:val="center"/>
          </w:tcPr>
          <w:p w:rsidR="00B432BF" w:rsidRPr="001F29F9" w:rsidRDefault="00B432BF" w:rsidP="00744BA3">
            <w:pPr>
              <w:contextualSpacing/>
              <w:rPr>
                <w:rFonts w:eastAsia="Calibri"/>
                <w:color w:val="000000" w:themeColor="text1"/>
                <w:sz w:val="18"/>
                <w:szCs w:val="18"/>
              </w:rPr>
            </w:pPr>
            <w:r w:rsidRPr="001F29F9">
              <w:rPr>
                <w:rFonts w:eastAsia="Calibri"/>
                <w:color w:val="000000" w:themeColor="text1"/>
                <w:sz w:val="18"/>
                <w:szCs w:val="18"/>
              </w:rPr>
              <w:t>Goniometric ROM – L Shoulder</w:t>
            </w:r>
          </w:p>
        </w:tc>
        <w:tc>
          <w:tcPr>
            <w:tcW w:w="2700" w:type="dxa"/>
            <w:shd w:val="clear" w:color="auto" w:fill="D9D9D9" w:themeFill="background1" w:themeFillShade="D9"/>
            <w:vAlign w:val="center"/>
          </w:tcPr>
          <w:p w:rsidR="00B432BF" w:rsidRPr="001F29F9" w:rsidRDefault="00B432BF" w:rsidP="00E07AF6">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MEB ~ </w:t>
            </w:r>
            <w:r>
              <w:rPr>
                <w:rFonts w:eastAsia="Calibri"/>
                <w:color w:val="000000" w:themeColor="text1"/>
                <w:sz w:val="18"/>
                <w:szCs w:val="18"/>
              </w:rPr>
              <w:t>2</w:t>
            </w:r>
            <w:r w:rsidR="00E20352">
              <w:rPr>
                <w:rFonts w:eastAsia="Calibri"/>
                <w:color w:val="000000" w:themeColor="text1"/>
                <w:sz w:val="18"/>
                <w:szCs w:val="18"/>
              </w:rPr>
              <w:t>.5</w:t>
            </w:r>
            <w:r w:rsidRPr="001F29F9">
              <w:rPr>
                <w:rFonts w:eastAsia="Calibri"/>
                <w:color w:val="000000" w:themeColor="text1"/>
                <w:sz w:val="18"/>
                <w:szCs w:val="18"/>
              </w:rPr>
              <w:t xml:space="preserve"> Mo. Pre-Sep</w:t>
            </w:r>
          </w:p>
          <w:p w:rsidR="00B432BF" w:rsidRPr="001F29F9" w:rsidRDefault="00E20352" w:rsidP="00744BA3">
            <w:pPr>
              <w:contextualSpacing/>
              <w:rPr>
                <w:rFonts w:eastAsia="Calibri"/>
                <w:color w:val="000000" w:themeColor="text1"/>
                <w:sz w:val="18"/>
                <w:szCs w:val="18"/>
              </w:rPr>
            </w:pPr>
            <w:r>
              <w:rPr>
                <w:rFonts w:asciiTheme="minorHAnsi" w:eastAsia="Calibri" w:hAnsiTheme="minorHAnsi"/>
                <w:color w:val="000000" w:themeColor="text1"/>
                <w:sz w:val="18"/>
                <w:szCs w:val="18"/>
              </w:rPr>
              <w:t xml:space="preserve">Ortho </w:t>
            </w:r>
            <w:r w:rsidR="00B432BF"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60210</w:t>
            </w:r>
          </w:p>
        </w:tc>
        <w:tc>
          <w:tcPr>
            <w:tcW w:w="3132" w:type="dxa"/>
            <w:shd w:val="clear" w:color="auto" w:fill="D9D9D9" w:themeFill="background1" w:themeFillShade="D9"/>
            <w:vAlign w:val="center"/>
          </w:tcPr>
          <w:p w:rsidR="00B432BF" w:rsidRPr="001F29F9" w:rsidRDefault="00B432BF" w:rsidP="00E07AF6">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E20352">
              <w:rPr>
                <w:rFonts w:eastAsia="Calibri"/>
                <w:color w:val="000000" w:themeColor="text1"/>
                <w:sz w:val="18"/>
                <w:szCs w:val="18"/>
              </w:rPr>
              <w:t>2</w:t>
            </w:r>
            <w:r w:rsidRPr="001F29F9">
              <w:rPr>
                <w:rFonts w:eastAsia="Calibri"/>
                <w:color w:val="000000" w:themeColor="text1"/>
                <w:sz w:val="18"/>
                <w:szCs w:val="18"/>
              </w:rPr>
              <w:t xml:space="preserve"> Mo. After-Sep</w:t>
            </w:r>
          </w:p>
          <w:p w:rsidR="00B432BF" w:rsidRPr="001F29F9" w:rsidRDefault="00B432BF" w:rsidP="00EB7FE0">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sidR="00E20352">
              <w:rPr>
                <w:rFonts w:asciiTheme="minorHAnsi" w:eastAsia="Calibri" w:hAnsiTheme="minorHAnsi"/>
                <w:color w:val="000000" w:themeColor="text1"/>
                <w:sz w:val="18"/>
                <w:szCs w:val="18"/>
              </w:rPr>
              <w:t>6062</w:t>
            </w:r>
            <w:r w:rsidR="00EB7FE0">
              <w:rPr>
                <w:rFonts w:asciiTheme="minorHAnsi" w:eastAsia="Calibri" w:hAnsiTheme="minorHAnsi"/>
                <w:color w:val="000000" w:themeColor="text1"/>
                <w:sz w:val="18"/>
                <w:szCs w:val="18"/>
              </w:rPr>
              <w:t>2</w:t>
            </w:r>
          </w:p>
        </w:tc>
      </w:tr>
      <w:tr w:rsidR="00B432BF" w:rsidRPr="001F29F9" w:rsidTr="00421BF0">
        <w:tc>
          <w:tcPr>
            <w:tcW w:w="2898" w:type="dxa"/>
            <w:vAlign w:val="center"/>
          </w:tcPr>
          <w:p w:rsidR="00B432BF" w:rsidRPr="001F29F9" w:rsidRDefault="00B432BF" w:rsidP="00E07AF6">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2700" w:type="dxa"/>
            <w:vAlign w:val="center"/>
          </w:tcPr>
          <w:p w:rsidR="00B432BF" w:rsidRPr="001F29F9" w:rsidRDefault="00B432BF" w:rsidP="00E07AF6">
            <w:pPr>
              <w:contextualSpacing/>
              <w:rPr>
                <w:rFonts w:eastAsia="Calibri"/>
                <w:color w:val="000000" w:themeColor="text1"/>
                <w:sz w:val="18"/>
                <w:szCs w:val="18"/>
              </w:rPr>
            </w:pPr>
            <w:r>
              <w:rPr>
                <w:rFonts w:eastAsia="Calibri"/>
                <w:color w:val="000000" w:themeColor="text1"/>
                <w:sz w:val="18"/>
                <w:szCs w:val="18"/>
              </w:rPr>
              <w:t>150</w:t>
            </w:r>
            <w:r w:rsidRPr="001F29F9">
              <w:rPr>
                <w:rFonts w:eastAsia="Calibri"/>
                <w:color w:val="000000" w:themeColor="text1"/>
                <w:sz w:val="18"/>
                <w:szCs w:val="18"/>
              </w:rPr>
              <w:t>⁰</w:t>
            </w:r>
          </w:p>
        </w:tc>
        <w:tc>
          <w:tcPr>
            <w:tcW w:w="3132" w:type="dxa"/>
            <w:vAlign w:val="center"/>
          </w:tcPr>
          <w:p w:rsidR="00B432BF" w:rsidRPr="001F29F9" w:rsidRDefault="00E20352" w:rsidP="00E20352">
            <w:pPr>
              <w:contextualSpacing/>
              <w:rPr>
                <w:rFonts w:eastAsia="Calibri"/>
                <w:color w:val="000000" w:themeColor="text1"/>
                <w:sz w:val="18"/>
                <w:szCs w:val="18"/>
              </w:rPr>
            </w:pPr>
            <w:r>
              <w:rPr>
                <w:rFonts w:eastAsia="Calibri"/>
                <w:color w:val="000000" w:themeColor="text1"/>
                <w:sz w:val="18"/>
                <w:szCs w:val="18"/>
              </w:rPr>
              <w:t>15</w:t>
            </w:r>
            <w:r w:rsidR="00EB7FE0">
              <w:rPr>
                <w:rFonts w:eastAsia="Calibri"/>
                <w:color w:val="000000" w:themeColor="text1"/>
                <w:sz w:val="18"/>
                <w:szCs w:val="18"/>
              </w:rPr>
              <w:t>0</w:t>
            </w:r>
            <w:r w:rsidR="00B432BF" w:rsidRPr="001F29F9">
              <w:rPr>
                <w:rFonts w:eastAsia="Calibri"/>
                <w:color w:val="000000" w:themeColor="text1"/>
                <w:sz w:val="18"/>
                <w:szCs w:val="18"/>
              </w:rPr>
              <w:t>⁰</w:t>
            </w:r>
          </w:p>
        </w:tc>
      </w:tr>
      <w:tr w:rsidR="00B432BF" w:rsidRPr="001F29F9" w:rsidTr="00421BF0">
        <w:trPr>
          <w:trHeight w:val="79"/>
        </w:trPr>
        <w:tc>
          <w:tcPr>
            <w:tcW w:w="2898" w:type="dxa"/>
            <w:vAlign w:val="center"/>
          </w:tcPr>
          <w:p w:rsidR="00B432BF" w:rsidRPr="001F29F9" w:rsidRDefault="00B432BF" w:rsidP="00E07AF6">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2700" w:type="dxa"/>
            <w:vAlign w:val="center"/>
          </w:tcPr>
          <w:p w:rsidR="00B432BF" w:rsidRPr="001F29F9" w:rsidRDefault="00DE44A4" w:rsidP="00E07AF6">
            <w:pPr>
              <w:contextualSpacing/>
              <w:rPr>
                <w:rFonts w:eastAsia="Calibri"/>
                <w:color w:val="000000" w:themeColor="text1"/>
                <w:sz w:val="18"/>
                <w:szCs w:val="18"/>
              </w:rPr>
            </w:pPr>
            <w:r>
              <w:rPr>
                <w:rFonts w:eastAsia="Calibri"/>
                <w:color w:val="000000" w:themeColor="text1"/>
                <w:sz w:val="18"/>
                <w:szCs w:val="18"/>
              </w:rPr>
              <w:t>135</w:t>
            </w:r>
            <w:r w:rsidR="00B432BF" w:rsidRPr="001F29F9">
              <w:rPr>
                <w:rFonts w:eastAsia="Calibri"/>
                <w:color w:val="000000" w:themeColor="text1"/>
                <w:sz w:val="18"/>
                <w:szCs w:val="18"/>
              </w:rPr>
              <w:t>⁰</w:t>
            </w:r>
          </w:p>
        </w:tc>
        <w:tc>
          <w:tcPr>
            <w:tcW w:w="3132" w:type="dxa"/>
            <w:vAlign w:val="center"/>
          </w:tcPr>
          <w:p w:rsidR="00B432BF" w:rsidRPr="001F29F9" w:rsidRDefault="00E20352" w:rsidP="00E07AF6">
            <w:pPr>
              <w:contextualSpacing/>
              <w:rPr>
                <w:rFonts w:eastAsia="Calibri"/>
                <w:color w:val="000000" w:themeColor="text1"/>
                <w:sz w:val="18"/>
                <w:szCs w:val="18"/>
              </w:rPr>
            </w:pPr>
            <w:r>
              <w:rPr>
                <w:rFonts w:eastAsia="Calibri"/>
                <w:color w:val="000000" w:themeColor="text1"/>
                <w:sz w:val="18"/>
                <w:szCs w:val="18"/>
              </w:rPr>
              <w:t>135</w:t>
            </w:r>
            <w:r w:rsidR="00EB7FE0" w:rsidRPr="001F29F9">
              <w:rPr>
                <w:rFonts w:eastAsia="Calibri"/>
                <w:color w:val="000000" w:themeColor="text1"/>
                <w:sz w:val="18"/>
                <w:szCs w:val="18"/>
              </w:rPr>
              <w:t>⁰</w:t>
            </w:r>
          </w:p>
        </w:tc>
      </w:tr>
      <w:tr w:rsidR="00B432BF" w:rsidRPr="001F29F9" w:rsidTr="00421BF0">
        <w:tc>
          <w:tcPr>
            <w:tcW w:w="2898" w:type="dxa"/>
            <w:vAlign w:val="center"/>
          </w:tcPr>
          <w:p w:rsidR="00B432BF" w:rsidRPr="001F29F9" w:rsidRDefault="00B432BF" w:rsidP="00E07AF6">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700" w:type="dxa"/>
            <w:vAlign w:val="center"/>
          </w:tcPr>
          <w:p w:rsidR="00B432BF" w:rsidRPr="001F29F9" w:rsidRDefault="00E20352" w:rsidP="00421BF0">
            <w:pPr>
              <w:tabs>
                <w:tab w:val="left" w:pos="288"/>
                <w:tab w:val="left" w:pos="4752"/>
              </w:tabs>
              <w:rPr>
                <w:rFonts w:eastAsiaTheme="minorHAnsi"/>
                <w:color w:val="000000" w:themeColor="text1"/>
                <w:sz w:val="18"/>
                <w:szCs w:val="18"/>
              </w:rPr>
            </w:pPr>
            <w:r>
              <w:rPr>
                <w:rFonts w:eastAsiaTheme="minorHAnsi"/>
                <w:color w:val="000000" w:themeColor="text1"/>
                <w:sz w:val="18"/>
                <w:szCs w:val="18"/>
              </w:rPr>
              <w:t>Tenderness over AC Joint</w:t>
            </w:r>
          </w:p>
        </w:tc>
        <w:tc>
          <w:tcPr>
            <w:tcW w:w="3132" w:type="dxa"/>
            <w:vAlign w:val="center"/>
          </w:tcPr>
          <w:p w:rsidR="00B432BF" w:rsidRPr="001F29F9" w:rsidRDefault="00600F3C" w:rsidP="00421BF0">
            <w:pPr>
              <w:tabs>
                <w:tab w:val="left" w:pos="288"/>
                <w:tab w:val="left" w:pos="4752"/>
              </w:tabs>
              <w:rPr>
                <w:rFonts w:eastAsiaTheme="minorHAnsi"/>
                <w:color w:val="000000" w:themeColor="text1"/>
                <w:sz w:val="18"/>
                <w:szCs w:val="18"/>
              </w:rPr>
            </w:pPr>
            <w:r>
              <w:rPr>
                <w:rFonts w:eastAsia="Calibri"/>
                <w:color w:val="000000" w:themeColor="text1"/>
                <w:sz w:val="18"/>
                <w:szCs w:val="18"/>
              </w:rPr>
              <w:t>Flexion limited to 135</w:t>
            </w:r>
            <w:r w:rsidRPr="001F29F9">
              <w:rPr>
                <w:rFonts w:eastAsia="Calibri"/>
                <w:color w:val="000000" w:themeColor="text1"/>
                <w:sz w:val="18"/>
                <w:szCs w:val="18"/>
              </w:rPr>
              <w:t>⁰</w:t>
            </w:r>
            <w:r>
              <w:rPr>
                <w:rFonts w:eastAsia="Calibri"/>
                <w:color w:val="000000" w:themeColor="text1"/>
                <w:sz w:val="18"/>
                <w:szCs w:val="18"/>
              </w:rPr>
              <w:t xml:space="preserve"> on repetition</w:t>
            </w:r>
          </w:p>
        </w:tc>
      </w:tr>
      <w:tr w:rsidR="00B432BF" w:rsidRPr="001F29F9" w:rsidTr="00421BF0">
        <w:tc>
          <w:tcPr>
            <w:tcW w:w="2898" w:type="dxa"/>
            <w:vAlign w:val="center"/>
          </w:tcPr>
          <w:p w:rsidR="00B432BF" w:rsidRPr="001F29F9" w:rsidRDefault="00B432BF" w:rsidP="00E07AF6">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700" w:type="dxa"/>
            <w:vAlign w:val="center"/>
          </w:tcPr>
          <w:p w:rsidR="00B432BF" w:rsidRPr="001F29F9" w:rsidRDefault="00EB1E6A" w:rsidP="00421BF0">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B432BF" w:rsidRPr="001F29F9">
              <w:rPr>
                <w:rFonts w:eastAsiaTheme="minorHAnsi"/>
                <w:color w:val="000000" w:themeColor="text1"/>
                <w:sz w:val="18"/>
                <w:szCs w:val="18"/>
              </w:rPr>
              <w:t>%</w:t>
            </w:r>
            <w:r w:rsidR="00E20352">
              <w:rPr>
                <w:rFonts w:eastAsiaTheme="minorHAnsi"/>
                <w:color w:val="000000" w:themeColor="text1"/>
                <w:sz w:val="18"/>
                <w:szCs w:val="18"/>
              </w:rPr>
              <w:t xml:space="preserve"> (</w:t>
            </w:r>
            <w:r w:rsidR="00E20352" w:rsidRPr="001F29F9">
              <w:rPr>
                <w:rFonts w:eastAsiaTheme="minorHAnsi"/>
                <w:color w:val="000000" w:themeColor="text1"/>
                <w:sz w:val="18"/>
                <w:szCs w:val="18"/>
              </w:rPr>
              <w:t>§4.</w:t>
            </w:r>
            <w:r w:rsidR="00E20352">
              <w:rPr>
                <w:rFonts w:eastAsiaTheme="minorHAnsi"/>
                <w:color w:val="000000" w:themeColor="text1"/>
                <w:sz w:val="18"/>
                <w:szCs w:val="18"/>
              </w:rPr>
              <w:t xml:space="preserve">59 or 10% under </w:t>
            </w:r>
            <w:r w:rsidR="00600F3C">
              <w:rPr>
                <w:rFonts w:eastAsiaTheme="minorHAnsi"/>
                <w:color w:val="000000" w:themeColor="text1"/>
                <w:sz w:val="18"/>
                <w:szCs w:val="18"/>
              </w:rPr>
              <w:t>5003)</w:t>
            </w:r>
          </w:p>
        </w:tc>
        <w:tc>
          <w:tcPr>
            <w:tcW w:w="3132" w:type="dxa"/>
            <w:vAlign w:val="center"/>
          </w:tcPr>
          <w:p w:rsidR="00B432BF" w:rsidRPr="001F29F9" w:rsidRDefault="00651E96" w:rsidP="00421BF0">
            <w:pPr>
              <w:tabs>
                <w:tab w:val="left" w:pos="288"/>
                <w:tab w:val="left" w:pos="4752"/>
              </w:tabs>
              <w:rPr>
                <w:rFonts w:eastAsiaTheme="minorHAnsi"/>
                <w:color w:val="000000" w:themeColor="text1"/>
                <w:sz w:val="18"/>
                <w:szCs w:val="18"/>
              </w:rPr>
            </w:pPr>
            <w:r>
              <w:rPr>
                <w:rFonts w:eastAsiaTheme="minorHAnsi"/>
                <w:color w:val="000000" w:themeColor="text1"/>
                <w:sz w:val="18"/>
                <w:szCs w:val="18"/>
              </w:rPr>
              <w:t>10% (</w:t>
            </w:r>
            <w:r w:rsidRPr="001F29F9">
              <w:rPr>
                <w:rFonts w:eastAsiaTheme="minorHAnsi"/>
                <w:color w:val="000000" w:themeColor="text1"/>
                <w:sz w:val="18"/>
                <w:szCs w:val="18"/>
              </w:rPr>
              <w:t>§4.</w:t>
            </w:r>
            <w:r>
              <w:rPr>
                <w:rFonts w:eastAsiaTheme="minorHAnsi"/>
                <w:color w:val="000000" w:themeColor="text1"/>
                <w:sz w:val="18"/>
                <w:szCs w:val="18"/>
              </w:rPr>
              <w:t xml:space="preserve">59) </w:t>
            </w:r>
            <w:r w:rsidR="00EB1E6A">
              <w:rPr>
                <w:rFonts w:eastAsiaTheme="minorHAnsi"/>
                <w:color w:val="000000" w:themeColor="text1"/>
                <w:sz w:val="18"/>
                <w:szCs w:val="18"/>
              </w:rPr>
              <w:t>0</w:t>
            </w:r>
            <w:r w:rsidR="00B432BF" w:rsidRPr="001F29F9">
              <w:rPr>
                <w:rFonts w:eastAsiaTheme="minorHAnsi"/>
                <w:color w:val="000000" w:themeColor="text1"/>
                <w:sz w:val="18"/>
                <w:szCs w:val="18"/>
              </w:rPr>
              <w:t>%</w:t>
            </w:r>
            <w:r w:rsidR="00600F3C">
              <w:rPr>
                <w:rFonts w:eastAsiaTheme="minorHAnsi"/>
                <w:color w:val="000000" w:themeColor="text1"/>
                <w:sz w:val="18"/>
                <w:szCs w:val="18"/>
              </w:rPr>
              <w:t xml:space="preserve"> Awarded</w:t>
            </w:r>
          </w:p>
        </w:tc>
      </w:tr>
    </w:tbl>
    <w:p w:rsidR="00744BA3" w:rsidRDefault="00744BA3" w:rsidP="00BF0E94">
      <w:pPr>
        <w:jc w:val="left"/>
        <w:rPr>
          <w:color w:val="000000" w:themeColor="text1"/>
          <w:szCs w:val="24"/>
          <w:u w:val="single"/>
        </w:rPr>
      </w:pPr>
    </w:p>
    <w:p w:rsidR="00776DB3" w:rsidRDefault="00600F3C" w:rsidP="00F43937">
      <w:pPr>
        <w:jc w:val="both"/>
        <w:rPr>
          <w:rFonts w:eastAsia="HiddenHorzOCR"/>
          <w:color w:val="000000" w:themeColor="text1"/>
          <w:szCs w:val="24"/>
        </w:rPr>
      </w:pPr>
      <w:r w:rsidRPr="00600F3C">
        <w:rPr>
          <w:rFonts w:eastAsia="HiddenHorzOCR"/>
          <w:color w:val="000000" w:themeColor="text1"/>
          <w:szCs w:val="24"/>
        </w:rPr>
        <w:t>The MEB exam was</w:t>
      </w:r>
      <w:r w:rsidR="00421BF0">
        <w:rPr>
          <w:rFonts w:eastAsia="HiddenHorzOCR"/>
          <w:color w:val="000000" w:themeColor="text1"/>
          <w:szCs w:val="24"/>
        </w:rPr>
        <w:t xml:space="preserve"> </w:t>
      </w:r>
      <w:r w:rsidR="002438FA">
        <w:rPr>
          <w:rFonts w:eastAsia="HiddenHorzOCR"/>
          <w:color w:val="000000" w:themeColor="text1"/>
          <w:szCs w:val="24"/>
        </w:rPr>
        <w:t xml:space="preserve">on </w:t>
      </w:r>
      <w:r w:rsidR="00421BF0">
        <w:rPr>
          <w:rFonts w:eastAsia="HiddenHorzOCR"/>
          <w:color w:val="000000" w:themeColor="text1"/>
          <w:szCs w:val="24"/>
        </w:rPr>
        <w:t>10 February 2005</w:t>
      </w:r>
      <w:r w:rsidR="002438FA">
        <w:rPr>
          <w:rFonts w:eastAsia="HiddenHorzOCR"/>
          <w:color w:val="000000" w:themeColor="text1"/>
          <w:szCs w:val="24"/>
        </w:rPr>
        <w:t xml:space="preserve"> and</w:t>
      </w:r>
      <w:r>
        <w:rPr>
          <w:rFonts w:eastAsia="HiddenHorzOCR"/>
          <w:color w:val="000000" w:themeColor="text1"/>
          <w:szCs w:val="24"/>
        </w:rPr>
        <w:t xml:space="preserve"> noted that he was </w:t>
      </w:r>
      <w:r w:rsidR="00B57392">
        <w:rPr>
          <w:rFonts w:eastAsia="HiddenHorzOCR"/>
          <w:color w:val="000000" w:themeColor="text1"/>
          <w:szCs w:val="24"/>
        </w:rPr>
        <w:t>neither able</w:t>
      </w:r>
      <w:r>
        <w:rPr>
          <w:rFonts w:eastAsia="HiddenHorzOCR"/>
          <w:color w:val="000000" w:themeColor="text1"/>
          <w:szCs w:val="24"/>
        </w:rPr>
        <w:t xml:space="preserve"> to perform any lifting nor was he able to wear a pack due to pain at the incision site. </w:t>
      </w:r>
      <w:r w:rsidRPr="00600F3C">
        <w:rPr>
          <w:rFonts w:eastAsia="HiddenHorzOCR"/>
          <w:color w:val="000000" w:themeColor="text1"/>
          <w:szCs w:val="24"/>
        </w:rPr>
        <w:t xml:space="preserve"> </w:t>
      </w:r>
      <w:r w:rsidR="00776DB3">
        <w:rPr>
          <w:rFonts w:eastAsia="HiddenHorzOCR"/>
          <w:color w:val="000000" w:themeColor="text1"/>
          <w:szCs w:val="24"/>
        </w:rPr>
        <w:t>T</w:t>
      </w:r>
      <w:r w:rsidR="004B0E8A">
        <w:rPr>
          <w:rFonts w:eastAsia="HiddenHorzOCR"/>
          <w:color w:val="000000" w:themeColor="text1"/>
          <w:szCs w:val="24"/>
        </w:rPr>
        <w:t xml:space="preserve">he incision was well healed and the neurovascular exam </w:t>
      </w:r>
      <w:r w:rsidR="00776DB3">
        <w:rPr>
          <w:rFonts w:eastAsia="HiddenHorzOCR"/>
          <w:color w:val="000000" w:themeColor="text1"/>
          <w:szCs w:val="24"/>
        </w:rPr>
        <w:t xml:space="preserve">was </w:t>
      </w:r>
      <w:r w:rsidR="004B0E8A">
        <w:rPr>
          <w:rFonts w:eastAsia="HiddenHorzOCR"/>
          <w:color w:val="000000" w:themeColor="text1"/>
          <w:szCs w:val="24"/>
        </w:rPr>
        <w:t>normal</w:t>
      </w:r>
      <w:r w:rsidR="002438FA">
        <w:rPr>
          <w:rFonts w:eastAsia="HiddenHorzOCR"/>
          <w:color w:val="000000" w:themeColor="text1"/>
          <w:szCs w:val="24"/>
        </w:rPr>
        <w:t>,</w:t>
      </w:r>
      <w:r w:rsidR="004B0E8A">
        <w:rPr>
          <w:rFonts w:eastAsia="HiddenHorzOCR"/>
          <w:color w:val="000000" w:themeColor="text1"/>
          <w:szCs w:val="24"/>
        </w:rPr>
        <w:t xml:space="preserve"> with normal motor strength, sensation</w:t>
      </w:r>
      <w:r w:rsidR="00421BF0">
        <w:rPr>
          <w:rFonts w:eastAsia="HiddenHorzOCR"/>
          <w:color w:val="000000" w:themeColor="text1"/>
          <w:szCs w:val="24"/>
        </w:rPr>
        <w:t>, pulses and capillary refill</w:t>
      </w:r>
      <w:r w:rsidR="002438FA">
        <w:rPr>
          <w:rFonts w:eastAsia="HiddenHorzOCR"/>
          <w:color w:val="000000" w:themeColor="text1"/>
          <w:szCs w:val="24"/>
        </w:rPr>
        <w:t xml:space="preserve">; </w:t>
      </w:r>
      <w:r w:rsidR="00421BF0">
        <w:rPr>
          <w:rFonts w:eastAsia="HiddenHorzOCR"/>
          <w:color w:val="000000" w:themeColor="text1"/>
          <w:szCs w:val="24"/>
        </w:rPr>
        <w:t>ROM is above.</w:t>
      </w:r>
      <w:r w:rsidR="004B0E8A">
        <w:rPr>
          <w:rFonts w:eastAsia="HiddenHorzOCR"/>
          <w:color w:val="000000" w:themeColor="text1"/>
          <w:szCs w:val="24"/>
        </w:rPr>
        <w:t xml:space="preserve"> </w:t>
      </w:r>
      <w:r w:rsidR="002438FA">
        <w:rPr>
          <w:rFonts w:eastAsia="HiddenHorzOCR"/>
          <w:color w:val="000000" w:themeColor="text1"/>
          <w:szCs w:val="24"/>
        </w:rPr>
        <w:t xml:space="preserve"> </w:t>
      </w:r>
      <w:r w:rsidR="004B0E8A">
        <w:rPr>
          <w:rFonts w:eastAsia="HiddenHorzOCR"/>
          <w:color w:val="000000" w:themeColor="text1"/>
          <w:szCs w:val="24"/>
        </w:rPr>
        <w:t>The examiner also noted a reduction in internal and external rotation of the left arm</w:t>
      </w:r>
      <w:r w:rsidR="002438FA">
        <w:rPr>
          <w:rFonts w:eastAsia="HiddenHorzOCR"/>
          <w:color w:val="000000" w:themeColor="text1"/>
          <w:szCs w:val="24"/>
        </w:rPr>
        <w:t>,</w:t>
      </w:r>
      <w:r w:rsidR="004B0E8A">
        <w:rPr>
          <w:rFonts w:eastAsia="HiddenHorzOCR"/>
          <w:color w:val="000000" w:themeColor="text1"/>
          <w:szCs w:val="24"/>
        </w:rPr>
        <w:t xml:space="preserve"> compared to the right at both </w:t>
      </w:r>
      <w:r w:rsidR="00421BF0">
        <w:rPr>
          <w:rFonts w:eastAsia="HiddenHorzOCR"/>
          <w:color w:val="000000" w:themeColor="text1"/>
          <w:szCs w:val="24"/>
        </w:rPr>
        <w:t xml:space="preserve">zero and 90 degrees abduction. </w:t>
      </w:r>
      <w:r w:rsidR="002438FA">
        <w:rPr>
          <w:rFonts w:eastAsia="HiddenHorzOCR"/>
          <w:color w:val="000000" w:themeColor="text1"/>
          <w:szCs w:val="24"/>
        </w:rPr>
        <w:t xml:space="preserve"> </w:t>
      </w:r>
      <w:r w:rsidR="004B0E8A">
        <w:rPr>
          <w:rFonts w:eastAsia="HiddenHorzOCR"/>
          <w:color w:val="000000" w:themeColor="text1"/>
          <w:szCs w:val="24"/>
        </w:rPr>
        <w:t>Imaging showed minimal increased cortical clavicle distance</w:t>
      </w:r>
      <w:r w:rsidR="002438FA">
        <w:rPr>
          <w:rFonts w:eastAsia="HiddenHorzOCR"/>
          <w:color w:val="000000" w:themeColor="text1"/>
          <w:szCs w:val="24"/>
        </w:rPr>
        <w:t>,</w:t>
      </w:r>
      <w:r w:rsidR="004B0E8A">
        <w:rPr>
          <w:rFonts w:eastAsia="HiddenHorzOCR"/>
          <w:color w:val="000000" w:themeColor="text1"/>
          <w:szCs w:val="24"/>
        </w:rPr>
        <w:t xml:space="preserve"> consistent with healing of the reconstruct</w:t>
      </w:r>
      <w:r w:rsidR="00CD2A7D">
        <w:rPr>
          <w:rFonts w:eastAsia="HiddenHorzOCR"/>
          <w:color w:val="000000" w:themeColor="text1"/>
          <w:szCs w:val="24"/>
        </w:rPr>
        <w:t xml:space="preserve">ed </w:t>
      </w:r>
      <w:proofErr w:type="spellStart"/>
      <w:r w:rsidR="00CD2A7D">
        <w:rPr>
          <w:rFonts w:eastAsia="HiddenHorzOCR"/>
          <w:color w:val="000000" w:themeColor="text1"/>
          <w:szCs w:val="24"/>
        </w:rPr>
        <w:t>coracoclavicular</w:t>
      </w:r>
      <w:proofErr w:type="spellEnd"/>
      <w:r w:rsidR="00CD2A7D">
        <w:rPr>
          <w:rFonts w:eastAsia="HiddenHorzOCR"/>
          <w:color w:val="000000" w:themeColor="text1"/>
          <w:szCs w:val="24"/>
        </w:rPr>
        <w:t xml:space="preserve"> ligaments. </w:t>
      </w:r>
      <w:r w:rsidR="002438FA">
        <w:rPr>
          <w:rFonts w:eastAsia="HiddenHorzOCR"/>
          <w:color w:val="000000" w:themeColor="text1"/>
          <w:szCs w:val="24"/>
        </w:rPr>
        <w:t xml:space="preserve"> </w:t>
      </w:r>
      <w:r w:rsidR="004B0E8A">
        <w:rPr>
          <w:rFonts w:eastAsia="HiddenHorzOCR"/>
          <w:color w:val="000000" w:themeColor="text1"/>
          <w:szCs w:val="24"/>
        </w:rPr>
        <w:t>As it was thought that he would not be fit for full duty “within a reasonable period of time</w:t>
      </w:r>
      <w:r w:rsidR="0061794C">
        <w:rPr>
          <w:rFonts w:eastAsia="HiddenHorzOCR"/>
          <w:color w:val="000000" w:themeColor="text1"/>
          <w:szCs w:val="24"/>
        </w:rPr>
        <w:t>,</w:t>
      </w:r>
      <w:r w:rsidR="004B0E8A">
        <w:rPr>
          <w:rFonts w:eastAsia="HiddenHorzOCR"/>
          <w:color w:val="000000" w:themeColor="text1"/>
          <w:szCs w:val="24"/>
        </w:rPr>
        <w:t xml:space="preserve">” this </w:t>
      </w:r>
      <w:r w:rsidR="00776DB3">
        <w:rPr>
          <w:rFonts w:eastAsia="HiddenHorzOCR"/>
          <w:color w:val="000000" w:themeColor="text1"/>
          <w:szCs w:val="24"/>
        </w:rPr>
        <w:t xml:space="preserve">condition </w:t>
      </w:r>
      <w:r w:rsidR="004B0E8A">
        <w:rPr>
          <w:rFonts w:eastAsia="HiddenHorzOCR"/>
          <w:color w:val="000000" w:themeColor="text1"/>
          <w:szCs w:val="24"/>
        </w:rPr>
        <w:t>was medically unacceptable and unfitting.</w:t>
      </w:r>
      <w:r w:rsidR="00CD2A7D">
        <w:rPr>
          <w:rFonts w:eastAsia="HiddenHorzOCR"/>
          <w:color w:val="000000" w:themeColor="text1"/>
          <w:szCs w:val="24"/>
        </w:rPr>
        <w:t xml:space="preserve"> </w:t>
      </w:r>
      <w:r w:rsidR="002438FA">
        <w:rPr>
          <w:rFonts w:eastAsia="HiddenHorzOCR"/>
          <w:color w:val="000000" w:themeColor="text1"/>
          <w:szCs w:val="24"/>
        </w:rPr>
        <w:t xml:space="preserve"> </w:t>
      </w:r>
      <w:r w:rsidR="004B0E8A">
        <w:rPr>
          <w:rFonts w:eastAsia="HiddenHorzOCR"/>
          <w:color w:val="000000" w:themeColor="text1"/>
          <w:szCs w:val="24"/>
        </w:rPr>
        <w:t xml:space="preserve">The VA </w:t>
      </w:r>
      <w:r w:rsidR="0061794C">
        <w:rPr>
          <w:rFonts w:eastAsia="HiddenHorzOCR"/>
          <w:color w:val="000000" w:themeColor="text1"/>
          <w:szCs w:val="24"/>
        </w:rPr>
        <w:t>Compensation and Pension (</w:t>
      </w:r>
      <w:r w:rsidR="004B0E8A">
        <w:rPr>
          <w:rFonts w:eastAsia="HiddenHorzOCR"/>
          <w:color w:val="000000" w:themeColor="text1"/>
          <w:szCs w:val="24"/>
        </w:rPr>
        <w:t>C&amp;P</w:t>
      </w:r>
      <w:r w:rsidR="0061794C">
        <w:rPr>
          <w:rFonts w:eastAsia="HiddenHorzOCR"/>
          <w:color w:val="000000" w:themeColor="text1"/>
          <w:szCs w:val="24"/>
        </w:rPr>
        <w:t>)</w:t>
      </w:r>
      <w:r w:rsidR="004B0E8A">
        <w:rPr>
          <w:rFonts w:eastAsia="HiddenHorzOCR"/>
          <w:color w:val="000000" w:themeColor="text1"/>
          <w:szCs w:val="24"/>
        </w:rPr>
        <w:t xml:space="preserve"> exam was </w:t>
      </w:r>
      <w:r w:rsidR="002438FA">
        <w:rPr>
          <w:rFonts w:eastAsia="HiddenHorzOCR"/>
          <w:color w:val="000000" w:themeColor="text1"/>
          <w:szCs w:val="24"/>
        </w:rPr>
        <w:t xml:space="preserve">on </w:t>
      </w:r>
      <w:r w:rsidR="004B0E8A">
        <w:rPr>
          <w:rFonts w:eastAsia="HiddenHorzOCR"/>
          <w:color w:val="000000" w:themeColor="text1"/>
          <w:szCs w:val="24"/>
        </w:rPr>
        <w:t>22 June 2006,</w:t>
      </w:r>
      <w:r w:rsidR="002438FA">
        <w:rPr>
          <w:rFonts w:eastAsia="HiddenHorzOCR"/>
          <w:color w:val="000000" w:themeColor="text1"/>
          <w:szCs w:val="24"/>
        </w:rPr>
        <w:t xml:space="preserve"> two</w:t>
      </w:r>
      <w:r w:rsidR="004B0E8A">
        <w:rPr>
          <w:rFonts w:eastAsia="HiddenHorzOCR"/>
          <w:color w:val="000000" w:themeColor="text1"/>
          <w:szCs w:val="24"/>
        </w:rPr>
        <w:t xml:space="preserve"> months after separation.  </w:t>
      </w:r>
      <w:r w:rsidR="009A1933">
        <w:rPr>
          <w:rFonts w:eastAsia="HiddenHorzOCR"/>
          <w:color w:val="000000" w:themeColor="text1"/>
          <w:szCs w:val="24"/>
        </w:rPr>
        <w:t>It also noted persistent pain related to movement and cold weather that the pain interfe</w:t>
      </w:r>
      <w:r w:rsidR="00CD2A7D">
        <w:rPr>
          <w:rFonts w:eastAsia="HiddenHorzOCR"/>
          <w:color w:val="000000" w:themeColor="text1"/>
          <w:szCs w:val="24"/>
        </w:rPr>
        <w:t xml:space="preserve">red with sleep.  ROM is above. </w:t>
      </w:r>
      <w:r w:rsidR="002438FA">
        <w:rPr>
          <w:rFonts w:eastAsia="HiddenHorzOCR"/>
          <w:color w:val="000000" w:themeColor="text1"/>
          <w:szCs w:val="24"/>
        </w:rPr>
        <w:t xml:space="preserve"> </w:t>
      </w:r>
      <w:r w:rsidR="009A1933">
        <w:rPr>
          <w:rFonts w:eastAsia="HiddenHorzOCR"/>
          <w:color w:val="000000" w:themeColor="text1"/>
          <w:szCs w:val="24"/>
        </w:rPr>
        <w:t>No comment was made on the vascular or neurological examinations.</w:t>
      </w:r>
      <w:r w:rsidR="00CD2A7D">
        <w:rPr>
          <w:rFonts w:eastAsia="HiddenHorzOCR"/>
          <w:color w:val="000000" w:themeColor="text1"/>
          <w:szCs w:val="24"/>
        </w:rPr>
        <w:t xml:space="preserve"> </w:t>
      </w:r>
    </w:p>
    <w:p w:rsidR="00776DB3" w:rsidRDefault="00776DB3" w:rsidP="00F43937">
      <w:pPr>
        <w:jc w:val="both"/>
        <w:rPr>
          <w:rFonts w:eastAsia="HiddenHorzOCR"/>
          <w:color w:val="000000" w:themeColor="text1"/>
          <w:szCs w:val="24"/>
        </w:rPr>
      </w:pPr>
    </w:p>
    <w:p w:rsidR="005A278B" w:rsidRPr="005A278B" w:rsidRDefault="009A1933" w:rsidP="00F43937">
      <w:pPr>
        <w:jc w:val="both"/>
        <w:rPr>
          <w:rFonts w:asciiTheme="minorHAnsi" w:hAnsiTheme="minorHAnsi"/>
          <w:color w:val="000000"/>
          <w:szCs w:val="24"/>
        </w:rPr>
      </w:pPr>
      <w:r>
        <w:rPr>
          <w:rFonts w:eastAsia="HiddenHorzOCR"/>
          <w:color w:val="000000" w:themeColor="text1"/>
          <w:szCs w:val="24"/>
        </w:rPr>
        <w:t>The PEB coded the shoulder condition as 5299-5203, analogous to impairment of the</w:t>
      </w:r>
      <w:r w:rsidR="00CD2A7D">
        <w:rPr>
          <w:rFonts w:eastAsia="HiddenHorzOCR"/>
          <w:color w:val="000000" w:themeColor="text1"/>
          <w:szCs w:val="24"/>
        </w:rPr>
        <w:t xml:space="preserve"> scapula, and rated it at 10%. </w:t>
      </w:r>
      <w:r>
        <w:rPr>
          <w:rFonts w:eastAsia="HiddenHorzOCR"/>
          <w:color w:val="000000" w:themeColor="text1"/>
          <w:szCs w:val="24"/>
        </w:rPr>
        <w:t>The VA coded the shoulder condition as 5201, limitation of motion of the arm, and rated it 0%</w:t>
      </w:r>
      <w:r w:rsidR="002438FA">
        <w:rPr>
          <w:rFonts w:eastAsia="HiddenHorzOCR"/>
          <w:color w:val="000000" w:themeColor="text1"/>
          <w:szCs w:val="24"/>
        </w:rPr>
        <w:t>,</w:t>
      </w:r>
      <w:r>
        <w:rPr>
          <w:rFonts w:eastAsia="HiddenHorzOCR"/>
          <w:color w:val="000000" w:themeColor="text1"/>
          <w:szCs w:val="24"/>
        </w:rPr>
        <w:t xml:space="preserve"> although this was increased to 20% </w:t>
      </w:r>
      <w:r w:rsidR="002438FA">
        <w:rPr>
          <w:rFonts w:eastAsia="HiddenHorzOCR"/>
          <w:color w:val="000000" w:themeColor="text1"/>
          <w:szCs w:val="24"/>
        </w:rPr>
        <w:t>one</w:t>
      </w:r>
      <w:r>
        <w:rPr>
          <w:rFonts w:eastAsia="HiddenHorzOCR"/>
          <w:color w:val="000000" w:themeColor="text1"/>
          <w:szCs w:val="24"/>
        </w:rPr>
        <w:t xml:space="preserve"> year after separation, effective </w:t>
      </w:r>
      <w:r w:rsidR="0061794C">
        <w:rPr>
          <w:rFonts w:eastAsia="HiddenHorzOCR"/>
          <w:color w:val="000000" w:themeColor="text1"/>
          <w:szCs w:val="24"/>
        </w:rPr>
        <w:t xml:space="preserve">          </w:t>
      </w:r>
      <w:r>
        <w:rPr>
          <w:rFonts w:eastAsia="HiddenHorzOCR"/>
          <w:color w:val="000000" w:themeColor="text1"/>
          <w:szCs w:val="24"/>
        </w:rPr>
        <w:lastRenderedPageBreak/>
        <w:t>2 July 2007 for further deterioration</w:t>
      </w:r>
      <w:r w:rsidR="00776DB3">
        <w:rPr>
          <w:rFonts w:eastAsia="HiddenHorzOCR"/>
          <w:color w:val="000000" w:themeColor="text1"/>
          <w:szCs w:val="24"/>
        </w:rPr>
        <w:t xml:space="preserve"> noted on a subsequent VA C&amp;P examination</w:t>
      </w:r>
      <w:r w:rsidR="00CD2A7D">
        <w:rPr>
          <w:rFonts w:eastAsia="HiddenHorzOCR"/>
          <w:color w:val="000000" w:themeColor="text1"/>
          <w:szCs w:val="24"/>
        </w:rPr>
        <w:t xml:space="preserve">. </w:t>
      </w:r>
      <w:r w:rsidR="00B57392">
        <w:rPr>
          <w:rFonts w:eastAsia="HiddenHorzOCR"/>
          <w:color w:val="000000" w:themeColor="text1"/>
          <w:szCs w:val="24"/>
        </w:rPr>
        <w:t>Coding was unchanged</w:t>
      </w:r>
      <w:r>
        <w:rPr>
          <w:rFonts w:eastAsia="HiddenHorzOCR"/>
          <w:color w:val="000000" w:themeColor="text1"/>
          <w:szCs w:val="24"/>
        </w:rPr>
        <w:t>.</w:t>
      </w:r>
      <w:r w:rsidR="00B57392">
        <w:rPr>
          <w:rFonts w:eastAsia="HiddenHorzOCR"/>
          <w:color w:val="000000" w:themeColor="text1"/>
          <w:szCs w:val="24"/>
        </w:rPr>
        <w:t xml:space="preserve">  </w:t>
      </w:r>
      <w:r w:rsidR="009A7F40" w:rsidRPr="005A278B">
        <w:rPr>
          <w:rFonts w:asciiTheme="minorHAnsi" w:eastAsia="HiddenHorzOCR" w:hAnsiTheme="minorHAnsi"/>
          <w:color w:val="000000" w:themeColor="text1"/>
          <w:szCs w:val="24"/>
        </w:rPr>
        <w:t xml:space="preserve">The Board considered both </w:t>
      </w:r>
      <w:r w:rsidR="000F6247" w:rsidRPr="005A278B">
        <w:rPr>
          <w:rFonts w:asciiTheme="minorHAnsi" w:eastAsia="HiddenHorzOCR" w:hAnsiTheme="minorHAnsi"/>
          <w:color w:val="000000" w:themeColor="text1"/>
          <w:szCs w:val="24"/>
        </w:rPr>
        <w:t xml:space="preserve">above </w:t>
      </w:r>
      <w:r w:rsidR="009A7F40" w:rsidRPr="005A278B">
        <w:rPr>
          <w:rFonts w:asciiTheme="minorHAnsi" w:eastAsia="HiddenHorzOCR" w:hAnsiTheme="minorHAnsi"/>
          <w:color w:val="000000" w:themeColor="text1"/>
          <w:szCs w:val="24"/>
        </w:rPr>
        <w:t>rati</w:t>
      </w:r>
      <w:r w:rsidR="00CD2A7D">
        <w:rPr>
          <w:rFonts w:asciiTheme="minorHAnsi" w:eastAsia="HiddenHorzOCR" w:hAnsiTheme="minorHAnsi"/>
          <w:color w:val="000000" w:themeColor="text1"/>
          <w:szCs w:val="24"/>
        </w:rPr>
        <w:t xml:space="preserve">ngs and also alternate coding. </w:t>
      </w:r>
      <w:r w:rsidR="000F6247" w:rsidRPr="005A278B">
        <w:rPr>
          <w:rFonts w:asciiTheme="minorHAnsi" w:eastAsia="HiddenHorzOCR" w:hAnsiTheme="minorHAnsi"/>
          <w:color w:val="000000" w:themeColor="text1"/>
          <w:szCs w:val="24"/>
        </w:rPr>
        <w:t>Under codes 5003, degenerative arthritis, or 5010, arthritis due to trauma, a 10% rating would be supported for non-compensable limitation in ROM</w:t>
      </w:r>
      <w:r w:rsidR="002438FA">
        <w:rPr>
          <w:rFonts w:asciiTheme="minorHAnsi" w:eastAsia="HiddenHorzOCR" w:hAnsiTheme="minorHAnsi"/>
          <w:color w:val="000000" w:themeColor="text1"/>
          <w:szCs w:val="24"/>
        </w:rPr>
        <w:t>,</w:t>
      </w:r>
      <w:r w:rsidR="000F6247" w:rsidRPr="005A278B">
        <w:rPr>
          <w:rFonts w:asciiTheme="minorHAnsi" w:eastAsia="HiddenHorzOCR" w:hAnsiTheme="minorHAnsi"/>
          <w:color w:val="000000" w:themeColor="text1"/>
          <w:szCs w:val="24"/>
        </w:rPr>
        <w:t xml:space="preserve"> with radiographic evidence of arthritis IAW VASRD </w:t>
      </w:r>
      <w:r w:rsidR="000F6247" w:rsidRPr="005A278B">
        <w:rPr>
          <w:rFonts w:asciiTheme="minorHAnsi" w:eastAsiaTheme="minorHAnsi" w:hAnsiTheme="minorHAnsi"/>
          <w:color w:val="000000" w:themeColor="text1"/>
          <w:szCs w:val="24"/>
        </w:rPr>
        <w:t>§4.71a</w:t>
      </w:r>
      <w:r w:rsidR="000F6247" w:rsidRPr="005A278B">
        <w:rPr>
          <w:rFonts w:asciiTheme="minorHAnsi" w:eastAsia="HiddenHorzOCR" w:hAnsiTheme="minorHAnsi"/>
          <w:color w:val="000000" w:themeColor="text1"/>
          <w:szCs w:val="24"/>
        </w:rPr>
        <w:t xml:space="preserve">. VASRD </w:t>
      </w:r>
      <w:r w:rsidR="000F6247" w:rsidRPr="005A278B">
        <w:rPr>
          <w:rFonts w:asciiTheme="minorHAnsi" w:eastAsiaTheme="minorHAnsi" w:hAnsiTheme="minorHAnsi"/>
          <w:color w:val="000000" w:themeColor="text1"/>
          <w:szCs w:val="24"/>
        </w:rPr>
        <w:t>§4.59, painful motion, would also supp</w:t>
      </w:r>
      <w:r w:rsidR="00CD2A7D">
        <w:rPr>
          <w:rFonts w:asciiTheme="minorHAnsi" w:eastAsiaTheme="minorHAnsi" w:hAnsiTheme="minorHAnsi"/>
          <w:color w:val="000000" w:themeColor="text1"/>
          <w:szCs w:val="24"/>
        </w:rPr>
        <w:t>ort no more tha</w:t>
      </w:r>
      <w:r w:rsidR="002438FA">
        <w:rPr>
          <w:rFonts w:asciiTheme="minorHAnsi" w:eastAsiaTheme="minorHAnsi" w:hAnsiTheme="minorHAnsi"/>
          <w:color w:val="000000" w:themeColor="text1"/>
          <w:szCs w:val="24"/>
        </w:rPr>
        <w:t>n</w:t>
      </w:r>
      <w:r w:rsidR="00CD2A7D">
        <w:rPr>
          <w:rFonts w:asciiTheme="minorHAnsi" w:eastAsiaTheme="minorHAnsi" w:hAnsiTheme="minorHAnsi"/>
          <w:color w:val="000000" w:themeColor="text1"/>
          <w:szCs w:val="24"/>
        </w:rPr>
        <w:t xml:space="preserve"> a 10% rating. </w:t>
      </w:r>
      <w:r w:rsidR="000F6247" w:rsidRPr="005A278B">
        <w:rPr>
          <w:rFonts w:asciiTheme="minorHAnsi" w:eastAsiaTheme="minorHAnsi" w:hAnsiTheme="minorHAnsi"/>
          <w:color w:val="000000" w:themeColor="text1"/>
          <w:szCs w:val="24"/>
        </w:rPr>
        <w:t xml:space="preserve">The VA </w:t>
      </w:r>
      <w:r w:rsidR="005A278B" w:rsidRPr="005A278B">
        <w:rPr>
          <w:rFonts w:asciiTheme="minorHAnsi" w:eastAsiaTheme="minorHAnsi" w:hAnsiTheme="minorHAnsi"/>
          <w:color w:val="000000" w:themeColor="text1"/>
          <w:szCs w:val="24"/>
        </w:rPr>
        <w:t>award of 20% was based on further deterioration in evidence o</w:t>
      </w:r>
      <w:r w:rsidR="00CD2A7D">
        <w:rPr>
          <w:rFonts w:asciiTheme="minorHAnsi" w:eastAsiaTheme="minorHAnsi" w:hAnsiTheme="minorHAnsi"/>
          <w:color w:val="000000" w:themeColor="text1"/>
          <w:szCs w:val="24"/>
        </w:rPr>
        <w:t xml:space="preserve">ver </w:t>
      </w:r>
      <w:r w:rsidR="002438FA">
        <w:rPr>
          <w:rFonts w:asciiTheme="minorHAnsi" w:eastAsiaTheme="minorHAnsi" w:hAnsiTheme="minorHAnsi"/>
          <w:color w:val="000000" w:themeColor="text1"/>
          <w:szCs w:val="24"/>
        </w:rPr>
        <w:t>one</w:t>
      </w:r>
      <w:r w:rsidR="0061794C">
        <w:rPr>
          <w:rFonts w:asciiTheme="minorHAnsi" w:eastAsiaTheme="minorHAnsi" w:hAnsiTheme="minorHAnsi"/>
          <w:color w:val="000000" w:themeColor="text1"/>
          <w:szCs w:val="24"/>
        </w:rPr>
        <w:t xml:space="preserve"> </w:t>
      </w:r>
      <w:r w:rsidR="00CD2A7D">
        <w:rPr>
          <w:rFonts w:asciiTheme="minorHAnsi" w:eastAsiaTheme="minorHAnsi" w:hAnsiTheme="minorHAnsi"/>
          <w:color w:val="000000" w:themeColor="text1"/>
          <w:szCs w:val="24"/>
        </w:rPr>
        <w:t xml:space="preserve">year after separation. </w:t>
      </w:r>
      <w:r w:rsidR="003F6996">
        <w:rPr>
          <w:rFonts w:asciiTheme="minorHAnsi" w:eastAsiaTheme="minorHAnsi" w:hAnsiTheme="minorHAnsi"/>
          <w:color w:val="000000" w:themeColor="text1"/>
          <w:szCs w:val="24"/>
        </w:rPr>
        <w:t xml:space="preserve">The Board determined that there was no route to a rating higher than the 10% awarded by the PEB. </w:t>
      </w:r>
      <w:r w:rsidR="005A278B" w:rsidRPr="005A278B">
        <w:rPr>
          <w:rFonts w:asciiTheme="minorHAnsi" w:hAnsiTheme="minorHAnsi"/>
          <w:color w:val="000000"/>
          <w:szCs w:val="24"/>
        </w:rPr>
        <w:t xml:space="preserve">After due deliberation in consideration of the totality of the evidence, the Board concluded that there was insufficient cause to recommend a change from the PEB fitness adjudication for the </w:t>
      </w:r>
      <w:r w:rsidR="005A278B">
        <w:rPr>
          <w:rFonts w:asciiTheme="minorHAnsi" w:hAnsiTheme="minorHAnsi"/>
          <w:color w:val="000000"/>
          <w:szCs w:val="24"/>
        </w:rPr>
        <w:t>left shoulder</w:t>
      </w:r>
      <w:r w:rsidR="005A278B" w:rsidRPr="005A278B">
        <w:rPr>
          <w:rFonts w:asciiTheme="minorHAnsi" w:hAnsiTheme="minorHAnsi"/>
          <w:color w:val="000000"/>
          <w:szCs w:val="24"/>
        </w:rPr>
        <w:t xml:space="preserve"> condition.</w:t>
      </w:r>
    </w:p>
    <w:p w:rsidR="008C3223" w:rsidRPr="001F29F9" w:rsidRDefault="008C3223" w:rsidP="008A00E6">
      <w:pPr>
        <w:jc w:val="both"/>
        <w:rPr>
          <w:color w:val="000000" w:themeColor="text1"/>
          <w:szCs w:val="24"/>
        </w:rPr>
      </w:pPr>
    </w:p>
    <w:p w:rsidR="00F430B9" w:rsidRDefault="00EC337D" w:rsidP="008A00E6">
      <w:pPr>
        <w:jc w:val="both"/>
        <w:rPr>
          <w:rFonts w:eastAsia="HiddenHorzOC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00F430B9" w:rsidRPr="00F43937">
        <w:rPr>
          <w:color w:val="000000" w:themeColor="text1"/>
          <w:szCs w:val="24"/>
        </w:rPr>
        <w:t xml:space="preserve">The Board makes note that the CI’s contended conditions of </w:t>
      </w:r>
      <w:r w:rsidR="0061794C">
        <w:rPr>
          <w:color w:val="000000" w:themeColor="text1"/>
          <w:szCs w:val="24"/>
        </w:rPr>
        <w:t>t</w:t>
      </w:r>
      <w:r w:rsidR="00F430B9" w:rsidRPr="00F43937">
        <w:rPr>
          <w:color w:val="000000" w:themeColor="text1"/>
          <w:szCs w:val="24"/>
        </w:rPr>
        <w:t>rauma</w:t>
      </w:r>
      <w:r w:rsidR="0061794C">
        <w:rPr>
          <w:color w:val="000000" w:themeColor="text1"/>
          <w:szCs w:val="24"/>
        </w:rPr>
        <w:t>tic brain injury (TBI) and postt</w:t>
      </w:r>
      <w:r w:rsidR="00F430B9" w:rsidRPr="00F43937">
        <w:rPr>
          <w:color w:val="000000" w:themeColor="text1"/>
          <w:szCs w:val="24"/>
        </w:rPr>
        <w:t xml:space="preserve">raumatic </w:t>
      </w:r>
      <w:r w:rsidR="0061794C">
        <w:rPr>
          <w:color w:val="000000" w:themeColor="text1"/>
          <w:szCs w:val="24"/>
        </w:rPr>
        <w:t>s</w:t>
      </w:r>
      <w:r w:rsidR="00F430B9" w:rsidRPr="00F43937">
        <w:rPr>
          <w:color w:val="000000" w:themeColor="text1"/>
          <w:szCs w:val="24"/>
        </w:rPr>
        <w:t xml:space="preserve">tress </w:t>
      </w:r>
      <w:r w:rsidR="0061794C">
        <w:rPr>
          <w:color w:val="000000" w:themeColor="text1"/>
          <w:szCs w:val="24"/>
        </w:rPr>
        <w:t>d</w:t>
      </w:r>
      <w:r w:rsidR="00F430B9" w:rsidRPr="00F43937">
        <w:rPr>
          <w:color w:val="000000" w:themeColor="text1"/>
          <w:szCs w:val="24"/>
        </w:rPr>
        <w:t>isorder (PTSD) are derived from VA evaluations performed after separation, diagnosing conditions which were not addressed by the PEB</w:t>
      </w:r>
      <w:r w:rsidR="007E0543" w:rsidRPr="00F43937">
        <w:rPr>
          <w:color w:val="000000" w:themeColor="text1"/>
          <w:szCs w:val="24"/>
        </w:rPr>
        <w:t xml:space="preserve"> and were not diagnosed while the CI was on active duty</w:t>
      </w:r>
      <w:r w:rsidR="00F430B9" w:rsidRPr="00F43937">
        <w:rPr>
          <w:color w:val="000000" w:themeColor="text1"/>
          <w:szCs w:val="24"/>
        </w:rPr>
        <w:t>.</w:t>
      </w:r>
      <w:r w:rsidR="005A3F83" w:rsidRPr="00F43937">
        <w:rPr>
          <w:color w:val="000000" w:themeColor="text1"/>
          <w:szCs w:val="24"/>
        </w:rPr>
        <w:t xml:space="preserve"> </w:t>
      </w:r>
      <w:r w:rsidR="00F430B9" w:rsidRPr="00F43937">
        <w:rPr>
          <w:color w:val="000000" w:themeColor="text1"/>
          <w:szCs w:val="24"/>
        </w:rPr>
        <w:t>By policy and precedent</w:t>
      </w:r>
      <w:r w:rsidR="002438FA">
        <w:rPr>
          <w:color w:val="000000" w:themeColor="text1"/>
          <w:szCs w:val="24"/>
        </w:rPr>
        <w:t>,</w:t>
      </w:r>
      <w:r w:rsidR="00F430B9" w:rsidRPr="00F43937">
        <w:rPr>
          <w:color w:val="000000" w:themeColor="text1"/>
          <w:szCs w:val="24"/>
        </w:rPr>
        <w:t xml:space="preserve"> the Board has limited its jurisdiction for recommending </w:t>
      </w:r>
      <w:proofErr w:type="spellStart"/>
      <w:r w:rsidR="00F430B9" w:rsidRPr="00F43937">
        <w:rPr>
          <w:color w:val="000000" w:themeColor="text1"/>
          <w:szCs w:val="24"/>
        </w:rPr>
        <w:t>unadjudicated</w:t>
      </w:r>
      <w:proofErr w:type="spellEnd"/>
      <w:r w:rsidR="00F430B9" w:rsidRPr="00F43937">
        <w:rPr>
          <w:color w:val="000000" w:themeColor="text1"/>
          <w:szCs w:val="24"/>
        </w:rPr>
        <w:t xml:space="preserve"> conditions as unfitting and subject to additional separation rating to those conditions which are evidenced in the core DES file. The core DES file consists of the MEB referral document, the PEB adjudication document, the </w:t>
      </w:r>
      <w:r w:rsidR="002438FA">
        <w:rPr>
          <w:color w:val="000000" w:themeColor="text1"/>
          <w:szCs w:val="24"/>
        </w:rPr>
        <w:t>narrative summary</w:t>
      </w:r>
      <w:r w:rsidR="00F430B9" w:rsidRPr="00F43937">
        <w:rPr>
          <w:color w:val="000000" w:themeColor="text1"/>
          <w:szCs w:val="24"/>
        </w:rPr>
        <w:t xml:space="preserve"> (including any addendums or referenced examinations), the MEB physical exam, the </w:t>
      </w:r>
      <w:r w:rsidR="0061794C">
        <w:rPr>
          <w:color w:val="000000" w:themeColor="text1"/>
          <w:szCs w:val="24"/>
        </w:rPr>
        <w:t>n</w:t>
      </w:r>
      <w:r w:rsidR="00BF05D4" w:rsidRPr="00F43937">
        <w:rPr>
          <w:color w:val="000000" w:themeColor="text1"/>
          <w:szCs w:val="24"/>
        </w:rPr>
        <w:t>on</w:t>
      </w:r>
      <w:r w:rsidR="0061794C">
        <w:rPr>
          <w:color w:val="000000" w:themeColor="text1"/>
          <w:szCs w:val="24"/>
        </w:rPr>
        <w:t>-</w:t>
      </w:r>
      <w:r w:rsidR="00BF05D4" w:rsidRPr="00F43937">
        <w:rPr>
          <w:color w:val="000000" w:themeColor="text1"/>
          <w:szCs w:val="24"/>
        </w:rPr>
        <w:t xml:space="preserve">medical </w:t>
      </w:r>
      <w:r w:rsidR="0061794C">
        <w:rPr>
          <w:color w:val="000000" w:themeColor="text1"/>
          <w:szCs w:val="24"/>
        </w:rPr>
        <w:t>a</w:t>
      </w:r>
      <w:r w:rsidR="002438FA">
        <w:rPr>
          <w:color w:val="000000" w:themeColor="text1"/>
          <w:szCs w:val="24"/>
        </w:rPr>
        <w:t>ssessment</w:t>
      </w:r>
      <w:r w:rsidR="00F430B9" w:rsidRPr="00F43937">
        <w:rPr>
          <w:color w:val="000000" w:themeColor="text1"/>
          <w:szCs w:val="24"/>
        </w:rPr>
        <w:t xml:space="preserve">, the </w:t>
      </w:r>
      <w:r w:rsidR="0061794C">
        <w:rPr>
          <w:color w:val="000000" w:themeColor="text1"/>
          <w:szCs w:val="24"/>
        </w:rPr>
        <w:t>LIMDU</w:t>
      </w:r>
      <w:r w:rsidR="00BF05D4" w:rsidRPr="00F43937">
        <w:rPr>
          <w:color w:val="000000" w:themeColor="text1"/>
          <w:szCs w:val="24"/>
        </w:rPr>
        <w:t xml:space="preserve"> </w:t>
      </w:r>
      <w:r w:rsidR="00F430B9" w:rsidRPr="00F43937">
        <w:rPr>
          <w:color w:val="000000" w:themeColor="text1"/>
          <w:szCs w:val="24"/>
        </w:rPr>
        <w:t>profiles</w:t>
      </w:r>
      <w:r w:rsidR="0061794C">
        <w:rPr>
          <w:color w:val="000000" w:themeColor="text1"/>
          <w:szCs w:val="24"/>
        </w:rPr>
        <w:t xml:space="preserve">, </w:t>
      </w:r>
      <w:r w:rsidR="00F430B9" w:rsidRPr="00F43937">
        <w:rPr>
          <w:color w:val="000000" w:themeColor="text1"/>
          <w:szCs w:val="24"/>
        </w:rPr>
        <w:t>and any written appeals or internal DES correspondence.</w:t>
      </w:r>
      <w:r w:rsidR="005A3F83" w:rsidRPr="00F43937">
        <w:rPr>
          <w:color w:val="000000" w:themeColor="text1"/>
          <w:szCs w:val="24"/>
        </w:rPr>
        <w:t xml:space="preserve"> </w:t>
      </w:r>
      <w:r w:rsidR="002438FA">
        <w:rPr>
          <w:color w:val="000000" w:themeColor="text1"/>
          <w:szCs w:val="24"/>
        </w:rPr>
        <w:t xml:space="preserve"> </w:t>
      </w:r>
      <w:r w:rsidR="00F430B9" w:rsidRPr="00F43937">
        <w:rPr>
          <w:color w:val="000000" w:themeColor="text1"/>
          <w:szCs w:val="24"/>
        </w:rPr>
        <w:t>While symptoms consistent with both TBI and PTSD are documented in the record, neither condition was diagnosed while the CI was on active duty and n</w:t>
      </w:r>
      <w:r w:rsidR="000107CE" w:rsidRPr="00F43937">
        <w:rPr>
          <w:color w:val="000000" w:themeColor="text1"/>
          <w:szCs w:val="24"/>
        </w:rPr>
        <w:t>or is either condition</w:t>
      </w:r>
      <w:r w:rsidR="00F430B9" w:rsidRPr="00F43937">
        <w:rPr>
          <w:color w:val="000000" w:themeColor="text1"/>
          <w:szCs w:val="24"/>
        </w:rPr>
        <w:t xml:space="preserve"> mentioned in the DES file.</w:t>
      </w:r>
      <w:r w:rsidR="005A3F83" w:rsidRPr="00F43937">
        <w:rPr>
          <w:color w:val="000000" w:themeColor="text1"/>
          <w:szCs w:val="24"/>
        </w:rPr>
        <w:t xml:space="preserve"> </w:t>
      </w:r>
      <w:r w:rsidR="002438FA">
        <w:rPr>
          <w:color w:val="000000" w:themeColor="text1"/>
          <w:szCs w:val="24"/>
        </w:rPr>
        <w:t xml:space="preserve"> </w:t>
      </w:r>
      <w:r w:rsidR="000107CE" w:rsidRPr="00F43937">
        <w:rPr>
          <w:color w:val="000000" w:themeColor="text1"/>
          <w:szCs w:val="24"/>
        </w:rPr>
        <w:t xml:space="preserve">These </w:t>
      </w:r>
      <w:r w:rsidR="005A3F83" w:rsidRPr="00F43937">
        <w:rPr>
          <w:color w:val="000000" w:themeColor="text1"/>
          <w:szCs w:val="24"/>
        </w:rPr>
        <w:t xml:space="preserve">symptoms </w:t>
      </w:r>
      <w:r w:rsidR="000107CE" w:rsidRPr="00F43937">
        <w:rPr>
          <w:color w:val="000000" w:themeColor="text1"/>
          <w:szCs w:val="24"/>
        </w:rPr>
        <w:t xml:space="preserve">include concussion, loss of </w:t>
      </w:r>
      <w:r w:rsidR="00651B62" w:rsidRPr="00F43937">
        <w:rPr>
          <w:color w:val="000000" w:themeColor="text1"/>
          <w:szCs w:val="24"/>
        </w:rPr>
        <w:t>consciousness, tr</w:t>
      </w:r>
      <w:r w:rsidR="00CD2A7D">
        <w:rPr>
          <w:color w:val="000000" w:themeColor="text1"/>
          <w:szCs w:val="24"/>
        </w:rPr>
        <w:t xml:space="preserve">ouble sleeping and nightmares. </w:t>
      </w:r>
      <w:r w:rsidR="002438FA">
        <w:rPr>
          <w:color w:val="000000" w:themeColor="text1"/>
          <w:szCs w:val="24"/>
        </w:rPr>
        <w:t xml:space="preserve"> </w:t>
      </w:r>
      <w:r w:rsidR="000107CE" w:rsidRPr="00F43937">
        <w:rPr>
          <w:color w:val="000000" w:themeColor="text1"/>
          <w:szCs w:val="24"/>
        </w:rPr>
        <w:t xml:space="preserve">The record contains no evidence that </w:t>
      </w:r>
      <w:r w:rsidR="00651B62" w:rsidRPr="00F43937">
        <w:rPr>
          <w:color w:val="000000" w:themeColor="text1"/>
          <w:szCs w:val="24"/>
        </w:rPr>
        <w:t xml:space="preserve">while </w:t>
      </w:r>
      <w:r w:rsidR="000107CE" w:rsidRPr="00F43937">
        <w:rPr>
          <w:color w:val="000000" w:themeColor="text1"/>
          <w:szCs w:val="24"/>
        </w:rPr>
        <w:t xml:space="preserve">the CI </w:t>
      </w:r>
      <w:r w:rsidR="00651B62" w:rsidRPr="00F43937">
        <w:rPr>
          <w:color w:val="000000" w:themeColor="text1"/>
          <w:szCs w:val="24"/>
        </w:rPr>
        <w:t xml:space="preserve">was on active duty, he </w:t>
      </w:r>
      <w:r w:rsidR="000107CE" w:rsidRPr="00F43937">
        <w:rPr>
          <w:color w:val="000000" w:themeColor="text1"/>
          <w:szCs w:val="24"/>
        </w:rPr>
        <w:t>sought evaluation for these symptoms</w:t>
      </w:r>
      <w:r w:rsidR="00651B62" w:rsidRPr="00F43937">
        <w:rPr>
          <w:color w:val="000000" w:themeColor="text1"/>
          <w:szCs w:val="24"/>
        </w:rPr>
        <w:t xml:space="preserve"> or was that further evaluation was recommended by any of his caregivers</w:t>
      </w:r>
      <w:r w:rsidR="000107CE" w:rsidRPr="00F43937">
        <w:rPr>
          <w:color w:val="000000" w:themeColor="text1"/>
          <w:szCs w:val="24"/>
        </w:rPr>
        <w:t>.</w:t>
      </w:r>
      <w:r w:rsidR="00651B62" w:rsidRPr="00F43937">
        <w:rPr>
          <w:color w:val="000000" w:themeColor="text1"/>
          <w:szCs w:val="24"/>
        </w:rPr>
        <w:t xml:space="preserve"> </w:t>
      </w:r>
      <w:r w:rsidR="002438FA">
        <w:rPr>
          <w:color w:val="000000" w:themeColor="text1"/>
          <w:szCs w:val="24"/>
        </w:rPr>
        <w:t xml:space="preserve"> </w:t>
      </w:r>
      <w:r w:rsidR="00651B62" w:rsidRPr="00F43937">
        <w:rPr>
          <w:color w:val="000000" w:themeColor="text1"/>
          <w:szCs w:val="24"/>
        </w:rPr>
        <w:t>Finally, t</w:t>
      </w:r>
      <w:r w:rsidR="000107CE" w:rsidRPr="00F43937">
        <w:rPr>
          <w:color w:val="000000" w:themeColor="text1"/>
          <w:szCs w:val="24"/>
        </w:rPr>
        <w:t xml:space="preserve">he Board notes that these symptoms are not unique to either PTSD or TBI and that the MEB did not find them medically unacceptable </w:t>
      </w:r>
      <w:r w:rsidR="00776DB3">
        <w:rPr>
          <w:color w:val="000000" w:themeColor="text1"/>
          <w:szCs w:val="24"/>
        </w:rPr>
        <w:t>and</w:t>
      </w:r>
      <w:r w:rsidR="000107CE" w:rsidRPr="00F43937">
        <w:rPr>
          <w:color w:val="000000" w:themeColor="text1"/>
          <w:szCs w:val="24"/>
        </w:rPr>
        <w:t xml:space="preserve"> the PEB </w:t>
      </w:r>
      <w:r w:rsidR="00776DB3">
        <w:rPr>
          <w:color w:val="000000" w:themeColor="text1"/>
          <w:szCs w:val="24"/>
        </w:rPr>
        <w:t xml:space="preserve">did not </w:t>
      </w:r>
      <w:r w:rsidR="000107CE" w:rsidRPr="00F43937">
        <w:rPr>
          <w:color w:val="000000" w:themeColor="text1"/>
          <w:szCs w:val="24"/>
        </w:rPr>
        <w:t>determine them to be unfitting.</w:t>
      </w:r>
      <w:r w:rsidR="002438FA">
        <w:rPr>
          <w:color w:val="000000" w:themeColor="text1"/>
          <w:szCs w:val="24"/>
        </w:rPr>
        <w:t xml:space="preserve"> </w:t>
      </w:r>
      <w:r w:rsidR="00CD2A7D">
        <w:rPr>
          <w:color w:val="000000" w:themeColor="text1"/>
          <w:szCs w:val="24"/>
        </w:rPr>
        <w:t xml:space="preserve"> </w:t>
      </w:r>
      <w:r w:rsidR="00F430B9" w:rsidRPr="00F43937">
        <w:rPr>
          <w:color w:val="000000" w:themeColor="text1"/>
          <w:szCs w:val="24"/>
        </w:rPr>
        <w:t>The Board does not have the authority under DoDI 6040.44 to render fitness or rating recommendations</w:t>
      </w:r>
      <w:r w:rsidR="00F430B9" w:rsidRPr="00F430B9">
        <w:rPr>
          <w:color w:val="000000" w:themeColor="text1"/>
          <w:szCs w:val="24"/>
        </w:rPr>
        <w:t xml:space="preserve"> for any conditions not considered by the DES. </w:t>
      </w:r>
      <w:r w:rsidR="002438FA">
        <w:rPr>
          <w:color w:val="000000" w:themeColor="text1"/>
          <w:szCs w:val="24"/>
        </w:rPr>
        <w:t xml:space="preserve"> </w:t>
      </w:r>
      <w:r w:rsidR="00F430B9" w:rsidRPr="00F430B9">
        <w:rPr>
          <w:color w:val="000000" w:themeColor="text1"/>
          <w:szCs w:val="24"/>
        </w:rPr>
        <w:t>The Board therefore has no reasonable basis for recommending any additional unfitting conditions for separation rating.</w:t>
      </w:r>
      <w:r w:rsidR="002438FA">
        <w:rPr>
          <w:color w:val="000000" w:themeColor="text1"/>
          <w:szCs w:val="24"/>
        </w:rPr>
        <w:t xml:space="preserve"> </w:t>
      </w:r>
      <w:r w:rsidR="008A00E6">
        <w:rPr>
          <w:color w:val="000000" w:themeColor="text1"/>
          <w:szCs w:val="24"/>
        </w:rPr>
        <w:t xml:space="preserve"> </w:t>
      </w:r>
      <w:r w:rsidR="00F430B9" w:rsidRPr="008F16CC">
        <w:rPr>
          <w:color w:val="000000" w:themeColor="text1"/>
          <w:szCs w:val="24"/>
        </w:rPr>
        <w:t xml:space="preserve">Contended conditions which are not eligible for Board recommendations on this basis remain eligible for submission to the Board for Corrections of </w:t>
      </w:r>
      <w:r w:rsidR="00F430B9">
        <w:rPr>
          <w:color w:val="000000" w:themeColor="text1"/>
          <w:szCs w:val="24"/>
        </w:rPr>
        <w:t>Naval Records</w:t>
      </w:r>
      <w:r w:rsidR="00F430B9" w:rsidRPr="008F16CC">
        <w:rPr>
          <w:color w:val="000000" w:themeColor="text1"/>
          <w:szCs w:val="24"/>
        </w:rPr>
        <w:t>.</w:t>
      </w:r>
    </w:p>
    <w:p w:rsidR="00A02AA8" w:rsidRPr="001F29F9" w:rsidRDefault="00A02AA8" w:rsidP="008A00E6">
      <w:pPr>
        <w:jc w:val="both"/>
        <w:rPr>
          <w:color w:val="000000" w:themeColor="text1"/>
          <w:szCs w:val="24"/>
        </w:rPr>
      </w:pPr>
    </w:p>
    <w:p w:rsidR="00A02AA8" w:rsidRPr="001F29F9" w:rsidRDefault="00A02AA8" w:rsidP="008A00E6">
      <w:pPr>
        <w:jc w:val="both"/>
        <w:rPr>
          <w:color w:val="000000" w:themeColor="text1"/>
          <w:szCs w:val="24"/>
        </w:rPr>
      </w:pPr>
      <w:proofErr w:type="gramStart"/>
      <w:r w:rsidRPr="00DE44A4">
        <w:rPr>
          <w:color w:val="000000" w:themeColor="text1"/>
          <w:szCs w:val="24"/>
          <w:u w:val="single"/>
        </w:rPr>
        <w:t>Remaining Conditions</w:t>
      </w:r>
      <w:r w:rsidRPr="00F43937">
        <w:rPr>
          <w:color w:val="000000" w:themeColor="text1"/>
          <w:szCs w:val="24"/>
        </w:rPr>
        <w:t>.</w:t>
      </w:r>
      <w:proofErr w:type="gramEnd"/>
      <w:r w:rsidRPr="00F43937">
        <w:rPr>
          <w:color w:val="000000" w:themeColor="text1"/>
          <w:szCs w:val="24"/>
        </w:rPr>
        <w:t xml:space="preserve">  </w:t>
      </w:r>
      <w:r w:rsidR="007E0543" w:rsidRPr="00F43937">
        <w:rPr>
          <w:color w:val="000000" w:themeColor="text1"/>
          <w:szCs w:val="24"/>
        </w:rPr>
        <w:t>O</w:t>
      </w:r>
      <w:r w:rsidR="003F6996" w:rsidRPr="00F43937">
        <w:rPr>
          <w:color w:val="000000" w:themeColor="text1"/>
          <w:szCs w:val="24"/>
        </w:rPr>
        <w:t>ther condition</w:t>
      </w:r>
      <w:r w:rsidR="007E0543" w:rsidRPr="00F43937">
        <w:rPr>
          <w:color w:val="000000" w:themeColor="text1"/>
          <w:szCs w:val="24"/>
        </w:rPr>
        <w:t>s</w:t>
      </w:r>
      <w:r w:rsidR="003F6996" w:rsidRPr="00F43937">
        <w:rPr>
          <w:color w:val="000000" w:themeColor="text1"/>
          <w:szCs w:val="24"/>
        </w:rPr>
        <w:t xml:space="preserve"> identified in the DES file </w:t>
      </w:r>
      <w:r w:rsidR="007E0543" w:rsidRPr="00F43937">
        <w:rPr>
          <w:color w:val="000000" w:themeColor="text1"/>
          <w:szCs w:val="24"/>
        </w:rPr>
        <w:t xml:space="preserve">were </w:t>
      </w:r>
      <w:r w:rsidR="00DE44A4" w:rsidRPr="00F43937">
        <w:rPr>
          <w:color w:val="000000" w:themeColor="text1"/>
          <w:szCs w:val="24"/>
        </w:rPr>
        <w:t>perforated eardrums</w:t>
      </w:r>
      <w:r w:rsidR="007E0543" w:rsidRPr="00F43937">
        <w:rPr>
          <w:color w:val="000000" w:themeColor="text1"/>
          <w:szCs w:val="24"/>
        </w:rPr>
        <w:t>; concussion</w:t>
      </w:r>
      <w:r w:rsidR="00B97617" w:rsidRPr="00F43937">
        <w:rPr>
          <w:color w:val="000000" w:themeColor="text1"/>
          <w:szCs w:val="24"/>
        </w:rPr>
        <w:t xml:space="preserve"> and loss of consciousness when hit with the IED</w:t>
      </w:r>
      <w:r w:rsidR="007E0543" w:rsidRPr="00F43937">
        <w:rPr>
          <w:color w:val="000000" w:themeColor="text1"/>
          <w:szCs w:val="24"/>
        </w:rPr>
        <w:t xml:space="preserve">; </w:t>
      </w:r>
      <w:r w:rsidR="002438FA">
        <w:rPr>
          <w:color w:val="000000" w:themeColor="text1"/>
          <w:szCs w:val="24"/>
        </w:rPr>
        <w:t xml:space="preserve">and </w:t>
      </w:r>
      <w:r w:rsidR="007E0543" w:rsidRPr="00F43937">
        <w:rPr>
          <w:color w:val="000000" w:themeColor="text1"/>
          <w:szCs w:val="24"/>
        </w:rPr>
        <w:t>frequent trouble sleeping and nightmares</w:t>
      </w:r>
      <w:r w:rsidR="003F6996" w:rsidRPr="00F43937">
        <w:rPr>
          <w:color w:val="000000" w:themeColor="text1"/>
          <w:szCs w:val="24"/>
        </w:rPr>
        <w:t xml:space="preserve">.  </w:t>
      </w:r>
      <w:r w:rsidR="0034004C" w:rsidRPr="00F43937">
        <w:rPr>
          <w:color w:val="000000" w:themeColor="text1"/>
          <w:szCs w:val="24"/>
        </w:rPr>
        <w:t xml:space="preserve">The Board notes that </w:t>
      </w:r>
      <w:r w:rsidR="00F430B9" w:rsidRPr="00F43937">
        <w:rPr>
          <w:color w:val="000000" w:themeColor="text1"/>
          <w:szCs w:val="24"/>
        </w:rPr>
        <w:t xml:space="preserve">an audiogram from December 2005 </w:t>
      </w:r>
      <w:r w:rsidR="0016545C" w:rsidRPr="00F43937">
        <w:rPr>
          <w:color w:val="000000" w:themeColor="text1"/>
          <w:szCs w:val="24"/>
        </w:rPr>
        <w:t>documented</w:t>
      </w:r>
      <w:r w:rsidR="00F430B9" w:rsidRPr="00F43937">
        <w:rPr>
          <w:color w:val="000000" w:themeColor="text1"/>
          <w:szCs w:val="24"/>
        </w:rPr>
        <w:t xml:space="preserve"> </w:t>
      </w:r>
      <w:r w:rsidR="0016545C" w:rsidRPr="00F43937">
        <w:rPr>
          <w:color w:val="000000" w:themeColor="text1"/>
          <w:szCs w:val="24"/>
        </w:rPr>
        <w:t>hearing loss in the left ear with a significant threshold shift.</w:t>
      </w:r>
      <w:r w:rsidR="002438FA">
        <w:rPr>
          <w:color w:val="000000" w:themeColor="text1"/>
          <w:szCs w:val="24"/>
        </w:rPr>
        <w:t xml:space="preserve"> </w:t>
      </w:r>
      <w:r w:rsidR="0016545C" w:rsidRPr="00F43937">
        <w:rPr>
          <w:color w:val="000000" w:themeColor="text1"/>
          <w:szCs w:val="24"/>
        </w:rPr>
        <w:t xml:space="preserve"> </w:t>
      </w:r>
      <w:r w:rsidR="00F430B9" w:rsidRPr="00F43937">
        <w:rPr>
          <w:color w:val="000000" w:themeColor="text1"/>
          <w:szCs w:val="24"/>
        </w:rPr>
        <w:t>However, an</w:t>
      </w:r>
      <w:r w:rsidR="0016545C" w:rsidRPr="00F43937">
        <w:rPr>
          <w:color w:val="000000" w:themeColor="text1"/>
          <w:szCs w:val="24"/>
        </w:rPr>
        <w:t xml:space="preserve"> </w:t>
      </w:r>
      <w:r w:rsidR="0034004C" w:rsidRPr="00F43937">
        <w:rPr>
          <w:color w:val="000000" w:themeColor="text1"/>
          <w:szCs w:val="24"/>
        </w:rPr>
        <w:t xml:space="preserve">audiogram performed </w:t>
      </w:r>
      <w:r w:rsidR="0061794C">
        <w:rPr>
          <w:color w:val="000000" w:themeColor="text1"/>
          <w:szCs w:val="24"/>
        </w:rPr>
        <w:t xml:space="preserve">              </w:t>
      </w:r>
      <w:r w:rsidR="002438FA">
        <w:rPr>
          <w:color w:val="000000" w:themeColor="text1"/>
          <w:szCs w:val="24"/>
        </w:rPr>
        <w:t xml:space="preserve">on </w:t>
      </w:r>
      <w:r w:rsidR="0034004C" w:rsidRPr="00F43937">
        <w:rPr>
          <w:color w:val="000000" w:themeColor="text1"/>
          <w:szCs w:val="24"/>
        </w:rPr>
        <w:t xml:space="preserve">6 January 2006, after deployment, was actually improved from the baseline audiogram accomplished </w:t>
      </w:r>
      <w:r w:rsidR="002438FA">
        <w:rPr>
          <w:color w:val="000000" w:themeColor="text1"/>
          <w:szCs w:val="24"/>
        </w:rPr>
        <w:t xml:space="preserve">on </w:t>
      </w:r>
      <w:r w:rsidR="0034004C" w:rsidRPr="00F43937">
        <w:rPr>
          <w:color w:val="000000" w:themeColor="text1"/>
          <w:szCs w:val="24"/>
        </w:rPr>
        <w:t xml:space="preserve">21 July 2004, </w:t>
      </w:r>
      <w:r w:rsidR="002438FA">
        <w:rPr>
          <w:color w:val="000000" w:themeColor="text1"/>
          <w:szCs w:val="24"/>
        </w:rPr>
        <w:t>two</w:t>
      </w:r>
      <w:r w:rsidR="0034004C" w:rsidRPr="00F43937">
        <w:rPr>
          <w:color w:val="000000" w:themeColor="text1"/>
          <w:szCs w:val="24"/>
        </w:rPr>
        <w:t xml:space="preserve"> days</w:t>
      </w:r>
      <w:r w:rsidR="00CD2A7D">
        <w:rPr>
          <w:color w:val="000000" w:themeColor="text1"/>
          <w:szCs w:val="24"/>
        </w:rPr>
        <w:t xml:space="preserve"> after entry onto active duty.</w:t>
      </w:r>
      <w:r w:rsidR="002438FA">
        <w:rPr>
          <w:color w:val="000000" w:themeColor="text1"/>
          <w:szCs w:val="24"/>
        </w:rPr>
        <w:t xml:space="preserve"> </w:t>
      </w:r>
      <w:r w:rsidR="00CD2A7D">
        <w:rPr>
          <w:color w:val="000000" w:themeColor="text1"/>
          <w:szCs w:val="24"/>
        </w:rPr>
        <w:t xml:space="preserve"> </w:t>
      </w:r>
      <w:r w:rsidR="0016545C" w:rsidRPr="00F43937">
        <w:rPr>
          <w:color w:val="000000" w:themeColor="text1"/>
          <w:szCs w:val="24"/>
        </w:rPr>
        <w:t>The acoustic trauma from the IED blast</w:t>
      </w:r>
      <w:r w:rsidR="002438FA">
        <w:rPr>
          <w:color w:val="000000" w:themeColor="text1"/>
          <w:szCs w:val="24"/>
        </w:rPr>
        <w:t>,</w:t>
      </w:r>
      <w:r w:rsidR="0016545C" w:rsidRPr="00F43937">
        <w:rPr>
          <w:color w:val="000000" w:themeColor="text1"/>
          <w:szCs w:val="24"/>
        </w:rPr>
        <w:t xml:space="preserve"> as documented on the December 2005 audiogram</w:t>
      </w:r>
      <w:r w:rsidR="002438FA">
        <w:rPr>
          <w:color w:val="000000" w:themeColor="text1"/>
          <w:szCs w:val="24"/>
        </w:rPr>
        <w:t>,</w:t>
      </w:r>
      <w:r w:rsidR="0016545C" w:rsidRPr="00F43937">
        <w:rPr>
          <w:color w:val="000000" w:themeColor="text1"/>
          <w:szCs w:val="24"/>
        </w:rPr>
        <w:t xml:space="preserve"> had resolved by January 2006 and there is no evidence of ongoing hearing loss.</w:t>
      </w:r>
      <w:r w:rsidR="00B97617" w:rsidRPr="00F43937">
        <w:rPr>
          <w:color w:val="000000" w:themeColor="text1"/>
          <w:szCs w:val="24"/>
        </w:rPr>
        <w:t xml:space="preserve"> </w:t>
      </w:r>
      <w:r w:rsidR="002438FA">
        <w:rPr>
          <w:color w:val="000000" w:themeColor="text1"/>
          <w:szCs w:val="24"/>
        </w:rPr>
        <w:t xml:space="preserve"> </w:t>
      </w:r>
      <w:r w:rsidR="000107CE" w:rsidRPr="00F43937">
        <w:rPr>
          <w:color w:val="000000" w:themeColor="text1"/>
          <w:szCs w:val="24"/>
        </w:rPr>
        <w:t xml:space="preserve">The remaining conditions have already been discussed </w:t>
      </w:r>
      <w:r w:rsidR="00651B62" w:rsidRPr="00F43937">
        <w:rPr>
          <w:color w:val="000000" w:themeColor="text1"/>
          <w:szCs w:val="24"/>
        </w:rPr>
        <w:t>above</w:t>
      </w:r>
      <w:r w:rsidR="000107CE" w:rsidRPr="00F43937">
        <w:rPr>
          <w:color w:val="000000" w:themeColor="text1"/>
          <w:szCs w:val="24"/>
        </w:rPr>
        <w:t>.</w:t>
      </w:r>
      <w:r w:rsidR="00651B62" w:rsidRPr="00F43937">
        <w:rPr>
          <w:color w:val="000000" w:themeColor="text1"/>
          <w:szCs w:val="24"/>
        </w:rPr>
        <w:t xml:space="preserve"> </w:t>
      </w:r>
      <w:r w:rsidR="002438FA">
        <w:rPr>
          <w:color w:val="000000" w:themeColor="text1"/>
          <w:szCs w:val="24"/>
        </w:rPr>
        <w:t xml:space="preserve"> </w:t>
      </w:r>
      <w:r w:rsidR="0034004C" w:rsidRPr="00F43937">
        <w:rPr>
          <w:color w:val="000000" w:themeColor="text1"/>
          <w:szCs w:val="24"/>
        </w:rPr>
        <w:t xml:space="preserve">The Board also notes that the VA awarded a non-compensable rating for the hearing loss and </w:t>
      </w:r>
      <w:r w:rsidR="00693106" w:rsidRPr="00F43937">
        <w:rPr>
          <w:color w:val="000000" w:themeColor="text1"/>
          <w:szCs w:val="24"/>
        </w:rPr>
        <w:t>tympanic</w:t>
      </w:r>
      <w:r w:rsidR="00CD2A7D">
        <w:rPr>
          <w:color w:val="000000" w:themeColor="text1"/>
          <w:szCs w:val="24"/>
        </w:rPr>
        <w:t xml:space="preserve"> membrane scarring. </w:t>
      </w:r>
      <w:r w:rsidR="002438FA">
        <w:rPr>
          <w:color w:val="000000" w:themeColor="text1"/>
          <w:szCs w:val="24"/>
        </w:rPr>
        <w:t xml:space="preserve"> </w:t>
      </w:r>
      <w:r w:rsidRPr="00F43937">
        <w:rPr>
          <w:color w:val="000000" w:themeColor="text1"/>
          <w:szCs w:val="24"/>
        </w:rPr>
        <w:t xml:space="preserve">These conditions were reviewed by the </w:t>
      </w:r>
      <w:r w:rsidR="0080588E" w:rsidRPr="00F43937">
        <w:rPr>
          <w:color w:val="000000" w:themeColor="text1"/>
          <w:szCs w:val="24"/>
        </w:rPr>
        <w:t xml:space="preserve">action officer </w:t>
      </w:r>
      <w:r w:rsidR="00CD2A7D">
        <w:rPr>
          <w:color w:val="000000" w:themeColor="text1"/>
          <w:szCs w:val="24"/>
        </w:rPr>
        <w:t xml:space="preserve">and considered by the Board. </w:t>
      </w:r>
      <w:r w:rsidRPr="00F43937">
        <w:rPr>
          <w:color w:val="000000" w:themeColor="text1"/>
          <w:szCs w:val="24"/>
        </w:rPr>
        <w:t>It was determined that none could be argued as unfitting and</w:t>
      </w:r>
      <w:r w:rsidR="00CD2A7D">
        <w:rPr>
          <w:color w:val="000000" w:themeColor="text1"/>
          <w:szCs w:val="24"/>
        </w:rPr>
        <w:t xml:space="preserve"> subject to separation rating. </w:t>
      </w:r>
      <w:r w:rsidR="002438FA">
        <w:rPr>
          <w:color w:val="000000" w:themeColor="text1"/>
          <w:szCs w:val="24"/>
        </w:rPr>
        <w:t xml:space="preserve"> </w:t>
      </w:r>
      <w:r w:rsidRPr="00F43937">
        <w:rPr>
          <w:color w:val="000000" w:themeColor="text1"/>
          <w:szCs w:val="24"/>
        </w:rPr>
        <w:t>Additionally</w:t>
      </w:r>
      <w:r w:rsidR="00693106" w:rsidRPr="00F43937">
        <w:rPr>
          <w:color w:val="000000" w:themeColor="text1"/>
          <w:szCs w:val="24"/>
        </w:rPr>
        <w:t>,</w:t>
      </w:r>
      <w:r w:rsidRPr="00F43937">
        <w:rPr>
          <w:color w:val="000000" w:themeColor="text1"/>
          <w:szCs w:val="24"/>
        </w:rPr>
        <w:t xml:space="preserve"> </w:t>
      </w:r>
      <w:proofErr w:type="spellStart"/>
      <w:r w:rsidR="00602A1E" w:rsidRPr="00F43937">
        <w:rPr>
          <w:color w:val="000000" w:themeColor="text1"/>
          <w:szCs w:val="24"/>
        </w:rPr>
        <w:t>tinea</w:t>
      </w:r>
      <w:proofErr w:type="spellEnd"/>
      <w:r w:rsidR="00602A1E" w:rsidRPr="00F43937">
        <w:rPr>
          <w:color w:val="000000" w:themeColor="text1"/>
          <w:szCs w:val="24"/>
        </w:rPr>
        <w:t xml:space="preserve"> </w:t>
      </w:r>
      <w:proofErr w:type="spellStart"/>
      <w:r w:rsidR="00602A1E" w:rsidRPr="00F43937">
        <w:rPr>
          <w:color w:val="000000" w:themeColor="text1"/>
          <w:szCs w:val="24"/>
        </w:rPr>
        <w:t>versicolor</w:t>
      </w:r>
      <w:proofErr w:type="spellEnd"/>
      <w:r w:rsidR="00DE44A4" w:rsidRPr="00F43937">
        <w:rPr>
          <w:color w:val="000000" w:themeColor="text1"/>
          <w:szCs w:val="24"/>
        </w:rPr>
        <w:t xml:space="preserve">, </w:t>
      </w:r>
      <w:r w:rsidR="00602A1E" w:rsidRPr="00F43937">
        <w:rPr>
          <w:color w:val="000000" w:themeColor="text1"/>
          <w:szCs w:val="24"/>
        </w:rPr>
        <w:t>t</w:t>
      </w:r>
      <w:r w:rsidR="00DE44A4" w:rsidRPr="00F43937">
        <w:rPr>
          <w:color w:val="000000" w:themeColor="text1"/>
          <w:szCs w:val="24"/>
        </w:rPr>
        <w:t>innitus</w:t>
      </w:r>
      <w:r w:rsidR="00602A1E" w:rsidRPr="00F43937">
        <w:rPr>
          <w:color w:val="000000" w:themeColor="text1"/>
          <w:szCs w:val="24"/>
        </w:rPr>
        <w:t>, backache,</w:t>
      </w:r>
      <w:r w:rsidRPr="00F43937">
        <w:rPr>
          <w:color w:val="000000" w:themeColor="text1"/>
          <w:szCs w:val="24"/>
        </w:rPr>
        <w:t xml:space="preserve"> and several other non-acute conditions were noted in the VA</w:t>
      </w:r>
      <w:r w:rsidR="002438FA">
        <w:rPr>
          <w:color w:val="000000" w:themeColor="text1"/>
          <w:szCs w:val="24"/>
        </w:rPr>
        <w:t xml:space="preserve"> exam</w:t>
      </w:r>
      <w:r w:rsidRPr="00F43937">
        <w:rPr>
          <w:color w:val="000000" w:themeColor="text1"/>
          <w:szCs w:val="24"/>
        </w:rPr>
        <w:t xml:space="preserve"> proximal to separation </w:t>
      </w:r>
      <w:r w:rsidR="002438FA">
        <w:rPr>
          <w:color w:val="000000" w:themeColor="text1"/>
          <w:szCs w:val="24"/>
        </w:rPr>
        <w:t xml:space="preserve">and </w:t>
      </w:r>
      <w:r w:rsidRPr="00F43937">
        <w:rPr>
          <w:color w:val="000000" w:themeColor="text1"/>
          <w:szCs w:val="24"/>
        </w:rPr>
        <w:t>were n</w:t>
      </w:r>
      <w:r w:rsidR="00CD2A7D">
        <w:rPr>
          <w:color w:val="000000" w:themeColor="text1"/>
          <w:szCs w:val="24"/>
        </w:rPr>
        <w:t xml:space="preserve">ot documented in the DES file. </w:t>
      </w:r>
      <w:r w:rsidR="002438FA">
        <w:rPr>
          <w:color w:val="000000" w:themeColor="text1"/>
          <w:szCs w:val="24"/>
        </w:rPr>
        <w:t xml:space="preserve"> </w:t>
      </w:r>
      <w:r w:rsidRPr="00F43937">
        <w:rPr>
          <w:color w:val="000000" w:themeColor="text1"/>
          <w:szCs w:val="24"/>
        </w:rPr>
        <w:t>The Board does not have the authority under</w:t>
      </w:r>
      <w:r w:rsidRPr="001F29F9">
        <w:rPr>
          <w:color w:val="000000" w:themeColor="text1"/>
          <w:szCs w:val="24"/>
        </w:rPr>
        <w:t xml:space="preserve"> DoDI 6040.44 to render fitness or rating recommendations for any conditi</w:t>
      </w:r>
      <w:r w:rsidR="00CD2A7D">
        <w:rPr>
          <w:color w:val="000000" w:themeColor="text1"/>
          <w:szCs w:val="24"/>
        </w:rPr>
        <w:t xml:space="preserve">ons not considered by the DES. </w:t>
      </w:r>
      <w:r w:rsidR="002438FA">
        <w:rPr>
          <w:color w:val="000000" w:themeColor="text1"/>
          <w:szCs w:val="24"/>
        </w:rPr>
        <w:t xml:space="preserve"> </w:t>
      </w:r>
      <w:r w:rsidRPr="001F29F9">
        <w:rPr>
          <w:color w:val="000000" w:themeColor="text1"/>
          <w:szCs w:val="24"/>
        </w:rPr>
        <w:t>The Board therefore has no reasonable basis for recommending any additional unfitting conditions for separation rating.</w:t>
      </w:r>
    </w:p>
    <w:p w:rsidR="005A278B" w:rsidRPr="001F29F9" w:rsidRDefault="005A278B" w:rsidP="008A00E6">
      <w:pPr>
        <w:pBdr>
          <w:bottom w:val="single" w:sz="12" w:space="1" w:color="auto"/>
        </w:pBdr>
        <w:tabs>
          <w:tab w:val="left" w:pos="288"/>
          <w:tab w:val="left" w:pos="4752"/>
        </w:tabs>
        <w:jc w:val="both"/>
        <w:rPr>
          <w:color w:val="000000" w:themeColor="text1"/>
        </w:rPr>
      </w:pPr>
    </w:p>
    <w:p w:rsidR="00F1737C" w:rsidRPr="001F29F9" w:rsidRDefault="00F1737C" w:rsidP="008A00E6">
      <w:pPr>
        <w:jc w:val="both"/>
        <w:rPr>
          <w:color w:val="000000" w:themeColor="text1"/>
          <w:szCs w:val="24"/>
        </w:rPr>
      </w:pPr>
    </w:p>
    <w:p w:rsidR="0016545C" w:rsidRPr="001F29F9" w:rsidRDefault="00C56FC8" w:rsidP="00B8192F">
      <w:pPr>
        <w:jc w:val="both"/>
        <w:rPr>
          <w:rFonts w:eastAsiaTheme="minorHAnsi"/>
          <w:i/>
          <w:color w:val="000000" w:themeColor="text1"/>
          <w:szCs w:val="24"/>
        </w:rPr>
      </w:pPr>
      <w:r w:rsidRPr="001F29F9">
        <w:rPr>
          <w:color w:val="000000" w:themeColor="text1"/>
          <w:szCs w:val="24"/>
          <w:u w:val="single"/>
        </w:rPr>
        <w:lastRenderedPageBreak/>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w:t>
      </w:r>
      <w:r w:rsidRPr="00F43937">
        <w:rPr>
          <w:rFonts w:eastAsiaTheme="minorHAnsi"/>
          <w:color w:val="000000" w:themeColor="text1"/>
          <w:szCs w:val="24"/>
        </w:rPr>
        <w:t>VASRD in effect at the time of the adjudication.</w:t>
      </w:r>
      <w:r w:rsidR="008162A5">
        <w:rPr>
          <w:rFonts w:eastAsiaTheme="minorHAnsi"/>
          <w:color w:val="000000" w:themeColor="text1"/>
          <w:szCs w:val="24"/>
        </w:rPr>
        <w:t xml:space="preserve"> </w:t>
      </w:r>
      <w:r w:rsidR="002438FA">
        <w:rPr>
          <w:rFonts w:eastAsiaTheme="minorHAnsi"/>
          <w:color w:val="000000" w:themeColor="text1"/>
          <w:szCs w:val="24"/>
        </w:rPr>
        <w:t xml:space="preserve"> </w:t>
      </w:r>
      <w:r w:rsidR="0034004C" w:rsidRPr="00F43937">
        <w:rPr>
          <w:rFonts w:cs="Arial"/>
          <w:color w:val="000000"/>
        </w:rPr>
        <w:t xml:space="preserve">In the matter of the left shoulder condition, the Board unanimously recommends no change from the PEB adjudication. In the matter of </w:t>
      </w:r>
      <w:r w:rsidR="008A00E6" w:rsidRPr="00F43937">
        <w:rPr>
          <w:rFonts w:cs="Arial"/>
          <w:color w:val="000000"/>
        </w:rPr>
        <w:t>the perforated</w:t>
      </w:r>
      <w:r w:rsidR="0034004C" w:rsidRPr="00F43937">
        <w:rPr>
          <w:rFonts w:cs="Arial"/>
          <w:color w:val="000000"/>
        </w:rPr>
        <w:t xml:space="preserve"> eardrums</w:t>
      </w:r>
      <w:r w:rsidR="00B97617" w:rsidRPr="00F43937">
        <w:rPr>
          <w:rFonts w:cs="Arial"/>
          <w:color w:val="auto"/>
        </w:rPr>
        <w:t>; concussion and loss of consciousness; and frequent trouble sleeping and nightmares</w:t>
      </w:r>
      <w:r w:rsidR="002438FA">
        <w:rPr>
          <w:rFonts w:cs="Arial"/>
          <w:color w:val="auto"/>
        </w:rPr>
        <w:t>,</w:t>
      </w:r>
      <w:r w:rsidR="0034004C" w:rsidRPr="00F43937">
        <w:rPr>
          <w:rFonts w:cs="Arial"/>
          <w:color w:val="auto"/>
        </w:rPr>
        <w:t xml:space="preserve"> </w:t>
      </w:r>
      <w:r w:rsidR="0034004C" w:rsidRPr="00F43937">
        <w:rPr>
          <w:rFonts w:cs="Calibri"/>
          <w:color w:val="auto"/>
          <w:szCs w:val="24"/>
        </w:rPr>
        <w:t>the Board unanimously agrees that it cannot recommend any findings of unfit for additional rating at separation.</w:t>
      </w:r>
      <w:r w:rsidR="002438FA">
        <w:rPr>
          <w:rFonts w:cs="Calibri"/>
          <w:color w:val="auto"/>
          <w:szCs w:val="24"/>
        </w:rPr>
        <w:t xml:space="preserve"> </w:t>
      </w:r>
      <w:r w:rsidR="008A00E6" w:rsidRPr="00F43937">
        <w:rPr>
          <w:rFonts w:cs="Calibri"/>
          <w:color w:val="auto"/>
          <w:szCs w:val="24"/>
        </w:rPr>
        <w:t xml:space="preserve"> </w:t>
      </w:r>
      <w:r w:rsidR="0016545C" w:rsidRPr="00F43937">
        <w:rPr>
          <w:rFonts w:cs="Arial"/>
          <w:color w:val="000000"/>
        </w:rPr>
        <w:t>The contended</w:t>
      </w:r>
      <w:r w:rsidR="0016545C" w:rsidRPr="0016545C">
        <w:rPr>
          <w:rFonts w:cs="Arial"/>
          <w:color w:val="000000"/>
        </w:rPr>
        <w:t xml:space="preserve"> </w:t>
      </w:r>
      <w:r w:rsidR="0016545C">
        <w:rPr>
          <w:rFonts w:cs="Arial"/>
          <w:color w:val="000000"/>
        </w:rPr>
        <w:t xml:space="preserve">conditions of TBI and PTSD are </w:t>
      </w:r>
      <w:r w:rsidR="0016545C" w:rsidRPr="0016545C">
        <w:rPr>
          <w:rFonts w:cs="Arial"/>
          <w:color w:val="000000"/>
        </w:rPr>
        <w:t>not eligible for consideration by the Board</w:t>
      </w:r>
      <w:r w:rsidR="0061794C">
        <w:rPr>
          <w:rFonts w:cs="Arial"/>
          <w:color w:val="000000"/>
        </w:rPr>
        <w:t>.</w:t>
      </w:r>
    </w:p>
    <w:p w:rsidR="00F1737C" w:rsidRPr="001F29F9" w:rsidRDefault="00F1737C" w:rsidP="008A00E6">
      <w:pPr>
        <w:pBdr>
          <w:bottom w:val="single" w:sz="12" w:space="1" w:color="auto"/>
        </w:pBdr>
        <w:tabs>
          <w:tab w:val="left" w:pos="288"/>
          <w:tab w:val="left" w:pos="4752"/>
        </w:tabs>
        <w:jc w:val="both"/>
        <w:rPr>
          <w:color w:val="000000" w:themeColor="text1"/>
        </w:rPr>
      </w:pPr>
    </w:p>
    <w:p w:rsidR="00F1737C" w:rsidRPr="001F29F9" w:rsidRDefault="00F1737C" w:rsidP="008A00E6">
      <w:pPr>
        <w:jc w:val="both"/>
        <w:rPr>
          <w:color w:val="000000" w:themeColor="text1"/>
          <w:szCs w:val="24"/>
        </w:rPr>
      </w:pPr>
    </w:p>
    <w:p w:rsidR="006B4AA2" w:rsidRPr="001F29F9" w:rsidRDefault="00C56FC8" w:rsidP="008A00E6">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34004C">
        <w:rPr>
          <w:color w:val="000000" w:themeColor="text1"/>
          <w:szCs w:val="24"/>
        </w:rPr>
        <w:t xml:space="preserve">  </w:t>
      </w:r>
      <w:r w:rsidRPr="001F29F9">
        <w:rPr>
          <w:color w:val="000000" w:themeColor="text1"/>
          <w:szCs w:val="24"/>
        </w:rPr>
        <w:t>The Board therefore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43937" w:rsidTr="0080588E">
        <w:trPr>
          <w:trHeight w:val="233"/>
          <w:jc w:val="center"/>
        </w:trPr>
        <w:tc>
          <w:tcPr>
            <w:tcW w:w="6282" w:type="dxa"/>
            <w:shd w:val="clear" w:color="auto" w:fill="D9D9D9"/>
            <w:vAlign w:val="center"/>
          </w:tcPr>
          <w:p w:rsidR="00A95BBA" w:rsidRPr="00F43937" w:rsidRDefault="00A95BBA" w:rsidP="00BF0E94">
            <w:pPr>
              <w:tabs>
                <w:tab w:val="left" w:pos="288"/>
                <w:tab w:val="left" w:pos="4752"/>
              </w:tabs>
              <w:rPr>
                <w:b/>
                <w:color w:val="000000" w:themeColor="text1"/>
                <w:szCs w:val="24"/>
              </w:rPr>
            </w:pPr>
            <w:r w:rsidRPr="00F43937">
              <w:rPr>
                <w:b/>
                <w:color w:val="000000" w:themeColor="text1"/>
                <w:szCs w:val="24"/>
              </w:rPr>
              <w:t>UNFITTING CONDITION</w:t>
            </w:r>
          </w:p>
        </w:tc>
        <w:tc>
          <w:tcPr>
            <w:tcW w:w="1710" w:type="dxa"/>
            <w:shd w:val="clear" w:color="auto" w:fill="D9D9D9"/>
            <w:vAlign w:val="center"/>
          </w:tcPr>
          <w:p w:rsidR="00A95BBA" w:rsidRPr="00F43937" w:rsidRDefault="00A95BBA" w:rsidP="00BF0E94">
            <w:pPr>
              <w:tabs>
                <w:tab w:val="left" w:pos="288"/>
                <w:tab w:val="left" w:pos="4752"/>
              </w:tabs>
              <w:rPr>
                <w:b/>
                <w:color w:val="000000" w:themeColor="text1"/>
                <w:szCs w:val="24"/>
              </w:rPr>
            </w:pPr>
            <w:r w:rsidRPr="00F43937">
              <w:rPr>
                <w:b/>
                <w:color w:val="000000" w:themeColor="text1"/>
                <w:szCs w:val="24"/>
              </w:rPr>
              <w:t>VASRD CODE</w:t>
            </w:r>
          </w:p>
        </w:tc>
        <w:tc>
          <w:tcPr>
            <w:tcW w:w="1170" w:type="dxa"/>
            <w:shd w:val="clear" w:color="auto" w:fill="D9D9D9"/>
            <w:vAlign w:val="center"/>
          </w:tcPr>
          <w:p w:rsidR="00A95BBA" w:rsidRPr="00F43937" w:rsidRDefault="00A95BBA" w:rsidP="00BF0E94">
            <w:pPr>
              <w:tabs>
                <w:tab w:val="left" w:pos="288"/>
                <w:tab w:val="left" w:pos="4752"/>
              </w:tabs>
              <w:rPr>
                <w:b/>
                <w:color w:val="000000" w:themeColor="text1"/>
                <w:szCs w:val="24"/>
              </w:rPr>
            </w:pPr>
            <w:r w:rsidRPr="00F43937">
              <w:rPr>
                <w:b/>
                <w:color w:val="000000" w:themeColor="text1"/>
                <w:szCs w:val="24"/>
              </w:rPr>
              <w:t>RATING</w:t>
            </w:r>
          </w:p>
        </w:tc>
      </w:tr>
      <w:tr w:rsidR="00A95BBA" w:rsidRPr="00F43937" w:rsidTr="0080588E">
        <w:trPr>
          <w:jc w:val="center"/>
        </w:trPr>
        <w:tc>
          <w:tcPr>
            <w:tcW w:w="6282" w:type="dxa"/>
            <w:vAlign w:val="center"/>
          </w:tcPr>
          <w:p w:rsidR="00A95BBA" w:rsidRPr="00F43937" w:rsidRDefault="00FA507D" w:rsidP="00BF0E94">
            <w:pPr>
              <w:tabs>
                <w:tab w:val="left" w:pos="288"/>
                <w:tab w:val="left" w:pos="4752"/>
              </w:tabs>
              <w:jc w:val="left"/>
              <w:rPr>
                <w:color w:val="000000" w:themeColor="text1"/>
                <w:szCs w:val="24"/>
              </w:rPr>
            </w:pPr>
            <w:r w:rsidRPr="00F43937">
              <w:rPr>
                <w:color w:val="000000" w:themeColor="text1"/>
                <w:szCs w:val="24"/>
              </w:rPr>
              <w:t>Left Shoulder Type 2 AC Joint  Separation</w:t>
            </w:r>
          </w:p>
        </w:tc>
        <w:tc>
          <w:tcPr>
            <w:tcW w:w="1710" w:type="dxa"/>
            <w:vAlign w:val="center"/>
          </w:tcPr>
          <w:p w:rsidR="00A95BBA" w:rsidRPr="00F43937" w:rsidRDefault="00FA507D" w:rsidP="00BF0E94">
            <w:pPr>
              <w:tabs>
                <w:tab w:val="left" w:pos="288"/>
                <w:tab w:val="left" w:pos="4752"/>
              </w:tabs>
              <w:rPr>
                <w:color w:val="000000" w:themeColor="text1"/>
                <w:szCs w:val="24"/>
              </w:rPr>
            </w:pPr>
            <w:r w:rsidRPr="00F43937">
              <w:rPr>
                <w:color w:val="000000" w:themeColor="text1"/>
                <w:szCs w:val="24"/>
              </w:rPr>
              <w:t>5299-5203</w:t>
            </w:r>
          </w:p>
        </w:tc>
        <w:tc>
          <w:tcPr>
            <w:tcW w:w="1170" w:type="dxa"/>
            <w:vAlign w:val="center"/>
          </w:tcPr>
          <w:p w:rsidR="00A95BBA" w:rsidRPr="00F43937" w:rsidRDefault="0034004C" w:rsidP="00BF0E94">
            <w:pPr>
              <w:tabs>
                <w:tab w:val="left" w:pos="288"/>
                <w:tab w:val="left" w:pos="4752"/>
              </w:tabs>
              <w:rPr>
                <w:color w:val="000000" w:themeColor="text1"/>
                <w:szCs w:val="24"/>
              </w:rPr>
            </w:pPr>
            <w:r w:rsidRPr="00F43937">
              <w:rPr>
                <w:color w:val="000000" w:themeColor="text1"/>
                <w:szCs w:val="24"/>
              </w:rPr>
              <w:t>1</w:t>
            </w:r>
            <w:r w:rsidR="00A95BBA" w:rsidRPr="00F43937">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43937" w:rsidRDefault="00A95BBA" w:rsidP="00BF0E94">
            <w:pPr>
              <w:tabs>
                <w:tab w:val="left" w:pos="288"/>
                <w:tab w:val="left" w:pos="4752"/>
              </w:tabs>
              <w:rPr>
                <w:b/>
                <w:color w:val="000000" w:themeColor="text1"/>
                <w:szCs w:val="24"/>
              </w:rPr>
            </w:pPr>
            <w:r w:rsidRPr="00F43937">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34004C" w:rsidP="00BF0E94">
            <w:pPr>
              <w:tabs>
                <w:tab w:val="left" w:pos="288"/>
                <w:tab w:val="left" w:pos="4752"/>
              </w:tabs>
              <w:rPr>
                <w:b/>
                <w:color w:val="000000" w:themeColor="text1"/>
                <w:szCs w:val="24"/>
              </w:rPr>
            </w:pPr>
            <w:r w:rsidRPr="00F43937">
              <w:rPr>
                <w:b/>
                <w:color w:val="000000" w:themeColor="text1"/>
                <w:szCs w:val="24"/>
              </w:rPr>
              <w:t>1</w:t>
            </w:r>
            <w:r w:rsidR="00A95BBA" w:rsidRPr="00F43937">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8A00E6">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8A00E6">
      <w:pPr>
        <w:tabs>
          <w:tab w:val="left" w:pos="288"/>
          <w:tab w:val="left" w:pos="4752"/>
        </w:tabs>
        <w:jc w:val="both"/>
        <w:rPr>
          <w:color w:val="000000" w:themeColor="text1"/>
        </w:rPr>
      </w:pPr>
    </w:p>
    <w:p w:rsidR="00114F20" w:rsidRPr="001F29F9" w:rsidRDefault="00FB1725" w:rsidP="008A00E6">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7019A">
        <w:rPr>
          <w:color w:val="000000" w:themeColor="text1"/>
          <w:szCs w:val="24"/>
        </w:rPr>
        <w:t>10328</w:t>
      </w:r>
      <w:r w:rsidR="0061794C">
        <w:rPr>
          <w:color w:val="000000" w:themeColor="text1"/>
        </w:rPr>
        <w:t>, w/</w:t>
      </w:r>
      <w:proofErr w:type="spellStart"/>
      <w:r w:rsidR="0061794C">
        <w:rPr>
          <w:color w:val="000000" w:themeColor="text1"/>
        </w:rPr>
        <w:t>atchs</w:t>
      </w:r>
      <w:proofErr w:type="spellEnd"/>
    </w:p>
    <w:p w:rsidR="00114F20" w:rsidRPr="001F29F9" w:rsidRDefault="00FB1725" w:rsidP="008A00E6">
      <w:pPr>
        <w:tabs>
          <w:tab w:val="left" w:pos="288"/>
          <w:tab w:val="left" w:pos="4752"/>
        </w:tabs>
        <w:jc w:val="both"/>
        <w:rPr>
          <w:color w:val="000000" w:themeColor="text1"/>
        </w:rPr>
      </w:pPr>
      <w:r w:rsidRPr="001F29F9">
        <w:rPr>
          <w:color w:val="000000" w:themeColor="text1"/>
        </w:rPr>
        <w:t>Exhib</w:t>
      </w:r>
      <w:r w:rsidR="0061794C">
        <w:rPr>
          <w:color w:val="000000" w:themeColor="text1"/>
        </w:rPr>
        <w:t>it B.  Service Treatment Record</w:t>
      </w:r>
    </w:p>
    <w:p w:rsidR="00114F20" w:rsidRPr="001F29F9" w:rsidRDefault="00FB1725" w:rsidP="008A00E6">
      <w:pPr>
        <w:tabs>
          <w:tab w:val="left" w:pos="288"/>
          <w:tab w:val="left" w:pos="4752"/>
        </w:tabs>
        <w:jc w:val="both"/>
        <w:rPr>
          <w:color w:val="000000" w:themeColor="text1"/>
        </w:rPr>
      </w:pPr>
      <w:r w:rsidRPr="001F29F9">
        <w:rPr>
          <w:color w:val="000000" w:themeColor="text1"/>
        </w:rPr>
        <w:t>Exhibit C.  Department of Ve</w:t>
      </w:r>
      <w:r w:rsidR="0061794C">
        <w:rPr>
          <w:color w:val="000000" w:themeColor="text1"/>
        </w:rPr>
        <w:t>terans Affairs Treatment Record</w:t>
      </w:r>
    </w:p>
    <w:p w:rsidR="00D91DA6" w:rsidRPr="001F29F9" w:rsidRDefault="00D91DA6" w:rsidP="008A00E6">
      <w:pPr>
        <w:tabs>
          <w:tab w:val="left" w:pos="288"/>
          <w:tab w:val="left" w:pos="4752"/>
        </w:tabs>
        <w:jc w:val="both"/>
        <w:rPr>
          <w:color w:val="000000" w:themeColor="text1"/>
        </w:rPr>
      </w:pPr>
    </w:p>
    <w:p w:rsidR="00114F20" w:rsidRPr="001F29F9" w:rsidRDefault="00114F20" w:rsidP="008A00E6">
      <w:pPr>
        <w:tabs>
          <w:tab w:val="left" w:pos="288"/>
          <w:tab w:val="left" w:pos="4752"/>
        </w:tabs>
        <w:jc w:val="both"/>
        <w:rPr>
          <w:color w:val="000000" w:themeColor="text1"/>
        </w:rPr>
      </w:pPr>
    </w:p>
    <w:p w:rsidR="002F195B" w:rsidRPr="001F29F9" w:rsidRDefault="00220FA9" w:rsidP="008A00E6">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1180B" w:rsidRDefault="002F195B" w:rsidP="008A00E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1180B" w:rsidRDefault="0041180B">
      <w:pPr>
        <w:rPr>
          <w:color w:val="000000" w:themeColor="text1"/>
          <w:szCs w:val="24"/>
        </w:rPr>
      </w:pPr>
      <w:r>
        <w:rPr>
          <w:color w:val="000000" w:themeColor="text1"/>
          <w:szCs w:val="24"/>
        </w:rPr>
        <w:br w:type="page"/>
      </w: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lastRenderedPageBreak/>
        <w:t xml:space="preserve">MEMORANDUM FOR DIRECTOR, SECRETARY OF THE NAVY COUNCIL OF REVIEW BOARDS </w:t>
      </w: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proofErr w:type="spellStart"/>
      <w:r w:rsidRPr="00CE027C">
        <w:rPr>
          <w:color w:val="000000" w:themeColor="text1"/>
          <w:szCs w:val="24"/>
        </w:rPr>
        <w:t>Subj</w:t>
      </w:r>
      <w:proofErr w:type="spellEnd"/>
      <w:r w:rsidRPr="00CE027C">
        <w:rPr>
          <w:color w:val="000000" w:themeColor="text1"/>
          <w:szCs w:val="24"/>
        </w:rPr>
        <w:t>:  PHYSICAL DISABILITY BOARD OF REVIEW (PDBR) RECOMMENDATIONS</w:t>
      </w: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 xml:space="preserve">Ref:   (a) </w:t>
      </w:r>
      <w:proofErr w:type="spellStart"/>
      <w:r w:rsidRPr="00CE027C">
        <w:rPr>
          <w:color w:val="000000" w:themeColor="text1"/>
          <w:szCs w:val="24"/>
        </w:rPr>
        <w:t>DoDI</w:t>
      </w:r>
      <w:proofErr w:type="spellEnd"/>
      <w:r w:rsidRPr="00CE027C">
        <w:rPr>
          <w:color w:val="000000" w:themeColor="text1"/>
          <w:szCs w:val="24"/>
        </w:rPr>
        <w:t xml:space="preserve"> 6040.44</w:t>
      </w: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 xml:space="preserve">       (b) CORB </w:t>
      </w:r>
      <w:proofErr w:type="spellStart"/>
      <w:r w:rsidRPr="00CE027C">
        <w:rPr>
          <w:color w:val="000000" w:themeColor="text1"/>
          <w:szCs w:val="24"/>
        </w:rPr>
        <w:t>ltr</w:t>
      </w:r>
      <w:proofErr w:type="spellEnd"/>
      <w:r w:rsidRPr="00CE027C">
        <w:rPr>
          <w:color w:val="000000" w:themeColor="text1"/>
          <w:szCs w:val="24"/>
        </w:rPr>
        <w:t xml:space="preserve"> </w:t>
      </w:r>
      <w:proofErr w:type="spellStart"/>
      <w:r w:rsidRPr="00CE027C">
        <w:rPr>
          <w:color w:val="000000" w:themeColor="text1"/>
          <w:szCs w:val="24"/>
        </w:rPr>
        <w:t>dtd</w:t>
      </w:r>
      <w:proofErr w:type="spellEnd"/>
      <w:r w:rsidRPr="00CE027C">
        <w:rPr>
          <w:color w:val="000000" w:themeColor="text1"/>
          <w:szCs w:val="24"/>
        </w:rPr>
        <w:t xml:space="preserve"> 2 Apr 12</w:t>
      </w: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ab/>
      </w:r>
      <w:r>
        <w:rPr>
          <w:color w:val="000000" w:themeColor="text1"/>
          <w:szCs w:val="24"/>
        </w:rPr>
        <w:t xml:space="preserve"> </w:t>
      </w: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ab/>
        <w:t>Assistant General Counsel</w:t>
      </w:r>
    </w:p>
    <w:p w:rsidR="0041180B" w:rsidRPr="00CE027C" w:rsidRDefault="0041180B" w:rsidP="0041180B">
      <w:pPr>
        <w:tabs>
          <w:tab w:val="left" w:pos="0"/>
          <w:tab w:val="left" w:pos="4320"/>
        </w:tabs>
        <w:jc w:val="both"/>
        <w:rPr>
          <w:color w:val="000000" w:themeColor="text1"/>
          <w:szCs w:val="24"/>
        </w:rPr>
      </w:pPr>
      <w:r w:rsidRPr="00CE027C">
        <w:rPr>
          <w:color w:val="000000" w:themeColor="text1"/>
          <w:szCs w:val="24"/>
        </w:rPr>
        <w:tab/>
        <w:t xml:space="preserve">  (Manpower &amp; Reserve Affairs)</w:t>
      </w:r>
    </w:p>
    <w:p w:rsidR="00E3077F" w:rsidRPr="001F29F9" w:rsidRDefault="00E3077F" w:rsidP="008A00E6">
      <w:pPr>
        <w:tabs>
          <w:tab w:val="left" w:pos="0"/>
          <w:tab w:val="left" w:pos="4320"/>
        </w:tabs>
        <w:jc w:val="both"/>
        <w:rPr>
          <w:color w:val="000000" w:themeColor="text1"/>
          <w:szCs w:val="24"/>
        </w:rPr>
      </w:pPr>
    </w:p>
    <w:p w:rsidR="009D3599" w:rsidRDefault="009D3599" w:rsidP="008A00E6">
      <w:pPr>
        <w:jc w:val="both"/>
        <w:rPr>
          <w:color w:val="000000" w:themeColor="text1"/>
          <w:szCs w:val="24"/>
          <w:u w:val="single"/>
        </w:rPr>
      </w:pPr>
    </w:p>
    <w:p w:rsidR="009D3599" w:rsidRDefault="009D3599" w:rsidP="00BF0E94">
      <w:pPr>
        <w:rPr>
          <w:color w:val="000000" w:themeColor="text1"/>
          <w:szCs w:val="24"/>
          <w:u w:val="single"/>
        </w:rPr>
      </w:pPr>
    </w:p>
    <w:p w:rsidR="009D3599" w:rsidRDefault="009D3599" w:rsidP="00BF0E94">
      <w:pPr>
        <w:rPr>
          <w:color w:val="000000" w:themeColor="text1"/>
          <w:szCs w:val="24"/>
          <w:u w:val="single"/>
        </w:rPr>
      </w:pPr>
    </w:p>
    <w:sectPr w:rsidR="009D359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7" w:rsidRDefault="006036F7">
      <w:r>
        <w:separator/>
      </w:r>
    </w:p>
  </w:endnote>
  <w:endnote w:type="continuationSeparator" w:id="0">
    <w:p w:rsidR="006036F7" w:rsidRDefault="006036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21BF0" w:rsidRPr="00374247" w:rsidRDefault="00421BF0" w:rsidP="00374247">
        <w:pPr>
          <w:pStyle w:val="Footer"/>
          <w:ind w:firstLine="4320"/>
          <w:rPr>
            <w:color w:val="auto"/>
            <w:szCs w:val="24"/>
          </w:rPr>
        </w:pPr>
        <w:r w:rsidRPr="00374247">
          <w:rPr>
            <w:color w:val="auto"/>
            <w:szCs w:val="24"/>
          </w:rPr>
          <w:t xml:space="preserve">   </w:t>
        </w:r>
        <w:r w:rsidR="00FA56ED" w:rsidRPr="00374247">
          <w:rPr>
            <w:color w:val="auto"/>
            <w:szCs w:val="24"/>
          </w:rPr>
          <w:fldChar w:fldCharType="begin"/>
        </w:r>
        <w:r w:rsidRPr="00374247">
          <w:rPr>
            <w:color w:val="auto"/>
            <w:szCs w:val="24"/>
          </w:rPr>
          <w:instrText xml:space="preserve"> PAGE   \* MERGEFORMAT </w:instrText>
        </w:r>
        <w:r w:rsidR="00FA56ED" w:rsidRPr="00374247">
          <w:rPr>
            <w:color w:val="auto"/>
            <w:szCs w:val="24"/>
          </w:rPr>
          <w:fldChar w:fldCharType="separate"/>
        </w:r>
        <w:r w:rsidR="0041180B" w:rsidRPr="0041180B">
          <w:rPr>
            <w:noProof/>
            <w:color w:val="auto"/>
          </w:rPr>
          <w:t>5</w:t>
        </w:r>
        <w:r w:rsidR="00FA56E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100198</w:t>
        </w:r>
      </w:p>
    </w:sdtContent>
  </w:sdt>
  <w:p w:rsidR="00421BF0" w:rsidRPr="00684CE6" w:rsidRDefault="00421BF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7" w:rsidRDefault="006036F7">
      <w:r>
        <w:separator/>
      </w:r>
    </w:p>
  </w:footnote>
  <w:footnote w:type="continuationSeparator" w:id="0">
    <w:p w:rsidR="006036F7" w:rsidRDefault="00603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7CE"/>
    <w:rsid w:val="00010ABA"/>
    <w:rsid w:val="00010B0F"/>
    <w:rsid w:val="00012428"/>
    <w:rsid w:val="00012733"/>
    <w:rsid w:val="00013417"/>
    <w:rsid w:val="000145C2"/>
    <w:rsid w:val="0001473F"/>
    <w:rsid w:val="00014A47"/>
    <w:rsid w:val="00014A9E"/>
    <w:rsid w:val="00017778"/>
    <w:rsid w:val="00021361"/>
    <w:rsid w:val="00022CF3"/>
    <w:rsid w:val="00023913"/>
    <w:rsid w:val="00023CCC"/>
    <w:rsid w:val="00023D43"/>
    <w:rsid w:val="00024002"/>
    <w:rsid w:val="00024DE7"/>
    <w:rsid w:val="00026092"/>
    <w:rsid w:val="00030776"/>
    <w:rsid w:val="00032E07"/>
    <w:rsid w:val="000332CA"/>
    <w:rsid w:val="0003374E"/>
    <w:rsid w:val="000344D8"/>
    <w:rsid w:val="000344E6"/>
    <w:rsid w:val="00035C3A"/>
    <w:rsid w:val="00036B64"/>
    <w:rsid w:val="00036E4B"/>
    <w:rsid w:val="00037929"/>
    <w:rsid w:val="000379D0"/>
    <w:rsid w:val="00040FC4"/>
    <w:rsid w:val="000416F8"/>
    <w:rsid w:val="00042C26"/>
    <w:rsid w:val="00043382"/>
    <w:rsid w:val="00044623"/>
    <w:rsid w:val="000452D7"/>
    <w:rsid w:val="00047225"/>
    <w:rsid w:val="00051622"/>
    <w:rsid w:val="00051A11"/>
    <w:rsid w:val="00052234"/>
    <w:rsid w:val="00053D7C"/>
    <w:rsid w:val="000575C5"/>
    <w:rsid w:val="000577C9"/>
    <w:rsid w:val="00060FFD"/>
    <w:rsid w:val="00061D69"/>
    <w:rsid w:val="0006431E"/>
    <w:rsid w:val="00064552"/>
    <w:rsid w:val="000652EA"/>
    <w:rsid w:val="00065E21"/>
    <w:rsid w:val="000673ED"/>
    <w:rsid w:val="00067854"/>
    <w:rsid w:val="0007019A"/>
    <w:rsid w:val="00070DED"/>
    <w:rsid w:val="00071512"/>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70F"/>
    <w:rsid w:val="000E7034"/>
    <w:rsid w:val="000F02BE"/>
    <w:rsid w:val="000F0928"/>
    <w:rsid w:val="000F0B3D"/>
    <w:rsid w:val="000F1E65"/>
    <w:rsid w:val="000F427B"/>
    <w:rsid w:val="000F43D0"/>
    <w:rsid w:val="000F4F18"/>
    <w:rsid w:val="000F6247"/>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3476"/>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4CB7"/>
    <w:rsid w:val="0016545C"/>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3B46"/>
    <w:rsid w:val="001B4C0B"/>
    <w:rsid w:val="001B4D12"/>
    <w:rsid w:val="001B4EC2"/>
    <w:rsid w:val="001B5B59"/>
    <w:rsid w:val="001B60E0"/>
    <w:rsid w:val="001B755A"/>
    <w:rsid w:val="001B7BC0"/>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28C"/>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F7C"/>
    <w:rsid w:val="0024162D"/>
    <w:rsid w:val="0024174E"/>
    <w:rsid w:val="00242238"/>
    <w:rsid w:val="0024227D"/>
    <w:rsid w:val="00242D14"/>
    <w:rsid w:val="002432F4"/>
    <w:rsid w:val="002438FA"/>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42BC"/>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3AF"/>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415"/>
    <w:rsid w:val="0033414F"/>
    <w:rsid w:val="00334514"/>
    <w:rsid w:val="0033555E"/>
    <w:rsid w:val="0033601F"/>
    <w:rsid w:val="00336805"/>
    <w:rsid w:val="00337351"/>
    <w:rsid w:val="0034004C"/>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57BBC"/>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77DC3"/>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86F"/>
    <w:rsid w:val="00394926"/>
    <w:rsid w:val="00394FF9"/>
    <w:rsid w:val="00395651"/>
    <w:rsid w:val="00395E12"/>
    <w:rsid w:val="003962A8"/>
    <w:rsid w:val="00396779"/>
    <w:rsid w:val="00397DB7"/>
    <w:rsid w:val="003A2523"/>
    <w:rsid w:val="003A27B2"/>
    <w:rsid w:val="003A40B4"/>
    <w:rsid w:val="003A41BA"/>
    <w:rsid w:val="003A4BE6"/>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366"/>
    <w:rsid w:val="003D2BA3"/>
    <w:rsid w:val="003D316B"/>
    <w:rsid w:val="003D3C22"/>
    <w:rsid w:val="003D51D6"/>
    <w:rsid w:val="003D56A0"/>
    <w:rsid w:val="003D609F"/>
    <w:rsid w:val="003D69F5"/>
    <w:rsid w:val="003D7089"/>
    <w:rsid w:val="003D7DDB"/>
    <w:rsid w:val="003E024F"/>
    <w:rsid w:val="003E02C7"/>
    <w:rsid w:val="003E0543"/>
    <w:rsid w:val="003E061D"/>
    <w:rsid w:val="003E0B5A"/>
    <w:rsid w:val="003E1682"/>
    <w:rsid w:val="003E26A9"/>
    <w:rsid w:val="003E31E3"/>
    <w:rsid w:val="003E3E93"/>
    <w:rsid w:val="003E46D1"/>
    <w:rsid w:val="003E6214"/>
    <w:rsid w:val="003F070E"/>
    <w:rsid w:val="003F1206"/>
    <w:rsid w:val="003F2418"/>
    <w:rsid w:val="003F28DB"/>
    <w:rsid w:val="003F2EEE"/>
    <w:rsid w:val="003F58B0"/>
    <w:rsid w:val="003F6996"/>
    <w:rsid w:val="003F776F"/>
    <w:rsid w:val="004007E9"/>
    <w:rsid w:val="00400810"/>
    <w:rsid w:val="00401451"/>
    <w:rsid w:val="00401825"/>
    <w:rsid w:val="00401BBC"/>
    <w:rsid w:val="004026FC"/>
    <w:rsid w:val="00402F06"/>
    <w:rsid w:val="00403BFB"/>
    <w:rsid w:val="00404461"/>
    <w:rsid w:val="00404B45"/>
    <w:rsid w:val="00405BCF"/>
    <w:rsid w:val="00405D37"/>
    <w:rsid w:val="004064BD"/>
    <w:rsid w:val="004068E0"/>
    <w:rsid w:val="00406CC5"/>
    <w:rsid w:val="00406FCA"/>
    <w:rsid w:val="004074A4"/>
    <w:rsid w:val="004101B2"/>
    <w:rsid w:val="0041180B"/>
    <w:rsid w:val="004123D7"/>
    <w:rsid w:val="00412658"/>
    <w:rsid w:val="004129DA"/>
    <w:rsid w:val="00415EA4"/>
    <w:rsid w:val="0041604B"/>
    <w:rsid w:val="004172DB"/>
    <w:rsid w:val="004174F0"/>
    <w:rsid w:val="00420A1D"/>
    <w:rsid w:val="00420B1E"/>
    <w:rsid w:val="004211FD"/>
    <w:rsid w:val="00421485"/>
    <w:rsid w:val="004216DA"/>
    <w:rsid w:val="00421BF0"/>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7AA"/>
    <w:rsid w:val="004A0C79"/>
    <w:rsid w:val="004A24D2"/>
    <w:rsid w:val="004A3214"/>
    <w:rsid w:val="004A4136"/>
    <w:rsid w:val="004A417B"/>
    <w:rsid w:val="004A4378"/>
    <w:rsid w:val="004A712D"/>
    <w:rsid w:val="004A7C03"/>
    <w:rsid w:val="004B03F3"/>
    <w:rsid w:val="004B0CC9"/>
    <w:rsid w:val="004B0E8A"/>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6A35"/>
    <w:rsid w:val="00510588"/>
    <w:rsid w:val="00510F9C"/>
    <w:rsid w:val="0051146C"/>
    <w:rsid w:val="0051220B"/>
    <w:rsid w:val="00512253"/>
    <w:rsid w:val="00512484"/>
    <w:rsid w:val="00514449"/>
    <w:rsid w:val="00515419"/>
    <w:rsid w:val="005157BD"/>
    <w:rsid w:val="005214A3"/>
    <w:rsid w:val="005222E7"/>
    <w:rsid w:val="00522BAA"/>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FA5"/>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278B"/>
    <w:rsid w:val="005A3560"/>
    <w:rsid w:val="005A3F83"/>
    <w:rsid w:val="005A464E"/>
    <w:rsid w:val="005A62FC"/>
    <w:rsid w:val="005A6C99"/>
    <w:rsid w:val="005A7D5D"/>
    <w:rsid w:val="005A7F09"/>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269"/>
    <w:rsid w:val="005D2306"/>
    <w:rsid w:val="005D2562"/>
    <w:rsid w:val="005D2666"/>
    <w:rsid w:val="005D4548"/>
    <w:rsid w:val="005D4A74"/>
    <w:rsid w:val="005D5E91"/>
    <w:rsid w:val="005D67EF"/>
    <w:rsid w:val="005E3064"/>
    <w:rsid w:val="005E54DC"/>
    <w:rsid w:val="005E5550"/>
    <w:rsid w:val="005E65DC"/>
    <w:rsid w:val="005E6AEE"/>
    <w:rsid w:val="005E72B2"/>
    <w:rsid w:val="005E7366"/>
    <w:rsid w:val="005E79A0"/>
    <w:rsid w:val="005F097E"/>
    <w:rsid w:val="005F1115"/>
    <w:rsid w:val="005F1AB6"/>
    <w:rsid w:val="005F27F2"/>
    <w:rsid w:val="005F2B27"/>
    <w:rsid w:val="005F3567"/>
    <w:rsid w:val="005F3AFE"/>
    <w:rsid w:val="005F424D"/>
    <w:rsid w:val="005F55F5"/>
    <w:rsid w:val="005F5EC1"/>
    <w:rsid w:val="005F62DA"/>
    <w:rsid w:val="005F67A9"/>
    <w:rsid w:val="005F6B6D"/>
    <w:rsid w:val="005F73CA"/>
    <w:rsid w:val="006008F8"/>
    <w:rsid w:val="00600AF5"/>
    <w:rsid w:val="00600F3C"/>
    <w:rsid w:val="00602A1E"/>
    <w:rsid w:val="006036C2"/>
    <w:rsid w:val="006036F7"/>
    <w:rsid w:val="00605AAB"/>
    <w:rsid w:val="00606BEB"/>
    <w:rsid w:val="0061014A"/>
    <w:rsid w:val="0061054B"/>
    <w:rsid w:val="006110FB"/>
    <w:rsid w:val="00612FB0"/>
    <w:rsid w:val="0061356D"/>
    <w:rsid w:val="00613E26"/>
    <w:rsid w:val="00615641"/>
    <w:rsid w:val="00615A66"/>
    <w:rsid w:val="00616959"/>
    <w:rsid w:val="0061794C"/>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B62"/>
    <w:rsid w:val="00651E6D"/>
    <w:rsid w:val="00651E96"/>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106"/>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2ADA"/>
    <w:rsid w:val="006B31E6"/>
    <w:rsid w:val="006B3923"/>
    <w:rsid w:val="006B3F3E"/>
    <w:rsid w:val="006B4AA2"/>
    <w:rsid w:val="006B4C4D"/>
    <w:rsid w:val="006B53C4"/>
    <w:rsid w:val="006B586B"/>
    <w:rsid w:val="006B5923"/>
    <w:rsid w:val="006B67D9"/>
    <w:rsid w:val="006B68B7"/>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AB3"/>
    <w:rsid w:val="006D4E0E"/>
    <w:rsid w:val="006D5861"/>
    <w:rsid w:val="006D5CE2"/>
    <w:rsid w:val="006D7854"/>
    <w:rsid w:val="006E063E"/>
    <w:rsid w:val="006E06D1"/>
    <w:rsid w:val="006E122E"/>
    <w:rsid w:val="006E1313"/>
    <w:rsid w:val="006E2DC8"/>
    <w:rsid w:val="006E58CB"/>
    <w:rsid w:val="006E6B68"/>
    <w:rsid w:val="006E7356"/>
    <w:rsid w:val="006E77C8"/>
    <w:rsid w:val="006F0F9C"/>
    <w:rsid w:val="006F149D"/>
    <w:rsid w:val="006F1A46"/>
    <w:rsid w:val="006F2CBA"/>
    <w:rsid w:val="006F45A0"/>
    <w:rsid w:val="006F4F06"/>
    <w:rsid w:val="006F5A4E"/>
    <w:rsid w:val="006F5D37"/>
    <w:rsid w:val="006F6005"/>
    <w:rsid w:val="007005EA"/>
    <w:rsid w:val="0070220D"/>
    <w:rsid w:val="00703B6C"/>
    <w:rsid w:val="00703BB0"/>
    <w:rsid w:val="00704519"/>
    <w:rsid w:val="00704C40"/>
    <w:rsid w:val="00704C88"/>
    <w:rsid w:val="00704EA1"/>
    <w:rsid w:val="0070500B"/>
    <w:rsid w:val="00705714"/>
    <w:rsid w:val="00705BE5"/>
    <w:rsid w:val="00705C40"/>
    <w:rsid w:val="00706404"/>
    <w:rsid w:val="00706482"/>
    <w:rsid w:val="00706754"/>
    <w:rsid w:val="00706BEF"/>
    <w:rsid w:val="00707028"/>
    <w:rsid w:val="00707ECE"/>
    <w:rsid w:val="00710CE8"/>
    <w:rsid w:val="00711350"/>
    <w:rsid w:val="00711538"/>
    <w:rsid w:val="007116BC"/>
    <w:rsid w:val="00711961"/>
    <w:rsid w:val="00711CA6"/>
    <w:rsid w:val="00713CC2"/>
    <w:rsid w:val="007165CE"/>
    <w:rsid w:val="00717CEB"/>
    <w:rsid w:val="0072035D"/>
    <w:rsid w:val="00720968"/>
    <w:rsid w:val="00721705"/>
    <w:rsid w:val="00721B7A"/>
    <w:rsid w:val="00721D12"/>
    <w:rsid w:val="00721F8B"/>
    <w:rsid w:val="0072309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BA3"/>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6DB3"/>
    <w:rsid w:val="00777F15"/>
    <w:rsid w:val="00780378"/>
    <w:rsid w:val="007804D7"/>
    <w:rsid w:val="0078085E"/>
    <w:rsid w:val="00781BD4"/>
    <w:rsid w:val="00782562"/>
    <w:rsid w:val="007828B4"/>
    <w:rsid w:val="00784832"/>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5EA5"/>
    <w:rsid w:val="007B6CE0"/>
    <w:rsid w:val="007B755A"/>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543"/>
    <w:rsid w:val="007E176C"/>
    <w:rsid w:val="007E2046"/>
    <w:rsid w:val="007E3883"/>
    <w:rsid w:val="007E4876"/>
    <w:rsid w:val="007E48CD"/>
    <w:rsid w:val="007E49FA"/>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CFB"/>
    <w:rsid w:val="0080064F"/>
    <w:rsid w:val="00801B85"/>
    <w:rsid w:val="008028C0"/>
    <w:rsid w:val="00803850"/>
    <w:rsid w:val="008039E8"/>
    <w:rsid w:val="00804385"/>
    <w:rsid w:val="00804E0E"/>
    <w:rsid w:val="008051EB"/>
    <w:rsid w:val="0080588E"/>
    <w:rsid w:val="00805AFD"/>
    <w:rsid w:val="00806397"/>
    <w:rsid w:val="008078D8"/>
    <w:rsid w:val="0080798E"/>
    <w:rsid w:val="00811BD9"/>
    <w:rsid w:val="00811D5B"/>
    <w:rsid w:val="00813C51"/>
    <w:rsid w:val="008162A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03F"/>
    <w:rsid w:val="00833418"/>
    <w:rsid w:val="0083387F"/>
    <w:rsid w:val="00834458"/>
    <w:rsid w:val="00834AEA"/>
    <w:rsid w:val="00835841"/>
    <w:rsid w:val="00835BF8"/>
    <w:rsid w:val="00835FB7"/>
    <w:rsid w:val="0083674B"/>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0CBB"/>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684"/>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0E6"/>
    <w:rsid w:val="008A0C99"/>
    <w:rsid w:val="008A0D4F"/>
    <w:rsid w:val="008A1871"/>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5F0"/>
    <w:rsid w:val="008B5D31"/>
    <w:rsid w:val="008B6705"/>
    <w:rsid w:val="008B7EDD"/>
    <w:rsid w:val="008C22F3"/>
    <w:rsid w:val="008C3223"/>
    <w:rsid w:val="008C3FD0"/>
    <w:rsid w:val="008C4F01"/>
    <w:rsid w:val="008C5152"/>
    <w:rsid w:val="008C710E"/>
    <w:rsid w:val="008D1484"/>
    <w:rsid w:val="008D29E7"/>
    <w:rsid w:val="008D5104"/>
    <w:rsid w:val="008D6F0F"/>
    <w:rsid w:val="008D75F4"/>
    <w:rsid w:val="008D795D"/>
    <w:rsid w:val="008D7B07"/>
    <w:rsid w:val="008E0D8F"/>
    <w:rsid w:val="008E0F4E"/>
    <w:rsid w:val="008E1E94"/>
    <w:rsid w:val="008E2D99"/>
    <w:rsid w:val="008E30D4"/>
    <w:rsid w:val="008E38B0"/>
    <w:rsid w:val="008E3C90"/>
    <w:rsid w:val="008E4A60"/>
    <w:rsid w:val="008E744D"/>
    <w:rsid w:val="008F07A4"/>
    <w:rsid w:val="008F16CC"/>
    <w:rsid w:val="008F1E08"/>
    <w:rsid w:val="008F22B3"/>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2916"/>
    <w:rsid w:val="0093311A"/>
    <w:rsid w:val="009346D0"/>
    <w:rsid w:val="009369A6"/>
    <w:rsid w:val="00937F57"/>
    <w:rsid w:val="0094031E"/>
    <w:rsid w:val="009419B4"/>
    <w:rsid w:val="00941A4C"/>
    <w:rsid w:val="00942645"/>
    <w:rsid w:val="009428B2"/>
    <w:rsid w:val="009447CC"/>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596"/>
    <w:rsid w:val="00990FD6"/>
    <w:rsid w:val="009935C3"/>
    <w:rsid w:val="0099421F"/>
    <w:rsid w:val="00994FC8"/>
    <w:rsid w:val="009A0DE3"/>
    <w:rsid w:val="009A1643"/>
    <w:rsid w:val="009A1933"/>
    <w:rsid w:val="009A215A"/>
    <w:rsid w:val="009A26B9"/>
    <w:rsid w:val="009A49D3"/>
    <w:rsid w:val="009A4F1B"/>
    <w:rsid w:val="009A66C5"/>
    <w:rsid w:val="009A66E7"/>
    <w:rsid w:val="009A79BA"/>
    <w:rsid w:val="009A7F40"/>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1C03"/>
    <w:rsid w:val="009C22C8"/>
    <w:rsid w:val="009C27C2"/>
    <w:rsid w:val="009C3F82"/>
    <w:rsid w:val="009C582A"/>
    <w:rsid w:val="009C5C56"/>
    <w:rsid w:val="009C72DD"/>
    <w:rsid w:val="009C78FD"/>
    <w:rsid w:val="009C7DF5"/>
    <w:rsid w:val="009D056C"/>
    <w:rsid w:val="009D060F"/>
    <w:rsid w:val="009D1ADE"/>
    <w:rsid w:val="009D297C"/>
    <w:rsid w:val="009D3599"/>
    <w:rsid w:val="009D3652"/>
    <w:rsid w:val="009D37CA"/>
    <w:rsid w:val="009D4229"/>
    <w:rsid w:val="009D4268"/>
    <w:rsid w:val="009D5DE9"/>
    <w:rsid w:val="009E09D0"/>
    <w:rsid w:val="009E1181"/>
    <w:rsid w:val="009E1283"/>
    <w:rsid w:val="009E3A7F"/>
    <w:rsid w:val="009E3B38"/>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055"/>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45B"/>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844"/>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126"/>
    <w:rsid w:val="00AE0BF9"/>
    <w:rsid w:val="00AE1273"/>
    <w:rsid w:val="00AE18C5"/>
    <w:rsid w:val="00AE2540"/>
    <w:rsid w:val="00AE2CF4"/>
    <w:rsid w:val="00AE2D29"/>
    <w:rsid w:val="00AE2F15"/>
    <w:rsid w:val="00AE4624"/>
    <w:rsid w:val="00AE492E"/>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20AA"/>
    <w:rsid w:val="00B131B0"/>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868"/>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517"/>
    <w:rsid w:val="00B37F53"/>
    <w:rsid w:val="00B40A05"/>
    <w:rsid w:val="00B40A3E"/>
    <w:rsid w:val="00B427BB"/>
    <w:rsid w:val="00B432BF"/>
    <w:rsid w:val="00B43BA2"/>
    <w:rsid w:val="00B449EE"/>
    <w:rsid w:val="00B454AE"/>
    <w:rsid w:val="00B46D6A"/>
    <w:rsid w:val="00B50227"/>
    <w:rsid w:val="00B50510"/>
    <w:rsid w:val="00B522CD"/>
    <w:rsid w:val="00B55143"/>
    <w:rsid w:val="00B553B2"/>
    <w:rsid w:val="00B555C8"/>
    <w:rsid w:val="00B55917"/>
    <w:rsid w:val="00B55D87"/>
    <w:rsid w:val="00B5646A"/>
    <w:rsid w:val="00B56F3D"/>
    <w:rsid w:val="00B57392"/>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2F"/>
    <w:rsid w:val="00B81964"/>
    <w:rsid w:val="00B82277"/>
    <w:rsid w:val="00B83F87"/>
    <w:rsid w:val="00B8478F"/>
    <w:rsid w:val="00B84F93"/>
    <w:rsid w:val="00B91676"/>
    <w:rsid w:val="00B91DB8"/>
    <w:rsid w:val="00B9322B"/>
    <w:rsid w:val="00B93640"/>
    <w:rsid w:val="00B955D5"/>
    <w:rsid w:val="00B95833"/>
    <w:rsid w:val="00B97617"/>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39FC"/>
    <w:rsid w:val="00BC5860"/>
    <w:rsid w:val="00BC652E"/>
    <w:rsid w:val="00BC7F82"/>
    <w:rsid w:val="00BD0387"/>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467"/>
    <w:rsid w:val="00BE2AB8"/>
    <w:rsid w:val="00BE2FC1"/>
    <w:rsid w:val="00BE3142"/>
    <w:rsid w:val="00BE4039"/>
    <w:rsid w:val="00BE5831"/>
    <w:rsid w:val="00BE6365"/>
    <w:rsid w:val="00BF01B7"/>
    <w:rsid w:val="00BF05D4"/>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8D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935"/>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230"/>
    <w:rsid w:val="00CC39D2"/>
    <w:rsid w:val="00CC69EC"/>
    <w:rsid w:val="00CC78A2"/>
    <w:rsid w:val="00CC7DF8"/>
    <w:rsid w:val="00CD15BE"/>
    <w:rsid w:val="00CD1EF2"/>
    <w:rsid w:val="00CD2A7D"/>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68B"/>
    <w:rsid w:val="00D46A33"/>
    <w:rsid w:val="00D4792A"/>
    <w:rsid w:val="00D5062C"/>
    <w:rsid w:val="00D50C8C"/>
    <w:rsid w:val="00D520DF"/>
    <w:rsid w:val="00D52393"/>
    <w:rsid w:val="00D523E4"/>
    <w:rsid w:val="00D5279D"/>
    <w:rsid w:val="00D52A1B"/>
    <w:rsid w:val="00D52AA7"/>
    <w:rsid w:val="00D52FCC"/>
    <w:rsid w:val="00D53F14"/>
    <w:rsid w:val="00D5462F"/>
    <w:rsid w:val="00D54BE4"/>
    <w:rsid w:val="00D54DDB"/>
    <w:rsid w:val="00D554BC"/>
    <w:rsid w:val="00D560DC"/>
    <w:rsid w:val="00D56602"/>
    <w:rsid w:val="00D60483"/>
    <w:rsid w:val="00D61ABB"/>
    <w:rsid w:val="00D62D5C"/>
    <w:rsid w:val="00D63577"/>
    <w:rsid w:val="00D65C5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48"/>
    <w:rsid w:val="00DB6365"/>
    <w:rsid w:val="00DB756C"/>
    <w:rsid w:val="00DC07B7"/>
    <w:rsid w:val="00DC0BF1"/>
    <w:rsid w:val="00DC17F2"/>
    <w:rsid w:val="00DC4001"/>
    <w:rsid w:val="00DC41C3"/>
    <w:rsid w:val="00DC4A3C"/>
    <w:rsid w:val="00DC4E9A"/>
    <w:rsid w:val="00DC4FA4"/>
    <w:rsid w:val="00DC5B37"/>
    <w:rsid w:val="00DD286D"/>
    <w:rsid w:val="00DD2CAF"/>
    <w:rsid w:val="00DD3593"/>
    <w:rsid w:val="00DD64E0"/>
    <w:rsid w:val="00DD775C"/>
    <w:rsid w:val="00DD7BE0"/>
    <w:rsid w:val="00DE0C67"/>
    <w:rsid w:val="00DE3AAD"/>
    <w:rsid w:val="00DE44A4"/>
    <w:rsid w:val="00DE598A"/>
    <w:rsid w:val="00DE6952"/>
    <w:rsid w:val="00DE6FBE"/>
    <w:rsid w:val="00DE7A7D"/>
    <w:rsid w:val="00DE7E74"/>
    <w:rsid w:val="00DF071B"/>
    <w:rsid w:val="00DF2C81"/>
    <w:rsid w:val="00DF464D"/>
    <w:rsid w:val="00DF5C84"/>
    <w:rsid w:val="00DF5EC0"/>
    <w:rsid w:val="00DF6EF8"/>
    <w:rsid w:val="00DF6EFE"/>
    <w:rsid w:val="00E00A69"/>
    <w:rsid w:val="00E017BC"/>
    <w:rsid w:val="00E017F0"/>
    <w:rsid w:val="00E01A0E"/>
    <w:rsid w:val="00E025FE"/>
    <w:rsid w:val="00E0346A"/>
    <w:rsid w:val="00E041E4"/>
    <w:rsid w:val="00E04AEE"/>
    <w:rsid w:val="00E06BBD"/>
    <w:rsid w:val="00E07AF6"/>
    <w:rsid w:val="00E100E3"/>
    <w:rsid w:val="00E1012B"/>
    <w:rsid w:val="00E103C8"/>
    <w:rsid w:val="00E1085B"/>
    <w:rsid w:val="00E1308B"/>
    <w:rsid w:val="00E14581"/>
    <w:rsid w:val="00E14623"/>
    <w:rsid w:val="00E15539"/>
    <w:rsid w:val="00E16541"/>
    <w:rsid w:val="00E17EC9"/>
    <w:rsid w:val="00E202F4"/>
    <w:rsid w:val="00E20352"/>
    <w:rsid w:val="00E207C3"/>
    <w:rsid w:val="00E21386"/>
    <w:rsid w:val="00E2421B"/>
    <w:rsid w:val="00E242AF"/>
    <w:rsid w:val="00E24849"/>
    <w:rsid w:val="00E24C90"/>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00A"/>
    <w:rsid w:val="00E6546A"/>
    <w:rsid w:val="00E65C05"/>
    <w:rsid w:val="00E65D39"/>
    <w:rsid w:val="00E670F8"/>
    <w:rsid w:val="00E6741B"/>
    <w:rsid w:val="00E67FAC"/>
    <w:rsid w:val="00E70164"/>
    <w:rsid w:val="00E71485"/>
    <w:rsid w:val="00E7200B"/>
    <w:rsid w:val="00E738CB"/>
    <w:rsid w:val="00E73C88"/>
    <w:rsid w:val="00E73DE4"/>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4FF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68B0"/>
    <w:rsid w:val="00EB04C6"/>
    <w:rsid w:val="00EB06A6"/>
    <w:rsid w:val="00EB1E6A"/>
    <w:rsid w:val="00EB29EA"/>
    <w:rsid w:val="00EB3307"/>
    <w:rsid w:val="00EB3800"/>
    <w:rsid w:val="00EB3823"/>
    <w:rsid w:val="00EB3CBB"/>
    <w:rsid w:val="00EB47D8"/>
    <w:rsid w:val="00EB4A7E"/>
    <w:rsid w:val="00EB57D3"/>
    <w:rsid w:val="00EB5EFD"/>
    <w:rsid w:val="00EB679F"/>
    <w:rsid w:val="00EB76E4"/>
    <w:rsid w:val="00EB7FE0"/>
    <w:rsid w:val="00EC0E65"/>
    <w:rsid w:val="00EC1251"/>
    <w:rsid w:val="00EC2938"/>
    <w:rsid w:val="00EC337D"/>
    <w:rsid w:val="00EC38EF"/>
    <w:rsid w:val="00EC50C9"/>
    <w:rsid w:val="00EC58B4"/>
    <w:rsid w:val="00EC5BB2"/>
    <w:rsid w:val="00EC6CE8"/>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353"/>
    <w:rsid w:val="00F24072"/>
    <w:rsid w:val="00F26432"/>
    <w:rsid w:val="00F3197A"/>
    <w:rsid w:val="00F32139"/>
    <w:rsid w:val="00F33CF0"/>
    <w:rsid w:val="00F33D56"/>
    <w:rsid w:val="00F34E08"/>
    <w:rsid w:val="00F41D91"/>
    <w:rsid w:val="00F41F52"/>
    <w:rsid w:val="00F41FA1"/>
    <w:rsid w:val="00F42363"/>
    <w:rsid w:val="00F427C4"/>
    <w:rsid w:val="00F430B9"/>
    <w:rsid w:val="00F43937"/>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53AE"/>
    <w:rsid w:val="00F908D5"/>
    <w:rsid w:val="00F913B9"/>
    <w:rsid w:val="00F9228C"/>
    <w:rsid w:val="00F93C74"/>
    <w:rsid w:val="00F93DCC"/>
    <w:rsid w:val="00F9435D"/>
    <w:rsid w:val="00F966F9"/>
    <w:rsid w:val="00F96F61"/>
    <w:rsid w:val="00F97740"/>
    <w:rsid w:val="00FA0C8F"/>
    <w:rsid w:val="00FA19B8"/>
    <w:rsid w:val="00FA2DEF"/>
    <w:rsid w:val="00FA2F7B"/>
    <w:rsid w:val="00FA3C90"/>
    <w:rsid w:val="00FA3C97"/>
    <w:rsid w:val="00FA3D30"/>
    <w:rsid w:val="00FA4B49"/>
    <w:rsid w:val="00FA507D"/>
    <w:rsid w:val="00FA54F8"/>
    <w:rsid w:val="00FA56ED"/>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A1E"/>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115"/>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6B9D-280E-47FB-9C97-252BFDF1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2011-04-08T11:41:00Z</cp:lastPrinted>
  <dcterms:created xsi:type="dcterms:W3CDTF">2012-03-13T14:14:00Z</dcterms:created>
  <dcterms:modified xsi:type="dcterms:W3CDTF">2012-04-30T15:46:00Z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