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Default="00F629C0" w:rsidP="00E0346A">
      <w:pPr>
        <w:tabs>
          <w:tab w:val="left" w:pos="288"/>
          <w:tab w:val="left" w:pos="4752"/>
          <w:tab w:val="left" w:pos="5130"/>
          <w:tab w:val="left" w:pos="9270"/>
        </w:tabs>
        <w:spacing w:line="240" w:lineRule="exact"/>
        <w:jc w:val="both"/>
        <w:rPr>
          <w:caps/>
          <w:color w:val="auto"/>
        </w:rPr>
      </w:pPr>
      <w:r w:rsidRPr="00FD6C41">
        <w:rPr>
          <w:caps/>
          <w:color w:val="auto"/>
        </w:rPr>
        <w:t xml:space="preserve">NAME: </w:t>
      </w:r>
      <w:r>
        <w:rPr>
          <w:caps/>
          <w:color w:val="auto"/>
        </w:rPr>
        <w:t xml:space="preserve"> </w:t>
      </w:r>
      <w:r w:rsidR="000D2683">
        <w:rPr>
          <w:caps/>
          <w:color w:val="auto"/>
        </w:rPr>
        <w:t>xxxxxxxxxxxxxxxx</w:t>
      </w:r>
      <w:r w:rsidR="004E50BC">
        <w:rPr>
          <w:caps/>
          <w:color w:val="auto"/>
        </w:rPr>
        <w:t xml:space="preserve"> </w:t>
      </w:r>
      <w:r w:rsidR="004216DA">
        <w:rPr>
          <w:caps/>
          <w:color w:val="auto"/>
        </w:rPr>
        <w:t xml:space="preserve">             </w:t>
      </w:r>
      <w:r w:rsidR="00332DE3">
        <w:rPr>
          <w:caps/>
          <w:color w:val="auto"/>
        </w:rPr>
        <w:t xml:space="preserve"> </w:t>
      </w:r>
      <w:r w:rsidR="004216DA">
        <w:rPr>
          <w:caps/>
          <w:color w:val="auto"/>
        </w:rPr>
        <w:t xml:space="preserve">  </w:t>
      </w:r>
      <w:r w:rsidR="004E50BC">
        <w:rPr>
          <w:caps/>
          <w:color w:val="auto"/>
        </w:rPr>
        <w:t xml:space="preserve">                                          </w:t>
      </w:r>
      <w:r w:rsidR="00323D0A">
        <w:rPr>
          <w:caps/>
          <w:color w:val="auto"/>
        </w:rPr>
        <w:t xml:space="preserve"> </w:t>
      </w:r>
      <w:r w:rsidR="0010743B">
        <w:rPr>
          <w:caps/>
          <w:color w:val="auto"/>
        </w:rPr>
        <w:t xml:space="preserve">   </w:t>
      </w:r>
      <w:r w:rsidR="00323D0A">
        <w:rPr>
          <w:caps/>
          <w:color w:val="auto"/>
        </w:rPr>
        <w:t xml:space="preserve"> </w:t>
      </w:r>
      <w:r w:rsidR="00636A4F">
        <w:rPr>
          <w:caps/>
          <w:color w:val="auto"/>
        </w:rPr>
        <w:t xml:space="preserve">      </w:t>
      </w:r>
      <w:r w:rsidRPr="00FD6C41">
        <w:rPr>
          <w:caps/>
          <w:color w:val="auto"/>
        </w:rPr>
        <w:t>BRANCH OF SERVICE</w:t>
      </w:r>
      <w:r w:rsidRPr="004E50BC">
        <w:rPr>
          <w:caps/>
          <w:color w:val="auto"/>
        </w:rPr>
        <w:t xml:space="preserve">: </w:t>
      </w:r>
      <w:r w:rsidR="004C24C5" w:rsidRPr="004E50BC">
        <w:rPr>
          <w:caps/>
          <w:color w:val="auto"/>
        </w:rPr>
        <w:t xml:space="preserve"> </w:t>
      </w:r>
      <w:r w:rsidR="00332DE3" w:rsidRPr="004E50BC">
        <w:rPr>
          <w:caps/>
          <w:color w:val="auto"/>
        </w:rPr>
        <w:t xml:space="preserve">Army </w:t>
      </w:r>
    </w:p>
    <w:p w:rsidR="00DE3AAD" w:rsidRDefault="00012733" w:rsidP="0010743B">
      <w:pPr>
        <w:tabs>
          <w:tab w:val="left" w:pos="288"/>
          <w:tab w:val="left" w:pos="4752"/>
          <w:tab w:val="left" w:pos="5130"/>
          <w:tab w:val="left" w:pos="6300"/>
          <w:tab w:val="left" w:pos="9270"/>
        </w:tabs>
        <w:spacing w:line="240" w:lineRule="exact"/>
        <w:jc w:val="both"/>
        <w:rPr>
          <w:caps/>
          <w:color w:val="auto"/>
        </w:rPr>
      </w:pPr>
      <w:r>
        <w:rPr>
          <w:caps/>
          <w:color w:val="auto"/>
        </w:rPr>
        <w:t>C</w:t>
      </w:r>
      <w:r w:rsidR="00DE3AAD" w:rsidRPr="00FD6C41">
        <w:rPr>
          <w:caps/>
          <w:color w:val="auto"/>
        </w:rPr>
        <w:t xml:space="preserve">ASE NUMBER: </w:t>
      </w:r>
      <w:r w:rsidR="00DE3AAD">
        <w:rPr>
          <w:caps/>
          <w:color w:val="auto"/>
        </w:rPr>
        <w:t xml:space="preserve"> </w:t>
      </w:r>
      <w:r w:rsidR="00DE3AAD" w:rsidRPr="004E50BC">
        <w:rPr>
          <w:caps/>
          <w:color w:val="auto"/>
        </w:rPr>
        <w:t>PD</w:t>
      </w:r>
      <w:r w:rsidR="004E50BC" w:rsidRPr="004E50BC">
        <w:rPr>
          <w:caps/>
          <w:color w:val="auto"/>
        </w:rPr>
        <w:t>11</w:t>
      </w:r>
      <w:r w:rsidR="00DE3AAD" w:rsidRPr="004E50BC">
        <w:rPr>
          <w:caps/>
          <w:color w:val="auto"/>
        </w:rPr>
        <w:t>00</w:t>
      </w:r>
      <w:r w:rsidR="004E50BC" w:rsidRPr="004E50BC">
        <w:rPr>
          <w:caps/>
          <w:color w:val="auto"/>
        </w:rPr>
        <w:t>194</w:t>
      </w:r>
      <w:r w:rsidR="00DE3AAD" w:rsidRPr="00DE3AAD">
        <w:rPr>
          <w:color w:val="auto"/>
        </w:rPr>
        <w:t xml:space="preserve"> </w:t>
      </w:r>
      <w:r w:rsidR="00DE3AAD">
        <w:rPr>
          <w:color w:val="auto"/>
        </w:rPr>
        <w:tab/>
        <w:t xml:space="preserve">         </w:t>
      </w:r>
      <w:r w:rsidR="00E0346A">
        <w:rPr>
          <w:color w:val="auto"/>
        </w:rPr>
        <w:t xml:space="preserve">         </w:t>
      </w:r>
      <w:r w:rsidR="00F54120">
        <w:rPr>
          <w:color w:val="auto"/>
        </w:rPr>
        <w:t xml:space="preserve">    </w:t>
      </w:r>
      <w:r w:rsidR="00636A4F">
        <w:rPr>
          <w:color w:val="auto"/>
        </w:rPr>
        <w:t xml:space="preserve">    </w:t>
      </w:r>
      <w:r w:rsidR="00F54120">
        <w:rPr>
          <w:color w:val="auto"/>
        </w:rPr>
        <w:t xml:space="preserve">   </w:t>
      </w:r>
      <w:r w:rsidR="00636A4F">
        <w:rPr>
          <w:color w:val="auto"/>
        </w:rPr>
        <w:t xml:space="preserve"> </w:t>
      </w:r>
      <w:r w:rsidR="00DE3AAD" w:rsidRPr="00DE3AAD">
        <w:rPr>
          <w:color w:val="auto"/>
        </w:rPr>
        <w:t>SEPARATION DATE:  200</w:t>
      </w:r>
      <w:r w:rsidR="004E50BC">
        <w:rPr>
          <w:color w:val="auto"/>
        </w:rPr>
        <w:t>40903</w:t>
      </w:r>
    </w:p>
    <w:p w:rsidR="00A212AD" w:rsidRDefault="004F3639" w:rsidP="00510F9C">
      <w:pPr>
        <w:tabs>
          <w:tab w:val="left" w:pos="288"/>
          <w:tab w:val="left" w:pos="5130"/>
        </w:tabs>
        <w:spacing w:line="240" w:lineRule="exact"/>
        <w:jc w:val="both"/>
        <w:rPr>
          <w:caps/>
          <w:color w:val="auto"/>
        </w:rPr>
      </w:pPr>
      <w:r w:rsidRPr="00FD6C41">
        <w:rPr>
          <w:caps/>
          <w:color w:val="auto"/>
        </w:rPr>
        <w:t xml:space="preserve">BOARD DATE: </w:t>
      </w:r>
      <w:r>
        <w:rPr>
          <w:caps/>
          <w:color w:val="auto"/>
        </w:rPr>
        <w:t xml:space="preserve"> </w:t>
      </w:r>
      <w:r w:rsidRPr="00655258">
        <w:rPr>
          <w:caps/>
          <w:color w:val="auto"/>
        </w:rPr>
        <w:t>201</w:t>
      </w:r>
      <w:r w:rsidR="00636A4F">
        <w:rPr>
          <w:caps/>
          <w:color w:val="auto"/>
        </w:rPr>
        <w:t>2</w:t>
      </w:r>
      <w:r w:rsidR="00A212AD">
        <w:rPr>
          <w:caps/>
          <w:color w:val="auto"/>
        </w:rPr>
        <w:t>0202</w:t>
      </w:r>
    </w:p>
    <w:p w:rsidR="008E0D8F" w:rsidRDefault="008E0D8F" w:rsidP="00510F9C">
      <w:pPr>
        <w:pBdr>
          <w:bottom w:val="single" w:sz="12" w:space="1" w:color="auto"/>
        </w:pBdr>
        <w:tabs>
          <w:tab w:val="left" w:pos="288"/>
          <w:tab w:val="left" w:pos="4752"/>
        </w:tabs>
        <w:spacing w:line="240" w:lineRule="exact"/>
        <w:jc w:val="both"/>
        <w:rPr>
          <w:color w:val="auto"/>
          <w:u w:val="single"/>
        </w:rPr>
      </w:pPr>
    </w:p>
    <w:p w:rsidR="003F1206" w:rsidRDefault="003F1206" w:rsidP="00510F9C">
      <w:pPr>
        <w:tabs>
          <w:tab w:val="left" w:pos="288"/>
          <w:tab w:val="left" w:pos="4752"/>
        </w:tabs>
        <w:spacing w:line="240" w:lineRule="exact"/>
        <w:jc w:val="both"/>
        <w:rPr>
          <w:color w:val="auto"/>
        </w:rPr>
      </w:pPr>
    </w:p>
    <w:p w:rsidR="00F63FC7" w:rsidRPr="00C472C7" w:rsidRDefault="00FB0E80"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w:t>
      </w:r>
      <w:r w:rsidR="009759C2" w:rsidRPr="00EC337D">
        <w:rPr>
          <w:color w:val="auto"/>
        </w:rPr>
        <w:t>Data extracted from the available evidence of record reflects that this covered individual (CI)</w:t>
      </w:r>
      <w:r w:rsidR="00570754" w:rsidRPr="00EC337D">
        <w:rPr>
          <w:color w:val="auto"/>
        </w:rPr>
        <w:t xml:space="preserve"> </w:t>
      </w:r>
      <w:r w:rsidR="002C6E5B" w:rsidRPr="00AD7F8F">
        <w:rPr>
          <w:color w:val="auto"/>
          <w:szCs w:val="24"/>
        </w:rPr>
        <w:t xml:space="preserve">was </w:t>
      </w:r>
      <w:r w:rsidR="00E322F7" w:rsidRPr="00AD7F8F">
        <w:rPr>
          <w:color w:val="auto"/>
          <w:szCs w:val="24"/>
        </w:rPr>
        <w:t>an active duty</w:t>
      </w:r>
      <w:r w:rsidR="002E65E6">
        <w:rPr>
          <w:color w:val="auto"/>
          <w:szCs w:val="24"/>
        </w:rPr>
        <w:t xml:space="preserve"> member,</w:t>
      </w:r>
      <w:r w:rsidR="006D4E0E" w:rsidRPr="00AD7F8F">
        <w:rPr>
          <w:color w:val="auto"/>
          <w:szCs w:val="24"/>
        </w:rPr>
        <w:t xml:space="preserve"> </w:t>
      </w:r>
      <w:r w:rsidR="004E50BC">
        <w:rPr>
          <w:color w:val="auto"/>
          <w:szCs w:val="24"/>
        </w:rPr>
        <w:t>CPT/O3</w:t>
      </w:r>
      <w:r w:rsidR="00705C40" w:rsidRPr="00AD7F8F">
        <w:rPr>
          <w:color w:val="auto"/>
          <w:szCs w:val="24"/>
        </w:rPr>
        <w:t xml:space="preserve"> </w:t>
      </w:r>
      <w:r w:rsidR="001669E8">
        <w:rPr>
          <w:color w:val="auto"/>
          <w:szCs w:val="24"/>
        </w:rPr>
        <w:t xml:space="preserve">Army </w:t>
      </w:r>
      <w:r w:rsidR="00636A4F">
        <w:rPr>
          <w:color w:val="auto"/>
          <w:szCs w:val="24"/>
        </w:rPr>
        <w:t>N</w:t>
      </w:r>
      <w:r w:rsidR="001669E8">
        <w:rPr>
          <w:color w:val="auto"/>
          <w:szCs w:val="24"/>
        </w:rPr>
        <w:t>urs</w:t>
      </w:r>
      <w:r w:rsidR="00636A4F">
        <w:rPr>
          <w:color w:val="auto"/>
          <w:szCs w:val="24"/>
        </w:rPr>
        <w:t xml:space="preserve">e Corps </w:t>
      </w:r>
      <w:r w:rsidR="00705C40" w:rsidRPr="00AD7F8F">
        <w:rPr>
          <w:color w:val="auto"/>
          <w:szCs w:val="24"/>
        </w:rPr>
        <w:t>(</w:t>
      </w:r>
      <w:r w:rsidR="004E50BC">
        <w:rPr>
          <w:color w:val="auto"/>
          <w:szCs w:val="24"/>
        </w:rPr>
        <w:t>66H</w:t>
      </w:r>
      <w:r w:rsidR="00C75F3D">
        <w:rPr>
          <w:color w:val="auto"/>
          <w:szCs w:val="24"/>
        </w:rPr>
        <w:t xml:space="preserve">, </w:t>
      </w:r>
      <w:r w:rsidR="00636A4F">
        <w:rPr>
          <w:color w:val="auto"/>
          <w:szCs w:val="24"/>
        </w:rPr>
        <w:t>Medical Surgical Nurse)</w:t>
      </w:r>
      <w:r w:rsidR="001669E8">
        <w:rPr>
          <w:color w:val="auto"/>
          <w:szCs w:val="24"/>
        </w:rPr>
        <w:t xml:space="preserve">. </w:t>
      </w:r>
      <w:r w:rsidR="00636A4F">
        <w:rPr>
          <w:color w:val="auto"/>
          <w:szCs w:val="24"/>
        </w:rPr>
        <w:t xml:space="preserve"> </w:t>
      </w:r>
      <w:r w:rsidR="001669E8">
        <w:rPr>
          <w:color w:val="auto"/>
          <w:szCs w:val="24"/>
        </w:rPr>
        <w:t>He was</w:t>
      </w:r>
      <w:r w:rsidR="00C75F3D">
        <w:rPr>
          <w:color w:val="auto"/>
          <w:szCs w:val="24"/>
        </w:rPr>
        <w:t xml:space="preserve"> </w:t>
      </w:r>
      <w:r w:rsidR="002C6E5B" w:rsidRPr="00AD7F8F">
        <w:rPr>
          <w:color w:val="auto"/>
          <w:szCs w:val="24"/>
        </w:rPr>
        <w:t xml:space="preserve">medically separated for </w:t>
      </w:r>
      <w:r w:rsidR="004E50BC">
        <w:rPr>
          <w:color w:val="auto"/>
          <w:szCs w:val="24"/>
        </w:rPr>
        <w:t xml:space="preserve">chronic neck pain. </w:t>
      </w:r>
      <w:r w:rsidR="00636A4F">
        <w:rPr>
          <w:color w:val="auto"/>
          <w:szCs w:val="24"/>
        </w:rPr>
        <w:t xml:space="preserve"> </w:t>
      </w:r>
      <w:r w:rsidR="001669E8">
        <w:rPr>
          <w:color w:val="auto"/>
          <w:szCs w:val="24"/>
        </w:rPr>
        <w:t xml:space="preserve">He </w:t>
      </w:r>
      <w:r w:rsidR="00E322F7" w:rsidRPr="004E50BC">
        <w:rPr>
          <w:color w:val="auto"/>
          <w:szCs w:val="24"/>
        </w:rPr>
        <w:t xml:space="preserve">did not respond adequately </w:t>
      </w:r>
      <w:r w:rsidR="00C75F3D" w:rsidRPr="004E50BC">
        <w:rPr>
          <w:color w:val="auto"/>
          <w:szCs w:val="24"/>
        </w:rPr>
        <w:t xml:space="preserve">to treatment and was unable to </w:t>
      </w:r>
      <w:r w:rsidR="00E322F7" w:rsidRPr="004E50BC">
        <w:rPr>
          <w:color w:val="auto"/>
          <w:szCs w:val="24"/>
        </w:rPr>
        <w:t xml:space="preserve">perform </w:t>
      </w:r>
      <w:r w:rsidR="00AC2863">
        <w:rPr>
          <w:color w:val="auto"/>
          <w:szCs w:val="24"/>
        </w:rPr>
        <w:t xml:space="preserve">the more strenuous duties required in his </w:t>
      </w:r>
      <w:r w:rsidR="00CC5502">
        <w:rPr>
          <w:color w:val="auto"/>
          <w:szCs w:val="24"/>
        </w:rPr>
        <w:t>M</w:t>
      </w:r>
      <w:r w:rsidR="00AC2863">
        <w:rPr>
          <w:color w:val="auto"/>
          <w:szCs w:val="24"/>
        </w:rPr>
        <w:t xml:space="preserve">ilitary </w:t>
      </w:r>
      <w:r w:rsidR="00CC5502">
        <w:rPr>
          <w:color w:val="auto"/>
          <w:szCs w:val="24"/>
        </w:rPr>
        <w:t>Occupational S</w:t>
      </w:r>
      <w:r w:rsidR="00AC2863">
        <w:rPr>
          <w:color w:val="auto"/>
          <w:szCs w:val="24"/>
        </w:rPr>
        <w:t>pecialty</w:t>
      </w:r>
      <w:r w:rsidR="00CC5502">
        <w:rPr>
          <w:color w:val="auto"/>
          <w:szCs w:val="24"/>
        </w:rPr>
        <w:t xml:space="preserve"> (MOS)</w:t>
      </w:r>
      <w:r w:rsidR="00AC2863">
        <w:rPr>
          <w:color w:val="auto"/>
          <w:szCs w:val="24"/>
        </w:rPr>
        <w:t xml:space="preserve">, particularly in a deployed setting.  </w:t>
      </w:r>
      <w:r w:rsidR="00555C66" w:rsidRPr="004E50BC">
        <w:rPr>
          <w:color w:val="auto"/>
          <w:szCs w:val="24"/>
        </w:rPr>
        <w:t>He was issued</w:t>
      </w:r>
      <w:r w:rsidR="00E322F7" w:rsidRPr="004E50BC">
        <w:rPr>
          <w:color w:val="auto"/>
          <w:szCs w:val="24"/>
        </w:rPr>
        <w:t xml:space="preserve"> a permanent </w:t>
      </w:r>
      <w:r w:rsidR="004E50BC" w:rsidRPr="004E50BC">
        <w:rPr>
          <w:color w:val="auto"/>
          <w:szCs w:val="24"/>
        </w:rPr>
        <w:t>U3/E2</w:t>
      </w:r>
      <w:r w:rsidR="0044411E" w:rsidRPr="004E50BC">
        <w:rPr>
          <w:color w:val="auto"/>
          <w:szCs w:val="24"/>
        </w:rPr>
        <w:t xml:space="preserve"> </w:t>
      </w:r>
      <w:r w:rsidR="00E322F7" w:rsidRPr="004E50BC">
        <w:rPr>
          <w:color w:val="auto"/>
          <w:szCs w:val="24"/>
        </w:rPr>
        <w:t>profile</w:t>
      </w:r>
      <w:r w:rsidR="004E50BC" w:rsidRPr="004E50BC">
        <w:rPr>
          <w:color w:val="auto"/>
          <w:szCs w:val="24"/>
        </w:rPr>
        <w:t xml:space="preserve"> </w:t>
      </w:r>
      <w:r w:rsidR="00E322F7" w:rsidRPr="004E50BC">
        <w:rPr>
          <w:color w:val="auto"/>
          <w:szCs w:val="24"/>
        </w:rPr>
        <w:t>and</w:t>
      </w:r>
      <w:r w:rsidR="00E322F7" w:rsidRPr="00C472C7">
        <w:rPr>
          <w:color w:val="auto"/>
          <w:szCs w:val="24"/>
        </w:rPr>
        <w:t xml:space="preserve"> underwent a </w:t>
      </w:r>
      <w:r w:rsidR="00705C40" w:rsidRPr="00C472C7">
        <w:rPr>
          <w:color w:val="auto"/>
          <w:szCs w:val="24"/>
        </w:rPr>
        <w:t>Medical Evaluation Board (</w:t>
      </w:r>
      <w:r w:rsidR="00E322F7" w:rsidRPr="00C472C7">
        <w:rPr>
          <w:color w:val="auto"/>
          <w:szCs w:val="24"/>
        </w:rPr>
        <w:t>MEB</w:t>
      </w:r>
      <w:r w:rsidR="00705C40" w:rsidRPr="00C472C7">
        <w:rPr>
          <w:color w:val="auto"/>
          <w:szCs w:val="24"/>
        </w:rPr>
        <w:t>)</w:t>
      </w:r>
      <w:r w:rsidR="00E322F7" w:rsidRPr="00C472C7">
        <w:rPr>
          <w:color w:val="auto"/>
          <w:szCs w:val="24"/>
        </w:rPr>
        <w:t>.</w:t>
      </w:r>
      <w:r w:rsidR="00BF49EF">
        <w:rPr>
          <w:color w:val="auto"/>
          <w:szCs w:val="24"/>
        </w:rPr>
        <w:t xml:space="preserve">  </w:t>
      </w:r>
      <w:r w:rsidR="004E50BC" w:rsidRPr="004E50BC">
        <w:rPr>
          <w:color w:val="auto"/>
          <w:szCs w:val="24"/>
        </w:rPr>
        <w:t>Cervical spine</w:t>
      </w:r>
      <w:r w:rsidR="00BF49EF">
        <w:rPr>
          <w:color w:val="auto"/>
          <w:szCs w:val="24"/>
        </w:rPr>
        <w:t xml:space="preserve"> degenerative disc disease (DDD)</w:t>
      </w:r>
      <w:r w:rsidR="004E50BC" w:rsidRPr="004E50BC">
        <w:rPr>
          <w:color w:val="auto"/>
          <w:szCs w:val="24"/>
        </w:rPr>
        <w:t xml:space="preserve"> was </w:t>
      </w:r>
      <w:r w:rsidR="000A33C8" w:rsidRPr="004E50BC">
        <w:rPr>
          <w:color w:val="auto"/>
          <w:szCs w:val="24"/>
        </w:rPr>
        <w:t>forwarded to the Physical Evaluation Board (PEB) as medically unacceptable IAW AR 40-501</w:t>
      </w:r>
      <w:r w:rsidR="00376E08" w:rsidRPr="004E50BC">
        <w:rPr>
          <w:color w:val="auto"/>
          <w:szCs w:val="24"/>
        </w:rPr>
        <w:t>.</w:t>
      </w:r>
      <w:r w:rsidR="00BF49EF">
        <w:rPr>
          <w:color w:val="auto"/>
          <w:szCs w:val="24"/>
        </w:rPr>
        <w:t xml:space="preserve">  </w:t>
      </w:r>
      <w:r w:rsidR="004E50BC" w:rsidRPr="004E50BC">
        <w:rPr>
          <w:color w:val="auto"/>
          <w:szCs w:val="24"/>
        </w:rPr>
        <w:t xml:space="preserve">Seven </w:t>
      </w:r>
      <w:r w:rsidR="00954E5B" w:rsidRPr="004E50BC">
        <w:rPr>
          <w:color w:val="auto"/>
          <w:szCs w:val="24"/>
        </w:rPr>
        <w:t xml:space="preserve">other conditions, as identified in the rating chart below, were forwarded on the </w:t>
      </w:r>
      <w:r w:rsidR="00B04562" w:rsidRPr="004E50BC">
        <w:rPr>
          <w:color w:val="auto"/>
          <w:szCs w:val="24"/>
        </w:rPr>
        <w:t xml:space="preserve">MEB submission </w:t>
      </w:r>
      <w:r w:rsidR="00954E5B" w:rsidRPr="004E50BC">
        <w:rPr>
          <w:color w:val="auto"/>
          <w:szCs w:val="24"/>
        </w:rPr>
        <w:t>as medically acceptable conditions</w:t>
      </w:r>
      <w:r w:rsidR="00B04562" w:rsidRPr="004E50BC">
        <w:rPr>
          <w:color w:val="auto"/>
          <w:szCs w:val="24"/>
        </w:rPr>
        <w:t>.</w:t>
      </w:r>
      <w:r w:rsidR="00BF49EF">
        <w:rPr>
          <w:color w:val="auto"/>
          <w:szCs w:val="24"/>
        </w:rPr>
        <w:t xml:space="preserve">  </w:t>
      </w:r>
      <w:r w:rsidR="00B20624" w:rsidRPr="00214957">
        <w:rPr>
          <w:color w:val="auto"/>
          <w:szCs w:val="24"/>
        </w:rPr>
        <w:t>The PEB</w:t>
      </w:r>
      <w:r w:rsidR="007828B4" w:rsidRPr="00214957">
        <w:rPr>
          <w:color w:val="auto"/>
          <w:szCs w:val="24"/>
        </w:rPr>
        <w:t xml:space="preserve"> </w:t>
      </w:r>
      <w:r w:rsidR="00B20624" w:rsidRPr="00214957">
        <w:rPr>
          <w:color w:val="auto"/>
          <w:szCs w:val="24"/>
        </w:rPr>
        <w:t xml:space="preserve">adjudicated the </w:t>
      </w:r>
      <w:r w:rsidR="00214957" w:rsidRPr="00214957">
        <w:rPr>
          <w:color w:val="auto"/>
          <w:szCs w:val="24"/>
        </w:rPr>
        <w:t xml:space="preserve">chronic neck pain </w:t>
      </w:r>
      <w:r w:rsidR="00B20624" w:rsidRPr="00214957">
        <w:rPr>
          <w:color w:val="auto"/>
          <w:szCs w:val="24"/>
        </w:rPr>
        <w:t xml:space="preserve">as unfitting, rated </w:t>
      </w:r>
      <w:r w:rsidR="00214957" w:rsidRPr="00214957">
        <w:rPr>
          <w:color w:val="auto"/>
          <w:szCs w:val="24"/>
        </w:rPr>
        <w:t>10</w:t>
      </w:r>
      <w:r w:rsidR="00B20624" w:rsidRPr="00214957">
        <w:rPr>
          <w:color w:val="auto"/>
          <w:szCs w:val="24"/>
        </w:rPr>
        <w:t>%</w:t>
      </w:r>
      <w:r w:rsidR="00B80EDD" w:rsidRPr="00214957">
        <w:rPr>
          <w:color w:val="auto"/>
          <w:szCs w:val="24"/>
        </w:rPr>
        <w:t>,</w:t>
      </w:r>
      <w:r w:rsidR="00B20624" w:rsidRPr="00214957">
        <w:rPr>
          <w:color w:val="auto"/>
          <w:szCs w:val="24"/>
        </w:rPr>
        <w:t xml:space="preserve"> with application of the US Army Physical Disabil</w:t>
      </w:r>
      <w:r w:rsidR="00214957" w:rsidRPr="00214957">
        <w:rPr>
          <w:color w:val="auto"/>
          <w:szCs w:val="24"/>
        </w:rPr>
        <w:t xml:space="preserve">ity Agency (USAPDA) pain policy, </w:t>
      </w:r>
      <w:r w:rsidR="00763CAE" w:rsidRPr="00214957">
        <w:rPr>
          <w:color w:val="auto"/>
          <w:szCs w:val="24"/>
        </w:rPr>
        <w:t>Department of Defense Instruction (</w:t>
      </w:r>
      <w:proofErr w:type="spellStart"/>
      <w:r w:rsidR="00B20624" w:rsidRPr="00214957">
        <w:rPr>
          <w:color w:val="auto"/>
          <w:szCs w:val="24"/>
        </w:rPr>
        <w:t>DoDI</w:t>
      </w:r>
      <w:proofErr w:type="spellEnd"/>
      <w:r w:rsidR="00763CAE" w:rsidRPr="00214957">
        <w:rPr>
          <w:color w:val="auto"/>
          <w:szCs w:val="24"/>
        </w:rPr>
        <w:t>)</w:t>
      </w:r>
      <w:r w:rsidR="00B20624" w:rsidRPr="00214957">
        <w:rPr>
          <w:color w:val="auto"/>
          <w:szCs w:val="24"/>
        </w:rPr>
        <w:t xml:space="preserve"> 1332.39</w:t>
      </w:r>
      <w:r w:rsidR="002B0204" w:rsidRPr="00214957">
        <w:rPr>
          <w:color w:val="auto"/>
          <w:szCs w:val="24"/>
        </w:rPr>
        <w:t xml:space="preserve"> and Veterans’ Administration Schedule for Rating Disabilities (VASRD)</w:t>
      </w:r>
      <w:r w:rsidR="003F1206" w:rsidRPr="00214957">
        <w:rPr>
          <w:color w:val="auto"/>
          <w:szCs w:val="24"/>
        </w:rPr>
        <w:t>,</w:t>
      </w:r>
      <w:r w:rsidR="00B20624" w:rsidRPr="00214957">
        <w:rPr>
          <w:color w:val="auto"/>
          <w:szCs w:val="24"/>
        </w:rPr>
        <w:t xml:space="preserve"> respectively.</w:t>
      </w:r>
      <w:r w:rsidR="00BF49EF">
        <w:rPr>
          <w:color w:val="auto"/>
          <w:szCs w:val="24"/>
        </w:rPr>
        <w:t xml:space="preserve">  </w:t>
      </w:r>
      <w:r w:rsidR="00B20624" w:rsidRPr="00C472C7">
        <w:rPr>
          <w:color w:val="auto"/>
        </w:rPr>
        <w:t xml:space="preserve">The CI </w:t>
      </w:r>
      <w:r w:rsidR="00190E48" w:rsidRPr="00C472C7">
        <w:rPr>
          <w:color w:val="auto"/>
        </w:rPr>
        <w:t>made no appeals</w:t>
      </w:r>
      <w:r w:rsidR="00214957">
        <w:rPr>
          <w:color w:val="auto"/>
        </w:rPr>
        <w:t xml:space="preserve"> </w:t>
      </w:r>
      <w:r w:rsidR="00B20624" w:rsidRPr="00C472C7">
        <w:rPr>
          <w:color w:val="auto"/>
        </w:rPr>
        <w:t xml:space="preserve">and was medically separated with a </w:t>
      </w:r>
      <w:r w:rsidR="004E50BC">
        <w:rPr>
          <w:color w:val="auto"/>
        </w:rPr>
        <w:t>10</w:t>
      </w:r>
      <w:r w:rsidR="00B20624" w:rsidRPr="00C472C7">
        <w:rPr>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color w:val="auto"/>
        </w:rPr>
      </w:pPr>
    </w:p>
    <w:p w:rsidR="00612FB0" w:rsidRDefault="00612FB0" w:rsidP="00510F9C">
      <w:pPr>
        <w:tabs>
          <w:tab w:val="left" w:pos="288"/>
          <w:tab w:val="left" w:pos="4752"/>
        </w:tabs>
        <w:spacing w:line="240" w:lineRule="exact"/>
        <w:jc w:val="both"/>
        <w:rPr>
          <w:color w:val="auto"/>
          <w:u w:val="single"/>
        </w:rPr>
      </w:pPr>
    </w:p>
    <w:p w:rsidR="003E1682" w:rsidRDefault="003E053B" w:rsidP="00320A6F">
      <w:pPr>
        <w:tabs>
          <w:tab w:val="left" w:pos="288"/>
          <w:tab w:val="left" w:pos="4752"/>
        </w:tabs>
        <w:spacing w:line="240" w:lineRule="exact"/>
        <w:jc w:val="both"/>
        <w:rPr>
          <w:rFonts w:eastAsia="Calibri"/>
          <w:color w:val="auto"/>
          <w:szCs w:val="24"/>
        </w:rPr>
      </w:pPr>
      <w:r w:rsidRPr="00326C08">
        <w:rPr>
          <w:color w:val="auto"/>
          <w:u w:val="single"/>
        </w:rPr>
        <w:t>CI CONTENTION</w:t>
      </w:r>
      <w:r w:rsidRPr="00326C08">
        <w:rPr>
          <w:color w:val="auto"/>
        </w:rPr>
        <w:t>:</w:t>
      </w:r>
      <w:r w:rsidR="00320A6F">
        <w:rPr>
          <w:color w:val="auto"/>
        </w:rPr>
        <w:t xml:space="preserve">  “The </w:t>
      </w:r>
      <w:proofErr w:type="gramStart"/>
      <w:r w:rsidR="00320A6F">
        <w:rPr>
          <w:color w:val="auto"/>
        </w:rPr>
        <w:t>findings from the VA was</w:t>
      </w:r>
      <w:proofErr w:type="gramEnd"/>
      <w:r w:rsidR="00320A6F">
        <w:rPr>
          <w:color w:val="auto"/>
        </w:rPr>
        <w:t xml:space="preserve"> higher than that of the board.  The VA gave a rating of 30% at time of separation.  I have been told I may need to have further surgery for the continuing symptoms.”</w:t>
      </w:r>
      <w:r w:rsidR="004D46A0">
        <w:rPr>
          <w:color w:val="auto"/>
        </w:rPr>
        <w:t xml:space="preserve">  </w:t>
      </w:r>
      <w:r w:rsidR="00ED5284" w:rsidRPr="00320A6F">
        <w:rPr>
          <w:rFonts w:eastAsia="Calibri"/>
          <w:color w:val="auto"/>
          <w:szCs w:val="24"/>
        </w:rPr>
        <w:t>He elaborates</w:t>
      </w:r>
      <w:r w:rsidR="00ED5284" w:rsidRPr="005C4D72">
        <w:rPr>
          <w:rFonts w:eastAsia="Calibri"/>
          <w:color w:val="auto"/>
          <w:szCs w:val="24"/>
        </w:rPr>
        <w:t xml:space="preserve"> no specific contentions regarding rating or coding and mentions no additionally contended conditions.</w:t>
      </w:r>
    </w:p>
    <w:p w:rsidR="005D36C2" w:rsidRDefault="005D36C2" w:rsidP="005D36C2">
      <w:pPr>
        <w:pBdr>
          <w:bottom w:val="single" w:sz="12" w:space="1" w:color="auto"/>
        </w:pBdr>
        <w:spacing w:line="240" w:lineRule="exact"/>
        <w:rPr>
          <w:color w:val="auto"/>
          <w:u w:val="single"/>
        </w:rPr>
      </w:pPr>
    </w:p>
    <w:p w:rsidR="00320A6F" w:rsidRDefault="00320A6F" w:rsidP="00320A6F">
      <w:pPr>
        <w:tabs>
          <w:tab w:val="left" w:pos="288"/>
          <w:tab w:val="left" w:pos="4752"/>
        </w:tabs>
        <w:spacing w:line="240" w:lineRule="exact"/>
        <w:jc w:val="both"/>
        <w:rPr>
          <w:rFonts w:eastAsia="Calibri"/>
          <w:color w:val="auto"/>
          <w:szCs w:val="24"/>
        </w:rPr>
      </w:pPr>
    </w:p>
    <w:p w:rsidR="002338CA" w:rsidRDefault="007F0AB7" w:rsidP="00510F9C">
      <w:pPr>
        <w:spacing w:line="240" w:lineRule="exact"/>
        <w:rPr>
          <w:color w:val="auto"/>
        </w:rPr>
      </w:pPr>
      <w:r>
        <w:rPr>
          <w:color w:val="auto"/>
          <w:u w:val="single"/>
        </w:rPr>
        <w:t>R</w:t>
      </w:r>
      <w:r w:rsidR="002C6E5B" w:rsidRPr="00326C08">
        <w:rPr>
          <w:color w:val="auto"/>
          <w:u w:val="single"/>
        </w:rPr>
        <w:t>ATING COMPARISON</w:t>
      </w:r>
      <w:r w:rsidR="002C6E5B" w:rsidRPr="00326C08">
        <w:rPr>
          <w:color w:val="auto"/>
        </w:rPr>
        <w:t>:</w:t>
      </w:r>
      <w:r w:rsidR="002765A8" w:rsidRPr="002765A8">
        <w:rPr>
          <w:color w:val="auto"/>
          <w:sz w:val="18"/>
          <w:szCs w:val="18"/>
        </w:rPr>
        <w:t xml:space="preserve"> </w:t>
      </w:r>
    </w:p>
    <w:p w:rsidR="000F0928" w:rsidRPr="002A4119" w:rsidRDefault="000F0928"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2B4E22" w:rsidRPr="002A4119" w:rsidTr="00550FDA">
        <w:trPr>
          <w:trHeight w:val="233"/>
          <w:jc w:val="center"/>
        </w:trPr>
        <w:tc>
          <w:tcPr>
            <w:tcW w:w="4158" w:type="dxa"/>
            <w:gridSpan w:val="3"/>
            <w:tcBorders>
              <w:right w:val="thinThickThinSmallGap" w:sz="24" w:space="0" w:color="auto"/>
            </w:tcBorders>
            <w:shd w:val="clear" w:color="auto" w:fill="D9D9D9"/>
            <w:vAlign w:val="center"/>
          </w:tcPr>
          <w:p w:rsidR="002B4E22" w:rsidRPr="00550FDA" w:rsidRDefault="00B731E4" w:rsidP="00550FDA">
            <w:pPr>
              <w:spacing w:line="200" w:lineRule="exact"/>
              <w:contextualSpacing/>
              <w:jc w:val="center"/>
              <w:rPr>
                <w:rFonts w:eastAsia="Calibri"/>
                <w:b/>
                <w:color w:val="auto"/>
                <w:sz w:val="20"/>
              </w:rPr>
            </w:pPr>
            <w:r w:rsidRPr="00550FDA">
              <w:rPr>
                <w:rFonts w:eastAsia="Calibri"/>
                <w:b/>
                <w:color w:val="auto"/>
                <w:sz w:val="20"/>
              </w:rPr>
              <w:t xml:space="preserve">Service </w:t>
            </w:r>
            <w:r w:rsidR="00320A6F" w:rsidRPr="00550FDA">
              <w:rPr>
                <w:rFonts w:eastAsia="Calibri"/>
                <w:b/>
                <w:color w:val="auto"/>
                <w:sz w:val="20"/>
              </w:rPr>
              <w:t>I</w:t>
            </w:r>
            <w:r w:rsidRPr="00550FDA">
              <w:rPr>
                <w:rFonts w:eastAsia="Calibri"/>
                <w:b/>
                <w:color w:val="auto"/>
                <w:sz w:val="20"/>
              </w:rPr>
              <w:t>PEB – Dated 200</w:t>
            </w:r>
            <w:r w:rsidR="00320A6F" w:rsidRPr="00550FDA">
              <w:rPr>
                <w:rFonts w:eastAsia="Calibri"/>
                <w:b/>
                <w:color w:val="auto"/>
                <w:sz w:val="20"/>
              </w:rPr>
              <w:t>40628</w:t>
            </w:r>
          </w:p>
        </w:tc>
        <w:tc>
          <w:tcPr>
            <w:tcW w:w="5418" w:type="dxa"/>
            <w:gridSpan w:val="4"/>
            <w:tcBorders>
              <w:left w:val="thinThickThinSmallGap" w:sz="24" w:space="0" w:color="auto"/>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VA (</w:t>
            </w:r>
            <w:r w:rsidR="00F477FB" w:rsidRPr="00550FDA">
              <w:rPr>
                <w:rFonts w:eastAsia="Calibri"/>
                <w:b/>
                <w:color w:val="auto"/>
                <w:sz w:val="20"/>
              </w:rPr>
              <w:t>1</w:t>
            </w:r>
            <w:r w:rsidR="0079154B" w:rsidRPr="00550FDA">
              <w:rPr>
                <w:rFonts w:eastAsia="Calibri"/>
                <w:b/>
                <w:color w:val="auto"/>
                <w:sz w:val="20"/>
              </w:rPr>
              <w:t xml:space="preserve"> </w:t>
            </w:r>
            <w:r w:rsidRPr="00550FDA">
              <w:rPr>
                <w:rFonts w:eastAsia="Calibri"/>
                <w:b/>
                <w:color w:val="auto"/>
                <w:sz w:val="20"/>
              </w:rPr>
              <w:t>Mo. Pr</w:t>
            </w:r>
            <w:r w:rsidR="007272F1" w:rsidRPr="00550FDA">
              <w:rPr>
                <w:rFonts w:eastAsia="Calibri"/>
                <w:b/>
                <w:color w:val="auto"/>
                <w:sz w:val="20"/>
              </w:rPr>
              <w:t>e</w:t>
            </w:r>
            <w:r w:rsidRPr="00550FDA">
              <w:rPr>
                <w:rFonts w:eastAsia="Calibri"/>
                <w:b/>
                <w:color w:val="auto"/>
                <w:sz w:val="20"/>
              </w:rPr>
              <w:t xml:space="preserve"> Separation) – All Effective </w:t>
            </w:r>
            <w:r w:rsidR="002D08F3" w:rsidRPr="00550FDA">
              <w:rPr>
                <w:rFonts w:eastAsia="Calibri"/>
                <w:b/>
                <w:color w:val="auto"/>
                <w:sz w:val="20"/>
              </w:rPr>
              <w:t>200</w:t>
            </w:r>
            <w:r w:rsidR="004E1594" w:rsidRPr="00550FDA">
              <w:rPr>
                <w:rFonts w:eastAsia="Calibri"/>
                <w:b/>
                <w:color w:val="auto"/>
                <w:sz w:val="20"/>
              </w:rPr>
              <w:t>40910</w:t>
            </w:r>
          </w:p>
        </w:tc>
      </w:tr>
      <w:tr w:rsidR="001669E8" w:rsidRPr="002A4119" w:rsidTr="00550FDA">
        <w:trPr>
          <w:trHeight w:val="278"/>
          <w:jc w:val="center"/>
        </w:trPr>
        <w:tc>
          <w:tcPr>
            <w:tcW w:w="2196" w:type="dxa"/>
            <w:tcBorders>
              <w:bottom w:val="single" w:sz="4" w:space="0" w:color="000000"/>
              <w:right w:val="single" w:sz="4" w:space="0" w:color="auto"/>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Condition</w:t>
            </w:r>
          </w:p>
        </w:tc>
        <w:tc>
          <w:tcPr>
            <w:tcW w:w="1062" w:type="dxa"/>
            <w:tcBorders>
              <w:bottom w:val="single" w:sz="4" w:space="0" w:color="000000"/>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Code</w:t>
            </w:r>
          </w:p>
        </w:tc>
        <w:tc>
          <w:tcPr>
            <w:tcW w:w="828" w:type="dxa"/>
            <w:tcBorders>
              <w:bottom w:val="single" w:sz="4" w:space="0" w:color="000000"/>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Rating</w:t>
            </w:r>
          </w:p>
        </w:tc>
        <w:tc>
          <w:tcPr>
            <w:tcW w:w="990" w:type="dxa"/>
            <w:tcBorders>
              <w:bottom w:val="single" w:sz="4" w:space="0" w:color="000000"/>
            </w:tcBorders>
            <w:shd w:val="clear" w:color="auto" w:fill="D9D9D9"/>
            <w:vAlign w:val="center"/>
          </w:tcPr>
          <w:p w:rsidR="002B4E22" w:rsidRPr="00550FDA" w:rsidRDefault="002B4E22" w:rsidP="00550FDA">
            <w:pPr>
              <w:spacing w:line="200" w:lineRule="exact"/>
              <w:contextualSpacing/>
              <w:jc w:val="center"/>
              <w:rPr>
                <w:rFonts w:eastAsia="Calibri"/>
                <w:b/>
                <w:color w:val="auto"/>
                <w:sz w:val="20"/>
              </w:rPr>
            </w:pPr>
            <w:r w:rsidRPr="00550FDA">
              <w:rPr>
                <w:rFonts w:eastAsia="Calibri"/>
                <w:b/>
                <w:color w:val="auto"/>
                <w:sz w:val="20"/>
              </w:rPr>
              <w:t>Exam</w:t>
            </w:r>
          </w:p>
        </w:tc>
      </w:tr>
      <w:tr w:rsidR="001669E8" w:rsidRPr="00F477FB" w:rsidTr="00550FDA">
        <w:trPr>
          <w:trHeight w:val="287"/>
          <w:jc w:val="center"/>
        </w:trPr>
        <w:tc>
          <w:tcPr>
            <w:tcW w:w="2196" w:type="dxa"/>
            <w:tcBorders>
              <w:right w:val="single" w:sz="4" w:space="0" w:color="auto"/>
            </w:tcBorders>
            <w:shd w:val="clear" w:color="auto" w:fill="FFFFFF"/>
            <w:vAlign w:val="center"/>
          </w:tcPr>
          <w:p w:rsidR="002D08F3" w:rsidRPr="00550FDA" w:rsidRDefault="00E5322F" w:rsidP="00E5322F">
            <w:pPr>
              <w:spacing w:line="180" w:lineRule="exact"/>
              <w:contextualSpacing/>
              <w:rPr>
                <w:rFonts w:eastAsia="Calibri"/>
                <w:color w:val="auto"/>
                <w:sz w:val="18"/>
                <w:szCs w:val="18"/>
              </w:rPr>
            </w:pPr>
            <w:r>
              <w:rPr>
                <w:rFonts w:eastAsia="Calibri"/>
                <w:color w:val="auto"/>
                <w:sz w:val="18"/>
                <w:szCs w:val="18"/>
              </w:rPr>
              <w:t xml:space="preserve">Chronic Neck Pain, </w:t>
            </w:r>
            <w:r w:rsidR="00320A6F" w:rsidRPr="00550FDA">
              <w:rPr>
                <w:rFonts w:eastAsia="Calibri"/>
                <w:color w:val="auto"/>
                <w:sz w:val="18"/>
                <w:szCs w:val="18"/>
              </w:rPr>
              <w:t>DDD, discectomy/fusion</w:t>
            </w:r>
          </w:p>
        </w:tc>
        <w:tc>
          <w:tcPr>
            <w:tcW w:w="1062" w:type="dxa"/>
            <w:tcBorders>
              <w:left w:val="single" w:sz="4" w:space="0" w:color="auto"/>
            </w:tcBorders>
            <w:shd w:val="clear" w:color="auto" w:fill="FFFFFF"/>
            <w:vAlign w:val="center"/>
          </w:tcPr>
          <w:p w:rsidR="002D08F3"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5299-5243</w:t>
            </w:r>
          </w:p>
        </w:tc>
        <w:tc>
          <w:tcPr>
            <w:tcW w:w="900" w:type="dxa"/>
            <w:tcBorders>
              <w:right w:val="thinThickThinSmallGap" w:sz="24" w:space="0" w:color="auto"/>
            </w:tcBorders>
            <w:shd w:val="clear" w:color="auto" w:fill="FFFFFF"/>
            <w:vAlign w:val="center"/>
          </w:tcPr>
          <w:p w:rsidR="002D08F3"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10%</w:t>
            </w:r>
          </w:p>
        </w:tc>
        <w:tc>
          <w:tcPr>
            <w:tcW w:w="2538" w:type="dxa"/>
            <w:tcBorders>
              <w:left w:val="thinThickThinSmallGap" w:sz="24" w:space="0" w:color="auto"/>
            </w:tcBorders>
            <w:shd w:val="clear" w:color="auto" w:fill="FFFFFF"/>
            <w:vAlign w:val="center"/>
          </w:tcPr>
          <w:p w:rsidR="002D08F3" w:rsidRPr="00550FDA" w:rsidRDefault="00320A6F" w:rsidP="00550FDA">
            <w:pPr>
              <w:spacing w:line="180" w:lineRule="exact"/>
              <w:contextualSpacing/>
              <w:rPr>
                <w:rFonts w:eastAsia="Calibri"/>
                <w:color w:val="auto"/>
                <w:sz w:val="18"/>
                <w:szCs w:val="18"/>
              </w:rPr>
            </w:pPr>
            <w:r w:rsidRPr="00550FDA">
              <w:rPr>
                <w:rFonts w:eastAsia="Calibri"/>
                <w:color w:val="auto"/>
                <w:sz w:val="18"/>
                <w:szCs w:val="18"/>
              </w:rPr>
              <w:t xml:space="preserve">Cervical Spine DDD </w:t>
            </w:r>
          </w:p>
        </w:tc>
        <w:tc>
          <w:tcPr>
            <w:tcW w:w="1062" w:type="dxa"/>
            <w:shd w:val="clear" w:color="auto" w:fill="FFFFFF"/>
            <w:vAlign w:val="center"/>
          </w:tcPr>
          <w:p w:rsidR="002D08F3"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5243</w:t>
            </w:r>
          </w:p>
        </w:tc>
        <w:tc>
          <w:tcPr>
            <w:tcW w:w="828" w:type="dxa"/>
            <w:shd w:val="clear" w:color="auto" w:fill="FFFFFF"/>
            <w:vAlign w:val="center"/>
          </w:tcPr>
          <w:p w:rsidR="002D08F3"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10%</w:t>
            </w:r>
          </w:p>
        </w:tc>
        <w:tc>
          <w:tcPr>
            <w:tcW w:w="990" w:type="dxa"/>
            <w:shd w:val="clear" w:color="auto" w:fill="FFFFFF"/>
            <w:vAlign w:val="center"/>
          </w:tcPr>
          <w:p w:rsidR="002D08F3" w:rsidRPr="00550FDA" w:rsidRDefault="002D08F3" w:rsidP="00550FDA">
            <w:pPr>
              <w:spacing w:line="180" w:lineRule="exact"/>
              <w:contextualSpacing/>
              <w:jc w:val="center"/>
              <w:rPr>
                <w:rFonts w:eastAsia="Calibri"/>
                <w:color w:val="auto"/>
                <w:sz w:val="18"/>
                <w:szCs w:val="18"/>
              </w:rPr>
            </w:pPr>
            <w:r w:rsidRPr="00550FDA">
              <w:rPr>
                <w:rFonts w:eastAsia="Calibri"/>
                <w:color w:val="auto"/>
                <w:sz w:val="18"/>
                <w:szCs w:val="18"/>
              </w:rPr>
              <w:t>200</w:t>
            </w:r>
            <w:r w:rsidR="00F477FB" w:rsidRPr="00550FDA">
              <w:rPr>
                <w:rFonts w:eastAsia="Calibri"/>
                <w:color w:val="auto"/>
                <w:sz w:val="18"/>
                <w:szCs w:val="18"/>
              </w:rPr>
              <w:t>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R shoulder pain</w:t>
            </w:r>
          </w:p>
        </w:tc>
        <w:tc>
          <w:tcPr>
            <w:tcW w:w="1962" w:type="dxa"/>
            <w:gridSpan w:val="2"/>
            <w:vMerge w:val="restart"/>
            <w:tcBorders>
              <w:left w:val="single" w:sz="4" w:space="0" w:color="auto"/>
              <w:right w:val="thinThickThinSmallGap" w:sz="2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 xml:space="preserve">         Not Unfitting</w:t>
            </w: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R shoulder impingement</w:t>
            </w:r>
          </w:p>
        </w:tc>
        <w:tc>
          <w:tcPr>
            <w:tcW w:w="1062" w:type="dxa"/>
            <w:tcBorders>
              <w:left w:val="single" w:sz="4" w:space="0" w:color="auto"/>
              <w:righ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5201</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10%</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Allergic Rhinitis</w:t>
            </w:r>
          </w:p>
        </w:tc>
        <w:tc>
          <w:tcPr>
            <w:tcW w:w="1962" w:type="dxa"/>
            <w:gridSpan w:val="2"/>
            <w:vMerge/>
            <w:tcBorders>
              <w:left w:val="single" w:sz="4" w:space="0" w:color="auto"/>
              <w:right w:val="thinThickThinSmallGap" w:sz="24" w:space="0" w:color="auto"/>
            </w:tcBorders>
            <w:shd w:val="clear" w:color="auto" w:fill="FFFFFF"/>
          </w:tcPr>
          <w:p w:rsidR="003F7A5D" w:rsidRPr="00550FDA" w:rsidRDefault="003F7A5D">
            <w:pPr>
              <w:rPr>
                <w:rFonts w:eastAsia="Calibri"/>
                <w:sz w:val="22"/>
                <w:szCs w:val="22"/>
              </w:rPr>
            </w:pP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 xml:space="preserve">Allergic Rhinitis </w:t>
            </w:r>
          </w:p>
        </w:tc>
        <w:tc>
          <w:tcPr>
            <w:tcW w:w="1062" w:type="dxa"/>
            <w:tcBorders>
              <w:left w:val="single" w:sz="4" w:space="0" w:color="auto"/>
              <w:right w:val="single" w:sz="4" w:space="0" w:color="auto"/>
            </w:tcBorders>
            <w:shd w:val="clear" w:color="auto" w:fill="FFFFFF"/>
            <w:vAlign w:val="center"/>
          </w:tcPr>
          <w:p w:rsidR="003F7A5D" w:rsidRPr="00550FDA" w:rsidRDefault="002765A8" w:rsidP="00550FDA">
            <w:pPr>
              <w:spacing w:line="180" w:lineRule="exact"/>
              <w:contextualSpacing/>
              <w:jc w:val="center"/>
              <w:rPr>
                <w:rFonts w:eastAsia="Calibri"/>
                <w:color w:val="auto"/>
                <w:sz w:val="18"/>
                <w:szCs w:val="18"/>
              </w:rPr>
            </w:pPr>
            <w:r w:rsidRPr="00550FDA">
              <w:rPr>
                <w:rFonts w:eastAsia="Calibri"/>
                <w:color w:val="auto"/>
                <w:sz w:val="18"/>
                <w:szCs w:val="18"/>
              </w:rPr>
              <w:t>6522</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NSC</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Gastroesophageal reflux</w:t>
            </w:r>
          </w:p>
        </w:tc>
        <w:tc>
          <w:tcPr>
            <w:tcW w:w="1962" w:type="dxa"/>
            <w:gridSpan w:val="2"/>
            <w:vMerge/>
            <w:tcBorders>
              <w:left w:val="single" w:sz="4" w:space="0" w:color="auto"/>
              <w:right w:val="thinThickThinSmallGap" w:sz="24" w:space="0" w:color="auto"/>
            </w:tcBorders>
            <w:shd w:val="clear" w:color="auto" w:fill="FFFFFF"/>
          </w:tcPr>
          <w:p w:rsidR="003F7A5D" w:rsidRPr="00550FDA" w:rsidRDefault="003F7A5D">
            <w:pPr>
              <w:rPr>
                <w:rFonts w:eastAsia="Calibri"/>
                <w:sz w:val="22"/>
                <w:szCs w:val="22"/>
              </w:rPr>
            </w:pP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GERD</w:t>
            </w:r>
          </w:p>
        </w:tc>
        <w:tc>
          <w:tcPr>
            <w:tcW w:w="1062" w:type="dxa"/>
            <w:tcBorders>
              <w:left w:val="single" w:sz="4" w:space="0" w:color="auto"/>
              <w:righ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7346</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0%</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proofErr w:type="spellStart"/>
            <w:r w:rsidRPr="00550FDA">
              <w:rPr>
                <w:rFonts w:eastAsia="Calibri"/>
                <w:color w:val="auto"/>
                <w:sz w:val="18"/>
                <w:szCs w:val="18"/>
              </w:rPr>
              <w:t>Onychomycocis</w:t>
            </w:r>
            <w:proofErr w:type="spellEnd"/>
          </w:p>
        </w:tc>
        <w:tc>
          <w:tcPr>
            <w:tcW w:w="1962" w:type="dxa"/>
            <w:gridSpan w:val="2"/>
            <w:vMerge/>
            <w:tcBorders>
              <w:left w:val="single" w:sz="4" w:space="0" w:color="auto"/>
              <w:right w:val="thinThickThinSmallGap" w:sz="24" w:space="0" w:color="auto"/>
            </w:tcBorders>
            <w:shd w:val="clear" w:color="auto" w:fill="FFFFFF"/>
          </w:tcPr>
          <w:p w:rsidR="003F7A5D" w:rsidRPr="00550FDA" w:rsidRDefault="003F7A5D">
            <w:pPr>
              <w:rPr>
                <w:rFonts w:eastAsia="Calibri"/>
                <w:sz w:val="22"/>
                <w:szCs w:val="22"/>
              </w:rPr>
            </w:pP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Left foot onychomycosis</w:t>
            </w:r>
          </w:p>
        </w:tc>
        <w:tc>
          <w:tcPr>
            <w:tcW w:w="1062" w:type="dxa"/>
            <w:tcBorders>
              <w:left w:val="single" w:sz="4" w:space="0" w:color="auto"/>
              <w:righ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7813</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0%</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Achilles tendinitis</w:t>
            </w:r>
          </w:p>
        </w:tc>
        <w:tc>
          <w:tcPr>
            <w:tcW w:w="1962" w:type="dxa"/>
            <w:gridSpan w:val="2"/>
            <w:vMerge/>
            <w:tcBorders>
              <w:left w:val="single" w:sz="4" w:space="0" w:color="auto"/>
              <w:right w:val="thinThickThinSmallGap" w:sz="24" w:space="0" w:color="auto"/>
            </w:tcBorders>
            <w:shd w:val="clear" w:color="auto" w:fill="FFFFFF"/>
          </w:tcPr>
          <w:p w:rsidR="003F7A5D" w:rsidRPr="00550FDA" w:rsidRDefault="003F7A5D">
            <w:pPr>
              <w:rPr>
                <w:rFonts w:eastAsia="Calibri"/>
                <w:sz w:val="22"/>
                <w:szCs w:val="22"/>
              </w:rPr>
            </w:pP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 xml:space="preserve">Right </w:t>
            </w:r>
            <w:proofErr w:type="spellStart"/>
            <w:r w:rsidRPr="00550FDA">
              <w:rPr>
                <w:rFonts w:eastAsia="Calibri"/>
                <w:color w:val="auto"/>
                <w:sz w:val="18"/>
                <w:szCs w:val="18"/>
              </w:rPr>
              <w:t>achilles</w:t>
            </w:r>
            <w:proofErr w:type="spellEnd"/>
            <w:r w:rsidRPr="00550FDA">
              <w:rPr>
                <w:rFonts w:eastAsia="Calibri"/>
                <w:color w:val="auto"/>
                <w:sz w:val="18"/>
                <w:szCs w:val="18"/>
              </w:rPr>
              <w:t xml:space="preserve"> tendonitis</w:t>
            </w:r>
          </w:p>
        </w:tc>
        <w:tc>
          <w:tcPr>
            <w:tcW w:w="1062" w:type="dxa"/>
            <w:tcBorders>
              <w:left w:val="single" w:sz="4" w:space="0" w:color="auto"/>
              <w:righ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5099-5024</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0%</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 xml:space="preserve">Persistent hand </w:t>
            </w:r>
            <w:proofErr w:type="spellStart"/>
            <w:r w:rsidRPr="00550FDA">
              <w:rPr>
                <w:rFonts w:eastAsia="Calibri"/>
                <w:color w:val="auto"/>
                <w:sz w:val="18"/>
                <w:szCs w:val="18"/>
              </w:rPr>
              <w:t>parasthesias</w:t>
            </w:r>
            <w:proofErr w:type="spellEnd"/>
          </w:p>
        </w:tc>
        <w:tc>
          <w:tcPr>
            <w:tcW w:w="1962" w:type="dxa"/>
            <w:gridSpan w:val="2"/>
            <w:vMerge/>
            <w:tcBorders>
              <w:left w:val="single" w:sz="4" w:space="0" w:color="auto"/>
              <w:right w:val="thinThickThinSmallGap" w:sz="24" w:space="0" w:color="auto"/>
            </w:tcBorders>
            <w:shd w:val="clear" w:color="auto" w:fill="FFFFFF"/>
          </w:tcPr>
          <w:p w:rsidR="003F7A5D" w:rsidRPr="00550FDA" w:rsidRDefault="003F7A5D">
            <w:pPr>
              <w:rPr>
                <w:rFonts w:eastAsia="Calibri"/>
                <w:sz w:val="22"/>
                <w:szCs w:val="22"/>
              </w:rPr>
            </w:pPr>
          </w:p>
        </w:tc>
        <w:tc>
          <w:tcPr>
            <w:tcW w:w="2538" w:type="dxa"/>
            <w:tcBorders>
              <w:left w:val="thinThickThinSmallGap" w:sz="24" w:space="0" w:color="auto"/>
              <w:right w:val="single" w:sz="4" w:space="0" w:color="auto"/>
            </w:tcBorders>
            <w:shd w:val="clear" w:color="auto" w:fill="FFFFFF"/>
            <w:vAlign w:val="center"/>
          </w:tcPr>
          <w:p w:rsidR="003F7A5D" w:rsidRPr="00550FDA" w:rsidRDefault="003F7A5D" w:rsidP="00550FDA">
            <w:pPr>
              <w:spacing w:line="180" w:lineRule="exact"/>
              <w:contextualSpacing/>
              <w:rPr>
                <w:rFonts w:eastAsia="Calibri"/>
                <w:color w:val="auto"/>
                <w:sz w:val="18"/>
                <w:szCs w:val="18"/>
              </w:rPr>
            </w:pPr>
            <w:r w:rsidRPr="00550FDA">
              <w:rPr>
                <w:rFonts w:eastAsia="Calibri"/>
                <w:color w:val="auto"/>
                <w:sz w:val="18"/>
                <w:szCs w:val="18"/>
              </w:rPr>
              <w:t>Left Upper Extremity with left hand paresthesias</w:t>
            </w:r>
          </w:p>
        </w:tc>
        <w:tc>
          <w:tcPr>
            <w:tcW w:w="1062" w:type="dxa"/>
            <w:tcBorders>
              <w:left w:val="single" w:sz="4" w:space="0" w:color="auto"/>
              <w:righ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5201-8515</w:t>
            </w:r>
          </w:p>
        </w:tc>
        <w:tc>
          <w:tcPr>
            <w:tcW w:w="828" w:type="dxa"/>
            <w:tcBorders>
              <w:left w:val="single" w:sz="4" w:space="0" w:color="auto"/>
            </w:tcBorders>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10%</w:t>
            </w:r>
          </w:p>
        </w:tc>
        <w:tc>
          <w:tcPr>
            <w:tcW w:w="990" w:type="dxa"/>
            <w:shd w:val="clear" w:color="auto" w:fill="FFFFFF"/>
            <w:vAlign w:val="center"/>
          </w:tcPr>
          <w:p w:rsidR="003F7A5D" w:rsidRPr="00550FDA" w:rsidRDefault="003F7A5D" w:rsidP="00550FDA">
            <w:pPr>
              <w:spacing w:line="180" w:lineRule="exact"/>
              <w:contextualSpacing/>
              <w:jc w:val="center"/>
              <w:rPr>
                <w:rFonts w:eastAsia="Calibri"/>
                <w:color w:val="auto"/>
                <w:sz w:val="18"/>
                <w:szCs w:val="18"/>
              </w:rPr>
            </w:pPr>
            <w:r w:rsidRPr="00550FDA">
              <w:rPr>
                <w:rFonts w:eastAsia="Calibri"/>
                <w:color w:val="auto"/>
                <w:sz w:val="18"/>
                <w:szCs w:val="18"/>
              </w:rPr>
              <w:t>20040810</w:t>
            </w:r>
          </w:p>
        </w:tc>
      </w:tr>
      <w:tr w:rsidR="001669E8" w:rsidRPr="002A4119" w:rsidTr="00550FDA">
        <w:trPr>
          <w:trHeight w:val="287"/>
          <w:jc w:val="center"/>
        </w:trPr>
        <w:tc>
          <w:tcPr>
            <w:tcW w:w="2196" w:type="dxa"/>
            <w:tcBorders>
              <w:right w:val="single" w:sz="4" w:space="0" w:color="auto"/>
            </w:tcBorders>
            <w:shd w:val="clear" w:color="auto" w:fill="FFFFFF"/>
            <w:vAlign w:val="center"/>
          </w:tcPr>
          <w:p w:rsidR="002765A8" w:rsidRPr="00550FDA" w:rsidRDefault="002765A8" w:rsidP="00550FDA">
            <w:pPr>
              <w:spacing w:line="180" w:lineRule="exact"/>
              <w:contextualSpacing/>
              <w:rPr>
                <w:rFonts w:eastAsia="Calibri"/>
                <w:color w:val="auto"/>
                <w:sz w:val="18"/>
                <w:szCs w:val="18"/>
              </w:rPr>
            </w:pPr>
            <w:r w:rsidRPr="00550FDA">
              <w:rPr>
                <w:rFonts w:eastAsia="Calibri"/>
                <w:color w:val="auto"/>
                <w:sz w:val="18"/>
                <w:szCs w:val="18"/>
              </w:rPr>
              <w:t>Vision defect</w:t>
            </w:r>
          </w:p>
        </w:tc>
        <w:tc>
          <w:tcPr>
            <w:tcW w:w="1962" w:type="dxa"/>
            <w:gridSpan w:val="2"/>
            <w:vMerge/>
            <w:tcBorders>
              <w:left w:val="single" w:sz="4" w:space="0" w:color="auto"/>
              <w:right w:val="thinThickThinSmallGap" w:sz="24" w:space="0" w:color="auto"/>
            </w:tcBorders>
            <w:shd w:val="clear" w:color="auto" w:fill="FFFFFF"/>
          </w:tcPr>
          <w:p w:rsidR="002765A8" w:rsidRPr="00550FDA" w:rsidRDefault="002765A8">
            <w:pPr>
              <w:rPr>
                <w:rFonts w:eastAsia="Calibri"/>
                <w:sz w:val="22"/>
                <w:szCs w:val="22"/>
              </w:rPr>
            </w:pPr>
          </w:p>
        </w:tc>
        <w:tc>
          <w:tcPr>
            <w:tcW w:w="5418" w:type="dxa"/>
            <w:gridSpan w:val="4"/>
            <w:tcBorders>
              <w:left w:val="thinThickThinSmallGap" w:sz="24" w:space="0" w:color="auto"/>
            </w:tcBorders>
            <w:shd w:val="clear" w:color="auto" w:fill="FFFFFF"/>
            <w:vAlign w:val="center"/>
          </w:tcPr>
          <w:p w:rsidR="002765A8" w:rsidRPr="00550FDA" w:rsidRDefault="002765A8" w:rsidP="00550FDA">
            <w:pPr>
              <w:spacing w:line="180" w:lineRule="exact"/>
              <w:contextualSpacing/>
              <w:jc w:val="center"/>
              <w:rPr>
                <w:rFonts w:eastAsia="Calibri"/>
                <w:color w:val="auto"/>
                <w:sz w:val="18"/>
                <w:szCs w:val="18"/>
                <w:highlight w:val="yellow"/>
              </w:rPr>
            </w:pPr>
            <w:r w:rsidRPr="00550FDA">
              <w:rPr>
                <w:rFonts w:eastAsia="Calibri"/>
                <w:color w:val="auto"/>
                <w:sz w:val="18"/>
                <w:szCs w:val="18"/>
              </w:rPr>
              <w:t>No VA Entry</w:t>
            </w:r>
          </w:p>
        </w:tc>
      </w:tr>
      <w:tr w:rsidR="001669E8" w:rsidRPr="00F477FB" w:rsidTr="00550FDA">
        <w:trPr>
          <w:trHeight w:val="260"/>
          <w:jc w:val="center"/>
        </w:trPr>
        <w:tc>
          <w:tcPr>
            <w:tcW w:w="4158" w:type="dxa"/>
            <w:gridSpan w:val="3"/>
            <w:tcBorders>
              <w:right w:val="thinThickThinSmallGap" w:sz="24" w:space="0" w:color="auto"/>
            </w:tcBorders>
            <w:shd w:val="clear" w:color="auto" w:fill="FFFFFF"/>
          </w:tcPr>
          <w:p w:rsidR="00320A6F" w:rsidRPr="00550FDA" w:rsidRDefault="002765A8" w:rsidP="00550FDA">
            <w:pPr>
              <w:spacing w:line="180" w:lineRule="exact"/>
              <w:contextualSpacing/>
              <w:jc w:val="center"/>
              <w:rPr>
                <w:rFonts w:eastAsia="Calibri"/>
                <w:color w:val="auto"/>
                <w:sz w:val="18"/>
                <w:szCs w:val="18"/>
              </w:rPr>
            </w:pPr>
            <w:r w:rsidRPr="00550FDA">
              <w:rPr>
                <w:rFonts w:eastAsia="Calibri"/>
                <w:color w:val="auto"/>
                <w:sz w:val="18"/>
                <w:szCs w:val="18"/>
              </w:rPr>
              <w:t>↓No Additional MEB/PEB Entries↓</w:t>
            </w:r>
          </w:p>
        </w:tc>
        <w:tc>
          <w:tcPr>
            <w:tcW w:w="4428" w:type="dxa"/>
            <w:gridSpan w:val="3"/>
            <w:tcBorders>
              <w:left w:val="thinThickThinSmallGap" w:sz="24" w:space="0" w:color="auto"/>
            </w:tcBorders>
            <w:shd w:val="clear" w:color="auto" w:fill="FFFFFF"/>
            <w:vAlign w:val="center"/>
          </w:tcPr>
          <w:p w:rsidR="00320A6F"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 xml:space="preserve">0% x </w:t>
            </w:r>
            <w:r w:rsidR="00705181" w:rsidRPr="00550FDA">
              <w:rPr>
                <w:rFonts w:eastAsia="Calibri"/>
                <w:color w:val="auto"/>
                <w:sz w:val="18"/>
                <w:szCs w:val="18"/>
              </w:rPr>
              <w:t>4</w:t>
            </w:r>
            <w:r w:rsidRPr="00550FDA">
              <w:rPr>
                <w:rFonts w:eastAsia="Calibri"/>
                <w:color w:val="auto"/>
                <w:sz w:val="18"/>
                <w:szCs w:val="18"/>
              </w:rPr>
              <w:t>/Not Service Connected x 1</w:t>
            </w:r>
          </w:p>
        </w:tc>
        <w:tc>
          <w:tcPr>
            <w:tcW w:w="990" w:type="dxa"/>
            <w:shd w:val="clear" w:color="auto" w:fill="FFFFFF"/>
            <w:vAlign w:val="center"/>
          </w:tcPr>
          <w:p w:rsidR="00320A6F" w:rsidRPr="00550FDA" w:rsidRDefault="00320A6F" w:rsidP="00550FDA">
            <w:pPr>
              <w:spacing w:line="180" w:lineRule="exact"/>
              <w:contextualSpacing/>
              <w:jc w:val="center"/>
              <w:rPr>
                <w:rFonts w:eastAsia="Calibri"/>
                <w:color w:val="auto"/>
                <w:sz w:val="18"/>
                <w:szCs w:val="18"/>
              </w:rPr>
            </w:pPr>
            <w:r w:rsidRPr="00550FDA">
              <w:rPr>
                <w:rFonts w:eastAsia="Calibri"/>
                <w:color w:val="auto"/>
                <w:sz w:val="18"/>
                <w:szCs w:val="18"/>
              </w:rPr>
              <w:t>200</w:t>
            </w:r>
            <w:r w:rsidR="00F477FB" w:rsidRPr="00550FDA">
              <w:rPr>
                <w:rFonts w:eastAsia="Calibri"/>
                <w:color w:val="auto"/>
                <w:sz w:val="18"/>
                <w:szCs w:val="18"/>
              </w:rPr>
              <w:t>40810</w:t>
            </w:r>
          </w:p>
        </w:tc>
      </w:tr>
      <w:tr w:rsidR="00320A6F" w:rsidRPr="002A4119" w:rsidTr="00550FDA">
        <w:trPr>
          <w:trHeight w:val="242"/>
          <w:jc w:val="center"/>
        </w:trPr>
        <w:tc>
          <w:tcPr>
            <w:tcW w:w="4158" w:type="dxa"/>
            <w:gridSpan w:val="3"/>
            <w:tcBorders>
              <w:right w:val="thinThickThinSmallGap" w:sz="24" w:space="0" w:color="auto"/>
            </w:tcBorders>
            <w:shd w:val="clear" w:color="auto" w:fill="D9D9D9"/>
            <w:vAlign w:val="center"/>
          </w:tcPr>
          <w:p w:rsidR="00320A6F" w:rsidRPr="00550FDA" w:rsidRDefault="00320A6F" w:rsidP="00550FDA">
            <w:pPr>
              <w:spacing w:line="200" w:lineRule="exact"/>
              <w:contextualSpacing/>
              <w:jc w:val="center"/>
              <w:rPr>
                <w:rFonts w:eastAsia="Calibri"/>
                <w:b/>
                <w:color w:val="auto"/>
                <w:sz w:val="20"/>
              </w:rPr>
            </w:pPr>
            <w:r w:rsidRPr="00550FDA">
              <w:rPr>
                <w:rFonts w:eastAsia="Calibri"/>
                <w:b/>
                <w:color w:val="auto"/>
                <w:sz w:val="20"/>
              </w:rPr>
              <w:t>Combined:  10%</w:t>
            </w:r>
          </w:p>
        </w:tc>
        <w:tc>
          <w:tcPr>
            <w:tcW w:w="5418" w:type="dxa"/>
            <w:gridSpan w:val="4"/>
            <w:tcBorders>
              <w:left w:val="thinThickThinSmallGap" w:sz="24" w:space="0" w:color="auto"/>
            </w:tcBorders>
            <w:shd w:val="clear" w:color="auto" w:fill="D9D9D9"/>
            <w:vAlign w:val="center"/>
          </w:tcPr>
          <w:p w:rsidR="00320A6F" w:rsidRPr="00550FDA" w:rsidRDefault="00320A6F" w:rsidP="00550FDA">
            <w:pPr>
              <w:spacing w:line="200" w:lineRule="exact"/>
              <w:contextualSpacing/>
              <w:jc w:val="center"/>
              <w:rPr>
                <w:rFonts w:eastAsia="Calibri"/>
                <w:b/>
                <w:color w:val="auto"/>
                <w:sz w:val="20"/>
              </w:rPr>
            </w:pPr>
            <w:r w:rsidRPr="00550FDA">
              <w:rPr>
                <w:rFonts w:eastAsia="Calibri"/>
                <w:b/>
                <w:color w:val="auto"/>
                <w:sz w:val="20"/>
              </w:rPr>
              <w:t xml:space="preserve">Combined:  </w:t>
            </w:r>
            <w:r w:rsidR="00F477FB" w:rsidRPr="00550FDA">
              <w:rPr>
                <w:rFonts w:eastAsia="Calibri"/>
                <w:b/>
                <w:color w:val="auto"/>
                <w:sz w:val="20"/>
              </w:rPr>
              <w:t>3</w:t>
            </w:r>
            <w:r w:rsidRPr="00550FDA">
              <w:rPr>
                <w:rFonts w:eastAsia="Calibri"/>
                <w:b/>
                <w:color w:val="auto"/>
                <w:sz w:val="20"/>
              </w:rPr>
              <w:t>0%</w:t>
            </w:r>
          </w:p>
        </w:tc>
      </w:tr>
    </w:tbl>
    <w:p w:rsidR="00636A4F" w:rsidRDefault="00437D18" w:rsidP="005C0726">
      <w:pPr>
        <w:pBdr>
          <w:bottom w:val="single" w:sz="12" w:space="1" w:color="auto"/>
        </w:pBdr>
        <w:tabs>
          <w:tab w:val="left" w:pos="288"/>
          <w:tab w:val="left" w:pos="4752"/>
        </w:tabs>
        <w:spacing w:line="240" w:lineRule="exact"/>
        <w:jc w:val="both"/>
        <w:rPr>
          <w:color w:val="auto"/>
          <w:sz w:val="18"/>
          <w:szCs w:val="18"/>
        </w:rPr>
      </w:pPr>
      <w:r w:rsidRPr="006937C6">
        <w:rPr>
          <w:color w:val="auto"/>
          <w:sz w:val="18"/>
          <w:szCs w:val="18"/>
        </w:rPr>
        <w:t>* VA rating based on exam most proximate to date of permanent separation.</w:t>
      </w:r>
    </w:p>
    <w:p w:rsidR="005C0726" w:rsidRPr="005C0726" w:rsidRDefault="005C0726" w:rsidP="005C0726">
      <w:pPr>
        <w:pBdr>
          <w:bottom w:val="single" w:sz="12" w:space="1" w:color="auto"/>
        </w:pBdr>
        <w:tabs>
          <w:tab w:val="left" w:pos="288"/>
          <w:tab w:val="left" w:pos="4752"/>
        </w:tabs>
        <w:spacing w:line="240" w:lineRule="exact"/>
        <w:jc w:val="both"/>
        <w:rPr>
          <w:color w:val="auto"/>
          <w:sz w:val="18"/>
          <w:szCs w:val="18"/>
        </w:rPr>
      </w:pPr>
    </w:p>
    <w:p w:rsidR="00CC5502" w:rsidRDefault="00CC5502" w:rsidP="00636A4F">
      <w:pPr>
        <w:tabs>
          <w:tab w:val="left" w:pos="288"/>
          <w:tab w:val="left" w:pos="4752"/>
        </w:tabs>
        <w:spacing w:line="240" w:lineRule="exact"/>
        <w:jc w:val="both"/>
        <w:rPr>
          <w:color w:val="auto"/>
          <w:szCs w:val="24"/>
          <w:u w:val="single"/>
        </w:rPr>
      </w:pPr>
    </w:p>
    <w:p w:rsidR="00D93B1A" w:rsidRDefault="002C6E5B" w:rsidP="00636A4F">
      <w:pPr>
        <w:tabs>
          <w:tab w:val="left" w:pos="288"/>
          <w:tab w:val="left" w:pos="4752"/>
        </w:tabs>
        <w:spacing w:line="240" w:lineRule="exact"/>
        <w:jc w:val="both"/>
        <w:rPr>
          <w:color w:val="auto"/>
          <w:szCs w:val="24"/>
        </w:rPr>
      </w:pPr>
      <w:r w:rsidRPr="00636A4F">
        <w:rPr>
          <w:color w:val="auto"/>
          <w:szCs w:val="24"/>
          <w:u w:val="single"/>
        </w:rPr>
        <w:t>ANALYSIS SUMMARY</w:t>
      </w:r>
      <w:r w:rsidRPr="00396779">
        <w:rPr>
          <w:color w:val="auto"/>
          <w:szCs w:val="24"/>
        </w:rPr>
        <w:t>:</w:t>
      </w:r>
      <w:r w:rsidR="005D36C2">
        <w:rPr>
          <w:color w:val="auto"/>
          <w:szCs w:val="24"/>
        </w:rPr>
        <w:t xml:space="preserve"> </w:t>
      </w:r>
      <w:r w:rsidR="00BC7D0B" w:rsidRPr="00636A4F">
        <w:rPr>
          <w:color w:val="auto"/>
          <w:szCs w:val="24"/>
        </w:rPr>
        <w:t xml:space="preserve">The Military Services, by law, can only rate and compensate for those conditions that were found unfitting for continued military service based on the severity of the condition at the time of separation and not based on possible future changes.  However, the </w:t>
      </w:r>
      <w:r w:rsidR="00CC5502">
        <w:rPr>
          <w:color w:val="auto"/>
          <w:szCs w:val="24"/>
        </w:rPr>
        <w:t>Department of Veterans’ Affairs (D</w:t>
      </w:r>
      <w:r w:rsidR="00BC7D0B" w:rsidRPr="00636A4F">
        <w:rPr>
          <w:color w:val="auto"/>
          <w:szCs w:val="24"/>
        </w:rPr>
        <w:t>VA</w:t>
      </w:r>
      <w:r w:rsidR="00CC5502">
        <w:rPr>
          <w:color w:val="auto"/>
          <w:szCs w:val="24"/>
        </w:rPr>
        <w:t>)</w:t>
      </w:r>
      <w:r w:rsidR="00BC7D0B" w:rsidRPr="00636A4F">
        <w:rPr>
          <w:color w:val="auto"/>
          <w:szCs w:val="24"/>
        </w:rPr>
        <w:t xml:space="preserve">, </w:t>
      </w:r>
      <w:r w:rsidR="00BC7D0B" w:rsidRPr="004C721F">
        <w:rPr>
          <w:color w:val="auto"/>
          <w:szCs w:val="24"/>
        </w:rPr>
        <w:t>operating under a different set of laws</w:t>
      </w:r>
      <w:r w:rsidR="00BC7D0B" w:rsidRPr="00636A4F">
        <w:rPr>
          <w:color w:val="auto"/>
          <w:szCs w:val="24"/>
        </w:rPr>
        <w:t xml:space="preserve">, can rate and </w:t>
      </w:r>
      <w:r w:rsidR="00BC7D0B" w:rsidRPr="00636A4F">
        <w:rPr>
          <w:color w:val="auto"/>
          <w:szCs w:val="24"/>
        </w:rPr>
        <w:lastRenderedPageBreak/>
        <w:t xml:space="preserve">compensate all service connected conditions without regard to their impact on performance of military duties, including conditions developing after separation that are direct complications of a service connected condition.  The </w:t>
      </w:r>
      <w:r w:rsidR="00CC5502">
        <w:rPr>
          <w:color w:val="auto"/>
          <w:szCs w:val="24"/>
        </w:rPr>
        <w:t>D</w:t>
      </w:r>
      <w:r w:rsidR="00BC7D0B" w:rsidRPr="00636A4F">
        <w:rPr>
          <w:color w:val="auto"/>
          <w:szCs w:val="24"/>
        </w:rPr>
        <w:t xml:space="preserve">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w:t>
      </w:r>
      <w:r w:rsidR="00D93B1A" w:rsidRPr="001F5378">
        <w:rPr>
          <w:rFonts w:asciiTheme="minorHAnsi" w:hAnsiTheme="minorHAnsi"/>
          <w:color w:val="auto"/>
          <w:szCs w:val="24"/>
        </w:rPr>
        <w:t xml:space="preserve">The Board’s threshold for countering DES fitness determinations is higher than the VASRD §4.3 reasonable doubt standard used for its rating recommendations; but, remains adherent to the </w:t>
      </w:r>
      <w:proofErr w:type="spellStart"/>
      <w:r w:rsidR="00D93B1A" w:rsidRPr="001F5378">
        <w:rPr>
          <w:rFonts w:asciiTheme="minorHAnsi" w:hAnsiTheme="minorHAnsi"/>
          <w:color w:val="auto"/>
          <w:szCs w:val="24"/>
        </w:rPr>
        <w:t>DoDI</w:t>
      </w:r>
      <w:proofErr w:type="spellEnd"/>
      <w:r w:rsidR="00D93B1A" w:rsidRPr="001F5378">
        <w:rPr>
          <w:rFonts w:asciiTheme="minorHAnsi" w:hAnsiTheme="minorHAnsi"/>
          <w:color w:val="auto"/>
          <w:szCs w:val="24"/>
        </w:rPr>
        <w:t xml:space="preserve"> 6040.44 “fair and equitable” standard.</w:t>
      </w:r>
      <w:r w:rsidR="00D93B1A">
        <w:rPr>
          <w:rFonts w:asciiTheme="minorHAnsi" w:hAnsiTheme="minorHAnsi"/>
          <w:color w:val="auto"/>
          <w:szCs w:val="24"/>
        </w:rPr>
        <w:t xml:space="preserve"> </w:t>
      </w:r>
    </w:p>
    <w:p w:rsidR="00A178E8" w:rsidRDefault="00A178E8" w:rsidP="00636A4F">
      <w:pPr>
        <w:tabs>
          <w:tab w:val="left" w:pos="288"/>
          <w:tab w:val="left" w:pos="4752"/>
        </w:tabs>
        <w:spacing w:line="240" w:lineRule="exact"/>
        <w:jc w:val="both"/>
        <w:rPr>
          <w:color w:val="auto"/>
          <w:szCs w:val="24"/>
        </w:rPr>
      </w:pPr>
    </w:p>
    <w:p w:rsidR="00755552" w:rsidRDefault="00A178E8" w:rsidP="00636A4F">
      <w:pPr>
        <w:tabs>
          <w:tab w:val="left" w:pos="288"/>
          <w:tab w:val="left" w:pos="4752"/>
        </w:tabs>
        <w:spacing w:line="240" w:lineRule="exact"/>
        <w:jc w:val="both"/>
        <w:rPr>
          <w:color w:val="auto"/>
          <w:szCs w:val="24"/>
        </w:rPr>
      </w:pPr>
      <w:proofErr w:type="gramStart"/>
      <w:r w:rsidRPr="00A178E8">
        <w:rPr>
          <w:color w:val="auto"/>
          <w:szCs w:val="24"/>
          <w:u w:val="single"/>
        </w:rPr>
        <w:t>Neck Pain Condition</w:t>
      </w:r>
      <w:r>
        <w:rPr>
          <w:color w:val="auto"/>
          <w:szCs w:val="24"/>
        </w:rPr>
        <w:t>.</w:t>
      </w:r>
      <w:proofErr w:type="gramEnd"/>
      <w:r>
        <w:rPr>
          <w:color w:val="auto"/>
          <w:szCs w:val="24"/>
        </w:rPr>
        <w:t xml:space="preserve"> </w:t>
      </w:r>
      <w:r w:rsidR="008B2DD7">
        <w:rPr>
          <w:color w:val="auto"/>
          <w:szCs w:val="24"/>
        </w:rPr>
        <w:t xml:space="preserve"> </w:t>
      </w:r>
      <w:r w:rsidR="00D563EB">
        <w:rPr>
          <w:color w:val="auto"/>
          <w:szCs w:val="24"/>
        </w:rPr>
        <w:t>T</w:t>
      </w:r>
      <w:r w:rsidR="00755552" w:rsidRPr="00755552">
        <w:rPr>
          <w:color w:val="auto"/>
          <w:szCs w:val="24"/>
        </w:rPr>
        <w:t xml:space="preserve">here were </w:t>
      </w:r>
      <w:r w:rsidR="00D563EB">
        <w:rPr>
          <w:color w:val="auto"/>
          <w:szCs w:val="24"/>
        </w:rPr>
        <w:t xml:space="preserve">three </w:t>
      </w:r>
      <w:r w:rsidR="00755552" w:rsidRPr="00755552">
        <w:rPr>
          <w:color w:val="auto"/>
          <w:szCs w:val="24"/>
        </w:rPr>
        <w:t xml:space="preserve">goniometric range-of-motion (ROM) evaluations in evidence which the Board weighed in arriving at its rating recommendation. </w:t>
      </w:r>
      <w:r w:rsidR="00832F01">
        <w:rPr>
          <w:color w:val="auto"/>
          <w:szCs w:val="24"/>
        </w:rPr>
        <w:t xml:space="preserve"> </w:t>
      </w:r>
      <w:r w:rsidR="00D563EB">
        <w:rPr>
          <w:color w:val="auto"/>
          <w:szCs w:val="24"/>
        </w:rPr>
        <w:t>T</w:t>
      </w:r>
      <w:r w:rsidR="00755552" w:rsidRPr="00755552">
        <w:rPr>
          <w:color w:val="auto"/>
          <w:szCs w:val="24"/>
        </w:rPr>
        <w:t>hese exam</w:t>
      </w:r>
      <w:r w:rsidR="00D563EB">
        <w:rPr>
          <w:color w:val="auto"/>
          <w:szCs w:val="24"/>
        </w:rPr>
        <w:t>ination</w:t>
      </w:r>
      <w:r w:rsidR="00755552" w:rsidRPr="00755552">
        <w:rPr>
          <w:color w:val="auto"/>
          <w:szCs w:val="24"/>
        </w:rPr>
        <w:t>s are summarized in the chart below</w:t>
      </w:r>
      <w:r w:rsidR="00755552">
        <w:rPr>
          <w:color w:val="auto"/>
          <w:szCs w:val="24"/>
        </w:rPr>
        <w:t>.</w:t>
      </w:r>
      <w:r w:rsidR="00C85178">
        <w:rPr>
          <w:color w:val="auto"/>
          <w:szCs w:val="24"/>
        </w:rPr>
        <w:t xml:space="preserve"> </w:t>
      </w:r>
    </w:p>
    <w:p w:rsidR="00755552" w:rsidRDefault="00755552" w:rsidP="00510F9C">
      <w:pPr>
        <w:spacing w:line="240" w:lineRule="exact"/>
        <w:rPr>
          <w:color w:val="auto"/>
          <w:szCs w:val="24"/>
        </w:rPr>
      </w:pPr>
    </w:p>
    <w:tbl>
      <w:tblPr>
        <w:tblW w:w="0" w:type="auto"/>
        <w:jc w:val="center"/>
        <w:tblInd w:w="-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766"/>
        <w:gridCol w:w="2011"/>
        <w:gridCol w:w="2160"/>
      </w:tblGrid>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140B" w:rsidRPr="00313D7A" w:rsidRDefault="0006140B" w:rsidP="00627318">
            <w:pPr>
              <w:spacing w:line="200" w:lineRule="exact"/>
              <w:contextualSpacing/>
              <w:jc w:val="center"/>
              <w:rPr>
                <w:rFonts w:eastAsia="Calibri"/>
                <w:b/>
                <w:color w:val="auto"/>
                <w:sz w:val="20"/>
              </w:rPr>
            </w:pPr>
            <w:r w:rsidRPr="00313D7A">
              <w:rPr>
                <w:rFonts w:eastAsia="Calibri"/>
                <w:color w:val="auto"/>
                <w:sz w:val="20"/>
              </w:rPr>
              <w:t>Goniometric ROM – Cervical</w:t>
            </w:r>
          </w:p>
        </w:tc>
        <w:tc>
          <w:tcPr>
            <w:tcW w:w="1766" w:type="dxa"/>
            <w:tcBorders>
              <w:top w:val="single" w:sz="4" w:space="0" w:color="000000"/>
              <w:left w:val="single" w:sz="4" w:space="0" w:color="000000"/>
              <w:bottom w:val="single" w:sz="4" w:space="0" w:color="000000"/>
              <w:right w:val="single" w:sz="4" w:space="0" w:color="000000"/>
            </w:tcBorders>
            <w:shd w:val="pct15" w:color="auto" w:fill="auto"/>
          </w:tcPr>
          <w:p w:rsidR="0006140B" w:rsidRDefault="0006140B" w:rsidP="00832F01">
            <w:pPr>
              <w:spacing w:line="200" w:lineRule="exact"/>
              <w:contextualSpacing/>
              <w:jc w:val="center"/>
              <w:rPr>
                <w:rFonts w:eastAsia="Calibri"/>
                <w:color w:val="auto"/>
                <w:sz w:val="20"/>
              </w:rPr>
            </w:pPr>
            <w:r>
              <w:rPr>
                <w:rFonts w:eastAsia="Calibri"/>
                <w:color w:val="auto"/>
                <w:sz w:val="20"/>
              </w:rPr>
              <w:t>MEB H&amp;P</w:t>
            </w:r>
          </w:p>
          <w:p w:rsidR="0006140B" w:rsidRDefault="0006140B" w:rsidP="00832F01">
            <w:pPr>
              <w:spacing w:line="200" w:lineRule="exact"/>
              <w:contextualSpacing/>
              <w:jc w:val="center"/>
              <w:rPr>
                <w:rFonts w:eastAsia="Calibri"/>
                <w:color w:val="auto"/>
                <w:sz w:val="20"/>
              </w:rPr>
            </w:pPr>
            <w:r>
              <w:rPr>
                <w:rFonts w:eastAsia="Calibri"/>
                <w:color w:val="auto"/>
                <w:sz w:val="20"/>
              </w:rPr>
              <w:t>~5 Mo. Pre-Sep</w:t>
            </w:r>
          </w:p>
        </w:tc>
        <w:tc>
          <w:tcPr>
            <w:tcW w:w="201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140B" w:rsidRDefault="0006140B" w:rsidP="00832F01">
            <w:pPr>
              <w:spacing w:line="200" w:lineRule="exact"/>
              <w:contextualSpacing/>
              <w:jc w:val="center"/>
              <w:rPr>
                <w:rFonts w:eastAsia="Calibri"/>
                <w:color w:val="auto"/>
                <w:sz w:val="20"/>
              </w:rPr>
            </w:pPr>
            <w:r>
              <w:rPr>
                <w:rFonts w:eastAsia="Calibri"/>
                <w:color w:val="auto"/>
                <w:sz w:val="20"/>
              </w:rPr>
              <w:t>Orthopedic MEB</w:t>
            </w:r>
            <w:r w:rsidRPr="00FB42B7">
              <w:rPr>
                <w:rFonts w:eastAsia="Calibri"/>
                <w:color w:val="auto"/>
                <w:sz w:val="20"/>
              </w:rPr>
              <w:t xml:space="preserve"> </w:t>
            </w:r>
          </w:p>
          <w:p w:rsidR="0006140B" w:rsidRPr="00FB42B7" w:rsidRDefault="0006140B" w:rsidP="00832F01">
            <w:pPr>
              <w:spacing w:line="200" w:lineRule="exact"/>
              <w:contextualSpacing/>
              <w:jc w:val="center"/>
              <w:rPr>
                <w:rFonts w:eastAsia="Calibri"/>
                <w:color w:val="auto"/>
                <w:sz w:val="20"/>
              </w:rPr>
            </w:pPr>
            <w:r w:rsidRPr="00FB42B7">
              <w:rPr>
                <w:rFonts w:eastAsia="Calibri"/>
                <w:color w:val="auto"/>
                <w:sz w:val="20"/>
              </w:rPr>
              <w:t xml:space="preserve">~ </w:t>
            </w:r>
            <w:r>
              <w:rPr>
                <w:rFonts w:eastAsia="Calibri"/>
                <w:color w:val="auto"/>
                <w:sz w:val="20"/>
              </w:rPr>
              <w:t>4</w:t>
            </w:r>
            <w:r w:rsidRPr="00FB42B7">
              <w:rPr>
                <w:rFonts w:eastAsia="Calibri"/>
                <w:color w:val="auto"/>
                <w:sz w:val="20"/>
              </w:rPr>
              <w:t xml:space="preserve"> Mo. Pre-Sep</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2DD7" w:rsidRDefault="0006140B" w:rsidP="00832F01">
            <w:pPr>
              <w:spacing w:line="200" w:lineRule="exact"/>
              <w:contextualSpacing/>
              <w:jc w:val="center"/>
              <w:rPr>
                <w:rFonts w:eastAsia="Calibri"/>
                <w:color w:val="auto"/>
                <w:sz w:val="20"/>
              </w:rPr>
            </w:pPr>
            <w:r w:rsidRPr="00FB42B7">
              <w:rPr>
                <w:rFonts w:eastAsia="Calibri"/>
                <w:color w:val="auto"/>
                <w:sz w:val="20"/>
              </w:rPr>
              <w:t xml:space="preserve">MEB </w:t>
            </w:r>
          </w:p>
          <w:p w:rsidR="0006140B" w:rsidRPr="00FB42B7" w:rsidRDefault="0006140B" w:rsidP="00832F01">
            <w:pPr>
              <w:spacing w:line="200" w:lineRule="exact"/>
              <w:contextualSpacing/>
              <w:jc w:val="center"/>
              <w:rPr>
                <w:rFonts w:eastAsia="Calibri"/>
                <w:color w:val="auto"/>
                <w:sz w:val="20"/>
              </w:rPr>
            </w:pPr>
            <w:r w:rsidRPr="00FB42B7">
              <w:rPr>
                <w:rFonts w:eastAsia="Calibri"/>
                <w:color w:val="auto"/>
                <w:sz w:val="20"/>
              </w:rPr>
              <w:t xml:space="preserve">~ </w:t>
            </w:r>
            <w:r>
              <w:rPr>
                <w:rFonts w:eastAsia="Calibri"/>
                <w:color w:val="auto"/>
                <w:sz w:val="20"/>
              </w:rPr>
              <w:t>3</w:t>
            </w:r>
            <w:r w:rsidRPr="00FB42B7">
              <w:rPr>
                <w:rFonts w:eastAsia="Calibri"/>
                <w:color w:val="auto"/>
                <w:sz w:val="20"/>
              </w:rPr>
              <w:t xml:space="preserve"> Mo. Pre-Sep</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Flex</w:t>
            </w:r>
            <w:r>
              <w:rPr>
                <w:rFonts w:eastAsia="Calibri"/>
                <w:color w:val="auto"/>
                <w:sz w:val="18"/>
                <w:szCs w:val="18"/>
              </w:rPr>
              <w:t>ion</w:t>
            </w:r>
            <w:r w:rsidRPr="00C34CEB">
              <w:rPr>
                <w:rFonts w:eastAsia="Calibri"/>
                <w:color w:val="auto"/>
                <w:sz w:val="18"/>
                <w:szCs w:val="18"/>
              </w:rPr>
              <w:t xml:space="preserve"> (45⁰)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35</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Ext</w:t>
            </w:r>
            <w:r>
              <w:rPr>
                <w:rFonts w:eastAsia="Calibri"/>
                <w:color w:val="auto"/>
                <w:sz w:val="18"/>
                <w:szCs w:val="18"/>
              </w:rPr>
              <w:t>ension</w:t>
            </w:r>
            <w:r w:rsidRPr="00C34CEB">
              <w:rPr>
                <w:rFonts w:eastAsia="Calibri"/>
                <w:color w:val="auto"/>
                <w:sz w:val="18"/>
                <w:szCs w:val="18"/>
              </w:rPr>
              <w:t>(45⁰)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30</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832F01">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R</w:t>
            </w:r>
            <w:r>
              <w:rPr>
                <w:rFonts w:eastAsia="Calibri"/>
                <w:color w:val="auto"/>
                <w:sz w:val="18"/>
                <w:szCs w:val="18"/>
              </w:rPr>
              <w:t xml:space="preserve">ight </w:t>
            </w:r>
            <w:r w:rsidRPr="00C34CEB">
              <w:rPr>
                <w:rFonts w:eastAsia="Calibri"/>
                <w:color w:val="auto"/>
                <w:sz w:val="18"/>
                <w:szCs w:val="18"/>
              </w:rPr>
              <w:t>Lat</w:t>
            </w:r>
            <w:r>
              <w:rPr>
                <w:rFonts w:eastAsia="Calibri"/>
                <w:color w:val="auto"/>
                <w:sz w:val="18"/>
                <w:szCs w:val="18"/>
              </w:rPr>
              <w:t>eral</w:t>
            </w:r>
            <w:r w:rsidRPr="00C34CEB">
              <w:rPr>
                <w:rFonts w:eastAsia="Calibri"/>
                <w:color w:val="auto"/>
                <w:sz w:val="18"/>
                <w:szCs w:val="18"/>
              </w:rPr>
              <w:t xml:space="preserve"> Flex</w:t>
            </w:r>
            <w:r>
              <w:rPr>
                <w:rFonts w:eastAsia="Calibri"/>
                <w:color w:val="auto"/>
                <w:sz w:val="18"/>
                <w:szCs w:val="18"/>
              </w:rPr>
              <w:t>ion</w:t>
            </w:r>
            <w:r w:rsidRPr="00C34CEB">
              <w:rPr>
                <w:rFonts w:eastAsia="Calibri"/>
                <w:color w:val="auto"/>
                <w:sz w:val="18"/>
                <w:szCs w:val="18"/>
              </w:rPr>
              <w:t xml:space="preserve"> (45⁰)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10</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832F01">
            <w:pPr>
              <w:spacing w:line="180" w:lineRule="exact"/>
              <w:contextualSpacing/>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L</w:t>
            </w:r>
            <w:r>
              <w:rPr>
                <w:rFonts w:eastAsia="Calibri"/>
                <w:color w:val="auto"/>
                <w:sz w:val="18"/>
                <w:szCs w:val="18"/>
              </w:rPr>
              <w:t>eft</w:t>
            </w:r>
            <w:r w:rsidRPr="00C34CEB">
              <w:rPr>
                <w:rFonts w:eastAsia="Calibri"/>
                <w:color w:val="auto"/>
                <w:sz w:val="18"/>
                <w:szCs w:val="18"/>
              </w:rPr>
              <w:t xml:space="preserve"> Lat</w:t>
            </w:r>
            <w:r>
              <w:rPr>
                <w:rFonts w:eastAsia="Calibri"/>
                <w:color w:val="auto"/>
                <w:sz w:val="18"/>
                <w:szCs w:val="18"/>
              </w:rPr>
              <w:t>eral</w:t>
            </w:r>
            <w:r w:rsidRPr="00C34CEB">
              <w:rPr>
                <w:rFonts w:eastAsia="Calibri"/>
                <w:color w:val="auto"/>
                <w:sz w:val="18"/>
                <w:szCs w:val="18"/>
              </w:rPr>
              <w:t xml:space="preserve"> Flex</w:t>
            </w:r>
            <w:r>
              <w:rPr>
                <w:rFonts w:eastAsia="Calibri"/>
                <w:color w:val="auto"/>
                <w:sz w:val="18"/>
                <w:szCs w:val="18"/>
              </w:rPr>
              <w:t>ion</w:t>
            </w:r>
            <w:r w:rsidRPr="00C34CEB">
              <w:rPr>
                <w:rFonts w:eastAsia="Calibri"/>
                <w:color w:val="auto"/>
                <w:sz w:val="18"/>
                <w:szCs w:val="18"/>
              </w:rPr>
              <w:t xml:space="preserve"> (45⁰)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15</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10</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832F01">
            <w:pPr>
              <w:spacing w:line="180" w:lineRule="exact"/>
              <w:contextualSpacing/>
              <w:jc w:val="center"/>
              <w:rPr>
                <w:rFonts w:eastAsia="Calibri"/>
                <w:color w:val="auto"/>
                <w:sz w:val="18"/>
                <w:szCs w:val="18"/>
              </w:rPr>
            </w:pPr>
            <w:r>
              <w:rPr>
                <w:rFonts w:eastAsia="Calibri"/>
                <w:color w:val="auto"/>
                <w:sz w:val="18"/>
                <w:szCs w:val="18"/>
              </w:rPr>
              <w:t>15</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Right Rotation (</w:t>
            </w:r>
            <w:r w:rsidRPr="00C34CEB">
              <w:rPr>
                <w:rFonts w:eastAsia="Calibri"/>
                <w:color w:val="auto"/>
                <w:sz w:val="18"/>
                <w:szCs w:val="18"/>
              </w:rPr>
              <w:t>80⁰)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45</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40</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45</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L</w:t>
            </w:r>
            <w:r>
              <w:rPr>
                <w:rFonts w:eastAsia="Calibri"/>
                <w:color w:val="auto"/>
                <w:sz w:val="18"/>
                <w:szCs w:val="18"/>
              </w:rPr>
              <w:t>eft</w:t>
            </w:r>
            <w:r w:rsidRPr="00C34CEB">
              <w:rPr>
                <w:rFonts w:eastAsia="Calibri"/>
                <w:color w:val="auto"/>
                <w:sz w:val="18"/>
                <w:szCs w:val="18"/>
              </w:rPr>
              <w:t xml:space="preserve"> Rotation (80⁰)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contextualSpacing/>
              <w:jc w:val="center"/>
              <w:rPr>
                <w:rFonts w:eastAsia="Calibri"/>
                <w:color w:val="auto"/>
                <w:sz w:val="18"/>
                <w:szCs w:val="18"/>
              </w:rPr>
            </w:pPr>
            <w:r>
              <w:rPr>
                <w:rFonts w:eastAsia="Calibri"/>
                <w:color w:val="auto"/>
                <w:sz w:val="18"/>
                <w:szCs w:val="18"/>
              </w:rPr>
              <w:t>50</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contextualSpacing/>
              <w:jc w:val="center"/>
              <w:rPr>
                <w:rFonts w:eastAsia="Calibri"/>
                <w:color w:val="auto"/>
                <w:sz w:val="18"/>
                <w:szCs w:val="18"/>
              </w:rPr>
            </w:pPr>
            <w:r>
              <w:rPr>
                <w:rFonts w:eastAsia="Calibri"/>
                <w:color w:val="auto"/>
                <w:sz w:val="18"/>
                <w:szCs w:val="18"/>
              </w:rPr>
              <w:t>45</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832F01">
            <w:pPr>
              <w:spacing w:line="180" w:lineRule="exact"/>
              <w:contextualSpacing/>
              <w:jc w:val="center"/>
              <w:rPr>
                <w:rFonts w:eastAsia="Calibri"/>
                <w:color w:val="auto"/>
                <w:sz w:val="18"/>
                <w:szCs w:val="18"/>
              </w:rPr>
            </w:pPr>
            <w:r>
              <w:rPr>
                <w:rFonts w:eastAsia="Calibri"/>
                <w:color w:val="auto"/>
                <w:sz w:val="18"/>
                <w:szCs w:val="18"/>
              </w:rPr>
              <w:t>45</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000000"/>
              <w:right w:val="single" w:sz="4" w:space="0" w:color="000000"/>
            </w:tcBorders>
            <w:vAlign w:val="center"/>
            <w:hideMark/>
          </w:tcPr>
          <w:p w:rsidR="0006140B" w:rsidRPr="00C34CEB" w:rsidRDefault="0006140B" w:rsidP="0006140B">
            <w:pPr>
              <w:spacing w:line="180" w:lineRule="exact"/>
              <w:contextualSpacing/>
              <w:jc w:val="center"/>
              <w:rPr>
                <w:rFonts w:eastAsia="Calibri"/>
                <w:color w:val="auto"/>
                <w:sz w:val="18"/>
                <w:szCs w:val="18"/>
              </w:rPr>
            </w:pPr>
            <w:r w:rsidRPr="00C34CEB">
              <w:rPr>
                <w:rFonts w:eastAsia="Calibri"/>
                <w:color w:val="auto"/>
                <w:sz w:val="18"/>
                <w:szCs w:val="18"/>
              </w:rPr>
              <w:t>C</w:t>
            </w:r>
            <w:r>
              <w:rPr>
                <w:rFonts w:eastAsia="Calibri"/>
                <w:color w:val="auto"/>
                <w:sz w:val="18"/>
                <w:szCs w:val="18"/>
              </w:rPr>
              <w:t>ombined</w:t>
            </w:r>
            <w:r w:rsidRPr="00C34CEB">
              <w:rPr>
                <w:rFonts w:eastAsia="Calibri"/>
                <w:color w:val="auto"/>
                <w:sz w:val="18"/>
                <w:szCs w:val="18"/>
              </w:rPr>
              <w:t xml:space="preserve"> (340⁰)</w:t>
            </w:r>
          </w:p>
        </w:tc>
        <w:tc>
          <w:tcPr>
            <w:tcW w:w="1766" w:type="dxa"/>
            <w:tcBorders>
              <w:top w:val="single" w:sz="4" w:space="0" w:color="000000"/>
              <w:left w:val="single" w:sz="4" w:space="0" w:color="000000"/>
              <w:bottom w:val="single" w:sz="4" w:space="0" w:color="000000"/>
              <w:right w:val="single" w:sz="4" w:space="0" w:color="000000"/>
            </w:tcBorders>
          </w:tcPr>
          <w:p w:rsidR="0006140B" w:rsidRDefault="0006140B" w:rsidP="00627318">
            <w:pPr>
              <w:spacing w:line="180" w:lineRule="exact"/>
              <w:jc w:val="center"/>
              <w:rPr>
                <w:rFonts w:eastAsia="Calibri"/>
                <w:color w:val="auto"/>
                <w:sz w:val="18"/>
                <w:szCs w:val="18"/>
              </w:rPr>
            </w:pPr>
            <w:r>
              <w:rPr>
                <w:rFonts w:eastAsia="Calibri"/>
                <w:color w:val="auto"/>
                <w:sz w:val="18"/>
                <w:szCs w:val="18"/>
              </w:rPr>
              <w:t>185</w:t>
            </w:r>
            <w:r w:rsidRPr="00C34CEB">
              <w:rPr>
                <w:rFonts w:eastAsia="Calibri"/>
                <w:color w:val="auto"/>
                <w:sz w:val="18"/>
                <w:szCs w:val="18"/>
              </w:rPr>
              <w:t>⁰</w:t>
            </w:r>
          </w:p>
        </w:tc>
        <w:tc>
          <w:tcPr>
            <w:tcW w:w="2011"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jc w:val="center"/>
              <w:rPr>
                <w:color w:val="auto"/>
                <w:sz w:val="18"/>
                <w:szCs w:val="18"/>
              </w:rPr>
            </w:pPr>
            <w:r>
              <w:rPr>
                <w:rFonts w:eastAsia="Calibri"/>
                <w:color w:val="auto"/>
                <w:sz w:val="18"/>
                <w:szCs w:val="18"/>
              </w:rPr>
              <w:t>155</w:t>
            </w:r>
            <w:r w:rsidRPr="00C34CEB">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vAlign w:val="center"/>
          </w:tcPr>
          <w:p w:rsidR="0006140B" w:rsidRPr="00C34CEB" w:rsidRDefault="0006140B" w:rsidP="00627318">
            <w:pPr>
              <w:spacing w:line="180" w:lineRule="exact"/>
              <w:jc w:val="center"/>
              <w:rPr>
                <w:color w:val="auto"/>
                <w:sz w:val="18"/>
                <w:szCs w:val="18"/>
              </w:rPr>
            </w:pPr>
            <w:r>
              <w:rPr>
                <w:rFonts w:eastAsia="Calibri"/>
                <w:color w:val="auto"/>
                <w:sz w:val="18"/>
                <w:szCs w:val="18"/>
              </w:rPr>
              <w:t>165</w:t>
            </w:r>
            <w:r w:rsidRPr="00C34CEB">
              <w:rPr>
                <w:rFonts w:eastAsia="Calibri"/>
                <w:color w:val="auto"/>
                <w:sz w:val="18"/>
                <w:szCs w:val="18"/>
              </w:rPr>
              <w:t>⁰</w:t>
            </w:r>
          </w:p>
        </w:tc>
      </w:tr>
      <w:tr w:rsidR="0006140B" w:rsidRPr="00C34CEB" w:rsidTr="008B2DD7">
        <w:trPr>
          <w:jc w:val="center"/>
        </w:trPr>
        <w:tc>
          <w:tcPr>
            <w:tcW w:w="2713" w:type="dxa"/>
            <w:tcBorders>
              <w:top w:val="single" w:sz="4" w:space="0" w:color="000000"/>
              <w:left w:val="single" w:sz="4" w:space="0" w:color="000000"/>
              <w:bottom w:val="single" w:sz="4" w:space="0" w:color="auto"/>
              <w:right w:val="single" w:sz="4" w:space="0" w:color="000000"/>
            </w:tcBorders>
            <w:vAlign w:val="center"/>
            <w:hideMark/>
          </w:tcPr>
          <w:p w:rsidR="0006140B" w:rsidRPr="00C34CEB" w:rsidRDefault="0006140B" w:rsidP="00627318">
            <w:pPr>
              <w:spacing w:line="180" w:lineRule="exact"/>
              <w:contextualSpacing/>
              <w:jc w:val="center"/>
              <w:rPr>
                <w:rFonts w:eastAsia="Calibri"/>
                <w:color w:val="auto"/>
                <w:sz w:val="18"/>
                <w:szCs w:val="18"/>
              </w:rPr>
            </w:pPr>
            <w:r w:rsidRPr="00C34CEB">
              <w:rPr>
                <w:rFonts w:eastAsia="Calibri"/>
                <w:color w:val="auto"/>
                <w:sz w:val="18"/>
                <w:szCs w:val="18"/>
              </w:rPr>
              <w:t>Comment</w:t>
            </w:r>
          </w:p>
        </w:tc>
        <w:tc>
          <w:tcPr>
            <w:tcW w:w="1766" w:type="dxa"/>
            <w:tcBorders>
              <w:top w:val="single" w:sz="4" w:space="0" w:color="000000"/>
              <w:left w:val="single" w:sz="4" w:space="0" w:color="000000"/>
              <w:bottom w:val="single" w:sz="4" w:space="0" w:color="auto"/>
              <w:right w:val="single" w:sz="4" w:space="0" w:color="000000"/>
            </w:tcBorders>
          </w:tcPr>
          <w:p w:rsidR="0006140B" w:rsidRDefault="0006140B" w:rsidP="003E27B4">
            <w:pPr>
              <w:tabs>
                <w:tab w:val="left" w:pos="288"/>
                <w:tab w:val="left" w:pos="4752"/>
              </w:tabs>
              <w:spacing w:line="180" w:lineRule="exact"/>
              <w:jc w:val="center"/>
              <w:rPr>
                <w:rFonts w:eastAsia="Calibri"/>
                <w:color w:val="auto"/>
                <w:sz w:val="18"/>
                <w:szCs w:val="18"/>
              </w:rPr>
            </w:pPr>
          </w:p>
        </w:tc>
        <w:tc>
          <w:tcPr>
            <w:tcW w:w="2011" w:type="dxa"/>
            <w:tcBorders>
              <w:top w:val="single" w:sz="4" w:space="0" w:color="000000"/>
              <w:left w:val="single" w:sz="4" w:space="0" w:color="000000"/>
              <w:bottom w:val="single" w:sz="4" w:space="0" w:color="auto"/>
              <w:right w:val="single" w:sz="4" w:space="0" w:color="000000"/>
            </w:tcBorders>
            <w:vAlign w:val="center"/>
          </w:tcPr>
          <w:p w:rsidR="0006140B" w:rsidRPr="00C34CEB" w:rsidRDefault="0006140B" w:rsidP="003E27B4">
            <w:pPr>
              <w:tabs>
                <w:tab w:val="left" w:pos="288"/>
                <w:tab w:val="left" w:pos="4752"/>
              </w:tabs>
              <w:spacing w:line="180" w:lineRule="exact"/>
              <w:jc w:val="center"/>
              <w:rPr>
                <w:rFonts w:eastAsia="Calibri"/>
                <w:color w:val="auto"/>
                <w:sz w:val="18"/>
                <w:szCs w:val="18"/>
              </w:rPr>
            </w:pPr>
            <w:r>
              <w:rPr>
                <w:rFonts w:eastAsia="Calibri"/>
                <w:color w:val="auto"/>
                <w:sz w:val="18"/>
                <w:szCs w:val="18"/>
              </w:rPr>
              <w:t>Tenderness in cervical spine</w:t>
            </w:r>
            <w:r w:rsidR="00D04BF0">
              <w:rPr>
                <w:rFonts w:eastAsia="Calibri"/>
                <w:color w:val="auto"/>
                <w:sz w:val="18"/>
                <w:szCs w:val="18"/>
              </w:rPr>
              <w:t>.</w:t>
            </w:r>
          </w:p>
        </w:tc>
        <w:tc>
          <w:tcPr>
            <w:tcW w:w="2160" w:type="dxa"/>
            <w:tcBorders>
              <w:top w:val="single" w:sz="4" w:space="0" w:color="000000"/>
              <w:left w:val="single" w:sz="4" w:space="0" w:color="000000"/>
              <w:bottom w:val="single" w:sz="4" w:space="0" w:color="auto"/>
              <w:right w:val="single" w:sz="4" w:space="0" w:color="000000"/>
            </w:tcBorders>
            <w:vAlign w:val="center"/>
          </w:tcPr>
          <w:p w:rsidR="00D04BF0" w:rsidRPr="00C34CEB" w:rsidRDefault="0006140B" w:rsidP="00D04BF0">
            <w:pPr>
              <w:tabs>
                <w:tab w:val="left" w:pos="288"/>
                <w:tab w:val="left" w:pos="4752"/>
              </w:tabs>
              <w:spacing w:line="180" w:lineRule="exact"/>
              <w:rPr>
                <w:rFonts w:eastAsia="Calibri"/>
                <w:color w:val="auto"/>
                <w:sz w:val="18"/>
                <w:szCs w:val="18"/>
              </w:rPr>
            </w:pPr>
            <w:r>
              <w:rPr>
                <w:rFonts w:eastAsia="Calibri"/>
                <w:color w:val="auto"/>
                <w:sz w:val="18"/>
                <w:szCs w:val="18"/>
              </w:rPr>
              <w:t>Tenderness in cervical spine</w:t>
            </w:r>
            <w:r w:rsidR="00D04BF0">
              <w:rPr>
                <w:rFonts w:eastAsia="Calibri"/>
                <w:color w:val="auto"/>
                <w:sz w:val="18"/>
                <w:szCs w:val="18"/>
              </w:rPr>
              <w:t>.</w:t>
            </w:r>
          </w:p>
        </w:tc>
      </w:tr>
      <w:tr w:rsidR="0006140B" w:rsidRPr="00C34CEB" w:rsidTr="008B2DD7">
        <w:trPr>
          <w:jc w:val="center"/>
        </w:trPr>
        <w:tc>
          <w:tcPr>
            <w:tcW w:w="2713" w:type="dxa"/>
            <w:tcBorders>
              <w:top w:val="single" w:sz="4" w:space="0" w:color="000000"/>
              <w:left w:val="single" w:sz="4" w:space="0" w:color="000000"/>
              <w:bottom w:val="single" w:sz="4" w:space="0" w:color="auto"/>
              <w:right w:val="single" w:sz="4" w:space="0" w:color="000000"/>
            </w:tcBorders>
            <w:vAlign w:val="center"/>
            <w:hideMark/>
          </w:tcPr>
          <w:p w:rsidR="0006140B" w:rsidRPr="00C34CEB" w:rsidRDefault="0006140B" w:rsidP="00627318">
            <w:pPr>
              <w:spacing w:line="180" w:lineRule="exact"/>
              <w:contextualSpacing/>
              <w:jc w:val="center"/>
              <w:rPr>
                <w:rFonts w:eastAsia="Calibri"/>
                <w:color w:val="auto"/>
                <w:sz w:val="18"/>
                <w:szCs w:val="18"/>
              </w:rPr>
            </w:pPr>
            <w:r w:rsidRPr="00C34CEB">
              <w:rPr>
                <w:rFonts w:eastAsia="Calibri"/>
                <w:color w:val="auto"/>
                <w:sz w:val="18"/>
                <w:szCs w:val="18"/>
              </w:rPr>
              <w:t>§4.71a Rating</w:t>
            </w:r>
          </w:p>
        </w:tc>
        <w:tc>
          <w:tcPr>
            <w:tcW w:w="1766" w:type="dxa"/>
            <w:tcBorders>
              <w:top w:val="single" w:sz="4" w:space="0" w:color="000000"/>
              <w:left w:val="single" w:sz="4" w:space="0" w:color="000000"/>
              <w:bottom w:val="single" w:sz="4" w:space="0" w:color="auto"/>
              <w:right w:val="single" w:sz="4" w:space="0" w:color="000000"/>
            </w:tcBorders>
          </w:tcPr>
          <w:p w:rsidR="0006140B" w:rsidRDefault="008B2DD7" w:rsidP="00627318">
            <w:pPr>
              <w:tabs>
                <w:tab w:val="left" w:pos="288"/>
                <w:tab w:val="left" w:pos="4752"/>
              </w:tabs>
              <w:spacing w:line="180" w:lineRule="exact"/>
              <w:jc w:val="center"/>
              <w:rPr>
                <w:rFonts w:eastAsia="Calibri"/>
                <w:color w:val="auto"/>
                <w:sz w:val="18"/>
                <w:szCs w:val="18"/>
              </w:rPr>
            </w:pPr>
            <w:r>
              <w:rPr>
                <w:rFonts w:eastAsia="Calibri"/>
                <w:color w:val="auto"/>
                <w:sz w:val="18"/>
                <w:szCs w:val="18"/>
              </w:rPr>
              <w:t>10%</w:t>
            </w:r>
          </w:p>
        </w:tc>
        <w:tc>
          <w:tcPr>
            <w:tcW w:w="2011" w:type="dxa"/>
            <w:tcBorders>
              <w:top w:val="single" w:sz="4" w:space="0" w:color="000000"/>
              <w:left w:val="single" w:sz="4" w:space="0" w:color="000000"/>
              <w:bottom w:val="single" w:sz="4" w:space="0" w:color="auto"/>
              <w:right w:val="single" w:sz="4" w:space="0" w:color="000000"/>
            </w:tcBorders>
            <w:vAlign w:val="center"/>
          </w:tcPr>
          <w:p w:rsidR="0006140B" w:rsidRPr="00C34CEB" w:rsidRDefault="0006140B" w:rsidP="00627318">
            <w:pPr>
              <w:tabs>
                <w:tab w:val="left" w:pos="288"/>
                <w:tab w:val="left" w:pos="4752"/>
              </w:tabs>
              <w:spacing w:line="180" w:lineRule="exact"/>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w:t>
            </w:r>
          </w:p>
        </w:tc>
        <w:tc>
          <w:tcPr>
            <w:tcW w:w="2160" w:type="dxa"/>
            <w:tcBorders>
              <w:top w:val="single" w:sz="4" w:space="0" w:color="000000"/>
              <w:left w:val="single" w:sz="4" w:space="0" w:color="000000"/>
              <w:bottom w:val="single" w:sz="4" w:space="0" w:color="auto"/>
              <w:right w:val="single" w:sz="4" w:space="0" w:color="000000"/>
            </w:tcBorders>
            <w:vAlign w:val="center"/>
          </w:tcPr>
          <w:p w:rsidR="0006140B" w:rsidRPr="00C34CEB" w:rsidRDefault="0006140B" w:rsidP="00627318">
            <w:pPr>
              <w:tabs>
                <w:tab w:val="left" w:pos="288"/>
                <w:tab w:val="left" w:pos="4752"/>
              </w:tabs>
              <w:spacing w:line="180" w:lineRule="exact"/>
              <w:jc w:val="center"/>
              <w:rPr>
                <w:rFonts w:eastAsia="Calibri"/>
                <w:color w:val="auto"/>
                <w:sz w:val="18"/>
                <w:szCs w:val="18"/>
              </w:rPr>
            </w:pPr>
            <w:r>
              <w:rPr>
                <w:rFonts w:eastAsia="Calibri"/>
                <w:color w:val="auto"/>
                <w:sz w:val="18"/>
                <w:szCs w:val="18"/>
              </w:rPr>
              <w:t>20</w:t>
            </w:r>
            <w:r w:rsidRPr="00C34CEB">
              <w:rPr>
                <w:rFonts w:eastAsia="Calibri"/>
                <w:color w:val="auto"/>
                <w:sz w:val="18"/>
                <w:szCs w:val="18"/>
              </w:rPr>
              <w:t>%</w:t>
            </w:r>
          </w:p>
        </w:tc>
      </w:tr>
    </w:tbl>
    <w:p w:rsidR="002F6AD8" w:rsidRPr="00862438" w:rsidRDefault="002F6AD8" w:rsidP="00510F9C">
      <w:pPr>
        <w:spacing w:line="240" w:lineRule="exact"/>
        <w:rPr>
          <w:color w:val="auto"/>
          <w:szCs w:val="24"/>
        </w:rPr>
      </w:pPr>
    </w:p>
    <w:p w:rsidR="008B2DD7" w:rsidRDefault="008B2DD7" w:rsidP="004550E0">
      <w:pPr>
        <w:tabs>
          <w:tab w:val="left" w:pos="288"/>
          <w:tab w:val="left" w:pos="4752"/>
        </w:tabs>
        <w:spacing w:line="240" w:lineRule="exact"/>
        <w:jc w:val="both"/>
        <w:rPr>
          <w:color w:val="auto"/>
          <w:szCs w:val="24"/>
        </w:rPr>
      </w:pPr>
      <w:r>
        <w:rPr>
          <w:color w:val="auto"/>
          <w:szCs w:val="24"/>
        </w:rPr>
        <w:t xml:space="preserve">The CI developed neck pain associated with paresthesia in the left hand in 2002.  </w:t>
      </w:r>
      <w:r w:rsidRPr="00BC7D0B">
        <w:rPr>
          <w:color w:val="auto"/>
          <w:szCs w:val="24"/>
        </w:rPr>
        <w:t>Subsequently he</w:t>
      </w:r>
      <w:r>
        <w:rPr>
          <w:color w:val="auto"/>
          <w:szCs w:val="24"/>
        </w:rPr>
        <w:t xml:space="preserve"> was</w:t>
      </w:r>
      <w:r w:rsidRPr="00636A4F">
        <w:rPr>
          <w:color w:val="auto"/>
          <w:szCs w:val="24"/>
        </w:rPr>
        <w:t xml:space="preserve"> </w:t>
      </w:r>
      <w:r w:rsidRPr="00BC7D0B">
        <w:rPr>
          <w:color w:val="auto"/>
          <w:szCs w:val="24"/>
        </w:rPr>
        <w:t>diagnosed with degenerative disk</w:t>
      </w:r>
      <w:r>
        <w:rPr>
          <w:color w:val="auto"/>
          <w:szCs w:val="24"/>
        </w:rPr>
        <w:t xml:space="preserve"> disease at the C5-C6 and C6-C7 levels</w:t>
      </w:r>
      <w:r w:rsidR="00D04BF0">
        <w:rPr>
          <w:color w:val="auto"/>
          <w:szCs w:val="24"/>
        </w:rPr>
        <w:t xml:space="preserve"> and </w:t>
      </w:r>
      <w:r w:rsidRPr="00BC7D0B">
        <w:rPr>
          <w:color w:val="auto"/>
          <w:szCs w:val="24"/>
        </w:rPr>
        <w:t>underwent anterior cervical dis</w:t>
      </w:r>
      <w:r>
        <w:rPr>
          <w:color w:val="auto"/>
          <w:szCs w:val="24"/>
        </w:rPr>
        <w:t>c</w:t>
      </w:r>
      <w:r w:rsidRPr="00BC7D0B">
        <w:rPr>
          <w:color w:val="auto"/>
          <w:szCs w:val="24"/>
        </w:rPr>
        <w:t xml:space="preserve">ectomy and fusion in April 2002. </w:t>
      </w:r>
      <w:r>
        <w:rPr>
          <w:color w:val="auto"/>
          <w:szCs w:val="24"/>
        </w:rPr>
        <w:t xml:space="preserve"> </w:t>
      </w:r>
      <w:r w:rsidRPr="004E50BC">
        <w:rPr>
          <w:color w:val="auto"/>
          <w:szCs w:val="24"/>
        </w:rPr>
        <w:t xml:space="preserve">He </w:t>
      </w:r>
      <w:r>
        <w:rPr>
          <w:color w:val="auto"/>
          <w:szCs w:val="24"/>
        </w:rPr>
        <w:t xml:space="preserve">continued to have neck pain and difficulties in lifting and working overhead, however continued to performed his primary military duties.  In March 2004 he indicated he was not capable to deploy due </w:t>
      </w:r>
      <w:r w:rsidR="009D2854">
        <w:rPr>
          <w:color w:val="auto"/>
          <w:szCs w:val="24"/>
        </w:rPr>
        <w:t xml:space="preserve">a profile </w:t>
      </w:r>
      <w:r w:rsidR="00D04BF0">
        <w:rPr>
          <w:color w:val="auto"/>
          <w:szCs w:val="24"/>
        </w:rPr>
        <w:t>(U2)</w:t>
      </w:r>
      <w:r w:rsidR="009D2854">
        <w:rPr>
          <w:color w:val="auto"/>
          <w:szCs w:val="24"/>
        </w:rPr>
        <w:t xml:space="preserve">.  He </w:t>
      </w:r>
      <w:r>
        <w:rPr>
          <w:color w:val="auto"/>
          <w:szCs w:val="24"/>
        </w:rPr>
        <w:t>was referred for evaluation leading to MEB for chronic neck pain secondary to degenerative disc disease status post anterior cervical discectomy and fusion C5/C6, C6/C7.</w:t>
      </w:r>
      <w:r w:rsidR="00D04BF0">
        <w:rPr>
          <w:color w:val="auto"/>
          <w:szCs w:val="24"/>
        </w:rPr>
        <w:t xml:space="preserve">  </w:t>
      </w:r>
      <w:r w:rsidR="009D2854">
        <w:rPr>
          <w:color w:val="auto"/>
          <w:szCs w:val="24"/>
        </w:rPr>
        <w:t>All examinations documented normal strength, and intact reflexes of the upper extremities.</w:t>
      </w:r>
      <w:r w:rsidR="00D04BF0">
        <w:rPr>
          <w:color w:val="auto"/>
          <w:szCs w:val="24"/>
        </w:rPr>
        <w:t xml:space="preserve">  The CI had numbness and tingling of the middle, ring and little fingers of the left hand.  Electrodiagnostic testing 1 June 2004 was normal.  </w:t>
      </w:r>
      <w:r w:rsidR="006D72AC">
        <w:rPr>
          <w:color w:val="auto"/>
          <w:szCs w:val="24"/>
        </w:rPr>
        <w:t xml:space="preserve">The </w:t>
      </w:r>
      <w:r w:rsidR="005C0726">
        <w:rPr>
          <w:color w:val="auto"/>
          <w:szCs w:val="24"/>
        </w:rPr>
        <w:t>VA Compensation and Pension (</w:t>
      </w:r>
      <w:r w:rsidR="006D72AC">
        <w:rPr>
          <w:color w:val="auto"/>
          <w:szCs w:val="24"/>
        </w:rPr>
        <w:t>C&amp;P</w:t>
      </w:r>
      <w:r w:rsidR="005C0726">
        <w:rPr>
          <w:color w:val="auto"/>
          <w:szCs w:val="24"/>
        </w:rPr>
        <w:t>)</w:t>
      </w:r>
      <w:r w:rsidR="006D72AC">
        <w:rPr>
          <w:color w:val="auto"/>
          <w:szCs w:val="24"/>
        </w:rPr>
        <w:t xml:space="preserve"> examination </w:t>
      </w:r>
      <w:r w:rsidR="005C0726">
        <w:rPr>
          <w:color w:val="auto"/>
          <w:szCs w:val="24"/>
        </w:rPr>
        <w:t xml:space="preserve">          </w:t>
      </w:r>
      <w:r w:rsidR="006D72AC">
        <w:rPr>
          <w:color w:val="auto"/>
          <w:szCs w:val="24"/>
        </w:rPr>
        <w:t xml:space="preserve">10 August 2004, one month before separation, did not document </w:t>
      </w:r>
      <w:r w:rsidR="00D04BF0">
        <w:rPr>
          <w:color w:val="auto"/>
          <w:szCs w:val="24"/>
        </w:rPr>
        <w:t xml:space="preserve">a </w:t>
      </w:r>
      <w:r w:rsidR="006D72AC">
        <w:rPr>
          <w:color w:val="auto"/>
          <w:szCs w:val="24"/>
        </w:rPr>
        <w:t>spine exam but documented normal strength and intact reflexes.</w:t>
      </w:r>
      <w:r w:rsidR="00D04BF0">
        <w:rPr>
          <w:color w:val="auto"/>
          <w:szCs w:val="24"/>
        </w:rPr>
        <w:t xml:space="preserve">  There was persistent numbness left hand.  The orthopedic surgery exam specifically documented intact and symmetric sensation of the finger</w:t>
      </w:r>
      <w:r w:rsidR="002C0861">
        <w:rPr>
          <w:color w:val="auto"/>
          <w:szCs w:val="24"/>
        </w:rPr>
        <w:t xml:space="preserve"> tips</w:t>
      </w:r>
      <w:r w:rsidR="00D04BF0">
        <w:rPr>
          <w:color w:val="auto"/>
          <w:szCs w:val="24"/>
        </w:rPr>
        <w:t xml:space="preserve">.  </w:t>
      </w:r>
      <w:r w:rsidR="006D72AC">
        <w:rPr>
          <w:color w:val="auto"/>
          <w:szCs w:val="24"/>
        </w:rPr>
        <w:t>The C&amp;P examiner noted diminished sensation over the left thumb and index finger</w:t>
      </w:r>
      <w:r w:rsidR="002C0861">
        <w:rPr>
          <w:color w:val="auto"/>
          <w:szCs w:val="24"/>
        </w:rPr>
        <w:t xml:space="preserve">.  </w:t>
      </w:r>
      <w:r w:rsidR="00D04BF0">
        <w:rPr>
          <w:color w:val="auto"/>
          <w:szCs w:val="24"/>
        </w:rPr>
        <w:t xml:space="preserve">The </w:t>
      </w:r>
      <w:r w:rsidR="005C0726">
        <w:rPr>
          <w:color w:val="auto"/>
          <w:szCs w:val="24"/>
        </w:rPr>
        <w:t>narrative summary (</w:t>
      </w:r>
      <w:r w:rsidR="00D04BF0">
        <w:rPr>
          <w:color w:val="auto"/>
          <w:szCs w:val="24"/>
        </w:rPr>
        <w:t>NARSUM</w:t>
      </w:r>
      <w:r w:rsidR="005C0726">
        <w:rPr>
          <w:color w:val="auto"/>
          <w:szCs w:val="24"/>
        </w:rPr>
        <w:t>)</w:t>
      </w:r>
      <w:r w:rsidR="00D04BF0">
        <w:rPr>
          <w:color w:val="auto"/>
          <w:szCs w:val="24"/>
        </w:rPr>
        <w:t xml:space="preserve"> indicated that the CI c</w:t>
      </w:r>
      <w:r w:rsidR="006D72AC">
        <w:rPr>
          <w:color w:val="auto"/>
          <w:szCs w:val="24"/>
        </w:rPr>
        <w:t>ontinue</w:t>
      </w:r>
      <w:r w:rsidR="00D04BF0">
        <w:rPr>
          <w:color w:val="auto"/>
          <w:szCs w:val="24"/>
        </w:rPr>
        <w:t>d</w:t>
      </w:r>
      <w:r w:rsidR="006D72AC">
        <w:rPr>
          <w:color w:val="auto"/>
          <w:szCs w:val="24"/>
        </w:rPr>
        <w:t xml:space="preserve"> to work as a nurse in the intensi</w:t>
      </w:r>
      <w:r w:rsidR="00D04BF0">
        <w:rPr>
          <w:color w:val="auto"/>
          <w:szCs w:val="24"/>
        </w:rPr>
        <w:t>v</w:t>
      </w:r>
      <w:r w:rsidR="006D72AC">
        <w:rPr>
          <w:color w:val="auto"/>
          <w:szCs w:val="24"/>
        </w:rPr>
        <w:t xml:space="preserve">e care unit but </w:t>
      </w:r>
      <w:r w:rsidR="00D04BF0">
        <w:rPr>
          <w:color w:val="auto"/>
          <w:szCs w:val="24"/>
        </w:rPr>
        <w:t xml:space="preserve">that </w:t>
      </w:r>
      <w:r w:rsidR="006D72AC">
        <w:rPr>
          <w:color w:val="auto"/>
          <w:szCs w:val="24"/>
        </w:rPr>
        <w:t xml:space="preserve">deployability </w:t>
      </w:r>
      <w:r w:rsidR="00D04BF0">
        <w:rPr>
          <w:color w:val="auto"/>
          <w:szCs w:val="24"/>
        </w:rPr>
        <w:t>was</w:t>
      </w:r>
      <w:r w:rsidR="006D72AC">
        <w:rPr>
          <w:color w:val="auto"/>
          <w:szCs w:val="24"/>
        </w:rPr>
        <w:t xml:space="preserve"> questionable due to intolerance of Kevlar, rucksack and heavy lifting that would be required if deployed to a field hospital in a combat zone.</w:t>
      </w:r>
      <w:r w:rsidR="00D04BF0">
        <w:rPr>
          <w:color w:val="auto"/>
          <w:szCs w:val="24"/>
        </w:rPr>
        <w:t xml:space="preserve">  </w:t>
      </w:r>
      <w:r w:rsidR="005C0726">
        <w:rPr>
          <w:color w:val="auto"/>
          <w:szCs w:val="24"/>
        </w:rPr>
        <w:t>ROMs</w:t>
      </w:r>
      <w:r>
        <w:rPr>
          <w:color w:val="auto"/>
          <w:szCs w:val="24"/>
        </w:rPr>
        <w:t xml:space="preserve"> were relatively consistent between examinations although the earlier MEB examination in April 2004 documented a significantly better flexion than the later examinations.  The</w:t>
      </w:r>
      <w:r w:rsidR="009D2854">
        <w:rPr>
          <w:color w:val="auto"/>
          <w:szCs w:val="24"/>
        </w:rPr>
        <w:t xml:space="preserve"> first examination correlated with a 10% rating while the latter two examinations correlated with a 20% rating based on limitation of motion both in flexion and combined range of motion.  The VA C&amp;P examination referred to the MEB examination, and the VA rating of 10% </w:t>
      </w:r>
      <w:r w:rsidR="00D04BF0">
        <w:rPr>
          <w:color w:val="auto"/>
          <w:szCs w:val="24"/>
        </w:rPr>
        <w:t xml:space="preserve">cited the </w:t>
      </w:r>
      <w:r w:rsidR="009D2854">
        <w:rPr>
          <w:color w:val="auto"/>
          <w:szCs w:val="24"/>
        </w:rPr>
        <w:t>high variability in the flexion examination.</w:t>
      </w:r>
      <w:r w:rsidR="00A212AD">
        <w:rPr>
          <w:color w:val="auto"/>
          <w:szCs w:val="24"/>
        </w:rPr>
        <w:t xml:space="preserve">  </w:t>
      </w:r>
      <w:r w:rsidR="002C0861">
        <w:rPr>
          <w:color w:val="auto"/>
          <w:szCs w:val="24"/>
        </w:rPr>
        <w:t xml:space="preserve">Although the </w:t>
      </w:r>
      <w:r w:rsidR="002C0861">
        <w:rPr>
          <w:rFonts w:asciiTheme="minorHAnsi" w:hAnsiTheme="minorHAnsi"/>
          <w:color w:val="auto"/>
          <w:szCs w:val="24"/>
        </w:rPr>
        <w:t xml:space="preserve">PEB and VA coded similarly (5243) and assigned a 10% rating, it is not clear the rating was based on the same rationale.  The PEB may have applied the </w:t>
      </w:r>
      <w:r w:rsidR="002C0861" w:rsidRPr="00B07B8F">
        <w:rPr>
          <w:rFonts w:asciiTheme="minorHAnsi" w:hAnsiTheme="minorHAnsi"/>
          <w:color w:val="auto"/>
          <w:szCs w:val="24"/>
        </w:rPr>
        <w:t>US Army Physical Disability Agency (USAPDA) pain policy</w:t>
      </w:r>
      <w:r w:rsidR="002C0861">
        <w:rPr>
          <w:rFonts w:asciiTheme="minorHAnsi" w:hAnsiTheme="minorHAnsi"/>
          <w:color w:val="auto"/>
          <w:szCs w:val="24"/>
        </w:rPr>
        <w:t xml:space="preserve"> while the VA cited variability in flexion measurements.</w:t>
      </w:r>
      <w:r w:rsidR="00D93B1A">
        <w:rPr>
          <w:rFonts w:asciiTheme="minorHAnsi" w:hAnsiTheme="minorHAnsi"/>
          <w:color w:val="auto"/>
          <w:szCs w:val="24"/>
        </w:rPr>
        <w:t xml:space="preserve">  </w:t>
      </w:r>
      <w:r w:rsidR="002C0861">
        <w:rPr>
          <w:rFonts w:asciiTheme="minorHAnsi" w:hAnsiTheme="minorHAnsi"/>
          <w:color w:val="auto"/>
          <w:szCs w:val="24"/>
        </w:rPr>
        <w:t>The Board discussed the different examination results, but concluded the latter two examinations</w:t>
      </w:r>
      <w:r w:rsidR="008800AC">
        <w:rPr>
          <w:rFonts w:asciiTheme="minorHAnsi" w:hAnsiTheme="minorHAnsi"/>
          <w:color w:val="auto"/>
          <w:szCs w:val="24"/>
        </w:rPr>
        <w:t xml:space="preserve">, </w:t>
      </w:r>
      <w:r w:rsidR="002C0861">
        <w:rPr>
          <w:rFonts w:asciiTheme="minorHAnsi" w:hAnsiTheme="minorHAnsi"/>
          <w:color w:val="auto"/>
          <w:szCs w:val="24"/>
        </w:rPr>
        <w:t>supporting the 20% rating</w:t>
      </w:r>
      <w:r w:rsidR="008800AC">
        <w:rPr>
          <w:rFonts w:asciiTheme="minorHAnsi" w:hAnsiTheme="minorHAnsi"/>
          <w:color w:val="auto"/>
          <w:szCs w:val="24"/>
        </w:rPr>
        <w:t xml:space="preserve">, including the orthopedic surgeon examination, </w:t>
      </w:r>
      <w:r w:rsidR="002C0861">
        <w:rPr>
          <w:rFonts w:asciiTheme="minorHAnsi" w:hAnsiTheme="minorHAnsi"/>
          <w:color w:val="auto"/>
          <w:szCs w:val="24"/>
        </w:rPr>
        <w:t>were consistent with the documented pathology</w:t>
      </w:r>
      <w:r w:rsidR="008800AC">
        <w:rPr>
          <w:rFonts w:asciiTheme="minorHAnsi" w:hAnsiTheme="minorHAnsi"/>
          <w:color w:val="auto"/>
          <w:szCs w:val="24"/>
        </w:rPr>
        <w:t xml:space="preserve"> which included diffuse degenerative disc disease involving the cervical spine above </w:t>
      </w:r>
      <w:r w:rsidR="008800AC">
        <w:rPr>
          <w:rFonts w:asciiTheme="minorHAnsi" w:hAnsiTheme="minorHAnsi"/>
          <w:color w:val="auto"/>
          <w:szCs w:val="24"/>
        </w:rPr>
        <w:lastRenderedPageBreak/>
        <w:t>the two levels that were surgically fused.  Board members concluded the preponderance of evidence favored a rating of 20% under the general formula for rating injuries and diseases of the spine.</w:t>
      </w:r>
      <w:r w:rsidR="00D93B1A">
        <w:rPr>
          <w:rFonts w:asciiTheme="minorHAnsi" w:hAnsiTheme="minorHAnsi"/>
          <w:color w:val="auto"/>
          <w:szCs w:val="24"/>
        </w:rPr>
        <w:t xml:space="preserve">  </w:t>
      </w:r>
      <w:r w:rsidR="002C0861">
        <w:rPr>
          <w:rFonts w:asciiTheme="minorHAnsi" w:hAnsiTheme="minorHAnsi"/>
          <w:color w:val="auto"/>
          <w:szCs w:val="24"/>
        </w:rPr>
        <w:t xml:space="preserve">The Board also considered rating intervertebral disc disease under the alternative formula for incapacitating episodes, but could not find sufficient evidence which would meet even the 10% criteria under that formula.  </w:t>
      </w:r>
      <w:r w:rsidR="002C0861" w:rsidRPr="00127AD0">
        <w:rPr>
          <w:rFonts w:asciiTheme="minorHAnsi" w:hAnsiTheme="minorHAnsi"/>
          <w:color w:val="auto"/>
          <w:szCs w:val="24"/>
        </w:rPr>
        <w:t xml:space="preserve">The Board further deliberated if additional disability was justified for the </w:t>
      </w:r>
      <w:r w:rsidR="008800AC">
        <w:rPr>
          <w:rFonts w:asciiTheme="minorHAnsi" w:hAnsiTheme="minorHAnsi"/>
          <w:color w:val="auto"/>
          <w:szCs w:val="24"/>
        </w:rPr>
        <w:t>left hand numbness related to the cervical spine condition.  Although there was subjective numbness, and the C&amp;P examiner documented decreased sensation of the left thumb and index finger, electrodiagnostic testing was normal, the orthopedic surgeon documented intact sensation in all fingers, and a</w:t>
      </w:r>
      <w:r w:rsidR="002C0861" w:rsidRPr="001630E9">
        <w:rPr>
          <w:rFonts w:asciiTheme="minorHAnsi" w:hAnsiTheme="minorHAnsi"/>
          <w:color w:val="auto"/>
          <w:szCs w:val="24"/>
        </w:rPr>
        <w:t xml:space="preserve">ll examiners recorded normal </w:t>
      </w:r>
      <w:r w:rsidR="002C0861">
        <w:rPr>
          <w:rFonts w:asciiTheme="minorHAnsi" w:hAnsiTheme="minorHAnsi"/>
          <w:color w:val="auto"/>
          <w:szCs w:val="24"/>
        </w:rPr>
        <w:t>muscle strength</w:t>
      </w:r>
      <w:r w:rsidR="008800AC">
        <w:rPr>
          <w:rFonts w:asciiTheme="minorHAnsi" w:hAnsiTheme="minorHAnsi"/>
          <w:color w:val="auto"/>
          <w:szCs w:val="24"/>
        </w:rPr>
        <w:t xml:space="preserve"> with intact reflexes.</w:t>
      </w:r>
      <w:r w:rsidR="002C0861" w:rsidRPr="001630E9">
        <w:rPr>
          <w:rFonts w:asciiTheme="minorHAnsi" w:hAnsiTheme="minorHAnsi"/>
          <w:color w:val="auto"/>
          <w:szCs w:val="24"/>
        </w:rPr>
        <w:t xml:space="preserve">  The presence of functional impairment with a direct impact on fitness is the key determinant in the Board’s decision to recommend any condition for rating as additionally unfitting.  There is no evidence in this case of functional impairment attributable to peripheral neuropathy.</w:t>
      </w:r>
      <w:r w:rsidR="002C0861">
        <w:rPr>
          <w:rFonts w:asciiTheme="minorHAnsi" w:hAnsiTheme="minorHAnsi"/>
          <w:color w:val="auto"/>
          <w:szCs w:val="24"/>
        </w:rPr>
        <w:t xml:space="preserve">  </w:t>
      </w:r>
      <w:r w:rsidR="002C0861" w:rsidRPr="001630E9">
        <w:rPr>
          <w:rFonts w:asciiTheme="minorHAnsi" w:hAnsiTheme="minorHAnsi"/>
          <w:color w:val="auto"/>
          <w:szCs w:val="24"/>
        </w:rPr>
        <w:t xml:space="preserve">The Board therefore concludes that additional disability was not justified on this basis.  </w:t>
      </w:r>
      <w:r w:rsidR="004550E0" w:rsidRPr="000D59FD">
        <w:rPr>
          <w:rFonts w:asciiTheme="minorHAnsi" w:hAnsiTheme="minorHAnsi"/>
          <w:color w:val="auto"/>
          <w:szCs w:val="24"/>
        </w:rPr>
        <w:t xml:space="preserve">After due deliberation, considering all of the evidence and mindful of VASRD §4.3 (reasonable doubt), the Board recommends a separation rating of 20% for </w:t>
      </w:r>
      <w:r w:rsidR="004550E0">
        <w:rPr>
          <w:rFonts w:asciiTheme="minorHAnsi" w:hAnsiTheme="minorHAnsi"/>
          <w:color w:val="auto"/>
          <w:szCs w:val="24"/>
        </w:rPr>
        <w:t>the neck pain condition (5243).</w:t>
      </w:r>
    </w:p>
    <w:p w:rsidR="003F2EEE" w:rsidRPr="00862438" w:rsidRDefault="003F2EEE" w:rsidP="00510F9C">
      <w:pPr>
        <w:spacing w:line="240" w:lineRule="exact"/>
        <w:rPr>
          <w:color w:val="auto"/>
          <w:szCs w:val="24"/>
        </w:rPr>
      </w:pPr>
    </w:p>
    <w:p w:rsidR="00EC337D" w:rsidRPr="00EC337D" w:rsidRDefault="004C60A3" w:rsidP="00510F9C">
      <w:pPr>
        <w:spacing w:line="240" w:lineRule="exact"/>
        <w:jc w:val="both"/>
        <w:rPr>
          <w:rFonts w:eastAsia="HiddenHorzOCR"/>
          <w:color w:val="auto"/>
          <w:szCs w:val="24"/>
        </w:rPr>
      </w:pPr>
      <w:proofErr w:type="gramStart"/>
      <w:r w:rsidRPr="003F1206">
        <w:rPr>
          <w:rFonts w:eastAsia="HiddenHorzOCR"/>
          <w:color w:val="auto"/>
          <w:szCs w:val="24"/>
          <w:u w:val="single"/>
        </w:rPr>
        <w:t>Ot</w:t>
      </w:r>
      <w:r w:rsidR="003604A5" w:rsidRPr="003F1206">
        <w:rPr>
          <w:rFonts w:eastAsia="HiddenHorzOCR"/>
          <w:color w:val="auto"/>
          <w:szCs w:val="24"/>
          <w:u w:val="single"/>
        </w:rPr>
        <w:t xml:space="preserve">her </w:t>
      </w:r>
      <w:r w:rsidR="000B2FB8" w:rsidRPr="003F1206">
        <w:rPr>
          <w:rFonts w:eastAsia="HiddenHorzOCR"/>
          <w:color w:val="auto"/>
          <w:szCs w:val="24"/>
          <w:u w:val="single"/>
        </w:rPr>
        <w:t>PEB</w:t>
      </w:r>
      <w:r w:rsidR="002838C5">
        <w:rPr>
          <w:rFonts w:eastAsia="HiddenHorzOCR"/>
          <w:color w:val="auto"/>
          <w:szCs w:val="24"/>
          <w:u w:val="single"/>
        </w:rPr>
        <w:t xml:space="preserve"> </w:t>
      </w:r>
      <w:r w:rsidR="003604A5" w:rsidRPr="003F1206">
        <w:rPr>
          <w:rFonts w:eastAsia="HiddenHorzOCR"/>
          <w:color w:val="auto"/>
          <w:szCs w:val="24"/>
          <w:u w:val="single"/>
        </w:rPr>
        <w:t>Conditions</w:t>
      </w:r>
      <w:r w:rsidR="003604A5" w:rsidRPr="00EC337D">
        <w:rPr>
          <w:rFonts w:eastAsia="HiddenHorzOCR"/>
          <w:color w:val="auto"/>
          <w:szCs w:val="24"/>
        </w:rPr>
        <w:t>.</w:t>
      </w:r>
      <w:proofErr w:type="gramEnd"/>
      <w:r w:rsidR="002F2981">
        <w:rPr>
          <w:rFonts w:eastAsia="HiddenHorzOCR"/>
          <w:color w:val="auto"/>
          <w:szCs w:val="24"/>
        </w:rPr>
        <w:t xml:space="preserve"> </w:t>
      </w:r>
      <w:r w:rsidR="00A32995">
        <w:rPr>
          <w:rFonts w:eastAsia="HiddenHorzOCR"/>
          <w:color w:val="auto"/>
          <w:szCs w:val="24"/>
        </w:rPr>
        <w:t xml:space="preserve"> </w:t>
      </w:r>
      <w:r w:rsidR="00EC337D" w:rsidRPr="0085120F">
        <w:rPr>
          <w:rFonts w:eastAsia="HiddenHorzOCR"/>
          <w:color w:val="auto"/>
          <w:szCs w:val="24"/>
        </w:rPr>
        <w:t xml:space="preserve">The other conditions forwarded by the MEB </w:t>
      </w:r>
      <w:r w:rsidR="00A32995">
        <w:rPr>
          <w:rFonts w:eastAsia="HiddenHorzOCR"/>
          <w:color w:val="auto"/>
          <w:szCs w:val="24"/>
        </w:rPr>
        <w:t xml:space="preserve">as meeting retention standards </w:t>
      </w:r>
      <w:r w:rsidR="00EC337D" w:rsidRPr="0085120F">
        <w:rPr>
          <w:rFonts w:eastAsia="HiddenHorzOCR"/>
          <w:color w:val="auto"/>
          <w:szCs w:val="24"/>
        </w:rPr>
        <w:t xml:space="preserve">and adjudicated as not unfitting by the PEB were </w:t>
      </w:r>
      <w:r w:rsidR="009C2897" w:rsidRPr="0085120F">
        <w:rPr>
          <w:rFonts w:eastAsia="HiddenHorzOCR"/>
          <w:color w:val="auto"/>
          <w:szCs w:val="24"/>
        </w:rPr>
        <w:t>right shoulder pain</w:t>
      </w:r>
      <w:r w:rsidR="00A32995">
        <w:rPr>
          <w:rFonts w:eastAsia="HiddenHorzOCR"/>
          <w:color w:val="auto"/>
          <w:szCs w:val="24"/>
        </w:rPr>
        <w:t xml:space="preserve"> status post rotator cuff surgery</w:t>
      </w:r>
      <w:r w:rsidR="00EC337D" w:rsidRPr="0085120F">
        <w:rPr>
          <w:rFonts w:eastAsia="HiddenHorzOCR"/>
          <w:color w:val="auto"/>
          <w:szCs w:val="24"/>
        </w:rPr>
        <w:t xml:space="preserve">, </w:t>
      </w:r>
      <w:r w:rsidR="009C2897" w:rsidRPr="0085120F">
        <w:rPr>
          <w:rFonts w:eastAsia="HiddenHorzOCR"/>
          <w:color w:val="auto"/>
          <w:szCs w:val="24"/>
        </w:rPr>
        <w:t xml:space="preserve">allergic </w:t>
      </w:r>
      <w:r w:rsidR="001269C0" w:rsidRPr="0085120F">
        <w:rPr>
          <w:rFonts w:eastAsia="HiddenHorzOCR"/>
          <w:color w:val="auto"/>
          <w:szCs w:val="24"/>
        </w:rPr>
        <w:t>rhinitis, gastroesophageal reflux, onychomyco</w:t>
      </w:r>
      <w:r w:rsidR="00A32995">
        <w:rPr>
          <w:rFonts w:eastAsia="HiddenHorzOCR"/>
          <w:color w:val="auto"/>
          <w:szCs w:val="24"/>
        </w:rPr>
        <w:t>s</w:t>
      </w:r>
      <w:r w:rsidR="001269C0" w:rsidRPr="0085120F">
        <w:rPr>
          <w:rFonts w:eastAsia="HiddenHorzOCR"/>
          <w:color w:val="auto"/>
          <w:szCs w:val="24"/>
        </w:rPr>
        <w:t>is, recurrent Achilles tendinitis</w:t>
      </w:r>
      <w:r w:rsidR="001269C0" w:rsidRPr="00027660">
        <w:rPr>
          <w:rFonts w:eastAsia="HiddenHorzOCR"/>
          <w:color w:val="auto"/>
          <w:szCs w:val="24"/>
        </w:rPr>
        <w:t>, persistent hand par</w:t>
      </w:r>
      <w:r w:rsidR="004550E0">
        <w:rPr>
          <w:rFonts w:eastAsia="HiddenHorzOCR"/>
          <w:color w:val="auto"/>
          <w:szCs w:val="24"/>
        </w:rPr>
        <w:t>e</w:t>
      </w:r>
      <w:r w:rsidR="001269C0" w:rsidRPr="00027660">
        <w:rPr>
          <w:rFonts w:eastAsia="HiddenHorzOCR"/>
          <w:color w:val="auto"/>
          <w:szCs w:val="24"/>
        </w:rPr>
        <w:t>sthesias</w:t>
      </w:r>
      <w:r w:rsidR="004550E0">
        <w:rPr>
          <w:rFonts w:eastAsia="HiddenHorzOCR"/>
          <w:color w:val="auto"/>
          <w:szCs w:val="24"/>
        </w:rPr>
        <w:t xml:space="preserve"> (addressed under the cervical spine condition)</w:t>
      </w:r>
      <w:r w:rsidR="001269C0" w:rsidRPr="00027660">
        <w:rPr>
          <w:rFonts w:eastAsia="HiddenHorzOCR"/>
          <w:color w:val="auto"/>
          <w:szCs w:val="24"/>
        </w:rPr>
        <w:t xml:space="preserve">, and </w:t>
      </w:r>
      <w:r w:rsidR="0085120F" w:rsidRPr="00027660">
        <w:rPr>
          <w:rFonts w:eastAsia="HiddenHorzOCR"/>
          <w:color w:val="auto"/>
          <w:szCs w:val="24"/>
        </w:rPr>
        <w:t>vision defect</w:t>
      </w:r>
      <w:r w:rsidR="00A32995">
        <w:rPr>
          <w:rFonts w:eastAsia="HiddenHorzOCR"/>
          <w:color w:val="auto"/>
          <w:szCs w:val="24"/>
        </w:rPr>
        <w:t xml:space="preserve"> (</w:t>
      </w:r>
      <w:r w:rsidR="002D053F">
        <w:rPr>
          <w:rFonts w:eastAsia="HiddenHorzOCR"/>
          <w:color w:val="auto"/>
          <w:szCs w:val="24"/>
        </w:rPr>
        <w:t xml:space="preserve">near sighted, </w:t>
      </w:r>
      <w:r w:rsidR="00A32995">
        <w:rPr>
          <w:rFonts w:eastAsia="HiddenHorzOCR"/>
          <w:color w:val="auto"/>
          <w:szCs w:val="24"/>
        </w:rPr>
        <w:t>E2 profile)</w:t>
      </w:r>
      <w:r w:rsidR="00EC337D" w:rsidRPr="00027660">
        <w:rPr>
          <w:rFonts w:eastAsia="HiddenHorzOCR"/>
          <w:color w:val="auto"/>
          <w:szCs w:val="24"/>
        </w:rPr>
        <w:t>.</w:t>
      </w:r>
      <w:r w:rsidR="00D93B1A">
        <w:rPr>
          <w:rFonts w:eastAsia="HiddenHorzOCR"/>
          <w:color w:val="auto"/>
          <w:szCs w:val="24"/>
        </w:rPr>
        <w:t xml:space="preserve">  </w:t>
      </w:r>
      <w:r w:rsidR="004550E0">
        <w:rPr>
          <w:rFonts w:eastAsia="HiddenHorzOCR"/>
          <w:color w:val="auto"/>
          <w:szCs w:val="24"/>
        </w:rPr>
        <w:t xml:space="preserve">The CI underwent two surgeries </w:t>
      </w:r>
      <w:r w:rsidR="000467B2">
        <w:rPr>
          <w:rFonts w:eastAsia="HiddenHorzOCR"/>
          <w:color w:val="auto"/>
          <w:szCs w:val="24"/>
        </w:rPr>
        <w:t>on his right shoulder, November 2001 and November 2002</w:t>
      </w:r>
      <w:r w:rsidR="00D93B1A">
        <w:rPr>
          <w:rFonts w:eastAsia="HiddenHorzOCR"/>
          <w:color w:val="auto"/>
          <w:szCs w:val="24"/>
        </w:rPr>
        <w:t>,</w:t>
      </w:r>
      <w:r w:rsidR="000467B2">
        <w:rPr>
          <w:rFonts w:eastAsia="HiddenHorzOCR"/>
          <w:color w:val="auto"/>
          <w:szCs w:val="24"/>
        </w:rPr>
        <w:t xml:space="preserve"> for repair of labral tears, rotator cuff tear, and impingement syndrome due to an acromioclavicular joint separation (Mumford </w:t>
      </w:r>
      <w:r w:rsidR="00D93B1A">
        <w:rPr>
          <w:rFonts w:eastAsia="HiddenHorzOCR"/>
          <w:color w:val="auto"/>
          <w:szCs w:val="24"/>
        </w:rPr>
        <w:t xml:space="preserve">procedure </w:t>
      </w:r>
      <w:r w:rsidR="000467B2">
        <w:rPr>
          <w:rFonts w:eastAsia="HiddenHorzOCR"/>
          <w:color w:val="auto"/>
          <w:szCs w:val="24"/>
        </w:rPr>
        <w:t>with distal clavicle resection).</w:t>
      </w:r>
      <w:r w:rsidR="00D93B1A">
        <w:rPr>
          <w:rFonts w:eastAsia="HiddenHorzOCR"/>
          <w:color w:val="auto"/>
          <w:szCs w:val="24"/>
        </w:rPr>
        <w:t xml:space="preserve">  </w:t>
      </w:r>
      <w:r w:rsidR="000467B2">
        <w:rPr>
          <w:rFonts w:eastAsia="HiddenHorzOCR"/>
          <w:color w:val="auto"/>
          <w:szCs w:val="24"/>
        </w:rPr>
        <w:t xml:space="preserve">The NASUM recorded </w:t>
      </w:r>
      <w:r w:rsidR="00DF2590">
        <w:rPr>
          <w:rFonts w:eastAsia="HiddenHorzOCR"/>
          <w:color w:val="auto"/>
          <w:szCs w:val="24"/>
        </w:rPr>
        <w:t>difficulty with heavy lifting e</w:t>
      </w:r>
      <w:r w:rsidR="000467B2">
        <w:rPr>
          <w:rFonts w:eastAsia="HiddenHorzOCR"/>
          <w:color w:val="auto"/>
          <w:szCs w:val="24"/>
        </w:rPr>
        <w:t xml:space="preserve">specially </w:t>
      </w:r>
      <w:r w:rsidR="00DF2590">
        <w:rPr>
          <w:rFonts w:eastAsia="HiddenHorzOCR"/>
          <w:color w:val="auto"/>
          <w:szCs w:val="24"/>
        </w:rPr>
        <w:t xml:space="preserve">overhead, </w:t>
      </w:r>
      <w:r w:rsidR="000467B2">
        <w:rPr>
          <w:rFonts w:eastAsia="HiddenHorzOCR"/>
          <w:color w:val="auto"/>
          <w:szCs w:val="24"/>
        </w:rPr>
        <w:t xml:space="preserve">but stated he was </w:t>
      </w:r>
      <w:r w:rsidR="00DF2590">
        <w:rPr>
          <w:rFonts w:eastAsia="HiddenHorzOCR"/>
          <w:color w:val="auto"/>
          <w:szCs w:val="24"/>
        </w:rPr>
        <w:t xml:space="preserve">able to continue with his military duties despite </w:t>
      </w:r>
      <w:r w:rsidR="000467B2">
        <w:rPr>
          <w:rFonts w:eastAsia="HiddenHorzOCR"/>
          <w:color w:val="auto"/>
          <w:szCs w:val="24"/>
        </w:rPr>
        <w:t xml:space="preserve">the painful motion.  On examination, right shoulder </w:t>
      </w:r>
      <w:r w:rsidR="005C0726">
        <w:rPr>
          <w:rFonts w:eastAsia="HiddenHorzOCR"/>
          <w:color w:val="auto"/>
          <w:szCs w:val="24"/>
        </w:rPr>
        <w:t>ROM</w:t>
      </w:r>
      <w:r w:rsidR="000467B2">
        <w:rPr>
          <w:rFonts w:eastAsia="HiddenHorzOCR"/>
          <w:color w:val="auto"/>
          <w:szCs w:val="24"/>
        </w:rPr>
        <w:t xml:space="preserve"> showed “mild” limitation in elevation to 130 degrees.  The orthopedic NARSUM similarly recorded</w:t>
      </w:r>
      <w:r w:rsidR="00A413DE">
        <w:rPr>
          <w:rFonts w:eastAsia="HiddenHorzOCR"/>
          <w:color w:val="auto"/>
          <w:szCs w:val="24"/>
        </w:rPr>
        <w:t xml:space="preserve"> persistent </w:t>
      </w:r>
      <w:r w:rsidR="000467B2">
        <w:rPr>
          <w:rFonts w:eastAsia="HiddenHorzOCR"/>
          <w:color w:val="auto"/>
          <w:szCs w:val="24"/>
        </w:rPr>
        <w:t xml:space="preserve">right </w:t>
      </w:r>
      <w:r w:rsidR="00A413DE">
        <w:rPr>
          <w:rFonts w:eastAsia="HiddenHorzOCR"/>
          <w:color w:val="auto"/>
          <w:szCs w:val="24"/>
        </w:rPr>
        <w:t xml:space="preserve">shoulder pain with pain with overhead use </w:t>
      </w:r>
      <w:r w:rsidR="000467B2">
        <w:rPr>
          <w:rFonts w:eastAsia="HiddenHorzOCR"/>
          <w:color w:val="auto"/>
          <w:szCs w:val="24"/>
        </w:rPr>
        <w:t xml:space="preserve">that prevented performance of </w:t>
      </w:r>
      <w:r w:rsidR="00A413DE">
        <w:rPr>
          <w:rFonts w:eastAsia="HiddenHorzOCR"/>
          <w:color w:val="auto"/>
          <w:szCs w:val="24"/>
        </w:rPr>
        <w:t>push</w:t>
      </w:r>
      <w:r w:rsidR="000467B2">
        <w:rPr>
          <w:rFonts w:eastAsia="HiddenHorzOCR"/>
          <w:color w:val="auto"/>
          <w:szCs w:val="24"/>
        </w:rPr>
        <w:t>-</w:t>
      </w:r>
      <w:r w:rsidR="00A413DE">
        <w:rPr>
          <w:rFonts w:eastAsia="HiddenHorzOCR"/>
          <w:color w:val="auto"/>
          <w:szCs w:val="24"/>
        </w:rPr>
        <w:t xml:space="preserve">ups, however </w:t>
      </w:r>
      <w:r w:rsidR="000467B2">
        <w:rPr>
          <w:rFonts w:eastAsia="HiddenHorzOCR"/>
          <w:color w:val="auto"/>
          <w:szCs w:val="24"/>
        </w:rPr>
        <w:t xml:space="preserve">the examiner stated the CI </w:t>
      </w:r>
      <w:r w:rsidR="00A413DE">
        <w:rPr>
          <w:rFonts w:eastAsia="HiddenHorzOCR"/>
          <w:color w:val="auto"/>
          <w:szCs w:val="24"/>
        </w:rPr>
        <w:t>was able to complete essentially all of the activities required of active duty.</w:t>
      </w:r>
      <w:r w:rsidR="000467B2" w:rsidRPr="000467B2">
        <w:rPr>
          <w:rFonts w:eastAsia="HiddenHorzOCR"/>
          <w:color w:val="auto"/>
          <w:szCs w:val="24"/>
        </w:rPr>
        <w:t xml:space="preserve"> </w:t>
      </w:r>
      <w:r w:rsidR="000467B2">
        <w:rPr>
          <w:rFonts w:eastAsia="HiddenHorzOCR"/>
          <w:color w:val="auto"/>
          <w:szCs w:val="24"/>
        </w:rPr>
        <w:t xml:space="preserve"> On examination there was mild decrease in elevation (</w:t>
      </w:r>
      <w:r w:rsidR="00A413DE">
        <w:rPr>
          <w:rFonts w:eastAsia="HiddenHorzOCR"/>
          <w:color w:val="auto"/>
          <w:szCs w:val="24"/>
        </w:rPr>
        <w:t>flex</w:t>
      </w:r>
      <w:r w:rsidR="000467B2">
        <w:rPr>
          <w:rFonts w:eastAsia="HiddenHorzOCR"/>
          <w:color w:val="auto"/>
          <w:szCs w:val="24"/>
        </w:rPr>
        <w:t>ion</w:t>
      </w:r>
      <w:r w:rsidR="00A413DE">
        <w:rPr>
          <w:rFonts w:eastAsia="HiddenHorzOCR"/>
          <w:color w:val="auto"/>
          <w:szCs w:val="24"/>
        </w:rPr>
        <w:t xml:space="preserve"> 160</w:t>
      </w:r>
      <w:r w:rsidR="000467B2">
        <w:rPr>
          <w:rFonts w:eastAsia="HiddenHorzOCR"/>
          <w:color w:val="auto"/>
          <w:szCs w:val="24"/>
        </w:rPr>
        <w:t xml:space="preserve"> degrees, </w:t>
      </w:r>
      <w:r w:rsidR="00A413DE">
        <w:rPr>
          <w:rFonts w:eastAsia="HiddenHorzOCR"/>
          <w:color w:val="auto"/>
          <w:szCs w:val="24"/>
        </w:rPr>
        <w:t>abd</w:t>
      </w:r>
      <w:r w:rsidR="000467B2">
        <w:rPr>
          <w:rFonts w:eastAsia="HiddenHorzOCR"/>
          <w:color w:val="auto"/>
          <w:szCs w:val="24"/>
        </w:rPr>
        <w:t xml:space="preserve">uction </w:t>
      </w:r>
      <w:r w:rsidR="00A413DE">
        <w:rPr>
          <w:rFonts w:eastAsia="HiddenHorzOCR"/>
          <w:color w:val="auto"/>
          <w:szCs w:val="24"/>
        </w:rPr>
        <w:t>165</w:t>
      </w:r>
      <w:r w:rsidR="00DF2590">
        <w:rPr>
          <w:rFonts w:eastAsia="HiddenHorzOCR"/>
          <w:color w:val="auto"/>
          <w:szCs w:val="24"/>
        </w:rPr>
        <w:t xml:space="preserve"> </w:t>
      </w:r>
      <w:r w:rsidR="000467B2">
        <w:rPr>
          <w:rFonts w:eastAsia="HiddenHorzOCR"/>
          <w:color w:val="auto"/>
          <w:szCs w:val="24"/>
        </w:rPr>
        <w:t xml:space="preserve">degrees) with </w:t>
      </w:r>
      <w:r w:rsidR="00DF2590">
        <w:rPr>
          <w:rFonts w:eastAsia="HiddenHorzOCR"/>
          <w:color w:val="auto"/>
          <w:szCs w:val="24"/>
        </w:rPr>
        <w:t xml:space="preserve">normal </w:t>
      </w:r>
      <w:r w:rsidR="000467B2">
        <w:rPr>
          <w:rFonts w:eastAsia="HiddenHorzOCR"/>
          <w:color w:val="auto"/>
          <w:szCs w:val="24"/>
        </w:rPr>
        <w:t xml:space="preserve">internal and external rotation, and extension (80, 90, and 45 degrees respectively).  Strength of the right upper extremity was recorded as normal (5/5).  The </w:t>
      </w:r>
      <w:r w:rsidR="0006140B">
        <w:rPr>
          <w:rFonts w:eastAsia="HiddenHorzOCR"/>
          <w:color w:val="auto"/>
          <w:szCs w:val="24"/>
        </w:rPr>
        <w:t>10 August 2004 C&amp;P</w:t>
      </w:r>
      <w:r w:rsidR="000467B2">
        <w:rPr>
          <w:rFonts w:eastAsia="HiddenHorzOCR"/>
          <w:color w:val="auto"/>
          <w:szCs w:val="24"/>
        </w:rPr>
        <w:t xml:space="preserve"> examination had similar results and the examiner noted that there was pain with motion but n</w:t>
      </w:r>
      <w:r w:rsidR="0006140B">
        <w:rPr>
          <w:rFonts w:eastAsia="HiddenHorzOCR"/>
          <w:color w:val="auto"/>
          <w:szCs w:val="24"/>
        </w:rPr>
        <w:t>o reduction in range o</w:t>
      </w:r>
      <w:r w:rsidR="000467B2">
        <w:rPr>
          <w:rFonts w:eastAsia="HiddenHorzOCR"/>
          <w:color w:val="auto"/>
          <w:szCs w:val="24"/>
        </w:rPr>
        <w:t>f</w:t>
      </w:r>
      <w:r w:rsidR="0006140B">
        <w:rPr>
          <w:rFonts w:eastAsia="HiddenHorzOCR"/>
          <w:color w:val="auto"/>
          <w:szCs w:val="24"/>
        </w:rPr>
        <w:t xml:space="preserve"> motion, no </w:t>
      </w:r>
      <w:r w:rsidR="000467B2">
        <w:rPr>
          <w:rFonts w:eastAsia="HiddenHorzOCR"/>
          <w:color w:val="auto"/>
          <w:szCs w:val="24"/>
        </w:rPr>
        <w:t>fatigability,</w:t>
      </w:r>
      <w:r w:rsidR="00D93B1A">
        <w:rPr>
          <w:rFonts w:eastAsia="HiddenHorzOCR"/>
          <w:color w:val="auto"/>
          <w:szCs w:val="24"/>
        </w:rPr>
        <w:t xml:space="preserve"> and </w:t>
      </w:r>
      <w:r w:rsidR="000467B2">
        <w:rPr>
          <w:rFonts w:eastAsia="HiddenHorzOCR"/>
          <w:color w:val="auto"/>
          <w:szCs w:val="24"/>
        </w:rPr>
        <w:t>no incoordination after repetitive movement during the examination.</w:t>
      </w:r>
      <w:r w:rsidR="00D93B1A">
        <w:rPr>
          <w:rFonts w:eastAsia="HiddenHorzOCR"/>
          <w:color w:val="auto"/>
          <w:szCs w:val="24"/>
        </w:rPr>
        <w:t xml:space="preserve">  </w:t>
      </w:r>
      <w:r w:rsidR="00EC337D" w:rsidRPr="00027660">
        <w:rPr>
          <w:rFonts w:eastAsia="HiddenHorzOCR"/>
          <w:color w:val="auto"/>
          <w:szCs w:val="24"/>
        </w:rPr>
        <w:t>None of these conditions were profiled</w:t>
      </w:r>
      <w:r w:rsidR="000B0796">
        <w:rPr>
          <w:rFonts w:eastAsia="HiddenHorzOCR"/>
          <w:color w:val="auto"/>
          <w:szCs w:val="24"/>
        </w:rPr>
        <w:t xml:space="preserve"> </w:t>
      </w:r>
      <w:r w:rsidR="00A32995">
        <w:rPr>
          <w:rFonts w:eastAsia="HiddenHorzOCR"/>
          <w:color w:val="auto"/>
          <w:szCs w:val="24"/>
        </w:rPr>
        <w:t>(</w:t>
      </w:r>
      <w:r w:rsidR="00027660" w:rsidRPr="00027660">
        <w:rPr>
          <w:rFonts w:eastAsia="HiddenHorzOCR"/>
          <w:color w:val="auto"/>
          <w:szCs w:val="24"/>
        </w:rPr>
        <w:t>except vision defect</w:t>
      </w:r>
      <w:r w:rsidR="00A32995">
        <w:rPr>
          <w:rFonts w:eastAsia="HiddenHorzOCR"/>
          <w:color w:val="auto"/>
          <w:szCs w:val="24"/>
        </w:rPr>
        <w:t>)</w:t>
      </w:r>
      <w:r w:rsidR="00EC337D" w:rsidRPr="00027660">
        <w:rPr>
          <w:rFonts w:eastAsia="HiddenHorzOCR"/>
          <w:color w:val="auto"/>
          <w:szCs w:val="24"/>
        </w:rPr>
        <w:t xml:space="preserve"> or noted as failing retention standards.  All were reviewed by the </w:t>
      </w:r>
      <w:r w:rsidR="00B80EDD" w:rsidRPr="00027660">
        <w:rPr>
          <w:rFonts w:eastAsia="HiddenHorzOCR"/>
          <w:color w:val="auto"/>
          <w:szCs w:val="24"/>
        </w:rPr>
        <w:t>a</w:t>
      </w:r>
      <w:r w:rsidR="00EC337D" w:rsidRPr="00027660">
        <w:rPr>
          <w:rFonts w:eastAsia="HiddenHorzOCR"/>
          <w:color w:val="auto"/>
          <w:szCs w:val="24"/>
        </w:rPr>
        <w:t xml:space="preserve">ction </w:t>
      </w:r>
      <w:r w:rsidR="00B80EDD" w:rsidRPr="00027660">
        <w:rPr>
          <w:rFonts w:eastAsia="HiddenHorzOCR"/>
          <w:color w:val="auto"/>
          <w:szCs w:val="24"/>
        </w:rPr>
        <w:t>o</w:t>
      </w:r>
      <w:r w:rsidR="00EC337D" w:rsidRPr="00027660">
        <w:rPr>
          <w:rFonts w:eastAsia="HiddenHorzOCR"/>
          <w:color w:val="auto"/>
          <w:szCs w:val="24"/>
        </w:rPr>
        <w:t xml:space="preserve">fficer and considered by the Board.  There was no indication from the record that any of these conditions significantly interfered with satisfactory performance of </w:t>
      </w:r>
      <w:r w:rsidR="00A32995">
        <w:rPr>
          <w:rFonts w:eastAsia="HiddenHorzOCR"/>
          <w:color w:val="auto"/>
          <w:szCs w:val="24"/>
        </w:rPr>
        <w:t xml:space="preserve">his primary </w:t>
      </w:r>
      <w:r w:rsidR="00B56F3D" w:rsidRPr="00027660">
        <w:rPr>
          <w:rFonts w:eastAsia="HiddenHorzOCR"/>
          <w:color w:val="auto"/>
          <w:szCs w:val="24"/>
        </w:rPr>
        <w:t>duty</w:t>
      </w:r>
      <w:r w:rsidR="00EC337D" w:rsidRPr="00027660">
        <w:rPr>
          <w:rFonts w:eastAsia="HiddenHorzOCR"/>
          <w:color w:val="auto"/>
          <w:szCs w:val="24"/>
        </w:rPr>
        <w:t xml:space="preserve"> requirements.  All evidence considered</w:t>
      </w:r>
      <w:proofErr w:type="gramStart"/>
      <w:r w:rsidR="00EC337D" w:rsidRPr="00027660">
        <w:rPr>
          <w:rFonts w:eastAsia="HiddenHorzOCR"/>
          <w:color w:val="auto"/>
          <w:szCs w:val="24"/>
        </w:rPr>
        <w:t>,</w:t>
      </w:r>
      <w:proofErr w:type="gramEnd"/>
      <w:r w:rsidR="00EC337D" w:rsidRPr="00027660">
        <w:rPr>
          <w:rFonts w:eastAsia="HiddenHorzOCR"/>
          <w:color w:val="auto"/>
          <w:szCs w:val="24"/>
        </w:rPr>
        <w:t xml:space="preserve"> there is not reasonable doubt in the CI’s favor</w:t>
      </w:r>
      <w:r w:rsidR="00EC337D" w:rsidRPr="00711350">
        <w:rPr>
          <w:rFonts w:eastAsia="HiddenHorzOCR"/>
          <w:color w:val="auto"/>
          <w:szCs w:val="24"/>
        </w:rPr>
        <w:t xml:space="preserve"> supporting recharacterization of the PEB fitness adjudication for any of the stated conditions.</w:t>
      </w:r>
    </w:p>
    <w:p w:rsidR="00226B1A" w:rsidRPr="007973D8" w:rsidRDefault="00226B1A" w:rsidP="00510F9C">
      <w:pPr>
        <w:spacing w:line="240" w:lineRule="exact"/>
        <w:rPr>
          <w:color w:val="auto"/>
        </w:rPr>
      </w:pPr>
    </w:p>
    <w:p w:rsidR="00F1737C" w:rsidRDefault="00524891" w:rsidP="00510F9C">
      <w:pPr>
        <w:spacing w:line="240" w:lineRule="exact"/>
        <w:jc w:val="both"/>
        <w:rPr>
          <w:color w:val="auto"/>
          <w:szCs w:val="24"/>
        </w:rPr>
      </w:pPr>
      <w:proofErr w:type="gramStart"/>
      <w:r>
        <w:rPr>
          <w:color w:val="auto"/>
          <w:szCs w:val="24"/>
          <w:u w:val="single"/>
        </w:rPr>
        <w:t>R</w:t>
      </w:r>
      <w:r w:rsidR="00F6196E" w:rsidRPr="00F6196E">
        <w:rPr>
          <w:color w:val="auto"/>
          <w:szCs w:val="24"/>
          <w:u w:val="single"/>
        </w:rPr>
        <w:t>emaining Conditions</w:t>
      </w:r>
      <w:r w:rsidR="00F6196E" w:rsidRPr="00F6196E">
        <w:rPr>
          <w:color w:val="auto"/>
          <w:szCs w:val="24"/>
        </w:rPr>
        <w:t>.</w:t>
      </w:r>
      <w:proofErr w:type="gramEnd"/>
      <w:r w:rsidR="00F6196E" w:rsidRPr="00F6196E">
        <w:rPr>
          <w:color w:val="auto"/>
          <w:szCs w:val="24"/>
        </w:rPr>
        <w:t xml:space="preserve">  Other conditions identified in the DES file were </w:t>
      </w:r>
      <w:r w:rsidR="000B0796" w:rsidRPr="00524891">
        <w:rPr>
          <w:color w:val="auto"/>
          <w:szCs w:val="24"/>
        </w:rPr>
        <w:t>hearing loss</w:t>
      </w:r>
      <w:r w:rsidR="00F6196E" w:rsidRPr="00524891">
        <w:rPr>
          <w:color w:val="auto"/>
          <w:szCs w:val="24"/>
        </w:rPr>
        <w:t xml:space="preserve">, </w:t>
      </w:r>
      <w:r w:rsidR="000B0796" w:rsidRPr="00524891">
        <w:rPr>
          <w:color w:val="auto"/>
          <w:szCs w:val="24"/>
        </w:rPr>
        <w:t xml:space="preserve">joint </w:t>
      </w:r>
      <w:r w:rsidR="000B0796" w:rsidRPr="000B0796">
        <w:rPr>
          <w:color w:val="auto"/>
          <w:szCs w:val="24"/>
        </w:rPr>
        <w:t xml:space="preserve">pain in </w:t>
      </w:r>
      <w:proofErr w:type="gramStart"/>
      <w:r w:rsidR="000B0796" w:rsidRPr="000B0796">
        <w:rPr>
          <w:color w:val="auto"/>
          <w:szCs w:val="24"/>
        </w:rPr>
        <w:t>both hands</w:t>
      </w:r>
      <w:proofErr w:type="gramEnd"/>
      <w:r w:rsidR="000B0796" w:rsidRPr="000B0796">
        <w:rPr>
          <w:color w:val="auto"/>
          <w:szCs w:val="24"/>
        </w:rPr>
        <w:t xml:space="preserve">, right hand fracture, </w:t>
      </w:r>
      <w:r w:rsidR="00A32995">
        <w:rPr>
          <w:color w:val="auto"/>
          <w:szCs w:val="24"/>
        </w:rPr>
        <w:t xml:space="preserve">and </w:t>
      </w:r>
      <w:r w:rsidR="000B0796" w:rsidRPr="000B0796">
        <w:rPr>
          <w:color w:val="auto"/>
          <w:szCs w:val="24"/>
        </w:rPr>
        <w:t>renal calculi</w:t>
      </w:r>
      <w:r w:rsidR="00F6196E" w:rsidRPr="000B0796">
        <w:rPr>
          <w:color w:val="auto"/>
          <w:szCs w:val="24"/>
        </w:rPr>
        <w:t xml:space="preserve">.  Several additional non-acute conditions or medical complaints were also documented.  None of these conditions were clinically </w:t>
      </w:r>
      <w:r w:rsidR="00A32995">
        <w:rPr>
          <w:color w:val="auto"/>
          <w:szCs w:val="24"/>
        </w:rPr>
        <w:t xml:space="preserve">or occupationally significant </w:t>
      </w:r>
      <w:r w:rsidR="00F6196E" w:rsidRPr="000B0796">
        <w:rPr>
          <w:color w:val="auto"/>
          <w:szCs w:val="24"/>
        </w:rPr>
        <w:t>during the MEB period</w:t>
      </w:r>
      <w:r w:rsidR="00B31965" w:rsidRPr="000B0796">
        <w:rPr>
          <w:color w:val="auto"/>
          <w:szCs w:val="24"/>
        </w:rPr>
        <w:t>,</w:t>
      </w:r>
      <w:r w:rsidR="00F6196E" w:rsidRPr="000B0796">
        <w:rPr>
          <w:color w:val="auto"/>
          <w:szCs w:val="24"/>
        </w:rPr>
        <w:t xml:space="preserve"> none carried attached profiles</w:t>
      </w:r>
      <w:r w:rsidR="00F611B3" w:rsidRPr="000B0796">
        <w:rPr>
          <w:color w:val="auto"/>
          <w:szCs w:val="24"/>
        </w:rPr>
        <w:t xml:space="preserve"> </w:t>
      </w:r>
      <w:r w:rsidR="00F6196E" w:rsidRPr="000B0796">
        <w:rPr>
          <w:color w:val="auto"/>
          <w:szCs w:val="24"/>
        </w:rPr>
        <w:t xml:space="preserve">and none were implicated in the </w:t>
      </w:r>
      <w:r w:rsidR="00B5646A" w:rsidRPr="000B0796">
        <w:rPr>
          <w:color w:val="auto"/>
          <w:szCs w:val="24"/>
        </w:rPr>
        <w:t>c</w:t>
      </w:r>
      <w:r w:rsidR="004C05CF" w:rsidRPr="000B0796">
        <w:rPr>
          <w:color w:val="auto"/>
          <w:szCs w:val="24"/>
        </w:rPr>
        <w:t>ommander’s</w:t>
      </w:r>
      <w:r w:rsidR="00774FFD" w:rsidRPr="000B0796">
        <w:rPr>
          <w:color w:val="auto"/>
          <w:szCs w:val="24"/>
        </w:rPr>
        <w:t xml:space="preserve"> statement</w:t>
      </w:r>
      <w:r w:rsidR="00F6196E" w:rsidRPr="000B0796">
        <w:rPr>
          <w:color w:val="auto"/>
          <w:szCs w:val="24"/>
        </w:rPr>
        <w:t xml:space="preserve">.  These conditions were reviewed by the </w:t>
      </w:r>
      <w:r w:rsidR="006B4AA2" w:rsidRPr="000B0796">
        <w:rPr>
          <w:color w:val="auto"/>
          <w:szCs w:val="24"/>
        </w:rPr>
        <w:t>a</w:t>
      </w:r>
      <w:r w:rsidR="003B4319" w:rsidRPr="000B0796">
        <w:rPr>
          <w:color w:val="auto"/>
          <w:szCs w:val="24"/>
        </w:rPr>
        <w:t>ction officer</w:t>
      </w:r>
      <w:r w:rsidR="00F6196E" w:rsidRPr="000B0796">
        <w:rPr>
          <w:color w:val="auto"/>
          <w:szCs w:val="24"/>
        </w:rPr>
        <w:t xml:space="preserve">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r w:rsidR="00D93B1A">
        <w:rPr>
          <w:color w:val="auto"/>
          <w:szCs w:val="24"/>
        </w:rPr>
        <w:t xml:space="preserve"> </w:t>
      </w:r>
    </w:p>
    <w:p w:rsidR="00F1737C" w:rsidRDefault="00F54120" w:rsidP="00F1737C">
      <w:pPr>
        <w:spacing w:line="240" w:lineRule="exact"/>
        <w:rPr>
          <w:b/>
          <w:color w:val="auto"/>
          <w:szCs w:val="24"/>
          <w:u w:val="single"/>
        </w:rPr>
      </w:pPr>
      <w:r>
        <w:rPr>
          <w:b/>
          <w:color w:val="auto"/>
          <w:szCs w:val="24"/>
          <w:u w:val="single"/>
        </w:rPr>
        <w:t>______________________________________________________________________________</w:t>
      </w:r>
    </w:p>
    <w:p w:rsidR="00F54120" w:rsidRDefault="00F54120" w:rsidP="00F1737C">
      <w:pPr>
        <w:spacing w:line="240" w:lineRule="exact"/>
        <w:rPr>
          <w:b/>
          <w:color w:val="auto"/>
          <w:szCs w:val="24"/>
          <w:u w:val="single"/>
        </w:rPr>
      </w:pPr>
    </w:p>
    <w:p w:rsidR="004550E0" w:rsidRDefault="00C56FC8" w:rsidP="004550E0">
      <w:pPr>
        <w:spacing w:line="240" w:lineRule="exact"/>
        <w:jc w:val="both"/>
        <w:rPr>
          <w:rFonts w:asciiTheme="minorHAnsi" w:hAnsiTheme="minorHAnsi"/>
          <w:color w:val="auto"/>
          <w:szCs w:val="24"/>
        </w:rPr>
      </w:pPr>
      <w:r w:rsidRPr="009C78FD">
        <w:rPr>
          <w:color w:val="auto"/>
          <w:szCs w:val="24"/>
          <w:u w:val="single"/>
        </w:rPr>
        <w:lastRenderedPageBreak/>
        <w:t>BOARD FINDINGS</w:t>
      </w:r>
      <w:r w:rsidRPr="009C78FD">
        <w:rPr>
          <w:color w:val="auto"/>
          <w:szCs w:val="24"/>
        </w:rPr>
        <w:t>:</w:t>
      </w:r>
      <w:r w:rsidRPr="009C78FD">
        <w:rPr>
          <w:rFonts w:eastAsia="Calibri"/>
          <w:color w:val="auto"/>
          <w:szCs w:val="24"/>
        </w:rPr>
        <w:t xml:space="preserve">  </w:t>
      </w:r>
      <w:r w:rsidR="00F27027" w:rsidRPr="009C78FD">
        <w:rPr>
          <w:rFonts w:eastAsia="Calibri"/>
          <w:color w:val="auto"/>
          <w:szCs w:val="24"/>
        </w:rPr>
        <w:t xml:space="preserve">IAW </w:t>
      </w:r>
      <w:proofErr w:type="spellStart"/>
      <w:r w:rsidR="00F27027" w:rsidRPr="009C78FD">
        <w:rPr>
          <w:rFonts w:eastAsia="Calibri"/>
          <w:color w:val="auto"/>
          <w:szCs w:val="24"/>
        </w:rPr>
        <w:t>DoDI</w:t>
      </w:r>
      <w:proofErr w:type="spellEnd"/>
      <w:r w:rsidR="00F27027" w:rsidRPr="009C78FD">
        <w:rPr>
          <w:rFonts w:eastAsia="Calibr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A212AD">
        <w:rPr>
          <w:rFonts w:eastAsia="Calibri"/>
          <w:color w:val="auto"/>
          <w:szCs w:val="24"/>
        </w:rPr>
        <w:t xml:space="preserve">  </w:t>
      </w:r>
      <w:r w:rsidR="00F27027" w:rsidRPr="00301FE8">
        <w:rPr>
          <w:rFonts w:eastAsia="Calibri"/>
          <w:color w:val="auto"/>
          <w:szCs w:val="24"/>
        </w:rPr>
        <w:t xml:space="preserve">In the matter of the </w:t>
      </w:r>
      <w:r w:rsidR="00415E62">
        <w:rPr>
          <w:rFonts w:eastAsia="Calibri"/>
          <w:color w:val="auto"/>
          <w:szCs w:val="24"/>
        </w:rPr>
        <w:t xml:space="preserve">chronic </w:t>
      </w:r>
      <w:r w:rsidR="00F27027">
        <w:rPr>
          <w:rFonts w:eastAsia="Calibri"/>
          <w:color w:val="auto"/>
          <w:szCs w:val="24"/>
        </w:rPr>
        <w:t xml:space="preserve">neck pain </w:t>
      </w:r>
      <w:r w:rsidR="00415E62">
        <w:rPr>
          <w:rFonts w:eastAsia="Calibri"/>
          <w:color w:val="auto"/>
          <w:szCs w:val="24"/>
        </w:rPr>
        <w:t>secondary</w:t>
      </w:r>
      <w:r w:rsidR="00F27027">
        <w:rPr>
          <w:rFonts w:eastAsia="Calibri"/>
          <w:color w:val="auto"/>
          <w:szCs w:val="24"/>
        </w:rPr>
        <w:t xml:space="preserve"> cervical </w:t>
      </w:r>
      <w:r w:rsidR="00D93B1A">
        <w:rPr>
          <w:rFonts w:eastAsia="Calibri"/>
          <w:color w:val="auto"/>
          <w:szCs w:val="24"/>
        </w:rPr>
        <w:t xml:space="preserve">degenerative disc disease </w:t>
      </w:r>
      <w:r w:rsidR="00F27027" w:rsidRPr="00301FE8">
        <w:rPr>
          <w:rFonts w:eastAsia="Calibri"/>
          <w:color w:val="auto"/>
          <w:szCs w:val="24"/>
        </w:rPr>
        <w:t xml:space="preserve">condition, the Board </w:t>
      </w:r>
      <w:r w:rsidR="00F27027" w:rsidRPr="00B85BCA">
        <w:rPr>
          <w:rFonts w:eastAsia="Calibri"/>
          <w:color w:val="auto"/>
          <w:szCs w:val="24"/>
        </w:rPr>
        <w:t>unanimously</w:t>
      </w:r>
      <w:r w:rsidR="00F27027" w:rsidRPr="00301FE8">
        <w:rPr>
          <w:rFonts w:eastAsia="Calibri"/>
          <w:color w:val="auto"/>
          <w:szCs w:val="24"/>
        </w:rPr>
        <w:t xml:space="preserve"> recommends </w:t>
      </w:r>
      <w:r w:rsidR="00F27027">
        <w:rPr>
          <w:rFonts w:eastAsia="Calibri"/>
          <w:color w:val="auto"/>
          <w:szCs w:val="24"/>
        </w:rPr>
        <w:t>a</w:t>
      </w:r>
      <w:r w:rsidR="00F27027" w:rsidRPr="00B85BCA">
        <w:rPr>
          <w:rFonts w:eastAsia="Calibri"/>
          <w:color w:val="auto"/>
          <w:szCs w:val="24"/>
        </w:rPr>
        <w:t xml:space="preserve"> </w:t>
      </w:r>
      <w:r w:rsidR="00D93B1A">
        <w:rPr>
          <w:rFonts w:eastAsia="Calibri"/>
          <w:color w:val="auto"/>
          <w:szCs w:val="24"/>
        </w:rPr>
        <w:t xml:space="preserve">rating of 20% </w:t>
      </w:r>
      <w:r w:rsidR="004550E0" w:rsidRPr="000D59FD">
        <w:rPr>
          <w:rFonts w:asciiTheme="minorHAnsi" w:eastAsiaTheme="minorHAnsi" w:hAnsiTheme="minorHAnsi"/>
          <w:color w:val="auto"/>
          <w:szCs w:val="24"/>
        </w:rPr>
        <w:t xml:space="preserve">IAW VASRD §4.71a.  In the matter of the left </w:t>
      </w:r>
      <w:r w:rsidR="004550E0">
        <w:rPr>
          <w:rFonts w:asciiTheme="minorHAnsi" w:eastAsiaTheme="minorHAnsi" w:hAnsiTheme="minorHAnsi"/>
          <w:color w:val="auto"/>
          <w:szCs w:val="24"/>
        </w:rPr>
        <w:t xml:space="preserve">hand numbness </w:t>
      </w:r>
      <w:r w:rsidR="004550E0" w:rsidRPr="000D59FD">
        <w:rPr>
          <w:rFonts w:asciiTheme="minorHAnsi" w:eastAsiaTheme="minorHAnsi" w:hAnsiTheme="minorHAnsi"/>
          <w:color w:val="auto"/>
          <w:szCs w:val="24"/>
        </w:rPr>
        <w:t xml:space="preserve">condition, </w:t>
      </w:r>
      <w:r w:rsidR="00D93B1A">
        <w:rPr>
          <w:rFonts w:asciiTheme="minorHAnsi" w:eastAsiaTheme="minorHAnsi" w:hAnsiTheme="minorHAnsi"/>
          <w:color w:val="auto"/>
          <w:szCs w:val="24"/>
        </w:rPr>
        <w:t xml:space="preserve">right shoulder condition, </w:t>
      </w:r>
      <w:r w:rsidR="004550E0">
        <w:rPr>
          <w:rFonts w:asciiTheme="minorHAnsi" w:hAnsiTheme="minorHAnsi"/>
          <w:color w:val="auto"/>
          <w:szCs w:val="24"/>
        </w:rPr>
        <w:t>or any other</w:t>
      </w:r>
      <w:r w:rsidR="004550E0" w:rsidRPr="00AE3316">
        <w:rPr>
          <w:rFonts w:asciiTheme="minorHAnsi" w:hAnsiTheme="minorHAnsi"/>
          <w:color w:val="auto"/>
          <w:szCs w:val="24"/>
        </w:rPr>
        <w:t xml:space="preserve"> medical conditions</w:t>
      </w:r>
      <w:r w:rsidR="004550E0">
        <w:rPr>
          <w:rFonts w:asciiTheme="minorHAnsi" w:hAnsiTheme="minorHAnsi"/>
          <w:color w:val="auto"/>
          <w:szCs w:val="24"/>
        </w:rPr>
        <w:t xml:space="preserve"> eligible for Board consideration</w:t>
      </w:r>
      <w:r w:rsidR="004550E0" w:rsidRPr="00AE3316">
        <w:rPr>
          <w:rFonts w:asciiTheme="minorHAnsi" w:hAnsiTheme="minorHAnsi"/>
          <w:color w:val="auto"/>
          <w:szCs w:val="24"/>
        </w:rPr>
        <w:t xml:space="preserve">; the Board </w:t>
      </w:r>
      <w:r w:rsidR="004550E0" w:rsidRPr="00CE4893">
        <w:rPr>
          <w:rFonts w:asciiTheme="minorHAnsi" w:hAnsiTheme="minorHAnsi"/>
          <w:color w:val="auto"/>
          <w:szCs w:val="24"/>
        </w:rPr>
        <w:t xml:space="preserve">unanimously </w:t>
      </w:r>
      <w:r w:rsidR="004550E0" w:rsidRPr="00AE3316">
        <w:rPr>
          <w:rFonts w:asciiTheme="minorHAnsi" w:hAnsiTheme="minorHAnsi"/>
          <w:color w:val="auto"/>
          <w:szCs w:val="24"/>
        </w:rPr>
        <w:t>agrees that it cannot</w:t>
      </w:r>
      <w:r w:rsidR="004550E0" w:rsidRPr="00AE3316">
        <w:rPr>
          <w:rFonts w:asciiTheme="minorHAnsi" w:hAnsiTheme="minorHAnsi"/>
          <w:color w:val="000080"/>
          <w:szCs w:val="24"/>
        </w:rPr>
        <w:t xml:space="preserve"> </w:t>
      </w:r>
      <w:r w:rsidR="004550E0" w:rsidRPr="00AE3316">
        <w:rPr>
          <w:rFonts w:asciiTheme="minorHAnsi" w:hAnsiTheme="minorHAnsi"/>
          <w:color w:val="auto"/>
          <w:szCs w:val="24"/>
        </w:rPr>
        <w:t>recommend a</w:t>
      </w:r>
      <w:r w:rsidR="004550E0">
        <w:rPr>
          <w:rFonts w:asciiTheme="minorHAnsi" w:hAnsiTheme="minorHAnsi"/>
          <w:color w:val="auto"/>
          <w:szCs w:val="24"/>
        </w:rPr>
        <w:t>ny</w:t>
      </w:r>
      <w:r w:rsidR="004550E0" w:rsidRPr="00AE3316">
        <w:rPr>
          <w:rFonts w:asciiTheme="minorHAnsi" w:hAnsiTheme="minorHAnsi"/>
          <w:color w:val="auto"/>
          <w:szCs w:val="24"/>
        </w:rPr>
        <w:t xml:space="preserve"> finding</w:t>
      </w:r>
      <w:r w:rsidR="004550E0">
        <w:rPr>
          <w:rFonts w:asciiTheme="minorHAnsi" w:hAnsiTheme="minorHAnsi"/>
          <w:color w:val="auto"/>
          <w:szCs w:val="24"/>
        </w:rPr>
        <w:t>s</w:t>
      </w:r>
      <w:r w:rsidR="004550E0" w:rsidRPr="00AE3316">
        <w:rPr>
          <w:rFonts w:asciiTheme="minorHAnsi" w:hAnsiTheme="minorHAnsi"/>
          <w:color w:val="auto"/>
          <w:szCs w:val="24"/>
        </w:rPr>
        <w:t xml:space="preserve"> of unfit for additional rating at separation.</w:t>
      </w:r>
      <w:r w:rsidR="004550E0">
        <w:rPr>
          <w:rFonts w:asciiTheme="minorHAnsi" w:hAnsiTheme="minorHAnsi"/>
          <w:color w:val="auto"/>
          <w:szCs w:val="24"/>
        </w:rPr>
        <w:t xml:space="preserve">  </w:t>
      </w:r>
      <w:r w:rsidR="004550E0" w:rsidRPr="00CD15BE">
        <w:rPr>
          <w:rFonts w:asciiTheme="minorHAnsi" w:hAnsiTheme="minorHAnsi"/>
          <w:color w:val="auto"/>
          <w:szCs w:val="24"/>
        </w:rPr>
        <w:t xml:space="preserve">The Board </w:t>
      </w:r>
      <w:r w:rsidR="004550E0" w:rsidRPr="00CE4893">
        <w:rPr>
          <w:rFonts w:asciiTheme="minorHAnsi" w:hAnsiTheme="minorHAnsi"/>
          <w:color w:val="auto"/>
          <w:szCs w:val="24"/>
        </w:rPr>
        <w:t>unanimously</w:t>
      </w:r>
      <w:r w:rsidR="004550E0" w:rsidRPr="00CD15BE">
        <w:rPr>
          <w:rFonts w:asciiTheme="minorHAnsi" w:hAnsiTheme="minorHAnsi"/>
          <w:color w:val="auto"/>
          <w:szCs w:val="24"/>
        </w:rPr>
        <w:t xml:space="preserve"> agrees that there w</w:t>
      </w:r>
      <w:r w:rsidR="004550E0">
        <w:rPr>
          <w:rFonts w:asciiTheme="minorHAnsi" w:hAnsiTheme="minorHAnsi"/>
          <w:color w:val="auto"/>
          <w:szCs w:val="24"/>
        </w:rPr>
        <w:t>ere</w:t>
      </w:r>
      <w:r w:rsidR="004550E0" w:rsidRPr="00CD15BE">
        <w:rPr>
          <w:rFonts w:asciiTheme="minorHAnsi" w:hAnsiTheme="minorHAnsi"/>
          <w:color w:val="auto"/>
          <w:szCs w:val="24"/>
        </w:rPr>
        <w:t xml:space="preserve"> no other condition</w:t>
      </w:r>
      <w:r w:rsidR="004550E0">
        <w:rPr>
          <w:rFonts w:asciiTheme="minorHAnsi" w:hAnsiTheme="minorHAnsi"/>
          <w:color w:val="auto"/>
          <w:szCs w:val="24"/>
        </w:rPr>
        <w:t>s</w:t>
      </w:r>
      <w:r w:rsidR="004550E0" w:rsidRPr="00CD15BE">
        <w:rPr>
          <w:rFonts w:asciiTheme="minorHAnsi" w:hAnsiTheme="minorHAnsi"/>
          <w:color w:val="auto"/>
          <w:szCs w:val="24"/>
        </w:rPr>
        <w:t xml:space="preserve"> eligible for </w:t>
      </w:r>
      <w:r w:rsidR="004550E0">
        <w:rPr>
          <w:rFonts w:asciiTheme="minorHAnsi" w:hAnsiTheme="minorHAnsi"/>
          <w:color w:val="auto"/>
          <w:szCs w:val="24"/>
        </w:rPr>
        <w:t>Board consideration</w:t>
      </w:r>
      <w:r w:rsidR="004550E0" w:rsidRPr="00CD15BE">
        <w:rPr>
          <w:rFonts w:asciiTheme="minorHAnsi" w:hAnsiTheme="minorHAnsi"/>
          <w:color w:val="auto"/>
          <w:szCs w:val="24"/>
        </w:rPr>
        <w:t xml:space="preserve"> which </w:t>
      </w:r>
      <w:r w:rsidR="004550E0">
        <w:rPr>
          <w:rFonts w:asciiTheme="minorHAnsi" w:hAnsiTheme="minorHAnsi"/>
          <w:color w:val="auto"/>
          <w:szCs w:val="24"/>
        </w:rPr>
        <w:t>could be recommended</w:t>
      </w:r>
      <w:r w:rsidR="004550E0" w:rsidRPr="00CD15BE">
        <w:rPr>
          <w:rFonts w:asciiTheme="minorHAnsi" w:hAnsiTheme="minorHAnsi"/>
          <w:color w:val="auto"/>
          <w:szCs w:val="24"/>
        </w:rPr>
        <w:t xml:space="preserve"> as additionally unfitting</w:t>
      </w:r>
      <w:r w:rsidR="004550E0">
        <w:rPr>
          <w:rFonts w:asciiTheme="minorHAnsi" w:hAnsiTheme="minorHAnsi"/>
          <w:color w:val="auto"/>
          <w:szCs w:val="24"/>
        </w:rPr>
        <w:t xml:space="preserve"> for rating at separation</w:t>
      </w:r>
      <w:r w:rsidR="004550E0" w:rsidRPr="00CD15BE">
        <w:rPr>
          <w:rFonts w:asciiTheme="minorHAnsi" w:hAnsiTheme="minorHAnsi"/>
          <w:color w:val="auto"/>
          <w:szCs w:val="24"/>
        </w:rPr>
        <w:t>.</w:t>
      </w:r>
    </w:p>
    <w:p w:rsidR="004550E0" w:rsidRPr="00391858" w:rsidRDefault="004550E0"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F27027" w:rsidRPr="00B427BB" w:rsidRDefault="00C56FC8" w:rsidP="004550E0">
      <w:pPr>
        <w:spacing w:line="240" w:lineRule="exact"/>
        <w:rPr>
          <w:color w:val="auto"/>
          <w:szCs w:val="24"/>
        </w:rPr>
      </w:pPr>
      <w:r w:rsidRPr="00396779">
        <w:rPr>
          <w:color w:val="auto"/>
          <w:szCs w:val="24"/>
          <w:u w:val="single"/>
        </w:rPr>
        <w:t>RECOMMENDATION</w:t>
      </w:r>
      <w:r w:rsidRPr="00396779">
        <w:rPr>
          <w:color w:val="auto"/>
          <w:szCs w:val="24"/>
        </w:rPr>
        <w:t>:</w:t>
      </w:r>
      <w:r w:rsidRPr="00396779">
        <w:rPr>
          <w:color w:val="000080"/>
          <w:szCs w:val="24"/>
        </w:rPr>
        <w:t xml:space="preserve"> </w:t>
      </w:r>
      <w:r w:rsidR="004550E0">
        <w:rPr>
          <w:color w:val="000080"/>
          <w:szCs w:val="24"/>
        </w:rPr>
        <w:t xml:space="preserve"> </w:t>
      </w:r>
      <w:r w:rsidR="00F27027" w:rsidRPr="00396779">
        <w:rPr>
          <w:color w:val="auto"/>
          <w:szCs w:val="24"/>
        </w:rPr>
        <w:t xml:space="preserve">The Board recommends that the CI’s prior determination be modified </w:t>
      </w:r>
      <w:r w:rsidR="00F27027" w:rsidRPr="00B427BB">
        <w:rPr>
          <w:color w:val="auto"/>
          <w:szCs w:val="24"/>
        </w:rPr>
        <w:t>as follows, effective as of the date of his</w:t>
      </w:r>
      <w:r w:rsidR="00F27027">
        <w:rPr>
          <w:color w:val="auto"/>
          <w:szCs w:val="24"/>
        </w:rPr>
        <w:t xml:space="preserve"> prior medical separation:</w:t>
      </w:r>
    </w:p>
    <w:p w:rsidR="004101B2" w:rsidRPr="00AF01B2" w:rsidRDefault="004101B2" w:rsidP="00510F9C">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RATING</w:t>
            </w:r>
          </w:p>
        </w:tc>
      </w:tr>
      <w:tr w:rsidR="00A95BBA" w:rsidRPr="00AF01B2" w:rsidTr="00103948">
        <w:trPr>
          <w:jc w:val="center"/>
        </w:trPr>
        <w:tc>
          <w:tcPr>
            <w:tcW w:w="6480" w:type="dxa"/>
            <w:vAlign w:val="center"/>
          </w:tcPr>
          <w:p w:rsidR="00A95BBA" w:rsidRPr="00AF01B2" w:rsidRDefault="00FE7DDE" w:rsidP="00103948">
            <w:pPr>
              <w:tabs>
                <w:tab w:val="left" w:pos="288"/>
                <w:tab w:val="left" w:pos="4752"/>
              </w:tabs>
              <w:spacing w:line="240" w:lineRule="exact"/>
              <w:rPr>
                <w:color w:val="auto"/>
                <w:szCs w:val="24"/>
              </w:rPr>
            </w:pPr>
            <w:r>
              <w:rPr>
                <w:color w:val="auto"/>
                <w:szCs w:val="24"/>
              </w:rPr>
              <w:t>Chronic Neck Pain Secondary to DDD</w:t>
            </w:r>
            <w:r w:rsidR="00E5322F">
              <w:rPr>
                <w:color w:val="auto"/>
                <w:szCs w:val="24"/>
              </w:rPr>
              <w:t xml:space="preserve"> Status Post Discectomy and Fusion C5/C6 and C6/C7</w:t>
            </w:r>
          </w:p>
        </w:tc>
        <w:tc>
          <w:tcPr>
            <w:tcW w:w="1710" w:type="dxa"/>
            <w:vAlign w:val="center"/>
          </w:tcPr>
          <w:p w:rsidR="00A95BBA" w:rsidRPr="00AF01B2" w:rsidRDefault="00FE7DDE" w:rsidP="00103948">
            <w:pPr>
              <w:tabs>
                <w:tab w:val="left" w:pos="288"/>
                <w:tab w:val="left" w:pos="4752"/>
              </w:tabs>
              <w:spacing w:line="240" w:lineRule="exact"/>
              <w:jc w:val="center"/>
              <w:rPr>
                <w:color w:val="auto"/>
                <w:szCs w:val="24"/>
              </w:rPr>
            </w:pPr>
            <w:r>
              <w:rPr>
                <w:color w:val="auto"/>
                <w:szCs w:val="24"/>
              </w:rPr>
              <w:t>5299-5243</w:t>
            </w:r>
          </w:p>
        </w:tc>
        <w:tc>
          <w:tcPr>
            <w:tcW w:w="1170" w:type="dxa"/>
            <w:vAlign w:val="center"/>
          </w:tcPr>
          <w:p w:rsidR="00A95BBA" w:rsidRPr="00AF01B2" w:rsidRDefault="00FE7DDE" w:rsidP="00103948">
            <w:pPr>
              <w:tabs>
                <w:tab w:val="left" w:pos="288"/>
                <w:tab w:val="left" w:pos="4752"/>
              </w:tabs>
              <w:spacing w:line="240" w:lineRule="exact"/>
              <w:jc w:val="center"/>
              <w:rPr>
                <w:color w:val="auto"/>
                <w:szCs w:val="24"/>
              </w:rPr>
            </w:pPr>
            <w:r>
              <w:rPr>
                <w:color w:val="auto"/>
                <w:szCs w:val="24"/>
              </w:rPr>
              <w:t>20</w:t>
            </w:r>
            <w:r w:rsidR="00A95BBA" w:rsidRPr="00AF01B2">
              <w:rPr>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bottom w:val="single" w:sz="4" w:space="0" w:color="000000"/>
            </w:tcBorders>
            <w:shd w:val="clear" w:color="auto" w:fill="D9D9D9"/>
            <w:vAlign w:val="center"/>
          </w:tcPr>
          <w:p w:rsidR="00A95BBA" w:rsidRPr="00AF01B2" w:rsidRDefault="00FE7DDE" w:rsidP="00103948">
            <w:pPr>
              <w:tabs>
                <w:tab w:val="left" w:pos="288"/>
                <w:tab w:val="left" w:pos="4752"/>
              </w:tabs>
              <w:spacing w:line="240" w:lineRule="exact"/>
              <w:jc w:val="center"/>
              <w:rPr>
                <w:b/>
                <w:color w:val="auto"/>
                <w:szCs w:val="24"/>
              </w:rPr>
            </w:pPr>
            <w:r>
              <w:rPr>
                <w:b/>
                <w:color w:val="auto"/>
                <w:szCs w:val="24"/>
              </w:rPr>
              <w:t>20</w:t>
            </w:r>
            <w:r w:rsidR="00A95BBA" w:rsidRPr="00AF01B2">
              <w:rPr>
                <w:b/>
                <w:color w:val="auto"/>
                <w:szCs w:val="24"/>
              </w:rPr>
              <w:t>%</w:t>
            </w:r>
          </w:p>
        </w:tc>
      </w:tr>
    </w:tbl>
    <w:p w:rsidR="00A83C15" w:rsidRPr="00391858" w:rsidRDefault="00A83C1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Exhibit A.  DD Form 294, dated 20</w:t>
      </w:r>
      <w:r w:rsidR="004E50BC">
        <w:rPr>
          <w:color w:val="auto"/>
        </w:rPr>
        <w:t>110325</w:t>
      </w:r>
      <w:r w:rsidR="005C0726">
        <w:rPr>
          <w:color w:val="auto"/>
        </w:rPr>
        <w:t>, w/</w:t>
      </w:r>
      <w:proofErr w:type="spellStart"/>
      <w:r w:rsidR="005C0726">
        <w:rPr>
          <w:color w:val="auto"/>
        </w:rPr>
        <w:t>atchs</w:t>
      </w:r>
      <w:proofErr w:type="spellEnd"/>
    </w:p>
    <w:p w:rsidR="00114F20" w:rsidRPr="00006186" w:rsidRDefault="00FB1725" w:rsidP="00510F9C">
      <w:pPr>
        <w:tabs>
          <w:tab w:val="left" w:pos="288"/>
          <w:tab w:val="left" w:pos="4752"/>
        </w:tabs>
        <w:spacing w:line="240" w:lineRule="exact"/>
        <w:jc w:val="both"/>
        <w:rPr>
          <w:color w:val="auto"/>
        </w:rPr>
      </w:pPr>
      <w:r>
        <w:rPr>
          <w:color w:val="auto"/>
        </w:rPr>
        <w:t>Exhib</w:t>
      </w:r>
      <w:r w:rsidR="005C0726">
        <w:rPr>
          <w:color w:val="auto"/>
        </w:rPr>
        <w:t>it B.  Service Treatment Record</w:t>
      </w:r>
    </w:p>
    <w:p w:rsidR="00114F20" w:rsidRPr="00006186" w:rsidRDefault="00FB1725" w:rsidP="00510F9C">
      <w:pPr>
        <w:tabs>
          <w:tab w:val="left" w:pos="288"/>
          <w:tab w:val="left" w:pos="4752"/>
        </w:tabs>
        <w:spacing w:line="240" w:lineRule="exact"/>
        <w:jc w:val="both"/>
        <w:rPr>
          <w:color w:val="auto"/>
        </w:rPr>
      </w:pPr>
      <w:r>
        <w:rPr>
          <w:color w:val="auto"/>
        </w:rPr>
        <w:t>Exhibit C.  Department of Vet</w:t>
      </w:r>
      <w:r w:rsidR="005C0726">
        <w:rPr>
          <w:color w:val="auto"/>
        </w:rPr>
        <w:t>erans' Affairs Treatment Record</w:t>
      </w:r>
    </w:p>
    <w:p w:rsidR="00D91DA6" w:rsidRPr="00006186" w:rsidRDefault="00D91DA6"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5D36C2" w:rsidRPr="00006186" w:rsidRDefault="005D36C2" w:rsidP="005D36C2">
      <w:pPr>
        <w:tabs>
          <w:tab w:val="left" w:pos="0"/>
          <w:tab w:val="left" w:pos="4320"/>
        </w:tabs>
        <w:spacing w:line="240" w:lineRule="exact"/>
        <w:jc w:val="both"/>
        <w:rPr>
          <w:color w:val="auto"/>
        </w:rPr>
      </w:pPr>
      <w:r>
        <w:rPr>
          <w:color w:val="auto"/>
        </w:rPr>
        <w:t xml:space="preserve">                             </w:t>
      </w:r>
      <w:r>
        <w:rPr>
          <w:color w:val="auto"/>
        </w:rPr>
        <w:tab/>
      </w:r>
      <w:r>
        <w:rPr>
          <w:color w:val="auto"/>
        </w:rPr>
        <w:tab/>
        <w:t xml:space="preserve">President </w:t>
      </w:r>
    </w:p>
    <w:p w:rsidR="005D36C2" w:rsidRDefault="005D36C2" w:rsidP="005D36C2">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0D2683" w:rsidRDefault="000D2683">
      <w:pPr>
        <w:rPr>
          <w:color w:val="auto"/>
        </w:rPr>
      </w:pPr>
      <w:r>
        <w:rPr>
          <w:color w:val="auto"/>
        </w:rPr>
        <w:br w:type="page"/>
      </w:r>
    </w:p>
    <w:p w:rsidR="000D2683" w:rsidRPr="000D2683" w:rsidRDefault="000D2683" w:rsidP="000D2683">
      <w:pPr>
        <w:pStyle w:val="Header"/>
        <w:tabs>
          <w:tab w:val="left" w:pos="720"/>
        </w:tabs>
        <w:rPr>
          <w:color w:val="auto"/>
        </w:rPr>
      </w:pPr>
      <w:r w:rsidRPr="000D2683">
        <w:rPr>
          <w:color w:val="auto"/>
        </w:rPr>
        <w:lastRenderedPageBreak/>
        <w:t>SFMR-RB</w:t>
      </w:r>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r>
    </w:p>
    <w:p w:rsidR="000D2683" w:rsidRPr="000D2683" w:rsidRDefault="000D2683" w:rsidP="000D2683">
      <w:pPr>
        <w:pStyle w:val="Header"/>
        <w:tabs>
          <w:tab w:val="left" w:pos="720"/>
        </w:tabs>
        <w:rPr>
          <w:color w:val="auto"/>
        </w:rPr>
      </w:pPr>
    </w:p>
    <w:p w:rsidR="000D2683" w:rsidRPr="000D2683" w:rsidRDefault="000D2683" w:rsidP="000D2683">
      <w:pPr>
        <w:rPr>
          <w:color w:val="auto"/>
        </w:rPr>
      </w:pPr>
    </w:p>
    <w:p w:rsidR="000D2683" w:rsidRPr="000D2683" w:rsidRDefault="000D2683" w:rsidP="000D2683">
      <w:pPr>
        <w:rPr>
          <w:color w:val="auto"/>
        </w:rPr>
      </w:pPr>
      <w:r w:rsidRPr="000D2683">
        <w:rPr>
          <w:color w:val="auto"/>
        </w:rPr>
        <w:t xml:space="preserve">MEMORANDUM FOR Commander, US Army Physical Disability Agency </w:t>
      </w:r>
    </w:p>
    <w:p w:rsidR="000D2683" w:rsidRPr="000D2683" w:rsidRDefault="000D2683" w:rsidP="000D2683">
      <w:pPr>
        <w:rPr>
          <w:color w:val="auto"/>
        </w:rPr>
      </w:pPr>
      <w:r w:rsidRPr="000D2683">
        <w:rPr>
          <w:color w:val="auto"/>
        </w:rPr>
        <w:t>(TAPD-ZB), 2900 Crystal Drive, Suite 300, Arlington, VA  22202</w:t>
      </w:r>
    </w:p>
    <w:p w:rsidR="000D2683" w:rsidRPr="000D2683" w:rsidRDefault="000D2683" w:rsidP="000D2683">
      <w:pPr>
        <w:rPr>
          <w:color w:val="auto"/>
        </w:rPr>
      </w:pPr>
    </w:p>
    <w:p w:rsidR="000D2683" w:rsidRPr="000D2683" w:rsidRDefault="000D2683" w:rsidP="000D2683">
      <w:pPr>
        <w:ind w:right="-180"/>
        <w:rPr>
          <w:color w:val="auto"/>
        </w:rPr>
      </w:pPr>
      <w:r w:rsidRPr="000D2683">
        <w:rPr>
          <w:color w:val="auto"/>
        </w:rPr>
        <w:t xml:space="preserve">SUBJECT:  Department of Defense Physical Disability Board of Review Recommendation </w:t>
      </w:r>
    </w:p>
    <w:p w:rsidR="000D2683" w:rsidRPr="000D2683" w:rsidRDefault="000D2683" w:rsidP="000D2683">
      <w:pPr>
        <w:pStyle w:val="Header"/>
        <w:tabs>
          <w:tab w:val="left" w:pos="720"/>
        </w:tabs>
        <w:rPr>
          <w:color w:val="auto"/>
        </w:rPr>
      </w:pPr>
      <w:r>
        <w:rPr>
          <w:color w:val="auto"/>
        </w:rPr>
        <w:t>For XXXXXXXXXXXXXXXXXX</w:t>
      </w:r>
      <w:r w:rsidRPr="000D2683">
        <w:rPr>
          <w:color w:val="auto"/>
        </w:rPr>
        <w:t xml:space="preserve"> (PD201100194)</w:t>
      </w:r>
    </w:p>
    <w:p w:rsidR="000D2683" w:rsidRPr="000D2683" w:rsidRDefault="000D2683" w:rsidP="000D2683">
      <w:pPr>
        <w:pStyle w:val="Header"/>
        <w:tabs>
          <w:tab w:val="left" w:pos="720"/>
        </w:tabs>
        <w:rPr>
          <w:color w:val="auto"/>
        </w:rPr>
      </w:pPr>
    </w:p>
    <w:p w:rsidR="000D2683" w:rsidRPr="000D2683" w:rsidRDefault="000D2683" w:rsidP="000D2683">
      <w:pPr>
        <w:rPr>
          <w:color w:val="auto"/>
        </w:rPr>
      </w:pPr>
      <w:r w:rsidRPr="000D2683">
        <w:rPr>
          <w:color w:val="auto"/>
        </w:rP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0D2683">
        <w:rPr>
          <w:color w:val="auto"/>
        </w:rPr>
        <w:t>recharacterization</w:t>
      </w:r>
      <w:proofErr w:type="spellEnd"/>
      <w:r w:rsidRPr="000D2683">
        <w:rPr>
          <w:color w:val="auto"/>
        </w:rPr>
        <w:t xml:space="preserve"> of the individual’s separation.  This decision is final.  </w:t>
      </w:r>
    </w:p>
    <w:p w:rsidR="000D2683" w:rsidRPr="000D2683" w:rsidRDefault="000D2683" w:rsidP="000D2683">
      <w:pPr>
        <w:rPr>
          <w:color w:val="auto"/>
        </w:rPr>
      </w:pPr>
    </w:p>
    <w:p w:rsidR="000D2683" w:rsidRPr="000D2683" w:rsidRDefault="000D2683" w:rsidP="000D2683">
      <w:pPr>
        <w:rPr>
          <w:color w:val="auto"/>
        </w:rPr>
      </w:pPr>
      <w:r w:rsidRPr="000D2683">
        <w:rPr>
          <w:color w:val="auto"/>
        </w:rPr>
        <w:t xml:space="preserve">2.  I direct that all the Department of the Army records of the individual concerned be corrected accordingly no later than 120 days from the date of this memorandum.   </w:t>
      </w:r>
    </w:p>
    <w:p w:rsidR="000D2683" w:rsidRPr="000D2683" w:rsidRDefault="000D2683" w:rsidP="000D2683">
      <w:pPr>
        <w:rPr>
          <w:color w:val="auto"/>
        </w:rPr>
      </w:pPr>
    </w:p>
    <w:p w:rsidR="000D2683" w:rsidRPr="000D2683" w:rsidRDefault="000D2683" w:rsidP="000D2683">
      <w:pPr>
        <w:rPr>
          <w:color w:val="auto"/>
        </w:rPr>
      </w:pPr>
      <w:r w:rsidRPr="000D2683">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D2683" w:rsidRPr="000D2683" w:rsidRDefault="000D2683" w:rsidP="000D2683">
      <w:pPr>
        <w:rPr>
          <w:color w:val="auto"/>
        </w:rPr>
      </w:pPr>
    </w:p>
    <w:p w:rsidR="000D2683" w:rsidRPr="000D2683" w:rsidRDefault="000D2683" w:rsidP="000D2683">
      <w:pPr>
        <w:rPr>
          <w:color w:val="auto"/>
        </w:rPr>
      </w:pPr>
      <w:r w:rsidRPr="000D2683">
        <w:rPr>
          <w:color w:val="auto"/>
        </w:rPr>
        <w:t xml:space="preserve"> BY ORDER OF THE SECRETARY OF THE ARMY:</w:t>
      </w:r>
    </w:p>
    <w:p w:rsidR="000D2683" w:rsidRPr="000D2683" w:rsidRDefault="000D2683" w:rsidP="000D2683">
      <w:pPr>
        <w:rPr>
          <w:color w:val="auto"/>
        </w:rPr>
      </w:pPr>
    </w:p>
    <w:p w:rsidR="000D2683" w:rsidRPr="000D2683" w:rsidRDefault="000D2683" w:rsidP="000D2683">
      <w:pPr>
        <w:rPr>
          <w:color w:val="auto"/>
        </w:rPr>
      </w:pPr>
    </w:p>
    <w:p w:rsidR="000D2683" w:rsidRPr="000D2683" w:rsidRDefault="000D2683" w:rsidP="000D2683">
      <w:pPr>
        <w:pStyle w:val="Header"/>
        <w:tabs>
          <w:tab w:val="left" w:pos="720"/>
        </w:tabs>
        <w:rPr>
          <w:color w:val="auto"/>
        </w:rPr>
      </w:pPr>
    </w:p>
    <w:p w:rsidR="000D2683" w:rsidRPr="000D2683" w:rsidRDefault="000D2683" w:rsidP="000D2683">
      <w:pPr>
        <w:rPr>
          <w:color w:val="auto"/>
        </w:rPr>
      </w:pPr>
    </w:p>
    <w:p w:rsidR="000D2683" w:rsidRPr="000D2683" w:rsidRDefault="000D2683" w:rsidP="000D2683">
      <w:pPr>
        <w:rPr>
          <w:color w:val="auto"/>
        </w:rPr>
      </w:pPr>
      <w:bookmarkStart w:id="0" w:name="OLE_LINK4"/>
      <w:bookmarkStart w:id="1" w:name="OLE_LINK3"/>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t xml:space="preserve">     Deputy Assistant Secretary</w:t>
      </w:r>
    </w:p>
    <w:p w:rsidR="000D2683" w:rsidRPr="000D2683" w:rsidRDefault="000D2683" w:rsidP="000D2683">
      <w:pPr>
        <w:rPr>
          <w:color w:val="auto"/>
        </w:rPr>
      </w:pPr>
      <w:r w:rsidRPr="000D2683">
        <w:rPr>
          <w:color w:val="auto"/>
        </w:rPr>
        <w:tab/>
      </w:r>
      <w:r w:rsidRPr="000D2683">
        <w:rPr>
          <w:color w:val="auto"/>
        </w:rPr>
        <w:tab/>
      </w:r>
      <w:r w:rsidRPr="000D2683">
        <w:rPr>
          <w:color w:val="auto"/>
        </w:rPr>
        <w:tab/>
      </w:r>
      <w:r w:rsidRPr="000D2683">
        <w:rPr>
          <w:color w:val="auto"/>
        </w:rPr>
        <w:tab/>
      </w:r>
      <w:r w:rsidRPr="000D2683">
        <w:rPr>
          <w:color w:val="auto"/>
        </w:rPr>
        <w:tab/>
      </w:r>
      <w:r w:rsidRPr="000D2683">
        <w:rPr>
          <w:color w:val="auto"/>
        </w:rPr>
        <w:tab/>
        <w:t xml:space="preserve">         (Army Review Boards)</w:t>
      </w:r>
      <w:bookmarkEnd w:id="0"/>
      <w:bookmarkEnd w:id="1"/>
    </w:p>
    <w:p w:rsidR="000D2683" w:rsidRPr="000D2683" w:rsidRDefault="000D2683" w:rsidP="000D2683">
      <w:pPr>
        <w:rPr>
          <w:color w:val="auto"/>
        </w:rPr>
      </w:pPr>
    </w:p>
    <w:p w:rsidR="000D2683" w:rsidRPr="000D2683" w:rsidRDefault="000D2683" w:rsidP="000D2683">
      <w:pPr>
        <w:rPr>
          <w:color w:val="auto"/>
        </w:rPr>
      </w:pPr>
      <w:r w:rsidRPr="000D2683">
        <w:rPr>
          <w:color w:val="auto"/>
        </w:rPr>
        <w:t xml:space="preserve">CF: </w:t>
      </w:r>
    </w:p>
    <w:p w:rsidR="000D2683" w:rsidRPr="000D2683" w:rsidRDefault="000D2683" w:rsidP="000D2683">
      <w:pPr>
        <w:rPr>
          <w:color w:val="auto"/>
        </w:rPr>
      </w:pPr>
      <w:r w:rsidRPr="000D2683">
        <w:rPr>
          <w:color w:val="auto"/>
        </w:rPr>
        <w:t xml:space="preserve">(  ) </w:t>
      </w:r>
      <w:proofErr w:type="gramStart"/>
      <w:r w:rsidRPr="000D2683">
        <w:rPr>
          <w:color w:val="auto"/>
        </w:rPr>
        <w:t>DoD</w:t>
      </w:r>
      <w:proofErr w:type="gramEnd"/>
      <w:r w:rsidRPr="000D2683">
        <w:rPr>
          <w:color w:val="auto"/>
        </w:rPr>
        <w:t xml:space="preserve"> PDBR</w:t>
      </w:r>
    </w:p>
    <w:p w:rsidR="000D2683" w:rsidRPr="000D2683" w:rsidRDefault="000D2683" w:rsidP="000D2683">
      <w:pPr>
        <w:rPr>
          <w:color w:val="auto"/>
        </w:rPr>
      </w:pPr>
      <w:r w:rsidRPr="000D2683">
        <w:rPr>
          <w:color w:val="auto"/>
        </w:rPr>
        <w:t>(  ) DVA</w:t>
      </w:r>
    </w:p>
    <w:p w:rsidR="00A44141" w:rsidRDefault="00A44141" w:rsidP="005D36C2">
      <w:pPr>
        <w:tabs>
          <w:tab w:val="left" w:pos="0"/>
          <w:tab w:val="left" w:pos="4320"/>
        </w:tabs>
        <w:spacing w:line="240" w:lineRule="exact"/>
        <w:jc w:val="both"/>
        <w:rPr>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D2" w:rsidRDefault="00FB15D2">
      <w:r>
        <w:separator/>
      </w:r>
    </w:p>
  </w:endnote>
  <w:endnote w:type="continuationSeparator" w:id="0">
    <w:p w:rsidR="00FB15D2" w:rsidRDefault="00FB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B2" w:rsidRPr="00684CE6" w:rsidRDefault="00255333" w:rsidP="00F65ED5">
    <w:pPr>
      <w:pStyle w:val="Footer"/>
      <w:jc w:val="right"/>
      <w:rPr>
        <w:color w:val="auto"/>
      </w:rPr>
    </w:pPr>
    <w:r w:rsidRPr="004E50BC">
      <w:rPr>
        <w:color w:val="auto"/>
      </w:rPr>
      <w:fldChar w:fldCharType="begin"/>
    </w:r>
    <w:r w:rsidR="000467B2" w:rsidRPr="004E50BC">
      <w:rPr>
        <w:color w:val="auto"/>
      </w:rPr>
      <w:instrText xml:space="preserve"> PAGE   \* MERGEFORMAT </w:instrText>
    </w:r>
    <w:r w:rsidRPr="004E50BC">
      <w:rPr>
        <w:color w:val="auto"/>
      </w:rPr>
      <w:fldChar w:fldCharType="separate"/>
    </w:r>
    <w:r w:rsidR="000D2683">
      <w:rPr>
        <w:noProof/>
        <w:color w:val="auto"/>
      </w:rPr>
      <w:t>2</w:t>
    </w:r>
    <w:r w:rsidRPr="004E50BC">
      <w:rPr>
        <w:color w:val="auto"/>
      </w:rPr>
      <w:fldChar w:fldCharType="end"/>
    </w:r>
    <w:r w:rsidR="000467B2" w:rsidRPr="004E50BC">
      <w:rPr>
        <w:color w:val="auto"/>
      </w:rPr>
      <w:t xml:space="preserve">                                                           PD1100194</w:t>
    </w:r>
  </w:p>
  <w:p w:rsidR="000467B2" w:rsidRPr="00684CE6" w:rsidRDefault="000467B2">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B2" w:rsidRPr="00DB4A6D" w:rsidRDefault="000467B2" w:rsidP="00DB4A6D">
    <w:pPr>
      <w:pStyle w:val="Footer"/>
      <w:rPr>
        <w:color w:val="auto"/>
      </w:rPr>
    </w:pPr>
    <w:r w:rsidRPr="00DB4A6D">
      <w:rPr>
        <w:color w:val="auto"/>
      </w:rPr>
      <w:tab/>
      <w:t>1</w:t>
    </w:r>
  </w:p>
  <w:p w:rsidR="000467B2" w:rsidRPr="009F020F" w:rsidRDefault="000467B2"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D2" w:rsidRDefault="00FB15D2">
      <w:r>
        <w:separator/>
      </w:r>
    </w:p>
  </w:footnote>
  <w:footnote w:type="continuationSeparator" w:id="0">
    <w:p w:rsidR="00FB15D2" w:rsidRDefault="00FB1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835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27660"/>
    <w:rsid w:val="00030776"/>
    <w:rsid w:val="00032E07"/>
    <w:rsid w:val="000332CA"/>
    <w:rsid w:val="0003374E"/>
    <w:rsid w:val="000344D8"/>
    <w:rsid w:val="000344E6"/>
    <w:rsid w:val="00034A86"/>
    <w:rsid w:val="00035C3A"/>
    <w:rsid w:val="00036E4B"/>
    <w:rsid w:val="00037929"/>
    <w:rsid w:val="000379D0"/>
    <w:rsid w:val="00040FC4"/>
    <w:rsid w:val="000416F8"/>
    <w:rsid w:val="00042C26"/>
    <w:rsid w:val="00043382"/>
    <w:rsid w:val="00044623"/>
    <w:rsid w:val="000452D7"/>
    <w:rsid w:val="000467B2"/>
    <w:rsid w:val="00051622"/>
    <w:rsid w:val="00051A11"/>
    <w:rsid w:val="00052234"/>
    <w:rsid w:val="00053D7C"/>
    <w:rsid w:val="000575C5"/>
    <w:rsid w:val="000577C9"/>
    <w:rsid w:val="00060FFD"/>
    <w:rsid w:val="0006140B"/>
    <w:rsid w:val="0006431E"/>
    <w:rsid w:val="000652EA"/>
    <w:rsid w:val="00065E21"/>
    <w:rsid w:val="00065E73"/>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796"/>
    <w:rsid w:val="000B0AD2"/>
    <w:rsid w:val="000B1022"/>
    <w:rsid w:val="000B2FB8"/>
    <w:rsid w:val="000B4C99"/>
    <w:rsid w:val="000B666E"/>
    <w:rsid w:val="000B68D3"/>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683"/>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43B"/>
    <w:rsid w:val="00107EC5"/>
    <w:rsid w:val="001103CD"/>
    <w:rsid w:val="00113D2A"/>
    <w:rsid w:val="00114F20"/>
    <w:rsid w:val="0011590B"/>
    <w:rsid w:val="001211AF"/>
    <w:rsid w:val="001219DF"/>
    <w:rsid w:val="0012220B"/>
    <w:rsid w:val="00122ABE"/>
    <w:rsid w:val="001231DC"/>
    <w:rsid w:val="0012489B"/>
    <w:rsid w:val="001269C0"/>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1E3"/>
    <w:rsid w:val="00161642"/>
    <w:rsid w:val="00161761"/>
    <w:rsid w:val="00166182"/>
    <w:rsid w:val="001669E8"/>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4985"/>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957"/>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5333"/>
    <w:rsid w:val="00256371"/>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5A8"/>
    <w:rsid w:val="002769AF"/>
    <w:rsid w:val="00276C86"/>
    <w:rsid w:val="00276FD0"/>
    <w:rsid w:val="00277217"/>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861"/>
    <w:rsid w:val="002C0DEA"/>
    <w:rsid w:val="002C34F6"/>
    <w:rsid w:val="002C3B6D"/>
    <w:rsid w:val="002C5D9D"/>
    <w:rsid w:val="002C5F10"/>
    <w:rsid w:val="002C6E5B"/>
    <w:rsid w:val="002D053F"/>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176"/>
    <w:rsid w:val="002F7F81"/>
    <w:rsid w:val="00300A36"/>
    <w:rsid w:val="00301B45"/>
    <w:rsid w:val="00305856"/>
    <w:rsid w:val="0030678B"/>
    <w:rsid w:val="00306D16"/>
    <w:rsid w:val="00307595"/>
    <w:rsid w:val="00310CD7"/>
    <w:rsid w:val="00313D7A"/>
    <w:rsid w:val="00320A6F"/>
    <w:rsid w:val="0032136A"/>
    <w:rsid w:val="00323A90"/>
    <w:rsid w:val="00323D0A"/>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5FAE"/>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27B4"/>
    <w:rsid w:val="003E31E3"/>
    <w:rsid w:val="003E3E93"/>
    <w:rsid w:val="003E46D1"/>
    <w:rsid w:val="003E6214"/>
    <w:rsid w:val="003F070E"/>
    <w:rsid w:val="003F1206"/>
    <w:rsid w:val="003F28DB"/>
    <w:rsid w:val="003F2EEE"/>
    <w:rsid w:val="003F58B0"/>
    <w:rsid w:val="003F776F"/>
    <w:rsid w:val="003F7A5D"/>
    <w:rsid w:val="004007E9"/>
    <w:rsid w:val="00400810"/>
    <w:rsid w:val="00401825"/>
    <w:rsid w:val="00401BBC"/>
    <w:rsid w:val="00403BFB"/>
    <w:rsid w:val="00404B45"/>
    <w:rsid w:val="00405BCF"/>
    <w:rsid w:val="00406CC5"/>
    <w:rsid w:val="004074A4"/>
    <w:rsid w:val="004101B2"/>
    <w:rsid w:val="004123D7"/>
    <w:rsid w:val="00412658"/>
    <w:rsid w:val="004129DA"/>
    <w:rsid w:val="00415E62"/>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0E0"/>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6703"/>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B42"/>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6A0"/>
    <w:rsid w:val="004D6E90"/>
    <w:rsid w:val="004D6F2B"/>
    <w:rsid w:val="004E0248"/>
    <w:rsid w:val="004E1594"/>
    <w:rsid w:val="004E21A3"/>
    <w:rsid w:val="004E32EA"/>
    <w:rsid w:val="004E50BC"/>
    <w:rsid w:val="004E6866"/>
    <w:rsid w:val="004F056E"/>
    <w:rsid w:val="004F0C58"/>
    <w:rsid w:val="004F3222"/>
    <w:rsid w:val="004F3639"/>
    <w:rsid w:val="004F3BFA"/>
    <w:rsid w:val="004F4E3C"/>
    <w:rsid w:val="004F52E7"/>
    <w:rsid w:val="004F5A1A"/>
    <w:rsid w:val="004F77A3"/>
    <w:rsid w:val="005000AB"/>
    <w:rsid w:val="00500F3C"/>
    <w:rsid w:val="005025EE"/>
    <w:rsid w:val="00503DDF"/>
    <w:rsid w:val="00505524"/>
    <w:rsid w:val="00506688"/>
    <w:rsid w:val="00510588"/>
    <w:rsid w:val="00510F75"/>
    <w:rsid w:val="00510F9C"/>
    <w:rsid w:val="0051146C"/>
    <w:rsid w:val="0051220B"/>
    <w:rsid w:val="00512253"/>
    <w:rsid w:val="00512484"/>
    <w:rsid w:val="00514449"/>
    <w:rsid w:val="00515419"/>
    <w:rsid w:val="005157BD"/>
    <w:rsid w:val="00516015"/>
    <w:rsid w:val="005214A3"/>
    <w:rsid w:val="005222E7"/>
    <w:rsid w:val="00523A8B"/>
    <w:rsid w:val="00523E04"/>
    <w:rsid w:val="00524891"/>
    <w:rsid w:val="00525003"/>
    <w:rsid w:val="0052590B"/>
    <w:rsid w:val="00526591"/>
    <w:rsid w:val="00527178"/>
    <w:rsid w:val="005278CB"/>
    <w:rsid w:val="00534D42"/>
    <w:rsid w:val="005350A5"/>
    <w:rsid w:val="00536379"/>
    <w:rsid w:val="00537238"/>
    <w:rsid w:val="005400C5"/>
    <w:rsid w:val="005404CD"/>
    <w:rsid w:val="00540BE0"/>
    <w:rsid w:val="00540BEF"/>
    <w:rsid w:val="00541F71"/>
    <w:rsid w:val="00542C9A"/>
    <w:rsid w:val="005436C2"/>
    <w:rsid w:val="005442D4"/>
    <w:rsid w:val="0054586A"/>
    <w:rsid w:val="0054631F"/>
    <w:rsid w:val="00546C24"/>
    <w:rsid w:val="005471BA"/>
    <w:rsid w:val="00547BE6"/>
    <w:rsid w:val="0055034F"/>
    <w:rsid w:val="00550FDA"/>
    <w:rsid w:val="0055288D"/>
    <w:rsid w:val="00555259"/>
    <w:rsid w:val="00555C66"/>
    <w:rsid w:val="005569EF"/>
    <w:rsid w:val="00556BDE"/>
    <w:rsid w:val="00560D57"/>
    <w:rsid w:val="0056228C"/>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4C5"/>
    <w:rsid w:val="005B5B3D"/>
    <w:rsid w:val="005B64CF"/>
    <w:rsid w:val="005C0726"/>
    <w:rsid w:val="005C0E87"/>
    <w:rsid w:val="005C16F3"/>
    <w:rsid w:val="005C3758"/>
    <w:rsid w:val="005C4D72"/>
    <w:rsid w:val="005C50C1"/>
    <w:rsid w:val="005C62C2"/>
    <w:rsid w:val="005D2306"/>
    <w:rsid w:val="005D36C2"/>
    <w:rsid w:val="005D46F2"/>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5B53"/>
    <w:rsid w:val="00616959"/>
    <w:rsid w:val="0062036E"/>
    <w:rsid w:val="006211D0"/>
    <w:rsid w:val="00621595"/>
    <w:rsid w:val="0062359D"/>
    <w:rsid w:val="00623634"/>
    <w:rsid w:val="00624D0C"/>
    <w:rsid w:val="00627318"/>
    <w:rsid w:val="006274B4"/>
    <w:rsid w:val="006307BA"/>
    <w:rsid w:val="006315BA"/>
    <w:rsid w:val="00634C4A"/>
    <w:rsid w:val="0063532E"/>
    <w:rsid w:val="00636A4F"/>
    <w:rsid w:val="00637063"/>
    <w:rsid w:val="0063737C"/>
    <w:rsid w:val="00637BDC"/>
    <w:rsid w:val="00640622"/>
    <w:rsid w:val="006418C9"/>
    <w:rsid w:val="00642BD6"/>
    <w:rsid w:val="00645046"/>
    <w:rsid w:val="0064527A"/>
    <w:rsid w:val="006458FD"/>
    <w:rsid w:val="00645EA2"/>
    <w:rsid w:val="0065064A"/>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26F"/>
    <w:rsid w:val="006B07D5"/>
    <w:rsid w:val="006B1309"/>
    <w:rsid w:val="006B31E6"/>
    <w:rsid w:val="006B3923"/>
    <w:rsid w:val="006B3F3E"/>
    <w:rsid w:val="006B4AA2"/>
    <w:rsid w:val="006B53C4"/>
    <w:rsid w:val="006B586B"/>
    <w:rsid w:val="006B5923"/>
    <w:rsid w:val="006B67D9"/>
    <w:rsid w:val="006B6C14"/>
    <w:rsid w:val="006B715E"/>
    <w:rsid w:val="006C1D6E"/>
    <w:rsid w:val="006C250B"/>
    <w:rsid w:val="006C2EF6"/>
    <w:rsid w:val="006C3A68"/>
    <w:rsid w:val="006C3B08"/>
    <w:rsid w:val="006C6AB1"/>
    <w:rsid w:val="006C6E6B"/>
    <w:rsid w:val="006D145F"/>
    <w:rsid w:val="006D2000"/>
    <w:rsid w:val="006D2D39"/>
    <w:rsid w:val="006D2F31"/>
    <w:rsid w:val="006D4250"/>
    <w:rsid w:val="006D4E0E"/>
    <w:rsid w:val="006D5861"/>
    <w:rsid w:val="006D5CE2"/>
    <w:rsid w:val="006D72AC"/>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181"/>
    <w:rsid w:val="00705C40"/>
    <w:rsid w:val="00706482"/>
    <w:rsid w:val="00706754"/>
    <w:rsid w:val="00706BEF"/>
    <w:rsid w:val="00707ECE"/>
    <w:rsid w:val="00710CE8"/>
    <w:rsid w:val="00711350"/>
    <w:rsid w:val="007116BC"/>
    <w:rsid w:val="00711961"/>
    <w:rsid w:val="00711CA6"/>
    <w:rsid w:val="007165CE"/>
    <w:rsid w:val="0071760C"/>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552"/>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26C"/>
    <w:rsid w:val="00813C51"/>
    <w:rsid w:val="00816CCB"/>
    <w:rsid w:val="00817572"/>
    <w:rsid w:val="00817713"/>
    <w:rsid w:val="008208C3"/>
    <w:rsid w:val="008220F1"/>
    <w:rsid w:val="0082340B"/>
    <w:rsid w:val="00823D6A"/>
    <w:rsid w:val="008263FE"/>
    <w:rsid w:val="00827B29"/>
    <w:rsid w:val="00827DB6"/>
    <w:rsid w:val="008304B2"/>
    <w:rsid w:val="00830999"/>
    <w:rsid w:val="00830D5E"/>
    <w:rsid w:val="00830F69"/>
    <w:rsid w:val="008324D9"/>
    <w:rsid w:val="00832F01"/>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E9A"/>
    <w:rsid w:val="0085006A"/>
    <w:rsid w:val="0085089F"/>
    <w:rsid w:val="0085120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438"/>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00AC"/>
    <w:rsid w:val="00882CC2"/>
    <w:rsid w:val="0088325A"/>
    <w:rsid w:val="00883930"/>
    <w:rsid w:val="00884535"/>
    <w:rsid w:val="0088723E"/>
    <w:rsid w:val="00887B97"/>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DD7"/>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19A5"/>
    <w:rsid w:val="009625E3"/>
    <w:rsid w:val="00962C32"/>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18C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2897"/>
    <w:rsid w:val="009C3F82"/>
    <w:rsid w:val="009C4277"/>
    <w:rsid w:val="009C582A"/>
    <w:rsid w:val="009C5C56"/>
    <w:rsid w:val="009C72DD"/>
    <w:rsid w:val="009C78FD"/>
    <w:rsid w:val="009C7DF5"/>
    <w:rsid w:val="009D056C"/>
    <w:rsid w:val="009D060F"/>
    <w:rsid w:val="009D1ADE"/>
    <w:rsid w:val="009D2854"/>
    <w:rsid w:val="009D3652"/>
    <w:rsid w:val="009D37CA"/>
    <w:rsid w:val="009D39A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2F0"/>
    <w:rsid w:val="00A16876"/>
    <w:rsid w:val="00A178E8"/>
    <w:rsid w:val="00A200AA"/>
    <w:rsid w:val="00A20558"/>
    <w:rsid w:val="00A211DD"/>
    <w:rsid w:val="00A212A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2995"/>
    <w:rsid w:val="00A37690"/>
    <w:rsid w:val="00A40FFB"/>
    <w:rsid w:val="00A413DE"/>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2863"/>
    <w:rsid w:val="00AC37BE"/>
    <w:rsid w:val="00AC439D"/>
    <w:rsid w:val="00AC62CC"/>
    <w:rsid w:val="00AC657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F7F"/>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42D"/>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4570"/>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6723"/>
    <w:rsid w:val="00B97444"/>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D0B"/>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9EF"/>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754"/>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183A"/>
    <w:rsid w:val="00C826F5"/>
    <w:rsid w:val="00C83740"/>
    <w:rsid w:val="00C84AD1"/>
    <w:rsid w:val="00C85178"/>
    <w:rsid w:val="00C85579"/>
    <w:rsid w:val="00C862F1"/>
    <w:rsid w:val="00C863E5"/>
    <w:rsid w:val="00C87BE6"/>
    <w:rsid w:val="00C87F76"/>
    <w:rsid w:val="00C92FE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550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D5D"/>
    <w:rsid w:val="00D04BF0"/>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466C"/>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3EB"/>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1A"/>
    <w:rsid w:val="00D93B9A"/>
    <w:rsid w:val="00D95984"/>
    <w:rsid w:val="00D95C64"/>
    <w:rsid w:val="00D9706F"/>
    <w:rsid w:val="00D972D4"/>
    <w:rsid w:val="00D97B45"/>
    <w:rsid w:val="00DA1123"/>
    <w:rsid w:val="00DA1636"/>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24F5"/>
    <w:rsid w:val="00DF2590"/>
    <w:rsid w:val="00DF5C84"/>
    <w:rsid w:val="00DF6EF8"/>
    <w:rsid w:val="00E00A69"/>
    <w:rsid w:val="00E012B5"/>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322F"/>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7027"/>
    <w:rsid w:val="00F3197A"/>
    <w:rsid w:val="00F32139"/>
    <w:rsid w:val="00F33D56"/>
    <w:rsid w:val="00F34E08"/>
    <w:rsid w:val="00F414F4"/>
    <w:rsid w:val="00F41D91"/>
    <w:rsid w:val="00F41F52"/>
    <w:rsid w:val="00F42363"/>
    <w:rsid w:val="00F427C4"/>
    <w:rsid w:val="00F43D6C"/>
    <w:rsid w:val="00F46964"/>
    <w:rsid w:val="00F46F9A"/>
    <w:rsid w:val="00F470FD"/>
    <w:rsid w:val="00F477FB"/>
    <w:rsid w:val="00F50F30"/>
    <w:rsid w:val="00F5126A"/>
    <w:rsid w:val="00F5126E"/>
    <w:rsid w:val="00F516EF"/>
    <w:rsid w:val="00F51755"/>
    <w:rsid w:val="00F52EB3"/>
    <w:rsid w:val="00F54120"/>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5D2"/>
    <w:rsid w:val="00FB1725"/>
    <w:rsid w:val="00FB2493"/>
    <w:rsid w:val="00FB42B7"/>
    <w:rsid w:val="00FB4484"/>
    <w:rsid w:val="00FB593A"/>
    <w:rsid w:val="00FB6410"/>
    <w:rsid w:val="00FB6E82"/>
    <w:rsid w:val="00FB792E"/>
    <w:rsid w:val="00FB7CF0"/>
    <w:rsid w:val="00FC0042"/>
    <w:rsid w:val="00FC1E67"/>
    <w:rsid w:val="00FC2A13"/>
    <w:rsid w:val="00FC2C14"/>
    <w:rsid w:val="00FC4284"/>
    <w:rsid w:val="00FC4576"/>
    <w:rsid w:val="00FC5C78"/>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E7DDE"/>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C2897"/>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E5322F"/>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5322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D2683"/>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6671745">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62DA-17D4-47CA-8B82-0E3689D9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2012-02-06T17:44:00Z</cp:lastPrinted>
  <dcterms:created xsi:type="dcterms:W3CDTF">2012-02-27T13:45:00Z</dcterms:created>
  <dcterms:modified xsi:type="dcterms:W3CDTF">2012-02-27T13:45:00Z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