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844B31" w:rsidRDefault="00F629C0" w:rsidP="00D01C92">
      <w:pPr>
        <w:tabs>
          <w:tab w:val="righ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0C4009">
        <w:rPr>
          <w:rFonts w:asciiTheme="minorHAnsi" w:hAnsiTheme="minorHAnsi"/>
          <w:caps/>
          <w:color w:val="auto"/>
        </w:rPr>
        <w:t xml:space="preserve"> </w:t>
      </w:r>
      <w:r w:rsidR="00FC1C7F">
        <w:rPr>
          <w:rFonts w:asciiTheme="minorHAnsi" w:hAnsiTheme="minorHAnsi"/>
          <w:caps/>
          <w:color w:val="auto"/>
        </w:rPr>
        <w:t xml:space="preserve">                                                                </w:t>
      </w:r>
      <w:r w:rsidR="000C4009">
        <w:rPr>
          <w:rFonts w:asciiTheme="minorHAnsi" w:hAnsiTheme="minorHAnsi"/>
          <w:caps/>
          <w:color w:val="auto"/>
        </w:rPr>
        <w:tab/>
      </w:r>
      <w:r w:rsidR="00F56120">
        <w:rPr>
          <w:rFonts w:asciiTheme="minorHAnsi" w:hAnsiTheme="minorHAnsi"/>
          <w:caps/>
          <w:color w:val="auto"/>
        </w:rPr>
        <w:t>B</w:t>
      </w:r>
      <w:r w:rsidRPr="00FD6C41">
        <w:rPr>
          <w:rFonts w:asciiTheme="minorHAnsi" w:hAnsiTheme="minorHAnsi"/>
          <w:caps/>
          <w:color w:val="auto"/>
        </w:rPr>
        <w:t xml:space="preserve">RANCH OF </w:t>
      </w:r>
      <w:r w:rsidR="00C41000">
        <w:rPr>
          <w:rFonts w:asciiTheme="minorHAnsi" w:hAnsiTheme="minorHAnsi"/>
          <w:caps/>
          <w:color w:val="auto"/>
        </w:rPr>
        <w:t>SERVICE</w:t>
      </w:r>
      <w:r w:rsidRPr="00844B31">
        <w:rPr>
          <w:rFonts w:asciiTheme="minorHAnsi" w:hAnsiTheme="minorHAnsi"/>
          <w:caps/>
          <w:color w:val="auto"/>
        </w:rPr>
        <w:t xml:space="preserve">: </w:t>
      </w:r>
      <w:r w:rsidR="004C24C5" w:rsidRPr="00844B31">
        <w:rPr>
          <w:rFonts w:asciiTheme="minorHAnsi" w:hAnsiTheme="minorHAnsi"/>
          <w:caps/>
          <w:color w:val="auto"/>
        </w:rPr>
        <w:t xml:space="preserve"> </w:t>
      </w:r>
      <w:r w:rsidR="00D01C92">
        <w:rPr>
          <w:rFonts w:asciiTheme="minorHAnsi" w:hAnsiTheme="minorHAnsi"/>
          <w:caps/>
          <w:color w:val="auto"/>
        </w:rPr>
        <w:t>Army</w:t>
      </w:r>
    </w:p>
    <w:p w:rsidR="00DE3AAD" w:rsidRDefault="00012733" w:rsidP="00D01C92">
      <w:pPr>
        <w:tabs>
          <w:tab w:val="righ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844B31">
        <w:rPr>
          <w:rFonts w:asciiTheme="minorHAnsi" w:hAnsiTheme="minorHAnsi"/>
          <w:caps/>
          <w:color w:val="auto"/>
        </w:rPr>
        <w:t>11</w:t>
      </w:r>
      <w:r w:rsidR="00DE3AAD" w:rsidRPr="003463BF">
        <w:rPr>
          <w:rFonts w:asciiTheme="minorHAnsi" w:hAnsiTheme="minorHAnsi"/>
          <w:caps/>
          <w:color w:val="auto"/>
        </w:rPr>
        <w:t>00</w:t>
      </w:r>
      <w:r w:rsidR="00844B31" w:rsidRPr="003463BF">
        <w:rPr>
          <w:rFonts w:asciiTheme="minorHAnsi" w:hAnsiTheme="minorHAnsi"/>
          <w:caps/>
          <w:color w:val="auto"/>
        </w:rPr>
        <w:t>190</w:t>
      </w:r>
      <w:r w:rsidR="00DE3AAD" w:rsidRPr="00DE3AAD">
        <w:rPr>
          <w:rFonts w:asciiTheme="minorHAnsi" w:hAnsiTheme="minorHAnsi"/>
          <w:color w:val="auto"/>
        </w:rPr>
        <w:t xml:space="preserve"> </w:t>
      </w:r>
      <w:r w:rsidR="00FC77B4">
        <w:rPr>
          <w:rFonts w:asciiTheme="minorHAnsi" w:hAnsiTheme="minorHAnsi"/>
          <w:color w:val="auto"/>
        </w:rPr>
        <w:tab/>
      </w:r>
      <w:r w:rsidR="00FC1C7F">
        <w:rPr>
          <w:rFonts w:asciiTheme="minorHAnsi" w:hAnsiTheme="minorHAnsi"/>
          <w:color w:val="auto"/>
        </w:rPr>
        <w:t xml:space="preserve">  </w:t>
      </w:r>
      <w:r w:rsidR="00DE3AAD" w:rsidRPr="00DE3AAD">
        <w:rPr>
          <w:rFonts w:asciiTheme="minorHAnsi" w:hAnsiTheme="minorHAnsi"/>
          <w:color w:val="auto"/>
        </w:rPr>
        <w:t>SEPARATION DATE:  200</w:t>
      </w:r>
      <w:r w:rsidR="00844B31">
        <w:rPr>
          <w:rFonts w:asciiTheme="minorHAnsi" w:hAnsiTheme="minorHAnsi"/>
          <w:color w:val="auto"/>
        </w:rPr>
        <w:t>40517</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647F30">
        <w:rPr>
          <w:rFonts w:asciiTheme="minorHAnsi" w:hAnsiTheme="minorHAnsi"/>
          <w:caps/>
          <w:color w:val="auto"/>
        </w:rPr>
        <w:t>20110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6C5815">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2E65E6">
        <w:rPr>
          <w:rFonts w:asciiTheme="minorHAnsi" w:hAnsiTheme="minorHAnsi"/>
          <w:color w:val="auto"/>
          <w:szCs w:val="24"/>
        </w:rPr>
        <w:t>member,</w:t>
      </w:r>
      <w:r w:rsidR="006D4E0E" w:rsidRPr="00AD7F8F">
        <w:rPr>
          <w:rFonts w:asciiTheme="minorHAnsi" w:hAnsiTheme="minorHAnsi"/>
          <w:color w:val="auto"/>
          <w:szCs w:val="24"/>
        </w:rPr>
        <w:t xml:space="preserve"> </w:t>
      </w:r>
      <w:r w:rsidR="00844B31">
        <w:rPr>
          <w:rFonts w:asciiTheme="minorHAnsi" w:hAnsiTheme="minorHAnsi"/>
          <w:color w:val="auto"/>
          <w:szCs w:val="24"/>
        </w:rPr>
        <w:t>SPC/E4, 74D, Nuclear Biological Specialist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844B31">
        <w:rPr>
          <w:rFonts w:asciiTheme="minorHAnsi" w:hAnsiTheme="minorHAnsi"/>
          <w:color w:val="auto"/>
          <w:szCs w:val="24"/>
        </w:rPr>
        <w:t>chronic bilateral hip and knee pain</w:t>
      </w:r>
      <w:r w:rsidR="00C75F3D" w:rsidRPr="00392BB4">
        <w:rPr>
          <w:rFonts w:asciiTheme="minorHAnsi" w:hAnsiTheme="minorHAnsi"/>
          <w:color w:val="auto"/>
          <w:szCs w:val="24"/>
        </w:rPr>
        <w:t>.</w:t>
      </w:r>
      <w:r w:rsidR="00375B61" w:rsidRPr="00392BB4">
        <w:rPr>
          <w:rFonts w:asciiTheme="minorHAnsi" w:hAnsiTheme="minorHAnsi"/>
          <w:color w:val="auto"/>
          <w:szCs w:val="24"/>
        </w:rPr>
        <w:t xml:space="preserve">  </w:t>
      </w:r>
      <w:r w:rsidR="002B32E9" w:rsidRPr="003463BF">
        <w:rPr>
          <w:rFonts w:asciiTheme="minorHAnsi" w:hAnsiTheme="minorHAnsi"/>
          <w:color w:val="auto"/>
          <w:szCs w:val="24"/>
        </w:rPr>
        <w:t>She</w:t>
      </w:r>
      <w:r w:rsidR="00E322F7" w:rsidRPr="003463BF">
        <w:rPr>
          <w:rFonts w:asciiTheme="minorHAnsi" w:hAnsiTheme="minorHAnsi"/>
          <w:color w:val="auto"/>
          <w:szCs w:val="24"/>
        </w:rPr>
        <w:t xml:space="preserve"> did not respond adequately </w:t>
      </w:r>
      <w:r w:rsidR="00C75F3D" w:rsidRPr="003463BF">
        <w:rPr>
          <w:rFonts w:asciiTheme="minorHAnsi" w:hAnsiTheme="minorHAnsi"/>
          <w:color w:val="auto"/>
          <w:szCs w:val="24"/>
        </w:rPr>
        <w:t>to treatment</w:t>
      </w:r>
      <w:r w:rsidR="00375B61">
        <w:rPr>
          <w:rFonts w:asciiTheme="minorHAnsi" w:hAnsiTheme="minorHAnsi"/>
          <w:color w:val="auto"/>
          <w:szCs w:val="24"/>
        </w:rPr>
        <w:t xml:space="preserve"> and </w:t>
      </w:r>
      <w:r w:rsidR="00C75F3D" w:rsidRPr="003463BF">
        <w:rPr>
          <w:rFonts w:asciiTheme="minorHAnsi" w:hAnsiTheme="minorHAnsi"/>
          <w:color w:val="auto"/>
          <w:szCs w:val="24"/>
        </w:rPr>
        <w:t xml:space="preserve">was unable to </w:t>
      </w:r>
      <w:r w:rsidR="00E322F7" w:rsidRPr="003463BF">
        <w:rPr>
          <w:rFonts w:asciiTheme="minorHAnsi" w:hAnsiTheme="minorHAnsi"/>
          <w:color w:val="auto"/>
          <w:szCs w:val="24"/>
        </w:rPr>
        <w:t xml:space="preserve">perform within </w:t>
      </w:r>
      <w:r w:rsidR="0044411E" w:rsidRPr="003463BF">
        <w:rPr>
          <w:rFonts w:asciiTheme="minorHAnsi" w:hAnsiTheme="minorHAnsi"/>
          <w:color w:val="auto"/>
          <w:szCs w:val="24"/>
        </w:rPr>
        <w:t>her</w:t>
      </w:r>
      <w:r w:rsidR="00E322F7" w:rsidRPr="003463BF">
        <w:rPr>
          <w:rFonts w:asciiTheme="minorHAnsi" w:hAnsiTheme="minorHAnsi"/>
          <w:color w:val="auto"/>
          <w:szCs w:val="24"/>
        </w:rPr>
        <w:t xml:space="preserve"> </w:t>
      </w:r>
      <w:r w:rsidR="00C41000">
        <w:rPr>
          <w:rFonts w:asciiTheme="minorHAnsi" w:hAnsiTheme="minorHAnsi"/>
          <w:color w:val="auto"/>
          <w:szCs w:val="24"/>
        </w:rPr>
        <w:t>M</w:t>
      </w:r>
      <w:r w:rsidR="009020ED" w:rsidRPr="003463BF">
        <w:rPr>
          <w:rFonts w:asciiTheme="minorHAnsi" w:hAnsiTheme="minorHAnsi"/>
          <w:color w:val="auto"/>
          <w:szCs w:val="24"/>
        </w:rPr>
        <w:t xml:space="preserve">ilitary </w:t>
      </w:r>
      <w:r w:rsidR="00C41000">
        <w:rPr>
          <w:rFonts w:asciiTheme="minorHAnsi" w:hAnsiTheme="minorHAnsi"/>
          <w:color w:val="auto"/>
          <w:szCs w:val="24"/>
        </w:rPr>
        <w:t>O</w:t>
      </w:r>
      <w:r w:rsidR="00705C40" w:rsidRPr="003463BF">
        <w:rPr>
          <w:rFonts w:asciiTheme="minorHAnsi" w:hAnsiTheme="minorHAnsi"/>
          <w:color w:val="auto"/>
          <w:szCs w:val="24"/>
        </w:rPr>
        <w:t xml:space="preserve">ccupational </w:t>
      </w:r>
      <w:r w:rsidR="00C41000">
        <w:rPr>
          <w:rFonts w:asciiTheme="minorHAnsi" w:hAnsiTheme="minorHAnsi"/>
          <w:color w:val="auto"/>
          <w:szCs w:val="24"/>
        </w:rPr>
        <w:t>S</w:t>
      </w:r>
      <w:r w:rsidR="003A40B4" w:rsidRPr="003463BF">
        <w:rPr>
          <w:rFonts w:asciiTheme="minorHAnsi" w:hAnsiTheme="minorHAnsi"/>
          <w:color w:val="auto"/>
          <w:szCs w:val="24"/>
        </w:rPr>
        <w:t>pecialty</w:t>
      </w:r>
      <w:r w:rsidR="002752AE" w:rsidRPr="003463BF">
        <w:rPr>
          <w:rFonts w:asciiTheme="minorHAnsi" w:hAnsiTheme="minorHAnsi"/>
          <w:color w:val="auto"/>
          <w:szCs w:val="24"/>
        </w:rPr>
        <w:t xml:space="preserve"> (MOS) </w:t>
      </w:r>
      <w:r w:rsidR="00844B31" w:rsidRPr="003463BF">
        <w:rPr>
          <w:rFonts w:asciiTheme="minorHAnsi" w:hAnsiTheme="minorHAnsi"/>
          <w:color w:val="auto"/>
          <w:szCs w:val="24"/>
        </w:rPr>
        <w:t>or</w:t>
      </w:r>
      <w:r w:rsidR="002752AE" w:rsidRPr="003463BF">
        <w:rPr>
          <w:rFonts w:asciiTheme="minorHAnsi" w:hAnsiTheme="minorHAnsi"/>
          <w:color w:val="auto"/>
          <w:szCs w:val="24"/>
        </w:rPr>
        <w:t xml:space="preserve"> meet </w:t>
      </w:r>
      <w:r w:rsidR="0044411E" w:rsidRPr="003463BF">
        <w:rPr>
          <w:rFonts w:asciiTheme="minorHAnsi" w:hAnsiTheme="minorHAnsi"/>
          <w:color w:val="auto"/>
          <w:szCs w:val="24"/>
        </w:rPr>
        <w:t xml:space="preserve">physical fitness </w:t>
      </w:r>
      <w:r w:rsidR="002752AE" w:rsidRPr="003463BF">
        <w:rPr>
          <w:rFonts w:asciiTheme="minorHAnsi" w:hAnsiTheme="minorHAnsi"/>
          <w:color w:val="auto"/>
          <w:szCs w:val="24"/>
        </w:rPr>
        <w:t>standards</w:t>
      </w:r>
      <w:r w:rsidR="00555C66" w:rsidRPr="003463BF">
        <w:rPr>
          <w:rFonts w:asciiTheme="minorHAnsi" w:hAnsiTheme="minorHAnsi"/>
          <w:color w:val="auto"/>
          <w:szCs w:val="24"/>
        </w:rPr>
        <w:t xml:space="preserve">.  </w:t>
      </w:r>
      <w:r w:rsidR="00844B31" w:rsidRPr="003463BF">
        <w:rPr>
          <w:rFonts w:asciiTheme="minorHAnsi" w:hAnsiTheme="minorHAnsi"/>
          <w:color w:val="auto"/>
          <w:szCs w:val="24"/>
        </w:rPr>
        <w:t>S</w:t>
      </w:r>
      <w:r w:rsidR="00555C66" w:rsidRPr="003463BF">
        <w:rPr>
          <w:rFonts w:asciiTheme="minorHAnsi" w:hAnsiTheme="minorHAnsi"/>
          <w:color w:val="auto"/>
          <w:szCs w:val="24"/>
        </w:rPr>
        <w:t>he was issued</w:t>
      </w:r>
      <w:r w:rsidR="00E322F7" w:rsidRPr="003463BF">
        <w:rPr>
          <w:rFonts w:asciiTheme="minorHAnsi" w:hAnsiTheme="minorHAnsi"/>
          <w:color w:val="auto"/>
          <w:szCs w:val="24"/>
        </w:rPr>
        <w:t xml:space="preserve"> a permanent </w:t>
      </w:r>
      <w:r w:rsidR="003463BF" w:rsidRPr="003463BF">
        <w:rPr>
          <w:rFonts w:asciiTheme="minorHAnsi" w:hAnsiTheme="minorHAnsi"/>
          <w:color w:val="auto"/>
          <w:szCs w:val="24"/>
        </w:rPr>
        <w:t>L3</w:t>
      </w:r>
      <w:r w:rsidR="0044411E" w:rsidRPr="003463BF">
        <w:rPr>
          <w:rFonts w:asciiTheme="minorHAnsi" w:hAnsiTheme="minorHAnsi"/>
          <w:color w:val="auto"/>
          <w:szCs w:val="24"/>
        </w:rPr>
        <w:t xml:space="preserve"> </w:t>
      </w:r>
      <w:r w:rsidR="00E322F7" w:rsidRPr="003463BF">
        <w:rPr>
          <w:rFonts w:asciiTheme="minorHAnsi" w:hAnsiTheme="minorHAnsi"/>
          <w:color w:val="auto"/>
          <w:szCs w:val="24"/>
        </w:rPr>
        <w:t>profile</w:t>
      </w:r>
      <w:r w:rsidR="003463BF">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AE13D3">
        <w:rPr>
          <w:rFonts w:asciiTheme="minorHAnsi" w:hAnsiTheme="minorHAnsi"/>
          <w:color w:val="auto"/>
          <w:szCs w:val="24"/>
        </w:rPr>
        <w:t xml:space="preserve">  </w:t>
      </w:r>
      <w:r w:rsidR="00D93E31">
        <w:rPr>
          <w:rFonts w:asciiTheme="minorHAnsi" w:hAnsiTheme="minorHAnsi"/>
          <w:color w:val="auto"/>
          <w:szCs w:val="24"/>
        </w:rPr>
        <w:t>Bilateral hip and knee pain</w:t>
      </w:r>
      <w:r w:rsidR="003463BF" w:rsidRPr="003463BF">
        <w:rPr>
          <w:rFonts w:asciiTheme="minorHAnsi" w:hAnsiTheme="minorHAnsi"/>
          <w:color w:val="auto"/>
          <w:szCs w:val="24"/>
        </w:rPr>
        <w:t xml:space="preserve"> </w:t>
      </w:r>
      <w:r w:rsidR="000A33C8" w:rsidRPr="003463BF">
        <w:rPr>
          <w:rFonts w:asciiTheme="minorHAnsi" w:hAnsiTheme="minorHAnsi"/>
          <w:color w:val="auto"/>
          <w:szCs w:val="24"/>
        </w:rPr>
        <w:t>w</w:t>
      </w:r>
      <w:r w:rsidR="00D93E31">
        <w:rPr>
          <w:rFonts w:asciiTheme="minorHAnsi" w:hAnsiTheme="minorHAnsi"/>
          <w:color w:val="auto"/>
          <w:szCs w:val="24"/>
        </w:rPr>
        <w:t>as</w:t>
      </w:r>
      <w:r w:rsidR="000A33C8" w:rsidRPr="003463BF">
        <w:rPr>
          <w:rFonts w:asciiTheme="minorHAnsi" w:hAnsiTheme="minorHAnsi"/>
          <w:color w:val="auto"/>
          <w:szCs w:val="24"/>
        </w:rPr>
        <w:t xml:space="preserve"> forwarded to the Physical Evaluation Board (PEB) as medically unacceptable IAW AR 40-501</w:t>
      </w:r>
      <w:r w:rsidR="00376E08" w:rsidRPr="003463BF">
        <w:rPr>
          <w:rFonts w:asciiTheme="minorHAnsi" w:hAnsiTheme="minorHAnsi"/>
          <w:color w:val="auto"/>
          <w:szCs w:val="24"/>
        </w:rPr>
        <w:t>.</w:t>
      </w:r>
      <w:r w:rsidR="00AE13D3">
        <w:rPr>
          <w:rFonts w:asciiTheme="minorHAnsi" w:hAnsiTheme="minorHAnsi"/>
          <w:color w:val="auto"/>
          <w:szCs w:val="24"/>
        </w:rPr>
        <w:t xml:space="preserve">  </w:t>
      </w:r>
      <w:r w:rsidR="001A5E62" w:rsidRPr="00C472C7">
        <w:rPr>
          <w:rFonts w:asciiTheme="minorHAnsi" w:hAnsiTheme="minorHAnsi"/>
          <w:color w:val="auto"/>
          <w:szCs w:val="24"/>
        </w:rPr>
        <w:t>No other conditions appeared on the MEB’s submission.  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AE13D3">
        <w:rPr>
          <w:rFonts w:asciiTheme="minorHAnsi" w:hAnsiTheme="minorHAnsi"/>
          <w:color w:val="auto"/>
          <w:szCs w:val="24"/>
        </w:rPr>
        <w:t xml:space="preserve">  </w:t>
      </w:r>
      <w:r w:rsidR="00B20624" w:rsidRPr="006C5815">
        <w:rPr>
          <w:rFonts w:asciiTheme="minorHAnsi" w:hAnsiTheme="minorHAnsi"/>
          <w:color w:val="auto"/>
          <w:szCs w:val="24"/>
        </w:rPr>
        <w:t xml:space="preserve">The </w:t>
      </w:r>
      <w:r w:rsidR="00C665FE" w:rsidRPr="006C5815">
        <w:rPr>
          <w:rFonts w:asciiTheme="minorHAnsi" w:hAnsiTheme="minorHAnsi"/>
          <w:color w:val="auto"/>
          <w:szCs w:val="24"/>
        </w:rPr>
        <w:t>I</w:t>
      </w:r>
      <w:r w:rsidR="00FB792E" w:rsidRPr="006C5815">
        <w:rPr>
          <w:rFonts w:asciiTheme="minorHAnsi" w:hAnsiTheme="minorHAnsi"/>
          <w:color w:val="auto"/>
          <w:szCs w:val="24"/>
        </w:rPr>
        <w:t xml:space="preserve">nformal </w:t>
      </w:r>
      <w:r w:rsidR="00B20624" w:rsidRPr="006C5815">
        <w:rPr>
          <w:rFonts w:asciiTheme="minorHAnsi" w:hAnsiTheme="minorHAnsi"/>
          <w:color w:val="auto"/>
          <w:szCs w:val="24"/>
        </w:rPr>
        <w:t>PEB</w:t>
      </w:r>
      <w:r w:rsidR="007828B4" w:rsidRPr="006C5815">
        <w:rPr>
          <w:rFonts w:asciiTheme="minorHAnsi" w:hAnsiTheme="minorHAnsi"/>
          <w:color w:val="auto"/>
          <w:szCs w:val="24"/>
        </w:rPr>
        <w:t xml:space="preserve"> (IPEB)</w:t>
      </w:r>
      <w:r w:rsidR="00B20624" w:rsidRPr="006C5815">
        <w:rPr>
          <w:rFonts w:asciiTheme="minorHAnsi" w:hAnsiTheme="minorHAnsi"/>
          <w:color w:val="auto"/>
          <w:szCs w:val="24"/>
        </w:rPr>
        <w:t xml:space="preserve"> adjudicated the </w:t>
      </w:r>
      <w:r w:rsidR="00D93E31">
        <w:rPr>
          <w:rFonts w:asciiTheme="minorHAnsi" w:hAnsiTheme="minorHAnsi"/>
          <w:color w:val="auto"/>
          <w:szCs w:val="24"/>
        </w:rPr>
        <w:t>chronic bilateral hip and knee pain</w:t>
      </w:r>
      <w:r w:rsidR="006C5815" w:rsidRPr="006C5815">
        <w:rPr>
          <w:rFonts w:asciiTheme="minorHAnsi" w:hAnsiTheme="minorHAnsi"/>
          <w:color w:val="auto"/>
          <w:szCs w:val="24"/>
        </w:rPr>
        <w:t xml:space="preserve"> as a single combined unfitting </w:t>
      </w:r>
      <w:r w:rsidR="00B20624" w:rsidRPr="006C5815">
        <w:rPr>
          <w:rFonts w:asciiTheme="minorHAnsi" w:hAnsiTheme="minorHAnsi"/>
          <w:color w:val="auto"/>
          <w:szCs w:val="24"/>
        </w:rPr>
        <w:t xml:space="preserve">condition, rated </w:t>
      </w:r>
      <w:r w:rsidR="006C5815" w:rsidRPr="006C5815">
        <w:rPr>
          <w:rFonts w:asciiTheme="minorHAnsi" w:hAnsiTheme="minorHAnsi"/>
          <w:color w:val="auto"/>
          <w:szCs w:val="24"/>
        </w:rPr>
        <w:t>0</w:t>
      </w:r>
      <w:r w:rsidR="00B20624" w:rsidRPr="006C5815">
        <w:rPr>
          <w:rFonts w:asciiTheme="minorHAnsi" w:hAnsiTheme="minorHAnsi"/>
          <w:color w:val="auto"/>
          <w:szCs w:val="24"/>
        </w:rPr>
        <w:t>%</w:t>
      </w:r>
      <w:r w:rsidR="00B80EDD" w:rsidRPr="006C5815">
        <w:rPr>
          <w:rFonts w:asciiTheme="minorHAnsi" w:hAnsiTheme="minorHAnsi"/>
          <w:color w:val="auto"/>
          <w:szCs w:val="24"/>
        </w:rPr>
        <w:t>,</w:t>
      </w:r>
      <w:r w:rsidR="00B20624" w:rsidRPr="006C5815">
        <w:rPr>
          <w:rFonts w:asciiTheme="minorHAnsi" w:hAnsiTheme="minorHAnsi"/>
          <w:color w:val="auto"/>
          <w:szCs w:val="24"/>
        </w:rPr>
        <w:t xml:space="preserve"> with application of the US Army Physical Disability Agency (USAPDA) pain policy</w:t>
      </w:r>
      <w:r w:rsidR="00D93E31">
        <w:rPr>
          <w:rFonts w:asciiTheme="minorHAnsi" w:hAnsiTheme="minorHAnsi"/>
          <w:color w:val="auto"/>
          <w:szCs w:val="24"/>
        </w:rPr>
        <w:t>,</w:t>
      </w:r>
      <w:r w:rsidR="003A5958" w:rsidRPr="006C5815">
        <w:rPr>
          <w:rFonts w:asciiTheme="minorHAnsi" w:hAnsiTheme="minorHAnsi"/>
          <w:color w:val="auto"/>
          <w:szCs w:val="24"/>
        </w:rPr>
        <w:t xml:space="preserve"> </w:t>
      </w:r>
      <w:r w:rsidR="00763CAE" w:rsidRPr="006C5815">
        <w:rPr>
          <w:rFonts w:asciiTheme="minorHAnsi" w:hAnsiTheme="minorHAnsi"/>
          <w:color w:val="auto"/>
          <w:szCs w:val="24"/>
        </w:rPr>
        <w:t>Department of Defense Instruction (</w:t>
      </w:r>
      <w:proofErr w:type="spellStart"/>
      <w:r w:rsidR="00B20624" w:rsidRPr="006C5815">
        <w:rPr>
          <w:rFonts w:asciiTheme="minorHAnsi" w:hAnsiTheme="minorHAnsi"/>
          <w:color w:val="auto"/>
          <w:szCs w:val="24"/>
        </w:rPr>
        <w:t>DoDI</w:t>
      </w:r>
      <w:proofErr w:type="spellEnd"/>
      <w:r w:rsidR="00763CAE" w:rsidRPr="006C5815">
        <w:rPr>
          <w:rFonts w:asciiTheme="minorHAnsi" w:hAnsiTheme="minorHAnsi"/>
          <w:color w:val="auto"/>
          <w:szCs w:val="24"/>
        </w:rPr>
        <w:t>)</w:t>
      </w:r>
      <w:r w:rsidR="00B20624" w:rsidRPr="006C5815">
        <w:rPr>
          <w:rFonts w:asciiTheme="minorHAnsi" w:hAnsiTheme="minorHAnsi"/>
          <w:color w:val="auto"/>
          <w:szCs w:val="24"/>
        </w:rPr>
        <w:t xml:space="preserve"> 1332.39</w:t>
      </w:r>
      <w:r w:rsidR="002B0204" w:rsidRPr="006C5815">
        <w:rPr>
          <w:rFonts w:asciiTheme="minorHAnsi" w:hAnsiTheme="minorHAnsi"/>
          <w:color w:val="auto"/>
          <w:szCs w:val="24"/>
        </w:rPr>
        <w:t xml:space="preserve"> and Veterans’ Administration Schedule for Rating Disabilities (VASRD)</w:t>
      </w:r>
      <w:r w:rsidR="00B20624" w:rsidRPr="006C5815">
        <w:rPr>
          <w:rFonts w:asciiTheme="minorHAnsi" w:hAnsiTheme="minorHAnsi"/>
          <w:color w:val="auto"/>
          <w:szCs w:val="24"/>
        </w:rPr>
        <w:t>.</w:t>
      </w:r>
      <w:r w:rsidR="00AE13D3">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3463BF">
        <w:rPr>
          <w:rFonts w:asciiTheme="minorHAnsi" w:hAnsiTheme="minorHAnsi"/>
          <w:color w:val="auto"/>
        </w:rPr>
        <w:t>0</w:t>
      </w:r>
      <w:r w:rsidR="005B17E2">
        <w:rPr>
          <w:rFonts w:asciiTheme="minorHAnsi" w:hAnsiTheme="minorHAnsi"/>
          <w:color w:val="auto"/>
        </w:rPr>
        <w:t>% combined disability rating.</w:t>
      </w:r>
    </w:p>
    <w:p w:rsidR="00F56120" w:rsidRDefault="00F56120" w:rsidP="00F56120">
      <w:pPr>
        <w:pBdr>
          <w:bottom w:val="single" w:sz="12" w:space="1" w:color="auto"/>
        </w:pBdr>
        <w:spacing w:line="240" w:lineRule="exact"/>
        <w:rPr>
          <w:rFonts w:asciiTheme="minorHAnsi" w:hAnsiTheme="minorHAnsi"/>
          <w:color w:val="auto"/>
          <w:u w:val="single"/>
        </w:rPr>
      </w:pPr>
    </w:p>
    <w:p w:rsidR="00F56120" w:rsidRDefault="00F56120" w:rsidP="00510F9C">
      <w:pPr>
        <w:tabs>
          <w:tab w:val="left" w:pos="288"/>
          <w:tab w:val="left" w:pos="4752"/>
        </w:tabs>
        <w:spacing w:line="240" w:lineRule="exact"/>
        <w:jc w:val="both"/>
        <w:rPr>
          <w:rFonts w:asciiTheme="minorHAnsi" w:hAnsiTheme="minorHAnsi"/>
          <w:color w:val="auto"/>
          <w:u w:val="single"/>
        </w:rPr>
      </w:pPr>
    </w:p>
    <w:p w:rsidR="00ED5284" w:rsidRPr="005C4D72" w:rsidRDefault="003E053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9D0151">
        <w:rPr>
          <w:rFonts w:asciiTheme="minorHAnsi" w:hAnsiTheme="minorHAnsi"/>
          <w:color w:val="auto"/>
        </w:rPr>
        <w:t xml:space="preserve"> “it should be change</w:t>
      </w:r>
      <w:r w:rsidR="003463BF">
        <w:rPr>
          <w:rFonts w:asciiTheme="minorHAnsi" w:hAnsiTheme="minorHAnsi"/>
          <w:color w:val="auto"/>
        </w:rPr>
        <w:t xml:space="preserve"> because my condition </w:t>
      </w:r>
      <w:r w:rsidR="00647F30">
        <w:rPr>
          <w:rFonts w:asciiTheme="minorHAnsi" w:hAnsiTheme="minorHAnsi"/>
          <w:color w:val="auto"/>
        </w:rPr>
        <w:t>has become worst over the years</w:t>
      </w:r>
      <w:r w:rsidR="003463BF">
        <w:rPr>
          <w:rFonts w:asciiTheme="minorHAnsi" w:hAnsiTheme="minorHAnsi"/>
          <w:color w:val="auto"/>
        </w:rPr>
        <w:t xml:space="preserve"> </w:t>
      </w:r>
      <w:proofErr w:type="spellStart"/>
      <w:r w:rsidR="003463BF">
        <w:rPr>
          <w:rFonts w:asciiTheme="minorHAnsi" w:hAnsiTheme="minorHAnsi"/>
          <w:color w:val="auto"/>
        </w:rPr>
        <w:t>Im</w:t>
      </w:r>
      <w:proofErr w:type="spellEnd"/>
      <w:r w:rsidR="003463BF">
        <w:rPr>
          <w:rFonts w:asciiTheme="minorHAnsi" w:hAnsiTheme="minorHAnsi"/>
          <w:color w:val="auto"/>
        </w:rPr>
        <w:t xml:space="preserve"> in constant pain</w:t>
      </w:r>
      <w:r w:rsidR="009D0151">
        <w:rPr>
          <w:rFonts w:asciiTheme="minorHAnsi" w:hAnsiTheme="minorHAnsi"/>
          <w:color w:val="auto"/>
        </w:rPr>
        <w:t xml:space="preserve"> daily</w:t>
      </w:r>
      <w:r w:rsidR="003463BF">
        <w:rPr>
          <w:rFonts w:asciiTheme="minorHAnsi" w:hAnsiTheme="minorHAnsi"/>
          <w:color w:val="auto"/>
        </w:rPr>
        <w:t>.  I also have PTSD which is still pending in the Newark Regional Office as well as a host of disabilities that have changed my life dramatically.</w:t>
      </w:r>
      <w:r w:rsidR="006C5815">
        <w:rPr>
          <w:rFonts w:asciiTheme="minorHAnsi" w:hAnsiTheme="minorHAnsi"/>
          <w:color w:val="auto"/>
        </w:rPr>
        <w:t>”</w:t>
      </w:r>
      <w:r w:rsidR="00AE13D3">
        <w:rPr>
          <w:rFonts w:asciiTheme="minorHAnsi" w:hAnsiTheme="minorHAnsi"/>
          <w:color w:val="auto"/>
        </w:rPr>
        <w:t xml:space="preserve">  </w:t>
      </w:r>
      <w:r w:rsidR="00D54DDB" w:rsidRPr="006C5815">
        <w:rPr>
          <w:rFonts w:eastAsiaTheme="minorHAnsi" w:cstheme="minorBidi"/>
          <w:color w:val="auto"/>
          <w:szCs w:val="24"/>
        </w:rPr>
        <w:t>She</w:t>
      </w:r>
      <w:r w:rsidR="00ED5284" w:rsidRPr="006C5815">
        <w:rPr>
          <w:rFonts w:eastAsiaTheme="minorHAnsi" w:cstheme="minorBidi"/>
          <w:color w:val="auto"/>
          <w:szCs w:val="24"/>
        </w:rPr>
        <w:t xml:space="preserve"> e</w:t>
      </w:r>
      <w:r w:rsidR="00ED5284" w:rsidRPr="005C4D72">
        <w:rPr>
          <w:rFonts w:eastAsiaTheme="minorHAnsi" w:cstheme="minorBidi"/>
          <w:color w:val="auto"/>
          <w:szCs w:val="24"/>
        </w:rPr>
        <w:t xml:space="preserve">laborates no specific contentions regarding rating or coding and </w:t>
      </w:r>
      <w:r w:rsidR="006C5815">
        <w:rPr>
          <w:rFonts w:eastAsiaTheme="minorHAnsi" w:cstheme="minorBidi"/>
          <w:color w:val="auto"/>
          <w:szCs w:val="24"/>
        </w:rPr>
        <w:t>refers to “a host of disabilities</w:t>
      </w:r>
      <w:r w:rsidR="00ED5284" w:rsidRPr="005C4D72">
        <w:rPr>
          <w:rFonts w:eastAsiaTheme="minorHAnsi" w:cstheme="minorBidi"/>
          <w:color w:val="auto"/>
          <w:szCs w:val="24"/>
        </w:rPr>
        <w:t>.</w:t>
      </w:r>
      <w:r w:rsidR="006C5815">
        <w:rPr>
          <w:rFonts w:eastAsiaTheme="minorHAnsi" w:cstheme="minorBidi"/>
          <w:color w:val="auto"/>
          <w:szCs w:val="24"/>
        </w:rPr>
        <w:t>”</w:t>
      </w:r>
      <w:r w:rsidR="00ED5284" w:rsidRPr="005C4D72">
        <w:rPr>
          <w:rFonts w:eastAsiaTheme="minorHAnsi" w:cstheme="minorBidi"/>
          <w:color w:val="auto"/>
          <w:szCs w:val="24"/>
        </w:rPr>
        <w:t xml:space="preserve">  A contention for their inclusion in the separation rating is therefore implied.</w:t>
      </w:r>
      <w:r w:rsidR="00D93E31">
        <w:rPr>
          <w:rFonts w:eastAsiaTheme="minorHAnsi" w:cstheme="minorBidi"/>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3463BF" w:rsidRDefault="003463B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1210D0">
        <w:rPr>
          <w:rFonts w:asciiTheme="minorHAnsi" w:hAnsiTheme="minorHAnsi"/>
          <w:color w:val="auto"/>
        </w:rPr>
        <w:t>:</w:t>
      </w:r>
      <w:r w:rsidR="001210D0">
        <w:rPr>
          <w:rFonts w:asciiTheme="minorHAnsi" w:hAnsiTheme="minorHAnsi"/>
          <w:color w:val="auto"/>
          <w:highlight w:val="yellow"/>
        </w:rPr>
        <w:t xml:space="preserve">   </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C41000" w:rsidP="003463BF">
            <w:pPr>
              <w:spacing w:line="200" w:lineRule="exact"/>
              <w:contextualSpacing/>
              <w:jc w:val="center"/>
              <w:rPr>
                <w:b/>
                <w:color w:val="auto"/>
                <w:sz w:val="20"/>
                <w:szCs w:val="20"/>
              </w:rPr>
            </w:pPr>
            <w:r>
              <w:rPr>
                <w:b/>
                <w:color w:val="auto"/>
                <w:sz w:val="20"/>
                <w:szCs w:val="20"/>
              </w:rPr>
              <w:t>Service</w:t>
            </w:r>
            <w:r w:rsidR="00B731E4" w:rsidRPr="00B06930">
              <w:rPr>
                <w:b/>
                <w:color w:val="auto"/>
                <w:sz w:val="20"/>
                <w:szCs w:val="20"/>
              </w:rPr>
              <w:t xml:space="preserve"> </w:t>
            </w:r>
            <w:r w:rsidR="003463BF">
              <w:rPr>
                <w:b/>
                <w:color w:val="auto"/>
                <w:sz w:val="20"/>
                <w:szCs w:val="20"/>
              </w:rPr>
              <w:t>I</w:t>
            </w:r>
            <w:r w:rsidR="00B731E4" w:rsidRPr="00B06930">
              <w:rPr>
                <w:b/>
                <w:color w:val="auto"/>
                <w:sz w:val="20"/>
                <w:szCs w:val="20"/>
              </w:rPr>
              <w:t>PEB – Dated 200</w:t>
            </w:r>
            <w:r w:rsidR="003463BF">
              <w:rPr>
                <w:b/>
                <w:color w:val="auto"/>
                <w:sz w:val="20"/>
                <w:szCs w:val="20"/>
              </w:rPr>
              <w:t>40325</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5F25B0" w:rsidP="005F25B0">
            <w:pPr>
              <w:spacing w:line="200" w:lineRule="exact"/>
              <w:contextualSpacing/>
              <w:jc w:val="center"/>
              <w:rPr>
                <w:b/>
                <w:color w:val="auto"/>
                <w:sz w:val="20"/>
                <w:szCs w:val="20"/>
              </w:rPr>
            </w:pPr>
            <w:r>
              <w:rPr>
                <w:b/>
                <w:color w:val="auto"/>
                <w:sz w:val="20"/>
                <w:szCs w:val="20"/>
              </w:rPr>
              <w:t xml:space="preserve">VA Initial exam </w:t>
            </w:r>
            <w:r w:rsidR="006C5815">
              <w:rPr>
                <w:b/>
                <w:color w:val="auto"/>
                <w:sz w:val="20"/>
                <w:szCs w:val="20"/>
              </w:rPr>
              <w:t>41</w:t>
            </w:r>
            <w:r w:rsidR="0079154B" w:rsidRPr="00B06930">
              <w:rPr>
                <w:b/>
                <w:color w:val="auto"/>
                <w:sz w:val="20"/>
                <w:szCs w:val="20"/>
              </w:rPr>
              <w:t xml:space="preserve"> </w:t>
            </w:r>
            <w:r w:rsidR="002B4E22" w:rsidRPr="00B06930">
              <w:rPr>
                <w:b/>
                <w:color w:val="auto"/>
                <w:sz w:val="20"/>
                <w:szCs w:val="20"/>
              </w:rPr>
              <w:t xml:space="preserve">Mo. </w:t>
            </w:r>
            <w:r w:rsidR="002B4E22" w:rsidRPr="006C5815">
              <w:rPr>
                <w:b/>
                <w:color w:val="auto"/>
                <w:sz w:val="20"/>
                <w:szCs w:val="20"/>
              </w:rPr>
              <w:t>After</w:t>
            </w:r>
            <w:r w:rsidR="002B4E22" w:rsidRPr="00B06930">
              <w:rPr>
                <w:b/>
                <w:color w:val="auto"/>
                <w:sz w:val="20"/>
                <w:szCs w:val="20"/>
              </w:rPr>
              <w:t xml:space="preserve"> Separation</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17228B" w:rsidRPr="002A4119" w:rsidTr="00B0472F">
        <w:trPr>
          <w:trHeight w:val="287"/>
          <w:jc w:val="center"/>
        </w:trPr>
        <w:tc>
          <w:tcPr>
            <w:tcW w:w="2196" w:type="dxa"/>
            <w:vMerge w:val="restart"/>
            <w:tcBorders>
              <w:right w:val="single" w:sz="4" w:space="0" w:color="auto"/>
            </w:tcBorders>
            <w:shd w:val="clear" w:color="auto" w:fill="FFFFFF" w:themeFill="background1"/>
            <w:vAlign w:val="center"/>
          </w:tcPr>
          <w:p w:rsidR="0017228B" w:rsidRPr="0086102A" w:rsidRDefault="0017228B" w:rsidP="00B0472F">
            <w:pPr>
              <w:spacing w:line="180" w:lineRule="exact"/>
              <w:contextualSpacing/>
              <w:rPr>
                <w:color w:val="auto"/>
                <w:sz w:val="18"/>
                <w:szCs w:val="18"/>
              </w:rPr>
            </w:pPr>
            <w:r>
              <w:rPr>
                <w:color w:val="auto"/>
                <w:sz w:val="18"/>
                <w:szCs w:val="18"/>
              </w:rPr>
              <w:t>Chronic pain, bilateral hips and knees</w:t>
            </w:r>
          </w:p>
        </w:tc>
        <w:tc>
          <w:tcPr>
            <w:tcW w:w="1062" w:type="dxa"/>
            <w:vMerge w:val="restart"/>
            <w:tcBorders>
              <w:left w:val="single" w:sz="4" w:space="0" w:color="auto"/>
            </w:tcBorders>
            <w:shd w:val="clear" w:color="auto" w:fill="FFFFFF" w:themeFill="background1"/>
            <w:vAlign w:val="center"/>
          </w:tcPr>
          <w:p w:rsidR="0017228B" w:rsidRPr="008E15FC" w:rsidRDefault="0017228B" w:rsidP="003463BF">
            <w:pPr>
              <w:spacing w:line="180" w:lineRule="exact"/>
              <w:contextualSpacing/>
              <w:jc w:val="center"/>
              <w:rPr>
                <w:color w:val="auto"/>
                <w:sz w:val="18"/>
                <w:szCs w:val="18"/>
              </w:rPr>
            </w:pPr>
            <w:r w:rsidRPr="008E15FC">
              <w:rPr>
                <w:color w:val="auto"/>
                <w:sz w:val="18"/>
                <w:szCs w:val="18"/>
              </w:rPr>
              <w:t>5099-5003</w:t>
            </w:r>
          </w:p>
        </w:tc>
        <w:tc>
          <w:tcPr>
            <w:tcW w:w="900" w:type="dxa"/>
            <w:vMerge w:val="restart"/>
            <w:tcBorders>
              <w:right w:val="thinThickThinSmallGap" w:sz="24" w:space="0" w:color="auto"/>
            </w:tcBorders>
            <w:shd w:val="clear" w:color="auto" w:fill="FFFFFF" w:themeFill="background1"/>
            <w:vAlign w:val="center"/>
          </w:tcPr>
          <w:p w:rsidR="0017228B" w:rsidRPr="008E15FC" w:rsidRDefault="0017228B" w:rsidP="00B0472F">
            <w:pPr>
              <w:spacing w:line="180" w:lineRule="exact"/>
              <w:contextualSpacing/>
              <w:jc w:val="center"/>
              <w:rPr>
                <w:color w:val="auto"/>
                <w:sz w:val="18"/>
                <w:szCs w:val="18"/>
              </w:rPr>
            </w:pPr>
            <w:r w:rsidRPr="008E15FC">
              <w:rPr>
                <w:color w:val="auto"/>
                <w:sz w:val="18"/>
                <w:szCs w:val="18"/>
              </w:rPr>
              <w:t>0%</w:t>
            </w:r>
          </w:p>
        </w:tc>
        <w:tc>
          <w:tcPr>
            <w:tcW w:w="2538" w:type="dxa"/>
            <w:tcBorders>
              <w:left w:val="thinThickThinSmallGap" w:sz="24" w:space="0" w:color="auto"/>
            </w:tcBorders>
            <w:shd w:val="clear" w:color="auto" w:fill="FFFFFF" w:themeFill="background1"/>
            <w:vAlign w:val="center"/>
          </w:tcPr>
          <w:p w:rsidR="0017228B" w:rsidRPr="006C5815" w:rsidRDefault="0017228B" w:rsidP="006C5815">
            <w:pPr>
              <w:spacing w:line="180" w:lineRule="exact"/>
              <w:contextualSpacing/>
              <w:rPr>
                <w:color w:val="auto"/>
                <w:sz w:val="18"/>
                <w:szCs w:val="18"/>
              </w:rPr>
            </w:pPr>
            <w:r>
              <w:rPr>
                <w:color w:val="auto"/>
                <w:sz w:val="18"/>
                <w:szCs w:val="18"/>
              </w:rPr>
              <w:t>Right t</w:t>
            </w:r>
            <w:r w:rsidRPr="006C5815">
              <w:rPr>
                <w:color w:val="auto"/>
                <w:sz w:val="18"/>
                <w:szCs w:val="18"/>
              </w:rPr>
              <w:t>rochanteric bursitis</w:t>
            </w:r>
            <w:r>
              <w:rPr>
                <w:color w:val="auto"/>
                <w:sz w:val="18"/>
                <w:szCs w:val="18"/>
              </w:rPr>
              <w:t>*</w:t>
            </w:r>
          </w:p>
        </w:tc>
        <w:tc>
          <w:tcPr>
            <w:tcW w:w="1062" w:type="dxa"/>
            <w:shd w:val="clear" w:color="auto" w:fill="FFFFFF" w:themeFill="background1"/>
            <w:vAlign w:val="center"/>
          </w:tcPr>
          <w:p w:rsidR="0017228B" w:rsidRPr="006C5815" w:rsidRDefault="0017228B" w:rsidP="006C5815">
            <w:pPr>
              <w:spacing w:line="180" w:lineRule="exact"/>
              <w:contextualSpacing/>
              <w:jc w:val="center"/>
              <w:rPr>
                <w:color w:val="auto"/>
                <w:sz w:val="18"/>
                <w:szCs w:val="18"/>
              </w:rPr>
            </w:pPr>
            <w:r>
              <w:rPr>
                <w:color w:val="auto"/>
                <w:sz w:val="18"/>
                <w:szCs w:val="18"/>
              </w:rPr>
              <w:t>5299-5254</w:t>
            </w:r>
          </w:p>
        </w:tc>
        <w:tc>
          <w:tcPr>
            <w:tcW w:w="828" w:type="dxa"/>
            <w:shd w:val="clear" w:color="auto" w:fill="FFFFFF" w:themeFill="background1"/>
            <w:vAlign w:val="center"/>
          </w:tcPr>
          <w:p w:rsidR="0017228B" w:rsidRPr="006C5815" w:rsidRDefault="0017228B" w:rsidP="00B0472F">
            <w:pPr>
              <w:spacing w:line="18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17228B" w:rsidRPr="006C5815" w:rsidRDefault="0017228B" w:rsidP="006C5815">
            <w:pPr>
              <w:spacing w:line="180" w:lineRule="exact"/>
              <w:contextualSpacing/>
              <w:jc w:val="center"/>
              <w:rPr>
                <w:color w:val="auto"/>
                <w:sz w:val="18"/>
                <w:szCs w:val="18"/>
              </w:rPr>
            </w:pPr>
            <w:r w:rsidRPr="006C5815">
              <w:rPr>
                <w:color w:val="auto"/>
                <w:sz w:val="18"/>
                <w:szCs w:val="18"/>
              </w:rPr>
              <w:t>20071012</w:t>
            </w:r>
          </w:p>
        </w:tc>
      </w:tr>
      <w:tr w:rsidR="0017228B" w:rsidRPr="002A4119" w:rsidTr="00B0472F">
        <w:trPr>
          <w:trHeight w:val="287"/>
          <w:jc w:val="center"/>
        </w:trPr>
        <w:tc>
          <w:tcPr>
            <w:tcW w:w="2196" w:type="dxa"/>
            <w:vMerge/>
            <w:tcBorders>
              <w:right w:val="single" w:sz="4" w:space="0" w:color="auto"/>
            </w:tcBorders>
            <w:shd w:val="clear" w:color="auto" w:fill="FFFFFF" w:themeFill="background1"/>
            <w:vAlign w:val="center"/>
          </w:tcPr>
          <w:p w:rsidR="0017228B" w:rsidRDefault="0017228B" w:rsidP="00B0472F">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17228B" w:rsidRPr="008E15FC" w:rsidRDefault="0017228B" w:rsidP="003463B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17228B" w:rsidRPr="008E15FC" w:rsidRDefault="0017228B" w:rsidP="00B0472F">
            <w:pPr>
              <w:spacing w:line="180" w:lineRule="exact"/>
              <w:contextualSpacing/>
              <w:jc w:val="center"/>
              <w:rPr>
                <w:color w:val="auto"/>
                <w:sz w:val="18"/>
                <w:szCs w:val="18"/>
              </w:rPr>
            </w:pPr>
          </w:p>
        </w:tc>
        <w:tc>
          <w:tcPr>
            <w:tcW w:w="2538" w:type="dxa"/>
            <w:tcBorders>
              <w:left w:val="thinThickThinSmallGap" w:sz="24" w:space="0" w:color="auto"/>
            </w:tcBorders>
            <w:shd w:val="clear" w:color="auto" w:fill="FFFFFF" w:themeFill="background1"/>
            <w:vAlign w:val="center"/>
          </w:tcPr>
          <w:p w:rsidR="0017228B" w:rsidRPr="006C5815" w:rsidRDefault="0017228B" w:rsidP="0017228B">
            <w:pPr>
              <w:spacing w:line="180" w:lineRule="exact"/>
              <w:contextualSpacing/>
              <w:rPr>
                <w:color w:val="auto"/>
                <w:sz w:val="18"/>
                <w:szCs w:val="18"/>
              </w:rPr>
            </w:pPr>
            <w:r>
              <w:rPr>
                <w:color w:val="auto"/>
                <w:sz w:val="18"/>
                <w:szCs w:val="18"/>
              </w:rPr>
              <w:t>Left</w:t>
            </w:r>
            <w:r w:rsidRPr="006C5815">
              <w:rPr>
                <w:color w:val="auto"/>
                <w:sz w:val="18"/>
                <w:szCs w:val="18"/>
              </w:rPr>
              <w:t xml:space="preserve"> </w:t>
            </w:r>
            <w:r>
              <w:rPr>
                <w:color w:val="auto"/>
                <w:sz w:val="18"/>
                <w:szCs w:val="18"/>
              </w:rPr>
              <w:t>t</w:t>
            </w:r>
            <w:r w:rsidRPr="006C5815">
              <w:rPr>
                <w:color w:val="auto"/>
                <w:sz w:val="18"/>
                <w:szCs w:val="18"/>
              </w:rPr>
              <w:t>rochanteric bursitis</w:t>
            </w:r>
            <w:r>
              <w:rPr>
                <w:color w:val="auto"/>
                <w:sz w:val="18"/>
                <w:szCs w:val="18"/>
              </w:rPr>
              <w:t>**</w:t>
            </w:r>
          </w:p>
        </w:tc>
        <w:tc>
          <w:tcPr>
            <w:tcW w:w="1062" w:type="dxa"/>
            <w:shd w:val="clear" w:color="auto" w:fill="FFFFFF" w:themeFill="background1"/>
            <w:vAlign w:val="center"/>
          </w:tcPr>
          <w:p w:rsidR="0017228B" w:rsidRPr="006C5815" w:rsidRDefault="0017228B" w:rsidP="006C5815">
            <w:pPr>
              <w:spacing w:line="180" w:lineRule="exact"/>
              <w:contextualSpacing/>
              <w:jc w:val="center"/>
              <w:rPr>
                <w:color w:val="auto"/>
                <w:sz w:val="18"/>
                <w:szCs w:val="18"/>
              </w:rPr>
            </w:pPr>
            <w:r>
              <w:rPr>
                <w:color w:val="auto"/>
                <w:sz w:val="18"/>
                <w:szCs w:val="18"/>
              </w:rPr>
              <w:t>5299-5254</w:t>
            </w:r>
          </w:p>
        </w:tc>
        <w:tc>
          <w:tcPr>
            <w:tcW w:w="828" w:type="dxa"/>
            <w:shd w:val="clear" w:color="auto" w:fill="FFFFFF" w:themeFill="background1"/>
            <w:vAlign w:val="center"/>
          </w:tcPr>
          <w:p w:rsidR="0017228B" w:rsidRPr="006C5815" w:rsidRDefault="0017228B" w:rsidP="00B0472F">
            <w:pPr>
              <w:spacing w:line="18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17228B" w:rsidRPr="006C5815" w:rsidRDefault="0017228B" w:rsidP="006C5815">
            <w:pPr>
              <w:spacing w:line="180" w:lineRule="exact"/>
              <w:contextualSpacing/>
              <w:jc w:val="center"/>
              <w:rPr>
                <w:color w:val="auto"/>
                <w:sz w:val="18"/>
                <w:szCs w:val="18"/>
              </w:rPr>
            </w:pPr>
          </w:p>
        </w:tc>
      </w:tr>
      <w:tr w:rsidR="0017228B" w:rsidRPr="002A4119" w:rsidTr="00B0472F">
        <w:trPr>
          <w:trHeight w:val="287"/>
          <w:jc w:val="center"/>
        </w:trPr>
        <w:tc>
          <w:tcPr>
            <w:tcW w:w="2196" w:type="dxa"/>
            <w:vMerge/>
            <w:tcBorders>
              <w:right w:val="single" w:sz="4" w:space="0" w:color="auto"/>
            </w:tcBorders>
            <w:shd w:val="clear" w:color="auto" w:fill="FFFFFF" w:themeFill="background1"/>
            <w:vAlign w:val="center"/>
          </w:tcPr>
          <w:p w:rsidR="0017228B" w:rsidRPr="0086102A" w:rsidRDefault="0017228B" w:rsidP="00B0472F">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17228B" w:rsidRPr="0086102A" w:rsidRDefault="0017228B" w:rsidP="00B0472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17228B" w:rsidRPr="004C2063" w:rsidRDefault="0017228B" w:rsidP="00B0472F">
            <w:pPr>
              <w:spacing w:line="18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17228B" w:rsidRPr="006C5815" w:rsidRDefault="0017228B" w:rsidP="0017228B">
            <w:pPr>
              <w:spacing w:line="180" w:lineRule="exact"/>
              <w:contextualSpacing/>
              <w:rPr>
                <w:color w:val="auto"/>
                <w:sz w:val="18"/>
                <w:szCs w:val="18"/>
              </w:rPr>
            </w:pPr>
            <w:r>
              <w:rPr>
                <w:color w:val="auto"/>
                <w:sz w:val="18"/>
                <w:szCs w:val="18"/>
              </w:rPr>
              <w:t>Right MCL</w:t>
            </w:r>
            <w:r w:rsidRPr="006C5815">
              <w:rPr>
                <w:color w:val="auto"/>
                <w:sz w:val="18"/>
                <w:szCs w:val="18"/>
              </w:rPr>
              <w:t xml:space="preserve"> sprain</w:t>
            </w:r>
            <w:r w:rsidR="00C6294E">
              <w:rPr>
                <w:color w:val="auto"/>
                <w:sz w:val="18"/>
                <w:szCs w:val="18"/>
              </w:rPr>
              <w:t>***</w:t>
            </w:r>
          </w:p>
        </w:tc>
        <w:tc>
          <w:tcPr>
            <w:tcW w:w="1062" w:type="dxa"/>
            <w:tcBorders>
              <w:left w:val="single" w:sz="4" w:space="0" w:color="auto"/>
            </w:tcBorders>
            <w:shd w:val="clear" w:color="auto" w:fill="FFFFFF" w:themeFill="background1"/>
            <w:vAlign w:val="center"/>
          </w:tcPr>
          <w:p w:rsidR="0017228B" w:rsidRPr="006C5815" w:rsidRDefault="0017228B" w:rsidP="00B0472F">
            <w:pPr>
              <w:spacing w:line="180" w:lineRule="exact"/>
              <w:contextualSpacing/>
              <w:jc w:val="center"/>
              <w:rPr>
                <w:color w:val="auto"/>
                <w:sz w:val="18"/>
                <w:szCs w:val="18"/>
              </w:rPr>
            </w:pPr>
            <w:r>
              <w:rPr>
                <w:color w:val="auto"/>
                <w:sz w:val="18"/>
                <w:szCs w:val="18"/>
              </w:rPr>
              <w:t>5299-5260</w:t>
            </w:r>
          </w:p>
        </w:tc>
        <w:tc>
          <w:tcPr>
            <w:tcW w:w="828" w:type="dxa"/>
            <w:shd w:val="clear" w:color="auto" w:fill="FFFFFF" w:themeFill="background1"/>
            <w:vAlign w:val="center"/>
          </w:tcPr>
          <w:p w:rsidR="0017228B" w:rsidRPr="006C5815" w:rsidRDefault="0017228B" w:rsidP="00B0472F">
            <w:pPr>
              <w:spacing w:line="18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17228B" w:rsidRPr="006C5815" w:rsidRDefault="0017228B" w:rsidP="006C5815">
            <w:pPr>
              <w:spacing w:line="180" w:lineRule="exact"/>
              <w:contextualSpacing/>
              <w:jc w:val="center"/>
              <w:rPr>
                <w:color w:val="auto"/>
                <w:sz w:val="18"/>
                <w:szCs w:val="18"/>
              </w:rPr>
            </w:pPr>
            <w:r w:rsidRPr="006C5815">
              <w:rPr>
                <w:color w:val="auto"/>
                <w:sz w:val="18"/>
                <w:szCs w:val="18"/>
              </w:rPr>
              <w:t>20071012</w:t>
            </w:r>
          </w:p>
        </w:tc>
      </w:tr>
      <w:tr w:rsidR="0017228B" w:rsidRPr="002A4119" w:rsidTr="00B0472F">
        <w:trPr>
          <w:trHeight w:val="287"/>
          <w:jc w:val="center"/>
        </w:trPr>
        <w:tc>
          <w:tcPr>
            <w:tcW w:w="2196" w:type="dxa"/>
            <w:vMerge/>
            <w:tcBorders>
              <w:right w:val="single" w:sz="4" w:space="0" w:color="auto"/>
            </w:tcBorders>
            <w:shd w:val="clear" w:color="auto" w:fill="FFFFFF" w:themeFill="background1"/>
            <w:vAlign w:val="center"/>
          </w:tcPr>
          <w:p w:rsidR="0017228B" w:rsidRPr="0086102A" w:rsidRDefault="0017228B" w:rsidP="00B0472F">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17228B" w:rsidRPr="0086102A" w:rsidRDefault="0017228B" w:rsidP="00B0472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17228B" w:rsidRPr="004C2063" w:rsidRDefault="0017228B" w:rsidP="00B0472F">
            <w:pPr>
              <w:spacing w:line="18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17228B" w:rsidRPr="006C5815" w:rsidRDefault="0017228B" w:rsidP="0017228B">
            <w:pPr>
              <w:spacing w:line="180" w:lineRule="exact"/>
              <w:contextualSpacing/>
              <w:rPr>
                <w:color w:val="auto"/>
                <w:sz w:val="18"/>
                <w:szCs w:val="18"/>
              </w:rPr>
            </w:pPr>
            <w:r>
              <w:rPr>
                <w:color w:val="auto"/>
                <w:sz w:val="18"/>
                <w:szCs w:val="18"/>
              </w:rPr>
              <w:t>Left</w:t>
            </w:r>
            <w:r w:rsidRPr="006C5815">
              <w:rPr>
                <w:color w:val="auto"/>
                <w:sz w:val="18"/>
                <w:szCs w:val="18"/>
              </w:rPr>
              <w:t xml:space="preserve"> </w:t>
            </w:r>
            <w:r>
              <w:rPr>
                <w:color w:val="auto"/>
                <w:sz w:val="18"/>
                <w:szCs w:val="18"/>
              </w:rPr>
              <w:t>PFS****</w:t>
            </w:r>
          </w:p>
        </w:tc>
        <w:tc>
          <w:tcPr>
            <w:tcW w:w="1062" w:type="dxa"/>
            <w:tcBorders>
              <w:left w:val="single" w:sz="4" w:space="0" w:color="auto"/>
            </w:tcBorders>
            <w:shd w:val="clear" w:color="auto" w:fill="FFFFFF" w:themeFill="background1"/>
            <w:vAlign w:val="center"/>
          </w:tcPr>
          <w:p w:rsidR="0017228B" w:rsidRPr="006C5815" w:rsidRDefault="0017228B" w:rsidP="00B0472F">
            <w:pPr>
              <w:spacing w:line="180" w:lineRule="exact"/>
              <w:contextualSpacing/>
              <w:jc w:val="center"/>
              <w:rPr>
                <w:color w:val="auto"/>
                <w:sz w:val="18"/>
                <w:szCs w:val="18"/>
              </w:rPr>
            </w:pPr>
            <w:r>
              <w:rPr>
                <w:color w:val="auto"/>
                <w:sz w:val="18"/>
                <w:szCs w:val="18"/>
              </w:rPr>
              <w:t>5299-5260</w:t>
            </w:r>
          </w:p>
        </w:tc>
        <w:tc>
          <w:tcPr>
            <w:tcW w:w="828" w:type="dxa"/>
            <w:shd w:val="clear" w:color="auto" w:fill="FFFFFF" w:themeFill="background1"/>
            <w:vAlign w:val="center"/>
          </w:tcPr>
          <w:p w:rsidR="0017228B" w:rsidRPr="006C5815" w:rsidRDefault="0017228B" w:rsidP="00B0472F">
            <w:pPr>
              <w:spacing w:line="18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17228B" w:rsidRPr="006C5815" w:rsidRDefault="0017228B" w:rsidP="006C5815">
            <w:pPr>
              <w:spacing w:line="180" w:lineRule="exact"/>
              <w:contextualSpacing/>
              <w:jc w:val="center"/>
              <w:rPr>
                <w:color w:val="auto"/>
                <w:sz w:val="18"/>
                <w:szCs w:val="18"/>
              </w:rPr>
            </w:pPr>
          </w:p>
        </w:tc>
      </w:tr>
      <w:tr w:rsidR="007A65A9" w:rsidRPr="002A4119" w:rsidTr="00B0472F">
        <w:trPr>
          <w:trHeight w:val="260"/>
          <w:jc w:val="center"/>
        </w:trPr>
        <w:tc>
          <w:tcPr>
            <w:tcW w:w="4158" w:type="dxa"/>
            <w:gridSpan w:val="3"/>
            <w:tcBorders>
              <w:right w:val="thinThickThinSmallGap" w:sz="24" w:space="0" w:color="auto"/>
            </w:tcBorders>
            <w:shd w:val="clear" w:color="auto" w:fill="FFFFFF" w:themeFill="background1"/>
          </w:tcPr>
          <w:p w:rsidR="007A65A9" w:rsidRPr="0086102A" w:rsidRDefault="0017228B"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428" w:type="dxa"/>
            <w:gridSpan w:val="3"/>
            <w:tcBorders>
              <w:left w:val="thinThickThinSmallGap" w:sz="24" w:space="0" w:color="auto"/>
            </w:tcBorders>
            <w:shd w:val="clear" w:color="auto" w:fill="FFFFFF" w:themeFill="background1"/>
            <w:vAlign w:val="center"/>
          </w:tcPr>
          <w:p w:rsidR="007A65A9" w:rsidRPr="0086102A" w:rsidRDefault="007A65A9" w:rsidP="007812FB">
            <w:pPr>
              <w:spacing w:line="18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7812FB">
              <w:rPr>
                <w:rFonts w:cs="Times New Roman"/>
                <w:color w:val="auto"/>
                <w:sz w:val="18"/>
                <w:szCs w:val="18"/>
              </w:rPr>
              <w:t>1</w:t>
            </w:r>
            <w:r w:rsidRPr="0086102A">
              <w:rPr>
                <w:rFonts w:cs="Times New Roman"/>
                <w:color w:val="auto"/>
                <w:sz w:val="18"/>
                <w:szCs w:val="18"/>
              </w:rPr>
              <w:t xml:space="preserve">/Not </w:t>
            </w:r>
            <w:r w:rsidR="00C41000">
              <w:rPr>
                <w:rFonts w:cs="Times New Roman"/>
                <w:color w:val="auto"/>
                <w:sz w:val="18"/>
                <w:szCs w:val="18"/>
              </w:rPr>
              <w:t>Service</w:t>
            </w:r>
            <w:r w:rsidRPr="0086102A">
              <w:rPr>
                <w:rFonts w:cs="Times New Roman"/>
                <w:color w:val="auto"/>
                <w:sz w:val="18"/>
                <w:szCs w:val="18"/>
              </w:rPr>
              <w:t xml:space="preserve"> Connected </w:t>
            </w:r>
            <w:r w:rsidR="00374EA1">
              <w:rPr>
                <w:rFonts w:cs="Times New Roman"/>
                <w:color w:val="auto"/>
                <w:sz w:val="18"/>
                <w:szCs w:val="18"/>
              </w:rPr>
              <w:t>x</w:t>
            </w:r>
            <w:r w:rsidRPr="0086102A">
              <w:rPr>
                <w:rFonts w:cs="Times New Roman"/>
                <w:color w:val="auto"/>
                <w:sz w:val="18"/>
                <w:szCs w:val="18"/>
              </w:rPr>
              <w:t xml:space="preserve"> </w:t>
            </w:r>
            <w:r w:rsidR="006C5815">
              <w:rPr>
                <w:rFonts w:cs="Times New Roman"/>
                <w:color w:val="auto"/>
                <w:sz w:val="18"/>
                <w:szCs w:val="18"/>
              </w:rPr>
              <w:t>2</w:t>
            </w:r>
          </w:p>
        </w:tc>
        <w:tc>
          <w:tcPr>
            <w:tcW w:w="990" w:type="dxa"/>
            <w:shd w:val="clear" w:color="auto" w:fill="FFFFFF" w:themeFill="background1"/>
            <w:vAlign w:val="center"/>
          </w:tcPr>
          <w:p w:rsidR="007A65A9" w:rsidRPr="0086102A" w:rsidRDefault="002D08F3" w:rsidP="006C5815">
            <w:pPr>
              <w:spacing w:line="180" w:lineRule="exact"/>
              <w:contextualSpacing/>
              <w:jc w:val="center"/>
              <w:rPr>
                <w:color w:val="auto"/>
                <w:sz w:val="18"/>
                <w:szCs w:val="18"/>
                <w:highlight w:val="yellow"/>
              </w:rPr>
            </w:pPr>
            <w:r w:rsidRPr="006C5815">
              <w:rPr>
                <w:color w:val="auto"/>
                <w:sz w:val="18"/>
                <w:szCs w:val="18"/>
              </w:rPr>
              <w:t>200</w:t>
            </w:r>
            <w:r w:rsidR="006C5815" w:rsidRPr="006C5815">
              <w:rPr>
                <w:color w:val="auto"/>
                <w:sz w:val="18"/>
                <w:szCs w:val="18"/>
              </w:rPr>
              <w:t>71012</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3463BF">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3463BF">
              <w:rPr>
                <w:b/>
                <w:color w:val="auto"/>
                <w:sz w:val="20"/>
                <w:szCs w:val="20"/>
              </w:rPr>
              <w:t>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6C5815">
            <w:pPr>
              <w:spacing w:line="200" w:lineRule="exact"/>
              <w:contextualSpacing/>
              <w:jc w:val="center"/>
              <w:rPr>
                <w:b/>
                <w:color w:val="auto"/>
                <w:sz w:val="20"/>
                <w:szCs w:val="20"/>
              </w:rPr>
            </w:pPr>
            <w:r w:rsidRPr="00B06930">
              <w:rPr>
                <w:b/>
                <w:color w:val="auto"/>
                <w:sz w:val="20"/>
                <w:szCs w:val="20"/>
              </w:rPr>
              <w:t xml:space="preserve">Combined:  </w:t>
            </w:r>
            <w:r w:rsidR="006C5815">
              <w:rPr>
                <w:b/>
                <w:color w:val="auto"/>
                <w:sz w:val="20"/>
                <w:szCs w:val="20"/>
              </w:rPr>
              <w:t>0</w:t>
            </w:r>
            <w:r w:rsidRPr="00B06930">
              <w:rPr>
                <w:b/>
                <w:color w:val="auto"/>
                <w:sz w:val="20"/>
                <w:szCs w:val="20"/>
              </w:rPr>
              <w:t>%</w:t>
            </w:r>
          </w:p>
        </w:tc>
      </w:tr>
    </w:tbl>
    <w:p w:rsidR="0017228B" w:rsidRPr="00FC1C7F" w:rsidRDefault="00DD3FED" w:rsidP="00FC1C7F">
      <w:pPr>
        <w:pStyle w:val="NoSpacing"/>
        <w:rPr>
          <w:rFonts w:cs="Calibri"/>
          <w:color w:val="000000" w:themeColor="text1"/>
          <w:sz w:val="18"/>
          <w:szCs w:val="18"/>
        </w:rPr>
      </w:pPr>
      <w:r w:rsidRPr="00FC1C7F">
        <w:rPr>
          <w:rFonts w:cs="Calibri"/>
          <w:color w:val="000000" w:themeColor="text1"/>
          <w:sz w:val="18"/>
          <w:szCs w:val="18"/>
        </w:rPr>
        <w:t xml:space="preserve">CI did not show for her scheduled VA examination and the claimed conditions </w:t>
      </w:r>
      <w:r w:rsidR="007B74D7" w:rsidRPr="00FC1C7F">
        <w:rPr>
          <w:rFonts w:cs="Calibri"/>
          <w:color w:val="000000" w:themeColor="text1"/>
          <w:sz w:val="18"/>
          <w:szCs w:val="18"/>
        </w:rPr>
        <w:t>were determined NSC.  CI reopen</w:t>
      </w:r>
      <w:r w:rsidRPr="00FC1C7F">
        <w:rPr>
          <w:rFonts w:cs="Calibri"/>
          <w:color w:val="000000" w:themeColor="text1"/>
          <w:sz w:val="18"/>
          <w:szCs w:val="18"/>
        </w:rPr>
        <w:t>ed her claim and was examined over three years after separation:</w:t>
      </w:r>
      <w:r w:rsidR="00DA10A9">
        <w:rPr>
          <w:rFonts w:cs="Calibri"/>
          <w:color w:val="000000" w:themeColor="text1"/>
          <w:sz w:val="18"/>
          <w:szCs w:val="18"/>
        </w:rPr>
        <w:t xml:space="preserve">  </w:t>
      </w:r>
      <w:r w:rsidR="00FC1C7F">
        <w:rPr>
          <w:rFonts w:cs="Calibri"/>
          <w:color w:val="000000" w:themeColor="text1"/>
          <w:sz w:val="18"/>
          <w:szCs w:val="18"/>
        </w:rPr>
        <w:t>*</w:t>
      </w:r>
      <w:r w:rsidR="0025706F" w:rsidRPr="00FC1C7F">
        <w:rPr>
          <w:rFonts w:cs="Calibri"/>
          <w:color w:val="000000" w:themeColor="text1"/>
          <w:sz w:val="18"/>
          <w:szCs w:val="18"/>
        </w:rPr>
        <w:t xml:space="preserve"> </w:t>
      </w:r>
      <w:r w:rsidR="0017228B" w:rsidRPr="00FC1C7F">
        <w:rPr>
          <w:rFonts w:cs="Calibri"/>
          <w:color w:val="000000" w:themeColor="text1"/>
          <w:sz w:val="18"/>
          <w:szCs w:val="18"/>
        </w:rPr>
        <w:t xml:space="preserve">Rated 10% effective 20050916 based on 20071012 </w:t>
      </w:r>
      <w:proofErr w:type="gramStart"/>
      <w:r w:rsidR="0017228B" w:rsidRPr="00FC1C7F">
        <w:rPr>
          <w:rFonts w:cs="Calibri"/>
          <w:color w:val="000000" w:themeColor="text1"/>
          <w:sz w:val="18"/>
          <w:szCs w:val="18"/>
        </w:rPr>
        <w:t>exam</w:t>
      </w:r>
      <w:proofErr w:type="gramEnd"/>
      <w:r w:rsidR="004F565A" w:rsidRPr="00FC1C7F">
        <w:rPr>
          <w:rFonts w:cs="Calibri"/>
          <w:color w:val="000000" w:themeColor="text1"/>
          <w:sz w:val="18"/>
          <w:szCs w:val="18"/>
        </w:rPr>
        <w:t>, coded 5299-5251</w:t>
      </w:r>
      <w:r w:rsidR="00DA10A9">
        <w:rPr>
          <w:rFonts w:cs="Calibri"/>
          <w:color w:val="000000" w:themeColor="text1"/>
          <w:sz w:val="18"/>
          <w:szCs w:val="18"/>
        </w:rPr>
        <w:t xml:space="preserve">.  </w:t>
      </w:r>
      <w:r w:rsidR="0017228B" w:rsidRPr="00FC1C7F">
        <w:rPr>
          <w:rFonts w:cs="Calibri"/>
          <w:color w:val="000000" w:themeColor="text1"/>
          <w:sz w:val="18"/>
          <w:szCs w:val="18"/>
        </w:rPr>
        <w:t>*</w:t>
      </w:r>
      <w:proofErr w:type="gramStart"/>
      <w:r w:rsidR="0017228B" w:rsidRPr="00FC1C7F">
        <w:rPr>
          <w:rFonts w:cs="Calibri"/>
          <w:color w:val="000000" w:themeColor="text1"/>
          <w:sz w:val="18"/>
          <w:szCs w:val="18"/>
        </w:rPr>
        <w:t>*</w:t>
      </w:r>
      <w:r w:rsidR="0025706F" w:rsidRPr="00FC1C7F">
        <w:rPr>
          <w:rFonts w:cs="Calibri"/>
          <w:color w:val="000000" w:themeColor="text1"/>
          <w:sz w:val="18"/>
          <w:szCs w:val="18"/>
        </w:rPr>
        <w:t xml:space="preserve">  </w:t>
      </w:r>
      <w:r w:rsidR="0017228B" w:rsidRPr="00FC1C7F">
        <w:rPr>
          <w:rFonts w:cs="Calibri"/>
          <w:color w:val="000000" w:themeColor="text1"/>
          <w:sz w:val="18"/>
          <w:szCs w:val="18"/>
        </w:rPr>
        <w:t>Rated</w:t>
      </w:r>
      <w:proofErr w:type="gramEnd"/>
      <w:r w:rsidR="0017228B" w:rsidRPr="00FC1C7F">
        <w:rPr>
          <w:rFonts w:cs="Calibri"/>
          <w:color w:val="000000" w:themeColor="text1"/>
          <w:sz w:val="18"/>
          <w:szCs w:val="18"/>
        </w:rPr>
        <w:t xml:space="preserve"> 10% effective 20071108 based on 20080925 exam</w:t>
      </w:r>
      <w:r w:rsidR="004F565A" w:rsidRPr="00FC1C7F">
        <w:rPr>
          <w:rFonts w:cs="Calibri"/>
          <w:color w:val="000000" w:themeColor="text1"/>
          <w:sz w:val="18"/>
          <w:szCs w:val="18"/>
        </w:rPr>
        <w:t>, coded 5252</w:t>
      </w:r>
      <w:r w:rsidR="00DA10A9">
        <w:rPr>
          <w:rFonts w:cs="Calibri"/>
          <w:color w:val="000000" w:themeColor="text1"/>
          <w:sz w:val="18"/>
          <w:szCs w:val="18"/>
        </w:rPr>
        <w:t xml:space="preserve">.  </w:t>
      </w:r>
      <w:r w:rsidR="00C6294E" w:rsidRPr="00FC1C7F">
        <w:rPr>
          <w:rFonts w:cs="Calibri"/>
          <w:color w:val="000000" w:themeColor="text1"/>
          <w:sz w:val="18"/>
          <w:szCs w:val="18"/>
        </w:rPr>
        <w:t>**</w:t>
      </w:r>
      <w:proofErr w:type="gramStart"/>
      <w:r w:rsidR="00C6294E" w:rsidRPr="00FC1C7F">
        <w:rPr>
          <w:rFonts w:cs="Calibri"/>
          <w:color w:val="000000" w:themeColor="text1"/>
          <w:sz w:val="18"/>
          <w:szCs w:val="18"/>
        </w:rPr>
        <w:t>*</w:t>
      </w:r>
      <w:r w:rsidR="0025706F" w:rsidRPr="00FC1C7F">
        <w:rPr>
          <w:rFonts w:cs="Calibri"/>
          <w:color w:val="000000" w:themeColor="text1"/>
          <w:sz w:val="18"/>
          <w:szCs w:val="18"/>
        </w:rPr>
        <w:t xml:space="preserve">  </w:t>
      </w:r>
      <w:r w:rsidR="0017228B" w:rsidRPr="00FC1C7F">
        <w:rPr>
          <w:rFonts w:cs="Calibri"/>
          <w:color w:val="000000" w:themeColor="text1"/>
          <w:sz w:val="18"/>
          <w:szCs w:val="18"/>
        </w:rPr>
        <w:t>Rated</w:t>
      </w:r>
      <w:proofErr w:type="gramEnd"/>
      <w:r w:rsidR="0017228B" w:rsidRPr="00FC1C7F">
        <w:rPr>
          <w:rFonts w:cs="Calibri"/>
          <w:color w:val="000000" w:themeColor="text1"/>
          <w:sz w:val="18"/>
          <w:szCs w:val="18"/>
        </w:rPr>
        <w:t xml:space="preserve"> 0% effective 20050916 based on 20071012 exam; increased to 10% 20090326 based on 20090602 exam</w:t>
      </w:r>
      <w:r w:rsidR="004F565A" w:rsidRPr="00FC1C7F">
        <w:rPr>
          <w:rFonts w:cs="Calibri"/>
          <w:color w:val="000000" w:themeColor="text1"/>
          <w:sz w:val="18"/>
          <w:szCs w:val="18"/>
        </w:rPr>
        <w:t>, coded 5299-5257</w:t>
      </w:r>
      <w:r w:rsidR="00DA10A9">
        <w:rPr>
          <w:rFonts w:cs="Calibri"/>
          <w:color w:val="000000" w:themeColor="text1"/>
          <w:sz w:val="18"/>
          <w:szCs w:val="18"/>
        </w:rPr>
        <w:t xml:space="preserve">.  </w:t>
      </w:r>
      <w:r w:rsidR="0017228B" w:rsidRPr="00FC1C7F">
        <w:rPr>
          <w:rFonts w:cs="Calibri"/>
          <w:color w:val="000000" w:themeColor="text1"/>
          <w:sz w:val="18"/>
          <w:szCs w:val="18"/>
        </w:rPr>
        <w:t>****</w:t>
      </w:r>
      <w:r w:rsidR="00BE3521" w:rsidRPr="00FC1C7F">
        <w:rPr>
          <w:rFonts w:cs="Calibri"/>
          <w:color w:val="000000" w:themeColor="text1"/>
          <w:sz w:val="18"/>
          <w:szCs w:val="18"/>
        </w:rPr>
        <w:t xml:space="preserve"> </w:t>
      </w:r>
      <w:r w:rsidR="0017228B" w:rsidRPr="00FC1C7F">
        <w:rPr>
          <w:rFonts w:cs="Calibri"/>
          <w:color w:val="000000" w:themeColor="text1"/>
          <w:sz w:val="18"/>
          <w:szCs w:val="18"/>
        </w:rPr>
        <w:t xml:space="preserve">Rated 0% </w:t>
      </w:r>
      <w:r w:rsidR="00E0018F" w:rsidRPr="00FC1C7F">
        <w:rPr>
          <w:rFonts w:cs="Calibri"/>
          <w:color w:val="000000" w:themeColor="text1"/>
          <w:sz w:val="18"/>
          <w:szCs w:val="18"/>
        </w:rPr>
        <w:t>effective 20071108</w:t>
      </w:r>
      <w:r w:rsidR="0017228B" w:rsidRPr="00FC1C7F">
        <w:rPr>
          <w:rFonts w:cs="Calibri"/>
          <w:color w:val="000000" w:themeColor="text1"/>
          <w:sz w:val="18"/>
          <w:szCs w:val="18"/>
        </w:rPr>
        <w:t xml:space="preserve"> based on </w:t>
      </w:r>
      <w:r w:rsidR="00E0018F" w:rsidRPr="00FC1C7F">
        <w:rPr>
          <w:rFonts w:cs="Calibri"/>
          <w:color w:val="000000" w:themeColor="text1"/>
          <w:sz w:val="18"/>
          <w:szCs w:val="18"/>
        </w:rPr>
        <w:t xml:space="preserve">20080925 </w:t>
      </w:r>
      <w:proofErr w:type="gramStart"/>
      <w:r w:rsidR="0017228B" w:rsidRPr="00FC1C7F">
        <w:rPr>
          <w:rFonts w:cs="Calibri"/>
          <w:color w:val="000000" w:themeColor="text1"/>
          <w:sz w:val="18"/>
          <w:szCs w:val="18"/>
        </w:rPr>
        <w:t>exam</w:t>
      </w:r>
      <w:proofErr w:type="gramEnd"/>
      <w:r w:rsidR="0017228B" w:rsidRPr="00FC1C7F">
        <w:rPr>
          <w:rFonts w:cs="Calibri"/>
          <w:color w:val="000000" w:themeColor="text1"/>
          <w:sz w:val="18"/>
          <w:szCs w:val="18"/>
        </w:rPr>
        <w:t xml:space="preserve">; increased to </w:t>
      </w:r>
      <w:r w:rsidR="00E0018F" w:rsidRPr="00FC1C7F">
        <w:rPr>
          <w:rFonts w:cs="Calibri"/>
          <w:color w:val="000000" w:themeColor="text1"/>
          <w:sz w:val="18"/>
          <w:szCs w:val="18"/>
        </w:rPr>
        <w:t>10% 20090</w:t>
      </w:r>
      <w:r w:rsidR="0017228B" w:rsidRPr="00FC1C7F">
        <w:rPr>
          <w:rFonts w:cs="Calibri"/>
          <w:color w:val="000000" w:themeColor="text1"/>
          <w:sz w:val="18"/>
          <w:szCs w:val="18"/>
        </w:rPr>
        <w:t>6</w:t>
      </w:r>
      <w:r w:rsidR="00E0018F" w:rsidRPr="00FC1C7F">
        <w:rPr>
          <w:rFonts w:cs="Calibri"/>
          <w:color w:val="000000" w:themeColor="text1"/>
          <w:sz w:val="18"/>
          <w:szCs w:val="18"/>
        </w:rPr>
        <w:t>02</w:t>
      </w:r>
      <w:r w:rsidR="0017228B" w:rsidRPr="00FC1C7F">
        <w:rPr>
          <w:rFonts w:cs="Calibri"/>
          <w:color w:val="000000" w:themeColor="text1"/>
          <w:sz w:val="18"/>
          <w:szCs w:val="18"/>
        </w:rPr>
        <w:t xml:space="preserve"> based on 20090602 exam</w:t>
      </w:r>
      <w:r w:rsidR="004F565A" w:rsidRPr="00FC1C7F">
        <w:rPr>
          <w:rFonts w:cs="Calibri"/>
          <w:color w:val="000000" w:themeColor="text1"/>
          <w:sz w:val="18"/>
          <w:szCs w:val="18"/>
        </w:rPr>
        <w:t>, coded 5299-5257</w:t>
      </w:r>
      <w:r w:rsidR="00DA10A9">
        <w:rPr>
          <w:rFonts w:cs="Calibri"/>
          <w:color w:val="000000" w:themeColor="text1"/>
          <w:sz w:val="18"/>
          <w:szCs w:val="18"/>
        </w:rPr>
        <w:t xml:space="preserve">.  </w:t>
      </w:r>
    </w:p>
    <w:p w:rsidR="00621562" w:rsidRDefault="00621562" w:rsidP="00C6170B">
      <w:pPr>
        <w:rPr>
          <w:rFonts w:asciiTheme="minorHAnsi" w:hAnsiTheme="minorHAnsi"/>
          <w:color w:val="auto"/>
          <w:szCs w:val="24"/>
          <w:u w:val="single"/>
        </w:rPr>
      </w:pPr>
    </w:p>
    <w:p w:rsidR="0057019A" w:rsidRDefault="002C6E5B" w:rsidP="0057019A">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E0018F">
        <w:rPr>
          <w:rFonts w:asciiTheme="minorHAnsi" w:hAnsiTheme="minorHAnsi"/>
          <w:color w:val="auto"/>
          <w:szCs w:val="24"/>
        </w:rPr>
        <w:t xml:space="preserve">  </w:t>
      </w:r>
      <w:r w:rsidR="00C13219" w:rsidRPr="00C13219">
        <w:rPr>
          <w:rFonts w:asciiTheme="minorHAnsi" w:hAnsiTheme="minorHAnsi"/>
          <w:color w:val="auto"/>
          <w:szCs w:val="24"/>
        </w:rPr>
        <w:t>The PEB combined the</w:t>
      </w:r>
      <w:r w:rsidR="00C13219">
        <w:rPr>
          <w:rFonts w:asciiTheme="minorHAnsi" w:hAnsiTheme="minorHAnsi"/>
          <w:color w:val="auto"/>
          <w:szCs w:val="24"/>
        </w:rPr>
        <w:t xml:space="preserve"> chronic</w:t>
      </w:r>
      <w:r w:rsidR="00C13219" w:rsidRPr="00C13219">
        <w:rPr>
          <w:rFonts w:asciiTheme="minorHAnsi" w:hAnsiTheme="minorHAnsi"/>
          <w:color w:val="auto"/>
          <w:szCs w:val="24"/>
        </w:rPr>
        <w:t xml:space="preserve"> </w:t>
      </w:r>
      <w:r w:rsidR="00C13219">
        <w:rPr>
          <w:rFonts w:asciiTheme="minorHAnsi" w:hAnsiTheme="minorHAnsi"/>
          <w:color w:val="auto"/>
          <w:szCs w:val="24"/>
        </w:rPr>
        <w:t xml:space="preserve">bilateral hip and </w:t>
      </w:r>
      <w:r w:rsidR="005B17E2">
        <w:rPr>
          <w:rFonts w:asciiTheme="minorHAnsi" w:hAnsiTheme="minorHAnsi"/>
          <w:color w:val="auto"/>
          <w:szCs w:val="24"/>
        </w:rPr>
        <w:t xml:space="preserve">bilateral </w:t>
      </w:r>
      <w:r w:rsidR="00C13219">
        <w:rPr>
          <w:rFonts w:asciiTheme="minorHAnsi" w:hAnsiTheme="minorHAnsi"/>
          <w:color w:val="auto"/>
          <w:szCs w:val="24"/>
        </w:rPr>
        <w:t xml:space="preserve">knee pain </w:t>
      </w:r>
      <w:r w:rsidR="00C13219" w:rsidRPr="00C13219">
        <w:rPr>
          <w:rFonts w:asciiTheme="minorHAnsi" w:hAnsiTheme="minorHAnsi"/>
          <w:color w:val="auto"/>
          <w:szCs w:val="24"/>
        </w:rPr>
        <w:t>as a single unfitting condition, coded ana</w:t>
      </w:r>
      <w:r w:rsidR="005B17E2">
        <w:rPr>
          <w:rFonts w:asciiTheme="minorHAnsi" w:hAnsiTheme="minorHAnsi"/>
          <w:color w:val="auto"/>
          <w:szCs w:val="24"/>
        </w:rPr>
        <w:t xml:space="preserve">logously to 5003 and rated 0%.  While a 0% rating from the </w:t>
      </w:r>
      <w:r w:rsidR="00C41000">
        <w:rPr>
          <w:rFonts w:asciiTheme="minorHAnsi" w:hAnsiTheme="minorHAnsi"/>
          <w:color w:val="auto"/>
          <w:szCs w:val="24"/>
        </w:rPr>
        <w:t>Department of Veterans’ Affairs (D</w:t>
      </w:r>
      <w:r w:rsidR="005B17E2">
        <w:rPr>
          <w:rFonts w:asciiTheme="minorHAnsi" w:hAnsiTheme="minorHAnsi"/>
          <w:color w:val="auto"/>
          <w:szCs w:val="24"/>
        </w:rPr>
        <w:t>VA</w:t>
      </w:r>
      <w:r w:rsidR="00C41000">
        <w:rPr>
          <w:rFonts w:asciiTheme="minorHAnsi" w:hAnsiTheme="minorHAnsi"/>
          <w:color w:val="auto"/>
          <w:szCs w:val="24"/>
        </w:rPr>
        <w:t>)</w:t>
      </w:r>
      <w:r w:rsidR="005B17E2">
        <w:rPr>
          <w:rFonts w:asciiTheme="minorHAnsi" w:hAnsiTheme="minorHAnsi"/>
          <w:color w:val="auto"/>
          <w:szCs w:val="24"/>
        </w:rPr>
        <w:t xml:space="preserve"> is non-compensable, a 0% rating in the DES results in disability severance pay that is the same for combined ratings less than 30%.  </w:t>
      </w:r>
      <w:r w:rsidR="00C43FDE" w:rsidRPr="00C43FDE">
        <w:rPr>
          <w:rFonts w:asciiTheme="minorHAnsi" w:hAnsiTheme="minorHAnsi"/>
          <w:color w:val="auto"/>
          <w:szCs w:val="24"/>
        </w:rPr>
        <w:t>The PEB may have relied on AR 635.40 (B.24 f.) and/or the USAPDA pain policy for not applying separately compensable VASRD codes.</w:t>
      </w:r>
      <w:r w:rsidR="0057019A">
        <w:rPr>
          <w:rFonts w:asciiTheme="minorHAnsi" w:hAnsiTheme="minorHAnsi"/>
          <w:color w:val="auto"/>
          <w:szCs w:val="24"/>
        </w:rPr>
        <w:t xml:space="preserve">  </w:t>
      </w:r>
      <w:r w:rsidR="00C43FDE" w:rsidRPr="00C43FDE">
        <w:rPr>
          <w:rFonts w:asciiTheme="minorHAnsi" w:hAnsiTheme="minorHAnsi"/>
          <w:color w:val="auto"/>
          <w:szCs w:val="24"/>
        </w:rPr>
        <w:t xml:space="preserve">The Board must apply separate codes and ratings in its </w:t>
      </w:r>
      <w:r w:rsidR="00C43FDE" w:rsidRPr="00C43FDE">
        <w:rPr>
          <w:rFonts w:asciiTheme="minorHAnsi" w:hAnsiTheme="minorHAnsi"/>
          <w:color w:val="auto"/>
          <w:szCs w:val="24"/>
        </w:rPr>
        <w:lastRenderedPageBreak/>
        <w:t>recommendations if</w:t>
      </w:r>
      <w:r w:rsidR="0057019A">
        <w:rPr>
          <w:rFonts w:asciiTheme="minorHAnsi" w:hAnsiTheme="minorHAnsi"/>
          <w:color w:val="auto"/>
          <w:szCs w:val="24"/>
        </w:rPr>
        <w:t xml:space="preserve"> </w:t>
      </w:r>
      <w:r w:rsidR="00C43FDE" w:rsidRPr="00C43FDE">
        <w:rPr>
          <w:rFonts w:asciiTheme="minorHAnsi" w:hAnsiTheme="minorHAnsi"/>
          <w:color w:val="auto"/>
          <w:szCs w:val="24"/>
        </w:rPr>
        <w:t>compensable ratings for each condition are achieved IAW VASRD §4.71a.</w:t>
      </w:r>
      <w:r w:rsidR="0057019A">
        <w:rPr>
          <w:rFonts w:asciiTheme="minorHAnsi" w:hAnsiTheme="minorHAnsi"/>
          <w:color w:val="auto"/>
          <w:szCs w:val="24"/>
        </w:rPr>
        <w:t xml:space="preserve">  </w:t>
      </w:r>
      <w:r w:rsidR="00C43FDE" w:rsidRPr="00C43FDE">
        <w:rPr>
          <w:rFonts w:asciiTheme="minorHAnsi" w:hAnsiTheme="minorHAnsi"/>
          <w:color w:val="auto"/>
          <w:szCs w:val="24"/>
        </w:rPr>
        <w:t>If the Board judges that two or more separate ratings are warranted in such cases</w:t>
      </w:r>
      <w:r w:rsidR="00C8794F">
        <w:rPr>
          <w:rFonts w:asciiTheme="minorHAnsi" w:hAnsiTheme="minorHAnsi"/>
          <w:color w:val="auto"/>
          <w:szCs w:val="24"/>
        </w:rPr>
        <w:t>;</w:t>
      </w:r>
      <w:r w:rsidR="00C43FDE" w:rsidRPr="00C43FDE">
        <w:rPr>
          <w:rFonts w:asciiTheme="minorHAnsi" w:hAnsiTheme="minorHAnsi"/>
          <w:color w:val="auto"/>
          <w:szCs w:val="24"/>
        </w:rPr>
        <w:t xml:space="preserve"> however, it must satisfy the requirement that each </w:t>
      </w:r>
      <w:r w:rsidR="00C41000">
        <w:rPr>
          <w:rFonts w:asciiTheme="minorHAnsi" w:hAnsiTheme="minorHAnsi"/>
          <w:color w:val="auto"/>
          <w:szCs w:val="24"/>
        </w:rPr>
        <w:t>“unbundled”</w:t>
      </w:r>
      <w:r w:rsidR="00C43FDE" w:rsidRPr="00C43FDE">
        <w:rPr>
          <w:rFonts w:asciiTheme="minorHAnsi" w:hAnsiTheme="minorHAnsi"/>
          <w:color w:val="auto"/>
          <w:szCs w:val="24"/>
        </w:rPr>
        <w:t xml:space="preserve"> condition was unfitting in and of itself. </w:t>
      </w:r>
      <w:r w:rsidR="0057019A">
        <w:rPr>
          <w:rFonts w:asciiTheme="minorHAnsi" w:hAnsiTheme="minorHAnsi"/>
          <w:color w:val="auto"/>
          <w:szCs w:val="24"/>
        </w:rPr>
        <w:t xml:space="preserve"> </w:t>
      </w:r>
      <w:r w:rsidR="00C43FDE" w:rsidRPr="00C43FDE">
        <w:rPr>
          <w:rFonts w:asciiTheme="minorHAnsi" w:hAnsiTheme="minorHAnsi"/>
          <w:color w:val="auto"/>
          <w:szCs w:val="24"/>
        </w:rPr>
        <w:t>Not uncommonly this approach by the PEB reflects its judgment that the constellation of conditions was unfitting, and that there was no need for separate fitness adjudications, not a judgment that each</w:t>
      </w:r>
      <w:r w:rsidR="0057019A">
        <w:rPr>
          <w:rFonts w:asciiTheme="minorHAnsi" w:hAnsiTheme="minorHAnsi"/>
          <w:color w:val="auto"/>
          <w:szCs w:val="24"/>
        </w:rPr>
        <w:t xml:space="preserve"> </w:t>
      </w:r>
      <w:r w:rsidR="00C43FDE" w:rsidRPr="00C43FDE">
        <w:rPr>
          <w:rFonts w:asciiTheme="minorHAnsi" w:hAnsiTheme="minorHAnsi"/>
          <w:color w:val="auto"/>
          <w:szCs w:val="24"/>
        </w:rPr>
        <w:t>condition was independently unfitting.</w:t>
      </w:r>
      <w:r w:rsidR="00647F30">
        <w:rPr>
          <w:rFonts w:asciiTheme="minorHAnsi" w:hAnsiTheme="minorHAnsi"/>
          <w:color w:val="auto"/>
          <w:szCs w:val="24"/>
        </w:rPr>
        <w:t xml:space="preserve"> </w:t>
      </w:r>
      <w:r w:rsidR="00C43FDE" w:rsidRPr="00C43FDE">
        <w:rPr>
          <w:rFonts w:asciiTheme="minorHAnsi" w:hAnsiTheme="minorHAnsi"/>
          <w:color w:val="auto"/>
          <w:szCs w:val="24"/>
        </w:rPr>
        <w:t xml:space="preserve"> Thus</w:t>
      </w:r>
      <w:r w:rsidR="00C8794F">
        <w:rPr>
          <w:rFonts w:asciiTheme="minorHAnsi" w:hAnsiTheme="minorHAnsi"/>
          <w:color w:val="auto"/>
          <w:szCs w:val="24"/>
        </w:rPr>
        <w:t>,</w:t>
      </w:r>
      <w:r w:rsidR="00C43FDE" w:rsidRPr="00C43FDE">
        <w:rPr>
          <w:rFonts w:asciiTheme="minorHAnsi" w:hAnsiTheme="minorHAnsi"/>
          <w:color w:val="auto"/>
          <w:szCs w:val="24"/>
        </w:rPr>
        <w:t xml:space="preserve"> the Board must exercise the prerogative of</w:t>
      </w:r>
      <w:r w:rsidR="0057019A">
        <w:rPr>
          <w:rFonts w:asciiTheme="minorHAnsi" w:hAnsiTheme="minorHAnsi"/>
          <w:color w:val="auto"/>
          <w:szCs w:val="24"/>
        </w:rPr>
        <w:t xml:space="preserve"> </w:t>
      </w:r>
      <w:r w:rsidR="00C43FDE" w:rsidRPr="00C43FDE">
        <w:rPr>
          <w:rFonts w:asciiTheme="minorHAnsi" w:hAnsiTheme="minorHAnsi"/>
          <w:color w:val="auto"/>
          <w:szCs w:val="24"/>
        </w:rPr>
        <w:t>separate fitness recommendations in this circumstance, with the caveat that its</w:t>
      </w:r>
      <w:r w:rsidR="0057019A">
        <w:rPr>
          <w:rFonts w:asciiTheme="minorHAnsi" w:hAnsiTheme="minorHAnsi"/>
          <w:color w:val="auto"/>
          <w:szCs w:val="24"/>
        </w:rPr>
        <w:t xml:space="preserve"> </w:t>
      </w:r>
      <w:r w:rsidR="00C43FDE" w:rsidRPr="00C43FDE">
        <w:rPr>
          <w:rFonts w:asciiTheme="minorHAnsi" w:hAnsiTheme="minorHAnsi"/>
          <w:color w:val="auto"/>
          <w:szCs w:val="24"/>
        </w:rPr>
        <w:t>recommendations may not produce a lower combined rating than that of the PEB.</w:t>
      </w:r>
      <w:r w:rsidR="0057019A">
        <w:rPr>
          <w:rFonts w:asciiTheme="minorHAnsi" w:hAnsiTheme="minorHAnsi"/>
          <w:color w:val="auto"/>
          <w:szCs w:val="24"/>
        </w:rPr>
        <w:t xml:space="preserve"> </w:t>
      </w:r>
      <w:r w:rsidR="00647F30">
        <w:rPr>
          <w:rFonts w:asciiTheme="minorHAnsi" w:hAnsiTheme="minorHAnsi"/>
          <w:color w:val="auto"/>
          <w:szCs w:val="24"/>
        </w:rPr>
        <w:t xml:space="preserve"> </w:t>
      </w:r>
      <w:r w:rsidR="0057019A">
        <w:rPr>
          <w:rFonts w:asciiTheme="minorHAnsi" w:hAnsiTheme="minorHAnsi"/>
          <w:color w:val="auto"/>
          <w:szCs w:val="24"/>
        </w:rPr>
        <w:t xml:space="preserve">The Board typically will review both the PEB and VA exams proximate to separation in making its recommendation.  In this case, the initial VA </w:t>
      </w:r>
      <w:r w:rsidR="00C41000">
        <w:rPr>
          <w:rFonts w:asciiTheme="minorHAnsi" w:hAnsiTheme="minorHAnsi"/>
          <w:color w:val="auto"/>
          <w:szCs w:val="24"/>
        </w:rPr>
        <w:t>C</w:t>
      </w:r>
      <w:r w:rsidR="0057019A">
        <w:rPr>
          <w:rFonts w:asciiTheme="minorHAnsi" w:hAnsiTheme="minorHAnsi"/>
          <w:color w:val="auto"/>
          <w:szCs w:val="24"/>
        </w:rPr>
        <w:t xml:space="preserve">ompensation and </w:t>
      </w:r>
      <w:r w:rsidR="00C41000">
        <w:rPr>
          <w:rFonts w:asciiTheme="minorHAnsi" w:hAnsiTheme="minorHAnsi"/>
          <w:color w:val="auto"/>
          <w:szCs w:val="24"/>
        </w:rPr>
        <w:t>P</w:t>
      </w:r>
      <w:r w:rsidR="0057019A">
        <w:rPr>
          <w:rFonts w:asciiTheme="minorHAnsi" w:hAnsiTheme="minorHAnsi"/>
          <w:color w:val="auto"/>
          <w:szCs w:val="24"/>
        </w:rPr>
        <w:t xml:space="preserve">ension (C&amp;P) examination was over three years after separation and, consequently, the probative value of the initial and subsequent VA C&amp;P exams is significantly reduced.  </w:t>
      </w:r>
    </w:p>
    <w:p w:rsidR="00392BB4" w:rsidRDefault="00392BB4" w:rsidP="00E0018F">
      <w:pPr>
        <w:spacing w:line="240" w:lineRule="exact"/>
        <w:rPr>
          <w:rFonts w:asciiTheme="minorHAnsi" w:hAnsiTheme="minorHAnsi"/>
          <w:color w:val="auto"/>
          <w:szCs w:val="24"/>
        </w:rPr>
      </w:pPr>
    </w:p>
    <w:p w:rsidR="00E8092F" w:rsidRDefault="00470D39" w:rsidP="00993E29">
      <w:pPr>
        <w:spacing w:line="240" w:lineRule="exact"/>
        <w:jc w:val="both"/>
        <w:rPr>
          <w:rFonts w:asciiTheme="minorHAnsi" w:hAnsiTheme="minorHAnsi"/>
          <w:color w:val="auto"/>
          <w:szCs w:val="24"/>
        </w:rPr>
      </w:pPr>
      <w:r w:rsidRPr="00470D39">
        <w:rPr>
          <w:rFonts w:asciiTheme="minorHAnsi" w:hAnsiTheme="minorHAnsi"/>
          <w:color w:val="auto"/>
          <w:szCs w:val="24"/>
          <w:u w:val="single"/>
        </w:rPr>
        <w:t>Unfitting Conditions</w:t>
      </w:r>
      <w:r w:rsidR="00496F6D">
        <w:rPr>
          <w:rFonts w:asciiTheme="minorHAnsi" w:hAnsiTheme="minorHAnsi"/>
          <w:color w:val="auto"/>
          <w:szCs w:val="24"/>
          <w:u w:val="single"/>
        </w:rPr>
        <w:t xml:space="preserve">: Bilateral </w:t>
      </w:r>
      <w:r w:rsidR="0057019A">
        <w:rPr>
          <w:rFonts w:asciiTheme="minorHAnsi" w:hAnsiTheme="minorHAnsi"/>
          <w:color w:val="auto"/>
          <w:szCs w:val="24"/>
          <w:u w:val="single"/>
        </w:rPr>
        <w:t>K</w:t>
      </w:r>
      <w:r w:rsidR="00496F6D">
        <w:rPr>
          <w:rFonts w:asciiTheme="minorHAnsi" w:hAnsiTheme="minorHAnsi"/>
          <w:color w:val="auto"/>
          <w:szCs w:val="24"/>
          <w:u w:val="single"/>
        </w:rPr>
        <w:t xml:space="preserve">nee and </w:t>
      </w:r>
      <w:r w:rsidR="0057019A">
        <w:rPr>
          <w:rFonts w:asciiTheme="minorHAnsi" w:hAnsiTheme="minorHAnsi"/>
          <w:color w:val="auto"/>
          <w:szCs w:val="24"/>
          <w:u w:val="single"/>
        </w:rPr>
        <w:t>H</w:t>
      </w:r>
      <w:r w:rsidR="00496F6D">
        <w:rPr>
          <w:rFonts w:asciiTheme="minorHAnsi" w:hAnsiTheme="minorHAnsi"/>
          <w:color w:val="auto"/>
          <w:szCs w:val="24"/>
          <w:u w:val="single"/>
        </w:rPr>
        <w:t xml:space="preserve">ip </w:t>
      </w:r>
      <w:r w:rsidR="0057019A">
        <w:rPr>
          <w:rFonts w:asciiTheme="minorHAnsi" w:hAnsiTheme="minorHAnsi"/>
          <w:color w:val="auto"/>
          <w:szCs w:val="24"/>
          <w:u w:val="single"/>
        </w:rPr>
        <w:t>P</w:t>
      </w:r>
      <w:r w:rsidR="00496F6D">
        <w:rPr>
          <w:rFonts w:asciiTheme="minorHAnsi" w:hAnsiTheme="minorHAnsi"/>
          <w:color w:val="auto"/>
          <w:szCs w:val="24"/>
          <w:u w:val="single"/>
        </w:rPr>
        <w:t>ain</w:t>
      </w:r>
      <w:r>
        <w:rPr>
          <w:rFonts w:asciiTheme="minorHAnsi" w:hAnsiTheme="minorHAnsi"/>
          <w:color w:val="auto"/>
          <w:szCs w:val="24"/>
        </w:rPr>
        <w:t xml:space="preserve">:  </w:t>
      </w:r>
      <w:r w:rsidR="00496F6D">
        <w:rPr>
          <w:rFonts w:asciiTheme="minorHAnsi" w:hAnsiTheme="minorHAnsi"/>
          <w:color w:val="auto"/>
          <w:szCs w:val="24"/>
        </w:rPr>
        <w:t xml:space="preserve">Each condition will be discussed separately after the common history.  </w:t>
      </w:r>
      <w:r>
        <w:rPr>
          <w:rFonts w:asciiTheme="minorHAnsi" w:hAnsiTheme="minorHAnsi"/>
          <w:color w:val="auto"/>
          <w:szCs w:val="24"/>
        </w:rPr>
        <w:t>The CI first complained of left knee pain while in basic training</w:t>
      </w:r>
      <w:r w:rsidR="00392BB4">
        <w:rPr>
          <w:rFonts w:asciiTheme="minorHAnsi" w:hAnsiTheme="minorHAnsi"/>
          <w:color w:val="auto"/>
          <w:szCs w:val="24"/>
        </w:rPr>
        <w:t xml:space="preserve"> without specific injury</w:t>
      </w:r>
      <w:r w:rsidR="00511A1C">
        <w:rPr>
          <w:rFonts w:asciiTheme="minorHAnsi" w:hAnsiTheme="minorHAnsi"/>
          <w:color w:val="auto"/>
          <w:szCs w:val="24"/>
        </w:rPr>
        <w:t xml:space="preserve">, but </w:t>
      </w:r>
      <w:r>
        <w:rPr>
          <w:rFonts w:asciiTheme="minorHAnsi" w:hAnsiTheme="minorHAnsi"/>
          <w:color w:val="auto"/>
          <w:szCs w:val="24"/>
        </w:rPr>
        <w:t>was able to complete basic training.  Subsequently,</w:t>
      </w:r>
      <w:r w:rsidR="00FC1C7F">
        <w:rPr>
          <w:rFonts w:asciiTheme="minorHAnsi" w:hAnsiTheme="minorHAnsi"/>
          <w:color w:val="auto"/>
          <w:szCs w:val="24"/>
        </w:rPr>
        <w:t xml:space="preserve"> </w:t>
      </w:r>
      <w:r>
        <w:rPr>
          <w:rFonts w:asciiTheme="minorHAnsi" w:hAnsiTheme="minorHAnsi"/>
          <w:color w:val="auto"/>
          <w:szCs w:val="24"/>
        </w:rPr>
        <w:t xml:space="preserve">she was placed on a profile </w:t>
      </w:r>
      <w:r w:rsidR="00113D56">
        <w:rPr>
          <w:rFonts w:asciiTheme="minorHAnsi" w:hAnsiTheme="minorHAnsi"/>
          <w:color w:val="auto"/>
          <w:szCs w:val="24"/>
        </w:rPr>
        <w:t xml:space="preserve">which </w:t>
      </w:r>
      <w:r>
        <w:rPr>
          <w:rFonts w:asciiTheme="minorHAnsi" w:hAnsiTheme="minorHAnsi"/>
          <w:color w:val="auto"/>
          <w:szCs w:val="24"/>
        </w:rPr>
        <w:t>restr</w:t>
      </w:r>
      <w:r w:rsidR="005173F1">
        <w:rPr>
          <w:rFonts w:asciiTheme="minorHAnsi" w:hAnsiTheme="minorHAnsi"/>
          <w:color w:val="auto"/>
          <w:szCs w:val="24"/>
        </w:rPr>
        <w:t>ict</w:t>
      </w:r>
      <w:r w:rsidR="00113D56">
        <w:rPr>
          <w:rFonts w:asciiTheme="minorHAnsi" w:hAnsiTheme="minorHAnsi"/>
          <w:color w:val="auto"/>
          <w:szCs w:val="24"/>
        </w:rPr>
        <w:t>ed</w:t>
      </w:r>
      <w:r w:rsidR="005173F1">
        <w:rPr>
          <w:rFonts w:asciiTheme="minorHAnsi" w:hAnsiTheme="minorHAnsi"/>
          <w:color w:val="auto"/>
          <w:szCs w:val="24"/>
        </w:rPr>
        <w:t xml:space="preserve"> her from running in forma</w:t>
      </w:r>
      <w:r>
        <w:rPr>
          <w:rFonts w:asciiTheme="minorHAnsi" w:hAnsiTheme="minorHAnsi"/>
          <w:color w:val="auto"/>
          <w:szCs w:val="24"/>
        </w:rPr>
        <w:t>tion, marching and jumping</w:t>
      </w:r>
      <w:r w:rsidR="00FC1C7F">
        <w:rPr>
          <w:rFonts w:asciiTheme="minorHAnsi" w:hAnsiTheme="minorHAnsi"/>
          <w:color w:val="auto"/>
          <w:szCs w:val="24"/>
        </w:rPr>
        <w:t>, however s</w:t>
      </w:r>
      <w:r w:rsidR="007B1ADF">
        <w:rPr>
          <w:rFonts w:asciiTheme="minorHAnsi" w:hAnsiTheme="minorHAnsi"/>
          <w:color w:val="auto"/>
          <w:szCs w:val="24"/>
        </w:rPr>
        <w:t>he was able to deploy to Iraq</w:t>
      </w:r>
      <w:r>
        <w:rPr>
          <w:rFonts w:asciiTheme="minorHAnsi" w:hAnsiTheme="minorHAnsi"/>
          <w:color w:val="auto"/>
          <w:szCs w:val="24"/>
        </w:rPr>
        <w:t>.</w:t>
      </w:r>
      <w:r w:rsidR="007B1ADF">
        <w:rPr>
          <w:rFonts w:asciiTheme="minorHAnsi" w:hAnsiTheme="minorHAnsi"/>
          <w:color w:val="auto"/>
          <w:szCs w:val="24"/>
        </w:rPr>
        <w:t xml:space="preserve">  </w:t>
      </w:r>
      <w:r w:rsidR="0057019A">
        <w:rPr>
          <w:rFonts w:asciiTheme="minorHAnsi" w:hAnsiTheme="minorHAnsi"/>
          <w:color w:val="auto"/>
          <w:szCs w:val="24"/>
        </w:rPr>
        <w:t xml:space="preserve">In April 2003, while deployed, a generator fell on the CI’s right thigh and knee.  There is no record of medical treatment at the time of injury and she was able to continue her duties and remain in theater (returned June 2003).  She sought care for right knee pain following return from deployment.  </w:t>
      </w:r>
      <w:r w:rsidR="00496F6D">
        <w:rPr>
          <w:rFonts w:asciiTheme="minorHAnsi" w:hAnsiTheme="minorHAnsi"/>
          <w:color w:val="auto"/>
          <w:szCs w:val="24"/>
        </w:rPr>
        <w:t>Later, she</w:t>
      </w:r>
      <w:r w:rsidR="007B1ADF">
        <w:rPr>
          <w:rFonts w:asciiTheme="minorHAnsi" w:hAnsiTheme="minorHAnsi"/>
          <w:color w:val="auto"/>
          <w:szCs w:val="24"/>
        </w:rPr>
        <w:t xml:space="preserve"> developed bilateral hip pain</w:t>
      </w:r>
      <w:r w:rsidR="00DD0FAC">
        <w:rPr>
          <w:rFonts w:asciiTheme="minorHAnsi" w:hAnsiTheme="minorHAnsi"/>
          <w:color w:val="auto"/>
          <w:szCs w:val="24"/>
        </w:rPr>
        <w:t xml:space="preserve">. </w:t>
      </w:r>
      <w:r w:rsidR="005173F1">
        <w:rPr>
          <w:rFonts w:asciiTheme="minorHAnsi" w:hAnsiTheme="minorHAnsi"/>
          <w:color w:val="auto"/>
          <w:szCs w:val="24"/>
        </w:rPr>
        <w:t xml:space="preserve"> At a physical therapy </w:t>
      </w:r>
      <w:r w:rsidR="00263F41">
        <w:rPr>
          <w:rFonts w:asciiTheme="minorHAnsi" w:hAnsiTheme="minorHAnsi"/>
          <w:color w:val="auto"/>
          <w:szCs w:val="24"/>
        </w:rPr>
        <w:t xml:space="preserve">(PT) </w:t>
      </w:r>
      <w:r w:rsidR="005173F1">
        <w:rPr>
          <w:rFonts w:asciiTheme="minorHAnsi" w:hAnsiTheme="minorHAnsi"/>
          <w:color w:val="auto"/>
          <w:szCs w:val="24"/>
        </w:rPr>
        <w:t xml:space="preserve">evaluation five months prior to separation, she was </w:t>
      </w:r>
      <w:r w:rsidR="00874378">
        <w:rPr>
          <w:rFonts w:asciiTheme="minorHAnsi" w:hAnsiTheme="minorHAnsi"/>
          <w:color w:val="auto"/>
          <w:szCs w:val="24"/>
        </w:rPr>
        <w:t>diagnosed with “</w:t>
      </w:r>
      <w:r w:rsidR="005173F1">
        <w:rPr>
          <w:rFonts w:asciiTheme="minorHAnsi" w:hAnsiTheme="minorHAnsi"/>
          <w:color w:val="auto"/>
          <w:szCs w:val="24"/>
        </w:rPr>
        <w:t>chronic pain of the knees and hips without apparent pathology</w:t>
      </w:r>
      <w:r w:rsidR="00C41000">
        <w:rPr>
          <w:rFonts w:asciiTheme="minorHAnsi" w:hAnsiTheme="minorHAnsi"/>
          <w:color w:val="auto"/>
          <w:szCs w:val="24"/>
        </w:rPr>
        <w:t>.</w:t>
      </w:r>
      <w:r w:rsidR="00874378">
        <w:rPr>
          <w:rFonts w:asciiTheme="minorHAnsi" w:hAnsiTheme="minorHAnsi"/>
          <w:color w:val="auto"/>
          <w:szCs w:val="24"/>
        </w:rPr>
        <w:t xml:space="preserve">”  On exam, </w:t>
      </w:r>
      <w:proofErr w:type="spellStart"/>
      <w:r w:rsidR="00B04894">
        <w:rPr>
          <w:rFonts w:asciiTheme="minorHAnsi" w:hAnsiTheme="minorHAnsi"/>
          <w:color w:val="auto"/>
          <w:szCs w:val="24"/>
        </w:rPr>
        <w:t>genu</w:t>
      </w:r>
      <w:proofErr w:type="spellEnd"/>
      <w:r w:rsidR="00B04894">
        <w:rPr>
          <w:rFonts w:asciiTheme="minorHAnsi" w:hAnsiTheme="minorHAnsi"/>
          <w:color w:val="auto"/>
          <w:szCs w:val="24"/>
        </w:rPr>
        <w:t xml:space="preserve"> </w:t>
      </w:r>
      <w:proofErr w:type="spellStart"/>
      <w:r w:rsidR="00B04894">
        <w:rPr>
          <w:rFonts w:asciiTheme="minorHAnsi" w:hAnsiTheme="minorHAnsi"/>
          <w:color w:val="auto"/>
          <w:szCs w:val="24"/>
        </w:rPr>
        <w:t>recurvatum</w:t>
      </w:r>
      <w:proofErr w:type="spellEnd"/>
      <w:r w:rsidR="00392BB4">
        <w:rPr>
          <w:rFonts w:asciiTheme="minorHAnsi" w:hAnsiTheme="minorHAnsi"/>
          <w:color w:val="auto"/>
          <w:szCs w:val="24"/>
        </w:rPr>
        <w:t xml:space="preserve"> (a developmental condition of hyperextension of the knees)</w:t>
      </w:r>
      <w:r w:rsidR="00B04894">
        <w:rPr>
          <w:rFonts w:asciiTheme="minorHAnsi" w:hAnsiTheme="minorHAnsi"/>
          <w:color w:val="auto"/>
          <w:szCs w:val="24"/>
        </w:rPr>
        <w:t xml:space="preserve">, a </w:t>
      </w:r>
      <w:proofErr w:type="spellStart"/>
      <w:r w:rsidR="00B04894">
        <w:rPr>
          <w:rFonts w:asciiTheme="minorHAnsi" w:hAnsiTheme="minorHAnsi"/>
          <w:color w:val="auto"/>
          <w:szCs w:val="24"/>
        </w:rPr>
        <w:t>pronated</w:t>
      </w:r>
      <w:proofErr w:type="spellEnd"/>
      <w:r w:rsidR="00B04894">
        <w:rPr>
          <w:rFonts w:asciiTheme="minorHAnsi" w:hAnsiTheme="minorHAnsi"/>
          <w:color w:val="auto"/>
          <w:szCs w:val="24"/>
        </w:rPr>
        <w:t xml:space="preserve"> gait and bilateral femoral neck retroversion </w:t>
      </w:r>
      <w:r w:rsidR="00392BB4">
        <w:rPr>
          <w:rFonts w:asciiTheme="minorHAnsi" w:hAnsiTheme="minorHAnsi"/>
          <w:color w:val="auto"/>
          <w:szCs w:val="24"/>
        </w:rPr>
        <w:t>(</w:t>
      </w:r>
      <w:r w:rsidR="00A77B73">
        <w:rPr>
          <w:rFonts w:asciiTheme="minorHAnsi" w:hAnsiTheme="minorHAnsi"/>
          <w:color w:val="auto"/>
          <w:szCs w:val="24"/>
        </w:rPr>
        <w:t xml:space="preserve">a </w:t>
      </w:r>
      <w:r w:rsidR="00392BB4">
        <w:rPr>
          <w:rFonts w:asciiTheme="minorHAnsi" w:hAnsiTheme="minorHAnsi"/>
          <w:color w:val="auto"/>
          <w:szCs w:val="24"/>
        </w:rPr>
        <w:t>developme</w:t>
      </w:r>
      <w:r w:rsidR="00C8794F">
        <w:rPr>
          <w:rFonts w:asciiTheme="minorHAnsi" w:hAnsiTheme="minorHAnsi"/>
          <w:color w:val="auto"/>
          <w:szCs w:val="24"/>
        </w:rPr>
        <w:t>ntal condition) were documented</w:t>
      </w:r>
      <w:r w:rsidR="00AA4012">
        <w:rPr>
          <w:rFonts w:asciiTheme="minorHAnsi" w:hAnsiTheme="minorHAnsi"/>
          <w:color w:val="auto"/>
          <w:szCs w:val="24"/>
        </w:rPr>
        <w:t xml:space="preserve"> </w:t>
      </w:r>
      <w:r w:rsidR="00231694">
        <w:rPr>
          <w:rFonts w:asciiTheme="minorHAnsi" w:hAnsiTheme="minorHAnsi"/>
          <w:color w:val="auto"/>
          <w:szCs w:val="24"/>
        </w:rPr>
        <w:t>(femoral retrovers</w:t>
      </w:r>
      <w:r w:rsidR="00BE2888">
        <w:rPr>
          <w:rFonts w:asciiTheme="minorHAnsi" w:hAnsiTheme="minorHAnsi"/>
          <w:color w:val="auto"/>
          <w:szCs w:val="24"/>
        </w:rPr>
        <w:t>i</w:t>
      </w:r>
      <w:r w:rsidR="00231694">
        <w:rPr>
          <w:rFonts w:asciiTheme="minorHAnsi" w:hAnsiTheme="minorHAnsi"/>
          <w:color w:val="auto"/>
          <w:szCs w:val="24"/>
        </w:rPr>
        <w:t xml:space="preserve">on was also shown on X-rays and noted by orthopedic surgery).  </w:t>
      </w:r>
      <w:r w:rsidR="00AA4012">
        <w:rPr>
          <w:rFonts w:asciiTheme="minorHAnsi" w:hAnsiTheme="minorHAnsi"/>
          <w:color w:val="auto"/>
          <w:szCs w:val="24"/>
        </w:rPr>
        <w:t>A left F</w:t>
      </w:r>
      <w:r w:rsidR="00E8092F">
        <w:rPr>
          <w:rFonts w:asciiTheme="minorHAnsi" w:hAnsiTheme="minorHAnsi"/>
          <w:color w:val="auto"/>
          <w:szCs w:val="24"/>
        </w:rPr>
        <w:t xml:space="preserve">ABER </w:t>
      </w:r>
      <w:r w:rsidR="00AA4012">
        <w:rPr>
          <w:rFonts w:asciiTheme="minorHAnsi" w:hAnsiTheme="minorHAnsi"/>
          <w:color w:val="auto"/>
          <w:szCs w:val="24"/>
        </w:rPr>
        <w:t xml:space="preserve">was positive </w:t>
      </w:r>
      <w:r w:rsidR="00E8092F">
        <w:rPr>
          <w:rFonts w:asciiTheme="minorHAnsi" w:hAnsiTheme="minorHAnsi"/>
          <w:color w:val="auto"/>
          <w:szCs w:val="24"/>
        </w:rPr>
        <w:t xml:space="preserve">and there was buttock pain with stress on the </w:t>
      </w:r>
      <w:proofErr w:type="spellStart"/>
      <w:r w:rsidR="00E8092F">
        <w:rPr>
          <w:rFonts w:asciiTheme="minorHAnsi" w:hAnsiTheme="minorHAnsi"/>
          <w:color w:val="auto"/>
          <w:szCs w:val="24"/>
        </w:rPr>
        <w:t>piriformis</w:t>
      </w:r>
      <w:proofErr w:type="spellEnd"/>
      <w:r w:rsidR="00E8092F">
        <w:rPr>
          <w:rFonts w:asciiTheme="minorHAnsi" w:hAnsiTheme="minorHAnsi"/>
          <w:color w:val="auto"/>
          <w:szCs w:val="24"/>
        </w:rPr>
        <w:t xml:space="preserve"> muscles</w:t>
      </w:r>
      <w:r w:rsidR="00C8794F">
        <w:rPr>
          <w:rFonts w:asciiTheme="minorHAnsi" w:hAnsiTheme="minorHAnsi"/>
          <w:color w:val="auto"/>
          <w:szCs w:val="24"/>
        </w:rPr>
        <w:t>;</w:t>
      </w:r>
      <w:r w:rsidR="00E8092F">
        <w:rPr>
          <w:rFonts w:asciiTheme="minorHAnsi" w:hAnsiTheme="minorHAnsi"/>
          <w:color w:val="auto"/>
          <w:szCs w:val="24"/>
        </w:rPr>
        <w:t xml:space="preserve"> however</w:t>
      </w:r>
      <w:r w:rsidR="00C8794F">
        <w:rPr>
          <w:rFonts w:asciiTheme="minorHAnsi" w:hAnsiTheme="minorHAnsi"/>
          <w:color w:val="auto"/>
          <w:szCs w:val="24"/>
        </w:rPr>
        <w:t>,</w:t>
      </w:r>
      <w:r w:rsidR="00E8092F">
        <w:rPr>
          <w:rFonts w:asciiTheme="minorHAnsi" w:hAnsiTheme="minorHAnsi"/>
          <w:color w:val="auto"/>
          <w:szCs w:val="24"/>
        </w:rPr>
        <w:t xml:space="preserve"> the </w:t>
      </w:r>
      <w:r w:rsidR="00DA10A9">
        <w:rPr>
          <w:rFonts w:asciiTheme="minorHAnsi" w:hAnsiTheme="minorHAnsi"/>
          <w:color w:val="auto"/>
          <w:szCs w:val="24"/>
        </w:rPr>
        <w:t xml:space="preserve">CI’s </w:t>
      </w:r>
      <w:r w:rsidR="00E8092F">
        <w:rPr>
          <w:rFonts w:asciiTheme="minorHAnsi" w:hAnsiTheme="minorHAnsi"/>
          <w:color w:val="auto"/>
          <w:szCs w:val="24"/>
        </w:rPr>
        <w:t xml:space="preserve">hip pain was described as anterior or lateral.  </w:t>
      </w:r>
      <w:r w:rsidR="00A77B73">
        <w:rPr>
          <w:rFonts w:asciiTheme="minorHAnsi" w:hAnsiTheme="minorHAnsi"/>
          <w:color w:val="auto"/>
          <w:szCs w:val="24"/>
        </w:rPr>
        <w:t>A</w:t>
      </w:r>
      <w:r w:rsidR="00DD0FAC">
        <w:rPr>
          <w:rFonts w:asciiTheme="minorHAnsi" w:hAnsiTheme="minorHAnsi"/>
          <w:color w:val="auto"/>
          <w:szCs w:val="24"/>
        </w:rPr>
        <w:t>n orthopedic exam</w:t>
      </w:r>
      <w:r w:rsidR="00E8092F">
        <w:rPr>
          <w:rFonts w:asciiTheme="minorHAnsi" w:hAnsiTheme="minorHAnsi"/>
          <w:color w:val="auto"/>
          <w:szCs w:val="24"/>
        </w:rPr>
        <w:t xml:space="preserve">ination three and one half </w:t>
      </w:r>
      <w:r w:rsidR="00DD0FAC">
        <w:rPr>
          <w:rFonts w:asciiTheme="minorHAnsi" w:hAnsiTheme="minorHAnsi"/>
          <w:color w:val="auto"/>
          <w:szCs w:val="24"/>
        </w:rPr>
        <w:t>months prior to separation</w:t>
      </w:r>
      <w:r w:rsidR="00F633AB">
        <w:rPr>
          <w:rFonts w:asciiTheme="minorHAnsi" w:hAnsiTheme="minorHAnsi"/>
          <w:color w:val="auto"/>
          <w:szCs w:val="24"/>
        </w:rPr>
        <w:t>,</w:t>
      </w:r>
      <w:r w:rsidR="00DD0FAC">
        <w:rPr>
          <w:rFonts w:asciiTheme="minorHAnsi" w:hAnsiTheme="minorHAnsi"/>
          <w:color w:val="auto"/>
          <w:szCs w:val="24"/>
        </w:rPr>
        <w:t xml:space="preserve"> noted that she had “subjective” pain</w:t>
      </w:r>
      <w:r w:rsidR="00E8092F">
        <w:rPr>
          <w:rFonts w:asciiTheme="minorHAnsi" w:hAnsiTheme="minorHAnsi"/>
          <w:color w:val="auto"/>
          <w:szCs w:val="24"/>
        </w:rPr>
        <w:t>,</w:t>
      </w:r>
      <w:r w:rsidR="00DD0FAC">
        <w:rPr>
          <w:rFonts w:asciiTheme="minorHAnsi" w:hAnsiTheme="minorHAnsi"/>
          <w:color w:val="auto"/>
          <w:szCs w:val="24"/>
        </w:rPr>
        <w:t xml:space="preserve"> and documented an essentially normal exam.  </w:t>
      </w:r>
      <w:r w:rsidR="00F633AB">
        <w:rPr>
          <w:rFonts w:asciiTheme="minorHAnsi" w:hAnsiTheme="minorHAnsi"/>
          <w:color w:val="auto"/>
          <w:szCs w:val="24"/>
        </w:rPr>
        <w:t>The MEB exam</w:t>
      </w:r>
      <w:r w:rsidR="00E8092F">
        <w:rPr>
          <w:rFonts w:asciiTheme="minorHAnsi" w:hAnsiTheme="minorHAnsi"/>
          <w:color w:val="auto"/>
          <w:szCs w:val="24"/>
        </w:rPr>
        <w:t xml:space="preserve">ination </w:t>
      </w:r>
      <w:r w:rsidR="00F633AB">
        <w:rPr>
          <w:rFonts w:asciiTheme="minorHAnsi" w:hAnsiTheme="minorHAnsi"/>
          <w:color w:val="auto"/>
          <w:szCs w:val="24"/>
        </w:rPr>
        <w:t>was two months prior to separation.  The CI</w:t>
      </w:r>
      <w:r w:rsidR="005173F1">
        <w:rPr>
          <w:rFonts w:asciiTheme="minorHAnsi" w:hAnsiTheme="minorHAnsi"/>
          <w:color w:val="auto"/>
          <w:szCs w:val="24"/>
        </w:rPr>
        <w:t xml:space="preserve"> complained that her knees gave out and that she tripped easily.  </w:t>
      </w:r>
      <w:r w:rsidR="009D4214">
        <w:rPr>
          <w:rFonts w:asciiTheme="minorHAnsi" w:hAnsiTheme="minorHAnsi"/>
          <w:color w:val="auto"/>
          <w:szCs w:val="24"/>
        </w:rPr>
        <w:t xml:space="preserve">Pain was noted to be intermittent and slight.  </w:t>
      </w:r>
      <w:r w:rsidR="005173F1">
        <w:rPr>
          <w:rFonts w:asciiTheme="minorHAnsi" w:hAnsiTheme="minorHAnsi"/>
          <w:color w:val="auto"/>
          <w:szCs w:val="24"/>
        </w:rPr>
        <w:t xml:space="preserve">Imaging of the knees and </w:t>
      </w:r>
      <w:r w:rsidR="00F633AB">
        <w:rPr>
          <w:rFonts w:asciiTheme="minorHAnsi" w:hAnsiTheme="minorHAnsi"/>
          <w:color w:val="auto"/>
          <w:szCs w:val="24"/>
        </w:rPr>
        <w:t>the pelvis</w:t>
      </w:r>
      <w:r w:rsidR="00647F30">
        <w:rPr>
          <w:rFonts w:asciiTheme="minorHAnsi" w:hAnsiTheme="minorHAnsi"/>
          <w:color w:val="auto"/>
          <w:szCs w:val="24"/>
        </w:rPr>
        <w:t xml:space="preserve"> was normal.</w:t>
      </w:r>
      <w:r w:rsidR="00A77B73">
        <w:rPr>
          <w:rFonts w:asciiTheme="minorHAnsi" w:hAnsiTheme="minorHAnsi"/>
          <w:color w:val="auto"/>
          <w:szCs w:val="24"/>
        </w:rPr>
        <w:t xml:space="preserve">  </w:t>
      </w:r>
    </w:p>
    <w:p w:rsidR="00AA4012" w:rsidRDefault="00AA4012" w:rsidP="00993E29">
      <w:pPr>
        <w:spacing w:line="240" w:lineRule="exact"/>
        <w:jc w:val="both"/>
        <w:rPr>
          <w:rFonts w:asciiTheme="minorHAnsi" w:hAnsiTheme="minorHAnsi"/>
          <w:color w:val="auto"/>
          <w:szCs w:val="24"/>
        </w:rPr>
      </w:pPr>
    </w:p>
    <w:p w:rsidR="00496F6D" w:rsidRDefault="001210D0" w:rsidP="00BE2888">
      <w:pPr>
        <w:spacing w:line="240" w:lineRule="exact"/>
        <w:jc w:val="both"/>
        <w:rPr>
          <w:rFonts w:asciiTheme="minorHAnsi" w:hAnsiTheme="minorHAnsi" w:cs="Arial"/>
          <w:color w:val="000000"/>
          <w:szCs w:val="24"/>
        </w:rPr>
      </w:pPr>
      <w:proofErr w:type="gramStart"/>
      <w:r w:rsidRPr="001210D0">
        <w:rPr>
          <w:rFonts w:asciiTheme="minorHAnsi" w:hAnsiTheme="minorHAnsi"/>
          <w:color w:val="auto"/>
          <w:szCs w:val="24"/>
          <w:u w:val="single"/>
        </w:rPr>
        <w:t xml:space="preserve">Bilateral </w:t>
      </w:r>
      <w:r w:rsidR="0057019A">
        <w:rPr>
          <w:rFonts w:asciiTheme="minorHAnsi" w:hAnsiTheme="minorHAnsi"/>
          <w:color w:val="auto"/>
          <w:szCs w:val="24"/>
          <w:u w:val="single"/>
        </w:rPr>
        <w:t>K</w:t>
      </w:r>
      <w:r w:rsidR="009D4214" w:rsidRPr="001210D0">
        <w:rPr>
          <w:rFonts w:asciiTheme="minorHAnsi" w:hAnsiTheme="minorHAnsi"/>
          <w:color w:val="auto"/>
          <w:szCs w:val="24"/>
          <w:u w:val="single"/>
        </w:rPr>
        <w:t>nee</w:t>
      </w:r>
      <w:r>
        <w:rPr>
          <w:rFonts w:asciiTheme="minorHAnsi" w:hAnsiTheme="minorHAnsi"/>
          <w:color w:val="auto"/>
          <w:szCs w:val="24"/>
          <w:u w:val="single"/>
        </w:rPr>
        <w:t xml:space="preserve"> Condition</w:t>
      </w:r>
      <w:r w:rsidR="009D4214">
        <w:rPr>
          <w:rFonts w:asciiTheme="minorHAnsi" w:hAnsiTheme="minorHAnsi"/>
          <w:color w:val="auto"/>
          <w:szCs w:val="24"/>
        </w:rPr>
        <w:t>.</w:t>
      </w:r>
      <w:proofErr w:type="gramEnd"/>
      <w:r w:rsidR="009D4214">
        <w:rPr>
          <w:rFonts w:asciiTheme="minorHAnsi" w:hAnsiTheme="minorHAnsi"/>
          <w:color w:val="auto"/>
          <w:szCs w:val="24"/>
        </w:rPr>
        <w:t xml:space="preserve">  </w:t>
      </w:r>
      <w:r>
        <w:rPr>
          <w:rFonts w:asciiTheme="minorHAnsi" w:hAnsiTheme="minorHAnsi"/>
          <w:color w:val="auto"/>
          <w:szCs w:val="24"/>
        </w:rPr>
        <w:t>N</w:t>
      </w:r>
      <w:r w:rsidR="00263F41">
        <w:rPr>
          <w:rFonts w:asciiTheme="minorHAnsi" w:hAnsiTheme="minorHAnsi"/>
          <w:color w:val="auto"/>
          <w:szCs w:val="24"/>
        </w:rPr>
        <w:t xml:space="preserve">o etiology for the </w:t>
      </w:r>
      <w:r>
        <w:rPr>
          <w:rFonts w:asciiTheme="minorHAnsi" w:hAnsiTheme="minorHAnsi"/>
          <w:color w:val="auto"/>
          <w:szCs w:val="24"/>
        </w:rPr>
        <w:t xml:space="preserve">left or </w:t>
      </w:r>
      <w:r w:rsidR="00263F41">
        <w:rPr>
          <w:rFonts w:asciiTheme="minorHAnsi" w:hAnsiTheme="minorHAnsi"/>
          <w:color w:val="auto"/>
          <w:szCs w:val="24"/>
        </w:rPr>
        <w:t xml:space="preserve">right knee pain was documented in the PT, orthopedic or MEB exams.  </w:t>
      </w:r>
      <w:r w:rsidR="00C41000">
        <w:rPr>
          <w:rFonts w:asciiTheme="minorHAnsi" w:hAnsiTheme="minorHAnsi"/>
          <w:color w:val="auto"/>
          <w:szCs w:val="24"/>
        </w:rPr>
        <w:t>There were two range-of-</w:t>
      </w:r>
      <w:r w:rsidR="00AA4012">
        <w:rPr>
          <w:rFonts w:asciiTheme="minorHAnsi" w:hAnsiTheme="minorHAnsi"/>
          <w:color w:val="auto"/>
          <w:szCs w:val="24"/>
        </w:rPr>
        <w:t xml:space="preserve">motion </w:t>
      </w:r>
      <w:r w:rsidR="00647F30">
        <w:rPr>
          <w:rFonts w:asciiTheme="minorHAnsi" w:hAnsiTheme="minorHAnsi"/>
          <w:color w:val="auto"/>
          <w:szCs w:val="24"/>
        </w:rPr>
        <w:t xml:space="preserve">(ROM) </w:t>
      </w:r>
      <w:r w:rsidR="00AA4012">
        <w:rPr>
          <w:rFonts w:asciiTheme="minorHAnsi" w:hAnsiTheme="minorHAnsi"/>
          <w:color w:val="auto"/>
          <w:szCs w:val="24"/>
        </w:rPr>
        <w:t>examinations which the Board considered.</w:t>
      </w:r>
      <w:r w:rsidR="00E8092F">
        <w:rPr>
          <w:rFonts w:asciiTheme="minorHAnsi" w:hAnsiTheme="minorHAnsi"/>
          <w:color w:val="auto"/>
          <w:szCs w:val="24"/>
        </w:rPr>
        <w:t xml:space="preserve">  The orthopedic examination three and one half months before separation documented normal range of motion in both knees: flexion to 140 degrees and extension to zero degrees.  The MEB examination, approximately two months before separation documented flexion of 130 degrees in both knees, and full extension of zero degrees.  The documented range of motion did not show a compensable limitation of motion</w:t>
      </w:r>
      <w:r w:rsidR="00DA10A9">
        <w:rPr>
          <w:rFonts w:asciiTheme="minorHAnsi" w:hAnsiTheme="minorHAnsi"/>
          <w:color w:val="auto"/>
          <w:szCs w:val="24"/>
        </w:rPr>
        <w:t xml:space="preserve"> in accordance with VASRD rating guidelines.  </w:t>
      </w:r>
      <w:r w:rsidR="00C43FDE" w:rsidRPr="00DA10A9">
        <w:rPr>
          <w:rFonts w:asciiTheme="minorHAnsi" w:hAnsiTheme="minorHAnsi"/>
          <w:color w:val="auto"/>
          <w:szCs w:val="24"/>
        </w:rPr>
        <w:t xml:space="preserve">The IPEB adjudicated the bilateral knee pain </w:t>
      </w:r>
      <w:r w:rsidR="00140A9C" w:rsidRPr="00DA10A9">
        <w:rPr>
          <w:rFonts w:asciiTheme="minorHAnsi" w:hAnsiTheme="minorHAnsi"/>
          <w:color w:val="auto"/>
          <w:szCs w:val="24"/>
        </w:rPr>
        <w:t xml:space="preserve">condition, </w:t>
      </w:r>
      <w:r w:rsidR="005B17E2" w:rsidRPr="00DA10A9">
        <w:rPr>
          <w:rFonts w:asciiTheme="minorHAnsi" w:hAnsiTheme="minorHAnsi"/>
          <w:color w:val="auto"/>
          <w:szCs w:val="24"/>
        </w:rPr>
        <w:t xml:space="preserve">combined with the bilateral </w:t>
      </w:r>
      <w:r w:rsidR="00E8092F" w:rsidRPr="00DA10A9">
        <w:rPr>
          <w:rFonts w:asciiTheme="minorHAnsi" w:hAnsiTheme="minorHAnsi"/>
          <w:color w:val="auto"/>
          <w:szCs w:val="24"/>
        </w:rPr>
        <w:t xml:space="preserve">hip </w:t>
      </w:r>
      <w:r w:rsidR="005B17E2" w:rsidRPr="00DA10A9">
        <w:rPr>
          <w:rFonts w:asciiTheme="minorHAnsi" w:hAnsiTheme="minorHAnsi"/>
          <w:color w:val="auto"/>
          <w:szCs w:val="24"/>
        </w:rPr>
        <w:t>condition</w:t>
      </w:r>
      <w:r w:rsidR="00140A9C" w:rsidRPr="00DA10A9">
        <w:rPr>
          <w:rFonts w:asciiTheme="minorHAnsi" w:hAnsiTheme="minorHAnsi"/>
          <w:color w:val="auto"/>
          <w:szCs w:val="24"/>
        </w:rPr>
        <w:t xml:space="preserve">, as unfitting, </w:t>
      </w:r>
      <w:r w:rsidR="005B17E2" w:rsidRPr="00DA10A9">
        <w:rPr>
          <w:rFonts w:asciiTheme="minorHAnsi" w:hAnsiTheme="minorHAnsi"/>
          <w:color w:val="auto"/>
          <w:szCs w:val="24"/>
        </w:rPr>
        <w:t xml:space="preserve">rated 0%.  </w:t>
      </w:r>
      <w:r w:rsidR="00AA4012" w:rsidRPr="00DA10A9">
        <w:rPr>
          <w:rFonts w:asciiTheme="minorHAnsi" w:hAnsiTheme="minorHAnsi"/>
          <w:color w:val="auto"/>
          <w:szCs w:val="24"/>
        </w:rPr>
        <w:t xml:space="preserve">The VA C&amp;P exam on 12 October 2007, over three years after separation, noted that her symptoms had worsened, that she was unable to stand more than a few minutes without pain and that there was subjective instability.  She was able to walk one to three miles.  On exam, there was no effusion, flexion was slightly decreased at 134 degrees without pain, and tenderness noted over the medial collateral ligament.  </w:t>
      </w:r>
      <w:r w:rsidR="0054462B" w:rsidRPr="00DA10A9">
        <w:rPr>
          <w:rFonts w:asciiTheme="minorHAnsi" w:hAnsiTheme="minorHAnsi"/>
          <w:color w:val="auto"/>
          <w:szCs w:val="24"/>
        </w:rPr>
        <w:t xml:space="preserve">The VA determined the right knee to be non-compensable based on an exam over three years </w:t>
      </w:r>
      <w:r w:rsidR="00496F6D" w:rsidRPr="00DA10A9">
        <w:rPr>
          <w:rFonts w:asciiTheme="minorHAnsi" w:hAnsiTheme="minorHAnsi"/>
          <w:color w:val="auto"/>
          <w:szCs w:val="24"/>
        </w:rPr>
        <w:t>after separation</w:t>
      </w:r>
      <w:r w:rsidR="00866362" w:rsidRPr="00DA10A9">
        <w:rPr>
          <w:rFonts w:asciiTheme="minorHAnsi" w:hAnsiTheme="minorHAnsi"/>
          <w:color w:val="auto"/>
          <w:szCs w:val="24"/>
        </w:rPr>
        <w:t>, although she was later awarded 10% for medial collateral ligament (MCL) tenderness</w:t>
      </w:r>
      <w:r w:rsidR="00874378" w:rsidRPr="00DA10A9">
        <w:rPr>
          <w:rFonts w:asciiTheme="minorHAnsi" w:hAnsiTheme="minorHAnsi"/>
          <w:color w:val="auto"/>
          <w:szCs w:val="24"/>
        </w:rPr>
        <w:t xml:space="preserve">.  The Board notes that, at that exam, the </w:t>
      </w:r>
      <w:r w:rsidR="00496F6D" w:rsidRPr="00DA10A9">
        <w:rPr>
          <w:rFonts w:asciiTheme="minorHAnsi" w:hAnsiTheme="minorHAnsi"/>
          <w:color w:val="auto"/>
          <w:szCs w:val="24"/>
        </w:rPr>
        <w:t xml:space="preserve">CI </w:t>
      </w:r>
      <w:r w:rsidR="00874378" w:rsidRPr="00DA10A9">
        <w:rPr>
          <w:rFonts w:asciiTheme="minorHAnsi" w:hAnsiTheme="minorHAnsi"/>
          <w:color w:val="auto"/>
          <w:szCs w:val="24"/>
        </w:rPr>
        <w:t xml:space="preserve">had </w:t>
      </w:r>
      <w:r w:rsidR="00496F6D" w:rsidRPr="00DA10A9">
        <w:rPr>
          <w:rFonts w:asciiTheme="minorHAnsi" w:hAnsiTheme="minorHAnsi"/>
          <w:color w:val="auto"/>
          <w:szCs w:val="24"/>
        </w:rPr>
        <w:t>stated that her symptoms were worse.  The Board notes that no pathology was documented other than decreased ROM on the MEB exam</w:t>
      </w:r>
      <w:r w:rsidR="00874378" w:rsidRPr="00DA10A9">
        <w:rPr>
          <w:rFonts w:asciiTheme="minorHAnsi" w:hAnsiTheme="minorHAnsi"/>
          <w:color w:val="auto"/>
          <w:szCs w:val="24"/>
        </w:rPr>
        <w:t xml:space="preserve">; however, the ROM was </w:t>
      </w:r>
      <w:r w:rsidR="00496F6D" w:rsidRPr="00DA10A9">
        <w:rPr>
          <w:rFonts w:asciiTheme="minorHAnsi" w:hAnsiTheme="minorHAnsi"/>
          <w:color w:val="auto"/>
          <w:szCs w:val="24"/>
        </w:rPr>
        <w:t xml:space="preserve">identical to the ROM on the contralateral side.  </w:t>
      </w:r>
      <w:r w:rsidR="00C43FDE" w:rsidRPr="00DA10A9">
        <w:rPr>
          <w:rFonts w:asciiTheme="minorHAnsi" w:hAnsiTheme="minorHAnsi"/>
          <w:color w:val="auto"/>
          <w:szCs w:val="24"/>
        </w:rPr>
        <w:t xml:space="preserve">The VA initially determined the left knee to be </w:t>
      </w:r>
      <w:r w:rsidR="005B17E2" w:rsidRPr="00DA10A9">
        <w:rPr>
          <w:rFonts w:asciiTheme="minorHAnsi" w:hAnsiTheme="minorHAnsi"/>
          <w:color w:val="auto"/>
          <w:szCs w:val="24"/>
        </w:rPr>
        <w:t>0%</w:t>
      </w:r>
      <w:r w:rsidR="00C43FDE" w:rsidRPr="00DA10A9">
        <w:rPr>
          <w:rFonts w:asciiTheme="minorHAnsi" w:hAnsiTheme="minorHAnsi"/>
          <w:color w:val="auto"/>
          <w:szCs w:val="24"/>
        </w:rPr>
        <w:t xml:space="preserve">, based on the C&amp;P exam, which was over four years after separation, but later raised it to 10% for </w:t>
      </w:r>
      <w:proofErr w:type="spellStart"/>
      <w:r w:rsidR="00C43FDE" w:rsidRPr="00DA10A9">
        <w:rPr>
          <w:rFonts w:asciiTheme="minorHAnsi" w:hAnsiTheme="minorHAnsi"/>
          <w:color w:val="auto"/>
          <w:szCs w:val="24"/>
        </w:rPr>
        <w:t>patello</w:t>
      </w:r>
      <w:proofErr w:type="spellEnd"/>
      <w:r w:rsidR="00C43FDE" w:rsidRPr="00DA10A9">
        <w:rPr>
          <w:rFonts w:asciiTheme="minorHAnsi" w:hAnsiTheme="minorHAnsi"/>
          <w:color w:val="auto"/>
          <w:szCs w:val="24"/>
        </w:rPr>
        <w:t xml:space="preserve">-femoral syndrome (PFS).  This exam was remarkable for tenderness to deep palpation of the patellar tendon, but was otherwise </w:t>
      </w:r>
      <w:r w:rsidR="00C43FDE" w:rsidRPr="00DA10A9">
        <w:rPr>
          <w:rFonts w:asciiTheme="minorHAnsi" w:hAnsiTheme="minorHAnsi"/>
          <w:color w:val="auto"/>
          <w:szCs w:val="24"/>
        </w:rPr>
        <w:lastRenderedPageBreak/>
        <w:t xml:space="preserve">unremarkable and noted to be normal including ROM.  </w:t>
      </w:r>
      <w:r w:rsidR="00140A9C" w:rsidRPr="00DA10A9">
        <w:rPr>
          <w:rFonts w:asciiTheme="minorHAnsi" w:hAnsiTheme="minorHAnsi"/>
          <w:color w:val="auto"/>
          <w:szCs w:val="24"/>
        </w:rPr>
        <w:t>As previously elaborated, the Board must first consider whether the left or right knee pain condition remained separately unfitting, having de-coupled it from a combined PEB adjudication.  In analyzing the intrinsic impairment for appropriately coding and rating the right and left hip condition, the Board is left with a questionable basis for arguing that either knee condition was independently unfitting.  No significant pathology was identifiable and examinations were normal</w:t>
      </w:r>
      <w:r w:rsidR="00993E29" w:rsidRPr="00DA10A9">
        <w:rPr>
          <w:rFonts w:asciiTheme="minorHAnsi" w:hAnsiTheme="minorHAnsi"/>
          <w:color w:val="auto"/>
          <w:szCs w:val="24"/>
        </w:rPr>
        <w:t xml:space="preserve"> and the commander’s letter cited problems with a panoply of minor medical complaints as well as a pattern of misconduct and lying interfering with performance of duties.  </w:t>
      </w:r>
      <w:r w:rsidR="00140A9C" w:rsidRPr="00DA10A9">
        <w:rPr>
          <w:rFonts w:asciiTheme="minorHAnsi" w:hAnsiTheme="minorHAnsi"/>
          <w:color w:val="auto"/>
          <w:szCs w:val="24"/>
        </w:rPr>
        <w:t xml:space="preserve">After due deliberation, the Board agreed that evidence does not support a conclusion that the </w:t>
      </w:r>
      <w:r w:rsidR="0082308D" w:rsidRPr="00DA10A9">
        <w:rPr>
          <w:rFonts w:asciiTheme="minorHAnsi" w:hAnsiTheme="minorHAnsi"/>
          <w:color w:val="auto"/>
          <w:szCs w:val="24"/>
        </w:rPr>
        <w:t xml:space="preserve">either </w:t>
      </w:r>
      <w:r w:rsidR="00140A9C" w:rsidRPr="00DA10A9">
        <w:rPr>
          <w:rFonts w:asciiTheme="minorHAnsi" w:hAnsiTheme="minorHAnsi"/>
          <w:color w:val="auto"/>
          <w:szCs w:val="24"/>
        </w:rPr>
        <w:t xml:space="preserve">left or right knee condition, as an isolated condition, would have rendered the CI incapable of continued </w:t>
      </w:r>
      <w:r w:rsidR="00C8794F">
        <w:rPr>
          <w:rFonts w:asciiTheme="minorHAnsi" w:hAnsiTheme="minorHAnsi"/>
          <w:color w:val="auto"/>
          <w:szCs w:val="24"/>
        </w:rPr>
        <w:t>s</w:t>
      </w:r>
      <w:r w:rsidR="00C41000">
        <w:rPr>
          <w:rFonts w:asciiTheme="minorHAnsi" w:hAnsiTheme="minorHAnsi"/>
          <w:color w:val="auto"/>
          <w:szCs w:val="24"/>
        </w:rPr>
        <w:t>ervice</w:t>
      </w:r>
      <w:r w:rsidR="00140A9C" w:rsidRPr="00DA10A9">
        <w:rPr>
          <w:rFonts w:asciiTheme="minorHAnsi" w:hAnsiTheme="minorHAnsi"/>
          <w:color w:val="auto"/>
          <w:szCs w:val="24"/>
        </w:rPr>
        <w:t xml:space="preserve"> within her MOS, and accordingly cannot recommend a separate </w:t>
      </w:r>
      <w:r w:rsidR="00C41000">
        <w:rPr>
          <w:rFonts w:asciiTheme="minorHAnsi" w:hAnsiTheme="minorHAnsi"/>
          <w:color w:val="auto"/>
          <w:szCs w:val="24"/>
        </w:rPr>
        <w:t>Service</w:t>
      </w:r>
      <w:r w:rsidR="00140A9C" w:rsidRPr="00DA10A9">
        <w:rPr>
          <w:rFonts w:asciiTheme="minorHAnsi" w:hAnsiTheme="minorHAnsi"/>
          <w:color w:val="auto"/>
          <w:szCs w:val="24"/>
        </w:rPr>
        <w:t xml:space="preserve"> rating for them.</w:t>
      </w:r>
      <w:r w:rsidR="00DA10A9">
        <w:rPr>
          <w:rFonts w:asciiTheme="minorHAnsi" w:hAnsiTheme="minorHAnsi"/>
          <w:color w:val="auto"/>
          <w:szCs w:val="24"/>
        </w:rPr>
        <w:t xml:space="preserve">  Although some examiners noted </w:t>
      </w:r>
      <w:proofErr w:type="spellStart"/>
      <w:r w:rsidR="00DA10A9">
        <w:rPr>
          <w:rFonts w:asciiTheme="minorHAnsi" w:hAnsiTheme="minorHAnsi"/>
          <w:color w:val="auto"/>
          <w:szCs w:val="24"/>
        </w:rPr>
        <w:t>genu</w:t>
      </w:r>
      <w:proofErr w:type="spellEnd"/>
      <w:r w:rsidR="00DA10A9">
        <w:rPr>
          <w:rFonts w:asciiTheme="minorHAnsi" w:hAnsiTheme="minorHAnsi"/>
          <w:color w:val="auto"/>
          <w:szCs w:val="24"/>
        </w:rPr>
        <w:t xml:space="preserve"> </w:t>
      </w:r>
      <w:proofErr w:type="spellStart"/>
      <w:r w:rsidR="00DA10A9">
        <w:rPr>
          <w:rFonts w:asciiTheme="minorHAnsi" w:hAnsiTheme="minorHAnsi"/>
          <w:color w:val="auto"/>
          <w:szCs w:val="24"/>
        </w:rPr>
        <w:t>recurvatum</w:t>
      </w:r>
      <w:proofErr w:type="spellEnd"/>
      <w:r w:rsidR="00DA10A9">
        <w:rPr>
          <w:rFonts w:asciiTheme="minorHAnsi" w:hAnsiTheme="minorHAnsi"/>
          <w:color w:val="auto"/>
          <w:szCs w:val="24"/>
        </w:rPr>
        <w:t xml:space="preserve">, a developmental condition that may predispose to knee pain, there </w:t>
      </w:r>
      <w:r w:rsidR="00E8092F" w:rsidRPr="00DA10A9">
        <w:rPr>
          <w:rFonts w:asciiTheme="minorHAnsi" w:hAnsiTheme="minorHAnsi"/>
          <w:color w:val="auto"/>
          <w:szCs w:val="24"/>
        </w:rPr>
        <w:t xml:space="preserve">was no evidence in the record to support </w:t>
      </w:r>
      <w:r w:rsidR="00DA10A9">
        <w:rPr>
          <w:rFonts w:asciiTheme="minorHAnsi" w:hAnsiTheme="minorHAnsi"/>
          <w:color w:val="auto"/>
          <w:szCs w:val="24"/>
        </w:rPr>
        <w:t xml:space="preserve">permanent </w:t>
      </w:r>
      <w:r w:rsidR="00C41000">
        <w:rPr>
          <w:rFonts w:asciiTheme="minorHAnsi" w:hAnsiTheme="minorHAnsi"/>
          <w:color w:val="auto"/>
          <w:szCs w:val="24"/>
        </w:rPr>
        <w:t>Service</w:t>
      </w:r>
      <w:r w:rsidR="00E8092F" w:rsidRPr="00DA10A9">
        <w:rPr>
          <w:rFonts w:asciiTheme="minorHAnsi" w:hAnsiTheme="minorHAnsi"/>
          <w:color w:val="auto"/>
          <w:szCs w:val="24"/>
        </w:rPr>
        <w:t xml:space="preserve"> aggravation of condition.</w:t>
      </w:r>
      <w:r w:rsidR="00DA10A9">
        <w:rPr>
          <w:rFonts w:asciiTheme="minorHAnsi" w:hAnsiTheme="minorHAnsi"/>
          <w:color w:val="auto"/>
          <w:szCs w:val="24"/>
        </w:rPr>
        <w:t xml:space="preserve">  </w:t>
      </w:r>
      <w:r w:rsidR="00DA10A9" w:rsidRPr="00DA10A9">
        <w:rPr>
          <w:rFonts w:asciiTheme="minorHAnsi" w:hAnsiTheme="minorHAnsi"/>
          <w:color w:val="auto"/>
          <w:szCs w:val="24"/>
        </w:rPr>
        <w:t>The Board notes that even if separate unfitting conditions could be supported, these would rate no higher than 0% and provide no advantage to the CI.</w:t>
      </w:r>
      <w:r w:rsidR="00DA10A9">
        <w:rPr>
          <w:rFonts w:asciiTheme="minorHAnsi" w:hAnsiTheme="minorHAnsi"/>
          <w:color w:val="auto"/>
          <w:szCs w:val="24"/>
        </w:rPr>
        <w:t xml:space="preserve">  </w:t>
      </w:r>
      <w:r w:rsidR="00140A9C" w:rsidRPr="00BE2888">
        <w:rPr>
          <w:rFonts w:asciiTheme="minorHAnsi" w:hAnsiTheme="minorHAnsi"/>
          <w:color w:val="auto"/>
          <w:szCs w:val="24"/>
        </w:rPr>
        <w:t>After due deliberation, in consideration of the totality of the evidence, and IAW §4.3 (reasonable doubt), the Board concluded that there was insufficient cause to recommend a change from the PEB fitness adjudication for the left and right knee pain conditions combined with the hip pain</w:t>
      </w:r>
      <w:r w:rsidR="00140A9C" w:rsidRPr="00A77B73">
        <w:rPr>
          <w:rFonts w:asciiTheme="minorHAnsi" w:hAnsiTheme="minorHAnsi" w:cs="Arial"/>
          <w:color w:val="000000"/>
          <w:szCs w:val="24"/>
        </w:rPr>
        <w:t xml:space="preserve"> condition.  </w:t>
      </w:r>
    </w:p>
    <w:p w:rsidR="00140A9C" w:rsidRDefault="00140A9C" w:rsidP="00993E29">
      <w:pPr>
        <w:spacing w:line="240" w:lineRule="exact"/>
        <w:jc w:val="both"/>
        <w:rPr>
          <w:rFonts w:asciiTheme="minorHAnsi" w:hAnsiTheme="minorHAnsi"/>
          <w:color w:val="auto"/>
          <w:szCs w:val="24"/>
        </w:rPr>
      </w:pPr>
    </w:p>
    <w:p w:rsidR="00B04894" w:rsidRDefault="0057019A" w:rsidP="00993E29">
      <w:pPr>
        <w:spacing w:line="240" w:lineRule="exact"/>
        <w:jc w:val="both"/>
        <w:rPr>
          <w:rFonts w:asciiTheme="minorHAnsi" w:hAnsiTheme="minorHAnsi"/>
          <w:color w:val="auto"/>
          <w:szCs w:val="24"/>
        </w:rPr>
      </w:pPr>
      <w:proofErr w:type="gramStart"/>
      <w:r w:rsidRPr="0057019A">
        <w:rPr>
          <w:rFonts w:asciiTheme="minorHAnsi" w:hAnsiTheme="minorHAnsi"/>
          <w:color w:val="auto"/>
          <w:szCs w:val="24"/>
          <w:u w:val="single"/>
        </w:rPr>
        <w:t>Bilateral Hip Condition</w:t>
      </w:r>
      <w:r>
        <w:rPr>
          <w:rFonts w:asciiTheme="minorHAnsi" w:hAnsiTheme="minorHAnsi"/>
          <w:color w:val="auto"/>
          <w:szCs w:val="24"/>
        </w:rPr>
        <w:t>.</w:t>
      </w:r>
      <w:proofErr w:type="gramEnd"/>
      <w:r>
        <w:rPr>
          <w:rFonts w:asciiTheme="minorHAnsi" w:hAnsiTheme="minorHAnsi"/>
          <w:color w:val="auto"/>
          <w:szCs w:val="24"/>
        </w:rPr>
        <w:t xml:space="preserve">  </w:t>
      </w:r>
      <w:r w:rsidR="00A079D6">
        <w:rPr>
          <w:rFonts w:asciiTheme="minorHAnsi" w:hAnsiTheme="minorHAnsi"/>
          <w:color w:val="auto"/>
          <w:szCs w:val="24"/>
        </w:rPr>
        <w:t xml:space="preserve">No specific injury was noted for the </w:t>
      </w:r>
      <w:r>
        <w:rPr>
          <w:rFonts w:asciiTheme="minorHAnsi" w:hAnsiTheme="minorHAnsi"/>
          <w:color w:val="auto"/>
          <w:szCs w:val="24"/>
        </w:rPr>
        <w:t xml:space="preserve">left or </w:t>
      </w:r>
      <w:r w:rsidR="00A079D6">
        <w:rPr>
          <w:rFonts w:asciiTheme="minorHAnsi" w:hAnsiTheme="minorHAnsi"/>
          <w:color w:val="auto"/>
          <w:szCs w:val="24"/>
        </w:rPr>
        <w:t xml:space="preserve">right hip.  She noted the insidious </w:t>
      </w:r>
      <w:r w:rsidR="00FF20F0">
        <w:rPr>
          <w:rFonts w:asciiTheme="minorHAnsi" w:hAnsiTheme="minorHAnsi"/>
          <w:color w:val="auto"/>
          <w:szCs w:val="24"/>
        </w:rPr>
        <w:t xml:space="preserve">onset of </w:t>
      </w:r>
      <w:r w:rsidR="00A079D6">
        <w:rPr>
          <w:rFonts w:asciiTheme="minorHAnsi" w:hAnsiTheme="minorHAnsi"/>
          <w:color w:val="auto"/>
          <w:szCs w:val="24"/>
        </w:rPr>
        <w:t>pain after the generator accident.</w:t>
      </w:r>
      <w:r w:rsidR="00B8087E">
        <w:rPr>
          <w:rFonts w:asciiTheme="minorHAnsi" w:hAnsiTheme="minorHAnsi"/>
          <w:color w:val="auto"/>
          <w:szCs w:val="24"/>
        </w:rPr>
        <w:t xml:space="preserve">  No pathology was noted other than a positive </w:t>
      </w:r>
      <w:proofErr w:type="spellStart"/>
      <w:r w:rsidR="00B8087E">
        <w:rPr>
          <w:rFonts w:asciiTheme="minorHAnsi" w:hAnsiTheme="minorHAnsi"/>
          <w:color w:val="auto"/>
          <w:szCs w:val="24"/>
        </w:rPr>
        <w:t>p</w:t>
      </w:r>
      <w:r w:rsidR="00DA10A9">
        <w:rPr>
          <w:rFonts w:asciiTheme="minorHAnsi" w:hAnsiTheme="minorHAnsi"/>
          <w:color w:val="auto"/>
          <w:szCs w:val="24"/>
        </w:rPr>
        <w:t>i</w:t>
      </w:r>
      <w:r w:rsidR="00B8087E">
        <w:rPr>
          <w:rFonts w:asciiTheme="minorHAnsi" w:hAnsiTheme="minorHAnsi"/>
          <w:color w:val="auto"/>
          <w:szCs w:val="24"/>
        </w:rPr>
        <w:t>riformis</w:t>
      </w:r>
      <w:proofErr w:type="spellEnd"/>
      <w:r w:rsidR="00B8087E">
        <w:rPr>
          <w:rFonts w:asciiTheme="minorHAnsi" w:hAnsiTheme="minorHAnsi"/>
          <w:color w:val="auto"/>
          <w:szCs w:val="24"/>
        </w:rPr>
        <w:t xml:space="preserve"> </w:t>
      </w:r>
      <w:r w:rsidR="00FF20F0">
        <w:rPr>
          <w:rFonts w:asciiTheme="minorHAnsi" w:hAnsiTheme="minorHAnsi"/>
          <w:color w:val="auto"/>
          <w:szCs w:val="24"/>
        </w:rPr>
        <w:t xml:space="preserve">test and slightly reduced ROM as well as a positive FABER on the left.  </w:t>
      </w:r>
      <w:r w:rsidR="00B8087E">
        <w:rPr>
          <w:rFonts w:asciiTheme="minorHAnsi" w:hAnsiTheme="minorHAnsi"/>
          <w:color w:val="auto"/>
          <w:szCs w:val="24"/>
        </w:rPr>
        <w:t>Three ROM measurements proximate to separation were available for review.</w:t>
      </w:r>
      <w:r w:rsidR="00A079D6">
        <w:rPr>
          <w:rFonts w:asciiTheme="minorHAnsi" w:hAnsiTheme="minorHAnsi"/>
          <w:color w:val="auto"/>
          <w:szCs w:val="24"/>
        </w:rPr>
        <w:t xml:space="preserve">  </w:t>
      </w:r>
    </w:p>
    <w:p w:rsidR="0057019A" w:rsidRDefault="0057019A" w:rsidP="0057019A">
      <w:pPr>
        <w:spacing w:line="240" w:lineRule="exact"/>
        <w:rPr>
          <w:rFonts w:asciiTheme="minorHAnsi" w:hAnsiTheme="minorHAnsi"/>
          <w:color w:val="auto"/>
          <w:szCs w:val="24"/>
        </w:rPr>
      </w:pP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194"/>
        <w:gridCol w:w="2194"/>
        <w:gridCol w:w="2194"/>
      </w:tblGrid>
      <w:tr w:rsidR="0057019A" w:rsidRPr="00FB42B7" w:rsidTr="00FF20F0">
        <w:trPr>
          <w:jc w:val="center"/>
        </w:trPr>
        <w:tc>
          <w:tcPr>
            <w:tcW w:w="1980" w:type="dxa"/>
            <w:shd w:val="clear" w:color="auto" w:fill="D9D9D9" w:themeFill="background1" w:themeFillShade="D9"/>
            <w:vAlign w:val="center"/>
          </w:tcPr>
          <w:p w:rsidR="0057019A" w:rsidRPr="00A079D6" w:rsidRDefault="0057019A" w:rsidP="00FF20F0">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Goniometric ROM –</w:t>
            </w:r>
          </w:p>
          <w:p w:rsidR="0057019A" w:rsidRPr="00A079D6" w:rsidRDefault="0057019A" w:rsidP="00FF20F0">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Left Hip (Thigh)</w:t>
            </w:r>
          </w:p>
        </w:tc>
        <w:tc>
          <w:tcPr>
            <w:tcW w:w="2194" w:type="dxa"/>
            <w:shd w:val="clear" w:color="auto" w:fill="D9D9D9" w:themeFill="background1" w:themeFillShade="D9"/>
          </w:tcPr>
          <w:p w:rsidR="0057019A" w:rsidRPr="00A079D6" w:rsidRDefault="0057019A" w:rsidP="00FF20F0">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PT 5.5 Mo Pre-Sep</w:t>
            </w:r>
          </w:p>
        </w:tc>
        <w:tc>
          <w:tcPr>
            <w:tcW w:w="2194" w:type="dxa"/>
            <w:shd w:val="clear" w:color="auto" w:fill="D9D9D9" w:themeFill="background1" w:themeFillShade="D9"/>
          </w:tcPr>
          <w:p w:rsidR="0057019A" w:rsidRPr="00A079D6" w:rsidRDefault="0057019A" w:rsidP="00FF20F0">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 xml:space="preserve">Ortho 3.5 Mo Pre-Sep </w:t>
            </w:r>
          </w:p>
        </w:tc>
        <w:tc>
          <w:tcPr>
            <w:tcW w:w="2194" w:type="dxa"/>
            <w:shd w:val="clear" w:color="auto" w:fill="D9D9D9" w:themeFill="background1" w:themeFillShade="D9"/>
            <w:vAlign w:val="center"/>
          </w:tcPr>
          <w:p w:rsidR="0057019A" w:rsidRPr="00A079D6" w:rsidRDefault="0057019A" w:rsidP="00FF20F0">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MEB ~ 2 Mo. Pre-Sep</w:t>
            </w:r>
          </w:p>
        </w:tc>
      </w:tr>
      <w:tr w:rsidR="0057019A" w:rsidRPr="00C34CEB" w:rsidTr="00FF20F0">
        <w:trPr>
          <w:jc w:val="center"/>
        </w:trPr>
        <w:tc>
          <w:tcPr>
            <w:tcW w:w="1980"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Flexion (0-125)</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115⁰</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120⁰</w:t>
            </w:r>
          </w:p>
        </w:tc>
        <w:tc>
          <w:tcPr>
            <w:tcW w:w="2194"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125⁰</w:t>
            </w:r>
          </w:p>
        </w:tc>
      </w:tr>
      <w:tr w:rsidR="0057019A" w:rsidRPr="00C34CEB" w:rsidTr="00FF20F0">
        <w:trPr>
          <w:jc w:val="center"/>
        </w:trPr>
        <w:tc>
          <w:tcPr>
            <w:tcW w:w="1980"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Extension (0)</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15⁰</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10⁰</w:t>
            </w:r>
          </w:p>
        </w:tc>
      </w:tr>
      <w:tr w:rsidR="0057019A" w:rsidRPr="00C34CEB" w:rsidTr="00FF20F0">
        <w:trPr>
          <w:jc w:val="center"/>
        </w:trPr>
        <w:tc>
          <w:tcPr>
            <w:tcW w:w="1980"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Abduction (0-45)</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30⁰</w:t>
            </w:r>
          </w:p>
        </w:tc>
      </w:tr>
      <w:tr w:rsidR="0057019A" w:rsidRPr="00C34CEB" w:rsidTr="00FF20F0">
        <w:trPr>
          <w:jc w:val="center"/>
        </w:trPr>
        <w:tc>
          <w:tcPr>
            <w:tcW w:w="1980"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highlight w:val="yellow"/>
              </w:rPr>
            </w:pPr>
            <w:r w:rsidRPr="00A079D6">
              <w:rPr>
                <w:rFonts w:asciiTheme="minorHAnsi" w:eastAsia="Calibri" w:hAnsiTheme="minorHAnsi"/>
                <w:color w:val="auto"/>
                <w:sz w:val="18"/>
                <w:szCs w:val="18"/>
              </w:rPr>
              <w:t>Adduction (0-45)</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vAlign w:val="center"/>
          </w:tcPr>
          <w:p w:rsidR="0057019A" w:rsidRPr="00A079D6" w:rsidRDefault="0057019A" w:rsidP="00FF20F0">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30⁰</w:t>
            </w:r>
          </w:p>
        </w:tc>
      </w:tr>
      <w:tr w:rsidR="0057019A" w:rsidRPr="00C34CEB" w:rsidTr="00FF20F0">
        <w:trPr>
          <w:jc w:val="center"/>
        </w:trPr>
        <w:tc>
          <w:tcPr>
            <w:tcW w:w="1980" w:type="dxa"/>
            <w:vAlign w:val="center"/>
          </w:tcPr>
          <w:p w:rsidR="0057019A" w:rsidRPr="00A079D6" w:rsidRDefault="0057019A" w:rsidP="00FF20F0">
            <w:pPr>
              <w:tabs>
                <w:tab w:val="left" w:pos="288"/>
                <w:tab w:val="left" w:pos="4752"/>
              </w:tabs>
              <w:spacing w:line="180" w:lineRule="exact"/>
              <w:jc w:val="center"/>
              <w:rPr>
                <w:rFonts w:asciiTheme="minorHAnsi" w:eastAsiaTheme="minorHAnsi" w:hAnsiTheme="minorHAnsi"/>
                <w:color w:val="auto"/>
                <w:sz w:val="18"/>
                <w:szCs w:val="18"/>
              </w:rPr>
            </w:pPr>
            <w:r w:rsidRPr="00A079D6">
              <w:rPr>
                <w:rFonts w:asciiTheme="minorHAnsi" w:eastAsiaTheme="minorHAnsi" w:hAnsiTheme="minorHAnsi"/>
                <w:color w:val="auto"/>
                <w:sz w:val="18"/>
                <w:szCs w:val="18"/>
              </w:rPr>
              <w:t>Comment</w:t>
            </w:r>
          </w:p>
        </w:tc>
        <w:tc>
          <w:tcPr>
            <w:tcW w:w="2194" w:type="dxa"/>
          </w:tcPr>
          <w:p w:rsidR="0057019A" w:rsidRDefault="0057019A" w:rsidP="00FF20F0">
            <w:pPr>
              <w:pStyle w:val="ListParagraph"/>
              <w:spacing w:after="0" w:line="180" w:lineRule="exact"/>
              <w:ind w:left="0"/>
              <w:rPr>
                <w:rFonts w:eastAsia="Calibri" w:cs="Times New Roman"/>
                <w:sz w:val="18"/>
                <w:szCs w:val="18"/>
              </w:rPr>
            </w:pPr>
            <w:r>
              <w:rPr>
                <w:rFonts w:eastAsia="Calibri" w:cs="Times New Roman"/>
                <w:sz w:val="18"/>
                <w:szCs w:val="18"/>
              </w:rPr>
              <w:t>Internal rotation 50</w:t>
            </w:r>
            <w:r w:rsidRPr="00A079D6">
              <w:rPr>
                <w:rFonts w:eastAsia="Calibri"/>
                <w:sz w:val="18"/>
                <w:szCs w:val="18"/>
              </w:rPr>
              <w:t>⁰</w:t>
            </w:r>
          </w:p>
          <w:p w:rsidR="0057019A" w:rsidRDefault="0057019A" w:rsidP="00FF20F0">
            <w:pPr>
              <w:pStyle w:val="ListParagraph"/>
              <w:spacing w:after="0" w:line="180" w:lineRule="exact"/>
              <w:ind w:left="0"/>
              <w:rPr>
                <w:rFonts w:eastAsia="Calibri" w:cs="Times New Roman"/>
                <w:sz w:val="18"/>
                <w:szCs w:val="18"/>
              </w:rPr>
            </w:pPr>
            <w:r>
              <w:rPr>
                <w:rFonts w:eastAsia="Calibri" w:cs="Times New Roman"/>
                <w:sz w:val="18"/>
                <w:szCs w:val="18"/>
              </w:rPr>
              <w:t>External rotation 30</w:t>
            </w:r>
            <w:r w:rsidRPr="00A079D6">
              <w:rPr>
                <w:rFonts w:eastAsia="Calibri"/>
                <w:sz w:val="18"/>
                <w:szCs w:val="18"/>
              </w:rPr>
              <w:t>⁰</w:t>
            </w:r>
          </w:p>
          <w:p w:rsidR="0057019A" w:rsidRPr="00A079D6" w:rsidRDefault="0057019A" w:rsidP="00FF20F0">
            <w:pPr>
              <w:pStyle w:val="ListParagraph"/>
              <w:spacing w:after="0" w:line="180" w:lineRule="exact"/>
              <w:ind w:left="0"/>
              <w:rPr>
                <w:rFonts w:eastAsia="Calibri" w:cs="Times New Roman"/>
                <w:sz w:val="18"/>
                <w:szCs w:val="18"/>
              </w:rPr>
            </w:pPr>
            <w:r w:rsidRPr="00A079D6">
              <w:rPr>
                <w:rFonts w:eastAsia="Calibri" w:cs="Times New Roman"/>
                <w:sz w:val="18"/>
                <w:szCs w:val="18"/>
              </w:rPr>
              <w:t>“Chronic pain without apparent pathology”</w:t>
            </w:r>
          </w:p>
        </w:tc>
        <w:tc>
          <w:tcPr>
            <w:tcW w:w="2194" w:type="dxa"/>
          </w:tcPr>
          <w:p w:rsidR="0057019A" w:rsidRPr="00A079D6" w:rsidRDefault="0057019A" w:rsidP="00FF20F0">
            <w:pPr>
              <w:pStyle w:val="ListParagraph"/>
              <w:spacing w:after="0" w:line="180" w:lineRule="exact"/>
              <w:ind w:left="0"/>
              <w:rPr>
                <w:rFonts w:eastAsia="Calibri" w:cs="Times New Roman"/>
                <w:sz w:val="18"/>
                <w:szCs w:val="18"/>
              </w:rPr>
            </w:pPr>
            <w:r w:rsidRPr="00A079D6">
              <w:rPr>
                <w:rFonts w:eastAsia="Calibri" w:cs="Times New Roman"/>
                <w:sz w:val="18"/>
                <w:szCs w:val="18"/>
              </w:rPr>
              <w:t>“Subjective pain”</w:t>
            </w:r>
          </w:p>
        </w:tc>
        <w:tc>
          <w:tcPr>
            <w:tcW w:w="2194" w:type="dxa"/>
            <w:vAlign w:val="center"/>
          </w:tcPr>
          <w:p w:rsidR="0057019A" w:rsidRDefault="0057019A" w:rsidP="00FF20F0">
            <w:pPr>
              <w:pStyle w:val="ListParagraph"/>
              <w:spacing w:after="0" w:line="180" w:lineRule="exact"/>
              <w:ind w:left="0"/>
              <w:rPr>
                <w:rFonts w:eastAsia="Calibri" w:cs="Times New Roman"/>
                <w:sz w:val="18"/>
                <w:szCs w:val="18"/>
              </w:rPr>
            </w:pPr>
            <w:r>
              <w:rPr>
                <w:rFonts w:eastAsia="Calibri" w:cs="Times New Roman"/>
                <w:sz w:val="18"/>
                <w:szCs w:val="18"/>
              </w:rPr>
              <w:t>Internal rotation 45</w:t>
            </w:r>
            <w:r w:rsidRPr="00A079D6">
              <w:rPr>
                <w:rFonts w:eastAsia="Calibri"/>
                <w:sz w:val="18"/>
                <w:szCs w:val="18"/>
              </w:rPr>
              <w:t>⁰</w:t>
            </w:r>
          </w:p>
          <w:p w:rsidR="0057019A" w:rsidRDefault="0057019A" w:rsidP="00FF20F0">
            <w:pPr>
              <w:pStyle w:val="ListParagraph"/>
              <w:spacing w:after="0" w:line="180" w:lineRule="exact"/>
              <w:ind w:left="0"/>
              <w:rPr>
                <w:rFonts w:eastAsia="Calibri" w:cs="Times New Roman"/>
                <w:sz w:val="18"/>
                <w:szCs w:val="18"/>
              </w:rPr>
            </w:pPr>
            <w:r>
              <w:rPr>
                <w:rFonts w:eastAsia="Calibri" w:cs="Times New Roman"/>
                <w:sz w:val="18"/>
                <w:szCs w:val="18"/>
              </w:rPr>
              <w:t>External rotation 35</w:t>
            </w:r>
            <w:r w:rsidRPr="00A079D6">
              <w:rPr>
                <w:rFonts w:eastAsia="Calibri"/>
                <w:sz w:val="18"/>
                <w:szCs w:val="18"/>
              </w:rPr>
              <w:t>⁰</w:t>
            </w:r>
          </w:p>
          <w:p w:rsidR="0057019A" w:rsidRPr="00A079D6" w:rsidRDefault="0057019A" w:rsidP="00FF20F0">
            <w:pPr>
              <w:pStyle w:val="ListParagraph"/>
              <w:spacing w:after="0" w:line="180" w:lineRule="exact"/>
              <w:ind w:left="0"/>
              <w:rPr>
                <w:rFonts w:eastAsia="Calibri" w:cs="Times New Roman"/>
                <w:sz w:val="18"/>
                <w:szCs w:val="18"/>
              </w:rPr>
            </w:pPr>
          </w:p>
        </w:tc>
      </w:tr>
      <w:tr w:rsidR="0057019A" w:rsidRPr="00C34CEB" w:rsidTr="00FF20F0">
        <w:trPr>
          <w:jc w:val="center"/>
        </w:trPr>
        <w:tc>
          <w:tcPr>
            <w:tcW w:w="1980" w:type="dxa"/>
            <w:vAlign w:val="center"/>
          </w:tcPr>
          <w:p w:rsidR="0057019A" w:rsidRPr="00A079D6" w:rsidRDefault="0057019A" w:rsidP="00FF20F0">
            <w:pPr>
              <w:tabs>
                <w:tab w:val="left" w:pos="288"/>
                <w:tab w:val="left" w:pos="4752"/>
              </w:tabs>
              <w:spacing w:line="180" w:lineRule="exact"/>
              <w:jc w:val="center"/>
              <w:rPr>
                <w:rFonts w:asciiTheme="minorHAnsi" w:eastAsiaTheme="minorHAnsi" w:hAnsiTheme="minorHAnsi"/>
                <w:color w:val="auto"/>
                <w:sz w:val="18"/>
                <w:szCs w:val="18"/>
              </w:rPr>
            </w:pPr>
            <w:r w:rsidRPr="00A079D6">
              <w:rPr>
                <w:rFonts w:asciiTheme="minorHAnsi" w:eastAsiaTheme="minorHAnsi" w:hAnsiTheme="minorHAnsi"/>
                <w:color w:val="auto"/>
                <w:sz w:val="18"/>
                <w:szCs w:val="18"/>
              </w:rPr>
              <w:t>§4.71a Rating</w:t>
            </w:r>
          </w:p>
        </w:tc>
        <w:tc>
          <w:tcPr>
            <w:tcW w:w="2194" w:type="dxa"/>
          </w:tcPr>
          <w:p w:rsidR="0057019A" w:rsidRPr="00A079D6" w:rsidRDefault="0057019A" w:rsidP="00FF20F0">
            <w:pPr>
              <w:pStyle w:val="ListParagraph"/>
              <w:spacing w:after="0" w:line="180" w:lineRule="exact"/>
              <w:ind w:left="0"/>
              <w:jc w:val="center"/>
              <w:rPr>
                <w:rFonts w:eastAsia="Calibri" w:cs="Times New Roman"/>
                <w:sz w:val="18"/>
                <w:szCs w:val="18"/>
              </w:rPr>
            </w:pPr>
            <w:r w:rsidRPr="00A079D6">
              <w:rPr>
                <w:rFonts w:eastAsia="Calibri" w:cs="Times New Roman"/>
                <w:sz w:val="18"/>
                <w:szCs w:val="18"/>
              </w:rPr>
              <w:t>0%</w:t>
            </w:r>
          </w:p>
        </w:tc>
        <w:tc>
          <w:tcPr>
            <w:tcW w:w="2194" w:type="dxa"/>
          </w:tcPr>
          <w:p w:rsidR="0057019A" w:rsidRPr="00A079D6" w:rsidRDefault="0057019A" w:rsidP="00FF20F0">
            <w:pPr>
              <w:pStyle w:val="ListParagraph"/>
              <w:spacing w:after="0" w:line="180" w:lineRule="exact"/>
              <w:ind w:left="0"/>
              <w:jc w:val="center"/>
              <w:rPr>
                <w:rFonts w:eastAsia="Calibri" w:cs="Times New Roman"/>
                <w:sz w:val="18"/>
                <w:szCs w:val="18"/>
              </w:rPr>
            </w:pPr>
            <w:r w:rsidRPr="00A079D6">
              <w:rPr>
                <w:rFonts w:eastAsia="Calibri" w:cs="Times New Roman"/>
                <w:sz w:val="18"/>
                <w:szCs w:val="18"/>
              </w:rPr>
              <w:t>0%</w:t>
            </w:r>
          </w:p>
        </w:tc>
        <w:tc>
          <w:tcPr>
            <w:tcW w:w="2194" w:type="dxa"/>
            <w:vAlign w:val="center"/>
          </w:tcPr>
          <w:p w:rsidR="0057019A" w:rsidRPr="00A079D6" w:rsidRDefault="0057019A" w:rsidP="00FF20F0">
            <w:pPr>
              <w:pStyle w:val="ListParagraph"/>
              <w:spacing w:after="0" w:line="180" w:lineRule="exact"/>
              <w:ind w:left="0"/>
              <w:jc w:val="center"/>
              <w:rPr>
                <w:rFonts w:eastAsia="Calibri" w:cs="Times New Roman"/>
                <w:sz w:val="18"/>
                <w:szCs w:val="18"/>
              </w:rPr>
            </w:pPr>
            <w:r w:rsidRPr="00A079D6">
              <w:rPr>
                <w:rFonts w:eastAsia="Calibri" w:cs="Times New Roman"/>
                <w:sz w:val="18"/>
                <w:szCs w:val="18"/>
              </w:rPr>
              <w:t>0%</w:t>
            </w:r>
          </w:p>
        </w:tc>
      </w:tr>
    </w:tbl>
    <w:p w:rsidR="0057019A" w:rsidRDefault="0057019A" w:rsidP="0057019A">
      <w:pPr>
        <w:spacing w:line="240" w:lineRule="exact"/>
        <w:rPr>
          <w:rFonts w:asciiTheme="minorHAnsi" w:hAnsiTheme="minorHAnsi"/>
          <w:color w:val="auto"/>
          <w:szCs w:val="24"/>
        </w:rPr>
      </w:pPr>
    </w:p>
    <w:p w:rsidR="0057019A" w:rsidRDefault="0057019A" w:rsidP="00510F9C">
      <w:pPr>
        <w:spacing w:line="240" w:lineRule="exact"/>
        <w:rPr>
          <w:rFonts w:asciiTheme="minorHAnsi" w:hAnsiTheme="minorHAnsi"/>
          <w:color w:val="auto"/>
          <w:szCs w:val="24"/>
        </w:rPr>
      </w:pP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194"/>
        <w:gridCol w:w="2194"/>
        <w:gridCol w:w="2194"/>
      </w:tblGrid>
      <w:tr w:rsidR="00CA5816" w:rsidRPr="00C34CEB" w:rsidTr="00CA5816">
        <w:trPr>
          <w:jc w:val="center"/>
        </w:trPr>
        <w:tc>
          <w:tcPr>
            <w:tcW w:w="1980" w:type="dxa"/>
            <w:shd w:val="clear" w:color="auto" w:fill="D9D9D9" w:themeFill="background1" w:themeFillShade="D9"/>
            <w:vAlign w:val="center"/>
          </w:tcPr>
          <w:p w:rsidR="00CA5816" w:rsidRPr="00A079D6" w:rsidRDefault="00CA5816" w:rsidP="001D3F5E">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Goniometric ROM –</w:t>
            </w:r>
          </w:p>
          <w:p w:rsidR="00CA5816" w:rsidRPr="00A079D6" w:rsidRDefault="00CA5816" w:rsidP="001D3F5E">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Right Hip (Thigh)</w:t>
            </w:r>
          </w:p>
        </w:tc>
        <w:tc>
          <w:tcPr>
            <w:tcW w:w="2194" w:type="dxa"/>
            <w:shd w:val="clear" w:color="auto" w:fill="D9D9D9" w:themeFill="background1" w:themeFillShade="D9"/>
          </w:tcPr>
          <w:p w:rsidR="00CA5816" w:rsidRPr="00A079D6" w:rsidRDefault="00CA5816" w:rsidP="001D3F5E">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PT 5.5 Mo Pre-Sep</w:t>
            </w:r>
          </w:p>
        </w:tc>
        <w:tc>
          <w:tcPr>
            <w:tcW w:w="2194" w:type="dxa"/>
            <w:shd w:val="clear" w:color="auto" w:fill="D9D9D9" w:themeFill="background1" w:themeFillShade="D9"/>
          </w:tcPr>
          <w:p w:rsidR="00CA5816" w:rsidRPr="00A079D6" w:rsidRDefault="00CA5816" w:rsidP="005173F1">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Ortho 3.5 Mo Pre-Sep</w:t>
            </w:r>
            <w:r w:rsidR="005173F1" w:rsidRPr="00A079D6">
              <w:rPr>
                <w:rFonts w:asciiTheme="minorHAnsi" w:eastAsia="Calibri" w:hAnsiTheme="minorHAnsi"/>
                <w:color w:val="auto"/>
                <w:sz w:val="18"/>
                <w:szCs w:val="18"/>
              </w:rPr>
              <w:t xml:space="preserve"> </w:t>
            </w:r>
          </w:p>
        </w:tc>
        <w:tc>
          <w:tcPr>
            <w:tcW w:w="2194" w:type="dxa"/>
            <w:shd w:val="clear" w:color="auto" w:fill="D9D9D9" w:themeFill="background1" w:themeFillShade="D9"/>
            <w:vAlign w:val="center"/>
          </w:tcPr>
          <w:p w:rsidR="00CA5816" w:rsidRPr="00A079D6" w:rsidRDefault="005173F1" w:rsidP="001D3F5E">
            <w:pPr>
              <w:spacing w:line="20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MEB ~ 2 Mo. Pre-Sep</w:t>
            </w:r>
          </w:p>
        </w:tc>
      </w:tr>
      <w:tr w:rsidR="00CA5816" w:rsidRPr="00C34CEB" w:rsidTr="00CA5816">
        <w:trPr>
          <w:jc w:val="center"/>
        </w:trPr>
        <w:tc>
          <w:tcPr>
            <w:tcW w:w="1980"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Flexion (0-125)</w:t>
            </w:r>
          </w:p>
        </w:tc>
        <w:tc>
          <w:tcPr>
            <w:tcW w:w="2194" w:type="dxa"/>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115⁰</w:t>
            </w:r>
          </w:p>
        </w:tc>
        <w:tc>
          <w:tcPr>
            <w:tcW w:w="2194" w:type="dxa"/>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120⁰</w:t>
            </w:r>
          </w:p>
        </w:tc>
        <w:tc>
          <w:tcPr>
            <w:tcW w:w="2194"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120⁰</w:t>
            </w:r>
          </w:p>
        </w:tc>
      </w:tr>
      <w:tr w:rsidR="00CA5816" w:rsidRPr="00C34CEB" w:rsidTr="00CA5816">
        <w:trPr>
          <w:jc w:val="center"/>
        </w:trPr>
        <w:tc>
          <w:tcPr>
            <w:tcW w:w="1980"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Extension (0)</w:t>
            </w:r>
          </w:p>
        </w:tc>
        <w:tc>
          <w:tcPr>
            <w:tcW w:w="2194" w:type="dxa"/>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15⁰</w:t>
            </w:r>
          </w:p>
        </w:tc>
        <w:tc>
          <w:tcPr>
            <w:tcW w:w="2194" w:type="dxa"/>
          </w:tcPr>
          <w:p w:rsidR="00CA5816" w:rsidRPr="00A079D6" w:rsidRDefault="00CF12F1"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10⁰</w:t>
            </w:r>
          </w:p>
        </w:tc>
      </w:tr>
      <w:tr w:rsidR="00CA5816" w:rsidRPr="00C34CEB" w:rsidTr="00CA5816">
        <w:trPr>
          <w:jc w:val="center"/>
        </w:trPr>
        <w:tc>
          <w:tcPr>
            <w:tcW w:w="1980"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Abduction (0-45)</w:t>
            </w:r>
          </w:p>
        </w:tc>
        <w:tc>
          <w:tcPr>
            <w:tcW w:w="2194" w:type="dxa"/>
          </w:tcPr>
          <w:p w:rsidR="00CA5816" w:rsidRPr="00A079D6" w:rsidRDefault="00CF12F1"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tcPr>
          <w:p w:rsidR="00CA5816" w:rsidRPr="00A079D6" w:rsidRDefault="00CF12F1"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30⁰</w:t>
            </w:r>
          </w:p>
        </w:tc>
      </w:tr>
      <w:tr w:rsidR="00CA5816" w:rsidRPr="00C34CEB" w:rsidTr="00CA5816">
        <w:trPr>
          <w:jc w:val="center"/>
        </w:trPr>
        <w:tc>
          <w:tcPr>
            <w:tcW w:w="1980"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highlight w:val="yellow"/>
              </w:rPr>
            </w:pPr>
            <w:r w:rsidRPr="00A079D6">
              <w:rPr>
                <w:rFonts w:asciiTheme="minorHAnsi" w:eastAsia="Calibri" w:hAnsiTheme="minorHAnsi"/>
                <w:color w:val="auto"/>
                <w:sz w:val="18"/>
                <w:szCs w:val="18"/>
              </w:rPr>
              <w:t>Adduction (0-45)</w:t>
            </w:r>
          </w:p>
        </w:tc>
        <w:tc>
          <w:tcPr>
            <w:tcW w:w="2194" w:type="dxa"/>
          </w:tcPr>
          <w:p w:rsidR="00CA5816" w:rsidRPr="00A079D6" w:rsidRDefault="00CF12F1"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tcPr>
          <w:p w:rsidR="00CA5816" w:rsidRPr="00A079D6" w:rsidRDefault="00CF12F1"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w:t>
            </w:r>
          </w:p>
        </w:tc>
        <w:tc>
          <w:tcPr>
            <w:tcW w:w="2194" w:type="dxa"/>
            <w:vAlign w:val="center"/>
          </w:tcPr>
          <w:p w:rsidR="00CA5816" w:rsidRPr="00A079D6" w:rsidRDefault="00CA5816" w:rsidP="001D3F5E">
            <w:pPr>
              <w:spacing w:line="180" w:lineRule="exact"/>
              <w:contextualSpacing/>
              <w:jc w:val="center"/>
              <w:rPr>
                <w:rFonts w:asciiTheme="minorHAnsi" w:eastAsia="Calibri" w:hAnsiTheme="minorHAnsi"/>
                <w:color w:val="auto"/>
                <w:sz w:val="18"/>
                <w:szCs w:val="18"/>
              </w:rPr>
            </w:pPr>
            <w:r w:rsidRPr="00A079D6">
              <w:rPr>
                <w:rFonts w:asciiTheme="minorHAnsi" w:eastAsia="Calibri" w:hAnsiTheme="minorHAnsi"/>
                <w:color w:val="auto"/>
                <w:sz w:val="18"/>
                <w:szCs w:val="18"/>
              </w:rPr>
              <w:t>25⁰</w:t>
            </w:r>
          </w:p>
        </w:tc>
      </w:tr>
      <w:tr w:rsidR="00CA5816" w:rsidRPr="00C34CEB" w:rsidTr="00CA5816">
        <w:trPr>
          <w:jc w:val="center"/>
        </w:trPr>
        <w:tc>
          <w:tcPr>
            <w:tcW w:w="1980" w:type="dxa"/>
            <w:vAlign w:val="center"/>
          </w:tcPr>
          <w:p w:rsidR="00CA5816" w:rsidRPr="00A079D6" w:rsidRDefault="00CA5816" w:rsidP="001D3F5E">
            <w:pPr>
              <w:tabs>
                <w:tab w:val="left" w:pos="288"/>
                <w:tab w:val="left" w:pos="4752"/>
              </w:tabs>
              <w:spacing w:line="180" w:lineRule="exact"/>
              <w:jc w:val="center"/>
              <w:rPr>
                <w:rFonts w:asciiTheme="minorHAnsi" w:eastAsiaTheme="minorHAnsi" w:hAnsiTheme="minorHAnsi"/>
                <w:color w:val="auto"/>
                <w:sz w:val="18"/>
                <w:szCs w:val="18"/>
              </w:rPr>
            </w:pPr>
            <w:r w:rsidRPr="00A079D6">
              <w:rPr>
                <w:rFonts w:asciiTheme="minorHAnsi" w:eastAsiaTheme="minorHAnsi" w:hAnsiTheme="minorHAnsi"/>
                <w:color w:val="auto"/>
                <w:sz w:val="18"/>
                <w:szCs w:val="18"/>
              </w:rPr>
              <w:t>Comment</w:t>
            </w:r>
          </w:p>
        </w:tc>
        <w:tc>
          <w:tcPr>
            <w:tcW w:w="2194" w:type="dxa"/>
          </w:tcPr>
          <w:p w:rsidR="00231694" w:rsidRDefault="00231694" w:rsidP="001D3F5E">
            <w:pPr>
              <w:pStyle w:val="ListParagraph"/>
              <w:spacing w:after="0" w:line="180" w:lineRule="exact"/>
              <w:ind w:left="0"/>
              <w:rPr>
                <w:rFonts w:eastAsia="Calibri" w:cs="Times New Roman"/>
                <w:sz w:val="18"/>
                <w:szCs w:val="18"/>
              </w:rPr>
            </w:pPr>
            <w:r>
              <w:rPr>
                <w:rFonts w:eastAsia="Calibri" w:cs="Times New Roman"/>
                <w:sz w:val="18"/>
                <w:szCs w:val="18"/>
              </w:rPr>
              <w:t>Internal rotation 50</w:t>
            </w:r>
            <w:r w:rsidRPr="00987EF2">
              <w:rPr>
                <w:rFonts w:eastAsia="Calibri" w:cs="Times New Roman"/>
                <w:sz w:val="18"/>
                <w:szCs w:val="18"/>
              </w:rPr>
              <w:t>⁰</w:t>
            </w:r>
          </w:p>
          <w:p w:rsidR="00231694" w:rsidRDefault="00231694" w:rsidP="001D3F5E">
            <w:pPr>
              <w:pStyle w:val="ListParagraph"/>
              <w:spacing w:after="0" w:line="180" w:lineRule="exact"/>
              <w:ind w:left="0"/>
              <w:rPr>
                <w:rFonts w:eastAsia="Calibri" w:cs="Times New Roman"/>
                <w:sz w:val="18"/>
                <w:szCs w:val="18"/>
              </w:rPr>
            </w:pPr>
            <w:r>
              <w:rPr>
                <w:rFonts w:eastAsia="Calibri" w:cs="Times New Roman"/>
                <w:sz w:val="18"/>
                <w:szCs w:val="18"/>
              </w:rPr>
              <w:t>External rotation 30</w:t>
            </w:r>
            <w:r w:rsidRPr="00987EF2">
              <w:rPr>
                <w:rFonts w:eastAsia="Calibri" w:cs="Times New Roman"/>
                <w:sz w:val="18"/>
                <w:szCs w:val="18"/>
              </w:rPr>
              <w:t>⁰</w:t>
            </w:r>
          </w:p>
          <w:p w:rsidR="00CA5816" w:rsidRPr="00A079D6" w:rsidRDefault="00CF12F1" w:rsidP="001D3F5E">
            <w:pPr>
              <w:pStyle w:val="ListParagraph"/>
              <w:spacing w:after="0" w:line="180" w:lineRule="exact"/>
              <w:ind w:left="0"/>
              <w:rPr>
                <w:rFonts w:eastAsia="Calibri" w:cs="Times New Roman"/>
                <w:sz w:val="18"/>
                <w:szCs w:val="18"/>
              </w:rPr>
            </w:pPr>
            <w:r w:rsidRPr="00A079D6">
              <w:rPr>
                <w:rFonts w:eastAsia="Calibri" w:cs="Times New Roman"/>
                <w:sz w:val="18"/>
                <w:szCs w:val="18"/>
              </w:rPr>
              <w:t>“Chronic pain without apparent pathology”</w:t>
            </w:r>
          </w:p>
        </w:tc>
        <w:tc>
          <w:tcPr>
            <w:tcW w:w="2194" w:type="dxa"/>
          </w:tcPr>
          <w:p w:rsidR="00CA5816" w:rsidRPr="00A079D6" w:rsidRDefault="00CF12F1" w:rsidP="001D3F5E">
            <w:pPr>
              <w:pStyle w:val="ListParagraph"/>
              <w:spacing w:after="0" w:line="180" w:lineRule="exact"/>
              <w:ind w:left="0"/>
              <w:rPr>
                <w:rFonts w:eastAsia="Calibri" w:cs="Times New Roman"/>
                <w:sz w:val="18"/>
                <w:szCs w:val="18"/>
              </w:rPr>
            </w:pPr>
            <w:r w:rsidRPr="00A079D6">
              <w:rPr>
                <w:rFonts w:eastAsia="Calibri" w:cs="Times New Roman"/>
                <w:sz w:val="18"/>
                <w:szCs w:val="18"/>
              </w:rPr>
              <w:t>“Subjective pain”</w:t>
            </w:r>
          </w:p>
        </w:tc>
        <w:tc>
          <w:tcPr>
            <w:tcW w:w="2194" w:type="dxa"/>
            <w:vAlign w:val="center"/>
          </w:tcPr>
          <w:p w:rsidR="00490A3D" w:rsidRDefault="00490A3D" w:rsidP="00490A3D">
            <w:pPr>
              <w:pStyle w:val="ListParagraph"/>
              <w:spacing w:after="0" w:line="180" w:lineRule="exact"/>
              <w:ind w:left="0"/>
              <w:rPr>
                <w:rFonts w:eastAsia="Calibri" w:cs="Times New Roman"/>
                <w:sz w:val="18"/>
                <w:szCs w:val="18"/>
              </w:rPr>
            </w:pPr>
            <w:r>
              <w:rPr>
                <w:rFonts w:eastAsia="Calibri" w:cs="Times New Roman"/>
                <w:sz w:val="18"/>
                <w:szCs w:val="18"/>
              </w:rPr>
              <w:t xml:space="preserve">Internal rotation </w:t>
            </w:r>
            <w:r w:rsidR="00987EF2">
              <w:rPr>
                <w:rFonts w:eastAsia="Calibri" w:cs="Times New Roman"/>
                <w:sz w:val="18"/>
                <w:szCs w:val="18"/>
              </w:rPr>
              <w:t>4</w:t>
            </w:r>
            <w:r>
              <w:rPr>
                <w:rFonts w:eastAsia="Calibri" w:cs="Times New Roman"/>
                <w:sz w:val="18"/>
                <w:szCs w:val="18"/>
              </w:rPr>
              <w:t>5</w:t>
            </w:r>
            <w:r w:rsidRPr="00987EF2">
              <w:rPr>
                <w:rFonts w:eastAsia="Calibri" w:cs="Times New Roman"/>
                <w:sz w:val="18"/>
                <w:szCs w:val="18"/>
              </w:rPr>
              <w:t>⁰</w:t>
            </w:r>
          </w:p>
          <w:p w:rsidR="00490A3D" w:rsidRDefault="00490A3D" w:rsidP="00490A3D">
            <w:pPr>
              <w:pStyle w:val="ListParagraph"/>
              <w:spacing w:after="0" w:line="180" w:lineRule="exact"/>
              <w:ind w:left="0"/>
              <w:rPr>
                <w:rFonts w:eastAsia="Calibri" w:cs="Times New Roman"/>
                <w:sz w:val="18"/>
                <w:szCs w:val="18"/>
              </w:rPr>
            </w:pPr>
            <w:r>
              <w:rPr>
                <w:rFonts w:eastAsia="Calibri" w:cs="Times New Roman"/>
                <w:sz w:val="18"/>
                <w:szCs w:val="18"/>
              </w:rPr>
              <w:t xml:space="preserve">External rotation </w:t>
            </w:r>
            <w:r w:rsidR="00987EF2">
              <w:rPr>
                <w:rFonts w:eastAsia="Calibri" w:cs="Times New Roman"/>
                <w:sz w:val="18"/>
                <w:szCs w:val="18"/>
              </w:rPr>
              <w:t>4</w:t>
            </w:r>
            <w:r>
              <w:rPr>
                <w:rFonts w:eastAsia="Calibri" w:cs="Times New Roman"/>
                <w:sz w:val="18"/>
                <w:szCs w:val="18"/>
              </w:rPr>
              <w:t>0</w:t>
            </w:r>
            <w:r w:rsidRPr="00987EF2">
              <w:rPr>
                <w:rFonts w:eastAsia="Calibri" w:cs="Times New Roman"/>
                <w:sz w:val="18"/>
                <w:szCs w:val="18"/>
              </w:rPr>
              <w:t>⁰</w:t>
            </w:r>
          </w:p>
          <w:p w:rsidR="00CA5816" w:rsidRPr="00A079D6" w:rsidRDefault="00CA5816" w:rsidP="001D3F5E">
            <w:pPr>
              <w:pStyle w:val="ListParagraph"/>
              <w:spacing w:after="0" w:line="180" w:lineRule="exact"/>
              <w:ind w:left="0"/>
              <w:rPr>
                <w:rFonts w:eastAsia="Calibri" w:cs="Times New Roman"/>
                <w:sz w:val="18"/>
                <w:szCs w:val="18"/>
              </w:rPr>
            </w:pPr>
          </w:p>
        </w:tc>
      </w:tr>
      <w:tr w:rsidR="00CA5816" w:rsidRPr="00C34CEB" w:rsidTr="00CA5816">
        <w:trPr>
          <w:jc w:val="center"/>
        </w:trPr>
        <w:tc>
          <w:tcPr>
            <w:tcW w:w="1980" w:type="dxa"/>
            <w:vAlign w:val="center"/>
          </w:tcPr>
          <w:p w:rsidR="00CA5816" w:rsidRPr="00A079D6" w:rsidRDefault="00CA5816" w:rsidP="001D3F5E">
            <w:pPr>
              <w:tabs>
                <w:tab w:val="left" w:pos="288"/>
                <w:tab w:val="left" w:pos="4752"/>
              </w:tabs>
              <w:spacing w:line="180" w:lineRule="exact"/>
              <w:jc w:val="center"/>
              <w:rPr>
                <w:rFonts w:asciiTheme="minorHAnsi" w:eastAsiaTheme="minorHAnsi" w:hAnsiTheme="minorHAnsi"/>
                <w:color w:val="auto"/>
                <w:sz w:val="18"/>
                <w:szCs w:val="18"/>
              </w:rPr>
            </w:pPr>
            <w:r w:rsidRPr="00A079D6">
              <w:rPr>
                <w:rFonts w:asciiTheme="minorHAnsi" w:eastAsiaTheme="minorHAnsi" w:hAnsiTheme="minorHAnsi"/>
                <w:color w:val="auto"/>
                <w:sz w:val="18"/>
                <w:szCs w:val="18"/>
              </w:rPr>
              <w:t>§4.71a Rating</w:t>
            </w:r>
          </w:p>
        </w:tc>
        <w:tc>
          <w:tcPr>
            <w:tcW w:w="2194" w:type="dxa"/>
          </w:tcPr>
          <w:p w:rsidR="00CA5816" w:rsidRPr="00A079D6" w:rsidRDefault="00B708B1" w:rsidP="001D3F5E">
            <w:pPr>
              <w:pStyle w:val="ListParagraph"/>
              <w:spacing w:after="0" w:line="180" w:lineRule="exact"/>
              <w:ind w:left="0"/>
              <w:jc w:val="center"/>
              <w:rPr>
                <w:rFonts w:eastAsia="Calibri" w:cs="Times New Roman"/>
                <w:sz w:val="18"/>
                <w:szCs w:val="18"/>
              </w:rPr>
            </w:pPr>
            <w:r>
              <w:rPr>
                <w:rFonts w:eastAsia="Calibri" w:cs="Times New Roman"/>
                <w:sz w:val="18"/>
                <w:szCs w:val="18"/>
              </w:rPr>
              <w:t>0%</w:t>
            </w:r>
          </w:p>
        </w:tc>
        <w:tc>
          <w:tcPr>
            <w:tcW w:w="2194" w:type="dxa"/>
          </w:tcPr>
          <w:p w:rsidR="00CA5816" w:rsidRPr="00A079D6" w:rsidRDefault="00B708B1" w:rsidP="001D3F5E">
            <w:pPr>
              <w:pStyle w:val="ListParagraph"/>
              <w:spacing w:after="0" w:line="180" w:lineRule="exact"/>
              <w:ind w:left="0"/>
              <w:jc w:val="center"/>
              <w:rPr>
                <w:rFonts w:eastAsia="Calibri" w:cs="Times New Roman"/>
                <w:sz w:val="18"/>
                <w:szCs w:val="18"/>
              </w:rPr>
            </w:pPr>
            <w:r>
              <w:rPr>
                <w:rFonts w:eastAsia="Calibri" w:cs="Times New Roman"/>
                <w:sz w:val="18"/>
                <w:szCs w:val="18"/>
              </w:rPr>
              <w:t>0%</w:t>
            </w:r>
          </w:p>
        </w:tc>
        <w:tc>
          <w:tcPr>
            <w:tcW w:w="2194" w:type="dxa"/>
            <w:vAlign w:val="center"/>
          </w:tcPr>
          <w:p w:rsidR="00CA5816" w:rsidRPr="00A079D6" w:rsidRDefault="00CA5816" w:rsidP="001D3F5E">
            <w:pPr>
              <w:pStyle w:val="ListParagraph"/>
              <w:spacing w:after="0" w:line="180" w:lineRule="exact"/>
              <w:ind w:left="0"/>
              <w:jc w:val="center"/>
              <w:rPr>
                <w:rFonts w:eastAsia="Calibri" w:cs="Times New Roman"/>
                <w:sz w:val="18"/>
                <w:szCs w:val="18"/>
              </w:rPr>
            </w:pPr>
            <w:r w:rsidRPr="00A079D6">
              <w:rPr>
                <w:rFonts w:eastAsia="Calibri" w:cs="Times New Roman"/>
                <w:sz w:val="18"/>
                <w:szCs w:val="18"/>
              </w:rPr>
              <w:t>0%</w:t>
            </w:r>
          </w:p>
        </w:tc>
      </w:tr>
    </w:tbl>
    <w:p w:rsidR="001D3F5E" w:rsidRDefault="001D3F5E" w:rsidP="00510F9C">
      <w:pPr>
        <w:spacing w:line="240" w:lineRule="exact"/>
        <w:rPr>
          <w:rFonts w:asciiTheme="minorHAnsi" w:hAnsiTheme="minorHAnsi"/>
          <w:color w:val="auto"/>
          <w:szCs w:val="24"/>
        </w:rPr>
      </w:pPr>
    </w:p>
    <w:p w:rsidR="00140A9C" w:rsidRDefault="00B8087E" w:rsidP="00993E29">
      <w:pPr>
        <w:spacing w:line="240" w:lineRule="exact"/>
        <w:jc w:val="both"/>
        <w:rPr>
          <w:rFonts w:asciiTheme="minorHAnsi" w:hAnsiTheme="minorHAnsi"/>
          <w:color w:val="auto"/>
          <w:szCs w:val="24"/>
        </w:rPr>
      </w:pPr>
      <w:r>
        <w:rPr>
          <w:rFonts w:asciiTheme="minorHAnsi" w:hAnsiTheme="minorHAnsi"/>
          <w:color w:val="auto"/>
          <w:szCs w:val="24"/>
        </w:rPr>
        <w:t xml:space="preserve">The IPEB adjudicated the </w:t>
      </w:r>
      <w:r w:rsidR="00FF20F0">
        <w:rPr>
          <w:rFonts w:asciiTheme="minorHAnsi" w:hAnsiTheme="minorHAnsi"/>
          <w:color w:val="auto"/>
          <w:szCs w:val="24"/>
        </w:rPr>
        <w:t xml:space="preserve">bilateral </w:t>
      </w:r>
      <w:r>
        <w:rPr>
          <w:rFonts w:asciiTheme="minorHAnsi" w:hAnsiTheme="minorHAnsi"/>
          <w:color w:val="auto"/>
          <w:szCs w:val="24"/>
        </w:rPr>
        <w:t>hip</w:t>
      </w:r>
      <w:r w:rsidR="00140A9C">
        <w:rPr>
          <w:rFonts w:asciiTheme="minorHAnsi" w:hAnsiTheme="minorHAnsi"/>
          <w:color w:val="auto"/>
          <w:szCs w:val="24"/>
        </w:rPr>
        <w:t xml:space="preserve"> condition,</w:t>
      </w:r>
      <w:r>
        <w:rPr>
          <w:rFonts w:asciiTheme="minorHAnsi" w:hAnsiTheme="minorHAnsi"/>
          <w:color w:val="auto"/>
          <w:szCs w:val="24"/>
        </w:rPr>
        <w:t xml:space="preserve"> </w:t>
      </w:r>
      <w:r w:rsidR="005B17E2">
        <w:rPr>
          <w:rFonts w:asciiTheme="minorHAnsi" w:hAnsiTheme="minorHAnsi"/>
          <w:color w:val="auto"/>
          <w:szCs w:val="24"/>
        </w:rPr>
        <w:t xml:space="preserve">combined with the bilateral knee </w:t>
      </w:r>
      <w:r w:rsidR="00140A9C">
        <w:rPr>
          <w:rFonts w:asciiTheme="minorHAnsi" w:hAnsiTheme="minorHAnsi"/>
          <w:color w:val="auto"/>
          <w:szCs w:val="24"/>
        </w:rPr>
        <w:t xml:space="preserve">condition as unfitting, </w:t>
      </w:r>
      <w:r w:rsidR="005B17E2">
        <w:rPr>
          <w:rFonts w:asciiTheme="minorHAnsi" w:hAnsiTheme="minorHAnsi"/>
          <w:color w:val="auto"/>
          <w:szCs w:val="24"/>
        </w:rPr>
        <w:t>rated 0%.</w:t>
      </w:r>
      <w:r w:rsidR="00647F30">
        <w:rPr>
          <w:rFonts w:asciiTheme="minorHAnsi" w:hAnsiTheme="minorHAnsi"/>
          <w:color w:val="auto"/>
          <w:szCs w:val="24"/>
        </w:rPr>
        <w:t xml:space="preserve">  </w:t>
      </w:r>
      <w:r w:rsidR="00DA10A9">
        <w:rPr>
          <w:rFonts w:asciiTheme="minorHAnsi" w:hAnsiTheme="minorHAnsi"/>
          <w:color w:val="auto"/>
          <w:szCs w:val="24"/>
        </w:rPr>
        <w:t>Three years after separation, t</w:t>
      </w:r>
      <w:r>
        <w:rPr>
          <w:rFonts w:asciiTheme="minorHAnsi" w:hAnsiTheme="minorHAnsi"/>
          <w:color w:val="auto"/>
          <w:szCs w:val="24"/>
        </w:rPr>
        <w:t>he VA rated the right hip 10% for trochanteric bursitis based on the C&amp;P three years after separation</w:t>
      </w:r>
      <w:r w:rsidR="00B708B1">
        <w:rPr>
          <w:rFonts w:asciiTheme="minorHAnsi" w:hAnsiTheme="minorHAnsi"/>
          <w:color w:val="auto"/>
          <w:szCs w:val="24"/>
        </w:rPr>
        <w:t xml:space="preserve"> when she was eight months pregnant</w:t>
      </w:r>
      <w:r>
        <w:rPr>
          <w:rFonts w:asciiTheme="minorHAnsi" w:hAnsiTheme="minorHAnsi"/>
          <w:color w:val="auto"/>
          <w:szCs w:val="24"/>
        </w:rPr>
        <w:t>.  Imaging was no</w:t>
      </w:r>
      <w:r w:rsidR="00F95ABA">
        <w:rPr>
          <w:rFonts w:asciiTheme="minorHAnsi" w:hAnsiTheme="minorHAnsi"/>
          <w:color w:val="auto"/>
          <w:szCs w:val="24"/>
        </w:rPr>
        <w:t>t obtained due to her pregnancy</w:t>
      </w:r>
      <w:r>
        <w:rPr>
          <w:rFonts w:asciiTheme="minorHAnsi" w:hAnsiTheme="minorHAnsi"/>
          <w:color w:val="auto"/>
          <w:szCs w:val="24"/>
        </w:rPr>
        <w:t xml:space="preserve">.  Motion was non-painful other than </w:t>
      </w:r>
      <w:r w:rsidRPr="00F95ABA">
        <w:rPr>
          <w:rFonts w:asciiTheme="minorHAnsi" w:hAnsiTheme="minorHAnsi"/>
          <w:color w:val="auto"/>
          <w:szCs w:val="24"/>
        </w:rPr>
        <w:t>adduction.  Flexion</w:t>
      </w:r>
      <w:r w:rsidR="00F95ABA" w:rsidRPr="00F95ABA">
        <w:rPr>
          <w:rFonts w:asciiTheme="minorHAnsi" w:hAnsiTheme="minorHAnsi"/>
          <w:color w:val="auto"/>
          <w:szCs w:val="24"/>
        </w:rPr>
        <w:t xml:space="preserve"> and adduction were </w:t>
      </w:r>
      <w:r w:rsidRPr="00F95ABA">
        <w:rPr>
          <w:rFonts w:asciiTheme="minorHAnsi" w:hAnsiTheme="minorHAnsi"/>
          <w:color w:val="auto"/>
          <w:szCs w:val="24"/>
        </w:rPr>
        <w:t>reduced</w:t>
      </w:r>
      <w:r w:rsidR="00F95ABA" w:rsidRPr="00F95ABA">
        <w:rPr>
          <w:rFonts w:asciiTheme="minorHAnsi" w:hAnsiTheme="minorHAnsi"/>
          <w:color w:val="auto"/>
          <w:szCs w:val="24"/>
        </w:rPr>
        <w:t xml:space="preserve">; </w:t>
      </w:r>
      <w:r w:rsidR="00B708B1">
        <w:rPr>
          <w:rFonts w:asciiTheme="minorHAnsi" w:hAnsiTheme="minorHAnsi"/>
          <w:color w:val="auto"/>
          <w:szCs w:val="24"/>
        </w:rPr>
        <w:t>it is uncertain what effect the pregnancy had on this</w:t>
      </w:r>
      <w:r w:rsidRPr="00F95ABA">
        <w:rPr>
          <w:rFonts w:asciiTheme="minorHAnsi" w:hAnsiTheme="minorHAnsi"/>
          <w:color w:val="auto"/>
          <w:szCs w:val="24"/>
        </w:rPr>
        <w:t>.</w:t>
      </w:r>
      <w:r w:rsidR="00140A9C">
        <w:rPr>
          <w:rFonts w:asciiTheme="minorHAnsi" w:hAnsiTheme="minorHAnsi"/>
          <w:color w:val="auto"/>
          <w:szCs w:val="24"/>
        </w:rPr>
        <w:t xml:space="preserve">  </w:t>
      </w:r>
      <w:r w:rsidR="00DA10A9">
        <w:rPr>
          <w:rFonts w:asciiTheme="minorHAnsi" w:hAnsiTheme="minorHAnsi"/>
          <w:color w:val="auto"/>
          <w:szCs w:val="24"/>
        </w:rPr>
        <w:t>Four years after separation t</w:t>
      </w:r>
      <w:r w:rsidR="00140A9C">
        <w:rPr>
          <w:rFonts w:asciiTheme="minorHAnsi" w:hAnsiTheme="minorHAnsi"/>
          <w:color w:val="auto"/>
          <w:szCs w:val="24"/>
        </w:rPr>
        <w:t>he VA rated the left hip at 10% for trochanteric bursitis based on the C&amp;P exam four years after separation.  Imaging was normal.  Motion was non-painful other than internal and external rotation</w:t>
      </w:r>
      <w:r w:rsidR="00140A9C" w:rsidRPr="00F95ABA">
        <w:rPr>
          <w:rFonts w:asciiTheme="minorHAnsi" w:hAnsiTheme="minorHAnsi"/>
          <w:color w:val="auto"/>
          <w:szCs w:val="24"/>
        </w:rPr>
        <w:t xml:space="preserve">.  </w:t>
      </w:r>
      <w:r w:rsidR="00FF20F0" w:rsidRPr="00FF20F0">
        <w:rPr>
          <w:rFonts w:asciiTheme="minorHAnsi" w:hAnsiTheme="minorHAnsi"/>
          <w:color w:val="auto"/>
          <w:szCs w:val="24"/>
        </w:rPr>
        <w:t xml:space="preserve">As previously elaborated, the Board must first consider whether </w:t>
      </w:r>
      <w:r w:rsidR="00140A9C">
        <w:rPr>
          <w:rFonts w:asciiTheme="minorHAnsi" w:hAnsiTheme="minorHAnsi"/>
          <w:color w:val="auto"/>
          <w:szCs w:val="24"/>
        </w:rPr>
        <w:t xml:space="preserve">the left or right hip pain condition </w:t>
      </w:r>
      <w:r w:rsidR="00FF20F0" w:rsidRPr="00FF20F0">
        <w:rPr>
          <w:rFonts w:asciiTheme="minorHAnsi" w:hAnsiTheme="minorHAnsi"/>
          <w:color w:val="auto"/>
          <w:szCs w:val="24"/>
        </w:rPr>
        <w:t>remain</w:t>
      </w:r>
      <w:r w:rsidR="00140A9C">
        <w:rPr>
          <w:rFonts w:asciiTheme="minorHAnsi" w:hAnsiTheme="minorHAnsi"/>
          <w:color w:val="auto"/>
          <w:szCs w:val="24"/>
        </w:rPr>
        <w:t xml:space="preserve">ed </w:t>
      </w:r>
      <w:r w:rsidR="00FF20F0" w:rsidRPr="00FF20F0">
        <w:rPr>
          <w:rFonts w:asciiTheme="minorHAnsi" w:hAnsiTheme="minorHAnsi"/>
          <w:color w:val="auto"/>
          <w:szCs w:val="24"/>
        </w:rPr>
        <w:t>separately unfitting, having de-</w:t>
      </w:r>
      <w:r w:rsidR="00FF20F0" w:rsidRPr="00FF20F0">
        <w:rPr>
          <w:rFonts w:asciiTheme="minorHAnsi" w:hAnsiTheme="minorHAnsi"/>
          <w:color w:val="auto"/>
          <w:szCs w:val="24"/>
        </w:rPr>
        <w:lastRenderedPageBreak/>
        <w:t xml:space="preserve">coupled it from a combined PEB adjudication. </w:t>
      </w:r>
      <w:r w:rsidR="00140A9C">
        <w:rPr>
          <w:rFonts w:asciiTheme="minorHAnsi" w:hAnsiTheme="minorHAnsi"/>
          <w:color w:val="auto"/>
          <w:szCs w:val="24"/>
        </w:rPr>
        <w:t xml:space="preserve"> </w:t>
      </w:r>
      <w:r w:rsidR="00FF20F0" w:rsidRPr="00FF20F0">
        <w:rPr>
          <w:rFonts w:asciiTheme="minorHAnsi" w:hAnsiTheme="minorHAnsi"/>
          <w:color w:val="auto"/>
          <w:szCs w:val="24"/>
        </w:rPr>
        <w:t xml:space="preserve">In analyzing the intrinsic impairment for appropriately coding and rating the </w:t>
      </w:r>
      <w:r w:rsidR="00140A9C">
        <w:rPr>
          <w:rFonts w:asciiTheme="minorHAnsi" w:hAnsiTheme="minorHAnsi"/>
          <w:color w:val="auto"/>
          <w:szCs w:val="24"/>
        </w:rPr>
        <w:t xml:space="preserve">right and left hip </w:t>
      </w:r>
      <w:r w:rsidR="00FF20F0" w:rsidRPr="00FF20F0">
        <w:rPr>
          <w:rFonts w:asciiTheme="minorHAnsi" w:hAnsiTheme="minorHAnsi"/>
          <w:color w:val="auto"/>
          <w:szCs w:val="24"/>
        </w:rPr>
        <w:t xml:space="preserve">condition, the Board is left with a questionable basis for arguing that </w:t>
      </w:r>
      <w:r w:rsidR="00140A9C">
        <w:rPr>
          <w:rFonts w:asciiTheme="minorHAnsi" w:hAnsiTheme="minorHAnsi"/>
          <w:color w:val="auto"/>
          <w:szCs w:val="24"/>
        </w:rPr>
        <w:t xml:space="preserve">either hip condition </w:t>
      </w:r>
      <w:r w:rsidR="00FF20F0" w:rsidRPr="00FF20F0">
        <w:rPr>
          <w:rFonts w:asciiTheme="minorHAnsi" w:hAnsiTheme="minorHAnsi"/>
          <w:color w:val="auto"/>
          <w:szCs w:val="24"/>
        </w:rPr>
        <w:t>was independently unfitting.</w:t>
      </w:r>
      <w:r w:rsidR="00140A9C">
        <w:rPr>
          <w:rFonts w:asciiTheme="minorHAnsi" w:hAnsiTheme="minorHAnsi"/>
          <w:color w:val="auto"/>
          <w:szCs w:val="24"/>
        </w:rPr>
        <w:t xml:space="preserve">  </w:t>
      </w:r>
      <w:r w:rsidR="00140A9C" w:rsidRPr="00DA10A9">
        <w:rPr>
          <w:rFonts w:asciiTheme="minorHAnsi" w:hAnsiTheme="minorHAnsi"/>
          <w:color w:val="auto"/>
          <w:szCs w:val="24"/>
        </w:rPr>
        <w:t>No significant pathology was identifiable and examinations were normal</w:t>
      </w:r>
      <w:r w:rsidR="007B74D7" w:rsidRPr="00DA10A9">
        <w:rPr>
          <w:rFonts w:asciiTheme="minorHAnsi" w:hAnsiTheme="minorHAnsi"/>
          <w:color w:val="auto"/>
          <w:szCs w:val="24"/>
        </w:rPr>
        <w:t>,</w:t>
      </w:r>
      <w:r w:rsidR="00140A9C" w:rsidRPr="00DA10A9">
        <w:rPr>
          <w:rFonts w:asciiTheme="minorHAnsi" w:hAnsiTheme="minorHAnsi"/>
          <w:color w:val="auto"/>
          <w:szCs w:val="24"/>
        </w:rPr>
        <w:t xml:space="preserve"> except for tenderness of the </w:t>
      </w:r>
      <w:proofErr w:type="spellStart"/>
      <w:r w:rsidR="00140A9C" w:rsidRPr="00DA10A9">
        <w:rPr>
          <w:rFonts w:asciiTheme="minorHAnsi" w:hAnsiTheme="minorHAnsi"/>
          <w:color w:val="auto"/>
          <w:szCs w:val="24"/>
        </w:rPr>
        <w:t>piriformis</w:t>
      </w:r>
      <w:proofErr w:type="spellEnd"/>
      <w:r w:rsidR="00140A9C" w:rsidRPr="00DA10A9">
        <w:rPr>
          <w:rFonts w:asciiTheme="minorHAnsi" w:hAnsiTheme="minorHAnsi"/>
          <w:color w:val="auto"/>
          <w:szCs w:val="24"/>
        </w:rPr>
        <w:t xml:space="preserve"> muscles</w:t>
      </w:r>
      <w:r w:rsidR="0082308D" w:rsidRPr="00DA10A9">
        <w:rPr>
          <w:rFonts w:asciiTheme="minorHAnsi" w:hAnsiTheme="minorHAnsi"/>
          <w:color w:val="auto"/>
          <w:szCs w:val="24"/>
        </w:rPr>
        <w:t xml:space="preserve"> </w:t>
      </w:r>
      <w:r w:rsidR="00DA10A9" w:rsidRPr="00DA10A9">
        <w:rPr>
          <w:rFonts w:asciiTheme="minorHAnsi" w:hAnsiTheme="minorHAnsi"/>
          <w:color w:val="auto"/>
          <w:szCs w:val="24"/>
        </w:rPr>
        <w:t xml:space="preserve">in the buttock </w:t>
      </w:r>
      <w:r w:rsidR="0082308D" w:rsidRPr="00DA10A9">
        <w:rPr>
          <w:rFonts w:asciiTheme="minorHAnsi" w:hAnsiTheme="minorHAnsi"/>
          <w:color w:val="auto"/>
          <w:szCs w:val="24"/>
        </w:rPr>
        <w:t xml:space="preserve">which </w:t>
      </w:r>
      <w:r w:rsidR="00DA10A9" w:rsidRPr="00DA10A9">
        <w:rPr>
          <w:rFonts w:asciiTheme="minorHAnsi" w:hAnsiTheme="minorHAnsi"/>
          <w:color w:val="auto"/>
          <w:szCs w:val="24"/>
        </w:rPr>
        <w:t xml:space="preserve">did </w:t>
      </w:r>
      <w:r w:rsidR="0082308D" w:rsidRPr="00DA10A9">
        <w:rPr>
          <w:rFonts w:asciiTheme="minorHAnsi" w:hAnsiTheme="minorHAnsi"/>
          <w:color w:val="auto"/>
          <w:szCs w:val="24"/>
        </w:rPr>
        <w:t>not correlate with her symptoms</w:t>
      </w:r>
      <w:r w:rsidR="00DA10A9" w:rsidRPr="00DA10A9">
        <w:rPr>
          <w:rFonts w:asciiTheme="minorHAnsi" w:hAnsiTheme="minorHAnsi"/>
          <w:color w:val="auto"/>
          <w:szCs w:val="24"/>
        </w:rPr>
        <w:t xml:space="preserve"> and anterior and lateral hip region pain</w:t>
      </w:r>
      <w:r w:rsidR="00647F30" w:rsidRPr="00DA10A9">
        <w:rPr>
          <w:rFonts w:asciiTheme="minorHAnsi" w:hAnsiTheme="minorHAnsi"/>
          <w:color w:val="auto"/>
          <w:szCs w:val="24"/>
        </w:rPr>
        <w:t>.</w:t>
      </w:r>
      <w:r w:rsidR="00647F30">
        <w:rPr>
          <w:rFonts w:asciiTheme="minorHAnsi" w:hAnsiTheme="minorHAnsi"/>
          <w:color w:val="auto"/>
          <w:szCs w:val="24"/>
        </w:rPr>
        <w:t xml:space="preserve">  T</w:t>
      </w:r>
      <w:r w:rsidR="00993E29">
        <w:rPr>
          <w:rFonts w:asciiTheme="minorHAnsi" w:hAnsiTheme="minorHAnsi"/>
          <w:color w:val="auto"/>
          <w:szCs w:val="24"/>
        </w:rPr>
        <w:t xml:space="preserve">he commander’s letter cited problems with a panoply of minor medical complaints as well as a pattern of misconduct and lying interfering with duties.  </w:t>
      </w:r>
      <w:r w:rsidR="00FF20F0" w:rsidRPr="00FF20F0">
        <w:rPr>
          <w:rFonts w:asciiTheme="minorHAnsi" w:hAnsiTheme="minorHAnsi"/>
          <w:color w:val="auto"/>
          <w:szCs w:val="24"/>
        </w:rPr>
        <w:t xml:space="preserve">After due deliberation, the Board agreed that evidence does not support a conclusion that </w:t>
      </w:r>
      <w:r w:rsidR="00140A9C">
        <w:rPr>
          <w:rFonts w:asciiTheme="minorHAnsi" w:hAnsiTheme="minorHAnsi"/>
          <w:color w:val="auto"/>
          <w:szCs w:val="24"/>
        </w:rPr>
        <w:t>the left or right hip condition</w:t>
      </w:r>
      <w:r w:rsidR="00FF20F0" w:rsidRPr="00FF20F0">
        <w:rPr>
          <w:rFonts w:asciiTheme="minorHAnsi" w:hAnsiTheme="minorHAnsi"/>
          <w:color w:val="auto"/>
          <w:szCs w:val="24"/>
        </w:rPr>
        <w:t xml:space="preserve">, as an isolated condition, would have rendered the CI incapable of continued </w:t>
      </w:r>
      <w:r w:rsidR="00C8794F">
        <w:rPr>
          <w:rFonts w:asciiTheme="minorHAnsi" w:hAnsiTheme="minorHAnsi"/>
          <w:color w:val="auto"/>
          <w:szCs w:val="24"/>
        </w:rPr>
        <w:t>s</w:t>
      </w:r>
      <w:r w:rsidR="00C41000">
        <w:rPr>
          <w:rFonts w:asciiTheme="minorHAnsi" w:hAnsiTheme="minorHAnsi"/>
          <w:color w:val="auto"/>
          <w:szCs w:val="24"/>
        </w:rPr>
        <w:t>ervice</w:t>
      </w:r>
      <w:r w:rsidR="00FF20F0" w:rsidRPr="00FF20F0">
        <w:rPr>
          <w:rFonts w:asciiTheme="minorHAnsi" w:hAnsiTheme="minorHAnsi"/>
          <w:color w:val="auto"/>
          <w:szCs w:val="24"/>
        </w:rPr>
        <w:t xml:space="preserve"> within h</w:t>
      </w:r>
      <w:r w:rsidR="00140A9C">
        <w:rPr>
          <w:rFonts w:asciiTheme="minorHAnsi" w:hAnsiTheme="minorHAnsi"/>
          <w:color w:val="auto"/>
          <w:szCs w:val="24"/>
        </w:rPr>
        <w:t xml:space="preserve">er </w:t>
      </w:r>
      <w:r w:rsidR="00FF20F0" w:rsidRPr="00FF20F0">
        <w:rPr>
          <w:rFonts w:asciiTheme="minorHAnsi" w:hAnsiTheme="minorHAnsi"/>
          <w:color w:val="auto"/>
          <w:szCs w:val="24"/>
        </w:rPr>
        <w:t xml:space="preserve">MOS, and accordingly cannot recommend a separate </w:t>
      </w:r>
      <w:r w:rsidR="00C41000">
        <w:rPr>
          <w:rFonts w:asciiTheme="minorHAnsi" w:hAnsiTheme="minorHAnsi"/>
          <w:color w:val="auto"/>
          <w:szCs w:val="24"/>
        </w:rPr>
        <w:t>Service</w:t>
      </w:r>
      <w:r w:rsidR="00FF20F0" w:rsidRPr="00FF20F0">
        <w:rPr>
          <w:rFonts w:asciiTheme="minorHAnsi" w:hAnsiTheme="minorHAnsi"/>
          <w:color w:val="auto"/>
          <w:szCs w:val="24"/>
        </w:rPr>
        <w:t xml:space="preserve"> rating for it.</w:t>
      </w:r>
      <w:r w:rsidR="00140A9C">
        <w:rPr>
          <w:rFonts w:asciiTheme="minorHAnsi" w:hAnsiTheme="minorHAnsi"/>
          <w:color w:val="auto"/>
          <w:szCs w:val="24"/>
        </w:rPr>
        <w:t xml:space="preserve">  </w:t>
      </w:r>
      <w:r w:rsidR="00880017" w:rsidRPr="00BE2888">
        <w:rPr>
          <w:rFonts w:asciiTheme="minorHAnsi" w:hAnsiTheme="minorHAnsi"/>
          <w:color w:val="auto"/>
          <w:szCs w:val="24"/>
        </w:rPr>
        <w:t xml:space="preserve">The Board </w:t>
      </w:r>
      <w:r w:rsidR="00A77B73" w:rsidRPr="00BE2888">
        <w:rPr>
          <w:rFonts w:asciiTheme="minorHAnsi" w:hAnsiTheme="minorHAnsi"/>
          <w:color w:val="auto"/>
          <w:szCs w:val="24"/>
        </w:rPr>
        <w:t xml:space="preserve">again </w:t>
      </w:r>
      <w:r w:rsidR="00880017" w:rsidRPr="00BE2888">
        <w:rPr>
          <w:rFonts w:asciiTheme="minorHAnsi" w:hAnsiTheme="minorHAnsi"/>
          <w:color w:val="auto"/>
          <w:szCs w:val="24"/>
        </w:rPr>
        <w:t>notes that even if separate unfitting conditions could be supported, these would rate no higher than 0% and provide no advantage to the CI.</w:t>
      </w:r>
      <w:r w:rsidR="00DA10A9" w:rsidRPr="00BE2888">
        <w:rPr>
          <w:rFonts w:asciiTheme="minorHAnsi" w:hAnsiTheme="minorHAnsi"/>
          <w:color w:val="auto"/>
          <w:szCs w:val="24"/>
        </w:rPr>
        <w:t xml:space="preserve">  </w:t>
      </w:r>
      <w:r w:rsidR="00BE2888">
        <w:rPr>
          <w:rFonts w:asciiTheme="minorHAnsi" w:hAnsiTheme="minorHAnsi"/>
          <w:color w:val="auto"/>
          <w:szCs w:val="24"/>
        </w:rPr>
        <w:t xml:space="preserve">Although the CI was noted to have femoral retroversion, a developmental condition that may predispose to hip pain, there </w:t>
      </w:r>
      <w:r w:rsidR="00BE2888" w:rsidRPr="00DA10A9">
        <w:rPr>
          <w:rFonts w:asciiTheme="minorHAnsi" w:hAnsiTheme="minorHAnsi"/>
          <w:color w:val="auto"/>
          <w:szCs w:val="24"/>
        </w:rPr>
        <w:t xml:space="preserve">was no evidence in the record to support </w:t>
      </w:r>
      <w:r w:rsidR="00BE2888">
        <w:rPr>
          <w:rFonts w:asciiTheme="minorHAnsi" w:hAnsiTheme="minorHAnsi"/>
          <w:color w:val="auto"/>
          <w:szCs w:val="24"/>
        </w:rPr>
        <w:t xml:space="preserve">permanent </w:t>
      </w:r>
      <w:r w:rsidR="00C41000">
        <w:rPr>
          <w:rFonts w:asciiTheme="minorHAnsi" w:hAnsiTheme="minorHAnsi"/>
          <w:color w:val="auto"/>
          <w:szCs w:val="24"/>
        </w:rPr>
        <w:t>Service</w:t>
      </w:r>
      <w:r w:rsidR="00BE2888" w:rsidRPr="00DA10A9">
        <w:rPr>
          <w:rFonts w:asciiTheme="minorHAnsi" w:hAnsiTheme="minorHAnsi"/>
          <w:color w:val="auto"/>
          <w:szCs w:val="24"/>
        </w:rPr>
        <w:t xml:space="preserve"> aggravation of condition.</w:t>
      </w:r>
      <w:r w:rsidR="00BE2888">
        <w:rPr>
          <w:rFonts w:asciiTheme="minorHAnsi" w:hAnsiTheme="minorHAnsi"/>
          <w:color w:val="auto"/>
          <w:szCs w:val="24"/>
        </w:rPr>
        <w:t xml:space="preserve">  </w:t>
      </w:r>
      <w:r w:rsidR="00140A9C" w:rsidRPr="00F95ABA">
        <w:rPr>
          <w:rFonts w:asciiTheme="minorHAnsi" w:hAnsiTheme="minorHAnsi" w:cs="Arial"/>
          <w:color w:val="auto"/>
          <w:szCs w:val="24"/>
        </w:rPr>
        <w:t xml:space="preserve">After due deliberation, in consideration of the totality of the evidence, and </w:t>
      </w:r>
      <w:r w:rsidR="00140A9C" w:rsidRPr="00F95ABA">
        <w:rPr>
          <w:rFonts w:asciiTheme="minorHAnsi" w:hAnsiTheme="minorHAnsi"/>
          <w:color w:val="auto"/>
          <w:szCs w:val="24"/>
        </w:rPr>
        <w:t>IAW §4.3</w:t>
      </w:r>
      <w:r w:rsidR="00140A9C">
        <w:rPr>
          <w:rFonts w:asciiTheme="minorHAnsi" w:hAnsiTheme="minorHAnsi"/>
          <w:color w:val="auto"/>
          <w:szCs w:val="24"/>
        </w:rPr>
        <w:t xml:space="preserve"> </w:t>
      </w:r>
      <w:r w:rsidR="00140A9C" w:rsidRPr="00F95ABA">
        <w:rPr>
          <w:rFonts w:asciiTheme="minorHAnsi" w:hAnsiTheme="minorHAnsi"/>
          <w:color w:val="auto"/>
          <w:szCs w:val="24"/>
        </w:rPr>
        <w:t xml:space="preserve">(reasonable doubt), </w:t>
      </w:r>
      <w:r w:rsidR="00140A9C" w:rsidRPr="00F95ABA">
        <w:rPr>
          <w:rFonts w:asciiTheme="minorHAnsi" w:hAnsiTheme="minorHAnsi" w:cs="Arial"/>
          <w:color w:val="auto"/>
          <w:szCs w:val="24"/>
        </w:rPr>
        <w:t>the Board concluded that there was insufficient cause to recommend a change from the PEB fitness adjudication</w:t>
      </w:r>
      <w:r w:rsidR="00140A9C" w:rsidRPr="00496F6D">
        <w:rPr>
          <w:rFonts w:asciiTheme="minorHAnsi" w:hAnsiTheme="minorHAnsi" w:cs="Arial"/>
          <w:color w:val="000000"/>
          <w:szCs w:val="24"/>
        </w:rPr>
        <w:t xml:space="preserve"> for the </w:t>
      </w:r>
      <w:r w:rsidR="00140A9C">
        <w:rPr>
          <w:rFonts w:asciiTheme="minorHAnsi" w:hAnsiTheme="minorHAnsi" w:cs="Arial"/>
          <w:color w:val="000000"/>
          <w:szCs w:val="24"/>
        </w:rPr>
        <w:t>left and right hip</w:t>
      </w:r>
      <w:r w:rsidR="00140A9C" w:rsidRPr="00496F6D">
        <w:rPr>
          <w:rFonts w:asciiTheme="minorHAnsi" w:hAnsiTheme="minorHAnsi" w:cs="Arial"/>
          <w:color w:val="000000"/>
          <w:szCs w:val="24"/>
        </w:rPr>
        <w:t xml:space="preserve"> </w:t>
      </w:r>
      <w:r w:rsidR="00140A9C">
        <w:rPr>
          <w:rFonts w:asciiTheme="minorHAnsi" w:hAnsiTheme="minorHAnsi" w:cs="Arial"/>
          <w:color w:val="000000"/>
          <w:szCs w:val="24"/>
        </w:rPr>
        <w:t xml:space="preserve">pain </w:t>
      </w:r>
      <w:r w:rsidR="00140A9C" w:rsidRPr="00496F6D">
        <w:rPr>
          <w:rFonts w:asciiTheme="minorHAnsi" w:hAnsiTheme="minorHAnsi" w:cs="Arial"/>
          <w:color w:val="000000"/>
          <w:szCs w:val="24"/>
        </w:rPr>
        <w:t>condition</w:t>
      </w:r>
      <w:r w:rsidR="00140A9C">
        <w:rPr>
          <w:rFonts w:asciiTheme="minorHAnsi" w:hAnsiTheme="minorHAnsi" w:cs="Arial"/>
          <w:color w:val="000000"/>
          <w:szCs w:val="24"/>
        </w:rPr>
        <w:t>s combined with the knee pain condition</w:t>
      </w:r>
      <w:r w:rsidR="0082308D">
        <w:rPr>
          <w:rFonts w:asciiTheme="minorHAnsi" w:hAnsiTheme="minorHAnsi" w:cs="Arial"/>
          <w:color w:val="000000"/>
          <w:szCs w:val="24"/>
        </w:rPr>
        <w:t>.</w:t>
      </w:r>
    </w:p>
    <w:p w:rsidR="00DA10A9" w:rsidRPr="00EC337D" w:rsidRDefault="00DA10A9" w:rsidP="00510F9C">
      <w:pPr>
        <w:spacing w:line="240" w:lineRule="exact"/>
        <w:jc w:val="both"/>
        <w:rPr>
          <w:rFonts w:asciiTheme="minorHAnsi" w:eastAsia="HiddenHorzOCR" w:hAnsiTheme="minorHAnsi"/>
          <w:color w:val="auto"/>
          <w:szCs w:val="24"/>
        </w:rPr>
      </w:pPr>
    </w:p>
    <w:p w:rsidR="00815092" w:rsidRDefault="00EC337D" w:rsidP="00815092">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00815092">
        <w:rPr>
          <w:rFonts w:asciiTheme="minorHAnsi" w:eastAsia="HiddenHorzOCR" w:hAnsiTheme="minorHAnsi"/>
          <w:color w:val="auto"/>
          <w:szCs w:val="24"/>
        </w:rPr>
        <w:t xml:space="preserve">  </w:t>
      </w: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CI’s application asserts that compensable ratings should be considered for </w:t>
      </w:r>
      <w:r w:rsidR="00C41000">
        <w:rPr>
          <w:rFonts w:asciiTheme="minorHAnsi" w:eastAsia="HiddenHorzOCR" w:hAnsiTheme="minorHAnsi"/>
          <w:color w:val="auto"/>
          <w:szCs w:val="24"/>
        </w:rPr>
        <w:t>post</w:t>
      </w:r>
      <w:r w:rsidR="00815092">
        <w:rPr>
          <w:rFonts w:asciiTheme="minorHAnsi" w:eastAsia="HiddenHorzOCR" w:hAnsiTheme="minorHAnsi"/>
          <w:color w:val="auto"/>
          <w:szCs w:val="24"/>
        </w:rPr>
        <w:t>traumatic stress syndrome (</w:t>
      </w:r>
      <w:r w:rsidR="005F3EE9">
        <w:rPr>
          <w:rFonts w:asciiTheme="minorHAnsi" w:eastAsia="HiddenHorzOCR" w:hAnsiTheme="minorHAnsi"/>
          <w:color w:val="auto"/>
          <w:szCs w:val="24"/>
        </w:rPr>
        <w:t>PTSD</w:t>
      </w:r>
      <w:r w:rsidR="00815092">
        <w:rPr>
          <w:rFonts w:asciiTheme="minorHAnsi" w:eastAsia="HiddenHorzOCR" w:hAnsiTheme="minorHAnsi"/>
          <w:color w:val="auto"/>
          <w:szCs w:val="24"/>
        </w:rPr>
        <w:t>)</w:t>
      </w:r>
      <w:r w:rsidRPr="00711350">
        <w:rPr>
          <w:rFonts w:asciiTheme="minorHAnsi" w:eastAsia="HiddenHorzOCR" w:hAnsiTheme="minorHAnsi"/>
          <w:color w:val="auto"/>
          <w:szCs w:val="24"/>
        </w:rPr>
        <w:t xml:space="preserve">.  </w:t>
      </w:r>
      <w:r w:rsidR="00815092">
        <w:rPr>
          <w:rFonts w:asciiTheme="minorHAnsi" w:eastAsia="HiddenHorzOCR" w:hAnsiTheme="minorHAnsi"/>
          <w:color w:val="auto"/>
          <w:szCs w:val="24"/>
        </w:rPr>
        <w:t>This was</w:t>
      </w:r>
      <w:r w:rsidRPr="00711350">
        <w:rPr>
          <w:rFonts w:asciiTheme="minorHAnsi" w:hAnsiTheme="minorHAnsi"/>
          <w:color w:val="auto"/>
          <w:szCs w:val="24"/>
        </w:rPr>
        <w:t xml:space="preserv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w:t>
      </w:r>
      <w:r w:rsidR="00A77B73">
        <w:rPr>
          <w:rFonts w:asciiTheme="minorHAnsi" w:eastAsia="HiddenHorzOCR" w:hAnsiTheme="minorHAnsi"/>
          <w:color w:val="auto"/>
          <w:szCs w:val="24"/>
        </w:rPr>
        <w:t>The Board noted that o</w:t>
      </w:r>
      <w:r w:rsidR="00490A3D">
        <w:rPr>
          <w:rFonts w:asciiTheme="minorHAnsi" w:eastAsia="HiddenHorzOCR" w:hAnsiTheme="minorHAnsi"/>
          <w:color w:val="auto"/>
          <w:szCs w:val="24"/>
        </w:rPr>
        <w:t>n the p</w:t>
      </w:r>
      <w:r w:rsidR="00490A3D">
        <w:rPr>
          <w:rFonts w:asciiTheme="minorHAnsi" w:hAnsiTheme="minorHAnsi"/>
          <w:color w:val="auto"/>
          <w:szCs w:val="24"/>
        </w:rPr>
        <w:t>ost deployment health assessment 25 June 2003</w:t>
      </w:r>
      <w:r w:rsidR="00A77B73">
        <w:rPr>
          <w:rFonts w:asciiTheme="minorHAnsi" w:hAnsiTheme="minorHAnsi"/>
          <w:color w:val="auto"/>
          <w:szCs w:val="24"/>
        </w:rPr>
        <w:t>,</w:t>
      </w:r>
      <w:r w:rsidR="00490A3D">
        <w:rPr>
          <w:rFonts w:asciiTheme="minorHAnsi" w:hAnsiTheme="minorHAnsi"/>
          <w:color w:val="auto"/>
          <w:szCs w:val="24"/>
        </w:rPr>
        <w:t xml:space="preserve"> the CI checked “no” in response to questions regarding anyone wounded killed or dead, engaged in direct combat, feel in great danger of being killed, nightmares, intrusive thoughts, avoidance, irritability, hypervigilance, emotional numbing.  </w:t>
      </w:r>
      <w:r w:rsidR="00880017" w:rsidRPr="00BE2888">
        <w:rPr>
          <w:rFonts w:asciiTheme="minorHAnsi" w:hAnsiTheme="minorHAnsi"/>
          <w:color w:val="auto"/>
          <w:szCs w:val="24"/>
        </w:rPr>
        <w:t xml:space="preserve">On the </w:t>
      </w:r>
      <w:r w:rsidR="00987EF2" w:rsidRPr="00BE2888">
        <w:rPr>
          <w:rFonts w:asciiTheme="minorHAnsi" w:hAnsiTheme="minorHAnsi"/>
          <w:color w:val="auto"/>
          <w:szCs w:val="24"/>
        </w:rPr>
        <w:t xml:space="preserve">MEB </w:t>
      </w:r>
      <w:r w:rsidR="00880017" w:rsidRPr="00BE2888">
        <w:rPr>
          <w:rFonts w:asciiTheme="minorHAnsi" w:hAnsiTheme="minorHAnsi"/>
          <w:color w:val="auto"/>
          <w:szCs w:val="24"/>
        </w:rPr>
        <w:t xml:space="preserve">exam, the CI only noted that she had had </w:t>
      </w:r>
      <w:r w:rsidR="00987EF2" w:rsidRPr="00BE2888">
        <w:rPr>
          <w:rFonts w:asciiTheme="minorHAnsi" w:hAnsiTheme="minorHAnsi"/>
          <w:color w:val="auto"/>
          <w:szCs w:val="24"/>
        </w:rPr>
        <w:t xml:space="preserve">insomnia for </w:t>
      </w:r>
      <w:r w:rsidR="001210D0" w:rsidRPr="00BE2888">
        <w:rPr>
          <w:rFonts w:asciiTheme="minorHAnsi" w:hAnsiTheme="minorHAnsi"/>
          <w:color w:val="auto"/>
          <w:szCs w:val="24"/>
        </w:rPr>
        <w:t>four months</w:t>
      </w:r>
      <w:r w:rsidR="00880017" w:rsidRPr="00BE2888">
        <w:rPr>
          <w:rFonts w:asciiTheme="minorHAnsi" w:hAnsiTheme="minorHAnsi"/>
          <w:color w:val="auto"/>
          <w:szCs w:val="24"/>
        </w:rPr>
        <w:t xml:space="preserve"> treated with medications and checked no for excessive worry or depression.  The com</w:t>
      </w:r>
      <w:r w:rsidR="00A77B73" w:rsidRPr="00BE2888">
        <w:rPr>
          <w:rFonts w:asciiTheme="minorHAnsi" w:hAnsiTheme="minorHAnsi"/>
          <w:color w:val="auto"/>
          <w:szCs w:val="24"/>
        </w:rPr>
        <w:t xml:space="preserve">mander wrote that </w:t>
      </w:r>
      <w:r w:rsidR="00BE2888" w:rsidRPr="00BE2888">
        <w:rPr>
          <w:rFonts w:asciiTheme="minorHAnsi" w:hAnsiTheme="minorHAnsi"/>
          <w:color w:val="auto"/>
          <w:szCs w:val="24"/>
        </w:rPr>
        <w:t>since the CI arrived in his unit</w:t>
      </w:r>
      <w:r w:rsidR="00C41000">
        <w:rPr>
          <w:rFonts w:asciiTheme="minorHAnsi" w:hAnsiTheme="minorHAnsi"/>
          <w:color w:val="auto"/>
          <w:szCs w:val="24"/>
        </w:rPr>
        <w:t>,</w:t>
      </w:r>
      <w:r w:rsidR="00BE2888" w:rsidRPr="00BE2888">
        <w:rPr>
          <w:rFonts w:asciiTheme="minorHAnsi" w:hAnsiTheme="minorHAnsi"/>
          <w:color w:val="auto"/>
          <w:szCs w:val="24"/>
        </w:rPr>
        <w:t xml:space="preserve"> her performance had been substandard.  </w:t>
      </w:r>
      <w:r w:rsidR="00A77B73" w:rsidRPr="00BE2888">
        <w:rPr>
          <w:rFonts w:asciiTheme="minorHAnsi" w:hAnsiTheme="minorHAnsi"/>
          <w:color w:val="auto"/>
          <w:szCs w:val="24"/>
        </w:rPr>
        <w:t>The Board noted that this was her first duty assignment and that the statement encompasses her performance prior to her first deployment.  PTSD was not found in the DES file nor was there evidence for concluding that it was even present while on active duty.</w:t>
      </w:r>
      <w:r w:rsidR="00A77B73" w:rsidRPr="00711350">
        <w:rPr>
          <w:rFonts w:asciiTheme="minorHAnsi" w:hAnsiTheme="minorHAnsi"/>
          <w:color w:val="auto"/>
          <w:szCs w:val="24"/>
        </w:rPr>
        <w:t xml:space="preserve">  </w:t>
      </w:r>
      <w:r w:rsidR="00815092" w:rsidRPr="00F6196E">
        <w:rPr>
          <w:rFonts w:asciiTheme="minorHAnsi" w:hAnsiTheme="minorHAnsi"/>
          <w:color w:val="auto"/>
          <w:szCs w:val="24"/>
        </w:rPr>
        <w:t xml:space="preserve">The Board does not have the authority under </w:t>
      </w:r>
      <w:proofErr w:type="spellStart"/>
      <w:r w:rsidR="00815092" w:rsidRPr="00F6196E">
        <w:rPr>
          <w:rFonts w:asciiTheme="minorHAnsi" w:hAnsiTheme="minorHAnsi"/>
          <w:color w:val="auto"/>
          <w:szCs w:val="24"/>
        </w:rPr>
        <w:t>DoDI</w:t>
      </w:r>
      <w:proofErr w:type="spellEnd"/>
      <w:r w:rsidR="00815092" w:rsidRPr="00F6196E">
        <w:rPr>
          <w:rFonts w:asciiTheme="minorHAnsi" w:hAnsiTheme="minorHAnsi"/>
          <w:color w:val="auto"/>
          <w:szCs w:val="24"/>
        </w:rPr>
        <w:t xml:space="preserve"> 6040.44 to render fitness or rating recommendations for any conditions not considered by the DES</w:t>
      </w:r>
      <w:r w:rsidR="00815092" w:rsidRPr="00B56F3D">
        <w:rPr>
          <w:rFonts w:asciiTheme="minorHAnsi" w:hAnsiTheme="minorHAnsi"/>
          <w:color w:val="auto"/>
          <w:szCs w:val="24"/>
        </w:rPr>
        <w:t xml:space="preserve">.  The Board, therefore, has no reasonable basis for recommending </w:t>
      </w:r>
      <w:r w:rsidR="00815092">
        <w:rPr>
          <w:rFonts w:asciiTheme="minorHAnsi" w:hAnsiTheme="minorHAnsi"/>
          <w:color w:val="auto"/>
          <w:szCs w:val="24"/>
        </w:rPr>
        <w:t>PTSD as an additional unfitting condition</w:t>
      </w:r>
      <w:r w:rsidR="00815092" w:rsidRPr="00B56F3D">
        <w:rPr>
          <w:rFonts w:asciiTheme="minorHAnsi" w:hAnsiTheme="minorHAnsi"/>
          <w:color w:val="auto"/>
          <w:szCs w:val="24"/>
        </w:rPr>
        <w:t xml:space="preserve"> for separation rating.</w:t>
      </w:r>
    </w:p>
    <w:p w:rsidR="00F6196E" w:rsidRDefault="00F6196E" w:rsidP="00510F9C">
      <w:pPr>
        <w:spacing w:line="240" w:lineRule="exact"/>
        <w:jc w:val="both"/>
        <w:rPr>
          <w:rFonts w:asciiTheme="minorHAnsi" w:hAnsiTheme="minorHAnsi"/>
          <w:color w:val="auto"/>
          <w:szCs w:val="24"/>
        </w:rPr>
      </w:pPr>
    </w:p>
    <w:p w:rsidR="00F6196E" w:rsidRDefault="00F6196E" w:rsidP="00510F9C">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sidRPr="00F6196E">
        <w:rPr>
          <w:rFonts w:asciiTheme="minorHAnsi" w:hAnsiTheme="minorHAnsi"/>
          <w:color w:val="auto"/>
          <w:szCs w:val="24"/>
        </w:rPr>
        <w:t>.</w:t>
      </w:r>
      <w:proofErr w:type="gramEnd"/>
      <w:r w:rsidRPr="00F6196E">
        <w:rPr>
          <w:rFonts w:asciiTheme="minorHAnsi" w:hAnsiTheme="minorHAnsi"/>
          <w:color w:val="auto"/>
          <w:szCs w:val="24"/>
        </w:rPr>
        <w:t xml:space="preserve">  Other conditions identified in the DES file were </w:t>
      </w:r>
      <w:r w:rsidR="005F3EE9" w:rsidRPr="005F3EE9">
        <w:rPr>
          <w:rFonts w:asciiTheme="minorHAnsi" w:hAnsiTheme="minorHAnsi"/>
          <w:color w:val="auto"/>
          <w:szCs w:val="24"/>
        </w:rPr>
        <w:t>back pain</w:t>
      </w:r>
      <w:r w:rsidRPr="005F3EE9">
        <w:rPr>
          <w:rFonts w:asciiTheme="minorHAnsi" w:hAnsiTheme="minorHAnsi"/>
          <w:color w:val="auto"/>
          <w:szCs w:val="24"/>
        </w:rPr>
        <w:t xml:space="preserve">, </w:t>
      </w:r>
      <w:r w:rsidR="005F3EE9" w:rsidRPr="005F3EE9">
        <w:rPr>
          <w:rFonts w:asciiTheme="minorHAnsi" w:hAnsiTheme="minorHAnsi"/>
          <w:color w:val="auto"/>
          <w:szCs w:val="24"/>
        </w:rPr>
        <w:t>left foot pain,</w:t>
      </w:r>
      <w:r w:rsidRPr="005F3EE9">
        <w:rPr>
          <w:rFonts w:asciiTheme="minorHAnsi" w:hAnsiTheme="minorHAnsi"/>
          <w:color w:val="auto"/>
          <w:szCs w:val="24"/>
        </w:rPr>
        <w:t xml:space="preserve"> </w:t>
      </w:r>
      <w:r w:rsidR="00815092">
        <w:rPr>
          <w:rFonts w:asciiTheme="minorHAnsi" w:hAnsiTheme="minorHAnsi"/>
          <w:color w:val="auto"/>
          <w:szCs w:val="24"/>
        </w:rPr>
        <w:t xml:space="preserve">dysuria, </w:t>
      </w:r>
      <w:r w:rsidR="00D93E31">
        <w:rPr>
          <w:rFonts w:asciiTheme="minorHAnsi" w:hAnsiTheme="minorHAnsi"/>
          <w:color w:val="auto"/>
          <w:szCs w:val="24"/>
        </w:rPr>
        <w:t xml:space="preserve">dizziness, </w:t>
      </w:r>
      <w:r w:rsidR="005F3EE9" w:rsidRPr="005F3EE9">
        <w:rPr>
          <w:rFonts w:asciiTheme="minorHAnsi" w:hAnsiTheme="minorHAnsi"/>
          <w:color w:val="auto"/>
          <w:szCs w:val="24"/>
        </w:rPr>
        <w:t>headach</w:t>
      </w:r>
      <w:r w:rsidR="003F0D08">
        <w:rPr>
          <w:rFonts w:asciiTheme="minorHAnsi" w:hAnsiTheme="minorHAnsi"/>
          <w:color w:val="auto"/>
          <w:szCs w:val="24"/>
        </w:rPr>
        <w:t>es, heartburn, and a sleep disturbance</w:t>
      </w:r>
      <w:r w:rsidRPr="00F6196E">
        <w:rPr>
          <w:rFonts w:asciiTheme="minorHAnsi" w:hAnsiTheme="minorHAnsi"/>
          <w:color w:val="auto"/>
          <w:szCs w:val="24"/>
        </w:rPr>
        <w:t>.  Several additional non-acute conditions or medical complaints were also documented.  None of these conditi</w:t>
      </w:r>
      <w:r w:rsidRPr="005F3EE9">
        <w:rPr>
          <w:rFonts w:asciiTheme="minorHAnsi" w:hAnsiTheme="minorHAnsi"/>
          <w:color w:val="auto"/>
          <w:szCs w:val="24"/>
        </w:rPr>
        <w:t>ons</w:t>
      </w:r>
      <w:r w:rsidRPr="00F6196E">
        <w:rPr>
          <w:rFonts w:asciiTheme="minorHAnsi" w:hAnsiTheme="minorHAnsi"/>
          <w:color w:val="auto"/>
          <w:szCs w:val="24"/>
        </w:rPr>
        <w:t xml:space="preserve"> were clinically </w:t>
      </w:r>
      <w:r w:rsidR="00815092">
        <w:rPr>
          <w:rFonts w:asciiTheme="minorHAnsi" w:hAnsiTheme="minorHAnsi"/>
          <w:color w:val="auto"/>
          <w:szCs w:val="24"/>
        </w:rPr>
        <w:t>significant</w:t>
      </w:r>
      <w:r w:rsidRPr="00F6196E">
        <w:rPr>
          <w:rFonts w:asciiTheme="minorHAnsi" w:hAnsiTheme="minorHAnsi"/>
          <w:color w:val="auto"/>
          <w:szCs w:val="24"/>
        </w:rPr>
        <w:t xml:space="preserve"> during the MEB period</w:t>
      </w:r>
      <w:r w:rsidR="00815092">
        <w:rPr>
          <w:rFonts w:asciiTheme="minorHAnsi" w:hAnsiTheme="minorHAnsi"/>
          <w:color w:val="auto"/>
          <w:szCs w:val="24"/>
        </w:rPr>
        <w:t xml:space="preserve"> and</w:t>
      </w:r>
      <w:r w:rsidRPr="00F6196E">
        <w:rPr>
          <w:rFonts w:asciiTheme="minorHAnsi" w:hAnsiTheme="minorHAnsi"/>
          <w:color w:val="auto"/>
          <w:szCs w:val="24"/>
        </w:rPr>
        <w:t xml:space="preserve"> none </w:t>
      </w:r>
      <w:r w:rsidRPr="005F3EE9">
        <w:rPr>
          <w:rFonts w:asciiTheme="minorHAnsi" w:hAnsiTheme="minorHAnsi"/>
          <w:color w:val="auto"/>
          <w:szCs w:val="24"/>
        </w:rPr>
        <w:t>carried attached profiles</w:t>
      </w:r>
      <w:r w:rsidR="00815092">
        <w:rPr>
          <w:rFonts w:asciiTheme="minorHAnsi" w:hAnsiTheme="minorHAnsi"/>
          <w:color w:val="auto"/>
          <w:szCs w:val="24"/>
        </w:rPr>
        <w:t xml:space="preserve">.  The commander’s statement noted several, but specifically noted a strong correlation with </w:t>
      </w:r>
      <w:r w:rsidR="00866362">
        <w:rPr>
          <w:rFonts w:asciiTheme="minorHAnsi" w:hAnsiTheme="minorHAnsi"/>
          <w:color w:val="auto"/>
          <w:szCs w:val="24"/>
        </w:rPr>
        <w:t>mandatory</w:t>
      </w:r>
      <w:r w:rsidR="00815092">
        <w:rPr>
          <w:rFonts w:asciiTheme="minorHAnsi" w:hAnsiTheme="minorHAnsi"/>
          <w:color w:val="auto"/>
          <w:szCs w:val="24"/>
        </w:rPr>
        <w:t xml:space="preserve"> formations and training.  </w:t>
      </w:r>
      <w:r w:rsidRPr="00F6196E">
        <w:rPr>
          <w:rFonts w:asciiTheme="minorHAnsi" w:hAnsiTheme="minorHAnsi"/>
          <w:color w:val="auto"/>
          <w:szCs w:val="24"/>
        </w:rPr>
        <w:t xml:space="preserve">These conditions were reviewed by the </w:t>
      </w:r>
      <w:r w:rsidR="006B4AA2">
        <w:rPr>
          <w:rFonts w:asciiTheme="minorHAnsi" w:hAnsiTheme="minorHAnsi"/>
          <w:color w:val="auto"/>
          <w:szCs w:val="24"/>
        </w:rPr>
        <w:t>a</w:t>
      </w:r>
      <w:r w:rsidR="003B4319">
        <w:rPr>
          <w:rFonts w:asciiTheme="minorHAnsi" w:hAnsiTheme="minorHAnsi"/>
          <w:color w:val="auto"/>
          <w:szCs w:val="24"/>
        </w:rPr>
        <w:t>ction officer</w:t>
      </w:r>
      <w:r w:rsidRPr="00F6196E">
        <w:rPr>
          <w:rFonts w:asciiTheme="minorHAnsi" w:hAnsiTheme="minorHAnsi"/>
          <w:color w:val="auto"/>
          <w:szCs w:val="24"/>
        </w:rPr>
        <w:t xml:space="preserve"> and considered by the Board.  It was determined that none could be argued as unfitting and subject to separation rating.  No conditions were </w:t>
      </w:r>
      <w:r w:rsidR="00C41000">
        <w:rPr>
          <w:rFonts w:asciiTheme="minorHAnsi" w:hAnsiTheme="minorHAnsi"/>
          <w:color w:val="auto"/>
          <w:szCs w:val="24"/>
        </w:rPr>
        <w:t>Service</w:t>
      </w:r>
      <w:r w:rsidRPr="00F6196E">
        <w:rPr>
          <w:rFonts w:asciiTheme="minorHAnsi" w:hAnsiTheme="minorHAnsi"/>
          <w:color w:val="auto"/>
          <w:szCs w:val="24"/>
        </w:rPr>
        <w:t xml:space="preserv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815092" w:rsidRPr="009C78FD" w:rsidRDefault="00C56FC8" w:rsidP="004C47D8">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815092">
        <w:rPr>
          <w:rFonts w:asciiTheme="minorHAnsi" w:eastAsiaTheme="minorHAnsi" w:hAnsiTheme="minorHAnsi"/>
          <w:color w:val="auto"/>
          <w:szCs w:val="24"/>
        </w:rPr>
        <w:t xml:space="preserve">  </w:t>
      </w:r>
      <w:r w:rsidR="00815092">
        <w:rPr>
          <w:rFonts w:cs="Arial"/>
          <w:color w:val="000000"/>
        </w:rPr>
        <w:t xml:space="preserve">In the matter of the bilateral knee and hip pain condition, the Board unanimously recommends no change from the PEB adjudication.  In the matter of the </w:t>
      </w:r>
      <w:r w:rsidR="00815092" w:rsidRPr="005F3EE9">
        <w:rPr>
          <w:rFonts w:asciiTheme="minorHAnsi" w:hAnsiTheme="minorHAnsi"/>
          <w:color w:val="auto"/>
          <w:szCs w:val="24"/>
        </w:rPr>
        <w:t xml:space="preserve">back pain, left foot pain, </w:t>
      </w:r>
      <w:r w:rsidR="00815092">
        <w:rPr>
          <w:rFonts w:asciiTheme="minorHAnsi" w:hAnsiTheme="minorHAnsi"/>
          <w:color w:val="auto"/>
          <w:szCs w:val="24"/>
        </w:rPr>
        <w:t xml:space="preserve">dysuria, dizziness, </w:t>
      </w:r>
      <w:r w:rsidR="00815092" w:rsidRPr="005F3EE9">
        <w:rPr>
          <w:rFonts w:asciiTheme="minorHAnsi" w:hAnsiTheme="minorHAnsi"/>
          <w:color w:val="auto"/>
          <w:szCs w:val="24"/>
        </w:rPr>
        <w:t>headach</w:t>
      </w:r>
      <w:r w:rsidR="00815092">
        <w:rPr>
          <w:rFonts w:asciiTheme="minorHAnsi" w:hAnsiTheme="minorHAnsi"/>
          <w:color w:val="auto"/>
          <w:szCs w:val="24"/>
        </w:rPr>
        <w:t>es, heartburn, and a sleep disturbance</w:t>
      </w:r>
      <w:r w:rsidR="00866362">
        <w:rPr>
          <w:rFonts w:asciiTheme="minorHAnsi" w:hAnsiTheme="minorHAnsi"/>
          <w:color w:val="auto"/>
          <w:szCs w:val="24"/>
        </w:rPr>
        <w:t>, PTSD</w:t>
      </w:r>
      <w:r w:rsidR="00815092">
        <w:rPr>
          <w:rFonts w:cs="Arial"/>
          <w:color w:val="000000"/>
        </w:rPr>
        <w:t xml:space="preserve"> or any other condition eligible for Board </w:t>
      </w:r>
      <w:r w:rsidR="00815092">
        <w:rPr>
          <w:rFonts w:cs="Arial"/>
          <w:color w:val="000000"/>
        </w:rPr>
        <w:lastRenderedPageBreak/>
        <w:t>consideration</w:t>
      </w:r>
      <w:r w:rsidR="00815092" w:rsidRPr="00E3004D">
        <w:rPr>
          <w:rFonts w:cs="Arial"/>
          <w:color w:val="auto"/>
        </w:rPr>
        <w:t xml:space="preserve">, </w:t>
      </w:r>
      <w:r w:rsidR="00815092" w:rsidRPr="00E3004D">
        <w:rPr>
          <w:rFonts w:cs="Calibri"/>
          <w:color w:val="auto"/>
          <w:szCs w:val="24"/>
        </w:rPr>
        <w:t>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B4AA2" w:rsidRDefault="00C56FC8" w:rsidP="00A77B73">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77B73">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4101B2" w:rsidRPr="00AF01B2" w:rsidTr="00103948">
        <w:trPr>
          <w:trHeight w:val="206"/>
          <w:jc w:val="center"/>
        </w:trPr>
        <w:tc>
          <w:tcPr>
            <w:tcW w:w="6660" w:type="dxa"/>
            <w:gridSpan w:val="2"/>
            <w:tcBorders>
              <w:right w:val="single" w:sz="4" w:space="0" w:color="auto"/>
            </w:tcBorders>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4" w:type="dxa"/>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4101B2" w:rsidRPr="00AF01B2" w:rsidTr="00103948">
        <w:trPr>
          <w:jc w:val="center"/>
        </w:trPr>
        <w:tc>
          <w:tcPr>
            <w:tcW w:w="6660" w:type="dxa"/>
            <w:gridSpan w:val="2"/>
            <w:tcBorders>
              <w:right w:val="single" w:sz="4" w:space="0" w:color="auto"/>
            </w:tcBorders>
            <w:vAlign w:val="center"/>
          </w:tcPr>
          <w:p w:rsidR="004101B2" w:rsidRPr="00AF01B2" w:rsidRDefault="005F3EE9"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Bilateral Hip and Knee Pain</w:t>
            </w:r>
          </w:p>
        </w:tc>
        <w:tc>
          <w:tcPr>
            <w:tcW w:w="1724" w:type="dxa"/>
            <w:tcBorders>
              <w:left w:val="single" w:sz="4" w:space="0" w:color="auto"/>
            </w:tcBorders>
            <w:vAlign w:val="center"/>
          </w:tcPr>
          <w:p w:rsidR="004101B2" w:rsidRPr="00AF01B2" w:rsidRDefault="00880017"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w:t>
            </w:r>
            <w:r w:rsidR="005F3EE9">
              <w:rPr>
                <w:rFonts w:asciiTheme="minorHAnsi" w:hAnsiTheme="minorHAnsi"/>
                <w:color w:val="auto"/>
                <w:szCs w:val="24"/>
              </w:rPr>
              <w:t>9-5003</w:t>
            </w:r>
          </w:p>
        </w:tc>
        <w:tc>
          <w:tcPr>
            <w:tcW w:w="1084" w:type="dxa"/>
            <w:vAlign w:val="center"/>
          </w:tcPr>
          <w:p w:rsidR="004101B2" w:rsidRPr="00A77B73" w:rsidRDefault="00911490" w:rsidP="00103948">
            <w:pPr>
              <w:tabs>
                <w:tab w:val="left" w:pos="288"/>
                <w:tab w:val="left" w:pos="4752"/>
              </w:tabs>
              <w:spacing w:line="240" w:lineRule="exact"/>
              <w:jc w:val="center"/>
              <w:rPr>
                <w:rFonts w:asciiTheme="minorHAnsi" w:hAnsiTheme="minorHAnsi"/>
                <w:color w:val="auto"/>
                <w:szCs w:val="24"/>
              </w:rPr>
            </w:pPr>
            <w:r w:rsidRPr="00A77B73">
              <w:rPr>
                <w:rFonts w:asciiTheme="minorHAnsi" w:hAnsiTheme="minorHAnsi"/>
                <w:color w:val="auto"/>
                <w:szCs w:val="24"/>
              </w:rPr>
              <w:t>0</w:t>
            </w:r>
            <w:r w:rsidR="00182A4C" w:rsidRPr="00A77B73">
              <w:rPr>
                <w:rFonts w:asciiTheme="minorHAnsi" w:hAnsiTheme="minorHAnsi"/>
                <w:color w:val="auto"/>
                <w:szCs w:val="24"/>
              </w:rPr>
              <w:t>%</w:t>
            </w:r>
          </w:p>
        </w:tc>
      </w:tr>
      <w:tr w:rsidR="004101B2" w:rsidRPr="00AF01B2" w:rsidTr="00103948">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A77B73" w:rsidRDefault="00911490" w:rsidP="00103948">
            <w:pPr>
              <w:tabs>
                <w:tab w:val="left" w:pos="288"/>
                <w:tab w:val="left" w:pos="4752"/>
              </w:tabs>
              <w:spacing w:line="240" w:lineRule="exact"/>
              <w:jc w:val="center"/>
              <w:rPr>
                <w:rFonts w:asciiTheme="minorHAnsi" w:hAnsiTheme="minorHAnsi"/>
                <w:b/>
                <w:color w:val="auto"/>
                <w:szCs w:val="24"/>
              </w:rPr>
            </w:pPr>
            <w:r w:rsidRPr="00A77B73">
              <w:rPr>
                <w:rFonts w:asciiTheme="minorHAnsi" w:hAnsiTheme="minorHAnsi"/>
                <w:b/>
                <w:color w:val="auto"/>
                <w:szCs w:val="24"/>
              </w:rPr>
              <w:t>0</w:t>
            </w:r>
            <w:r w:rsidR="004101B2" w:rsidRPr="00A77B73">
              <w:rPr>
                <w:rFonts w:asciiTheme="minorHAnsi" w:hAnsiTheme="minorHAnsi"/>
                <w:b/>
                <w:color w:val="auto"/>
                <w:szCs w:val="24"/>
              </w:rPr>
              <w:t>%</w:t>
            </w:r>
          </w:p>
        </w:tc>
      </w:tr>
    </w:tbl>
    <w:p w:rsidR="00A83C15" w:rsidRPr="000B0AD2" w:rsidRDefault="00A83C15" w:rsidP="00510F9C">
      <w:pPr>
        <w:tabs>
          <w:tab w:val="left" w:pos="288"/>
          <w:tab w:val="left" w:pos="1710"/>
        </w:tabs>
        <w:spacing w:line="240" w:lineRule="exact"/>
        <w:jc w:val="both"/>
        <w:rPr>
          <w:rFonts w:asciiTheme="minorHAnsi" w:hAnsiTheme="minorHAnsi"/>
          <w:color w:val="auto"/>
          <w:szCs w:val="24"/>
          <w:highlight w:val="yellow"/>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44B31">
        <w:rPr>
          <w:rFonts w:asciiTheme="minorHAnsi" w:hAnsiTheme="minorHAnsi"/>
          <w:color w:val="auto"/>
        </w:rPr>
        <w:t>110328</w:t>
      </w:r>
      <w:r w:rsidR="00C41000">
        <w:rPr>
          <w:rFonts w:asciiTheme="minorHAnsi" w:hAnsiTheme="minorHAnsi"/>
          <w:color w:val="auto"/>
        </w:rPr>
        <w:t>, w/</w:t>
      </w:r>
      <w:proofErr w:type="spellStart"/>
      <w:r w:rsidR="00C41000">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C41000">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C41000">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0C4009" w:rsidRDefault="000C4009">
      <w:pPr>
        <w:rPr>
          <w:rFonts w:asciiTheme="minorHAnsi" w:hAnsiTheme="minorHAnsi"/>
          <w:color w:val="auto"/>
        </w:rPr>
      </w:pPr>
      <w:r>
        <w:rPr>
          <w:rFonts w:asciiTheme="minorHAnsi" w:hAnsiTheme="minorHAnsi"/>
          <w:color w:val="auto"/>
        </w:rPr>
        <w:br w:type="page"/>
      </w:r>
    </w:p>
    <w:p w:rsidR="000C4009" w:rsidRPr="00A92508" w:rsidRDefault="000C4009" w:rsidP="000C4009">
      <w:pPr>
        <w:pStyle w:val="Header"/>
        <w:tabs>
          <w:tab w:val="clear" w:pos="4320"/>
          <w:tab w:val="clear" w:pos="8640"/>
        </w:tabs>
        <w:rPr>
          <w:color w:val="auto"/>
        </w:rPr>
      </w:pPr>
      <w:r w:rsidRPr="00A92508">
        <w:rPr>
          <w:color w:val="auto"/>
        </w:rPr>
        <w:lastRenderedPageBreak/>
        <w:t>SFMR-RB</w:t>
      </w:r>
      <w:r w:rsidRPr="00A92508">
        <w:rPr>
          <w:color w:val="auto"/>
        </w:rPr>
        <w:tab/>
      </w:r>
      <w:r w:rsidRPr="00A92508">
        <w:rPr>
          <w:color w:val="auto"/>
        </w:rPr>
        <w:tab/>
      </w:r>
      <w:r w:rsidRPr="00A92508">
        <w:rPr>
          <w:color w:val="auto"/>
        </w:rPr>
        <w:tab/>
      </w:r>
      <w:r w:rsidRPr="00A92508">
        <w:rPr>
          <w:color w:val="auto"/>
        </w:rPr>
        <w:tab/>
      </w:r>
      <w:r w:rsidRPr="00A92508">
        <w:rPr>
          <w:color w:val="auto"/>
        </w:rPr>
        <w:tab/>
      </w:r>
      <w:r w:rsidRPr="00A92508">
        <w:rPr>
          <w:color w:val="auto"/>
        </w:rPr>
        <w:tab/>
      </w:r>
      <w:r w:rsidRPr="00A92508">
        <w:rPr>
          <w:color w:val="auto"/>
        </w:rPr>
        <w:tab/>
      </w:r>
      <w:r w:rsidRPr="00A92508">
        <w:rPr>
          <w:color w:val="auto"/>
        </w:rPr>
        <w:tab/>
      </w:r>
      <w:r w:rsidRPr="00A92508">
        <w:rPr>
          <w:color w:val="auto"/>
        </w:rPr>
        <w:tab/>
      </w:r>
    </w:p>
    <w:p w:rsidR="000C4009" w:rsidRPr="00A92508" w:rsidRDefault="000C4009" w:rsidP="000C4009">
      <w:pPr>
        <w:pStyle w:val="Header"/>
        <w:tabs>
          <w:tab w:val="clear" w:pos="4320"/>
          <w:tab w:val="clear" w:pos="8640"/>
        </w:tabs>
        <w:rPr>
          <w:color w:val="auto"/>
        </w:rPr>
      </w:pPr>
    </w:p>
    <w:p w:rsidR="000C4009" w:rsidRPr="00A92508" w:rsidRDefault="000C4009" w:rsidP="000C4009">
      <w:pPr>
        <w:rPr>
          <w:color w:val="auto"/>
        </w:rPr>
      </w:pPr>
    </w:p>
    <w:p w:rsidR="000C4009" w:rsidRPr="00A92508" w:rsidRDefault="000C4009" w:rsidP="000C4009">
      <w:pPr>
        <w:rPr>
          <w:color w:val="auto"/>
        </w:rPr>
      </w:pPr>
      <w:r w:rsidRPr="00A92508">
        <w:rPr>
          <w:color w:val="auto"/>
        </w:rPr>
        <w:t xml:space="preserve">MEMORANDUM FOR Commander, US Army Physical Disability Agency </w:t>
      </w:r>
    </w:p>
    <w:p w:rsidR="000C4009" w:rsidRPr="00A92508" w:rsidRDefault="000C4009" w:rsidP="000C4009">
      <w:pPr>
        <w:rPr>
          <w:color w:val="auto"/>
        </w:rPr>
      </w:pPr>
      <w:r w:rsidRPr="00A92508">
        <w:rPr>
          <w:color w:val="auto"/>
        </w:rPr>
        <w:t>Crystal Drive, Suite 300, Arlington, VA 22202</w:t>
      </w:r>
    </w:p>
    <w:p w:rsidR="000C4009" w:rsidRPr="00A92508" w:rsidRDefault="000C4009" w:rsidP="000C4009">
      <w:pPr>
        <w:rPr>
          <w:color w:val="auto"/>
        </w:rPr>
      </w:pPr>
    </w:p>
    <w:p w:rsidR="000C4009" w:rsidRPr="00A92508" w:rsidRDefault="000C4009" w:rsidP="000C4009">
      <w:pPr>
        <w:ind w:right="-180"/>
        <w:rPr>
          <w:color w:val="auto"/>
        </w:rPr>
      </w:pPr>
      <w:r w:rsidRPr="00A92508">
        <w:rPr>
          <w:color w:val="auto"/>
        </w:rPr>
        <w:t>SUBJECT:  Department of Defense Physical Disability Board of Review Recommendation for (PD201100190)</w:t>
      </w:r>
    </w:p>
    <w:p w:rsidR="000C4009" w:rsidRPr="00A92508" w:rsidRDefault="000C4009" w:rsidP="000C4009">
      <w:pPr>
        <w:pStyle w:val="Header"/>
        <w:tabs>
          <w:tab w:val="clear" w:pos="4320"/>
          <w:tab w:val="clear" w:pos="8640"/>
        </w:tabs>
        <w:rPr>
          <w:color w:val="auto"/>
        </w:rPr>
      </w:pPr>
    </w:p>
    <w:p w:rsidR="000C4009" w:rsidRPr="00A92508" w:rsidRDefault="000C4009" w:rsidP="000C4009">
      <w:pPr>
        <w:rPr>
          <w:color w:val="auto"/>
        </w:rPr>
      </w:pPr>
    </w:p>
    <w:p w:rsidR="000C4009" w:rsidRPr="00A92508" w:rsidRDefault="000C4009" w:rsidP="000C4009">
      <w:pPr>
        <w:rPr>
          <w:color w:val="auto"/>
        </w:rPr>
      </w:pPr>
      <w:r w:rsidRPr="00A92508">
        <w:rPr>
          <w:color w:val="auto"/>
        </w:rPr>
        <w:t>I have reviewed the enclosed Department of Defense Physical Disability Board of Review (</w:t>
      </w:r>
      <w:proofErr w:type="spellStart"/>
      <w:r w:rsidRPr="00A92508">
        <w:rPr>
          <w:color w:val="auto"/>
        </w:rPr>
        <w:t>DoD</w:t>
      </w:r>
      <w:proofErr w:type="spellEnd"/>
      <w:r w:rsidRPr="00A92508">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0C4009" w:rsidRPr="00A92508" w:rsidRDefault="000C4009" w:rsidP="000C4009">
      <w:pPr>
        <w:rPr>
          <w:color w:val="auto"/>
        </w:rPr>
      </w:pPr>
      <w:r w:rsidRPr="00A92508">
        <w:rPr>
          <w:color w:val="auto"/>
        </w:rPr>
        <w:t>This decision is final.  The individual concerned, counsel (if any), and any Members of Congress who have shown interest in this application have been notified of this decision by mail.</w:t>
      </w:r>
    </w:p>
    <w:p w:rsidR="000C4009" w:rsidRPr="00A92508" w:rsidRDefault="000C4009" w:rsidP="000C4009">
      <w:pPr>
        <w:rPr>
          <w:color w:val="auto"/>
        </w:rPr>
      </w:pPr>
    </w:p>
    <w:p w:rsidR="000C4009" w:rsidRPr="00A92508" w:rsidRDefault="000C4009" w:rsidP="000C4009">
      <w:pPr>
        <w:rPr>
          <w:color w:val="auto"/>
        </w:rPr>
      </w:pPr>
      <w:r w:rsidRPr="00A92508">
        <w:rPr>
          <w:color w:val="auto"/>
        </w:rPr>
        <w:t xml:space="preserve"> BY ORDER OF THE SECRETARY OF THE ARMY:</w:t>
      </w:r>
    </w:p>
    <w:p w:rsidR="000C4009" w:rsidRPr="00A92508" w:rsidRDefault="000C4009" w:rsidP="000C4009">
      <w:pPr>
        <w:rPr>
          <w:color w:val="auto"/>
        </w:rPr>
      </w:pPr>
    </w:p>
    <w:p w:rsidR="000C4009" w:rsidRPr="00A92508" w:rsidRDefault="000C4009" w:rsidP="000C4009">
      <w:pPr>
        <w:rPr>
          <w:color w:val="auto"/>
        </w:rPr>
      </w:pPr>
    </w:p>
    <w:p w:rsidR="000C4009" w:rsidRPr="00A92508" w:rsidRDefault="000C4009" w:rsidP="000C4009">
      <w:pPr>
        <w:pStyle w:val="Header"/>
        <w:tabs>
          <w:tab w:val="clear" w:pos="4320"/>
          <w:tab w:val="clear" w:pos="8640"/>
        </w:tabs>
        <w:rPr>
          <w:color w:val="auto"/>
        </w:rPr>
      </w:pPr>
    </w:p>
    <w:p w:rsidR="000C4009" w:rsidRPr="00A92508" w:rsidRDefault="000C4009" w:rsidP="000C4009">
      <w:pPr>
        <w:rPr>
          <w:color w:val="auto"/>
        </w:rPr>
      </w:pPr>
    </w:p>
    <w:p w:rsidR="000C4009" w:rsidRPr="00A92508" w:rsidRDefault="000C4009" w:rsidP="000C4009">
      <w:pPr>
        <w:rPr>
          <w:color w:val="auto"/>
        </w:rPr>
      </w:pPr>
      <w:bookmarkStart w:id="0" w:name="OLE_LINK3"/>
      <w:bookmarkStart w:id="1" w:name="OLE_LINK4"/>
      <w:r w:rsidRPr="00A92508">
        <w:rPr>
          <w:color w:val="auto"/>
        </w:rPr>
        <w:t>Encl</w:t>
      </w:r>
      <w:r w:rsidRPr="00A92508">
        <w:rPr>
          <w:color w:val="auto"/>
        </w:rPr>
        <w:tab/>
      </w:r>
      <w:r w:rsidRPr="00A92508">
        <w:rPr>
          <w:color w:val="auto"/>
        </w:rPr>
        <w:tab/>
      </w:r>
      <w:r w:rsidRPr="00A92508">
        <w:rPr>
          <w:color w:val="auto"/>
        </w:rPr>
        <w:tab/>
      </w:r>
      <w:r w:rsidRPr="00A92508">
        <w:rPr>
          <w:color w:val="auto"/>
        </w:rPr>
        <w:tab/>
      </w:r>
      <w:r w:rsidRPr="00A92508">
        <w:rPr>
          <w:color w:val="auto"/>
        </w:rPr>
        <w:tab/>
      </w:r>
      <w:r w:rsidRPr="00A92508">
        <w:rPr>
          <w:color w:val="auto"/>
        </w:rPr>
        <w:tab/>
        <w:t xml:space="preserve">     </w:t>
      </w:r>
      <w:bookmarkEnd w:id="0"/>
      <w:bookmarkEnd w:id="1"/>
    </w:p>
    <w:p w:rsidR="000C4009" w:rsidRPr="00A92508" w:rsidRDefault="000C4009" w:rsidP="000C4009">
      <w:pPr>
        <w:rPr>
          <w:color w:val="auto"/>
        </w:rPr>
      </w:pPr>
    </w:p>
    <w:p w:rsidR="000C4009" w:rsidRPr="00A92508" w:rsidRDefault="000C4009" w:rsidP="000C4009">
      <w:pPr>
        <w:rPr>
          <w:color w:val="auto"/>
        </w:rPr>
      </w:pPr>
      <w:r w:rsidRPr="00A92508">
        <w:rPr>
          <w:color w:val="auto"/>
        </w:rPr>
        <w:t xml:space="preserve">CF: </w:t>
      </w:r>
    </w:p>
    <w:p w:rsidR="000C4009" w:rsidRPr="00A92508" w:rsidRDefault="000C4009" w:rsidP="000C4009">
      <w:pPr>
        <w:rPr>
          <w:color w:val="auto"/>
        </w:rPr>
      </w:pPr>
      <w:r w:rsidRPr="00A92508">
        <w:rPr>
          <w:color w:val="auto"/>
        </w:rPr>
        <w:t xml:space="preserve">(  ) </w:t>
      </w:r>
      <w:proofErr w:type="spellStart"/>
      <w:proofErr w:type="gramStart"/>
      <w:r w:rsidRPr="00A92508">
        <w:rPr>
          <w:color w:val="auto"/>
        </w:rPr>
        <w:t>DoD</w:t>
      </w:r>
      <w:proofErr w:type="spellEnd"/>
      <w:proofErr w:type="gramEnd"/>
      <w:r w:rsidRPr="00A92508">
        <w:rPr>
          <w:color w:val="auto"/>
        </w:rPr>
        <w:t xml:space="preserve"> PDBR</w:t>
      </w:r>
    </w:p>
    <w:p w:rsidR="000C4009" w:rsidRPr="00A92508" w:rsidRDefault="000C4009" w:rsidP="000C4009">
      <w:pPr>
        <w:rPr>
          <w:color w:val="auto"/>
        </w:rPr>
      </w:pPr>
      <w:r w:rsidRPr="00A92508">
        <w:rPr>
          <w:color w:val="auto"/>
        </w:rPr>
        <w:t>(  ) DVA</w:t>
      </w:r>
    </w:p>
    <w:p w:rsidR="000C4009" w:rsidRDefault="000C4009" w:rsidP="000C4009"/>
    <w:p w:rsidR="00A44141" w:rsidRDefault="00A44141" w:rsidP="005F3EE9">
      <w:pPr>
        <w:tabs>
          <w:tab w:val="left" w:pos="0"/>
          <w:tab w:val="left" w:pos="4320"/>
        </w:tabs>
        <w:spacing w:line="240" w:lineRule="exact"/>
        <w:jc w:val="both"/>
        <w:rPr>
          <w:rFonts w:asciiTheme="minorHAnsi" w:hAnsiTheme="minorHAnsi"/>
          <w:color w:val="auto"/>
        </w:rPr>
      </w:pPr>
    </w:p>
    <w:p w:rsidR="009E2EF2" w:rsidRDefault="009E2EF2"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E2EF2" w:rsidRDefault="009E2EF2"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E2EF2" w:rsidRDefault="009E2EF2"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9E2EF2"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80" w:rsidRDefault="00FC0F80">
      <w:r>
        <w:separator/>
      </w:r>
    </w:p>
  </w:endnote>
  <w:endnote w:type="continuationSeparator" w:id="0">
    <w:p w:rsidR="00FC0F80" w:rsidRDefault="00FC0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80017" w:rsidRPr="00684CE6" w:rsidRDefault="00A46A5D" w:rsidP="00F65ED5">
        <w:pPr>
          <w:pStyle w:val="Footer"/>
          <w:jc w:val="right"/>
          <w:rPr>
            <w:color w:val="auto"/>
          </w:rPr>
        </w:pPr>
        <w:r w:rsidRPr="00844B31">
          <w:rPr>
            <w:color w:val="auto"/>
          </w:rPr>
          <w:fldChar w:fldCharType="begin"/>
        </w:r>
        <w:r w:rsidR="00880017" w:rsidRPr="00844B31">
          <w:rPr>
            <w:color w:val="auto"/>
          </w:rPr>
          <w:instrText xml:space="preserve"> PAGE   \* MERGEFORMAT </w:instrText>
        </w:r>
        <w:r w:rsidRPr="00844B31">
          <w:rPr>
            <w:color w:val="auto"/>
          </w:rPr>
          <w:fldChar w:fldCharType="separate"/>
        </w:r>
        <w:r w:rsidR="00A92508">
          <w:rPr>
            <w:noProof/>
            <w:color w:val="auto"/>
          </w:rPr>
          <w:t>6</w:t>
        </w:r>
        <w:r w:rsidRPr="00844B31">
          <w:rPr>
            <w:color w:val="auto"/>
          </w:rPr>
          <w:fldChar w:fldCharType="end"/>
        </w:r>
        <w:r w:rsidR="00880017" w:rsidRPr="00844B31">
          <w:rPr>
            <w:color w:val="auto"/>
          </w:rPr>
          <w:t xml:space="preserve">                                                           PD11/00190</w:t>
        </w:r>
      </w:p>
    </w:sdtContent>
  </w:sdt>
  <w:p w:rsidR="00880017" w:rsidRPr="00684CE6" w:rsidRDefault="0088001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17" w:rsidRPr="00DB4A6D" w:rsidRDefault="00880017" w:rsidP="00DB4A6D">
    <w:pPr>
      <w:pStyle w:val="Footer"/>
      <w:rPr>
        <w:color w:val="auto"/>
      </w:rPr>
    </w:pPr>
    <w:r w:rsidRPr="00DB4A6D">
      <w:rPr>
        <w:color w:val="auto"/>
      </w:rPr>
      <w:tab/>
      <w:t>1</w:t>
    </w:r>
  </w:p>
  <w:p w:rsidR="00880017" w:rsidRPr="009F020F" w:rsidRDefault="00880017"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80" w:rsidRDefault="00FC0F80">
      <w:r>
        <w:separator/>
      </w:r>
    </w:p>
  </w:footnote>
  <w:footnote w:type="continuationSeparator" w:id="0">
    <w:p w:rsidR="00FC0F80" w:rsidRDefault="00FC0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200E5"/>
    <w:multiLevelType w:val="hybridMultilevel"/>
    <w:tmpl w:val="C0AC1C66"/>
    <w:lvl w:ilvl="0" w:tplc="D2886A42">
      <w:start w:val="527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E1FA7"/>
    <w:multiLevelType w:val="hybridMultilevel"/>
    <w:tmpl w:val="297617AA"/>
    <w:lvl w:ilvl="0" w:tplc="38B011EE">
      <w:start w:val="527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20"/>
  </w:num>
  <w:num w:numId="16">
    <w:abstractNumId w:val="1"/>
  </w:num>
  <w:num w:numId="17">
    <w:abstractNumId w:val="18"/>
  </w:num>
  <w:num w:numId="18">
    <w:abstractNumId w:val="9"/>
  </w:num>
  <w:num w:numId="19">
    <w:abstractNumId w:val="12"/>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8833"/>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4EE"/>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6E92"/>
    <w:rsid w:val="000575C5"/>
    <w:rsid w:val="000577C9"/>
    <w:rsid w:val="00060FFD"/>
    <w:rsid w:val="0006431E"/>
    <w:rsid w:val="000652EA"/>
    <w:rsid w:val="00065E21"/>
    <w:rsid w:val="000673ED"/>
    <w:rsid w:val="00070DED"/>
    <w:rsid w:val="00072433"/>
    <w:rsid w:val="00073EF7"/>
    <w:rsid w:val="0007488B"/>
    <w:rsid w:val="00075702"/>
    <w:rsid w:val="00075A0C"/>
    <w:rsid w:val="000775C2"/>
    <w:rsid w:val="000806AD"/>
    <w:rsid w:val="00080BDF"/>
    <w:rsid w:val="00082482"/>
    <w:rsid w:val="000825A4"/>
    <w:rsid w:val="00084CF2"/>
    <w:rsid w:val="00085D7B"/>
    <w:rsid w:val="0008708B"/>
    <w:rsid w:val="000878FE"/>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009"/>
    <w:rsid w:val="000C45C6"/>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4FCF"/>
    <w:rsid w:val="000E5577"/>
    <w:rsid w:val="000E7034"/>
    <w:rsid w:val="000F02BE"/>
    <w:rsid w:val="000F0928"/>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3D56"/>
    <w:rsid w:val="00114F20"/>
    <w:rsid w:val="0011590B"/>
    <w:rsid w:val="001210D0"/>
    <w:rsid w:val="001211AF"/>
    <w:rsid w:val="001219DF"/>
    <w:rsid w:val="0012220B"/>
    <w:rsid w:val="00122ABE"/>
    <w:rsid w:val="001231DC"/>
    <w:rsid w:val="0012489B"/>
    <w:rsid w:val="001272AE"/>
    <w:rsid w:val="00130756"/>
    <w:rsid w:val="001315DD"/>
    <w:rsid w:val="00133D03"/>
    <w:rsid w:val="00134F45"/>
    <w:rsid w:val="0013525F"/>
    <w:rsid w:val="00135385"/>
    <w:rsid w:val="001364D1"/>
    <w:rsid w:val="001374C7"/>
    <w:rsid w:val="00140A9C"/>
    <w:rsid w:val="001421FD"/>
    <w:rsid w:val="001425C8"/>
    <w:rsid w:val="00142EBA"/>
    <w:rsid w:val="00143B79"/>
    <w:rsid w:val="00145965"/>
    <w:rsid w:val="00147371"/>
    <w:rsid w:val="00150B8A"/>
    <w:rsid w:val="00150DCB"/>
    <w:rsid w:val="00151912"/>
    <w:rsid w:val="00153740"/>
    <w:rsid w:val="00153D88"/>
    <w:rsid w:val="001541C5"/>
    <w:rsid w:val="0015623F"/>
    <w:rsid w:val="00156585"/>
    <w:rsid w:val="00156BA9"/>
    <w:rsid w:val="001611E3"/>
    <w:rsid w:val="00161642"/>
    <w:rsid w:val="00161761"/>
    <w:rsid w:val="00166182"/>
    <w:rsid w:val="0017139A"/>
    <w:rsid w:val="0017228B"/>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73F"/>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3F5E"/>
    <w:rsid w:val="001D4F88"/>
    <w:rsid w:val="001D68CF"/>
    <w:rsid w:val="001D6A8C"/>
    <w:rsid w:val="001D7A56"/>
    <w:rsid w:val="001E15C0"/>
    <w:rsid w:val="001E18E0"/>
    <w:rsid w:val="001E18E2"/>
    <w:rsid w:val="001E19D0"/>
    <w:rsid w:val="001E2A30"/>
    <w:rsid w:val="001E2FF1"/>
    <w:rsid w:val="001E41FE"/>
    <w:rsid w:val="001E635C"/>
    <w:rsid w:val="001F0297"/>
    <w:rsid w:val="001F295A"/>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6CF6"/>
    <w:rsid w:val="00217606"/>
    <w:rsid w:val="00217C09"/>
    <w:rsid w:val="00220F5C"/>
    <w:rsid w:val="002216BF"/>
    <w:rsid w:val="00221B9B"/>
    <w:rsid w:val="00222268"/>
    <w:rsid w:val="00222DFA"/>
    <w:rsid w:val="00225080"/>
    <w:rsid w:val="00225196"/>
    <w:rsid w:val="00225CB4"/>
    <w:rsid w:val="00226B1A"/>
    <w:rsid w:val="00227F0B"/>
    <w:rsid w:val="0023049F"/>
    <w:rsid w:val="002310C3"/>
    <w:rsid w:val="00231694"/>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06F"/>
    <w:rsid w:val="002572BD"/>
    <w:rsid w:val="00257AFF"/>
    <w:rsid w:val="00257DE5"/>
    <w:rsid w:val="00260531"/>
    <w:rsid w:val="00260B9A"/>
    <w:rsid w:val="00262EA5"/>
    <w:rsid w:val="0026318D"/>
    <w:rsid w:val="00263F41"/>
    <w:rsid w:val="00264148"/>
    <w:rsid w:val="002660AF"/>
    <w:rsid w:val="00270864"/>
    <w:rsid w:val="002712F7"/>
    <w:rsid w:val="0027159C"/>
    <w:rsid w:val="00271FFF"/>
    <w:rsid w:val="002722F2"/>
    <w:rsid w:val="00274549"/>
    <w:rsid w:val="00274E46"/>
    <w:rsid w:val="002752AE"/>
    <w:rsid w:val="002769AF"/>
    <w:rsid w:val="00276C86"/>
    <w:rsid w:val="00276FD0"/>
    <w:rsid w:val="00277217"/>
    <w:rsid w:val="002810A4"/>
    <w:rsid w:val="00282DB6"/>
    <w:rsid w:val="002838C5"/>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2D29"/>
    <w:rsid w:val="002C34F6"/>
    <w:rsid w:val="002C3B6D"/>
    <w:rsid w:val="002C5D9D"/>
    <w:rsid w:val="002C5F10"/>
    <w:rsid w:val="002C6977"/>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2B6"/>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569C"/>
    <w:rsid w:val="003463BF"/>
    <w:rsid w:val="0034669F"/>
    <w:rsid w:val="00351498"/>
    <w:rsid w:val="00352B22"/>
    <w:rsid w:val="00352CBF"/>
    <w:rsid w:val="00354547"/>
    <w:rsid w:val="003549F5"/>
    <w:rsid w:val="00355BE9"/>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B61"/>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2BB4"/>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6214"/>
    <w:rsid w:val="003F070E"/>
    <w:rsid w:val="003F0D08"/>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2EF4"/>
    <w:rsid w:val="004435BE"/>
    <w:rsid w:val="0044384F"/>
    <w:rsid w:val="0044411E"/>
    <w:rsid w:val="00444472"/>
    <w:rsid w:val="00444F80"/>
    <w:rsid w:val="00445599"/>
    <w:rsid w:val="004457AF"/>
    <w:rsid w:val="00446018"/>
    <w:rsid w:val="004479D0"/>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0D39"/>
    <w:rsid w:val="004718E7"/>
    <w:rsid w:val="00472289"/>
    <w:rsid w:val="00472535"/>
    <w:rsid w:val="004761CC"/>
    <w:rsid w:val="004766C9"/>
    <w:rsid w:val="00480D4A"/>
    <w:rsid w:val="00481DA1"/>
    <w:rsid w:val="00483A2B"/>
    <w:rsid w:val="00484212"/>
    <w:rsid w:val="00484BA9"/>
    <w:rsid w:val="0048599A"/>
    <w:rsid w:val="00486818"/>
    <w:rsid w:val="00490A3D"/>
    <w:rsid w:val="0049255F"/>
    <w:rsid w:val="0049445D"/>
    <w:rsid w:val="00495350"/>
    <w:rsid w:val="00495E3C"/>
    <w:rsid w:val="00496F6D"/>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26F6"/>
    <w:rsid w:val="004C47D5"/>
    <w:rsid w:val="004C47D8"/>
    <w:rsid w:val="004C4CAF"/>
    <w:rsid w:val="004C5E33"/>
    <w:rsid w:val="004C60A3"/>
    <w:rsid w:val="004C6CDA"/>
    <w:rsid w:val="004D01B3"/>
    <w:rsid w:val="004D10D4"/>
    <w:rsid w:val="004D16BD"/>
    <w:rsid w:val="004D23A6"/>
    <w:rsid w:val="004D2AAB"/>
    <w:rsid w:val="004D6E90"/>
    <w:rsid w:val="004D6F2B"/>
    <w:rsid w:val="004E0248"/>
    <w:rsid w:val="004E21A3"/>
    <w:rsid w:val="004E32EA"/>
    <w:rsid w:val="004E6866"/>
    <w:rsid w:val="004F056E"/>
    <w:rsid w:val="004F0C58"/>
    <w:rsid w:val="004F3222"/>
    <w:rsid w:val="004F3639"/>
    <w:rsid w:val="004F3BFA"/>
    <w:rsid w:val="004F4E3C"/>
    <w:rsid w:val="004F565A"/>
    <w:rsid w:val="004F5A1A"/>
    <w:rsid w:val="004F77A3"/>
    <w:rsid w:val="004F7E2E"/>
    <w:rsid w:val="005000AB"/>
    <w:rsid w:val="00500F3C"/>
    <w:rsid w:val="005025EE"/>
    <w:rsid w:val="00503DDF"/>
    <w:rsid w:val="00505524"/>
    <w:rsid w:val="00506688"/>
    <w:rsid w:val="00510588"/>
    <w:rsid w:val="00510F9C"/>
    <w:rsid w:val="0051146C"/>
    <w:rsid w:val="00511A1C"/>
    <w:rsid w:val="0051220B"/>
    <w:rsid w:val="00512253"/>
    <w:rsid w:val="00512484"/>
    <w:rsid w:val="00514449"/>
    <w:rsid w:val="00515419"/>
    <w:rsid w:val="005157BD"/>
    <w:rsid w:val="005173F1"/>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3FA1"/>
    <w:rsid w:val="005442D4"/>
    <w:rsid w:val="0054462B"/>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9A"/>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8D6"/>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7E2"/>
    <w:rsid w:val="005B1ADA"/>
    <w:rsid w:val="005B1D8F"/>
    <w:rsid w:val="005B1E94"/>
    <w:rsid w:val="005B3A68"/>
    <w:rsid w:val="005B5B3D"/>
    <w:rsid w:val="005B64CF"/>
    <w:rsid w:val="005C0E87"/>
    <w:rsid w:val="005C16F3"/>
    <w:rsid w:val="005C3758"/>
    <w:rsid w:val="005C4D72"/>
    <w:rsid w:val="005C50C1"/>
    <w:rsid w:val="005C62C2"/>
    <w:rsid w:val="005C72EC"/>
    <w:rsid w:val="005D2306"/>
    <w:rsid w:val="005D4A74"/>
    <w:rsid w:val="005D5E91"/>
    <w:rsid w:val="005D67EF"/>
    <w:rsid w:val="005E3064"/>
    <w:rsid w:val="005E6AEE"/>
    <w:rsid w:val="005E72B2"/>
    <w:rsid w:val="005F07F0"/>
    <w:rsid w:val="005F1115"/>
    <w:rsid w:val="005F1AB6"/>
    <w:rsid w:val="005F25B0"/>
    <w:rsid w:val="005F27F2"/>
    <w:rsid w:val="005F2B27"/>
    <w:rsid w:val="005F3567"/>
    <w:rsid w:val="005F3AFE"/>
    <w:rsid w:val="005F3EE9"/>
    <w:rsid w:val="005F424D"/>
    <w:rsid w:val="005F55F5"/>
    <w:rsid w:val="005F5EC1"/>
    <w:rsid w:val="005F67A9"/>
    <w:rsid w:val="005F6B6D"/>
    <w:rsid w:val="005F72B8"/>
    <w:rsid w:val="006008F8"/>
    <w:rsid w:val="00605AAB"/>
    <w:rsid w:val="00606BEB"/>
    <w:rsid w:val="0061014A"/>
    <w:rsid w:val="0061054B"/>
    <w:rsid w:val="00612FB0"/>
    <w:rsid w:val="0061356D"/>
    <w:rsid w:val="00613E26"/>
    <w:rsid w:val="00615641"/>
    <w:rsid w:val="00616959"/>
    <w:rsid w:val="0062036E"/>
    <w:rsid w:val="006211D0"/>
    <w:rsid w:val="00621562"/>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47F30"/>
    <w:rsid w:val="0065046D"/>
    <w:rsid w:val="0065064A"/>
    <w:rsid w:val="00651E6D"/>
    <w:rsid w:val="00653D2D"/>
    <w:rsid w:val="006555E7"/>
    <w:rsid w:val="006560B6"/>
    <w:rsid w:val="006573F2"/>
    <w:rsid w:val="00662AD0"/>
    <w:rsid w:val="00662F08"/>
    <w:rsid w:val="00663589"/>
    <w:rsid w:val="006649CD"/>
    <w:rsid w:val="00665D1E"/>
    <w:rsid w:val="00665D75"/>
    <w:rsid w:val="006708E3"/>
    <w:rsid w:val="00670DDC"/>
    <w:rsid w:val="00671389"/>
    <w:rsid w:val="00671EB4"/>
    <w:rsid w:val="00673CDC"/>
    <w:rsid w:val="0067443B"/>
    <w:rsid w:val="006770AA"/>
    <w:rsid w:val="00680FB2"/>
    <w:rsid w:val="00682486"/>
    <w:rsid w:val="00683950"/>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5815"/>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36B2"/>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171E"/>
    <w:rsid w:val="00773AF7"/>
    <w:rsid w:val="00774FFD"/>
    <w:rsid w:val="00780378"/>
    <w:rsid w:val="0078085E"/>
    <w:rsid w:val="007812FB"/>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ADF"/>
    <w:rsid w:val="007B1C83"/>
    <w:rsid w:val="007B4181"/>
    <w:rsid w:val="007B5C5C"/>
    <w:rsid w:val="007B6651"/>
    <w:rsid w:val="007B6CE0"/>
    <w:rsid w:val="007B74D7"/>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5092"/>
    <w:rsid w:val="00816CCB"/>
    <w:rsid w:val="00817572"/>
    <w:rsid w:val="00817713"/>
    <w:rsid w:val="008208C3"/>
    <w:rsid w:val="008220F1"/>
    <w:rsid w:val="0082308D"/>
    <w:rsid w:val="0082340B"/>
    <w:rsid w:val="00823D6A"/>
    <w:rsid w:val="00827B29"/>
    <w:rsid w:val="00827DB6"/>
    <w:rsid w:val="008304B2"/>
    <w:rsid w:val="00830999"/>
    <w:rsid w:val="00830D5E"/>
    <w:rsid w:val="00830F69"/>
    <w:rsid w:val="008322F3"/>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31"/>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6362"/>
    <w:rsid w:val="00871262"/>
    <w:rsid w:val="0087170E"/>
    <w:rsid w:val="00871D4E"/>
    <w:rsid w:val="00871E7B"/>
    <w:rsid w:val="008721BB"/>
    <w:rsid w:val="00874378"/>
    <w:rsid w:val="0087566D"/>
    <w:rsid w:val="00875B50"/>
    <w:rsid w:val="00875B51"/>
    <w:rsid w:val="00875F2D"/>
    <w:rsid w:val="008764DC"/>
    <w:rsid w:val="00880017"/>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5FC"/>
    <w:rsid w:val="008E1E94"/>
    <w:rsid w:val="008E2D99"/>
    <w:rsid w:val="008E30D4"/>
    <w:rsid w:val="008E38B0"/>
    <w:rsid w:val="008E4A60"/>
    <w:rsid w:val="008E744D"/>
    <w:rsid w:val="008F0FF9"/>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38B0"/>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87EF2"/>
    <w:rsid w:val="009909CA"/>
    <w:rsid w:val="009935C3"/>
    <w:rsid w:val="00993E29"/>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67CC"/>
    <w:rsid w:val="009C72DD"/>
    <w:rsid w:val="009C78FD"/>
    <w:rsid w:val="009C7DF5"/>
    <w:rsid w:val="009D0151"/>
    <w:rsid w:val="009D056C"/>
    <w:rsid w:val="009D060F"/>
    <w:rsid w:val="009D16DC"/>
    <w:rsid w:val="009D1ADE"/>
    <w:rsid w:val="009D3652"/>
    <w:rsid w:val="009D37CA"/>
    <w:rsid w:val="009D4214"/>
    <w:rsid w:val="009D4229"/>
    <w:rsid w:val="009D4268"/>
    <w:rsid w:val="009E09D0"/>
    <w:rsid w:val="009E1283"/>
    <w:rsid w:val="009E2EF2"/>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9D6"/>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077"/>
    <w:rsid w:val="00A40FFB"/>
    <w:rsid w:val="00A41468"/>
    <w:rsid w:val="00A414A9"/>
    <w:rsid w:val="00A41F19"/>
    <w:rsid w:val="00A44141"/>
    <w:rsid w:val="00A44CCA"/>
    <w:rsid w:val="00A44D75"/>
    <w:rsid w:val="00A46A5D"/>
    <w:rsid w:val="00A47CF1"/>
    <w:rsid w:val="00A50418"/>
    <w:rsid w:val="00A54A47"/>
    <w:rsid w:val="00A56D26"/>
    <w:rsid w:val="00A571A7"/>
    <w:rsid w:val="00A5749A"/>
    <w:rsid w:val="00A57973"/>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B73"/>
    <w:rsid w:val="00A82C52"/>
    <w:rsid w:val="00A838E8"/>
    <w:rsid w:val="00A83C15"/>
    <w:rsid w:val="00A84EC4"/>
    <w:rsid w:val="00A86CB6"/>
    <w:rsid w:val="00A90D55"/>
    <w:rsid w:val="00A92508"/>
    <w:rsid w:val="00A944D8"/>
    <w:rsid w:val="00A959E7"/>
    <w:rsid w:val="00A95BBA"/>
    <w:rsid w:val="00A961EE"/>
    <w:rsid w:val="00AA04B3"/>
    <w:rsid w:val="00AA1253"/>
    <w:rsid w:val="00AA1ED0"/>
    <w:rsid w:val="00AA1F5B"/>
    <w:rsid w:val="00AA28EF"/>
    <w:rsid w:val="00AA3593"/>
    <w:rsid w:val="00AA38CA"/>
    <w:rsid w:val="00AA4012"/>
    <w:rsid w:val="00AA493E"/>
    <w:rsid w:val="00AA73AF"/>
    <w:rsid w:val="00AB0A8A"/>
    <w:rsid w:val="00AB1754"/>
    <w:rsid w:val="00AB1AF7"/>
    <w:rsid w:val="00AB1F8D"/>
    <w:rsid w:val="00AB27DD"/>
    <w:rsid w:val="00AB592E"/>
    <w:rsid w:val="00AC37BE"/>
    <w:rsid w:val="00AC3CEF"/>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3D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4894"/>
    <w:rsid w:val="00B06930"/>
    <w:rsid w:val="00B0773A"/>
    <w:rsid w:val="00B07955"/>
    <w:rsid w:val="00B1176B"/>
    <w:rsid w:val="00B1260F"/>
    <w:rsid w:val="00B140B8"/>
    <w:rsid w:val="00B144A6"/>
    <w:rsid w:val="00B14FAA"/>
    <w:rsid w:val="00B152B6"/>
    <w:rsid w:val="00B15BED"/>
    <w:rsid w:val="00B15D30"/>
    <w:rsid w:val="00B16D18"/>
    <w:rsid w:val="00B177DE"/>
    <w:rsid w:val="00B20624"/>
    <w:rsid w:val="00B23436"/>
    <w:rsid w:val="00B237F1"/>
    <w:rsid w:val="00B23F10"/>
    <w:rsid w:val="00B24328"/>
    <w:rsid w:val="00B24ED4"/>
    <w:rsid w:val="00B24F33"/>
    <w:rsid w:val="00B24F85"/>
    <w:rsid w:val="00B26354"/>
    <w:rsid w:val="00B26CA0"/>
    <w:rsid w:val="00B31965"/>
    <w:rsid w:val="00B31E92"/>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279"/>
    <w:rsid w:val="00B67E84"/>
    <w:rsid w:val="00B708B1"/>
    <w:rsid w:val="00B72076"/>
    <w:rsid w:val="00B72303"/>
    <w:rsid w:val="00B72C72"/>
    <w:rsid w:val="00B72ED9"/>
    <w:rsid w:val="00B731E4"/>
    <w:rsid w:val="00B751CE"/>
    <w:rsid w:val="00B75A8B"/>
    <w:rsid w:val="00B75B61"/>
    <w:rsid w:val="00B76796"/>
    <w:rsid w:val="00B771E0"/>
    <w:rsid w:val="00B7793B"/>
    <w:rsid w:val="00B77EE7"/>
    <w:rsid w:val="00B8087E"/>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888"/>
    <w:rsid w:val="00BE2AB8"/>
    <w:rsid w:val="00BE2FC1"/>
    <w:rsid w:val="00BE3142"/>
    <w:rsid w:val="00BE3521"/>
    <w:rsid w:val="00BE4039"/>
    <w:rsid w:val="00BE6365"/>
    <w:rsid w:val="00BF01B7"/>
    <w:rsid w:val="00BF0B7F"/>
    <w:rsid w:val="00BF2988"/>
    <w:rsid w:val="00BF4720"/>
    <w:rsid w:val="00BF4F49"/>
    <w:rsid w:val="00BF6759"/>
    <w:rsid w:val="00BF70A6"/>
    <w:rsid w:val="00BF7B4F"/>
    <w:rsid w:val="00BF7B63"/>
    <w:rsid w:val="00C010C1"/>
    <w:rsid w:val="00C0359D"/>
    <w:rsid w:val="00C038EC"/>
    <w:rsid w:val="00C058D7"/>
    <w:rsid w:val="00C05C6D"/>
    <w:rsid w:val="00C072D7"/>
    <w:rsid w:val="00C104DB"/>
    <w:rsid w:val="00C10F5B"/>
    <w:rsid w:val="00C1122B"/>
    <w:rsid w:val="00C127F2"/>
    <w:rsid w:val="00C13219"/>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733"/>
    <w:rsid w:val="00C36201"/>
    <w:rsid w:val="00C368E8"/>
    <w:rsid w:val="00C36C3D"/>
    <w:rsid w:val="00C372C7"/>
    <w:rsid w:val="00C41000"/>
    <w:rsid w:val="00C42443"/>
    <w:rsid w:val="00C42CBA"/>
    <w:rsid w:val="00C4338C"/>
    <w:rsid w:val="00C43C2B"/>
    <w:rsid w:val="00C43FDE"/>
    <w:rsid w:val="00C45B27"/>
    <w:rsid w:val="00C472C7"/>
    <w:rsid w:val="00C5019E"/>
    <w:rsid w:val="00C51962"/>
    <w:rsid w:val="00C5377C"/>
    <w:rsid w:val="00C53E8A"/>
    <w:rsid w:val="00C54DF3"/>
    <w:rsid w:val="00C560A7"/>
    <w:rsid w:val="00C56FC8"/>
    <w:rsid w:val="00C60F23"/>
    <w:rsid w:val="00C6170B"/>
    <w:rsid w:val="00C6294E"/>
    <w:rsid w:val="00C62EB2"/>
    <w:rsid w:val="00C64C87"/>
    <w:rsid w:val="00C665FE"/>
    <w:rsid w:val="00C71BEC"/>
    <w:rsid w:val="00C74D3A"/>
    <w:rsid w:val="00C75F3D"/>
    <w:rsid w:val="00C80511"/>
    <w:rsid w:val="00C826F5"/>
    <w:rsid w:val="00C83740"/>
    <w:rsid w:val="00C84AD1"/>
    <w:rsid w:val="00C85579"/>
    <w:rsid w:val="00C862F1"/>
    <w:rsid w:val="00C863E5"/>
    <w:rsid w:val="00C8794F"/>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816"/>
    <w:rsid w:val="00CA5F89"/>
    <w:rsid w:val="00CA6B1A"/>
    <w:rsid w:val="00CB1B18"/>
    <w:rsid w:val="00CB20DC"/>
    <w:rsid w:val="00CB23DC"/>
    <w:rsid w:val="00CB2487"/>
    <w:rsid w:val="00CB28E2"/>
    <w:rsid w:val="00CB2F20"/>
    <w:rsid w:val="00CB758D"/>
    <w:rsid w:val="00CB7A3E"/>
    <w:rsid w:val="00CB7FF7"/>
    <w:rsid w:val="00CC0D0E"/>
    <w:rsid w:val="00CC1253"/>
    <w:rsid w:val="00CC18BF"/>
    <w:rsid w:val="00CC19B3"/>
    <w:rsid w:val="00CC2044"/>
    <w:rsid w:val="00CC39D2"/>
    <w:rsid w:val="00CC69EC"/>
    <w:rsid w:val="00CC78A2"/>
    <w:rsid w:val="00CC7DF8"/>
    <w:rsid w:val="00CD0250"/>
    <w:rsid w:val="00CD15BE"/>
    <w:rsid w:val="00CD1EF2"/>
    <w:rsid w:val="00CD32BD"/>
    <w:rsid w:val="00CD34C7"/>
    <w:rsid w:val="00CD5653"/>
    <w:rsid w:val="00CD5E6D"/>
    <w:rsid w:val="00CD63C8"/>
    <w:rsid w:val="00CD76F8"/>
    <w:rsid w:val="00CE02E8"/>
    <w:rsid w:val="00CE069E"/>
    <w:rsid w:val="00CE0DE0"/>
    <w:rsid w:val="00CE130F"/>
    <w:rsid w:val="00CE3722"/>
    <w:rsid w:val="00CF12F1"/>
    <w:rsid w:val="00CF158D"/>
    <w:rsid w:val="00CF2166"/>
    <w:rsid w:val="00CF4340"/>
    <w:rsid w:val="00CF4394"/>
    <w:rsid w:val="00CF48B4"/>
    <w:rsid w:val="00D000A9"/>
    <w:rsid w:val="00D00384"/>
    <w:rsid w:val="00D005DB"/>
    <w:rsid w:val="00D0064E"/>
    <w:rsid w:val="00D00981"/>
    <w:rsid w:val="00D01C92"/>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5CA5"/>
    <w:rsid w:val="00D3654A"/>
    <w:rsid w:val="00D3662E"/>
    <w:rsid w:val="00D40B1F"/>
    <w:rsid w:val="00D40D75"/>
    <w:rsid w:val="00D43121"/>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3E31"/>
    <w:rsid w:val="00D95984"/>
    <w:rsid w:val="00D95C64"/>
    <w:rsid w:val="00D9706F"/>
    <w:rsid w:val="00D972D4"/>
    <w:rsid w:val="00DA10A9"/>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0FAC"/>
    <w:rsid w:val="00DD286D"/>
    <w:rsid w:val="00DD2CAF"/>
    <w:rsid w:val="00DD3593"/>
    <w:rsid w:val="00DD3FED"/>
    <w:rsid w:val="00DD64E0"/>
    <w:rsid w:val="00DD7BE0"/>
    <w:rsid w:val="00DE0C67"/>
    <w:rsid w:val="00DE3AAD"/>
    <w:rsid w:val="00DE598A"/>
    <w:rsid w:val="00DE6952"/>
    <w:rsid w:val="00DE7E74"/>
    <w:rsid w:val="00DF071B"/>
    <w:rsid w:val="00DF5C84"/>
    <w:rsid w:val="00DF6EF8"/>
    <w:rsid w:val="00E0018F"/>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016"/>
    <w:rsid w:val="00E178B9"/>
    <w:rsid w:val="00E17EC9"/>
    <w:rsid w:val="00E202F4"/>
    <w:rsid w:val="00E2033C"/>
    <w:rsid w:val="00E207C3"/>
    <w:rsid w:val="00E21386"/>
    <w:rsid w:val="00E242AF"/>
    <w:rsid w:val="00E24849"/>
    <w:rsid w:val="00E2536E"/>
    <w:rsid w:val="00E25B8A"/>
    <w:rsid w:val="00E25EF8"/>
    <w:rsid w:val="00E2632B"/>
    <w:rsid w:val="00E26F75"/>
    <w:rsid w:val="00E27423"/>
    <w:rsid w:val="00E307C6"/>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2F"/>
    <w:rsid w:val="00E809C3"/>
    <w:rsid w:val="00E81A1A"/>
    <w:rsid w:val="00E81C3E"/>
    <w:rsid w:val="00E82359"/>
    <w:rsid w:val="00E82B6D"/>
    <w:rsid w:val="00E83187"/>
    <w:rsid w:val="00E831E9"/>
    <w:rsid w:val="00E8608F"/>
    <w:rsid w:val="00E86C1D"/>
    <w:rsid w:val="00E961CE"/>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7B8"/>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248"/>
    <w:rsid w:val="00F33D56"/>
    <w:rsid w:val="00F34E08"/>
    <w:rsid w:val="00F41D91"/>
    <w:rsid w:val="00F41F52"/>
    <w:rsid w:val="00F42363"/>
    <w:rsid w:val="00F427C4"/>
    <w:rsid w:val="00F43D6C"/>
    <w:rsid w:val="00F44A1E"/>
    <w:rsid w:val="00F466DF"/>
    <w:rsid w:val="00F46964"/>
    <w:rsid w:val="00F46F9A"/>
    <w:rsid w:val="00F470FD"/>
    <w:rsid w:val="00F50F30"/>
    <w:rsid w:val="00F5126A"/>
    <w:rsid w:val="00F5126E"/>
    <w:rsid w:val="00F516EF"/>
    <w:rsid w:val="00F51755"/>
    <w:rsid w:val="00F5580D"/>
    <w:rsid w:val="00F56120"/>
    <w:rsid w:val="00F56EA1"/>
    <w:rsid w:val="00F606D5"/>
    <w:rsid w:val="00F611B3"/>
    <w:rsid w:val="00F6196E"/>
    <w:rsid w:val="00F624DD"/>
    <w:rsid w:val="00F629C0"/>
    <w:rsid w:val="00F633AB"/>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5ABA"/>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F80"/>
    <w:rsid w:val="00FC1C7F"/>
    <w:rsid w:val="00FC1E67"/>
    <w:rsid w:val="00FC2A13"/>
    <w:rsid w:val="00FC4284"/>
    <w:rsid w:val="00FC4576"/>
    <w:rsid w:val="00FC5FF5"/>
    <w:rsid w:val="00FC6285"/>
    <w:rsid w:val="00FC77B4"/>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20F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1D3F5E"/>
    <w:pPr>
      <w:autoSpaceDE w:val="0"/>
      <w:autoSpaceDN w:val="0"/>
      <w:adjustRightInd w:val="0"/>
    </w:pPr>
    <w:rPr>
      <w:rFonts w:ascii="Arial" w:hAnsi="Arial" w:cs="Arial"/>
      <w:color w:val="000000"/>
      <w:szCs w:val="24"/>
    </w:rPr>
  </w:style>
  <w:style w:type="paragraph" w:styleId="NoSpacing">
    <w:name w:val="No Spacing"/>
    <w:uiPriority w:val="1"/>
    <w:qFormat/>
    <w:rsid w:val="00FC1C7F"/>
    <w:rPr>
      <w:color w:val="008080"/>
    </w:rPr>
  </w:style>
  <w:style w:type="character" w:customStyle="1" w:styleId="HeaderChar">
    <w:name w:val="Header Char"/>
    <w:basedOn w:val="DefaultParagraphFont"/>
    <w:link w:val="Header"/>
    <w:uiPriority w:val="99"/>
    <w:locked/>
    <w:rsid w:val="000C400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9439-6715-4C47-8271-7344514F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2708</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8</cp:revision>
  <cp:lastPrinted>2012-01-11T18:30:00Z</cp:lastPrinted>
  <dcterms:created xsi:type="dcterms:W3CDTF">2012-01-10T21:34:00Z</dcterms:created>
  <dcterms:modified xsi:type="dcterms:W3CDTF">2012-03-06T19:36:00Z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