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DA3D60">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4F150B">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4F150B">
        <w:rPr>
          <w:rFonts w:asciiTheme="minorHAnsi" w:hAnsiTheme="minorHAnsi"/>
          <w:caps/>
          <w:color w:val="auto"/>
        </w:rPr>
        <w:t>PD</w:t>
      </w:r>
      <w:r w:rsidR="00A875E7" w:rsidRPr="004F150B">
        <w:rPr>
          <w:rFonts w:asciiTheme="minorHAnsi" w:hAnsiTheme="minorHAnsi"/>
          <w:caps/>
          <w:color w:val="auto"/>
        </w:rPr>
        <w:t>11</w:t>
      </w:r>
      <w:r w:rsidR="00C55918" w:rsidRPr="004F150B">
        <w:rPr>
          <w:rFonts w:asciiTheme="minorHAnsi" w:hAnsiTheme="minorHAnsi"/>
          <w:caps/>
          <w:color w:val="auto"/>
        </w:rPr>
        <w:t>0</w:t>
      </w:r>
      <w:r w:rsidR="004F150B" w:rsidRPr="004F150B">
        <w:rPr>
          <w:rFonts w:asciiTheme="minorHAnsi" w:hAnsiTheme="minorHAnsi"/>
          <w:caps/>
          <w:color w:val="auto"/>
        </w:rPr>
        <w:t>0189</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F25B77">
        <w:rPr>
          <w:rFonts w:asciiTheme="minorHAnsi" w:hAnsiTheme="minorHAnsi"/>
          <w:caps/>
          <w:color w:val="auto"/>
        </w:rPr>
        <w:t>200</w:t>
      </w:r>
      <w:r w:rsidR="00F25B77" w:rsidRPr="00F25B77">
        <w:rPr>
          <w:rFonts w:asciiTheme="minorHAnsi" w:hAnsiTheme="minorHAnsi"/>
          <w:caps/>
          <w:color w:val="auto"/>
        </w:rPr>
        <w:t>9</w:t>
      </w:r>
      <w:r w:rsidR="00F25B77" w:rsidRPr="004F150B">
        <w:rPr>
          <w:rFonts w:asciiTheme="minorHAnsi" w:hAnsiTheme="minorHAnsi"/>
          <w:caps/>
          <w:color w:val="auto"/>
        </w:rPr>
        <w:t>1001</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EC0CCC">
        <w:rPr>
          <w:rFonts w:asciiTheme="minorHAnsi" w:hAnsiTheme="minorHAnsi"/>
          <w:caps/>
          <w:color w:val="auto"/>
        </w:rPr>
        <w:t>20110</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6B5A88">
        <w:rPr>
          <w:rFonts w:asciiTheme="minorHAnsi" w:hAnsiTheme="minorHAnsi"/>
          <w:color w:val="auto"/>
          <w:szCs w:val="24"/>
        </w:rPr>
        <w:t xml:space="preserve">active duty </w:t>
      </w:r>
      <w:r w:rsidR="004E0B3B" w:rsidRPr="006B5A88">
        <w:rPr>
          <w:rFonts w:asciiTheme="minorHAnsi" w:hAnsiTheme="minorHAnsi"/>
          <w:color w:val="auto"/>
          <w:szCs w:val="24"/>
        </w:rPr>
        <w:t>SPC</w:t>
      </w:r>
      <w:r w:rsidR="00DB2D50" w:rsidRPr="006B5A88">
        <w:rPr>
          <w:rFonts w:asciiTheme="minorHAnsi" w:hAnsiTheme="minorHAnsi"/>
          <w:color w:val="auto"/>
          <w:szCs w:val="24"/>
        </w:rPr>
        <w:t>/E-</w:t>
      </w:r>
      <w:r w:rsidR="004E0B3B" w:rsidRPr="006B5A88">
        <w:rPr>
          <w:rFonts w:asciiTheme="minorHAnsi" w:hAnsiTheme="minorHAnsi"/>
          <w:color w:val="auto"/>
          <w:szCs w:val="24"/>
        </w:rPr>
        <w:t>4</w:t>
      </w:r>
      <w:r w:rsidR="00DB2D50" w:rsidRPr="006B5A88">
        <w:rPr>
          <w:rFonts w:asciiTheme="minorHAnsi" w:hAnsiTheme="minorHAnsi"/>
          <w:color w:val="auto"/>
          <w:szCs w:val="24"/>
        </w:rPr>
        <w:t xml:space="preserve"> (</w:t>
      </w:r>
      <w:r w:rsidR="004E0B3B" w:rsidRPr="006B5A88">
        <w:rPr>
          <w:rFonts w:asciiTheme="minorHAnsi" w:hAnsiTheme="minorHAnsi"/>
          <w:color w:val="auto"/>
          <w:szCs w:val="24"/>
        </w:rPr>
        <w:t>68K10</w:t>
      </w:r>
      <w:r w:rsidRPr="006B5A88">
        <w:rPr>
          <w:rFonts w:asciiTheme="minorHAnsi" w:hAnsiTheme="minorHAnsi"/>
          <w:color w:val="auto"/>
          <w:szCs w:val="24"/>
        </w:rPr>
        <w:t xml:space="preserve">, </w:t>
      </w:r>
      <w:r w:rsidR="004E0B3B" w:rsidRPr="006B5A88">
        <w:rPr>
          <w:rFonts w:asciiTheme="minorHAnsi" w:hAnsiTheme="minorHAnsi"/>
          <w:color w:val="auto"/>
          <w:szCs w:val="24"/>
        </w:rPr>
        <w:t>Medical Laboratory Specialist</w:t>
      </w:r>
      <w:r w:rsidRPr="006B5A88">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0D4A67">
        <w:rPr>
          <w:rFonts w:asciiTheme="minorHAnsi" w:hAnsiTheme="minorHAnsi"/>
          <w:color w:val="auto"/>
          <w:szCs w:val="24"/>
        </w:rPr>
        <w:t xml:space="preserve">pes planus </w:t>
      </w:r>
      <w:r w:rsidR="006B5A88">
        <w:rPr>
          <w:rFonts w:asciiTheme="minorHAnsi" w:hAnsiTheme="minorHAnsi"/>
          <w:color w:val="auto"/>
          <w:szCs w:val="24"/>
        </w:rPr>
        <w:t xml:space="preserve">(flat feet) </w:t>
      </w:r>
      <w:r w:rsidR="000D4A67">
        <w:rPr>
          <w:rFonts w:asciiTheme="minorHAnsi" w:hAnsiTheme="minorHAnsi"/>
          <w:color w:val="auto"/>
          <w:szCs w:val="24"/>
        </w:rPr>
        <w:t>and bilateral knee chondromalacia</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6B5A88">
        <w:rPr>
          <w:rFonts w:asciiTheme="minorHAnsi" w:hAnsiTheme="minorHAnsi"/>
          <w:color w:val="auto"/>
          <w:szCs w:val="24"/>
        </w:rPr>
        <w:t xml:space="preserve">pes planus </w:t>
      </w:r>
      <w:r w:rsidR="001339A7" w:rsidRPr="00A315F3">
        <w:rPr>
          <w:rFonts w:asciiTheme="minorHAnsi" w:hAnsiTheme="minorHAnsi"/>
          <w:color w:val="auto"/>
          <w:szCs w:val="24"/>
        </w:rPr>
        <w:t xml:space="preserve">condition began in </w:t>
      </w:r>
      <w:r w:rsidR="006B5A88">
        <w:rPr>
          <w:rFonts w:asciiTheme="minorHAnsi" w:hAnsiTheme="minorHAnsi"/>
          <w:color w:val="auto"/>
          <w:szCs w:val="24"/>
        </w:rPr>
        <w:t xml:space="preserve">2007 and the knee condition began in 2006; neither was caused by injury </w:t>
      </w:r>
      <w:r w:rsidR="006B5A88" w:rsidRPr="006B5A88">
        <w:rPr>
          <w:rFonts w:asciiTheme="minorHAnsi" w:hAnsiTheme="minorHAnsi"/>
          <w:color w:val="auto"/>
          <w:szCs w:val="24"/>
        </w:rPr>
        <w:t>or</w:t>
      </w:r>
      <w:r w:rsidR="00EF31F3" w:rsidRPr="006B5A88">
        <w:rPr>
          <w:rFonts w:asciiTheme="minorHAnsi" w:hAnsiTheme="minorHAnsi"/>
          <w:color w:val="auto"/>
          <w:szCs w:val="24"/>
        </w:rPr>
        <w:t xml:space="preserve"> associated with a surgical indication.</w:t>
      </w:r>
      <w:r w:rsidR="006B5A88">
        <w:rPr>
          <w:rFonts w:asciiTheme="minorHAnsi" w:hAnsiTheme="minorHAnsi"/>
          <w:color w:val="auto"/>
          <w:szCs w:val="24"/>
        </w:rPr>
        <w:t xml:space="preserve">  </w:t>
      </w:r>
      <w:r w:rsidR="000D4A67" w:rsidRPr="006B5A88">
        <w:rPr>
          <w:rFonts w:asciiTheme="minorHAnsi" w:hAnsiTheme="minorHAnsi"/>
          <w:color w:val="auto"/>
          <w:szCs w:val="24"/>
        </w:rPr>
        <w:t>Sh</w:t>
      </w:r>
      <w:r w:rsidR="00EF31F3" w:rsidRPr="006B5A88">
        <w:rPr>
          <w:rFonts w:asciiTheme="minorHAnsi" w:hAnsiTheme="minorHAnsi"/>
          <w:color w:val="auto"/>
          <w:szCs w:val="24"/>
        </w:rPr>
        <w:t>e did not respond adequately to treatment and wa</w:t>
      </w:r>
      <w:r w:rsidR="00DA18F0" w:rsidRPr="006B5A88">
        <w:rPr>
          <w:rFonts w:asciiTheme="minorHAnsi" w:hAnsiTheme="minorHAnsi"/>
          <w:color w:val="auto"/>
          <w:szCs w:val="24"/>
        </w:rPr>
        <w:t>s unable to perform within h</w:t>
      </w:r>
      <w:r w:rsidR="000D4A67" w:rsidRPr="006B5A88">
        <w:rPr>
          <w:rFonts w:asciiTheme="minorHAnsi" w:hAnsiTheme="minorHAnsi"/>
          <w:color w:val="auto"/>
          <w:szCs w:val="24"/>
        </w:rPr>
        <w:t>er</w:t>
      </w:r>
      <w:r w:rsidR="00DA18F0" w:rsidRPr="006B5A88">
        <w:rPr>
          <w:rFonts w:asciiTheme="minorHAnsi" w:hAnsiTheme="minorHAnsi"/>
          <w:color w:val="auto"/>
          <w:szCs w:val="24"/>
        </w:rPr>
        <w:t xml:space="preserve"> </w:t>
      </w:r>
      <w:r w:rsidR="004064A9">
        <w:rPr>
          <w:rFonts w:asciiTheme="minorHAnsi" w:hAnsiTheme="minorHAnsi"/>
          <w:color w:val="auto"/>
          <w:szCs w:val="24"/>
        </w:rPr>
        <w:t>M</w:t>
      </w:r>
      <w:r w:rsidR="00DA18F0" w:rsidRPr="006B5A88">
        <w:rPr>
          <w:rFonts w:asciiTheme="minorHAnsi" w:hAnsiTheme="minorHAnsi"/>
          <w:color w:val="auto"/>
          <w:szCs w:val="24"/>
        </w:rPr>
        <w:t xml:space="preserve">ilitary </w:t>
      </w:r>
      <w:r w:rsidR="004064A9">
        <w:rPr>
          <w:rFonts w:asciiTheme="minorHAnsi" w:hAnsiTheme="minorHAnsi"/>
          <w:color w:val="auto"/>
          <w:szCs w:val="24"/>
        </w:rPr>
        <w:t>O</w:t>
      </w:r>
      <w:r w:rsidR="00EF31F3" w:rsidRPr="006B5A88">
        <w:rPr>
          <w:rFonts w:asciiTheme="minorHAnsi" w:hAnsiTheme="minorHAnsi"/>
          <w:color w:val="auto"/>
          <w:szCs w:val="24"/>
        </w:rPr>
        <w:t xml:space="preserve">ccupational </w:t>
      </w:r>
      <w:r w:rsidR="004064A9">
        <w:rPr>
          <w:rFonts w:asciiTheme="minorHAnsi" w:hAnsiTheme="minorHAnsi"/>
          <w:color w:val="auto"/>
          <w:szCs w:val="24"/>
        </w:rPr>
        <w:t>S</w:t>
      </w:r>
      <w:r w:rsidR="00EF31F3" w:rsidRPr="006B5A88">
        <w:rPr>
          <w:rFonts w:asciiTheme="minorHAnsi" w:hAnsiTheme="minorHAnsi"/>
          <w:color w:val="auto"/>
          <w:szCs w:val="24"/>
        </w:rPr>
        <w:t xml:space="preserve">pecialty (MOS) or meet physical fitness standards.  </w:t>
      </w:r>
      <w:r w:rsidR="000D4A67" w:rsidRPr="006B5A88">
        <w:rPr>
          <w:rFonts w:asciiTheme="minorHAnsi" w:hAnsiTheme="minorHAnsi"/>
          <w:color w:val="auto"/>
          <w:szCs w:val="24"/>
        </w:rPr>
        <w:t>She</w:t>
      </w:r>
      <w:r w:rsidR="00EF31F3" w:rsidRPr="006B5A88">
        <w:rPr>
          <w:rFonts w:asciiTheme="minorHAnsi" w:hAnsiTheme="minorHAnsi"/>
          <w:color w:val="auto"/>
          <w:szCs w:val="24"/>
        </w:rPr>
        <w:t xml:space="preserve"> was issued a </w:t>
      </w:r>
      <w:r w:rsidR="00EF31F3" w:rsidRPr="00CB3BCA">
        <w:rPr>
          <w:rFonts w:asciiTheme="minorHAnsi" w:hAnsiTheme="minorHAnsi"/>
          <w:color w:val="auto"/>
          <w:szCs w:val="24"/>
        </w:rPr>
        <w:t xml:space="preserve">permanent </w:t>
      </w:r>
      <w:r w:rsidR="00B22E18">
        <w:rPr>
          <w:rFonts w:asciiTheme="minorHAnsi" w:hAnsiTheme="minorHAnsi"/>
          <w:color w:val="auto"/>
          <w:szCs w:val="24"/>
        </w:rPr>
        <w:t>U2/</w:t>
      </w:r>
      <w:r w:rsidR="00EF31F3" w:rsidRPr="00CB3BCA">
        <w:rPr>
          <w:rFonts w:asciiTheme="minorHAnsi" w:hAnsiTheme="minorHAnsi"/>
          <w:color w:val="auto"/>
          <w:szCs w:val="24"/>
        </w:rPr>
        <w:t xml:space="preserve">L3 profile </w:t>
      </w:r>
      <w:r w:rsidR="00EF31F3" w:rsidRPr="006B5A88">
        <w:rPr>
          <w:rFonts w:asciiTheme="minorHAnsi" w:hAnsiTheme="minorHAnsi"/>
          <w:color w:val="auto"/>
          <w:szCs w:val="24"/>
        </w:rPr>
        <w:t>and underwent a Medical Evaluation Board (MEB).</w:t>
      </w:r>
      <w:r w:rsidR="006B5A88">
        <w:rPr>
          <w:rFonts w:asciiTheme="minorHAnsi" w:hAnsiTheme="minorHAnsi"/>
          <w:color w:val="auto"/>
          <w:szCs w:val="24"/>
        </w:rPr>
        <w:t xml:space="preserve">  </w:t>
      </w:r>
      <w:r w:rsidR="006B5A88" w:rsidRPr="006B5A88">
        <w:rPr>
          <w:rFonts w:asciiTheme="minorHAnsi" w:hAnsiTheme="minorHAnsi"/>
          <w:color w:val="auto"/>
          <w:szCs w:val="24"/>
        </w:rPr>
        <w:t>Chronic bilateral plantar fasciitis with pes planus and chronic bilateral knee pain with cho</w:t>
      </w:r>
      <w:r w:rsidR="006B5A88">
        <w:rPr>
          <w:rFonts w:asciiTheme="minorHAnsi" w:hAnsiTheme="minorHAnsi"/>
          <w:color w:val="auto"/>
          <w:szCs w:val="24"/>
        </w:rPr>
        <w:t>n</w:t>
      </w:r>
      <w:r w:rsidR="006B5A88" w:rsidRPr="006B5A88">
        <w:rPr>
          <w:rFonts w:asciiTheme="minorHAnsi" w:hAnsiTheme="minorHAnsi"/>
          <w:color w:val="auto"/>
          <w:szCs w:val="24"/>
        </w:rPr>
        <w:t>dromalacia</w:t>
      </w:r>
      <w:r w:rsidRPr="006B5A88">
        <w:rPr>
          <w:rFonts w:asciiTheme="minorHAnsi" w:hAnsiTheme="minorHAnsi"/>
          <w:color w:val="auto"/>
          <w:szCs w:val="24"/>
        </w:rPr>
        <w:t xml:space="preserve"> were forwarded to the Physical Evaluation Board (PEB) as medically unacceptable IAW AR 40-501.</w:t>
      </w:r>
      <w:r w:rsidR="006B5A88">
        <w:rPr>
          <w:rFonts w:asciiTheme="minorHAnsi" w:hAnsiTheme="minorHAnsi"/>
          <w:color w:val="auto"/>
          <w:szCs w:val="24"/>
        </w:rPr>
        <w:t xml:space="preserve">  </w:t>
      </w:r>
      <w:r w:rsidR="000D4A67" w:rsidRPr="000D4A67">
        <w:rPr>
          <w:rFonts w:asciiTheme="minorHAnsi" w:hAnsiTheme="minorHAnsi"/>
          <w:color w:val="auto"/>
          <w:szCs w:val="24"/>
        </w:rPr>
        <w:t>Five</w:t>
      </w:r>
      <w:r w:rsidRPr="000D4A67">
        <w:rPr>
          <w:rFonts w:asciiTheme="minorHAnsi" w:hAnsiTheme="minorHAnsi"/>
          <w:color w:val="auto"/>
          <w:szCs w:val="24"/>
        </w:rPr>
        <w:t xml:space="preserve"> other conditions, as identified in the rating chart below,</w:t>
      </w:r>
      <w:r w:rsidR="002B543C" w:rsidRPr="000D4A67">
        <w:rPr>
          <w:rFonts w:asciiTheme="minorHAnsi" w:hAnsiTheme="minorHAnsi"/>
          <w:color w:val="auto"/>
          <w:szCs w:val="24"/>
        </w:rPr>
        <w:t xml:space="preserve"> </w:t>
      </w:r>
      <w:r w:rsidRPr="000D4A67">
        <w:rPr>
          <w:rFonts w:asciiTheme="minorHAnsi" w:hAnsiTheme="minorHAnsi"/>
          <w:color w:val="auto"/>
          <w:szCs w:val="24"/>
        </w:rPr>
        <w:t xml:space="preserve">were </w:t>
      </w:r>
      <w:r w:rsidR="002B543C" w:rsidRPr="000D4A67">
        <w:rPr>
          <w:rFonts w:asciiTheme="minorHAnsi" w:hAnsiTheme="minorHAnsi"/>
          <w:color w:val="auto"/>
          <w:szCs w:val="24"/>
        </w:rPr>
        <w:t xml:space="preserve">also identified and </w:t>
      </w:r>
      <w:r w:rsidRPr="000D4A67">
        <w:rPr>
          <w:rFonts w:asciiTheme="minorHAnsi" w:hAnsiTheme="minorHAnsi"/>
          <w:color w:val="auto"/>
          <w:szCs w:val="24"/>
        </w:rPr>
        <w:t>forwarded on the DA Form 3947</w:t>
      </w:r>
      <w:r w:rsidR="00817154" w:rsidRPr="000D4A67">
        <w:rPr>
          <w:rFonts w:asciiTheme="minorHAnsi" w:hAnsiTheme="minorHAnsi"/>
          <w:color w:val="auto"/>
          <w:szCs w:val="24"/>
        </w:rPr>
        <w:t xml:space="preserve"> </w:t>
      </w:r>
      <w:r w:rsidRPr="000D4A67">
        <w:rPr>
          <w:rFonts w:asciiTheme="minorHAnsi" w:hAnsiTheme="minorHAnsi"/>
          <w:color w:val="auto"/>
          <w:szCs w:val="24"/>
        </w:rPr>
        <w:t>as medically acceptable conditions.</w:t>
      </w:r>
      <w:r w:rsidR="004C7B0F">
        <w:rPr>
          <w:rFonts w:asciiTheme="minorHAnsi" w:hAnsiTheme="minorHAnsi"/>
          <w:color w:val="auto"/>
          <w:szCs w:val="24"/>
        </w:rPr>
        <w:t xml:space="preserve">  </w:t>
      </w:r>
      <w:r w:rsidR="00526308" w:rsidRPr="00A315F3">
        <w:rPr>
          <w:rFonts w:asciiTheme="minorHAnsi" w:hAnsiTheme="minorHAnsi"/>
          <w:color w:val="auto"/>
          <w:szCs w:val="24"/>
        </w:rPr>
        <w:t>No other conditions appeared on the MEB’s DA Form 3947 submission, and no other conditions with fitness implications were identified in the Disability Evaluation System (DES) file.</w:t>
      </w:r>
      <w:r w:rsidR="004C7B0F">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0D4A67">
        <w:rPr>
          <w:rFonts w:asciiTheme="minorHAnsi" w:hAnsiTheme="minorHAnsi"/>
          <w:color w:val="auto"/>
          <w:szCs w:val="24"/>
        </w:rPr>
        <w:t>pes planus, right knee chondromalacia and left knee chondromalacia conditions</w:t>
      </w:r>
      <w:r w:rsidRPr="00A315F3">
        <w:rPr>
          <w:rFonts w:asciiTheme="minorHAnsi" w:hAnsiTheme="minorHAnsi"/>
          <w:color w:val="auto"/>
          <w:szCs w:val="24"/>
        </w:rPr>
        <w:t xml:space="preserve"> as unfitting, </w:t>
      </w:r>
      <w:r w:rsidR="00D136A1">
        <w:rPr>
          <w:rFonts w:asciiTheme="minorHAnsi" w:hAnsiTheme="minorHAnsi"/>
          <w:color w:val="auto"/>
          <w:szCs w:val="24"/>
        </w:rPr>
        <w:t xml:space="preserve">and assigned a rating of </w:t>
      </w:r>
      <w:r w:rsidR="000D4A67">
        <w:rPr>
          <w:rFonts w:asciiTheme="minorHAnsi" w:hAnsiTheme="minorHAnsi"/>
          <w:color w:val="auto"/>
          <w:szCs w:val="24"/>
        </w:rPr>
        <w:t xml:space="preserve">0% each </w:t>
      </w:r>
      <w:r w:rsidR="00D136A1">
        <w:rPr>
          <w:rFonts w:asciiTheme="minorHAnsi" w:hAnsiTheme="minorHAnsi"/>
          <w:color w:val="auto"/>
          <w:szCs w:val="24"/>
        </w:rPr>
        <w:t xml:space="preserve">adjudicated by the VA </w:t>
      </w:r>
      <w:r w:rsidR="000A23DC" w:rsidRPr="00A315F3">
        <w:rPr>
          <w:rFonts w:asciiTheme="minorHAnsi" w:hAnsiTheme="minorHAnsi"/>
          <w:color w:val="auto"/>
          <w:szCs w:val="24"/>
        </w:rPr>
        <w:t xml:space="preserve">IAW </w:t>
      </w:r>
      <w:r w:rsidR="00B22E18">
        <w:rPr>
          <w:rFonts w:asciiTheme="minorHAnsi" w:hAnsiTheme="minorHAnsi"/>
          <w:color w:val="auto"/>
          <w:szCs w:val="24"/>
        </w:rPr>
        <w:t xml:space="preserve">the </w:t>
      </w:r>
      <w:r w:rsidR="00D136A1">
        <w:rPr>
          <w:rFonts w:asciiTheme="minorHAnsi" w:hAnsiTheme="minorHAnsi"/>
          <w:color w:val="auto"/>
          <w:szCs w:val="24"/>
        </w:rPr>
        <w:t>VA-</w:t>
      </w:r>
      <w:proofErr w:type="spellStart"/>
      <w:r w:rsidR="00D136A1">
        <w:rPr>
          <w:rFonts w:asciiTheme="minorHAnsi" w:hAnsiTheme="minorHAnsi"/>
          <w:color w:val="auto"/>
          <w:szCs w:val="24"/>
        </w:rPr>
        <w:t>DoD</w:t>
      </w:r>
      <w:proofErr w:type="spellEnd"/>
      <w:r w:rsidR="00D136A1">
        <w:rPr>
          <w:rFonts w:asciiTheme="minorHAnsi" w:hAnsiTheme="minorHAnsi"/>
          <w:color w:val="auto"/>
          <w:szCs w:val="24"/>
        </w:rPr>
        <w:t xml:space="preserve"> Pilot Disability Evaluation System under Policy and Procedural Directive Type-Memorandum of 21 November 2007.  </w:t>
      </w:r>
      <w:r w:rsidR="00820855" w:rsidRPr="000D4A67">
        <w:rPr>
          <w:rFonts w:asciiTheme="minorHAnsi" w:hAnsiTheme="minorHAnsi"/>
          <w:color w:val="auto"/>
          <w:szCs w:val="24"/>
        </w:rPr>
        <w:t>It was determined that the remaining conditions were not unfitting.</w:t>
      </w:r>
      <w:r w:rsidR="004C7B0F">
        <w:rPr>
          <w:rFonts w:asciiTheme="minorHAnsi" w:hAnsiTheme="minorHAnsi"/>
          <w:color w:val="auto"/>
          <w:szCs w:val="24"/>
        </w:rPr>
        <w:t xml:space="preserve">  </w:t>
      </w:r>
      <w:r w:rsidRPr="00A315F3">
        <w:rPr>
          <w:rFonts w:asciiTheme="minorHAnsi" w:hAnsiTheme="minorHAnsi"/>
          <w:color w:val="auto"/>
        </w:rPr>
        <w:t xml:space="preserve">The CI made </w:t>
      </w:r>
      <w:r w:rsidRPr="000D4A67">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w:t>
      </w:r>
      <w:r w:rsidR="000D4A67">
        <w:rPr>
          <w:rFonts w:asciiTheme="minorHAnsi" w:hAnsiTheme="minorHAnsi"/>
          <w:color w:val="auto"/>
        </w:rPr>
        <w:t>ly separated with a 0</w:t>
      </w:r>
      <w:r w:rsidRPr="00A315F3">
        <w:rPr>
          <w:rFonts w:asciiTheme="minorHAnsi" w:hAnsiTheme="minorHAnsi"/>
          <w:color w:val="auto"/>
        </w:rPr>
        <w:t xml:space="preserve">% </w:t>
      </w:r>
      <w:r w:rsidRPr="000D4A67">
        <w:rPr>
          <w:rFonts w:asciiTheme="minorHAnsi" w:hAnsiTheme="minorHAnsi"/>
          <w:color w:val="auto"/>
        </w:rPr>
        <w:t>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highlight w:val="yellow"/>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C847F4">
        <w:rPr>
          <w:rFonts w:asciiTheme="minorHAnsi" w:hAnsiTheme="minorHAnsi"/>
          <w:color w:val="auto"/>
          <w:szCs w:val="24"/>
        </w:rPr>
        <w:t xml:space="preserve"> </w:t>
      </w:r>
      <w:r w:rsidR="0071308A">
        <w:rPr>
          <w:rFonts w:asciiTheme="minorHAnsi" w:hAnsiTheme="minorHAnsi"/>
          <w:color w:val="auto"/>
          <w:szCs w:val="24"/>
        </w:rPr>
        <w:t xml:space="preserve"> “</w:t>
      </w:r>
      <w:r w:rsidR="00C847F4">
        <w:rPr>
          <w:rFonts w:asciiTheme="minorHAnsi" w:hAnsiTheme="minorHAnsi"/>
          <w:color w:val="auto"/>
          <w:szCs w:val="24"/>
        </w:rPr>
        <w:t xml:space="preserve">The rating for the conditions which rendered me unfit for duty should be changed because Army/VA physicians that evaluated me during my Med Board process failed to completely fully examine the effect of these conditions had/have </w:t>
      </w:r>
      <w:r w:rsidR="00FD776E">
        <w:rPr>
          <w:rFonts w:asciiTheme="minorHAnsi" w:hAnsiTheme="minorHAnsi"/>
          <w:color w:val="auto"/>
          <w:szCs w:val="24"/>
        </w:rPr>
        <w:t>[</w:t>
      </w:r>
      <w:r w:rsidR="00FD776E" w:rsidRPr="00FD776E">
        <w:rPr>
          <w:rFonts w:asciiTheme="minorHAnsi" w:hAnsiTheme="minorHAnsi"/>
          <w:i/>
          <w:color w:val="auto"/>
          <w:szCs w:val="24"/>
        </w:rPr>
        <w:t>sic</w:t>
      </w:r>
      <w:r w:rsidR="00FD776E">
        <w:rPr>
          <w:rFonts w:asciiTheme="minorHAnsi" w:hAnsiTheme="minorHAnsi"/>
          <w:color w:val="auto"/>
          <w:szCs w:val="24"/>
        </w:rPr>
        <w:t xml:space="preserve">] </w:t>
      </w:r>
      <w:r w:rsidR="00C847F4">
        <w:rPr>
          <w:rFonts w:asciiTheme="minorHAnsi" w:hAnsiTheme="minorHAnsi"/>
          <w:color w:val="auto"/>
          <w:szCs w:val="24"/>
        </w:rPr>
        <w:t>on my life as a whole.</w:t>
      </w:r>
      <w:r w:rsidR="00FD776E">
        <w:rPr>
          <w:rFonts w:asciiTheme="minorHAnsi" w:hAnsiTheme="minorHAnsi"/>
          <w:color w:val="auto"/>
          <w:szCs w:val="24"/>
        </w:rPr>
        <w:t xml:space="preserve"> </w:t>
      </w:r>
      <w:r w:rsidR="00C847F4">
        <w:rPr>
          <w:rFonts w:asciiTheme="minorHAnsi" w:hAnsiTheme="minorHAnsi"/>
          <w:color w:val="auto"/>
          <w:szCs w:val="24"/>
        </w:rPr>
        <w:t xml:space="preserve"> I feel as though the conditions were appropriately found unacceptable, however the 0% rating was incorrect given my health prior to military service and my age</w:t>
      </w:r>
      <w:r w:rsidR="00EC0CCC">
        <w:rPr>
          <w:rFonts w:asciiTheme="minorHAnsi" w:hAnsiTheme="minorHAnsi"/>
          <w:color w:val="auto"/>
          <w:szCs w:val="24"/>
        </w:rPr>
        <w:t>.</w:t>
      </w:r>
      <w:r w:rsidR="00022D8A">
        <w:rPr>
          <w:rFonts w:asciiTheme="minorHAnsi" w:hAnsiTheme="minorHAnsi"/>
          <w:color w:val="auto"/>
          <w:szCs w:val="24"/>
        </w:rPr>
        <w:t xml:space="preserve">”  </w:t>
      </w:r>
      <w:r w:rsidR="0071308A" w:rsidRPr="00C847F4">
        <w:rPr>
          <w:rFonts w:asciiTheme="minorHAnsi" w:hAnsiTheme="minorHAnsi"/>
          <w:color w:val="auto"/>
          <w:szCs w:val="24"/>
        </w:rPr>
        <w:t xml:space="preserve">No additionally contended conditions are in evidence.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C7B0F" w:rsidRDefault="004C7B0F" w:rsidP="00190E48">
      <w:pPr>
        <w:spacing w:line="240" w:lineRule="exact"/>
        <w:jc w:val="both"/>
        <w:rPr>
          <w:rFonts w:ascii="Calibri" w:hAnsi="Calibri"/>
          <w:color w:val="auto"/>
          <w:u w:val="single"/>
        </w:rPr>
      </w:pPr>
    </w:p>
    <w:p w:rsidR="00672C0E" w:rsidRDefault="00672C0E" w:rsidP="00190E48">
      <w:pPr>
        <w:spacing w:line="240" w:lineRule="exact"/>
        <w:jc w:val="both"/>
        <w:rPr>
          <w:rFonts w:ascii="Calibri" w:hAnsi="Calibri"/>
          <w:color w:val="auto"/>
          <w:u w:val="single"/>
        </w:rPr>
      </w:pPr>
    </w:p>
    <w:p w:rsidR="00672C0E" w:rsidRDefault="00672C0E">
      <w:pPr>
        <w:rPr>
          <w:rFonts w:ascii="Calibri" w:hAnsi="Calibri"/>
          <w:color w:val="auto"/>
          <w:u w:val="single"/>
        </w:rPr>
      </w:pPr>
      <w:r>
        <w:rPr>
          <w:rFonts w:ascii="Calibri" w:hAnsi="Calibri"/>
          <w:color w:val="auto"/>
          <w:u w:val="single"/>
        </w:rPr>
        <w:br w:type="page"/>
      </w:r>
    </w:p>
    <w:p w:rsidR="00672C0E" w:rsidRDefault="00672C0E"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284"/>
        <w:gridCol w:w="1080"/>
        <w:gridCol w:w="810"/>
        <w:gridCol w:w="2340"/>
        <w:gridCol w:w="1080"/>
        <w:gridCol w:w="810"/>
        <w:gridCol w:w="1024"/>
      </w:tblGrid>
      <w:tr w:rsidR="00191A51" w:rsidRPr="002A685E" w:rsidTr="004E0B3B">
        <w:trPr>
          <w:trHeight w:val="233"/>
          <w:jc w:val="center"/>
        </w:trPr>
        <w:tc>
          <w:tcPr>
            <w:tcW w:w="4174" w:type="dxa"/>
            <w:gridSpan w:val="3"/>
            <w:tcBorders>
              <w:right w:val="thinThickThinSmallGap" w:sz="24" w:space="0" w:color="auto"/>
            </w:tcBorders>
            <w:shd w:val="clear" w:color="auto" w:fill="D9D9D9" w:themeFill="background1" w:themeFillShade="D9"/>
          </w:tcPr>
          <w:p w:rsidR="00191A51" w:rsidRPr="0085089F" w:rsidRDefault="00191A51" w:rsidP="004E0B3B">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C847F4">
              <w:rPr>
                <w:rFonts w:cs="Times New Roman"/>
                <w:b/>
                <w:sz w:val="20"/>
                <w:szCs w:val="20"/>
              </w:rPr>
              <w:t>I</w:t>
            </w:r>
            <w:r w:rsidRPr="0085089F">
              <w:rPr>
                <w:rFonts w:cs="Times New Roman"/>
                <w:b/>
                <w:sz w:val="20"/>
                <w:szCs w:val="20"/>
              </w:rPr>
              <w:t xml:space="preserve">PEB – Dated </w:t>
            </w:r>
            <w:r w:rsidR="004E0B3B">
              <w:rPr>
                <w:rFonts w:cs="Times New Roman"/>
                <w:b/>
                <w:sz w:val="20"/>
                <w:szCs w:val="20"/>
              </w:rPr>
              <w:t>20090714</w:t>
            </w:r>
          </w:p>
        </w:tc>
        <w:tc>
          <w:tcPr>
            <w:tcW w:w="5254" w:type="dxa"/>
            <w:gridSpan w:val="4"/>
            <w:tcBorders>
              <w:left w:val="thinThickThinSmallGap" w:sz="24" w:space="0" w:color="auto"/>
            </w:tcBorders>
            <w:shd w:val="clear" w:color="auto" w:fill="D9D9D9" w:themeFill="background1" w:themeFillShade="D9"/>
          </w:tcPr>
          <w:p w:rsidR="00191A51" w:rsidRPr="0085089F" w:rsidRDefault="00191A51" w:rsidP="00211899">
            <w:pPr>
              <w:pStyle w:val="ListParagraph"/>
              <w:spacing w:after="0" w:line="240" w:lineRule="exact"/>
              <w:ind w:left="0"/>
              <w:jc w:val="center"/>
              <w:rPr>
                <w:rFonts w:cs="Times New Roman"/>
                <w:b/>
                <w:sz w:val="20"/>
                <w:szCs w:val="20"/>
              </w:rPr>
            </w:pPr>
            <w:r w:rsidRPr="0085089F">
              <w:rPr>
                <w:rFonts w:cs="Times New Roman"/>
                <w:b/>
                <w:sz w:val="20"/>
                <w:szCs w:val="20"/>
              </w:rPr>
              <w:t>VA (</w:t>
            </w:r>
            <w:r w:rsidR="00211899">
              <w:rPr>
                <w:rFonts w:cs="Times New Roman"/>
                <w:b/>
                <w:sz w:val="20"/>
                <w:szCs w:val="20"/>
              </w:rPr>
              <w:t>8</w:t>
            </w:r>
            <w:r w:rsidR="0079000E">
              <w:rPr>
                <w:rFonts w:cs="Times New Roman"/>
                <w:b/>
                <w:sz w:val="20"/>
                <w:szCs w:val="20"/>
              </w:rPr>
              <w:t xml:space="preserve"> Mo. </w:t>
            </w:r>
            <w:r w:rsidR="0079000E" w:rsidRPr="00211899">
              <w:rPr>
                <w:rFonts w:cs="Times New Roman"/>
                <w:b/>
                <w:sz w:val="20"/>
                <w:szCs w:val="20"/>
              </w:rPr>
              <w:t>Pre</w:t>
            </w:r>
            <w:r w:rsidRPr="0085089F">
              <w:rPr>
                <w:rFonts w:cs="Times New Roman"/>
                <w:b/>
                <w:sz w:val="20"/>
                <w:szCs w:val="20"/>
              </w:rPr>
              <w:t xml:space="preserve"> Separation) – All Effective </w:t>
            </w:r>
            <w:r w:rsidR="00211899">
              <w:rPr>
                <w:rFonts w:cs="Times New Roman"/>
                <w:b/>
                <w:sz w:val="20"/>
                <w:szCs w:val="20"/>
              </w:rPr>
              <w:t>20091002</w:t>
            </w:r>
          </w:p>
        </w:tc>
      </w:tr>
      <w:tr w:rsidR="00191A51" w:rsidRPr="002A685E" w:rsidTr="004E0B3B">
        <w:trPr>
          <w:trHeight w:val="224"/>
          <w:jc w:val="center"/>
        </w:trPr>
        <w:tc>
          <w:tcPr>
            <w:tcW w:w="22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4E0B3B">
        <w:trPr>
          <w:trHeight w:val="190"/>
          <w:jc w:val="center"/>
        </w:trPr>
        <w:tc>
          <w:tcPr>
            <w:tcW w:w="2284" w:type="dxa"/>
            <w:tcBorders>
              <w:bottom w:val="single" w:sz="4" w:space="0" w:color="auto"/>
              <w:right w:val="single" w:sz="4" w:space="0" w:color="auto"/>
            </w:tcBorders>
            <w:shd w:val="clear" w:color="auto" w:fill="FFFFFF" w:themeFill="background1"/>
            <w:vAlign w:val="center"/>
          </w:tcPr>
          <w:p w:rsidR="00D17740" w:rsidRPr="00BC3538" w:rsidRDefault="0071308A" w:rsidP="00191A51">
            <w:pPr>
              <w:pStyle w:val="ListParagraph"/>
              <w:spacing w:after="0" w:line="200" w:lineRule="exact"/>
              <w:ind w:left="0"/>
              <w:rPr>
                <w:rFonts w:cs="Times New Roman"/>
                <w:sz w:val="18"/>
                <w:szCs w:val="18"/>
              </w:rPr>
            </w:pPr>
            <w:r>
              <w:rPr>
                <w:rFonts w:cs="Times New Roman"/>
                <w:sz w:val="18"/>
                <w:szCs w:val="18"/>
              </w:rPr>
              <w:t>P</w:t>
            </w:r>
            <w:r w:rsidR="004E0B3B">
              <w:rPr>
                <w:rFonts w:cs="Times New Roman"/>
                <w:sz w:val="18"/>
                <w:szCs w:val="18"/>
              </w:rPr>
              <w:t>es Planus</w:t>
            </w:r>
          </w:p>
        </w:tc>
        <w:tc>
          <w:tcPr>
            <w:tcW w:w="1080" w:type="dxa"/>
            <w:tcBorders>
              <w:left w:val="single" w:sz="4" w:space="0" w:color="auto"/>
              <w:bottom w:val="single" w:sz="4" w:space="0" w:color="auto"/>
            </w:tcBorders>
            <w:shd w:val="clear" w:color="auto" w:fill="FFFFFF" w:themeFill="background1"/>
            <w:vAlign w:val="center"/>
          </w:tcPr>
          <w:p w:rsidR="00191A51" w:rsidRPr="00BC3538" w:rsidRDefault="004E0B3B" w:rsidP="00186D7F">
            <w:pPr>
              <w:pStyle w:val="ListParagraph"/>
              <w:spacing w:after="0" w:line="200" w:lineRule="exact"/>
              <w:ind w:left="0"/>
              <w:jc w:val="center"/>
              <w:rPr>
                <w:rFonts w:cs="Times New Roman"/>
                <w:sz w:val="18"/>
                <w:szCs w:val="18"/>
              </w:rPr>
            </w:pPr>
            <w:r>
              <w:rPr>
                <w:rFonts w:cs="Times New Roman"/>
                <w:sz w:val="18"/>
                <w:szCs w:val="18"/>
              </w:rPr>
              <w:t>5276</w:t>
            </w:r>
          </w:p>
        </w:tc>
        <w:tc>
          <w:tcPr>
            <w:tcW w:w="810" w:type="dxa"/>
            <w:tcBorders>
              <w:bottom w:val="single" w:sz="4" w:space="0" w:color="auto"/>
              <w:right w:val="thinThickThinSmallGap" w:sz="24" w:space="0" w:color="auto"/>
            </w:tcBorders>
            <w:shd w:val="clear" w:color="auto" w:fill="FFFFFF" w:themeFill="background1"/>
            <w:vAlign w:val="center"/>
          </w:tcPr>
          <w:p w:rsidR="00191A51" w:rsidRPr="00BC3538" w:rsidRDefault="004E0B3B" w:rsidP="00191A51">
            <w:pPr>
              <w:pStyle w:val="ListParagraph"/>
              <w:spacing w:after="0" w:line="200" w:lineRule="exact"/>
              <w:ind w:left="0"/>
              <w:jc w:val="center"/>
              <w:rPr>
                <w:rFonts w:cs="Times New Roman"/>
                <w:sz w:val="18"/>
                <w:szCs w:val="18"/>
              </w:rPr>
            </w:pPr>
            <w:r>
              <w:rPr>
                <w:rFonts w:cs="Times New Roman"/>
                <w:sz w:val="18"/>
                <w:szCs w:val="18"/>
              </w:rPr>
              <w:t>0%</w:t>
            </w:r>
          </w:p>
        </w:tc>
        <w:tc>
          <w:tcPr>
            <w:tcW w:w="2340" w:type="dxa"/>
            <w:tcBorders>
              <w:left w:val="thinThickThinSmallGap" w:sz="24" w:space="0" w:color="auto"/>
              <w:bottom w:val="single" w:sz="4" w:space="0" w:color="auto"/>
            </w:tcBorders>
            <w:shd w:val="clear" w:color="auto" w:fill="FFFFFF" w:themeFill="background1"/>
            <w:vAlign w:val="center"/>
          </w:tcPr>
          <w:p w:rsidR="00191A51" w:rsidRPr="00BC3538" w:rsidRDefault="004E0B3B" w:rsidP="00D17740">
            <w:pPr>
              <w:pStyle w:val="ListParagraph"/>
              <w:spacing w:line="200" w:lineRule="exact"/>
              <w:ind w:left="0"/>
              <w:rPr>
                <w:rFonts w:cs="Times New Roman"/>
                <w:sz w:val="18"/>
                <w:szCs w:val="18"/>
              </w:rPr>
            </w:pPr>
            <w:r>
              <w:rPr>
                <w:rFonts w:cs="Times New Roman"/>
                <w:sz w:val="18"/>
                <w:szCs w:val="18"/>
              </w:rPr>
              <w:t>Pes Planus</w:t>
            </w:r>
          </w:p>
        </w:tc>
        <w:tc>
          <w:tcPr>
            <w:tcW w:w="1080" w:type="dxa"/>
            <w:tcBorders>
              <w:bottom w:val="single" w:sz="4" w:space="0" w:color="auto"/>
            </w:tcBorders>
            <w:shd w:val="clear" w:color="auto" w:fill="FFFFFF" w:themeFill="background1"/>
          </w:tcPr>
          <w:p w:rsidR="00191A51" w:rsidRPr="00BC3538" w:rsidRDefault="00FF7F64" w:rsidP="00191A51">
            <w:pPr>
              <w:pStyle w:val="ListParagraph"/>
              <w:spacing w:after="0" w:line="200" w:lineRule="exact"/>
              <w:ind w:left="0"/>
              <w:jc w:val="center"/>
              <w:rPr>
                <w:rFonts w:cs="Times New Roman"/>
                <w:sz w:val="18"/>
                <w:szCs w:val="18"/>
              </w:rPr>
            </w:pPr>
            <w:r>
              <w:rPr>
                <w:rFonts w:cs="Times New Roman"/>
                <w:sz w:val="18"/>
                <w:szCs w:val="18"/>
              </w:rPr>
              <w:t>5276</w:t>
            </w:r>
          </w:p>
        </w:tc>
        <w:tc>
          <w:tcPr>
            <w:tcW w:w="810" w:type="dxa"/>
            <w:tcBorders>
              <w:bottom w:val="single" w:sz="4" w:space="0" w:color="auto"/>
            </w:tcBorders>
            <w:shd w:val="clear" w:color="auto" w:fill="FFFFFF" w:themeFill="background1"/>
          </w:tcPr>
          <w:p w:rsidR="00191A51" w:rsidRPr="00542C9A" w:rsidRDefault="004E0B3B"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bottom w:val="single" w:sz="4" w:space="0" w:color="auto"/>
            </w:tcBorders>
            <w:shd w:val="clear" w:color="auto" w:fill="FFFFFF" w:themeFill="background1"/>
          </w:tcPr>
          <w:p w:rsidR="00191A51"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A875E7" w:rsidRPr="002A685E" w:rsidTr="004E0B3B">
        <w:trPr>
          <w:trHeight w:val="197"/>
          <w:jc w:val="center"/>
        </w:trPr>
        <w:tc>
          <w:tcPr>
            <w:tcW w:w="2284" w:type="dxa"/>
            <w:tcBorders>
              <w:top w:val="single" w:sz="4" w:space="0" w:color="auto"/>
              <w:bottom w:val="single" w:sz="4" w:space="0" w:color="auto"/>
              <w:right w:val="single" w:sz="4" w:space="0" w:color="auto"/>
            </w:tcBorders>
            <w:shd w:val="clear" w:color="auto" w:fill="FFFFFF" w:themeFill="background1"/>
          </w:tcPr>
          <w:p w:rsidR="00A875E7" w:rsidRDefault="004E0B3B" w:rsidP="00A875E7">
            <w:pPr>
              <w:pStyle w:val="ListParagraph"/>
              <w:spacing w:after="0" w:line="200" w:lineRule="exact"/>
              <w:ind w:left="0"/>
              <w:rPr>
                <w:rFonts w:cs="Times New Roman"/>
                <w:sz w:val="18"/>
                <w:szCs w:val="18"/>
              </w:rPr>
            </w:pPr>
            <w:r>
              <w:rPr>
                <w:rFonts w:cs="Times New Roman"/>
                <w:sz w:val="18"/>
                <w:szCs w:val="18"/>
              </w:rPr>
              <w:t>Chondromalacia Right Knee</w:t>
            </w:r>
          </w:p>
        </w:tc>
        <w:tc>
          <w:tcPr>
            <w:tcW w:w="1080" w:type="dxa"/>
            <w:tcBorders>
              <w:top w:val="single" w:sz="4" w:space="0" w:color="auto"/>
              <w:bottom w:val="single" w:sz="4" w:space="0" w:color="auto"/>
              <w:right w:val="single" w:sz="4" w:space="0" w:color="auto"/>
            </w:tcBorders>
            <w:shd w:val="clear" w:color="auto" w:fill="FFFFFF" w:themeFill="background1"/>
          </w:tcPr>
          <w:p w:rsidR="00A875E7" w:rsidRDefault="004E0B3B" w:rsidP="00A875E7">
            <w:pPr>
              <w:pStyle w:val="ListParagraph"/>
              <w:spacing w:after="0" w:line="200" w:lineRule="exact"/>
              <w:ind w:left="0"/>
              <w:jc w:val="center"/>
              <w:rPr>
                <w:rFonts w:cs="Times New Roman"/>
                <w:sz w:val="18"/>
                <w:szCs w:val="18"/>
              </w:rPr>
            </w:pPr>
            <w:r>
              <w:rPr>
                <w:rFonts w:cs="Times New Roman"/>
                <w:sz w:val="18"/>
                <w:szCs w:val="18"/>
              </w:rPr>
              <w:t>5099-5014</w:t>
            </w:r>
          </w:p>
        </w:tc>
        <w:tc>
          <w:tcPr>
            <w:tcW w:w="810"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4E0B3B" w:rsidP="00A875E7">
            <w:pPr>
              <w:pStyle w:val="ListParagraph"/>
              <w:spacing w:after="0" w:line="200" w:lineRule="exact"/>
              <w:ind w:left="0"/>
              <w:jc w:val="center"/>
              <w:rPr>
                <w:rFonts w:cs="Times New Roman"/>
                <w:sz w:val="18"/>
                <w:szCs w:val="18"/>
              </w:rPr>
            </w:pPr>
            <w:r>
              <w:rPr>
                <w:rFonts w:cs="Times New Roman"/>
                <w:sz w:val="18"/>
                <w:szCs w:val="18"/>
              </w:rPr>
              <w:t>0%</w:t>
            </w:r>
          </w:p>
        </w:tc>
        <w:tc>
          <w:tcPr>
            <w:tcW w:w="2340" w:type="dxa"/>
            <w:tcBorders>
              <w:top w:val="single" w:sz="4" w:space="0" w:color="auto"/>
              <w:left w:val="thinThickThinSmallGap" w:sz="24" w:space="0" w:color="auto"/>
            </w:tcBorders>
            <w:shd w:val="clear" w:color="auto" w:fill="FFFFFF" w:themeFill="background1"/>
            <w:vAlign w:val="center"/>
          </w:tcPr>
          <w:p w:rsidR="00A875E7" w:rsidRPr="00BC3538" w:rsidRDefault="004E0B3B" w:rsidP="00191A51">
            <w:pPr>
              <w:pStyle w:val="ListParagraph"/>
              <w:spacing w:after="0" w:line="200" w:lineRule="exact"/>
              <w:ind w:left="0"/>
              <w:rPr>
                <w:rFonts w:cs="Times New Roman"/>
                <w:sz w:val="18"/>
                <w:szCs w:val="18"/>
              </w:rPr>
            </w:pPr>
            <w:r>
              <w:rPr>
                <w:rFonts w:cs="Times New Roman"/>
                <w:sz w:val="18"/>
                <w:szCs w:val="18"/>
              </w:rPr>
              <w:t>Chondromalacia Right Knee</w:t>
            </w:r>
          </w:p>
        </w:tc>
        <w:tc>
          <w:tcPr>
            <w:tcW w:w="1080" w:type="dxa"/>
            <w:tcBorders>
              <w:top w:val="single" w:sz="4" w:space="0" w:color="auto"/>
            </w:tcBorders>
            <w:shd w:val="clear" w:color="auto" w:fill="FFFFFF" w:themeFill="background1"/>
            <w:vAlign w:val="center"/>
          </w:tcPr>
          <w:p w:rsidR="00A875E7"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5099-5014</w:t>
            </w:r>
          </w:p>
        </w:tc>
        <w:tc>
          <w:tcPr>
            <w:tcW w:w="810" w:type="dxa"/>
            <w:tcBorders>
              <w:top w:val="single" w:sz="4" w:space="0" w:color="auto"/>
            </w:tcBorders>
            <w:shd w:val="clear" w:color="auto" w:fill="FFFFFF" w:themeFill="background1"/>
            <w:vAlign w:val="center"/>
          </w:tcPr>
          <w:p w:rsidR="00A875E7" w:rsidRPr="00542C9A" w:rsidRDefault="004E0B3B"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A875E7"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4E0B3B" w:rsidRPr="002A685E" w:rsidTr="004E0B3B">
        <w:trPr>
          <w:trHeight w:val="197"/>
          <w:jc w:val="center"/>
        </w:trPr>
        <w:tc>
          <w:tcPr>
            <w:tcW w:w="2284" w:type="dxa"/>
            <w:tcBorders>
              <w:top w:val="single" w:sz="4" w:space="0" w:color="auto"/>
              <w:bottom w:val="single" w:sz="4" w:space="0" w:color="auto"/>
              <w:right w:val="single" w:sz="4" w:space="0" w:color="auto"/>
            </w:tcBorders>
            <w:shd w:val="clear" w:color="auto" w:fill="FFFFFF" w:themeFill="background1"/>
          </w:tcPr>
          <w:p w:rsidR="004E0B3B" w:rsidRDefault="004E0B3B" w:rsidP="00A875E7">
            <w:pPr>
              <w:pStyle w:val="ListParagraph"/>
              <w:spacing w:after="0" w:line="200" w:lineRule="exact"/>
              <w:ind w:left="0"/>
              <w:rPr>
                <w:rFonts w:cs="Times New Roman"/>
                <w:sz w:val="18"/>
                <w:szCs w:val="18"/>
              </w:rPr>
            </w:pPr>
            <w:r>
              <w:rPr>
                <w:rFonts w:cs="Times New Roman"/>
                <w:sz w:val="18"/>
                <w:szCs w:val="18"/>
              </w:rPr>
              <w:t>Chondromalacia Left Knee</w:t>
            </w:r>
          </w:p>
        </w:tc>
        <w:tc>
          <w:tcPr>
            <w:tcW w:w="1080" w:type="dxa"/>
            <w:tcBorders>
              <w:top w:val="single" w:sz="4" w:space="0" w:color="auto"/>
              <w:bottom w:val="single" w:sz="4" w:space="0" w:color="auto"/>
              <w:right w:val="single" w:sz="4" w:space="0" w:color="auto"/>
            </w:tcBorders>
            <w:shd w:val="clear" w:color="auto" w:fill="FFFFFF" w:themeFill="background1"/>
          </w:tcPr>
          <w:p w:rsidR="004E0B3B" w:rsidRDefault="004E0B3B" w:rsidP="00A875E7">
            <w:pPr>
              <w:pStyle w:val="ListParagraph"/>
              <w:spacing w:after="0" w:line="200" w:lineRule="exact"/>
              <w:ind w:left="0"/>
              <w:jc w:val="center"/>
              <w:rPr>
                <w:rFonts w:cs="Times New Roman"/>
                <w:sz w:val="18"/>
                <w:szCs w:val="18"/>
              </w:rPr>
            </w:pPr>
            <w:r>
              <w:rPr>
                <w:rFonts w:cs="Times New Roman"/>
                <w:sz w:val="18"/>
                <w:szCs w:val="18"/>
              </w:rPr>
              <w:t>5099-5014</w:t>
            </w:r>
          </w:p>
        </w:tc>
        <w:tc>
          <w:tcPr>
            <w:tcW w:w="810"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4E0B3B" w:rsidRDefault="004E0B3B" w:rsidP="00A875E7">
            <w:pPr>
              <w:pStyle w:val="ListParagraph"/>
              <w:spacing w:after="0" w:line="200" w:lineRule="exact"/>
              <w:ind w:left="0"/>
              <w:jc w:val="center"/>
              <w:rPr>
                <w:rFonts w:cs="Times New Roman"/>
                <w:sz w:val="18"/>
                <w:szCs w:val="18"/>
              </w:rPr>
            </w:pPr>
            <w:r>
              <w:rPr>
                <w:rFonts w:cs="Times New Roman"/>
                <w:sz w:val="18"/>
                <w:szCs w:val="18"/>
              </w:rPr>
              <w:t>0%</w:t>
            </w:r>
          </w:p>
        </w:tc>
        <w:tc>
          <w:tcPr>
            <w:tcW w:w="2340" w:type="dxa"/>
            <w:tcBorders>
              <w:top w:val="single" w:sz="4" w:space="0" w:color="auto"/>
              <w:left w:val="thinThickThinSmallGap" w:sz="24" w:space="0" w:color="auto"/>
            </w:tcBorders>
            <w:shd w:val="clear" w:color="auto" w:fill="FFFFFF" w:themeFill="background1"/>
            <w:vAlign w:val="center"/>
          </w:tcPr>
          <w:p w:rsidR="004E0B3B" w:rsidRDefault="004E0B3B" w:rsidP="00191A51">
            <w:pPr>
              <w:pStyle w:val="ListParagraph"/>
              <w:spacing w:after="0" w:line="200" w:lineRule="exact"/>
              <w:ind w:left="0"/>
              <w:rPr>
                <w:rFonts w:cs="Times New Roman"/>
                <w:sz w:val="18"/>
                <w:szCs w:val="18"/>
              </w:rPr>
            </w:pPr>
            <w:r>
              <w:rPr>
                <w:rFonts w:cs="Times New Roman"/>
                <w:sz w:val="18"/>
                <w:szCs w:val="18"/>
              </w:rPr>
              <w:t>Chondromalacia Left Knee</w:t>
            </w:r>
          </w:p>
        </w:tc>
        <w:tc>
          <w:tcPr>
            <w:tcW w:w="1080" w:type="dxa"/>
            <w:tcBorders>
              <w:top w:val="single" w:sz="4" w:space="0" w:color="auto"/>
            </w:tcBorders>
            <w:shd w:val="clear" w:color="auto" w:fill="FFFFFF" w:themeFill="background1"/>
            <w:vAlign w:val="center"/>
          </w:tcPr>
          <w:p w:rsidR="004E0B3B"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5099-5014</w:t>
            </w:r>
          </w:p>
        </w:tc>
        <w:tc>
          <w:tcPr>
            <w:tcW w:w="810" w:type="dxa"/>
            <w:tcBorders>
              <w:top w:val="single" w:sz="4" w:space="0" w:color="auto"/>
            </w:tcBorders>
            <w:shd w:val="clear" w:color="auto" w:fill="FFFFFF" w:themeFill="background1"/>
            <w:vAlign w:val="center"/>
          </w:tcPr>
          <w:p w:rsidR="004E0B3B" w:rsidRPr="00542C9A" w:rsidRDefault="004E0B3B"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4E0B3B"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FF7F64" w:rsidRPr="002A685E" w:rsidTr="00FF7F64">
        <w:trPr>
          <w:trHeight w:val="197"/>
          <w:jc w:val="center"/>
        </w:trPr>
        <w:tc>
          <w:tcPr>
            <w:tcW w:w="2284" w:type="dxa"/>
            <w:vMerge w:val="restart"/>
            <w:tcBorders>
              <w:top w:val="single" w:sz="4" w:space="0" w:color="auto"/>
              <w:right w:val="single" w:sz="4" w:space="0" w:color="auto"/>
            </w:tcBorders>
            <w:shd w:val="clear" w:color="auto" w:fill="FFFFFF" w:themeFill="background1"/>
            <w:vAlign w:val="center"/>
          </w:tcPr>
          <w:p w:rsidR="00FF7F64" w:rsidRDefault="00FF7F64" w:rsidP="00FF7F64">
            <w:pPr>
              <w:pStyle w:val="ListParagraph"/>
              <w:spacing w:after="0" w:line="200" w:lineRule="exact"/>
              <w:ind w:left="0"/>
              <w:rPr>
                <w:rFonts w:cs="Times New Roman"/>
                <w:sz w:val="18"/>
                <w:szCs w:val="18"/>
              </w:rPr>
            </w:pPr>
            <w:r>
              <w:rPr>
                <w:rFonts w:cs="Times New Roman"/>
                <w:sz w:val="18"/>
                <w:szCs w:val="18"/>
              </w:rPr>
              <w:t>Bilateral Hip Pain</w:t>
            </w:r>
          </w:p>
        </w:tc>
        <w:tc>
          <w:tcPr>
            <w:tcW w:w="1890" w:type="dxa"/>
            <w:gridSpan w:val="2"/>
            <w:vMerge w:val="restart"/>
            <w:tcBorders>
              <w:top w:val="single" w:sz="4" w:space="0" w:color="auto"/>
              <w:right w:val="thinThickThinSmallGap" w:sz="24" w:space="0" w:color="auto"/>
            </w:tcBorders>
            <w:shd w:val="clear" w:color="auto" w:fill="FFFFFF" w:themeFill="background1"/>
            <w:vAlign w:val="center"/>
          </w:tcPr>
          <w:p w:rsidR="00FF7F64" w:rsidRDefault="00FF7F64" w:rsidP="00FF7F64">
            <w:pPr>
              <w:pStyle w:val="ListParagraph"/>
              <w:spacing w:after="0" w:line="200" w:lineRule="exact"/>
              <w:ind w:left="0"/>
              <w:jc w:val="center"/>
              <w:rPr>
                <w:rFonts w:cs="Times New Roman"/>
                <w:sz w:val="18"/>
                <w:szCs w:val="18"/>
              </w:rPr>
            </w:pPr>
            <w:r>
              <w:rPr>
                <w:rFonts w:cs="Times New Roman"/>
                <w:sz w:val="18"/>
                <w:szCs w:val="18"/>
              </w:rPr>
              <w:t>Not Unfitting</w:t>
            </w:r>
          </w:p>
        </w:tc>
        <w:tc>
          <w:tcPr>
            <w:tcW w:w="2340" w:type="dxa"/>
            <w:tcBorders>
              <w:top w:val="single" w:sz="4" w:space="0" w:color="auto"/>
              <w:left w:val="thinThickThinSmallGap" w:sz="24" w:space="0" w:color="auto"/>
            </w:tcBorders>
            <w:shd w:val="clear" w:color="auto" w:fill="FFFFFF" w:themeFill="background1"/>
            <w:vAlign w:val="center"/>
          </w:tcPr>
          <w:p w:rsidR="00FF7F64" w:rsidRDefault="00FF7F64" w:rsidP="00191A51">
            <w:pPr>
              <w:pStyle w:val="ListParagraph"/>
              <w:spacing w:after="0" w:line="200" w:lineRule="exact"/>
              <w:ind w:left="0"/>
              <w:rPr>
                <w:rFonts w:cs="Times New Roman"/>
                <w:sz w:val="18"/>
                <w:szCs w:val="18"/>
              </w:rPr>
            </w:pPr>
            <w:r>
              <w:rPr>
                <w:rFonts w:cs="Times New Roman"/>
                <w:sz w:val="18"/>
                <w:szCs w:val="18"/>
              </w:rPr>
              <w:t>Chronic Right Hip Strain</w:t>
            </w:r>
          </w:p>
        </w:tc>
        <w:tc>
          <w:tcPr>
            <w:tcW w:w="1080" w:type="dxa"/>
            <w:tcBorders>
              <w:top w:val="single" w:sz="4" w:space="0" w:color="auto"/>
            </w:tcBorders>
            <w:shd w:val="clear" w:color="auto" w:fill="FFFFFF" w:themeFill="background1"/>
            <w:vAlign w:val="center"/>
          </w:tcPr>
          <w:p w:rsidR="00FF7F64"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5255</w:t>
            </w:r>
          </w:p>
        </w:tc>
        <w:tc>
          <w:tcPr>
            <w:tcW w:w="810" w:type="dxa"/>
            <w:tcBorders>
              <w:top w:val="single" w:sz="4" w:space="0" w:color="auto"/>
            </w:tcBorders>
            <w:shd w:val="clear" w:color="auto" w:fill="FFFFFF" w:themeFill="background1"/>
            <w:vAlign w:val="center"/>
          </w:tcPr>
          <w:p w:rsidR="00FF7F64"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F7F64"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FF7F64" w:rsidRPr="002A685E" w:rsidTr="00B4444E">
        <w:trPr>
          <w:trHeight w:val="197"/>
          <w:jc w:val="center"/>
        </w:trPr>
        <w:tc>
          <w:tcPr>
            <w:tcW w:w="2284" w:type="dxa"/>
            <w:vMerge/>
            <w:tcBorders>
              <w:bottom w:val="single" w:sz="4" w:space="0" w:color="auto"/>
              <w:right w:val="single" w:sz="4" w:space="0" w:color="auto"/>
            </w:tcBorders>
            <w:shd w:val="clear" w:color="auto" w:fill="FFFFFF" w:themeFill="background1"/>
          </w:tcPr>
          <w:p w:rsidR="00FF7F64" w:rsidRDefault="00FF7F64" w:rsidP="00A875E7">
            <w:pPr>
              <w:pStyle w:val="ListParagraph"/>
              <w:spacing w:after="0" w:line="200" w:lineRule="exact"/>
              <w:ind w:left="0"/>
              <w:rPr>
                <w:rFonts w:cs="Times New Roman"/>
                <w:sz w:val="18"/>
                <w:szCs w:val="18"/>
              </w:rPr>
            </w:pPr>
          </w:p>
        </w:tc>
        <w:tc>
          <w:tcPr>
            <w:tcW w:w="1890" w:type="dxa"/>
            <w:gridSpan w:val="2"/>
            <w:vMerge/>
            <w:tcBorders>
              <w:bottom w:val="single" w:sz="4" w:space="0" w:color="auto"/>
              <w:right w:val="thinThickThinSmallGap" w:sz="24" w:space="0" w:color="auto"/>
            </w:tcBorders>
            <w:shd w:val="clear" w:color="auto" w:fill="FFFFFF" w:themeFill="background1"/>
          </w:tcPr>
          <w:p w:rsidR="00FF7F64" w:rsidRDefault="00FF7F64" w:rsidP="00A875E7">
            <w:pPr>
              <w:pStyle w:val="ListParagraph"/>
              <w:spacing w:after="0" w:line="200" w:lineRule="exact"/>
              <w:ind w:left="0"/>
              <w:jc w:val="center"/>
              <w:rPr>
                <w:rFonts w:cs="Times New Roman"/>
                <w:sz w:val="18"/>
                <w:szCs w:val="18"/>
              </w:rPr>
            </w:pPr>
          </w:p>
        </w:tc>
        <w:tc>
          <w:tcPr>
            <w:tcW w:w="2340" w:type="dxa"/>
            <w:tcBorders>
              <w:top w:val="single" w:sz="4" w:space="0" w:color="auto"/>
              <w:left w:val="thinThickThinSmallGap" w:sz="24" w:space="0" w:color="auto"/>
            </w:tcBorders>
            <w:shd w:val="clear" w:color="auto" w:fill="FFFFFF" w:themeFill="background1"/>
            <w:vAlign w:val="center"/>
          </w:tcPr>
          <w:p w:rsidR="00FF7F64" w:rsidRDefault="00FF7F64" w:rsidP="00191A51">
            <w:pPr>
              <w:pStyle w:val="ListParagraph"/>
              <w:spacing w:after="0" w:line="200" w:lineRule="exact"/>
              <w:ind w:left="0"/>
              <w:rPr>
                <w:rFonts w:cs="Times New Roman"/>
                <w:sz w:val="18"/>
                <w:szCs w:val="18"/>
              </w:rPr>
            </w:pPr>
            <w:r>
              <w:rPr>
                <w:rFonts w:cs="Times New Roman"/>
                <w:sz w:val="18"/>
                <w:szCs w:val="18"/>
              </w:rPr>
              <w:t>Chronic Left Hip Strain</w:t>
            </w:r>
          </w:p>
        </w:tc>
        <w:tc>
          <w:tcPr>
            <w:tcW w:w="1080" w:type="dxa"/>
            <w:tcBorders>
              <w:top w:val="single" w:sz="4" w:space="0" w:color="auto"/>
            </w:tcBorders>
            <w:shd w:val="clear" w:color="auto" w:fill="FFFFFF" w:themeFill="background1"/>
            <w:vAlign w:val="center"/>
          </w:tcPr>
          <w:p w:rsidR="00FF7F64"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5255</w:t>
            </w:r>
          </w:p>
        </w:tc>
        <w:tc>
          <w:tcPr>
            <w:tcW w:w="810" w:type="dxa"/>
            <w:tcBorders>
              <w:top w:val="single" w:sz="4" w:space="0" w:color="auto"/>
            </w:tcBorders>
            <w:shd w:val="clear" w:color="auto" w:fill="FFFFFF" w:themeFill="background1"/>
            <w:vAlign w:val="center"/>
          </w:tcPr>
          <w:p w:rsidR="00FF7F64"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F7F64"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FF7F64" w:rsidRPr="002A685E" w:rsidTr="00FF7F64">
        <w:trPr>
          <w:trHeight w:val="197"/>
          <w:jc w:val="center"/>
        </w:trPr>
        <w:tc>
          <w:tcPr>
            <w:tcW w:w="2284" w:type="dxa"/>
            <w:vMerge w:val="restart"/>
            <w:tcBorders>
              <w:top w:val="single" w:sz="4" w:space="0" w:color="auto"/>
              <w:right w:val="single" w:sz="4" w:space="0" w:color="auto"/>
            </w:tcBorders>
            <w:shd w:val="clear" w:color="auto" w:fill="FFFFFF" w:themeFill="background1"/>
            <w:vAlign w:val="center"/>
          </w:tcPr>
          <w:p w:rsidR="00FF7F64" w:rsidRDefault="00FF7F64" w:rsidP="00FF7F64">
            <w:pPr>
              <w:pStyle w:val="ListParagraph"/>
              <w:spacing w:after="0" w:line="200" w:lineRule="exact"/>
              <w:ind w:left="0"/>
              <w:rPr>
                <w:rFonts w:cs="Times New Roman"/>
                <w:sz w:val="18"/>
                <w:szCs w:val="18"/>
              </w:rPr>
            </w:pPr>
            <w:r>
              <w:rPr>
                <w:rFonts w:cs="Times New Roman"/>
                <w:sz w:val="18"/>
                <w:szCs w:val="18"/>
              </w:rPr>
              <w:t>Bilateral Ankle Pain</w:t>
            </w:r>
          </w:p>
        </w:tc>
        <w:tc>
          <w:tcPr>
            <w:tcW w:w="1890" w:type="dxa"/>
            <w:gridSpan w:val="2"/>
            <w:vMerge w:val="restart"/>
            <w:tcBorders>
              <w:top w:val="single" w:sz="4" w:space="0" w:color="auto"/>
              <w:right w:val="thinThickThinSmallGap" w:sz="24" w:space="0" w:color="auto"/>
            </w:tcBorders>
            <w:shd w:val="clear" w:color="auto" w:fill="FFFFFF" w:themeFill="background1"/>
            <w:vAlign w:val="center"/>
          </w:tcPr>
          <w:p w:rsidR="00FF7F64" w:rsidRDefault="00FF7F64" w:rsidP="00FF7F64">
            <w:pPr>
              <w:pStyle w:val="ListParagraph"/>
              <w:spacing w:after="0" w:line="200" w:lineRule="exact"/>
              <w:ind w:left="0"/>
              <w:jc w:val="center"/>
              <w:rPr>
                <w:rFonts w:cs="Times New Roman"/>
                <w:sz w:val="18"/>
                <w:szCs w:val="18"/>
              </w:rPr>
            </w:pPr>
            <w:r>
              <w:rPr>
                <w:rFonts w:cs="Times New Roman"/>
                <w:sz w:val="18"/>
                <w:szCs w:val="18"/>
              </w:rPr>
              <w:t>Not Unfitting</w:t>
            </w:r>
          </w:p>
        </w:tc>
        <w:tc>
          <w:tcPr>
            <w:tcW w:w="2340" w:type="dxa"/>
            <w:tcBorders>
              <w:top w:val="single" w:sz="4" w:space="0" w:color="auto"/>
              <w:left w:val="thinThickThinSmallGap" w:sz="24" w:space="0" w:color="auto"/>
            </w:tcBorders>
            <w:shd w:val="clear" w:color="auto" w:fill="FFFFFF" w:themeFill="background1"/>
            <w:vAlign w:val="center"/>
          </w:tcPr>
          <w:p w:rsidR="00FF7F64" w:rsidRDefault="00FF7F64" w:rsidP="00191A51">
            <w:pPr>
              <w:pStyle w:val="ListParagraph"/>
              <w:spacing w:after="0" w:line="200" w:lineRule="exact"/>
              <w:ind w:left="0"/>
              <w:rPr>
                <w:rFonts w:cs="Times New Roman"/>
                <w:sz w:val="18"/>
                <w:szCs w:val="18"/>
              </w:rPr>
            </w:pPr>
            <w:r>
              <w:rPr>
                <w:rFonts w:cs="Times New Roman"/>
                <w:sz w:val="18"/>
                <w:szCs w:val="18"/>
              </w:rPr>
              <w:t>Chronic Left Ankle Sprain</w:t>
            </w:r>
          </w:p>
        </w:tc>
        <w:tc>
          <w:tcPr>
            <w:tcW w:w="1080" w:type="dxa"/>
            <w:tcBorders>
              <w:top w:val="single" w:sz="4" w:space="0" w:color="auto"/>
            </w:tcBorders>
            <w:shd w:val="clear" w:color="auto" w:fill="FFFFFF" w:themeFill="background1"/>
            <w:vAlign w:val="center"/>
          </w:tcPr>
          <w:p w:rsidR="00FF7F64"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5271</w:t>
            </w:r>
          </w:p>
        </w:tc>
        <w:tc>
          <w:tcPr>
            <w:tcW w:w="810" w:type="dxa"/>
            <w:tcBorders>
              <w:top w:val="single" w:sz="4" w:space="0" w:color="auto"/>
            </w:tcBorders>
            <w:shd w:val="clear" w:color="auto" w:fill="FFFFFF" w:themeFill="background1"/>
            <w:vAlign w:val="center"/>
          </w:tcPr>
          <w:p w:rsidR="00FF7F64"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F7F64"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FF7F64" w:rsidRPr="002A685E" w:rsidTr="00B4444E">
        <w:trPr>
          <w:trHeight w:val="197"/>
          <w:jc w:val="center"/>
        </w:trPr>
        <w:tc>
          <w:tcPr>
            <w:tcW w:w="2284" w:type="dxa"/>
            <w:vMerge/>
            <w:tcBorders>
              <w:bottom w:val="single" w:sz="4" w:space="0" w:color="auto"/>
              <w:right w:val="single" w:sz="4" w:space="0" w:color="auto"/>
            </w:tcBorders>
            <w:shd w:val="clear" w:color="auto" w:fill="FFFFFF" w:themeFill="background1"/>
          </w:tcPr>
          <w:p w:rsidR="00FF7F64" w:rsidRDefault="00FF7F64" w:rsidP="00A875E7">
            <w:pPr>
              <w:pStyle w:val="ListParagraph"/>
              <w:spacing w:after="0" w:line="200" w:lineRule="exact"/>
              <w:ind w:left="0"/>
              <w:rPr>
                <w:rFonts w:cs="Times New Roman"/>
                <w:sz w:val="18"/>
                <w:szCs w:val="18"/>
              </w:rPr>
            </w:pPr>
          </w:p>
        </w:tc>
        <w:tc>
          <w:tcPr>
            <w:tcW w:w="1890" w:type="dxa"/>
            <w:gridSpan w:val="2"/>
            <w:vMerge/>
            <w:tcBorders>
              <w:bottom w:val="single" w:sz="4" w:space="0" w:color="auto"/>
              <w:right w:val="thinThickThinSmallGap" w:sz="24" w:space="0" w:color="auto"/>
            </w:tcBorders>
            <w:shd w:val="clear" w:color="auto" w:fill="FFFFFF" w:themeFill="background1"/>
          </w:tcPr>
          <w:p w:rsidR="00FF7F64" w:rsidRDefault="00FF7F64" w:rsidP="00A875E7">
            <w:pPr>
              <w:pStyle w:val="ListParagraph"/>
              <w:spacing w:after="0" w:line="200" w:lineRule="exact"/>
              <w:ind w:left="0"/>
              <w:jc w:val="center"/>
              <w:rPr>
                <w:rFonts w:cs="Times New Roman"/>
                <w:sz w:val="18"/>
                <w:szCs w:val="18"/>
              </w:rPr>
            </w:pPr>
          </w:p>
        </w:tc>
        <w:tc>
          <w:tcPr>
            <w:tcW w:w="2340" w:type="dxa"/>
            <w:tcBorders>
              <w:top w:val="single" w:sz="4" w:space="0" w:color="auto"/>
              <w:left w:val="thinThickThinSmallGap" w:sz="24" w:space="0" w:color="auto"/>
            </w:tcBorders>
            <w:shd w:val="clear" w:color="auto" w:fill="FFFFFF" w:themeFill="background1"/>
            <w:vAlign w:val="center"/>
          </w:tcPr>
          <w:p w:rsidR="00FF7F64" w:rsidRDefault="00FF7F64" w:rsidP="00191A51">
            <w:pPr>
              <w:pStyle w:val="ListParagraph"/>
              <w:spacing w:after="0" w:line="200" w:lineRule="exact"/>
              <w:ind w:left="0"/>
              <w:rPr>
                <w:rFonts w:cs="Times New Roman"/>
                <w:sz w:val="18"/>
                <w:szCs w:val="18"/>
              </w:rPr>
            </w:pPr>
            <w:r>
              <w:rPr>
                <w:rFonts w:cs="Times New Roman"/>
                <w:sz w:val="18"/>
                <w:szCs w:val="18"/>
              </w:rPr>
              <w:t>Chronic Right Ankle Sprain</w:t>
            </w:r>
          </w:p>
        </w:tc>
        <w:tc>
          <w:tcPr>
            <w:tcW w:w="1080" w:type="dxa"/>
            <w:tcBorders>
              <w:top w:val="single" w:sz="4" w:space="0" w:color="auto"/>
            </w:tcBorders>
            <w:shd w:val="clear" w:color="auto" w:fill="FFFFFF" w:themeFill="background1"/>
            <w:vAlign w:val="center"/>
          </w:tcPr>
          <w:p w:rsidR="00FF7F64"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5271</w:t>
            </w:r>
          </w:p>
        </w:tc>
        <w:tc>
          <w:tcPr>
            <w:tcW w:w="810" w:type="dxa"/>
            <w:tcBorders>
              <w:top w:val="single" w:sz="4" w:space="0" w:color="auto"/>
            </w:tcBorders>
            <w:shd w:val="clear" w:color="auto" w:fill="FFFFFF" w:themeFill="background1"/>
            <w:vAlign w:val="center"/>
          </w:tcPr>
          <w:p w:rsidR="00FF7F64"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F7F64"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4E0B3B" w:rsidRPr="002A685E" w:rsidTr="00B4444E">
        <w:trPr>
          <w:trHeight w:val="197"/>
          <w:jc w:val="center"/>
        </w:trPr>
        <w:tc>
          <w:tcPr>
            <w:tcW w:w="2284" w:type="dxa"/>
            <w:tcBorders>
              <w:top w:val="single" w:sz="4" w:space="0" w:color="auto"/>
              <w:bottom w:val="single" w:sz="4" w:space="0" w:color="auto"/>
              <w:right w:val="single" w:sz="4" w:space="0" w:color="auto"/>
            </w:tcBorders>
            <w:shd w:val="clear" w:color="auto" w:fill="FFFFFF" w:themeFill="background1"/>
          </w:tcPr>
          <w:p w:rsidR="004E0B3B" w:rsidRDefault="004E0B3B" w:rsidP="00A875E7">
            <w:pPr>
              <w:pStyle w:val="ListParagraph"/>
              <w:spacing w:after="0" w:line="200" w:lineRule="exact"/>
              <w:ind w:left="0"/>
              <w:rPr>
                <w:rFonts w:cs="Times New Roman"/>
                <w:sz w:val="18"/>
                <w:szCs w:val="18"/>
              </w:rPr>
            </w:pPr>
            <w:r>
              <w:rPr>
                <w:rFonts w:cs="Times New Roman"/>
                <w:sz w:val="18"/>
                <w:szCs w:val="18"/>
              </w:rPr>
              <w:t>Low Back Strain</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4E0B3B" w:rsidRDefault="004E0B3B"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340" w:type="dxa"/>
            <w:tcBorders>
              <w:top w:val="single" w:sz="4" w:space="0" w:color="auto"/>
              <w:left w:val="thinThickThinSmallGap" w:sz="24" w:space="0" w:color="auto"/>
            </w:tcBorders>
            <w:shd w:val="clear" w:color="auto" w:fill="FFFFFF" w:themeFill="background1"/>
            <w:vAlign w:val="center"/>
          </w:tcPr>
          <w:p w:rsidR="004E0B3B" w:rsidRDefault="00FF7F64" w:rsidP="00191A51">
            <w:pPr>
              <w:pStyle w:val="ListParagraph"/>
              <w:spacing w:after="0" w:line="200" w:lineRule="exact"/>
              <w:ind w:left="0"/>
              <w:rPr>
                <w:rFonts w:cs="Times New Roman"/>
                <w:sz w:val="18"/>
                <w:szCs w:val="18"/>
              </w:rPr>
            </w:pPr>
            <w:r>
              <w:rPr>
                <w:rFonts w:cs="Times New Roman"/>
                <w:sz w:val="18"/>
                <w:szCs w:val="18"/>
              </w:rPr>
              <w:t>Chronic Lumbosacral Strain</w:t>
            </w:r>
          </w:p>
        </w:tc>
        <w:tc>
          <w:tcPr>
            <w:tcW w:w="1080" w:type="dxa"/>
            <w:tcBorders>
              <w:top w:val="single" w:sz="4" w:space="0" w:color="auto"/>
            </w:tcBorders>
            <w:shd w:val="clear" w:color="auto" w:fill="FFFFFF" w:themeFill="background1"/>
            <w:vAlign w:val="center"/>
          </w:tcPr>
          <w:p w:rsidR="004E0B3B"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top w:val="single" w:sz="4" w:space="0" w:color="auto"/>
            </w:tcBorders>
            <w:shd w:val="clear" w:color="auto" w:fill="FFFFFF" w:themeFill="background1"/>
            <w:vAlign w:val="center"/>
          </w:tcPr>
          <w:p w:rsidR="004E0B3B"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4E0B3B"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4E0B3B" w:rsidRPr="002A685E" w:rsidTr="00B4444E">
        <w:trPr>
          <w:trHeight w:val="197"/>
          <w:jc w:val="center"/>
        </w:trPr>
        <w:tc>
          <w:tcPr>
            <w:tcW w:w="2284" w:type="dxa"/>
            <w:tcBorders>
              <w:top w:val="single" w:sz="4" w:space="0" w:color="auto"/>
              <w:bottom w:val="single" w:sz="4" w:space="0" w:color="auto"/>
              <w:right w:val="single" w:sz="4" w:space="0" w:color="auto"/>
            </w:tcBorders>
            <w:shd w:val="clear" w:color="auto" w:fill="FFFFFF" w:themeFill="background1"/>
          </w:tcPr>
          <w:p w:rsidR="004E0B3B" w:rsidRDefault="004E0B3B" w:rsidP="00A875E7">
            <w:pPr>
              <w:pStyle w:val="ListParagraph"/>
              <w:spacing w:after="0" w:line="200" w:lineRule="exact"/>
              <w:ind w:left="0"/>
              <w:rPr>
                <w:rFonts w:cs="Times New Roman"/>
                <w:sz w:val="18"/>
                <w:szCs w:val="18"/>
              </w:rPr>
            </w:pPr>
            <w:r>
              <w:rPr>
                <w:rFonts w:cs="Times New Roman"/>
                <w:sz w:val="18"/>
                <w:szCs w:val="18"/>
              </w:rPr>
              <w:t>Tension Headaches</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4E0B3B" w:rsidRDefault="004E0B3B"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340" w:type="dxa"/>
            <w:tcBorders>
              <w:top w:val="single" w:sz="4" w:space="0" w:color="auto"/>
              <w:left w:val="thinThickThinSmallGap" w:sz="24" w:space="0" w:color="auto"/>
            </w:tcBorders>
            <w:shd w:val="clear" w:color="auto" w:fill="FFFFFF" w:themeFill="background1"/>
            <w:vAlign w:val="center"/>
          </w:tcPr>
          <w:p w:rsidR="004E0B3B" w:rsidRDefault="00FF7F64" w:rsidP="00191A51">
            <w:pPr>
              <w:pStyle w:val="ListParagraph"/>
              <w:spacing w:after="0" w:line="200" w:lineRule="exact"/>
              <w:ind w:left="0"/>
              <w:rPr>
                <w:rFonts w:cs="Times New Roman"/>
                <w:sz w:val="18"/>
                <w:szCs w:val="18"/>
              </w:rPr>
            </w:pPr>
            <w:r>
              <w:rPr>
                <w:rFonts w:cs="Times New Roman"/>
                <w:sz w:val="18"/>
                <w:szCs w:val="18"/>
              </w:rPr>
              <w:t>Headaches</w:t>
            </w:r>
          </w:p>
        </w:tc>
        <w:tc>
          <w:tcPr>
            <w:tcW w:w="1080" w:type="dxa"/>
            <w:tcBorders>
              <w:top w:val="single" w:sz="4" w:space="0" w:color="auto"/>
            </w:tcBorders>
            <w:shd w:val="clear" w:color="auto" w:fill="FFFFFF" w:themeFill="background1"/>
            <w:vAlign w:val="center"/>
          </w:tcPr>
          <w:p w:rsidR="004E0B3B"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top w:val="single" w:sz="4" w:space="0" w:color="auto"/>
            </w:tcBorders>
            <w:shd w:val="clear" w:color="auto" w:fill="FFFFFF" w:themeFill="background1"/>
            <w:vAlign w:val="center"/>
          </w:tcPr>
          <w:p w:rsidR="004E0B3B" w:rsidRPr="00542C9A" w:rsidRDefault="00FF7F64"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4E0B3B"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20090126</w:t>
            </w:r>
          </w:p>
        </w:tc>
      </w:tr>
      <w:tr w:rsidR="004E0B3B" w:rsidRPr="002A685E" w:rsidTr="00B4444E">
        <w:trPr>
          <w:trHeight w:val="197"/>
          <w:jc w:val="center"/>
        </w:trPr>
        <w:tc>
          <w:tcPr>
            <w:tcW w:w="2284" w:type="dxa"/>
            <w:tcBorders>
              <w:top w:val="single" w:sz="4" w:space="0" w:color="auto"/>
              <w:bottom w:val="single" w:sz="4" w:space="0" w:color="auto"/>
              <w:right w:val="single" w:sz="4" w:space="0" w:color="auto"/>
            </w:tcBorders>
            <w:shd w:val="clear" w:color="auto" w:fill="FFFFFF" w:themeFill="background1"/>
          </w:tcPr>
          <w:p w:rsidR="004E0B3B" w:rsidRDefault="004E0B3B" w:rsidP="00A875E7">
            <w:pPr>
              <w:pStyle w:val="ListParagraph"/>
              <w:spacing w:after="0" w:line="200" w:lineRule="exact"/>
              <w:ind w:left="0"/>
              <w:rPr>
                <w:rFonts w:cs="Times New Roman"/>
                <w:sz w:val="18"/>
                <w:szCs w:val="18"/>
              </w:rPr>
            </w:pPr>
            <w:r>
              <w:rPr>
                <w:rFonts w:cs="Times New Roman"/>
                <w:sz w:val="18"/>
                <w:szCs w:val="18"/>
              </w:rPr>
              <w:t>Right Shoulder Pain</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4E0B3B" w:rsidRDefault="004E0B3B"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340" w:type="dxa"/>
            <w:tcBorders>
              <w:top w:val="single" w:sz="4" w:space="0" w:color="auto"/>
              <w:left w:val="thinThickThinSmallGap" w:sz="24" w:space="0" w:color="auto"/>
            </w:tcBorders>
            <w:shd w:val="clear" w:color="auto" w:fill="FFFFFF" w:themeFill="background1"/>
            <w:vAlign w:val="center"/>
          </w:tcPr>
          <w:p w:rsidR="004E0B3B" w:rsidRDefault="004E0B3B" w:rsidP="001B0ACE">
            <w:pPr>
              <w:pStyle w:val="ListParagraph"/>
              <w:spacing w:after="0" w:line="200" w:lineRule="exact"/>
              <w:ind w:left="0"/>
              <w:rPr>
                <w:rFonts w:cs="Times New Roman"/>
                <w:sz w:val="18"/>
                <w:szCs w:val="18"/>
              </w:rPr>
            </w:pPr>
            <w:r>
              <w:rPr>
                <w:rFonts w:cs="Times New Roman"/>
                <w:sz w:val="18"/>
                <w:szCs w:val="18"/>
              </w:rPr>
              <w:t xml:space="preserve">Right Shoulder </w:t>
            </w:r>
            <w:r w:rsidR="001B0ACE">
              <w:rPr>
                <w:rFonts w:cs="Times New Roman"/>
                <w:sz w:val="18"/>
                <w:szCs w:val="18"/>
              </w:rPr>
              <w:t>Deg. Jt. Dis.</w:t>
            </w:r>
          </w:p>
        </w:tc>
        <w:tc>
          <w:tcPr>
            <w:tcW w:w="1080" w:type="dxa"/>
            <w:tcBorders>
              <w:top w:val="single" w:sz="4" w:space="0" w:color="auto"/>
            </w:tcBorders>
            <w:shd w:val="clear" w:color="auto" w:fill="FFFFFF" w:themeFill="background1"/>
            <w:vAlign w:val="center"/>
          </w:tcPr>
          <w:p w:rsidR="004E0B3B" w:rsidRPr="00BC3538" w:rsidRDefault="001B0ACE" w:rsidP="00191A51">
            <w:pPr>
              <w:pStyle w:val="ListParagraph"/>
              <w:spacing w:after="0" w:line="200" w:lineRule="exact"/>
              <w:ind w:left="0"/>
              <w:jc w:val="center"/>
              <w:rPr>
                <w:rFonts w:cs="Times New Roman"/>
                <w:sz w:val="18"/>
                <w:szCs w:val="18"/>
              </w:rPr>
            </w:pPr>
            <w:r>
              <w:rPr>
                <w:rFonts w:cs="Times New Roman"/>
                <w:sz w:val="18"/>
                <w:szCs w:val="18"/>
              </w:rPr>
              <w:t>5010</w:t>
            </w:r>
          </w:p>
        </w:tc>
        <w:tc>
          <w:tcPr>
            <w:tcW w:w="810" w:type="dxa"/>
            <w:tcBorders>
              <w:top w:val="single" w:sz="4" w:space="0" w:color="auto"/>
            </w:tcBorders>
            <w:shd w:val="clear" w:color="auto" w:fill="FFFFFF" w:themeFill="background1"/>
            <w:vAlign w:val="center"/>
          </w:tcPr>
          <w:p w:rsidR="004E0B3B" w:rsidRPr="00542C9A" w:rsidRDefault="004E0B3B"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4E0B3B" w:rsidRPr="00542C9A" w:rsidRDefault="00211899" w:rsidP="00191A51">
            <w:pPr>
              <w:pStyle w:val="ListParagraph"/>
              <w:spacing w:after="0" w:line="200" w:lineRule="exact"/>
              <w:ind w:left="0"/>
              <w:jc w:val="center"/>
              <w:rPr>
                <w:rFonts w:cs="Times New Roman"/>
                <w:sz w:val="18"/>
                <w:szCs w:val="18"/>
              </w:rPr>
            </w:pPr>
            <w:r>
              <w:rPr>
                <w:rFonts w:cs="Times New Roman"/>
                <w:sz w:val="18"/>
                <w:szCs w:val="18"/>
              </w:rPr>
              <w:t>20090617</w:t>
            </w:r>
          </w:p>
        </w:tc>
      </w:tr>
      <w:tr w:rsidR="00FF4ED6" w:rsidRPr="002A685E" w:rsidTr="004E0B3B">
        <w:trPr>
          <w:trHeight w:val="143"/>
          <w:jc w:val="center"/>
        </w:trPr>
        <w:tc>
          <w:tcPr>
            <w:tcW w:w="417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340" w:type="dxa"/>
            <w:tcBorders>
              <w:left w:val="thinThickThinSmallGap" w:sz="24" w:space="0" w:color="auto"/>
            </w:tcBorders>
            <w:shd w:val="clear" w:color="auto" w:fill="FFFFFF" w:themeFill="background1"/>
          </w:tcPr>
          <w:p w:rsidR="00FF4ED6" w:rsidRPr="00BC3538" w:rsidRDefault="004E0B3B" w:rsidP="001239FC">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right w:val="single" w:sz="4" w:space="0" w:color="auto"/>
            </w:tcBorders>
            <w:shd w:val="clear" w:color="auto" w:fill="FFFFFF" w:themeFill="background1"/>
          </w:tcPr>
          <w:p w:rsidR="00FF4ED6" w:rsidRPr="00BC3538" w:rsidRDefault="001B0ACE" w:rsidP="00186D7F">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tcPr>
          <w:p w:rsidR="00FF4ED6" w:rsidRPr="00542C9A" w:rsidRDefault="004E0B3B"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0B6475" w:rsidP="00CA0A57">
            <w:pPr>
              <w:pStyle w:val="ListParagraph"/>
              <w:spacing w:after="0" w:line="200" w:lineRule="exact"/>
              <w:ind w:left="0"/>
              <w:jc w:val="center"/>
              <w:rPr>
                <w:rFonts w:cs="Times New Roman"/>
                <w:sz w:val="18"/>
                <w:szCs w:val="18"/>
              </w:rPr>
            </w:pPr>
            <w:r>
              <w:rPr>
                <w:rFonts w:cs="Times New Roman"/>
                <w:sz w:val="18"/>
                <w:szCs w:val="18"/>
              </w:rPr>
              <w:t>20090203</w:t>
            </w:r>
          </w:p>
        </w:tc>
      </w:tr>
      <w:tr w:rsidR="00FF4ED6" w:rsidRPr="002A685E" w:rsidTr="004E0B3B">
        <w:trPr>
          <w:trHeight w:val="161"/>
          <w:jc w:val="center"/>
        </w:trPr>
        <w:tc>
          <w:tcPr>
            <w:tcW w:w="417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340" w:type="dxa"/>
            <w:tcBorders>
              <w:left w:val="thinThickThinSmallGap" w:sz="24" w:space="0" w:color="auto"/>
              <w:right w:val="single" w:sz="4" w:space="0" w:color="auto"/>
            </w:tcBorders>
            <w:shd w:val="clear" w:color="auto" w:fill="FFFFFF" w:themeFill="background1"/>
            <w:vAlign w:val="center"/>
          </w:tcPr>
          <w:p w:rsidR="00FF4ED6" w:rsidRDefault="00FF7F64" w:rsidP="00191A51">
            <w:pPr>
              <w:pStyle w:val="ListParagraph"/>
              <w:spacing w:after="0" w:line="200" w:lineRule="exact"/>
              <w:ind w:left="0"/>
              <w:rPr>
                <w:rFonts w:cs="Times New Roman"/>
                <w:sz w:val="18"/>
                <w:szCs w:val="18"/>
              </w:rPr>
            </w:pPr>
            <w:r>
              <w:rPr>
                <w:rFonts w:cs="Times New Roman"/>
                <w:sz w:val="18"/>
                <w:szCs w:val="18"/>
              </w:rPr>
              <w:t>Right Wrist Ganglion Cyst</w:t>
            </w:r>
          </w:p>
        </w:tc>
        <w:tc>
          <w:tcPr>
            <w:tcW w:w="1080" w:type="dxa"/>
            <w:tcBorders>
              <w:left w:val="single" w:sz="4" w:space="0" w:color="auto"/>
              <w:right w:val="single" w:sz="4" w:space="0" w:color="auto"/>
            </w:tcBorders>
            <w:shd w:val="clear" w:color="auto" w:fill="FFFFFF" w:themeFill="background1"/>
            <w:vAlign w:val="center"/>
          </w:tcPr>
          <w:p w:rsidR="00FF4ED6" w:rsidRDefault="00211899" w:rsidP="00191A51">
            <w:pPr>
              <w:pStyle w:val="ListParagraph"/>
              <w:spacing w:after="0" w:line="200" w:lineRule="exact"/>
              <w:ind w:left="0"/>
              <w:jc w:val="center"/>
              <w:rPr>
                <w:rFonts w:cs="Times New Roman"/>
                <w:sz w:val="18"/>
                <w:szCs w:val="18"/>
              </w:rPr>
            </w:pPr>
            <w:r>
              <w:rPr>
                <w:rFonts w:cs="Times New Roman"/>
                <w:sz w:val="18"/>
                <w:szCs w:val="18"/>
              </w:rPr>
              <w:t>*</w:t>
            </w:r>
          </w:p>
        </w:tc>
        <w:tc>
          <w:tcPr>
            <w:tcW w:w="810" w:type="dxa"/>
            <w:tcBorders>
              <w:left w:val="single" w:sz="4" w:space="0" w:color="auto"/>
            </w:tcBorders>
            <w:shd w:val="clear" w:color="auto" w:fill="FFFFFF" w:themeFill="background1"/>
            <w:vAlign w:val="center"/>
          </w:tcPr>
          <w:p w:rsidR="00FF4ED6" w:rsidRDefault="00FF7F64"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20091102</w:t>
            </w:r>
          </w:p>
        </w:tc>
      </w:tr>
      <w:tr w:rsidR="00FF4ED6" w:rsidRPr="002A685E" w:rsidTr="004E0B3B">
        <w:trPr>
          <w:trHeight w:val="170"/>
          <w:jc w:val="center"/>
        </w:trPr>
        <w:tc>
          <w:tcPr>
            <w:tcW w:w="417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340" w:type="dxa"/>
            <w:tcBorders>
              <w:left w:val="thinThickThinSmallGap" w:sz="24" w:space="0" w:color="auto"/>
              <w:right w:val="single" w:sz="4" w:space="0" w:color="auto"/>
            </w:tcBorders>
            <w:shd w:val="clear" w:color="auto" w:fill="FFFFFF" w:themeFill="background1"/>
            <w:vAlign w:val="center"/>
          </w:tcPr>
          <w:p w:rsidR="00FF4ED6" w:rsidRDefault="00FF7F64" w:rsidP="00191A51">
            <w:pPr>
              <w:pStyle w:val="ListParagraph"/>
              <w:spacing w:after="0" w:line="200" w:lineRule="exact"/>
              <w:ind w:left="0"/>
              <w:rPr>
                <w:rFonts w:cs="Times New Roman"/>
                <w:sz w:val="18"/>
                <w:szCs w:val="18"/>
              </w:rPr>
            </w:pPr>
            <w:r>
              <w:rPr>
                <w:rFonts w:cs="Times New Roman"/>
                <w:sz w:val="18"/>
                <w:szCs w:val="18"/>
              </w:rPr>
              <w:t>Left Tarsal Tunnel Syndrome</w:t>
            </w:r>
          </w:p>
        </w:tc>
        <w:tc>
          <w:tcPr>
            <w:tcW w:w="1080" w:type="dxa"/>
            <w:tcBorders>
              <w:left w:val="single" w:sz="4" w:space="0" w:color="auto"/>
              <w:right w:val="single" w:sz="4" w:space="0" w:color="auto"/>
            </w:tcBorders>
            <w:shd w:val="clear" w:color="auto" w:fill="FFFFFF" w:themeFill="background1"/>
            <w:vAlign w:val="center"/>
          </w:tcPr>
          <w:p w:rsidR="00FF4ED6" w:rsidRDefault="00211899" w:rsidP="00191A51">
            <w:pPr>
              <w:pStyle w:val="ListParagraph"/>
              <w:spacing w:after="0" w:line="200" w:lineRule="exact"/>
              <w:ind w:left="0"/>
              <w:jc w:val="center"/>
              <w:rPr>
                <w:rFonts w:cs="Times New Roman"/>
                <w:sz w:val="18"/>
                <w:szCs w:val="18"/>
              </w:rPr>
            </w:pPr>
            <w:r>
              <w:rPr>
                <w:rFonts w:cs="Times New Roman"/>
                <w:sz w:val="18"/>
                <w:szCs w:val="18"/>
              </w:rPr>
              <w:t>*</w:t>
            </w:r>
          </w:p>
        </w:tc>
        <w:tc>
          <w:tcPr>
            <w:tcW w:w="810" w:type="dxa"/>
            <w:tcBorders>
              <w:left w:val="single" w:sz="4" w:space="0" w:color="auto"/>
            </w:tcBorders>
            <w:shd w:val="clear" w:color="auto" w:fill="FFFFFF" w:themeFill="background1"/>
            <w:vAlign w:val="center"/>
          </w:tcPr>
          <w:p w:rsidR="00FF4ED6" w:rsidRDefault="00FF7F64"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0B6475" w:rsidP="00191A51">
            <w:pPr>
              <w:pStyle w:val="ListParagraph"/>
              <w:spacing w:after="0" w:line="200" w:lineRule="exact"/>
              <w:ind w:left="0"/>
              <w:jc w:val="center"/>
              <w:rPr>
                <w:rFonts w:cs="Times New Roman"/>
                <w:sz w:val="18"/>
                <w:szCs w:val="18"/>
              </w:rPr>
            </w:pPr>
            <w:r>
              <w:rPr>
                <w:rFonts w:cs="Times New Roman"/>
                <w:sz w:val="18"/>
                <w:szCs w:val="18"/>
              </w:rPr>
              <w:t>20091028</w:t>
            </w:r>
          </w:p>
        </w:tc>
      </w:tr>
      <w:tr w:rsidR="00FF4ED6" w:rsidRPr="002A685E" w:rsidTr="004E0B3B">
        <w:trPr>
          <w:trHeight w:val="188"/>
          <w:jc w:val="center"/>
        </w:trPr>
        <w:tc>
          <w:tcPr>
            <w:tcW w:w="417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230" w:type="dxa"/>
            <w:gridSpan w:val="3"/>
            <w:tcBorders>
              <w:left w:val="thinThickThinSmallGap" w:sz="24" w:space="0" w:color="auto"/>
            </w:tcBorders>
            <w:shd w:val="clear" w:color="auto" w:fill="FFFFFF" w:themeFill="background1"/>
            <w:vAlign w:val="center"/>
          </w:tcPr>
          <w:p w:rsidR="00FF4ED6" w:rsidRPr="0038532B" w:rsidRDefault="008144BF" w:rsidP="008144BF">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BE3B7B">
              <w:rPr>
                <w:rFonts w:cs="Times New Roman"/>
                <w:sz w:val="18"/>
                <w:szCs w:val="18"/>
              </w:rPr>
              <w:t>5</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BE3B7B">
              <w:rPr>
                <w:rFonts w:cs="Times New Roman"/>
                <w:sz w:val="18"/>
                <w:szCs w:val="18"/>
              </w:rPr>
              <w:t>1</w:t>
            </w:r>
          </w:p>
        </w:tc>
        <w:tc>
          <w:tcPr>
            <w:tcW w:w="1024" w:type="dxa"/>
            <w:shd w:val="clear" w:color="auto" w:fill="FFFFFF" w:themeFill="background1"/>
            <w:vAlign w:val="center"/>
          </w:tcPr>
          <w:p w:rsidR="00FF4ED6" w:rsidRPr="00542C9A" w:rsidRDefault="00211899" w:rsidP="00191A51">
            <w:pPr>
              <w:pStyle w:val="ListParagraph"/>
              <w:spacing w:after="0" w:line="200" w:lineRule="exact"/>
              <w:ind w:left="0"/>
              <w:jc w:val="center"/>
              <w:rPr>
                <w:rFonts w:cs="Times New Roman"/>
                <w:sz w:val="18"/>
                <w:szCs w:val="18"/>
              </w:rPr>
            </w:pPr>
            <w:r>
              <w:rPr>
                <w:rFonts w:cs="Times New Roman"/>
                <w:sz w:val="18"/>
                <w:szCs w:val="18"/>
              </w:rPr>
              <w:t>20090120</w:t>
            </w:r>
          </w:p>
        </w:tc>
      </w:tr>
      <w:tr w:rsidR="00191A51" w:rsidRPr="002A685E" w:rsidTr="004E0B3B">
        <w:trPr>
          <w:trHeight w:val="242"/>
          <w:jc w:val="center"/>
        </w:trPr>
        <w:tc>
          <w:tcPr>
            <w:tcW w:w="417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43610">
              <w:rPr>
                <w:rFonts w:cs="Times New Roman"/>
                <w:b/>
                <w:sz w:val="20"/>
                <w:szCs w:val="20"/>
              </w:rPr>
              <w:t>0</w:t>
            </w:r>
            <w:r w:rsidRPr="0085089F">
              <w:rPr>
                <w:rFonts w:cs="Times New Roman"/>
                <w:b/>
                <w:sz w:val="20"/>
                <w:szCs w:val="20"/>
              </w:rPr>
              <w:t>%</w:t>
            </w:r>
          </w:p>
        </w:tc>
        <w:tc>
          <w:tcPr>
            <w:tcW w:w="525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BE3B7B" w:rsidRPr="00CB3BCA">
              <w:rPr>
                <w:rFonts w:cs="Times New Roman"/>
                <w:b/>
                <w:sz w:val="20"/>
                <w:szCs w:val="20"/>
              </w:rPr>
              <w:t>3</w:t>
            </w:r>
            <w:r w:rsidR="0071308A" w:rsidRPr="00CB3BCA">
              <w:rPr>
                <w:rFonts w:cs="Times New Roman"/>
                <w:b/>
                <w:sz w:val="20"/>
                <w:szCs w:val="20"/>
              </w:rPr>
              <w:t>0</w:t>
            </w:r>
            <w:r w:rsidRPr="00CB3BCA">
              <w:rPr>
                <w:rFonts w:cs="Times New Roman"/>
                <w:b/>
                <w:sz w:val="20"/>
                <w:szCs w:val="20"/>
              </w:rPr>
              <w:t>%</w:t>
            </w:r>
          </w:p>
        </w:tc>
      </w:tr>
    </w:tbl>
    <w:p w:rsidR="00211899" w:rsidRPr="00211899" w:rsidRDefault="00211899"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211899">
        <w:rPr>
          <w:rFonts w:asciiTheme="minorHAnsi" w:hAnsiTheme="minorHAnsi"/>
          <w:color w:val="auto"/>
          <w:sz w:val="18"/>
          <w:szCs w:val="18"/>
        </w:rPr>
        <w:t>*</w:t>
      </w:r>
      <w:r w:rsidR="007F17E8">
        <w:rPr>
          <w:rFonts w:asciiTheme="minorHAnsi" w:hAnsiTheme="minorHAnsi"/>
          <w:color w:val="auto"/>
          <w:sz w:val="18"/>
          <w:szCs w:val="18"/>
        </w:rPr>
        <w:t xml:space="preserve">By Rating Decision 20101016; </w:t>
      </w:r>
      <w:r w:rsidRPr="00211899">
        <w:rPr>
          <w:rFonts w:asciiTheme="minorHAnsi" w:hAnsiTheme="minorHAnsi"/>
          <w:color w:val="auto"/>
          <w:sz w:val="18"/>
          <w:szCs w:val="18"/>
        </w:rPr>
        <w:t>VA code sheet not in evidence</w:t>
      </w:r>
    </w:p>
    <w:p w:rsidR="000B6475" w:rsidRPr="00FF7F64" w:rsidRDefault="000B6475"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92702F" w:rsidRDefault="0092702F" w:rsidP="00190E48">
      <w:pPr>
        <w:tabs>
          <w:tab w:val="left" w:pos="288"/>
          <w:tab w:val="left" w:pos="4752"/>
        </w:tabs>
        <w:spacing w:line="240" w:lineRule="exact"/>
        <w:jc w:val="both"/>
        <w:rPr>
          <w:color w:val="000080"/>
        </w:rPr>
      </w:pPr>
    </w:p>
    <w:p w:rsidR="00C94119" w:rsidRDefault="002C6E5B" w:rsidP="00846F26">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CF32B4">
        <w:rPr>
          <w:rFonts w:asciiTheme="minorHAnsi" w:hAnsiTheme="minorHAnsi"/>
          <w:color w:val="auto"/>
          <w:szCs w:val="24"/>
        </w:rPr>
        <w:t xml:space="preserve">  </w:t>
      </w:r>
      <w:r w:rsidR="00846F26" w:rsidRPr="00846F26">
        <w:rPr>
          <w:rFonts w:asciiTheme="minorHAnsi" w:hAnsiTheme="minorHAnsi"/>
          <w:color w:val="auto"/>
          <w:szCs w:val="24"/>
        </w:rPr>
        <w:t>The Board acknowledges the sentiment expressed in the CI’s application regarding the significant impairment with which h</w:t>
      </w:r>
      <w:r w:rsidR="00846F26">
        <w:rPr>
          <w:rFonts w:asciiTheme="minorHAnsi" w:hAnsiTheme="minorHAnsi"/>
          <w:color w:val="auto"/>
          <w:szCs w:val="24"/>
        </w:rPr>
        <w:t>er</w:t>
      </w:r>
      <w:r w:rsidR="00846F26" w:rsidRPr="00846F26">
        <w:rPr>
          <w:rFonts w:asciiTheme="minorHAnsi" w:hAnsiTheme="minorHAnsi"/>
          <w:color w:val="auto"/>
          <w:szCs w:val="24"/>
        </w:rPr>
        <w:t xml:space="preserve"> service-incurred condition continues to burden h</w:t>
      </w:r>
      <w:r w:rsidR="00846F26">
        <w:rPr>
          <w:rFonts w:asciiTheme="minorHAnsi" w:hAnsiTheme="minorHAnsi"/>
          <w:color w:val="auto"/>
          <w:szCs w:val="24"/>
        </w:rPr>
        <w:t>er</w:t>
      </w:r>
      <w:r w:rsidR="00846F26" w:rsidRPr="00846F26">
        <w:rPr>
          <w:rFonts w:asciiTheme="minorHAnsi" w:hAnsiTheme="minorHAnsi"/>
          <w:color w:val="auto"/>
          <w:szCs w:val="24"/>
        </w:rPr>
        <w:t xml:space="preserve">. </w:t>
      </w:r>
      <w:r w:rsidR="00846F26">
        <w:rPr>
          <w:rFonts w:asciiTheme="minorHAnsi" w:hAnsiTheme="minorHAnsi"/>
          <w:color w:val="auto"/>
          <w:szCs w:val="24"/>
        </w:rPr>
        <w:t xml:space="preserve"> </w:t>
      </w:r>
      <w:r w:rsidR="00846F26" w:rsidRPr="00846F26">
        <w:rPr>
          <w:rFonts w:asciiTheme="minorHAnsi" w:hAnsiTheme="minorHAnsi"/>
          <w:color w:val="auto"/>
          <w:szCs w:val="24"/>
        </w:rPr>
        <w:t xml:space="preserve">The Board wishes to clarify that it is subject to the same laws for Service disability entitlements as those under which the </w:t>
      </w:r>
      <w:r w:rsidR="004064A9">
        <w:rPr>
          <w:rFonts w:asciiTheme="minorHAnsi" w:hAnsiTheme="minorHAnsi"/>
          <w:color w:val="auto"/>
          <w:szCs w:val="24"/>
        </w:rPr>
        <w:t>Disability Evaluation System (</w:t>
      </w:r>
      <w:r w:rsidR="00846F26" w:rsidRPr="00846F26">
        <w:rPr>
          <w:rFonts w:asciiTheme="minorHAnsi" w:hAnsiTheme="minorHAnsi"/>
          <w:color w:val="auto"/>
          <w:szCs w:val="24"/>
        </w:rPr>
        <w:t xml:space="preserve">DES) operates. </w:t>
      </w:r>
      <w:r w:rsidR="00846F26">
        <w:rPr>
          <w:rFonts w:asciiTheme="minorHAnsi" w:hAnsiTheme="minorHAnsi"/>
          <w:color w:val="auto"/>
          <w:szCs w:val="24"/>
        </w:rPr>
        <w:t xml:space="preserve"> </w:t>
      </w:r>
      <w:r w:rsidR="004064A9">
        <w:rPr>
          <w:rFonts w:asciiTheme="minorHAnsi" w:hAnsiTheme="minorHAnsi"/>
          <w:color w:val="auto"/>
          <w:szCs w:val="24"/>
        </w:rPr>
        <w:t xml:space="preserve">The </w:t>
      </w:r>
      <w:r w:rsidR="00846F26" w:rsidRPr="00846F26">
        <w:rPr>
          <w:rFonts w:asciiTheme="minorHAnsi" w:hAnsiTheme="minorHAnsi"/>
          <w:color w:val="auto"/>
          <w:szCs w:val="24"/>
        </w:rPr>
        <w:t xml:space="preserve">DES has neither the role nor the authority to compensate service members for anticipated future severity or potential complications of conditions resulting in medical separation. </w:t>
      </w:r>
      <w:r w:rsidR="00846F26">
        <w:rPr>
          <w:rFonts w:asciiTheme="minorHAnsi" w:hAnsiTheme="minorHAnsi"/>
          <w:color w:val="auto"/>
          <w:szCs w:val="24"/>
        </w:rPr>
        <w:t xml:space="preserve"> </w:t>
      </w:r>
      <w:r w:rsidR="00846F26" w:rsidRPr="00846F26">
        <w:rPr>
          <w:rFonts w:asciiTheme="minorHAnsi" w:hAnsiTheme="minorHAnsi"/>
          <w:color w:val="auto"/>
          <w:szCs w:val="24"/>
        </w:rPr>
        <w:t>That role and authority is granted by Congress to the Department of Veteran</w:t>
      </w:r>
      <w:r w:rsidR="004064A9">
        <w:rPr>
          <w:rFonts w:asciiTheme="minorHAnsi" w:hAnsiTheme="minorHAnsi"/>
          <w:color w:val="auto"/>
          <w:szCs w:val="24"/>
        </w:rPr>
        <w:t>s’</w:t>
      </w:r>
      <w:r w:rsidR="00846F26" w:rsidRPr="00846F26">
        <w:rPr>
          <w:rFonts w:asciiTheme="minorHAnsi" w:hAnsiTheme="minorHAnsi"/>
          <w:color w:val="auto"/>
          <w:szCs w:val="24"/>
        </w:rPr>
        <w:t xml:space="preserve"> Affairs (DVA), operating under a different set of laws (Title 38, United States Code).</w:t>
      </w:r>
      <w:r w:rsidR="00846F26">
        <w:rPr>
          <w:rFonts w:asciiTheme="minorHAnsi" w:hAnsiTheme="minorHAnsi"/>
          <w:color w:val="auto"/>
          <w:szCs w:val="24"/>
        </w:rPr>
        <w:t xml:space="preserve"> </w:t>
      </w:r>
      <w:r w:rsidR="00846F26" w:rsidRPr="00846F26">
        <w:rPr>
          <w:rFonts w:asciiTheme="minorHAnsi" w:hAnsiTheme="minorHAnsi"/>
          <w:color w:val="auto"/>
          <w:szCs w:val="24"/>
        </w:rPr>
        <w:t xml:space="preserve"> The Board evaluates VA evidence proximal to separation in arriving at its recommendations, but its authority resides in evaluating the fairness of DES fitness decisions and rating determinations for disability at the time of separation.</w:t>
      </w:r>
    </w:p>
    <w:p w:rsidR="00C94119" w:rsidRDefault="00C94119" w:rsidP="00846F26">
      <w:pPr>
        <w:tabs>
          <w:tab w:val="left" w:pos="288"/>
          <w:tab w:val="left" w:pos="4752"/>
        </w:tabs>
        <w:spacing w:line="240" w:lineRule="exact"/>
        <w:jc w:val="both"/>
        <w:rPr>
          <w:rFonts w:asciiTheme="minorHAnsi" w:hAnsiTheme="minorHAnsi"/>
          <w:color w:val="auto"/>
          <w:szCs w:val="24"/>
        </w:rPr>
      </w:pPr>
    </w:p>
    <w:p w:rsidR="00D136A1" w:rsidRPr="00D136A1" w:rsidRDefault="00D136A1" w:rsidP="00D136A1">
      <w:pPr>
        <w:tabs>
          <w:tab w:val="left" w:pos="288"/>
          <w:tab w:val="left" w:pos="4752"/>
        </w:tabs>
        <w:spacing w:line="240" w:lineRule="exact"/>
        <w:jc w:val="both"/>
        <w:rPr>
          <w:rFonts w:asciiTheme="minorHAnsi" w:hAnsiTheme="minorHAnsi"/>
          <w:color w:val="auto"/>
          <w:szCs w:val="24"/>
        </w:rPr>
      </w:pPr>
      <w:r w:rsidRPr="00D136A1">
        <w:rPr>
          <w:rFonts w:asciiTheme="minorHAnsi" w:hAnsiTheme="minorHAnsi"/>
          <w:color w:val="auto"/>
          <w:szCs w:val="24"/>
        </w:rPr>
        <w:t>This case was adjudicated as part of the pilot disability evaluation system under the policy and procedure directive type memorandum (DTM) of 21 November 2007 (</w:t>
      </w:r>
      <w:proofErr w:type="spellStart"/>
      <w:r w:rsidRPr="00D136A1">
        <w:rPr>
          <w:rFonts w:asciiTheme="minorHAnsi" w:hAnsiTheme="minorHAnsi"/>
          <w:color w:val="auto"/>
          <w:szCs w:val="24"/>
        </w:rPr>
        <w:t>DoD</w:t>
      </w:r>
      <w:proofErr w:type="spellEnd"/>
      <w:r w:rsidRPr="00D136A1">
        <w:rPr>
          <w:rFonts w:asciiTheme="minorHAnsi" w:hAnsiTheme="minorHAnsi"/>
          <w:color w:val="auto"/>
          <w:szCs w:val="24"/>
        </w:rPr>
        <w:t xml:space="preserve"> VA DES Pilot Program).  Under this pilot program, the PEB makes fitness determinations only, and assigns a disability rating for each unfitting c</w:t>
      </w:r>
      <w:r w:rsidR="004064A9">
        <w:rPr>
          <w:rFonts w:asciiTheme="minorHAnsi" w:hAnsiTheme="minorHAnsi"/>
          <w:color w:val="auto"/>
          <w:szCs w:val="24"/>
        </w:rPr>
        <w:t xml:space="preserve">ondition based on the proposed </w:t>
      </w:r>
      <w:r w:rsidRPr="00D136A1">
        <w:rPr>
          <w:rFonts w:asciiTheme="minorHAnsi" w:hAnsiTheme="minorHAnsi"/>
          <w:color w:val="auto"/>
          <w:szCs w:val="24"/>
        </w:rPr>
        <w:t xml:space="preserve">VA disability rating.  The specific VASRD codes applied to the PEB conditions and their respective ratings are determined solely by the </w:t>
      </w:r>
      <w:r w:rsidR="004064A9">
        <w:rPr>
          <w:rFonts w:asciiTheme="minorHAnsi" w:hAnsiTheme="minorHAnsi"/>
          <w:color w:val="auto"/>
          <w:szCs w:val="24"/>
        </w:rPr>
        <w:t>VA</w:t>
      </w:r>
      <w:r w:rsidRPr="00D136A1">
        <w:rPr>
          <w:rFonts w:asciiTheme="minorHAnsi" w:hAnsiTheme="minorHAnsi"/>
          <w:color w:val="auto"/>
          <w:szCs w:val="24"/>
        </w:rPr>
        <w:t xml:space="preserve"> and those applicable to t</w:t>
      </w:r>
      <w:r w:rsidR="004064A9">
        <w:rPr>
          <w:rFonts w:asciiTheme="minorHAnsi" w:hAnsiTheme="minorHAnsi"/>
          <w:color w:val="auto"/>
          <w:szCs w:val="24"/>
        </w:rPr>
        <w:t xml:space="preserve">his case are documented in the </w:t>
      </w:r>
      <w:r w:rsidRPr="00D136A1">
        <w:rPr>
          <w:rFonts w:asciiTheme="minorHAnsi" w:hAnsiTheme="minorHAnsi"/>
          <w:color w:val="auto"/>
          <w:szCs w:val="24"/>
        </w:rPr>
        <w:t xml:space="preserve">VA rating decision dated </w:t>
      </w:r>
      <w:r w:rsidR="007F17E8">
        <w:rPr>
          <w:rFonts w:asciiTheme="minorHAnsi" w:hAnsiTheme="minorHAnsi"/>
          <w:color w:val="auto"/>
          <w:szCs w:val="24"/>
        </w:rPr>
        <w:t>9 October 2009</w:t>
      </w:r>
      <w:r w:rsidRPr="00D136A1">
        <w:rPr>
          <w:rFonts w:asciiTheme="minorHAnsi" w:hAnsiTheme="minorHAnsi"/>
          <w:color w:val="auto"/>
          <w:szCs w:val="24"/>
        </w:rPr>
        <w:t xml:space="preserve">.  A condition established as not unfitting by the PEB, although coded and rated by the VA, is not subject to Service disability rating.  Members were able to appeal fitness determinations to their respective Service, and appeal rating determinations to the VA.  The Board’s role in these cases, as confirmed by consultation with </w:t>
      </w:r>
      <w:proofErr w:type="spellStart"/>
      <w:proofErr w:type="gramStart"/>
      <w:r w:rsidRPr="00D136A1">
        <w:rPr>
          <w:rFonts w:asciiTheme="minorHAnsi" w:hAnsiTheme="minorHAnsi"/>
          <w:color w:val="auto"/>
          <w:szCs w:val="24"/>
        </w:rPr>
        <w:t>DoD</w:t>
      </w:r>
      <w:proofErr w:type="spellEnd"/>
      <w:proofErr w:type="gramEnd"/>
      <w:r w:rsidRPr="00D136A1">
        <w:rPr>
          <w:rFonts w:asciiTheme="minorHAnsi" w:hAnsiTheme="minorHAnsi"/>
          <w:color w:val="auto"/>
          <w:szCs w:val="24"/>
        </w:rPr>
        <w:t xml:space="preserve">, is two-fold.  Firstly, it must assess the fairness of the PEB’s fitness adjudications; and, may offer recommendations for Service rating of any condition which it determines would have (independently or in combination) rendered the CI incapable of adequately performing required duties.  The Board’s threshold for countering DES fitness determinations is higher than the VASRD §4.3 reasonable doubt standard used for its rating recommendations; but, remains adherent to the </w:t>
      </w:r>
      <w:proofErr w:type="spellStart"/>
      <w:r w:rsidRPr="00D136A1">
        <w:rPr>
          <w:rFonts w:asciiTheme="minorHAnsi" w:hAnsiTheme="minorHAnsi"/>
          <w:color w:val="auto"/>
          <w:szCs w:val="24"/>
        </w:rPr>
        <w:t>DoDI</w:t>
      </w:r>
      <w:proofErr w:type="spellEnd"/>
      <w:r w:rsidRPr="00D136A1">
        <w:rPr>
          <w:rFonts w:asciiTheme="minorHAnsi" w:hAnsiTheme="minorHAnsi"/>
          <w:color w:val="auto"/>
          <w:szCs w:val="24"/>
        </w:rPr>
        <w:t xml:space="preserve"> 6040.44 “fair and equitable” standard.  Secondly, the Board must review the fairness and accuracy of the VA assigned rating; and, may recommend a higher rating if warranted.  As with all such recommendations (IAW </w:t>
      </w:r>
      <w:proofErr w:type="spellStart"/>
      <w:r w:rsidRPr="00D136A1">
        <w:rPr>
          <w:rFonts w:asciiTheme="minorHAnsi" w:hAnsiTheme="minorHAnsi"/>
          <w:color w:val="auto"/>
          <w:szCs w:val="24"/>
        </w:rPr>
        <w:t>DoDI</w:t>
      </w:r>
      <w:proofErr w:type="spellEnd"/>
      <w:r w:rsidRPr="00D136A1">
        <w:rPr>
          <w:rFonts w:asciiTheme="minorHAnsi" w:hAnsiTheme="minorHAnsi"/>
          <w:color w:val="auto"/>
          <w:szCs w:val="24"/>
        </w:rPr>
        <w:t xml:space="preserve"> 6040.44) the Board may not recommend a rating lower than that received prior to application.</w:t>
      </w:r>
    </w:p>
    <w:p w:rsidR="00C94119" w:rsidRDefault="00C94119" w:rsidP="00846F26">
      <w:pPr>
        <w:tabs>
          <w:tab w:val="left" w:pos="288"/>
          <w:tab w:val="left" w:pos="4752"/>
        </w:tabs>
        <w:spacing w:line="240" w:lineRule="exact"/>
        <w:jc w:val="both"/>
        <w:rPr>
          <w:rFonts w:asciiTheme="minorHAnsi" w:hAnsiTheme="minorHAnsi"/>
          <w:color w:val="auto"/>
          <w:szCs w:val="24"/>
        </w:rPr>
      </w:pPr>
    </w:p>
    <w:p w:rsidR="007F17E8" w:rsidRDefault="00846F26" w:rsidP="007F17E8">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Pes Planus</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290BDC">
        <w:rPr>
          <w:rFonts w:asciiTheme="minorHAnsi" w:hAnsiTheme="minorHAnsi"/>
          <w:color w:val="auto"/>
          <w:szCs w:val="24"/>
        </w:rPr>
        <w:t>An orthopedic consult (2 June 2008</w:t>
      </w:r>
      <w:r w:rsidR="00CB3BCA">
        <w:rPr>
          <w:rFonts w:asciiTheme="minorHAnsi" w:hAnsiTheme="minorHAnsi"/>
          <w:color w:val="auto"/>
          <w:szCs w:val="24"/>
        </w:rPr>
        <w:t xml:space="preserve">, 16 months prior to </w:t>
      </w:r>
      <w:r w:rsidR="001A2DA4">
        <w:rPr>
          <w:rFonts w:asciiTheme="minorHAnsi" w:hAnsiTheme="minorHAnsi"/>
          <w:color w:val="auto"/>
          <w:szCs w:val="24"/>
        </w:rPr>
        <w:t>separation</w:t>
      </w:r>
      <w:r w:rsidR="00290BDC">
        <w:rPr>
          <w:rFonts w:asciiTheme="minorHAnsi" w:hAnsiTheme="minorHAnsi"/>
          <w:color w:val="auto"/>
          <w:szCs w:val="24"/>
        </w:rPr>
        <w:t xml:space="preserve">) </w:t>
      </w:r>
      <w:r w:rsidR="00BB560A">
        <w:rPr>
          <w:rFonts w:asciiTheme="minorHAnsi" w:hAnsiTheme="minorHAnsi"/>
          <w:color w:val="auto"/>
          <w:szCs w:val="24"/>
        </w:rPr>
        <w:t>obtained</w:t>
      </w:r>
      <w:r w:rsidR="00290BDC">
        <w:rPr>
          <w:rFonts w:asciiTheme="minorHAnsi" w:hAnsiTheme="minorHAnsi"/>
          <w:color w:val="auto"/>
          <w:szCs w:val="24"/>
        </w:rPr>
        <w:t xml:space="preserve"> in preparation for the MEB reported pain </w:t>
      </w:r>
      <w:r w:rsidR="000E7197">
        <w:rPr>
          <w:rFonts w:asciiTheme="minorHAnsi" w:hAnsiTheme="minorHAnsi"/>
          <w:color w:val="auto"/>
          <w:szCs w:val="24"/>
        </w:rPr>
        <w:t xml:space="preserve">for the first few steps in the morning and </w:t>
      </w:r>
      <w:r w:rsidR="00290BDC">
        <w:rPr>
          <w:rFonts w:asciiTheme="minorHAnsi" w:hAnsiTheme="minorHAnsi"/>
          <w:color w:val="auto"/>
          <w:szCs w:val="24"/>
        </w:rPr>
        <w:t xml:space="preserve">after prolonged standing. </w:t>
      </w:r>
      <w:r w:rsidR="00AB2B9B">
        <w:rPr>
          <w:rFonts w:asciiTheme="minorHAnsi" w:hAnsiTheme="minorHAnsi"/>
          <w:color w:val="auto"/>
          <w:szCs w:val="24"/>
        </w:rPr>
        <w:t xml:space="preserve"> </w:t>
      </w:r>
      <w:r w:rsidR="000E7197">
        <w:rPr>
          <w:rFonts w:asciiTheme="minorHAnsi" w:hAnsiTheme="minorHAnsi"/>
          <w:color w:val="auto"/>
          <w:szCs w:val="24"/>
        </w:rPr>
        <w:t xml:space="preserve">Wearing military boots and high heeled shoes hurt her feet.  </w:t>
      </w:r>
      <w:r w:rsidR="00290BDC">
        <w:rPr>
          <w:rFonts w:asciiTheme="minorHAnsi" w:hAnsiTheme="minorHAnsi"/>
          <w:color w:val="auto"/>
          <w:szCs w:val="24"/>
        </w:rPr>
        <w:t xml:space="preserve">Orthotics helped “a little.”  </w:t>
      </w:r>
      <w:r w:rsidR="008F1EF0">
        <w:rPr>
          <w:rFonts w:asciiTheme="minorHAnsi" w:hAnsiTheme="minorHAnsi"/>
          <w:color w:val="auto"/>
          <w:szCs w:val="24"/>
        </w:rPr>
        <w:t xml:space="preserve">Both feet were equally symptomatic.  </w:t>
      </w:r>
      <w:r w:rsidR="00290BDC">
        <w:rPr>
          <w:rFonts w:asciiTheme="minorHAnsi" w:hAnsiTheme="minorHAnsi"/>
          <w:color w:val="auto"/>
          <w:szCs w:val="24"/>
        </w:rPr>
        <w:t>Exam showed normally aligned feet and sore plantar fascia bilaterally.</w:t>
      </w:r>
      <w:r w:rsidR="000E7197">
        <w:rPr>
          <w:rFonts w:asciiTheme="minorHAnsi" w:hAnsiTheme="minorHAnsi"/>
          <w:color w:val="auto"/>
          <w:szCs w:val="24"/>
        </w:rPr>
        <w:t xml:space="preserve"> </w:t>
      </w:r>
      <w:r w:rsidR="00290BDC">
        <w:rPr>
          <w:rFonts w:asciiTheme="minorHAnsi" w:hAnsiTheme="minorHAnsi"/>
          <w:color w:val="auto"/>
          <w:szCs w:val="24"/>
        </w:rPr>
        <w:t xml:space="preserve"> </w:t>
      </w:r>
      <w:r w:rsidR="007D3578">
        <w:rPr>
          <w:rFonts w:asciiTheme="minorHAnsi" w:hAnsiTheme="minorHAnsi"/>
          <w:color w:val="auto"/>
          <w:szCs w:val="24"/>
        </w:rPr>
        <w:t>X-rays were normal, but bilateral weight-bearing X-rays performed four months later showed pes planus</w:t>
      </w:r>
      <w:r w:rsidR="00980EE7">
        <w:rPr>
          <w:rFonts w:asciiTheme="minorHAnsi" w:hAnsiTheme="minorHAnsi"/>
          <w:color w:val="auto"/>
          <w:szCs w:val="24"/>
        </w:rPr>
        <w:t>.</w:t>
      </w:r>
      <w:r w:rsidR="000E7197">
        <w:rPr>
          <w:rFonts w:asciiTheme="minorHAnsi" w:hAnsiTheme="minorHAnsi"/>
          <w:color w:val="auto"/>
          <w:szCs w:val="24"/>
        </w:rPr>
        <w:t xml:space="preserve">  </w:t>
      </w:r>
      <w:r w:rsidR="0036587F">
        <w:rPr>
          <w:rFonts w:asciiTheme="minorHAnsi" w:hAnsiTheme="minorHAnsi"/>
          <w:color w:val="auto"/>
          <w:szCs w:val="24"/>
        </w:rPr>
        <w:t>T</w:t>
      </w:r>
      <w:r w:rsidR="00290BDC">
        <w:rPr>
          <w:rFonts w:asciiTheme="minorHAnsi" w:hAnsiTheme="minorHAnsi"/>
          <w:color w:val="auto"/>
          <w:szCs w:val="24"/>
        </w:rPr>
        <w:t xml:space="preserve">he consultant could not state that the CI would </w:t>
      </w:r>
      <w:r w:rsidR="00BB560A">
        <w:rPr>
          <w:rFonts w:asciiTheme="minorHAnsi" w:hAnsiTheme="minorHAnsi"/>
          <w:color w:val="auto"/>
          <w:szCs w:val="24"/>
        </w:rPr>
        <w:t xml:space="preserve">be </w:t>
      </w:r>
      <w:r w:rsidR="00290BDC">
        <w:rPr>
          <w:rFonts w:asciiTheme="minorHAnsi" w:hAnsiTheme="minorHAnsi"/>
          <w:color w:val="auto"/>
          <w:szCs w:val="24"/>
        </w:rPr>
        <w:t>permanently unable to wear military boots due to the foot condition</w:t>
      </w:r>
      <w:r w:rsidR="00F42E86">
        <w:rPr>
          <w:rFonts w:asciiTheme="minorHAnsi" w:hAnsiTheme="minorHAnsi"/>
          <w:color w:val="auto"/>
          <w:szCs w:val="24"/>
        </w:rPr>
        <w:t xml:space="preserve"> and assessed the </w:t>
      </w:r>
      <w:r w:rsidR="007D3578">
        <w:rPr>
          <w:rFonts w:asciiTheme="minorHAnsi" w:hAnsiTheme="minorHAnsi"/>
          <w:color w:val="auto"/>
          <w:szCs w:val="24"/>
        </w:rPr>
        <w:t xml:space="preserve">plantar fasciitis </w:t>
      </w:r>
      <w:r w:rsidR="00F42E86">
        <w:rPr>
          <w:rFonts w:asciiTheme="minorHAnsi" w:hAnsiTheme="minorHAnsi"/>
          <w:color w:val="auto"/>
          <w:szCs w:val="24"/>
        </w:rPr>
        <w:t>condition as medically acceptable.</w:t>
      </w:r>
      <w:r w:rsidR="007F17E8">
        <w:rPr>
          <w:rFonts w:asciiTheme="minorHAnsi" w:hAnsiTheme="minorHAnsi"/>
          <w:color w:val="auto"/>
          <w:szCs w:val="24"/>
        </w:rPr>
        <w:t xml:space="preserve">  </w:t>
      </w:r>
      <w:r w:rsidR="00BB560A">
        <w:rPr>
          <w:rFonts w:asciiTheme="minorHAnsi" w:hAnsiTheme="minorHAnsi"/>
          <w:color w:val="auto"/>
          <w:szCs w:val="24"/>
        </w:rPr>
        <w:t xml:space="preserve">A VA Compensation and Pension (C&amp;P) examiner (20 January 2009, eight months prior to separation) reported a two year history of intermittent pain in both feet, primarily on standing and running.  Use of inserts and pain medication </w:t>
      </w:r>
      <w:r w:rsidR="00F460E7">
        <w:rPr>
          <w:rFonts w:asciiTheme="minorHAnsi" w:hAnsiTheme="minorHAnsi"/>
          <w:color w:val="auto"/>
          <w:szCs w:val="24"/>
        </w:rPr>
        <w:t xml:space="preserve">reportedly </w:t>
      </w:r>
      <w:r w:rsidR="00BB560A">
        <w:rPr>
          <w:rFonts w:asciiTheme="minorHAnsi" w:hAnsiTheme="minorHAnsi"/>
          <w:color w:val="auto"/>
          <w:szCs w:val="24"/>
        </w:rPr>
        <w:t>eased the pain</w:t>
      </w:r>
      <w:r w:rsidR="00F460E7">
        <w:rPr>
          <w:rFonts w:asciiTheme="minorHAnsi" w:hAnsiTheme="minorHAnsi"/>
          <w:color w:val="auto"/>
          <w:szCs w:val="24"/>
        </w:rPr>
        <w:t>, but she was not wearing the inserts at this exam</w:t>
      </w:r>
      <w:r w:rsidR="00BB560A">
        <w:rPr>
          <w:rFonts w:asciiTheme="minorHAnsi" w:hAnsiTheme="minorHAnsi"/>
          <w:color w:val="auto"/>
          <w:szCs w:val="24"/>
        </w:rPr>
        <w:t>.  Examination showed</w:t>
      </w:r>
      <w:r w:rsidR="00F460E7">
        <w:rPr>
          <w:rFonts w:asciiTheme="minorHAnsi" w:hAnsiTheme="minorHAnsi"/>
          <w:color w:val="auto"/>
          <w:szCs w:val="24"/>
        </w:rPr>
        <w:t xml:space="preserve"> mild pes planus but</w:t>
      </w:r>
      <w:r w:rsidR="00BB560A">
        <w:rPr>
          <w:rFonts w:asciiTheme="minorHAnsi" w:hAnsiTheme="minorHAnsi"/>
          <w:color w:val="auto"/>
          <w:szCs w:val="24"/>
        </w:rPr>
        <w:t xml:space="preserve"> no deformity, non-tender Achilles tendons and no breakdown or calluses.  </w:t>
      </w:r>
      <w:r w:rsidR="00C903F0">
        <w:rPr>
          <w:rFonts w:asciiTheme="minorHAnsi" w:hAnsiTheme="minorHAnsi"/>
          <w:color w:val="auto"/>
          <w:szCs w:val="24"/>
        </w:rPr>
        <w:t>Gait</w:t>
      </w:r>
      <w:r w:rsidR="00F460E7">
        <w:rPr>
          <w:rFonts w:asciiTheme="minorHAnsi" w:hAnsiTheme="minorHAnsi"/>
          <w:color w:val="auto"/>
          <w:szCs w:val="24"/>
        </w:rPr>
        <w:t>,</w:t>
      </w:r>
      <w:r w:rsidR="00C903F0">
        <w:rPr>
          <w:rFonts w:asciiTheme="minorHAnsi" w:hAnsiTheme="minorHAnsi"/>
          <w:color w:val="auto"/>
          <w:szCs w:val="24"/>
        </w:rPr>
        <w:t xml:space="preserve"> heel and toe walking were normal.  The CI hopped normally on either foot and squatted normally</w:t>
      </w:r>
      <w:r w:rsidR="00672C0E">
        <w:rPr>
          <w:rFonts w:asciiTheme="minorHAnsi" w:hAnsiTheme="minorHAnsi"/>
          <w:color w:val="auto"/>
          <w:szCs w:val="24"/>
        </w:rPr>
        <w:t xml:space="preserve">.  </w:t>
      </w:r>
      <w:r w:rsidR="00BB560A">
        <w:rPr>
          <w:rFonts w:asciiTheme="minorHAnsi" w:hAnsiTheme="minorHAnsi"/>
          <w:color w:val="auto"/>
          <w:szCs w:val="24"/>
        </w:rPr>
        <w:t xml:space="preserve">A foot X-ray, ordered for “a </w:t>
      </w:r>
      <w:r w:rsidR="00640958">
        <w:rPr>
          <w:rFonts w:asciiTheme="minorHAnsi" w:hAnsiTheme="minorHAnsi"/>
          <w:color w:val="auto"/>
          <w:szCs w:val="24"/>
        </w:rPr>
        <w:t>two</w:t>
      </w:r>
      <w:r w:rsidR="00BB560A">
        <w:rPr>
          <w:rFonts w:asciiTheme="minorHAnsi" w:hAnsiTheme="minorHAnsi"/>
          <w:color w:val="auto"/>
          <w:szCs w:val="24"/>
        </w:rPr>
        <w:t xml:space="preserve"> year history of pain without objective findings” was normal.  </w:t>
      </w:r>
      <w:r w:rsidR="008E49CC">
        <w:rPr>
          <w:rFonts w:asciiTheme="minorHAnsi" w:hAnsiTheme="minorHAnsi"/>
          <w:color w:val="auto"/>
          <w:szCs w:val="24"/>
        </w:rPr>
        <w:t xml:space="preserve">A </w:t>
      </w:r>
      <w:r w:rsidR="008E49CC" w:rsidRPr="00640958">
        <w:rPr>
          <w:rFonts w:asciiTheme="minorHAnsi" w:hAnsiTheme="minorHAnsi"/>
          <w:color w:val="auto"/>
          <w:szCs w:val="24"/>
        </w:rPr>
        <w:t>consolidated narrative summary</w:t>
      </w:r>
      <w:r w:rsidR="008E49CC">
        <w:rPr>
          <w:rFonts w:asciiTheme="minorHAnsi" w:hAnsiTheme="minorHAnsi"/>
          <w:color w:val="auto"/>
          <w:szCs w:val="24"/>
        </w:rPr>
        <w:t xml:space="preserve"> (NARSUM) exam </w:t>
      </w:r>
      <w:r w:rsidR="00BB560A">
        <w:rPr>
          <w:rFonts w:asciiTheme="minorHAnsi" w:hAnsiTheme="minorHAnsi"/>
          <w:color w:val="auto"/>
          <w:szCs w:val="24"/>
        </w:rPr>
        <w:t>performed 5 May 2009</w:t>
      </w:r>
      <w:r w:rsidR="00CB3BCA">
        <w:rPr>
          <w:rFonts w:asciiTheme="minorHAnsi" w:hAnsiTheme="minorHAnsi"/>
          <w:color w:val="auto"/>
          <w:szCs w:val="24"/>
        </w:rPr>
        <w:t xml:space="preserve"> (five months p</w:t>
      </w:r>
      <w:r w:rsidR="00672C0E">
        <w:rPr>
          <w:rFonts w:asciiTheme="minorHAnsi" w:hAnsiTheme="minorHAnsi"/>
          <w:color w:val="auto"/>
          <w:szCs w:val="24"/>
        </w:rPr>
        <w:t>r</w:t>
      </w:r>
      <w:r w:rsidR="00CB3BCA">
        <w:rPr>
          <w:rFonts w:asciiTheme="minorHAnsi" w:hAnsiTheme="minorHAnsi"/>
          <w:color w:val="auto"/>
          <w:szCs w:val="24"/>
        </w:rPr>
        <w:t>ior to separation)</w:t>
      </w:r>
      <w:r w:rsidR="00BB560A">
        <w:rPr>
          <w:rFonts w:asciiTheme="minorHAnsi" w:hAnsiTheme="minorHAnsi"/>
          <w:color w:val="auto"/>
          <w:szCs w:val="24"/>
        </w:rPr>
        <w:t xml:space="preserve"> </w:t>
      </w:r>
      <w:r w:rsidR="008E49CC">
        <w:rPr>
          <w:rFonts w:asciiTheme="minorHAnsi" w:hAnsiTheme="minorHAnsi"/>
          <w:color w:val="auto"/>
          <w:szCs w:val="24"/>
        </w:rPr>
        <w:t>stated that her foot pain was not alleviated by orthotic inserts</w:t>
      </w:r>
      <w:r w:rsidR="00932D23">
        <w:rPr>
          <w:rFonts w:asciiTheme="minorHAnsi" w:hAnsiTheme="minorHAnsi"/>
          <w:color w:val="auto"/>
          <w:szCs w:val="24"/>
        </w:rPr>
        <w:t xml:space="preserve">.  </w:t>
      </w:r>
      <w:r w:rsidR="003B56D2">
        <w:rPr>
          <w:rFonts w:asciiTheme="minorHAnsi" w:hAnsiTheme="minorHAnsi"/>
          <w:color w:val="auto"/>
          <w:szCs w:val="24"/>
        </w:rPr>
        <w:t>She claimed that her</w:t>
      </w:r>
      <w:r w:rsidR="00932D23">
        <w:rPr>
          <w:rFonts w:asciiTheme="minorHAnsi" w:hAnsiTheme="minorHAnsi"/>
          <w:color w:val="auto"/>
          <w:szCs w:val="24"/>
        </w:rPr>
        <w:t xml:space="preserve"> feet hurt severely in </w:t>
      </w:r>
      <w:r w:rsidR="00CB3BCA">
        <w:rPr>
          <w:rFonts w:asciiTheme="minorHAnsi" w:hAnsiTheme="minorHAnsi"/>
          <w:color w:val="auto"/>
          <w:szCs w:val="24"/>
        </w:rPr>
        <w:t xml:space="preserve">the </w:t>
      </w:r>
      <w:r w:rsidR="00932D23">
        <w:rPr>
          <w:rFonts w:asciiTheme="minorHAnsi" w:hAnsiTheme="minorHAnsi"/>
          <w:color w:val="auto"/>
          <w:szCs w:val="24"/>
        </w:rPr>
        <w:t xml:space="preserve">heels and arches when standing or walking a long period of time.  </w:t>
      </w:r>
      <w:r w:rsidR="008815FC">
        <w:rPr>
          <w:rFonts w:asciiTheme="minorHAnsi" w:hAnsiTheme="minorHAnsi"/>
          <w:color w:val="auto"/>
          <w:szCs w:val="24"/>
        </w:rPr>
        <w:t xml:space="preserve">Heel and toe gait were normal.  Hop and squat were normal.  </w:t>
      </w:r>
      <w:r w:rsidR="00932D23">
        <w:rPr>
          <w:rFonts w:asciiTheme="minorHAnsi" w:hAnsiTheme="minorHAnsi"/>
          <w:color w:val="auto"/>
          <w:szCs w:val="24"/>
        </w:rPr>
        <w:t>Mild bilateral pes planus without swelling, heat or erythema was documented.  Tenderness along the plantar fascia bilaterally was present.</w:t>
      </w:r>
      <w:r w:rsidR="007F17E8">
        <w:rPr>
          <w:rFonts w:asciiTheme="minorHAnsi" w:hAnsiTheme="minorHAnsi"/>
          <w:color w:val="auto"/>
          <w:szCs w:val="24"/>
        </w:rPr>
        <w:t xml:space="preserve">  </w:t>
      </w:r>
      <w:r w:rsidR="001A2DA4">
        <w:rPr>
          <w:rFonts w:asciiTheme="minorHAnsi" w:hAnsiTheme="minorHAnsi"/>
          <w:color w:val="auto"/>
          <w:szCs w:val="24"/>
        </w:rPr>
        <w:t>Under the 5276 code (</w:t>
      </w:r>
      <w:r w:rsidR="004064A9">
        <w:rPr>
          <w:rFonts w:asciiTheme="minorHAnsi" w:hAnsiTheme="minorHAnsi"/>
          <w:color w:val="auto"/>
          <w:szCs w:val="24"/>
        </w:rPr>
        <w:t>“</w:t>
      </w:r>
      <w:r w:rsidR="001A2DA4">
        <w:rPr>
          <w:rFonts w:asciiTheme="minorHAnsi" w:hAnsiTheme="minorHAnsi"/>
          <w:color w:val="auto"/>
          <w:szCs w:val="24"/>
        </w:rPr>
        <w:t>flatfoot, acquired</w:t>
      </w:r>
      <w:r w:rsidR="004064A9">
        <w:rPr>
          <w:rFonts w:asciiTheme="minorHAnsi" w:hAnsiTheme="minorHAnsi"/>
          <w:color w:val="auto"/>
          <w:szCs w:val="24"/>
        </w:rPr>
        <w:t>”</w:t>
      </w:r>
      <w:r w:rsidR="001A2DA4">
        <w:rPr>
          <w:rFonts w:asciiTheme="minorHAnsi" w:hAnsiTheme="minorHAnsi"/>
          <w:color w:val="auto"/>
          <w:szCs w:val="24"/>
        </w:rPr>
        <w:t>), the</w:t>
      </w:r>
      <w:r w:rsidR="00B4444E">
        <w:rPr>
          <w:rFonts w:asciiTheme="minorHAnsi" w:hAnsiTheme="minorHAnsi"/>
          <w:color w:val="auto"/>
          <w:szCs w:val="24"/>
        </w:rPr>
        <w:t xml:space="preserve"> VA </w:t>
      </w:r>
      <w:r w:rsidR="007F17E8">
        <w:rPr>
          <w:rFonts w:asciiTheme="minorHAnsi" w:hAnsiTheme="minorHAnsi"/>
          <w:color w:val="auto"/>
          <w:szCs w:val="24"/>
        </w:rPr>
        <w:t xml:space="preserve">adjudicated </w:t>
      </w:r>
      <w:r w:rsidR="001A2DA4">
        <w:rPr>
          <w:rFonts w:asciiTheme="minorHAnsi" w:hAnsiTheme="minorHAnsi"/>
          <w:color w:val="auto"/>
          <w:szCs w:val="24"/>
        </w:rPr>
        <w:t>a</w:t>
      </w:r>
      <w:r w:rsidR="00640958">
        <w:rPr>
          <w:rFonts w:asciiTheme="minorHAnsi" w:hAnsiTheme="minorHAnsi"/>
          <w:color w:val="auto"/>
          <w:szCs w:val="24"/>
        </w:rPr>
        <w:t xml:space="preserve"> 0</w:t>
      </w:r>
      <w:r w:rsidR="00B4444E">
        <w:rPr>
          <w:rFonts w:asciiTheme="minorHAnsi" w:hAnsiTheme="minorHAnsi"/>
          <w:color w:val="auto"/>
          <w:szCs w:val="24"/>
        </w:rPr>
        <w:t xml:space="preserve">% rating </w:t>
      </w:r>
      <w:r w:rsidR="00F42E86">
        <w:rPr>
          <w:rFonts w:asciiTheme="minorHAnsi" w:hAnsiTheme="minorHAnsi"/>
          <w:color w:val="auto"/>
          <w:szCs w:val="24"/>
        </w:rPr>
        <w:t>based on</w:t>
      </w:r>
      <w:r w:rsidR="00B4444E">
        <w:rPr>
          <w:rFonts w:asciiTheme="minorHAnsi" w:hAnsiTheme="minorHAnsi"/>
          <w:color w:val="auto"/>
          <w:szCs w:val="24"/>
        </w:rPr>
        <w:t xml:space="preserve"> </w:t>
      </w:r>
      <w:r w:rsidR="000E7197">
        <w:rPr>
          <w:rFonts w:asciiTheme="minorHAnsi" w:hAnsiTheme="minorHAnsi"/>
          <w:color w:val="auto"/>
          <w:szCs w:val="24"/>
        </w:rPr>
        <w:t>an assessment of the condition</w:t>
      </w:r>
      <w:r w:rsidR="007D3578">
        <w:rPr>
          <w:rFonts w:asciiTheme="minorHAnsi" w:hAnsiTheme="minorHAnsi"/>
          <w:color w:val="auto"/>
          <w:szCs w:val="24"/>
        </w:rPr>
        <w:t>, and the associated plantar fasciitis,</w:t>
      </w:r>
      <w:r w:rsidR="000E7197">
        <w:rPr>
          <w:rFonts w:asciiTheme="minorHAnsi" w:hAnsiTheme="minorHAnsi"/>
          <w:color w:val="auto"/>
          <w:szCs w:val="24"/>
        </w:rPr>
        <w:t xml:space="preserve"> as “mild” (</w:t>
      </w:r>
      <w:r w:rsidR="004064A9">
        <w:rPr>
          <w:rFonts w:asciiTheme="minorHAnsi" w:hAnsiTheme="minorHAnsi"/>
          <w:color w:val="auto"/>
          <w:szCs w:val="24"/>
        </w:rPr>
        <w:t>“</w:t>
      </w:r>
      <w:r w:rsidR="00B4444E">
        <w:rPr>
          <w:rFonts w:asciiTheme="minorHAnsi" w:hAnsiTheme="minorHAnsi"/>
          <w:color w:val="auto"/>
          <w:szCs w:val="24"/>
        </w:rPr>
        <w:t>symptoms relieved b</w:t>
      </w:r>
      <w:r w:rsidR="000E7197">
        <w:rPr>
          <w:rFonts w:asciiTheme="minorHAnsi" w:hAnsiTheme="minorHAnsi"/>
          <w:color w:val="auto"/>
          <w:szCs w:val="24"/>
        </w:rPr>
        <w:t xml:space="preserve">y </w:t>
      </w:r>
      <w:r w:rsidR="00672C0E">
        <w:rPr>
          <w:rFonts w:asciiTheme="minorHAnsi" w:hAnsiTheme="minorHAnsi"/>
          <w:color w:val="auto"/>
          <w:szCs w:val="24"/>
        </w:rPr>
        <w:t>built-up shoe or arch support</w:t>
      </w:r>
      <w:r w:rsidR="004064A9">
        <w:rPr>
          <w:rFonts w:asciiTheme="minorHAnsi" w:hAnsiTheme="minorHAnsi"/>
          <w:color w:val="auto"/>
          <w:szCs w:val="24"/>
        </w:rPr>
        <w:t>”</w:t>
      </w:r>
      <w:r w:rsidR="00672C0E">
        <w:rPr>
          <w:rFonts w:asciiTheme="minorHAnsi" w:hAnsiTheme="minorHAnsi"/>
          <w:color w:val="auto"/>
          <w:szCs w:val="24"/>
        </w:rPr>
        <w:t>) concluding t</w:t>
      </w:r>
      <w:r w:rsidR="00672C0E" w:rsidRPr="00672C0E">
        <w:rPr>
          <w:rFonts w:asciiTheme="minorHAnsi" w:hAnsiTheme="minorHAnsi"/>
          <w:color w:val="auto"/>
          <w:szCs w:val="24"/>
        </w:rPr>
        <w:t>here was no objective evidence of pain on motion</w:t>
      </w:r>
      <w:r w:rsidR="00672C0E">
        <w:rPr>
          <w:rFonts w:asciiTheme="minorHAnsi" w:hAnsiTheme="minorHAnsi"/>
          <w:color w:val="auto"/>
          <w:szCs w:val="24"/>
        </w:rPr>
        <w:t xml:space="preserve"> and no evidence that the foot problem significantly altered general functional ability.  </w:t>
      </w:r>
      <w:r w:rsidR="007F17E8">
        <w:rPr>
          <w:rFonts w:asciiTheme="minorHAnsi" w:hAnsiTheme="minorHAnsi"/>
          <w:color w:val="auto"/>
          <w:szCs w:val="24"/>
        </w:rPr>
        <w:t xml:space="preserve">The PEB </w:t>
      </w:r>
      <w:r w:rsidR="00083ECC" w:rsidRPr="00672C0E">
        <w:rPr>
          <w:rFonts w:asciiTheme="minorHAnsi" w:hAnsiTheme="minorHAnsi"/>
          <w:color w:val="auto"/>
          <w:szCs w:val="24"/>
        </w:rPr>
        <w:t>adopted</w:t>
      </w:r>
      <w:r w:rsidR="007F17E8">
        <w:rPr>
          <w:rFonts w:asciiTheme="minorHAnsi" w:hAnsiTheme="minorHAnsi"/>
          <w:color w:val="auto"/>
          <w:szCs w:val="24"/>
        </w:rPr>
        <w:t xml:space="preserve"> the rating adjudicated by the VA in accordance with the integrated DES pilot program rules.  </w:t>
      </w:r>
      <w:r w:rsidR="00B4444E">
        <w:rPr>
          <w:rFonts w:asciiTheme="minorHAnsi" w:hAnsiTheme="minorHAnsi"/>
          <w:color w:val="auto"/>
          <w:szCs w:val="24"/>
        </w:rPr>
        <w:t xml:space="preserve">The next higher 10% </w:t>
      </w:r>
      <w:proofErr w:type="gramStart"/>
      <w:r w:rsidR="00B4444E">
        <w:rPr>
          <w:rFonts w:asciiTheme="minorHAnsi" w:hAnsiTheme="minorHAnsi"/>
          <w:color w:val="auto"/>
          <w:szCs w:val="24"/>
        </w:rPr>
        <w:t xml:space="preserve">rating  </w:t>
      </w:r>
      <w:r w:rsidR="000E7197">
        <w:rPr>
          <w:rFonts w:asciiTheme="minorHAnsi" w:hAnsiTheme="minorHAnsi"/>
          <w:color w:val="auto"/>
          <w:szCs w:val="24"/>
        </w:rPr>
        <w:t>requires</w:t>
      </w:r>
      <w:proofErr w:type="gramEnd"/>
      <w:r w:rsidR="000E7197">
        <w:rPr>
          <w:rFonts w:asciiTheme="minorHAnsi" w:hAnsiTheme="minorHAnsi"/>
          <w:color w:val="auto"/>
          <w:szCs w:val="24"/>
        </w:rPr>
        <w:t xml:space="preserve"> a severity of “m</w:t>
      </w:r>
      <w:r w:rsidR="00B4444E">
        <w:rPr>
          <w:rFonts w:asciiTheme="minorHAnsi" w:hAnsiTheme="minorHAnsi"/>
          <w:color w:val="auto"/>
          <w:szCs w:val="24"/>
        </w:rPr>
        <w:t>oderate</w:t>
      </w:r>
      <w:r w:rsidR="000E7197">
        <w:rPr>
          <w:rFonts w:asciiTheme="minorHAnsi" w:hAnsiTheme="minorHAnsi"/>
          <w:color w:val="auto"/>
          <w:szCs w:val="24"/>
        </w:rPr>
        <w:t>”</w:t>
      </w:r>
      <w:r w:rsidR="00B4444E">
        <w:rPr>
          <w:rFonts w:asciiTheme="minorHAnsi" w:hAnsiTheme="minorHAnsi"/>
          <w:color w:val="auto"/>
          <w:szCs w:val="24"/>
        </w:rPr>
        <w:t xml:space="preserve"> </w:t>
      </w:r>
      <w:r w:rsidR="000E7197">
        <w:rPr>
          <w:rFonts w:asciiTheme="minorHAnsi" w:hAnsiTheme="minorHAnsi"/>
          <w:color w:val="auto"/>
          <w:szCs w:val="24"/>
        </w:rPr>
        <w:t>(</w:t>
      </w:r>
      <w:r w:rsidR="004064A9">
        <w:rPr>
          <w:rFonts w:asciiTheme="minorHAnsi" w:hAnsiTheme="minorHAnsi"/>
          <w:color w:val="auto"/>
          <w:szCs w:val="24"/>
        </w:rPr>
        <w:t>“</w:t>
      </w:r>
      <w:r w:rsidR="00B4444E">
        <w:rPr>
          <w:rFonts w:asciiTheme="minorHAnsi" w:hAnsiTheme="minorHAnsi"/>
          <w:color w:val="auto"/>
          <w:szCs w:val="24"/>
        </w:rPr>
        <w:t xml:space="preserve">weight bearing line over or medial to great toe, inward bowing of the </w:t>
      </w:r>
      <w:proofErr w:type="spellStart"/>
      <w:r w:rsidR="00B4444E">
        <w:rPr>
          <w:rFonts w:asciiTheme="minorHAnsi" w:hAnsiTheme="minorHAnsi"/>
          <w:color w:val="auto"/>
          <w:szCs w:val="24"/>
        </w:rPr>
        <w:t>tendo</w:t>
      </w:r>
      <w:proofErr w:type="spellEnd"/>
      <w:r w:rsidR="00B4444E">
        <w:rPr>
          <w:rFonts w:asciiTheme="minorHAnsi" w:hAnsiTheme="minorHAnsi"/>
          <w:color w:val="auto"/>
          <w:szCs w:val="24"/>
        </w:rPr>
        <w:t xml:space="preserve"> </w:t>
      </w:r>
      <w:proofErr w:type="spellStart"/>
      <w:r w:rsidR="00B4444E">
        <w:rPr>
          <w:rFonts w:asciiTheme="minorHAnsi" w:hAnsiTheme="minorHAnsi"/>
          <w:color w:val="auto"/>
          <w:szCs w:val="24"/>
        </w:rPr>
        <w:t>achillis</w:t>
      </w:r>
      <w:proofErr w:type="spellEnd"/>
      <w:r w:rsidR="00B4444E">
        <w:rPr>
          <w:rFonts w:asciiTheme="minorHAnsi" w:hAnsiTheme="minorHAnsi"/>
          <w:color w:val="auto"/>
          <w:szCs w:val="24"/>
        </w:rPr>
        <w:t>, pain on manipulation and use of the feet, bilateral or unilateral</w:t>
      </w:r>
      <w:r w:rsidR="004064A9">
        <w:rPr>
          <w:rFonts w:asciiTheme="minorHAnsi" w:hAnsiTheme="minorHAnsi"/>
          <w:color w:val="auto"/>
          <w:szCs w:val="24"/>
        </w:rPr>
        <w:t>”</w:t>
      </w:r>
      <w:r w:rsidR="000E7197">
        <w:rPr>
          <w:rFonts w:asciiTheme="minorHAnsi" w:hAnsiTheme="minorHAnsi"/>
          <w:color w:val="auto"/>
          <w:szCs w:val="24"/>
        </w:rPr>
        <w:t xml:space="preserve">).  </w:t>
      </w:r>
      <w:r w:rsidR="0036587F">
        <w:rPr>
          <w:rFonts w:asciiTheme="minorHAnsi" w:hAnsiTheme="minorHAnsi"/>
          <w:color w:val="auto"/>
          <w:szCs w:val="24"/>
        </w:rPr>
        <w:t xml:space="preserve">In the setting of conflicting statements by the CI </w:t>
      </w:r>
      <w:r w:rsidR="00950BC9">
        <w:rPr>
          <w:rFonts w:asciiTheme="minorHAnsi" w:hAnsiTheme="minorHAnsi"/>
          <w:color w:val="auto"/>
          <w:szCs w:val="24"/>
        </w:rPr>
        <w:t>regarding</w:t>
      </w:r>
      <w:r w:rsidR="0036587F">
        <w:rPr>
          <w:rFonts w:asciiTheme="minorHAnsi" w:hAnsiTheme="minorHAnsi"/>
          <w:color w:val="auto"/>
          <w:szCs w:val="24"/>
        </w:rPr>
        <w:t xml:space="preserve"> the helpfulness of orthotics, t</w:t>
      </w:r>
      <w:r w:rsidR="000E7197">
        <w:rPr>
          <w:rFonts w:asciiTheme="minorHAnsi" w:hAnsiTheme="minorHAnsi"/>
          <w:color w:val="auto"/>
          <w:szCs w:val="24"/>
        </w:rPr>
        <w:t>he Board noted that</w:t>
      </w:r>
      <w:r w:rsidR="008F1EF0">
        <w:rPr>
          <w:rFonts w:asciiTheme="minorHAnsi" w:hAnsiTheme="minorHAnsi"/>
          <w:color w:val="auto"/>
          <w:szCs w:val="24"/>
        </w:rPr>
        <w:t>,</w:t>
      </w:r>
      <w:r w:rsidR="000E7197">
        <w:rPr>
          <w:rFonts w:asciiTheme="minorHAnsi" w:hAnsiTheme="minorHAnsi"/>
          <w:color w:val="auto"/>
          <w:szCs w:val="24"/>
        </w:rPr>
        <w:t xml:space="preserve"> </w:t>
      </w:r>
      <w:r w:rsidR="00950BC9">
        <w:rPr>
          <w:rFonts w:asciiTheme="minorHAnsi" w:hAnsiTheme="minorHAnsi"/>
          <w:color w:val="auto"/>
          <w:szCs w:val="24"/>
        </w:rPr>
        <w:t>with the exception of</w:t>
      </w:r>
      <w:r w:rsidR="008F1EF0">
        <w:rPr>
          <w:rFonts w:asciiTheme="minorHAnsi" w:hAnsiTheme="minorHAnsi"/>
          <w:color w:val="auto"/>
          <w:szCs w:val="24"/>
        </w:rPr>
        <w:t xml:space="preserve"> inconsistent plantar fascia tenderness, </w:t>
      </w:r>
      <w:r w:rsidR="000E7197">
        <w:rPr>
          <w:rFonts w:asciiTheme="minorHAnsi" w:hAnsiTheme="minorHAnsi"/>
          <w:color w:val="auto"/>
          <w:szCs w:val="24"/>
        </w:rPr>
        <w:t xml:space="preserve">multiple examinations were </w:t>
      </w:r>
      <w:r w:rsidR="008F1EF0">
        <w:rPr>
          <w:rFonts w:asciiTheme="minorHAnsi" w:hAnsiTheme="minorHAnsi"/>
          <w:color w:val="auto"/>
          <w:szCs w:val="24"/>
        </w:rPr>
        <w:t>unremarkable, including normal gait and absence of deformity</w:t>
      </w:r>
      <w:r w:rsidR="000E7197">
        <w:rPr>
          <w:rFonts w:asciiTheme="minorHAnsi" w:hAnsiTheme="minorHAnsi"/>
          <w:color w:val="auto"/>
          <w:szCs w:val="24"/>
        </w:rPr>
        <w:t>.</w:t>
      </w:r>
      <w:r w:rsidR="00672C0E">
        <w:rPr>
          <w:rFonts w:asciiTheme="minorHAnsi" w:hAnsiTheme="minorHAnsi"/>
          <w:color w:val="auto"/>
          <w:szCs w:val="24"/>
        </w:rPr>
        <w:t xml:space="preserve">  </w:t>
      </w:r>
      <w:r w:rsidR="008F1EF0" w:rsidRPr="00672C0E">
        <w:rPr>
          <w:rFonts w:asciiTheme="minorHAnsi" w:hAnsiTheme="minorHAnsi"/>
          <w:color w:val="auto"/>
          <w:szCs w:val="24"/>
        </w:rPr>
        <w:t xml:space="preserve">The Board </w:t>
      </w:r>
      <w:r w:rsidR="007D3578">
        <w:rPr>
          <w:rFonts w:asciiTheme="minorHAnsi" w:hAnsiTheme="minorHAnsi"/>
          <w:color w:val="auto"/>
          <w:szCs w:val="24"/>
        </w:rPr>
        <w:t xml:space="preserve">debated </w:t>
      </w:r>
      <w:r w:rsidR="00672C0E">
        <w:rPr>
          <w:rFonts w:asciiTheme="minorHAnsi" w:hAnsiTheme="minorHAnsi"/>
          <w:color w:val="auto"/>
          <w:szCs w:val="24"/>
        </w:rPr>
        <w:t xml:space="preserve">whether </w:t>
      </w:r>
      <w:r w:rsidR="0036587F">
        <w:rPr>
          <w:rFonts w:asciiTheme="minorHAnsi" w:hAnsiTheme="minorHAnsi"/>
          <w:color w:val="auto"/>
          <w:szCs w:val="24"/>
        </w:rPr>
        <w:t>her reported history of intermittent symptoms</w:t>
      </w:r>
      <w:r w:rsidR="00672C0E">
        <w:rPr>
          <w:rFonts w:asciiTheme="minorHAnsi" w:hAnsiTheme="minorHAnsi"/>
          <w:color w:val="auto"/>
          <w:szCs w:val="24"/>
        </w:rPr>
        <w:t xml:space="preserve"> warranted a higher rating</w:t>
      </w:r>
      <w:r w:rsidR="0036587F">
        <w:rPr>
          <w:rFonts w:asciiTheme="minorHAnsi" w:hAnsiTheme="minorHAnsi"/>
          <w:color w:val="auto"/>
          <w:szCs w:val="24"/>
        </w:rPr>
        <w:t xml:space="preserve">.  </w:t>
      </w:r>
      <w:r w:rsidR="005526BF">
        <w:rPr>
          <w:rFonts w:asciiTheme="minorHAnsi" w:hAnsiTheme="minorHAnsi"/>
          <w:color w:val="auto"/>
          <w:szCs w:val="24"/>
        </w:rPr>
        <w:t>All m</w:t>
      </w:r>
      <w:r w:rsidR="00950BC9">
        <w:rPr>
          <w:rFonts w:asciiTheme="minorHAnsi" w:hAnsiTheme="minorHAnsi"/>
          <w:color w:val="auto"/>
          <w:szCs w:val="24"/>
        </w:rPr>
        <w:t xml:space="preserve">embers agreed that </w:t>
      </w:r>
      <w:r w:rsidR="00AC6218">
        <w:rPr>
          <w:rFonts w:asciiTheme="minorHAnsi" w:hAnsiTheme="minorHAnsi"/>
          <w:color w:val="auto"/>
          <w:szCs w:val="24"/>
        </w:rPr>
        <w:t xml:space="preserve">the clinical </w:t>
      </w:r>
      <w:r w:rsidR="00AC6218" w:rsidRPr="00083ECC">
        <w:rPr>
          <w:rFonts w:asciiTheme="minorHAnsi" w:hAnsiTheme="minorHAnsi"/>
          <w:color w:val="auto"/>
          <w:szCs w:val="24"/>
        </w:rPr>
        <w:t>picture did not support</w:t>
      </w:r>
      <w:r w:rsidR="00AC6218">
        <w:rPr>
          <w:rFonts w:asciiTheme="minorHAnsi" w:hAnsiTheme="minorHAnsi"/>
          <w:color w:val="auto"/>
          <w:szCs w:val="24"/>
        </w:rPr>
        <w:t xml:space="preserve"> this approach.  </w:t>
      </w:r>
      <w:r w:rsidR="0036587F" w:rsidRPr="00AE3316">
        <w:rPr>
          <w:rFonts w:asciiTheme="minorHAnsi" w:hAnsiTheme="minorHAnsi"/>
          <w:color w:val="auto"/>
          <w:szCs w:val="24"/>
        </w:rPr>
        <w:t>All evidence considered</w:t>
      </w:r>
      <w:proofErr w:type="gramStart"/>
      <w:r w:rsidR="0036587F" w:rsidRPr="00AE3316">
        <w:rPr>
          <w:rFonts w:asciiTheme="minorHAnsi" w:hAnsiTheme="minorHAnsi"/>
          <w:color w:val="auto"/>
          <w:szCs w:val="24"/>
        </w:rPr>
        <w:t>,</w:t>
      </w:r>
      <w:proofErr w:type="gramEnd"/>
      <w:r w:rsidR="0036587F" w:rsidRPr="00AE3316">
        <w:rPr>
          <w:rFonts w:asciiTheme="minorHAnsi" w:hAnsiTheme="minorHAnsi"/>
          <w:color w:val="auto"/>
          <w:szCs w:val="24"/>
        </w:rPr>
        <w:t xml:space="preserve"> there is not reasonable doubt in the CI’s favor supporting </w:t>
      </w:r>
      <w:r w:rsidR="0036587F">
        <w:rPr>
          <w:rFonts w:asciiTheme="minorHAnsi" w:hAnsiTheme="minorHAnsi"/>
          <w:color w:val="auto"/>
          <w:szCs w:val="24"/>
        </w:rPr>
        <w:t xml:space="preserve">a change from </w:t>
      </w:r>
      <w:r w:rsidR="0036587F" w:rsidRPr="00672C0E">
        <w:rPr>
          <w:rFonts w:asciiTheme="minorHAnsi" w:hAnsiTheme="minorHAnsi"/>
          <w:color w:val="auto"/>
          <w:szCs w:val="24"/>
        </w:rPr>
        <w:t>the rating</w:t>
      </w:r>
      <w:r w:rsidR="0036587F">
        <w:rPr>
          <w:rFonts w:asciiTheme="minorHAnsi" w:hAnsiTheme="minorHAnsi"/>
          <w:color w:val="auto"/>
          <w:szCs w:val="24"/>
        </w:rPr>
        <w:t xml:space="preserve"> decision for</w:t>
      </w:r>
      <w:r w:rsidR="0036587F" w:rsidRPr="00AE3316">
        <w:rPr>
          <w:rFonts w:asciiTheme="minorHAnsi" w:hAnsiTheme="minorHAnsi"/>
          <w:color w:val="auto"/>
          <w:szCs w:val="24"/>
        </w:rPr>
        <w:t xml:space="preserve"> the </w:t>
      </w:r>
      <w:r w:rsidR="0036587F">
        <w:rPr>
          <w:rFonts w:asciiTheme="minorHAnsi" w:hAnsiTheme="minorHAnsi"/>
          <w:color w:val="auto"/>
          <w:szCs w:val="24"/>
        </w:rPr>
        <w:t>pes planus</w:t>
      </w:r>
      <w:r w:rsidR="0036587F" w:rsidRPr="00AE3316">
        <w:rPr>
          <w:rFonts w:asciiTheme="minorHAnsi" w:hAnsiTheme="minorHAnsi"/>
          <w:color w:val="auto"/>
          <w:szCs w:val="24"/>
        </w:rPr>
        <w:t xml:space="preserve"> condition.</w:t>
      </w:r>
      <w:r w:rsidR="005526BF">
        <w:rPr>
          <w:rFonts w:asciiTheme="minorHAnsi" w:hAnsiTheme="minorHAnsi"/>
          <w:color w:val="auto"/>
          <w:szCs w:val="24"/>
        </w:rPr>
        <w:t xml:space="preserve">   </w:t>
      </w:r>
    </w:p>
    <w:p w:rsidR="007F17E8" w:rsidRDefault="007F17E8" w:rsidP="007F17E8">
      <w:pPr>
        <w:tabs>
          <w:tab w:val="left" w:pos="288"/>
          <w:tab w:val="left" w:pos="4752"/>
        </w:tabs>
        <w:spacing w:line="240" w:lineRule="exact"/>
        <w:jc w:val="both"/>
        <w:rPr>
          <w:rFonts w:asciiTheme="minorHAnsi" w:hAnsiTheme="minorHAnsi"/>
          <w:color w:val="auto"/>
          <w:szCs w:val="24"/>
        </w:rPr>
      </w:pPr>
    </w:p>
    <w:p w:rsidR="00D37252" w:rsidRDefault="00C46884" w:rsidP="00D37252">
      <w:pPr>
        <w:spacing w:line="240" w:lineRule="exact"/>
        <w:jc w:val="both"/>
        <w:rPr>
          <w:rFonts w:asciiTheme="minorHAnsi" w:hAnsiTheme="minorHAnsi"/>
          <w:color w:val="auto"/>
          <w:szCs w:val="24"/>
        </w:rPr>
      </w:pPr>
      <w:r>
        <w:rPr>
          <w:rFonts w:asciiTheme="minorHAnsi" w:hAnsiTheme="minorHAnsi"/>
          <w:color w:val="auto"/>
          <w:szCs w:val="24"/>
        </w:rPr>
        <w:t>In a later decision</w:t>
      </w:r>
      <w:r w:rsidR="007F17E8">
        <w:rPr>
          <w:rFonts w:asciiTheme="minorHAnsi" w:hAnsiTheme="minorHAnsi"/>
          <w:color w:val="auto"/>
          <w:szCs w:val="24"/>
        </w:rPr>
        <w:t xml:space="preserve"> </w:t>
      </w:r>
      <w:r>
        <w:rPr>
          <w:rFonts w:asciiTheme="minorHAnsi" w:hAnsiTheme="minorHAnsi"/>
          <w:color w:val="auto"/>
          <w:szCs w:val="24"/>
        </w:rPr>
        <w:t>the VA rated left tarsal tunnel syndrome</w:t>
      </w:r>
      <w:r w:rsidR="00D37252">
        <w:rPr>
          <w:rFonts w:asciiTheme="minorHAnsi" w:hAnsiTheme="minorHAnsi"/>
          <w:color w:val="auto"/>
          <w:szCs w:val="24"/>
        </w:rPr>
        <w:t xml:space="preserve"> at 10%</w:t>
      </w:r>
      <w:r>
        <w:rPr>
          <w:rFonts w:asciiTheme="minorHAnsi" w:hAnsiTheme="minorHAnsi"/>
          <w:color w:val="auto"/>
          <w:szCs w:val="24"/>
        </w:rPr>
        <w:t xml:space="preserve"> </w:t>
      </w:r>
      <w:r w:rsidR="00E1451F">
        <w:rPr>
          <w:rFonts w:asciiTheme="minorHAnsi" w:hAnsiTheme="minorHAnsi"/>
          <w:color w:val="auto"/>
          <w:szCs w:val="24"/>
        </w:rPr>
        <w:t xml:space="preserve">and right tarsal tunnel syndrome at 0% </w:t>
      </w:r>
      <w:r>
        <w:rPr>
          <w:rFonts w:asciiTheme="minorHAnsi" w:hAnsiTheme="minorHAnsi"/>
          <w:color w:val="auto"/>
          <w:szCs w:val="24"/>
        </w:rPr>
        <w:t>effective the day after separati</w:t>
      </w:r>
      <w:r w:rsidR="00DF28E6">
        <w:rPr>
          <w:rFonts w:asciiTheme="minorHAnsi" w:hAnsiTheme="minorHAnsi"/>
          <w:color w:val="auto"/>
          <w:szCs w:val="24"/>
        </w:rPr>
        <w:t>on, based on an exam not in evidence</w:t>
      </w:r>
      <w:r w:rsidR="0077329B">
        <w:rPr>
          <w:rFonts w:asciiTheme="minorHAnsi" w:hAnsiTheme="minorHAnsi"/>
          <w:color w:val="auto"/>
          <w:szCs w:val="24"/>
        </w:rPr>
        <w:t xml:space="preserve"> (four weeks after separation)</w:t>
      </w:r>
      <w:r w:rsidR="00DF28E6">
        <w:rPr>
          <w:rFonts w:asciiTheme="minorHAnsi" w:hAnsiTheme="minorHAnsi"/>
          <w:color w:val="auto"/>
          <w:szCs w:val="24"/>
        </w:rPr>
        <w:t>.</w:t>
      </w:r>
      <w:r>
        <w:rPr>
          <w:rFonts w:asciiTheme="minorHAnsi" w:hAnsiTheme="minorHAnsi"/>
          <w:color w:val="auto"/>
          <w:szCs w:val="24"/>
        </w:rPr>
        <w:t xml:space="preserve">  </w:t>
      </w:r>
      <w:r w:rsidR="0077329B">
        <w:rPr>
          <w:rFonts w:asciiTheme="minorHAnsi" w:hAnsiTheme="minorHAnsi"/>
          <w:color w:val="auto"/>
          <w:szCs w:val="24"/>
        </w:rPr>
        <w:t xml:space="preserve">The </w:t>
      </w:r>
      <w:r w:rsidR="00D37252">
        <w:rPr>
          <w:rFonts w:asciiTheme="minorHAnsi" w:hAnsiTheme="minorHAnsi"/>
          <w:color w:val="auto"/>
          <w:szCs w:val="24"/>
        </w:rPr>
        <w:t>stated</w:t>
      </w:r>
      <w:r w:rsidR="0077329B">
        <w:rPr>
          <w:rFonts w:asciiTheme="minorHAnsi" w:hAnsiTheme="minorHAnsi"/>
          <w:color w:val="auto"/>
          <w:szCs w:val="24"/>
        </w:rPr>
        <w:t xml:space="preserve"> rationale for this rating was the presence of tingling during the exam</w:t>
      </w:r>
      <w:r w:rsidR="00FF4AB7">
        <w:rPr>
          <w:rFonts w:asciiTheme="minorHAnsi" w:hAnsiTheme="minorHAnsi"/>
          <w:color w:val="auto"/>
          <w:szCs w:val="24"/>
        </w:rPr>
        <w:t xml:space="preserve"> and an electrodiagnostic study </w:t>
      </w:r>
      <w:r w:rsidR="00511EB3">
        <w:rPr>
          <w:rFonts w:asciiTheme="minorHAnsi" w:hAnsiTheme="minorHAnsi"/>
          <w:color w:val="auto"/>
          <w:szCs w:val="24"/>
        </w:rPr>
        <w:t xml:space="preserve">(EMG) </w:t>
      </w:r>
      <w:r w:rsidR="00FF4AB7">
        <w:rPr>
          <w:rFonts w:asciiTheme="minorHAnsi" w:hAnsiTheme="minorHAnsi"/>
          <w:color w:val="auto"/>
          <w:szCs w:val="24"/>
        </w:rPr>
        <w:t>performed 6 May 2009 (also not in evidence)</w:t>
      </w:r>
      <w:r w:rsidR="0077329B">
        <w:rPr>
          <w:rFonts w:asciiTheme="minorHAnsi" w:hAnsiTheme="minorHAnsi"/>
          <w:color w:val="auto"/>
          <w:szCs w:val="24"/>
        </w:rPr>
        <w:t xml:space="preserve">.  </w:t>
      </w:r>
      <w:r>
        <w:rPr>
          <w:rFonts w:asciiTheme="minorHAnsi" w:hAnsiTheme="minorHAnsi"/>
          <w:color w:val="auto"/>
          <w:szCs w:val="24"/>
        </w:rPr>
        <w:t>A pr</w:t>
      </w:r>
      <w:r w:rsidR="005504FD">
        <w:rPr>
          <w:rFonts w:asciiTheme="minorHAnsi" w:hAnsiTheme="minorHAnsi"/>
          <w:color w:val="auto"/>
          <w:szCs w:val="24"/>
        </w:rPr>
        <w:t>e-separation outpatient note (7 May</w:t>
      </w:r>
      <w:r>
        <w:rPr>
          <w:rFonts w:asciiTheme="minorHAnsi" w:hAnsiTheme="minorHAnsi"/>
          <w:color w:val="auto"/>
          <w:szCs w:val="24"/>
        </w:rPr>
        <w:t xml:space="preserve"> 2009) </w:t>
      </w:r>
      <w:r w:rsidR="00511EB3">
        <w:rPr>
          <w:rFonts w:asciiTheme="minorHAnsi" w:hAnsiTheme="minorHAnsi"/>
          <w:color w:val="auto"/>
          <w:szCs w:val="24"/>
        </w:rPr>
        <w:t>confirmed</w:t>
      </w:r>
      <w:r>
        <w:rPr>
          <w:rFonts w:asciiTheme="minorHAnsi" w:hAnsiTheme="minorHAnsi"/>
          <w:color w:val="auto"/>
          <w:szCs w:val="24"/>
        </w:rPr>
        <w:t xml:space="preserve"> </w:t>
      </w:r>
      <w:r w:rsidR="005504FD">
        <w:rPr>
          <w:rFonts w:asciiTheme="minorHAnsi" w:hAnsiTheme="minorHAnsi"/>
          <w:color w:val="auto"/>
          <w:szCs w:val="24"/>
        </w:rPr>
        <w:t xml:space="preserve">that </w:t>
      </w:r>
      <w:r w:rsidR="00C67748">
        <w:rPr>
          <w:rFonts w:asciiTheme="minorHAnsi" w:hAnsiTheme="minorHAnsi"/>
          <w:color w:val="auto"/>
          <w:szCs w:val="24"/>
        </w:rPr>
        <w:t>the</w:t>
      </w:r>
      <w:r w:rsidR="005504FD">
        <w:rPr>
          <w:rFonts w:asciiTheme="minorHAnsi" w:hAnsiTheme="minorHAnsi"/>
          <w:color w:val="auto"/>
          <w:szCs w:val="24"/>
        </w:rPr>
        <w:t xml:space="preserve"> </w:t>
      </w:r>
      <w:r w:rsidR="00511EB3">
        <w:rPr>
          <w:rFonts w:asciiTheme="minorHAnsi" w:hAnsiTheme="minorHAnsi"/>
          <w:color w:val="auto"/>
          <w:szCs w:val="24"/>
        </w:rPr>
        <w:t>EMG showed evidence of bilateral tarsal tunnel syndrome</w:t>
      </w:r>
      <w:r>
        <w:rPr>
          <w:rFonts w:asciiTheme="minorHAnsi" w:hAnsiTheme="minorHAnsi"/>
          <w:color w:val="auto"/>
          <w:szCs w:val="24"/>
        </w:rPr>
        <w:t xml:space="preserve">.  The NARSUM examiner </w:t>
      </w:r>
      <w:r w:rsidR="00DF28E6">
        <w:rPr>
          <w:rFonts w:asciiTheme="minorHAnsi" w:hAnsiTheme="minorHAnsi"/>
          <w:color w:val="auto"/>
          <w:szCs w:val="24"/>
        </w:rPr>
        <w:t xml:space="preserve">(two weeks later) </w:t>
      </w:r>
      <w:r>
        <w:rPr>
          <w:rFonts w:asciiTheme="minorHAnsi" w:hAnsiTheme="minorHAnsi"/>
          <w:color w:val="auto"/>
          <w:szCs w:val="24"/>
        </w:rPr>
        <w:t xml:space="preserve">recorded a history of </w:t>
      </w:r>
      <w:r w:rsidR="00DF28E6">
        <w:rPr>
          <w:rFonts w:asciiTheme="minorHAnsi" w:hAnsiTheme="minorHAnsi"/>
          <w:color w:val="auto"/>
          <w:szCs w:val="24"/>
        </w:rPr>
        <w:t xml:space="preserve">mild </w:t>
      </w:r>
      <w:r>
        <w:rPr>
          <w:rFonts w:asciiTheme="minorHAnsi" w:hAnsiTheme="minorHAnsi"/>
          <w:color w:val="auto"/>
          <w:szCs w:val="24"/>
        </w:rPr>
        <w:t xml:space="preserve">bilateral ankle pain, </w:t>
      </w:r>
      <w:r w:rsidR="00511EB3">
        <w:rPr>
          <w:rFonts w:asciiTheme="minorHAnsi" w:hAnsiTheme="minorHAnsi"/>
          <w:color w:val="auto"/>
          <w:szCs w:val="24"/>
        </w:rPr>
        <w:t xml:space="preserve">which was considered not unfitting by the PEB and rated 0% by the VA.  </w:t>
      </w:r>
      <w:r w:rsidR="0077329B">
        <w:rPr>
          <w:rFonts w:asciiTheme="minorHAnsi" w:hAnsiTheme="minorHAnsi"/>
          <w:color w:val="auto"/>
          <w:szCs w:val="24"/>
        </w:rPr>
        <w:t>The Board considered that</w:t>
      </w:r>
      <w:r w:rsidR="00FF4AB7">
        <w:rPr>
          <w:rFonts w:asciiTheme="minorHAnsi" w:hAnsiTheme="minorHAnsi"/>
          <w:color w:val="auto"/>
          <w:szCs w:val="24"/>
        </w:rPr>
        <w:t xml:space="preserve"> t</w:t>
      </w:r>
      <w:r w:rsidR="00FF4AB7" w:rsidRPr="00DE4A17">
        <w:rPr>
          <w:rFonts w:asciiTheme="minorHAnsi" w:hAnsiTheme="minorHAnsi"/>
          <w:color w:val="auto"/>
          <w:szCs w:val="24"/>
        </w:rPr>
        <w:t xml:space="preserve">he presence of functional impairment with a direct impact on fitness is the key determinant in the Board’s decision to recommend any condition for rating as additionally unfitting.  While the CI may have suffered </w:t>
      </w:r>
      <w:r w:rsidR="00FF4AB7">
        <w:rPr>
          <w:rFonts w:asciiTheme="minorHAnsi" w:hAnsiTheme="minorHAnsi"/>
          <w:color w:val="auto"/>
          <w:szCs w:val="24"/>
        </w:rPr>
        <w:t>tingling in her f</w:t>
      </w:r>
      <w:r w:rsidR="001666D3">
        <w:rPr>
          <w:rFonts w:asciiTheme="minorHAnsi" w:hAnsiTheme="minorHAnsi"/>
          <w:color w:val="auto"/>
          <w:szCs w:val="24"/>
        </w:rPr>
        <w:t>eet</w:t>
      </w:r>
      <w:r w:rsidR="00FF4AB7">
        <w:rPr>
          <w:rFonts w:asciiTheme="minorHAnsi" w:hAnsiTheme="minorHAnsi"/>
          <w:color w:val="auto"/>
          <w:szCs w:val="24"/>
        </w:rPr>
        <w:t xml:space="preserve"> or ankle</w:t>
      </w:r>
      <w:r w:rsidR="001666D3">
        <w:rPr>
          <w:rFonts w:asciiTheme="minorHAnsi" w:hAnsiTheme="minorHAnsi"/>
          <w:color w:val="auto"/>
          <w:szCs w:val="24"/>
        </w:rPr>
        <w:t>s</w:t>
      </w:r>
      <w:r w:rsidR="00FF4AB7">
        <w:rPr>
          <w:rFonts w:asciiTheme="minorHAnsi" w:hAnsiTheme="minorHAnsi"/>
          <w:color w:val="auto"/>
          <w:szCs w:val="24"/>
        </w:rPr>
        <w:t xml:space="preserve"> </w:t>
      </w:r>
      <w:r w:rsidR="00C67748">
        <w:rPr>
          <w:rFonts w:asciiTheme="minorHAnsi" w:hAnsiTheme="minorHAnsi"/>
          <w:color w:val="auto"/>
          <w:szCs w:val="24"/>
        </w:rPr>
        <w:t xml:space="preserve">due to tarsal tunnel syndrome </w:t>
      </w:r>
      <w:r w:rsidR="00FF4AB7">
        <w:rPr>
          <w:rFonts w:asciiTheme="minorHAnsi" w:hAnsiTheme="minorHAnsi"/>
          <w:color w:val="auto"/>
          <w:szCs w:val="24"/>
        </w:rPr>
        <w:t>at the time of separation</w:t>
      </w:r>
      <w:r w:rsidR="00D37252">
        <w:rPr>
          <w:rFonts w:asciiTheme="minorHAnsi" w:hAnsiTheme="minorHAnsi"/>
          <w:color w:val="auto"/>
          <w:szCs w:val="24"/>
        </w:rPr>
        <w:t>, there is no evidence this impacted fitness.</w:t>
      </w:r>
      <w:r w:rsidR="00FF4AB7">
        <w:rPr>
          <w:rFonts w:asciiTheme="minorHAnsi" w:hAnsiTheme="minorHAnsi"/>
          <w:color w:val="auto"/>
          <w:szCs w:val="24"/>
        </w:rPr>
        <w:t xml:space="preserve">  </w:t>
      </w:r>
      <w:r w:rsidR="00D37252" w:rsidRPr="00AE3316">
        <w:rPr>
          <w:rFonts w:asciiTheme="minorHAnsi" w:hAnsiTheme="minorHAnsi"/>
          <w:color w:val="auto"/>
          <w:szCs w:val="24"/>
        </w:rPr>
        <w:t>All evidence considered</w:t>
      </w:r>
      <w:proofErr w:type="gramStart"/>
      <w:r w:rsidR="00D37252" w:rsidRPr="00AE3316">
        <w:rPr>
          <w:rFonts w:asciiTheme="minorHAnsi" w:hAnsiTheme="minorHAnsi"/>
          <w:color w:val="auto"/>
          <w:szCs w:val="24"/>
        </w:rPr>
        <w:t>,</w:t>
      </w:r>
      <w:proofErr w:type="gramEnd"/>
      <w:r w:rsidR="00D37252" w:rsidRPr="00AE3316">
        <w:rPr>
          <w:rFonts w:asciiTheme="minorHAnsi" w:hAnsiTheme="minorHAnsi"/>
          <w:color w:val="auto"/>
          <w:szCs w:val="24"/>
        </w:rPr>
        <w:t xml:space="preserve"> there is not reasonable doubt in the CI’s favor supporting</w:t>
      </w:r>
      <w:r w:rsidR="00D37252">
        <w:rPr>
          <w:rFonts w:asciiTheme="minorHAnsi" w:hAnsiTheme="minorHAnsi"/>
          <w:color w:val="auto"/>
          <w:szCs w:val="24"/>
        </w:rPr>
        <w:t xml:space="preserve"> addition of tarsal tunnel syndrome as an unfitting condition for separation rating.</w:t>
      </w:r>
    </w:p>
    <w:p w:rsidR="000B7542" w:rsidRDefault="000B7542" w:rsidP="00AF1668">
      <w:pPr>
        <w:tabs>
          <w:tab w:val="left" w:pos="288"/>
          <w:tab w:val="left" w:pos="4752"/>
        </w:tabs>
        <w:spacing w:line="240" w:lineRule="exact"/>
        <w:rPr>
          <w:rFonts w:asciiTheme="minorHAnsi" w:hAnsiTheme="minorHAnsi"/>
          <w:color w:val="auto"/>
          <w:sz w:val="20"/>
          <w:highlight w:val="yellow"/>
        </w:rPr>
      </w:pPr>
    </w:p>
    <w:p w:rsidR="00EE6AC0" w:rsidRDefault="008644DA" w:rsidP="00EE6AC0">
      <w:pPr>
        <w:tabs>
          <w:tab w:val="left" w:pos="288"/>
          <w:tab w:val="left" w:pos="4752"/>
        </w:tabs>
        <w:spacing w:line="240" w:lineRule="exact"/>
        <w:jc w:val="both"/>
        <w:rPr>
          <w:rFonts w:asciiTheme="minorHAnsi" w:hAnsiTheme="minorHAnsi"/>
          <w:color w:val="auto"/>
          <w:szCs w:val="24"/>
        </w:rPr>
      </w:pPr>
      <w:proofErr w:type="gramStart"/>
      <w:r w:rsidRPr="008644DA">
        <w:rPr>
          <w:rFonts w:asciiTheme="minorHAnsi" w:hAnsiTheme="minorHAnsi"/>
          <w:color w:val="auto"/>
          <w:szCs w:val="24"/>
          <w:u w:val="single"/>
        </w:rPr>
        <w:t>Bilateral Knee Chondromalacia Condition</w:t>
      </w:r>
      <w:r>
        <w:rPr>
          <w:rFonts w:asciiTheme="minorHAnsi" w:hAnsiTheme="minorHAnsi"/>
          <w:color w:val="auto"/>
          <w:szCs w:val="24"/>
        </w:rPr>
        <w:t>.</w:t>
      </w:r>
      <w:proofErr w:type="gramEnd"/>
      <w:r>
        <w:rPr>
          <w:rFonts w:asciiTheme="minorHAnsi" w:hAnsiTheme="minorHAnsi"/>
          <w:color w:val="auto"/>
          <w:szCs w:val="24"/>
        </w:rPr>
        <w:t xml:space="preserve">  </w:t>
      </w:r>
      <w:r w:rsidR="00EE6AC0" w:rsidRPr="00542C9A">
        <w:rPr>
          <w:rFonts w:asciiTheme="minorHAnsi" w:hAnsiTheme="minorHAnsi"/>
          <w:color w:val="auto"/>
          <w:szCs w:val="24"/>
        </w:rPr>
        <w:t>There</w:t>
      </w:r>
      <w:r w:rsidR="00EE6AC0">
        <w:rPr>
          <w:rFonts w:asciiTheme="minorHAnsi" w:hAnsiTheme="minorHAnsi"/>
          <w:color w:val="auto"/>
          <w:szCs w:val="24"/>
        </w:rPr>
        <w:t xml:space="preserve"> were two </w:t>
      </w:r>
      <w:r w:rsidR="00EE6AC0" w:rsidRPr="00A96E49">
        <w:rPr>
          <w:rFonts w:asciiTheme="minorHAnsi" w:hAnsiTheme="minorHAnsi"/>
          <w:color w:val="auto"/>
          <w:szCs w:val="24"/>
        </w:rPr>
        <w:t>goniometric</w:t>
      </w:r>
      <w:r w:rsidR="00EE6AC0">
        <w:rPr>
          <w:rFonts w:asciiTheme="minorHAnsi" w:hAnsiTheme="minorHAnsi"/>
          <w:color w:val="auto"/>
          <w:szCs w:val="24"/>
        </w:rPr>
        <w:t xml:space="preserve"> range-of-motion (ROM) evaluations in evidence which the Board </w:t>
      </w:r>
      <w:r w:rsidR="00EE6AC0" w:rsidRPr="00743E36">
        <w:rPr>
          <w:rFonts w:asciiTheme="minorHAnsi" w:hAnsiTheme="minorHAnsi"/>
          <w:color w:val="auto"/>
          <w:szCs w:val="24"/>
        </w:rPr>
        <w:t>weighed in arriving at its rating recommendation</w:t>
      </w:r>
      <w:r w:rsidR="00EE6AC0">
        <w:rPr>
          <w:rFonts w:asciiTheme="minorHAnsi" w:hAnsiTheme="minorHAnsi"/>
          <w:color w:val="auto"/>
          <w:szCs w:val="24"/>
        </w:rPr>
        <w:t xml:space="preserve">.  </w:t>
      </w:r>
      <w:r w:rsidR="00EE6AC0" w:rsidRPr="00A96E49">
        <w:rPr>
          <w:rFonts w:asciiTheme="minorHAnsi" w:hAnsiTheme="minorHAnsi"/>
          <w:color w:val="auto"/>
          <w:szCs w:val="24"/>
        </w:rPr>
        <w:t>Both</w:t>
      </w:r>
      <w:r w:rsidR="00EE6AC0">
        <w:rPr>
          <w:rFonts w:asciiTheme="minorHAnsi" w:hAnsiTheme="minorHAnsi"/>
          <w:color w:val="auto"/>
          <w:szCs w:val="24"/>
        </w:rPr>
        <w:t xml:space="preserve"> of these exams are summarized in the chart below.</w:t>
      </w:r>
      <w:r w:rsidR="001A2DA4">
        <w:rPr>
          <w:rFonts w:asciiTheme="minorHAnsi" w:hAnsiTheme="minorHAnsi"/>
          <w:color w:val="auto"/>
          <w:szCs w:val="24"/>
        </w:rPr>
        <w:t xml:space="preserve"> </w:t>
      </w:r>
    </w:p>
    <w:p w:rsidR="008644DA" w:rsidRDefault="008644DA" w:rsidP="00885447">
      <w:pPr>
        <w:tabs>
          <w:tab w:val="left" w:pos="288"/>
          <w:tab w:val="left" w:pos="4752"/>
        </w:tabs>
        <w:spacing w:line="240" w:lineRule="exact"/>
        <w:jc w:val="both"/>
        <w:rPr>
          <w:rFonts w:asciiTheme="minorHAnsi" w:hAnsiTheme="minorHAnsi"/>
          <w:color w:val="auto"/>
          <w:szCs w:val="24"/>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1001"/>
        <w:gridCol w:w="1032"/>
        <w:gridCol w:w="1277"/>
        <w:gridCol w:w="1151"/>
      </w:tblGrid>
      <w:tr w:rsidR="009E3FEA" w:rsidRPr="00C34CEB" w:rsidTr="009E3FEA">
        <w:trPr>
          <w:trHeight w:val="228"/>
          <w:jc w:val="center"/>
        </w:trPr>
        <w:tc>
          <w:tcPr>
            <w:tcW w:w="2466" w:type="dxa"/>
            <w:vMerge w:val="restart"/>
            <w:tcBorders>
              <w:top w:val="single" w:sz="4" w:space="0" w:color="000000"/>
              <w:left w:val="single" w:sz="4" w:space="0" w:color="000000"/>
              <w:right w:val="single" w:sz="4" w:space="0" w:color="000000"/>
            </w:tcBorders>
            <w:shd w:val="pct15" w:color="auto" w:fill="auto"/>
            <w:vAlign w:val="center"/>
            <w:hideMark/>
          </w:tcPr>
          <w:p w:rsidR="009E3FEA" w:rsidRPr="00FB42B7" w:rsidRDefault="009E3FEA" w:rsidP="009E3FEA">
            <w:pPr>
              <w:pStyle w:val="ListParagraph"/>
              <w:spacing w:after="0" w:line="200" w:lineRule="exact"/>
              <w:ind w:left="0"/>
              <w:jc w:val="center"/>
              <w:rPr>
                <w:rFonts w:eastAsia="Calibri" w:cs="Times New Roman"/>
                <w:b/>
                <w:sz w:val="20"/>
                <w:szCs w:val="20"/>
              </w:rPr>
            </w:pPr>
            <w:r>
              <w:lastRenderedPageBreak/>
              <w:tab/>
            </w:r>
            <w:r w:rsidRPr="00FB42B7">
              <w:rPr>
                <w:rFonts w:eastAsia="Calibri"/>
                <w:sz w:val="20"/>
                <w:szCs w:val="20"/>
              </w:rPr>
              <w:t xml:space="preserve">Goniometric ROM - </w:t>
            </w:r>
            <w:r>
              <w:rPr>
                <w:rFonts w:eastAsia="Calibri"/>
                <w:sz w:val="20"/>
                <w:szCs w:val="20"/>
              </w:rPr>
              <w:t>Knees</w:t>
            </w:r>
          </w:p>
        </w:tc>
        <w:tc>
          <w:tcPr>
            <w:tcW w:w="2033" w:type="dxa"/>
            <w:gridSpan w:val="2"/>
            <w:tcBorders>
              <w:top w:val="single" w:sz="4" w:space="0" w:color="000000"/>
              <w:left w:val="single" w:sz="4" w:space="0" w:color="000000"/>
              <w:bottom w:val="single" w:sz="4" w:space="0" w:color="auto"/>
              <w:right w:val="single" w:sz="4" w:space="0" w:color="000000"/>
            </w:tcBorders>
            <w:shd w:val="pct15" w:color="auto" w:fill="auto"/>
            <w:vAlign w:val="center"/>
            <w:hideMark/>
          </w:tcPr>
          <w:p w:rsidR="009E3FEA" w:rsidRPr="00FB42B7" w:rsidRDefault="009E3FEA" w:rsidP="00FD776E">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C&amp;P</w:t>
            </w:r>
            <w:r w:rsidRPr="00FB42B7">
              <w:rPr>
                <w:rFonts w:asciiTheme="minorHAnsi" w:eastAsia="Calibri" w:hAnsiTheme="minorHAnsi"/>
                <w:color w:val="auto"/>
                <w:sz w:val="20"/>
              </w:rPr>
              <w:t xml:space="preserve"> ~  </w:t>
            </w:r>
            <w:r>
              <w:rPr>
                <w:rFonts w:asciiTheme="minorHAnsi" w:eastAsia="Calibri" w:hAnsiTheme="minorHAnsi"/>
                <w:color w:val="auto"/>
                <w:sz w:val="20"/>
              </w:rPr>
              <w:t xml:space="preserve">8 </w:t>
            </w:r>
            <w:r w:rsidRPr="00FB42B7">
              <w:rPr>
                <w:rFonts w:asciiTheme="minorHAnsi" w:eastAsia="Calibri" w:hAnsiTheme="minorHAnsi"/>
                <w:color w:val="auto"/>
                <w:sz w:val="20"/>
              </w:rPr>
              <w:t>Mo. Pre-Sep</w:t>
            </w:r>
          </w:p>
        </w:tc>
        <w:tc>
          <w:tcPr>
            <w:tcW w:w="2428" w:type="dxa"/>
            <w:gridSpan w:val="2"/>
            <w:tcBorders>
              <w:top w:val="single" w:sz="4" w:space="0" w:color="000000"/>
              <w:left w:val="single" w:sz="4" w:space="0" w:color="000000"/>
              <w:bottom w:val="single" w:sz="4" w:space="0" w:color="auto"/>
              <w:right w:val="single" w:sz="4" w:space="0" w:color="000000"/>
            </w:tcBorders>
            <w:shd w:val="pct15" w:color="auto" w:fill="auto"/>
            <w:vAlign w:val="center"/>
            <w:hideMark/>
          </w:tcPr>
          <w:p w:rsidR="009E3FEA" w:rsidRPr="00FB42B7" w:rsidRDefault="009E3FEA" w:rsidP="009E3FEA">
            <w:pPr>
              <w:spacing w:line="200" w:lineRule="exact"/>
              <w:contextualSpacing/>
              <w:jc w:val="center"/>
              <w:rPr>
                <w:rFonts w:asciiTheme="minorHAnsi" w:eastAsiaTheme="minorHAnsi" w:hAnsiTheme="minorHAnsi" w:cstheme="minorBidi"/>
                <w:color w:val="auto"/>
                <w:sz w:val="20"/>
              </w:rPr>
            </w:pPr>
            <w:r>
              <w:rPr>
                <w:rFonts w:asciiTheme="minorHAnsi" w:eastAsiaTheme="minorHAnsi" w:hAnsiTheme="minorHAnsi" w:cstheme="minorBidi"/>
                <w:color w:val="auto"/>
                <w:sz w:val="20"/>
              </w:rPr>
              <w:t>MEB</w:t>
            </w: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 xml:space="preserve">5 </w:t>
            </w:r>
            <w:r w:rsidRPr="00FB42B7">
              <w:rPr>
                <w:rFonts w:asciiTheme="minorHAnsi" w:eastAsia="Calibri" w:hAnsiTheme="minorHAnsi"/>
                <w:color w:val="auto"/>
                <w:sz w:val="20"/>
              </w:rPr>
              <w:t xml:space="preserve">Mo. </w:t>
            </w:r>
            <w:r>
              <w:rPr>
                <w:rFonts w:asciiTheme="minorHAnsi" w:eastAsia="Calibri" w:hAnsiTheme="minorHAnsi"/>
                <w:color w:val="auto"/>
                <w:sz w:val="20"/>
              </w:rPr>
              <w:t>Pre</w:t>
            </w:r>
            <w:r w:rsidRPr="00FB42B7">
              <w:rPr>
                <w:rFonts w:asciiTheme="minorHAnsi" w:eastAsia="Calibri" w:hAnsiTheme="minorHAnsi"/>
                <w:color w:val="auto"/>
                <w:sz w:val="20"/>
              </w:rPr>
              <w:t>-Sep</w:t>
            </w:r>
          </w:p>
        </w:tc>
      </w:tr>
      <w:tr w:rsidR="009E3FEA" w:rsidRPr="00C34CEB" w:rsidTr="009E3FEA">
        <w:trPr>
          <w:trHeight w:val="171"/>
          <w:jc w:val="center"/>
        </w:trPr>
        <w:tc>
          <w:tcPr>
            <w:tcW w:w="2466" w:type="dxa"/>
            <w:vMerge/>
            <w:tcBorders>
              <w:left w:val="single" w:sz="4" w:space="0" w:color="000000"/>
              <w:bottom w:val="single" w:sz="4" w:space="0" w:color="000000"/>
              <w:right w:val="single" w:sz="4" w:space="0" w:color="000000"/>
            </w:tcBorders>
            <w:shd w:val="pct15" w:color="auto" w:fill="auto"/>
            <w:vAlign w:val="center"/>
            <w:hideMark/>
          </w:tcPr>
          <w:p w:rsidR="009E3FEA" w:rsidRPr="00FB42B7" w:rsidRDefault="009E3FEA" w:rsidP="009E3FEA">
            <w:pPr>
              <w:pStyle w:val="ListParagraph"/>
              <w:spacing w:after="0" w:line="200" w:lineRule="exact"/>
              <w:ind w:left="0"/>
              <w:jc w:val="center"/>
              <w:rPr>
                <w:rFonts w:eastAsia="Calibri"/>
                <w:sz w:val="20"/>
                <w:szCs w:val="20"/>
              </w:rPr>
            </w:pPr>
          </w:p>
        </w:tc>
        <w:tc>
          <w:tcPr>
            <w:tcW w:w="1001" w:type="dxa"/>
            <w:tcBorders>
              <w:top w:val="single" w:sz="4" w:space="0" w:color="auto"/>
              <w:left w:val="single" w:sz="4" w:space="0" w:color="000000"/>
              <w:bottom w:val="single" w:sz="4" w:space="0" w:color="000000"/>
              <w:right w:val="single" w:sz="4" w:space="0" w:color="auto"/>
            </w:tcBorders>
            <w:shd w:val="pct15" w:color="auto" w:fill="auto"/>
            <w:vAlign w:val="center"/>
            <w:hideMark/>
          </w:tcPr>
          <w:p w:rsidR="009E3FEA" w:rsidRDefault="009E3FEA" w:rsidP="009E3FEA">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Left</w:t>
            </w:r>
          </w:p>
        </w:tc>
        <w:tc>
          <w:tcPr>
            <w:tcW w:w="1032" w:type="dxa"/>
            <w:tcBorders>
              <w:top w:val="single" w:sz="4" w:space="0" w:color="auto"/>
              <w:left w:val="single" w:sz="4" w:space="0" w:color="auto"/>
              <w:bottom w:val="single" w:sz="4" w:space="0" w:color="000000"/>
              <w:right w:val="single" w:sz="4" w:space="0" w:color="000000"/>
            </w:tcBorders>
            <w:shd w:val="pct15" w:color="auto" w:fill="auto"/>
            <w:vAlign w:val="center"/>
          </w:tcPr>
          <w:p w:rsidR="009E3FEA" w:rsidRDefault="009E3FEA" w:rsidP="009E3FEA">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Right</w:t>
            </w:r>
          </w:p>
        </w:tc>
        <w:tc>
          <w:tcPr>
            <w:tcW w:w="1277" w:type="dxa"/>
            <w:tcBorders>
              <w:top w:val="single" w:sz="4" w:space="0" w:color="auto"/>
              <w:left w:val="single" w:sz="4" w:space="0" w:color="000000"/>
              <w:bottom w:val="single" w:sz="4" w:space="0" w:color="000000"/>
              <w:right w:val="single" w:sz="4" w:space="0" w:color="auto"/>
            </w:tcBorders>
            <w:shd w:val="pct15" w:color="auto" w:fill="auto"/>
            <w:vAlign w:val="center"/>
            <w:hideMark/>
          </w:tcPr>
          <w:p w:rsidR="009E3FEA" w:rsidRDefault="009E3FEA" w:rsidP="009E3FEA">
            <w:pPr>
              <w:spacing w:line="200" w:lineRule="exact"/>
              <w:contextualSpacing/>
              <w:jc w:val="center"/>
              <w:rPr>
                <w:rFonts w:asciiTheme="minorHAnsi" w:eastAsiaTheme="minorHAnsi" w:hAnsiTheme="minorHAnsi" w:cstheme="minorBidi"/>
                <w:color w:val="auto"/>
                <w:sz w:val="20"/>
              </w:rPr>
            </w:pPr>
            <w:r>
              <w:rPr>
                <w:rFonts w:asciiTheme="minorHAnsi" w:eastAsiaTheme="minorHAnsi" w:hAnsiTheme="minorHAnsi" w:cstheme="minorBidi"/>
                <w:color w:val="auto"/>
                <w:sz w:val="20"/>
              </w:rPr>
              <w:t>Left</w:t>
            </w:r>
          </w:p>
        </w:tc>
        <w:tc>
          <w:tcPr>
            <w:tcW w:w="1151" w:type="dxa"/>
            <w:tcBorders>
              <w:top w:val="single" w:sz="4" w:space="0" w:color="auto"/>
              <w:left w:val="single" w:sz="4" w:space="0" w:color="auto"/>
              <w:bottom w:val="single" w:sz="4" w:space="0" w:color="000000"/>
              <w:right w:val="single" w:sz="4" w:space="0" w:color="000000"/>
            </w:tcBorders>
            <w:shd w:val="pct15" w:color="auto" w:fill="auto"/>
            <w:vAlign w:val="center"/>
          </w:tcPr>
          <w:p w:rsidR="009E3FEA" w:rsidRDefault="009E3FEA" w:rsidP="009E3FEA">
            <w:pPr>
              <w:spacing w:line="200" w:lineRule="exact"/>
              <w:contextualSpacing/>
              <w:jc w:val="center"/>
              <w:rPr>
                <w:rFonts w:asciiTheme="minorHAnsi" w:eastAsiaTheme="minorHAnsi" w:hAnsiTheme="minorHAnsi" w:cstheme="minorBidi"/>
                <w:color w:val="auto"/>
                <w:sz w:val="20"/>
              </w:rPr>
            </w:pPr>
            <w:r>
              <w:rPr>
                <w:rFonts w:asciiTheme="minorHAnsi" w:eastAsiaTheme="minorHAnsi" w:hAnsiTheme="minorHAnsi" w:cstheme="minorBidi"/>
                <w:color w:val="auto"/>
                <w:sz w:val="20"/>
              </w:rPr>
              <w:t>Right</w:t>
            </w:r>
          </w:p>
        </w:tc>
      </w:tr>
      <w:tr w:rsidR="009E3FEA" w:rsidRPr="00C34CEB" w:rsidTr="009E3FEA">
        <w:trPr>
          <w:jc w:val="center"/>
        </w:trPr>
        <w:tc>
          <w:tcPr>
            <w:tcW w:w="2466" w:type="dxa"/>
            <w:tcBorders>
              <w:top w:val="single" w:sz="4" w:space="0" w:color="000000"/>
              <w:left w:val="single" w:sz="4" w:space="0" w:color="000000"/>
              <w:bottom w:val="single" w:sz="4" w:space="0" w:color="000000"/>
              <w:right w:val="single" w:sz="4" w:space="0" w:color="000000"/>
            </w:tcBorders>
            <w:vAlign w:val="center"/>
            <w:hideMark/>
          </w:tcPr>
          <w:p w:rsidR="009E3FEA" w:rsidRPr="00C34CEB" w:rsidRDefault="009E3FEA" w:rsidP="000849C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w:t>
            </w:r>
            <w:r w:rsidR="000849C4">
              <w:rPr>
                <w:rFonts w:eastAsia="Calibri" w:cs="Times New Roman"/>
                <w:sz w:val="18"/>
                <w:szCs w:val="18"/>
              </w:rPr>
              <w:t>14</w:t>
            </w:r>
            <w:r w:rsidRPr="00C34CEB">
              <w:rPr>
                <w:rFonts w:eastAsia="Calibri" w:cs="Times New Roman"/>
                <w:sz w:val="18"/>
                <w:szCs w:val="18"/>
              </w:rPr>
              <w:t>0</w:t>
            </w:r>
            <w:r w:rsidRPr="00C34CEB">
              <w:rPr>
                <w:rFonts w:eastAsia="Calibri"/>
                <w:sz w:val="18"/>
                <w:szCs w:val="18"/>
              </w:rPr>
              <w:t>⁰</w:t>
            </w:r>
            <w:r>
              <w:rPr>
                <w:rFonts w:eastAsia="Calibri"/>
                <w:sz w:val="18"/>
                <w:szCs w:val="18"/>
              </w:rPr>
              <w:t xml:space="preserve"> normal</w:t>
            </w:r>
          </w:p>
        </w:tc>
        <w:tc>
          <w:tcPr>
            <w:tcW w:w="1001"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009E3FEA" w:rsidRPr="00C34CEB">
              <w:rPr>
                <w:rFonts w:asciiTheme="minorHAnsi" w:eastAsia="Calibri" w:hAnsiTheme="minorHAnsi"/>
                <w:color w:val="auto"/>
                <w:sz w:val="18"/>
                <w:szCs w:val="18"/>
              </w:rPr>
              <w:t>⁰</w:t>
            </w:r>
          </w:p>
        </w:tc>
        <w:tc>
          <w:tcPr>
            <w:tcW w:w="1032"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FD776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p>
        </w:tc>
        <w:tc>
          <w:tcPr>
            <w:tcW w:w="1277"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009E3FEA" w:rsidRPr="00C34CEB">
              <w:rPr>
                <w:rFonts w:asciiTheme="minorHAnsi" w:eastAsia="Calibri" w:hAnsiTheme="minorHAnsi"/>
                <w:color w:val="auto"/>
                <w:sz w:val="18"/>
                <w:szCs w:val="18"/>
              </w:rPr>
              <w:t>⁰</w:t>
            </w:r>
          </w:p>
        </w:tc>
        <w:tc>
          <w:tcPr>
            <w:tcW w:w="1151"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9E3FE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p>
        </w:tc>
      </w:tr>
      <w:tr w:rsidR="009E3FEA" w:rsidRPr="00C34CEB" w:rsidTr="009E3FEA">
        <w:trPr>
          <w:jc w:val="center"/>
        </w:trPr>
        <w:tc>
          <w:tcPr>
            <w:tcW w:w="2466" w:type="dxa"/>
            <w:tcBorders>
              <w:top w:val="single" w:sz="4" w:space="0" w:color="000000"/>
              <w:left w:val="single" w:sz="4" w:space="0" w:color="000000"/>
              <w:bottom w:val="single" w:sz="4" w:space="0" w:color="000000"/>
              <w:right w:val="single" w:sz="4" w:space="0" w:color="000000"/>
            </w:tcBorders>
            <w:vAlign w:val="center"/>
            <w:hideMark/>
          </w:tcPr>
          <w:p w:rsidR="009E3FEA" w:rsidRPr="00C34CEB" w:rsidRDefault="000849C4" w:rsidP="000849C4">
            <w:pPr>
              <w:pStyle w:val="ListParagraph"/>
              <w:spacing w:after="0" w:line="180" w:lineRule="exact"/>
              <w:ind w:left="0"/>
              <w:jc w:val="center"/>
              <w:rPr>
                <w:rFonts w:eastAsia="Calibri" w:cs="Times New Roman"/>
                <w:sz w:val="18"/>
                <w:szCs w:val="18"/>
              </w:rPr>
            </w:pPr>
            <w:r>
              <w:rPr>
                <w:rFonts w:eastAsia="Calibri" w:cs="Times New Roman"/>
                <w:sz w:val="18"/>
                <w:szCs w:val="18"/>
              </w:rPr>
              <w:t xml:space="preserve">Extension </w:t>
            </w:r>
            <w:r w:rsidR="009E3FEA" w:rsidRPr="00C34CEB">
              <w:rPr>
                <w:rFonts w:eastAsia="Calibri" w:cs="Times New Roman"/>
                <w:sz w:val="18"/>
                <w:szCs w:val="18"/>
              </w:rPr>
              <w:t>0</w:t>
            </w:r>
            <w:r w:rsidR="009E3FEA" w:rsidRPr="00C34CEB">
              <w:rPr>
                <w:rFonts w:eastAsia="Calibri"/>
                <w:sz w:val="18"/>
                <w:szCs w:val="18"/>
              </w:rPr>
              <w:t>⁰</w:t>
            </w:r>
            <w:r w:rsidR="009E3FEA">
              <w:rPr>
                <w:rFonts w:eastAsia="Calibri"/>
                <w:sz w:val="18"/>
                <w:szCs w:val="18"/>
              </w:rPr>
              <w:t xml:space="preserve"> normal</w:t>
            </w:r>
          </w:p>
        </w:tc>
        <w:tc>
          <w:tcPr>
            <w:tcW w:w="1001"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pStyle w:val="ListParagraph"/>
              <w:spacing w:after="0" w:line="180" w:lineRule="exact"/>
              <w:ind w:left="0"/>
              <w:jc w:val="center"/>
              <w:rPr>
                <w:rFonts w:eastAsia="Calibri" w:cs="Times New Roman"/>
                <w:sz w:val="18"/>
                <w:szCs w:val="18"/>
              </w:rPr>
            </w:pPr>
            <w:r>
              <w:rPr>
                <w:rFonts w:eastAsia="Calibri" w:cs="Times New Roman"/>
                <w:sz w:val="18"/>
                <w:szCs w:val="18"/>
              </w:rPr>
              <w:t>0</w:t>
            </w:r>
            <w:r w:rsidR="009E3FEA" w:rsidRPr="00C34CEB">
              <w:rPr>
                <w:rFonts w:eastAsia="Calibri" w:cs="Times New Roman"/>
                <w:sz w:val="18"/>
                <w:szCs w:val="18"/>
              </w:rPr>
              <w:t>⁰</w:t>
            </w:r>
          </w:p>
        </w:tc>
        <w:tc>
          <w:tcPr>
            <w:tcW w:w="1032"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FD776E">
            <w:pPr>
              <w:pStyle w:val="ListParagraph"/>
              <w:spacing w:after="0" w:line="180" w:lineRule="exact"/>
              <w:ind w:left="0"/>
              <w:jc w:val="center"/>
              <w:rPr>
                <w:rFonts w:eastAsia="Calibri" w:cs="Times New Roman"/>
                <w:sz w:val="18"/>
                <w:szCs w:val="18"/>
              </w:rPr>
            </w:pPr>
            <w:r>
              <w:rPr>
                <w:rFonts w:eastAsia="Calibri" w:cs="Times New Roman"/>
                <w:sz w:val="18"/>
                <w:szCs w:val="18"/>
              </w:rPr>
              <w:t>0</w:t>
            </w:r>
            <w:r w:rsidRPr="00C34CEB">
              <w:rPr>
                <w:rFonts w:eastAsia="Calibri" w:cs="Times New Roman"/>
                <w:sz w:val="18"/>
                <w:szCs w:val="18"/>
              </w:rPr>
              <w:t>⁰</w:t>
            </w:r>
          </w:p>
        </w:tc>
        <w:tc>
          <w:tcPr>
            <w:tcW w:w="1277"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009E3FEA" w:rsidRPr="00C34CEB">
              <w:rPr>
                <w:rFonts w:asciiTheme="minorHAnsi" w:eastAsia="Calibri" w:hAnsiTheme="minorHAnsi"/>
                <w:color w:val="auto"/>
                <w:sz w:val="18"/>
                <w:szCs w:val="18"/>
              </w:rPr>
              <w:t>⁰</w:t>
            </w:r>
          </w:p>
        </w:tc>
        <w:tc>
          <w:tcPr>
            <w:tcW w:w="1151"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9E3FEA">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9E3FEA" w:rsidRPr="00C34CEB" w:rsidTr="009E3FEA">
        <w:trPr>
          <w:jc w:val="center"/>
        </w:trPr>
        <w:tc>
          <w:tcPr>
            <w:tcW w:w="2466" w:type="dxa"/>
            <w:tcBorders>
              <w:top w:val="single" w:sz="4" w:space="0" w:color="000000"/>
              <w:left w:val="single" w:sz="4" w:space="0" w:color="000000"/>
              <w:bottom w:val="single" w:sz="4" w:space="0" w:color="000000"/>
              <w:right w:val="single" w:sz="4" w:space="0" w:color="000000"/>
            </w:tcBorders>
            <w:vAlign w:val="center"/>
            <w:hideMark/>
          </w:tcPr>
          <w:p w:rsidR="009E3FEA" w:rsidRPr="00C34CEB" w:rsidRDefault="009E3FEA" w:rsidP="00FD776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r>
              <w:rPr>
                <w:rFonts w:eastAsia="Calibri" w:cs="Times New Roman"/>
                <w:sz w:val="18"/>
                <w:szCs w:val="18"/>
              </w:rPr>
              <w:t>s</w:t>
            </w:r>
          </w:p>
        </w:tc>
        <w:tc>
          <w:tcPr>
            <w:tcW w:w="1001" w:type="dxa"/>
            <w:tcBorders>
              <w:top w:val="single" w:sz="4" w:space="0" w:color="000000"/>
              <w:left w:val="single" w:sz="4" w:space="0" w:color="000000"/>
              <w:bottom w:val="single" w:sz="4" w:space="0" w:color="000000"/>
              <w:right w:val="single" w:sz="4" w:space="0" w:color="auto"/>
            </w:tcBorders>
            <w:vAlign w:val="center"/>
          </w:tcPr>
          <w:p w:rsidR="009E3FEA" w:rsidRPr="00C34CEB" w:rsidRDefault="009E3FEA" w:rsidP="00FD776E">
            <w:pPr>
              <w:tabs>
                <w:tab w:val="left" w:pos="288"/>
                <w:tab w:val="left" w:pos="4752"/>
              </w:tabs>
              <w:spacing w:line="180" w:lineRule="exact"/>
              <w:jc w:val="center"/>
              <w:rPr>
                <w:rFonts w:asciiTheme="minorHAnsi" w:eastAsiaTheme="minorHAnsi" w:hAnsiTheme="minorHAnsi"/>
                <w:color w:val="auto"/>
                <w:sz w:val="18"/>
                <w:szCs w:val="18"/>
              </w:rPr>
            </w:pPr>
          </w:p>
        </w:tc>
        <w:tc>
          <w:tcPr>
            <w:tcW w:w="1032" w:type="dxa"/>
            <w:tcBorders>
              <w:top w:val="single" w:sz="4" w:space="0" w:color="000000"/>
              <w:left w:val="single" w:sz="4" w:space="0" w:color="auto"/>
              <w:bottom w:val="single" w:sz="4" w:space="0" w:color="000000"/>
              <w:right w:val="single" w:sz="4" w:space="0" w:color="000000"/>
            </w:tcBorders>
            <w:vAlign w:val="center"/>
          </w:tcPr>
          <w:p w:rsidR="009E3FEA" w:rsidRPr="00C34CEB" w:rsidRDefault="009E3FEA" w:rsidP="00FD776E">
            <w:pPr>
              <w:tabs>
                <w:tab w:val="left" w:pos="288"/>
                <w:tab w:val="left" w:pos="4752"/>
              </w:tabs>
              <w:spacing w:line="180" w:lineRule="exact"/>
              <w:jc w:val="center"/>
              <w:rPr>
                <w:rFonts w:asciiTheme="minorHAnsi" w:eastAsiaTheme="minorHAnsi" w:hAnsiTheme="minorHAnsi"/>
                <w:color w:val="auto"/>
                <w:sz w:val="18"/>
                <w:szCs w:val="18"/>
              </w:rPr>
            </w:pPr>
          </w:p>
        </w:tc>
        <w:tc>
          <w:tcPr>
            <w:tcW w:w="1277" w:type="dxa"/>
            <w:tcBorders>
              <w:top w:val="single" w:sz="4" w:space="0" w:color="000000"/>
              <w:left w:val="single" w:sz="4" w:space="0" w:color="000000"/>
              <w:bottom w:val="single" w:sz="4" w:space="0" w:color="000000"/>
              <w:right w:val="single" w:sz="4" w:space="0" w:color="auto"/>
            </w:tcBorders>
            <w:vAlign w:val="center"/>
          </w:tcPr>
          <w:p w:rsidR="009E3FEA" w:rsidRPr="00C34CEB" w:rsidRDefault="009E3FEA" w:rsidP="00FD776E">
            <w:pPr>
              <w:tabs>
                <w:tab w:val="left" w:pos="288"/>
                <w:tab w:val="left" w:pos="4752"/>
              </w:tabs>
              <w:spacing w:line="180" w:lineRule="exact"/>
              <w:jc w:val="center"/>
              <w:rPr>
                <w:rFonts w:asciiTheme="minorHAnsi" w:eastAsiaTheme="minorHAnsi" w:hAnsiTheme="minorHAnsi"/>
                <w:color w:val="auto"/>
                <w:sz w:val="18"/>
                <w:szCs w:val="18"/>
              </w:rPr>
            </w:pPr>
          </w:p>
        </w:tc>
        <w:tc>
          <w:tcPr>
            <w:tcW w:w="1151" w:type="dxa"/>
            <w:tcBorders>
              <w:top w:val="single" w:sz="4" w:space="0" w:color="000000"/>
              <w:left w:val="single" w:sz="4" w:space="0" w:color="auto"/>
              <w:bottom w:val="single" w:sz="4" w:space="0" w:color="000000"/>
              <w:right w:val="single" w:sz="4" w:space="0" w:color="000000"/>
            </w:tcBorders>
            <w:vAlign w:val="center"/>
          </w:tcPr>
          <w:p w:rsidR="009E3FEA" w:rsidRPr="00C34CEB" w:rsidRDefault="009E3FEA" w:rsidP="00FD776E">
            <w:pPr>
              <w:tabs>
                <w:tab w:val="left" w:pos="288"/>
                <w:tab w:val="left" w:pos="4752"/>
              </w:tabs>
              <w:spacing w:line="180" w:lineRule="exact"/>
              <w:jc w:val="center"/>
              <w:rPr>
                <w:rFonts w:asciiTheme="minorHAnsi" w:eastAsiaTheme="minorHAnsi" w:hAnsiTheme="minorHAnsi"/>
                <w:color w:val="auto"/>
                <w:sz w:val="18"/>
                <w:szCs w:val="18"/>
              </w:rPr>
            </w:pPr>
          </w:p>
        </w:tc>
      </w:tr>
      <w:tr w:rsidR="009E3FEA" w:rsidRPr="00C34CEB" w:rsidTr="009E3FEA">
        <w:trPr>
          <w:jc w:val="center"/>
        </w:trPr>
        <w:tc>
          <w:tcPr>
            <w:tcW w:w="2466" w:type="dxa"/>
            <w:tcBorders>
              <w:top w:val="single" w:sz="4" w:space="0" w:color="000000"/>
              <w:left w:val="single" w:sz="4" w:space="0" w:color="000000"/>
              <w:bottom w:val="single" w:sz="4" w:space="0" w:color="000000"/>
              <w:right w:val="single" w:sz="4" w:space="0" w:color="000000"/>
            </w:tcBorders>
            <w:vAlign w:val="center"/>
            <w:hideMark/>
          </w:tcPr>
          <w:p w:rsidR="009E3FEA" w:rsidRPr="00C34CEB" w:rsidRDefault="009E3FEA" w:rsidP="00FD776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1001"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9E3FEA" w:rsidRPr="00C34CEB">
              <w:rPr>
                <w:rFonts w:asciiTheme="minorHAnsi" w:eastAsiaTheme="minorHAnsi" w:hAnsiTheme="minorHAnsi"/>
                <w:color w:val="auto"/>
                <w:sz w:val="18"/>
                <w:szCs w:val="18"/>
              </w:rPr>
              <w:t>%</w:t>
            </w:r>
          </w:p>
        </w:tc>
        <w:tc>
          <w:tcPr>
            <w:tcW w:w="1032"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FD776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Pr="00C34CEB">
              <w:rPr>
                <w:rFonts w:asciiTheme="minorHAnsi" w:eastAsiaTheme="minorHAnsi" w:hAnsiTheme="minorHAnsi"/>
                <w:color w:val="auto"/>
                <w:sz w:val="18"/>
                <w:szCs w:val="18"/>
              </w:rPr>
              <w:t>%</w:t>
            </w:r>
          </w:p>
        </w:tc>
        <w:tc>
          <w:tcPr>
            <w:tcW w:w="1277" w:type="dxa"/>
            <w:tcBorders>
              <w:top w:val="single" w:sz="4" w:space="0" w:color="000000"/>
              <w:left w:val="single" w:sz="4" w:space="0" w:color="000000"/>
              <w:bottom w:val="single" w:sz="4" w:space="0" w:color="000000"/>
              <w:right w:val="single" w:sz="4" w:space="0" w:color="auto"/>
            </w:tcBorders>
            <w:vAlign w:val="center"/>
          </w:tcPr>
          <w:p w:rsidR="009E3FEA" w:rsidRPr="00C34CEB" w:rsidRDefault="000849C4" w:rsidP="00FD776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9E3FEA" w:rsidRPr="00C34CEB">
              <w:rPr>
                <w:rFonts w:asciiTheme="minorHAnsi" w:eastAsiaTheme="minorHAnsi" w:hAnsiTheme="minorHAnsi"/>
                <w:color w:val="auto"/>
                <w:sz w:val="18"/>
                <w:szCs w:val="18"/>
              </w:rPr>
              <w:t>%</w:t>
            </w:r>
          </w:p>
        </w:tc>
        <w:tc>
          <w:tcPr>
            <w:tcW w:w="1151" w:type="dxa"/>
            <w:tcBorders>
              <w:top w:val="single" w:sz="4" w:space="0" w:color="000000"/>
              <w:left w:val="single" w:sz="4" w:space="0" w:color="auto"/>
              <w:bottom w:val="single" w:sz="4" w:space="0" w:color="000000"/>
              <w:right w:val="single" w:sz="4" w:space="0" w:color="000000"/>
            </w:tcBorders>
            <w:vAlign w:val="center"/>
          </w:tcPr>
          <w:p w:rsidR="009E3FEA" w:rsidRPr="00C34CEB" w:rsidRDefault="000849C4" w:rsidP="009E3FEA">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Pr="00C34CEB">
              <w:rPr>
                <w:rFonts w:asciiTheme="minorHAnsi" w:eastAsiaTheme="minorHAnsi" w:hAnsiTheme="minorHAnsi"/>
                <w:color w:val="auto"/>
                <w:sz w:val="18"/>
                <w:szCs w:val="18"/>
              </w:rPr>
              <w:t>%</w:t>
            </w:r>
          </w:p>
        </w:tc>
      </w:tr>
    </w:tbl>
    <w:p w:rsidR="00EE6AC0" w:rsidRPr="000849C4" w:rsidRDefault="000849C4" w:rsidP="00885447">
      <w:pPr>
        <w:tabs>
          <w:tab w:val="left" w:pos="288"/>
          <w:tab w:val="left" w:pos="4752"/>
        </w:tabs>
        <w:spacing w:line="240" w:lineRule="exact"/>
        <w:jc w:val="both"/>
        <w:rPr>
          <w:rFonts w:asciiTheme="minorHAnsi" w:hAnsiTheme="minorHAnsi"/>
          <w:color w:val="auto"/>
          <w:sz w:val="18"/>
          <w:szCs w:val="18"/>
        </w:rPr>
      </w:pPr>
      <w:r>
        <w:rPr>
          <w:rFonts w:asciiTheme="minorHAnsi" w:eastAsiaTheme="minorHAnsi" w:hAnsiTheme="minorHAnsi"/>
          <w:color w:val="auto"/>
          <w:sz w:val="22"/>
          <w:szCs w:val="22"/>
        </w:rPr>
        <w:t xml:space="preserve">                         </w:t>
      </w:r>
    </w:p>
    <w:p w:rsidR="000B7542" w:rsidRDefault="00EE6AC0" w:rsidP="00AA307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orthopedic consultant reported the presence of anterior knee pain since 2006.  </w:t>
      </w:r>
      <w:r w:rsidR="00C903F0">
        <w:rPr>
          <w:rFonts w:asciiTheme="minorHAnsi" w:hAnsiTheme="minorHAnsi"/>
          <w:color w:val="auto"/>
          <w:szCs w:val="24"/>
        </w:rPr>
        <w:t xml:space="preserve">Climbing one flight of stairs or running caused pain.  If </w:t>
      </w:r>
      <w:r w:rsidR="00B22E18">
        <w:rPr>
          <w:rFonts w:asciiTheme="minorHAnsi" w:hAnsiTheme="minorHAnsi"/>
          <w:color w:val="auto"/>
          <w:szCs w:val="24"/>
        </w:rPr>
        <w:t>CI</w:t>
      </w:r>
      <w:r w:rsidR="00C903F0">
        <w:rPr>
          <w:rFonts w:asciiTheme="minorHAnsi" w:hAnsiTheme="minorHAnsi"/>
          <w:color w:val="auto"/>
          <w:szCs w:val="24"/>
        </w:rPr>
        <w:t xml:space="preserve"> sat or drove for more than two hours her knees would “swell and get stiff.”  She had pain for a total of one hour per day.  </w:t>
      </w:r>
      <w:r w:rsidR="000849C4">
        <w:rPr>
          <w:rFonts w:asciiTheme="minorHAnsi" w:hAnsiTheme="minorHAnsi"/>
          <w:color w:val="auto"/>
          <w:szCs w:val="24"/>
        </w:rPr>
        <w:t xml:space="preserve">Examination revealed no effusion, synovitis or instability of the knees.  </w:t>
      </w:r>
      <w:r w:rsidR="00C903F0">
        <w:rPr>
          <w:rFonts w:asciiTheme="minorHAnsi" w:hAnsiTheme="minorHAnsi"/>
          <w:color w:val="auto"/>
          <w:szCs w:val="24"/>
        </w:rPr>
        <w:t xml:space="preserve">Crepitus in the patellofemoral joint was present, worse on the right than the left.  </w:t>
      </w:r>
      <w:r w:rsidR="000849C4">
        <w:rPr>
          <w:rFonts w:asciiTheme="minorHAnsi" w:hAnsiTheme="minorHAnsi"/>
          <w:color w:val="auto"/>
          <w:szCs w:val="24"/>
        </w:rPr>
        <w:t xml:space="preserve">There was mildly increased lateral mobility of her patellae with a mildly positive apprehension sign.  Compression of the patellae caused pain.  Magnetic resonance imaging (MRI) of the left knee was normal and of the right knee showed mild chondromalacia.  The C&amp;P examiner reported a three year history of intermittent pain and swelling in both knees especially on strenuous activity, eased by pain medicine.  </w:t>
      </w:r>
      <w:r w:rsidR="00B22E18">
        <w:rPr>
          <w:rFonts w:asciiTheme="minorHAnsi" w:hAnsiTheme="minorHAnsi"/>
          <w:color w:val="auto"/>
          <w:szCs w:val="24"/>
        </w:rPr>
        <w:t>CI</w:t>
      </w:r>
      <w:r w:rsidR="00C903F0" w:rsidRPr="00A31571">
        <w:rPr>
          <w:rFonts w:asciiTheme="minorHAnsi" w:hAnsiTheme="minorHAnsi"/>
          <w:color w:val="auto"/>
          <w:szCs w:val="24"/>
        </w:rPr>
        <w:t xml:space="preserve"> did not require use of assistive devices and was able to perform</w:t>
      </w:r>
      <w:r w:rsidR="00A31571">
        <w:rPr>
          <w:rFonts w:asciiTheme="minorHAnsi" w:hAnsiTheme="minorHAnsi"/>
          <w:color w:val="auto"/>
          <w:szCs w:val="24"/>
        </w:rPr>
        <w:t xml:space="preserve"> her activities of daily living</w:t>
      </w:r>
      <w:r w:rsidR="00A31571">
        <w:rPr>
          <w:rFonts w:asciiTheme="minorHAnsi" w:hAnsiTheme="minorHAnsi"/>
          <w:color w:val="auto"/>
          <w:sz w:val="20"/>
        </w:rPr>
        <w:t>.</w:t>
      </w:r>
      <w:r w:rsidR="00C903F0" w:rsidRPr="00A31571">
        <w:rPr>
          <w:rFonts w:asciiTheme="minorHAnsi" w:hAnsiTheme="minorHAnsi"/>
          <w:color w:val="auto"/>
          <w:sz w:val="20"/>
        </w:rPr>
        <w:t xml:space="preserve"> </w:t>
      </w:r>
      <w:r w:rsidR="00C903F0">
        <w:rPr>
          <w:rFonts w:asciiTheme="minorHAnsi" w:hAnsiTheme="minorHAnsi"/>
          <w:color w:val="auto"/>
          <w:szCs w:val="24"/>
        </w:rPr>
        <w:t xml:space="preserve"> </w:t>
      </w:r>
      <w:r w:rsidR="00A31571">
        <w:rPr>
          <w:rFonts w:asciiTheme="minorHAnsi" w:hAnsiTheme="minorHAnsi"/>
          <w:color w:val="auto"/>
          <w:szCs w:val="24"/>
        </w:rPr>
        <w:t>Gait was normal, as well as</w:t>
      </w:r>
      <w:r w:rsidR="00C903F0">
        <w:rPr>
          <w:rFonts w:asciiTheme="minorHAnsi" w:hAnsiTheme="minorHAnsi"/>
          <w:color w:val="auto"/>
          <w:szCs w:val="24"/>
        </w:rPr>
        <w:t xml:space="preserve"> heel and toe walking.  The CI hopped normally on either foot and squatted normally.  </w:t>
      </w:r>
      <w:r w:rsidR="000849C4">
        <w:rPr>
          <w:rFonts w:asciiTheme="minorHAnsi" w:hAnsiTheme="minorHAnsi"/>
          <w:color w:val="auto"/>
          <w:szCs w:val="24"/>
        </w:rPr>
        <w:t>Examination revealed no swelling, redness or tenderness.  There was mild to moderate crepitus bilaterally on extension.  There was no sign of instability.</w:t>
      </w:r>
      <w:r w:rsidR="00C903F0">
        <w:rPr>
          <w:rFonts w:asciiTheme="minorHAnsi" w:hAnsiTheme="minorHAnsi"/>
          <w:color w:val="auto"/>
          <w:szCs w:val="24"/>
        </w:rPr>
        <w:t xml:space="preserve">  X-rays were normal.</w:t>
      </w:r>
      <w:r w:rsidR="00AA3072">
        <w:rPr>
          <w:rFonts w:asciiTheme="minorHAnsi" w:hAnsiTheme="minorHAnsi"/>
          <w:color w:val="auto"/>
          <w:szCs w:val="24"/>
        </w:rPr>
        <w:t xml:space="preserve">  </w:t>
      </w:r>
      <w:r w:rsidR="00A31571">
        <w:rPr>
          <w:rFonts w:asciiTheme="minorHAnsi" w:hAnsiTheme="minorHAnsi"/>
          <w:color w:val="auto"/>
          <w:szCs w:val="24"/>
        </w:rPr>
        <w:t xml:space="preserve">The NARSUM examiner stated the condition began in late 2005 due to required running.  There was no specific history of injury.  Over the following year, pain increased in frequency to include activities </w:t>
      </w:r>
      <w:r w:rsidR="00B22E18">
        <w:rPr>
          <w:rFonts w:asciiTheme="minorHAnsi" w:hAnsiTheme="minorHAnsi"/>
          <w:color w:val="auto"/>
          <w:szCs w:val="24"/>
        </w:rPr>
        <w:t>other than</w:t>
      </w:r>
      <w:r w:rsidR="00A31571">
        <w:rPr>
          <w:rFonts w:asciiTheme="minorHAnsi" w:hAnsiTheme="minorHAnsi"/>
          <w:color w:val="auto"/>
          <w:szCs w:val="24"/>
        </w:rPr>
        <w:t xml:space="preserve"> running.  Medications were minimally helpful.  Examination showed </w:t>
      </w:r>
      <w:r w:rsidR="001A2DA4">
        <w:rPr>
          <w:rFonts w:asciiTheme="minorHAnsi" w:hAnsiTheme="minorHAnsi"/>
          <w:color w:val="auto"/>
          <w:szCs w:val="24"/>
        </w:rPr>
        <w:t xml:space="preserve">normal gait, stance and balance.  </w:t>
      </w:r>
      <w:r w:rsidR="008815FC">
        <w:rPr>
          <w:rFonts w:asciiTheme="minorHAnsi" w:hAnsiTheme="minorHAnsi"/>
          <w:color w:val="auto"/>
          <w:szCs w:val="24"/>
        </w:rPr>
        <w:t xml:space="preserve">Hop and squat were normal.  </w:t>
      </w:r>
      <w:r w:rsidR="001A2DA4">
        <w:rPr>
          <w:rFonts w:asciiTheme="minorHAnsi" w:hAnsiTheme="minorHAnsi"/>
          <w:color w:val="auto"/>
          <w:szCs w:val="24"/>
        </w:rPr>
        <w:t xml:space="preserve">There was </w:t>
      </w:r>
      <w:r w:rsidR="00A31571">
        <w:rPr>
          <w:rFonts w:asciiTheme="minorHAnsi" w:hAnsiTheme="minorHAnsi"/>
          <w:color w:val="auto"/>
          <w:szCs w:val="24"/>
        </w:rPr>
        <w:t xml:space="preserve">no </w:t>
      </w:r>
      <w:r w:rsidR="001A2DA4">
        <w:rPr>
          <w:rFonts w:asciiTheme="minorHAnsi" w:hAnsiTheme="minorHAnsi"/>
          <w:color w:val="auto"/>
          <w:szCs w:val="24"/>
        </w:rPr>
        <w:t xml:space="preserve">knee </w:t>
      </w:r>
      <w:r w:rsidR="00A31571">
        <w:rPr>
          <w:rFonts w:asciiTheme="minorHAnsi" w:hAnsiTheme="minorHAnsi"/>
          <w:color w:val="auto"/>
          <w:szCs w:val="24"/>
        </w:rPr>
        <w:t>swelling, redness or tenderness.  Mild to moderate crepitus was present bilaterally, but there were no signs of laxity or instability.</w:t>
      </w:r>
      <w:r w:rsidR="00AA3072">
        <w:rPr>
          <w:rFonts w:asciiTheme="minorHAnsi" w:hAnsiTheme="minorHAnsi"/>
          <w:color w:val="auto"/>
          <w:szCs w:val="24"/>
        </w:rPr>
        <w:t xml:space="preserve">  </w:t>
      </w:r>
      <w:r w:rsidR="00672C0E">
        <w:rPr>
          <w:rFonts w:asciiTheme="minorHAnsi" w:hAnsiTheme="minorHAnsi"/>
          <w:color w:val="auto"/>
          <w:szCs w:val="24"/>
        </w:rPr>
        <w:t>Under</w:t>
      </w:r>
      <w:r w:rsidR="004064A9">
        <w:rPr>
          <w:rFonts w:asciiTheme="minorHAnsi" w:hAnsiTheme="minorHAnsi"/>
          <w:color w:val="auto"/>
          <w:szCs w:val="24"/>
        </w:rPr>
        <w:t xml:space="preserve"> the analogous code 5014 code (“</w:t>
      </w:r>
      <w:proofErr w:type="spellStart"/>
      <w:r w:rsidR="004064A9">
        <w:rPr>
          <w:rFonts w:asciiTheme="minorHAnsi" w:hAnsiTheme="minorHAnsi"/>
          <w:color w:val="auto"/>
          <w:szCs w:val="24"/>
        </w:rPr>
        <w:t>osteomalacia</w:t>
      </w:r>
      <w:proofErr w:type="spellEnd"/>
      <w:r w:rsidR="004064A9">
        <w:rPr>
          <w:rFonts w:asciiTheme="minorHAnsi" w:hAnsiTheme="minorHAnsi"/>
          <w:color w:val="auto"/>
          <w:szCs w:val="24"/>
        </w:rPr>
        <w:t>”</w:t>
      </w:r>
      <w:r w:rsidR="00672C0E">
        <w:rPr>
          <w:rFonts w:asciiTheme="minorHAnsi" w:hAnsiTheme="minorHAnsi"/>
          <w:color w:val="auto"/>
          <w:szCs w:val="24"/>
        </w:rPr>
        <w:t>)</w:t>
      </w:r>
      <w:r w:rsidR="0037714E">
        <w:rPr>
          <w:rFonts w:asciiTheme="minorHAnsi" w:hAnsiTheme="minorHAnsi"/>
          <w:color w:val="auto"/>
          <w:szCs w:val="24"/>
        </w:rPr>
        <w:t xml:space="preserve">, the VA adjudicated a 0% rating.  Under this code rating is based on limitation of motion.  In this case ROM was completely normal, and the VA also </w:t>
      </w:r>
      <w:r w:rsidR="00672C0E">
        <w:rPr>
          <w:rFonts w:asciiTheme="minorHAnsi" w:hAnsiTheme="minorHAnsi"/>
          <w:color w:val="auto"/>
          <w:szCs w:val="24"/>
        </w:rPr>
        <w:t>conclud</w:t>
      </w:r>
      <w:r w:rsidR="0037714E">
        <w:rPr>
          <w:rFonts w:asciiTheme="minorHAnsi" w:hAnsiTheme="minorHAnsi"/>
          <w:color w:val="auto"/>
          <w:szCs w:val="24"/>
        </w:rPr>
        <w:t xml:space="preserve">ed </w:t>
      </w:r>
      <w:r w:rsidR="00672C0E">
        <w:rPr>
          <w:rFonts w:asciiTheme="minorHAnsi" w:hAnsiTheme="minorHAnsi"/>
          <w:color w:val="auto"/>
          <w:szCs w:val="24"/>
        </w:rPr>
        <w:t>t</w:t>
      </w:r>
      <w:r w:rsidR="00672C0E" w:rsidRPr="00672C0E">
        <w:rPr>
          <w:rFonts w:asciiTheme="minorHAnsi" w:hAnsiTheme="minorHAnsi"/>
          <w:color w:val="auto"/>
          <w:szCs w:val="24"/>
        </w:rPr>
        <w:t>here was no objective evidence of pain on motion</w:t>
      </w:r>
      <w:r w:rsidR="0037714E">
        <w:rPr>
          <w:rFonts w:asciiTheme="minorHAnsi" w:hAnsiTheme="minorHAnsi"/>
          <w:color w:val="auto"/>
          <w:szCs w:val="24"/>
        </w:rPr>
        <w:t xml:space="preserve"> to warrant a 10% rating.  </w:t>
      </w:r>
      <w:r w:rsidR="00672C0E">
        <w:rPr>
          <w:rFonts w:asciiTheme="minorHAnsi" w:hAnsiTheme="minorHAnsi"/>
          <w:color w:val="auto"/>
          <w:szCs w:val="24"/>
        </w:rPr>
        <w:t xml:space="preserve">The PEB </w:t>
      </w:r>
      <w:r w:rsidR="00672C0E" w:rsidRPr="00672C0E">
        <w:rPr>
          <w:rFonts w:asciiTheme="minorHAnsi" w:hAnsiTheme="minorHAnsi"/>
          <w:color w:val="auto"/>
          <w:szCs w:val="24"/>
        </w:rPr>
        <w:t>adopted</w:t>
      </w:r>
      <w:r w:rsidR="00672C0E">
        <w:rPr>
          <w:rFonts w:asciiTheme="minorHAnsi" w:hAnsiTheme="minorHAnsi"/>
          <w:color w:val="auto"/>
          <w:szCs w:val="24"/>
        </w:rPr>
        <w:t xml:space="preserve"> the rating adjudicated by the VA in accordance with the integrated DES pilot program rules.</w:t>
      </w:r>
      <w:r w:rsidR="0037714E">
        <w:rPr>
          <w:rFonts w:asciiTheme="minorHAnsi" w:hAnsiTheme="minorHAnsi"/>
          <w:color w:val="auto"/>
          <w:szCs w:val="24"/>
        </w:rPr>
        <w:t xml:space="preserve">  </w:t>
      </w:r>
      <w:r w:rsidR="00825F6F" w:rsidRPr="0037714E">
        <w:rPr>
          <w:rFonts w:asciiTheme="minorHAnsi" w:hAnsiTheme="minorHAnsi"/>
          <w:color w:val="auto"/>
          <w:szCs w:val="24"/>
        </w:rPr>
        <w:t>The Board considered a 10% rating for painful motion (§4.59) or pain with use (§4.40), but neither were evident on examinations.</w:t>
      </w:r>
      <w:r w:rsidR="00825F6F">
        <w:rPr>
          <w:rFonts w:asciiTheme="minorHAnsi" w:hAnsiTheme="minorHAnsi"/>
          <w:color w:val="auto"/>
          <w:szCs w:val="24"/>
        </w:rPr>
        <w:t xml:space="preserve">  The Board debated if </w:t>
      </w:r>
      <w:r w:rsidR="00825F6F" w:rsidRPr="007D3578">
        <w:rPr>
          <w:rFonts w:asciiTheme="minorHAnsi" w:hAnsiTheme="minorHAnsi"/>
          <w:color w:val="auto"/>
          <w:szCs w:val="24"/>
        </w:rPr>
        <w:t>§4.40</w:t>
      </w:r>
      <w:r w:rsidR="00825F6F">
        <w:rPr>
          <w:rFonts w:asciiTheme="minorHAnsi" w:hAnsiTheme="minorHAnsi"/>
          <w:color w:val="auto"/>
          <w:szCs w:val="24"/>
        </w:rPr>
        <w:t xml:space="preserve"> should be conceded based on </w:t>
      </w:r>
      <w:r w:rsidR="00B22E18">
        <w:rPr>
          <w:rFonts w:asciiTheme="minorHAnsi" w:hAnsiTheme="minorHAnsi"/>
          <w:color w:val="auto"/>
          <w:szCs w:val="24"/>
        </w:rPr>
        <w:t>CI’s</w:t>
      </w:r>
      <w:r w:rsidR="00825F6F">
        <w:rPr>
          <w:rFonts w:asciiTheme="minorHAnsi" w:hAnsiTheme="minorHAnsi"/>
          <w:color w:val="auto"/>
          <w:szCs w:val="24"/>
        </w:rPr>
        <w:t xml:space="preserve"> reported history of intermittent </w:t>
      </w:r>
      <w:r w:rsidR="00A21ACF">
        <w:rPr>
          <w:rFonts w:asciiTheme="minorHAnsi" w:hAnsiTheme="minorHAnsi"/>
          <w:color w:val="auto"/>
          <w:szCs w:val="24"/>
        </w:rPr>
        <w:t>pain</w:t>
      </w:r>
      <w:r w:rsidR="00825F6F">
        <w:rPr>
          <w:rFonts w:asciiTheme="minorHAnsi" w:hAnsiTheme="minorHAnsi"/>
          <w:color w:val="auto"/>
          <w:szCs w:val="24"/>
        </w:rPr>
        <w:t xml:space="preserve">.  All members agreed that the </w:t>
      </w:r>
      <w:r w:rsidR="00A21ACF">
        <w:rPr>
          <w:rFonts w:asciiTheme="minorHAnsi" w:hAnsiTheme="minorHAnsi"/>
          <w:color w:val="auto"/>
          <w:szCs w:val="24"/>
        </w:rPr>
        <w:t xml:space="preserve">history </w:t>
      </w:r>
      <w:r w:rsidR="00A21ACF" w:rsidRPr="00AA3072">
        <w:rPr>
          <w:rFonts w:asciiTheme="minorHAnsi" w:hAnsiTheme="minorHAnsi"/>
          <w:color w:val="auto"/>
          <w:szCs w:val="24"/>
        </w:rPr>
        <w:t xml:space="preserve">of one hour of pain per day </w:t>
      </w:r>
      <w:r w:rsidR="00825F6F" w:rsidRPr="00AA3072">
        <w:rPr>
          <w:rFonts w:asciiTheme="minorHAnsi" w:hAnsiTheme="minorHAnsi"/>
          <w:color w:val="auto"/>
          <w:szCs w:val="24"/>
        </w:rPr>
        <w:t>did not support</w:t>
      </w:r>
      <w:r w:rsidR="00825F6F">
        <w:rPr>
          <w:rFonts w:asciiTheme="minorHAnsi" w:hAnsiTheme="minorHAnsi"/>
          <w:color w:val="auto"/>
          <w:szCs w:val="24"/>
        </w:rPr>
        <w:t xml:space="preserve"> this approach.  </w:t>
      </w:r>
      <w:r w:rsidR="00825F6F" w:rsidRPr="00AE3316">
        <w:rPr>
          <w:rFonts w:asciiTheme="minorHAnsi" w:hAnsiTheme="minorHAnsi"/>
          <w:color w:val="auto"/>
          <w:szCs w:val="24"/>
        </w:rPr>
        <w:t>All evidence considered</w:t>
      </w:r>
      <w:proofErr w:type="gramStart"/>
      <w:r w:rsidR="00825F6F" w:rsidRPr="00AE3316">
        <w:rPr>
          <w:rFonts w:asciiTheme="minorHAnsi" w:hAnsiTheme="minorHAnsi"/>
          <w:color w:val="auto"/>
          <w:szCs w:val="24"/>
        </w:rPr>
        <w:t>,</w:t>
      </w:r>
      <w:proofErr w:type="gramEnd"/>
      <w:r w:rsidR="00825F6F" w:rsidRPr="00AE3316">
        <w:rPr>
          <w:rFonts w:asciiTheme="minorHAnsi" w:hAnsiTheme="minorHAnsi"/>
          <w:color w:val="auto"/>
          <w:szCs w:val="24"/>
        </w:rPr>
        <w:t xml:space="preserve"> there is not reasonable doubt in the CI’s favor supporting </w:t>
      </w:r>
      <w:r w:rsidR="00825F6F">
        <w:rPr>
          <w:rFonts w:asciiTheme="minorHAnsi" w:hAnsiTheme="minorHAnsi"/>
          <w:color w:val="auto"/>
          <w:szCs w:val="24"/>
        </w:rPr>
        <w:t>a change from the rating decision for</w:t>
      </w:r>
      <w:r w:rsidR="00825F6F" w:rsidRPr="00AE3316">
        <w:rPr>
          <w:rFonts w:asciiTheme="minorHAnsi" w:hAnsiTheme="minorHAnsi"/>
          <w:color w:val="auto"/>
          <w:szCs w:val="24"/>
        </w:rPr>
        <w:t xml:space="preserve"> the </w:t>
      </w:r>
      <w:r w:rsidR="00A21ACF">
        <w:rPr>
          <w:rFonts w:asciiTheme="minorHAnsi" w:hAnsiTheme="minorHAnsi"/>
          <w:color w:val="auto"/>
          <w:szCs w:val="24"/>
        </w:rPr>
        <w:t>bilateral chondromalacia</w:t>
      </w:r>
      <w:r w:rsidR="00825F6F" w:rsidRPr="00AE3316">
        <w:rPr>
          <w:rFonts w:asciiTheme="minorHAnsi" w:hAnsiTheme="minorHAnsi"/>
          <w:color w:val="auto"/>
          <w:szCs w:val="24"/>
        </w:rPr>
        <w:t xml:space="preserve"> condition.</w:t>
      </w:r>
    </w:p>
    <w:p w:rsidR="000B7542" w:rsidRDefault="000B7542" w:rsidP="00825F6F">
      <w:pPr>
        <w:tabs>
          <w:tab w:val="left" w:pos="288"/>
          <w:tab w:val="left" w:pos="4752"/>
        </w:tabs>
        <w:spacing w:line="240" w:lineRule="exact"/>
        <w:rPr>
          <w:rFonts w:asciiTheme="minorHAnsi" w:hAnsiTheme="minorHAnsi"/>
          <w:color w:val="auto"/>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A21ACF">
        <w:rPr>
          <w:rFonts w:asciiTheme="minorHAnsi" w:hAnsiTheme="minorHAnsi"/>
          <w:color w:val="auto"/>
          <w:szCs w:val="24"/>
        </w:rPr>
        <w:t xml:space="preserve"> </w:t>
      </w:r>
      <w:r w:rsidRPr="00E42F1D">
        <w:rPr>
          <w:rFonts w:asciiTheme="minorHAnsi" w:hAnsiTheme="minorHAnsi"/>
          <w:color w:val="auto"/>
          <w:szCs w:val="24"/>
        </w:rPr>
        <w:t xml:space="preserve"> The other conditions forwarded by the MEB and adjudicated as not unfitting by the PEB were </w:t>
      </w:r>
      <w:r w:rsidR="00A21ACF">
        <w:rPr>
          <w:rFonts w:asciiTheme="minorHAnsi" w:hAnsiTheme="minorHAnsi"/>
          <w:color w:val="auto"/>
          <w:szCs w:val="24"/>
        </w:rPr>
        <w:t xml:space="preserve">bilateral hip pain, </w:t>
      </w:r>
      <w:r w:rsidR="00A21ACF" w:rsidRPr="00C83870">
        <w:rPr>
          <w:rFonts w:asciiTheme="minorHAnsi" w:hAnsiTheme="minorHAnsi"/>
          <w:color w:val="auto"/>
          <w:szCs w:val="24"/>
        </w:rPr>
        <w:t>bilateral ankle pain,</w:t>
      </w:r>
      <w:r w:rsidR="00A21ACF">
        <w:rPr>
          <w:rFonts w:asciiTheme="minorHAnsi" w:hAnsiTheme="minorHAnsi"/>
          <w:color w:val="auto"/>
          <w:szCs w:val="24"/>
        </w:rPr>
        <w:t xml:space="preserve"> low back strain, tension headaches and right shoulder pain</w:t>
      </w:r>
      <w:r w:rsidRPr="005170D0">
        <w:rPr>
          <w:rFonts w:asciiTheme="minorHAnsi" w:hAnsiTheme="minorHAnsi"/>
          <w:color w:val="auto"/>
          <w:szCs w:val="24"/>
        </w:rPr>
        <w:t xml:space="preserve">.  </w:t>
      </w:r>
      <w:r w:rsidR="00405E3E" w:rsidRPr="00205B62">
        <w:rPr>
          <w:rFonts w:asciiTheme="minorHAnsi" w:hAnsiTheme="minorHAnsi"/>
          <w:color w:val="auto"/>
          <w:szCs w:val="24"/>
        </w:rPr>
        <w:t>Shoulder pain</w:t>
      </w:r>
      <w:r w:rsidR="00405E3E" w:rsidRPr="005170D0">
        <w:rPr>
          <w:rFonts w:asciiTheme="minorHAnsi" w:hAnsiTheme="minorHAnsi"/>
          <w:color w:val="auto"/>
          <w:szCs w:val="24"/>
        </w:rPr>
        <w:t xml:space="preserve"> </w:t>
      </w:r>
      <w:r w:rsidR="0031213A" w:rsidRPr="005170D0">
        <w:rPr>
          <w:rFonts w:asciiTheme="minorHAnsi" w:hAnsiTheme="minorHAnsi"/>
          <w:color w:val="auto"/>
          <w:szCs w:val="24"/>
        </w:rPr>
        <w:t xml:space="preserve">was mentioned in 2005, but the record was silent </w:t>
      </w:r>
      <w:r w:rsidR="0037714E">
        <w:rPr>
          <w:rFonts w:asciiTheme="minorHAnsi" w:hAnsiTheme="minorHAnsi"/>
          <w:color w:val="auto"/>
          <w:szCs w:val="24"/>
        </w:rPr>
        <w:t xml:space="preserve">regarding shoulder complaints </w:t>
      </w:r>
      <w:r w:rsidR="0031213A" w:rsidRPr="005170D0">
        <w:rPr>
          <w:rFonts w:asciiTheme="minorHAnsi" w:hAnsiTheme="minorHAnsi"/>
          <w:color w:val="auto"/>
          <w:szCs w:val="24"/>
        </w:rPr>
        <w:t xml:space="preserve">until outpatient notes referred to it after the MEB process began.  The condition was not mentioned in the original C&amp;P exam or the NARSUM exam, but a follow-up C&amp;P exam on 17 June 2009 (four months prior to separation) specifically addressed this issue.  </w:t>
      </w:r>
      <w:r w:rsidR="00AE4DED" w:rsidRPr="005170D0">
        <w:rPr>
          <w:rFonts w:asciiTheme="minorHAnsi" w:hAnsiTheme="minorHAnsi"/>
          <w:color w:val="auto"/>
          <w:szCs w:val="24"/>
        </w:rPr>
        <w:t xml:space="preserve">This examiner noted that </w:t>
      </w:r>
      <w:r w:rsidR="00205B62">
        <w:rPr>
          <w:rFonts w:asciiTheme="minorHAnsi" w:hAnsiTheme="minorHAnsi"/>
          <w:color w:val="auto"/>
          <w:szCs w:val="24"/>
        </w:rPr>
        <w:t>CI</w:t>
      </w:r>
      <w:r w:rsidR="00AE4DED" w:rsidRPr="005170D0">
        <w:rPr>
          <w:rFonts w:asciiTheme="minorHAnsi" w:hAnsiTheme="minorHAnsi"/>
          <w:color w:val="auto"/>
          <w:szCs w:val="24"/>
        </w:rPr>
        <w:t xml:space="preserve"> functioned well at her job overall without limitation</w:t>
      </w:r>
      <w:r w:rsidR="005170D0" w:rsidRPr="005170D0">
        <w:rPr>
          <w:rFonts w:asciiTheme="minorHAnsi" w:hAnsiTheme="minorHAnsi"/>
          <w:color w:val="auto"/>
          <w:szCs w:val="24"/>
        </w:rPr>
        <w:t xml:space="preserve"> due to a shoulder condition</w:t>
      </w:r>
      <w:r w:rsidR="00AE4DED" w:rsidRPr="005170D0">
        <w:rPr>
          <w:rFonts w:asciiTheme="minorHAnsi" w:hAnsiTheme="minorHAnsi"/>
          <w:color w:val="auto"/>
          <w:szCs w:val="24"/>
        </w:rPr>
        <w:t xml:space="preserve">.  </w:t>
      </w:r>
      <w:r w:rsidR="00367CD3" w:rsidRPr="005170D0">
        <w:rPr>
          <w:rFonts w:asciiTheme="minorHAnsi" w:hAnsiTheme="minorHAnsi"/>
          <w:color w:val="auto"/>
          <w:szCs w:val="24"/>
        </w:rPr>
        <w:t xml:space="preserve">Although it </w:t>
      </w:r>
      <w:r w:rsidR="00405E3E" w:rsidRPr="005170D0">
        <w:rPr>
          <w:rFonts w:asciiTheme="minorHAnsi" w:hAnsiTheme="minorHAnsi"/>
          <w:color w:val="auto"/>
          <w:szCs w:val="24"/>
        </w:rPr>
        <w:t xml:space="preserve">was profiled (U2), </w:t>
      </w:r>
      <w:r w:rsidR="00367CD3" w:rsidRPr="005170D0">
        <w:rPr>
          <w:rFonts w:asciiTheme="minorHAnsi" w:hAnsiTheme="minorHAnsi"/>
          <w:color w:val="auto"/>
          <w:szCs w:val="24"/>
        </w:rPr>
        <w:t>it was not mentioned in</w:t>
      </w:r>
      <w:r w:rsidR="00405E3E" w:rsidRPr="005170D0">
        <w:rPr>
          <w:rFonts w:asciiTheme="minorHAnsi" w:hAnsiTheme="minorHAnsi"/>
          <w:color w:val="auto"/>
          <w:szCs w:val="24"/>
        </w:rPr>
        <w:t xml:space="preserve"> the commander’s statement</w:t>
      </w:r>
      <w:r w:rsidR="00367CD3" w:rsidRPr="005170D0">
        <w:rPr>
          <w:rFonts w:asciiTheme="minorHAnsi" w:hAnsiTheme="minorHAnsi"/>
          <w:color w:val="auto"/>
          <w:szCs w:val="24"/>
        </w:rPr>
        <w:t xml:space="preserve">.  </w:t>
      </w:r>
      <w:r w:rsidRPr="005170D0">
        <w:rPr>
          <w:rFonts w:asciiTheme="minorHAnsi" w:hAnsiTheme="minorHAnsi"/>
          <w:color w:val="auto"/>
          <w:szCs w:val="24"/>
        </w:rPr>
        <w:t>None</w:t>
      </w:r>
      <w:r w:rsidRPr="00E42F1D">
        <w:rPr>
          <w:rFonts w:asciiTheme="minorHAnsi" w:hAnsiTheme="minorHAnsi"/>
          <w:color w:val="auto"/>
          <w:szCs w:val="24"/>
        </w:rPr>
        <w:t xml:space="preserve"> of the</w:t>
      </w:r>
      <w:r w:rsidR="00367CD3">
        <w:rPr>
          <w:rFonts w:asciiTheme="minorHAnsi" w:hAnsiTheme="minorHAnsi"/>
          <w:color w:val="auto"/>
          <w:szCs w:val="24"/>
        </w:rPr>
        <w:t xml:space="preserve"> other</w:t>
      </w:r>
      <w:r w:rsidRPr="00E42F1D">
        <w:rPr>
          <w:rFonts w:asciiTheme="minorHAnsi" w:hAnsiTheme="minorHAnsi"/>
          <w:color w:val="auto"/>
          <w:szCs w:val="24"/>
        </w:rPr>
        <w:t xml:space="preserve"> conditions were profiled</w:t>
      </w:r>
      <w:r w:rsidR="00A21ACF">
        <w:rPr>
          <w:rFonts w:asciiTheme="minorHAnsi" w:hAnsiTheme="minorHAnsi"/>
          <w:color w:val="auto"/>
          <w:szCs w:val="24"/>
        </w:rPr>
        <w:t>,</w:t>
      </w:r>
      <w:r w:rsidR="00C87EFD">
        <w:rPr>
          <w:rFonts w:asciiTheme="minorHAnsi" w:hAnsiTheme="minorHAnsi"/>
          <w:color w:val="auto"/>
          <w:szCs w:val="24"/>
        </w:rPr>
        <w:t xml:space="preserve"> </w:t>
      </w:r>
      <w:r w:rsidRPr="00E42F1D">
        <w:rPr>
          <w:rFonts w:asciiTheme="minorHAnsi" w:hAnsiTheme="minorHAnsi"/>
          <w:color w:val="auto"/>
          <w:szCs w:val="24"/>
        </w:rPr>
        <w:t xml:space="preserve">implicated in the </w:t>
      </w:r>
      <w:r w:rsidR="002B193D">
        <w:rPr>
          <w:rFonts w:asciiTheme="minorHAnsi" w:hAnsiTheme="minorHAnsi"/>
          <w:color w:val="auto"/>
          <w:szCs w:val="24"/>
        </w:rPr>
        <w:t>c</w:t>
      </w:r>
      <w:r w:rsidRPr="00E42F1D">
        <w:rPr>
          <w:rFonts w:asciiTheme="minorHAnsi" w:hAnsiTheme="minorHAnsi"/>
          <w:color w:val="auto"/>
          <w:szCs w:val="24"/>
        </w:rPr>
        <w:t xml:space="preserve">ommander’s statement or noted as failing retention standards.  All were reviewed by the </w:t>
      </w:r>
      <w:r w:rsidR="002B193D">
        <w:rPr>
          <w:rFonts w:asciiTheme="minorHAnsi" w:hAnsiTheme="minorHAnsi"/>
          <w:color w:val="auto"/>
          <w:szCs w:val="24"/>
        </w:rPr>
        <w:t>a</w:t>
      </w:r>
      <w:r w:rsidRPr="00E42F1D">
        <w:rPr>
          <w:rFonts w:asciiTheme="minorHAnsi" w:hAnsiTheme="minorHAnsi"/>
          <w:color w:val="auto"/>
          <w:szCs w:val="24"/>
        </w:rPr>
        <w:t xml:space="preserve">ction </w:t>
      </w:r>
      <w:r w:rsidR="002B193D">
        <w:rPr>
          <w:rFonts w:asciiTheme="minorHAnsi" w:hAnsiTheme="minorHAnsi"/>
          <w:color w:val="auto"/>
          <w:szCs w:val="24"/>
        </w:rPr>
        <w:t>o</w:t>
      </w:r>
      <w:r w:rsidRPr="00E42F1D">
        <w:rPr>
          <w:rFonts w:asciiTheme="minorHAnsi" w:hAnsiTheme="minorHAnsi"/>
          <w:color w:val="auto"/>
          <w:szCs w:val="24"/>
        </w:rPr>
        <w:t>fficer and considered by the Board.  There was no indication from the record that any of these conditions significantly interfered with satisfactory performance of MOS</w:t>
      </w:r>
      <w:r w:rsidR="00C87EFD">
        <w:rPr>
          <w:rFonts w:asciiTheme="minorHAnsi" w:hAnsiTheme="minorHAnsi"/>
          <w:color w:val="auto"/>
          <w:szCs w:val="24"/>
        </w:rPr>
        <w:t xml:space="preserve"> </w:t>
      </w:r>
      <w:r w:rsidRPr="00E42F1D">
        <w:rPr>
          <w:rFonts w:asciiTheme="minorHAnsi" w:hAnsiTheme="minorHAnsi"/>
          <w:color w:val="auto"/>
          <w:szCs w:val="24"/>
        </w:rPr>
        <w:t>requirements.  All evidence considered</w:t>
      </w:r>
      <w:proofErr w:type="gramStart"/>
      <w:r w:rsidRPr="00E42F1D">
        <w:rPr>
          <w:rFonts w:asciiTheme="minorHAnsi" w:hAnsiTheme="minorHAnsi"/>
          <w:color w:val="auto"/>
          <w:szCs w:val="24"/>
        </w:rPr>
        <w:t>,</w:t>
      </w:r>
      <w:proofErr w:type="gramEnd"/>
      <w:r w:rsidRPr="00E42F1D">
        <w:rPr>
          <w:rFonts w:asciiTheme="minorHAnsi" w:hAnsiTheme="minorHAnsi"/>
          <w:color w:val="auto"/>
          <w:szCs w:val="24"/>
        </w:rPr>
        <w:t xml:space="preserve"> there is not reasonable doubt in the CI’s favor supporting recharacterization of the PEB fitness adjudication for any of the stated conditions.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7F30DF" w:rsidRDefault="008A37B8" w:rsidP="008A37B8">
      <w:pPr>
        <w:tabs>
          <w:tab w:val="left" w:pos="288"/>
          <w:tab w:val="left" w:pos="4752"/>
        </w:tabs>
        <w:spacing w:line="240" w:lineRule="exact"/>
        <w:jc w:val="both"/>
        <w:rPr>
          <w:rFonts w:asciiTheme="minorHAnsi" w:hAnsiTheme="minorHAnsi"/>
          <w:color w:val="auto"/>
          <w:szCs w:val="24"/>
        </w:rPr>
      </w:pPr>
      <w:proofErr w:type="gramStart"/>
      <w:r w:rsidRPr="00B8188C">
        <w:rPr>
          <w:rFonts w:asciiTheme="minorHAnsi" w:hAnsiTheme="minorHAnsi"/>
          <w:color w:val="auto"/>
          <w:szCs w:val="24"/>
          <w:u w:val="single"/>
        </w:rPr>
        <w:t>Remaining Conditions</w:t>
      </w:r>
      <w:r w:rsidRPr="00B8188C">
        <w:rPr>
          <w:rFonts w:asciiTheme="minorHAnsi" w:hAnsiTheme="minorHAnsi"/>
          <w:color w:val="auto"/>
          <w:szCs w:val="24"/>
        </w:rPr>
        <w:t>.</w:t>
      </w:r>
      <w:proofErr w:type="gramEnd"/>
      <w:r w:rsidRPr="00B8188C">
        <w:rPr>
          <w:rFonts w:asciiTheme="minorHAnsi" w:hAnsiTheme="minorHAnsi"/>
          <w:color w:val="auto"/>
          <w:szCs w:val="24"/>
        </w:rPr>
        <w:t xml:space="preserve">  </w:t>
      </w:r>
      <w:r w:rsidR="000B7542" w:rsidRPr="00AA3072">
        <w:rPr>
          <w:rFonts w:asciiTheme="minorHAnsi" w:hAnsiTheme="minorHAnsi"/>
          <w:color w:val="auto"/>
          <w:szCs w:val="24"/>
        </w:rPr>
        <w:t>In addition, the following co</w:t>
      </w:r>
      <w:r w:rsidR="00205B62">
        <w:rPr>
          <w:rFonts w:asciiTheme="minorHAnsi" w:hAnsiTheme="minorHAnsi"/>
          <w:color w:val="auto"/>
          <w:szCs w:val="24"/>
        </w:rPr>
        <w:t>nditions were noted on the VA/</w:t>
      </w:r>
      <w:proofErr w:type="spellStart"/>
      <w:r w:rsidR="00205B62">
        <w:rPr>
          <w:rFonts w:asciiTheme="minorHAnsi" w:hAnsiTheme="minorHAnsi"/>
          <w:color w:val="auto"/>
          <w:szCs w:val="24"/>
        </w:rPr>
        <w:t>Do</w:t>
      </w:r>
      <w:r w:rsidR="000B7542" w:rsidRPr="00AA3072">
        <w:rPr>
          <w:rFonts w:asciiTheme="minorHAnsi" w:hAnsiTheme="minorHAnsi"/>
          <w:color w:val="auto"/>
          <w:szCs w:val="24"/>
        </w:rPr>
        <w:t>D</w:t>
      </w:r>
      <w:proofErr w:type="spellEnd"/>
      <w:r w:rsidR="000B7542" w:rsidRPr="00AA3072">
        <w:rPr>
          <w:rFonts w:asciiTheme="minorHAnsi" w:hAnsiTheme="minorHAnsi"/>
          <w:color w:val="auto"/>
          <w:szCs w:val="24"/>
        </w:rPr>
        <w:t xml:space="preserve"> Joint Disability Evaluation Board Claim form: </w:t>
      </w:r>
      <w:r w:rsidR="007F30DF" w:rsidRPr="00AA3072">
        <w:rPr>
          <w:rFonts w:asciiTheme="minorHAnsi" w:hAnsiTheme="minorHAnsi"/>
          <w:color w:val="auto"/>
          <w:szCs w:val="24"/>
        </w:rPr>
        <w:t xml:space="preserve">hemorrhoids, sinusitis, acne, tinnitus and multiple joint </w:t>
      </w:r>
      <w:r w:rsidR="007F30DF" w:rsidRPr="00AA3072">
        <w:rPr>
          <w:rFonts w:asciiTheme="minorHAnsi" w:hAnsiTheme="minorHAnsi"/>
          <w:color w:val="auto"/>
          <w:szCs w:val="24"/>
        </w:rPr>
        <w:lastRenderedPageBreak/>
        <w:t xml:space="preserve">pains.  None of these conditions were clinically </w:t>
      </w:r>
      <w:r w:rsidR="0037714E">
        <w:rPr>
          <w:rFonts w:asciiTheme="minorHAnsi" w:hAnsiTheme="minorHAnsi"/>
          <w:color w:val="auto"/>
          <w:szCs w:val="24"/>
        </w:rPr>
        <w:t xml:space="preserve">or occupationally significant </w:t>
      </w:r>
      <w:r w:rsidR="007F30DF" w:rsidRPr="00AA3072">
        <w:rPr>
          <w:rFonts w:asciiTheme="minorHAnsi" w:hAnsiTheme="minorHAnsi"/>
          <w:color w:val="auto"/>
          <w:szCs w:val="24"/>
        </w:rPr>
        <w:t xml:space="preserve">during the MEB period; none carried attached profiles; and, none were implicated in the </w:t>
      </w:r>
      <w:r w:rsidR="0037714E">
        <w:rPr>
          <w:rFonts w:asciiTheme="minorHAnsi" w:hAnsiTheme="minorHAnsi"/>
          <w:color w:val="auto"/>
          <w:szCs w:val="24"/>
        </w:rPr>
        <w:t>c</w:t>
      </w:r>
      <w:r w:rsidR="007F30DF" w:rsidRPr="00AA3072">
        <w:rPr>
          <w:rFonts w:asciiTheme="minorHAnsi" w:hAnsiTheme="minorHAnsi"/>
          <w:color w:val="auto"/>
          <w:szCs w:val="24"/>
        </w:rPr>
        <w:t xml:space="preserve">ommander’s statement.  These conditions were reviewed by the </w:t>
      </w:r>
      <w:r w:rsidR="0037714E">
        <w:rPr>
          <w:rFonts w:asciiTheme="minorHAnsi" w:hAnsiTheme="minorHAnsi"/>
          <w:color w:val="auto"/>
          <w:szCs w:val="24"/>
        </w:rPr>
        <w:t>a</w:t>
      </w:r>
      <w:r w:rsidR="007F30DF" w:rsidRPr="00AA3072">
        <w:rPr>
          <w:rFonts w:asciiTheme="minorHAnsi" w:hAnsiTheme="minorHAnsi"/>
          <w:color w:val="auto"/>
          <w:szCs w:val="24"/>
        </w:rPr>
        <w:t xml:space="preserve">ction </w:t>
      </w:r>
      <w:r w:rsidR="0037714E">
        <w:rPr>
          <w:rFonts w:asciiTheme="minorHAnsi" w:hAnsiTheme="minorHAnsi"/>
          <w:color w:val="auto"/>
          <w:szCs w:val="24"/>
        </w:rPr>
        <w:t>o</w:t>
      </w:r>
      <w:r w:rsidR="007F30DF" w:rsidRPr="00AA3072">
        <w:rPr>
          <w:rFonts w:asciiTheme="minorHAnsi" w:hAnsiTheme="minorHAnsi"/>
          <w:color w:val="auto"/>
          <w:szCs w:val="24"/>
        </w:rPr>
        <w:t xml:space="preserve">fficer and considered by the Board.  It was determined that none could be argued as unfitting and subject to separation rating.  </w:t>
      </w:r>
      <w:r w:rsidR="00E1451F" w:rsidRPr="00AA3072">
        <w:rPr>
          <w:rFonts w:asciiTheme="minorHAnsi" w:hAnsiTheme="minorHAnsi"/>
          <w:color w:val="auto"/>
          <w:szCs w:val="24"/>
        </w:rPr>
        <w:t xml:space="preserve">Additionally right wrist ganglion cyst and left eye lattice degeneration were noted in the VA rating decision proximal to separation, but were not documented in the DES file.  The Board does not have the authority under </w:t>
      </w:r>
      <w:proofErr w:type="spellStart"/>
      <w:r w:rsidR="00E1451F" w:rsidRPr="00AA3072">
        <w:rPr>
          <w:rFonts w:asciiTheme="minorHAnsi" w:hAnsiTheme="minorHAnsi"/>
          <w:color w:val="auto"/>
          <w:szCs w:val="24"/>
        </w:rPr>
        <w:t>DoDI</w:t>
      </w:r>
      <w:proofErr w:type="spellEnd"/>
      <w:r w:rsidR="00E1451F" w:rsidRPr="00AA3072">
        <w:rPr>
          <w:rFonts w:asciiTheme="minorHAnsi" w:hAnsiTheme="minorHAnsi"/>
          <w:color w:val="auto"/>
          <w:szCs w:val="24"/>
        </w:rPr>
        <w:t xml:space="preserve"> 6040.44 to render fitness or rating recommendations for any conditions not considered by the DES.</w:t>
      </w:r>
      <w:r w:rsidR="00E1451F">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205B62">
        <w:rPr>
          <w:rFonts w:asciiTheme="minorHAnsi" w:eastAsiaTheme="minorHAnsi" w:hAnsiTheme="minorHAnsi"/>
          <w:color w:val="auto"/>
          <w:szCs w:val="24"/>
        </w:rPr>
        <w:t xml:space="preserve">.  </w:t>
      </w:r>
      <w:r w:rsidR="00BB257D" w:rsidRPr="00BB257D">
        <w:rPr>
          <w:rFonts w:asciiTheme="minorHAnsi" w:hAnsiTheme="minorHAnsi"/>
          <w:color w:val="auto"/>
          <w:szCs w:val="24"/>
        </w:rPr>
        <w:t>The Board did not surmise from the record or PEB ruling in this case that any prerogatives outside the VASRD were exercised.</w:t>
      </w:r>
      <w:r w:rsidR="00BB257D" w:rsidRPr="00BB257D">
        <w:rPr>
          <w:rFonts w:asciiTheme="minorHAnsi" w:hAnsiTheme="minorHAnsi"/>
          <w:szCs w:val="24"/>
        </w:rPr>
        <w:t xml:space="preserve"> </w:t>
      </w:r>
      <w:r w:rsidR="008A37B8" w:rsidRPr="00AE3316">
        <w:rPr>
          <w:rFonts w:asciiTheme="minorHAnsi" w:eastAsiaTheme="minorHAnsi" w:hAnsiTheme="minorHAnsi"/>
          <w:color w:val="auto"/>
          <w:szCs w:val="24"/>
        </w:rPr>
        <w:t xml:space="preserve">In the matter of the </w:t>
      </w:r>
      <w:r w:rsidR="008A37B8">
        <w:rPr>
          <w:rFonts w:asciiTheme="minorHAnsi" w:eastAsiaTheme="minorHAnsi" w:hAnsiTheme="minorHAnsi"/>
          <w:color w:val="auto"/>
          <w:szCs w:val="24"/>
        </w:rPr>
        <w:t>pes planus</w:t>
      </w:r>
      <w:r w:rsidR="008A37B8" w:rsidRPr="00AE3316">
        <w:rPr>
          <w:rFonts w:asciiTheme="minorHAnsi" w:eastAsiaTheme="minorHAnsi" w:hAnsiTheme="minorHAnsi"/>
          <w:color w:val="auto"/>
          <w:szCs w:val="24"/>
        </w:rPr>
        <w:t xml:space="preserve"> condition and </w:t>
      </w:r>
      <w:r w:rsidR="008A37B8" w:rsidRPr="008772DE">
        <w:rPr>
          <w:rFonts w:asciiTheme="minorHAnsi" w:eastAsiaTheme="minorHAnsi" w:hAnsiTheme="minorHAnsi"/>
          <w:color w:val="auto"/>
          <w:szCs w:val="24"/>
        </w:rPr>
        <w:t>IAW VASRD §4.71a</w:t>
      </w:r>
      <w:r w:rsidR="008A37B8" w:rsidRPr="00AE3316">
        <w:rPr>
          <w:rFonts w:asciiTheme="minorHAnsi" w:eastAsiaTheme="minorHAnsi" w:hAnsiTheme="minorHAnsi"/>
          <w:color w:val="auto"/>
          <w:szCs w:val="24"/>
        </w:rPr>
        <w:t xml:space="preserve">, the Board </w:t>
      </w:r>
      <w:r w:rsidR="008A37B8" w:rsidRPr="00AA3072">
        <w:rPr>
          <w:rFonts w:asciiTheme="minorHAnsi" w:eastAsiaTheme="minorHAnsi" w:hAnsiTheme="minorHAnsi"/>
          <w:color w:val="auto"/>
          <w:szCs w:val="24"/>
        </w:rPr>
        <w:t>unanimously</w:t>
      </w:r>
      <w:r w:rsidR="008A37B8" w:rsidRPr="00AE3316">
        <w:rPr>
          <w:rFonts w:asciiTheme="minorHAnsi" w:eastAsiaTheme="minorHAnsi" w:hAnsiTheme="minorHAnsi"/>
          <w:color w:val="auto"/>
          <w:szCs w:val="24"/>
        </w:rPr>
        <w:t xml:space="preserve"> recommends no </w:t>
      </w:r>
      <w:r w:rsidR="008A37B8">
        <w:rPr>
          <w:rFonts w:asciiTheme="minorHAnsi" w:eastAsiaTheme="minorHAnsi" w:hAnsiTheme="minorHAnsi"/>
          <w:color w:val="auto"/>
          <w:szCs w:val="24"/>
        </w:rPr>
        <w:t>change in</w:t>
      </w:r>
      <w:r w:rsidR="008A37B8" w:rsidRPr="00AE3316">
        <w:rPr>
          <w:rFonts w:asciiTheme="minorHAnsi" w:eastAsiaTheme="minorHAnsi" w:hAnsiTheme="minorHAnsi"/>
          <w:color w:val="auto"/>
          <w:szCs w:val="24"/>
        </w:rPr>
        <w:t xml:space="preserve"> the </w:t>
      </w:r>
      <w:r w:rsidR="0037714E">
        <w:rPr>
          <w:rFonts w:asciiTheme="minorHAnsi" w:eastAsiaTheme="minorHAnsi" w:hAnsiTheme="minorHAnsi"/>
          <w:color w:val="auto"/>
          <w:szCs w:val="24"/>
        </w:rPr>
        <w:t>rating</w:t>
      </w:r>
      <w:r w:rsidR="008A37B8" w:rsidRPr="008772DE">
        <w:rPr>
          <w:rFonts w:asciiTheme="minorHAnsi" w:eastAsiaTheme="minorHAnsi" w:hAnsiTheme="minorHAnsi"/>
          <w:color w:val="auto"/>
          <w:szCs w:val="24"/>
        </w:rPr>
        <w:t xml:space="preserve">.  </w:t>
      </w:r>
      <w:r w:rsidR="008A37B8" w:rsidRPr="00AE3316">
        <w:rPr>
          <w:rFonts w:asciiTheme="minorHAnsi" w:eastAsiaTheme="minorHAnsi" w:hAnsiTheme="minorHAnsi"/>
          <w:color w:val="auto"/>
          <w:szCs w:val="24"/>
        </w:rPr>
        <w:t xml:space="preserve">In the matter of the </w:t>
      </w:r>
      <w:r w:rsidR="008A37B8">
        <w:rPr>
          <w:rFonts w:asciiTheme="minorHAnsi" w:eastAsiaTheme="minorHAnsi" w:hAnsiTheme="minorHAnsi"/>
          <w:color w:val="auto"/>
          <w:szCs w:val="24"/>
        </w:rPr>
        <w:t>bilateral knee chondromalacia</w:t>
      </w:r>
      <w:r w:rsidR="008A37B8" w:rsidRPr="00AE3316">
        <w:rPr>
          <w:rFonts w:asciiTheme="minorHAnsi" w:eastAsiaTheme="minorHAnsi" w:hAnsiTheme="minorHAnsi"/>
          <w:color w:val="auto"/>
          <w:szCs w:val="24"/>
        </w:rPr>
        <w:t xml:space="preserve"> condition and </w:t>
      </w:r>
      <w:r w:rsidR="008A37B8" w:rsidRPr="008772DE">
        <w:rPr>
          <w:rFonts w:asciiTheme="minorHAnsi" w:eastAsiaTheme="minorHAnsi" w:hAnsiTheme="minorHAnsi"/>
          <w:color w:val="auto"/>
          <w:szCs w:val="24"/>
        </w:rPr>
        <w:t>IAW VASRD §4.71a</w:t>
      </w:r>
      <w:r w:rsidR="008A37B8" w:rsidRPr="00AE3316">
        <w:rPr>
          <w:rFonts w:asciiTheme="minorHAnsi" w:eastAsiaTheme="minorHAnsi" w:hAnsiTheme="minorHAnsi"/>
          <w:color w:val="auto"/>
          <w:szCs w:val="24"/>
        </w:rPr>
        <w:t xml:space="preserve">, the </w:t>
      </w:r>
      <w:r w:rsidR="008A37B8" w:rsidRPr="00AA3072">
        <w:rPr>
          <w:rFonts w:asciiTheme="minorHAnsi" w:eastAsiaTheme="minorHAnsi" w:hAnsiTheme="minorHAnsi"/>
          <w:color w:val="auto"/>
          <w:szCs w:val="24"/>
        </w:rPr>
        <w:t>Board unanimously</w:t>
      </w:r>
      <w:r w:rsidR="008A37B8" w:rsidRPr="00AE3316">
        <w:rPr>
          <w:rFonts w:asciiTheme="minorHAnsi" w:eastAsiaTheme="minorHAnsi" w:hAnsiTheme="minorHAnsi"/>
          <w:color w:val="auto"/>
          <w:szCs w:val="24"/>
        </w:rPr>
        <w:t xml:space="preserve"> recommends no </w:t>
      </w:r>
      <w:r w:rsidR="008A37B8">
        <w:rPr>
          <w:rFonts w:asciiTheme="minorHAnsi" w:eastAsiaTheme="minorHAnsi" w:hAnsiTheme="minorHAnsi"/>
          <w:color w:val="auto"/>
          <w:szCs w:val="24"/>
        </w:rPr>
        <w:t>change in</w:t>
      </w:r>
      <w:r w:rsidR="008A37B8" w:rsidRPr="00AE3316">
        <w:rPr>
          <w:rFonts w:asciiTheme="minorHAnsi" w:eastAsiaTheme="minorHAnsi" w:hAnsiTheme="minorHAnsi"/>
          <w:color w:val="auto"/>
          <w:szCs w:val="24"/>
        </w:rPr>
        <w:t xml:space="preserve"> the </w:t>
      </w:r>
      <w:r w:rsidR="008772DE">
        <w:rPr>
          <w:rFonts w:asciiTheme="minorHAnsi" w:eastAsiaTheme="minorHAnsi" w:hAnsiTheme="minorHAnsi"/>
          <w:color w:val="auto"/>
          <w:szCs w:val="24"/>
        </w:rPr>
        <w:t>rating</w:t>
      </w:r>
      <w:r w:rsidR="008A37B8" w:rsidRPr="008772DE">
        <w:rPr>
          <w:rFonts w:asciiTheme="minorHAnsi" w:eastAsiaTheme="minorHAnsi" w:hAnsiTheme="minorHAnsi"/>
          <w:color w:val="auto"/>
          <w:szCs w:val="24"/>
        </w:rPr>
        <w:t>.</w:t>
      </w:r>
      <w:r w:rsidR="00AA3072" w:rsidRPr="008772DE">
        <w:rPr>
          <w:rFonts w:asciiTheme="minorHAnsi" w:eastAsiaTheme="minorHAnsi" w:hAnsiTheme="minorHAnsi"/>
          <w:color w:val="auto"/>
          <w:szCs w:val="24"/>
        </w:rPr>
        <w:t xml:space="preserve">  </w:t>
      </w:r>
      <w:r w:rsidR="00412658" w:rsidRPr="008772DE">
        <w:rPr>
          <w:rFonts w:asciiTheme="minorHAnsi" w:eastAsiaTheme="minorHAnsi" w:hAnsiTheme="minorHAnsi"/>
          <w:color w:val="auto"/>
          <w:szCs w:val="24"/>
        </w:rPr>
        <w:t xml:space="preserve">In the matter of the </w:t>
      </w:r>
      <w:r w:rsidR="00AA3072" w:rsidRPr="008772DE">
        <w:rPr>
          <w:rFonts w:asciiTheme="minorHAnsi" w:eastAsiaTheme="minorHAnsi" w:hAnsiTheme="minorHAnsi"/>
          <w:color w:val="auto"/>
          <w:szCs w:val="24"/>
        </w:rPr>
        <w:t xml:space="preserve">bilateral </w:t>
      </w:r>
      <w:r w:rsidR="00802376" w:rsidRPr="008772DE">
        <w:rPr>
          <w:rFonts w:asciiTheme="minorHAnsi" w:eastAsiaTheme="minorHAnsi" w:hAnsiTheme="minorHAnsi"/>
          <w:color w:val="auto"/>
          <w:szCs w:val="24"/>
        </w:rPr>
        <w:t>tarsal tunnel syndrome</w:t>
      </w:r>
      <w:r w:rsidR="00412658" w:rsidRPr="008772DE">
        <w:rPr>
          <w:rFonts w:asciiTheme="minorHAnsi" w:eastAsiaTheme="minorHAnsi" w:hAnsiTheme="minorHAnsi"/>
          <w:color w:val="auto"/>
          <w:szCs w:val="24"/>
        </w:rPr>
        <w:t xml:space="preserve"> condition, the Board unanimously agrees that it cannot recommend a finding of unfit for additional rating at separation.</w:t>
      </w:r>
      <w:r w:rsidR="00C83870" w:rsidRPr="008772DE">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8A37B8" w:rsidRPr="008772DE">
        <w:rPr>
          <w:rFonts w:asciiTheme="minorHAnsi" w:eastAsiaTheme="minorHAnsi" w:hAnsiTheme="minorHAnsi"/>
          <w:color w:val="auto"/>
          <w:szCs w:val="24"/>
        </w:rPr>
        <w:t>bilateral hip pain, bilateral ankle pain, low back strain, tension headaches and right shoulder pain</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8A37B8">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the </w:t>
      </w:r>
      <w:r w:rsidR="00412658" w:rsidRPr="00C83870">
        <w:rPr>
          <w:rFonts w:asciiTheme="minorHAnsi" w:eastAsiaTheme="minorHAnsi" w:hAnsiTheme="minorHAnsi"/>
          <w:color w:val="auto"/>
          <w:szCs w:val="24"/>
        </w:rPr>
        <w:t>Board unanimously recommends</w:t>
      </w:r>
      <w:r w:rsidR="00412658" w:rsidRPr="00AE3316">
        <w:rPr>
          <w:rFonts w:asciiTheme="minorHAnsi" w:eastAsiaTheme="minorHAnsi" w:hAnsiTheme="minorHAnsi"/>
          <w:color w:val="auto"/>
          <w:szCs w:val="24"/>
        </w:rPr>
        <w:t xml:space="preserve">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w:t>
      </w:r>
      <w:r w:rsidR="00412658" w:rsidRPr="008A37B8">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as not unfitting.</w:t>
      </w:r>
      <w:r w:rsidR="00C83870">
        <w:rPr>
          <w:rFonts w:asciiTheme="minorHAnsi" w:eastAsiaTheme="minorHAnsi" w:hAnsiTheme="minorHAnsi"/>
          <w:color w:val="auto"/>
          <w:szCs w:val="24"/>
        </w:rPr>
        <w:t xml:space="preserve">  </w:t>
      </w:r>
      <w:r w:rsidR="00C83870" w:rsidRPr="008772DE">
        <w:rPr>
          <w:rFonts w:asciiTheme="minorHAnsi" w:eastAsiaTheme="minorHAnsi" w:hAnsiTheme="minorHAnsi"/>
          <w:color w:val="auto"/>
          <w:szCs w:val="24"/>
        </w:rPr>
        <w:t>In the matter of the hemorrhoids, sinusitis, acne, tinnitus and multiple joint pain conditions or any other medical conditions eligible for Board consideration the Board unanimously agrees that it cannot recommend any findings of unfit for additional rating at separation.</w:t>
      </w:r>
      <w:r w:rsidR="00C83870">
        <w:rPr>
          <w:rFonts w:asciiTheme="minorHAnsi" w:eastAsiaTheme="minorHAnsi" w:hAnsiTheme="minorHAnsi"/>
          <w:color w:val="auto"/>
          <w:szCs w:val="24"/>
        </w:rPr>
        <w:t xml:space="preserve">  </w:t>
      </w:r>
      <w:r w:rsidR="00412658" w:rsidRPr="008772DE">
        <w:rPr>
          <w:rFonts w:asciiTheme="minorHAnsi" w:eastAsiaTheme="minorHAnsi" w:hAnsiTheme="minorHAnsi"/>
          <w:color w:val="auto"/>
          <w:szCs w:val="24"/>
        </w:rPr>
        <w:t>The Board unanimously agrees that there were no other conditions eligible for 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802376" w:rsidRDefault="00C56FC8" w:rsidP="006D157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6D157A">
        <w:rPr>
          <w:rFonts w:asciiTheme="minorHAnsi" w:hAnsiTheme="minorHAnsi"/>
          <w:color w:val="000080"/>
          <w:szCs w:val="24"/>
        </w:rPr>
        <w:t xml:space="preserve">  </w:t>
      </w:r>
      <w:r w:rsidR="00802376"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6D157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Pes Planus</w:t>
            </w:r>
          </w:p>
        </w:tc>
        <w:tc>
          <w:tcPr>
            <w:tcW w:w="1710" w:type="dxa"/>
          </w:tcPr>
          <w:p w:rsidR="00A95BBA" w:rsidRPr="00AC713F" w:rsidRDefault="000A7F78"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5276</w:t>
            </w:r>
          </w:p>
        </w:tc>
        <w:tc>
          <w:tcPr>
            <w:tcW w:w="1170" w:type="dxa"/>
          </w:tcPr>
          <w:p w:rsidR="00A95BBA" w:rsidRPr="00AC713F" w:rsidRDefault="00A95BBA"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0%</w:t>
            </w:r>
          </w:p>
        </w:tc>
      </w:tr>
      <w:tr w:rsidR="006D157A" w:rsidRPr="00AC713F" w:rsidTr="0085089F">
        <w:trPr>
          <w:jc w:val="center"/>
        </w:trPr>
        <w:tc>
          <w:tcPr>
            <w:tcW w:w="6480" w:type="dxa"/>
          </w:tcPr>
          <w:p w:rsidR="006D157A" w:rsidRPr="00AC713F" w:rsidRDefault="006D157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Bilateral Chondromalacia</w:t>
            </w:r>
          </w:p>
        </w:tc>
        <w:tc>
          <w:tcPr>
            <w:tcW w:w="1710" w:type="dxa"/>
          </w:tcPr>
          <w:p w:rsidR="006D157A" w:rsidRPr="00AC713F" w:rsidRDefault="000A7F78"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5099-5014</w:t>
            </w:r>
          </w:p>
        </w:tc>
        <w:tc>
          <w:tcPr>
            <w:tcW w:w="1170" w:type="dxa"/>
          </w:tcPr>
          <w:p w:rsidR="006D157A" w:rsidRPr="00AC713F" w:rsidRDefault="005170D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w:t>
      </w:r>
      <w:r w:rsidR="004F150B">
        <w:rPr>
          <w:rFonts w:asciiTheme="minorHAnsi" w:hAnsiTheme="minorHAnsi"/>
          <w:color w:val="auto"/>
        </w:rPr>
        <w:t>10328</w:t>
      </w:r>
      <w:r w:rsidR="00805D84">
        <w:rPr>
          <w:rFonts w:asciiTheme="minorHAnsi" w:hAnsiTheme="minorHAnsi"/>
          <w:color w:val="auto"/>
        </w:rPr>
        <w:t>, w/</w:t>
      </w:r>
      <w:proofErr w:type="spellStart"/>
      <w:r w:rsidR="00805D84">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805D84">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805D84">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A3D60" w:rsidRDefault="00DA3D60">
      <w:pPr>
        <w:rPr>
          <w:rFonts w:asciiTheme="minorHAnsi" w:hAnsiTheme="minorHAnsi"/>
          <w:color w:val="002060"/>
          <w:sz w:val="18"/>
          <w:szCs w:val="18"/>
          <w:u w:val="single"/>
        </w:rPr>
      </w:pPr>
      <w:r>
        <w:rPr>
          <w:rFonts w:asciiTheme="minorHAnsi" w:hAnsiTheme="minorHAnsi"/>
          <w:color w:val="002060"/>
          <w:sz w:val="18"/>
          <w:szCs w:val="18"/>
          <w:u w:val="single"/>
        </w:rPr>
        <w:br w:type="page"/>
      </w:r>
    </w:p>
    <w:p w:rsidR="00DA3D60" w:rsidRPr="00DA3D60" w:rsidRDefault="00DA3D60" w:rsidP="00DA3D60">
      <w:pPr>
        <w:pStyle w:val="Header"/>
        <w:tabs>
          <w:tab w:val="clear" w:pos="4320"/>
          <w:tab w:val="clear" w:pos="8640"/>
        </w:tabs>
        <w:rPr>
          <w:rFonts w:ascii="Arial" w:hAnsi="Arial" w:cs="Arial"/>
          <w:color w:val="auto"/>
        </w:rPr>
      </w:pPr>
      <w:r w:rsidRPr="00DA3D60">
        <w:rPr>
          <w:rFonts w:ascii="Arial" w:hAnsi="Arial" w:cs="Arial"/>
          <w:color w:val="auto"/>
        </w:rPr>
        <w:lastRenderedPageBreak/>
        <w:t>SFMR-RB</w:t>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p>
    <w:p w:rsidR="00DA3D60" w:rsidRPr="00DA3D60" w:rsidRDefault="00DA3D60" w:rsidP="00DA3D60">
      <w:pPr>
        <w:pStyle w:val="Header"/>
        <w:tabs>
          <w:tab w:val="clear" w:pos="4320"/>
          <w:tab w:val="clear" w:pos="8640"/>
        </w:tabs>
        <w:rPr>
          <w:rFonts w:ascii="Arial" w:hAnsi="Arial" w:cs="Arial"/>
          <w:color w:val="auto"/>
        </w:rPr>
      </w:pPr>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r w:rsidRPr="00DA3D60">
        <w:rPr>
          <w:rFonts w:ascii="Arial" w:hAnsi="Arial" w:cs="Arial"/>
          <w:color w:val="auto"/>
        </w:rPr>
        <w:t xml:space="preserve">MEMORANDUM FOR Commander, US Army Physical Disability Agency </w:t>
      </w:r>
    </w:p>
    <w:p w:rsidR="00DA3D60" w:rsidRPr="00DA3D60" w:rsidRDefault="00DA3D60" w:rsidP="00DA3D60">
      <w:pPr>
        <w:rPr>
          <w:rFonts w:ascii="Arial" w:hAnsi="Arial" w:cs="Arial"/>
          <w:color w:val="auto"/>
        </w:rPr>
      </w:pPr>
      <w:r w:rsidRPr="00DA3D60">
        <w:rPr>
          <w:rFonts w:ascii="Arial" w:hAnsi="Arial" w:cs="Arial"/>
          <w:color w:val="auto"/>
        </w:rPr>
        <w:t>Crystal Drive, Suite 300, Arlington, VA 22202</w:t>
      </w:r>
    </w:p>
    <w:p w:rsidR="00DA3D60" w:rsidRPr="00DA3D60" w:rsidRDefault="00DA3D60" w:rsidP="00DA3D60">
      <w:pPr>
        <w:rPr>
          <w:rFonts w:ascii="Arial" w:hAnsi="Arial" w:cs="Arial"/>
          <w:color w:val="auto"/>
        </w:rPr>
      </w:pPr>
    </w:p>
    <w:p w:rsidR="00DA3D60" w:rsidRPr="00DA3D60" w:rsidRDefault="00DA3D60" w:rsidP="00DA3D60">
      <w:pPr>
        <w:ind w:right="-180"/>
        <w:rPr>
          <w:rFonts w:ascii="Arial" w:hAnsi="Arial" w:cs="Arial"/>
          <w:color w:val="auto"/>
        </w:rPr>
      </w:pPr>
      <w:r w:rsidRPr="00DA3D60">
        <w:rPr>
          <w:rFonts w:ascii="Arial" w:hAnsi="Arial" w:cs="Arial"/>
          <w:color w:val="auto"/>
        </w:rPr>
        <w:t>SUBJECT:  Department of Defense Physical Disability Board of Review Recommendation for (PD201100189)</w:t>
      </w:r>
    </w:p>
    <w:p w:rsidR="00DA3D60" w:rsidRPr="00DA3D60" w:rsidRDefault="00DA3D60" w:rsidP="00DA3D60">
      <w:pPr>
        <w:pStyle w:val="Header"/>
        <w:tabs>
          <w:tab w:val="clear" w:pos="4320"/>
          <w:tab w:val="clear" w:pos="8640"/>
        </w:tabs>
        <w:rPr>
          <w:rFonts w:ascii="Arial" w:hAnsi="Arial" w:cs="Arial"/>
          <w:color w:val="auto"/>
        </w:rPr>
      </w:pPr>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r w:rsidRPr="00DA3D60">
        <w:rPr>
          <w:rFonts w:ascii="Arial" w:hAnsi="Arial" w:cs="Arial"/>
          <w:color w:val="auto"/>
        </w:rPr>
        <w:t>I have reviewed the enclosed Department of Defense Physical Disability Board of Review (</w:t>
      </w:r>
      <w:proofErr w:type="spellStart"/>
      <w:r w:rsidRPr="00DA3D60">
        <w:rPr>
          <w:rFonts w:ascii="Arial" w:hAnsi="Arial" w:cs="Arial"/>
          <w:color w:val="auto"/>
        </w:rPr>
        <w:t>DoD</w:t>
      </w:r>
      <w:proofErr w:type="spellEnd"/>
      <w:r w:rsidRPr="00DA3D60">
        <w:rPr>
          <w:rFonts w:ascii="Arial" w:hAnsi="Arial" w:cs="Arial"/>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DA3D60" w:rsidRPr="00DA3D60" w:rsidRDefault="00DA3D60" w:rsidP="00DA3D60">
      <w:pPr>
        <w:rPr>
          <w:rFonts w:ascii="Arial" w:hAnsi="Arial" w:cs="Arial"/>
          <w:color w:val="auto"/>
        </w:rPr>
      </w:pPr>
      <w:r w:rsidRPr="00DA3D60">
        <w:rPr>
          <w:rFonts w:ascii="Arial" w:hAnsi="Arial" w:cs="Arial"/>
          <w:color w:val="auto"/>
        </w:rPr>
        <w:t>This decision is final.  The individual concerned, counsel (if any), and any Members of Congress who have shown interest in this application have been notified of this decision by mail.</w:t>
      </w:r>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r w:rsidRPr="00DA3D60">
        <w:rPr>
          <w:rFonts w:ascii="Arial" w:hAnsi="Arial" w:cs="Arial"/>
          <w:color w:val="auto"/>
        </w:rPr>
        <w:t xml:space="preserve"> BY ORDER OF THE SECRETARY OF THE ARMY:</w:t>
      </w:r>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p>
    <w:p w:rsidR="00DA3D60" w:rsidRPr="00DA3D60" w:rsidRDefault="00DA3D60" w:rsidP="00DA3D60">
      <w:pPr>
        <w:pStyle w:val="Header"/>
        <w:tabs>
          <w:tab w:val="clear" w:pos="4320"/>
          <w:tab w:val="clear" w:pos="8640"/>
        </w:tabs>
        <w:rPr>
          <w:rFonts w:ascii="Arial" w:hAnsi="Arial" w:cs="Arial"/>
          <w:color w:val="auto"/>
        </w:rPr>
      </w:pPr>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bookmarkStart w:id="0" w:name="OLE_LINK3"/>
      <w:bookmarkStart w:id="1" w:name="OLE_LINK4"/>
      <w:r w:rsidRPr="00DA3D60">
        <w:rPr>
          <w:rFonts w:ascii="Arial" w:hAnsi="Arial" w:cs="Arial"/>
          <w:color w:val="auto"/>
        </w:rPr>
        <w:t>Encl</w:t>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r>
      <w:r w:rsidRPr="00DA3D60">
        <w:rPr>
          <w:rFonts w:ascii="Arial" w:hAnsi="Arial" w:cs="Arial"/>
          <w:color w:val="auto"/>
        </w:rPr>
        <w:tab/>
        <w:t xml:space="preserve">     </w:t>
      </w:r>
      <w:bookmarkEnd w:id="0"/>
      <w:bookmarkEnd w:id="1"/>
    </w:p>
    <w:p w:rsidR="00DA3D60" w:rsidRPr="00DA3D60" w:rsidRDefault="00DA3D60" w:rsidP="00DA3D60">
      <w:pPr>
        <w:rPr>
          <w:rFonts w:ascii="Arial" w:hAnsi="Arial" w:cs="Arial"/>
          <w:color w:val="auto"/>
        </w:rPr>
      </w:pPr>
    </w:p>
    <w:p w:rsidR="00DA3D60" w:rsidRPr="00DA3D60" w:rsidRDefault="00DA3D60" w:rsidP="00DA3D60">
      <w:pPr>
        <w:rPr>
          <w:rFonts w:ascii="Arial" w:hAnsi="Arial" w:cs="Arial"/>
          <w:color w:val="auto"/>
        </w:rPr>
      </w:pPr>
      <w:r w:rsidRPr="00DA3D60">
        <w:rPr>
          <w:rFonts w:ascii="Arial" w:hAnsi="Arial" w:cs="Arial"/>
          <w:color w:val="auto"/>
        </w:rPr>
        <w:t xml:space="preserve">CF: </w:t>
      </w:r>
    </w:p>
    <w:p w:rsidR="00DA3D60" w:rsidRPr="00DA3D60" w:rsidRDefault="00DA3D60" w:rsidP="00DA3D60">
      <w:pPr>
        <w:rPr>
          <w:rFonts w:ascii="Arial" w:hAnsi="Arial" w:cs="Arial"/>
          <w:color w:val="auto"/>
        </w:rPr>
      </w:pPr>
      <w:r w:rsidRPr="00DA3D60">
        <w:rPr>
          <w:rFonts w:ascii="Arial" w:hAnsi="Arial" w:cs="Arial"/>
          <w:color w:val="auto"/>
        </w:rPr>
        <w:t xml:space="preserve">(  ) </w:t>
      </w:r>
      <w:proofErr w:type="spellStart"/>
      <w:proofErr w:type="gramStart"/>
      <w:r w:rsidRPr="00DA3D60">
        <w:rPr>
          <w:rFonts w:ascii="Arial" w:hAnsi="Arial" w:cs="Arial"/>
          <w:color w:val="auto"/>
        </w:rPr>
        <w:t>DoD</w:t>
      </w:r>
      <w:proofErr w:type="spellEnd"/>
      <w:proofErr w:type="gramEnd"/>
      <w:r w:rsidRPr="00DA3D60">
        <w:rPr>
          <w:rFonts w:ascii="Arial" w:hAnsi="Arial" w:cs="Arial"/>
          <w:color w:val="auto"/>
        </w:rPr>
        <w:t xml:space="preserve"> PDBR</w:t>
      </w:r>
    </w:p>
    <w:p w:rsidR="00DA3D60" w:rsidRPr="00DA3D60" w:rsidRDefault="00DA3D60" w:rsidP="00DA3D60">
      <w:pPr>
        <w:rPr>
          <w:rFonts w:ascii="Arial" w:hAnsi="Arial" w:cs="Arial"/>
          <w:color w:val="auto"/>
        </w:rPr>
      </w:pPr>
      <w:r w:rsidRPr="00DA3D60">
        <w:rPr>
          <w:rFonts w:ascii="Arial" w:hAnsi="Arial" w:cs="Arial"/>
          <w:color w:val="auto"/>
        </w:rPr>
        <w:t>(  ) DVA</w:t>
      </w:r>
    </w:p>
    <w:p w:rsidR="00DA3D60" w:rsidRPr="00DA3D60" w:rsidRDefault="00DA3D60" w:rsidP="00DA3D60">
      <w:pPr>
        <w:rPr>
          <w:color w:val="auto"/>
        </w:rPr>
      </w:pPr>
    </w:p>
    <w:p w:rsidR="007560EB" w:rsidRPr="00DA3D60" w:rsidRDefault="007560EB" w:rsidP="00DA3D60">
      <w:pPr>
        <w:tabs>
          <w:tab w:val="left" w:pos="288"/>
          <w:tab w:val="left" w:pos="4752"/>
        </w:tabs>
        <w:spacing w:line="240" w:lineRule="exact"/>
        <w:rPr>
          <w:rFonts w:asciiTheme="minorHAnsi" w:hAnsiTheme="minorHAnsi"/>
          <w:color w:val="auto"/>
          <w:sz w:val="18"/>
          <w:szCs w:val="18"/>
          <w:u w:val="single"/>
        </w:rPr>
      </w:pPr>
    </w:p>
    <w:p w:rsidR="007560EB" w:rsidRDefault="007560EB" w:rsidP="00190E48">
      <w:pPr>
        <w:tabs>
          <w:tab w:val="left" w:pos="288"/>
          <w:tab w:val="left" w:pos="4752"/>
        </w:tabs>
        <w:spacing w:line="240" w:lineRule="exact"/>
        <w:jc w:val="both"/>
        <w:rPr>
          <w:rFonts w:asciiTheme="minorHAnsi" w:hAnsiTheme="minorHAnsi"/>
          <w:color w:val="002060"/>
          <w:sz w:val="18"/>
          <w:szCs w:val="18"/>
          <w:u w:val="single"/>
        </w:rPr>
      </w:pPr>
    </w:p>
    <w:sectPr w:rsidR="007560EB"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75" w:rsidRDefault="00824675">
      <w:r>
        <w:separator/>
      </w:r>
    </w:p>
  </w:endnote>
  <w:endnote w:type="continuationSeparator" w:id="0">
    <w:p w:rsidR="00824675" w:rsidRDefault="0082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6E" w:rsidRDefault="00CD411E">
    <w:pPr>
      <w:pStyle w:val="Footer"/>
      <w:framePr w:wrap="around" w:vAnchor="text" w:hAnchor="margin" w:xAlign="center" w:y="1"/>
      <w:rPr>
        <w:rStyle w:val="PageNumber"/>
      </w:rPr>
    </w:pPr>
    <w:r>
      <w:rPr>
        <w:rStyle w:val="PageNumber"/>
      </w:rPr>
      <w:fldChar w:fldCharType="begin"/>
    </w:r>
    <w:r w:rsidR="00FD776E">
      <w:rPr>
        <w:rStyle w:val="PageNumber"/>
      </w:rPr>
      <w:instrText xml:space="preserve">PAGE  </w:instrText>
    </w:r>
    <w:r>
      <w:rPr>
        <w:rStyle w:val="PageNumber"/>
      </w:rPr>
      <w:fldChar w:fldCharType="separate"/>
    </w:r>
    <w:r w:rsidR="00FD776E">
      <w:rPr>
        <w:rStyle w:val="PageNumber"/>
        <w:noProof/>
      </w:rPr>
      <w:t>2</w:t>
    </w:r>
    <w:r>
      <w:rPr>
        <w:rStyle w:val="PageNumber"/>
      </w:rPr>
      <w:fldChar w:fldCharType="end"/>
    </w:r>
  </w:p>
  <w:p w:rsidR="00FD776E" w:rsidRDefault="00FD776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6E" w:rsidRPr="00AC713F" w:rsidRDefault="00CD411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D776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A3D6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D776E" w:rsidRPr="00AC713F" w:rsidRDefault="00FD776E"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1100189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75" w:rsidRDefault="00824675">
      <w:r>
        <w:separator/>
      </w:r>
    </w:p>
  </w:footnote>
  <w:footnote w:type="continuationSeparator" w:id="0">
    <w:p w:rsidR="00824675" w:rsidRDefault="00824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251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913"/>
    <w:rsid w:val="00023D43"/>
    <w:rsid w:val="00026B22"/>
    <w:rsid w:val="00030D90"/>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D7C"/>
    <w:rsid w:val="000577C9"/>
    <w:rsid w:val="0006431E"/>
    <w:rsid w:val="00070881"/>
    <w:rsid w:val="00072433"/>
    <w:rsid w:val="00074800"/>
    <w:rsid w:val="00075702"/>
    <w:rsid w:val="000775C2"/>
    <w:rsid w:val="000806AD"/>
    <w:rsid w:val="00082482"/>
    <w:rsid w:val="00083ECC"/>
    <w:rsid w:val="000849C4"/>
    <w:rsid w:val="0008708B"/>
    <w:rsid w:val="00092619"/>
    <w:rsid w:val="00092C66"/>
    <w:rsid w:val="00094E4F"/>
    <w:rsid w:val="000A0699"/>
    <w:rsid w:val="000A23DC"/>
    <w:rsid w:val="000A2BCE"/>
    <w:rsid w:val="000A41E3"/>
    <w:rsid w:val="000A48F7"/>
    <w:rsid w:val="000A4BBA"/>
    <w:rsid w:val="000A5071"/>
    <w:rsid w:val="000A7F78"/>
    <w:rsid w:val="000B4789"/>
    <w:rsid w:val="000B4C99"/>
    <w:rsid w:val="000B6475"/>
    <w:rsid w:val="000B7542"/>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4A67"/>
    <w:rsid w:val="000D6457"/>
    <w:rsid w:val="000D7D55"/>
    <w:rsid w:val="000E0541"/>
    <w:rsid w:val="000E0993"/>
    <w:rsid w:val="000E37E0"/>
    <w:rsid w:val="000E7197"/>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274B9"/>
    <w:rsid w:val="001315DD"/>
    <w:rsid w:val="001339A7"/>
    <w:rsid w:val="00135385"/>
    <w:rsid w:val="001364D1"/>
    <w:rsid w:val="00136DAA"/>
    <w:rsid w:val="00142008"/>
    <w:rsid w:val="00142EBA"/>
    <w:rsid w:val="00143610"/>
    <w:rsid w:val="001439EF"/>
    <w:rsid w:val="00143B79"/>
    <w:rsid w:val="00143F3C"/>
    <w:rsid w:val="00150B8A"/>
    <w:rsid w:val="00150DCB"/>
    <w:rsid w:val="00151912"/>
    <w:rsid w:val="00151BDF"/>
    <w:rsid w:val="00153740"/>
    <w:rsid w:val="001541C5"/>
    <w:rsid w:val="00154D69"/>
    <w:rsid w:val="00156086"/>
    <w:rsid w:val="0015623F"/>
    <w:rsid w:val="00156585"/>
    <w:rsid w:val="00156BA9"/>
    <w:rsid w:val="00161761"/>
    <w:rsid w:val="00166182"/>
    <w:rsid w:val="001666D3"/>
    <w:rsid w:val="00166F72"/>
    <w:rsid w:val="00170DCF"/>
    <w:rsid w:val="001745DD"/>
    <w:rsid w:val="00174832"/>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8CD"/>
    <w:rsid w:val="001A2944"/>
    <w:rsid w:val="001A2DA4"/>
    <w:rsid w:val="001A5320"/>
    <w:rsid w:val="001A5E62"/>
    <w:rsid w:val="001A7538"/>
    <w:rsid w:val="001B0ACE"/>
    <w:rsid w:val="001B0B1A"/>
    <w:rsid w:val="001B4EC2"/>
    <w:rsid w:val="001B50D1"/>
    <w:rsid w:val="001B5837"/>
    <w:rsid w:val="001B5B59"/>
    <w:rsid w:val="001B60E0"/>
    <w:rsid w:val="001B7C8C"/>
    <w:rsid w:val="001C0D2F"/>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354C"/>
    <w:rsid w:val="001F64A6"/>
    <w:rsid w:val="00200AA0"/>
    <w:rsid w:val="00202325"/>
    <w:rsid w:val="00202736"/>
    <w:rsid w:val="00203174"/>
    <w:rsid w:val="00203652"/>
    <w:rsid w:val="00205B62"/>
    <w:rsid w:val="002060B6"/>
    <w:rsid w:val="002066B5"/>
    <w:rsid w:val="00211899"/>
    <w:rsid w:val="00215ED6"/>
    <w:rsid w:val="00216049"/>
    <w:rsid w:val="00217606"/>
    <w:rsid w:val="00217C09"/>
    <w:rsid w:val="002201F2"/>
    <w:rsid w:val="00220F5C"/>
    <w:rsid w:val="00225196"/>
    <w:rsid w:val="00225CB4"/>
    <w:rsid w:val="002266E9"/>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0BDC"/>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1CA"/>
    <w:rsid w:val="002E7570"/>
    <w:rsid w:val="002E764B"/>
    <w:rsid w:val="002F0E28"/>
    <w:rsid w:val="002F287E"/>
    <w:rsid w:val="002F2D63"/>
    <w:rsid w:val="002F5265"/>
    <w:rsid w:val="002F7F81"/>
    <w:rsid w:val="00300A36"/>
    <w:rsid w:val="003051C7"/>
    <w:rsid w:val="0030678B"/>
    <w:rsid w:val="00310CD7"/>
    <w:rsid w:val="0031213A"/>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74F3"/>
    <w:rsid w:val="0036005D"/>
    <w:rsid w:val="0036319E"/>
    <w:rsid w:val="003632A4"/>
    <w:rsid w:val="00363362"/>
    <w:rsid w:val="0036587F"/>
    <w:rsid w:val="00367CD3"/>
    <w:rsid w:val="00367D4F"/>
    <w:rsid w:val="00370743"/>
    <w:rsid w:val="00370EF5"/>
    <w:rsid w:val="0037135B"/>
    <w:rsid w:val="00372251"/>
    <w:rsid w:val="00372CA1"/>
    <w:rsid w:val="0037520D"/>
    <w:rsid w:val="00375809"/>
    <w:rsid w:val="0037628C"/>
    <w:rsid w:val="00376B81"/>
    <w:rsid w:val="0037714E"/>
    <w:rsid w:val="00377BD2"/>
    <w:rsid w:val="00377FEC"/>
    <w:rsid w:val="0038110D"/>
    <w:rsid w:val="003821E1"/>
    <w:rsid w:val="00384866"/>
    <w:rsid w:val="0038532B"/>
    <w:rsid w:val="003857D4"/>
    <w:rsid w:val="00385D6F"/>
    <w:rsid w:val="00387095"/>
    <w:rsid w:val="00390092"/>
    <w:rsid w:val="00393651"/>
    <w:rsid w:val="0039588E"/>
    <w:rsid w:val="00395E12"/>
    <w:rsid w:val="00397DB7"/>
    <w:rsid w:val="003A27B2"/>
    <w:rsid w:val="003A40B4"/>
    <w:rsid w:val="003A41BA"/>
    <w:rsid w:val="003A6A99"/>
    <w:rsid w:val="003A7FF8"/>
    <w:rsid w:val="003B0998"/>
    <w:rsid w:val="003B17AC"/>
    <w:rsid w:val="003B227A"/>
    <w:rsid w:val="003B3E56"/>
    <w:rsid w:val="003B4DCE"/>
    <w:rsid w:val="003B56D2"/>
    <w:rsid w:val="003B5854"/>
    <w:rsid w:val="003B6764"/>
    <w:rsid w:val="003C3833"/>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3F799F"/>
    <w:rsid w:val="004007E9"/>
    <w:rsid w:val="00401825"/>
    <w:rsid w:val="00401BBC"/>
    <w:rsid w:val="00403BFB"/>
    <w:rsid w:val="00404B45"/>
    <w:rsid w:val="00405E3E"/>
    <w:rsid w:val="004064A9"/>
    <w:rsid w:val="00406CC5"/>
    <w:rsid w:val="004074A4"/>
    <w:rsid w:val="004101B2"/>
    <w:rsid w:val="004123D7"/>
    <w:rsid w:val="00412658"/>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61CC"/>
    <w:rsid w:val="00477FCD"/>
    <w:rsid w:val="00480D4A"/>
    <w:rsid w:val="00481DA1"/>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C2697"/>
    <w:rsid w:val="004C5E33"/>
    <w:rsid w:val="004C6C28"/>
    <w:rsid w:val="004C6CDA"/>
    <w:rsid w:val="004C7B0F"/>
    <w:rsid w:val="004D10D4"/>
    <w:rsid w:val="004D16BD"/>
    <w:rsid w:val="004D2AAB"/>
    <w:rsid w:val="004D2F3E"/>
    <w:rsid w:val="004D3294"/>
    <w:rsid w:val="004D6F2B"/>
    <w:rsid w:val="004E0248"/>
    <w:rsid w:val="004E0B3B"/>
    <w:rsid w:val="004E21A3"/>
    <w:rsid w:val="004E32EA"/>
    <w:rsid w:val="004E456C"/>
    <w:rsid w:val="004E6866"/>
    <w:rsid w:val="004F0A67"/>
    <w:rsid w:val="004F150B"/>
    <w:rsid w:val="004F3222"/>
    <w:rsid w:val="004F3BFA"/>
    <w:rsid w:val="004F702C"/>
    <w:rsid w:val="004F7196"/>
    <w:rsid w:val="004F7347"/>
    <w:rsid w:val="005000AB"/>
    <w:rsid w:val="005025EE"/>
    <w:rsid w:val="005052D4"/>
    <w:rsid w:val="00510588"/>
    <w:rsid w:val="0051146C"/>
    <w:rsid w:val="00511EB3"/>
    <w:rsid w:val="00514449"/>
    <w:rsid w:val="005170D0"/>
    <w:rsid w:val="005222E7"/>
    <w:rsid w:val="00523A8B"/>
    <w:rsid w:val="00523E04"/>
    <w:rsid w:val="005253C6"/>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4666D"/>
    <w:rsid w:val="005504FD"/>
    <w:rsid w:val="005519AF"/>
    <w:rsid w:val="005526BF"/>
    <w:rsid w:val="0055288D"/>
    <w:rsid w:val="00555259"/>
    <w:rsid w:val="00560D57"/>
    <w:rsid w:val="00562A94"/>
    <w:rsid w:val="005709F7"/>
    <w:rsid w:val="005710A9"/>
    <w:rsid w:val="00571C82"/>
    <w:rsid w:val="00571D1B"/>
    <w:rsid w:val="00573701"/>
    <w:rsid w:val="005818AD"/>
    <w:rsid w:val="00593043"/>
    <w:rsid w:val="00595BF0"/>
    <w:rsid w:val="005A1846"/>
    <w:rsid w:val="005A258C"/>
    <w:rsid w:val="005A3560"/>
    <w:rsid w:val="005A4E82"/>
    <w:rsid w:val="005A6C99"/>
    <w:rsid w:val="005A7D5D"/>
    <w:rsid w:val="005B011A"/>
    <w:rsid w:val="005B1D8F"/>
    <w:rsid w:val="005B1E94"/>
    <w:rsid w:val="005B5B3D"/>
    <w:rsid w:val="005C13A1"/>
    <w:rsid w:val="005C16F3"/>
    <w:rsid w:val="005C3758"/>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40958"/>
    <w:rsid w:val="00640C82"/>
    <w:rsid w:val="006418C9"/>
    <w:rsid w:val="00642BD6"/>
    <w:rsid w:val="00644E47"/>
    <w:rsid w:val="00645046"/>
    <w:rsid w:val="0064527A"/>
    <w:rsid w:val="00645EA2"/>
    <w:rsid w:val="00652D54"/>
    <w:rsid w:val="00656218"/>
    <w:rsid w:val="006573F2"/>
    <w:rsid w:val="006626EF"/>
    <w:rsid w:val="00662F08"/>
    <w:rsid w:val="00663589"/>
    <w:rsid w:val="0066528B"/>
    <w:rsid w:val="006708E3"/>
    <w:rsid w:val="00670DDC"/>
    <w:rsid w:val="00671EB4"/>
    <w:rsid w:val="00672C0E"/>
    <w:rsid w:val="0067443B"/>
    <w:rsid w:val="00684E2B"/>
    <w:rsid w:val="00690FDA"/>
    <w:rsid w:val="00691E61"/>
    <w:rsid w:val="00693C5E"/>
    <w:rsid w:val="00694EEA"/>
    <w:rsid w:val="006955B4"/>
    <w:rsid w:val="00696476"/>
    <w:rsid w:val="006A10FA"/>
    <w:rsid w:val="006A40E6"/>
    <w:rsid w:val="006A5C07"/>
    <w:rsid w:val="006A69A7"/>
    <w:rsid w:val="006A75FA"/>
    <w:rsid w:val="006B07D5"/>
    <w:rsid w:val="006B1309"/>
    <w:rsid w:val="006B3923"/>
    <w:rsid w:val="006B3F3E"/>
    <w:rsid w:val="006B4BCD"/>
    <w:rsid w:val="006B5923"/>
    <w:rsid w:val="006B5A88"/>
    <w:rsid w:val="006B67D9"/>
    <w:rsid w:val="006B6C14"/>
    <w:rsid w:val="006B715E"/>
    <w:rsid w:val="006C19A1"/>
    <w:rsid w:val="006C1D6E"/>
    <w:rsid w:val="006C262D"/>
    <w:rsid w:val="006C3A68"/>
    <w:rsid w:val="006C4C78"/>
    <w:rsid w:val="006C6AB1"/>
    <w:rsid w:val="006D157A"/>
    <w:rsid w:val="006D2D39"/>
    <w:rsid w:val="006D4E0E"/>
    <w:rsid w:val="006D5CE2"/>
    <w:rsid w:val="006D7CE5"/>
    <w:rsid w:val="006E06D1"/>
    <w:rsid w:val="006E127E"/>
    <w:rsid w:val="006E1313"/>
    <w:rsid w:val="006E18AB"/>
    <w:rsid w:val="006E2403"/>
    <w:rsid w:val="006E2575"/>
    <w:rsid w:val="006E2DC8"/>
    <w:rsid w:val="006E4134"/>
    <w:rsid w:val="006E7356"/>
    <w:rsid w:val="006E77C8"/>
    <w:rsid w:val="006F13A9"/>
    <w:rsid w:val="006F149D"/>
    <w:rsid w:val="006F1A46"/>
    <w:rsid w:val="006F4C47"/>
    <w:rsid w:val="006F5A4E"/>
    <w:rsid w:val="00701E07"/>
    <w:rsid w:val="00703B6C"/>
    <w:rsid w:val="00705C40"/>
    <w:rsid w:val="00706482"/>
    <w:rsid w:val="00706BEF"/>
    <w:rsid w:val="007116BC"/>
    <w:rsid w:val="0071308A"/>
    <w:rsid w:val="007165CE"/>
    <w:rsid w:val="00720968"/>
    <w:rsid w:val="00721D12"/>
    <w:rsid w:val="00721F8B"/>
    <w:rsid w:val="007237CE"/>
    <w:rsid w:val="00723C03"/>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329B"/>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019"/>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578"/>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7F17E8"/>
    <w:rsid w:val="007F30DF"/>
    <w:rsid w:val="008014A7"/>
    <w:rsid w:val="00802376"/>
    <w:rsid w:val="00803850"/>
    <w:rsid w:val="00804385"/>
    <w:rsid w:val="008057FE"/>
    <w:rsid w:val="00805AFD"/>
    <w:rsid w:val="00805D84"/>
    <w:rsid w:val="008078D8"/>
    <w:rsid w:val="00811D5B"/>
    <w:rsid w:val="008144BF"/>
    <w:rsid w:val="00817154"/>
    <w:rsid w:val="00817713"/>
    <w:rsid w:val="008206CD"/>
    <w:rsid w:val="00820855"/>
    <w:rsid w:val="008220F1"/>
    <w:rsid w:val="0082340B"/>
    <w:rsid w:val="00824675"/>
    <w:rsid w:val="00825F6F"/>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6F26"/>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44DA"/>
    <w:rsid w:val="00865207"/>
    <w:rsid w:val="008656A7"/>
    <w:rsid w:val="00871262"/>
    <w:rsid w:val="00871D4E"/>
    <w:rsid w:val="00871E7B"/>
    <w:rsid w:val="00873698"/>
    <w:rsid w:val="00873AF1"/>
    <w:rsid w:val="00875B51"/>
    <w:rsid w:val="00875F2D"/>
    <w:rsid w:val="008764DC"/>
    <w:rsid w:val="008772DE"/>
    <w:rsid w:val="00877D0B"/>
    <w:rsid w:val="00880885"/>
    <w:rsid w:val="00880F8F"/>
    <w:rsid w:val="008815FC"/>
    <w:rsid w:val="00882CC2"/>
    <w:rsid w:val="00883930"/>
    <w:rsid w:val="00884A85"/>
    <w:rsid w:val="00885447"/>
    <w:rsid w:val="0089057B"/>
    <w:rsid w:val="00894A2D"/>
    <w:rsid w:val="00896535"/>
    <w:rsid w:val="00896683"/>
    <w:rsid w:val="00897589"/>
    <w:rsid w:val="008A37B8"/>
    <w:rsid w:val="008A439D"/>
    <w:rsid w:val="008A63A9"/>
    <w:rsid w:val="008A7F7E"/>
    <w:rsid w:val="008B04DB"/>
    <w:rsid w:val="008B27FD"/>
    <w:rsid w:val="008B3AF2"/>
    <w:rsid w:val="008B515D"/>
    <w:rsid w:val="008B5D31"/>
    <w:rsid w:val="008B6705"/>
    <w:rsid w:val="008C08CC"/>
    <w:rsid w:val="008C22F3"/>
    <w:rsid w:val="008C425C"/>
    <w:rsid w:val="008D6E8E"/>
    <w:rsid w:val="008D795D"/>
    <w:rsid w:val="008D7B07"/>
    <w:rsid w:val="008E1E94"/>
    <w:rsid w:val="008E281F"/>
    <w:rsid w:val="008E2D99"/>
    <w:rsid w:val="008E49CC"/>
    <w:rsid w:val="008E4A60"/>
    <w:rsid w:val="008E744D"/>
    <w:rsid w:val="008F1E08"/>
    <w:rsid w:val="008F1EF0"/>
    <w:rsid w:val="00900D8F"/>
    <w:rsid w:val="00900FC9"/>
    <w:rsid w:val="009014E3"/>
    <w:rsid w:val="00901574"/>
    <w:rsid w:val="009026E8"/>
    <w:rsid w:val="00903F39"/>
    <w:rsid w:val="009051C8"/>
    <w:rsid w:val="009053FC"/>
    <w:rsid w:val="00906EB7"/>
    <w:rsid w:val="009102BF"/>
    <w:rsid w:val="009115F2"/>
    <w:rsid w:val="00914ADB"/>
    <w:rsid w:val="00923B25"/>
    <w:rsid w:val="0092402E"/>
    <w:rsid w:val="009259BA"/>
    <w:rsid w:val="00926FCB"/>
    <w:rsid w:val="0092702F"/>
    <w:rsid w:val="0092756C"/>
    <w:rsid w:val="00932D23"/>
    <w:rsid w:val="0093311A"/>
    <w:rsid w:val="00942645"/>
    <w:rsid w:val="009472CB"/>
    <w:rsid w:val="00950A3A"/>
    <w:rsid w:val="00950BC9"/>
    <w:rsid w:val="0095340A"/>
    <w:rsid w:val="00954581"/>
    <w:rsid w:val="0095466C"/>
    <w:rsid w:val="009547BD"/>
    <w:rsid w:val="00954E5B"/>
    <w:rsid w:val="009576BC"/>
    <w:rsid w:val="00960357"/>
    <w:rsid w:val="0096168C"/>
    <w:rsid w:val="00961840"/>
    <w:rsid w:val="00962F2D"/>
    <w:rsid w:val="009672CD"/>
    <w:rsid w:val="009674F1"/>
    <w:rsid w:val="00972996"/>
    <w:rsid w:val="009732B8"/>
    <w:rsid w:val="00975C72"/>
    <w:rsid w:val="00976869"/>
    <w:rsid w:val="00976CE2"/>
    <w:rsid w:val="00977740"/>
    <w:rsid w:val="00977CB4"/>
    <w:rsid w:val="009809B8"/>
    <w:rsid w:val="00980EE7"/>
    <w:rsid w:val="0098222D"/>
    <w:rsid w:val="00985099"/>
    <w:rsid w:val="00990A5C"/>
    <w:rsid w:val="0099421F"/>
    <w:rsid w:val="009A0DE3"/>
    <w:rsid w:val="009A1643"/>
    <w:rsid w:val="009A215A"/>
    <w:rsid w:val="009A218B"/>
    <w:rsid w:val="009A2F01"/>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80A"/>
    <w:rsid w:val="009E09D0"/>
    <w:rsid w:val="009E1283"/>
    <w:rsid w:val="009E2A17"/>
    <w:rsid w:val="009E3A7F"/>
    <w:rsid w:val="009E3FEA"/>
    <w:rsid w:val="009E57B1"/>
    <w:rsid w:val="009E6379"/>
    <w:rsid w:val="009F7809"/>
    <w:rsid w:val="009F7AF5"/>
    <w:rsid w:val="009F7F17"/>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1ACF"/>
    <w:rsid w:val="00A2270B"/>
    <w:rsid w:val="00A23B89"/>
    <w:rsid w:val="00A23FE3"/>
    <w:rsid w:val="00A248C3"/>
    <w:rsid w:val="00A2496E"/>
    <w:rsid w:val="00A258B7"/>
    <w:rsid w:val="00A31571"/>
    <w:rsid w:val="00A315F3"/>
    <w:rsid w:val="00A32743"/>
    <w:rsid w:val="00A33E93"/>
    <w:rsid w:val="00A41387"/>
    <w:rsid w:val="00A414A9"/>
    <w:rsid w:val="00A44CCA"/>
    <w:rsid w:val="00A44D75"/>
    <w:rsid w:val="00A47CF1"/>
    <w:rsid w:val="00A50418"/>
    <w:rsid w:val="00A53D6D"/>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2617"/>
    <w:rsid w:val="00A944D8"/>
    <w:rsid w:val="00A959E7"/>
    <w:rsid w:val="00A95BBA"/>
    <w:rsid w:val="00A961EE"/>
    <w:rsid w:val="00A97E58"/>
    <w:rsid w:val="00AA04B3"/>
    <w:rsid w:val="00AA1253"/>
    <w:rsid w:val="00AA28EF"/>
    <w:rsid w:val="00AA3072"/>
    <w:rsid w:val="00AA493E"/>
    <w:rsid w:val="00AA6F47"/>
    <w:rsid w:val="00AA73AF"/>
    <w:rsid w:val="00AB1754"/>
    <w:rsid w:val="00AB27DD"/>
    <w:rsid w:val="00AB2B9B"/>
    <w:rsid w:val="00AB2E38"/>
    <w:rsid w:val="00AB5FE8"/>
    <w:rsid w:val="00AC289E"/>
    <w:rsid w:val="00AC439D"/>
    <w:rsid w:val="00AC5B2F"/>
    <w:rsid w:val="00AC6218"/>
    <w:rsid w:val="00AC713F"/>
    <w:rsid w:val="00AC7D3C"/>
    <w:rsid w:val="00AD067E"/>
    <w:rsid w:val="00AD1CDD"/>
    <w:rsid w:val="00AD2801"/>
    <w:rsid w:val="00AD6870"/>
    <w:rsid w:val="00AD68C5"/>
    <w:rsid w:val="00AE1273"/>
    <w:rsid w:val="00AE296F"/>
    <w:rsid w:val="00AE2D29"/>
    <w:rsid w:val="00AE3052"/>
    <w:rsid w:val="00AE4624"/>
    <w:rsid w:val="00AE4DED"/>
    <w:rsid w:val="00AE5E14"/>
    <w:rsid w:val="00AE6115"/>
    <w:rsid w:val="00AE625B"/>
    <w:rsid w:val="00AF1668"/>
    <w:rsid w:val="00AF2B91"/>
    <w:rsid w:val="00AF39FF"/>
    <w:rsid w:val="00AF4FA5"/>
    <w:rsid w:val="00B02EB7"/>
    <w:rsid w:val="00B0436B"/>
    <w:rsid w:val="00B07955"/>
    <w:rsid w:val="00B14FAA"/>
    <w:rsid w:val="00B15D30"/>
    <w:rsid w:val="00B169EF"/>
    <w:rsid w:val="00B20624"/>
    <w:rsid w:val="00B22E18"/>
    <w:rsid w:val="00B23436"/>
    <w:rsid w:val="00B26354"/>
    <w:rsid w:val="00B26CA0"/>
    <w:rsid w:val="00B30D88"/>
    <w:rsid w:val="00B32179"/>
    <w:rsid w:val="00B33008"/>
    <w:rsid w:val="00B331A9"/>
    <w:rsid w:val="00B3333A"/>
    <w:rsid w:val="00B3449A"/>
    <w:rsid w:val="00B36569"/>
    <w:rsid w:val="00B40A05"/>
    <w:rsid w:val="00B40A3E"/>
    <w:rsid w:val="00B427E4"/>
    <w:rsid w:val="00B4444E"/>
    <w:rsid w:val="00B50227"/>
    <w:rsid w:val="00B50510"/>
    <w:rsid w:val="00B522CD"/>
    <w:rsid w:val="00B55143"/>
    <w:rsid w:val="00B55917"/>
    <w:rsid w:val="00B561D2"/>
    <w:rsid w:val="00B643A6"/>
    <w:rsid w:val="00B64DD6"/>
    <w:rsid w:val="00B64F33"/>
    <w:rsid w:val="00B6710C"/>
    <w:rsid w:val="00B70440"/>
    <w:rsid w:val="00B70FAA"/>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257D"/>
    <w:rsid w:val="00BB45B5"/>
    <w:rsid w:val="00BB4617"/>
    <w:rsid w:val="00BB560A"/>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10CC"/>
    <w:rsid w:val="00BE2FC1"/>
    <w:rsid w:val="00BE3B7B"/>
    <w:rsid w:val="00BE6365"/>
    <w:rsid w:val="00BE7789"/>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46884"/>
    <w:rsid w:val="00C5019E"/>
    <w:rsid w:val="00C5377C"/>
    <w:rsid w:val="00C53E8A"/>
    <w:rsid w:val="00C54DF3"/>
    <w:rsid w:val="00C55918"/>
    <w:rsid w:val="00C560A7"/>
    <w:rsid w:val="00C56FC8"/>
    <w:rsid w:val="00C60F23"/>
    <w:rsid w:val="00C62EB2"/>
    <w:rsid w:val="00C67748"/>
    <w:rsid w:val="00C71BEC"/>
    <w:rsid w:val="00C739FF"/>
    <w:rsid w:val="00C74D3A"/>
    <w:rsid w:val="00C80511"/>
    <w:rsid w:val="00C82627"/>
    <w:rsid w:val="00C826F5"/>
    <w:rsid w:val="00C83740"/>
    <w:rsid w:val="00C83870"/>
    <w:rsid w:val="00C847F4"/>
    <w:rsid w:val="00C84AD1"/>
    <w:rsid w:val="00C85579"/>
    <w:rsid w:val="00C863E5"/>
    <w:rsid w:val="00C87EFD"/>
    <w:rsid w:val="00C903F0"/>
    <w:rsid w:val="00C931FC"/>
    <w:rsid w:val="00C932C5"/>
    <w:rsid w:val="00C94119"/>
    <w:rsid w:val="00C9650E"/>
    <w:rsid w:val="00C971DB"/>
    <w:rsid w:val="00CA068D"/>
    <w:rsid w:val="00CA0A57"/>
    <w:rsid w:val="00CA1228"/>
    <w:rsid w:val="00CA282D"/>
    <w:rsid w:val="00CA4670"/>
    <w:rsid w:val="00CA6B1A"/>
    <w:rsid w:val="00CB20DC"/>
    <w:rsid w:val="00CB23DC"/>
    <w:rsid w:val="00CB2487"/>
    <w:rsid w:val="00CB28E2"/>
    <w:rsid w:val="00CB3BCA"/>
    <w:rsid w:val="00CB7A3E"/>
    <w:rsid w:val="00CB7FF7"/>
    <w:rsid w:val="00CC0D0E"/>
    <w:rsid w:val="00CC19B3"/>
    <w:rsid w:val="00CC2044"/>
    <w:rsid w:val="00CC39D2"/>
    <w:rsid w:val="00CC69EC"/>
    <w:rsid w:val="00CD15BE"/>
    <w:rsid w:val="00CD1EF2"/>
    <w:rsid w:val="00CD32BD"/>
    <w:rsid w:val="00CD34C7"/>
    <w:rsid w:val="00CD37E7"/>
    <w:rsid w:val="00CD411E"/>
    <w:rsid w:val="00CD501E"/>
    <w:rsid w:val="00CD563D"/>
    <w:rsid w:val="00CD5653"/>
    <w:rsid w:val="00CD5E6D"/>
    <w:rsid w:val="00CD63C8"/>
    <w:rsid w:val="00CF158D"/>
    <w:rsid w:val="00CF32B4"/>
    <w:rsid w:val="00CF3C31"/>
    <w:rsid w:val="00CF4394"/>
    <w:rsid w:val="00D000A9"/>
    <w:rsid w:val="00D005DB"/>
    <w:rsid w:val="00D0064E"/>
    <w:rsid w:val="00D00981"/>
    <w:rsid w:val="00D02544"/>
    <w:rsid w:val="00D0280D"/>
    <w:rsid w:val="00D02C23"/>
    <w:rsid w:val="00D07A72"/>
    <w:rsid w:val="00D10577"/>
    <w:rsid w:val="00D1323B"/>
    <w:rsid w:val="00D136A1"/>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662E"/>
    <w:rsid w:val="00D37252"/>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026"/>
    <w:rsid w:val="00D71FDC"/>
    <w:rsid w:val="00D7403C"/>
    <w:rsid w:val="00D74261"/>
    <w:rsid w:val="00D7441B"/>
    <w:rsid w:val="00D75AC5"/>
    <w:rsid w:val="00D75EA0"/>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3D60"/>
    <w:rsid w:val="00DA6B55"/>
    <w:rsid w:val="00DB0015"/>
    <w:rsid w:val="00DB0D27"/>
    <w:rsid w:val="00DB2AAD"/>
    <w:rsid w:val="00DB2D50"/>
    <w:rsid w:val="00DB2DC6"/>
    <w:rsid w:val="00DB573D"/>
    <w:rsid w:val="00DB626D"/>
    <w:rsid w:val="00DB6365"/>
    <w:rsid w:val="00DB6F46"/>
    <w:rsid w:val="00DC01E0"/>
    <w:rsid w:val="00DC0BF1"/>
    <w:rsid w:val="00DC41C3"/>
    <w:rsid w:val="00DD26EB"/>
    <w:rsid w:val="00DD3593"/>
    <w:rsid w:val="00DE0C67"/>
    <w:rsid w:val="00DE55DF"/>
    <w:rsid w:val="00DE6952"/>
    <w:rsid w:val="00DE7E74"/>
    <w:rsid w:val="00DF28E6"/>
    <w:rsid w:val="00DF6EF8"/>
    <w:rsid w:val="00E00A69"/>
    <w:rsid w:val="00E017F0"/>
    <w:rsid w:val="00E01A0E"/>
    <w:rsid w:val="00E041E4"/>
    <w:rsid w:val="00E043D6"/>
    <w:rsid w:val="00E1012B"/>
    <w:rsid w:val="00E103C8"/>
    <w:rsid w:val="00E1085B"/>
    <w:rsid w:val="00E1308B"/>
    <w:rsid w:val="00E1317F"/>
    <w:rsid w:val="00E1451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775BD"/>
    <w:rsid w:val="00E805B8"/>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4FAC"/>
    <w:rsid w:val="00EB545E"/>
    <w:rsid w:val="00EB57D3"/>
    <w:rsid w:val="00EB5EFD"/>
    <w:rsid w:val="00EB679F"/>
    <w:rsid w:val="00EB76E4"/>
    <w:rsid w:val="00EC0CCC"/>
    <w:rsid w:val="00EC0E65"/>
    <w:rsid w:val="00EC2938"/>
    <w:rsid w:val="00EC50C9"/>
    <w:rsid w:val="00EC58B4"/>
    <w:rsid w:val="00EC5BB2"/>
    <w:rsid w:val="00ED12F0"/>
    <w:rsid w:val="00ED4773"/>
    <w:rsid w:val="00ED664B"/>
    <w:rsid w:val="00ED69A3"/>
    <w:rsid w:val="00ED6A61"/>
    <w:rsid w:val="00EE03BB"/>
    <w:rsid w:val="00EE0B44"/>
    <w:rsid w:val="00EE6AC0"/>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17E05"/>
    <w:rsid w:val="00F22A26"/>
    <w:rsid w:val="00F24072"/>
    <w:rsid w:val="00F25B77"/>
    <w:rsid w:val="00F26432"/>
    <w:rsid w:val="00F303D9"/>
    <w:rsid w:val="00F3197A"/>
    <w:rsid w:val="00F32139"/>
    <w:rsid w:val="00F33D56"/>
    <w:rsid w:val="00F3410A"/>
    <w:rsid w:val="00F34E08"/>
    <w:rsid w:val="00F41D91"/>
    <w:rsid w:val="00F42363"/>
    <w:rsid w:val="00F42E86"/>
    <w:rsid w:val="00F442C2"/>
    <w:rsid w:val="00F460E7"/>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2CC5"/>
    <w:rsid w:val="00F8311F"/>
    <w:rsid w:val="00F83248"/>
    <w:rsid w:val="00F83376"/>
    <w:rsid w:val="00F853AE"/>
    <w:rsid w:val="00F8547A"/>
    <w:rsid w:val="00F87854"/>
    <w:rsid w:val="00F8786F"/>
    <w:rsid w:val="00F93C74"/>
    <w:rsid w:val="00F93DCC"/>
    <w:rsid w:val="00F9435D"/>
    <w:rsid w:val="00F97740"/>
    <w:rsid w:val="00FA2F7B"/>
    <w:rsid w:val="00FB09FE"/>
    <w:rsid w:val="00FB593A"/>
    <w:rsid w:val="00FB6410"/>
    <w:rsid w:val="00FB6E82"/>
    <w:rsid w:val="00FC0042"/>
    <w:rsid w:val="00FC069D"/>
    <w:rsid w:val="00FC2A13"/>
    <w:rsid w:val="00FC4284"/>
    <w:rsid w:val="00FC4576"/>
    <w:rsid w:val="00FC4DF2"/>
    <w:rsid w:val="00FC7DBC"/>
    <w:rsid w:val="00FD076A"/>
    <w:rsid w:val="00FD0AA0"/>
    <w:rsid w:val="00FD1D5A"/>
    <w:rsid w:val="00FD2B6F"/>
    <w:rsid w:val="00FD5059"/>
    <w:rsid w:val="00FD554D"/>
    <w:rsid w:val="00FD776E"/>
    <w:rsid w:val="00FE6469"/>
    <w:rsid w:val="00FF0FF7"/>
    <w:rsid w:val="00FF1438"/>
    <w:rsid w:val="00FF372F"/>
    <w:rsid w:val="00FF3A38"/>
    <w:rsid w:val="00FF3C25"/>
    <w:rsid w:val="00FF4AB7"/>
    <w:rsid w:val="00FF4ED6"/>
    <w:rsid w:val="00FF61BD"/>
    <w:rsid w:val="00FF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B2B9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DA3D60"/>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F660-79BD-4EBD-A59B-5D3E0B0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2012-01-11T18:27:00Z</cp:lastPrinted>
  <dcterms:created xsi:type="dcterms:W3CDTF">2012-01-10T20:21:00Z</dcterms:created>
  <dcterms:modified xsi:type="dcterms:W3CDTF">2012-02-16T23:11:00Z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