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3605D6">
        <w:rPr>
          <w:caps/>
          <w:color w:val="auto"/>
        </w:rPr>
        <w:t>XXXXXXXXXXXXXXXXX</w:t>
      </w:r>
      <w:r>
        <w:rPr>
          <w:caps/>
          <w:color w:val="000000" w:themeColor="text1"/>
        </w:rPr>
        <w:tab/>
      </w:r>
      <w:r w:rsidR="00322418">
        <w:rPr>
          <w:caps/>
          <w:color w:val="000000" w:themeColor="text1"/>
        </w:rPr>
        <w:t xml:space="preserve"> </w:t>
      </w:r>
      <w:r>
        <w:rPr>
          <w:caps/>
          <w:color w:val="000000" w:themeColor="text1"/>
        </w:rPr>
        <w:t xml:space="preserve">                        </w:t>
      </w:r>
      <w:r w:rsidR="00322418">
        <w:rPr>
          <w:caps/>
          <w:color w:val="000000" w:themeColor="text1"/>
        </w:rPr>
        <w:t xml:space="preserve">  </w:t>
      </w:r>
      <w:r>
        <w:rPr>
          <w:caps/>
          <w:color w:val="000000" w:themeColor="text1"/>
        </w:rPr>
        <w:t xml:space="preserve">     </w:t>
      </w:r>
      <w:r w:rsidRPr="001F29F9">
        <w:rPr>
          <w:caps/>
          <w:color w:val="000000" w:themeColor="text1"/>
        </w:rPr>
        <w:t xml:space="preserve">BRANCH OF </w:t>
      </w:r>
      <w:r w:rsidRPr="00FD7E16">
        <w:rPr>
          <w:caps/>
          <w:color w:val="000000" w:themeColor="text1"/>
        </w:rPr>
        <w:t>SERVICE:  Army</w:t>
      </w:r>
    </w:p>
    <w:p w:rsidR="0095270D" w:rsidRDefault="0095270D" w:rsidP="0095270D">
      <w:pPr>
        <w:tabs>
          <w:tab w:val="left" w:pos="288"/>
          <w:tab w:val="left" w:pos="5130"/>
        </w:tabs>
        <w:jc w:val="both"/>
        <w:rPr>
          <w:color w:val="000000" w:themeColor="text1"/>
        </w:rPr>
      </w:pPr>
      <w:r w:rsidRPr="001F29F9">
        <w:rPr>
          <w:caps/>
          <w:color w:val="000000" w:themeColor="text1"/>
        </w:rPr>
        <w:t xml:space="preserve">CASE NUMBER:  </w:t>
      </w:r>
      <w:r w:rsidR="00FD7E16" w:rsidRPr="00EC03BA">
        <w:rPr>
          <w:caps/>
          <w:color w:val="auto"/>
        </w:rPr>
        <w:t>PD1100188</w:t>
      </w:r>
      <w:r>
        <w:rPr>
          <w:color w:val="000000" w:themeColor="text1"/>
        </w:rPr>
        <w:tab/>
      </w:r>
      <w:r>
        <w:rPr>
          <w:color w:val="000000" w:themeColor="text1"/>
        </w:rPr>
        <w:tab/>
        <w:t xml:space="preserve">          </w:t>
      </w:r>
      <w:r w:rsidRPr="001F29F9">
        <w:rPr>
          <w:color w:val="000000" w:themeColor="text1"/>
        </w:rPr>
        <w:t xml:space="preserve"> SEPARATION DATE:  </w:t>
      </w:r>
      <w:r w:rsidR="00FD7E16" w:rsidRPr="00F64312">
        <w:rPr>
          <w:color w:val="auto"/>
        </w:rPr>
        <w:t>200</w:t>
      </w:r>
      <w:r w:rsidR="00FD7E16">
        <w:rPr>
          <w:color w:val="auto"/>
        </w:rPr>
        <w:t>50528</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0C13C0">
        <w:rPr>
          <w:caps/>
          <w:color w:val="000000"/>
        </w:rPr>
        <w:t>0907</w:t>
      </w:r>
      <w:r w:rsidRPr="001F29F9">
        <w:rPr>
          <w:caps/>
          <w:color w:val="000000"/>
        </w:rPr>
        <w:t xml:space="preserve">  </w:t>
      </w:r>
      <w:r>
        <w:rPr>
          <w:rFonts w:cs="Times New Roman"/>
          <w:caps/>
          <w:color w:val="000000"/>
        </w:rPr>
        <w:tab/>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331C13" w:rsidRDefault="00AD2379" w:rsidP="00BD74D4">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FD7E16" w:rsidRPr="00EC03BA">
        <w:rPr>
          <w:color w:val="auto"/>
        </w:rPr>
        <w:t>SSG/E6</w:t>
      </w:r>
      <w:r w:rsidR="00FD7E16" w:rsidRPr="001F29F9">
        <w:rPr>
          <w:color w:val="000000"/>
        </w:rPr>
        <w:t xml:space="preserve"> </w:t>
      </w:r>
      <w:r w:rsidRPr="001F29F9">
        <w:rPr>
          <w:color w:val="000000"/>
        </w:rPr>
        <w:t>(</w:t>
      </w:r>
      <w:r w:rsidR="00FD7E16" w:rsidRPr="00EC03BA">
        <w:rPr>
          <w:color w:val="auto"/>
        </w:rPr>
        <w:t>91J</w:t>
      </w:r>
      <w:r w:rsidR="00FD7E16">
        <w:rPr>
          <w:color w:val="auto"/>
        </w:rPr>
        <w:t>, Medical Logistics</w:t>
      </w:r>
      <w:r w:rsidR="00A70270">
        <w:rPr>
          <w:color w:val="000000"/>
        </w:rPr>
        <w:t xml:space="preserve">) </w:t>
      </w:r>
      <w:r w:rsidRPr="001F29F9">
        <w:rPr>
          <w:color w:val="000000"/>
        </w:rPr>
        <w:t xml:space="preserve">medically separated for </w:t>
      </w:r>
      <w:r w:rsidR="00261B7E">
        <w:rPr>
          <w:color w:val="000000"/>
        </w:rPr>
        <w:t xml:space="preserve">a </w:t>
      </w:r>
      <w:r w:rsidR="00FD7E16">
        <w:rPr>
          <w:color w:val="000000"/>
        </w:rPr>
        <w:t>lumbar spine</w:t>
      </w:r>
      <w:r w:rsidRPr="001F29F9">
        <w:rPr>
          <w:color w:val="000000"/>
        </w:rPr>
        <w:t xml:space="preserve"> </w:t>
      </w:r>
      <w:r w:rsidR="00261B7E">
        <w:rPr>
          <w:color w:val="000000"/>
        </w:rPr>
        <w:t>condition</w:t>
      </w:r>
      <w:r w:rsidRPr="001F29F9">
        <w:rPr>
          <w:color w:val="000000"/>
        </w:rPr>
        <w:t xml:space="preserve">. </w:t>
      </w:r>
      <w:r w:rsidR="00261B7E">
        <w:rPr>
          <w:color w:val="000000"/>
        </w:rPr>
        <w:t xml:space="preserve"> </w:t>
      </w:r>
      <w:r w:rsidR="00854278">
        <w:rPr>
          <w:color w:val="000000"/>
        </w:rPr>
        <w:t xml:space="preserve">He developed back pain with left leg radiation after a vehicular mishap </w:t>
      </w:r>
      <w:r w:rsidR="00C54CB7">
        <w:rPr>
          <w:color w:val="000000"/>
        </w:rPr>
        <w:t>during a</w:t>
      </w:r>
      <w:r w:rsidR="00854278">
        <w:rPr>
          <w:color w:val="000000"/>
        </w:rPr>
        <w:t xml:space="preserve"> </w:t>
      </w:r>
      <w:r w:rsidR="00C54CB7">
        <w:rPr>
          <w:color w:val="000000"/>
        </w:rPr>
        <w:t xml:space="preserve">2003 deployment to </w:t>
      </w:r>
      <w:r w:rsidR="00854278">
        <w:rPr>
          <w:color w:val="000000"/>
        </w:rPr>
        <w:t>Iraq</w:t>
      </w:r>
      <w:r w:rsidR="003C1A4B">
        <w:rPr>
          <w:color w:val="000000"/>
        </w:rPr>
        <w:t>,</w:t>
      </w:r>
      <w:r w:rsidR="00854278">
        <w:rPr>
          <w:color w:val="000000"/>
        </w:rPr>
        <w:t xml:space="preserve"> </w:t>
      </w:r>
      <w:r w:rsidR="000C13C0">
        <w:rPr>
          <w:color w:val="000000"/>
        </w:rPr>
        <w:t>and</w:t>
      </w:r>
      <w:r w:rsidR="003C1A4B">
        <w:rPr>
          <w:color w:val="000000"/>
        </w:rPr>
        <w:t xml:space="preserve"> required medical evacuation.  H</w:t>
      </w:r>
      <w:r w:rsidR="00C54CB7">
        <w:rPr>
          <w:color w:val="000000"/>
        </w:rPr>
        <w:t>e was diagnosed with lumbar disk</w:t>
      </w:r>
      <w:r w:rsidR="003C1A4B">
        <w:rPr>
          <w:color w:val="000000"/>
        </w:rPr>
        <w:t xml:space="preserve"> disease and underwent surgical intervention.  Post-operatively the condition </w:t>
      </w:r>
      <w:r w:rsidR="008A07CD" w:rsidRPr="006131F4">
        <w:rPr>
          <w:color w:val="000000"/>
          <w:szCs w:val="24"/>
        </w:rPr>
        <w:t>could not be adequately rehabilitated to meet the physical requirements of his Military Occupational Specialty (MOS) or satisfy physical fitness standards.  He was con</w:t>
      </w:r>
      <w:r w:rsidR="008A07CD">
        <w:rPr>
          <w:color w:val="000000"/>
          <w:szCs w:val="24"/>
        </w:rPr>
        <w:t xml:space="preserve">sequently issued a permanent </w:t>
      </w:r>
      <w:r w:rsidR="008A07CD" w:rsidRPr="006131F4">
        <w:rPr>
          <w:color w:val="000000"/>
          <w:szCs w:val="24"/>
        </w:rPr>
        <w:t xml:space="preserve">L3 profile and referred for a Medical Evaluation Board (MEB).  </w:t>
      </w:r>
      <w:r w:rsidR="008A07CD" w:rsidRPr="00AD0E8D">
        <w:rPr>
          <w:color w:val="000000"/>
          <w:szCs w:val="24"/>
        </w:rPr>
        <w:t xml:space="preserve">The </w:t>
      </w:r>
      <w:r w:rsidR="008A07CD">
        <w:rPr>
          <w:color w:val="000000"/>
          <w:szCs w:val="24"/>
        </w:rPr>
        <w:t xml:space="preserve">lumbar spine condition and “sciatica pain in </w:t>
      </w:r>
      <w:r w:rsidR="008A07CD" w:rsidRPr="00AD0E8D">
        <w:rPr>
          <w:color w:val="000000" w:themeColor="text1"/>
          <w:szCs w:val="24"/>
        </w:rPr>
        <w:t xml:space="preserve">left </w:t>
      </w:r>
      <w:r w:rsidR="008A07CD">
        <w:rPr>
          <w:color w:val="000000" w:themeColor="text1"/>
          <w:szCs w:val="24"/>
        </w:rPr>
        <w:t xml:space="preserve">lower limb” </w:t>
      </w:r>
      <w:r w:rsidR="008A07CD" w:rsidRPr="00AD0E8D">
        <w:rPr>
          <w:color w:val="000000"/>
          <w:szCs w:val="24"/>
        </w:rPr>
        <w:t>were forwarded to the Physical Evaluation Board (PEB) as separate medically unacceptab</w:t>
      </w:r>
      <w:r w:rsidR="008A07CD">
        <w:rPr>
          <w:color w:val="000000"/>
          <w:szCs w:val="24"/>
        </w:rPr>
        <w:t>le conditions IAW AR 40-501.  Depression was a</w:t>
      </w:r>
      <w:r w:rsidR="008A07CD" w:rsidRPr="00AD0E8D">
        <w:rPr>
          <w:color w:val="000000"/>
          <w:szCs w:val="24"/>
        </w:rPr>
        <w:t xml:space="preserve">lso addressed by the MEB and forwarded on the DA Form 3947 </w:t>
      </w:r>
      <w:r w:rsidR="00BD74D4">
        <w:rPr>
          <w:color w:val="000000"/>
          <w:szCs w:val="24"/>
        </w:rPr>
        <w:t xml:space="preserve">as a </w:t>
      </w:r>
      <w:r w:rsidR="008A07CD">
        <w:rPr>
          <w:color w:val="000000"/>
          <w:szCs w:val="24"/>
        </w:rPr>
        <w:t>medically acceptable</w:t>
      </w:r>
      <w:r w:rsidR="00BD74D4">
        <w:rPr>
          <w:color w:val="000000"/>
          <w:szCs w:val="24"/>
        </w:rPr>
        <w:t xml:space="preserve"> condition</w:t>
      </w:r>
      <w:r w:rsidR="008A07CD" w:rsidRPr="00AD0E8D">
        <w:rPr>
          <w:color w:val="000000"/>
          <w:szCs w:val="24"/>
        </w:rPr>
        <w:t xml:space="preserve">.  </w:t>
      </w:r>
      <w:r w:rsidR="008A07CD" w:rsidRPr="00844DA7">
        <w:rPr>
          <w:color w:val="000000"/>
          <w:szCs w:val="24"/>
        </w:rPr>
        <w:t>The informal PEB adjudicated the lumbar spine</w:t>
      </w:r>
      <w:r w:rsidR="008A07CD">
        <w:rPr>
          <w:color w:val="000000"/>
          <w:szCs w:val="24"/>
        </w:rPr>
        <w:t xml:space="preserve"> condition as unfitting, rated 2</w:t>
      </w:r>
      <w:r w:rsidR="008A07CD" w:rsidRPr="00844DA7">
        <w:rPr>
          <w:color w:val="000000"/>
          <w:szCs w:val="24"/>
        </w:rPr>
        <w:t xml:space="preserve">0%, citing </w:t>
      </w:r>
      <w:r w:rsidR="000C13C0">
        <w:rPr>
          <w:color w:val="000000"/>
          <w:szCs w:val="24"/>
        </w:rPr>
        <w:t>criteria</w:t>
      </w:r>
      <w:r w:rsidR="008A07CD" w:rsidRPr="00844DA7">
        <w:rPr>
          <w:color w:val="000000"/>
          <w:szCs w:val="24"/>
        </w:rPr>
        <w:t xml:space="preserve"> of the Veterans Administration Schedule for Rating Disabilities (VASRD).  </w:t>
      </w:r>
      <w:r w:rsidR="001C4635">
        <w:rPr>
          <w:color w:val="000000"/>
          <w:szCs w:val="24"/>
        </w:rPr>
        <w:t xml:space="preserve">The sciatic pain was subsumed in the lumbar rating, with language indicating that it was not unfitting.  The depression was not specifically adjudicated per the PEB’s DA Form 199; but, the Board judged that this was </w:t>
      </w:r>
      <w:r w:rsidR="00BD74D4">
        <w:rPr>
          <w:color w:val="000000"/>
          <w:szCs w:val="24"/>
        </w:rPr>
        <w:t xml:space="preserve">likely </w:t>
      </w:r>
      <w:r w:rsidR="001C4635">
        <w:rPr>
          <w:color w:val="000000"/>
          <w:szCs w:val="24"/>
        </w:rPr>
        <w:t xml:space="preserve">an erroneous omission and should be assumed to </w:t>
      </w:r>
      <w:r w:rsidR="00BD74D4">
        <w:rPr>
          <w:color w:val="000000"/>
          <w:szCs w:val="24"/>
        </w:rPr>
        <w:t>constitute</w:t>
      </w:r>
      <w:r w:rsidR="001C4635">
        <w:rPr>
          <w:color w:val="000000"/>
          <w:szCs w:val="24"/>
        </w:rPr>
        <w:t xml:space="preserve"> a </w:t>
      </w:r>
      <w:r w:rsidR="00BD74D4" w:rsidRPr="00BD74D4">
        <w:rPr>
          <w:i/>
          <w:color w:val="000000"/>
          <w:szCs w:val="24"/>
        </w:rPr>
        <w:t>de facto</w:t>
      </w:r>
      <w:r w:rsidR="00BD74D4">
        <w:rPr>
          <w:color w:val="000000"/>
          <w:szCs w:val="24"/>
        </w:rPr>
        <w:t xml:space="preserve"> </w:t>
      </w:r>
      <w:r w:rsidR="001C4635">
        <w:rPr>
          <w:color w:val="000000"/>
          <w:szCs w:val="24"/>
        </w:rPr>
        <w:t xml:space="preserve">determination that the condition was not unfitting.  </w:t>
      </w:r>
      <w:r w:rsidR="00BD74D4" w:rsidRPr="00AD0E8D">
        <w:rPr>
          <w:color w:val="000000"/>
          <w:szCs w:val="24"/>
        </w:rPr>
        <w:t>The CI made no appeals, and was m</w:t>
      </w:r>
      <w:r w:rsidR="00BD74D4">
        <w:rPr>
          <w:color w:val="000000"/>
          <w:szCs w:val="24"/>
        </w:rPr>
        <w:t>edically separated with a 2</w:t>
      </w:r>
      <w:r w:rsidR="00BD74D4" w:rsidRPr="00AD0E8D">
        <w:rPr>
          <w:color w:val="000000"/>
          <w:szCs w:val="24"/>
        </w:rPr>
        <w:t>0% Service disability rating.</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216DDF">
        <w:rPr>
          <w:color w:val="auto"/>
        </w:rPr>
        <w:t xml:space="preserve">“Never seen or rated for Mood disorder, not otherwise specified (previously rated as depression with insomnia) while active duty.” </w:t>
      </w:r>
      <w:r w:rsidR="004A2728" w:rsidRPr="00F72DEB">
        <w:rPr>
          <w:rFonts w:eastAsiaTheme="minorHAnsi"/>
          <w:color w:val="000000" w:themeColor="text1"/>
          <w:szCs w:val="24"/>
        </w:rPr>
        <w:t xml:space="preserve">He does not elaborate further or </w:t>
      </w:r>
      <w:r w:rsidR="00A358BA" w:rsidRPr="00F72DEB">
        <w:rPr>
          <w:rFonts w:eastAsiaTheme="minorHAnsi"/>
          <w:color w:val="000000" w:themeColor="text1"/>
          <w:szCs w:val="24"/>
        </w:rPr>
        <w:t>specify a request for Board consideration of any additional</w:t>
      </w:r>
      <w:r w:rsidR="004A2728" w:rsidRPr="00F72DEB">
        <w:rPr>
          <w:rFonts w:eastAsiaTheme="minorHAnsi"/>
          <w:color w:val="000000" w:themeColor="text1"/>
          <w:szCs w:val="24"/>
        </w:rPr>
        <w:t xml:space="preserve"> conditions.</w:t>
      </w:r>
      <w:r w:rsidR="004A2728">
        <w:rPr>
          <w:color w:val="000000" w:themeColor="text1"/>
        </w:rPr>
        <w:t xml:space="preserve"> </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14638" w:rsidRPr="00C566C9" w:rsidRDefault="00F14638" w:rsidP="00F14638">
      <w:pPr>
        <w:jc w:val="both"/>
        <w:rPr>
          <w:color w:val="auto"/>
        </w:rPr>
      </w:pPr>
      <w:r w:rsidRPr="006A714F">
        <w:rPr>
          <w:color w:val="auto"/>
          <w:u w:val="single"/>
        </w:rPr>
        <w:t>SCOPE OF REVIEW</w:t>
      </w:r>
      <w:r>
        <w:rPr>
          <w:color w:val="auto"/>
        </w:rPr>
        <w:t xml:space="preserve">:  </w:t>
      </w:r>
      <w:r w:rsidRPr="00C566C9">
        <w:rPr>
          <w:color w:val="auto"/>
        </w:rPr>
        <w:t xml:space="preserve">The Board </w:t>
      </w:r>
      <w:r w:rsidRPr="00085FCF">
        <w:rPr>
          <w:color w:val="auto"/>
        </w:rPr>
        <w:t xml:space="preserve">wishes to clarify that the scope of its review as defined in </w:t>
      </w:r>
      <w:r w:rsidR="00DD44EA" w:rsidRPr="00085FCF">
        <w:rPr>
          <w:color w:val="000000"/>
        </w:rPr>
        <w:t xml:space="preserve">Department of Defense Instruction (DoDI) </w:t>
      </w:r>
      <w:r w:rsidRPr="00085FCF">
        <w:rPr>
          <w:color w:val="auto"/>
        </w:rPr>
        <w:t xml:space="preserve">6040.44 </w:t>
      </w:r>
      <w:r w:rsidR="003A6FCD" w:rsidRPr="00085FCF">
        <w:rPr>
          <w:color w:val="auto"/>
        </w:rPr>
        <w:t xml:space="preserve">(Enclosure 3, paragraph 5.e.2) </w:t>
      </w:r>
      <w:r w:rsidRPr="00085FCF">
        <w:rPr>
          <w:color w:val="auto"/>
        </w:rPr>
        <w:t xml:space="preserve">is limited to those conditions which were determined by the PEB to be specifically unfitting for continued military service; or, when requested by the CI, those condition(s) “identified but not determined to be unfitting by the PEB”.  </w:t>
      </w:r>
      <w:r w:rsidR="00CF553D" w:rsidRPr="00085FCF">
        <w:rPr>
          <w:color w:val="auto"/>
        </w:rPr>
        <w:t>The rating</w:t>
      </w:r>
      <w:r w:rsidRPr="00085FCF">
        <w:rPr>
          <w:color w:val="auto"/>
        </w:rPr>
        <w:t xml:space="preserve"> for </w:t>
      </w:r>
      <w:r w:rsidR="00CF553D" w:rsidRPr="00085FCF">
        <w:rPr>
          <w:color w:val="auto"/>
        </w:rPr>
        <w:t xml:space="preserve">the </w:t>
      </w:r>
      <w:r w:rsidRPr="00085FCF">
        <w:rPr>
          <w:color w:val="auto"/>
        </w:rPr>
        <w:t xml:space="preserve">unfitting </w:t>
      </w:r>
      <w:r w:rsidR="00CF553D" w:rsidRPr="00085FCF">
        <w:rPr>
          <w:color w:val="auto"/>
        </w:rPr>
        <w:t>lumbar spine condition (and the subsumed sciatic neuropathy)</w:t>
      </w:r>
      <w:r w:rsidRPr="00085FCF">
        <w:rPr>
          <w:color w:val="auto"/>
        </w:rPr>
        <w:t xml:space="preserve"> </w:t>
      </w:r>
      <w:r w:rsidR="00CF553D" w:rsidRPr="00085FCF">
        <w:rPr>
          <w:color w:val="auto"/>
        </w:rPr>
        <w:t>is</w:t>
      </w:r>
      <w:r w:rsidR="00AC25DD" w:rsidRPr="00085FCF">
        <w:rPr>
          <w:color w:val="auto"/>
        </w:rPr>
        <w:t xml:space="preserve"> addressed below</w:t>
      </w:r>
      <w:r w:rsidRPr="00085FCF">
        <w:rPr>
          <w:color w:val="auto"/>
        </w:rPr>
        <w:t xml:space="preserve">.  The </w:t>
      </w:r>
      <w:r w:rsidR="00CF553D" w:rsidRPr="00085FCF">
        <w:rPr>
          <w:color w:val="auto"/>
        </w:rPr>
        <w:t>mood disorder</w:t>
      </w:r>
      <w:r w:rsidRPr="00085FCF">
        <w:rPr>
          <w:color w:val="auto"/>
        </w:rPr>
        <w:t xml:space="preserve"> requested for consideration </w:t>
      </w:r>
      <w:r w:rsidR="00CF553D" w:rsidRPr="00085FCF">
        <w:rPr>
          <w:color w:val="auto"/>
        </w:rPr>
        <w:t xml:space="preserve">is </w:t>
      </w:r>
      <w:r w:rsidR="000C13C0">
        <w:rPr>
          <w:color w:val="auto"/>
        </w:rPr>
        <w:t>considered equivalent to depression</w:t>
      </w:r>
      <w:r w:rsidR="000C13C0" w:rsidRPr="00085FCF">
        <w:rPr>
          <w:color w:val="auto"/>
        </w:rPr>
        <w:t xml:space="preserve"> </w:t>
      </w:r>
      <w:r w:rsidR="000C13C0">
        <w:rPr>
          <w:color w:val="auto"/>
        </w:rPr>
        <w:t>as</w:t>
      </w:r>
      <w:r w:rsidR="00CF553D" w:rsidRPr="00085FCF">
        <w:rPr>
          <w:color w:val="auto"/>
        </w:rPr>
        <w:t xml:space="preserve"> </w:t>
      </w:r>
      <w:r w:rsidR="000C13C0">
        <w:rPr>
          <w:color w:val="auto"/>
        </w:rPr>
        <w:t xml:space="preserve">identified by the MEB, with </w:t>
      </w:r>
      <w:r w:rsidR="00BD37C9">
        <w:rPr>
          <w:color w:val="auto"/>
        </w:rPr>
        <w:t xml:space="preserve">an </w:t>
      </w:r>
      <w:r w:rsidR="000C13C0">
        <w:rPr>
          <w:color w:val="auto"/>
        </w:rPr>
        <w:t xml:space="preserve">implied </w:t>
      </w:r>
      <w:r w:rsidR="00BD37C9">
        <w:rPr>
          <w:color w:val="auto"/>
        </w:rPr>
        <w:t>(</w:t>
      </w:r>
      <w:r w:rsidR="00BD37C9" w:rsidRPr="00085FCF">
        <w:rPr>
          <w:color w:val="auto"/>
        </w:rPr>
        <w:t>elaborated above)</w:t>
      </w:r>
      <w:r w:rsidR="00BD37C9">
        <w:rPr>
          <w:color w:val="auto"/>
        </w:rPr>
        <w:t xml:space="preserve"> </w:t>
      </w:r>
      <w:r w:rsidR="000C13C0">
        <w:rPr>
          <w:color w:val="auto"/>
        </w:rPr>
        <w:t xml:space="preserve">PEB </w:t>
      </w:r>
      <w:r w:rsidR="00BD37C9">
        <w:rPr>
          <w:color w:val="auto"/>
        </w:rPr>
        <w:t>determination of</w:t>
      </w:r>
      <w:r w:rsidR="000C13C0">
        <w:rPr>
          <w:color w:val="auto"/>
        </w:rPr>
        <w:t xml:space="preserve"> </w:t>
      </w:r>
      <w:r w:rsidR="00085FCF" w:rsidRPr="00085FCF">
        <w:rPr>
          <w:color w:val="auto"/>
        </w:rPr>
        <w:t>not unfitting.  Thus it is judged to</w:t>
      </w:r>
      <w:r w:rsidRPr="00085FCF">
        <w:rPr>
          <w:color w:val="auto"/>
        </w:rPr>
        <w:t xml:space="preserve"> meet the criteria prescribed in DoDI 6040.44 for Board purview, and </w:t>
      </w:r>
      <w:r w:rsidR="00085FCF" w:rsidRPr="00085FCF">
        <w:rPr>
          <w:color w:val="auto"/>
        </w:rPr>
        <w:t>is</w:t>
      </w:r>
      <w:r w:rsidRPr="00085FCF">
        <w:rPr>
          <w:color w:val="auto"/>
        </w:rPr>
        <w:t xml:space="preserve"> accordingly addressed below.  Any conditions or contention not requested in this application, or otherwise outside the Board’s defined scope of review, remain eligible for future consideration by the Army Board for the Correction of Military Records.</w:t>
      </w:r>
      <w:r>
        <w:rPr>
          <w:color w:val="auto"/>
        </w:rPr>
        <w:t xml:space="preserve">  </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B50B25" w:rsidRDefault="00B50B25">
      <w:pPr>
        <w:spacing w:line="240" w:lineRule="auto"/>
        <w:jc w:val="left"/>
        <w:rPr>
          <w:color w:val="000000"/>
          <w:u w:val="single"/>
        </w:rPr>
      </w:pPr>
      <w:r>
        <w:rPr>
          <w:color w:val="000000"/>
          <w:u w:val="single"/>
        </w:rPr>
        <w:br w:type="page"/>
      </w:r>
    </w:p>
    <w:p w:rsidR="00AD2379" w:rsidRPr="00B50B25" w:rsidRDefault="00AD2379" w:rsidP="00B50B25">
      <w:pPr>
        <w:spacing w:line="240" w:lineRule="auto"/>
        <w:jc w:val="left"/>
        <w:rPr>
          <w:color w:val="000000"/>
          <w:u w:val="single"/>
        </w:rPr>
      </w:pPr>
      <w:r w:rsidRPr="001F29F9">
        <w:rPr>
          <w:color w:val="000000"/>
          <w:u w:val="single"/>
        </w:rPr>
        <w:lastRenderedPageBreak/>
        <w:t>RATING COMPARISON</w:t>
      </w:r>
      <w:r w:rsidRPr="001F29F9">
        <w:rPr>
          <w:color w:val="000000"/>
        </w:rPr>
        <w:t>:</w:t>
      </w:r>
      <w:r w:rsidRPr="00726F84">
        <w:rPr>
          <w:color w:val="000000"/>
        </w:rPr>
        <w:t xml:space="preserve"> </w:t>
      </w:r>
    </w:p>
    <w:p w:rsidR="00AD2379" w:rsidRPr="001F29F9" w:rsidRDefault="00AD2379" w:rsidP="00FE7C22">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538"/>
        <w:gridCol w:w="720"/>
        <w:gridCol w:w="720"/>
        <w:gridCol w:w="3240"/>
        <w:gridCol w:w="720"/>
        <w:gridCol w:w="720"/>
        <w:gridCol w:w="690"/>
      </w:tblGrid>
      <w:tr w:rsidR="00926C0A" w:rsidRPr="000D5DBE" w:rsidTr="00A36444">
        <w:trPr>
          <w:trHeight w:val="170"/>
        </w:trPr>
        <w:tc>
          <w:tcPr>
            <w:tcW w:w="3978" w:type="dxa"/>
            <w:gridSpan w:val="3"/>
            <w:tcBorders>
              <w:right w:val="thinThickThinSmallGap" w:sz="24" w:space="0" w:color="auto"/>
            </w:tcBorders>
            <w:shd w:val="clear" w:color="auto" w:fill="D9D9D9"/>
            <w:vAlign w:val="center"/>
          </w:tcPr>
          <w:p w:rsidR="00926C0A" w:rsidRPr="00947728" w:rsidRDefault="00835B06" w:rsidP="00926C0A">
            <w:pPr>
              <w:contextualSpacing/>
              <w:rPr>
                <w:rFonts w:cs="Calibri"/>
                <w:b/>
                <w:color w:val="auto"/>
                <w:sz w:val="18"/>
              </w:rPr>
            </w:pPr>
            <w:r>
              <w:rPr>
                <w:b/>
                <w:color w:val="auto"/>
                <w:sz w:val="18"/>
              </w:rPr>
              <w:t xml:space="preserve">Service </w:t>
            </w:r>
            <w:r w:rsidR="00926C0A" w:rsidRPr="00947728">
              <w:rPr>
                <w:b/>
                <w:color w:val="auto"/>
                <w:sz w:val="18"/>
              </w:rPr>
              <w:t xml:space="preserve">PEB – Dated </w:t>
            </w:r>
            <w:r w:rsidRPr="00EC03BA">
              <w:rPr>
                <w:b/>
                <w:color w:val="auto"/>
                <w:sz w:val="18"/>
              </w:rPr>
              <w:t>20050401</w:t>
            </w:r>
          </w:p>
        </w:tc>
        <w:tc>
          <w:tcPr>
            <w:tcW w:w="5370" w:type="dxa"/>
            <w:gridSpan w:val="4"/>
            <w:tcBorders>
              <w:left w:val="thinThickThinSmallGap" w:sz="24" w:space="0" w:color="auto"/>
            </w:tcBorders>
            <w:shd w:val="clear" w:color="auto" w:fill="D9D9D9"/>
            <w:vAlign w:val="center"/>
          </w:tcPr>
          <w:p w:rsidR="00926C0A" w:rsidRPr="00947728" w:rsidRDefault="00835B06" w:rsidP="00835B06">
            <w:pPr>
              <w:contextualSpacing/>
              <w:rPr>
                <w:rFonts w:cs="Calibri"/>
                <w:b/>
                <w:color w:val="auto"/>
                <w:sz w:val="18"/>
              </w:rPr>
            </w:pPr>
            <w:r>
              <w:rPr>
                <w:b/>
                <w:color w:val="auto"/>
                <w:sz w:val="18"/>
              </w:rPr>
              <w:t xml:space="preserve">VA* </w:t>
            </w:r>
            <w:r w:rsidR="00926C0A" w:rsidRPr="00947728">
              <w:rPr>
                <w:b/>
                <w:color w:val="auto"/>
                <w:sz w:val="18"/>
              </w:rPr>
              <w:t>–</w:t>
            </w:r>
            <w:r>
              <w:rPr>
                <w:b/>
                <w:color w:val="auto"/>
                <w:sz w:val="18"/>
              </w:rPr>
              <w:t xml:space="preserve"> </w:t>
            </w:r>
            <w:r w:rsidR="00926C0A" w:rsidRPr="00947728">
              <w:rPr>
                <w:b/>
                <w:color w:val="auto"/>
                <w:sz w:val="18"/>
              </w:rPr>
              <w:t xml:space="preserve">Effective </w:t>
            </w:r>
            <w:r w:rsidRPr="00AD05B6">
              <w:rPr>
                <w:b/>
                <w:color w:val="auto"/>
                <w:sz w:val="18"/>
              </w:rPr>
              <w:t>20050529</w:t>
            </w:r>
          </w:p>
        </w:tc>
      </w:tr>
      <w:tr w:rsidR="00261B7E" w:rsidRPr="000D5DBE" w:rsidTr="00B50B25">
        <w:trPr>
          <w:trHeight w:val="97"/>
        </w:trPr>
        <w:tc>
          <w:tcPr>
            <w:tcW w:w="2538" w:type="dxa"/>
            <w:tcBorders>
              <w:righ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720" w:type="dxa"/>
            <w:tcBorders>
              <w:left w:val="single" w:sz="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tcBorders>
              <w:righ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3240" w:type="dxa"/>
            <w:tcBorders>
              <w:left w:val="thinThickThinSmallGap" w:sz="24" w:space="0" w:color="auto"/>
            </w:tcBorders>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Condition</w:t>
            </w:r>
          </w:p>
        </w:tc>
        <w:tc>
          <w:tcPr>
            <w:tcW w:w="72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Code</w:t>
            </w:r>
          </w:p>
        </w:tc>
        <w:tc>
          <w:tcPr>
            <w:tcW w:w="72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Rating</w:t>
            </w:r>
          </w:p>
        </w:tc>
        <w:tc>
          <w:tcPr>
            <w:tcW w:w="690" w:type="dxa"/>
            <w:shd w:val="clear" w:color="auto" w:fill="D9D9D9"/>
            <w:vAlign w:val="center"/>
          </w:tcPr>
          <w:p w:rsidR="00AD2379" w:rsidRPr="000D5DBE" w:rsidRDefault="00AD2379" w:rsidP="001968BB">
            <w:pPr>
              <w:contextualSpacing/>
              <w:rPr>
                <w:rFonts w:cs="Calibri"/>
                <w:b/>
                <w:color w:val="000000"/>
                <w:sz w:val="18"/>
              </w:rPr>
            </w:pPr>
            <w:r w:rsidRPr="000D5DBE">
              <w:rPr>
                <w:b/>
                <w:color w:val="000000"/>
                <w:sz w:val="18"/>
              </w:rPr>
              <w:t>Exam</w:t>
            </w:r>
          </w:p>
        </w:tc>
      </w:tr>
      <w:tr w:rsidR="00B50B25" w:rsidRPr="000D5DBE" w:rsidTr="00B50B25">
        <w:trPr>
          <w:trHeight w:val="118"/>
        </w:trPr>
        <w:tc>
          <w:tcPr>
            <w:tcW w:w="2538" w:type="dxa"/>
            <w:tcBorders>
              <w:right w:val="single" w:sz="4" w:space="0" w:color="auto"/>
            </w:tcBorders>
            <w:shd w:val="clear" w:color="auto" w:fill="FFFFFF"/>
            <w:vAlign w:val="center"/>
          </w:tcPr>
          <w:p w:rsidR="00B50B25" w:rsidRPr="00F64312" w:rsidRDefault="00B50B25" w:rsidP="003115B1">
            <w:pPr>
              <w:spacing w:line="180" w:lineRule="exact"/>
              <w:contextualSpacing/>
              <w:jc w:val="left"/>
              <w:rPr>
                <w:rFonts w:cs="Calibri"/>
                <w:color w:val="auto"/>
                <w:sz w:val="18"/>
              </w:rPr>
            </w:pPr>
            <w:r>
              <w:rPr>
                <w:rFonts w:cs="Calibri"/>
                <w:color w:val="auto"/>
                <w:sz w:val="18"/>
              </w:rPr>
              <w:t>Low Back Pain w/o Neurologic Abnormality</w:t>
            </w:r>
          </w:p>
        </w:tc>
        <w:tc>
          <w:tcPr>
            <w:tcW w:w="720" w:type="dxa"/>
            <w:tcBorders>
              <w:left w:val="single" w:sz="4" w:space="0" w:color="auto"/>
            </w:tcBorders>
            <w:shd w:val="clear" w:color="auto" w:fill="FFFFFF"/>
            <w:vAlign w:val="center"/>
          </w:tcPr>
          <w:p w:rsidR="00B50B25" w:rsidRPr="00F64312" w:rsidRDefault="00B50B25" w:rsidP="00B50B25">
            <w:pPr>
              <w:spacing w:line="180" w:lineRule="exact"/>
              <w:contextualSpacing/>
              <w:jc w:val="left"/>
              <w:rPr>
                <w:rFonts w:cs="Calibri"/>
                <w:color w:val="auto"/>
                <w:sz w:val="18"/>
              </w:rPr>
            </w:pPr>
            <w:r>
              <w:rPr>
                <w:rFonts w:cs="Calibri"/>
                <w:color w:val="auto"/>
                <w:sz w:val="18"/>
              </w:rPr>
              <w:t>5299-5242</w:t>
            </w:r>
          </w:p>
        </w:tc>
        <w:tc>
          <w:tcPr>
            <w:tcW w:w="720" w:type="dxa"/>
            <w:tcBorders>
              <w:right w:val="thinThickThinSmallGap" w:sz="24" w:space="0" w:color="auto"/>
            </w:tcBorders>
            <w:shd w:val="clear" w:color="auto" w:fill="FFFFFF"/>
            <w:vAlign w:val="center"/>
          </w:tcPr>
          <w:p w:rsidR="00B50B25" w:rsidRPr="00F64312" w:rsidRDefault="00B50B25" w:rsidP="003115B1">
            <w:pPr>
              <w:spacing w:line="180" w:lineRule="exact"/>
              <w:rPr>
                <w:rFonts w:cs="Calibri"/>
                <w:color w:val="auto"/>
                <w:sz w:val="18"/>
              </w:rPr>
            </w:pPr>
            <w:r>
              <w:rPr>
                <w:rFonts w:cs="Calibri"/>
                <w:color w:val="auto"/>
                <w:sz w:val="18"/>
              </w:rPr>
              <w:t>20%</w:t>
            </w:r>
          </w:p>
        </w:tc>
        <w:tc>
          <w:tcPr>
            <w:tcW w:w="3240" w:type="dxa"/>
            <w:tcBorders>
              <w:left w:val="thinThickThinSmallGap" w:sz="24" w:space="0" w:color="auto"/>
            </w:tcBorders>
            <w:shd w:val="clear" w:color="auto" w:fill="FFFFFF"/>
            <w:vAlign w:val="center"/>
          </w:tcPr>
          <w:p w:rsidR="00B50B25" w:rsidRPr="00F64312" w:rsidRDefault="00B50B25" w:rsidP="00B50B25">
            <w:pPr>
              <w:spacing w:line="180" w:lineRule="exact"/>
              <w:contextualSpacing/>
              <w:jc w:val="left"/>
              <w:rPr>
                <w:rFonts w:cs="Calibri"/>
                <w:color w:val="auto"/>
                <w:sz w:val="18"/>
              </w:rPr>
            </w:pPr>
            <w:r>
              <w:rPr>
                <w:rFonts w:cs="Calibri"/>
                <w:color w:val="auto"/>
                <w:sz w:val="18"/>
              </w:rPr>
              <w:t>Low Back Pain … w/o Neurologic Abnormality</w:t>
            </w:r>
          </w:p>
        </w:tc>
        <w:tc>
          <w:tcPr>
            <w:tcW w:w="720" w:type="dxa"/>
            <w:shd w:val="clear" w:color="auto" w:fill="FFFFFF"/>
            <w:vAlign w:val="center"/>
          </w:tcPr>
          <w:p w:rsidR="00B50B25" w:rsidRPr="00F64312" w:rsidRDefault="00B50B25" w:rsidP="00B50B25">
            <w:pPr>
              <w:spacing w:line="180" w:lineRule="exact"/>
              <w:contextualSpacing/>
              <w:jc w:val="left"/>
              <w:rPr>
                <w:rFonts w:cs="Calibri"/>
                <w:color w:val="auto"/>
                <w:sz w:val="18"/>
              </w:rPr>
            </w:pPr>
            <w:r>
              <w:rPr>
                <w:rFonts w:cs="Calibri"/>
                <w:color w:val="auto"/>
                <w:sz w:val="18"/>
              </w:rPr>
              <w:t>5010-5243</w:t>
            </w:r>
          </w:p>
        </w:tc>
        <w:tc>
          <w:tcPr>
            <w:tcW w:w="720" w:type="dxa"/>
            <w:shd w:val="clear" w:color="auto" w:fill="FFFFFF"/>
            <w:vAlign w:val="center"/>
          </w:tcPr>
          <w:p w:rsidR="00B50B25" w:rsidRPr="00F64312" w:rsidRDefault="00B50B25" w:rsidP="003115B1">
            <w:pPr>
              <w:spacing w:line="180" w:lineRule="exact"/>
              <w:contextualSpacing/>
              <w:rPr>
                <w:rFonts w:cs="Calibri"/>
                <w:color w:val="auto"/>
                <w:sz w:val="18"/>
              </w:rPr>
            </w:pPr>
            <w:r>
              <w:rPr>
                <w:rFonts w:cs="Calibri"/>
                <w:color w:val="auto"/>
                <w:sz w:val="18"/>
              </w:rPr>
              <w:t>20%</w:t>
            </w:r>
          </w:p>
        </w:tc>
        <w:tc>
          <w:tcPr>
            <w:tcW w:w="690" w:type="dxa"/>
            <w:shd w:val="clear" w:color="auto" w:fill="FFFFFF"/>
            <w:vAlign w:val="center"/>
          </w:tcPr>
          <w:p w:rsidR="00B50B25" w:rsidRPr="001F29F9" w:rsidRDefault="00B50B25" w:rsidP="001968BB">
            <w:pPr>
              <w:spacing w:line="220" w:lineRule="exact"/>
              <w:contextualSpacing/>
              <w:rPr>
                <w:rFonts w:cs="Calibri"/>
                <w:color w:val="000000"/>
                <w:sz w:val="18"/>
              </w:rPr>
            </w:pPr>
            <w:r>
              <w:rPr>
                <w:rFonts w:cs="Calibri"/>
                <w:color w:val="000000"/>
                <w:sz w:val="18"/>
              </w:rPr>
              <w:t>STR*</w:t>
            </w:r>
          </w:p>
        </w:tc>
      </w:tr>
      <w:tr w:rsidR="00B50B25" w:rsidRPr="000D5DBE" w:rsidTr="00B50B25">
        <w:trPr>
          <w:trHeight w:val="97"/>
        </w:trPr>
        <w:tc>
          <w:tcPr>
            <w:tcW w:w="2538" w:type="dxa"/>
            <w:tcBorders>
              <w:right w:val="single" w:sz="4" w:space="0" w:color="auto"/>
            </w:tcBorders>
            <w:shd w:val="clear" w:color="auto" w:fill="FFFFFF"/>
            <w:vAlign w:val="center"/>
          </w:tcPr>
          <w:p w:rsidR="00B50B25" w:rsidRPr="001F29F9" w:rsidRDefault="00B50B25" w:rsidP="001968BB">
            <w:pPr>
              <w:spacing w:line="220" w:lineRule="exact"/>
              <w:contextualSpacing/>
              <w:jc w:val="left"/>
              <w:rPr>
                <w:rFonts w:cs="Calibri"/>
                <w:color w:val="000000"/>
                <w:sz w:val="18"/>
              </w:rPr>
            </w:pPr>
            <w:r>
              <w:rPr>
                <w:rFonts w:cs="Calibri"/>
                <w:color w:val="000000"/>
                <w:sz w:val="18"/>
              </w:rPr>
              <w:t>Depression</w:t>
            </w:r>
          </w:p>
        </w:tc>
        <w:tc>
          <w:tcPr>
            <w:tcW w:w="1440" w:type="dxa"/>
            <w:gridSpan w:val="2"/>
            <w:tcBorders>
              <w:left w:val="single" w:sz="4" w:space="0" w:color="auto"/>
              <w:right w:val="thinThickThinSmallGap" w:sz="24" w:space="0" w:color="auto"/>
            </w:tcBorders>
            <w:shd w:val="clear" w:color="auto" w:fill="FFFFFF"/>
            <w:vAlign w:val="center"/>
          </w:tcPr>
          <w:p w:rsidR="00B50B25" w:rsidRPr="00D8352E" w:rsidRDefault="00B50B25" w:rsidP="001968BB">
            <w:pPr>
              <w:spacing w:line="220" w:lineRule="exact"/>
              <w:contextualSpacing/>
              <w:rPr>
                <w:rFonts w:cs="Calibri"/>
                <w:color w:val="000000"/>
                <w:sz w:val="18"/>
              </w:rPr>
            </w:pPr>
            <w:r w:rsidRPr="00D8352E">
              <w:rPr>
                <w:color w:val="000000"/>
                <w:sz w:val="18"/>
              </w:rPr>
              <w:t>Not Unfitting</w:t>
            </w:r>
          </w:p>
        </w:tc>
        <w:tc>
          <w:tcPr>
            <w:tcW w:w="3240" w:type="dxa"/>
            <w:tcBorders>
              <w:left w:val="thinThickThinSmallGap" w:sz="24" w:space="0" w:color="auto"/>
              <w:right w:val="single" w:sz="4" w:space="0" w:color="auto"/>
            </w:tcBorders>
            <w:shd w:val="clear" w:color="auto" w:fill="FFFFFF"/>
            <w:vAlign w:val="center"/>
          </w:tcPr>
          <w:p w:rsidR="00B50B25" w:rsidRPr="00F64312" w:rsidRDefault="00B50B25" w:rsidP="003115B1">
            <w:pPr>
              <w:spacing w:line="180" w:lineRule="exact"/>
              <w:contextualSpacing/>
              <w:jc w:val="left"/>
              <w:rPr>
                <w:color w:val="auto"/>
                <w:sz w:val="18"/>
              </w:rPr>
            </w:pPr>
            <w:r>
              <w:rPr>
                <w:color w:val="auto"/>
                <w:sz w:val="18"/>
              </w:rPr>
              <w:t>Depression w/ Insomnia</w:t>
            </w:r>
          </w:p>
        </w:tc>
        <w:tc>
          <w:tcPr>
            <w:tcW w:w="720" w:type="dxa"/>
            <w:tcBorders>
              <w:left w:val="single" w:sz="4" w:space="0" w:color="auto"/>
            </w:tcBorders>
            <w:shd w:val="clear" w:color="auto" w:fill="FFFFFF"/>
            <w:vAlign w:val="center"/>
          </w:tcPr>
          <w:p w:rsidR="00B50B25" w:rsidRPr="00F64312" w:rsidRDefault="00B50B25" w:rsidP="003115B1">
            <w:pPr>
              <w:spacing w:line="180" w:lineRule="exact"/>
              <w:contextualSpacing/>
              <w:rPr>
                <w:color w:val="auto"/>
                <w:sz w:val="18"/>
              </w:rPr>
            </w:pPr>
            <w:r>
              <w:rPr>
                <w:color w:val="auto"/>
                <w:sz w:val="18"/>
              </w:rPr>
              <w:t>9434</w:t>
            </w:r>
          </w:p>
        </w:tc>
        <w:tc>
          <w:tcPr>
            <w:tcW w:w="720" w:type="dxa"/>
            <w:shd w:val="clear" w:color="auto" w:fill="FFFFFF"/>
            <w:vAlign w:val="center"/>
          </w:tcPr>
          <w:p w:rsidR="00B50B25" w:rsidRPr="00F64312" w:rsidRDefault="00B50B25" w:rsidP="003115B1">
            <w:pPr>
              <w:spacing w:line="180" w:lineRule="exact"/>
              <w:contextualSpacing/>
              <w:rPr>
                <w:color w:val="auto"/>
                <w:sz w:val="18"/>
              </w:rPr>
            </w:pPr>
            <w:r>
              <w:rPr>
                <w:color w:val="auto"/>
                <w:sz w:val="18"/>
              </w:rPr>
              <w:t>30%</w:t>
            </w:r>
          </w:p>
        </w:tc>
        <w:tc>
          <w:tcPr>
            <w:tcW w:w="690" w:type="dxa"/>
            <w:shd w:val="clear" w:color="auto" w:fill="FFFFFF"/>
            <w:vAlign w:val="center"/>
          </w:tcPr>
          <w:p w:rsidR="00B50B25" w:rsidRPr="00D8352E" w:rsidRDefault="00B50B25" w:rsidP="001968BB">
            <w:pPr>
              <w:spacing w:line="220" w:lineRule="exact"/>
              <w:contextualSpacing/>
              <w:rPr>
                <w:rFonts w:cs="Calibri"/>
                <w:color w:val="000000"/>
                <w:sz w:val="18"/>
              </w:rPr>
            </w:pPr>
            <w:r>
              <w:rPr>
                <w:rFonts w:cs="Calibri"/>
                <w:color w:val="000000"/>
                <w:sz w:val="18"/>
              </w:rPr>
              <w:t>STR*</w:t>
            </w:r>
          </w:p>
        </w:tc>
      </w:tr>
      <w:tr w:rsidR="00AD2379" w:rsidRPr="000D5DBE" w:rsidTr="00835B06">
        <w:trPr>
          <w:trHeight w:val="172"/>
        </w:trPr>
        <w:tc>
          <w:tcPr>
            <w:tcW w:w="3978" w:type="dxa"/>
            <w:gridSpan w:val="3"/>
            <w:tcBorders>
              <w:right w:val="thinThickThinSmallGap" w:sz="24" w:space="0" w:color="auto"/>
            </w:tcBorders>
            <w:shd w:val="clear" w:color="auto" w:fill="FFFFFF"/>
            <w:vAlign w:val="center"/>
          </w:tcPr>
          <w:p w:rsidR="00AD2379" w:rsidRPr="001F29F9" w:rsidRDefault="00AD2379" w:rsidP="001968BB">
            <w:pPr>
              <w:spacing w:line="220" w:lineRule="exact"/>
              <w:contextualSpacing/>
              <w:rPr>
                <w:rFonts w:cs="Calibri"/>
                <w:color w:val="000000"/>
                <w:sz w:val="18"/>
              </w:rPr>
            </w:pPr>
            <w:r w:rsidRPr="000D5DBE">
              <w:rPr>
                <w:color w:val="000000"/>
                <w:sz w:val="18"/>
              </w:rPr>
              <w:t>No Additional MEB/PEB Entries</w:t>
            </w:r>
          </w:p>
        </w:tc>
        <w:tc>
          <w:tcPr>
            <w:tcW w:w="4680" w:type="dxa"/>
            <w:gridSpan w:val="3"/>
            <w:tcBorders>
              <w:left w:val="thinThickThinSmallGap" w:sz="24" w:space="0" w:color="auto"/>
            </w:tcBorders>
            <w:shd w:val="clear" w:color="auto" w:fill="FFFFFF"/>
            <w:vAlign w:val="center"/>
          </w:tcPr>
          <w:p w:rsidR="00AD2379" w:rsidRPr="001F29F9" w:rsidRDefault="00B50B25" w:rsidP="001968BB">
            <w:pPr>
              <w:spacing w:line="220" w:lineRule="exact"/>
              <w:contextualSpacing/>
              <w:rPr>
                <w:rFonts w:cs="Calibri"/>
                <w:color w:val="000000"/>
                <w:sz w:val="18"/>
              </w:rPr>
            </w:pPr>
            <w:r>
              <w:rPr>
                <w:color w:val="000000"/>
                <w:sz w:val="18"/>
              </w:rPr>
              <w:t>0% X 3</w:t>
            </w:r>
            <w:r w:rsidR="001968BB">
              <w:rPr>
                <w:color w:val="000000"/>
                <w:sz w:val="18"/>
              </w:rPr>
              <w:t xml:space="preserve"> </w:t>
            </w:r>
            <w:r w:rsidR="00AD2379" w:rsidRPr="000D5DBE">
              <w:rPr>
                <w:color w:val="000000"/>
                <w:sz w:val="18"/>
              </w:rPr>
              <w:t>/</w:t>
            </w:r>
            <w:r w:rsidR="001968BB">
              <w:rPr>
                <w:color w:val="000000"/>
                <w:sz w:val="18"/>
              </w:rPr>
              <w:t xml:space="preserve"> </w:t>
            </w:r>
            <w:r w:rsidR="00AD2379" w:rsidRPr="000D5DBE">
              <w:rPr>
                <w:color w:val="000000"/>
                <w:sz w:val="18"/>
              </w:rPr>
              <w:t xml:space="preserve">Not Service Connected x </w:t>
            </w:r>
            <w:r>
              <w:rPr>
                <w:color w:val="000000"/>
                <w:sz w:val="18"/>
              </w:rPr>
              <w:t>1</w:t>
            </w:r>
          </w:p>
        </w:tc>
        <w:tc>
          <w:tcPr>
            <w:tcW w:w="690" w:type="dxa"/>
            <w:shd w:val="clear" w:color="auto" w:fill="FFFFFF"/>
            <w:vAlign w:val="center"/>
          </w:tcPr>
          <w:p w:rsidR="00AD2379" w:rsidRPr="001F29F9" w:rsidRDefault="00835B06" w:rsidP="001968BB">
            <w:pPr>
              <w:spacing w:line="220" w:lineRule="exact"/>
              <w:contextualSpacing/>
              <w:rPr>
                <w:rFonts w:cs="Calibri"/>
                <w:color w:val="000000"/>
                <w:sz w:val="18"/>
              </w:rPr>
            </w:pPr>
            <w:r>
              <w:rPr>
                <w:rFonts w:cs="Calibri"/>
                <w:color w:val="000000"/>
                <w:sz w:val="18"/>
              </w:rPr>
              <w:t>STR*</w:t>
            </w:r>
          </w:p>
        </w:tc>
      </w:tr>
      <w:tr w:rsidR="00AD2379" w:rsidRPr="000D5DBE" w:rsidTr="00A36444">
        <w:trPr>
          <w:trHeight w:val="124"/>
        </w:trPr>
        <w:tc>
          <w:tcPr>
            <w:tcW w:w="3978" w:type="dxa"/>
            <w:gridSpan w:val="3"/>
            <w:tcBorders>
              <w:right w:val="thinThickThinSmallGap" w:sz="24" w:space="0" w:color="auto"/>
            </w:tcBorders>
            <w:shd w:val="clear" w:color="auto" w:fill="D9D9D9"/>
          </w:tcPr>
          <w:p w:rsidR="00AD2379" w:rsidRPr="000D5DBE" w:rsidRDefault="00B50B25" w:rsidP="001968BB">
            <w:pPr>
              <w:contextualSpacing/>
              <w:rPr>
                <w:rFonts w:cs="Calibri"/>
                <w:b/>
                <w:color w:val="000000"/>
                <w:sz w:val="18"/>
              </w:rPr>
            </w:pPr>
            <w:r>
              <w:rPr>
                <w:b/>
                <w:color w:val="000000"/>
                <w:sz w:val="18"/>
              </w:rPr>
              <w:t>Combined:  2</w:t>
            </w:r>
            <w:r w:rsidR="00AD2379" w:rsidRPr="000D5DBE">
              <w:rPr>
                <w:b/>
                <w:color w:val="000000"/>
                <w:sz w:val="18"/>
              </w:rPr>
              <w:t>0%</w:t>
            </w:r>
          </w:p>
        </w:tc>
        <w:tc>
          <w:tcPr>
            <w:tcW w:w="5370" w:type="dxa"/>
            <w:gridSpan w:val="4"/>
            <w:tcBorders>
              <w:left w:val="thinThickThinSmallGap" w:sz="24" w:space="0" w:color="auto"/>
            </w:tcBorders>
            <w:shd w:val="clear" w:color="auto" w:fill="D9D9D9"/>
          </w:tcPr>
          <w:p w:rsidR="00AD2379" w:rsidRPr="000D5DBE" w:rsidRDefault="00B50B25" w:rsidP="001968BB">
            <w:pPr>
              <w:contextualSpacing/>
              <w:rPr>
                <w:rFonts w:cs="Calibri"/>
                <w:b/>
                <w:color w:val="000000"/>
                <w:sz w:val="18"/>
              </w:rPr>
            </w:pPr>
            <w:r>
              <w:rPr>
                <w:b/>
                <w:color w:val="000000"/>
                <w:sz w:val="18"/>
              </w:rPr>
              <w:t>Combined:  4</w:t>
            </w:r>
            <w:r w:rsidR="00AD2379" w:rsidRPr="000D5DBE">
              <w:rPr>
                <w:b/>
                <w:color w:val="000000"/>
                <w:sz w:val="18"/>
              </w:rPr>
              <w:t>0%</w:t>
            </w:r>
          </w:p>
        </w:tc>
      </w:tr>
    </w:tbl>
    <w:p w:rsidR="00AD2379" w:rsidRPr="00835B06" w:rsidRDefault="00B50B25" w:rsidP="00C16623">
      <w:pPr>
        <w:pBdr>
          <w:bottom w:val="single" w:sz="12" w:space="1" w:color="auto"/>
        </w:pBdr>
        <w:tabs>
          <w:tab w:val="left" w:pos="288"/>
          <w:tab w:val="left" w:pos="4752"/>
        </w:tabs>
        <w:jc w:val="both"/>
        <w:rPr>
          <w:color w:val="000000"/>
        </w:rPr>
      </w:pPr>
      <w:r w:rsidRPr="00BD37C9">
        <w:rPr>
          <w:b/>
          <w:color w:val="auto"/>
          <w:sz w:val="18"/>
        </w:rPr>
        <w:t>*</w:t>
      </w:r>
      <w:r w:rsidR="00835B06" w:rsidRPr="00835B06">
        <w:rPr>
          <w:color w:val="auto"/>
          <w:sz w:val="18"/>
        </w:rPr>
        <w:t xml:space="preserve">Rating from Service </w:t>
      </w:r>
      <w:r w:rsidR="00835B06">
        <w:rPr>
          <w:color w:val="auto"/>
          <w:sz w:val="18"/>
        </w:rPr>
        <w:t xml:space="preserve">treatment </w:t>
      </w:r>
      <w:r w:rsidR="00835B06" w:rsidRPr="00835B06">
        <w:rPr>
          <w:color w:val="auto"/>
          <w:sz w:val="18"/>
        </w:rPr>
        <w:t>record</w:t>
      </w:r>
      <w:r w:rsidR="00835B06">
        <w:rPr>
          <w:color w:val="auto"/>
          <w:sz w:val="18"/>
        </w:rPr>
        <w:t xml:space="preserve"> (STR)</w:t>
      </w:r>
      <w:r w:rsidR="00835B06" w:rsidRPr="00835B06">
        <w:rPr>
          <w:color w:val="auto"/>
          <w:sz w:val="18"/>
        </w:rPr>
        <w:t xml:space="preserve">; no VA </w:t>
      </w:r>
      <w:r w:rsidR="00BD37C9">
        <w:rPr>
          <w:color w:val="auto"/>
          <w:sz w:val="18"/>
        </w:rPr>
        <w:t xml:space="preserve">rating </w:t>
      </w:r>
      <w:r w:rsidR="00835B06" w:rsidRPr="00835B06">
        <w:rPr>
          <w:color w:val="auto"/>
          <w:sz w:val="18"/>
        </w:rPr>
        <w:t>exam</w:t>
      </w:r>
      <w:r w:rsidR="00BD37C9">
        <w:rPr>
          <w:color w:val="auto"/>
          <w:sz w:val="18"/>
        </w:rPr>
        <w:t xml:space="preserve"> proximate to separation</w:t>
      </w:r>
      <w:r w:rsidR="00835B06" w:rsidRPr="00835B06">
        <w:rPr>
          <w:color w:val="auto"/>
          <w:sz w:val="18"/>
        </w:rPr>
        <w:t>.</w:t>
      </w:r>
    </w:p>
    <w:p w:rsidR="00835B06" w:rsidRPr="001F29F9" w:rsidRDefault="00835B06" w:rsidP="00BF0E94">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1F29F9">
        <w:rPr>
          <w:color w:val="000000"/>
          <w:u w:val="single"/>
        </w:rPr>
        <w:t>ANALYSIS SUMMARY</w:t>
      </w:r>
      <w:r w:rsidRPr="001F29F9">
        <w:rPr>
          <w:color w:val="000000"/>
        </w:rPr>
        <w:t>:</w:t>
      </w:r>
      <w:r>
        <w:rPr>
          <w:color w:val="000000"/>
        </w:rPr>
        <w:t xml:space="preserve"> </w:t>
      </w:r>
      <w:r w:rsidR="00835B06">
        <w:rPr>
          <w:color w:val="000000"/>
        </w:rPr>
        <w:t xml:space="preserve"> </w:t>
      </w:r>
      <w:r w:rsidR="00835B06" w:rsidRPr="00835B06">
        <w:rPr>
          <w:color w:val="000000"/>
        </w:rPr>
        <w:t>The Board acknowledges the CI’</w:t>
      </w:r>
      <w:r w:rsidR="003C1A4B">
        <w:rPr>
          <w:color w:val="000000"/>
        </w:rPr>
        <w:t>s contention for rating</w:t>
      </w:r>
      <w:r w:rsidR="00835B06" w:rsidRPr="00835B06">
        <w:rPr>
          <w:color w:val="000000"/>
        </w:rPr>
        <w:t xml:space="preserve"> </w:t>
      </w:r>
      <w:r w:rsidR="00835B06">
        <w:rPr>
          <w:color w:val="000000"/>
        </w:rPr>
        <w:t>of</w:t>
      </w:r>
      <w:r w:rsidR="00835B06" w:rsidRPr="00835B06">
        <w:rPr>
          <w:color w:val="000000"/>
        </w:rPr>
        <w:t xml:space="preserve"> his </w:t>
      </w:r>
      <w:r w:rsidR="00835B06">
        <w:rPr>
          <w:color w:val="000000"/>
        </w:rPr>
        <w:t>psychiatric</w:t>
      </w:r>
      <w:r w:rsidR="00835B06" w:rsidRPr="00835B06">
        <w:rPr>
          <w:color w:val="000000"/>
        </w:rPr>
        <w:t xml:space="preserve"> condition </w:t>
      </w:r>
      <w:r w:rsidR="003C1A4B">
        <w:rPr>
          <w:color w:val="000000"/>
        </w:rPr>
        <w:t>determined to be</w:t>
      </w:r>
      <w:r w:rsidR="00835B06">
        <w:rPr>
          <w:color w:val="000000"/>
        </w:rPr>
        <w:t xml:space="preserve"> not unfitting;</w:t>
      </w:r>
      <w:r w:rsidR="00835B06" w:rsidRPr="00835B06">
        <w:rPr>
          <w:color w:val="000000"/>
        </w:rPr>
        <w:t xml:space="preserve"> an</w:t>
      </w:r>
      <w:r w:rsidR="003C1A4B">
        <w:rPr>
          <w:color w:val="000000"/>
        </w:rPr>
        <w:t>d notes that its recommendation</w:t>
      </w:r>
      <w:r w:rsidR="00835B06" w:rsidRPr="00835B06">
        <w:rPr>
          <w:color w:val="000000"/>
        </w:rPr>
        <w:t xml:space="preserve"> in that regard must comply with governance for the Disability Evaluation System (DES).  While the DES considers all of the service member's medical conditions, compensation can only be offered for those medical conditions that cut short the member’s service career; and the Board’s assessment of fitness determinations is premised on the MOS-specific functional limitations in evidence at the time of separation.  The Department of Veteran Affairs, however, is empowered to compensate service connected conditions and to periodically re-evaluate said conditions for the purpose of adjusting the </w:t>
      </w:r>
      <w:r w:rsidR="00DC6C98">
        <w:rPr>
          <w:color w:val="000000"/>
        </w:rPr>
        <w:t>V</w:t>
      </w:r>
      <w:r w:rsidR="00835B06" w:rsidRPr="00835B06">
        <w:rPr>
          <w:color w:val="000000"/>
        </w:rPr>
        <w:t>eteran’s disability rating should his degree of impairment vary over time.</w:t>
      </w:r>
    </w:p>
    <w:p w:rsidR="00AD2379" w:rsidRPr="001F29F9" w:rsidRDefault="00AD2379" w:rsidP="00B22D42">
      <w:pPr>
        <w:jc w:val="both"/>
        <w:rPr>
          <w:color w:val="000000"/>
          <w:highlight w:val="yellow"/>
        </w:rPr>
      </w:pPr>
    </w:p>
    <w:p w:rsidR="00AD2379" w:rsidRDefault="00835B06" w:rsidP="00B22D42">
      <w:pPr>
        <w:jc w:val="both"/>
        <w:rPr>
          <w:color w:val="000000"/>
        </w:rPr>
      </w:pPr>
      <w:r>
        <w:rPr>
          <w:color w:val="000000"/>
          <w:u w:val="single"/>
        </w:rPr>
        <w:t>Lumbar Spine</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sidR="003C1A4B">
        <w:rPr>
          <w:color w:val="000000"/>
        </w:rPr>
        <w:t xml:space="preserve">The CI’s injury </w:t>
      </w:r>
      <w:r w:rsidR="00C54CB7">
        <w:rPr>
          <w:color w:val="000000"/>
        </w:rPr>
        <w:t xml:space="preserve">(May 2003) </w:t>
      </w:r>
      <w:r w:rsidR="00931BFD">
        <w:rPr>
          <w:color w:val="000000"/>
        </w:rPr>
        <w:t>in Iraq resulted</w:t>
      </w:r>
      <w:r w:rsidR="003C1A4B">
        <w:rPr>
          <w:color w:val="000000"/>
        </w:rPr>
        <w:t xml:space="preserve"> from a vigorous bounce of his </w:t>
      </w:r>
      <w:r w:rsidR="00C54CB7">
        <w:rPr>
          <w:color w:val="000000"/>
        </w:rPr>
        <w:t>truck</w:t>
      </w:r>
      <w:r w:rsidR="003C1A4B">
        <w:rPr>
          <w:color w:val="000000"/>
        </w:rPr>
        <w:t xml:space="preserve">, with hyperextension of his spine when landing back on the seat.  </w:t>
      </w:r>
      <w:r w:rsidR="00C54CB7">
        <w:rPr>
          <w:color w:val="000000"/>
        </w:rPr>
        <w:t>His symptoms were immediate and severe, forcing evacuation from theater.  Magnetic resonance imaging (MRI) in June 2003 reported “</w:t>
      </w:r>
      <w:r w:rsidR="00C54CB7" w:rsidRPr="00C54CB7">
        <w:rPr>
          <w:color w:val="000000"/>
        </w:rPr>
        <w:t>degenerative disk</w:t>
      </w:r>
      <w:r w:rsidR="00C54CB7">
        <w:rPr>
          <w:color w:val="000000"/>
        </w:rPr>
        <w:t xml:space="preserve"> </w:t>
      </w:r>
      <w:r w:rsidR="00C54CB7" w:rsidRPr="00C54CB7">
        <w:rPr>
          <w:color w:val="000000"/>
        </w:rPr>
        <w:t xml:space="preserve">changes of </w:t>
      </w:r>
      <w:r w:rsidR="00C54CB7">
        <w:rPr>
          <w:bCs/>
          <w:color w:val="000000"/>
        </w:rPr>
        <w:t>L4-L5 and L5-S</w:t>
      </w:r>
      <w:r w:rsidR="00C54CB7" w:rsidRPr="00C54CB7">
        <w:rPr>
          <w:bCs/>
          <w:color w:val="000000"/>
        </w:rPr>
        <w:t>1</w:t>
      </w:r>
      <w:r w:rsidR="00C54CB7">
        <w:rPr>
          <w:color w:val="000000"/>
        </w:rPr>
        <w:t>” without “significant disk herniation”.  He suffered persistent back and left leg radicular pain</w:t>
      </w:r>
      <w:r w:rsidR="00A658EA">
        <w:rPr>
          <w:color w:val="000000"/>
        </w:rPr>
        <w:t>,</w:t>
      </w:r>
      <w:r w:rsidR="00C54CB7">
        <w:rPr>
          <w:color w:val="000000"/>
        </w:rPr>
        <w:t xml:space="preserve"> </w:t>
      </w:r>
      <w:r w:rsidR="006351AB">
        <w:rPr>
          <w:color w:val="000000"/>
        </w:rPr>
        <w:t>was administered</w:t>
      </w:r>
      <w:r w:rsidR="00C54CB7">
        <w:rPr>
          <w:color w:val="000000"/>
        </w:rPr>
        <w:t xml:space="preserve"> epidural injections without improvement, and continued to fail </w:t>
      </w:r>
      <w:r w:rsidR="000273BB">
        <w:rPr>
          <w:color w:val="000000"/>
        </w:rPr>
        <w:t>all</w:t>
      </w:r>
      <w:r w:rsidR="006351AB">
        <w:rPr>
          <w:color w:val="000000"/>
        </w:rPr>
        <w:t xml:space="preserve"> </w:t>
      </w:r>
      <w:r w:rsidR="00C54CB7">
        <w:rPr>
          <w:color w:val="000000"/>
        </w:rPr>
        <w:t xml:space="preserve">conservative </w:t>
      </w:r>
      <w:r w:rsidR="000273BB">
        <w:rPr>
          <w:color w:val="000000"/>
        </w:rPr>
        <w:t>measures</w:t>
      </w:r>
      <w:r w:rsidR="00C54CB7">
        <w:rPr>
          <w:color w:val="000000"/>
        </w:rPr>
        <w:t>.</w:t>
      </w:r>
      <w:r w:rsidR="006351AB">
        <w:rPr>
          <w:color w:val="000000"/>
        </w:rPr>
        <w:t xml:space="preserve">  In January 2004 he underwent an L4-L5 diskectomy, which was complicated by an epidural hematoma requiring repeat surgery.  His back and radicular pain did not respond to the surgery or subsequent intensive rehabilitation efforts.  </w:t>
      </w:r>
      <w:r w:rsidR="00A658EA">
        <w:rPr>
          <w:color w:val="000000"/>
        </w:rPr>
        <w:t xml:space="preserve">An electrodiagnostic </w:t>
      </w:r>
      <w:r w:rsidR="00FA215B">
        <w:rPr>
          <w:color w:val="000000"/>
        </w:rPr>
        <w:t xml:space="preserve">(EMG) </w:t>
      </w:r>
      <w:r w:rsidR="00A658EA">
        <w:rPr>
          <w:color w:val="000000"/>
        </w:rPr>
        <w:t>study (6 months pre-sep</w:t>
      </w:r>
      <w:r w:rsidR="00BF6DDB">
        <w:rPr>
          <w:color w:val="000000"/>
        </w:rPr>
        <w:t>aration</w:t>
      </w:r>
      <w:r w:rsidR="00A658EA">
        <w:rPr>
          <w:color w:val="000000"/>
        </w:rPr>
        <w:t xml:space="preserve">) was normal, as were detailed neurologic exam findings at that time.  </w:t>
      </w:r>
      <w:r w:rsidR="003B00BD">
        <w:rPr>
          <w:color w:val="000000"/>
        </w:rPr>
        <w:t xml:space="preserve">A repeat MRI </w:t>
      </w:r>
      <w:r w:rsidR="00931BFD">
        <w:rPr>
          <w:color w:val="000000"/>
        </w:rPr>
        <w:t>showed</w:t>
      </w:r>
      <w:r w:rsidR="003B00BD">
        <w:rPr>
          <w:color w:val="000000"/>
        </w:rPr>
        <w:t xml:space="preserve"> </w:t>
      </w:r>
      <w:r w:rsidR="00931BFD">
        <w:rPr>
          <w:color w:val="000000"/>
        </w:rPr>
        <w:t>usual</w:t>
      </w:r>
      <w:r w:rsidR="003B00BD">
        <w:rPr>
          <w:color w:val="000000"/>
        </w:rPr>
        <w:t xml:space="preserve"> post-operative findings without disk herniation or neural encroachment.  </w:t>
      </w:r>
      <w:r w:rsidR="00385708">
        <w:rPr>
          <w:color w:val="000000"/>
        </w:rPr>
        <w:t>The narrative su</w:t>
      </w:r>
      <w:r w:rsidR="006351AB">
        <w:rPr>
          <w:color w:val="000000"/>
        </w:rPr>
        <w:t xml:space="preserve">mmary (NARSUM) noted intractable pain </w:t>
      </w:r>
      <w:r w:rsidR="000273BB">
        <w:rPr>
          <w:color w:val="000000"/>
        </w:rPr>
        <w:t>of “moderate intensity” (</w:t>
      </w:r>
      <w:r w:rsidR="006351AB">
        <w:rPr>
          <w:color w:val="000000"/>
        </w:rPr>
        <w:t>rated 3-4/10</w:t>
      </w:r>
      <w:r w:rsidR="000273BB">
        <w:rPr>
          <w:color w:val="000000"/>
        </w:rPr>
        <w:t>)</w:t>
      </w:r>
      <w:r w:rsidR="006351AB">
        <w:rPr>
          <w:color w:val="000000"/>
        </w:rPr>
        <w:t xml:space="preserve"> with 75% of it referred to the radicular </w:t>
      </w:r>
      <w:r w:rsidR="00931BFD">
        <w:rPr>
          <w:color w:val="000000"/>
        </w:rPr>
        <w:t>distribution</w:t>
      </w:r>
      <w:r w:rsidR="006351AB">
        <w:rPr>
          <w:color w:val="000000"/>
        </w:rPr>
        <w:t xml:space="preserve">.  </w:t>
      </w:r>
      <w:r w:rsidR="00931BFD">
        <w:rPr>
          <w:color w:val="000000"/>
        </w:rPr>
        <w:t xml:space="preserve">Sensory symptoms (paresthesias) were also documented.  </w:t>
      </w:r>
      <w:r w:rsidR="005E4EE0">
        <w:rPr>
          <w:color w:val="000000"/>
        </w:rPr>
        <w:t>It was noted that social and activities of daily living were unaffected, but that pain interfered with sleep</w:t>
      </w:r>
      <w:r w:rsidR="000273BB">
        <w:rPr>
          <w:color w:val="000000"/>
        </w:rPr>
        <w:t>;</w:t>
      </w:r>
      <w:r w:rsidR="005E4EE0">
        <w:rPr>
          <w:color w:val="000000"/>
        </w:rPr>
        <w:t xml:space="preserve"> and </w:t>
      </w:r>
      <w:r w:rsidR="00405FA6">
        <w:rPr>
          <w:color w:val="000000"/>
        </w:rPr>
        <w:t>that the CI</w:t>
      </w:r>
      <w:r w:rsidR="005E4EE0">
        <w:rPr>
          <w:color w:val="000000"/>
        </w:rPr>
        <w:t xml:space="preserve"> was unable to walk two miles </w:t>
      </w:r>
      <w:r w:rsidR="000273BB">
        <w:rPr>
          <w:color w:val="000000"/>
        </w:rPr>
        <w:t>in battle</w:t>
      </w:r>
      <w:r w:rsidR="005E4EE0">
        <w:rPr>
          <w:color w:val="000000"/>
        </w:rPr>
        <w:t xml:space="preserve"> gear.</w:t>
      </w:r>
      <w:r w:rsidR="00405FA6">
        <w:rPr>
          <w:color w:val="000000"/>
        </w:rPr>
        <w:t xml:space="preserve">  The NARSUM exam documented that the CI was ambulating with a “left limp”.  An outpatient note a month later documented </w:t>
      </w:r>
      <w:r w:rsidR="00B405C4">
        <w:rPr>
          <w:color w:val="000000"/>
        </w:rPr>
        <w:t xml:space="preserve">a more exaggerated limp </w:t>
      </w:r>
      <w:r w:rsidR="00931BFD">
        <w:rPr>
          <w:color w:val="000000"/>
        </w:rPr>
        <w:t>and</w:t>
      </w:r>
      <w:r w:rsidR="00B405C4">
        <w:rPr>
          <w:color w:val="000000"/>
        </w:rPr>
        <w:t xml:space="preserve"> moaning in the examiner’s presence</w:t>
      </w:r>
      <w:r w:rsidR="00931BFD">
        <w:rPr>
          <w:color w:val="000000"/>
        </w:rPr>
        <w:t>, but not present when</w:t>
      </w:r>
      <w:r w:rsidR="00B405C4">
        <w:rPr>
          <w:color w:val="000000"/>
        </w:rPr>
        <w:t xml:space="preserve"> observed </w:t>
      </w:r>
      <w:r w:rsidR="00931BFD">
        <w:rPr>
          <w:color w:val="000000"/>
        </w:rPr>
        <w:t>surreptitiously</w:t>
      </w:r>
      <w:r w:rsidR="00B405C4">
        <w:rPr>
          <w:color w:val="000000"/>
        </w:rPr>
        <w:t xml:space="preserve">.  The same provider, who continued to follow the CI </w:t>
      </w:r>
      <w:r w:rsidR="00BF6DDB">
        <w:rPr>
          <w:color w:val="000000"/>
        </w:rPr>
        <w:t>2</w:t>
      </w:r>
      <w:r w:rsidR="00B405C4">
        <w:rPr>
          <w:color w:val="000000"/>
        </w:rPr>
        <w:t xml:space="preserve"> months after separation, documented</w:t>
      </w:r>
      <w:r w:rsidR="00931BFD">
        <w:rPr>
          <w:color w:val="000000"/>
        </w:rPr>
        <w:t>,</w:t>
      </w:r>
      <w:r w:rsidR="00B405C4">
        <w:rPr>
          <w:color w:val="000000"/>
        </w:rPr>
        <w:t xml:space="preserve"> “</w:t>
      </w:r>
      <w:r w:rsidR="00766505" w:rsidRPr="00B405C4">
        <w:rPr>
          <w:color w:val="000000"/>
        </w:rPr>
        <w:t>Previous severe gait abnormality requiring use of cane for last 12 months complet</w:t>
      </w:r>
      <w:r w:rsidR="00766505">
        <w:rPr>
          <w:color w:val="000000"/>
        </w:rPr>
        <w:t xml:space="preserve">ely resolved on today’s visit - </w:t>
      </w:r>
      <w:r w:rsidR="00766505" w:rsidRPr="00B405C4">
        <w:rPr>
          <w:color w:val="000000"/>
        </w:rPr>
        <w:t>no</w:t>
      </w:r>
      <w:r w:rsidR="00766505">
        <w:rPr>
          <w:color w:val="000000"/>
        </w:rPr>
        <w:t xml:space="preserve"> </w:t>
      </w:r>
      <w:r w:rsidR="00766505" w:rsidRPr="00B405C4">
        <w:rPr>
          <w:bCs/>
          <w:color w:val="000000"/>
        </w:rPr>
        <w:t>limp today and not using cane</w:t>
      </w:r>
      <w:r w:rsidR="00766505">
        <w:rPr>
          <w:bCs/>
          <w:color w:val="000000"/>
        </w:rPr>
        <w:t>.</w:t>
      </w:r>
      <w:r w:rsidR="00B405C4">
        <w:rPr>
          <w:color w:val="000000"/>
        </w:rPr>
        <w:t>”</w:t>
      </w:r>
      <w:r w:rsidR="00D074E4">
        <w:rPr>
          <w:color w:val="000000"/>
        </w:rPr>
        <w:t xml:space="preserve"> </w:t>
      </w:r>
      <w:r w:rsidR="000273BB">
        <w:rPr>
          <w:color w:val="000000"/>
        </w:rPr>
        <w:t xml:space="preserve"> The NARSUM exam did not comment on spinal spasm and tenderness.  </w:t>
      </w:r>
      <w:r w:rsidR="00F006D6">
        <w:rPr>
          <w:color w:val="000000"/>
        </w:rPr>
        <w:t xml:space="preserve">Significant neurologic findings included asymmetric </w:t>
      </w:r>
      <w:r w:rsidR="00931BFD">
        <w:rPr>
          <w:color w:val="000000"/>
        </w:rPr>
        <w:t>A</w:t>
      </w:r>
      <w:r w:rsidR="00970B7E">
        <w:rPr>
          <w:color w:val="000000"/>
        </w:rPr>
        <w:t>chilles’ reflex</w:t>
      </w:r>
      <w:r w:rsidR="00F006D6">
        <w:rPr>
          <w:color w:val="000000"/>
        </w:rPr>
        <w:t xml:space="preserve"> favoring the right</w:t>
      </w:r>
      <w:r w:rsidR="00970B7E">
        <w:rPr>
          <w:color w:val="000000"/>
        </w:rPr>
        <w:t>; and the following,</w:t>
      </w:r>
      <w:r w:rsidR="00F006D6">
        <w:rPr>
          <w:color w:val="000000"/>
        </w:rPr>
        <w:t xml:space="preserve"> “</w:t>
      </w:r>
      <w:r w:rsidR="00970B7E" w:rsidRPr="00970B7E">
        <w:rPr>
          <w:color w:val="000000"/>
        </w:rPr>
        <w:t xml:space="preserve">Motor strength of the patient's right lower limb is grade </w:t>
      </w:r>
      <w:r w:rsidR="00970B7E" w:rsidRPr="00970B7E">
        <w:rPr>
          <w:bCs/>
          <w:color w:val="000000"/>
        </w:rPr>
        <w:t xml:space="preserve">5 over 5 </w:t>
      </w:r>
      <w:r w:rsidR="00970B7E" w:rsidRPr="00970B7E">
        <w:rPr>
          <w:color w:val="000000"/>
        </w:rPr>
        <w:t>(normal) on detailed testing.</w:t>
      </w:r>
      <w:r w:rsidR="00970B7E">
        <w:rPr>
          <w:color w:val="000000"/>
        </w:rPr>
        <w:t xml:space="preserve">  </w:t>
      </w:r>
      <w:r w:rsidR="00970B7E" w:rsidRPr="00F006D6">
        <w:rPr>
          <w:color w:val="000000"/>
        </w:rPr>
        <w:t>Motor strength in his left lower limb revealed obvious give-way weakness of his left hip flexors, left quadriceps</w:t>
      </w:r>
      <w:r w:rsidR="00970B7E">
        <w:rPr>
          <w:color w:val="000000"/>
        </w:rPr>
        <w:t xml:space="preserve"> </w:t>
      </w:r>
      <w:r w:rsidR="00970B7E" w:rsidRPr="00F006D6">
        <w:rPr>
          <w:color w:val="000000"/>
        </w:rPr>
        <w:t xml:space="preserve">and left hamstring grade </w:t>
      </w:r>
      <w:r w:rsidR="00970B7E" w:rsidRPr="00F006D6">
        <w:rPr>
          <w:bCs/>
          <w:color w:val="000000"/>
        </w:rPr>
        <w:t xml:space="preserve">4 </w:t>
      </w:r>
      <w:r w:rsidR="00970B7E" w:rsidRPr="00F006D6">
        <w:rPr>
          <w:color w:val="000000"/>
        </w:rPr>
        <w:t>over 5</w:t>
      </w:r>
      <w:r w:rsidR="00931BFD">
        <w:rPr>
          <w:color w:val="000000"/>
        </w:rPr>
        <w:t xml:space="preserve"> </w:t>
      </w:r>
      <w:r w:rsidR="00970B7E" w:rsidRPr="00F006D6">
        <w:rPr>
          <w:color w:val="000000"/>
        </w:rPr>
        <w:t>-</w:t>
      </w:r>
      <w:r w:rsidR="00931BFD">
        <w:rPr>
          <w:color w:val="000000"/>
        </w:rPr>
        <w:t xml:space="preserve"> </w:t>
      </w:r>
      <w:r w:rsidR="00970B7E" w:rsidRPr="00F006D6">
        <w:rPr>
          <w:color w:val="000000"/>
        </w:rPr>
        <w:t>with give-way weakness.</w:t>
      </w:r>
      <w:r w:rsidR="00931BFD">
        <w:rPr>
          <w:color w:val="000000"/>
        </w:rPr>
        <w:t xml:space="preserve"> </w:t>
      </w:r>
      <w:r w:rsidR="00970B7E" w:rsidRPr="00F006D6">
        <w:rPr>
          <w:color w:val="000000"/>
        </w:rPr>
        <w:t xml:space="preserve"> He has normal motor grade </w:t>
      </w:r>
      <w:r w:rsidR="00970B7E" w:rsidRPr="00F006D6">
        <w:rPr>
          <w:bCs/>
          <w:color w:val="000000"/>
        </w:rPr>
        <w:t xml:space="preserve">5 over 5 </w:t>
      </w:r>
      <w:r w:rsidR="00970B7E" w:rsidRPr="00F006D6">
        <w:rPr>
          <w:color w:val="000000"/>
        </w:rPr>
        <w:t>for the left</w:t>
      </w:r>
      <w:r w:rsidR="00970B7E">
        <w:rPr>
          <w:color w:val="000000"/>
        </w:rPr>
        <w:t xml:space="preserve"> [lists all flexor and extensor groups of the lower leg].</w:t>
      </w:r>
      <w:r w:rsidR="00F006D6">
        <w:rPr>
          <w:color w:val="000000"/>
        </w:rPr>
        <w:t>”</w:t>
      </w:r>
      <w:r w:rsidR="00970B7E">
        <w:rPr>
          <w:color w:val="000000"/>
        </w:rPr>
        <w:t xml:space="preserve">  Sensory findings were not specifically recorded, but were characterized as “non</w:t>
      </w:r>
      <w:r w:rsidR="00931BFD">
        <w:rPr>
          <w:color w:val="000000"/>
        </w:rPr>
        <w:t>-</w:t>
      </w:r>
      <w:r w:rsidR="00970B7E">
        <w:rPr>
          <w:color w:val="000000"/>
        </w:rPr>
        <w:t>a</w:t>
      </w:r>
      <w:r w:rsidR="00931BFD">
        <w:rPr>
          <w:color w:val="000000"/>
        </w:rPr>
        <w:t>na</w:t>
      </w:r>
      <w:r w:rsidR="00970B7E">
        <w:rPr>
          <w:color w:val="000000"/>
        </w:rPr>
        <w:t xml:space="preserve">tomic” in the </w:t>
      </w:r>
      <w:r w:rsidR="00970B7E">
        <w:rPr>
          <w:color w:val="000000"/>
        </w:rPr>
        <w:lastRenderedPageBreak/>
        <w:t xml:space="preserve">diagnostic conclusions.  Range-of-motion (ROM) measurements provided for the MEB by </w:t>
      </w:r>
      <w:r w:rsidR="001B07A7">
        <w:rPr>
          <w:color w:val="000000"/>
        </w:rPr>
        <w:t xml:space="preserve">physical therapy were 60⁰ active flexion and 225⁰ combined, without comment on painful motion.  </w:t>
      </w:r>
      <w:r w:rsidR="00970B7E">
        <w:rPr>
          <w:color w:val="000000"/>
        </w:rPr>
        <w:t>As footnoted in the rating chart, there is no comparison VA rating evidence proximate to separation in this case.</w:t>
      </w:r>
    </w:p>
    <w:p w:rsidR="00DF6D5F" w:rsidRDefault="00DF6D5F" w:rsidP="001B07A7">
      <w:pPr>
        <w:jc w:val="both"/>
        <w:rPr>
          <w:rFonts w:cs="Times New Roman"/>
          <w:color w:val="auto"/>
        </w:rPr>
      </w:pPr>
    </w:p>
    <w:p w:rsidR="001B07A7" w:rsidRDefault="00AD2379" w:rsidP="001B07A7">
      <w:pPr>
        <w:jc w:val="both"/>
        <w:rPr>
          <w:color w:val="000000"/>
          <w:szCs w:val="24"/>
        </w:rPr>
      </w:pPr>
      <w:r w:rsidRPr="009A7578">
        <w:rPr>
          <w:rFonts w:cs="Times New Roman"/>
          <w:color w:val="auto"/>
        </w:rPr>
        <w:t>The Board directs attenti</w:t>
      </w:r>
      <w:r w:rsidR="00782CC1">
        <w:rPr>
          <w:rFonts w:cs="Times New Roman"/>
          <w:color w:val="auto"/>
        </w:rPr>
        <w:t>on to its rating recommendation</w:t>
      </w:r>
      <w:r w:rsidRPr="009A7578">
        <w:rPr>
          <w:rFonts w:cs="Times New Roman"/>
          <w:color w:val="auto"/>
        </w:rPr>
        <w:t xml:space="preserve"> </w:t>
      </w:r>
      <w:r w:rsidR="00B13A51">
        <w:rPr>
          <w:rFonts w:cs="Times New Roman"/>
          <w:color w:val="auto"/>
        </w:rPr>
        <w:t>based on the above evidence</w:t>
      </w:r>
      <w:r w:rsidRPr="009A7578">
        <w:rPr>
          <w:rFonts w:cs="Times New Roman"/>
          <w:color w:val="auto"/>
        </w:rPr>
        <w:t xml:space="preserve">. </w:t>
      </w:r>
      <w:r w:rsidR="00192392">
        <w:rPr>
          <w:rFonts w:cs="Times New Roman"/>
          <w:color w:val="auto"/>
        </w:rPr>
        <w:t xml:space="preserve"> </w:t>
      </w:r>
      <w:r w:rsidR="001B07A7">
        <w:rPr>
          <w:rFonts w:cs="Times New Roman"/>
          <w:color w:val="auto"/>
        </w:rPr>
        <w:t xml:space="preserve">The PEB’s DA Form 199 accurately referenced antalgic gait in support of its 20% rating, although the flexion of 60⁰ is itself a 20% criterion IAW the </w:t>
      </w:r>
      <w:r w:rsidR="001B07A7" w:rsidRPr="00C50329">
        <w:rPr>
          <w:color w:val="000000"/>
          <w:szCs w:val="24"/>
        </w:rPr>
        <w:t>VASRD §4.71a general rating formula for the spine</w:t>
      </w:r>
      <w:r w:rsidR="001B07A7">
        <w:rPr>
          <w:rFonts w:cs="Times New Roman"/>
          <w:color w:val="auto"/>
        </w:rPr>
        <w:t xml:space="preserve">.  </w:t>
      </w:r>
      <w:r w:rsidR="001B07A7" w:rsidRPr="00491733">
        <w:rPr>
          <w:color w:val="000000"/>
          <w:szCs w:val="24"/>
        </w:rPr>
        <w:t xml:space="preserve">There was no documentation of incapacitating episodes in this case which would provide for </w:t>
      </w:r>
      <w:r w:rsidR="00085F31">
        <w:rPr>
          <w:color w:val="000000"/>
          <w:szCs w:val="24"/>
        </w:rPr>
        <w:t>a</w:t>
      </w:r>
      <w:r w:rsidR="001B07A7" w:rsidRPr="00491733">
        <w:rPr>
          <w:color w:val="000000"/>
          <w:szCs w:val="24"/>
        </w:rPr>
        <w:t xml:space="preserve"> higher rating</w:t>
      </w:r>
      <w:r w:rsidR="00085F31">
        <w:rPr>
          <w:color w:val="000000"/>
          <w:szCs w:val="24"/>
        </w:rPr>
        <w:t xml:space="preserve"> under that formula</w:t>
      </w:r>
      <w:r w:rsidR="001B07A7" w:rsidRPr="00491733">
        <w:rPr>
          <w:color w:val="000000"/>
          <w:szCs w:val="24"/>
        </w:rPr>
        <w:t>.</w:t>
      </w:r>
      <w:r w:rsidR="00085F31">
        <w:rPr>
          <w:color w:val="000000"/>
          <w:szCs w:val="24"/>
        </w:rPr>
        <w:t xml:space="preserve">  Thus the intrinsic spine rating was appropriately assigned as 20% by the PEB.</w:t>
      </w:r>
    </w:p>
    <w:p w:rsidR="00085F31" w:rsidRDefault="00085F31" w:rsidP="001B07A7">
      <w:pPr>
        <w:jc w:val="both"/>
        <w:rPr>
          <w:color w:val="000000"/>
          <w:szCs w:val="24"/>
        </w:rPr>
      </w:pPr>
    </w:p>
    <w:p w:rsidR="00DF6D5F" w:rsidRPr="001B0127" w:rsidRDefault="00085F31" w:rsidP="00DF6D5F">
      <w:pPr>
        <w:jc w:val="both"/>
        <w:rPr>
          <w:rFonts w:cs="Times New Roman"/>
          <w:color w:val="auto"/>
        </w:rPr>
      </w:pPr>
      <w:r>
        <w:rPr>
          <w:color w:val="000000"/>
          <w:szCs w:val="24"/>
        </w:rPr>
        <w:t xml:space="preserve">The Board carefully considered whether additional rating for sciatic radiculopathy was appropriately recommended in this case.  As </w:t>
      </w:r>
      <w:r w:rsidR="00FF2A08">
        <w:rPr>
          <w:color w:val="000000"/>
          <w:szCs w:val="24"/>
        </w:rPr>
        <w:t xml:space="preserve">previously </w:t>
      </w:r>
      <w:r>
        <w:rPr>
          <w:color w:val="000000"/>
          <w:szCs w:val="24"/>
        </w:rPr>
        <w:t xml:space="preserve">noted, a separate sciatic condition </w:t>
      </w:r>
      <w:r w:rsidR="00FF2A08">
        <w:rPr>
          <w:color w:val="000000"/>
          <w:szCs w:val="24"/>
        </w:rPr>
        <w:t>(judged</w:t>
      </w:r>
      <w:r>
        <w:rPr>
          <w:color w:val="000000"/>
          <w:szCs w:val="24"/>
        </w:rPr>
        <w:t xml:space="preserve"> medically unacceptable</w:t>
      </w:r>
      <w:r w:rsidR="00FF2A08">
        <w:rPr>
          <w:color w:val="000000"/>
          <w:szCs w:val="24"/>
        </w:rPr>
        <w:t>)</w:t>
      </w:r>
      <w:r>
        <w:rPr>
          <w:color w:val="000000"/>
          <w:szCs w:val="24"/>
        </w:rPr>
        <w:t xml:space="preserve"> was forwarded to the PEB for adjudication.  The </w:t>
      </w:r>
      <w:r w:rsidR="00FF2A08">
        <w:rPr>
          <w:color w:val="000000"/>
          <w:szCs w:val="24"/>
        </w:rPr>
        <w:t xml:space="preserve">PEB’s </w:t>
      </w:r>
      <w:r>
        <w:rPr>
          <w:color w:val="000000"/>
          <w:szCs w:val="24"/>
        </w:rPr>
        <w:t xml:space="preserve">DA Form 199 </w:t>
      </w:r>
      <w:r w:rsidR="00FF2A08">
        <w:rPr>
          <w:color w:val="000000"/>
          <w:szCs w:val="24"/>
        </w:rPr>
        <w:t>read</w:t>
      </w:r>
      <w:r w:rsidR="009673E2">
        <w:rPr>
          <w:color w:val="000000"/>
          <w:szCs w:val="24"/>
        </w:rPr>
        <w:t xml:space="preserve">, “[Disk Condition] without neurologic abnormality even in the face of left lower extremity “give-way” weakness.  Electrodiagnostic study normal.”  </w:t>
      </w:r>
      <w:r w:rsidR="00DF6D5F" w:rsidRPr="00DF6D5F">
        <w:rPr>
          <w:rFonts w:cs="Times New Roman"/>
          <w:color w:val="auto"/>
        </w:rPr>
        <w:t>Firm Board precedence requires a functional impairment tied to fitness to support a recommendation for addition of a peripheral nerve rating to disability in spine cases.  The pain component of a radiculopathy is subsumed under the general spin</w:t>
      </w:r>
      <w:r w:rsidR="00DF6D5F">
        <w:rPr>
          <w:rFonts w:cs="Times New Roman"/>
          <w:color w:val="auto"/>
        </w:rPr>
        <w:t>e rating as specified in §4.71a, “w</w:t>
      </w:r>
      <w:r w:rsidR="00DF6D5F" w:rsidRPr="00DF6D5F">
        <w:rPr>
          <w:rFonts w:cs="Times New Roman"/>
          <w:color w:val="auto"/>
        </w:rPr>
        <w:t>ith or without symptoms such as pain (whether or not it radiates</w:t>
      </w:r>
      <w:r w:rsidR="00DF6D5F">
        <w:rPr>
          <w:rFonts w:cs="Times New Roman"/>
          <w:color w:val="auto"/>
        </w:rPr>
        <w:t xml:space="preserve">)”.  Therefore even though the radiculopathy contributed the lion’s share of the CI’s pain, this will not underpin a separate rating.  </w:t>
      </w:r>
      <w:r w:rsidR="00DF6D5F" w:rsidRPr="00DF6D5F">
        <w:rPr>
          <w:rFonts w:cs="Times New Roman"/>
          <w:color w:val="auto"/>
        </w:rPr>
        <w:t xml:space="preserve">The sensory component in this case </w:t>
      </w:r>
      <w:r w:rsidR="00DF6D5F">
        <w:rPr>
          <w:rFonts w:cs="Times New Roman"/>
          <w:color w:val="auto"/>
        </w:rPr>
        <w:t>had</w:t>
      </w:r>
      <w:r w:rsidR="00DF6D5F" w:rsidRPr="00DF6D5F">
        <w:rPr>
          <w:rFonts w:cs="Times New Roman"/>
          <w:color w:val="auto"/>
        </w:rPr>
        <w:t xml:space="preserve"> no functional implications</w:t>
      </w:r>
      <w:r w:rsidR="00DF6D5F">
        <w:rPr>
          <w:rFonts w:cs="Times New Roman"/>
          <w:color w:val="auto"/>
        </w:rPr>
        <w:t>.</w:t>
      </w:r>
      <w:r w:rsidR="00DF6D5F" w:rsidRPr="00DF6D5F">
        <w:rPr>
          <w:rFonts w:cs="Times New Roman"/>
          <w:color w:val="auto"/>
        </w:rPr>
        <w:t xml:space="preserve"> </w:t>
      </w:r>
      <w:r w:rsidR="00AD1491">
        <w:rPr>
          <w:rFonts w:cs="Times New Roman"/>
          <w:color w:val="auto"/>
        </w:rPr>
        <w:t xml:space="preserve"> The most deliberable issue is whether there was motor weakness sufficient to interfere with the performance of MOS requirements.  The finding of give-way weakness is an equivocal </w:t>
      </w:r>
      <w:r w:rsidR="005C348A">
        <w:rPr>
          <w:rFonts w:cs="Times New Roman"/>
          <w:color w:val="auto"/>
        </w:rPr>
        <w:t xml:space="preserve">sign of diminished strength, since it is </w:t>
      </w:r>
      <w:r w:rsidR="00F82E09" w:rsidRPr="00F82E09">
        <w:rPr>
          <w:rFonts w:cs="Times New Roman"/>
          <w:color w:val="auto"/>
        </w:rPr>
        <w:t xml:space="preserve">not infrequently </w:t>
      </w:r>
      <w:r w:rsidR="005C348A">
        <w:rPr>
          <w:rFonts w:cs="Times New Roman"/>
          <w:color w:val="auto"/>
        </w:rPr>
        <w:t xml:space="preserve">caused by pain response or voluntary withdrawal of effort rather than rapid fatigability.  In light of the normal </w:t>
      </w:r>
      <w:r w:rsidR="00FA215B">
        <w:rPr>
          <w:rFonts w:cs="Times New Roman"/>
          <w:color w:val="auto"/>
        </w:rPr>
        <w:t>EMG</w:t>
      </w:r>
      <w:r w:rsidR="005C348A">
        <w:rPr>
          <w:rFonts w:cs="Times New Roman"/>
          <w:color w:val="auto"/>
        </w:rPr>
        <w:t xml:space="preserve"> and previously normal neurologic testing, and the cited evidence for suspected psychological </w:t>
      </w:r>
      <w:r w:rsidR="001B0127">
        <w:rPr>
          <w:rFonts w:cs="Times New Roman"/>
          <w:color w:val="auto"/>
        </w:rPr>
        <w:t>overlay</w:t>
      </w:r>
      <w:r w:rsidR="005C348A">
        <w:rPr>
          <w:rFonts w:cs="Times New Roman"/>
          <w:color w:val="auto"/>
        </w:rPr>
        <w:t xml:space="preserve">; members agreed that the probative value of the </w:t>
      </w:r>
      <w:r w:rsidR="001B0127">
        <w:rPr>
          <w:rFonts w:cs="Times New Roman"/>
          <w:color w:val="auto"/>
        </w:rPr>
        <w:t xml:space="preserve">evidence for give-way weakness was </w:t>
      </w:r>
      <w:r w:rsidR="00FF2A08">
        <w:rPr>
          <w:rFonts w:cs="Times New Roman"/>
          <w:color w:val="auto"/>
        </w:rPr>
        <w:t>not enough</w:t>
      </w:r>
      <w:r w:rsidR="001B0127">
        <w:rPr>
          <w:rFonts w:cs="Times New Roman"/>
          <w:color w:val="auto"/>
        </w:rPr>
        <w:t xml:space="preserve"> to confirm functionally significant motor weakness.  Although the existence of a peripheral neuropathy is undeniable, its functional consequences were unlikely to have impinged on fitness.  </w:t>
      </w:r>
      <w:r w:rsidR="00DF6D5F" w:rsidRPr="00DF6D5F">
        <w:rPr>
          <w:rFonts w:cs="Times New Roman"/>
          <w:color w:val="auto"/>
        </w:rPr>
        <w:t xml:space="preserve">There is thus </w:t>
      </w:r>
      <w:r w:rsidR="001B0127">
        <w:rPr>
          <w:rFonts w:cs="Times New Roman"/>
          <w:color w:val="auto"/>
        </w:rPr>
        <w:t>insufficient</w:t>
      </w:r>
      <w:r w:rsidR="00DF6D5F" w:rsidRPr="00DF6D5F">
        <w:rPr>
          <w:rFonts w:cs="Times New Roman"/>
          <w:color w:val="auto"/>
        </w:rPr>
        <w:t xml:space="preserve"> evidence of separately ratable </w:t>
      </w:r>
      <w:r w:rsidR="001B0127">
        <w:rPr>
          <w:rFonts w:cs="Times New Roman"/>
          <w:color w:val="auto"/>
        </w:rPr>
        <w:t>disability</w:t>
      </w:r>
      <w:r w:rsidR="00DF6D5F" w:rsidRPr="00DF6D5F">
        <w:rPr>
          <w:rFonts w:cs="Times New Roman"/>
          <w:color w:val="auto"/>
        </w:rPr>
        <w:t xml:space="preserve"> </w:t>
      </w:r>
      <w:r w:rsidR="001B0127">
        <w:rPr>
          <w:rFonts w:cs="Times New Roman"/>
          <w:color w:val="auto"/>
        </w:rPr>
        <w:t>from the residual radiculopathy which would support a</w:t>
      </w:r>
      <w:r w:rsidR="00DF6D5F" w:rsidRPr="00DF6D5F">
        <w:rPr>
          <w:rFonts w:cs="Times New Roman"/>
          <w:color w:val="auto"/>
        </w:rPr>
        <w:t xml:space="preserve"> Board recommendation for additional rating on this basis.</w:t>
      </w:r>
      <w:r w:rsidR="00F82E09">
        <w:rPr>
          <w:rFonts w:cs="Times New Roman"/>
          <w:color w:val="auto"/>
        </w:rPr>
        <w:t xml:space="preserve">  </w:t>
      </w:r>
    </w:p>
    <w:p w:rsidR="00F82E09" w:rsidRDefault="00F82E09" w:rsidP="00792790">
      <w:pPr>
        <w:jc w:val="both"/>
        <w:rPr>
          <w:rFonts w:eastAsia="Calibri" w:cs="Times New Roman"/>
          <w:color w:val="auto"/>
          <w:szCs w:val="24"/>
        </w:rPr>
      </w:pPr>
    </w:p>
    <w:p w:rsidR="00F82E09" w:rsidRDefault="00792790" w:rsidP="00792790">
      <w:pPr>
        <w:jc w:val="both"/>
        <w:rPr>
          <w:rFonts w:eastAsia="Calibri" w:cs="Times New Roman"/>
          <w:color w:val="auto"/>
          <w:szCs w:val="24"/>
        </w:rPr>
      </w:pPr>
      <w:r w:rsidRPr="00792790">
        <w:rPr>
          <w:rFonts w:eastAsia="Calibri" w:cs="Times New Roman"/>
          <w:color w:val="auto"/>
          <w:szCs w:val="24"/>
          <w:u w:val="single"/>
        </w:rPr>
        <w:t xml:space="preserve">Contended </w:t>
      </w:r>
      <w:r w:rsidR="00F82E09">
        <w:rPr>
          <w:rFonts w:eastAsia="Calibri" w:cs="Times New Roman"/>
          <w:color w:val="auto"/>
          <w:szCs w:val="24"/>
          <w:u w:val="single"/>
        </w:rPr>
        <w:t>Psychiatric</w:t>
      </w:r>
      <w:r w:rsidRPr="00792790">
        <w:rPr>
          <w:rFonts w:eastAsia="Calibri" w:cs="Times New Roman"/>
          <w:color w:val="auto"/>
          <w:szCs w:val="24"/>
          <w:u w:val="single"/>
        </w:rPr>
        <w:t xml:space="preserve"> Condition</w:t>
      </w:r>
      <w:r>
        <w:rPr>
          <w:rFonts w:eastAsia="Calibri" w:cs="Times New Roman"/>
          <w:color w:val="auto"/>
          <w:szCs w:val="24"/>
        </w:rPr>
        <w:t xml:space="preserve">.  </w:t>
      </w:r>
      <w:r w:rsidR="00F82E09">
        <w:rPr>
          <w:rFonts w:eastAsia="Calibri" w:cs="Times New Roman"/>
          <w:color w:val="auto"/>
          <w:szCs w:val="24"/>
        </w:rPr>
        <w:t xml:space="preserve">VA records well after separation document an onset of depression in the military related to </w:t>
      </w:r>
      <w:r w:rsidR="00563648">
        <w:rPr>
          <w:rFonts w:eastAsia="Calibri" w:cs="Times New Roman"/>
          <w:color w:val="auto"/>
          <w:szCs w:val="24"/>
        </w:rPr>
        <w:t>“</w:t>
      </w:r>
      <w:r w:rsidR="00F82E09">
        <w:rPr>
          <w:rFonts w:eastAsia="Calibri" w:cs="Times New Roman"/>
          <w:color w:val="auto"/>
          <w:szCs w:val="24"/>
        </w:rPr>
        <w:t>combat stress</w:t>
      </w:r>
      <w:r w:rsidR="00563648">
        <w:rPr>
          <w:rFonts w:eastAsia="Calibri" w:cs="Times New Roman"/>
          <w:color w:val="auto"/>
          <w:szCs w:val="24"/>
        </w:rPr>
        <w:t>”</w:t>
      </w:r>
      <w:r w:rsidR="00F82E09">
        <w:rPr>
          <w:rFonts w:eastAsia="Calibri" w:cs="Times New Roman"/>
          <w:color w:val="auto"/>
          <w:szCs w:val="24"/>
        </w:rPr>
        <w:t xml:space="preserve">, although </w:t>
      </w:r>
      <w:r w:rsidR="00BF6DDB">
        <w:rPr>
          <w:rFonts w:eastAsia="Calibri" w:cs="Times New Roman"/>
          <w:color w:val="auto"/>
          <w:szCs w:val="24"/>
        </w:rPr>
        <w:t>s</w:t>
      </w:r>
      <w:r w:rsidR="00F82E09">
        <w:rPr>
          <w:rFonts w:eastAsia="Calibri" w:cs="Times New Roman"/>
          <w:color w:val="auto"/>
          <w:szCs w:val="24"/>
        </w:rPr>
        <w:t xml:space="preserve">ervice </w:t>
      </w:r>
      <w:r w:rsidR="00BF6DDB">
        <w:rPr>
          <w:rFonts w:eastAsia="Calibri" w:cs="Times New Roman"/>
          <w:color w:val="auto"/>
          <w:szCs w:val="24"/>
        </w:rPr>
        <w:t xml:space="preserve">treatment </w:t>
      </w:r>
      <w:r w:rsidR="00F82E09">
        <w:rPr>
          <w:rFonts w:eastAsia="Calibri" w:cs="Times New Roman"/>
          <w:color w:val="auto"/>
          <w:szCs w:val="24"/>
        </w:rPr>
        <w:t xml:space="preserve">records </w:t>
      </w:r>
      <w:r w:rsidR="00563648">
        <w:rPr>
          <w:rFonts w:eastAsia="Calibri" w:cs="Times New Roman"/>
          <w:color w:val="auto"/>
          <w:szCs w:val="24"/>
        </w:rPr>
        <w:t xml:space="preserve">at hand </w:t>
      </w:r>
      <w:r w:rsidR="00F82E09">
        <w:rPr>
          <w:rFonts w:eastAsia="Calibri" w:cs="Times New Roman"/>
          <w:color w:val="auto"/>
          <w:szCs w:val="24"/>
        </w:rPr>
        <w:t xml:space="preserve">are devoid of any </w:t>
      </w:r>
      <w:r w:rsidR="00FF2A08">
        <w:rPr>
          <w:rFonts w:eastAsia="Calibri" w:cs="Times New Roman"/>
          <w:color w:val="auto"/>
          <w:szCs w:val="24"/>
        </w:rPr>
        <w:t>documentation of deployment-related psychiatric symptoms</w:t>
      </w:r>
      <w:r w:rsidR="00F82E09">
        <w:rPr>
          <w:rFonts w:eastAsia="Calibri" w:cs="Times New Roman"/>
          <w:color w:val="auto"/>
          <w:szCs w:val="24"/>
        </w:rPr>
        <w:t xml:space="preserve">.  A diagnosis of depression appears in summary notes around </w:t>
      </w:r>
      <w:r w:rsidR="00563648">
        <w:rPr>
          <w:rFonts w:eastAsia="Calibri" w:cs="Times New Roman"/>
          <w:color w:val="auto"/>
          <w:szCs w:val="24"/>
        </w:rPr>
        <w:t xml:space="preserve">December </w:t>
      </w:r>
      <w:r w:rsidR="00F82E09">
        <w:rPr>
          <w:rFonts w:eastAsia="Calibri" w:cs="Times New Roman"/>
          <w:color w:val="auto"/>
          <w:szCs w:val="24"/>
        </w:rPr>
        <w:t>2004</w:t>
      </w:r>
      <w:r w:rsidR="00FF2A08">
        <w:rPr>
          <w:rFonts w:eastAsia="Calibri" w:cs="Times New Roman"/>
          <w:color w:val="auto"/>
          <w:szCs w:val="24"/>
        </w:rPr>
        <w:t>,</w:t>
      </w:r>
      <w:r w:rsidR="00F82E09">
        <w:rPr>
          <w:rFonts w:eastAsia="Calibri" w:cs="Times New Roman"/>
          <w:color w:val="auto"/>
          <w:szCs w:val="24"/>
        </w:rPr>
        <w:t xml:space="preserve"> and the CI was maintained on an antidepressant (</w:t>
      </w:r>
      <w:proofErr w:type="spellStart"/>
      <w:r w:rsidR="00F82E09">
        <w:rPr>
          <w:rFonts w:eastAsia="Calibri" w:cs="Times New Roman"/>
          <w:color w:val="auto"/>
          <w:szCs w:val="24"/>
        </w:rPr>
        <w:t>Desyrel</w:t>
      </w:r>
      <w:proofErr w:type="spellEnd"/>
      <w:r w:rsidR="00F82E09">
        <w:rPr>
          <w:rFonts w:eastAsia="Calibri" w:cs="Times New Roman"/>
          <w:color w:val="auto"/>
          <w:szCs w:val="24"/>
        </w:rPr>
        <w:t>) through to separation</w:t>
      </w:r>
      <w:r w:rsidR="00FF2A08">
        <w:rPr>
          <w:rFonts w:eastAsia="Calibri" w:cs="Times New Roman"/>
          <w:color w:val="auto"/>
          <w:szCs w:val="24"/>
        </w:rPr>
        <w:t xml:space="preserve">; but, no diagnostic evaluation </w:t>
      </w:r>
      <w:r w:rsidR="00FA215B">
        <w:rPr>
          <w:rFonts w:eastAsia="Calibri" w:cs="Times New Roman"/>
          <w:color w:val="auto"/>
          <w:szCs w:val="24"/>
        </w:rPr>
        <w:t xml:space="preserve">addressing psychiatric illness </w:t>
      </w:r>
      <w:r w:rsidR="00FF2A08">
        <w:rPr>
          <w:rFonts w:eastAsia="Calibri" w:cs="Times New Roman"/>
          <w:color w:val="auto"/>
          <w:szCs w:val="24"/>
        </w:rPr>
        <w:t>is on record</w:t>
      </w:r>
      <w:r w:rsidR="00F82E09">
        <w:rPr>
          <w:rFonts w:eastAsia="Calibri" w:cs="Times New Roman"/>
          <w:color w:val="auto"/>
          <w:szCs w:val="24"/>
        </w:rPr>
        <w:t>.  There are sporadic complaints of insomnia relate</w:t>
      </w:r>
      <w:r w:rsidR="00563648">
        <w:rPr>
          <w:rFonts w:eastAsia="Calibri" w:cs="Times New Roman"/>
          <w:color w:val="auto"/>
          <w:szCs w:val="24"/>
        </w:rPr>
        <w:t>d</w:t>
      </w:r>
      <w:r w:rsidR="00F82E09">
        <w:rPr>
          <w:rFonts w:eastAsia="Calibri" w:cs="Times New Roman"/>
          <w:color w:val="auto"/>
          <w:szCs w:val="24"/>
        </w:rPr>
        <w:t xml:space="preserve"> to back pain, </w:t>
      </w:r>
      <w:r w:rsidR="00563648">
        <w:rPr>
          <w:rFonts w:eastAsia="Calibri" w:cs="Times New Roman"/>
          <w:color w:val="auto"/>
          <w:szCs w:val="24"/>
        </w:rPr>
        <w:t xml:space="preserve">and a request for a referral to Behavioral Health 2 months prior to separation; but, no record of follow through.  The NARSUM provided a diagnosis of depression without elaboration, and stated, “Medically acceptable because patient is taking low dose of an antidepressant.”  The psychiatric profile was S1.  The commander’s statement was confined to the back condition and its physical limitations.  There is no evidence </w:t>
      </w:r>
      <w:r w:rsidR="000A6C1B">
        <w:rPr>
          <w:rFonts w:eastAsia="Calibri" w:cs="Times New Roman"/>
          <w:color w:val="auto"/>
          <w:szCs w:val="24"/>
        </w:rPr>
        <w:t xml:space="preserve">in the file </w:t>
      </w:r>
      <w:r w:rsidR="00563648">
        <w:rPr>
          <w:rFonts w:eastAsia="Calibri" w:cs="Times New Roman"/>
          <w:color w:val="auto"/>
          <w:szCs w:val="24"/>
        </w:rPr>
        <w:t xml:space="preserve">of any emotional or </w:t>
      </w:r>
      <w:r w:rsidR="000A6C1B">
        <w:rPr>
          <w:rFonts w:eastAsia="Calibri" w:cs="Times New Roman"/>
          <w:color w:val="auto"/>
          <w:szCs w:val="24"/>
        </w:rPr>
        <w:t xml:space="preserve">behavioral issues, or </w:t>
      </w:r>
      <w:r w:rsidR="00563648">
        <w:rPr>
          <w:rFonts w:eastAsia="Calibri" w:cs="Times New Roman"/>
          <w:color w:val="auto"/>
          <w:szCs w:val="24"/>
        </w:rPr>
        <w:t xml:space="preserve">mental </w:t>
      </w:r>
      <w:r w:rsidR="000A6C1B">
        <w:rPr>
          <w:rFonts w:eastAsia="Calibri" w:cs="Times New Roman"/>
          <w:color w:val="auto"/>
          <w:szCs w:val="24"/>
        </w:rPr>
        <w:t>impairment, which interfered with the performance of duties.</w:t>
      </w:r>
    </w:p>
    <w:p w:rsidR="00F82E09" w:rsidRDefault="00F82E09" w:rsidP="00792790">
      <w:pPr>
        <w:jc w:val="both"/>
        <w:rPr>
          <w:rFonts w:eastAsia="Calibri" w:cs="Times New Roman"/>
          <w:color w:val="auto"/>
          <w:szCs w:val="24"/>
        </w:rPr>
      </w:pPr>
    </w:p>
    <w:p w:rsidR="005452F7" w:rsidRPr="00792790" w:rsidRDefault="000A6C1B" w:rsidP="00792790">
      <w:pPr>
        <w:jc w:val="both"/>
        <w:rPr>
          <w:rFonts w:eastAsia="Calibri" w:cs="Times New Roman"/>
          <w:color w:val="auto"/>
          <w:szCs w:val="24"/>
        </w:rPr>
      </w:pPr>
      <w:r w:rsidRPr="009A1F3B">
        <w:rPr>
          <w:rFonts w:eastAsia="Calibri" w:cs="Times New Roman"/>
          <w:color w:val="auto"/>
          <w:szCs w:val="24"/>
        </w:rPr>
        <w:t>The</w:t>
      </w:r>
      <w:r w:rsidRPr="00F74399">
        <w:rPr>
          <w:rFonts w:eastAsia="Calibri" w:cs="Times New Roman"/>
          <w:color w:val="auto"/>
          <w:szCs w:val="24"/>
        </w:rPr>
        <w:t xml:space="preserve"> Board’s main charge with respect to </w:t>
      </w:r>
      <w:r>
        <w:rPr>
          <w:rFonts w:eastAsia="Calibri" w:cs="Times New Roman"/>
          <w:color w:val="auto"/>
          <w:szCs w:val="24"/>
        </w:rPr>
        <w:t>the depression/mood disorder condition</w:t>
      </w:r>
      <w:r w:rsidRPr="00F74399">
        <w:rPr>
          <w:rFonts w:eastAsia="Calibri" w:cs="Times New Roman"/>
          <w:color w:val="auto"/>
          <w:szCs w:val="24"/>
        </w:rPr>
        <w:t xml:space="preserve"> is an assessment of the fairness of the </w:t>
      </w:r>
      <w:r>
        <w:rPr>
          <w:rFonts w:eastAsia="Calibri" w:cs="Times New Roman"/>
          <w:color w:val="auto"/>
          <w:szCs w:val="24"/>
        </w:rPr>
        <w:t xml:space="preserve">PEB’s </w:t>
      </w:r>
      <w:r w:rsidRPr="00F74399">
        <w:rPr>
          <w:rFonts w:eastAsia="Calibri" w:cs="Times New Roman"/>
          <w:color w:val="auto"/>
          <w:szCs w:val="24"/>
        </w:rPr>
        <w:t xml:space="preserve">determination that </w:t>
      </w:r>
      <w:r>
        <w:rPr>
          <w:rFonts w:eastAsia="Calibri" w:cs="Times New Roman"/>
          <w:color w:val="auto"/>
          <w:szCs w:val="24"/>
        </w:rPr>
        <w:t>it was</w:t>
      </w:r>
      <w:r w:rsidRPr="00F74399">
        <w:rPr>
          <w:rFonts w:eastAsia="Calibri" w:cs="Times New Roman"/>
          <w:color w:val="auto"/>
          <w:szCs w:val="24"/>
        </w:rPr>
        <w:t xml:space="preserve"> not unfitting.  The Board’s threshold for countering fitness determinations is higher than the VASRD §4.3 (reasonable doubt) standard used for its rating recommendations, but remains adherent to the DoDI </w:t>
      </w:r>
      <w:r w:rsidRPr="00F74399">
        <w:rPr>
          <w:rFonts w:eastAsia="Calibri" w:cs="Times New Roman"/>
          <w:color w:val="auto"/>
          <w:szCs w:val="24"/>
        </w:rPr>
        <w:lastRenderedPageBreak/>
        <w:t>6040.44 “fair and equitable” standard.</w:t>
      </w:r>
      <w:r>
        <w:rPr>
          <w:rFonts w:eastAsia="Calibri" w:cs="Times New Roman"/>
          <w:color w:val="auto"/>
          <w:szCs w:val="24"/>
        </w:rPr>
        <w:t xml:space="preserve">  </w:t>
      </w:r>
      <w:r>
        <w:rPr>
          <w:color w:val="000000"/>
        </w:rPr>
        <w:t>The condition was</w:t>
      </w:r>
      <w:r w:rsidRPr="001F29F9">
        <w:rPr>
          <w:color w:val="000000"/>
        </w:rPr>
        <w:t xml:space="preserve"> reviewed by the </w:t>
      </w:r>
      <w:r w:rsidR="00BF6DDB">
        <w:rPr>
          <w:color w:val="000000"/>
        </w:rPr>
        <w:t>a</w:t>
      </w:r>
      <w:r w:rsidRPr="001F29F9">
        <w:rPr>
          <w:color w:val="000000"/>
        </w:rPr>
        <w:t xml:space="preserve">ction </w:t>
      </w:r>
      <w:r w:rsidR="00BF6DDB">
        <w:rPr>
          <w:color w:val="000000"/>
        </w:rPr>
        <w:t>o</w:t>
      </w:r>
      <w:r w:rsidRPr="001F29F9">
        <w:rPr>
          <w:color w:val="000000"/>
        </w:rPr>
        <w:t xml:space="preserve">fficer and considered by the Board. </w:t>
      </w:r>
      <w:r>
        <w:rPr>
          <w:color w:val="000000"/>
        </w:rPr>
        <w:t xml:space="preserve"> </w:t>
      </w:r>
      <w:r w:rsidRPr="00792790">
        <w:rPr>
          <w:rFonts w:eastAsia="Calibri" w:cs="Times New Roman"/>
          <w:color w:val="auto"/>
          <w:szCs w:val="24"/>
        </w:rPr>
        <w:t xml:space="preserve">After due deliberation in consideration of the preponderance of the evidence, the Board concluded that there was insufficient cause to recommend a change in the PEB fitness determination for the </w:t>
      </w:r>
      <w:r>
        <w:rPr>
          <w:rFonts w:eastAsia="Calibri" w:cs="Times New Roman"/>
          <w:color w:val="auto"/>
          <w:szCs w:val="24"/>
        </w:rPr>
        <w:t>depression/mood disorder condition</w:t>
      </w:r>
      <w:r w:rsidRPr="00792790">
        <w:rPr>
          <w:rFonts w:eastAsia="Calibri" w:cs="Times New Roman"/>
          <w:color w:val="auto"/>
          <w:szCs w:val="24"/>
        </w:rPr>
        <w:t xml:space="preserve">; </w:t>
      </w:r>
      <w:r>
        <w:rPr>
          <w:rFonts w:eastAsia="Calibri" w:cs="Times New Roman"/>
          <w:color w:val="auto"/>
          <w:szCs w:val="24"/>
        </w:rPr>
        <w:t>thus</w:t>
      </w:r>
      <w:r w:rsidRPr="00792790">
        <w:rPr>
          <w:rFonts w:eastAsia="Calibri" w:cs="Times New Roman"/>
          <w:color w:val="auto"/>
          <w:szCs w:val="24"/>
        </w:rPr>
        <w:t xml:space="preserve"> no addit</w:t>
      </w:r>
      <w:r>
        <w:rPr>
          <w:rFonts w:eastAsia="Calibri" w:cs="Times New Roman"/>
          <w:color w:val="auto"/>
          <w:szCs w:val="24"/>
        </w:rPr>
        <w:t>ional disability rating</w:t>
      </w:r>
      <w:r w:rsidRPr="00792790">
        <w:rPr>
          <w:rFonts w:eastAsia="Calibri" w:cs="Times New Roman"/>
          <w:color w:val="auto"/>
          <w:szCs w:val="24"/>
        </w:rPr>
        <w:t xml:space="preserve"> can be recommended.</w:t>
      </w:r>
    </w:p>
    <w:p w:rsidR="000A6C1B" w:rsidRDefault="00AD2379" w:rsidP="000A6C1B">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 xml:space="preserve">The Board did not surmise from the record or PEB ruling in this case that any </w:t>
      </w:r>
      <w:r w:rsidRPr="000A6C1B">
        <w:rPr>
          <w:rFonts w:cs="Times New Roman"/>
          <w:color w:val="auto"/>
        </w:rPr>
        <w:t>prerogatives outside the VASRD were exercised.</w:t>
      </w:r>
      <w:r w:rsidR="008734E7" w:rsidRPr="000A6C1B">
        <w:rPr>
          <w:rFonts w:cs="Times New Roman"/>
          <w:color w:val="auto"/>
        </w:rPr>
        <w:t xml:space="preserve"> </w:t>
      </w:r>
      <w:r w:rsidRPr="000A6C1B">
        <w:rPr>
          <w:rFonts w:cs="Times New Roman"/>
          <w:color w:val="auto"/>
        </w:rPr>
        <w:t xml:space="preserve"> </w:t>
      </w:r>
      <w:r w:rsidR="000A6C1B" w:rsidRPr="000A6C1B">
        <w:rPr>
          <w:rFonts w:eastAsia="Calibri" w:cs="Times New Roman"/>
          <w:color w:val="auto"/>
          <w:szCs w:val="24"/>
        </w:rPr>
        <w:t>In the matter of the lumbar spine condition and IAW VASRD §4.71a, the Board unanimously recommends</w:t>
      </w:r>
      <w:r w:rsidR="000A6C1B" w:rsidRPr="00560F12">
        <w:rPr>
          <w:rFonts w:eastAsia="Calibri" w:cs="Times New Roman"/>
          <w:color w:val="auto"/>
          <w:szCs w:val="24"/>
        </w:rPr>
        <w:t xml:space="preserve"> no change in the PEB </w:t>
      </w:r>
      <w:r w:rsidR="000A6C1B" w:rsidRPr="00D074E4">
        <w:rPr>
          <w:rFonts w:eastAsia="Calibri" w:cs="Times New Roman"/>
          <w:color w:val="auto"/>
          <w:szCs w:val="24"/>
        </w:rPr>
        <w:t>adjudication.  In the matter of the sciatic neuropathy associated with the spine condition, the Board unanimously agrees that it cannot recommend it for additional disability rating.  In the matter of the contended</w:t>
      </w:r>
      <w:r w:rsidR="000A6C1B">
        <w:rPr>
          <w:rFonts w:eastAsia="Calibri" w:cs="Times New Roman"/>
          <w:color w:val="auto"/>
          <w:szCs w:val="24"/>
        </w:rPr>
        <w:t xml:space="preserve"> mood disorder</w:t>
      </w:r>
      <w:r w:rsidR="000A6C1B" w:rsidRPr="00560F12">
        <w:rPr>
          <w:rFonts w:eastAsia="Calibri" w:cs="Times New Roman"/>
          <w:color w:val="auto"/>
          <w:szCs w:val="24"/>
        </w:rPr>
        <w:t xml:space="preserve">, the Board </w:t>
      </w:r>
      <w:r w:rsidR="000A6C1B" w:rsidRPr="000A6C1B">
        <w:rPr>
          <w:rFonts w:eastAsia="Calibri" w:cs="Times New Roman"/>
          <w:color w:val="auto"/>
          <w:szCs w:val="24"/>
        </w:rPr>
        <w:t>unanimously</w:t>
      </w:r>
      <w:r w:rsidR="000A6C1B" w:rsidRPr="00560F12">
        <w:rPr>
          <w:rFonts w:eastAsia="Calibri" w:cs="Times New Roman"/>
          <w:color w:val="auto"/>
          <w:szCs w:val="24"/>
        </w:rPr>
        <w:t xml:space="preserve"> agrees that it cannot</w:t>
      </w:r>
      <w:r w:rsidR="000A6C1B" w:rsidRPr="00560F12">
        <w:rPr>
          <w:rFonts w:eastAsia="Calibri" w:cs="Times New Roman"/>
          <w:color w:val="000080"/>
          <w:szCs w:val="24"/>
        </w:rPr>
        <w:t xml:space="preserve"> </w:t>
      </w:r>
      <w:r w:rsidR="000A6C1B" w:rsidRPr="00560F12">
        <w:rPr>
          <w:rFonts w:eastAsia="Calibri" w:cs="Times New Roman"/>
          <w:color w:val="auto"/>
          <w:szCs w:val="24"/>
        </w:rPr>
        <w:t xml:space="preserve">recommend a finding of unfit for additional </w:t>
      </w:r>
      <w:bookmarkStart w:id="0" w:name="_GoBack"/>
      <w:bookmarkEnd w:id="0"/>
      <w:r w:rsidR="000A6C1B" w:rsidRPr="00560F12">
        <w:rPr>
          <w:rFonts w:eastAsia="Calibri" w:cs="Times New Roman"/>
          <w:color w:val="auto"/>
          <w:szCs w:val="24"/>
        </w:rPr>
        <w:t xml:space="preserve">disability rating.  </w:t>
      </w:r>
      <w:r w:rsidR="000A6C1B" w:rsidRPr="003471C5">
        <w:rPr>
          <w:rFonts w:eastAsia="Calibri" w:cs="Times New Roman"/>
          <w:color w:val="auto"/>
          <w:szCs w:val="24"/>
        </w:rPr>
        <w:t>There were no other conditions within the Board’s scope of review for consideration.</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AD2379" w:rsidRDefault="00AD2379" w:rsidP="00B22D42">
      <w:pPr>
        <w:jc w:val="left"/>
        <w:rPr>
          <w:color w:val="000000"/>
        </w:rPr>
      </w:pPr>
      <w:r w:rsidRPr="009A7578">
        <w:rPr>
          <w:color w:val="000000"/>
          <w:u w:val="single"/>
        </w:rPr>
        <w:t>RECOMMENDATION</w:t>
      </w:r>
      <w:r w:rsidRPr="009A7578">
        <w:rPr>
          <w:color w:val="000000"/>
        </w:rPr>
        <w:t>: The</w:t>
      </w:r>
      <w:r w:rsidRPr="001F29F9">
        <w:rPr>
          <w:color w:val="000000"/>
        </w:rPr>
        <w:t xml:space="preserve"> Board, therefore, recommends that there be no recharacterization of the CI’s disability and separation determination, as follows:</w:t>
      </w:r>
    </w:p>
    <w:p w:rsidR="00AD2379" w:rsidRPr="001F29F9" w:rsidRDefault="00AD2379" w:rsidP="00B22D42">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0D5DBE" w:rsidTr="00C42AED">
        <w:trPr>
          <w:trHeight w:val="233"/>
          <w:jc w:val="center"/>
        </w:trPr>
        <w:tc>
          <w:tcPr>
            <w:tcW w:w="6768"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UNFITTING CONDITION</w:t>
            </w:r>
          </w:p>
        </w:tc>
        <w:tc>
          <w:tcPr>
            <w:tcW w:w="1530"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RATING</w:t>
            </w:r>
          </w:p>
        </w:tc>
      </w:tr>
      <w:tr w:rsidR="00AD2379" w:rsidRPr="000D5DBE" w:rsidTr="00C42AED">
        <w:trPr>
          <w:jc w:val="center"/>
        </w:trPr>
        <w:tc>
          <w:tcPr>
            <w:tcW w:w="6768" w:type="dxa"/>
            <w:vAlign w:val="center"/>
          </w:tcPr>
          <w:p w:rsidR="00AD2379" w:rsidRPr="000D5DBE" w:rsidRDefault="00977E05" w:rsidP="00BF0E94">
            <w:pPr>
              <w:tabs>
                <w:tab w:val="left" w:pos="288"/>
                <w:tab w:val="left" w:pos="4752"/>
              </w:tabs>
              <w:jc w:val="left"/>
              <w:rPr>
                <w:color w:val="000000"/>
              </w:rPr>
            </w:pPr>
            <w:r>
              <w:rPr>
                <w:color w:val="000000"/>
              </w:rPr>
              <w:t>Lumbar Disk Disease without Functional Neurologic Abnormality</w:t>
            </w:r>
          </w:p>
        </w:tc>
        <w:tc>
          <w:tcPr>
            <w:tcW w:w="1530" w:type="dxa"/>
            <w:vAlign w:val="center"/>
          </w:tcPr>
          <w:p w:rsidR="00AD2379" w:rsidRPr="000D5DBE" w:rsidRDefault="00977E05" w:rsidP="00BF0E94">
            <w:pPr>
              <w:tabs>
                <w:tab w:val="left" w:pos="288"/>
                <w:tab w:val="left" w:pos="4752"/>
              </w:tabs>
              <w:rPr>
                <w:color w:val="000000"/>
              </w:rPr>
            </w:pPr>
            <w:r>
              <w:rPr>
                <w:color w:val="000000"/>
              </w:rPr>
              <w:t>5299-5242</w:t>
            </w:r>
          </w:p>
        </w:tc>
        <w:tc>
          <w:tcPr>
            <w:tcW w:w="1026" w:type="dxa"/>
            <w:vAlign w:val="center"/>
          </w:tcPr>
          <w:p w:rsidR="00AD2379" w:rsidRPr="000D5DBE" w:rsidRDefault="00977E05" w:rsidP="00BF0E94">
            <w:pPr>
              <w:tabs>
                <w:tab w:val="left" w:pos="288"/>
                <w:tab w:val="left" w:pos="4752"/>
              </w:tabs>
              <w:rPr>
                <w:color w:val="000000"/>
              </w:rPr>
            </w:pPr>
            <w:r>
              <w:rPr>
                <w:color w:val="000000"/>
              </w:rPr>
              <w:t>2</w:t>
            </w:r>
            <w:r w:rsidR="00AD2379" w:rsidRPr="000D5DBE">
              <w:rPr>
                <w:color w:val="000000"/>
              </w:rPr>
              <w:t>0%</w:t>
            </w:r>
          </w:p>
        </w:tc>
      </w:tr>
      <w:tr w:rsidR="00AD2379" w:rsidRPr="000D5DBE" w:rsidTr="00C42AED">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0D5DBE" w:rsidRDefault="00AD2379" w:rsidP="00BF0E94">
            <w:pPr>
              <w:tabs>
                <w:tab w:val="left" w:pos="288"/>
                <w:tab w:val="left" w:pos="4752"/>
              </w:tabs>
              <w:rPr>
                <w:b/>
                <w:color w:val="000000"/>
              </w:rPr>
            </w:pPr>
            <w:r w:rsidRPr="000D5DBE">
              <w:rPr>
                <w:b/>
                <w:color w:val="000000"/>
              </w:rPr>
              <w:t>COMBINED</w:t>
            </w:r>
          </w:p>
        </w:tc>
        <w:tc>
          <w:tcPr>
            <w:tcW w:w="1026" w:type="dxa"/>
            <w:shd w:val="clear" w:color="auto" w:fill="D9D9D9"/>
            <w:vAlign w:val="center"/>
          </w:tcPr>
          <w:p w:rsidR="00AD2379" w:rsidRPr="000D5DBE" w:rsidRDefault="00977E05" w:rsidP="00BF0E94">
            <w:pPr>
              <w:tabs>
                <w:tab w:val="left" w:pos="288"/>
                <w:tab w:val="left" w:pos="4752"/>
              </w:tabs>
              <w:rPr>
                <w:b/>
                <w:color w:val="000000"/>
              </w:rPr>
            </w:pPr>
            <w:r>
              <w:rPr>
                <w:b/>
                <w:color w:val="000000"/>
              </w:rPr>
              <w:t>2</w:t>
            </w:r>
            <w:r w:rsidR="00AD2379"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FD7E16" w:rsidRPr="00AD05B6">
        <w:rPr>
          <w:color w:val="auto"/>
        </w:rPr>
        <w:t>20110328</w:t>
      </w:r>
      <w:r w:rsidRPr="001F29F9">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 Affairs 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3605D6">
        <w:rPr>
          <w:color w:val="000000"/>
        </w:rPr>
        <w:t>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3605D6" w:rsidRDefault="00AD2379" w:rsidP="00D074E4">
      <w:pPr>
        <w:tabs>
          <w:tab w:val="left" w:pos="0"/>
          <w:tab w:val="left" w:pos="4320"/>
        </w:tabs>
        <w:jc w:val="both"/>
        <w:rPr>
          <w:color w:val="000000"/>
        </w:rPr>
      </w:pPr>
      <w:r w:rsidRPr="001F29F9">
        <w:rPr>
          <w:color w:val="000000"/>
        </w:rPr>
        <w:tab/>
        <w:t xml:space="preserve">           Physical Disability Board of Review</w:t>
      </w:r>
    </w:p>
    <w:p w:rsidR="003605D6" w:rsidRDefault="003605D6">
      <w:pPr>
        <w:spacing w:line="240" w:lineRule="auto"/>
        <w:jc w:val="left"/>
        <w:rPr>
          <w:color w:val="000000"/>
        </w:rPr>
      </w:pPr>
      <w:r>
        <w:rPr>
          <w:color w:val="000000"/>
        </w:rPr>
        <w:br w:type="page"/>
      </w:r>
    </w:p>
    <w:p w:rsidR="003605D6" w:rsidRDefault="003605D6" w:rsidP="003605D6">
      <w:pPr>
        <w:sectPr w:rsidR="003605D6">
          <w:pgSz w:w="12240" w:h="15840"/>
          <w:pgMar w:top="2160" w:right="1440" w:bottom="1440" w:left="1440" w:header="720" w:footer="720" w:gutter="0"/>
          <w:cols w:space="720"/>
        </w:sectPr>
      </w:pPr>
    </w:p>
    <w:p w:rsidR="003605D6" w:rsidRDefault="003605D6" w:rsidP="003605D6">
      <w:pPr>
        <w:pStyle w:val="Header"/>
        <w:tabs>
          <w:tab w:val="left" w:pos="720"/>
        </w:tabs>
        <w:jc w:val="left"/>
      </w:pPr>
      <w:r>
        <w:lastRenderedPageBreak/>
        <w:t>SFMR-RB</w:t>
      </w:r>
      <w:r>
        <w:tab/>
      </w:r>
      <w:r>
        <w:tab/>
      </w:r>
      <w:r>
        <w:tab/>
      </w:r>
      <w:r>
        <w:tab/>
      </w:r>
      <w:r>
        <w:tab/>
      </w:r>
      <w:r>
        <w:tab/>
      </w:r>
      <w:r>
        <w:tab/>
      </w:r>
      <w:r>
        <w:tab/>
      </w:r>
      <w:r>
        <w:tab/>
      </w:r>
    </w:p>
    <w:p w:rsidR="003605D6" w:rsidRDefault="003605D6" w:rsidP="003605D6">
      <w:pPr>
        <w:pStyle w:val="Header"/>
        <w:tabs>
          <w:tab w:val="left" w:pos="720"/>
        </w:tabs>
        <w:jc w:val="left"/>
      </w:pPr>
    </w:p>
    <w:p w:rsidR="003605D6" w:rsidRDefault="003605D6" w:rsidP="003605D6">
      <w:pPr>
        <w:jc w:val="left"/>
      </w:pPr>
    </w:p>
    <w:p w:rsidR="003605D6" w:rsidRDefault="003605D6" w:rsidP="003605D6">
      <w:pPr>
        <w:jc w:val="left"/>
      </w:pPr>
      <w:r>
        <w:t xml:space="preserve">MEMORANDUM FOR Commander, US Army Physical Disability Agency </w:t>
      </w:r>
    </w:p>
    <w:p w:rsidR="003605D6" w:rsidRDefault="003605D6" w:rsidP="003605D6">
      <w:pPr>
        <w:jc w:val="left"/>
      </w:pPr>
      <w:r>
        <w:t xml:space="preserve">(TAPD-ZB </w:t>
      </w:r>
      <w:proofErr w:type="gramStart"/>
      <w:r>
        <w:t>/  )</w:t>
      </w:r>
      <w:proofErr w:type="gramEnd"/>
      <w:r>
        <w:t>, 2900 Crystal Drive, Suite 300, Arlington, VA  22202</w:t>
      </w:r>
    </w:p>
    <w:p w:rsidR="003605D6" w:rsidRDefault="003605D6" w:rsidP="003605D6">
      <w:pPr>
        <w:jc w:val="left"/>
      </w:pPr>
    </w:p>
    <w:p w:rsidR="003605D6" w:rsidRDefault="003605D6" w:rsidP="003605D6">
      <w:pPr>
        <w:ind w:right="-180"/>
        <w:jc w:val="left"/>
      </w:pPr>
      <w:r>
        <w:t>SUBJECT:  Department of Defense Physical Disability Board of Review Recommendation for XXXXXXXXXXXXXXXXXXXXXXX, AR20120017697 (PD201100188)</w:t>
      </w:r>
    </w:p>
    <w:p w:rsidR="003605D6" w:rsidRDefault="003605D6" w:rsidP="003605D6">
      <w:pPr>
        <w:pStyle w:val="Header"/>
        <w:tabs>
          <w:tab w:val="left" w:pos="720"/>
        </w:tabs>
        <w:jc w:val="left"/>
      </w:pPr>
    </w:p>
    <w:p w:rsidR="003605D6" w:rsidRDefault="003605D6" w:rsidP="003605D6">
      <w:pPr>
        <w:jc w:val="left"/>
      </w:pPr>
    </w:p>
    <w:p w:rsidR="003605D6" w:rsidRDefault="003605D6" w:rsidP="003605D6">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3605D6" w:rsidRDefault="003605D6" w:rsidP="003605D6">
      <w:pPr>
        <w:jc w:val="left"/>
      </w:pPr>
      <w:r>
        <w:t>This decision is final.  The individual concerned, counsel (if any), and any Members of Congress who have shown interest in this application have been notified of this decision by mail.</w:t>
      </w:r>
    </w:p>
    <w:p w:rsidR="003605D6" w:rsidRDefault="003605D6" w:rsidP="003605D6">
      <w:pPr>
        <w:jc w:val="left"/>
      </w:pPr>
    </w:p>
    <w:p w:rsidR="003605D6" w:rsidRDefault="003605D6" w:rsidP="003605D6">
      <w:pPr>
        <w:jc w:val="left"/>
      </w:pPr>
      <w:r>
        <w:t xml:space="preserve"> BY ORDER OF THE SECRETARY OF THE ARMY:</w:t>
      </w:r>
    </w:p>
    <w:p w:rsidR="003605D6" w:rsidRDefault="003605D6" w:rsidP="003605D6">
      <w:pPr>
        <w:jc w:val="left"/>
      </w:pPr>
    </w:p>
    <w:p w:rsidR="003605D6" w:rsidRDefault="003605D6" w:rsidP="003605D6">
      <w:pPr>
        <w:jc w:val="left"/>
      </w:pPr>
    </w:p>
    <w:p w:rsidR="003605D6" w:rsidRDefault="003605D6" w:rsidP="003605D6">
      <w:pPr>
        <w:pStyle w:val="Header"/>
        <w:tabs>
          <w:tab w:val="left" w:pos="720"/>
        </w:tabs>
        <w:jc w:val="left"/>
      </w:pPr>
    </w:p>
    <w:p w:rsidR="003605D6" w:rsidRDefault="003605D6" w:rsidP="003605D6">
      <w:pPr>
        <w:jc w:val="left"/>
      </w:pPr>
    </w:p>
    <w:p w:rsidR="003605D6" w:rsidRDefault="003605D6" w:rsidP="003605D6">
      <w:pPr>
        <w:jc w:val="left"/>
      </w:pPr>
      <w:bookmarkStart w:id="1" w:name="OLE_LINK4"/>
      <w:bookmarkStart w:id="2" w:name="OLE_LINK3"/>
      <w:r>
        <w:t>Encl</w:t>
      </w:r>
      <w:r>
        <w:tab/>
      </w:r>
      <w:r>
        <w:tab/>
      </w:r>
      <w:r>
        <w:tab/>
      </w:r>
      <w:r>
        <w:tab/>
      </w:r>
      <w:r>
        <w:tab/>
      </w:r>
      <w:r>
        <w:tab/>
        <w:t xml:space="preserve">     XXXXXXXXXXXXXXX</w:t>
      </w:r>
    </w:p>
    <w:p w:rsidR="003605D6" w:rsidRDefault="003605D6" w:rsidP="003605D6">
      <w:pPr>
        <w:jc w:val="left"/>
      </w:pPr>
      <w:r>
        <w:tab/>
      </w:r>
      <w:r>
        <w:tab/>
      </w:r>
      <w:r>
        <w:tab/>
      </w:r>
      <w:r>
        <w:tab/>
      </w:r>
      <w:r>
        <w:tab/>
      </w:r>
      <w:r>
        <w:tab/>
        <w:t xml:space="preserve">     Deputy Assistant Secretary</w:t>
      </w:r>
    </w:p>
    <w:p w:rsidR="003605D6" w:rsidRDefault="003605D6" w:rsidP="003605D6">
      <w:pPr>
        <w:jc w:val="left"/>
      </w:pPr>
      <w:r>
        <w:tab/>
      </w:r>
      <w:r>
        <w:tab/>
      </w:r>
      <w:r>
        <w:tab/>
      </w:r>
      <w:r>
        <w:tab/>
      </w:r>
      <w:r>
        <w:tab/>
      </w:r>
      <w:r>
        <w:tab/>
        <w:t xml:space="preserve">         (Army Review Boards)</w:t>
      </w:r>
      <w:bookmarkEnd w:id="1"/>
      <w:bookmarkEnd w:id="2"/>
    </w:p>
    <w:p w:rsidR="003605D6" w:rsidRDefault="003605D6" w:rsidP="003605D6">
      <w:pPr>
        <w:jc w:val="left"/>
      </w:pPr>
    </w:p>
    <w:p w:rsidR="003605D6" w:rsidRDefault="003605D6" w:rsidP="003605D6">
      <w:pPr>
        <w:jc w:val="left"/>
      </w:pPr>
      <w:r>
        <w:t xml:space="preserve">CF: </w:t>
      </w:r>
    </w:p>
    <w:p w:rsidR="003605D6" w:rsidRDefault="003605D6" w:rsidP="003605D6">
      <w:pPr>
        <w:jc w:val="left"/>
      </w:pPr>
      <w:r>
        <w:t xml:space="preserve">(  ) </w:t>
      </w:r>
      <w:proofErr w:type="spellStart"/>
      <w:proofErr w:type="gramStart"/>
      <w:r>
        <w:t>DoD</w:t>
      </w:r>
      <w:proofErr w:type="spellEnd"/>
      <w:proofErr w:type="gramEnd"/>
      <w:r>
        <w:t xml:space="preserve"> PDBR</w:t>
      </w:r>
    </w:p>
    <w:p w:rsidR="003605D6" w:rsidRDefault="003605D6" w:rsidP="003605D6">
      <w:pPr>
        <w:jc w:val="left"/>
      </w:pPr>
      <w:r>
        <w:t>(  ) DVA</w:t>
      </w:r>
    </w:p>
    <w:p w:rsidR="003605D6" w:rsidRDefault="003605D6" w:rsidP="003605D6">
      <w:pPr>
        <w:jc w:val="left"/>
      </w:pPr>
    </w:p>
    <w:p w:rsidR="005A095B" w:rsidRPr="006235F5" w:rsidRDefault="005A095B" w:rsidP="00D074E4">
      <w:pPr>
        <w:tabs>
          <w:tab w:val="left" w:pos="0"/>
          <w:tab w:val="left" w:pos="4320"/>
        </w:tabs>
        <w:jc w:val="both"/>
        <w:rPr>
          <w:rFonts w:eastAsia="Calibri" w:cs="Times New Roman"/>
          <w:color w:val="auto"/>
          <w:szCs w:val="24"/>
        </w:rPr>
      </w:pPr>
    </w:p>
    <w:sectPr w:rsidR="005A095B"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92F" w:rsidRDefault="0066192F">
      <w:r>
        <w:separator/>
      </w:r>
    </w:p>
  </w:endnote>
  <w:endnote w:type="continuationSeparator" w:id="0">
    <w:p w:rsidR="0066192F" w:rsidRDefault="006619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BB5B03" w:rsidRPr="00BB5B03">
      <w:fldChar w:fldCharType="begin"/>
    </w:r>
    <w:r w:rsidR="0066192F">
      <w:instrText xml:space="preserve"> PAGE   \* MERGEFORMAT </w:instrText>
    </w:r>
    <w:r w:rsidR="00BB5B03" w:rsidRPr="00BB5B03">
      <w:fldChar w:fldCharType="separate"/>
    </w:r>
    <w:r w:rsidR="003605D6" w:rsidRPr="003605D6">
      <w:rPr>
        <w:noProof/>
        <w:color w:val="auto"/>
      </w:rPr>
      <w:t>5</w:t>
    </w:r>
    <w:r w:rsidR="00BB5B03">
      <w:rPr>
        <w:noProof/>
        <w:color w:val="auto"/>
      </w:rPr>
      <w:fldChar w:fldCharType="end"/>
    </w:r>
    <w:r w:rsidRPr="00374247">
      <w:rPr>
        <w:color w:val="auto"/>
      </w:rPr>
      <w:t xml:space="preserve">                                                           </w:t>
    </w:r>
    <w:r w:rsidRPr="001D64F3">
      <w:rPr>
        <w:color w:val="auto"/>
      </w:rPr>
      <w:t>PD1</w:t>
    </w:r>
    <w:r w:rsidRPr="009369A6">
      <w:rPr>
        <w:color w:val="auto"/>
      </w:rPr>
      <w:t>100</w:t>
    </w:r>
    <w:r w:rsidR="00FD7E16">
      <w:rPr>
        <w:color w:val="auto"/>
      </w:rPr>
      <w:t>188</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92F" w:rsidRDefault="0066192F">
      <w:r>
        <w:separator/>
      </w:r>
    </w:p>
  </w:footnote>
  <w:footnote w:type="continuationSeparator" w:id="0">
    <w:p w:rsidR="0066192F" w:rsidRDefault="006619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273BB"/>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2E5A"/>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5F31"/>
    <w:rsid w:val="00085FCF"/>
    <w:rsid w:val="0008708B"/>
    <w:rsid w:val="00092619"/>
    <w:rsid w:val="00092C66"/>
    <w:rsid w:val="00092CC9"/>
    <w:rsid w:val="000949DD"/>
    <w:rsid w:val="00094E4F"/>
    <w:rsid w:val="00097B9B"/>
    <w:rsid w:val="000A2BCE"/>
    <w:rsid w:val="000A31E2"/>
    <w:rsid w:val="000A33C8"/>
    <w:rsid w:val="000A41E3"/>
    <w:rsid w:val="000A4BBA"/>
    <w:rsid w:val="000A5071"/>
    <w:rsid w:val="000A6C1B"/>
    <w:rsid w:val="000B0AD2"/>
    <w:rsid w:val="000B1022"/>
    <w:rsid w:val="000B2FB8"/>
    <w:rsid w:val="000B471C"/>
    <w:rsid w:val="000B4C99"/>
    <w:rsid w:val="000C06F6"/>
    <w:rsid w:val="000C13C0"/>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127"/>
    <w:rsid w:val="001B06FB"/>
    <w:rsid w:val="001B07A7"/>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4635"/>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0A22"/>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C14"/>
    <w:rsid w:val="00216DDF"/>
    <w:rsid w:val="00217606"/>
    <w:rsid w:val="002178AE"/>
    <w:rsid w:val="00217C09"/>
    <w:rsid w:val="00220F5C"/>
    <w:rsid w:val="00220FA9"/>
    <w:rsid w:val="002216BF"/>
    <w:rsid w:val="00221B9B"/>
    <w:rsid w:val="00222268"/>
    <w:rsid w:val="00224D61"/>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419"/>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1871"/>
    <w:rsid w:val="002722F2"/>
    <w:rsid w:val="00274549"/>
    <w:rsid w:val="00274E46"/>
    <w:rsid w:val="002752AE"/>
    <w:rsid w:val="00275AFD"/>
    <w:rsid w:val="00276510"/>
    <w:rsid w:val="002769AF"/>
    <w:rsid w:val="00276C86"/>
    <w:rsid w:val="00276FD0"/>
    <w:rsid w:val="00277217"/>
    <w:rsid w:val="002810A4"/>
    <w:rsid w:val="0028261C"/>
    <w:rsid w:val="00282DB6"/>
    <w:rsid w:val="002833E3"/>
    <w:rsid w:val="00284967"/>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18"/>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05D6"/>
    <w:rsid w:val="0036114B"/>
    <w:rsid w:val="003618B6"/>
    <w:rsid w:val="0036199A"/>
    <w:rsid w:val="003620C8"/>
    <w:rsid w:val="00363087"/>
    <w:rsid w:val="00363112"/>
    <w:rsid w:val="0036319E"/>
    <w:rsid w:val="003632A4"/>
    <w:rsid w:val="00363362"/>
    <w:rsid w:val="0036392A"/>
    <w:rsid w:val="00364CAB"/>
    <w:rsid w:val="00365384"/>
    <w:rsid w:val="00365767"/>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00BD"/>
    <w:rsid w:val="003B17AC"/>
    <w:rsid w:val="003B2143"/>
    <w:rsid w:val="003B227A"/>
    <w:rsid w:val="003B2284"/>
    <w:rsid w:val="003B3A77"/>
    <w:rsid w:val="003B4319"/>
    <w:rsid w:val="003B5854"/>
    <w:rsid w:val="003B6764"/>
    <w:rsid w:val="003B7A8B"/>
    <w:rsid w:val="003C07BF"/>
    <w:rsid w:val="003C1A4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5FA6"/>
    <w:rsid w:val="004068E0"/>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BBA"/>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178"/>
    <w:rsid w:val="004D16BD"/>
    <w:rsid w:val="004D2AAB"/>
    <w:rsid w:val="004D2BE5"/>
    <w:rsid w:val="004D362B"/>
    <w:rsid w:val="004D3C7F"/>
    <w:rsid w:val="004D42CB"/>
    <w:rsid w:val="004D4A0C"/>
    <w:rsid w:val="004D55D3"/>
    <w:rsid w:val="004D5D82"/>
    <w:rsid w:val="004D6E90"/>
    <w:rsid w:val="004D6F2B"/>
    <w:rsid w:val="004E0248"/>
    <w:rsid w:val="004E21A3"/>
    <w:rsid w:val="004E32EA"/>
    <w:rsid w:val="004E3517"/>
    <w:rsid w:val="004E3656"/>
    <w:rsid w:val="004E6866"/>
    <w:rsid w:val="004F0C58"/>
    <w:rsid w:val="004F10EB"/>
    <w:rsid w:val="004F2B85"/>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648"/>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718"/>
    <w:rsid w:val="0058039C"/>
    <w:rsid w:val="00580A63"/>
    <w:rsid w:val="005830B1"/>
    <w:rsid w:val="00583379"/>
    <w:rsid w:val="0058417C"/>
    <w:rsid w:val="005854F9"/>
    <w:rsid w:val="00586EC6"/>
    <w:rsid w:val="00587DDE"/>
    <w:rsid w:val="00593043"/>
    <w:rsid w:val="00595B60"/>
    <w:rsid w:val="00595B63"/>
    <w:rsid w:val="00595BF0"/>
    <w:rsid w:val="00597E16"/>
    <w:rsid w:val="005A095B"/>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5C5"/>
    <w:rsid w:val="005B5B3D"/>
    <w:rsid w:val="005B5E8F"/>
    <w:rsid w:val="005B64CF"/>
    <w:rsid w:val="005B72DA"/>
    <w:rsid w:val="005C0E87"/>
    <w:rsid w:val="005C1398"/>
    <w:rsid w:val="005C16F3"/>
    <w:rsid w:val="005C348A"/>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1D67"/>
    <w:rsid w:val="005E224F"/>
    <w:rsid w:val="005E3064"/>
    <w:rsid w:val="005E4EE0"/>
    <w:rsid w:val="005E54DC"/>
    <w:rsid w:val="005E65DC"/>
    <w:rsid w:val="005E6AEE"/>
    <w:rsid w:val="005E72B2"/>
    <w:rsid w:val="005E79A0"/>
    <w:rsid w:val="005F097E"/>
    <w:rsid w:val="005F1115"/>
    <w:rsid w:val="005F1AB6"/>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1DC"/>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1AB"/>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92F"/>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439F"/>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6D85"/>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505"/>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4B72"/>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5D5"/>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170"/>
    <w:rsid w:val="00833418"/>
    <w:rsid w:val="0083387F"/>
    <w:rsid w:val="00834458"/>
    <w:rsid w:val="00834AEA"/>
    <w:rsid w:val="00835841"/>
    <w:rsid w:val="00835B06"/>
    <w:rsid w:val="00835BF8"/>
    <w:rsid w:val="00835FB7"/>
    <w:rsid w:val="00837465"/>
    <w:rsid w:val="0084002E"/>
    <w:rsid w:val="00840159"/>
    <w:rsid w:val="00840621"/>
    <w:rsid w:val="00840DCC"/>
    <w:rsid w:val="00841243"/>
    <w:rsid w:val="00841457"/>
    <w:rsid w:val="0084297D"/>
    <w:rsid w:val="00842BAA"/>
    <w:rsid w:val="00842D8F"/>
    <w:rsid w:val="0084315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278"/>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7CD"/>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4D03"/>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B25"/>
    <w:rsid w:val="0092402E"/>
    <w:rsid w:val="009259BA"/>
    <w:rsid w:val="00926C0A"/>
    <w:rsid w:val="00926FCB"/>
    <w:rsid w:val="009303BB"/>
    <w:rsid w:val="0093108A"/>
    <w:rsid w:val="009319EF"/>
    <w:rsid w:val="00931B6D"/>
    <w:rsid w:val="00931BF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673E2"/>
    <w:rsid w:val="00970B7E"/>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77E05"/>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0882"/>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8EA"/>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13C"/>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491"/>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1D6"/>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5C4"/>
    <w:rsid w:val="00B40A05"/>
    <w:rsid w:val="00B40A3E"/>
    <w:rsid w:val="00B427BB"/>
    <w:rsid w:val="00B43BA2"/>
    <w:rsid w:val="00B449EE"/>
    <w:rsid w:val="00B454AE"/>
    <w:rsid w:val="00B501F5"/>
    <w:rsid w:val="00B50227"/>
    <w:rsid w:val="00B50510"/>
    <w:rsid w:val="00B505E9"/>
    <w:rsid w:val="00B50B25"/>
    <w:rsid w:val="00B522CD"/>
    <w:rsid w:val="00B55143"/>
    <w:rsid w:val="00B553B2"/>
    <w:rsid w:val="00B555C8"/>
    <w:rsid w:val="00B55620"/>
    <w:rsid w:val="00B55917"/>
    <w:rsid w:val="00B55D87"/>
    <w:rsid w:val="00B55FB5"/>
    <w:rsid w:val="00B5646A"/>
    <w:rsid w:val="00B56F3D"/>
    <w:rsid w:val="00B57921"/>
    <w:rsid w:val="00B57E78"/>
    <w:rsid w:val="00B57EB8"/>
    <w:rsid w:val="00B609F6"/>
    <w:rsid w:val="00B60E75"/>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1824"/>
    <w:rsid w:val="00BA2D98"/>
    <w:rsid w:val="00BA2F0C"/>
    <w:rsid w:val="00BA30D1"/>
    <w:rsid w:val="00BA30E1"/>
    <w:rsid w:val="00BA38FA"/>
    <w:rsid w:val="00BA4609"/>
    <w:rsid w:val="00BA5BE2"/>
    <w:rsid w:val="00BA60FC"/>
    <w:rsid w:val="00BA6A9C"/>
    <w:rsid w:val="00BA7F46"/>
    <w:rsid w:val="00BB0388"/>
    <w:rsid w:val="00BB0A0A"/>
    <w:rsid w:val="00BB133C"/>
    <w:rsid w:val="00BB1F04"/>
    <w:rsid w:val="00BB41E5"/>
    <w:rsid w:val="00BB45B5"/>
    <w:rsid w:val="00BB4C6A"/>
    <w:rsid w:val="00BB4DDE"/>
    <w:rsid w:val="00BB5B03"/>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37C9"/>
    <w:rsid w:val="00BD40AB"/>
    <w:rsid w:val="00BD40DE"/>
    <w:rsid w:val="00BD4FCB"/>
    <w:rsid w:val="00BD6297"/>
    <w:rsid w:val="00BD6806"/>
    <w:rsid w:val="00BD6939"/>
    <w:rsid w:val="00BD70F4"/>
    <w:rsid w:val="00BD7433"/>
    <w:rsid w:val="00BD74D4"/>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6759"/>
    <w:rsid w:val="00BF6DDB"/>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623"/>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5FF7"/>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CB7"/>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1253"/>
    <w:rsid w:val="00CC19B3"/>
    <w:rsid w:val="00CC2044"/>
    <w:rsid w:val="00CC39D2"/>
    <w:rsid w:val="00CC4474"/>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53D"/>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4E4"/>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C6C98"/>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D5F"/>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97E4C"/>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0435"/>
    <w:rsid w:val="00EF2346"/>
    <w:rsid w:val="00EF2E75"/>
    <w:rsid w:val="00EF4C74"/>
    <w:rsid w:val="00EF5268"/>
    <w:rsid w:val="00EF608E"/>
    <w:rsid w:val="00EF6C4A"/>
    <w:rsid w:val="00F0044B"/>
    <w:rsid w:val="00F006D6"/>
    <w:rsid w:val="00F00E60"/>
    <w:rsid w:val="00F020E5"/>
    <w:rsid w:val="00F02F9F"/>
    <w:rsid w:val="00F03525"/>
    <w:rsid w:val="00F039A8"/>
    <w:rsid w:val="00F0424D"/>
    <w:rsid w:val="00F04957"/>
    <w:rsid w:val="00F053F0"/>
    <w:rsid w:val="00F05807"/>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77D53"/>
    <w:rsid w:val="00F80B43"/>
    <w:rsid w:val="00F80C97"/>
    <w:rsid w:val="00F81C35"/>
    <w:rsid w:val="00F82981"/>
    <w:rsid w:val="00F82E09"/>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1592"/>
    <w:rsid w:val="00FA215B"/>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88"/>
    <w:rsid w:val="00FD0AA0"/>
    <w:rsid w:val="00FD1D5A"/>
    <w:rsid w:val="00FD4B85"/>
    <w:rsid w:val="00FD5059"/>
    <w:rsid w:val="00FD554D"/>
    <w:rsid w:val="00FD5BCC"/>
    <w:rsid w:val="00FD5EB8"/>
    <w:rsid w:val="00FD6C2D"/>
    <w:rsid w:val="00FD7B23"/>
    <w:rsid w:val="00FD7E16"/>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2A08"/>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507592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3425E-2CB0-4978-8846-D22E9EB4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dcterms:created xsi:type="dcterms:W3CDTF">2012-10-16T18:12:00Z</dcterms:created>
  <dcterms:modified xsi:type="dcterms:W3CDTF">2012-10-16T18:12:00Z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