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DE648E"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A87F49">
        <w:rPr>
          <w:rFonts w:asciiTheme="minorHAnsi" w:hAnsiTheme="minorHAnsi"/>
          <w:caps/>
          <w:color w:val="auto"/>
        </w:rPr>
        <w:tab/>
      </w:r>
      <w:r w:rsidR="00A87F49">
        <w:rPr>
          <w:rFonts w:asciiTheme="minorHAnsi" w:hAnsiTheme="minorHAnsi"/>
          <w:caps/>
          <w:color w:val="auto"/>
        </w:rPr>
        <w:tab/>
      </w:r>
      <w:r w:rsidR="00C9319D">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332DE3" w:rsidRPr="00DE648E">
        <w:rPr>
          <w:rFonts w:asciiTheme="minorHAnsi" w:hAnsiTheme="minorHAnsi"/>
          <w:caps/>
          <w:color w:val="auto"/>
        </w:rPr>
        <w:t xml:space="preserve">marine corps </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E648E">
        <w:rPr>
          <w:rFonts w:asciiTheme="minorHAnsi" w:hAnsiTheme="minorHAnsi"/>
          <w:caps/>
          <w:color w:val="auto"/>
        </w:rPr>
        <w:t>1100184</w:t>
      </w:r>
      <w:r w:rsidR="00DE3AAD" w:rsidRPr="00DE3AAD">
        <w:rPr>
          <w:rFonts w:asciiTheme="minorHAnsi" w:hAnsiTheme="minorHAnsi"/>
          <w:color w:val="auto"/>
        </w:rPr>
        <w:t xml:space="preserve"> </w:t>
      </w:r>
      <w:r w:rsidR="00A87F49">
        <w:rPr>
          <w:rFonts w:asciiTheme="minorHAnsi" w:hAnsiTheme="minorHAnsi"/>
          <w:color w:val="auto"/>
        </w:rPr>
        <w:tab/>
      </w:r>
      <w:r w:rsidR="00A87F49">
        <w:rPr>
          <w:rFonts w:asciiTheme="minorHAnsi" w:hAnsiTheme="minorHAnsi"/>
          <w:color w:val="auto"/>
        </w:rPr>
        <w:tab/>
      </w:r>
      <w:r w:rsidR="00C9319D">
        <w:rPr>
          <w:rFonts w:asciiTheme="minorHAnsi" w:hAnsiTheme="minorHAnsi"/>
          <w:color w:val="auto"/>
        </w:rPr>
        <w:t xml:space="preserve">          </w:t>
      </w:r>
      <w:r w:rsidR="00DE3AAD" w:rsidRPr="00DE3AAD">
        <w:rPr>
          <w:rFonts w:asciiTheme="minorHAnsi" w:hAnsiTheme="minorHAnsi"/>
          <w:color w:val="auto"/>
        </w:rPr>
        <w:t>SEPARATION DATE:  200</w:t>
      </w:r>
      <w:r w:rsidR="00DE648E">
        <w:rPr>
          <w:rFonts w:asciiTheme="minorHAnsi" w:hAnsiTheme="minorHAnsi"/>
          <w:color w:val="auto"/>
        </w:rPr>
        <w:t>80715</w:t>
      </w:r>
    </w:p>
    <w:p w:rsidR="00007A68" w:rsidRPr="00B16A08" w:rsidRDefault="004F3639" w:rsidP="00847F14">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B16A08">
        <w:rPr>
          <w:rFonts w:asciiTheme="minorHAnsi" w:hAnsiTheme="minorHAnsi"/>
          <w:caps/>
          <w:color w:val="auto"/>
        </w:rPr>
        <w:t>20130</w:t>
      </w:r>
    </w:p>
    <w:p w:rsidR="00C26850" w:rsidRDefault="00C26850" w:rsidP="00C26850">
      <w:pPr>
        <w:pBdr>
          <w:bottom w:val="single" w:sz="12" w:space="1" w:color="auto"/>
        </w:pBdr>
        <w:tabs>
          <w:tab w:val="left" w:pos="288"/>
          <w:tab w:val="left" w:pos="4752"/>
        </w:tabs>
        <w:spacing w:line="240" w:lineRule="exact"/>
        <w:jc w:val="both"/>
        <w:rPr>
          <w:rFonts w:asciiTheme="minorHAnsi" w:hAnsiTheme="minorHAnsi"/>
          <w:color w:val="auto"/>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C472C7" w:rsidRDefault="00FB0E80" w:rsidP="00042568">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2E65E6">
        <w:rPr>
          <w:rFonts w:asciiTheme="minorHAnsi" w:hAnsiTheme="minorHAnsi"/>
          <w:color w:val="auto"/>
          <w:szCs w:val="24"/>
        </w:rPr>
        <w:t>member,</w:t>
      </w:r>
      <w:r w:rsidR="006D4E0E" w:rsidRPr="00AD7F8F">
        <w:rPr>
          <w:rFonts w:asciiTheme="minorHAnsi" w:hAnsiTheme="minorHAnsi"/>
          <w:color w:val="auto"/>
          <w:szCs w:val="24"/>
        </w:rPr>
        <w:t xml:space="preserve"> </w:t>
      </w:r>
      <w:r w:rsidR="00DE648E">
        <w:rPr>
          <w:rFonts w:asciiTheme="minorHAnsi" w:hAnsiTheme="minorHAnsi"/>
          <w:color w:val="auto"/>
          <w:szCs w:val="24"/>
        </w:rPr>
        <w:t>C</w:t>
      </w:r>
      <w:r w:rsidR="00007A68">
        <w:rPr>
          <w:rFonts w:asciiTheme="minorHAnsi" w:hAnsiTheme="minorHAnsi"/>
          <w:color w:val="auto"/>
          <w:szCs w:val="24"/>
        </w:rPr>
        <w:t>pl</w:t>
      </w:r>
      <w:r w:rsidR="00DE648E">
        <w:rPr>
          <w:rFonts w:asciiTheme="minorHAnsi" w:hAnsiTheme="minorHAnsi"/>
          <w:color w:val="auto"/>
          <w:szCs w:val="24"/>
        </w:rPr>
        <w:t>/E-4</w:t>
      </w:r>
      <w:r w:rsidR="00705C40" w:rsidRPr="00AD7F8F">
        <w:rPr>
          <w:rFonts w:asciiTheme="minorHAnsi" w:hAnsiTheme="minorHAnsi"/>
          <w:color w:val="auto"/>
          <w:szCs w:val="24"/>
        </w:rPr>
        <w:t xml:space="preserve"> (</w:t>
      </w:r>
      <w:r w:rsidR="00DE648E">
        <w:rPr>
          <w:rFonts w:asciiTheme="minorHAnsi" w:hAnsiTheme="minorHAnsi"/>
          <w:color w:val="auto"/>
          <w:szCs w:val="24"/>
        </w:rPr>
        <w:t>0311</w:t>
      </w:r>
      <w:r w:rsidR="00C75F3D">
        <w:rPr>
          <w:rFonts w:asciiTheme="minorHAnsi" w:hAnsiTheme="minorHAnsi"/>
          <w:color w:val="auto"/>
          <w:szCs w:val="24"/>
        </w:rPr>
        <w:t xml:space="preserve">, </w:t>
      </w:r>
      <w:r w:rsidR="00DE648E">
        <w:rPr>
          <w:rFonts w:asciiTheme="minorHAnsi" w:hAnsiTheme="minorHAnsi"/>
          <w:color w:val="auto"/>
          <w:szCs w:val="24"/>
        </w:rPr>
        <w:t>Rifleman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w:t>
      </w:r>
      <w:r w:rsidR="002C6E5B" w:rsidRPr="00340FEF">
        <w:rPr>
          <w:rFonts w:asciiTheme="minorHAnsi" w:hAnsiTheme="minorHAnsi"/>
          <w:color w:val="auto"/>
          <w:szCs w:val="24"/>
        </w:rPr>
        <w:t>for</w:t>
      </w:r>
      <w:r w:rsidR="00485139" w:rsidRPr="00340FEF">
        <w:rPr>
          <w:rFonts w:asciiTheme="minorHAnsi" w:hAnsiTheme="minorHAnsi"/>
          <w:color w:val="auto"/>
          <w:szCs w:val="24"/>
        </w:rPr>
        <w:t xml:space="preserve"> </w:t>
      </w:r>
      <w:r w:rsidR="00B20934" w:rsidRPr="00340FEF">
        <w:rPr>
          <w:rFonts w:asciiTheme="minorHAnsi" w:hAnsiTheme="minorHAnsi"/>
          <w:color w:val="auto"/>
          <w:szCs w:val="24"/>
        </w:rPr>
        <w:t>p</w:t>
      </w:r>
      <w:r w:rsidR="00485139" w:rsidRPr="00340FEF">
        <w:rPr>
          <w:rFonts w:asciiTheme="minorHAnsi" w:hAnsiTheme="minorHAnsi"/>
          <w:color w:val="auto"/>
          <w:szCs w:val="24"/>
        </w:rPr>
        <w:t>ost-</w:t>
      </w:r>
      <w:r w:rsidR="00B20934" w:rsidRPr="00340FEF">
        <w:rPr>
          <w:rFonts w:asciiTheme="minorHAnsi" w:hAnsiTheme="minorHAnsi"/>
          <w:color w:val="auto"/>
          <w:szCs w:val="24"/>
        </w:rPr>
        <w:t>c</w:t>
      </w:r>
      <w:r w:rsidR="00485139" w:rsidRPr="00340FEF">
        <w:rPr>
          <w:rFonts w:asciiTheme="minorHAnsi" w:hAnsiTheme="minorHAnsi"/>
          <w:color w:val="auto"/>
          <w:szCs w:val="24"/>
        </w:rPr>
        <w:t xml:space="preserve">oncussive </w:t>
      </w:r>
      <w:r w:rsidR="00B20934" w:rsidRPr="00340FEF">
        <w:rPr>
          <w:rFonts w:asciiTheme="minorHAnsi" w:hAnsiTheme="minorHAnsi"/>
          <w:color w:val="auto"/>
          <w:szCs w:val="24"/>
        </w:rPr>
        <w:t>s</w:t>
      </w:r>
      <w:r w:rsidR="00485139" w:rsidRPr="00340FEF">
        <w:rPr>
          <w:rFonts w:asciiTheme="minorHAnsi" w:hAnsiTheme="minorHAnsi"/>
          <w:color w:val="auto"/>
          <w:szCs w:val="24"/>
        </w:rPr>
        <w:t>yndrome</w:t>
      </w:r>
      <w:r w:rsidR="008711BE">
        <w:rPr>
          <w:rFonts w:asciiTheme="minorHAnsi" w:hAnsiTheme="minorHAnsi"/>
          <w:color w:val="auto"/>
          <w:szCs w:val="24"/>
        </w:rPr>
        <w:t xml:space="preserve">.  </w:t>
      </w:r>
      <w:r w:rsidR="00E322F7" w:rsidRPr="003C4AEE">
        <w:rPr>
          <w:rFonts w:asciiTheme="minorHAnsi" w:hAnsiTheme="minorHAnsi"/>
          <w:color w:val="auto"/>
          <w:szCs w:val="24"/>
        </w:rPr>
        <w:t xml:space="preserve">He did not respond adequately </w:t>
      </w:r>
      <w:r w:rsidR="00C75F3D" w:rsidRPr="003C4AEE">
        <w:rPr>
          <w:rFonts w:asciiTheme="minorHAnsi" w:hAnsiTheme="minorHAnsi"/>
          <w:color w:val="auto"/>
          <w:szCs w:val="24"/>
        </w:rPr>
        <w:t xml:space="preserve">to treatment and was unable to </w:t>
      </w:r>
      <w:r w:rsidR="00E322F7" w:rsidRPr="003C4AEE">
        <w:rPr>
          <w:rFonts w:asciiTheme="minorHAnsi" w:hAnsiTheme="minorHAnsi"/>
          <w:color w:val="auto"/>
          <w:szCs w:val="24"/>
        </w:rPr>
        <w:t xml:space="preserve">perform within his </w:t>
      </w:r>
      <w:r w:rsidR="0046732B">
        <w:rPr>
          <w:rFonts w:asciiTheme="minorHAnsi" w:hAnsiTheme="minorHAnsi"/>
          <w:color w:val="auto"/>
          <w:szCs w:val="24"/>
        </w:rPr>
        <w:t>M</w:t>
      </w:r>
      <w:r w:rsidR="009020ED" w:rsidRPr="003C4AEE">
        <w:rPr>
          <w:rFonts w:asciiTheme="minorHAnsi" w:hAnsiTheme="minorHAnsi"/>
          <w:color w:val="auto"/>
          <w:szCs w:val="24"/>
        </w:rPr>
        <w:t xml:space="preserve">ilitary </w:t>
      </w:r>
      <w:r w:rsidR="0046732B">
        <w:rPr>
          <w:rFonts w:asciiTheme="minorHAnsi" w:hAnsiTheme="minorHAnsi"/>
          <w:color w:val="auto"/>
          <w:szCs w:val="24"/>
        </w:rPr>
        <w:t>O</w:t>
      </w:r>
      <w:r w:rsidR="00705C40" w:rsidRPr="003C4AEE">
        <w:rPr>
          <w:rFonts w:asciiTheme="minorHAnsi" w:hAnsiTheme="minorHAnsi"/>
          <w:color w:val="auto"/>
          <w:szCs w:val="24"/>
        </w:rPr>
        <w:t xml:space="preserve">ccupational </w:t>
      </w:r>
      <w:r w:rsidR="0046732B">
        <w:rPr>
          <w:rFonts w:asciiTheme="minorHAnsi" w:hAnsiTheme="minorHAnsi"/>
          <w:color w:val="auto"/>
          <w:szCs w:val="24"/>
        </w:rPr>
        <w:t>S</w:t>
      </w:r>
      <w:r w:rsidR="003A40B4" w:rsidRPr="003C4AEE">
        <w:rPr>
          <w:rFonts w:asciiTheme="minorHAnsi" w:hAnsiTheme="minorHAnsi"/>
          <w:color w:val="auto"/>
          <w:szCs w:val="24"/>
        </w:rPr>
        <w:t>pecialty</w:t>
      </w:r>
      <w:r w:rsidR="002752AE" w:rsidRPr="003C4AEE">
        <w:rPr>
          <w:rFonts w:asciiTheme="minorHAnsi" w:hAnsiTheme="minorHAnsi"/>
          <w:color w:val="auto"/>
          <w:szCs w:val="24"/>
        </w:rPr>
        <w:t xml:space="preserve"> (MOS) or meet </w:t>
      </w:r>
      <w:r w:rsidR="0044411E" w:rsidRPr="003C4AEE">
        <w:rPr>
          <w:rFonts w:asciiTheme="minorHAnsi" w:hAnsiTheme="minorHAnsi"/>
          <w:color w:val="auto"/>
          <w:szCs w:val="24"/>
        </w:rPr>
        <w:t xml:space="preserve">physical fitness </w:t>
      </w:r>
      <w:r w:rsidR="002752AE" w:rsidRPr="003C4AEE">
        <w:rPr>
          <w:rFonts w:asciiTheme="minorHAnsi" w:hAnsiTheme="minorHAnsi"/>
          <w:color w:val="auto"/>
          <w:szCs w:val="24"/>
        </w:rPr>
        <w:t>standards</w:t>
      </w:r>
      <w:r w:rsidR="003C4AEE" w:rsidRPr="003C4AEE">
        <w:rPr>
          <w:rFonts w:asciiTheme="minorHAnsi" w:hAnsiTheme="minorHAnsi"/>
          <w:color w:val="auto"/>
          <w:szCs w:val="24"/>
        </w:rPr>
        <w:t xml:space="preserve"> and underwent</w:t>
      </w:r>
      <w:r w:rsidR="002A0A16">
        <w:rPr>
          <w:rFonts w:asciiTheme="minorHAnsi" w:hAnsiTheme="minorHAnsi"/>
          <w:color w:val="auto"/>
          <w:szCs w:val="24"/>
        </w:rPr>
        <w:t xml:space="preserve"> </w:t>
      </w:r>
      <w:r w:rsidR="003C4AEE" w:rsidRPr="003C4AEE">
        <w:rPr>
          <w:rFonts w:asciiTheme="minorHAnsi" w:hAnsiTheme="minorHAnsi"/>
          <w:color w:val="auto"/>
          <w:szCs w:val="24"/>
        </w:rPr>
        <w:t xml:space="preserve">MEB. </w:t>
      </w:r>
      <w:r w:rsidR="00972440">
        <w:rPr>
          <w:rFonts w:asciiTheme="minorHAnsi" w:hAnsiTheme="minorHAnsi"/>
          <w:color w:val="auto"/>
          <w:szCs w:val="24"/>
        </w:rPr>
        <w:t xml:space="preserve"> </w:t>
      </w:r>
      <w:r w:rsidR="00485139" w:rsidRPr="003C4AEE">
        <w:rPr>
          <w:rFonts w:asciiTheme="minorHAnsi" w:hAnsiTheme="minorHAnsi"/>
          <w:color w:val="auto"/>
          <w:szCs w:val="24"/>
        </w:rPr>
        <w:t>Post</w:t>
      </w:r>
      <w:r w:rsidR="00007A68">
        <w:rPr>
          <w:rFonts w:asciiTheme="minorHAnsi" w:hAnsiTheme="minorHAnsi"/>
          <w:color w:val="auto"/>
          <w:szCs w:val="24"/>
        </w:rPr>
        <w:t>t</w:t>
      </w:r>
      <w:r w:rsidR="00485139" w:rsidRPr="003C4AEE">
        <w:rPr>
          <w:rFonts w:asciiTheme="minorHAnsi" w:hAnsiTheme="minorHAnsi"/>
          <w:color w:val="auto"/>
          <w:szCs w:val="24"/>
        </w:rPr>
        <w:t xml:space="preserve">raumatic </w:t>
      </w:r>
      <w:r w:rsidR="00007A68">
        <w:rPr>
          <w:rFonts w:asciiTheme="minorHAnsi" w:hAnsiTheme="minorHAnsi"/>
          <w:color w:val="auto"/>
          <w:szCs w:val="24"/>
        </w:rPr>
        <w:t>s</w:t>
      </w:r>
      <w:r w:rsidR="00485139" w:rsidRPr="003C4AEE">
        <w:rPr>
          <w:rFonts w:asciiTheme="minorHAnsi" w:hAnsiTheme="minorHAnsi"/>
          <w:color w:val="auto"/>
          <w:szCs w:val="24"/>
        </w:rPr>
        <w:t xml:space="preserve">tress </w:t>
      </w:r>
      <w:r w:rsidR="00007A68">
        <w:rPr>
          <w:rFonts w:asciiTheme="minorHAnsi" w:hAnsiTheme="minorHAnsi"/>
          <w:color w:val="auto"/>
          <w:szCs w:val="24"/>
        </w:rPr>
        <w:t>d</w:t>
      </w:r>
      <w:r w:rsidR="00485139" w:rsidRPr="003C4AEE">
        <w:rPr>
          <w:rFonts w:asciiTheme="minorHAnsi" w:hAnsiTheme="minorHAnsi"/>
          <w:color w:val="auto"/>
          <w:szCs w:val="24"/>
        </w:rPr>
        <w:t xml:space="preserve">isorder (PTSD), </w:t>
      </w:r>
      <w:r w:rsidR="00007A68">
        <w:rPr>
          <w:rFonts w:asciiTheme="minorHAnsi" w:hAnsiTheme="minorHAnsi"/>
          <w:color w:val="auto"/>
          <w:szCs w:val="24"/>
        </w:rPr>
        <w:t>p</w:t>
      </w:r>
      <w:r w:rsidR="00485139" w:rsidRPr="003C4AEE">
        <w:rPr>
          <w:rFonts w:asciiTheme="minorHAnsi" w:hAnsiTheme="minorHAnsi"/>
          <w:color w:val="auto"/>
          <w:szCs w:val="24"/>
        </w:rPr>
        <w:t>ost-</w:t>
      </w:r>
      <w:r w:rsidR="00007A68">
        <w:rPr>
          <w:rFonts w:asciiTheme="minorHAnsi" w:hAnsiTheme="minorHAnsi"/>
          <w:color w:val="auto"/>
          <w:szCs w:val="24"/>
        </w:rPr>
        <w:t>c</w:t>
      </w:r>
      <w:r w:rsidR="00485139" w:rsidRPr="003C4AEE">
        <w:rPr>
          <w:rFonts w:asciiTheme="minorHAnsi" w:hAnsiTheme="minorHAnsi"/>
          <w:color w:val="auto"/>
          <w:szCs w:val="24"/>
        </w:rPr>
        <w:t xml:space="preserve">oncussive </w:t>
      </w:r>
      <w:r w:rsidR="00007A68">
        <w:rPr>
          <w:rFonts w:asciiTheme="minorHAnsi" w:hAnsiTheme="minorHAnsi"/>
          <w:color w:val="auto"/>
          <w:szCs w:val="24"/>
        </w:rPr>
        <w:t>s</w:t>
      </w:r>
      <w:r w:rsidR="00485139" w:rsidRPr="003C4AEE">
        <w:rPr>
          <w:rFonts w:asciiTheme="minorHAnsi" w:hAnsiTheme="minorHAnsi"/>
          <w:color w:val="auto"/>
          <w:szCs w:val="24"/>
        </w:rPr>
        <w:t xml:space="preserve">yndrome and </w:t>
      </w:r>
      <w:r w:rsidR="00007A68">
        <w:rPr>
          <w:rFonts w:asciiTheme="minorHAnsi" w:hAnsiTheme="minorHAnsi"/>
          <w:color w:val="auto"/>
          <w:szCs w:val="24"/>
        </w:rPr>
        <w:t>m</w:t>
      </w:r>
      <w:r w:rsidR="00485139" w:rsidRPr="003C4AEE">
        <w:rPr>
          <w:rFonts w:asciiTheme="minorHAnsi" w:hAnsiTheme="minorHAnsi"/>
          <w:color w:val="auto"/>
          <w:szCs w:val="24"/>
        </w:rPr>
        <w:t xml:space="preserve">ajor </w:t>
      </w:r>
      <w:r w:rsidR="00007A68">
        <w:rPr>
          <w:rFonts w:asciiTheme="minorHAnsi" w:hAnsiTheme="minorHAnsi"/>
          <w:color w:val="auto"/>
          <w:szCs w:val="24"/>
        </w:rPr>
        <w:t>d</w:t>
      </w:r>
      <w:r w:rsidR="00485139" w:rsidRPr="003C4AEE">
        <w:rPr>
          <w:rFonts w:asciiTheme="minorHAnsi" w:hAnsiTheme="minorHAnsi"/>
          <w:color w:val="auto"/>
          <w:szCs w:val="24"/>
        </w:rPr>
        <w:t xml:space="preserve">epressive </w:t>
      </w:r>
      <w:r w:rsidR="00007A68">
        <w:rPr>
          <w:rFonts w:asciiTheme="minorHAnsi" w:hAnsiTheme="minorHAnsi"/>
          <w:color w:val="auto"/>
          <w:szCs w:val="24"/>
        </w:rPr>
        <w:t>d</w:t>
      </w:r>
      <w:r w:rsidR="00485139" w:rsidRPr="003C4AEE">
        <w:rPr>
          <w:rFonts w:asciiTheme="minorHAnsi" w:hAnsiTheme="minorHAnsi"/>
          <w:color w:val="auto"/>
          <w:szCs w:val="24"/>
        </w:rPr>
        <w:t>isorder</w:t>
      </w:r>
      <w:r w:rsidR="00F92E1C" w:rsidRPr="003C4AEE">
        <w:rPr>
          <w:rFonts w:asciiTheme="minorHAnsi" w:hAnsiTheme="minorHAnsi"/>
          <w:color w:val="auto"/>
          <w:szCs w:val="24"/>
        </w:rPr>
        <w:t xml:space="preserve"> (MDD)</w:t>
      </w:r>
      <w:r w:rsidR="00485139" w:rsidRPr="003C4AEE">
        <w:rPr>
          <w:rFonts w:asciiTheme="minorHAnsi" w:hAnsiTheme="minorHAnsi"/>
          <w:color w:val="auto"/>
          <w:szCs w:val="24"/>
        </w:rPr>
        <w:t xml:space="preserve">, </w:t>
      </w:r>
      <w:r w:rsidR="00007A68">
        <w:rPr>
          <w:rFonts w:asciiTheme="minorHAnsi" w:hAnsiTheme="minorHAnsi"/>
          <w:color w:val="auto"/>
          <w:szCs w:val="24"/>
        </w:rPr>
        <w:t>s</w:t>
      </w:r>
      <w:r w:rsidR="00485139" w:rsidRPr="003C4AEE">
        <w:rPr>
          <w:rFonts w:asciiTheme="minorHAnsi" w:hAnsiTheme="minorHAnsi"/>
          <w:color w:val="auto"/>
          <w:szCs w:val="24"/>
        </w:rPr>
        <w:t xml:space="preserve">ingle </w:t>
      </w:r>
      <w:r w:rsidR="00007A68">
        <w:rPr>
          <w:rFonts w:asciiTheme="minorHAnsi" w:hAnsiTheme="minorHAnsi"/>
          <w:color w:val="auto"/>
          <w:szCs w:val="24"/>
        </w:rPr>
        <w:t>e</w:t>
      </w:r>
      <w:r w:rsidR="00485139" w:rsidRPr="003C4AEE">
        <w:rPr>
          <w:rFonts w:asciiTheme="minorHAnsi" w:hAnsiTheme="minorHAnsi"/>
          <w:color w:val="auto"/>
          <w:szCs w:val="24"/>
        </w:rPr>
        <w:t>pisode</w:t>
      </w:r>
      <w:r w:rsidR="00243780" w:rsidRPr="003C4AEE">
        <w:rPr>
          <w:rFonts w:asciiTheme="minorHAnsi" w:hAnsiTheme="minorHAnsi"/>
          <w:color w:val="auto"/>
          <w:szCs w:val="24"/>
        </w:rPr>
        <w:t>,</w:t>
      </w:r>
      <w:r w:rsidR="000A33C8" w:rsidRPr="003C4AEE">
        <w:rPr>
          <w:rFonts w:asciiTheme="minorHAnsi" w:hAnsiTheme="minorHAnsi"/>
          <w:color w:val="auto"/>
          <w:szCs w:val="24"/>
        </w:rPr>
        <w:t xml:space="preserve"> were forwarded to the </w:t>
      </w:r>
      <w:r w:rsidR="003C68B6">
        <w:rPr>
          <w:rFonts w:asciiTheme="minorHAnsi" w:hAnsiTheme="minorHAnsi"/>
          <w:color w:val="auto"/>
          <w:szCs w:val="24"/>
        </w:rPr>
        <w:t xml:space="preserve">Informal </w:t>
      </w:r>
      <w:r w:rsidR="000A33C8" w:rsidRPr="003C4AEE">
        <w:rPr>
          <w:rFonts w:asciiTheme="minorHAnsi" w:hAnsiTheme="minorHAnsi"/>
          <w:color w:val="auto"/>
          <w:szCs w:val="24"/>
        </w:rPr>
        <w:t>Physical Evaluation Board (</w:t>
      </w:r>
      <w:r w:rsidR="003C68B6">
        <w:rPr>
          <w:rFonts w:asciiTheme="minorHAnsi" w:hAnsiTheme="minorHAnsi"/>
          <w:color w:val="auto"/>
          <w:szCs w:val="24"/>
        </w:rPr>
        <w:t>I</w:t>
      </w:r>
      <w:r w:rsidR="000A33C8" w:rsidRPr="003C4AEE">
        <w:rPr>
          <w:rFonts w:asciiTheme="minorHAnsi" w:hAnsiTheme="minorHAnsi"/>
          <w:color w:val="auto"/>
          <w:szCs w:val="24"/>
        </w:rPr>
        <w:t xml:space="preserve">PEB) IAW </w:t>
      </w:r>
      <w:r w:rsidR="00AB1F8D" w:rsidRPr="003C4AEE">
        <w:rPr>
          <w:rFonts w:asciiTheme="minorHAnsi" w:hAnsiTheme="minorHAnsi"/>
          <w:color w:val="auto"/>
          <w:szCs w:val="24"/>
        </w:rPr>
        <w:t>SECNAVINST 1850.4E</w:t>
      </w:r>
      <w:r w:rsidR="00F92E1C" w:rsidRPr="003C4AEE">
        <w:rPr>
          <w:rFonts w:asciiTheme="minorHAnsi" w:hAnsiTheme="minorHAnsi"/>
          <w:color w:val="auto"/>
          <w:szCs w:val="24"/>
        </w:rPr>
        <w:t xml:space="preserve"> on the NAVMED 6100_1</w:t>
      </w:r>
      <w:r w:rsidR="001A5E62" w:rsidRPr="003C4AEE">
        <w:rPr>
          <w:rFonts w:asciiTheme="minorHAnsi" w:hAnsiTheme="minorHAnsi"/>
          <w:color w:val="auto"/>
          <w:szCs w:val="24"/>
        </w:rPr>
        <w:t xml:space="preserve">.  </w:t>
      </w:r>
      <w:r w:rsidR="00DE0086" w:rsidRPr="003C4AEE">
        <w:rPr>
          <w:rFonts w:asciiTheme="minorHAnsi" w:hAnsiTheme="minorHAnsi"/>
          <w:color w:val="auto"/>
          <w:szCs w:val="24"/>
        </w:rPr>
        <w:t>An MEB addendum</w:t>
      </w:r>
      <w:r w:rsidR="00F92E1C" w:rsidRPr="003C4AEE">
        <w:rPr>
          <w:rFonts w:asciiTheme="minorHAnsi" w:hAnsiTheme="minorHAnsi"/>
          <w:color w:val="auto"/>
          <w:szCs w:val="24"/>
        </w:rPr>
        <w:t>,</w:t>
      </w:r>
      <w:r w:rsidR="00B16A08">
        <w:rPr>
          <w:rFonts w:asciiTheme="minorHAnsi" w:hAnsiTheme="minorHAnsi"/>
          <w:color w:val="auto"/>
          <w:szCs w:val="24"/>
        </w:rPr>
        <w:t xml:space="preserve"> submitted on behalf of the request of the CI</w:t>
      </w:r>
      <w:r w:rsidR="00DE0086" w:rsidRPr="003C4AEE">
        <w:rPr>
          <w:rFonts w:asciiTheme="minorHAnsi" w:hAnsiTheme="minorHAnsi"/>
          <w:color w:val="auto"/>
          <w:szCs w:val="24"/>
        </w:rPr>
        <w:t xml:space="preserve"> dated 3 April 2008</w:t>
      </w:r>
      <w:r w:rsidR="00F92E1C" w:rsidRPr="003C4AEE">
        <w:rPr>
          <w:rFonts w:asciiTheme="minorHAnsi" w:hAnsiTheme="minorHAnsi"/>
          <w:color w:val="auto"/>
          <w:szCs w:val="24"/>
        </w:rPr>
        <w:t>,</w:t>
      </w:r>
      <w:r w:rsidR="00DE0086" w:rsidRPr="003C4AEE">
        <w:rPr>
          <w:rFonts w:asciiTheme="minorHAnsi" w:hAnsiTheme="minorHAnsi"/>
          <w:color w:val="auto"/>
          <w:szCs w:val="24"/>
        </w:rPr>
        <w:t xml:space="preserve"> added migraine associated dizziness, dizziness, vertigo, migraine headaches, hearing loss and tinnitus.  </w:t>
      </w:r>
      <w:r w:rsidR="001A5E62" w:rsidRPr="003C4AEE">
        <w:rPr>
          <w:rFonts w:asciiTheme="minorHAnsi" w:hAnsiTheme="minorHAnsi"/>
          <w:color w:val="auto"/>
          <w:szCs w:val="24"/>
        </w:rPr>
        <w:t>Other conditions included in the</w:t>
      </w:r>
      <w:r w:rsidR="00DC17F2" w:rsidRPr="003C4AEE">
        <w:rPr>
          <w:rFonts w:asciiTheme="minorHAnsi" w:hAnsiTheme="minorHAnsi"/>
          <w:color w:val="auto"/>
          <w:szCs w:val="24"/>
        </w:rPr>
        <w:t xml:space="preserve"> </w:t>
      </w:r>
      <w:r w:rsidR="00555C66" w:rsidRPr="003C4AEE">
        <w:rPr>
          <w:rFonts w:asciiTheme="minorHAnsi" w:hAnsiTheme="minorHAnsi"/>
          <w:color w:val="auto"/>
          <w:szCs w:val="24"/>
        </w:rPr>
        <w:t xml:space="preserve">Disability Evaluation System (DES) </w:t>
      </w:r>
      <w:r w:rsidR="001A5E62" w:rsidRPr="003C4AEE">
        <w:rPr>
          <w:rFonts w:asciiTheme="minorHAnsi" w:hAnsiTheme="minorHAnsi"/>
          <w:color w:val="auto"/>
          <w:szCs w:val="24"/>
        </w:rPr>
        <w:t>packet will be discussed below.</w:t>
      </w:r>
      <w:r w:rsidR="00CC3DEF" w:rsidRPr="003C4AEE">
        <w:rPr>
          <w:rFonts w:asciiTheme="minorHAnsi" w:hAnsiTheme="minorHAnsi"/>
          <w:color w:val="auto"/>
          <w:szCs w:val="24"/>
        </w:rPr>
        <w:t xml:space="preserve">  </w:t>
      </w:r>
      <w:r w:rsidR="00B20624" w:rsidRPr="003C4AEE">
        <w:rPr>
          <w:rFonts w:asciiTheme="minorHAnsi" w:hAnsiTheme="minorHAnsi"/>
          <w:color w:val="auto"/>
          <w:szCs w:val="24"/>
        </w:rPr>
        <w:t xml:space="preserve">The </w:t>
      </w:r>
      <w:r w:rsidR="002D3B02">
        <w:rPr>
          <w:rFonts w:asciiTheme="minorHAnsi" w:hAnsiTheme="minorHAnsi"/>
          <w:color w:val="auto"/>
          <w:szCs w:val="24"/>
        </w:rPr>
        <w:t xml:space="preserve">IPEB </w:t>
      </w:r>
      <w:r w:rsidR="00B20624" w:rsidRPr="003C4AEE">
        <w:rPr>
          <w:rFonts w:asciiTheme="minorHAnsi" w:hAnsiTheme="minorHAnsi"/>
          <w:color w:val="auto"/>
          <w:szCs w:val="24"/>
        </w:rPr>
        <w:t xml:space="preserve">adjudicated the </w:t>
      </w:r>
      <w:r w:rsidR="00007A68">
        <w:rPr>
          <w:rFonts w:asciiTheme="minorHAnsi" w:hAnsiTheme="minorHAnsi"/>
          <w:color w:val="auto"/>
          <w:szCs w:val="24"/>
        </w:rPr>
        <w:t>p</w:t>
      </w:r>
      <w:r w:rsidR="00C83DB0" w:rsidRPr="003C4AEE">
        <w:rPr>
          <w:rFonts w:asciiTheme="minorHAnsi" w:hAnsiTheme="minorHAnsi"/>
          <w:color w:val="auto"/>
          <w:szCs w:val="24"/>
        </w:rPr>
        <w:t>ost-</w:t>
      </w:r>
      <w:r w:rsidR="00007A68">
        <w:rPr>
          <w:rFonts w:asciiTheme="minorHAnsi" w:hAnsiTheme="minorHAnsi"/>
          <w:color w:val="auto"/>
          <w:szCs w:val="24"/>
        </w:rPr>
        <w:t>c</w:t>
      </w:r>
      <w:r w:rsidR="00C83DB0" w:rsidRPr="003C4AEE">
        <w:rPr>
          <w:rFonts w:asciiTheme="minorHAnsi" w:hAnsiTheme="minorHAnsi"/>
          <w:color w:val="auto"/>
          <w:szCs w:val="24"/>
        </w:rPr>
        <w:t xml:space="preserve">oncussive </w:t>
      </w:r>
      <w:r w:rsidR="00007A68">
        <w:rPr>
          <w:rFonts w:asciiTheme="minorHAnsi" w:hAnsiTheme="minorHAnsi"/>
          <w:color w:val="auto"/>
          <w:szCs w:val="24"/>
        </w:rPr>
        <w:t>s</w:t>
      </w:r>
      <w:r w:rsidR="00C83DB0" w:rsidRPr="003C4AEE">
        <w:rPr>
          <w:rFonts w:asciiTheme="minorHAnsi" w:hAnsiTheme="minorHAnsi"/>
          <w:color w:val="auto"/>
          <w:szCs w:val="24"/>
        </w:rPr>
        <w:t>yndrome</w:t>
      </w:r>
      <w:r w:rsidR="00C127F2" w:rsidRPr="003C4AEE">
        <w:rPr>
          <w:rFonts w:asciiTheme="minorHAnsi" w:hAnsiTheme="minorHAnsi"/>
          <w:color w:val="auto"/>
          <w:szCs w:val="24"/>
        </w:rPr>
        <w:t xml:space="preserve"> </w:t>
      </w:r>
      <w:r w:rsidR="00B20624" w:rsidRPr="003C4AEE">
        <w:rPr>
          <w:rFonts w:asciiTheme="minorHAnsi" w:hAnsiTheme="minorHAnsi"/>
          <w:color w:val="auto"/>
          <w:szCs w:val="24"/>
        </w:rPr>
        <w:t xml:space="preserve">as unfitting, rated </w:t>
      </w:r>
      <w:r w:rsidR="00C83DB0" w:rsidRPr="003C4AEE">
        <w:rPr>
          <w:rFonts w:asciiTheme="minorHAnsi" w:hAnsiTheme="minorHAnsi"/>
          <w:color w:val="auto"/>
          <w:szCs w:val="24"/>
        </w:rPr>
        <w:t>10</w:t>
      </w:r>
      <w:r w:rsidR="00B20624" w:rsidRPr="003C4AEE">
        <w:rPr>
          <w:rFonts w:asciiTheme="minorHAnsi" w:hAnsiTheme="minorHAnsi"/>
          <w:color w:val="auto"/>
          <w:szCs w:val="24"/>
        </w:rPr>
        <w:t>%</w:t>
      </w:r>
      <w:r w:rsidR="00B80EDD" w:rsidRPr="003C4AEE">
        <w:rPr>
          <w:rFonts w:asciiTheme="minorHAnsi" w:hAnsiTheme="minorHAnsi"/>
          <w:color w:val="auto"/>
          <w:szCs w:val="24"/>
        </w:rPr>
        <w:t>,</w:t>
      </w:r>
      <w:r w:rsidR="00B20624" w:rsidRPr="003C4AEE">
        <w:rPr>
          <w:rFonts w:asciiTheme="minorHAnsi" w:hAnsiTheme="minorHAnsi"/>
          <w:color w:val="auto"/>
          <w:szCs w:val="24"/>
        </w:rPr>
        <w:t xml:space="preserve"> </w:t>
      </w:r>
      <w:r w:rsidR="00042E3C">
        <w:rPr>
          <w:rFonts w:asciiTheme="minorHAnsi" w:hAnsiTheme="minorHAnsi"/>
          <w:color w:val="auto"/>
          <w:szCs w:val="24"/>
        </w:rPr>
        <w:t xml:space="preserve">with likely application of </w:t>
      </w:r>
      <w:r w:rsidR="00042E3C" w:rsidRPr="00140780">
        <w:rPr>
          <w:color w:val="auto"/>
          <w:szCs w:val="24"/>
        </w:rPr>
        <w:t>SECNAVINST 1850.4E and DoDI 1332.39 (E2.A1.5)</w:t>
      </w:r>
      <w:r w:rsidR="00042E3C" w:rsidRPr="00624871">
        <w:rPr>
          <w:color w:val="auto"/>
          <w:szCs w:val="24"/>
        </w:rPr>
        <w:t>.</w:t>
      </w:r>
      <w:r w:rsidR="002660DE">
        <w:rPr>
          <w:rFonts w:asciiTheme="minorHAnsi" w:hAnsiTheme="minorHAnsi"/>
          <w:color w:val="auto"/>
          <w:szCs w:val="24"/>
        </w:rPr>
        <w:t xml:space="preserve">  </w:t>
      </w:r>
      <w:r w:rsidR="00061897" w:rsidRPr="003C4AEE">
        <w:rPr>
          <w:rFonts w:asciiTheme="minorHAnsi" w:hAnsiTheme="minorHAnsi"/>
          <w:color w:val="auto"/>
          <w:szCs w:val="24"/>
        </w:rPr>
        <w:t xml:space="preserve">The IPEB determined that PTSD, in partial remission; cognitive disorder, NOS; multiple grade II and III concussions; major depression; standard assessment of concussion score 24 out of 30; multiple IED exposures; personality change due to a medical condition; and, post-traumatic headache were Category II conditions, related </w:t>
      </w:r>
      <w:r w:rsidR="00D26DD7" w:rsidRPr="003C4AEE">
        <w:rPr>
          <w:rFonts w:asciiTheme="minorHAnsi" w:hAnsiTheme="minorHAnsi"/>
          <w:color w:val="auto"/>
          <w:szCs w:val="24"/>
        </w:rPr>
        <w:t xml:space="preserve">to the unfitting diagnosis, </w:t>
      </w:r>
      <w:r w:rsidR="00061897" w:rsidRPr="003C4AEE">
        <w:rPr>
          <w:rFonts w:asciiTheme="minorHAnsi" w:hAnsiTheme="minorHAnsi"/>
          <w:color w:val="auto"/>
          <w:szCs w:val="24"/>
        </w:rPr>
        <w:t xml:space="preserve">but not separately unfitting.  Alcohol dependence, in sustained partial remission, was determined to be a Category IV condition, one which does not constitute a physical disability.  </w:t>
      </w:r>
      <w:r w:rsidR="00B20624" w:rsidRPr="003C4AEE">
        <w:rPr>
          <w:rFonts w:asciiTheme="minorHAnsi" w:hAnsiTheme="minorHAnsi"/>
          <w:color w:val="auto"/>
        </w:rPr>
        <w:t xml:space="preserve">The CI </w:t>
      </w:r>
      <w:r w:rsidR="00061897" w:rsidRPr="003C4AEE">
        <w:rPr>
          <w:rFonts w:asciiTheme="minorHAnsi" w:hAnsiTheme="minorHAnsi"/>
          <w:color w:val="auto"/>
        </w:rPr>
        <w:t>made no appeals</w:t>
      </w:r>
      <w:r w:rsidR="00190E48" w:rsidRPr="003C4AEE">
        <w:rPr>
          <w:rFonts w:asciiTheme="minorHAnsi" w:hAnsiTheme="minorHAnsi"/>
          <w:color w:val="auto"/>
        </w:rPr>
        <w:t xml:space="preserve"> </w:t>
      </w:r>
      <w:r w:rsidR="00B20624" w:rsidRPr="003C4AEE">
        <w:rPr>
          <w:rFonts w:asciiTheme="minorHAnsi" w:hAnsiTheme="minorHAnsi"/>
          <w:color w:val="auto"/>
        </w:rPr>
        <w:t xml:space="preserve">and was medically separated with a </w:t>
      </w:r>
      <w:r w:rsidR="00C83DB0" w:rsidRPr="003C4AEE">
        <w:rPr>
          <w:rFonts w:asciiTheme="minorHAnsi" w:hAnsiTheme="minorHAnsi"/>
          <w:color w:val="auto"/>
        </w:rPr>
        <w:t>10</w:t>
      </w:r>
      <w:r w:rsidR="00B20624" w:rsidRPr="003C4AEE">
        <w:rPr>
          <w:rFonts w:asciiTheme="minorHAnsi" w:hAnsiTheme="minorHAnsi"/>
          <w:color w:val="auto"/>
        </w:rPr>
        <w:t>% disability rating.</w:t>
      </w:r>
    </w:p>
    <w:p w:rsidR="008E0D8F" w:rsidRDefault="008E0D8F" w:rsidP="00042568">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042568">
      <w:pPr>
        <w:tabs>
          <w:tab w:val="left" w:pos="288"/>
          <w:tab w:val="left" w:pos="4752"/>
        </w:tabs>
        <w:spacing w:line="240" w:lineRule="exact"/>
        <w:jc w:val="both"/>
        <w:rPr>
          <w:rFonts w:asciiTheme="minorHAnsi" w:hAnsiTheme="minorHAnsi"/>
          <w:color w:val="auto"/>
          <w:u w:val="single"/>
        </w:rPr>
      </w:pPr>
    </w:p>
    <w:p w:rsidR="00ED5284" w:rsidRPr="005C4D72" w:rsidRDefault="002C6E5B" w:rsidP="00042568">
      <w:pPr>
        <w:autoSpaceDE w:val="0"/>
        <w:autoSpaceDN w:val="0"/>
        <w:adjustRightInd w:val="0"/>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C83DB0">
        <w:rPr>
          <w:rFonts w:asciiTheme="minorHAnsi" w:hAnsiTheme="minorHAnsi"/>
          <w:color w:val="auto"/>
        </w:rPr>
        <w:t xml:space="preserve">  “</w:t>
      </w:r>
      <w:r w:rsidR="00C83DB0" w:rsidRPr="00C83DB0">
        <w:rPr>
          <w:rFonts w:asciiTheme="minorHAnsi" w:hAnsiTheme="minorHAnsi" w:cstheme="minorHAnsi"/>
          <w:color w:val="auto"/>
          <w:szCs w:val="24"/>
        </w:rPr>
        <w:t xml:space="preserve">Due to the changes in the NDAA 2008, I am respectfully requesting a review of my medical records. </w:t>
      </w:r>
      <w:r w:rsidR="00D26DD7">
        <w:rPr>
          <w:rFonts w:asciiTheme="minorHAnsi" w:hAnsiTheme="minorHAnsi" w:cstheme="minorHAnsi"/>
          <w:color w:val="auto"/>
          <w:szCs w:val="24"/>
        </w:rPr>
        <w:t xml:space="preserve"> </w:t>
      </w:r>
      <w:r w:rsidR="00C83DB0" w:rsidRPr="00C83DB0">
        <w:rPr>
          <w:rFonts w:asciiTheme="minorHAnsi" w:hAnsiTheme="minorHAnsi" w:cstheme="minorHAnsi"/>
          <w:color w:val="auto"/>
          <w:szCs w:val="24"/>
        </w:rPr>
        <w:t>I was diagnosed with sever</w:t>
      </w:r>
      <w:r w:rsidR="00FC2D10">
        <w:rPr>
          <w:rFonts w:asciiTheme="minorHAnsi" w:hAnsiTheme="minorHAnsi" w:cstheme="minorHAnsi"/>
          <w:color w:val="auto"/>
          <w:szCs w:val="24"/>
        </w:rPr>
        <w:t xml:space="preserve"> (sic)</w:t>
      </w:r>
      <w:r w:rsidR="00C83DB0" w:rsidRPr="00C83DB0">
        <w:rPr>
          <w:rFonts w:asciiTheme="minorHAnsi" w:hAnsiTheme="minorHAnsi" w:cstheme="minorHAnsi"/>
          <w:color w:val="auto"/>
          <w:szCs w:val="24"/>
        </w:rPr>
        <w:t xml:space="preserve"> Post Traumatic</w:t>
      </w:r>
      <w:r w:rsidR="00C83DB0">
        <w:rPr>
          <w:rFonts w:asciiTheme="minorHAnsi" w:hAnsiTheme="minorHAnsi" w:cstheme="minorHAnsi"/>
          <w:color w:val="auto"/>
          <w:szCs w:val="24"/>
        </w:rPr>
        <w:t xml:space="preserve"> </w:t>
      </w:r>
      <w:r w:rsidR="00C83DB0" w:rsidRPr="00C83DB0">
        <w:rPr>
          <w:rFonts w:asciiTheme="minorHAnsi" w:hAnsiTheme="minorHAnsi" w:cstheme="minorHAnsi"/>
          <w:color w:val="auto"/>
          <w:szCs w:val="24"/>
        </w:rPr>
        <w:t>Stress Disorder (PTSD) from my comba</w:t>
      </w:r>
      <w:r w:rsidR="00C83DB0">
        <w:rPr>
          <w:rFonts w:asciiTheme="minorHAnsi" w:hAnsiTheme="minorHAnsi" w:cstheme="minorHAnsi"/>
          <w:color w:val="auto"/>
          <w:szCs w:val="24"/>
        </w:rPr>
        <w:t>t</w:t>
      </w:r>
      <w:r w:rsidR="00C83DB0" w:rsidRPr="00C83DB0">
        <w:rPr>
          <w:rFonts w:asciiTheme="minorHAnsi" w:hAnsiTheme="minorHAnsi" w:cstheme="minorHAnsi"/>
          <w:color w:val="auto"/>
          <w:szCs w:val="24"/>
        </w:rPr>
        <w:t xml:space="preserve"> experiences in Iraq.</w:t>
      </w:r>
      <w:r w:rsidR="00D26DD7">
        <w:rPr>
          <w:rFonts w:asciiTheme="minorHAnsi" w:hAnsiTheme="minorHAnsi" w:cstheme="minorHAnsi"/>
          <w:color w:val="auto"/>
          <w:szCs w:val="24"/>
        </w:rPr>
        <w:t xml:space="preserve"> </w:t>
      </w:r>
      <w:r w:rsidR="00C83DB0" w:rsidRPr="00C83DB0">
        <w:rPr>
          <w:rFonts w:asciiTheme="minorHAnsi" w:hAnsiTheme="minorHAnsi" w:cstheme="minorHAnsi"/>
          <w:color w:val="auto"/>
          <w:szCs w:val="24"/>
        </w:rPr>
        <w:t xml:space="preserve"> During my medical board</w:t>
      </w:r>
      <w:r w:rsidR="00061897" w:rsidRPr="00C83DB0">
        <w:rPr>
          <w:rFonts w:asciiTheme="minorHAnsi" w:hAnsiTheme="minorHAnsi" w:cstheme="minorHAnsi"/>
          <w:color w:val="auto"/>
          <w:szCs w:val="24"/>
        </w:rPr>
        <w:t xml:space="preserve">, </w:t>
      </w:r>
      <w:r w:rsidR="00061897">
        <w:rPr>
          <w:rFonts w:asciiTheme="minorHAnsi" w:hAnsiTheme="minorHAnsi" w:cstheme="minorHAnsi"/>
          <w:color w:val="auto"/>
          <w:szCs w:val="24"/>
        </w:rPr>
        <w:t>I</w:t>
      </w:r>
      <w:r w:rsidR="00C83DB0" w:rsidRPr="00C83DB0">
        <w:rPr>
          <w:rFonts w:asciiTheme="minorHAnsi" w:hAnsiTheme="minorHAnsi" w:cstheme="minorHAnsi"/>
          <w:color w:val="auto"/>
          <w:szCs w:val="24"/>
        </w:rPr>
        <w:t xml:space="preserve"> was not looked at for PTSD and several o</w:t>
      </w:r>
      <w:r w:rsidR="00C83DB0">
        <w:rPr>
          <w:rFonts w:asciiTheme="minorHAnsi" w:hAnsiTheme="minorHAnsi" w:cstheme="minorHAnsi"/>
          <w:color w:val="auto"/>
          <w:szCs w:val="24"/>
        </w:rPr>
        <w:t>t</w:t>
      </w:r>
      <w:r w:rsidR="00C83DB0" w:rsidRPr="00C83DB0">
        <w:rPr>
          <w:rFonts w:asciiTheme="minorHAnsi" w:hAnsiTheme="minorHAnsi" w:cstheme="minorHAnsi"/>
          <w:color w:val="auto"/>
          <w:szCs w:val="24"/>
        </w:rPr>
        <w:t>her medical</w:t>
      </w:r>
      <w:r w:rsidR="00C83DB0">
        <w:rPr>
          <w:rFonts w:asciiTheme="minorHAnsi" w:hAnsiTheme="minorHAnsi" w:cstheme="minorHAnsi"/>
          <w:color w:val="auto"/>
          <w:szCs w:val="24"/>
        </w:rPr>
        <w:t xml:space="preserve"> conditions”.</w:t>
      </w:r>
      <w:r w:rsidR="00FC2D10">
        <w:rPr>
          <w:rFonts w:asciiTheme="minorHAnsi" w:hAnsiTheme="minorHAnsi" w:cstheme="minorHAnsi"/>
          <w:color w:val="auto"/>
          <w:szCs w:val="24"/>
        </w:rPr>
        <w:t xml:space="preserve">  </w:t>
      </w:r>
      <w:r w:rsidR="00ED5284" w:rsidRPr="00C83DB0">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300479">
      <w:pPr>
        <w:pBdr>
          <w:bottom w:val="single" w:sz="12" w:space="0" w:color="auto"/>
        </w:pBdr>
        <w:spacing w:line="240" w:lineRule="exact"/>
        <w:rPr>
          <w:rFonts w:asciiTheme="minorHAnsi" w:hAnsiTheme="minorHAnsi"/>
          <w:color w:val="auto"/>
          <w:u w:val="single"/>
        </w:rPr>
      </w:pPr>
    </w:p>
    <w:p w:rsidR="003B75B6" w:rsidRDefault="003B75B6"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972440" w:rsidRDefault="00972440" w:rsidP="00510F9C">
      <w:pPr>
        <w:spacing w:line="240" w:lineRule="exact"/>
        <w:rPr>
          <w:rFonts w:asciiTheme="minorHAnsi" w:hAnsiTheme="minorHAnsi"/>
          <w:color w:val="auto"/>
          <w:u w:val="single"/>
        </w:rPr>
      </w:pPr>
    </w:p>
    <w:p w:rsidR="004247D2" w:rsidRDefault="004247D2" w:rsidP="00510F9C">
      <w:pPr>
        <w:spacing w:line="240" w:lineRule="exact"/>
        <w:rPr>
          <w:rFonts w:asciiTheme="minorHAnsi" w:hAnsiTheme="minorHAnsi"/>
          <w:color w:val="auto"/>
          <w:u w:val="single"/>
        </w:rPr>
      </w:pPr>
    </w:p>
    <w:p w:rsidR="004247D2" w:rsidRDefault="004247D2" w:rsidP="00510F9C">
      <w:pPr>
        <w:spacing w:line="240" w:lineRule="exact"/>
        <w:rPr>
          <w:rFonts w:asciiTheme="minorHAnsi" w:hAnsiTheme="minorHAnsi"/>
          <w:color w:val="auto"/>
          <w:u w:val="single"/>
        </w:rPr>
      </w:pPr>
    </w:p>
    <w:p w:rsidR="006C0152" w:rsidRDefault="008711BE" w:rsidP="00B16A08">
      <w:pPr>
        <w:rPr>
          <w:rFonts w:asciiTheme="minorHAnsi" w:hAnsiTheme="minorHAnsi"/>
          <w:color w:val="auto"/>
          <w:u w:val="single"/>
        </w:rPr>
      </w:pPr>
      <w:r>
        <w:rPr>
          <w:rFonts w:asciiTheme="minorHAnsi" w:hAnsiTheme="minorHAnsi"/>
          <w:color w:val="auto"/>
          <w:u w:val="single"/>
        </w:rPr>
        <w:br w:type="page"/>
      </w:r>
    </w:p>
    <w:p w:rsidR="002338CA"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648" w:type="dxa"/>
        <w:jc w:val="center"/>
        <w:tblLayout w:type="fixed"/>
        <w:tblLook w:val="04A0"/>
      </w:tblPr>
      <w:tblGrid>
        <w:gridCol w:w="2195"/>
        <w:gridCol w:w="1062"/>
        <w:gridCol w:w="900"/>
        <w:gridCol w:w="2538"/>
        <w:gridCol w:w="1062"/>
        <w:gridCol w:w="829"/>
        <w:gridCol w:w="71"/>
        <w:gridCol w:w="991"/>
      </w:tblGrid>
      <w:tr w:rsidR="00B52866" w:rsidRPr="002A4119" w:rsidTr="004F26D2">
        <w:trPr>
          <w:trHeight w:val="233"/>
          <w:jc w:val="center"/>
        </w:trPr>
        <w:tc>
          <w:tcPr>
            <w:tcW w:w="4157" w:type="dxa"/>
            <w:gridSpan w:val="3"/>
            <w:tcBorders>
              <w:right w:val="thinThickThinSmallGap" w:sz="24" w:space="0" w:color="auto"/>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 xml:space="preserve">Service </w:t>
            </w:r>
            <w:r>
              <w:rPr>
                <w:b/>
                <w:color w:val="auto"/>
                <w:sz w:val="20"/>
                <w:szCs w:val="20"/>
              </w:rPr>
              <w:t>I</w:t>
            </w:r>
            <w:r w:rsidRPr="00B06930">
              <w:rPr>
                <w:b/>
                <w:color w:val="auto"/>
                <w:sz w:val="20"/>
                <w:szCs w:val="20"/>
              </w:rPr>
              <w:t>PEB – Dated 200</w:t>
            </w:r>
            <w:r>
              <w:rPr>
                <w:b/>
                <w:color w:val="auto"/>
                <w:sz w:val="20"/>
                <w:szCs w:val="20"/>
              </w:rPr>
              <w:t>80414</w:t>
            </w:r>
          </w:p>
        </w:tc>
        <w:tc>
          <w:tcPr>
            <w:tcW w:w="5491" w:type="dxa"/>
            <w:gridSpan w:val="5"/>
            <w:tcBorders>
              <w:left w:val="thinThickThinSmallGap" w:sz="24" w:space="0" w:color="auto"/>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VA (</w:t>
            </w:r>
            <w:r>
              <w:rPr>
                <w:b/>
                <w:color w:val="auto"/>
                <w:sz w:val="20"/>
                <w:szCs w:val="20"/>
              </w:rPr>
              <w:t>1</w:t>
            </w:r>
            <w:r w:rsidR="00D26DD7">
              <w:rPr>
                <w:b/>
                <w:color w:val="auto"/>
                <w:sz w:val="20"/>
                <w:szCs w:val="20"/>
              </w:rPr>
              <w:t>/6</w:t>
            </w:r>
            <w:r w:rsidRPr="00B06930">
              <w:rPr>
                <w:b/>
                <w:color w:val="auto"/>
                <w:sz w:val="20"/>
                <w:szCs w:val="20"/>
              </w:rPr>
              <w:t xml:space="preserve"> Mo. </w:t>
            </w:r>
            <w:r w:rsidRPr="00C83DB0">
              <w:rPr>
                <w:b/>
                <w:color w:val="auto"/>
                <w:sz w:val="20"/>
                <w:szCs w:val="20"/>
              </w:rPr>
              <w:t>After</w:t>
            </w:r>
            <w:r w:rsidRPr="00B06930">
              <w:rPr>
                <w:b/>
                <w:color w:val="auto"/>
                <w:sz w:val="20"/>
                <w:szCs w:val="20"/>
              </w:rPr>
              <w:t xml:space="preserve"> Separation) – All Effective Date </w:t>
            </w:r>
            <w:r w:rsidRPr="002D08F3">
              <w:rPr>
                <w:b/>
                <w:color w:val="auto"/>
                <w:sz w:val="20"/>
                <w:szCs w:val="20"/>
              </w:rPr>
              <w:t>200</w:t>
            </w:r>
            <w:r>
              <w:rPr>
                <w:b/>
                <w:color w:val="auto"/>
                <w:sz w:val="20"/>
                <w:szCs w:val="20"/>
              </w:rPr>
              <w:t>80716</w:t>
            </w:r>
          </w:p>
        </w:tc>
      </w:tr>
      <w:tr w:rsidR="00B52866" w:rsidRPr="002A4119" w:rsidTr="004F26D2">
        <w:trPr>
          <w:trHeight w:val="278"/>
          <w:jc w:val="center"/>
        </w:trPr>
        <w:tc>
          <w:tcPr>
            <w:tcW w:w="2195" w:type="dxa"/>
            <w:tcBorders>
              <w:bottom w:val="single" w:sz="4" w:space="0" w:color="000000" w:themeColor="text1"/>
              <w:right w:val="single" w:sz="4" w:space="0" w:color="auto"/>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Code</w:t>
            </w:r>
          </w:p>
        </w:tc>
        <w:tc>
          <w:tcPr>
            <w:tcW w:w="829" w:type="dxa"/>
            <w:tcBorders>
              <w:bottom w:val="single" w:sz="4" w:space="0" w:color="000000" w:themeColor="text1"/>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Rating</w:t>
            </w:r>
          </w:p>
        </w:tc>
        <w:tc>
          <w:tcPr>
            <w:tcW w:w="1062" w:type="dxa"/>
            <w:gridSpan w:val="2"/>
            <w:tcBorders>
              <w:bottom w:val="single" w:sz="4" w:space="0" w:color="000000" w:themeColor="text1"/>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Exam</w:t>
            </w:r>
          </w:p>
        </w:tc>
      </w:tr>
      <w:tr w:rsidR="00B52866" w:rsidRPr="002A4119" w:rsidTr="004F26D2">
        <w:trPr>
          <w:trHeight w:val="278"/>
          <w:jc w:val="center"/>
        </w:trPr>
        <w:tc>
          <w:tcPr>
            <w:tcW w:w="2195" w:type="dxa"/>
            <w:tcBorders>
              <w:bottom w:val="single" w:sz="4" w:space="0" w:color="000000" w:themeColor="text1"/>
              <w:right w:val="single" w:sz="4" w:space="0" w:color="auto"/>
            </w:tcBorders>
            <w:shd w:val="clear" w:color="auto" w:fill="auto"/>
            <w:vAlign w:val="center"/>
          </w:tcPr>
          <w:p w:rsidR="00B52866" w:rsidRPr="00B06930" w:rsidRDefault="00B52866" w:rsidP="002A0A16">
            <w:pPr>
              <w:spacing w:line="180" w:lineRule="exact"/>
              <w:contextualSpacing/>
              <w:rPr>
                <w:b/>
                <w:color w:val="auto"/>
                <w:sz w:val="20"/>
              </w:rPr>
            </w:pPr>
            <w:r>
              <w:rPr>
                <w:color w:val="auto"/>
                <w:sz w:val="18"/>
                <w:szCs w:val="18"/>
              </w:rPr>
              <w:t>Post-Concussive Syndrome</w:t>
            </w:r>
          </w:p>
        </w:tc>
        <w:tc>
          <w:tcPr>
            <w:tcW w:w="1062" w:type="dxa"/>
            <w:tcBorders>
              <w:left w:val="single" w:sz="4" w:space="0" w:color="auto"/>
              <w:bottom w:val="single" w:sz="4" w:space="0" w:color="000000" w:themeColor="text1"/>
            </w:tcBorders>
            <w:shd w:val="clear" w:color="auto" w:fill="auto"/>
            <w:vAlign w:val="center"/>
          </w:tcPr>
          <w:p w:rsidR="00B52866" w:rsidRPr="00B06930" w:rsidRDefault="00B52866" w:rsidP="002A0A16">
            <w:pPr>
              <w:spacing w:line="180" w:lineRule="exact"/>
              <w:contextualSpacing/>
              <w:jc w:val="center"/>
              <w:rPr>
                <w:b/>
                <w:color w:val="auto"/>
                <w:sz w:val="20"/>
              </w:rPr>
            </w:pPr>
            <w:r>
              <w:rPr>
                <w:color w:val="auto"/>
                <w:sz w:val="18"/>
                <w:szCs w:val="18"/>
              </w:rPr>
              <w:t>8045-9304</w:t>
            </w:r>
          </w:p>
        </w:tc>
        <w:tc>
          <w:tcPr>
            <w:tcW w:w="900" w:type="dxa"/>
            <w:tcBorders>
              <w:bottom w:val="single" w:sz="4" w:space="0" w:color="000000" w:themeColor="text1"/>
              <w:right w:val="thinThickThinSmallGap" w:sz="24" w:space="0" w:color="auto"/>
            </w:tcBorders>
            <w:shd w:val="clear" w:color="auto" w:fill="auto"/>
            <w:vAlign w:val="center"/>
          </w:tcPr>
          <w:p w:rsidR="00B52866" w:rsidRPr="00B06930" w:rsidRDefault="00B52866" w:rsidP="002A0A16">
            <w:pPr>
              <w:spacing w:line="180" w:lineRule="exact"/>
              <w:contextualSpacing/>
              <w:jc w:val="center"/>
              <w:rPr>
                <w:b/>
                <w:color w:val="auto"/>
                <w:sz w:val="20"/>
              </w:rPr>
            </w:pPr>
            <w:r w:rsidRPr="00C83DB0">
              <w:rPr>
                <w:color w:val="auto"/>
                <w:sz w:val="18"/>
                <w:szCs w:val="18"/>
              </w:rPr>
              <w:t>10%</w:t>
            </w:r>
          </w:p>
        </w:tc>
        <w:tc>
          <w:tcPr>
            <w:tcW w:w="2538" w:type="dxa"/>
            <w:vMerge w:val="restart"/>
            <w:tcBorders>
              <w:left w:val="thinThickThinSmallGap" w:sz="24" w:space="0" w:color="auto"/>
            </w:tcBorders>
            <w:shd w:val="clear" w:color="auto" w:fill="auto"/>
            <w:vAlign w:val="center"/>
          </w:tcPr>
          <w:p w:rsidR="00B52866" w:rsidRPr="00B06930" w:rsidRDefault="00B52866" w:rsidP="002A0A16">
            <w:pPr>
              <w:spacing w:line="180" w:lineRule="exact"/>
              <w:contextualSpacing/>
              <w:rPr>
                <w:b/>
                <w:color w:val="auto"/>
                <w:sz w:val="20"/>
              </w:rPr>
            </w:pPr>
            <w:r>
              <w:rPr>
                <w:color w:val="auto"/>
                <w:sz w:val="18"/>
                <w:szCs w:val="18"/>
              </w:rPr>
              <w:t>Post-Concussive Syndrome</w:t>
            </w:r>
          </w:p>
        </w:tc>
        <w:tc>
          <w:tcPr>
            <w:tcW w:w="1062" w:type="dxa"/>
            <w:vMerge w:val="restart"/>
            <w:shd w:val="clear" w:color="auto" w:fill="auto"/>
            <w:vAlign w:val="center"/>
          </w:tcPr>
          <w:p w:rsidR="00B52866" w:rsidRPr="00601CD0" w:rsidRDefault="00B52866" w:rsidP="002A0A16">
            <w:pPr>
              <w:spacing w:line="180" w:lineRule="exact"/>
              <w:contextualSpacing/>
              <w:jc w:val="center"/>
              <w:rPr>
                <w:color w:val="auto"/>
                <w:sz w:val="20"/>
              </w:rPr>
            </w:pPr>
            <w:r w:rsidRPr="00601CD0">
              <w:rPr>
                <w:color w:val="auto"/>
                <w:sz w:val="18"/>
                <w:szCs w:val="18"/>
              </w:rPr>
              <w:t>8045</w:t>
            </w:r>
          </w:p>
        </w:tc>
        <w:tc>
          <w:tcPr>
            <w:tcW w:w="829" w:type="dxa"/>
            <w:vMerge w:val="restart"/>
            <w:shd w:val="clear" w:color="auto" w:fill="auto"/>
            <w:vAlign w:val="center"/>
          </w:tcPr>
          <w:p w:rsidR="00B52866" w:rsidRPr="00601CD0" w:rsidRDefault="00B52866" w:rsidP="002A0A16">
            <w:pPr>
              <w:spacing w:line="180" w:lineRule="exact"/>
              <w:contextualSpacing/>
              <w:jc w:val="center"/>
              <w:rPr>
                <w:color w:val="auto"/>
                <w:sz w:val="18"/>
                <w:szCs w:val="18"/>
              </w:rPr>
            </w:pPr>
            <w:r>
              <w:rPr>
                <w:color w:val="auto"/>
                <w:sz w:val="18"/>
                <w:szCs w:val="18"/>
              </w:rPr>
              <w:t>NSC</w:t>
            </w:r>
          </w:p>
        </w:tc>
        <w:tc>
          <w:tcPr>
            <w:tcW w:w="1062" w:type="dxa"/>
            <w:gridSpan w:val="2"/>
            <w:vMerge w:val="restart"/>
            <w:shd w:val="clear" w:color="auto" w:fill="auto"/>
            <w:vAlign w:val="center"/>
          </w:tcPr>
          <w:p w:rsidR="00B52866" w:rsidRPr="00601CD0" w:rsidRDefault="00B52866" w:rsidP="002A0A16">
            <w:pPr>
              <w:spacing w:line="180" w:lineRule="exact"/>
              <w:contextualSpacing/>
              <w:jc w:val="center"/>
              <w:rPr>
                <w:color w:val="auto"/>
                <w:sz w:val="18"/>
                <w:szCs w:val="18"/>
              </w:rPr>
            </w:pPr>
            <w:r>
              <w:rPr>
                <w:color w:val="auto"/>
                <w:sz w:val="18"/>
                <w:szCs w:val="18"/>
              </w:rPr>
              <w:t>20090225</w:t>
            </w:r>
          </w:p>
        </w:tc>
      </w:tr>
      <w:tr w:rsidR="00B52866" w:rsidRPr="002A4119" w:rsidTr="004F26D2">
        <w:trPr>
          <w:trHeight w:val="278"/>
          <w:jc w:val="center"/>
        </w:trPr>
        <w:tc>
          <w:tcPr>
            <w:tcW w:w="2195" w:type="dxa"/>
            <w:tcBorders>
              <w:bottom w:val="single" w:sz="4" w:space="0" w:color="000000" w:themeColor="text1"/>
              <w:right w:val="single" w:sz="4" w:space="0" w:color="auto"/>
            </w:tcBorders>
            <w:shd w:val="clear" w:color="auto" w:fill="auto"/>
            <w:vAlign w:val="center"/>
          </w:tcPr>
          <w:p w:rsidR="00B52866" w:rsidRDefault="00B52866" w:rsidP="002A0A16">
            <w:pPr>
              <w:spacing w:line="180" w:lineRule="exact"/>
              <w:contextualSpacing/>
              <w:rPr>
                <w:color w:val="auto"/>
                <w:sz w:val="18"/>
                <w:szCs w:val="18"/>
              </w:rPr>
            </w:pPr>
            <w:r>
              <w:rPr>
                <w:color w:val="auto"/>
                <w:sz w:val="18"/>
                <w:szCs w:val="18"/>
              </w:rPr>
              <w:t>Cognitive Disorder</w:t>
            </w:r>
          </w:p>
        </w:tc>
        <w:tc>
          <w:tcPr>
            <w:tcW w:w="1962" w:type="dxa"/>
            <w:gridSpan w:val="2"/>
            <w:tcBorders>
              <w:left w:val="single" w:sz="4" w:space="0" w:color="auto"/>
              <w:bottom w:val="single" w:sz="4" w:space="0" w:color="000000" w:themeColor="text1"/>
              <w:right w:val="thinThickThinSmallGap" w:sz="24" w:space="0" w:color="auto"/>
            </w:tcBorders>
            <w:shd w:val="clear" w:color="auto" w:fill="auto"/>
            <w:vAlign w:val="center"/>
          </w:tcPr>
          <w:p w:rsidR="00B52866" w:rsidRPr="00C83DB0" w:rsidRDefault="00B52866" w:rsidP="002A0A16">
            <w:pPr>
              <w:spacing w:line="180" w:lineRule="exact"/>
              <w:contextualSpacing/>
              <w:jc w:val="center"/>
              <w:rPr>
                <w:color w:val="auto"/>
                <w:sz w:val="18"/>
                <w:szCs w:val="18"/>
              </w:rPr>
            </w:pPr>
            <w:r w:rsidRPr="008E67D2">
              <w:rPr>
                <w:color w:val="auto"/>
                <w:sz w:val="18"/>
                <w:szCs w:val="18"/>
              </w:rPr>
              <w:t>Cat</w:t>
            </w:r>
            <w:r>
              <w:rPr>
                <w:color w:val="auto"/>
                <w:sz w:val="18"/>
                <w:szCs w:val="18"/>
              </w:rPr>
              <w:t xml:space="preserve"> II</w:t>
            </w:r>
          </w:p>
        </w:tc>
        <w:tc>
          <w:tcPr>
            <w:tcW w:w="2538" w:type="dxa"/>
            <w:vMerge/>
            <w:tcBorders>
              <w:left w:val="thinThickThinSmallGap" w:sz="24" w:space="0" w:color="auto"/>
            </w:tcBorders>
            <w:shd w:val="clear" w:color="auto" w:fill="auto"/>
            <w:vAlign w:val="center"/>
          </w:tcPr>
          <w:p w:rsidR="00B52866" w:rsidRDefault="00B52866" w:rsidP="002A0A16">
            <w:pPr>
              <w:spacing w:line="180" w:lineRule="exact"/>
              <w:contextualSpacing/>
              <w:jc w:val="center"/>
              <w:rPr>
                <w:color w:val="auto"/>
                <w:sz w:val="18"/>
                <w:szCs w:val="18"/>
              </w:rPr>
            </w:pPr>
          </w:p>
        </w:tc>
        <w:tc>
          <w:tcPr>
            <w:tcW w:w="1062" w:type="dxa"/>
            <w:vMerge/>
            <w:shd w:val="clear" w:color="auto" w:fill="auto"/>
            <w:vAlign w:val="center"/>
          </w:tcPr>
          <w:p w:rsidR="00B52866" w:rsidRPr="00601CD0" w:rsidRDefault="00B52866" w:rsidP="002A0A16">
            <w:pPr>
              <w:spacing w:line="180" w:lineRule="exact"/>
              <w:contextualSpacing/>
              <w:jc w:val="center"/>
              <w:rPr>
                <w:color w:val="auto"/>
                <w:sz w:val="18"/>
                <w:szCs w:val="18"/>
              </w:rPr>
            </w:pPr>
          </w:p>
        </w:tc>
        <w:tc>
          <w:tcPr>
            <w:tcW w:w="829" w:type="dxa"/>
            <w:vMerge/>
            <w:shd w:val="clear" w:color="auto" w:fill="auto"/>
            <w:vAlign w:val="center"/>
          </w:tcPr>
          <w:p w:rsidR="00B52866" w:rsidRDefault="00B52866" w:rsidP="002A0A16">
            <w:pPr>
              <w:spacing w:line="180" w:lineRule="exact"/>
              <w:contextualSpacing/>
              <w:jc w:val="center"/>
              <w:rPr>
                <w:color w:val="auto"/>
                <w:sz w:val="18"/>
                <w:szCs w:val="18"/>
              </w:rPr>
            </w:pPr>
          </w:p>
        </w:tc>
        <w:tc>
          <w:tcPr>
            <w:tcW w:w="1062" w:type="dxa"/>
            <w:gridSpan w:val="2"/>
            <w:vMerge/>
            <w:shd w:val="clear" w:color="auto" w:fill="auto"/>
            <w:vAlign w:val="center"/>
          </w:tcPr>
          <w:p w:rsidR="00B52866" w:rsidRDefault="00B52866" w:rsidP="002A0A16">
            <w:pPr>
              <w:spacing w:line="180" w:lineRule="exact"/>
              <w:contextualSpacing/>
              <w:jc w:val="center"/>
              <w:rPr>
                <w:color w:val="auto"/>
                <w:sz w:val="18"/>
                <w:szCs w:val="18"/>
              </w:rPr>
            </w:pPr>
          </w:p>
        </w:tc>
      </w:tr>
      <w:tr w:rsidR="00B52866" w:rsidRPr="002A4119" w:rsidTr="004F26D2">
        <w:trPr>
          <w:trHeight w:val="278"/>
          <w:jc w:val="center"/>
        </w:trPr>
        <w:tc>
          <w:tcPr>
            <w:tcW w:w="2195" w:type="dxa"/>
            <w:tcBorders>
              <w:bottom w:val="single" w:sz="4" w:space="0" w:color="000000" w:themeColor="text1"/>
              <w:right w:val="single" w:sz="4" w:space="0" w:color="auto"/>
            </w:tcBorders>
            <w:shd w:val="clear" w:color="auto" w:fill="auto"/>
            <w:vAlign w:val="center"/>
          </w:tcPr>
          <w:p w:rsidR="00B52866" w:rsidRDefault="00B52866" w:rsidP="002A0A16">
            <w:pPr>
              <w:spacing w:line="180" w:lineRule="exact"/>
              <w:contextualSpacing/>
              <w:rPr>
                <w:color w:val="auto"/>
                <w:sz w:val="18"/>
                <w:szCs w:val="18"/>
              </w:rPr>
            </w:pPr>
            <w:r>
              <w:rPr>
                <w:color w:val="auto"/>
                <w:sz w:val="18"/>
                <w:szCs w:val="18"/>
              </w:rPr>
              <w:t>Multiple Grade Two and Three Concussions</w:t>
            </w:r>
          </w:p>
        </w:tc>
        <w:tc>
          <w:tcPr>
            <w:tcW w:w="1962" w:type="dxa"/>
            <w:gridSpan w:val="2"/>
            <w:tcBorders>
              <w:left w:val="single" w:sz="4" w:space="0" w:color="auto"/>
              <w:bottom w:val="single" w:sz="4" w:space="0" w:color="000000" w:themeColor="text1"/>
              <w:right w:val="thinThickThinSmallGap" w:sz="24" w:space="0" w:color="auto"/>
            </w:tcBorders>
            <w:shd w:val="clear" w:color="auto" w:fill="auto"/>
            <w:vAlign w:val="center"/>
          </w:tcPr>
          <w:p w:rsidR="00B52866" w:rsidRPr="00C83DB0" w:rsidRDefault="00B52866" w:rsidP="002A0A16">
            <w:pPr>
              <w:spacing w:line="180" w:lineRule="exact"/>
              <w:contextualSpacing/>
              <w:jc w:val="center"/>
              <w:rPr>
                <w:color w:val="auto"/>
                <w:sz w:val="18"/>
                <w:szCs w:val="18"/>
              </w:rPr>
            </w:pPr>
            <w:r>
              <w:rPr>
                <w:color w:val="auto"/>
                <w:sz w:val="18"/>
                <w:szCs w:val="18"/>
              </w:rPr>
              <w:t>Cat II</w:t>
            </w:r>
          </w:p>
        </w:tc>
        <w:tc>
          <w:tcPr>
            <w:tcW w:w="2538" w:type="dxa"/>
            <w:vMerge/>
            <w:tcBorders>
              <w:left w:val="thinThickThinSmallGap" w:sz="24" w:space="0" w:color="auto"/>
            </w:tcBorders>
            <w:shd w:val="clear" w:color="auto" w:fill="auto"/>
            <w:vAlign w:val="center"/>
          </w:tcPr>
          <w:p w:rsidR="00B52866" w:rsidRDefault="00B52866" w:rsidP="002A0A16">
            <w:pPr>
              <w:spacing w:line="180" w:lineRule="exact"/>
              <w:contextualSpacing/>
              <w:jc w:val="center"/>
              <w:rPr>
                <w:color w:val="auto"/>
                <w:sz w:val="18"/>
                <w:szCs w:val="18"/>
              </w:rPr>
            </w:pPr>
          </w:p>
        </w:tc>
        <w:tc>
          <w:tcPr>
            <w:tcW w:w="1062" w:type="dxa"/>
            <w:vMerge/>
            <w:shd w:val="clear" w:color="auto" w:fill="auto"/>
            <w:vAlign w:val="center"/>
          </w:tcPr>
          <w:p w:rsidR="00B52866" w:rsidRPr="00601CD0" w:rsidRDefault="00B52866" w:rsidP="002A0A16">
            <w:pPr>
              <w:spacing w:line="180" w:lineRule="exact"/>
              <w:contextualSpacing/>
              <w:jc w:val="center"/>
              <w:rPr>
                <w:color w:val="auto"/>
                <w:sz w:val="18"/>
                <w:szCs w:val="18"/>
              </w:rPr>
            </w:pPr>
          </w:p>
        </w:tc>
        <w:tc>
          <w:tcPr>
            <w:tcW w:w="829" w:type="dxa"/>
            <w:vMerge/>
            <w:shd w:val="clear" w:color="auto" w:fill="auto"/>
            <w:vAlign w:val="center"/>
          </w:tcPr>
          <w:p w:rsidR="00B52866" w:rsidRDefault="00B52866" w:rsidP="002A0A16">
            <w:pPr>
              <w:spacing w:line="180" w:lineRule="exact"/>
              <w:contextualSpacing/>
              <w:jc w:val="center"/>
              <w:rPr>
                <w:color w:val="auto"/>
                <w:sz w:val="18"/>
                <w:szCs w:val="18"/>
              </w:rPr>
            </w:pPr>
          </w:p>
        </w:tc>
        <w:tc>
          <w:tcPr>
            <w:tcW w:w="1062" w:type="dxa"/>
            <w:gridSpan w:val="2"/>
            <w:vMerge/>
            <w:shd w:val="clear" w:color="auto" w:fill="auto"/>
            <w:vAlign w:val="center"/>
          </w:tcPr>
          <w:p w:rsidR="00B52866" w:rsidRDefault="00B52866" w:rsidP="002A0A16">
            <w:pPr>
              <w:spacing w:line="180" w:lineRule="exact"/>
              <w:contextualSpacing/>
              <w:jc w:val="center"/>
              <w:rPr>
                <w:color w:val="auto"/>
                <w:sz w:val="18"/>
                <w:szCs w:val="18"/>
              </w:rPr>
            </w:pPr>
          </w:p>
        </w:tc>
      </w:tr>
      <w:tr w:rsidR="00B52866" w:rsidRPr="002A4119" w:rsidTr="004F26D2">
        <w:trPr>
          <w:trHeight w:val="278"/>
          <w:jc w:val="center"/>
        </w:trPr>
        <w:tc>
          <w:tcPr>
            <w:tcW w:w="2195" w:type="dxa"/>
            <w:tcBorders>
              <w:bottom w:val="single" w:sz="4" w:space="0" w:color="000000" w:themeColor="text1"/>
              <w:right w:val="single" w:sz="4" w:space="0" w:color="auto"/>
            </w:tcBorders>
            <w:shd w:val="clear" w:color="auto" w:fill="auto"/>
            <w:vAlign w:val="center"/>
          </w:tcPr>
          <w:p w:rsidR="00B52866" w:rsidRDefault="00B52866" w:rsidP="002A0A16">
            <w:pPr>
              <w:spacing w:line="180" w:lineRule="exact"/>
              <w:contextualSpacing/>
              <w:rPr>
                <w:color w:val="auto"/>
                <w:sz w:val="18"/>
                <w:szCs w:val="18"/>
              </w:rPr>
            </w:pPr>
            <w:r>
              <w:rPr>
                <w:color w:val="auto"/>
                <w:sz w:val="18"/>
                <w:szCs w:val="18"/>
              </w:rPr>
              <w:t>Personality Change Due to a Medical Condition</w:t>
            </w:r>
          </w:p>
        </w:tc>
        <w:tc>
          <w:tcPr>
            <w:tcW w:w="1962" w:type="dxa"/>
            <w:gridSpan w:val="2"/>
            <w:tcBorders>
              <w:left w:val="single" w:sz="4" w:space="0" w:color="auto"/>
              <w:bottom w:val="single" w:sz="4" w:space="0" w:color="000000" w:themeColor="text1"/>
              <w:right w:val="thinThickThinSmallGap" w:sz="24" w:space="0" w:color="auto"/>
            </w:tcBorders>
            <w:shd w:val="clear" w:color="auto" w:fill="auto"/>
            <w:vAlign w:val="center"/>
          </w:tcPr>
          <w:p w:rsidR="00B52866" w:rsidRPr="00C83DB0" w:rsidRDefault="00B52866" w:rsidP="002A0A16">
            <w:pPr>
              <w:spacing w:line="180" w:lineRule="exact"/>
              <w:contextualSpacing/>
              <w:jc w:val="center"/>
              <w:rPr>
                <w:color w:val="auto"/>
                <w:sz w:val="18"/>
                <w:szCs w:val="18"/>
              </w:rPr>
            </w:pPr>
            <w:r>
              <w:rPr>
                <w:color w:val="auto"/>
                <w:sz w:val="18"/>
                <w:szCs w:val="18"/>
              </w:rPr>
              <w:t>Cat II</w:t>
            </w:r>
          </w:p>
        </w:tc>
        <w:tc>
          <w:tcPr>
            <w:tcW w:w="2538" w:type="dxa"/>
            <w:vMerge/>
            <w:tcBorders>
              <w:left w:val="thinThickThinSmallGap" w:sz="24" w:space="0" w:color="auto"/>
              <w:bottom w:val="single" w:sz="4" w:space="0" w:color="000000" w:themeColor="text1"/>
            </w:tcBorders>
            <w:shd w:val="clear" w:color="auto" w:fill="auto"/>
            <w:vAlign w:val="center"/>
          </w:tcPr>
          <w:p w:rsidR="00B52866" w:rsidRDefault="00B52866" w:rsidP="002A0A16">
            <w:pPr>
              <w:spacing w:line="180" w:lineRule="exact"/>
              <w:contextualSpacing/>
              <w:jc w:val="center"/>
              <w:rPr>
                <w:color w:val="auto"/>
                <w:sz w:val="18"/>
                <w:szCs w:val="18"/>
              </w:rPr>
            </w:pPr>
          </w:p>
        </w:tc>
        <w:tc>
          <w:tcPr>
            <w:tcW w:w="1062" w:type="dxa"/>
            <w:vMerge/>
            <w:tcBorders>
              <w:bottom w:val="single" w:sz="4" w:space="0" w:color="000000" w:themeColor="text1"/>
            </w:tcBorders>
            <w:shd w:val="clear" w:color="auto" w:fill="auto"/>
            <w:vAlign w:val="center"/>
          </w:tcPr>
          <w:p w:rsidR="00B52866" w:rsidRPr="00601CD0" w:rsidRDefault="00B52866" w:rsidP="002A0A16">
            <w:pPr>
              <w:spacing w:line="180" w:lineRule="exact"/>
              <w:contextualSpacing/>
              <w:jc w:val="center"/>
              <w:rPr>
                <w:color w:val="auto"/>
                <w:sz w:val="18"/>
                <w:szCs w:val="18"/>
              </w:rPr>
            </w:pPr>
          </w:p>
        </w:tc>
        <w:tc>
          <w:tcPr>
            <w:tcW w:w="829" w:type="dxa"/>
            <w:vMerge/>
            <w:tcBorders>
              <w:bottom w:val="single" w:sz="4" w:space="0" w:color="000000" w:themeColor="text1"/>
            </w:tcBorders>
            <w:shd w:val="clear" w:color="auto" w:fill="auto"/>
            <w:vAlign w:val="center"/>
          </w:tcPr>
          <w:p w:rsidR="00B52866" w:rsidRDefault="00B52866" w:rsidP="002A0A16">
            <w:pPr>
              <w:spacing w:line="180" w:lineRule="exact"/>
              <w:contextualSpacing/>
              <w:jc w:val="center"/>
              <w:rPr>
                <w:color w:val="auto"/>
                <w:sz w:val="18"/>
                <w:szCs w:val="18"/>
              </w:rPr>
            </w:pPr>
          </w:p>
        </w:tc>
        <w:tc>
          <w:tcPr>
            <w:tcW w:w="1062" w:type="dxa"/>
            <w:gridSpan w:val="2"/>
            <w:vMerge/>
            <w:tcBorders>
              <w:bottom w:val="single" w:sz="4" w:space="0" w:color="000000" w:themeColor="text1"/>
            </w:tcBorders>
            <w:shd w:val="clear" w:color="auto" w:fill="auto"/>
            <w:vAlign w:val="center"/>
          </w:tcPr>
          <w:p w:rsidR="00B52866" w:rsidRDefault="00B52866" w:rsidP="002A0A16">
            <w:pPr>
              <w:spacing w:line="180" w:lineRule="exact"/>
              <w:contextualSpacing/>
              <w:jc w:val="center"/>
              <w:rPr>
                <w:color w:val="auto"/>
                <w:sz w:val="18"/>
                <w:szCs w:val="18"/>
              </w:rPr>
            </w:pPr>
          </w:p>
        </w:tc>
      </w:tr>
      <w:tr w:rsidR="00B52866" w:rsidRPr="002A4119" w:rsidTr="004F26D2">
        <w:trPr>
          <w:trHeight w:val="278"/>
          <w:jc w:val="center"/>
        </w:trPr>
        <w:tc>
          <w:tcPr>
            <w:tcW w:w="2195" w:type="dxa"/>
            <w:tcBorders>
              <w:bottom w:val="single" w:sz="4" w:space="0" w:color="000000" w:themeColor="text1"/>
              <w:right w:val="single" w:sz="4" w:space="0" w:color="auto"/>
            </w:tcBorders>
            <w:shd w:val="clear" w:color="auto" w:fill="auto"/>
            <w:vAlign w:val="center"/>
          </w:tcPr>
          <w:p w:rsidR="00B52866" w:rsidRDefault="00B52866" w:rsidP="002A0A16">
            <w:pPr>
              <w:spacing w:line="180" w:lineRule="exact"/>
              <w:contextualSpacing/>
              <w:rPr>
                <w:color w:val="auto"/>
                <w:sz w:val="18"/>
                <w:szCs w:val="18"/>
              </w:rPr>
            </w:pPr>
            <w:r>
              <w:rPr>
                <w:color w:val="auto"/>
                <w:sz w:val="18"/>
                <w:szCs w:val="18"/>
              </w:rPr>
              <w:t>Post-Traumatic Headache</w:t>
            </w:r>
          </w:p>
        </w:tc>
        <w:tc>
          <w:tcPr>
            <w:tcW w:w="1962" w:type="dxa"/>
            <w:gridSpan w:val="2"/>
            <w:tcBorders>
              <w:left w:val="single" w:sz="4" w:space="0" w:color="auto"/>
              <w:bottom w:val="single" w:sz="4" w:space="0" w:color="000000" w:themeColor="text1"/>
              <w:right w:val="thinThickThinSmallGap" w:sz="24" w:space="0" w:color="auto"/>
            </w:tcBorders>
            <w:shd w:val="clear" w:color="auto" w:fill="auto"/>
            <w:vAlign w:val="center"/>
          </w:tcPr>
          <w:p w:rsidR="00B52866" w:rsidRPr="00C83DB0" w:rsidRDefault="00B52866" w:rsidP="002A0A16">
            <w:pPr>
              <w:spacing w:line="180" w:lineRule="exact"/>
              <w:contextualSpacing/>
              <w:jc w:val="center"/>
              <w:rPr>
                <w:color w:val="auto"/>
                <w:sz w:val="18"/>
                <w:szCs w:val="18"/>
              </w:rPr>
            </w:pPr>
            <w:r w:rsidRPr="008E67D2">
              <w:rPr>
                <w:color w:val="auto"/>
                <w:sz w:val="18"/>
                <w:szCs w:val="18"/>
              </w:rPr>
              <w:t xml:space="preserve">Cat </w:t>
            </w:r>
            <w:r>
              <w:rPr>
                <w:color w:val="auto"/>
                <w:sz w:val="18"/>
                <w:szCs w:val="18"/>
              </w:rPr>
              <w:t>II</w:t>
            </w:r>
          </w:p>
        </w:tc>
        <w:tc>
          <w:tcPr>
            <w:tcW w:w="2538" w:type="dxa"/>
            <w:tcBorders>
              <w:left w:val="thinThickThinSmallGap" w:sz="24" w:space="0" w:color="auto"/>
              <w:bottom w:val="single" w:sz="4" w:space="0" w:color="000000" w:themeColor="text1"/>
            </w:tcBorders>
            <w:shd w:val="clear" w:color="auto" w:fill="auto"/>
            <w:vAlign w:val="center"/>
          </w:tcPr>
          <w:p w:rsidR="00B52866" w:rsidRDefault="00B52866" w:rsidP="002A0A16">
            <w:pPr>
              <w:spacing w:line="180" w:lineRule="exact"/>
              <w:contextualSpacing/>
              <w:rPr>
                <w:color w:val="auto"/>
                <w:sz w:val="18"/>
                <w:szCs w:val="18"/>
              </w:rPr>
            </w:pPr>
            <w:r>
              <w:rPr>
                <w:color w:val="auto"/>
                <w:sz w:val="18"/>
                <w:szCs w:val="18"/>
              </w:rPr>
              <w:t>Migraine</w:t>
            </w:r>
          </w:p>
        </w:tc>
        <w:tc>
          <w:tcPr>
            <w:tcW w:w="1062" w:type="dxa"/>
            <w:tcBorders>
              <w:bottom w:val="single" w:sz="4" w:space="0" w:color="000000" w:themeColor="text1"/>
            </w:tcBorders>
            <w:shd w:val="clear" w:color="auto" w:fill="auto"/>
            <w:vAlign w:val="center"/>
          </w:tcPr>
          <w:p w:rsidR="00B52866" w:rsidRPr="00601CD0" w:rsidRDefault="00657D46" w:rsidP="002A0A16">
            <w:pPr>
              <w:spacing w:line="180" w:lineRule="exact"/>
              <w:contextualSpacing/>
              <w:jc w:val="center"/>
              <w:rPr>
                <w:color w:val="auto"/>
                <w:sz w:val="18"/>
                <w:szCs w:val="18"/>
              </w:rPr>
            </w:pPr>
            <w:r>
              <w:rPr>
                <w:color w:val="auto"/>
                <w:sz w:val="18"/>
                <w:szCs w:val="18"/>
              </w:rPr>
              <w:t>8199-</w:t>
            </w:r>
            <w:r w:rsidR="00B52866">
              <w:rPr>
                <w:color w:val="auto"/>
                <w:sz w:val="18"/>
                <w:szCs w:val="18"/>
              </w:rPr>
              <w:t>8100</w:t>
            </w:r>
          </w:p>
        </w:tc>
        <w:tc>
          <w:tcPr>
            <w:tcW w:w="829" w:type="dxa"/>
            <w:tcBorders>
              <w:bottom w:val="single" w:sz="4" w:space="0" w:color="000000" w:themeColor="text1"/>
            </w:tcBorders>
            <w:shd w:val="clear" w:color="auto" w:fill="auto"/>
            <w:vAlign w:val="center"/>
          </w:tcPr>
          <w:p w:rsidR="00B52866" w:rsidRPr="00601CD0" w:rsidRDefault="00B52866" w:rsidP="002A0A16">
            <w:pPr>
              <w:spacing w:line="180" w:lineRule="exact"/>
              <w:contextualSpacing/>
              <w:jc w:val="center"/>
              <w:rPr>
                <w:color w:val="auto"/>
                <w:sz w:val="18"/>
                <w:szCs w:val="18"/>
              </w:rPr>
            </w:pPr>
            <w:r>
              <w:rPr>
                <w:color w:val="auto"/>
                <w:sz w:val="18"/>
                <w:szCs w:val="18"/>
              </w:rPr>
              <w:t>50%*</w:t>
            </w:r>
          </w:p>
        </w:tc>
        <w:tc>
          <w:tcPr>
            <w:tcW w:w="1062" w:type="dxa"/>
            <w:gridSpan w:val="2"/>
            <w:tcBorders>
              <w:bottom w:val="single" w:sz="4" w:space="0" w:color="000000" w:themeColor="text1"/>
            </w:tcBorders>
            <w:shd w:val="clear" w:color="auto" w:fill="auto"/>
            <w:vAlign w:val="center"/>
          </w:tcPr>
          <w:p w:rsidR="00B52866" w:rsidRPr="00601CD0" w:rsidRDefault="00B52866" w:rsidP="002A0A16">
            <w:pPr>
              <w:spacing w:line="180" w:lineRule="exact"/>
              <w:contextualSpacing/>
              <w:jc w:val="center"/>
              <w:rPr>
                <w:color w:val="auto"/>
                <w:sz w:val="18"/>
                <w:szCs w:val="18"/>
              </w:rPr>
            </w:pPr>
            <w:r>
              <w:rPr>
                <w:color w:val="auto"/>
                <w:sz w:val="18"/>
                <w:szCs w:val="18"/>
              </w:rPr>
              <w:t>20090225</w:t>
            </w:r>
          </w:p>
        </w:tc>
      </w:tr>
      <w:tr w:rsidR="00B52866" w:rsidRPr="002A4119" w:rsidTr="004F26D2">
        <w:trPr>
          <w:trHeight w:val="287"/>
          <w:jc w:val="center"/>
        </w:trPr>
        <w:tc>
          <w:tcPr>
            <w:tcW w:w="2195" w:type="dxa"/>
            <w:tcBorders>
              <w:right w:val="single" w:sz="4" w:space="0" w:color="auto"/>
            </w:tcBorders>
            <w:shd w:val="clear" w:color="auto" w:fill="FFFFFF" w:themeFill="background1"/>
            <w:vAlign w:val="center"/>
          </w:tcPr>
          <w:p w:rsidR="00B52866" w:rsidRPr="0086102A" w:rsidRDefault="00B52866" w:rsidP="002A0A16">
            <w:pPr>
              <w:spacing w:line="180" w:lineRule="exact"/>
              <w:contextualSpacing/>
              <w:rPr>
                <w:color w:val="auto"/>
                <w:sz w:val="18"/>
                <w:szCs w:val="18"/>
              </w:rPr>
            </w:pPr>
            <w:r>
              <w:rPr>
                <w:color w:val="auto"/>
                <w:sz w:val="18"/>
                <w:szCs w:val="18"/>
              </w:rPr>
              <w:t>PTSD</w:t>
            </w:r>
          </w:p>
        </w:tc>
        <w:tc>
          <w:tcPr>
            <w:tcW w:w="1962" w:type="dxa"/>
            <w:gridSpan w:val="2"/>
            <w:tcBorders>
              <w:left w:val="single" w:sz="4" w:space="0" w:color="auto"/>
              <w:right w:val="thinThickThinSmallGap" w:sz="24" w:space="0" w:color="auto"/>
            </w:tcBorders>
            <w:shd w:val="clear" w:color="auto" w:fill="FFFFFF" w:themeFill="background1"/>
            <w:vAlign w:val="center"/>
          </w:tcPr>
          <w:p w:rsidR="00B52866" w:rsidRPr="004C2063" w:rsidRDefault="00B52866" w:rsidP="002A0A16">
            <w:pPr>
              <w:spacing w:line="180" w:lineRule="exact"/>
              <w:contextualSpacing/>
              <w:jc w:val="center"/>
              <w:rPr>
                <w:color w:val="auto"/>
                <w:sz w:val="18"/>
                <w:szCs w:val="18"/>
                <w:highlight w:val="yellow"/>
              </w:rPr>
            </w:pPr>
            <w:r w:rsidRPr="00C83DB0">
              <w:rPr>
                <w:color w:val="auto"/>
                <w:sz w:val="18"/>
                <w:szCs w:val="18"/>
              </w:rPr>
              <w:t xml:space="preserve">Cat </w:t>
            </w:r>
            <w:r>
              <w:rPr>
                <w:color w:val="auto"/>
                <w:sz w:val="18"/>
                <w:szCs w:val="18"/>
              </w:rPr>
              <w:t>II</w:t>
            </w:r>
          </w:p>
        </w:tc>
        <w:tc>
          <w:tcPr>
            <w:tcW w:w="2538" w:type="dxa"/>
            <w:vMerge w:val="restart"/>
            <w:tcBorders>
              <w:left w:val="thinThickThinSmallGap" w:sz="24" w:space="0" w:color="auto"/>
              <w:right w:val="single" w:sz="4" w:space="0" w:color="auto"/>
            </w:tcBorders>
            <w:shd w:val="clear" w:color="auto" w:fill="FFFFFF" w:themeFill="background1"/>
            <w:vAlign w:val="center"/>
          </w:tcPr>
          <w:p w:rsidR="00B52866" w:rsidRPr="0086102A" w:rsidRDefault="00B52866" w:rsidP="002A0A16">
            <w:pPr>
              <w:spacing w:line="180" w:lineRule="exact"/>
              <w:contextualSpacing/>
              <w:rPr>
                <w:color w:val="auto"/>
                <w:sz w:val="18"/>
                <w:szCs w:val="18"/>
              </w:rPr>
            </w:pPr>
            <w:r>
              <w:rPr>
                <w:color w:val="auto"/>
                <w:sz w:val="18"/>
                <w:szCs w:val="18"/>
              </w:rPr>
              <w:t>PTSD</w:t>
            </w:r>
          </w:p>
        </w:tc>
        <w:tc>
          <w:tcPr>
            <w:tcW w:w="1062" w:type="dxa"/>
            <w:vMerge w:val="restart"/>
            <w:tcBorders>
              <w:left w:val="single" w:sz="4" w:space="0" w:color="auto"/>
            </w:tcBorders>
            <w:shd w:val="clear" w:color="auto" w:fill="FFFFFF" w:themeFill="background1"/>
            <w:vAlign w:val="center"/>
          </w:tcPr>
          <w:p w:rsidR="00B52866" w:rsidRPr="0086102A" w:rsidRDefault="00B52866" w:rsidP="002A0A16">
            <w:pPr>
              <w:spacing w:line="180" w:lineRule="exact"/>
              <w:contextualSpacing/>
              <w:jc w:val="center"/>
              <w:rPr>
                <w:color w:val="auto"/>
                <w:sz w:val="18"/>
                <w:szCs w:val="18"/>
              </w:rPr>
            </w:pPr>
            <w:r>
              <w:rPr>
                <w:color w:val="auto"/>
                <w:sz w:val="18"/>
                <w:szCs w:val="18"/>
              </w:rPr>
              <w:t>9411</w:t>
            </w:r>
          </w:p>
        </w:tc>
        <w:tc>
          <w:tcPr>
            <w:tcW w:w="829" w:type="dxa"/>
            <w:vMerge w:val="restart"/>
            <w:tcBorders>
              <w:right w:val="single" w:sz="4" w:space="0" w:color="auto"/>
            </w:tcBorders>
            <w:shd w:val="clear" w:color="auto" w:fill="FFFFFF" w:themeFill="background1"/>
            <w:vAlign w:val="center"/>
          </w:tcPr>
          <w:p w:rsidR="00B52866" w:rsidRPr="0086102A" w:rsidRDefault="00B52866" w:rsidP="002A0A16">
            <w:pPr>
              <w:spacing w:line="180" w:lineRule="exact"/>
              <w:contextualSpacing/>
              <w:jc w:val="center"/>
              <w:rPr>
                <w:color w:val="auto"/>
                <w:sz w:val="18"/>
                <w:szCs w:val="18"/>
              </w:rPr>
            </w:pPr>
            <w:r>
              <w:rPr>
                <w:color w:val="auto"/>
                <w:sz w:val="18"/>
                <w:szCs w:val="18"/>
              </w:rPr>
              <w:t>30%**</w:t>
            </w:r>
          </w:p>
        </w:tc>
        <w:tc>
          <w:tcPr>
            <w:tcW w:w="1062" w:type="dxa"/>
            <w:gridSpan w:val="2"/>
            <w:vMerge w:val="restart"/>
            <w:tcBorders>
              <w:left w:val="single" w:sz="4" w:space="0" w:color="auto"/>
            </w:tcBorders>
            <w:shd w:val="clear" w:color="auto" w:fill="FFFFFF" w:themeFill="background1"/>
            <w:vAlign w:val="center"/>
          </w:tcPr>
          <w:p w:rsidR="00B52866" w:rsidRPr="0086102A" w:rsidRDefault="00B52866" w:rsidP="002A0A16">
            <w:pPr>
              <w:spacing w:line="180" w:lineRule="exact"/>
              <w:contextualSpacing/>
              <w:jc w:val="center"/>
              <w:rPr>
                <w:color w:val="auto"/>
                <w:sz w:val="18"/>
                <w:szCs w:val="18"/>
                <w:highlight w:val="yellow"/>
              </w:rPr>
            </w:pPr>
            <w:r w:rsidRPr="00C83DB0">
              <w:rPr>
                <w:color w:val="auto"/>
                <w:sz w:val="18"/>
                <w:szCs w:val="18"/>
              </w:rPr>
              <w:t>20080809</w:t>
            </w:r>
          </w:p>
        </w:tc>
      </w:tr>
      <w:tr w:rsidR="00B52866" w:rsidRPr="002A4119" w:rsidTr="004F26D2">
        <w:trPr>
          <w:trHeight w:val="287"/>
          <w:jc w:val="center"/>
        </w:trPr>
        <w:tc>
          <w:tcPr>
            <w:tcW w:w="2195" w:type="dxa"/>
            <w:tcBorders>
              <w:right w:val="single" w:sz="4" w:space="0" w:color="auto"/>
            </w:tcBorders>
            <w:shd w:val="clear" w:color="auto" w:fill="FFFFFF" w:themeFill="background1"/>
            <w:vAlign w:val="center"/>
          </w:tcPr>
          <w:p w:rsidR="00B52866" w:rsidRPr="0086102A" w:rsidRDefault="00B52866" w:rsidP="002A0A16">
            <w:pPr>
              <w:spacing w:line="180" w:lineRule="exact"/>
              <w:contextualSpacing/>
              <w:rPr>
                <w:color w:val="auto"/>
                <w:sz w:val="18"/>
                <w:szCs w:val="18"/>
              </w:rPr>
            </w:pPr>
            <w:r>
              <w:rPr>
                <w:color w:val="auto"/>
                <w:sz w:val="18"/>
                <w:szCs w:val="18"/>
              </w:rPr>
              <w:t>MDD</w:t>
            </w:r>
          </w:p>
        </w:tc>
        <w:tc>
          <w:tcPr>
            <w:tcW w:w="1962" w:type="dxa"/>
            <w:gridSpan w:val="2"/>
            <w:tcBorders>
              <w:left w:val="single" w:sz="4" w:space="0" w:color="auto"/>
              <w:right w:val="thinThickThinSmallGap" w:sz="24" w:space="0" w:color="auto"/>
            </w:tcBorders>
            <w:shd w:val="clear" w:color="auto" w:fill="FFFFFF" w:themeFill="background1"/>
            <w:vAlign w:val="center"/>
          </w:tcPr>
          <w:p w:rsidR="00B52866" w:rsidRPr="004C2063" w:rsidRDefault="00B52866" w:rsidP="002A0A16">
            <w:pPr>
              <w:spacing w:line="180" w:lineRule="exact"/>
              <w:contextualSpacing/>
              <w:jc w:val="center"/>
              <w:rPr>
                <w:color w:val="auto"/>
                <w:sz w:val="18"/>
                <w:szCs w:val="18"/>
                <w:highlight w:val="yellow"/>
              </w:rPr>
            </w:pPr>
            <w:r w:rsidRPr="008E67D2">
              <w:rPr>
                <w:color w:val="auto"/>
                <w:sz w:val="18"/>
                <w:szCs w:val="18"/>
              </w:rPr>
              <w:t xml:space="preserve">Cat </w:t>
            </w:r>
            <w:r>
              <w:rPr>
                <w:color w:val="auto"/>
                <w:sz w:val="18"/>
                <w:szCs w:val="18"/>
              </w:rPr>
              <w:t>II</w:t>
            </w:r>
          </w:p>
        </w:tc>
        <w:tc>
          <w:tcPr>
            <w:tcW w:w="2538" w:type="dxa"/>
            <w:vMerge/>
            <w:tcBorders>
              <w:left w:val="thinThickThinSmallGap" w:sz="24" w:space="0" w:color="auto"/>
              <w:right w:val="single" w:sz="4" w:space="0" w:color="auto"/>
            </w:tcBorders>
            <w:shd w:val="clear" w:color="auto" w:fill="FFFFFF" w:themeFill="background1"/>
            <w:vAlign w:val="center"/>
          </w:tcPr>
          <w:p w:rsidR="00B52866" w:rsidRPr="0086102A" w:rsidRDefault="00B52866" w:rsidP="002A0A16">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B52866" w:rsidRPr="0086102A" w:rsidRDefault="00B52866" w:rsidP="002A0A16">
            <w:pPr>
              <w:spacing w:line="180" w:lineRule="exact"/>
              <w:contextualSpacing/>
              <w:jc w:val="center"/>
              <w:rPr>
                <w:color w:val="auto"/>
                <w:sz w:val="18"/>
                <w:szCs w:val="18"/>
              </w:rPr>
            </w:pPr>
          </w:p>
        </w:tc>
        <w:tc>
          <w:tcPr>
            <w:tcW w:w="829" w:type="dxa"/>
            <w:vMerge/>
            <w:tcBorders>
              <w:right w:val="single" w:sz="4" w:space="0" w:color="auto"/>
            </w:tcBorders>
            <w:shd w:val="clear" w:color="auto" w:fill="FFFFFF" w:themeFill="background1"/>
            <w:vAlign w:val="center"/>
          </w:tcPr>
          <w:p w:rsidR="00B52866" w:rsidRPr="0086102A" w:rsidRDefault="00B52866" w:rsidP="002A0A16">
            <w:pPr>
              <w:spacing w:line="180" w:lineRule="exact"/>
              <w:contextualSpacing/>
              <w:jc w:val="center"/>
              <w:rPr>
                <w:color w:val="auto"/>
                <w:sz w:val="18"/>
                <w:szCs w:val="18"/>
                <w:highlight w:val="yellow"/>
              </w:rPr>
            </w:pPr>
          </w:p>
        </w:tc>
        <w:tc>
          <w:tcPr>
            <w:tcW w:w="1062" w:type="dxa"/>
            <w:gridSpan w:val="2"/>
            <w:vMerge/>
            <w:tcBorders>
              <w:left w:val="single" w:sz="4" w:space="0" w:color="auto"/>
            </w:tcBorders>
            <w:shd w:val="clear" w:color="auto" w:fill="FFFFFF" w:themeFill="background1"/>
            <w:vAlign w:val="center"/>
          </w:tcPr>
          <w:p w:rsidR="00B52866" w:rsidRPr="0086102A" w:rsidRDefault="00B52866" w:rsidP="002A0A16">
            <w:pPr>
              <w:spacing w:line="180" w:lineRule="exact"/>
              <w:contextualSpacing/>
              <w:jc w:val="center"/>
              <w:rPr>
                <w:color w:val="auto"/>
                <w:sz w:val="18"/>
                <w:szCs w:val="18"/>
                <w:highlight w:val="yellow"/>
              </w:rPr>
            </w:pPr>
          </w:p>
        </w:tc>
      </w:tr>
      <w:tr w:rsidR="00B52866" w:rsidRPr="002A4119" w:rsidTr="004F26D2">
        <w:trPr>
          <w:trHeight w:val="287"/>
          <w:jc w:val="center"/>
        </w:trPr>
        <w:tc>
          <w:tcPr>
            <w:tcW w:w="2195" w:type="dxa"/>
            <w:tcBorders>
              <w:right w:val="single" w:sz="4" w:space="0" w:color="auto"/>
            </w:tcBorders>
            <w:shd w:val="clear" w:color="auto" w:fill="FFFFFF" w:themeFill="background1"/>
            <w:vAlign w:val="center"/>
          </w:tcPr>
          <w:p w:rsidR="00B52866" w:rsidRDefault="00B52866" w:rsidP="002A0A16">
            <w:pPr>
              <w:spacing w:line="180" w:lineRule="exact"/>
              <w:contextualSpacing/>
              <w:rPr>
                <w:color w:val="auto"/>
                <w:sz w:val="18"/>
                <w:szCs w:val="18"/>
              </w:rPr>
            </w:pPr>
            <w:r>
              <w:rPr>
                <w:color w:val="auto"/>
                <w:sz w:val="18"/>
                <w:szCs w:val="18"/>
              </w:rPr>
              <w:t>Alcohol Dependence</w:t>
            </w:r>
          </w:p>
        </w:tc>
        <w:tc>
          <w:tcPr>
            <w:tcW w:w="1962" w:type="dxa"/>
            <w:gridSpan w:val="2"/>
            <w:tcBorders>
              <w:left w:val="single" w:sz="4" w:space="0" w:color="auto"/>
              <w:right w:val="thinThickThinSmallGap" w:sz="24" w:space="0" w:color="auto"/>
            </w:tcBorders>
            <w:shd w:val="clear" w:color="auto" w:fill="FFFFFF" w:themeFill="background1"/>
            <w:vAlign w:val="center"/>
          </w:tcPr>
          <w:p w:rsidR="00B52866" w:rsidRDefault="00B52866" w:rsidP="002A0A16">
            <w:pPr>
              <w:spacing w:line="180" w:lineRule="exact"/>
              <w:contextualSpacing/>
              <w:jc w:val="center"/>
              <w:rPr>
                <w:color w:val="auto"/>
                <w:sz w:val="18"/>
                <w:szCs w:val="18"/>
              </w:rPr>
            </w:pPr>
            <w:r>
              <w:rPr>
                <w:color w:val="auto"/>
                <w:sz w:val="18"/>
                <w:szCs w:val="18"/>
              </w:rPr>
              <w:t>Cat IV</w:t>
            </w:r>
          </w:p>
        </w:tc>
        <w:tc>
          <w:tcPr>
            <w:tcW w:w="5491" w:type="dxa"/>
            <w:gridSpan w:val="5"/>
            <w:tcBorders>
              <w:left w:val="thinThickThinSmallGap" w:sz="24" w:space="0" w:color="auto"/>
            </w:tcBorders>
            <w:shd w:val="clear" w:color="auto" w:fill="FFFFFF" w:themeFill="background1"/>
            <w:vAlign w:val="center"/>
          </w:tcPr>
          <w:p w:rsidR="00B52866" w:rsidRDefault="00B52866" w:rsidP="002A0A16">
            <w:pPr>
              <w:spacing w:line="180" w:lineRule="exact"/>
              <w:contextualSpacing/>
              <w:rPr>
                <w:color w:val="auto"/>
                <w:sz w:val="18"/>
                <w:szCs w:val="18"/>
              </w:rPr>
            </w:pPr>
            <w:r>
              <w:rPr>
                <w:color w:val="auto"/>
                <w:sz w:val="18"/>
                <w:szCs w:val="18"/>
              </w:rPr>
              <w:t>No VA entry</w:t>
            </w:r>
          </w:p>
        </w:tc>
      </w:tr>
      <w:tr w:rsidR="00972440" w:rsidRPr="002A4119" w:rsidTr="004F26D2">
        <w:trPr>
          <w:trHeight w:val="260"/>
          <w:jc w:val="center"/>
        </w:trPr>
        <w:tc>
          <w:tcPr>
            <w:tcW w:w="4157" w:type="dxa"/>
            <w:gridSpan w:val="3"/>
            <w:vMerge w:val="restart"/>
            <w:tcBorders>
              <w:right w:val="thinThickThinSmallGap" w:sz="24" w:space="0" w:color="auto"/>
            </w:tcBorders>
            <w:shd w:val="clear" w:color="auto" w:fill="FFFFFF" w:themeFill="background1"/>
            <w:vAlign w:val="center"/>
          </w:tcPr>
          <w:p w:rsidR="00972440" w:rsidRPr="0086102A" w:rsidRDefault="00972440" w:rsidP="002A0A16">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972440" w:rsidRDefault="00972440" w:rsidP="002A0A16">
            <w:pPr>
              <w:spacing w:line="180" w:lineRule="exact"/>
              <w:contextualSpacing/>
              <w:rPr>
                <w:color w:val="auto"/>
                <w:sz w:val="18"/>
                <w:szCs w:val="18"/>
              </w:rPr>
            </w:pPr>
            <w:r>
              <w:rPr>
                <w:color w:val="auto"/>
                <w:sz w:val="18"/>
                <w:szCs w:val="18"/>
              </w:rPr>
              <w:t>Tinnitus</w:t>
            </w:r>
          </w:p>
        </w:tc>
        <w:tc>
          <w:tcPr>
            <w:tcW w:w="1062" w:type="dxa"/>
            <w:tcBorders>
              <w:left w:val="single" w:sz="4" w:space="0" w:color="auto"/>
            </w:tcBorders>
            <w:shd w:val="clear" w:color="auto" w:fill="FFFFFF" w:themeFill="background1"/>
            <w:vAlign w:val="center"/>
          </w:tcPr>
          <w:p w:rsidR="00972440" w:rsidRDefault="00972440" w:rsidP="002A0A16">
            <w:pPr>
              <w:spacing w:line="180" w:lineRule="exact"/>
              <w:contextualSpacing/>
              <w:jc w:val="center"/>
              <w:rPr>
                <w:color w:val="auto"/>
                <w:sz w:val="18"/>
                <w:szCs w:val="18"/>
              </w:rPr>
            </w:pPr>
            <w:r>
              <w:rPr>
                <w:color w:val="auto"/>
                <w:sz w:val="18"/>
                <w:szCs w:val="18"/>
              </w:rPr>
              <w:t>6260</w:t>
            </w:r>
          </w:p>
        </w:tc>
        <w:tc>
          <w:tcPr>
            <w:tcW w:w="900" w:type="dxa"/>
            <w:gridSpan w:val="2"/>
            <w:shd w:val="clear" w:color="auto" w:fill="FFFFFF" w:themeFill="background1"/>
            <w:vAlign w:val="center"/>
          </w:tcPr>
          <w:p w:rsidR="00972440" w:rsidRDefault="00972440" w:rsidP="002A0A16">
            <w:pPr>
              <w:spacing w:line="180" w:lineRule="exact"/>
              <w:contextualSpacing/>
              <w:jc w:val="center"/>
              <w:rPr>
                <w:color w:val="auto"/>
                <w:sz w:val="18"/>
                <w:szCs w:val="18"/>
              </w:rPr>
            </w:pPr>
            <w:r>
              <w:rPr>
                <w:color w:val="auto"/>
                <w:sz w:val="18"/>
                <w:szCs w:val="18"/>
              </w:rPr>
              <w:t>10%</w:t>
            </w:r>
          </w:p>
        </w:tc>
        <w:tc>
          <w:tcPr>
            <w:tcW w:w="991" w:type="dxa"/>
            <w:shd w:val="clear" w:color="auto" w:fill="FFFFFF" w:themeFill="background1"/>
            <w:vAlign w:val="center"/>
          </w:tcPr>
          <w:p w:rsidR="00972440" w:rsidRDefault="00972440" w:rsidP="002A0A16">
            <w:pPr>
              <w:spacing w:line="180" w:lineRule="exact"/>
              <w:contextualSpacing/>
              <w:jc w:val="center"/>
              <w:rPr>
                <w:color w:val="auto"/>
                <w:sz w:val="18"/>
                <w:szCs w:val="18"/>
              </w:rPr>
            </w:pPr>
            <w:r>
              <w:rPr>
                <w:color w:val="auto"/>
                <w:sz w:val="18"/>
                <w:szCs w:val="18"/>
              </w:rPr>
              <w:t>20090225</w:t>
            </w:r>
          </w:p>
        </w:tc>
      </w:tr>
      <w:tr w:rsidR="00972440" w:rsidRPr="002A4119" w:rsidTr="004F26D2">
        <w:trPr>
          <w:trHeight w:val="260"/>
          <w:jc w:val="center"/>
        </w:trPr>
        <w:tc>
          <w:tcPr>
            <w:tcW w:w="4157" w:type="dxa"/>
            <w:gridSpan w:val="3"/>
            <w:vMerge/>
            <w:tcBorders>
              <w:right w:val="thinThickThinSmallGap" w:sz="24" w:space="0" w:color="auto"/>
            </w:tcBorders>
            <w:shd w:val="clear" w:color="auto" w:fill="FFFFFF" w:themeFill="background1"/>
            <w:vAlign w:val="center"/>
          </w:tcPr>
          <w:p w:rsidR="00972440" w:rsidRPr="0086102A" w:rsidRDefault="00972440" w:rsidP="002A0A16">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972440" w:rsidRPr="0086102A" w:rsidRDefault="00972440" w:rsidP="002A0A16">
            <w:pPr>
              <w:spacing w:line="180" w:lineRule="exact"/>
              <w:contextualSpacing/>
              <w:rPr>
                <w:color w:val="auto"/>
                <w:sz w:val="18"/>
                <w:szCs w:val="18"/>
              </w:rPr>
            </w:pPr>
            <w:r>
              <w:rPr>
                <w:color w:val="auto"/>
                <w:sz w:val="18"/>
                <w:szCs w:val="18"/>
              </w:rPr>
              <w:t>Mild Low Back Strain</w:t>
            </w:r>
          </w:p>
        </w:tc>
        <w:tc>
          <w:tcPr>
            <w:tcW w:w="1062" w:type="dxa"/>
            <w:tcBorders>
              <w:left w:val="single" w:sz="4" w:space="0" w:color="auto"/>
            </w:tcBorders>
            <w:shd w:val="clear" w:color="auto" w:fill="FFFFFF" w:themeFill="background1"/>
            <w:vAlign w:val="center"/>
          </w:tcPr>
          <w:p w:rsidR="00972440" w:rsidRPr="0086102A" w:rsidRDefault="00972440" w:rsidP="002A0A16">
            <w:pPr>
              <w:spacing w:line="180" w:lineRule="exact"/>
              <w:contextualSpacing/>
              <w:jc w:val="center"/>
              <w:rPr>
                <w:color w:val="auto"/>
                <w:sz w:val="18"/>
                <w:szCs w:val="18"/>
              </w:rPr>
            </w:pPr>
            <w:r>
              <w:rPr>
                <w:color w:val="auto"/>
                <w:sz w:val="18"/>
                <w:szCs w:val="18"/>
              </w:rPr>
              <w:t>5237</w:t>
            </w:r>
          </w:p>
        </w:tc>
        <w:tc>
          <w:tcPr>
            <w:tcW w:w="900" w:type="dxa"/>
            <w:gridSpan w:val="2"/>
            <w:shd w:val="clear" w:color="auto" w:fill="FFFFFF" w:themeFill="background1"/>
            <w:vAlign w:val="center"/>
          </w:tcPr>
          <w:p w:rsidR="00972440" w:rsidRPr="0086102A" w:rsidRDefault="00972440" w:rsidP="002A0A16">
            <w:pPr>
              <w:spacing w:line="180" w:lineRule="exact"/>
              <w:contextualSpacing/>
              <w:jc w:val="center"/>
              <w:rPr>
                <w:color w:val="auto"/>
                <w:sz w:val="18"/>
                <w:szCs w:val="18"/>
              </w:rPr>
            </w:pPr>
            <w:r>
              <w:rPr>
                <w:color w:val="auto"/>
                <w:sz w:val="18"/>
                <w:szCs w:val="18"/>
              </w:rPr>
              <w:t>10%</w:t>
            </w:r>
          </w:p>
        </w:tc>
        <w:tc>
          <w:tcPr>
            <w:tcW w:w="991" w:type="dxa"/>
            <w:shd w:val="clear" w:color="auto" w:fill="FFFFFF" w:themeFill="background1"/>
            <w:vAlign w:val="center"/>
          </w:tcPr>
          <w:p w:rsidR="00972440" w:rsidRPr="0086102A" w:rsidRDefault="00972440" w:rsidP="002A0A16">
            <w:pPr>
              <w:spacing w:line="180" w:lineRule="exact"/>
              <w:contextualSpacing/>
              <w:jc w:val="center"/>
              <w:rPr>
                <w:color w:val="auto"/>
                <w:sz w:val="18"/>
                <w:szCs w:val="18"/>
                <w:highlight w:val="yellow"/>
              </w:rPr>
            </w:pPr>
            <w:r w:rsidRPr="0027085E">
              <w:rPr>
                <w:color w:val="auto"/>
                <w:sz w:val="18"/>
                <w:szCs w:val="18"/>
              </w:rPr>
              <w:t>20080809</w:t>
            </w:r>
          </w:p>
        </w:tc>
      </w:tr>
      <w:tr w:rsidR="00B52866" w:rsidRPr="002A4119" w:rsidTr="004F26D2">
        <w:trPr>
          <w:trHeight w:val="260"/>
          <w:jc w:val="center"/>
        </w:trPr>
        <w:tc>
          <w:tcPr>
            <w:tcW w:w="4157" w:type="dxa"/>
            <w:gridSpan w:val="3"/>
            <w:vMerge/>
            <w:tcBorders>
              <w:right w:val="thinThickThinSmallGap" w:sz="24" w:space="0" w:color="auto"/>
            </w:tcBorders>
            <w:shd w:val="clear" w:color="auto" w:fill="FFFFFF" w:themeFill="background1"/>
            <w:vAlign w:val="center"/>
          </w:tcPr>
          <w:p w:rsidR="00B52866" w:rsidRPr="0086102A" w:rsidRDefault="00B52866" w:rsidP="002A0A16">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B52866" w:rsidRDefault="00B52866" w:rsidP="002A0A16">
            <w:pPr>
              <w:spacing w:line="180" w:lineRule="exact"/>
              <w:contextualSpacing/>
              <w:rPr>
                <w:color w:val="auto"/>
                <w:sz w:val="18"/>
                <w:szCs w:val="18"/>
              </w:rPr>
            </w:pPr>
            <w:r>
              <w:rPr>
                <w:color w:val="auto"/>
                <w:sz w:val="18"/>
                <w:szCs w:val="18"/>
              </w:rPr>
              <w:t>Right Knee PFS</w:t>
            </w:r>
          </w:p>
        </w:tc>
        <w:tc>
          <w:tcPr>
            <w:tcW w:w="1062" w:type="dxa"/>
            <w:tcBorders>
              <w:left w:val="single" w:sz="4" w:space="0" w:color="auto"/>
            </w:tcBorders>
            <w:shd w:val="clear" w:color="auto" w:fill="FFFFFF" w:themeFill="background1"/>
            <w:vAlign w:val="center"/>
          </w:tcPr>
          <w:p w:rsidR="00B52866" w:rsidRDefault="00B52866" w:rsidP="002A0A16">
            <w:pPr>
              <w:spacing w:line="180" w:lineRule="exact"/>
              <w:contextualSpacing/>
              <w:jc w:val="center"/>
              <w:rPr>
                <w:color w:val="auto"/>
                <w:sz w:val="18"/>
                <w:szCs w:val="18"/>
              </w:rPr>
            </w:pPr>
            <w:r>
              <w:rPr>
                <w:color w:val="auto"/>
                <w:sz w:val="18"/>
                <w:szCs w:val="18"/>
              </w:rPr>
              <w:t>5299-5260</w:t>
            </w:r>
          </w:p>
        </w:tc>
        <w:tc>
          <w:tcPr>
            <w:tcW w:w="900" w:type="dxa"/>
            <w:gridSpan w:val="2"/>
            <w:shd w:val="clear" w:color="auto" w:fill="FFFFFF" w:themeFill="background1"/>
            <w:vAlign w:val="center"/>
          </w:tcPr>
          <w:p w:rsidR="00B52866" w:rsidRDefault="00B52866" w:rsidP="002A0A16">
            <w:pPr>
              <w:spacing w:line="180" w:lineRule="exact"/>
              <w:contextualSpacing/>
              <w:jc w:val="center"/>
              <w:rPr>
                <w:color w:val="auto"/>
                <w:sz w:val="18"/>
                <w:szCs w:val="18"/>
              </w:rPr>
            </w:pPr>
            <w:r>
              <w:rPr>
                <w:color w:val="auto"/>
                <w:sz w:val="18"/>
                <w:szCs w:val="18"/>
              </w:rPr>
              <w:t>10%</w:t>
            </w:r>
          </w:p>
        </w:tc>
        <w:tc>
          <w:tcPr>
            <w:tcW w:w="991" w:type="dxa"/>
            <w:shd w:val="clear" w:color="auto" w:fill="FFFFFF" w:themeFill="background1"/>
            <w:vAlign w:val="center"/>
          </w:tcPr>
          <w:p w:rsidR="00B52866" w:rsidRPr="0027085E" w:rsidRDefault="00B52866" w:rsidP="002A0A16">
            <w:pPr>
              <w:spacing w:line="180" w:lineRule="exact"/>
              <w:contextualSpacing/>
              <w:jc w:val="center"/>
              <w:rPr>
                <w:color w:val="auto"/>
                <w:sz w:val="18"/>
                <w:szCs w:val="18"/>
              </w:rPr>
            </w:pPr>
            <w:r>
              <w:rPr>
                <w:color w:val="auto"/>
                <w:sz w:val="18"/>
                <w:szCs w:val="18"/>
              </w:rPr>
              <w:t>20080809</w:t>
            </w:r>
          </w:p>
        </w:tc>
      </w:tr>
      <w:tr w:rsidR="00B52866" w:rsidRPr="002A4119" w:rsidTr="004F26D2">
        <w:trPr>
          <w:trHeight w:val="260"/>
          <w:jc w:val="center"/>
        </w:trPr>
        <w:tc>
          <w:tcPr>
            <w:tcW w:w="4157" w:type="dxa"/>
            <w:gridSpan w:val="3"/>
            <w:vMerge/>
            <w:tcBorders>
              <w:right w:val="thinThickThinSmallGap" w:sz="24" w:space="0" w:color="auto"/>
            </w:tcBorders>
            <w:shd w:val="clear" w:color="auto" w:fill="FFFFFF" w:themeFill="background1"/>
            <w:vAlign w:val="center"/>
          </w:tcPr>
          <w:p w:rsidR="00B52866" w:rsidRPr="0086102A" w:rsidRDefault="00B52866" w:rsidP="002A0A16">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B52866" w:rsidRDefault="00B52866" w:rsidP="002A0A16">
            <w:pPr>
              <w:spacing w:line="180" w:lineRule="exact"/>
              <w:contextualSpacing/>
              <w:rPr>
                <w:color w:val="auto"/>
                <w:sz w:val="18"/>
                <w:szCs w:val="18"/>
              </w:rPr>
            </w:pPr>
            <w:r>
              <w:rPr>
                <w:color w:val="auto"/>
                <w:sz w:val="18"/>
                <w:szCs w:val="18"/>
              </w:rPr>
              <w:t>Left Knee PFS</w:t>
            </w:r>
          </w:p>
        </w:tc>
        <w:tc>
          <w:tcPr>
            <w:tcW w:w="1062" w:type="dxa"/>
            <w:tcBorders>
              <w:left w:val="single" w:sz="4" w:space="0" w:color="auto"/>
            </w:tcBorders>
            <w:shd w:val="clear" w:color="auto" w:fill="FFFFFF" w:themeFill="background1"/>
            <w:vAlign w:val="center"/>
          </w:tcPr>
          <w:p w:rsidR="00B52866" w:rsidRDefault="00B52866" w:rsidP="002A0A16">
            <w:pPr>
              <w:spacing w:line="180" w:lineRule="exact"/>
              <w:contextualSpacing/>
              <w:jc w:val="center"/>
              <w:rPr>
                <w:color w:val="auto"/>
                <w:sz w:val="18"/>
                <w:szCs w:val="18"/>
              </w:rPr>
            </w:pPr>
            <w:r>
              <w:rPr>
                <w:color w:val="auto"/>
                <w:sz w:val="18"/>
                <w:szCs w:val="18"/>
              </w:rPr>
              <w:t>5299-5260</w:t>
            </w:r>
          </w:p>
        </w:tc>
        <w:tc>
          <w:tcPr>
            <w:tcW w:w="900" w:type="dxa"/>
            <w:gridSpan w:val="2"/>
            <w:shd w:val="clear" w:color="auto" w:fill="FFFFFF" w:themeFill="background1"/>
            <w:vAlign w:val="center"/>
          </w:tcPr>
          <w:p w:rsidR="00B52866" w:rsidRDefault="00B52866" w:rsidP="002A0A16">
            <w:pPr>
              <w:spacing w:line="180" w:lineRule="exact"/>
              <w:contextualSpacing/>
              <w:jc w:val="center"/>
              <w:rPr>
                <w:color w:val="auto"/>
                <w:sz w:val="18"/>
                <w:szCs w:val="18"/>
              </w:rPr>
            </w:pPr>
            <w:r>
              <w:rPr>
                <w:color w:val="auto"/>
                <w:sz w:val="18"/>
                <w:szCs w:val="18"/>
              </w:rPr>
              <w:t>10%</w:t>
            </w:r>
          </w:p>
        </w:tc>
        <w:tc>
          <w:tcPr>
            <w:tcW w:w="991" w:type="dxa"/>
            <w:shd w:val="clear" w:color="auto" w:fill="FFFFFF" w:themeFill="background1"/>
            <w:vAlign w:val="center"/>
          </w:tcPr>
          <w:p w:rsidR="00B52866" w:rsidRPr="0027085E" w:rsidRDefault="00B52866" w:rsidP="002A0A16">
            <w:pPr>
              <w:spacing w:line="180" w:lineRule="exact"/>
              <w:contextualSpacing/>
              <w:jc w:val="center"/>
              <w:rPr>
                <w:color w:val="auto"/>
                <w:sz w:val="18"/>
                <w:szCs w:val="18"/>
              </w:rPr>
            </w:pPr>
            <w:r>
              <w:rPr>
                <w:color w:val="auto"/>
                <w:sz w:val="18"/>
                <w:szCs w:val="18"/>
              </w:rPr>
              <w:t>20080809</w:t>
            </w:r>
          </w:p>
        </w:tc>
      </w:tr>
      <w:tr w:rsidR="00B52866" w:rsidRPr="002A4119" w:rsidTr="004F26D2">
        <w:trPr>
          <w:trHeight w:val="260"/>
          <w:jc w:val="center"/>
        </w:trPr>
        <w:tc>
          <w:tcPr>
            <w:tcW w:w="4157" w:type="dxa"/>
            <w:gridSpan w:val="3"/>
            <w:vMerge/>
            <w:tcBorders>
              <w:right w:val="thinThickThinSmallGap" w:sz="24" w:space="0" w:color="auto"/>
            </w:tcBorders>
            <w:shd w:val="clear" w:color="auto" w:fill="FFFFFF" w:themeFill="background1"/>
          </w:tcPr>
          <w:p w:rsidR="00B52866" w:rsidRPr="0086102A" w:rsidRDefault="00B52866" w:rsidP="002A0A16">
            <w:pPr>
              <w:spacing w:line="180" w:lineRule="exact"/>
              <w:contextualSpacing/>
              <w:jc w:val="center"/>
              <w:rPr>
                <w:color w:val="auto"/>
                <w:sz w:val="18"/>
                <w:szCs w:val="18"/>
              </w:rPr>
            </w:pPr>
          </w:p>
        </w:tc>
        <w:tc>
          <w:tcPr>
            <w:tcW w:w="4500" w:type="dxa"/>
            <w:gridSpan w:val="4"/>
            <w:tcBorders>
              <w:left w:val="thinThickThinSmallGap" w:sz="24" w:space="0" w:color="auto"/>
            </w:tcBorders>
            <w:shd w:val="clear" w:color="auto" w:fill="FFFFFF" w:themeFill="background1"/>
            <w:vAlign w:val="center"/>
          </w:tcPr>
          <w:p w:rsidR="00B52866" w:rsidRPr="0086102A" w:rsidRDefault="00B52866" w:rsidP="002A0A16">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1</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sidR="00341068">
              <w:rPr>
                <w:rFonts w:cs="Times New Roman"/>
                <w:color w:val="auto"/>
                <w:sz w:val="18"/>
                <w:szCs w:val="18"/>
              </w:rPr>
              <w:t>2</w:t>
            </w:r>
          </w:p>
        </w:tc>
        <w:tc>
          <w:tcPr>
            <w:tcW w:w="991" w:type="dxa"/>
            <w:shd w:val="clear" w:color="auto" w:fill="FFFFFF" w:themeFill="background1"/>
            <w:vAlign w:val="center"/>
          </w:tcPr>
          <w:p w:rsidR="00B52866" w:rsidRPr="0086102A" w:rsidRDefault="00B52866" w:rsidP="002A0A16">
            <w:pPr>
              <w:spacing w:line="180" w:lineRule="exact"/>
              <w:contextualSpacing/>
              <w:jc w:val="center"/>
              <w:rPr>
                <w:color w:val="auto"/>
                <w:sz w:val="18"/>
                <w:szCs w:val="18"/>
                <w:highlight w:val="yellow"/>
              </w:rPr>
            </w:pPr>
            <w:r w:rsidRPr="0027085E">
              <w:rPr>
                <w:color w:val="auto"/>
                <w:sz w:val="18"/>
                <w:szCs w:val="18"/>
              </w:rPr>
              <w:t>20080809</w:t>
            </w:r>
          </w:p>
        </w:tc>
      </w:tr>
      <w:tr w:rsidR="00B52866" w:rsidRPr="002A4119" w:rsidTr="004F26D2">
        <w:trPr>
          <w:trHeight w:val="242"/>
          <w:jc w:val="center"/>
        </w:trPr>
        <w:tc>
          <w:tcPr>
            <w:tcW w:w="4157" w:type="dxa"/>
            <w:gridSpan w:val="3"/>
            <w:tcBorders>
              <w:right w:val="thinThickThinSmallGap" w:sz="24" w:space="0" w:color="auto"/>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91" w:type="dxa"/>
            <w:gridSpan w:val="5"/>
            <w:tcBorders>
              <w:left w:val="thinThickThinSmallGap" w:sz="24" w:space="0" w:color="auto"/>
            </w:tcBorders>
            <w:shd w:val="clear" w:color="auto" w:fill="D9D9D9" w:themeFill="background1" w:themeFillShade="D9"/>
            <w:vAlign w:val="center"/>
          </w:tcPr>
          <w:p w:rsidR="00B52866" w:rsidRPr="00B06930" w:rsidRDefault="00B52866" w:rsidP="004F26D2">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80</w:t>
            </w:r>
            <w:r w:rsidRPr="00B06930">
              <w:rPr>
                <w:b/>
                <w:color w:val="auto"/>
                <w:sz w:val="20"/>
                <w:szCs w:val="20"/>
              </w:rPr>
              <w:t>%</w:t>
            </w:r>
          </w:p>
        </w:tc>
      </w:tr>
    </w:tbl>
    <w:p w:rsidR="003B75B6" w:rsidRPr="005A4FE7" w:rsidRDefault="00B52866" w:rsidP="00B52866">
      <w:pPr>
        <w:spacing w:line="240" w:lineRule="exact"/>
        <w:rPr>
          <w:rFonts w:asciiTheme="minorHAnsi" w:hAnsiTheme="minorHAnsi"/>
          <w:color w:val="auto"/>
          <w:sz w:val="20"/>
        </w:rPr>
      </w:pPr>
      <w:r w:rsidRPr="005A4FE7">
        <w:rPr>
          <w:rFonts w:asciiTheme="minorHAnsi" w:hAnsiTheme="minorHAnsi"/>
          <w:color w:val="auto"/>
          <w:sz w:val="20"/>
        </w:rPr>
        <w:t xml:space="preserve">*Initially deferred, rated 50% on 20090325, retroactive to separation; </w:t>
      </w:r>
    </w:p>
    <w:p w:rsidR="00B52866" w:rsidRDefault="00B52866" w:rsidP="00B52866">
      <w:pPr>
        <w:spacing w:line="240" w:lineRule="exact"/>
        <w:rPr>
          <w:rFonts w:asciiTheme="minorHAnsi" w:hAnsiTheme="minorHAnsi"/>
          <w:color w:val="auto"/>
        </w:rPr>
      </w:pPr>
      <w:r w:rsidRPr="005A4FE7">
        <w:rPr>
          <w:rFonts w:asciiTheme="minorHAnsi" w:hAnsiTheme="minorHAnsi"/>
          <w:color w:val="auto"/>
          <w:sz w:val="20"/>
        </w:rPr>
        <w:t>** Rating increased from 30% to 50% on 20090325, retroactive to separation</w:t>
      </w:r>
      <w:r>
        <w:rPr>
          <w:rFonts w:asciiTheme="minorHAnsi" w:hAnsiTheme="minorHAnsi"/>
          <w:color w:val="auto"/>
        </w:rPr>
        <w:t>.</w:t>
      </w:r>
    </w:p>
    <w:p w:rsidR="00B52866" w:rsidRDefault="00B52866" w:rsidP="002C4471">
      <w:pPr>
        <w:pBdr>
          <w:bottom w:val="single" w:sz="12" w:space="1" w:color="auto"/>
        </w:pBdr>
        <w:spacing w:line="240" w:lineRule="exact"/>
        <w:rPr>
          <w:rFonts w:asciiTheme="minorHAnsi" w:hAnsiTheme="minorHAnsi"/>
          <w:color w:val="auto"/>
          <w:u w:val="single"/>
        </w:rPr>
      </w:pPr>
    </w:p>
    <w:p w:rsidR="00C90D3B" w:rsidRDefault="00C90D3B" w:rsidP="00300479">
      <w:pPr>
        <w:spacing w:line="240" w:lineRule="exact"/>
        <w:jc w:val="both"/>
        <w:rPr>
          <w:rFonts w:asciiTheme="minorHAnsi" w:hAnsiTheme="minorHAnsi"/>
          <w:color w:val="auto"/>
          <w:szCs w:val="24"/>
          <w:u w:val="single"/>
        </w:rPr>
      </w:pPr>
    </w:p>
    <w:p w:rsidR="00B30C30" w:rsidRDefault="002C6E5B" w:rsidP="00300479">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C3DEF">
        <w:rPr>
          <w:rFonts w:asciiTheme="minorHAnsi" w:hAnsiTheme="minorHAnsi"/>
          <w:color w:val="auto"/>
          <w:szCs w:val="24"/>
        </w:rPr>
        <w:t xml:space="preserve">  </w:t>
      </w:r>
      <w:r w:rsidR="008B2BD8" w:rsidRPr="008B2BD8">
        <w:rPr>
          <w:rFonts w:asciiTheme="minorHAnsi" w:hAnsiTheme="minorHAnsi"/>
          <w:color w:val="auto"/>
          <w:szCs w:val="24"/>
        </w:rPr>
        <w:t xml:space="preserve">The DES is responsible for maintaining a fit and vital fighting force. </w:t>
      </w:r>
      <w:r w:rsidR="005E1E29">
        <w:rPr>
          <w:rFonts w:asciiTheme="minorHAnsi" w:hAnsiTheme="minorHAnsi"/>
          <w:color w:val="auto"/>
          <w:szCs w:val="24"/>
        </w:rPr>
        <w:t xml:space="preserve"> </w:t>
      </w:r>
      <w:r w:rsidR="002D3B02">
        <w:rPr>
          <w:rFonts w:asciiTheme="minorHAnsi" w:hAnsiTheme="minorHAnsi"/>
          <w:color w:val="auto"/>
          <w:szCs w:val="24"/>
        </w:rPr>
        <w:t xml:space="preserve">While the </w:t>
      </w:r>
      <w:r w:rsidR="008B2BD8" w:rsidRPr="008B2BD8">
        <w:rPr>
          <w:rFonts w:asciiTheme="minorHAnsi" w:hAnsiTheme="minorHAnsi"/>
          <w:color w:val="auto"/>
          <w:szCs w:val="24"/>
        </w:rPr>
        <w:t xml:space="preserve">DES considers all of the </w:t>
      </w:r>
      <w:r w:rsidR="003C68B6">
        <w:rPr>
          <w:rFonts w:asciiTheme="minorHAnsi" w:hAnsiTheme="minorHAnsi"/>
          <w:color w:val="auto"/>
          <w:szCs w:val="24"/>
        </w:rPr>
        <w:t>S</w:t>
      </w:r>
      <w:r w:rsidR="008B2BD8" w:rsidRPr="008B2BD8">
        <w:rPr>
          <w:rFonts w:asciiTheme="minorHAnsi" w:hAnsiTheme="minorHAnsi"/>
          <w:color w:val="auto"/>
          <w:szCs w:val="24"/>
        </w:rPr>
        <w:t xml:space="preserve">ervice member's medical conditions, compensation can only be offered for those medical conditions that cut short a career, and then only to the degree of severity present at the time of final disposition. </w:t>
      </w:r>
      <w:r w:rsidR="00B30C30" w:rsidRPr="002A2E80">
        <w:rPr>
          <w:rFonts w:asciiTheme="minorHAnsi" w:hAnsiTheme="minorHAnsi"/>
          <w:color w:val="auto"/>
          <w:szCs w:val="24"/>
        </w:rPr>
        <w:t xml:space="preserve">The Board acknowledges </w:t>
      </w:r>
      <w:r w:rsidR="00B30C30" w:rsidRPr="00B52866">
        <w:rPr>
          <w:rFonts w:asciiTheme="minorHAnsi" w:hAnsiTheme="minorHAnsi"/>
          <w:color w:val="auto"/>
          <w:szCs w:val="24"/>
        </w:rPr>
        <w:t>the sentiment</w:t>
      </w:r>
      <w:r w:rsidR="00D26DD7">
        <w:rPr>
          <w:rFonts w:asciiTheme="minorHAnsi" w:hAnsiTheme="minorHAnsi"/>
          <w:color w:val="auto"/>
          <w:szCs w:val="24"/>
        </w:rPr>
        <w:t>s</w:t>
      </w:r>
      <w:r w:rsidR="00B30C30" w:rsidRPr="00B52866">
        <w:rPr>
          <w:rFonts w:asciiTheme="minorHAnsi" w:hAnsiTheme="minorHAnsi"/>
          <w:color w:val="auto"/>
          <w:szCs w:val="24"/>
        </w:rPr>
        <w:t xml:space="preserve"> expressed</w:t>
      </w:r>
      <w:r w:rsidR="005548DB" w:rsidRPr="00B52866">
        <w:rPr>
          <w:rFonts w:asciiTheme="minorHAnsi" w:hAnsiTheme="minorHAnsi"/>
          <w:color w:val="auto"/>
          <w:szCs w:val="24"/>
        </w:rPr>
        <w:t xml:space="preserve"> </w:t>
      </w:r>
      <w:r w:rsidR="00F92E1C" w:rsidRPr="00B52866">
        <w:rPr>
          <w:rFonts w:asciiTheme="minorHAnsi" w:hAnsiTheme="minorHAnsi"/>
          <w:color w:val="auto"/>
          <w:szCs w:val="24"/>
        </w:rPr>
        <w:t>or</w:t>
      </w:r>
      <w:r w:rsidR="005548DB" w:rsidRPr="00B52866">
        <w:rPr>
          <w:rFonts w:asciiTheme="minorHAnsi" w:hAnsiTheme="minorHAnsi"/>
          <w:color w:val="auto"/>
          <w:szCs w:val="24"/>
        </w:rPr>
        <w:t xml:space="preserve"> implied </w:t>
      </w:r>
      <w:r w:rsidR="00B30C30" w:rsidRPr="00B52866">
        <w:rPr>
          <w:rFonts w:asciiTheme="minorHAnsi" w:hAnsiTheme="minorHAnsi"/>
          <w:color w:val="auto"/>
          <w:szCs w:val="24"/>
        </w:rPr>
        <w:t xml:space="preserve">in the CI’s application, i.e., that there should be additional disability assigned for his PTSD condition and for the significant impairment from his service-incurred musculoskeletal conditions which have worsened over time.  It is a fact, however, that the DES has neither the role nor the authority to compensate </w:t>
      </w:r>
      <w:r w:rsidR="003C68B6">
        <w:rPr>
          <w:rFonts w:asciiTheme="minorHAnsi" w:hAnsiTheme="minorHAnsi"/>
          <w:color w:val="auto"/>
          <w:szCs w:val="24"/>
        </w:rPr>
        <w:t>S</w:t>
      </w:r>
      <w:r w:rsidR="00B30C30" w:rsidRPr="00B52866">
        <w:rPr>
          <w:rFonts w:asciiTheme="minorHAnsi" w:hAnsiTheme="minorHAnsi"/>
          <w:color w:val="auto"/>
          <w:szCs w:val="24"/>
        </w:rPr>
        <w:t xml:space="preserve">ervice members for anticipated future severity or potential complications of conditions incurred in </w:t>
      </w:r>
      <w:r w:rsidR="003C68B6">
        <w:rPr>
          <w:rFonts w:asciiTheme="minorHAnsi" w:hAnsiTheme="minorHAnsi"/>
          <w:color w:val="auto"/>
          <w:szCs w:val="24"/>
        </w:rPr>
        <w:t>s</w:t>
      </w:r>
      <w:r w:rsidR="00B30C30" w:rsidRPr="00B52866">
        <w:rPr>
          <w:rFonts w:asciiTheme="minorHAnsi" w:hAnsiTheme="minorHAnsi"/>
          <w:color w:val="auto"/>
          <w:szCs w:val="24"/>
        </w:rPr>
        <w:t>ervice or resulting in medical separation.  The Board’s authority resides in evaluating the fairness of DES fitness decisions and rating determinations for disability at the time of separation and, for PTSD, at six months after separation.  Moreover, the Board notes that the mere presence of a diagnosis is not</w:t>
      </w:r>
      <w:r w:rsidR="00B30C30" w:rsidRPr="00D41EB2">
        <w:rPr>
          <w:rFonts w:asciiTheme="minorHAnsi" w:hAnsiTheme="minorHAnsi"/>
          <w:color w:val="auto"/>
          <w:szCs w:val="24"/>
        </w:rPr>
        <w:t xml:space="preserve"> sufficient to render the condi</w:t>
      </w:r>
      <w:r w:rsidR="00F95B86">
        <w:rPr>
          <w:rFonts w:asciiTheme="minorHAnsi" w:hAnsiTheme="minorHAnsi"/>
          <w:color w:val="auto"/>
          <w:szCs w:val="24"/>
        </w:rPr>
        <w:t xml:space="preserve">tion unfitting. </w:t>
      </w:r>
      <w:r w:rsidR="00B30C30" w:rsidRPr="00D41EB2">
        <w:rPr>
          <w:rFonts w:asciiTheme="minorHAnsi" w:hAnsiTheme="minorHAnsi"/>
          <w:color w:val="auto"/>
          <w:szCs w:val="24"/>
        </w:rPr>
        <w:t xml:space="preserve">While the </w:t>
      </w:r>
      <w:r w:rsidR="00B30C30">
        <w:rPr>
          <w:rFonts w:asciiTheme="minorHAnsi" w:hAnsiTheme="minorHAnsi"/>
          <w:color w:val="auto"/>
          <w:szCs w:val="24"/>
        </w:rPr>
        <w:t>DES</w:t>
      </w:r>
      <w:r w:rsidR="00B30C30" w:rsidRPr="00D41EB2">
        <w:rPr>
          <w:rFonts w:asciiTheme="minorHAnsi" w:hAnsiTheme="minorHAnsi"/>
          <w:color w:val="auto"/>
          <w:szCs w:val="24"/>
        </w:rPr>
        <w:t xml:space="preserve"> considers all of the medical conditions, compensation can only be offered for those medical conditions that cut short a career, and then only to the degree of severity present at </w:t>
      </w:r>
      <w:r w:rsidR="00F95B86">
        <w:rPr>
          <w:rFonts w:asciiTheme="minorHAnsi" w:hAnsiTheme="minorHAnsi"/>
          <w:color w:val="auto"/>
          <w:szCs w:val="24"/>
        </w:rPr>
        <w:t xml:space="preserve">the time of final disposition. </w:t>
      </w:r>
      <w:r w:rsidR="00B30C30" w:rsidRPr="00D41EB2">
        <w:rPr>
          <w:rFonts w:asciiTheme="minorHAnsi" w:hAnsiTheme="minorHAnsi"/>
          <w:color w:val="auto"/>
          <w:szCs w:val="24"/>
        </w:rPr>
        <w:t>However, the Department of Veterans</w:t>
      </w:r>
      <w:r w:rsidR="002D3B02">
        <w:rPr>
          <w:rFonts w:asciiTheme="minorHAnsi" w:hAnsiTheme="minorHAnsi"/>
          <w:color w:val="auto"/>
          <w:szCs w:val="24"/>
        </w:rPr>
        <w:t>’</w:t>
      </w:r>
      <w:r w:rsidR="00B30C30" w:rsidRPr="00D41EB2">
        <w:rPr>
          <w:rFonts w:asciiTheme="minorHAnsi" w:hAnsiTheme="minorHAnsi"/>
          <w:color w:val="auto"/>
          <w:szCs w:val="24"/>
        </w:rPr>
        <w:t xml:space="preserve"> Affairs</w:t>
      </w:r>
      <w:r w:rsidR="002D3B02">
        <w:rPr>
          <w:rFonts w:asciiTheme="minorHAnsi" w:hAnsiTheme="minorHAnsi"/>
          <w:color w:val="auto"/>
          <w:szCs w:val="24"/>
        </w:rPr>
        <w:t xml:space="preserve"> (DVA)</w:t>
      </w:r>
      <w:r w:rsidR="00B30C30" w:rsidRPr="00D41EB2">
        <w:rPr>
          <w:rFonts w:asciiTheme="minorHAnsi" w:hAnsiTheme="minorHAnsi"/>
          <w:color w:val="auto"/>
          <w:szCs w:val="24"/>
        </w:rPr>
        <w:t xml:space="preserve">, operating under a different set of laws (Title 38, United States Code), is empowered to periodically re-evaluate </w:t>
      </w:r>
      <w:r w:rsidR="003C68B6">
        <w:rPr>
          <w:rFonts w:asciiTheme="minorHAnsi" w:hAnsiTheme="minorHAnsi"/>
          <w:color w:val="auto"/>
          <w:szCs w:val="24"/>
        </w:rPr>
        <w:t>V</w:t>
      </w:r>
      <w:r w:rsidR="00B30C30" w:rsidRPr="00D41EB2">
        <w:rPr>
          <w:rFonts w:asciiTheme="minorHAnsi" w:hAnsiTheme="minorHAnsi"/>
          <w:color w:val="auto"/>
          <w:szCs w:val="24"/>
        </w:rPr>
        <w:t xml:space="preserve">eterans for the purpose of adjusting the disability rating should </w:t>
      </w:r>
      <w:r w:rsidR="003C68B6">
        <w:rPr>
          <w:rFonts w:asciiTheme="minorHAnsi" w:hAnsiTheme="minorHAnsi"/>
          <w:color w:val="auto"/>
          <w:szCs w:val="24"/>
        </w:rPr>
        <w:t>the</w:t>
      </w:r>
      <w:r w:rsidR="00B30C30" w:rsidRPr="00D41EB2">
        <w:rPr>
          <w:rFonts w:asciiTheme="minorHAnsi" w:hAnsiTheme="minorHAnsi"/>
          <w:color w:val="auto"/>
          <w:szCs w:val="24"/>
        </w:rPr>
        <w:t xml:space="preserve"> degree of impairment vary over time.</w:t>
      </w:r>
      <w:r w:rsidR="00F95B86">
        <w:rPr>
          <w:rFonts w:asciiTheme="minorHAnsi" w:hAnsiTheme="minorHAnsi"/>
          <w:color w:val="auto"/>
          <w:szCs w:val="24"/>
        </w:rPr>
        <w:t xml:space="preserve"> </w:t>
      </w:r>
      <w:r w:rsidR="00061897" w:rsidRPr="00BD1518">
        <w:rPr>
          <w:rFonts w:asciiTheme="minorHAnsi" w:hAnsiTheme="minorHAnsi"/>
          <w:color w:val="auto"/>
          <w:szCs w:val="24"/>
        </w:rPr>
        <w:t>It is noted for the record that the Board has neither the jurisdiction nor authority to scrutinize or render opinions in reference to the CI’s statements in the application regarding medical care or suspected DES improprieties in the processing of his case.</w:t>
      </w:r>
      <w:r w:rsidR="00F95B86">
        <w:rPr>
          <w:rFonts w:asciiTheme="minorHAnsi" w:hAnsiTheme="minorHAnsi"/>
          <w:color w:val="auto"/>
          <w:szCs w:val="24"/>
        </w:rPr>
        <w:t xml:space="preserve"> </w:t>
      </w:r>
      <w:r w:rsidR="00061897">
        <w:rPr>
          <w:rFonts w:asciiTheme="minorHAnsi" w:hAnsiTheme="minorHAnsi"/>
          <w:color w:val="auto"/>
          <w:szCs w:val="24"/>
        </w:rPr>
        <w:t>However, the Board notes that, contrary to the contention, the IPEB did specifically consider and adjudicate the PTSD condition</w:t>
      </w:r>
      <w:r w:rsidR="00916773">
        <w:rPr>
          <w:rFonts w:asciiTheme="minorHAnsi" w:hAnsiTheme="minorHAnsi"/>
          <w:color w:val="auto"/>
          <w:szCs w:val="24"/>
        </w:rPr>
        <w:t>.</w:t>
      </w:r>
      <w:r w:rsidR="00B30C30" w:rsidRPr="00D41EB2">
        <w:rPr>
          <w:rFonts w:asciiTheme="minorHAnsi" w:hAnsiTheme="minorHAnsi"/>
          <w:color w:val="auto"/>
          <w:szCs w:val="24"/>
        </w:rPr>
        <w:t xml:space="preserve">  </w:t>
      </w:r>
    </w:p>
    <w:p w:rsidR="0046183F" w:rsidRDefault="0046183F" w:rsidP="00300479">
      <w:pPr>
        <w:spacing w:line="240" w:lineRule="exact"/>
        <w:jc w:val="both"/>
        <w:rPr>
          <w:rFonts w:asciiTheme="minorHAnsi" w:hAnsiTheme="minorHAnsi"/>
          <w:color w:val="auto"/>
          <w:szCs w:val="24"/>
        </w:rPr>
      </w:pPr>
    </w:p>
    <w:p w:rsidR="00C9319D" w:rsidRDefault="00CC3DEF" w:rsidP="00300479">
      <w:pPr>
        <w:spacing w:line="240" w:lineRule="exact"/>
        <w:jc w:val="both"/>
        <w:rPr>
          <w:rFonts w:asciiTheme="minorHAnsi" w:hAnsiTheme="minorHAnsi" w:cstheme="minorHAnsi"/>
          <w:color w:val="auto"/>
          <w:szCs w:val="24"/>
        </w:rPr>
      </w:pPr>
      <w:r>
        <w:rPr>
          <w:rFonts w:asciiTheme="minorHAnsi" w:hAnsiTheme="minorHAnsi"/>
          <w:color w:val="auto"/>
          <w:szCs w:val="24"/>
          <w:u w:val="single"/>
        </w:rPr>
        <w:t>Post Concussive Syndrome Condition</w:t>
      </w:r>
      <w:r w:rsidR="002D6FAA">
        <w:rPr>
          <w:rFonts w:asciiTheme="minorHAnsi" w:hAnsiTheme="minorHAnsi"/>
          <w:color w:val="auto"/>
          <w:szCs w:val="24"/>
          <w:u w:val="single"/>
        </w:rPr>
        <w:t xml:space="preserve"> with Posttraumatic Stress Disorder and Major Depressive Disorder</w:t>
      </w:r>
      <w:r w:rsidR="005548DB">
        <w:rPr>
          <w:rFonts w:asciiTheme="minorHAnsi" w:hAnsiTheme="minorHAnsi"/>
          <w:color w:val="auto"/>
          <w:szCs w:val="24"/>
        </w:rPr>
        <w:t>.</w:t>
      </w:r>
      <w:r w:rsidR="00DE0160">
        <w:rPr>
          <w:rFonts w:asciiTheme="minorHAnsi" w:hAnsiTheme="minorHAnsi" w:cstheme="minorHAnsi"/>
          <w:color w:val="auto"/>
          <w:szCs w:val="24"/>
        </w:rPr>
        <w:t xml:space="preserve">  </w:t>
      </w:r>
      <w:r w:rsidR="00C16775" w:rsidRPr="00C9319D">
        <w:rPr>
          <w:rFonts w:asciiTheme="minorHAnsi" w:hAnsiTheme="minorHAnsi"/>
          <w:color w:val="auto"/>
          <w:szCs w:val="24"/>
        </w:rPr>
        <w:t>The PEB determined that post-concussive disorder was the primary unfitting condition and that PTSD</w:t>
      </w:r>
      <w:r w:rsidR="00C9319D" w:rsidRPr="00C9319D">
        <w:rPr>
          <w:rFonts w:asciiTheme="minorHAnsi" w:hAnsiTheme="minorHAnsi"/>
          <w:color w:val="auto"/>
          <w:szCs w:val="24"/>
        </w:rPr>
        <w:t xml:space="preserve">, </w:t>
      </w:r>
      <w:r w:rsidR="00C16775" w:rsidRPr="00C9319D">
        <w:rPr>
          <w:rFonts w:asciiTheme="minorHAnsi" w:hAnsiTheme="minorHAnsi"/>
          <w:color w:val="auto"/>
          <w:szCs w:val="24"/>
        </w:rPr>
        <w:t>major depressive disorder</w:t>
      </w:r>
      <w:r w:rsidR="00C9319D" w:rsidRPr="00C9319D">
        <w:rPr>
          <w:rFonts w:asciiTheme="minorHAnsi" w:hAnsiTheme="minorHAnsi"/>
          <w:color w:val="auto"/>
          <w:szCs w:val="24"/>
        </w:rPr>
        <w:t>, and cognitive disorder</w:t>
      </w:r>
      <w:r w:rsidR="00C16775" w:rsidRPr="00C9319D">
        <w:rPr>
          <w:rFonts w:asciiTheme="minorHAnsi" w:hAnsiTheme="minorHAnsi"/>
          <w:color w:val="auto"/>
          <w:szCs w:val="24"/>
        </w:rPr>
        <w:t xml:space="preserve"> were category 2 conditions, </w:t>
      </w:r>
      <w:r w:rsidR="00C16775" w:rsidRPr="00C9319D">
        <w:rPr>
          <w:rFonts w:asciiTheme="minorHAnsi" w:hAnsiTheme="minorHAnsi" w:cstheme="minorHAnsi"/>
          <w:color w:val="auto"/>
          <w:szCs w:val="24"/>
        </w:rPr>
        <w:t>conditions that are contributing to the unfitting condition (post-concussive syndrome), but not separately ratable.</w:t>
      </w:r>
      <w:r w:rsidR="00F95B86">
        <w:rPr>
          <w:rFonts w:asciiTheme="minorHAnsi" w:hAnsiTheme="minorHAnsi" w:cstheme="minorHAnsi"/>
          <w:color w:val="auto"/>
          <w:szCs w:val="24"/>
        </w:rPr>
        <w:t xml:space="preserve"> </w:t>
      </w:r>
      <w:r w:rsidR="00C16775" w:rsidRPr="00C9319D">
        <w:rPr>
          <w:rFonts w:asciiTheme="minorHAnsi" w:hAnsiTheme="minorHAnsi" w:cstheme="minorHAnsi"/>
          <w:color w:val="auto"/>
          <w:szCs w:val="24"/>
        </w:rPr>
        <w:t xml:space="preserve">The conditions are discussed together due to the </w:t>
      </w:r>
      <w:r w:rsidR="00C16775" w:rsidRPr="00C9319D">
        <w:rPr>
          <w:rFonts w:asciiTheme="minorHAnsi" w:hAnsiTheme="minorHAnsi" w:cstheme="minorHAnsi"/>
          <w:color w:val="auto"/>
          <w:szCs w:val="24"/>
        </w:rPr>
        <w:lastRenderedPageBreak/>
        <w:t>intertwined and o</w:t>
      </w:r>
      <w:r w:rsidR="00F95B86">
        <w:rPr>
          <w:rFonts w:asciiTheme="minorHAnsi" w:hAnsiTheme="minorHAnsi" w:cstheme="minorHAnsi"/>
          <w:color w:val="auto"/>
          <w:szCs w:val="24"/>
        </w:rPr>
        <w:t xml:space="preserve">verlapping nature of symptoms. </w:t>
      </w:r>
      <w:r w:rsidR="00C9319D" w:rsidRPr="00C9319D">
        <w:rPr>
          <w:rFonts w:asciiTheme="minorHAnsi" w:hAnsiTheme="minorHAnsi" w:cstheme="minorHAnsi"/>
          <w:color w:val="auto"/>
          <w:szCs w:val="24"/>
        </w:rPr>
        <w:t>The Board’s challenge was the overall appr</w:t>
      </w:r>
      <w:r w:rsidR="00F95B86">
        <w:rPr>
          <w:rFonts w:asciiTheme="minorHAnsi" w:hAnsiTheme="minorHAnsi" w:cstheme="minorHAnsi"/>
          <w:color w:val="auto"/>
          <w:szCs w:val="24"/>
        </w:rPr>
        <w:t>oach to adjudicating this case.</w:t>
      </w:r>
      <w:r w:rsidR="00C9319D" w:rsidRPr="00C9319D">
        <w:rPr>
          <w:rFonts w:asciiTheme="minorHAnsi" w:hAnsiTheme="minorHAnsi" w:cstheme="minorHAnsi"/>
          <w:color w:val="auto"/>
          <w:szCs w:val="24"/>
        </w:rPr>
        <w:t xml:space="preserve"> </w:t>
      </w:r>
      <w:r w:rsidR="00C16775" w:rsidRPr="00C9319D">
        <w:rPr>
          <w:rFonts w:asciiTheme="minorHAnsi" w:hAnsiTheme="minorHAnsi" w:cstheme="minorHAnsi"/>
          <w:color w:val="auto"/>
          <w:szCs w:val="24"/>
        </w:rPr>
        <w:t>After careful consideration of the facts of the case the Board concluded that PTSD was the predominant unfitting condition and that the overlapping symptoms from post</w:t>
      </w:r>
      <w:r w:rsidR="003C68B6">
        <w:rPr>
          <w:rFonts w:asciiTheme="minorHAnsi" w:hAnsiTheme="minorHAnsi" w:cstheme="minorHAnsi"/>
          <w:color w:val="auto"/>
          <w:szCs w:val="24"/>
        </w:rPr>
        <w:t>-</w:t>
      </w:r>
      <w:r w:rsidR="00C16775" w:rsidRPr="00C9319D">
        <w:rPr>
          <w:rFonts w:asciiTheme="minorHAnsi" w:hAnsiTheme="minorHAnsi" w:cstheme="minorHAnsi"/>
          <w:color w:val="auto"/>
          <w:szCs w:val="24"/>
        </w:rPr>
        <w:t>concussive syndrome were appropriately subsumed in the rating for PTSD.</w:t>
      </w:r>
    </w:p>
    <w:p w:rsidR="00C16775" w:rsidRDefault="00C16775" w:rsidP="00300479">
      <w:pPr>
        <w:spacing w:line="240" w:lineRule="exact"/>
        <w:jc w:val="both"/>
        <w:rPr>
          <w:rFonts w:asciiTheme="minorHAnsi" w:hAnsiTheme="minorHAnsi"/>
          <w:color w:val="auto"/>
          <w:szCs w:val="24"/>
        </w:rPr>
      </w:pPr>
    </w:p>
    <w:p w:rsidR="001D4C07" w:rsidRDefault="00B34694" w:rsidP="00300479">
      <w:pPr>
        <w:spacing w:line="240" w:lineRule="exact"/>
        <w:jc w:val="both"/>
        <w:rPr>
          <w:rFonts w:asciiTheme="minorHAnsi" w:hAnsiTheme="minorHAnsi"/>
          <w:color w:val="auto"/>
          <w:szCs w:val="24"/>
        </w:rPr>
      </w:pPr>
      <w:r>
        <w:rPr>
          <w:rFonts w:asciiTheme="minorHAnsi" w:hAnsiTheme="minorHAnsi"/>
          <w:color w:val="auto"/>
          <w:szCs w:val="24"/>
        </w:rPr>
        <w:t xml:space="preserve">The CI was deployed to Iraq from 4 September 2005 until 29 March 2006.  While in theater, he was </w:t>
      </w:r>
      <w:r w:rsidR="008711BE">
        <w:rPr>
          <w:rFonts w:asciiTheme="minorHAnsi" w:hAnsiTheme="minorHAnsi"/>
          <w:color w:val="auto"/>
          <w:szCs w:val="24"/>
        </w:rPr>
        <w:t xml:space="preserve">reportedly </w:t>
      </w:r>
      <w:r>
        <w:rPr>
          <w:rFonts w:asciiTheme="minorHAnsi" w:hAnsiTheme="minorHAnsi"/>
          <w:color w:val="auto"/>
          <w:szCs w:val="24"/>
        </w:rPr>
        <w:t>exposed to several IED explosions.</w:t>
      </w:r>
      <w:r w:rsidR="00F95B86">
        <w:rPr>
          <w:rFonts w:asciiTheme="minorHAnsi" w:hAnsiTheme="minorHAnsi"/>
          <w:color w:val="auto"/>
          <w:szCs w:val="24"/>
        </w:rPr>
        <w:t xml:space="preserve"> </w:t>
      </w:r>
      <w:r w:rsidR="008711BE">
        <w:rPr>
          <w:rFonts w:asciiTheme="minorHAnsi" w:hAnsiTheme="minorHAnsi"/>
          <w:color w:val="auto"/>
          <w:szCs w:val="24"/>
        </w:rPr>
        <w:t xml:space="preserve">Medical care for one IED was present in the service treatment record.  The CI was medically evaluated on </w:t>
      </w:r>
      <w:r w:rsidR="00F83135">
        <w:rPr>
          <w:rFonts w:asciiTheme="minorHAnsi" w:hAnsiTheme="minorHAnsi"/>
          <w:color w:val="auto"/>
          <w:szCs w:val="24"/>
        </w:rPr>
        <w:t xml:space="preserve">09 </w:t>
      </w:r>
      <w:r w:rsidR="004247D2">
        <w:rPr>
          <w:rFonts w:asciiTheme="minorHAnsi" w:hAnsiTheme="minorHAnsi"/>
          <w:color w:val="auto"/>
          <w:szCs w:val="24"/>
        </w:rPr>
        <w:t xml:space="preserve">March 2006 </w:t>
      </w:r>
      <w:r w:rsidR="008711BE">
        <w:rPr>
          <w:rFonts w:asciiTheme="minorHAnsi" w:hAnsiTheme="minorHAnsi"/>
          <w:color w:val="auto"/>
          <w:szCs w:val="24"/>
        </w:rPr>
        <w:t>when the vehicle he was drivin</w:t>
      </w:r>
      <w:r w:rsidR="00F95B86">
        <w:rPr>
          <w:rFonts w:asciiTheme="minorHAnsi" w:hAnsiTheme="minorHAnsi"/>
          <w:color w:val="auto"/>
          <w:szCs w:val="24"/>
        </w:rPr>
        <w:t xml:space="preserve">g was exposed to an IED blast. </w:t>
      </w:r>
      <w:r w:rsidR="008711BE">
        <w:rPr>
          <w:rFonts w:asciiTheme="minorHAnsi" w:hAnsiTheme="minorHAnsi"/>
          <w:color w:val="auto"/>
          <w:szCs w:val="24"/>
        </w:rPr>
        <w:t>The record entry records he bounced his head off the steering wheel incurring a two to three inch “s</w:t>
      </w:r>
      <w:r w:rsidR="00F95B86">
        <w:rPr>
          <w:rFonts w:asciiTheme="minorHAnsi" w:hAnsiTheme="minorHAnsi"/>
          <w:color w:val="auto"/>
          <w:szCs w:val="24"/>
        </w:rPr>
        <w:t xml:space="preserve">cratch” on the right forehead. </w:t>
      </w:r>
      <w:r w:rsidR="008711BE">
        <w:rPr>
          <w:rFonts w:asciiTheme="minorHAnsi" w:hAnsiTheme="minorHAnsi"/>
          <w:color w:val="auto"/>
          <w:szCs w:val="24"/>
        </w:rPr>
        <w:t xml:space="preserve">He complained of a frontal headache and slight </w:t>
      </w:r>
      <w:r w:rsidR="00F95B86">
        <w:rPr>
          <w:rFonts w:asciiTheme="minorHAnsi" w:hAnsiTheme="minorHAnsi"/>
          <w:color w:val="auto"/>
          <w:szCs w:val="24"/>
        </w:rPr>
        <w:t xml:space="preserve">hearing loss of the right ear. </w:t>
      </w:r>
      <w:r w:rsidR="008711BE">
        <w:rPr>
          <w:rFonts w:asciiTheme="minorHAnsi" w:hAnsiTheme="minorHAnsi"/>
          <w:color w:val="auto"/>
          <w:szCs w:val="24"/>
        </w:rPr>
        <w:t>He denied loss of consciousness, blurred vision, amnesia, nausea or vomiting.</w:t>
      </w:r>
      <w:r w:rsidR="008711BE" w:rsidRPr="004247D2">
        <w:rPr>
          <w:rFonts w:asciiTheme="minorHAnsi" w:hAnsiTheme="minorHAnsi"/>
          <w:color w:val="auto"/>
          <w:szCs w:val="24"/>
        </w:rPr>
        <w:t xml:space="preserve"> </w:t>
      </w:r>
      <w:r w:rsidR="008711BE">
        <w:rPr>
          <w:rFonts w:asciiTheme="minorHAnsi" w:hAnsiTheme="minorHAnsi"/>
          <w:color w:val="auto"/>
          <w:szCs w:val="24"/>
        </w:rPr>
        <w:t xml:space="preserve"> </w:t>
      </w:r>
      <w:r w:rsidR="00296EFA">
        <w:rPr>
          <w:rFonts w:asciiTheme="minorHAnsi" w:hAnsiTheme="minorHAnsi"/>
          <w:color w:val="auto"/>
          <w:szCs w:val="24"/>
        </w:rPr>
        <w:t xml:space="preserve">The neurologic examination was normal and he scored 30 on a </w:t>
      </w:r>
      <w:proofErr w:type="spellStart"/>
      <w:r w:rsidR="00296EFA">
        <w:rPr>
          <w:rFonts w:asciiTheme="minorHAnsi" w:hAnsiTheme="minorHAnsi"/>
          <w:color w:val="auto"/>
          <w:szCs w:val="24"/>
        </w:rPr>
        <w:t>Folstein</w:t>
      </w:r>
      <w:proofErr w:type="spellEnd"/>
      <w:r w:rsidR="00296EFA">
        <w:rPr>
          <w:rFonts w:asciiTheme="minorHAnsi" w:hAnsiTheme="minorHAnsi"/>
          <w:color w:val="auto"/>
          <w:szCs w:val="24"/>
        </w:rPr>
        <w:t xml:space="preserve"> mini mental status examination (30 is a perfect score, 25 an</w:t>
      </w:r>
      <w:r w:rsidR="00F95B86">
        <w:rPr>
          <w:rFonts w:asciiTheme="minorHAnsi" w:hAnsiTheme="minorHAnsi"/>
          <w:color w:val="auto"/>
          <w:szCs w:val="24"/>
        </w:rPr>
        <w:t xml:space="preserve">d above is considered normal). </w:t>
      </w:r>
      <w:r w:rsidR="006E2394">
        <w:rPr>
          <w:rFonts w:asciiTheme="minorHAnsi" w:hAnsiTheme="minorHAnsi"/>
          <w:color w:val="auto"/>
          <w:szCs w:val="24"/>
        </w:rPr>
        <w:t>T</w:t>
      </w:r>
      <w:r w:rsidR="005506D6">
        <w:rPr>
          <w:rFonts w:asciiTheme="minorHAnsi" w:hAnsiTheme="minorHAnsi"/>
          <w:color w:val="auto"/>
          <w:szCs w:val="24"/>
        </w:rPr>
        <w:t>he CI was return to duty</w:t>
      </w:r>
      <w:r w:rsidR="006E2394">
        <w:rPr>
          <w:rFonts w:asciiTheme="minorHAnsi" w:hAnsiTheme="minorHAnsi"/>
          <w:color w:val="auto"/>
          <w:szCs w:val="24"/>
        </w:rPr>
        <w:t xml:space="preserve"> with concussion precautions</w:t>
      </w:r>
      <w:r w:rsidR="005506D6">
        <w:rPr>
          <w:rFonts w:asciiTheme="minorHAnsi" w:hAnsiTheme="minorHAnsi"/>
          <w:color w:val="auto"/>
          <w:szCs w:val="24"/>
        </w:rPr>
        <w:t>.</w:t>
      </w:r>
      <w:r w:rsidR="00F95B86">
        <w:rPr>
          <w:rFonts w:asciiTheme="minorHAnsi" w:hAnsiTheme="minorHAnsi"/>
          <w:color w:val="auto"/>
          <w:szCs w:val="24"/>
        </w:rPr>
        <w:t xml:space="preserve"> </w:t>
      </w:r>
      <w:r w:rsidR="006E2394">
        <w:rPr>
          <w:rFonts w:asciiTheme="minorHAnsi" w:hAnsiTheme="minorHAnsi"/>
          <w:color w:val="auto"/>
          <w:szCs w:val="24"/>
        </w:rPr>
        <w:t>On a</w:t>
      </w:r>
      <w:r>
        <w:rPr>
          <w:rFonts w:asciiTheme="minorHAnsi" w:hAnsiTheme="minorHAnsi"/>
          <w:color w:val="auto"/>
          <w:szCs w:val="24"/>
        </w:rPr>
        <w:t xml:space="preserve"> post deployment health assessment dated 4 Oc</w:t>
      </w:r>
      <w:r w:rsidR="006E2394">
        <w:rPr>
          <w:rFonts w:asciiTheme="minorHAnsi" w:hAnsiTheme="minorHAnsi"/>
          <w:color w:val="auto"/>
          <w:szCs w:val="24"/>
        </w:rPr>
        <w:t>tober 2006, he documented</w:t>
      </w:r>
      <w:r>
        <w:rPr>
          <w:rFonts w:asciiTheme="minorHAnsi" w:hAnsiTheme="minorHAnsi"/>
          <w:color w:val="auto"/>
          <w:szCs w:val="24"/>
        </w:rPr>
        <w:t xml:space="preserve"> that he was da</w:t>
      </w:r>
      <w:r w:rsidR="00C26850">
        <w:rPr>
          <w:rFonts w:asciiTheme="minorHAnsi" w:hAnsiTheme="minorHAnsi"/>
          <w:color w:val="auto"/>
          <w:szCs w:val="24"/>
        </w:rPr>
        <w:t>zed, confused or “seeing stars”,</w:t>
      </w:r>
      <w:r>
        <w:rPr>
          <w:rFonts w:asciiTheme="minorHAnsi" w:hAnsiTheme="minorHAnsi"/>
          <w:color w:val="auto"/>
          <w:szCs w:val="24"/>
        </w:rPr>
        <w:t xml:space="preserve"> but </w:t>
      </w:r>
      <w:r w:rsidR="00296EFA">
        <w:rPr>
          <w:rFonts w:asciiTheme="minorHAnsi" w:hAnsiTheme="minorHAnsi"/>
          <w:color w:val="auto"/>
          <w:szCs w:val="24"/>
        </w:rPr>
        <w:t xml:space="preserve">indicated that there was no </w:t>
      </w:r>
      <w:r>
        <w:rPr>
          <w:rFonts w:asciiTheme="minorHAnsi" w:hAnsiTheme="minorHAnsi"/>
          <w:color w:val="auto"/>
          <w:szCs w:val="24"/>
        </w:rPr>
        <w:t>amnesia or loss of consciousness (LOC).</w:t>
      </w:r>
      <w:r w:rsidR="00F83135">
        <w:rPr>
          <w:rFonts w:asciiTheme="minorHAnsi" w:hAnsiTheme="minorHAnsi"/>
          <w:color w:val="auto"/>
          <w:szCs w:val="24"/>
        </w:rPr>
        <w:t xml:space="preserve"> </w:t>
      </w:r>
      <w:r w:rsidR="00063AF5">
        <w:rPr>
          <w:rFonts w:asciiTheme="minorHAnsi" w:hAnsiTheme="minorHAnsi"/>
          <w:color w:val="auto"/>
          <w:szCs w:val="24"/>
        </w:rPr>
        <w:t xml:space="preserve"> He was first seen in the concussion clinic on 2 May 2007</w:t>
      </w:r>
      <w:r w:rsidR="00D26DD7">
        <w:rPr>
          <w:rFonts w:asciiTheme="minorHAnsi" w:hAnsiTheme="minorHAnsi"/>
          <w:color w:val="auto"/>
          <w:szCs w:val="24"/>
        </w:rPr>
        <w:t xml:space="preserve">, </w:t>
      </w:r>
      <w:r w:rsidR="00007A68">
        <w:rPr>
          <w:rFonts w:asciiTheme="minorHAnsi" w:hAnsiTheme="minorHAnsi"/>
          <w:color w:val="auto"/>
          <w:szCs w:val="24"/>
        </w:rPr>
        <w:t xml:space="preserve">over a year after the last IED exposure and </w:t>
      </w:r>
      <w:r w:rsidR="00D26DD7">
        <w:rPr>
          <w:rFonts w:asciiTheme="minorHAnsi" w:hAnsiTheme="minorHAnsi"/>
          <w:color w:val="auto"/>
          <w:szCs w:val="24"/>
        </w:rPr>
        <w:t>over a year prior to separation</w:t>
      </w:r>
      <w:r w:rsidR="00F95B86">
        <w:rPr>
          <w:rFonts w:asciiTheme="minorHAnsi" w:hAnsiTheme="minorHAnsi"/>
          <w:color w:val="auto"/>
          <w:szCs w:val="24"/>
        </w:rPr>
        <w:t xml:space="preserve">. </w:t>
      </w:r>
      <w:r w:rsidR="00296EFA">
        <w:rPr>
          <w:rFonts w:asciiTheme="minorHAnsi" w:hAnsiTheme="minorHAnsi"/>
          <w:color w:val="auto"/>
          <w:szCs w:val="24"/>
        </w:rPr>
        <w:t xml:space="preserve">The CI reported numerous IED and RPG exposures but the incident for which medical care is documented was </w:t>
      </w:r>
      <w:r w:rsidR="00F95B86">
        <w:rPr>
          <w:rFonts w:asciiTheme="minorHAnsi" w:hAnsiTheme="minorHAnsi"/>
          <w:color w:val="auto"/>
          <w:szCs w:val="24"/>
        </w:rPr>
        <w:t xml:space="preserve">the primary significant event. </w:t>
      </w:r>
      <w:r w:rsidR="00296EFA">
        <w:rPr>
          <w:rFonts w:asciiTheme="minorHAnsi" w:hAnsiTheme="minorHAnsi"/>
          <w:color w:val="auto"/>
          <w:szCs w:val="24"/>
        </w:rPr>
        <w:t>He denied LOC with the event but stated he was disoriented f</w:t>
      </w:r>
      <w:r w:rsidR="00F95B86">
        <w:rPr>
          <w:rFonts w:asciiTheme="minorHAnsi" w:hAnsiTheme="minorHAnsi"/>
          <w:color w:val="auto"/>
          <w:szCs w:val="24"/>
        </w:rPr>
        <w:t xml:space="preserve">or several minutes afterwards. </w:t>
      </w:r>
      <w:r w:rsidR="00296EFA">
        <w:rPr>
          <w:rFonts w:asciiTheme="minorHAnsi" w:hAnsiTheme="minorHAnsi"/>
          <w:color w:val="auto"/>
          <w:szCs w:val="24"/>
        </w:rPr>
        <w:t>He stated that the initial headaches after the IED blast had essentially resolved while he was on extended emergency family leave (several months), but following return to duty he experienced recurrent headache with putting on his military helmet.</w:t>
      </w:r>
      <w:r w:rsidR="00F95B86">
        <w:rPr>
          <w:rFonts w:asciiTheme="minorHAnsi" w:hAnsiTheme="minorHAnsi"/>
          <w:color w:val="auto"/>
          <w:szCs w:val="24"/>
        </w:rPr>
        <w:t xml:space="preserve"> </w:t>
      </w:r>
      <w:r w:rsidR="00063AF5">
        <w:rPr>
          <w:rFonts w:asciiTheme="minorHAnsi" w:hAnsiTheme="minorHAnsi"/>
          <w:color w:val="auto"/>
          <w:szCs w:val="24"/>
        </w:rPr>
        <w:t>At that time, he noted that he had severe headaches</w:t>
      </w:r>
      <w:r w:rsidR="005506D6">
        <w:rPr>
          <w:rFonts w:asciiTheme="minorHAnsi" w:hAnsiTheme="minorHAnsi"/>
          <w:color w:val="auto"/>
          <w:szCs w:val="24"/>
        </w:rPr>
        <w:t xml:space="preserve"> 7/10 pain scale</w:t>
      </w:r>
      <w:r w:rsidR="00063AF5">
        <w:rPr>
          <w:rFonts w:asciiTheme="minorHAnsi" w:hAnsiTheme="minorHAnsi"/>
          <w:color w:val="auto"/>
          <w:szCs w:val="24"/>
        </w:rPr>
        <w:t xml:space="preserve"> with nausea and dizziness when wearing a </w:t>
      </w:r>
      <w:r w:rsidR="00F95B86">
        <w:rPr>
          <w:rFonts w:asciiTheme="minorHAnsi" w:hAnsiTheme="minorHAnsi"/>
          <w:color w:val="auto"/>
          <w:szCs w:val="24"/>
        </w:rPr>
        <w:t xml:space="preserve">helmet or even a baseball cap. </w:t>
      </w:r>
      <w:r w:rsidR="005506D6">
        <w:rPr>
          <w:rFonts w:asciiTheme="minorHAnsi" w:hAnsiTheme="minorHAnsi"/>
          <w:color w:val="auto"/>
          <w:szCs w:val="24"/>
        </w:rPr>
        <w:t>He also had sleep problems, feeling fatigued, tinnitus of the right ear, twitching of the left arm and hand, decrease cognition, slow thinking, short term memory</w:t>
      </w:r>
      <w:r w:rsidR="009F0864">
        <w:rPr>
          <w:rFonts w:asciiTheme="minorHAnsi" w:hAnsiTheme="minorHAnsi"/>
          <w:color w:val="auto"/>
          <w:szCs w:val="24"/>
        </w:rPr>
        <w:t xml:space="preserve"> (STM)</w:t>
      </w:r>
      <w:r w:rsidR="005506D6">
        <w:rPr>
          <w:rFonts w:asciiTheme="minorHAnsi" w:hAnsiTheme="minorHAnsi"/>
          <w:color w:val="auto"/>
          <w:szCs w:val="24"/>
        </w:rPr>
        <w:t xml:space="preserve"> loss</w:t>
      </w:r>
      <w:r w:rsidR="009F0864">
        <w:rPr>
          <w:rFonts w:asciiTheme="minorHAnsi" w:hAnsiTheme="minorHAnsi"/>
          <w:color w:val="auto"/>
          <w:szCs w:val="24"/>
        </w:rPr>
        <w:t>, increase frustration, irritability, numerous stress symptoms and difficulties driving.</w:t>
      </w:r>
      <w:r w:rsidR="00007A68">
        <w:rPr>
          <w:rFonts w:asciiTheme="minorHAnsi" w:hAnsiTheme="minorHAnsi"/>
          <w:color w:val="auto"/>
          <w:szCs w:val="24"/>
        </w:rPr>
        <w:t xml:space="preserve">  </w:t>
      </w:r>
      <w:r w:rsidR="00F83135">
        <w:rPr>
          <w:rFonts w:asciiTheme="minorHAnsi" w:hAnsiTheme="minorHAnsi"/>
          <w:color w:val="auto"/>
          <w:szCs w:val="24"/>
        </w:rPr>
        <w:t xml:space="preserve">The examiner noted </w:t>
      </w:r>
      <w:r w:rsidR="005506D6">
        <w:rPr>
          <w:rFonts w:asciiTheme="minorHAnsi" w:hAnsiTheme="minorHAnsi"/>
          <w:color w:val="auto"/>
          <w:szCs w:val="24"/>
        </w:rPr>
        <w:t>“his symptoms had mainly resolved while he was on an eight month emergency leave and he was getting plenty of rest and sleep</w:t>
      </w:r>
      <w:r w:rsidR="005506D6" w:rsidRPr="006C1851">
        <w:rPr>
          <w:rFonts w:asciiTheme="minorHAnsi" w:hAnsiTheme="minorHAnsi"/>
          <w:color w:val="auto"/>
          <w:szCs w:val="24"/>
        </w:rPr>
        <w:t xml:space="preserve">.”  </w:t>
      </w:r>
    </w:p>
    <w:p w:rsidR="001D4C07" w:rsidRDefault="001D4C07" w:rsidP="00300479">
      <w:pPr>
        <w:spacing w:line="240" w:lineRule="exact"/>
        <w:jc w:val="both"/>
        <w:rPr>
          <w:rFonts w:asciiTheme="minorHAnsi" w:hAnsiTheme="minorHAnsi"/>
          <w:color w:val="auto"/>
          <w:szCs w:val="24"/>
        </w:rPr>
      </w:pPr>
    </w:p>
    <w:p w:rsidR="006E2394" w:rsidRPr="00DE0160" w:rsidRDefault="009F0864" w:rsidP="00300479">
      <w:pPr>
        <w:spacing w:line="240" w:lineRule="exact"/>
        <w:jc w:val="both"/>
        <w:rPr>
          <w:rFonts w:asciiTheme="minorHAnsi" w:hAnsiTheme="minorHAnsi" w:cstheme="minorHAnsi"/>
          <w:color w:val="auto"/>
          <w:szCs w:val="24"/>
        </w:rPr>
      </w:pPr>
      <w:r w:rsidRPr="006C1851">
        <w:rPr>
          <w:rFonts w:asciiTheme="minorHAnsi" w:hAnsiTheme="minorHAnsi"/>
          <w:color w:val="auto"/>
          <w:szCs w:val="24"/>
        </w:rPr>
        <w:t>The examiner also</w:t>
      </w:r>
      <w:r w:rsidR="00063AF5" w:rsidRPr="006C1851">
        <w:rPr>
          <w:rFonts w:asciiTheme="minorHAnsi" w:hAnsiTheme="minorHAnsi"/>
          <w:color w:val="auto"/>
          <w:szCs w:val="24"/>
        </w:rPr>
        <w:t xml:space="preserve"> noted </w:t>
      </w:r>
      <w:r w:rsidRPr="006C1851">
        <w:rPr>
          <w:rFonts w:asciiTheme="minorHAnsi" w:hAnsiTheme="minorHAnsi"/>
          <w:color w:val="auto"/>
          <w:szCs w:val="24"/>
        </w:rPr>
        <w:t>prior high risk activities t</w:t>
      </w:r>
      <w:r w:rsidR="00F95B86">
        <w:rPr>
          <w:rFonts w:asciiTheme="minorHAnsi" w:hAnsiTheme="minorHAnsi"/>
          <w:color w:val="auto"/>
          <w:szCs w:val="24"/>
        </w:rPr>
        <w:t>o include boxing and skydiving.</w:t>
      </w:r>
      <w:r w:rsidRPr="006C1851">
        <w:rPr>
          <w:rFonts w:asciiTheme="minorHAnsi" w:hAnsiTheme="minorHAnsi"/>
          <w:color w:val="auto"/>
          <w:szCs w:val="24"/>
        </w:rPr>
        <w:t xml:space="preserve"> Subsequent treatment records recorded he </w:t>
      </w:r>
      <w:r w:rsidR="005506D6" w:rsidRPr="006C1851">
        <w:rPr>
          <w:rFonts w:asciiTheme="minorHAnsi" w:hAnsiTheme="minorHAnsi"/>
          <w:color w:val="auto"/>
          <w:szCs w:val="24"/>
        </w:rPr>
        <w:t>suffered stars</w:t>
      </w:r>
      <w:r w:rsidRPr="006C1851">
        <w:rPr>
          <w:rFonts w:asciiTheme="minorHAnsi" w:hAnsiTheme="minorHAnsi"/>
          <w:color w:val="auto"/>
          <w:szCs w:val="24"/>
        </w:rPr>
        <w:t xml:space="preserve"> in seven of his fights</w:t>
      </w:r>
      <w:r w:rsidR="005506D6" w:rsidRPr="006C1851">
        <w:rPr>
          <w:rFonts w:asciiTheme="minorHAnsi" w:hAnsiTheme="minorHAnsi"/>
          <w:color w:val="auto"/>
          <w:szCs w:val="24"/>
        </w:rPr>
        <w:t xml:space="preserve"> but </w:t>
      </w:r>
      <w:r w:rsidRPr="006C1851">
        <w:rPr>
          <w:rFonts w:asciiTheme="minorHAnsi" w:hAnsiTheme="minorHAnsi"/>
          <w:color w:val="auto"/>
          <w:szCs w:val="24"/>
        </w:rPr>
        <w:t>no knock</w:t>
      </w:r>
      <w:r w:rsidR="003C68B6">
        <w:rPr>
          <w:rFonts w:asciiTheme="minorHAnsi" w:hAnsiTheme="minorHAnsi"/>
          <w:color w:val="auto"/>
          <w:szCs w:val="24"/>
        </w:rPr>
        <w:t>-</w:t>
      </w:r>
      <w:r w:rsidRPr="006C1851">
        <w:rPr>
          <w:rFonts w:asciiTheme="minorHAnsi" w:hAnsiTheme="minorHAnsi"/>
          <w:color w:val="auto"/>
          <w:szCs w:val="24"/>
        </w:rPr>
        <w:t>outs</w:t>
      </w:r>
      <w:r w:rsidR="00007A68">
        <w:rPr>
          <w:rFonts w:asciiTheme="minorHAnsi" w:hAnsiTheme="minorHAnsi"/>
          <w:color w:val="auto"/>
          <w:szCs w:val="24"/>
        </w:rPr>
        <w:t>.</w:t>
      </w:r>
      <w:r w:rsidR="00F95B86">
        <w:rPr>
          <w:rFonts w:asciiTheme="minorHAnsi" w:hAnsiTheme="minorHAnsi"/>
          <w:color w:val="auto"/>
          <w:szCs w:val="24"/>
        </w:rPr>
        <w:t xml:space="preserve"> </w:t>
      </w:r>
      <w:r w:rsidR="00AD69AF">
        <w:rPr>
          <w:rFonts w:asciiTheme="minorHAnsi" w:hAnsiTheme="minorHAnsi"/>
          <w:color w:val="auto"/>
          <w:szCs w:val="24"/>
        </w:rPr>
        <w:t xml:space="preserve">His </w:t>
      </w:r>
      <w:r w:rsidR="001D4C07">
        <w:rPr>
          <w:rFonts w:asciiTheme="minorHAnsi" w:hAnsiTheme="minorHAnsi"/>
          <w:color w:val="auto"/>
          <w:szCs w:val="24"/>
        </w:rPr>
        <w:t>s</w:t>
      </w:r>
      <w:r w:rsidR="00AD69AF">
        <w:rPr>
          <w:rFonts w:asciiTheme="minorHAnsi" w:hAnsiTheme="minorHAnsi"/>
          <w:color w:val="auto"/>
          <w:szCs w:val="24"/>
        </w:rPr>
        <w:t xml:space="preserve">tandardized </w:t>
      </w:r>
      <w:r w:rsidR="001D4C07">
        <w:rPr>
          <w:rFonts w:asciiTheme="minorHAnsi" w:hAnsiTheme="minorHAnsi"/>
          <w:color w:val="auto"/>
          <w:szCs w:val="24"/>
        </w:rPr>
        <w:t>a</w:t>
      </w:r>
      <w:r w:rsidR="00AD69AF">
        <w:rPr>
          <w:rFonts w:asciiTheme="minorHAnsi" w:hAnsiTheme="minorHAnsi"/>
          <w:color w:val="auto"/>
          <w:szCs w:val="24"/>
        </w:rPr>
        <w:t xml:space="preserve">ssessment of </w:t>
      </w:r>
      <w:r w:rsidR="001D4C07">
        <w:rPr>
          <w:rFonts w:asciiTheme="minorHAnsi" w:hAnsiTheme="minorHAnsi"/>
          <w:color w:val="auto"/>
          <w:szCs w:val="24"/>
        </w:rPr>
        <w:t>c</w:t>
      </w:r>
      <w:r w:rsidR="00AD69AF">
        <w:rPr>
          <w:rFonts w:asciiTheme="minorHAnsi" w:hAnsiTheme="minorHAnsi"/>
          <w:color w:val="auto"/>
          <w:szCs w:val="24"/>
        </w:rPr>
        <w:t xml:space="preserve">oncussion score was 25/30 </w:t>
      </w:r>
      <w:r w:rsidR="00881E61">
        <w:rPr>
          <w:rFonts w:asciiTheme="minorHAnsi" w:hAnsiTheme="minorHAnsi"/>
          <w:color w:val="auto"/>
          <w:szCs w:val="24"/>
        </w:rPr>
        <w:t xml:space="preserve">consistent with his </w:t>
      </w:r>
      <w:r w:rsidR="00AD69AF">
        <w:rPr>
          <w:rFonts w:asciiTheme="minorHAnsi" w:hAnsiTheme="minorHAnsi"/>
          <w:color w:val="auto"/>
          <w:szCs w:val="24"/>
        </w:rPr>
        <w:t>complaints.</w:t>
      </w:r>
      <w:r w:rsidR="00063AF5">
        <w:rPr>
          <w:rFonts w:asciiTheme="minorHAnsi" w:hAnsiTheme="minorHAnsi"/>
          <w:color w:val="auto"/>
          <w:szCs w:val="24"/>
        </w:rPr>
        <w:t xml:space="preserve">  </w:t>
      </w:r>
      <w:r w:rsidR="006801A9">
        <w:rPr>
          <w:rFonts w:asciiTheme="minorHAnsi" w:hAnsiTheme="minorHAnsi"/>
          <w:color w:val="auto"/>
          <w:szCs w:val="24"/>
        </w:rPr>
        <w:t>Thus began a thorough</w:t>
      </w:r>
      <w:r>
        <w:rPr>
          <w:rFonts w:asciiTheme="minorHAnsi" w:hAnsiTheme="minorHAnsi"/>
          <w:color w:val="auto"/>
          <w:szCs w:val="24"/>
        </w:rPr>
        <w:t xml:space="preserve"> evaluation for </w:t>
      </w:r>
      <w:r w:rsidR="00300479">
        <w:rPr>
          <w:rFonts w:asciiTheme="minorHAnsi" w:hAnsiTheme="minorHAnsi"/>
          <w:color w:val="auto"/>
          <w:szCs w:val="24"/>
        </w:rPr>
        <w:t>post</w:t>
      </w:r>
      <w:r w:rsidR="00AD69AF">
        <w:rPr>
          <w:rFonts w:asciiTheme="minorHAnsi" w:hAnsiTheme="minorHAnsi"/>
          <w:color w:val="auto"/>
          <w:szCs w:val="24"/>
        </w:rPr>
        <w:t>concussive syndrome</w:t>
      </w:r>
      <w:r w:rsidR="00F95B86">
        <w:rPr>
          <w:rFonts w:asciiTheme="minorHAnsi" w:hAnsiTheme="minorHAnsi"/>
          <w:color w:val="auto"/>
          <w:szCs w:val="24"/>
        </w:rPr>
        <w:t xml:space="preserve">. </w:t>
      </w:r>
      <w:r w:rsidR="009C4BC8">
        <w:rPr>
          <w:rFonts w:asciiTheme="minorHAnsi" w:hAnsiTheme="minorHAnsi"/>
          <w:color w:val="auto"/>
          <w:szCs w:val="24"/>
        </w:rPr>
        <w:t>This evaluation</w:t>
      </w:r>
      <w:r w:rsidR="006801A9">
        <w:rPr>
          <w:rFonts w:asciiTheme="minorHAnsi" w:hAnsiTheme="minorHAnsi"/>
          <w:color w:val="auto"/>
          <w:szCs w:val="24"/>
        </w:rPr>
        <w:t xml:space="preserve"> included vestibular, </w:t>
      </w:r>
      <w:r w:rsidR="009C4BC8">
        <w:rPr>
          <w:rFonts w:asciiTheme="minorHAnsi" w:hAnsiTheme="minorHAnsi"/>
          <w:color w:val="auto"/>
          <w:szCs w:val="24"/>
        </w:rPr>
        <w:t>neuropsychology</w:t>
      </w:r>
      <w:r w:rsidR="00515D57">
        <w:rPr>
          <w:rFonts w:asciiTheme="minorHAnsi" w:hAnsiTheme="minorHAnsi"/>
          <w:color w:val="auto"/>
          <w:szCs w:val="24"/>
        </w:rPr>
        <w:t>, neurol</w:t>
      </w:r>
      <w:r w:rsidR="009C4BC8">
        <w:rPr>
          <w:rFonts w:asciiTheme="minorHAnsi" w:hAnsiTheme="minorHAnsi"/>
          <w:color w:val="auto"/>
          <w:szCs w:val="24"/>
        </w:rPr>
        <w:t>ogy and psychiatry</w:t>
      </w:r>
      <w:r w:rsidR="00515D57">
        <w:rPr>
          <w:rFonts w:asciiTheme="minorHAnsi" w:hAnsiTheme="minorHAnsi"/>
          <w:color w:val="auto"/>
          <w:szCs w:val="24"/>
        </w:rPr>
        <w:t xml:space="preserve"> evaluations</w:t>
      </w:r>
      <w:r w:rsidR="006801A9">
        <w:rPr>
          <w:rFonts w:asciiTheme="minorHAnsi" w:hAnsiTheme="minorHAnsi"/>
          <w:color w:val="auto"/>
          <w:szCs w:val="24"/>
        </w:rPr>
        <w:t>.</w:t>
      </w:r>
      <w:r w:rsidR="00F95B86">
        <w:rPr>
          <w:rFonts w:asciiTheme="minorHAnsi" w:hAnsiTheme="minorHAnsi"/>
          <w:color w:val="auto"/>
          <w:szCs w:val="24"/>
        </w:rPr>
        <w:t xml:space="preserve"> </w:t>
      </w:r>
      <w:r w:rsidR="00AC1535">
        <w:rPr>
          <w:rFonts w:asciiTheme="minorHAnsi" w:hAnsiTheme="minorHAnsi"/>
          <w:color w:val="auto"/>
          <w:szCs w:val="24"/>
        </w:rPr>
        <w:t xml:space="preserve">While this evaluation was being completed the CI was placed on </w:t>
      </w:r>
      <w:r w:rsidR="001D4C07">
        <w:rPr>
          <w:rFonts w:asciiTheme="minorHAnsi" w:hAnsiTheme="minorHAnsi"/>
          <w:color w:val="auto"/>
          <w:szCs w:val="24"/>
        </w:rPr>
        <w:t>limited duty (</w:t>
      </w:r>
      <w:r w:rsidR="00AC1535">
        <w:rPr>
          <w:rFonts w:asciiTheme="minorHAnsi" w:hAnsiTheme="minorHAnsi"/>
          <w:color w:val="auto"/>
          <w:szCs w:val="24"/>
        </w:rPr>
        <w:t>LIMDU</w:t>
      </w:r>
      <w:r w:rsidR="001D4C07">
        <w:rPr>
          <w:rFonts w:asciiTheme="minorHAnsi" w:hAnsiTheme="minorHAnsi"/>
          <w:color w:val="auto"/>
          <w:szCs w:val="24"/>
        </w:rPr>
        <w:t>)</w:t>
      </w:r>
      <w:r w:rsidR="002F1AF2">
        <w:rPr>
          <w:rFonts w:asciiTheme="minorHAnsi" w:hAnsiTheme="minorHAnsi"/>
          <w:color w:val="auto"/>
          <w:szCs w:val="24"/>
        </w:rPr>
        <w:t xml:space="preserve"> restricting him from carry</w:t>
      </w:r>
      <w:r w:rsidR="009C4BC8">
        <w:rPr>
          <w:rFonts w:asciiTheme="minorHAnsi" w:hAnsiTheme="minorHAnsi"/>
          <w:color w:val="auto"/>
          <w:szCs w:val="24"/>
        </w:rPr>
        <w:t>ing</w:t>
      </w:r>
      <w:r w:rsidR="002F1AF2">
        <w:rPr>
          <w:rFonts w:asciiTheme="minorHAnsi" w:hAnsiTheme="minorHAnsi"/>
          <w:color w:val="auto"/>
          <w:szCs w:val="24"/>
        </w:rPr>
        <w:t xml:space="preserve"> a weapon, physical training to tolerance, no PFT, no field work and no shift work</w:t>
      </w:r>
      <w:r w:rsidR="00AC1535">
        <w:rPr>
          <w:rFonts w:asciiTheme="minorHAnsi" w:hAnsiTheme="minorHAnsi"/>
          <w:color w:val="auto"/>
          <w:szCs w:val="24"/>
        </w:rPr>
        <w:t xml:space="preserve"> </w:t>
      </w:r>
      <w:r w:rsidR="00AC1535" w:rsidRPr="003C4AEE">
        <w:rPr>
          <w:rFonts w:asciiTheme="minorHAnsi" w:hAnsiTheme="minorHAnsi"/>
          <w:color w:val="auto"/>
          <w:szCs w:val="24"/>
        </w:rPr>
        <w:t>for six months with the following diagnoses</w:t>
      </w:r>
      <w:r w:rsidR="00881E61">
        <w:rPr>
          <w:rFonts w:asciiTheme="minorHAnsi" w:hAnsiTheme="minorHAnsi"/>
          <w:color w:val="auto"/>
          <w:szCs w:val="24"/>
        </w:rPr>
        <w:t>:</w:t>
      </w:r>
      <w:r w:rsidR="00AC1535" w:rsidRPr="003C4AEE">
        <w:rPr>
          <w:rFonts w:asciiTheme="minorHAnsi" w:hAnsiTheme="minorHAnsi"/>
          <w:color w:val="auto"/>
          <w:szCs w:val="24"/>
        </w:rPr>
        <w:t xml:space="preserve"> </w:t>
      </w:r>
      <w:r w:rsidR="00AC6689">
        <w:rPr>
          <w:rFonts w:asciiTheme="minorHAnsi" w:hAnsiTheme="minorHAnsi"/>
          <w:color w:val="auto"/>
          <w:szCs w:val="24"/>
        </w:rPr>
        <w:t xml:space="preserve">mild </w:t>
      </w:r>
      <w:r w:rsidR="00263CE0">
        <w:rPr>
          <w:rFonts w:asciiTheme="minorHAnsi" w:hAnsiTheme="minorHAnsi"/>
          <w:color w:val="auto"/>
          <w:szCs w:val="24"/>
        </w:rPr>
        <w:t>t</w:t>
      </w:r>
      <w:r w:rsidR="00AC1535" w:rsidRPr="003C4AEE">
        <w:rPr>
          <w:rFonts w:asciiTheme="minorHAnsi" w:hAnsiTheme="minorHAnsi"/>
          <w:color w:val="auto"/>
          <w:szCs w:val="24"/>
        </w:rPr>
        <w:t xml:space="preserve">raumatic </w:t>
      </w:r>
      <w:r w:rsidR="00263CE0">
        <w:rPr>
          <w:rFonts w:asciiTheme="minorHAnsi" w:hAnsiTheme="minorHAnsi"/>
          <w:color w:val="auto"/>
          <w:szCs w:val="24"/>
        </w:rPr>
        <w:t>b</w:t>
      </w:r>
      <w:r w:rsidR="00AC1535" w:rsidRPr="003C4AEE">
        <w:rPr>
          <w:rFonts w:asciiTheme="minorHAnsi" w:hAnsiTheme="minorHAnsi"/>
          <w:color w:val="auto"/>
          <w:szCs w:val="24"/>
        </w:rPr>
        <w:t xml:space="preserve">rain </w:t>
      </w:r>
      <w:r w:rsidR="00263CE0">
        <w:rPr>
          <w:rFonts w:asciiTheme="minorHAnsi" w:hAnsiTheme="minorHAnsi"/>
          <w:color w:val="auto"/>
          <w:szCs w:val="24"/>
        </w:rPr>
        <w:t>i</w:t>
      </w:r>
      <w:r w:rsidR="00AC1535" w:rsidRPr="003C4AEE">
        <w:rPr>
          <w:rFonts w:asciiTheme="minorHAnsi" w:hAnsiTheme="minorHAnsi"/>
          <w:color w:val="auto"/>
          <w:szCs w:val="24"/>
        </w:rPr>
        <w:t>njury</w:t>
      </w:r>
      <w:r w:rsidR="00263CE0">
        <w:rPr>
          <w:rFonts w:asciiTheme="minorHAnsi" w:hAnsiTheme="minorHAnsi"/>
          <w:color w:val="auto"/>
          <w:szCs w:val="24"/>
        </w:rPr>
        <w:t xml:space="preserve"> </w:t>
      </w:r>
      <w:r w:rsidR="0004145B">
        <w:rPr>
          <w:rFonts w:asciiTheme="minorHAnsi" w:hAnsiTheme="minorHAnsi"/>
          <w:color w:val="auto"/>
          <w:szCs w:val="24"/>
        </w:rPr>
        <w:t>(TBI)</w:t>
      </w:r>
      <w:r w:rsidR="00AC1535" w:rsidRPr="003C4AEE">
        <w:rPr>
          <w:rFonts w:asciiTheme="minorHAnsi" w:hAnsiTheme="minorHAnsi"/>
          <w:color w:val="auto"/>
          <w:szCs w:val="24"/>
        </w:rPr>
        <w:t xml:space="preserve">, </w:t>
      </w:r>
      <w:r w:rsidR="00936E04">
        <w:rPr>
          <w:rFonts w:asciiTheme="minorHAnsi" w:hAnsiTheme="minorHAnsi"/>
          <w:color w:val="auto"/>
          <w:szCs w:val="24"/>
        </w:rPr>
        <w:t xml:space="preserve">PTSD, and </w:t>
      </w:r>
      <w:r w:rsidR="00263CE0">
        <w:rPr>
          <w:rFonts w:asciiTheme="minorHAnsi" w:hAnsiTheme="minorHAnsi"/>
          <w:color w:val="auto"/>
          <w:szCs w:val="24"/>
        </w:rPr>
        <w:t>m</w:t>
      </w:r>
      <w:r w:rsidR="00936E04">
        <w:rPr>
          <w:rFonts w:asciiTheme="minorHAnsi" w:hAnsiTheme="minorHAnsi"/>
          <w:color w:val="auto"/>
          <w:szCs w:val="24"/>
        </w:rPr>
        <w:t xml:space="preserve">ajor </w:t>
      </w:r>
      <w:r w:rsidR="00263CE0">
        <w:rPr>
          <w:rFonts w:asciiTheme="minorHAnsi" w:hAnsiTheme="minorHAnsi"/>
          <w:color w:val="auto"/>
          <w:szCs w:val="24"/>
        </w:rPr>
        <w:t>d</w:t>
      </w:r>
      <w:r w:rsidR="00936E04">
        <w:rPr>
          <w:rFonts w:asciiTheme="minorHAnsi" w:hAnsiTheme="minorHAnsi"/>
          <w:color w:val="auto"/>
          <w:szCs w:val="24"/>
        </w:rPr>
        <w:t xml:space="preserve">epressive </w:t>
      </w:r>
      <w:r w:rsidR="00263CE0">
        <w:rPr>
          <w:rFonts w:asciiTheme="minorHAnsi" w:hAnsiTheme="minorHAnsi"/>
          <w:color w:val="auto"/>
          <w:szCs w:val="24"/>
        </w:rPr>
        <w:t>d</w:t>
      </w:r>
      <w:r w:rsidR="00936E04">
        <w:rPr>
          <w:rFonts w:asciiTheme="minorHAnsi" w:hAnsiTheme="minorHAnsi"/>
          <w:color w:val="auto"/>
          <w:szCs w:val="24"/>
        </w:rPr>
        <w:t>isorder</w:t>
      </w:r>
      <w:r w:rsidR="00263CE0">
        <w:rPr>
          <w:rFonts w:asciiTheme="minorHAnsi" w:hAnsiTheme="minorHAnsi"/>
          <w:color w:val="auto"/>
          <w:szCs w:val="24"/>
        </w:rPr>
        <w:t xml:space="preserve"> </w:t>
      </w:r>
      <w:r w:rsidR="00936E04">
        <w:rPr>
          <w:rFonts w:asciiTheme="minorHAnsi" w:hAnsiTheme="minorHAnsi"/>
          <w:color w:val="auto"/>
          <w:szCs w:val="24"/>
        </w:rPr>
        <w:t>(MDD)</w:t>
      </w:r>
      <w:r w:rsidR="00AC1535">
        <w:rPr>
          <w:rFonts w:asciiTheme="minorHAnsi" w:hAnsiTheme="minorHAnsi"/>
          <w:color w:val="auto"/>
          <w:szCs w:val="24"/>
        </w:rPr>
        <w:t xml:space="preserve">. </w:t>
      </w:r>
      <w:r w:rsidR="00492A94">
        <w:rPr>
          <w:rFonts w:asciiTheme="minorHAnsi" w:hAnsiTheme="minorHAnsi"/>
          <w:color w:val="auto"/>
          <w:szCs w:val="24"/>
        </w:rPr>
        <w:t>Vestibular testing was normal</w:t>
      </w:r>
      <w:r w:rsidR="006801A9">
        <w:rPr>
          <w:rFonts w:asciiTheme="minorHAnsi" w:hAnsiTheme="minorHAnsi"/>
          <w:color w:val="auto"/>
          <w:szCs w:val="24"/>
        </w:rPr>
        <w:t xml:space="preserve"> and </w:t>
      </w:r>
      <w:r w:rsidR="00515D57">
        <w:rPr>
          <w:rFonts w:asciiTheme="minorHAnsi" w:hAnsiTheme="minorHAnsi"/>
          <w:color w:val="auto"/>
          <w:szCs w:val="24"/>
        </w:rPr>
        <w:t>the examiner opined the dizziness was likely related to migraines</w:t>
      </w:r>
      <w:r w:rsidR="00AC6689">
        <w:rPr>
          <w:rFonts w:asciiTheme="minorHAnsi" w:hAnsiTheme="minorHAnsi"/>
          <w:color w:val="auto"/>
          <w:szCs w:val="24"/>
        </w:rPr>
        <w:t>.</w:t>
      </w:r>
      <w:r w:rsidR="00F95B86">
        <w:rPr>
          <w:rFonts w:asciiTheme="minorHAnsi" w:hAnsiTheme="minorHAnsi"/>
          <w:color w:val="auto"/>
          <w:szCs w:val="24"/>
        </w:rPr>
        <w:t xml:space="preserve"> </w:t>
      </w:r>
      <w:r w:rsidR="006C1851">
        <w:rPr>
          <w:rFonts w:asciiTheme="minorHAnsi" w:hAnsiTheme="minorHAnsi"/>
          <w:color w:val="auto"/>
          <w:szCs w:val="24"/>
        </w:rPr>
        <w:t>Three n</w:t>
      </w:r>
      <w:r w:rsidR="00492A94" w:rsidRPr="006C1851">
        <w:rPr>
          <w:rFonts w:asciiTheme="minorHAnsi" w:hAnsiTheme="minorHAnsi"/>
          <w:color w:val="auto"/>
          <w:szCs w:val="24"/>
        </w:rPr>
        <w:t>europsychological</w:t>
      </w:r>
      <w:r w:rsidR="00492A94">
        <w:rPr>
          <w:rFonts w:asciiTheme="minorHAnsi" w:hAnsiTheme="minorHAnsi"/>
          <w:color w:val="auto"/>
          <w:szCs w:val="24"/>
        </w:rPr>
        <w:t xml:space="preserve"> assessment</w:t>
      </w:r>
      <w:r w:rsidR="002660DE">
        <w:rPr>
          <w:rFonts w:asciiTheme="minorHAnsi" w:hAnsiTheme="minorHAnsi"/>
          <w:color w:val="auto"/>
          <w:szCs w:val="24"/>
        </w:rPr>
        <w:t xml:space="preserve">s were completed </w:t>
      </w:r>
      <w:r w:rsidR="006E2394">
        <w:rPr>
          <w:rFonts w:asciiTheme="minorHAnsi" w:hAnsiTheme="minorHAnsi"/>
          <w:color w:val="auto"/>
          <w:szCs w:val="24"/>
        </w:rPr>
        <w:t>prior to separation</w:t>
      </w:r>
      <w:r w:rsidR="002660DE">
        <w:rPr>
          <w:rFonts w:asciiTheme="minorHAnsi" w:hAnsiTheme="minorHAnsi"/>
          <w:color w:val="auto"/>
          <w:szCs w:val="24"/>
        </w:rPr>
        <w:t xml:space="preserve"> collectively</w:t>
      </w:r>
      <w:r w:rsidR="00492A94">
        <w:rPr>
          <w:rFonts w:asciiTheme="minorHAnsi" w:hAnsiTheme="minorHAnsi"/>
          <w:color w:val="auto"/>
          <w:szCs w:val="24"/>
        </w:rPr>
        <w:t xml:space="preserve"> </w:t>
      </w:r>
      <w:r w:rsidR="00515D57">
        <w:rPr>
          <w:rFonts w:asciiTheme="minorHAnsi" w:hAnsiTheme="minorHAnsi"/>
          <w:color w:val="auto"/>
          <w:szCs w:val="24"/>
        </w:rPr>
        <w:t>documented</w:t>
      </w:r>
      <w:r w:rsidR="00492A94">
        <w:rPr>
          <w:rFonts w:asciiTheme="minorHAnsi" w:hAnsiTheme="minorHAnsi"/>
          <w:color w:val="auto"/>
          <w:szCs w:val="24"/>
        </w:rPr>
        <w:t xml:space="preserve"> </w:t>
      </w:r>
      <w:r w:rsidR="002660DE">
        <w:rPr>
          <w:rFonts w:asciiTheme="minorHAnsi" w:hAnsiTheme="minorHAnsi"/>
          <w:color w:val="auto"/>
          <w:szCs w:val="24"/>
        </w:rPr>
        <w:t xml:space="preserve">mild </w:t>
      </w:r>
      <w:r w:rsidR="00492A94">
        <w:rPr>
          <w:rFonts w:asciiTheme="minorHAnsi" w:hAnsiTheme="minorHAnsi"/>
          <w:color w:val="auto"/>
          <w:szCs w:val="24"/>
        </w:rPr>
        <w:t>memory an</w:t>
      </w:r>
      <w:r w:rsidR="00492A94" w:rsidRPr="006C1851">
        <w:rPr>
          <w:rFonts w:asciiTheme="minorHAnsi" w:hAnsiTheme="minorHAnsi"/>
          <w:color w:val="auto"/>
          <w:szCs w:val="24"/>
        </w:rPr>
        <w:t>d processing deficits</w:t>
      </w:r>
      <w:r w:rsidR="002660DE">
        <w:rPr>
          <w:rFonts w:asciiTheme="minorHAnsi" w:hAnsiTheme="minorHAnsi"/>
          <w:color w:val="auto"/>
          <w:szCs w:val="24"/>
        </w:rPr>
        <w:t xml:space="preserve"> with an exam consistent with moder</w:t>
      </w:r>
      <w:r w:rsidR="00F95B86">
        <w:rPr>
          <w:rFonts w:asciiTheme="minorHAnsi" w:hAnsiTheme="minorHAnsi"/>
          <w:color w:val="auto"/>
          <w:szCs w:val="24"/>
        </w:rPr>
        <w:t xml:space="preserve">ate major depression and PTSD. </w:t>
      </w:r>
      <w:r w:rsidR="00263CE0">
        <w:rPr>
          <w:rFonts w:asciiTheme="minorHAnsi" w:hAnsiTheme="minorHAnsi"/>
          <w:color w:val="auto"/>
          <w:szCs w:val="24"/>
        </w:rPr>
        <w:t>Global Assessment of Functioning (</w:t>
      </w:r>
      <w:r w:rsidR="002660DE">
        <w:rPr>
          <w:rFonts w:asciiTheme="minorHAnsi" w:hAnsiTheme="minorHAnsi"/>
          <w:color w:val="auto"/>
          <w:szCs w:val="24"/>
        </w:rPr>
        <w:t>GAF</w:t>
      </w:r>
      <w:r w:rsidR="00263CE0">
        <w:rPr>
          <w:rFonts w:asciiTheme="minorHAnsi" w:hAnsiTheme="minorHAnsi"/>
          <w:color w:val="auto"/>
          <w:szCs w:val="24"/>
        </w:rPr>
        <w:t xml:space="preserve">) scores </w:t>
      </w:r>
      <w:r w:rsidR="002660DE">
        <w:rPr>
          <w:rFonts w:asciiTheme="minorHAnsi" w:hAnsiTheme="minorHAnsi"/>
          <w:color w:val="auto"/>
          <w:szCs w:val="24"/>
        </w:rPr>
        <w:t xml:space="preserve">assigned during these evaluations were 60 and 65.  </w:t>
      </w:r>
      <w:r w:rsidR="00E43AA0">
        <w:rPr>
          <w:rFonts w:asciiTheme="minorHAnsi" w:hAnsiTheme="minorHAnsi"/>
          <w:color w:val="auto"/>
          <w:szCs w:val="24"/>
        </w:rPr>
        <w:t xml:space="preserve">At the time of initial neuropsychological testing, 25 July 2007, the neuropsychologist concluded </w:t>
      </w:r>
      <w:r w:rsidR="00E43AA0" w:rsidRPr="00E43AA0">
        <w:rPr>
          <w:rFonts w:asciiTheme="minorHAnsi" w:hAnsiTheme="minorHAnsi"/>
          <w:color w:val="auto"/>
          <w:szCs w:val="24"/>
        </w:rPr>
        <w:t xml:space="preserve">“While the </w:t>
      </w:r>
      <w:r w:rsidR="001D4C07">
        <w:rPr>
          <w:rFonts w:asciiTheme="minorHAnsi" w:hAnsiTheme="minorHAnsi"/>
          <w:color w:val="auto"/>
          <w:szCs w:val="24"/>
        </w:rPr>
        <w:t>CI’s</w:t>
      </w:r>
      <w:r w:rsidR="00E43AA0" w:rsidRPr="00E43AA0">
        <w:rPr>
          <w:rFonts w:asciiTheme="minorHAnsi" w:hAnsiTheme="minorHAnsi"/>
          <w:color w:val="auto"/>
          <w:szCs w:val="24"/>
        </w:rPr>
        <w:t xml:space="preserve"> history of concussion cannot be ruled out as a possible contributor to his thinking difficulties, his prominent mood and PTSD concerns are the likely etiology for his memory and processing speed difficulties at this time.”</w:t>
      </w:r>
      <w:r w:rsidR="00E43AA0">
        <w:rPr>
          <w:rFonts w:asciiTheme="minorHAnsi" w:hAnsiTheme="minorHAnsi"/>
          <w:color w:val="auto"/>
          <w:szCs w:val="24"/>
        </w:rPr>
        <w:t xml:space="preserve">  </w:t>
      </w:r>
      <w:r w:rsidR="006E2394">
        <w:rPr>
          <w:rFonts w:asciiTheme="minorHAnsi" w:hAnsiTheme="minorHAnsi"/>
          <w:color w:val="auto"/>
          <w:szCs w:val="24"/>
        </w:rPr>
        <w:t>Four months prior to separation and d</w:t>
      </w:r>
      <w:r w:rsidR="002660DE">
        <w:rPr>
          <w:rFonts w:asciiTheme="minorHAnsi" w:hAnsiTheme="minorHAnsi"/>
          <w:color w:val="auto"/>
          <w:szCs w:val="24"/>
        </w:rPr>
        <w:t xml:space="preserve">espite intervening psychiatric treatment the neuropsychologist </w:t>
      </w:r>
      <w:r w:rsidR="00E43AA0">
        <w:rPr>
          <w:rFonts w:asciiTheme="minorHAnsi" w:hAnsiTheme="minorHAnsi"/>
          <w:color w:val="auto"/>
          <w:szCs w:val="24"/>
        </w:rPr>
        <w:t>commented “</w:t>
      </w:r>
      <w:r w:rsidR="00E43AA0" w:rsidRPr="00E43AA0">
        <w:rPr>
          <w:rFonts w:asciiTheme="minorHAnsi" w:hAnsiTheme="minorHAnsi"/>
          <w:color w:val="auto"/>
          <w:szCs w:val="24"/>
        </w:rPr>
        <w:t>Due to significant psychiatric issues, difficult to determine if his problems on the cognitive evaluation are due to the history of blast or psychiatric issues.”</w:t>
      </w:r>
      <w:r w:rsidR="00E43AA0">
        <w:rPr>
          <w:rFonts w:asciiTheme="minorHAnsi" w:hAnsiTheme="minorHAnsi"/>
          <w:color w:val="auto"/>
          <w:szCs w:val="24"/>
        </w:rPr>
        <w:t xml:space="preserve"> </w:t>
      </w:r>
      <w:r w:rsidR="00BB391A">
        <w:rPr>
          <w:rFonts w:asciiTheme="minorHAnsi" w:hAnsiTheme="minorHAnsi"/>
          <w:color w:val="auto"/>
          <w:sz w:val="20"/>
        </w:rPr>
        <w:t xml:space="preserve"> </w:t>
      </w:r>
      <w:r w:rsidR="00E43AA0">
        <w:rPr>
          <w:rFonts w:asciiTheme="minorHAnsi" w:hAnsiTheme="minorHAnsi"/>
          <w:color w:val="auto"/>
          <w:szCs w:val="24"/>
        </w:rPr>
        <w:t xml:space="preserve">Testing at that time, 13 March 2008, documented mildly </w:t>
      </w:r>
      <w:r w:rsidR="00E43AA0" w:rsidRPr="00BB391A">
        <w:rPr>
          <w:rFonts w:asciiTheme="minorHAnsi" w:hAnsiTheme="minorHAnsi"/>
          <w:color w:val="auto"/>
          <w:szCs w:val="24"/>
        </w:rPr>
        <w:t>impaired ability to learn and remember new information with m</w:t>
      </w:r>
      <w:r w:rsidR="00F95B86">
        <w:rPr>
          <w:rFonts w:asciiTheme="minorHAnsi" w:hAnsiTheme="minorHAnsi"/>
          <w:color w:val="auto"/>
          <w:szCs w:val="24"/>
        </w:rPr>
        <w:t xml:space="preserve">ildly slowed processing speed. </w:t>
      </w:r>
      <w:r w:rsidR="00BB391A" w:rsidRPr="00BB391A">
        <w:rPr>
          <w:rFonts w:asciiTheme="minorHAnsi" w:hAnsiTheme="minorHAnsi"/>
          <w:color w:val="auto"/>
          <w:szCs w:val="24"/>
        </w:rPr>
        <w:t>E</w:t>
      </w:r>
      <w:r w:rsidR="00E43AA0" w:rsidRPr="00BB391A">
        <w:rPr>
          <w:rFonts w:asciiTheme="minorHAnsi" w:hAnsiTheme="minorHAnsi"/>
          <w:color w:val="auto"/>
          <w:szCs w:val="24"/>
        </w:rPr>
        <w:t>arlier the neuropsychologist thought problems were primarily of attention and recommended ADHD medication</w:t>
      </w:r>
      <w:r w:rsidR="00BB391A" w:rsidRPr="00BB391A">
        <w:rPr>
          <w:rFonts w:asciiTheme="minorHAnsi" w:hAnsiTheme="minorHAnsi"/>
          <w:color w:val="auto"/>
          <w:szCs w:val="24"/>
        </w:rPr>
        <w:t>.</w:t>
      </w:r>
      <w:r w:rsidR="00F95B86">
        <w:rPr>
          <w:rFonts w:asciiTheme="minorHAnsi" w:hAnsiTheme="minorHAnsi"/>
          <w:color w:val="auto"/>
          <w:szCs w:val="24"/>
        </w:rPr>
        <w:t xml:space="preserve"> </w:t>
      </w:r>
      <w:r w:rsidR="006E2394">
        <w:rPr>
          <w:rFonts w:asciiTheme="minorHAnsi" w:hAnsiTheme="minorHAnsi"/>
          <w:color w:val="auto"/>
          <w:szCs w:val="24"/>
        </w:rPr>
        <w:t xml:space="preserve">The </w:t>
      </w:r>
      <w:r w:rsidR="00AD69AF" w:rsidRPr="006C1851">
        <w:rPr>
          <w:rFonts w:asciiTheme="minorHAnsi" w:hAnsiTheme="minorHAnsi"/>
          <w:color w:val="auto"/>
          <w:szCs w:val="24"/>
        </w:rPr>
        <w:t>N</w:t>
      </w:r>
      <w:r w:rsidR="003716D6" w:rsidRPr="006C1851">
        <w:rPr>
          <w:rFonts w:asciiTheme="minorHAnsi" w:hAnsiTheme="minorHAnsi"/>
          <w:color w:val="auto"/>
          <w:szCs w:val="24"/>
        </w:rPr>
        <w:t>eurology</w:t>
      </w:r>
      <w:r w:rsidR="006801A9">
        <w:rPr>
          <w:rFonts w:asciiTheme="minorHAnsi" w:hAnsiTheme="minorHAnsi"/>
          <w:color w:val="auto"/>
          <w:szCs w:val="24"/>
        </w:rPr>
        <w:t xml:space="preserve"> assessment documented a normal exam, </w:t>
      </w:r>
      <w:r w:rsidR="00AC1535">
        <w:rPr>
          <w:rFonts w:asciiTheme="minorHAnsi" w:hAnsiTheme="minorHAnsi"/>
          <w:color w:val="auto"/>
          <w:szCs w:val="24"/>
        </w:rPr>
        <w:t>a normal</w:t>
      </w:r>
      <w:r w:rsidR="006801A9">
        <w:rPr>
          <w:rFonts w:asciiTheme="minorHAnsi" w:hAnsiTheme="minorHAnsi"/>
          <w:color w:val="auto"/>
          <w:szCs w:val="24"/>
        </w:rPr>
        <w:t xml:space="preserve"> brain MRI and assessed the CI </w:t>
      </w:r>
      <w:r w:rsidR="00300479">
        <w:rPr>
          <w:rFonts w:asciiTheme="minorHAnsi" w:hAnsiTheme="minorHAnsi"/>
          <w:color w:val="auto"/>
          <w:szCs w:val="24"/>
        </w:rPr>
        <w:lastRenderedPageBreak/>
        <w:t>with postconcussive syndrome, post-</w:t>
      </w:r>
      <w:r w:rsidR="006801A9">
        <w:rPr>
          <w:rFonts w:asciiTheme="minorHAnsi" w:hAnsiTheme="minorHAnsi"/>
          <w:color w:val="auto"/>
          <w:szCs w:val="24"/>
        </w:rPr>
        <w:t>traumatic headache</w:t>
      </w:r>
      <w:r w:rsidR="007D5A7D">
        <w:rPr>
          <w:rFonts w:asciiTheme="minorHAnsi" w:hAnsiTheme="minorHAnsi"/>
          <w:color w:val="auto"/>
          <w:szCs w:val="24"/>
        </w:rPr>
        <w:t>s</w:t>
      </w:r>
      <w:r w:rsidR="006801A9">
        <w:rPr>
          <w:rFonts w:asciiTheme="minorHAnsi" w:hAnsiTheme="minorHAnsi"/>
          <w:color w:val="auto"/>
          <w:szCs w:val="24"/>
        </w:rPr>
        <w:t xml:space="preserve">, IED exposures, PTSD and </w:t>
      </w:r>
      <w:r w:rsidR="00263CE0">
        <w:rPr>
          <w:rFonts w:asciiTheme="minorHAnsi" w:hAnsiTheme="minorHAnsi"/>
          <w:color w:val="auto"/>
          <w:szCs w:val="24"/>
        </w:rPr>
        <w:t>m</w:t>
      </w:r>
      <w:r w:rsidR="006801A9">
        <w:rPr>
          <w:rFonts w:asciiTheme="minorHAnsi" w:hAnsiTheme="minorHAnsi"/>
          <w:color w:val="auto"/>
          <w:szCs w:val="24"/>
        </w:rPr>
        <w:t xml:space="preserve">ajor </w:t>
      </w:r>
      <w:r w:rsidR="00263CE0">
        <w:rPr>
          <w:rFonts w:asciiTheme="minorHAnsi" w:hAnsiTheme="minorHAnsi"/>
          <w:color w:val="auto"/>
          <w:szCs w:val="24"/>
        </w:rPr>
        <w:t>d</w:t>
      </w:r>
      <w:r w:rsidR="006801A9">
        <w:rPr>
          <w:rFonts w:asciiTheme="minorHAnsi" w:hAnsiTheme="minorHAnsi"/>
          <w:color w:val="auto"/>
          <w:szCs w:val="24"/>
        </w:rPr>
        <w:t xml:space="preserve">epression.  </w:t>
      </w:r>
    </w:p>
    <w:p w:rsidR="006E2394" w:rsidRDefault="006E2394" w:rsidP="00300479">
      <w:pPr>
        <w:spacing w:line="240" w:lineRule="exact"/>
        <w:jc w:val="both"/>
        <w:rPr>
          <w:rFonts w:asciiTheme="minorHAnsi" w:hAnsiTheme="minorHAnsi"/>
          <w:color w:val="auto"/>
          <w:szCs w:val="24"/>
        </w:rPr>
      </w:pPr>
    </w:p>
    <w:p w:rsidR="00D945A1" w:rsidRDefault="00300479" w:rsidP="00300479">
      <w:pPr>
        <w:spacing w:line="240" w:lineRule="exact"/>
        <w:jc w:val="both"/>
        <w:rPr>
          <w:rFonts w:asciiTheme="minorHAnsi" w:hAnsiTheme="minorHAnsi"/>
          <w:color w:val="auto"/>
          <w:szCs w:val="24"/>
        </w:rPr>
      </w:pPr>
      <w:r>
        <w:rPr>
          <w:rFonts w:asciiTheme="minorHAnsi" w:hAnsiTheme="minorHAnsi"/>
          <w:color w:val="auto"/>
          <w:szCs w:val="24"/>
        </w:rPr>
        <w:t>During this extensive post</w:t>
      </w:r>
      <w:r w:rsidR="006E2394">
        <w:rPr>
          <w:rFonts w:asciiTheme="minorHAnsi" w:hAnsiTheme="minorHAnsi"/>
          <w:color w:val="auto"/>
          <w:szCs w:val="24"/>
        </w:rPr>
        <w:t>concussive evaluation</w:t>
      </w:r>
      <w:r w:rsidR="00894568">
        <w:rPr>
          <w:rFonts w:asciiTheme="minorHAnsi" w:hAnsiTheme="minorHAnsi"/>
          <w:color w:val="auto"/>
          <w:szCs w:val="24"/>
        </w:rPr>
        <w:t xml:space="preserve"> </w:t>
      </w:r>
      <w:r w:rsidR="00936E04">
        <w:rPr>
          <w:rFonts w:asciiTheme="minorHAnsi" w:hAnsiTheme="minorHAnsi"/>
          <w:color w:val="auto"/>
          <w:szCs w:val="24"/>
        </w:rPr>
        <w:t>o</w:t>
      </w:r>
      <w:r w:rsidR="009C4BC8">
        <w:rPr>
          <w:rFonts w:asciiTheme="minorHAnsi" w:hAnsiTheme="minorHAnsi"/>
          <w:color w:val="auto"/>
          <w:szCs w:val="24"/>
        </w:rPr>
        <w:t>n 25 June 2007 the CI was emergently cared for an overdose</w:t>
      </w:r>
      <w:r w:rsidR="00894568">
        <w:rPr>
          <w:rFonts w:asciiTheme="minorHAnsi" w:hAnsiTheme="minorHAnsi"/>
          <w:color w:val="auto"/>
          <w:szCs w:val="24"/>
        </w:rPr>
        <w:t xml:space="preserve"> after ingesting eight </w:t>
      </w:r>
      <w:proofErr w:type="spellStart"/>
      <w:r w:rsidR="00614FB5">
        <w:rPr>
          <w:rFonts w:asciiTheme="minorHAnsi" w:hAnsiTheme="minorHAnsi"/>
          <w:color w:val="auto"/>
          <w:szCs w:val="24"/>
        </w:rPr>
        <w:t>V</w:t>
      </w:r>
      <w:r w:rsidR="00894568">
        <w:rPr>
          <w:rFonts w:asciiTheme="minorHAnsi" w:hAnsiTheme="minorHAnsi"/>
          <w:color w:val="auto"/>
          <w:szCs w:val="24"/>
        </w:rPr>
        <w:t>icodin</w:t>
      </w:r>
      <w:proofErr w:type="spellEnd"/>
      <w:r w:rsidR="00894568">
        <w:rPr>
          <w:rFonts w:asciiTheme="minorHAnsi" w:hAnsiTheme="minorHAnsi"/>
          <w:color w:val="auto"/>
          <w:szCs w:val="24"/>
        </w:rPr>
        <w:t xml:space="preserve"> pills combined with a l</w:t>
      </w:r>
      <w:r w:rsidR="00F95B86">
        <w:rPr>
          <w:rFonts w:asciiTheme="minorHAnsi" w:hAnsiTheme="minorHAnsi"/>
          <w:color w:val="auto"/>
          <w:szCs w:val="24"/>
        </w:rPr>
        <w:t xml:space="preserve">arge amount of beer and vodka. </w:t>
      </w:r>
      <w:r w:rsidR="00894568">
        <w:rPr>
          <w:rFonts w:asciiTheme="minorHAnsi" w:hAnsiTheme="minorHAnsi"/>
          <w:color w:val="auto"/>
          <w:szCs w:val="24"/>
        </w:rPr>
        <w:t xml:space="preserve">The CI attempted to manipulate his way out of </w:t>
      </w:r>
      <w:r w:rsidR="00936E04">
        <w:rPr>
          <w:rFonts w:asciiTheme="minorHAnsi" w:hAnsiTheme="minorHAnsi"/>
          <w:color w:val="auto"/>
          <w:szCs w:val="24"/>
        </w:rPr>
        <w:t xml:space="preserve">substance abuse </w:t>
      </w:r>
      <w:r w:rsidR="00894568">
        <w:rPr>
          <w:rFonts w:asciiTheme="minorHAnsi" w:hAnsiTheme="minorHAnsi"/>
          <w:color w:val="auto"/>
          <w:szCs w:val="24"/>
        </w:rPr>
        <w:t>treatment, but reluctantly entered inpatient Substance Abuse Rehabilitation Program (SARP) in Novem</w:t>
      </w:r>
      <w:r w:rsidR="002F1AF2">
        <w:rPr>
          <w:rFonts w:asciiTheme="minorHAnsi" w:hAnsiTheme="minorHAnsi"/>
          <w:color w:val="auto"/>
          <w:szCs w:val="24"/>
        </w:rPr>
        <w:t>ber 2007</w:t>
      </w:r>
      <w:r w:rsidR="00263CE0">
        <w:rPr>
          <w:rFonts w:asciiTheme="minorHAnsi" w:hAnsiTheme="minorHAnsi"/>
          <w:color w:val="auto"/>
          <w:szCs w:val="24"/>
        </w:rPr>
        <w:t>.</w:t>
      </w:r>
      <w:r w:rsidR="00614FB5">
        <w:rPr>
          <w:rFonts w:asciiTheme="minorHAnsi" w:hAnsiTheme="minorHAnsi"/>
          <w:color w:val="auto"/>
          <w:szCs w:val="24"/>
        </w:rPr>
        <w:t xml:space="preserve"> </w:t>
      </w:r>
      <w:r w:rsidR="002F1AF2">
        <w:rPr>
          <w:rFonts w:asciiTheme="minorHAnsi" w:hAnsiTheme="minorHAnsi"/>
          <w:color w:val="auto"/>
          <w:szCs w:val="24"/>
        </w:rPr>
        <w:t>T</w:t>
      </w:r>
      <w:r w:rsidR="00894568">
        <w:rPr>
          <w:rFonts w:asciiTheme="minorHAnsi" w:hAnsiTheme="minorHAnsi"/>
          <w:color w:val="auto"/>
          <w:szCs w:val="24"/>
        </w:rPr>
        <w:t xml:space="preserve">he CI reported he “had experienced fifty hangovers and fifty alcohol related </w:t>
      </w:r>
      <w:r>
        <w:rPr>
          <w:rFonts w:asciiTheme="minorHAnsi" w:hAnsiTheme="minorHAnsi"/>
          <w:color w:val="auto"/>
          <w:szCs w:val="24"/>
        </w:rPr>
        <w:t>black-</w:t>
      </w:r>
      <w:r w:rsidR="00F95B86">
        <w:rPr>
          <w:rFonts w:asciiTheme="minorHAnsi" w:hAnsiTheme="minorHAnsi"/>
          <w:color w:val="auto"/>
          <w:szCs w:val="24"/>
        </w:rPr>
        <w:t>outs</w:t>
      </w:r>
      <w:r>
        <w:rPr>
          <w:rFonts w:asciiTheme="minorHAnsi" w:hAnsiTheme="minorHAnsi"/>
          <w:color w:val="auto"/>
          <w:szCs w:val="24"/>
        </w:rPr>
        <w:t>”</w:t>
      </w:r>
      <w:r w:rsidR="00F95B86">
        <w:rPr>
          <w:rFonts w:asciiTheme="minorHAnsi" w:hAnsiTheme="minorHAnsi"/>
          <w:color w:val="auto"/>
          <w:szCs w:val="24"/>
        </w:rPr>
        <w:t xml:space="preserve"> since January 2007. </w:t>
      </w:r>
      <w:r w:rsidR="00894568">
        <w:rPr>
          <w:rFonts w:asciiTheme="minorHAnsi" w:hAnsiTheme="minorHAnsi"/>
          <w:color w:val="auto"/>
          <w:szCs w:val="24"/>
        </w:rPr>
        <w:t>He “rationalized and justified his drinking a method for controlling his anxiety and insomnia</w:t>
      </w:r>
      <w:r>
        <w:rPr>
          <w:rFonts w:asciiTheme="minorHAnsi" w:hAnsiTheme="minorHAnsi"/>
          <w:color w:val="auto"/>
          <w:szCs w:val="24"/>
        </w:rPr>
        <w:t>”</w:t>
      </w:r>
      <w:r w:rsidR="00263CE0">
        <w:rPr>
          <w:rFonts w:asciiTheme="minorHAnsi" w:hAnsiTheme="minorHAnsi"/>
          <w:color w:val="auto"/>
          <w:szCs w:val="24"/>
        </w:rPr>
        <w:t>.</w:t>
      </w:r>
      <w:r w:rsidR="00F95B86">
        <w:rPr>
          <w:rFonts w:asciiTheme="minorHAnsi" w:hAnsiTheme="minorHAnsi"/>
          <w:color w:val="auto"/>
          <w:szCs w:val="24"/>
        </w:rPr>
        <w:t xml:space="preserve"> </w:t>
      </w:r>
      <w:r w:rsidR="00894568">
        <w:rPr>
          <w:rFonts w:asciiTheme="minorHAnsi" w:hAnsiTheme="minorHAnsi"/>
          <w:color w:val="auto"/>
          <w:szCs w:val="24"/>
        </w:rPr>
        <w:t xml:space="preserve">His first use of </w:t>
      </w:r>
      <w:r w:rsidR="002F1AF2">
        <w:rPr>
          <w:rFonts w:asciiTheme="minorHAnsi" w:hAnsiTheme="minorHAnsi"/>
          <w:color w:val="auto"/>
          <w:szCs w:val="24"/>
        </w:rPr>
        <w:t xml:space="preserve">alcohol was at age 15 with a historical </w:t>
      </w:r>
      <w:r w:rsidR="00894568">
        <w:rPr>
          <w:rFonts w:asciiTheme="minorHAnsi" w:hAnsiTheme="minorHAnsi"/>
          <w:color w:val="auto"/>
          <w:szCs w:val="24"/>
        </w:rPr>
        <w:t>pattern of binge drinking two times per month</w:t>
      </w:r>
      <w:r w:rsidR="002F1AF2">
        <w:rPr>
          <w:rFonts w:asciiTheme="minorHAnsi" w:hAnsiTheme="minorHAnsi"/>
          <w:color w:val="auto"/>
          <w:szCs w:val="24"/>
        </w:rPr>
        <w:t xml:space="preserve"> from age 16-20</w:t>
      </w:r>
      <w:r w:rsidR="00894568">
        <w:rPr>
          <w:rFonts w:asciiTheme="minorHAnsi" w:hAnsiTheme="minorHAnsi"/>
          <w:color w:val="auto"/>
          <w:szCs w:val="24"/>
        </w:rPr>
        <w:t>.  He successfully completed inpatient alcohol treatment and compli</w:t>
      </w:r>
      <w:r w:rsidR="00DD1094">
        <w:rPr>
          <w:rFonts w:asciiTheme="minorHAnsi" w:hAnsiTheme="minorHAnsi"/>
          <w:color w:val="auto"/>
          <w:szCs w:val="24"/>
        </w:rPr>
        <w:t xml:space="preserve">ed with </w:t>
      </w:r>
      <w:r w:rsidR="00894568">
        <w:rPr>
          <w:rFonts w:asciiTheme="minorHAnsi" w:hAnsiTheme="minorHAnsi"/>
          <w:color w:val="auto"/>
          <w:szCs w:val="24"/>
        </w:rPr>
        <w:t>follow-up in the outpatient s</w:t>
      </w:r>
      <w:r w:rsidR="00F95B86">
        <w:rPr>
          <w:rFonts w:asciiTheme="minorHAnsi" w:hAnsiTheme="minorHAnsi"/>
          <w:color w:val="auto"/>
          <w:szCs w:val="24"/>
        </w:rPr>
        <w:t xml:space="preserve">etting during the MEB process. </w:t>
      </w:r>
      <w:r w:rsidR="00894568">
        <w:rPr>
          <w:rFonts w:asciiTheme="minorHAnsi" w:hAnsiTheme="minorHAnsi"/>
          <w:color w:val="auto"/>
          <w:szCs w:val="24"/>
        </w:rPr>
        <w:t>At the conclusion of his inpatient treatment the multiple clinical exams indicated the CI exhibited most of the symptoms of PTSD but also had troubling paranoid and narcis</w:t>
      </w:r>
      <w:r w:rsidR="00614FB5">
        <w:rPr>
          <w:rFonts w:asciiTheme="minorHAnsi" w:hAnsiTheme="minorHAnsi"/>
          <w:color w:val="auto"/>
          <w:szCs w:val="24"/>
        </w:rPr>
        <w:t>si</w:t>
      </w:r>
      <w:r w:rsidR="00894568">
        <w:rPr>
          <w:rFonts w:asciiTheme="minorHAnsi" w:hAnsiTheme="minorHAnsi"/>
          <w:color w:val="auto"/>
          <w:szCs w:val="24"/>
        </w:rPr>
        <w:t>s</w:t>
      </w:r>
      <w:r w:rsidR="00614FB5">
        <w:rPr>
          <w:rFonts w:asciiTheme="minorHAnsi" w:hAnsiTheme="minorHAnsi"/>
          <w:color w:val="auto"/>
          <w:szCs w:val="24"/>
        </w:rPr>
        <w:t xml:space="preserve">tic traits.  Examiners commented: </w:t>
      </w:r>
      <w:r w:rsidR="00894568">
        <w:rPr>
          <w:rFonts w:asciiTheme="minorHAnsi" w:hAnsiTheme="minorHAnsi"/>
          <w:color w:val="auto"/>
          <w:szCs w:val="24"/>
        </w:rPr>
        <w:t>“However, it is unclear if his personality disturbance existed prior to entry or may reflect a personality change secondary to brain injury.</w:t>
      </w:r>
      <w:r w:rsidR="00F95B86">
        <w:rPr>
          <w:rFonts w:asciiTheme="minorHAnsi" w:hAnsiTheme="minorHAnsi"/>
          <w:color w:val="auto"/>
          <w:szCs w:val="24"/>
        </w:rPr>
        <w:t xml:space="preserve">” </w:t>
      </w:r>
      <w:r w:rsidR="00894568">
        <w:rPr>
          <w:rFonts w:asciiTheme="minorHAnsi" w:hAnsiTheme="minorHAnsi"/>
          <w:color w:val="auto"/>
          <w:szCs w:val="24"/>
        </w:rPr>
        <w:t>He was thought to remain at increased risk of relapse due to environmental concerns and</w:t>
      </w:r>
      <w:r w:rsidR="00F95B86">
        <w:rPr>
          <w:rFonts w:asciiTheme="minorHAnsi" w:hAnsiTheme="minorHAnsi"/>
          <w:color w:val="auto"/>
          <w:szCs w:val="24"/>
        </w:rPr>
        <w:t xml:space="preserve"> the other psychiatric issues. </w:t>
      </w:r>
      <w:r w:rsidR="00894568">
        <w:rPr>
          <w:rFonts w:asciiTheme="minorHAnsi" w:hAnsiTheme="minorHAnsi"/>
          <w:color w:val="auto"/>
          <w:szCs w:val="24"/>
        </w:rPr>
        <w:t>He was assigned a GAF of 71 with a dia</w:t>
      </w:r>
      <w:r w:rsidR="002F1AF2">
        <w:rPr>
          <w:rFonts w:asciiTheme="minorHAnsi" w:hAnsiTheme="minorHAnsi"/>
          <w:color w:val="auto"/>
          <w:szCs w:val="24"/>
        </w:rPr>
        <w:t xml:space="preserve">gnosis of cognitive disorder </w:t>
      </w:r>
      <w:r w:rsidR="00263CE0">
        <w:rPr>
          <w:rFonts w:asciiTheme="minorHAnsi" w:hAnsiTheme="minorHAnsi"/>
          <w:color w:val="auto"/>
          <w:szCs w:val="24"/>
        </w:rPr>
        <w:t>not otherwise specified (</w:t>
      </w:r>
      <w:r w:rsidR="002F1AF2">
        <w:rPr>
          <w:rFonts w:asciiTheme="minorHAnsi" w:hAnsiTheme="minorHAnsi"/>
          <w:color w:val="auto"/>
          <w:szCs w:val="24"/>
        </w:rPr>
        <w:t>NOS</w:t>
      </w:r>
      <w:r w:rsidR="00263CE0">
        <w:rPr>
          <w:rFonts w:asciiTheme="minorHAnsi" w:hAnsiTheme="minorHAnsi"/>
          <w:color w:val="auto"/>
          <w:szCs w:val="24"/>
        </w:rPr>
        <w:t>)</w:t>
      </w:r>
      <w:r w:rsidR="00894568">
        <w:rPr>
          <w:rFonts w:asciiTheme="minorHAnsi" w:hAnsiTheme="minorHAnsi"/>
          <w:color w:val="auto"/>
          <w:szCs w:val="24"/>
        </w:rPr>
        <w:t xml:space="preserve">, PTSD, delayed in </w:t>
      </w:r>
      <w:r w:rsidR="00263CE0">
        <w:rPr>
          <w:rFonts w:asciiTheme="minorHAnsi" w:hAnsiTheme="minorHAnsi"/>
          <w:color w:val="auto"/>
          <w:szCs w:val="24"/>
        </w:rPr>
        <w:t>p</w:t>
      </w:r>
      <w:r w:rsidR="00894568">
        <w:rPr>
          <w:rFonts w:asciiTheme="minorHAnsi" w:hAnsiTheme="minorHAnsi"/>
          <w:color w:val="auto"/>
          <w:szCs w:val="24"/>
        </w:rPr>
        <w:t xml:space="preserve">artial </w:t>
      </w:r>
      <w:r w:rsidR="00263CE0">
        <w:rPr>
          <w:rFonts w:asciiTheme="minorHAnsi" w:hAnsiTheme="minorHAnsi"/>
          <w:color w:val="auto"/>
          <w:szCs w:val="24"/>
        </w:rPr>
        <w:t>r</w:t>
      </w:r>
      <w:r w:rsidR="00894568">
        <w:rPr>
          <w:rFonts w:asciiTheme="minorHAnsi" w:hAnsiTheme="minorHAnsi"/>
          <w:color w:val="auto"/>
          <w:szCs w:val="24"/>
        </w:rPr>
        <w:t xml:space="preserve">emission, </w:t>
      </w:r>
      <w:r w:rsidR="00263CE0">
        <w:rPr>
          <w:rFonts w:asciiTheme="minorHAnsi" w:hAnsiTheme="minorHAnsi"/>
          <w:color w:val="auto"/>
          <w:szCs w:val="24"/>
        </w:rPr>
        <w:t>and a</w:t>
      </w:r>
      <w:r w:rsidR="00894568">
        <w:rPr>
          <w:rFonts w:asciiTheme="minorHAnsi" w:hAnsiTheme="minorHAnsi"/>
          <w:color w:val="auto"/>
          <w:szCs w:val="24"/>
        </w:rPr>
        <w:t xml:space="preserve">lcohol </w:t>
      </w:r>
      <w:r w:rsidR="00263CE0">
        <w:rPr>
          <w:rFonts w:asciiTheme="minorHAnsi" w:hAnsiTheme="minorHAnsi"/>
          <w:color w:val="auto"/>
          <w:szCs w:val="24"/>
        </w:rPr>
        <w:t>d</w:t>
      </w:r>
      <w:r w:rsidR="00894568">
        <w:rPr>
          <w:rFonts w:asciiTheme="minorHAnsi" w:hAnsiTheme="minorHAnsi"/>
          <w:color w:val="auto"/>
          <w:szCs w:val="24"/>
        </w:rPr>
        <w:t>ependence, in sus</w:t>
      </w:r>
      <w:r w:rsidR="002F1AF2">
        <w:rPr>
          <w:rFonts w:asciiTheme="minorHAnsi" w:hAnsiTheme="minorHAnsi"/>
          <w:color w:val="auto"/>
          <w:szCs w:val="24"/>
        </w:rPr>
        <w:t>tained partial remission.</w:t>
      </w:r>
      <w:r w:rsidR="00F95B86">
        <w:rPr>
          <w:rFonts w:asciiTheme="minorHAnsi" w:hAnsiTheme="minorHAnsi"/>
          <w:color w:val="auto"/>
          <w:szCs w:val="24"/>
        </w:rPr>
        <w:t xml:space="preserve"> </w:t>
      </w:r>
      <w:r w:rsidR="00295482">
        <w:rPr>
          <w:rFonts w:asciiTheme="minorHAnsi" w:hAnsiTheme="minorHAnsi"/>
          <w:color w:val="auto"/>
          <w:szCs w:val="24"/>
        </w:rPr>
        <w:t>The examiner opined the CI remained vulnerable to acute exa</w:t>
      </w:r>
      <w:r w:rsidR="00263CE0">
        <w:rPr>
          <w:rFonts w:asciiTheme="minorHAnsi" w:hAnsiTheme="minorHAnsi"/>
          <w:color w:val="auto"/>
          <w:szCs w:val="24"/>
        </w:rPr>
        <w:t>c</w:t>
      </w:r>
      <w:r w:rsidR="00295482">
        <w:rPr>
          <w:rFonts w:asciiTheme="minorHAnsi" w:hAnsiTheme="minorHAnsi"/>
          <w:color w:val="auto"/>
          <w:szCs w:val="24"/>
        </w:rPr>
        <w:t>er</w:t>
      </w:r>
      <w:r w:rsidR="00263CE0">
        <w:rPr>
          <w:rFonts w:asciiTheme="minorHAnsi" w:hAnsiTheme="minorHAnsi"/>
          <w:color w:val="auto"/>
          <w:szCs w:val="24"/>
        </w:rPr>
        <w:t>b</w:t>
      </w:r>
      <w:r w:rsidR="00295482">
        <w:rPr>
          <w:rFonts w:asciiTheme="minorHAnsi" w:hAnsiTheme="minorHAnsi"/>
          <w:color w:val="auto"/>
          <w:szCs w:val="24"/>
        </w:rPr>
        <w:t>ations of anxiety and agitation and appeared to be at a significant risk for relapse into alcohol dependence especially as he transitions out of the military and recommended continued p</w:t>
      </w:r>
      <w:r w:rsidR="00263CE0">
        <w:rPr>
          <w:rFonts w:asciiTheme="minorHAnsi" w:hAnsiTheme="minorHAnsi"/>
          <w:color w:val="auto"/>
          <w:szCs w:val="24"/>
        </w:rPr>
        <w:t>s</w:t>
      </w:r>
      <w:r w:rsidR="00295482">
        <w:rPr>
          <w:rFonts w:asciiTheme="minorHAnsi" w:hAnsiTheme="minorHAnsi"/>
          <w:color w:val="auto"/>
          <w:szCs w:val="24"/>
        </w:rPr>
        <w:t>y</w:t>
      </w:r>
      <w:r w:rsidR="00263CE0">
        <w:rPr>
          <w:rFonts w:asciiTheme="minorHAnsi" w:hAnsiTheme="minorHAnsi"/>
          <w:color w:val="auto"/>
          <w:szCs w:val="24"/>
        </w:rPr>
        <w:t>c</w:t>
      </w:r>
      <w:r w:rsidR="00295482">
        <w:rPr>
          <w:rFonts w:asciiTheme="minorHAnsi" w:hAnsiTheme="minorHAnsi"/>
          <w:color w:val="auto"/>
          <w:szCs w:val="24"/>
        </w:rPr>
        <w:t>hological and psychiatric care through the VA.</w:t>
      </w:r>
      <w:r w:rsidR="00894568" w:rsidRPr="00894568">
        <w:rPr>
          <w:rFonts w:asciiTheme="minorHAnsi" w:hAnsiTheme="minorHAnsi"/>
          <w:color w:val="auto"/>
          <w:szCs w:val="24"/>
        </w:rPr>
        <w:t xml:space="preserve"> </w:t>
      </w:r>
      <w:r w:rsidR="00D945A1">
        <w:rPr>
          <w:rFonts w:asciiTheme="minorHAnsi" w:hAnsiTheme="minorHAnsi"/>
          <w:color w:val="auto"/>
          <w:szCs w:val="24"/>
        </w:rPr>
        <w:t xml:space="preserve"> </w:t>
      </w:r>
    </w:p>
    <w:p w:rsidR="00042568" w:rsidRDefault="00042568" w:rsidP="00300479">
      <w:pPr>
        <w:spacing w:line="240" w:lineRule="exact"/>
        <w:jc w:val="both"/>
        <w:rPr>
          <w:rFonts w:asciiTheme="minorHAnsi" w:hAnsiTheme="minorHAnsi"/>
          <w:color w:val="auto"/>
          <w:szCs w:val="24"/>
        </w:rPr>
      </w:pPr>
    </w:p>
    <w:p w:rsidR="00DB488D" w:rsidRDefault="00D945A1" w:rsidP="00300479">
      <w:pPr>
        <w:spacing w:line="240" w:lineRule="exact"/>
        <w:jc w:val="both"/>
        <w:rPr>
          <w:rFonts w:asciiTheme="minorHAnsi" w:hAnsiTheme="minorHAnsi" w:cstheme="minorHAnsi"/>
          <w:color w:val="auto"/>
          <w:szCs w:val="24"/>
        </w:rPr>
      </w:pPr>
      <w:r w:rsidRPr="00042568">
        <w:rPr>
          <w:rFonts w:asciiTheme="minorHAnsi" w:hAnsiTheme="minorHAnsi" w:cstheme="minorHAnsi"/>
          <w:color w:val="auto"/>
          <w:szCs w:val="24"/>
        </w:rPr>
        <w:t xml:space="preserve">The Board directs its attention to its rating recommendations based on the evidence just described.  </w:t>
      </w:r>
      <w:r w:rsidR="002946D1" w:rsidRPr="00042568">
        <w:rPr>
          <w:rFonts w:asciiTheme="minorHAnsi" w:hAnsiTheme="minorHAnsi" w:cstheme="minorHAnsi"/>
          <w:color w:val="auto"/>
          <w:szCs w:val="24"/>
        </w:rPr>
        <w:t>The IPEB</w:t>
      </w:r>
      <w:r w:rsidR="00317B92" w:rsidRPr="00042568">
        <w:rPr>
          <w:rFonts w:asciiTheme="minorHAnsi" w:hAnsiTheme="minorHAnsi" w:cstheme="minorHAnsi"/>
          <w:color w:val="auto"/>
          <w:szCs w:val="24"/>
        </w:rPr>
        <w:t xml:space="preserve"> adjudicated</w:t>
      </w:r>
      <w:r w:rsidR="002946D1" w:rsidRPr="00042568">
        <w:rPr>
          <w:rFonts w:asciiTheme="minorHAnsi" w:hAnsiTheme="minorHAnsi" w:cstheme="minorHAnsi"/>
          <w:color w:val="auto"/>
          <w:szCs w:val="24"/>
        </w:rPr>
        <w:t xml:space="preserve"> </w:t>
      </w:r>
      <w:r w:rsidR="00DD1094">
        <w:rPr>
          <w:rFonts w:asciiTheme="minorHAnsi" w:hAnsiTheme="minorHAnsi" w:cstheme="minorHAnsi"/>
          <w:color w:val="auto"/>
          <w:szCs w:val="24"/>
        </w:rPr>
        <w:t>p</w:t>
      </w:r>
      <w:r w:rsidR="00300479">
        <w:rPr>
          <w:rFonts w:asciiTheme="minorHAnsi" w:hAnsiTheme="minorHAnsi" w:cstheme="minorHAnsi"/>
          <w:color w:val="auto"/>
          <w:szCs w:val="24"/>
        </w:rPr>
        <w:t>ost</w:t>
      </w:r>
      <w:r w:rsidR="00DD1094">
        <w:rPr>
          <w:rFonts w:asciiTheme="minorHAnsi" w:hAnsiTheme="minorHAnsi" w:cstheme="minorHAnsi"/>
          <w:color w:val="auto"/>
          <w:szCs w:val="24"/>
        </w:rPr>
        <w:t>c</w:t>
      </w:r>
      <w:r w:rsidR="00317B92" w:rsidRPr="00042568">
        <w:rPr>
          <w:rFonts w:asciiTheme="minorHAnsi" w:hAnsiTheme="minorHAnsi" w:cstheme="minorHAnsi"/>
          <w:color w:val="auto"/>
          <w:szCs w:val="24"/>
        </w:rPr>
        <w:t xml:space="preserve">oncussive </w:t>
      </w:r>
      <w:r w:rsidR="00DD1094">
        <w:rPr>
          <w:rFonts w:asciiTheme="minorHAnsi" w:hAnsiTheme="minorHAnsi" w:cstheme="minorHAnsi"/>
          <w:color w:val="auto"/>
          <w:szCs w:val="24"/>
        </w:rPr>
        <w:t>s</w:t>
      </w:r>
      <w:r w:rsidR="00317B92" w:rsidRPr="00042568">
        <w:rPr>
          <w:rFonts w:asciiTheme="minorHAnsi" w:hAnsiTheme="minorHAnsi" w:cstheme="minorHAnsi"/>
          <w:color w:val="auto"/>
          <w:szCs w:val="24"/>
        </w:rPr>
        <w:t>yndrome as unfitting and rat</w:t>
      </w:r>
      <w:r w:rsidR="00F95B86">
        <w:rPr>
          <w:rFonts w:asciiTheme="minorHAnsi" w:hAnsiTheme="minorHAnsi" w:cstheme="minorHAnsi"/>
          <w:color w:val="auto"/>
          <w:szCs w:val="24"/>
        </w:rPr>
        <w:t xml:space="preserve">ed it 10% IAW VARSD 8045-9304. </w:t>
      </w:r>
      <w:r w:rsidR="00E776F7">
        <w:rPr>
          <w:rFonts w:asciiTheme="minorHAnsi" w:hAnsiTheme="minorHAnsi" w:cstheme="minorHAnsi"/>
          <w:color w:val="auto"/>
          <w:szCs w:val="24"/>
        </w:rPr>
        <w:t>The PEB determined the c</w:t>
      </w:r>
      <w:r w:rsidR="00317B92" w:rsidRPr="00042568">
        <w:rPr>
          <w:rFonts w:asciiTheme="minorHAnsi" w:hAnsiTheme="minorHAnsi" w:cstheme="minorHAnsi"/>
          <w:color w:val="auto"/>
          <w:szCs w:val="24"/>
        </w:rPr>
        <w:t xml:space="preserve">ognitive </w:t>
      </w:r>
      <w:r w:rsidR="00DE0160" w:rsidRPr="00042568">
        <w:rPr>
          <w:rFonts w:asciiTheme="minorHAnsi" w:hAnsiTheme="minorHAnsi" w:cstheme="minorHAnsi"/>
          <w:color w:val="auto"/>
          <w:szCs w:val="24"/>
        </w:rPr>
        <w:t>disorder;</w:t>
      </w:r>
      <w:r w:rsidR="00317B92" w:rsidRPr="00042568">
        <w:rPr>
          <w:rFonts w:asciiTheme="minorHAnsi" w:hAnsiTheme="minorHAnsi" w:cstheme="minorHAnsi"/>
          <w:color w:val="auto"/>
          <w:szCs w:val="24"/>
        </w:rPr>
        <w:t xml:space="preserve"> PTSD and MDD were contributing to this condition but not separately unfitting.  The VA found </w:t>
      </w:r>
      <w:r w:rsidR="00E776F7">
        <w:rPr>
          <w:rFonts w:asciiTheme="minorHAnsi" w:hAnsiTheme="minorHAnsi" w:cstheme="minorHAnsi"/>
          <w:color w:val="auto"/>
          <w:szCs w:val="24"/>
        </w:rPr>
        <w:t>p</w:t>
      </w:r>
      <w:r w:rsidR="00300479">
        <w:rPr>
          <w:rFonts w:asciiTheme="minorHAnsi" w:hAnsiTheme="minorHAnsi" w:cstheme="minorHAnsi"/>
          <w:color w:val="auto"/>
          <w:szCs w:val="24"/>
        </w:rPr>
        <w:t>ost</w:t>
      </w:r>
      <w:r w:rsidR="00E776F7">
        <w:rPr>
          <w:rFonts w:asciiTheme="minorHAnsi" w:hAnsiTheme="minorHAnsi" w:cstheme="minorHAnsi"/>
          <w:color w:val="auto"/>
          <w:szCs w:val="24"/>
        </w:rPr>
        <w:t>c</w:t>
      </w:r>
      <w:r w:rsidR="00317B92" w:rsidRPr="00042568">
        <w:rPr>
          <w:rFonts w:asciiTheme="minorHAnsi" w:hAnsiTheme="minorHAnsi" w:cstheme="minorHAnsi"/>
          <w:color w:val="auto"/>
          <w:szCs w:val="24"/>
        </w:rPr>
        <w:t xml:space="preserve">oncussive </w:t>
      </w:r>
      <w:r w:rsidR="00E776F7">
        <w:rPr>
          <w:rFonts w:asciiTheme="minorHAnsi" w:hAnsiTheme="minorHAnsi" w:cstheme="minorHAnsi"/>
          <w:color w:val="auto"/>
          <w:szCs w:val="24"/>
        </w:rPr>
        <w:t>s</w:t>
      </w:r>
      <w:r w:rsidR="00317B92" w:rsidRPr="00042568">
        <w:rPr>
          <w:rFonts w:asciiTheme="minorHAnsi" w:hAnsiTheme="minorHAnsi" w:cstheme="minorHAnsi"/>
          <w:color w:val="auto"/>
          <w:szCs w:val="24"/>
        </w:rPr>
        <w:t xml:space="preserve">yndrome as not service connected citing no residuals after rating PTSD (claimed as depression) subsuming </w:t>
      </w:r>
      <w:r w:rsidR="00E776F7">
        <w:rPr>
          <w:rFonts w:asciiTheme="minorHAnsi" w:hAnsiTheme="minorHAnsi" w:cstheme="minorHAnsi"/>
          <w:color w:val="auto"/>
          <w:szCs w:val="24"/>
        </w:rPr>
        <w:t>the overlapping symptoms of cognitive disorder and insomnia in the rating for PTSD and award</w:t>
      </w:r>
      <w:r w:rsidR="00DD1094">
        <w:rPr>
          <w:rFonts w:asciiTheme="minorHAnsi" w:hAnsiTheme="minorHAnsi" w:cstheme="minorHAnsi"/>
          <w:color w:val="auto"/>
          <w:szCs w:val="24"/>
        </w:rPr>
        <w:t>ed</w:t>
      </w:r>
      <w:r w:rsidR="00E776F7">
        <w:rPr>
          <w:rFonts w:asciiTheme="minorHAnsi" w:hAnsiTheme="minorHAnsi" w:cstheme="minorHAnsi"/>
          <w:color w:val="auto"/>
          <w:szCs w:val="24"/>
        </w:rPr>
        <w:t xml:space="preserve"> separate ratings for </w:t>
      </w:r>
      <w:r w:rsidR="00317B92" w:rsidRPr="00042568">
        <w:rPr>
          <w:rFonts w:asciiTheme="minorHAnsi" w:hAnsiTheme="minorHAnsi" w:cstheme="minorHAnsi"/>
          <w:color w:val="auto"/>
          <w:szCs w:val="24"/>
        </w:rPr>
        <w:t xml:space="preserve">migraines </w:t>
      </w:r>
      <w:r w:rsidR="00E776F7">
        <w:rPr>
          <w:rFonts w:asciiTheme="minorHAnsi" w:hAnsiTheme="minorHAnsi" w:cstheme="minorHAnsi"/>
          <w:color w:val="auto"/>
          <w:szCs w:val="24"/>
        </w:rPr>
        <w:t>(</w:t>
      </w:r>
      <w:r w:rsidR="00317B92" w:rsidRPr="00042568">
        <w:rPr>
          <w:rFonts w:asciiTheme="minorHAnsi" w:hAnsiTheme="minorHAnsi" w:cstheme="minorHAnsi"/>
          <w:color w:val="auto"/>
          <w:szCs w:val="24"/>
        </w:rPr>
        <w:t>subsuming dizziness</w:t>
      </w:r>
      <w:r w:rsidR="00E776F7">
        <w:rPr>
          <w:rFonts w:asciiTheme="minorHAnsi" w:hAnsiTheme="minorHAnsi" w:cstheme="minorHAnsi"/>
          <w:color w:val="auto"/>
          <w:szCs w:val="24"/>
        </w:rPr>
        <w:t>)</w:t>
      </w:r>
      <w:r w:rsidR="00317B92" w:rsidRPr="00042568">
        <w:rPr>
          <w:rFonts w:asciiTheme="minorHAnsi" w:hAnsiTheme="minorHAnsi" w:cstheme="minorHAnsi"/>
          <w:color w:val="auto"/>
          <w:szCs w:val="24"/>
        </w:rPr>
        <w:t>, and tinnitus.</w:t>
      </w:r>
      <w:r w:rsidR="00F95B86">
        <w:rPr>
          <w:rFonts w:asciiTheme="minorHAnsi" w:hAnsiTheme="minorHAnsi" w:cstheme="minorHAnsi"/>
          <w:color w:val="auto"/>
          <w:szCs w:val="24"/>
        </w:rPr>
        <w:t xml:space="preserve"> </w:t>
      </w:r>
      <w:r w:rsidR="0004145B" w:rsidRPr="00042568">
        <w:rPr>
          <w:rFonts w:asciiTheme="minorHAnsi" w:hAnsiTheme="minorHAnsi" w:cstheme="minorHAnsi"/>
          <w:color w:val="auto"/>
          <w:szCs w:val="24"/>
        </w:rPr>
        <w:t>The VA assigned a 30% rating for the PTSD condition based on §4.130 criteria without relyin</w:t>
      </w:r>
      <w:r w:rsidR="00F95B86">
        <w:rPr>
          <w:rFonts w:asciiTheme="minorHAnsi" w:hAnsiTheme="minorHAnsi" w:cstheme="minorHAnsi"/>
          <w:color w:val="auto"/>
          <w:szCs w:val="24"/>
        </w:rPr>
        <w:t xml:space="preserve">g on the provisions of §4.129. </w:t>
      </w:r>
      <w:r w:rsidR="0004145B" w:rsidRPr="00042568">
        <w:rPr>
          <w:rFonts w:asciiTheme="minorHAnsi" w:hAnsiTheme="minorHAnsi" w:cstheme="minorHAnsi"/>
          <w:color w:val="auto"/>
          <w:szCs w:val="24"/>
        </w:rPr>
        <w:t>The VA rater’s rationale for a 30% rating was well elucidated in the rating decision</w:t>
      </w:r>
      <w:r w:rsidR="00821BA2">
        <w:rPr>
          <w:rFonts w:asciiTheme="minorHAnsi" w:hAnsiTheme="minorHAnsi" w:cstheme="minorHAnsi"/>
          <w:color w:val="auto"/>
          <w:szCs w:val="24"/>
        </w:rPr>
        <w:t xml:space="preserve">. The rating for PTSD was </w:t>
      </w:r>
      <w:r w:rsidR="0004145B" w:rsidRPr="00042568">
        <w:rPr>
          <w:rFonts w:asciiTheme="minorHAnsi" w:hAnsiTheme="minorHAnsi" w:cstheme="minorHAnsi"/>
          <w:color w:val="auto"/>
          <w:szCs w:val="24"/>
        </w:rPr>
        <w:t>increase</w:t>
      </w:r>
      <w:r w:rsidR="00E776F7">
        <w:rPr>
          <w:rFonts w:asciiTheme="minorHAnsi" w:hAnsiTheme="minorHAnsi" w:cstheme="minorHAnsi"/>
          <w:color w:val="auto"/>
          <w:szCs w:val="24"/>
        </w:rPr>
        <w:t>d</w:t>
      </w:r>
      <w:r w:rsidR="0004145B" w:rsidRPr="00042568">
        <w:rPr>
          <w:rFonts w:asciiTheme="minorHAnsi" w:hAnsiTheme="minorHAnsi" w:cstheme="minorHAnsi"/>
          <w:color w:val="auto"/>
          <w:szCs w:val="24"/>
        </w:rPr>
        <w:t xml:space="preserve"> to 50% based on a decreasing GAF score of 45-50 at the six month interval with residual memory issues related to PTSD and insomnia not </w:t>
      </w:r>
      <w:r w:rsidR="00C16775">
        <w:rPr>
          <w:rFonts w:asciiTheme="minorHAnsi" w:hAnsiTheme="minorHAnsi" w:cstheme="minorHAnsi"/>
          <w:color w:val="auto"/>
          <w:szCs w:val="24"/>
        </w:rPr>
        <w:t xml:space="preserve">mild </w:t>
      </w:r>
      <w:r w:rsidR="0004145B" w:rsidRPr="00042568">
        <w:rPr>
          <w:rFonts w:asciiTheme="minorHAnsi" w:hAnsiTheme="minorHAnsi" w:cstheme="minorHAnsi"/>
          <w:color w:val="auto"/>
          <w:szCs w:val="24"/>
        </w:rPr>
        <w:t>TBI.</w:t>
      </w:r>
      <w:r w:rsidR="0004145B" w:rsidRPr="00042568">
        <w:rPr>
          <w:rFonts w:asciiTheme="minorHAnsi" w:hAnsiTheme="minorHAnsi" w:cstheme="minorHAnsi"/>
          <w:szCs w:val="24"/>
        </w:rPr>
        <w:t xml:space="preserve"> </w:t>
      </w:r>
      <w:r w:rsidR="0004145B" w:rsidRPr="00042568">
        <w:rPr>
          <w:rFonts w:asciiTheme="minorHAnsi" w:hAnsiTheme="minorHAnsi" w:cstheme="minorHAnsi"/>
          <w:color w:val="auto"/>
          <w:szCs w:val="24"/>
        </w:rPr>
        <w:t xml:space="preserve">The VA also cited there was not enough evidence to determine if the </w:t>
      </w:r>
      <w:r w:rsidR="00E776F7">
        <w:rPr>
          <w:rFonts w:asciiTheme="minorHAnsi" w:hAnsiTheme="minorHAnsi" w:cstheme="minorHAnsi"/>
          <w:color w:val="auto"/>
          <w:szCs w:val="24"/>
        </w:rPr>
        <w:t>p</w:t>
      </w:r>
      <w:r w:rsidR="0004145B" w:rsidRPr="00042568">
        <w:rPr>
          <w:rFonts w:asciiTheme="minorHAnsi" w:hAnsiTheme="minorHAnsi" w:cstheme="minorHAnsi"/>
          <w:color w:val="auto"/>
          <w:szCs w:val="24"/>
        </w:rPr>
        <w:t xml:space="preserve">ersonality </w:t>
      </w:r>
      <w:r w:rsidR="00E776F7">
        <w:rPr>
          <w:rFonts w:asciiTheme="minorHAnsi" w:hAnsiTheme="minorHAnsi" w:cstheme="minorHAnsi"/>
          <w:color w:val="auto"/>
          <w:szCs w:val="24"/>
        </w:rPr>
        <w:t>d</w:t>
      </w:r>
      <w:r w:rsidR="0004145B" w:rsidRPr="00042568">
        <w:rPr>
          <w:rFonts w:asciiTheme="minorHAnsi" w:hAnsiTheme="minorHAnsi" w:cstheme="minorHAnsi"/>
          <w:color w:val="auto"/>
          <w:szCs w:val="24"/>
        </w:rPr>
        <w:t xml:space="preserve">isorder existed prior to service or was a direct result of the blast </w:t>
      </w:r>
      <w:r w:rsidR="00F95B86">
        <w:rPr>
          <w:rFonts w:asciiTheme="minorHAnsi" w:hAnsiTheme="minorHAnsi" w:cstheme="minorHAnsi"/>
          <w:color w:val="auto"/>
          <w:szCs w:val="24"/>
        </w:rPr>
        <w:t xml:space="preserve">injury therefore did not rate. </w:t>
      </w:r>
      <w:r w:rsidR="0004145B" w:rsidRPr="00042568">
        <w:rPr>
          <w:rFonts w:asciiTheme="minorHAnsi" w:hAnsiTheme="minorHAnsi" w:cstheme="minorHAnsi"/>
          <w:color w:val="auto"/>
          <w:szCs w:val="24"/>
        </w:rPr>
        <w:t xml:space="preserve">Finally, the VA cited the CI declined to undergo further </w:t>
      </w:r>
      <w:r w:rsidR="00DE0160" w:rsidRPr="00042568">
        <w:rPr>
          <w:rFonts w:asciiTheme="minorHAnsi" w:hAnsiTheme="minorHAnsi" w:cstheme="minorHAnsi"/>
          <w:color w:val="auto"/>
          <w:szCs w:val="24"/>
        </w:rPr>
        <w:t>neuropsychiatric</w:t>
      </w:r>
      <w:r w:rsidR="0004145B" w:rsidRPr="00042568">
        <w:rPr>
          <w:rFonts w:asciiTheme="minorHAnsi" w:hAnsiTheme="minorHAnsi" w:cstheme="minorHAnsi"/>
          <w:color w:val="auto"/>
          <w:szCs w:val="24"/>
        </w:rPr>
        <w:t xml:space="preserve"> testing and that his recent VA TBI assessment revealed a history of exposure to improvised explosives without traumatic brain injury.  </w:t>
      </w:r>
    </w:p>
    <w:p w:rsidR="00DB488D" w:rsidRDefault="00DB488D" w:rsidP="00300479">
      <w:pPr>
        <w:spacing w:line="240" w:lineRule="exact"/>
        <w:jc w:val="both"/>
        <w:rPr>
          <w:rFonts w:asciiTheme="minorHAnsi" w:hAnsiTheme="minorHAnsi" w:cstheme="minorHAnsi"/>
          <w:color w:val="auto"/>
          <w:szCs w:val="24"/>
        </w:rPr>
      </w:pPr>
    </w:p>
    <w:p w:rsidR="00DB488D" w:rsidRDefault="00DB488D" w:rsidP="00300479">
      <w:pPr>
        <w:spacing w:line="240" w:lineRule="exact"/>
        <w:jc w:val="both"/>
        <w:rPr>
          <w:rFonts w:asciiTheme="minorHAnsi" w:hAnsiTheme="minorHAnsi"/>
          <w:color w:val="auto"/>
          <w:szCs w:val="24"/>
        </w:rPr>
      </w:pPr>
      <w:r>
        <w:rPr>
          <w:rFonts w:asciiTheme="minorHAnsi" w:hAnsiTheme="minorHAnsi" w:cstheme="minorHAnsi"/>
          <w:color w:val="auto"/>
          <w:szCs w:val="24"/>
        </w:rPr>
        <w:t>As noted above, the Board considered whether TBI or PTSD was the predominant unfitting condition and whether there was evidence the two diagnoses were separately unf</w:t>
      </w:r>
      <w:r w:rsidR="00F95B86">
        <w:rPr>
          <w:rFonts w:asciiTheme="minorHAnsi" w:hAnsiTheme="minorHAnsi" w:cstheme="minorHAnsi"/>
          <w:color w:val="auto"/>
          <w:szCs w:val="24"/>
        </w:rPr>
        <w:t xml:space="preserve">itting and ratable conditions. </w:t>
      </w:r>
      <w:r w:rsidR="00936E04" w:rsidRPr="00042568">
        <w:rPr>
          <w:rFonts w:asciiTheme="minorHAnsi" w:hAnsiTheme="minorHAnsi" w:cstheme="minorHAnsi"/>
          <w:color w:val="auto"/>
          <w:szCs w:val="24"/>
        </w:rPr>
        <w:t>There was a</w:t>
      </w:r>
      <w:r w:rsidR="004D1553" w:rsidRPr="00042568">
        <w:rPr>
          <w:rFonts w:asciiTheme="minorHAnsi" w:hAnsiTheme="minorHAnsi" w:cstheme="minorHAnsi"/>
          <w:color w:val="auto"/>
          <w:szCs w:val="24"/>
        </w:rPr>
        <w:t xml:space="preserve"> LIMDU prohibiting weapons use, </w:t>
      </w:r>
      <w:r w:rsidR="00936E04" w:rsidRPr="00042568">
        <w:rPr>
          <w:rFonts w:asciiTheme="minorHAnsi" w:hAnsiTheme="minorHAnsi" w:cstheme="minorHAnsi"/>
          <w:color w:val="auto"/>
          <w:szCs w:val="24"/>
        </w:rPr>
        <w:t xml:space="preserve">three </w:t>
      </w:r>
      <w:r w:rsidR="004D1553" w:rsidRPr="00042568">
        <w:rPr>
          <w:rFonts w:asciiTheme="minorHAnsi" w:hAnsiTheme="minorHAnsi" w:cstheme="minorHAnsi"/>
          <w:color w:val="auto"/>
          <w:szCs w:val="24"/>
        </w:rPr>
        <w:t xml:space="preserve">neuropsychological assessments concluding PTSD and MDD were </w:t>
      </w:r>
      <w:r w:rsidR="00C16775">
        <w:rPr>
          <w:rFonts w:asciiTheme="minorHAnsi" w:hAnsiTheme="minorHAnsi" w:cstheme="minorHAnsi"/>
          <w:color w:val="auto"/>
          <w:szCs w:val="24"/>
        </w:rPr>
        <w:t xml:space="preserve">significantly </w:t>
      </w:r>
      <w:r w:rsidR="004D1553" w:rsidRPr="00042568">
        <w:rPr>
          <w:rFonts w:asciiTheme="minorHAnsi" w:hAnsiTheme="minorHAnsi" w:cstheme="minorHAnsi"/>
          <w:color w:val="auto"/>
          <w:szCs w:val="24"/>
        </w:rPr>
        <w:t xml:space="preserve">contributing to his cognitive disorder, </w:t>
      </w:r>
      <w:r w:rsidR="00936E04" w:rsidRPr="00042568">
        <w:rPr>
          <w:rFonts w:asciiTheme="minorHAnsi" w:hAnsiTheme="minorHAnsi" w:cstheme="minorHAnsi"/>
          <w:color w:val="auto"/>
          <w:szCs w:val="24"/>
        </w:rPr>
        <w:t>SARP</w:t>
      </w:r>
      <w:r w:rsidR="004D1553" w:rsidRPr="00042568">
        <w:rPr>
          <w:rFonts w:asciiTheme="minorHAnsi" w:hAnsiTheme="minorHAnsi" w:cstheme="minorHAnsi"/>
          <w:color w:val="auto"/>
          <w:szCs w:val="24"/>
        </w:rPr>
        <w:t xml:space="preserve"> documenting alcohol dependence in remission with PTSD and the NMA’s statement noting thirty hours of work missed but otherwise work exceptional</w:t>
      </w:r>
      <w:r w:rsidR="00F95B86">
        <w:rPr>
          <w:rFonts w:asciiTheme="minorHAnsi" w:hAnsiTheme="minorHAnsi" w:cstheme="minorHAnsi"/>
          <w:color w:val="auto"/>
          <w:szCs w:val="24"/>
        </w:rPr>
        <w:t xml:space="preserve">. </w:t>
      </w:r>
      <w:r w:rsidR="002F797D" w:rsidRPr="00042568">
        <w:rPr>
          <w:rFonts w:asciiTheme="minorHAnsi" w:hAnsiTheme="minorHAnsi" w:cstheme="minorHAnsi"/>
          <w:color w:val="auto"/>
          <w:szCs w:val="24"/>
        </w:rPr>
        <w:t>The record available for review supports a single IED</w:t>
      </w:r>
      <w:r w:rsidR="0004145B" w:rsidRPr="00042568">
        <w:rPr>
          <w:rFonts w:asciiTheme="minorHAnsi" w:hAnsiTheme="minorHAnsi" w:cstheme="minorHAnsi"/>
          <w:color w:val="auto"/>
          <w:szCs w:val="24"/>
        </w:rPr>
        <w:t xml:space="preserve"> injury resulting</w:t>
      </w:r>
      <w:r w:rsidR="00F95B86">
        <w:rPr>
          <w:rFonts w:asciiTheme="minorHAnsi" w:hAnsiTheme="minorHAnsi" w:cstheme="minorHAnsi"/>
          <w:color w:val="auto"/>
          <w:szCs w:val="24"/>
        </w:rPr>
        <w:t xml:space="preserve"> in a return to duty status. </w:t>
      </w:r>
      <w:r w:rsidR="002F797D" w:rsidRPr="00042568">
        <w:rPr>
          <w:rFonts w:asciiTheme="minorHAnsi" w:hAnsiTheme="minorHAnsi" w:cstheme="minorHAnsi"/>
          <w:color w:val="auto"/>
          <w:szCs w:val="24"/>
        </w:rPr>
        <w:t xml:space="preserve">Furthermore there was </w:t>
      </w:r>
      <w:r w:rsidR="00DA02B7" w:rsidRPr="00042568">
        <w:rPr>
          <w:rFonts w:asciiTheme="minorHAnsi" w:hAnsiTheme="minorHAnsi" w:cstheme="minorHAnsi"/>
          <w:color w:val="auto"/>
          <w:szCs w:val="24"/>
        </w:rPr>
        <w:t>neither LOC nor</w:t>
      </w:r>
      <w:r w:rsidR="00BB391A">
        <w:rPr>
          <w:rFonts w:asciiTheme="minorHAnsi" w:hAnsiTheme="minorHAnsi" w:cstheme="minorHAnsi"/>
          <w:color w:val="auto"/>
          <w:szCs w:val="24"/>
        </w:rPr>
        <w:t xml:space="preserve"> amnesia </w:t>
      </w:r>
      <w:r w:rsidR="0004145B" w:rsidRPr="00042568">
        <w:rPr>
          <w:rFonts w:asciiTheme="minorHAnsi" w:hAnsiTheme="minorHAnsi" w:cstheme="minorHAnsi"/>
          <w:color w:val="auto"/>
          <w:szCs w:val="24"/>
        </w:rPr>
        <w:t>with this injury</w:t>
      </w:r>
      <w:r w:rsidR="00F95B86">
        <w:rPr>
          <w:rFonts w:asciiTheme="minorHAnsi" w:hAnsiTheme="minorHAnsi" w:cstheme="minorHAnsi"/>
          <w:color w:val="auto"/>
          <w:szCs w:val="24"/>
        </w:rPr>
        <w:t xml:space="preserve">. </w:t>
      </w:r>
      <w:r w:rsidR="002F797D" w:rsidRPr="00042568">
        <w:rPr>
          <w:rFonts w:asciiTheme="minorHAnsi" w:hAnsiTheme="minorHAnsi" w:cstheme="minorHAnsi"/>
          <w:color w:val="auto"/>
          <w:szCs w:val="24"/>
        </w:rPr>
        <w:t xml:space="preserve">This event could be at </w:t>
      </w:r>
      <w:r w:rsidR="00614FB5">
        <w:rPr>
          <w:rFonts w:asciiTheme="minorHAnsi" w:hAnsiTheme="minorHAnsi" w:cstheme="minorHAnsi"/>
          <w:color w:val="auto"/>
          <w:szCs w:val="24"/>
        </w:rPr>
        <w:t xml:space="preserve">most </w:t>
      </w:r>
      <w:r w:rsidR="002F797D" w:rsidRPr="00042568">
        <w:rPr>
          <w:rFonts w:asciiTheme="minorHAnsi" w:hAnsiTheme="minorHAnsi" w:cstheme="minorHAnsi"/>
          <w:color w:val="auto"/>
          <w:szCs w:val="24"/>
        </w:rPr>
        <w:t>a Grade I concussion although not formally diagnosed.</w:t>
      </w:r>
      <w:r w:rsidR="00F95B86">
        <w:rPr>
          <w:rFonts w:asciiTheme="minorHAnsi" w:hAnsiTheme="minorHAnsi" w:cstheme="minorHAnsi"/>
          <w:color w:val="auto"/>
          <w:szCs w:val="24"/>
        </w:rPr>
        <w:t xml:space="preserve"> </w:t>
      </w:r>
      <w:r w:rsidR="00DA02B7">
        <w:rPr>
          <w:rFonts w:asciiTheme="minorHAnsi" w:hAnsiTheme="minorHAnsi" w:cstheme="minorHAnsi"/>
          <w:color w:val="auto"/>
          <w:szCs w:val="24"/>
        </w:rPr>
        <w:t>Typically individuals recover and are returned to duty or contact sports within a</w:t>
      </w:r>
      <w:r w:rsidR="00F95B86">
        <w:rPr>
          <w:rFonts w:asciiTheme="minorHAnsi" w:hAnsiTheme="minorHAnsi" w:cstheme="minorHAnsi"/>
          <w:color w:val="auto"/>
          <w:szCs w:val="24"/>
        </w:rPr>
        <w:t xml:space="preserve"> week of a Grade I concussion. </w:t>
      </w:r>
      <w:r w:rsidR="002F797D" w:rsidRPr="00042568">
        <w:rPr>
          <w:rFonts w:asciiTheme="minorHAnsi" w:hAnsiTheme="minorHAnsi" w:cstheme="minorHAnsi"/>
          <w:color w:val="auto"/>
          <w:szCs w:val="24"/>
        </w:rPr>
        <w:t>The Board con</w:t>
      </w:r>
      <w:r w:rsidR="0004145B" w:rsidRPr="00042568">
        <w:rPr>
          <w:rFonts w:asciiTheme="minorHAnsi" w:hAnsiTheme="minorHAnsi" w:cstheme="minorHAnsi"/>
          <w:color w:val="auto"/>
          <w:szCs w:val="24"/>
        </w:rPr>
        <w:t>sidered the abatement of his symptoms while on emergency leave</w:t>
      </w:r>
      <w:r w:rsidR="002F797D" w:rsidRPr="00042568">
        <w:rPr>
          <w:rFonts w:asciiTheme="minorHAnsi" w:hAnsiTheme="minorHAnsi" w:cstheme="minorHAnsi"/>
          <w:color w:val="auto"/>
          <w:szCs w:val="24"/>
        </w:rPr>
        <w:t xml:space="preserve"> and the resurgence of symptoms</w:t>
      </w:r>
      <w:r w:rsidR="009C4BC8">
        <w:rPr>
          <w:rFonts w:asciiTheme="minorHAnsi" w:hAnsiTheme="minorHAnsi" w:cstheme="minorHAnsi"/>
          <w:color w:val="auto"/>
          <w:szCs w:val="24"/>
        </w:rPr>
        <w:t xml:space="preserve"> when</w:t>
      </w:r>
      <w:r w:rsidR="002F797D" w:rsidRPr="00042568">
        <w:rPr>
          <w:rFonts w:asciiTheme="minorHAnsi" w:hAnsiTheme="minorHAnsi" w:cstheme="minorHAnsi"/>
          <w:color w:val="auto"/>
          <w:szCs w:val="24"/>
        </w:rPr>
        <w:t xml:space="preserve"> returni</w:t>
      </w:r>
      <w:r w:rsidR="002F797D" w:rsidRPr="00DE0160">
        <w:rPr>
          <w:rFonts w:asciiTheme="minorHAnsi" w:hAnsiTheme="minorHAnsi" w:cstheme="minorHAnsi"/>
          <w:color w:val="auto"/>
          <w:szCs w:val="24"/>
        </w:rPr>
        <w:t>ng to duty which</w:t>
      </w:r>
      <w:r w:rsidR="003059BA" w:rsidRPr="00DE0160">
        <w:rPr>
          <w:rFonts w:asciiTheme="minorHAnsi" w:hAnsiTheme="minorHAnsi" w:cstheme="minorHAnsi"/>
          <w:color w:val="auto"/>
          <w:szCs w:val="24"/>
        </w:rPr>
        <w:t xml:space="preserve"> </w:t>
      </w:r>
      <w:r w:rsidR="00DE0160" w:rsidRPr="00DE0160">
        <w:rPr>
          <w:rFonts w:asciiTheme="minorHAnsi" w:hAnsiTheme="minorHAnsi" w:cstheme="minorHAnsi"/>
          <w:color w:val="auto"/>
          <w:szCs w:val="24"/>
        </w:rPr>
        <w:t xml:space="preserve">is </w:t>
      </w:r>
      <w:r w:rsidR="003059BA" w:rsidRPr="00DE0160">
        <w:rPr>
          <w:rFonts w:asciiTheme="minorHAnsi" w:hAnsiTheme="minorHAnsi" w:cstheme="minorHAnsi"/>
          <w:color w:val="auto"/>
          <w:szCs w:val="24"/>
        </w:rPr>
        <w:t>more suggestive of a psychiatric</w:t>
      </w:r>
      <w:r w:rsidR="002F797D" w:rsidRPr="00DE0160">
        <w:rPr>
          <w:rFonts w:asciiTheme="minorHAnsi" w:hAnsiTheme="minorHAnsi" w:cstheme="minorHAnsi"/>
          <w:color w:val="auto"/>
          <w:szCs w:val="24"/>
        </w:rPr>
        <w:t xml:space="preserve"> </w:t>
      </w:r>
      <w:r w:rsidR="003059BA" w:rsidRPr="00DE0160">
        <w:rPr>
          <w:rFonts w:asciiTheme="minorHAnsi" w:hAnsiTheme="minorHAnsi" w:cstheme="minorHAnsi"/>
          <w:color w:val="auto"/>
          <w:szCs w:val="24"/>
        </w:rPr>
        <w:t>condition t</w:t>
      </w:r>
      <w:r w:rsidR="00F95B86">
        <w:rPr>
          <w:rFonts w:asciiTheme="minorHAnsi" w:hAnsiTheme="minorHAnsi" w:cstheme="minorHAnsi"/>
          <w:color w:val="auto"/>
          <w:szCs w:val="24"/>
        </w:rPr>
        <w:t xml:space="preserve">han post-concussive condition. </w:t>
      </w:r>
      <w:r w:rsidR="0004145B" w:rsidRPr="00DE0160">
        <w:rPr>
          <w:rFonts w:asciiTheme="minorHAnsi" w:hAnsiTheme="minorHAnsi" w:cstheme="minorHAnsi"/>
          <w:color w:val="auto"/>
          <w:szCs w:val="24"/>
        </w:rPr>
        <w:t xml:space="preserve">The Board </w:t>
      </w:r>
      <w:r w:rsidR="003059BA" w:rsidRPr="00DE0160">
        <w:rPr>
          <w:rFonts w:asciiTheme="minorHAnsi" w:hAnsiTheme="minorHAnsi" w:cstheme="minorHAnsi"/>
          <w:color w:val="auto"/>
          <w:szCs w:val="24"/>
        </w:rPr>
        <w:t xml:space="preserve">concluded </w:t>
      </w:r>
      <w:r w:rsidR="00300479">
        <w:rPr>
          <w:rFonts w:asciiTheme="minorHAnsi" w:hAnsiTheme="minorHAnsi" w:cstheme="minorHAnsi"/>
          <w:color w:val="auto"/>
          <w:szCs w:val="24"/>
        </w:rPr>
        <w:t>that PTSD, not post</w:t>
      </w:r>
      <w:r w:rsidR="00E776F7" w:rsidRPr="00DE0160">
        <w:rPr>
          <w:rFonts w:asciiTheme="minorHAnsi" w:hAnsiTheme="minorHAnsi" w:cstheme="minorHAnsi"/>
          <w:color w:val="auto"/>
          <w:szCs w:val="24"/>
        </w:rPr>
        <w:t xml:space="preserve">concussive syndrome was the predominant unfitting </w:t>
      </w:r>
      <w:r w:rsidR="00E776F7" w:rsidRPr="00DE0160">
        <w:rPr>
          <w:rFonts w:asciiTheme="minorHAnsi" w:hAnsiTheme="minorHAnsi" w:cstheme="minorHAnsi"/>
          <w:color w:val="auto"/>
          <w:szCs w:val="24"/>
        </w:rPr>
        <w:lastRenderedPageBreak/>
        <w:t>condition and that the</w:t>
      </w:r>
      <w:r w:rsidR="00FD5CC5" w:rsidRPr="00DE0160">
        <w:rPr>
          <w:rFonts w:asciiTheme="minorHAnsi" w:hAnsiTheme="minorHAnsi" w:cstheme="minorHAnsi"/>
          <w:color w:val="auto"/>
          <w:szCs w:val="24"/>
        </w:rPr>
        <w:t xml:space="preserve"> most </w:t>
      </w:r>
      <w:r w:rsidR="00E776F7" w:rsidRPr="00DE0160">
        <w:rPr>
          <w:rFonts w:asciiTheme="minorHAnsi" w:hAnsiTheme="minorHAnsi" w:cstheme="minorHAnsi"/>
          <w:color w:val="auto"/>
          <w:szCs w:val="24"/>
        </w:rPr>
        <w:t xml:space="preserve">accurate </w:t>
      </w:r>
      <w:r w:rsidR="00FD5CC5" w:rsidRPr="00DE0160">
        <w:rPr>
          <w:rFonts w:asciiTheme="minorHAnsi" w:hAnsiTheme="minorHAnsi" w:cstheme="minorHAnsi"/>
          <w:color w:val="auto"/>
          <w:szCs w:val="24"/>
        </w:rPr>
        <w:t>way</w:t>
      </w:r>
      <w:r w:rsidR="00936E04" w:rsidRPr="00DE0160">
        <w:rPr>
          <w:rFonts w:asciiTheme="minorHAnsi" w:hAnsiTheme="minorHAnsi" w:cstheme="minorHAnsi"/>
          <w:color w:val="auto"/>
          <w:szCs w:val="24"/>
        </w:rPr>
        <w:t xml:space="preserve"> </w:t>
      </w:r>
      <w:r w:rsidR="00FD5CC5" w:rsidRPr="00DE0160">
        <w:rPr>
          <w:rFonts w:asciiTheme="minorHAnsi" w:hAnsiTheme="minorHAnsi" w:cstheme="minorHAnsi"/>
          <w:color w:val="auto"/>
          <w:szCs w:val="24"/>
        </w:rPr>
        <w:t>to capture</w:t>
      </w:r>
      <w:r w:rsidR="0004145B" w:rsidRPr="00DE0160">
        <w:rPr>
          <w:rFonts w:asciiTheme="minorHAnsi" w:hAnsiTheme="minorHAnsi" w:cstheme="minorHAnsi"/>
          <w:color w:val="auto"/>
          <w:szCs w:val="24"/>
        </w:rPr>
        <w:t xml:space="preserve"> the CI’s</w:t>
      </w:r>
      <w:r w:rsidR="00936E04" w:rsidRPr="00DE0160">
        <w:rPr>
          <w:rFonts w:asciiTheme="minorHAnsi" w:hAnsiTheme="minorHAnsi" w:cstheme="minorHAnsi"/>
          <w:color w:val="auto"/>
          <w:szCs w:val="24"/>
        </w:rPr>
        <w:t xml:space="preserve"> over</w:t>
      </w:r>
      <w:r w:rsidR="0004145B" w:rsidRPr="00DE0160">
        <w:rPr>
          <w:rFonts w:asciiTheme="minorHAnsi" w:hAnsiTheme="minorHAnsi" w:cstheme="minorHAnsi"/>
          <w:color w:val="auto"/>
          <w:szCs w:val="24"/>
        </w:rPr>
        <w:t xml:space="preserve">all </w:t>
      </w:r>
      <w:r w:rsidR="00E776F7" w:rsidRPr="00DE0160">
        <w:rPr>
          <w:rFonts w:asciiTheme="minorHAnsi" w:hAnsiTheme="minorHAnsi" w:cstheme="minorHAnsi"/>
          <w:color w:val="auto"/>
          <w:szCs w:val="24"/>
        </w:rPr>
        <w:t xml:space="preserve">unfitting </w:t>
      </w:r>
      <w:r w:rsidR="0004145B" w:rsidRPr="00DE0160">
        <w:rPr>
          <w:rFonts w:asciiTheme="minorHAnsi" w:hAnsiTheme="minorHAnsi" w:cstheme="minorHAnsi"/>
          <w:color w:val="auto"/>
          <w:szCs w:val="24"/>
        </w:rPr>
        <w:t xml:space="preserve">disability </w:t>
      </w:r>
      <w:r w:rsidR="00E776F7" w:rsidRPr="00DE0160">
        <w:rPr>
          <w:rFonts w:asciiTheme="minorHAnsi" w:hAnsiTheme="minorHAnsi" w:cstheme="minorHAnsi"/>
          <w:color w:val="auto"/>
          <w:szCs w:val="24"/>
        </w:rPr>
        <w:t xml:space="preserve">for rating </w:t>
      </w:r>
      <w:r w:rsidR="00FD5CC5" w:rsidRPr="00DE0160">
        <w:rPr>
          <w:rFonts w:asciiTheme="minorHAnsi" w:hAnsiTheme="minorHAnsi" w:cstheme="minorHAnsi"/>
          <w:color w:val="auto"/>
          <w:szCs w:val="24"/>
        </w:rPr>
        <w:t>w</w:t>
      </w:r>
      <w:r w:rsidR="0004145B" w:rsidRPr="00DE0160">
        <w:rPr>
          <w:rFonts w:asciiTheme="minorHAnsi" w:hAnsiTheme="minorHAnsi" w:cstheme="minorHAnsi"/>
          <w:color w:val="auto"/>
          <w:szCs w:val="24"/>
        </w:rPr>
        <w:t xml:space="preserve">as </w:t>
      </w:r>
      <w:r w:rsidR="00FD5CC5" w:rsidRPr="00DE0160">
        <w:rPr>
          <w:rFonts w:asciiTheme="minorHAnsi" w:hAnsiTheme="minorHAnsi" w:cstheme="minorHAnsi"/>
          <w:color w:val="auto"/>
          <w:szCs w:val="24"/>
        </w:rPr>
        <w:t xml:space="preserve">to rate his </w:t>
      </w:r>
      <w:r w:rsidR="00E776F7" w:rsidRPr="00DE0160">
        <w:rPr>
          <w:rFonts w:asciiTheme="minorHAnsi" w:hAnsiTheme="minorHAnsi" w:cstheme="minorHAnsi"/>
          <w:color w:val="auto"/>
          <w:szCs w:val="24"/>
        </w:rPr>
        <w:t>PTSD subsuming overlapping cognitive symptoms</w:t>
      </w:r>
      <w:r w:rsidR="00B12F40">
        <w:rPr>
          <w:rFonts w:asciiTheme="minorHAnsi" w:hAnsiTheme="minorHAnsi" w:cstheme="minorHAnsi"/>
          <w:color w:val="auto"/>
          <w:szCs w:val="24"/>
        </w:rPr>
        <w:t xml:space="preserve"> (IAW TL 07-05; “S</w:t>
      </w:r>
      <w:r w:rsidRPr="0088560C">
        <w:rPr>
          <w:color w:val="auto"/>
          <w:szCs w:val="24"/>
        </w:rPr>
        <w:t>ymptoms of cognitive impairment and mental disorders such as depression and PTSD often overlap.  In such cases, a single evaluation taking into account both conditions may be the most a</w:t>
      </w:r>
      <w:r w:rsidR="00E6304E">
        <w:rPr>
          <w:color w:val="auto"/>
          <w:szCs w:val="24"/>
        </w:rPr>
        <w:t>ppropriate way to evaluate them</w:t>
      </w:r>
      <w:r w:rsidRPr="0088560C">
        <w:rPr>
          <w:color w:val="auto"/>
          <w:szCs w:val="24"/>
        </w:rPr>
        <w:t>”</w:t>
      </w:r>
      <w:r w:rsidR="00B12F40">
        <w:rPr>
          <w:color w:val="auto"/>
          <w:szCs w:val="24"/>
        </w:rPr>
        <w:t>).  Post-traumatic headache is discussed separately below.</w:t>
      </w:r>
    </w:p>
    <w:p w:rsidR="00DB488D" w:rsidRPr="0004145B" w:rsidRDefault="00DB488D" w:rsidP="00300479">
      <w:pPr>
        <w:spacing w:line="240" w:lineRule="exact"/>
        <w:jc w:val="both"/>
        <w:rPr>
          <w:rFonts w:asciiTheme="minorHAnsi" w:hAnsiTheme="minorHAnsi"/>
          <w:color w:val="auto"/>
          <w:szCs w:val="24"/>
        </w:rPr>
      </w:pPr>
    </w:p>
    <w:p w:rsidR="0046183F" w:rsidRDefault="0004145B" w:rsidP="00300479">
      <w:pPr>
        <w:spacing w:line="240" w:lineRule="exact"/>
        <w:jc w:val="both"/>
        <w:rPr>
          <w:rFonts w:asciiTheme="minorHAnsi" w:hAnsiTheme="minorHAnsi"/>
          <w:color w:val="auto"/>
          <w:szCs w:val="24"/>
        </w:rPr>
      </w:pPr>
      <w:r w:rsidRPr="00042568">
        <w:rPr>
          <w:rFonts w:asciiTheme="minorHAnsi" w:hAnsiTheme="minorHAnsi"/>
          <w:color w:val="auto"/>
          <w:szCs w:val="24"/>
        </w:rPr>
        <w:t>T</w:t>
      </w:r>
      <w:r w:rsidR="006C0152" w:rsidRPr="00042568">
        <w:rPr>
          <w:rFonts w:asciiTheme="minorHAnsi" w:hAnsiTheme="minorHAnsi"/>
          <w:color w:val="auto"/>
          <w:szCs w:val="24"/>
        </w:rPr>
        <w:t xml:space="preserve">he </w:t>
      </w:r>
      <w:r w:rsidR="00FD5CC5" w:rsidRPr="00042568">
        <w:rPr>
          <w:rFonts w:asciiTheme="minorHAnsi" w:hAnsiTheme="minorHAnsi"/>
          <w:color w:val="auto"/>
          <w:szCs w:val="24"/>
        </w:rPr>
        <w:t>first charge before the Board was</w:t>
      </w:r>
      <w:r w:rsidR="006C0152" w:rsidRPr="00042568">
        <w:rPr>
          <w:rFonts w:asciiTheme="minorHAnsi" w:hAnsiTheme="minorHAnsi"/>
          <w:color w:val="auto"/>
          <w:szCs w:val="24"/>
        </w:rPr>
        <w:t xml:space="preserve"> to determine if </w:t>
      </w:r>
      <w:r w:rsidR="005C13FE" w:rsidRPr="00042568">
        <w:rPr>
          <w:color w:val="auto"/>
          <w:szCs w:val="24"/>
        </w:rPr>
        <w:t>this case was a result of a “highly stressful event” (as per §4.129).</w:t>
      </w:r>
      <w:r w:rsidR="005C13FE" w:rsidRPr="00042568">
        <w:rPr>
          <w:szCs w:val="24"/>
        </w:rPr>
        <w:t xml:space="preserve">  </w:t>
      </w:r>
      <w:r w:rsidR="005C13FE" w:rsidRPr="00042568">
        <w:rPr>
          <w:rFonts w:asciiTheme="minorHAnsi" w:hAnsiTheme="minorHAnsi" w:cstheme="minorHAnsi"/>
          <w:color w:val="auto"/>
          <w:szCs w:val="24"/>
        </w:rPr>
        <w:t xml:space="preserve">IAW </w:t>
      </w:r>
      <w:proofErr w:type="spellStart"/>
      <w:r w:rsidR="005C13FE" w:rsidRPr="00042568">
        <w:rPr>
          <w:rFonts w:asciiTheme="minorHAnsi" w:hAnsiTheme="minorHAnsi" w:cstheme="minorHAnsi"/>
          <w:color w:val="auto"/>
          <w:szCs w:val="24"/>
        </w:rPr>
        <w:t>DoDI</w:t>
      </w:r>
      <w:proofErr w:type="spellEnd"/>
      <w:r w:rsidR="005C13FE" w:rsidRPr="00042568">
        <w:rPr>
          <w:rFonts w:asciiTheme="minorHAnsi" w:hAnsiTheme="minorHAnsi" w:cstheme="minorHAnsi"/>
          <w:color w:val="auto"/>
          <w:szCs w:val="24"/>
        </w:rPr>
        <w:t xml:space="preserve"> 6040.44 and </w:t>
      </w:r>
      <w:proofErr w:type="spellStart"/>
      <w:r w:rsidR="005C13FE" w:rsidRPr="00042568">
        <w:rPr>
          <w:rFonts w:asciiTheme="minorHAnsi" w:hAnsiTheme="minorHAnsi" w:cstheme="minorHAnsi"/>
          <w:color w:val="auto"/>
          <w:szCs w:val="24"/>
        </w:rPr>
        <w:t>DoD</w:t>
      </w:r>
      <w:proofErr w:type="spellEnd"/>
      <w:r w:rsidR="005C13FE" w:rsidRPr="00042568">
        <w:rPr>
          <w:rFonts w:asciiTheme="minorHAnsi" w:hAnsiTheme="minorHAnsi" w:cstheme="minorHAnsi"/>
          <w:color w:val="auto"/>
          <w:szCs w:val="24"/>
        </w:rPr>
        <w:t xml:space="preserve"> guidance (which applies current VASRD 4.129 to all Board cases), the Board is obligated to recommend a minimum 50% PTSD rating for a retroactive six-month period on the Temporary Disability Retired List (TDRL). The Board must then determine the most appropriate fit with VASRD 4.130 criteria at six months for its permanent rating recommendation.</w:t>
      </w:r>
      <w:r w:rsidR="00F95B86">
        <w:rPr>
          <w:rFonts w:asciiTheme="minorHAnsi" w:hAnsiTheme="minorHAnsi" w:cstheme="minorHAnsi"/>
          <w:color w:val="auto"/>
          <w:szCs w:val="24"/>
        </w:rPr>
        <w:t xml:space="preserve"> </w:t>
      </w:r>
      <w:r w:rsidR="00055A86" w:rsidRPr="00042568">
        <w:rPr>
          <w:rFonts w:asciiTheme="minorHAnsi" w:hAnsiTheme="minorHAnsi" w:cstheme="minorHAnsi"/>
          <w:color w:val="auto"/>
          <w:szCs w:val="24"/>
        </w:rPr>
        <w:t xml:space="preserve">The </w:t>
      </w:r>
      <w:r w:rsidR="003059BA">
        <w:rPr>
          <w:rFonts w:asciiTheme="minorHAnsi" w:hAnsiTheme="minorHAnsi" w:cstheme="minorHAnsi"/>
          <w:color w:val="auto"/>
          <w:szCs w:val="24"/>
        </w:rPr>
        <w:t xml:space="preserve">service treatment </w:t>
      </w:r>
      <w:r w:rsidR="00055A86" w:rsidRPr="00042568">
        <w:rPr>
          <w:rFonts w:asciiTheme="minorHAnsi" w:hAnsiTheme="minorHAnsi" w:cstheme="minorHAnsi"/>
          <w:color w:val="auto"/>
          <w:szCs w:val="24"/>
        </w:rPr>
        <w:t>evidence did show the CI suffering an IED blast injury</w:t>
      </w:r>
      <w:r w:rsidR="003059BA">
        <w:rPr>
          <w:rFonts w:asciiTheme="minorHAnsi" w:hAnsiTheme="minorHAnsi" w:cstheme="minorHAnsi"/>
          <w:color w:val="auto"/>
          <w:szCs w:val="24"/>
        </w:rPr>
        <w:t xml:space="preserve">, and </w:t>
      </w:r>
      <w:r w:rsidR="00DE0160">
        <w:rPr>
          <w:rFonts w:asciiTheme="minorHAnsi" w:hAnsiTheme="minorHAnsi" w:cstheme="minorHAnsi"/>
          <w:color w:val="auto"/>
          <w:szCs w:val="24"/>
        </w:rPr>
        <w:t xml:space="preserve">an </w:t>
      </w:r>
      <w:r w:rsidR="003059BA">
        <w:rPr>
          <w:rFonts w:asciiTheme="minorHAnsi" w:hAnsiTheme="minorHAnsi" w:cstheme="minorHAnsi"/>
          <w:color w:val="auto"/>
          <w:szCs w:val="24"/>
        </w:rPr>
        <w:t xml:space="preserve">injury or death </w:t>
      </w:r>
      <w:r w:rsidR="00055A86" w:rsidRPr="00042568">
        <w:rPr>
          <w:rFonts w:asciiTheme="minorHAnsi" w:hAnsiTheme="minorHAnsi" w:cstheme="minorHAnsi"/>
          <w:color w:val="auto"/>
          <w:szCs w:val="24"/>
        </w:rPr>
        <w:t xml:space="preserve">of his fellow Marine in this same incident </w:t>
      </w:r>
      <w:r w:rsidR="00DE0160">
        <w:rPr>
          <w:rFonts w:asciiTheme="minorHAnsi" w:hAnsiTheme="minorHAnsi" w:cstheme="minorHAnsi"/>
          <w:color w:val="auto"/>
          <w:szCs w:val="24"/>
        </w:rPr>
        <w:t xml:space="preserve">which </w:t>
      </w:r>
      <w:r w:rsidR="003059BA">
        <w:rPr>
          <w:rFonts w:asciiTheme="minorHAnsi" w:hAnsiTheme="minorHAnsi" w:cstheme="minorHAnsi"/>
          <w:color w:val="auto"/>
          <w:szCs w:val="24"/>
        </w:rPr>
        <w:t xml:space="preserve">was related in later service treatment records.  The CI </w:t>
      </w:r>
      <w:r w:rsidR="00055A86" w:rsidRPr="00042568">
        <w:rPr>
          <w:rFonts w:asciiTheme="minorHAnsi" w:hAnsiTheme="minorHAnsi" w:cstheme="minorHAnsi"/>
          <w:color w:val="auto"/>
          <w:szCs w:val="24"/>
        </w:rPr>
        <w:t>receiv</w:t>
      </w:r>
      <w:r w:rsidR="003059BA">
        <w:rPr>
          <w:rFonts w:asciiTheme="minorHAnsi" w:hAnsiTheme="minorHAnsi" w:cstheme="minorHAnsi"/>
          <w:color w:val="auto"/>
          <w:szCs w:val="24"/>
        </w:rPr>
        <w:t xml:space="preserve">ed the </w:t>
      </w:r>
      <w:r w:rsidR="00E6304E">
        <w:rPr>
          <w:rFonts w:asciiTheme="minorHAnsi" w:hAnsiTheme="minorHAnsi" w:cstheme="minorHAnsi"/>
          <w:color w:val="auto"/>
          <w:szCs w:val="24"/>
        </w:rPr>
        <w:t>c</w:t>
      </w:r>
      <w:r w:rsidR="00055A86" w:rsidRPr="00042568">
        <w:rPr>
          <w:rFonts w:asciiTheme="minorHAnsi" w:hAnsiTheme="minorHAnsi" w:cstheme="minorHAnsi"/>
          <w:color w:val="auto"/>
          <w:szCs w:val="24"/>
        </w:rPr>
        <w:t xml:space="preserve">ombat </w:t>
      </w:r>
      <w:r w:rsidR="00E6304E">
        <w:rPr>
          <w:rFonts w:asciiTheme="minorHAnsi" w:hAnsiTheme="minorHAnsi" w:cstheme="minorHAnsi"/>
          <w:color w:val="auto"/>
          <w:szCs w:val="24"/>
        </w:rPr>
        <w:t>a</w:t>
      </w:r>
      <w:r w:rsidR="00055A86" w:rsidRPr="00042568">
        <w:rPr>
          <w:rFonts w:asciiTheme="minorHAnsi" w:hAnsiTheme="minorHAnsi" w:cstheme="minorHAnsi"/>
          <w:color w:val="auto"/>
          <w:szCs w:val="24"/>
        </w:rPr>
        <w:t xml:space="preserve">ction </w:t>
      </w:r>
      <w:r w:rsidR="00E6304E">
        <w:rPr>
          <w:rFonts w:asciiTheme="minorHAnsi" w:hAnsiTheme="minorHAnsi" w:cstheme="minorHAnsi"/>
          <w:color w:val="auto"/>
          <w:szCs w:val="24"/>
        </w:rPr>
        <w:t>r</w:t>
      </w:r>
      <w:r w:rsidR="003059BA">
        <w:rPr>
          <w:rFonts w:asciiTheme="minorHAnsi" w:hAnsiTheme="minorHAnsi" w:cstheme="minorHAnsi"/>
          <w:color w:val="auto"/>
          <w:szCs w:val="24"/>
        </w:rPr>
        <w:t>ibbon</w:t>
      </w:r>
      <w:r w:rsidR="00F95B86">
        <w:rPr>
          <w:rFonts w:asciiTheme="minorHAnsi" w:hAnsiTheme="minorHAnsi" w:cstheme="minorHAnsi"/>
          <w:color w:val="auto"/>
          <w:szCs w:val="24"/>
        </w:rPr>
        <w:t xml:space="preserve">. </w:t>
      </w:r>
      <w:r w:rsidR="00055A86" w:rsidRPr="00042568">
        <w:rPr>
          <w:rFonts w:asciiTheme="minorHAnsi" w:hAnsiTheme="minorHAnsi" w:cstheme="minorHAnsi"/>
          <w:color w:val="auto"/>
          <w:szCs w:val="24"/>
        </w:rPr>
        <w:t xml:space="preserve">Therefore the Board determined this case did meet the </w:t>
      </w:r>
      <w:r w:rsidR="0046183F">
        <w:rPr>
          <w:rFonts w:asciiTheme="minorHAnsi" w:hAnsiTheme="minorHAnsi" w:cstheme="minorHAnsi"/>
          <w:color w:val="auto"/>
          <w:szCs w:val="24"/>
        </w:rPr>
        <w:t>c</w:t>
      </w:r>
      <w:r w:rsidR="00055A86" w:rsidRPr="00042568">
        <w:rPr>
          <w:rFonts w:asciiTheme="minorHAnsi" w:hAnsiTheme="minorHAnsi" w:cstheme="minorHAnsi"/>
          <w:color w:val="auto"/>
          <w:szCs w:val="24"/>
        </w:rPr>
        <w:t xml:space="preserve">riteria for a “highly stressful event”. </w:t>
      </w:r>
      <w:r w:rsidR="0046183F">
        <w:rPr>
          <w:color w:val="auto"/>
          <w:szCs w:val="24"/>
        </w:rPr>
        <w:t xml:space="preserve">All members agreed that </w:t>
      </w:r>
      <w:r w:rsidR="0046183F" w:rsidRPr="00191FDE">
        <w:rPr>
          <w:rFonts w:asciiTheme="minorHAnsi" w:hAnsiTheme="minorHAnsi"/>
          <w:color w:val="auto"/>
          <w:szCs w:val="24"/>
        </w:rPr>
        <w:t>the §4.130 criteria for a rating higher than 50% were not met at the time of separation</w:t>
      </w:r>
      <w:r w:rsidR="0046183F">
        <w:rPr>
          <w:rFonts w:asciiTheme="minorHAnsi" w:hAnsiTheme="minorHAnsi"/>
          <w:color w:val="auto"/>
          <w:szCs w:val="24"/>
        </w:rPr>
        <w:t xml:space="preserve"> from active duty</w:t>
      </w:r>
      <w:r w:rsidR="0046183F" w:rsidRPr="00191FDE">
        <w:rPr>
          <w:rFonts w:asciiTheme="minorHAnsi" w:hAnsiTheme="minorHAnsi"/>
          <w:color w:val="auto"/>
          <w:szCs w:val="24"/>
        </w:rPr>
        <w:t>, and therefore the minimum 50% TDRL rating (as explained above) is applicable.</w:t>
      </w:r>
      <w:r w:rsidR="0046183F">
        <w:rPr>
          <w:rFonts w:asciiTheme="minorHAnsi" w:hAnsiTheme="minorHAnsi"/>
          <w:color w:val="auto"/>
          <w:szCs w:val="24"/>
        </w:rPr>
        <w:t xml:space="preserve">  </w:t>
      </w:r>
    </w:p>
    <w:p w:rsidR="0046183F" w:rsidRDefault="0046183F" w:rsidP="00300479">
      <w:pPr>
        <w:tabs>
          <w:tab w:val="left" w:pos="288"/>
          <w:tab w:val="left" w:pos="4752"/>
        </w:tabs>
        <w:spacing w:line="240" w:lineRule="exact"/>
        <w:jc w:val="both"/>
        <w:rPr>
          <w:rFonts w:asciiTheme="minorHAnsi" w:hAnsiTheme="minorHAnsi" w:cstheme="minorHAnsi"/>
          <w:color w:val="auto"/>
          <w:szCs w:val="24"/>
        </w:rPr>
      </w:pPr>
    </w:p>
    <w:p w:rsidR="002D6FAA" w:rsidRDefault="005C13FE" w:rsidP="00300479">
      <w:pPr>
        <w:tabs>
          <w:tab w:val="left" w:pos="288"/>
          <w:tab w:val="left" w:pos="4752"/>
        </w:tabs>
        <w:spacing w:line="240" w:lineRule="exact"/>
        <w:jc w:val="both"/>
        <w:rPr>
          <w:rFonts w:asciiTheme="minorHAnsi" w:hAnsiTheme="minorHAnsi" w:cstheme="minorHAnsi"/>
          <w:iCs/>
          <w:color w:val="auto"/>
          <w:szCs w:val="24"/>
        </w:rPr>
      </w:pPr>
      <w:r w:rsidRPr="00042568">
        <w:rPr>
          <w:rFonts w:asciiTheme="minorHAnsi" w:hAnsiTheme="minorHAnsi" w:cstheme="minorHAnsi"/>
          <w:color w:val="auto"/>
          <w:szCs w:val="24"/>
        </w:rPr>
        <w:t>The most proximate source of comprehensive evidence on whi</w:t>
      </w:r>
      <w:r w:rsidR="00053905" w:rsidRPr="00042568">
        <w:rPr>
          <w:rFonts w:asciiTheme="minorHAnsi" w:hAnsiTheme="minorHAnsi" w:cstheme="minorHAnsi"/>
          <w:color w:val="auto"/>
          <w:szCs w:val="24"/>
        </w:rPr>
        <w:t xml:space="preserve">ch to base the permanent rating </w:t>
      </w:r>
      <w:r w:rsidRPr="00042568">
        <w:rPr>
          <w:rFonts w:asciiTheme="minorHAnsi" w:hAnsiTheme="minorHAnsi" w:cstheme="minorHAnsi"/>
          <w:color w:val="auto"/>
          <w:szCs w:val="24"/>
        </w:rPr>
        <w:t xml:space="preserve">recommendation in this case </w:t>
      </w:r>
      <w:r w:rsidR="00FD5CC5" w:rsidRPr="00042568">
        <w:rPr>
          <w:rFonts w:asciiTheme="minorHAnsi" w:hAnsiTheme="minorHAnsi" w:cstheme="minorHAnsi"/>
          <w:color w:val="auto"/>
          <w:szCs w:val="24"/>
        </w:rPr>
        <w:t>were</w:t>
      </w:r>
      <w:r w:rsidR="00244C24" w:rsidRPr="00042568">
        <w:rPr>
          <w:rFonts w:asciiTheme="minorHAnsi" w:hAnsiTheme="minorHAnsi" w:cstheme="minorHAnsi"/>
          <w:color w:val="auto"/>
          <w:szCs w:val="24"/>
        </w:rPr>
        <w:t xml:space="preserve"> </w:t>
      </w:r>
      <w:r w:rsidRPr="00042568">
        <w:rPr>
          <w:color w:val="auto"/>
          <w:szCs w:val="24"/>
        </w:rPr>
        <w:t>VA psychiatric outpatient notes encompassing the targeted six-month interval</w:t>
      </w:r>
      <w:r w:rsidR="003059BA">
        <w:rPr>
          <w:color w:val="auto"/>
          <w:szCs w:val="24"/>
        </w:rPr>
        <w:t xml:space="preserve"> and a VA TBI compensation and pension examination 25 February 2009, seven months after separation. </w:t>
      </w:r>
      <w:r w:rsidR="00E76098" w:rsidRPr="00042568">
        <w:rPr>
          <w:rFonts w:asciiTheme="minorHAnsi" w:hAnsiTheme="minorHAnsi" w:cstheme="minorHAnsi"/>
          <w:iCs/>
          <w:color w:val="auto"/>
          <w:szCs w:val="24"/>
        </w:rPr>
        <w:t xml:space="preserve">An early December 2008 behavioral health note documented </w:t>
      </w:r>
      <w:r w:rsidR="00053905" w:rsidRPr="00042568">
        <w:rPr>
          <w:rFonts w:asciiTheme="minorHAnsi" w:hAnsiTheme="minorHAnsi" w:cstheme="minorHAnsi"/>
          <w:iCs/>
          <w:color w:val="auto"/>
          <w:szCs w:val="24"/>
        </w:rPr>
        <w:t>noncompliance with all his medication</w:t>
      </w:r>
      <w:r w:rsidR="00E776F7">
        <w:rPr>
          <w:rFonts w:asciiTheme="minorHAnsi" w:hAnsiTheme="minorHAnsi" w:cstheme="minorHAnsi"/>
          <w:iCs/>
          <w:color w:val="auto"/>
          <w:szCs w:val="24"/>
        </w:rPr>
        <w:t>s.</w:t>
      </w:r>
      <w:r w:rsidR="00E76098" w:rsidRPr="00042568">
        <w:rPr>
          <w:rFonts w:asciiTheme="minorHAnsi" w:hAnsiTheme="minorHAnsi" w:cstheme="minorHAnsi"/>
          <w:iCs/>
          <w:color w:val="auto"/>
          <w:szCs w:val="24"/>
        </w:rPr>
        <w:t xml:space="preserve"> </w:t>
      </w:r>
      <w:r w:rsidR="003D361B" w:rsidRPr="00042568">
        <w:rPr>
          <w:rFonts w:asciiTheme="minorHAnsi" w:hAnsiTheme="minorHAnsi" w:cstheme="minorHAnsi"/>
          <w:iCs/>
          <w:color w:val="auto"/>
          <w:szCs w:val="24"/>
        </w:rPr>
        <w:t>A January</w:t>
      </w:r>
      <w:r w:rsidR="001C3EE7" w:rsidRPr="00042568">
        <w:rPr>
          <w:rFonts w:asciiTheme="minorHAnsi" w:hAnsiTheme="minorHAnsi" w:cstheme="minorHAnsi"/>
          <w:iCs/>
          <w:color w:val="auto"/>
          <w:szCs w:val="24"/>
        </w:rPr>
        <w:t xml:space="preserve"> 2009</w:t>
      </w:r>
      <w:r w:rsidR="003D361B" w:rsidRPr="00042568">
        <w:rPr>
          <w:rFonts w:asciiTheme="minorHAnsi" w:hAnsiTheme="minorHAnsi" w:cstheme="minorHAnsi"/>
          <w:iCs/>
          <w:color w:val="auto"/>
          <w:szCs w:val="24"/>
        </w:rPr>
        <w:t xml:space="preserve"> speech pathology assessment noted difficulty with memory likely related to PTSD and insomnia</w:t>
      </w:r>
      <w:r w:rsidR="001C3EE7" w:rsidRPr="00042568">
        <w:rPr>
          <w:rFonts w:asciiTheme="minorHAnsi" w:hAnsiTheme="minorHAnsi" w:cstheme="minorHAnsi"/>
          <w:iCs/>
          <w:color w:val="auto"/>
          <w:szCs w:val="24"/>
        </w:rPr>
        <w:t xml:space="preserve"> with a normal speech evaluation</w:t>
      </w:r>
      <w:r w:rsidR="002D6FAA">
        <w:rPr>
          <w:rFonts w:asciiTheme="minorHAnsi" w:hAnsiTheme="minorHAnsi" w:cstheme="minorHAnsi"/>
          <w:iCs/>
          <w:color w:val="auto"/>
          <w:szCs w:val="24"/>
        </w:rPr>
        <w:t xml:space="preserve">.  The speech pathologist opined that the </w:t>
      </w:r>
      <w:r w:rsidR="002D6FAA">
        <w:rPr>
          <w:rFonts w:cs="Arial"/>
          <w:color w:val="000000"/>
        </w:rPr>
        <w:t xml:space="preserve">memory problems were more likely due to PTSD and insomnia than to </w:t>
      </w:r>
      <w:r w:rsidR="00774D9F">
        <w:rPr>
          <w:rFonts w:cs="Arial"/>
          <w:color w:val="000000"/>
        </w:rPr>
        <w:t xml:space="preserve">mild </w:t>
      </w:r>
      <w:r w:rsidR="00DE0160">
        <w:rPr>
          <w:rFonts w:cs="Arial"/>
          <w:color w:val="000000"/>
        </w:rPr>
        <w:t>TBI</w:t>
      </w:r>
      <w:r w:rsidR="002D6FAA">
        <w:rPr>
          <w:rFonts w:cs="Arial"/>
          <w:color w:val="000000"/>
        </w:rPr>
        <w:t>.</w:t>
      </w:r>
      <w:r w:rsidR="00F95B86">
        <w:rPr>
          <w:rFonts w:cs="Arial"/>
          <w:color w:val="000000"/>
        </w:rPr>
        <w:t xml:space="preserve"> </w:t>
      </w:r>
      <w:r w:rsidR="00390AB2">
        <w:rPr>
          <w:rFonts w:cs="Arial"/>
          <w:color w:val="000000"/>
        </w:rPr>
        <w:t>The CI scored in the average range on memory testing administered by the speech pathologist.</w:t>
      </w:r>
      <w:r w:rsidR="00F95B86">
        <w:rPr>
          <w:rFonts w:cs="Arial"/>
          <w:color w:val="000000"/>
        </w:rPr>
        <w:t xml:space="preserve"> </w:t>
      </w:r>
      <w:r w:rsidR="00055A86" w:rsidRPr="00390AB2">
        <w:rPr>
          <w:rFonts w:cs="Arial"/>
          <w:color w:val="000000"/>
        </w:rPr>
        <w:t>In February 2009, a</w:t>
      </w:r>
      <w:r w:rsidR="007A5F82" w:rsidRPr="00390AB2">
        <w:rPr>
          <w:rFonts w:cs="Arial"/>
          <w:color w:val="000000"/>
        </w:rPr>
        <w:t xml:space="preserve"> behavioral health addendum </w:t>
      </w:r>
      <w:r w:rsidR="00E96002" w:rsidRPr="00390AB2">
        <w:rPr>
          <w:rFonts w:cs="Arial"/>
          <w:color w:val="000000"/>
        </w:rPr>
        <w:t>documented</w:t>
      </w:r>
      <w:r w:rsidR="00055A86" w:rsidRPr="00390AB2">
        <w:rPr>
          <w:rFonts w:cs="Arial"/>
          <w:color w:val="000000"/>
        </w:rPr>
        <w:t xml:space="preserve"> </w:t>
      </w:r>
      <w:r w:rsidR="007A5F82" w:rsidRPr="00390AB2">
        <w:rPr>
          <w:rFonts w:cs="Arial"/>
          <w:color w:val="000000"/>
        </w:rPr>
        <w:t xml:space="preserve">the </w:t>
      </w:r>
      <w:r w:rsidR="00E96002" w:rsidRPr="00390AB2">
        <w:rPr>
          <w:rFonts w:cs="Arial"/>
          <w:color w:val="000000"/>
        </w:rPr>
        <w:t xml:space="preserve">patient </w:t>
      </w:r>
      <w:r w:rsidR="00055A86" w:rsidRPr="00390AB2">
        <w:rPr>
          <w:rFonts w:cs="Arial"/>
          <w:color w:val="000000"/>
        </w:rPr>
        <w:t xml:space="preserve">likely </w:t>
      </w:r>
      <w:r w:rsidR="00E96002" w:rsidRPr="00390AB2">
        <w:rPr>
          <w:rFonts w:cs="Arial"/>
          <w:color w:val="000000"/>
        </w:rPr>
        <w:t>ha</w:t>
      </w:r>
      <w:r w:rsidR="00055A86" w:rsidRPr="00390AB2">
        <w:rPr>
          <w:rFonts w:cs="Arial"/>
          <w:color w:val="000000"/>
        </w:rPr>
        <w:t>s</w:t>
      </w:r>
      <w:r w:rsidR="00E96002" w:rsidRPr="00390AB2">
        <w:rPr>
          <w:rFonts w:cs="Arial"/>
          <w:color w:val="000000"/>
        </w:rPr>
        <w:t xml:space="preserve"> Axis II pathology</w:t>
      </w:r>
      <w:r w:rsidR="00055A86" w:rsidRPr="00390AB2">
        <w:rPr>
          <w:rFonts w:cs="Arial"/>
          <w:color w:val="000000"/>
        </w:rPr>
        <w:t>,</w:t>
      </w:r>
      <w:r w:rsidR="00E96002" w:rsidRPr="00390AB2">
        <w:rPr>
          <w:rFonts w:cs="Arial"/>
          <w:color w:val="000000"/>
        </w:rPr>
        <w:t xml:space="preserve"> </w:t>
      </w:r>
      <w:r w:rsidR="007A5F82" w:rsidRPr="00390AB2">
        <w:rPr>
          <w:rFonts w:cs="Arial"/>
          <w:color w:val="000000"/>
        </w:rPr>
        <w:t>declin</w:t>
      </w:r>
      <w:r w:rsidR="00055A86" w:rsidRPr="00390AB2">
        <w:rPr>
          <w:rFonts w:cs="Arial"/>
          <w:color w:val="000000"/>
        </w:rPr>
        <w:t>ed</w:t>
      </w:r>
      <w:r w:rsidR="007A5F82" w:rsidRPr="00390AB2">
        <w:rPr>
          <w:rFonts w:cs="Arial"/>
          <w:color w:val="000000"/>
        </w:rPr>
        <w:t xml:space="preserve"> to undergo neuropsychiatric testing </w:t>
      </w:r>
      <w:r w:rsidR="00055A86" w:rsidRPr="00390AB2">
        <w:rPr>
          <w:rFonts w:cs="Arial"/>
          <w:color w:val="000000"/>
        </w:rPr>
        <w:t>and did not</w:t>
      </w:r>
      <w:r w:rsidR="007A5F82" w:rsidRPr="00390AB2">
        <w:rPr>
          <w:rFonts w:cs="Arial"/>
          <w:color w:val="000000"/>
        </w:rPr>
        <w:t xml:space="preserve"> compl</w:t>
      </w:r>
      <w:r w:rsidR="00055A86" w:rsidRPr="00390AB2">
        <w:rPr>
          <w:rFonts w:cs="Arial"/>
          <w:color w:val="000000"/>
        </w:rPr>
        <w:t>y</w:t>
      </w:r>
      <w:r w:rsidR="007A5F82" w:rsidRPr="00390AB2">
        <w:rPr>
          <w:rFonts w:cs="Arial"/>
          <w:color w:val="000000"/>
        </w:rPr>
        <w:t xml:space="preserve"> with sending results of previous psychiatric testing. </w:t>
      </w:r>
      <w:r w:rsidR="00DA02B7" w:rsidRPr="00390AB2">
        <w:rPr>
          <w:rFonts w:cs="Arial"/>
          <w:color w:val="000000"/>
        </w:rPr>
        <w:t xml:space="preserve">The VA TBI compensation exam in February 2009 documented </w:t>
      </w:r>
      <w:r w:rsidR="00AA6A09" w:rsidRPr="00390AB2">
        <w:rPr>
          <w:rFonts w:cs="Arial"/>
          <w:color w:val="000000"/>
        </w:rPr>
        <w:t>the CI did not have symptoms of</w:t>
      </w:r>
      <w:r w:rsidR="00DA02B7" w:rsidRPr="00390AB2">
        <w:rPr>
          <w:rFonts w:cs="Arial"/>
          <w:color w:val="000000"/>
        </w:rPr>
        <w:t xml:space="preserve"> sleep disturbance, dizziness, vertigo, weakness or paralysis, fatigue, mobility issues, stagger or fall, attention, concentration </w:t>
      </w:r>
      <w:r w:rsidR="00F95B86">
        <w:rPr>
          <w:rFonts w:cs="Arial"/>
          <w:color w:val="000000"/>
        </w:rPr>
        <w:t xml:space="preserve">nor decision making abilities. </w:t>
      </w:r>
      <w:r w:rsidR="00AA6A09" w:rsidRPr="00390AB2">
        <w:rPr>
          <w:rFonts w:cs="Arial"/>
          <w:color w:val="000000"/>
        </w:rPr>
        <w:t>The CI was still having mild day t</w:t>
      </w:r>
      <w:r w:rsidR="00F95B86">
        <w:rPr>
          <w:rFonts w:cs="Arial"/>
          <w:color w:val="000000"/>
        </w:rPr>
        <w:t>o day short term memory issues.</w:t>
      </w:r>
      <w:r w:rsidR="00AA6A09" w:rsidRPr="00390AB2">
        <w:rPr>
          <w:rFonts w:cs="Arial"/>
          <w:color w:val="000000"/>
        </w:rPr>
        <w:t xml:space="preserve"> The examiner documented no overt psychiatri</w:t>
      </w:r>
      <w:r w:rsidR="00F95B86">
        <w:rPr>
          <w:rFonts w:cs="Arial"/>
          <w:color w:val="000000"/>
        </w:rPr>
        <w:t>c manifestations with his exam.</w:t>
      </w:r>
      <w:r w:rsidR="00AA6A09" w:rsidRPr="00390AB2">
        <w:rPr>
          <w:rFonts w:cs="Arial"/>
          <w:color w:val="000000"/>
        </w:rPr>
        <w:t xml:space="preserve"> In</w:t>
      </w:r>
      <w:r w:rsidR="00E567E6" w:rsidRPr="00390AB2">
        <w:rPr>
          <w:rFonts w:cs="Arial"/>
          <w:color w:val="000000"/>
        </w:rPr>
        <w:t xml:space="preserve"> March 2009, eight months after separation he</w:t>
      </w:r>
      <w:r w:rsidRPr="00390AB2">
        <w:rPr>
          <w:rFonts w:cs="Arial"/>
          <w:color w:val="000000"/>
        </w:rPr>
        <w:t xml:space="preserve"> related symptoms of </w:t>
      </w:r>
      <w:r w:rsidR="00E567E6" w:rsidRPr="00390AB2">
        <w:rPr>
          <w:rFonts w:cs="Arial"/>
          <w:color w:val="000000"/>
        </w:rPr>
        <w:t>obsessive compulsive rituals, losing track of time, impulsivity with mood and money, nightmares, and difficulty with memory.</w:t>
      </w:r>
      <w:r w:rsidR="00F95B86">
        <w:rPr>
          <w:rFonts w:asciiTheme="minorHAnsi" w:hAnsiTheme="minorHAnsi" w:cstheme="minorHAnsi"/>
          <w:iCs/>
          <w:color w:val="auto"/>
          <w:szCs w:val="24"/>
        </w:rPr>
        <w:t xml:space="preserve"> </w:t>
      </w:r>
      <w:r w:rsidR="00E567E6" w:rsidRPr="00042568">
        <w:rPr>
          <w:rFonts w:asciiTheme="minorHAnsi" w:hAnsiTheme="minorHAnsi" w:cstheme="minorHAnsi"/>
          <w:iCs/>
          <w:color w:val="auto"/>
          <w:szCs w:val="24"/>
        </w:rPr>
        <w:t xml:space="preserve">He </w:t>
      </w:r>
      <w:r w:rsidR="007A5F82" w:rsidRPr="00042568">
        <w:rPr>
          <w:rFonts w:asciiTheme="minorHAnsi" w:hAnsiTheme="minorHAnsi" w:cstheme="minorHAnsi"/>
          <w:iCs/>
          <w:color w:val="auto"/>
          <w:szCs w:val="24"/>
        </w:rPr>
        <w:t>denied depression and ha</w:t>
      </w:r>
      <w:r w:rsidR="00614FB5">
        <w:rPr>
          <w:rFonts w:asciiTheme="minorHAnsi" w:hAnsiTheme="minorHAnsi" w:cstheme="minorHAnsi"/>
          <w:iCs/>
          <w:color w:val="auto"/>
          <w:szCs w:val="24"/>
        </w:rPr>
        <w:t>d</w:t>
      </w:r>
      <w:r w:rsidR="007A5F82" w:rsidRPr="00042568">
        <w:rPr>
          <w:rFonts w:asciiTheme="minorHAnsi" w:hAnsiTheme="minorHAnsi" w:cstheme="minorHAnsi"/>
          <w:iCs/>
          <w:color w:val="auto"/>
          <w:szCs w:val="24"/>
        </w:rPr>
        <w:t xml:space="preserve"> been happy since being the owner of a new puppy which he fel</w:t>
      </w:r>
      <w:r w:rsidR="00614FB5">
        <w:rPr>
          <w:rFonts w:asciiTheme="minorHAnsi" w:hAnsiTheme="minorHAnsi" w:cstheme="minorHAnsi"/>
          <w:iCs/>
          <w:color w:val="auto"/>
          <w:szCs w:val="24"/>
        </w:rPr>
        <w:t>t</w:t>
      </w:r>
      <w:r w:rsidR="007A5F82" w:rsidRPr="00042568">
        <w:rPr>
          <w:rFonts w:asciiTheme="minorHAnsi" w:hAnsiTheme="minorHAnsi" w:cstheme="minorHAnsi"/>
          <w:iCs/>
          <w:color w:val="auto"/>
          <w:szCs w:val="24"/>
        </w:rPr>
        <w:t xml:space="preserve"> </w:t>
      </w:r>
      <w:r w:rsidR="00614FB5">
        <w:rPr>
          <w:rFonts w:asciiTheme="minorHAnsi" w:hAnsiTheme="minorHAnsi" w:cstheme="minorHAnsi"/>
          <w:iCs/>
          <w:color w:val="auto"/>
          <w:szCs w:val="24"/>
        </w:rPr>
        <w:t xml:space="preserve">was </w:t>
      </w:r>
      <w:r w:rsidR="00F95B86">
        <w:rPr>
          <w:rFonts w:asciiTheme="minorHAnsi" w:hAnsiTheme="minorHAnsi" w:cstheme="minorHAnsi"/>
          <w:iCs/>
          <w:color w:val="auto"/>
          <w:szCs w:val="24"/>
        </w:rPr>
        <w:t xml:space="preserve">therapeutic. </w:t>
      </w:r>
      <w:r w:rsidR="007A5F82" w:rsidRPr="00042568">
        <w:rPr>
          <w:rFonts w:asciiTheme="minorHAnsi" w:hAnsiTheme="minorHAnsi" w:cstheme="minorHAnsi"/>
          <w:iCs/>
          <w:color w:val="auto"/>
          <w:szCs w:val="24"/>
        </w:rPr>
        <w:t xml:space="preserve">He reinitiated driving in September 2008, </w:t>
      </w:r>
      <w:r w:rsidR="00E76098" w:rsidRPr="00042568">
        <w:rPr>
          <w:rFonts w:asciiTheme="minorHAnsi" w:hAnsiTheme="minorHAnsi" w:cstheme="minorHAnsi"/>
          <w:iCs/>
          <w:color w:val="auto"/>
          <w:szCs w:val="24"/>
        </w:rPr>
        <w:t>started living</w:t>
      </w:r>
      <w:r w:rsidR="007A5F82" w:rsidRPr="00042568">
        <w:rPr>
          <w:rFonts w:asciiTheme="minorHAnsi" w:hAnsiTheme="minorHAnsi" w:cstheme="minorHAnsi"/>
          <w:iCs/>
          <w:color w:val="auto"/>
          <w:szCs w:val="24"/>
        </w:rPr>
        <w:t xml:space="preserve"> with </w:t>
      </w:r>
      <w:r w:rsidR="001C3EE7" w:rsidRPr="00042568">
        <w:rPr>
          <w:rFonts w:asciiTheme="minorHAnsi" w:hAnsiTheme="minorHAnsi" w:cstheme="minorHAnsi"/>
          <w:iCs/>
          <w:color w:val="auto"/>
          <w:szCs w:val="24"/>
        </w:rPr>
        <w:t>his girlfriend</w:t>
      </w:r>
      <w:r w:rsidR="007A5F82" w:rsidRPr="00042568">
        <w:rPr>
          <w:rFonts w:asciiTheme="minorHAnsi" w:hAnsiTheme="minorHAnsi" w:cstheme="minorHAnsi"/>
          <w:iCs/>
          <w:color w:val="auto"/>
          <w:szCs w:val="24"/>
        </w:rPr>
        <w:t xml:space="preserve"> since December 2008 and </w:t>
      </w:r>
      <w:r w:rsidR="00774D9F">
        <w:rPr>
          <w:rFonts w:asciiTheme="minorHAnsi" w:hAnsiTheme="minorHAnsi" w:cstheme="minorHAnsi"/>
          <w:iCs/>
          <w:color w:val="auto"/>
          <w:szCs w:val="24"/>
        </w:rPr>
        <w:t xml:space="preserve">was </w:t>
      </w:r>
      <w:r w:rsidR="007A5F82" w:rsidRPr="00042568">
        <w:rPr>
          <w:rFonts w:asciiTheme="minorHAnsi" w:hAnsiTheme="minorHAnsi" w:cstheme="minorHAnsi"/>
          <w:iCs/>
          <w:color w:val="auto"/>
          <w:szCs w:val="24"/>
        </w:rPr>
        <w:t>attending c</w:t>
      </w:r>
      <w:r w:rsidR="00E76098" w:rsidRPr="00042568">
        <w:rPr>
          <w:rFonts w:asciiTheme="minorHAnsi" w:hAnsiTheme="minorHAnsi" w:cstheme="minorHAnsi"/>
          <w:iCs/>
          <w:color w:val="auto"/>
          <w:szCs w:val="24"/>
        </w:rPr>
        <w:t>ollege as a full-time student</w:t>
      </w:r>
      <w:r w:rsidR="00CB5DC4">
        <w:rPr>
          <w:rFonts w:asciiTheme="minorHAnsi" w:hAnsiTheme="minorHAnsi" w:cstheme="minorHAnsi"/>
          <w:iCs/>
          <w:color w:val="auto"/>
          <w:szCs w:val="24"/>
        </w:rPr>
        <w:t xml:space="preserve"> pursuing pre</w:t>
      </w:r>
      <w:r w:rsidR="00E6304E">
        <w:rPr>
          <w:rFonts w:asciiTheme="minorHAnsi" w:hAnsiTheme="minorHAnsi" w:cstheme="minorHAnsi"/>
          <w:iCs/>
          <w:color w:val="auto"/>
          <w:szCs w:val="24"/>
        </w:rPr>
        <w:t>-</w:t>
      </w:r>
      <w:r w:rsidR="00CB5DC4">
        <w:rPr>
          <w:rFonts w:asciiTheme="minorHAnsi" w:hAnsiTheme="minorHAnsi" w:cstheme="minorHAnsi"/>
          <w:iCs/>
          <w:color w:val="auto"/>
          <w:szCs w:val="24"/>
        </w:rPr>
        <w:t>med course work</w:t>
      </w:r>
      <w:r w:rsidR="00E76098" w:rsidRPr="00042568">
        <w:rPr>
          <w:rFonts w:asciiTheme="minorHAnsi" w:hAnsiTheme="minorHAnsi" w:cstheme="minorHAnsi"/>
          <w:iCs/>
          <w:color w:val="auto"/>
          <w:szCs w:val="24"/>
        </w:rPr>
        <w:t>.</w:t>
      </w:r>
      <w:r w:rsidR="00055A86" w:rsidRPr="00042568">
        <w:rPr>
          <w:rFonts w:asciiTheme="minorHAnsi" w:hAnsiTheme="minorHAnsi" w:cstheme="minorHAnsi"/>
          <w:iCs/>
          <w:color w:val="auto"/>
          <w:szCs w:val="24"/>
        </w:rPr>
        <w:t xml:space="preserve"> </w:t>
      </w:r>
      <w:r w:rsidR="003D361B" w:rsidRPr="00042568">
        <w:rPr>
          <w:rFonts w:asciiTheme="minorHAnsi" w:hAnsiTheme="minorHAnsi" w:cstheme="minorHAnsi"/>
          <w:iCs/>
          <w:color w:val="auto"/>
          <w:szCs w:val="24"/>
        </w:rPr>
        <w:t>He was</w:t>
      </w:r>
      <w:r w:rsidR="00894568" w:rsidRPr="00042568">
        <w:rPr>
          <w:rFonts w:asciiTheme="minorHAnsi" w:hAnsiTheme="minorHAnsi" w:cstheme="minorHAnsi"/>
          <w:iCs/>
          <w:color w:val="auto"/>
          <w:szCs w:val="24"/>
        </w:rPr>
        <w:t xml:space="preserve"> also </w:t>
      </w:r>
      <w:r w:rsidR="003D361B" w:rsidRPr="00042568">
        <w:rPr>
          <w:rFonts w:asciiTheme="minorHAnsi" w:hAnsiTheme="minorHAnsi" w:cstheme="minorHAnsi"/>
          <w:iCs/>
          <w:color w:val="auto"/>
          <w:szCs w:val="24"/>
        </w:rPr>
        <w:t>working as a bouncer at a local</w:t>
      </w:r>
      <w:r w:rsidR="00894568" w:rsidRPr="00042568">
        <w:rPr>
          <w:rFonts w:asciiTheme="minorHAnsi" w:hAnsiTheme="minorHAnsi" w:cstheme="minorHAnsi"/>
          <w:iCs/>
          <w:color w:val="auto"/>
          <w:szCs w:val="24"/>
        </w:rPr>
        <w:t xml:space="preserve"> college</w:t>
      </w:r>
      <w:r w:rsidR="003D361B" w:rsidRPr="00042568">
        <w:rPr>
          <w:rFonts w:asciiTheme="minorHAnsi" w:hAnsiTheme="minorHAnsi" w:cstheme="minorHAnsi"/>
          <w:iCs/>
          <w:color w:val="auto"/>
          <w:szCs w:val="24"/>
        </w:rPr>
        <w:t xml:space="preserve"> bar. </w:t>
      </w:r>
      <w:r w:rsidR="00E76098" w:rsidRPr="00042568">
        <w:rPr>
          <w:rFonts w:asciiTheme="minorHAnsi" w:hAnsiTheme="minorHAnsi" w:cstheme="minorHAnsi"/>
          <w:iCs/>
          <w:color w:val="auto"/>
          <w:szCs w:val="24"/>
        </w:rPr>
        <w:t xml:space="preserve"> </w:t>
      </w:r>
      <w:r w:rsidRPr="00042568">
        <w:rPr>
          <w:rFonts w:asciiTheme="minorHAnsi" w:hAnsiTheme="minorHAnsi" w:cstheme="minorHAnsi"/>
          <w:iCs/>
          <w:color w:val="auto"/>
          <w:szCs w:val="24"/>
        </w:rPr>
        <w:t>His mental status exam (MSE) showed a blunted affect, but was otherwise normal. His</w:t>
      </w:r>
      <w:r w:rsidRPr="00053905">
        <w:rPr>
          <w:rFonts w:asciiTheme="minorHAnsi" w:hAnsiTheme="minorHAnsi" w:cstheme="minorHAnsi"/>
          <w:iCs/>
          <w:color w:val="auto"/>
          <w:szCs w:val="24"/>
        </w:rPr>
        <w:t xml:space="preserve"> </w:t>
      </w:r>
      <w:r w:rsidRPr="00042568">
        <w:rPr>
          <w:rFonts w:asciiTheme="minorHAnsi" w:hAnsiTheme="minorHAnsi" w:cstheme="minorHAnsi"/>
          <w:iCs/>
          <w:color w:val="auto"/>
          <w:szCs w:val="24"/>
        </w:rPr>
        <w:t>GAF</w:t>
      </w:r>
      <w:r w:rsidR="008F0BB5">
        <w:rPr>
          <w:rFonts w:asciiTheme="minorHAnsi" w:hAnsiTheme="minorHAnsi" w:cstheme="minorHAnsi"/>
          <w:iCs/>
          <w:color w:val="auto"/>
          <w:szCs w:val="24"/>
        </w:rPr>
        <w:t xml:space="preserve"> </w:t>
      </w:r>
      <w:r w:rsidRPr="00042568">
        <w:rPr>
          <w:rFonts w:asciiTheme="minorHAnsi" w:hAnsiTheme="minorHAnsi" w:cstheme="minorHAnsi"/>
          <w:iCs/>
          <w:color w:val="auto"/>
          <w:szCs w:val="24"/>
        </w:rPr>
        <w:t>score was 5</w:t>
      </w:r>
      <w:r w:rsidR="00E76098" w:rsidRPr="00042568">
        <w:rPr>
          <w:rFonts w:asciiTheme="minorHAnsi" w:hAnsiTheme="minorHAnsi" w:cstheme="minorHAnsi"/>
          <w:iCs/>
          <w:color w:val="auto"/>
          <w:szCs w:val="24"/>
        </w:rPr>
        <w:t>0</w:t>
      </w:r>
      <w:r w:rsidRPr="00042568">
        <w:rPr>
          <w:rFonts w:asciiTheme="minorHAnsi" w:hAnsiTheme="minorHAnsi" w:cstheme="minorHAnsi"/>
          <w:iCs/>
          <w:color w:val="auto"/>
          <w:szCs w:val="24"/>
        </w:rPr>
        <w:t xml:space="preserve">, connoting moderate impairment. </w:t>
      </w:r>
      <w:r w:rsidR="00E76098" w:rsidRPr="00042568">
        <w:rPr>
          <w:rFonts w:asciiTheme="minorHAnsi" w:hAnsiTheme="minorHAnsi" w:cstheme="minorHAnsi"/>
          <w:iCs/>
          <w:color w:val="auto"/>
          <w:szCs w:val="24"/>
        </w:rPr>
        <w:t xml:space="preserve">The examiner noted </w:t>
      </w:r>
      <w:r w:rsidR="00774D9F">
        <w:rPr>
          <w:rFonts w:asciiTheme="minorHAnsi" w:hAnsiTheme="minorHAnsi" w:cstheme="minorHAnsi"/>
          <w:iCs/>
          <w:color w:val="auto"/>
          <w:szCs w:val="24"/>
        </w:rPr>
        <w:t xml:space="preserve">the CI was </w:t>
      </w:r>
      <w:r w:rsidR="00E76098" w:rsidRPr="00042568">
        <w:rPr>
          <w:rFonts w:asciiTheme="minorHAnsi" w:hAnsiTheme="minorHAnsi" w:cstheme="minorHAnsi"/>
          <w:iCs/>
          <w:color w:val="auto"/>
          <w:szCs w:val="24"/>
        </w:rPr>
        <w:t xml:space="preserve">smiling, and commented the CI appeared much more relaxed and was not on heightened alert as per prior visits.  </w:t>
      </w:r>
    </w:p>
    <w:p w:rsidR="002D6FAA" w:rsidRDefault="002D6FAA" w:rsidP="00300479">
      <w:pPr>
        <w:spacing w:line="240" w:lineRule="exact"/>
        <w:jc w:val="both"/>
        <w:rPr>
          <w:rFonts w:asciiTheme="minorHAnsi" w:hAnsiTheme="minorHAnsi" w:cstheme="minorHAnsi"/>
          <w:iCs/>
          <w:color w:val="auto"/>
          <w:szCs w:val="24"/>
        </w:rPr>
      </w:pPr>
    </w:p>
    <w:p w:rsidR="00FB4B1A" w:rsidRPr="00CB5DC4" w:rsidRDefault="005C13FE" w:rsidP="00300479">
      <w:pPr>
        <w:spacing w:line="240" w:lineRule="exact"/>
        <w:jc w:val="both"/>
        <w:rPr>
          <w:rFonts w:asciiTheme="minorHAnsi" w:hAnsiTheme="minorHAnsi" w:cstheme="minorHAnsi"/>
          <w:color w:val="auto"/>
          <w:szCs w:val="24"/>
        </w:rPr>
      </w:pPr>
      <w:r w:rsidRPr="00042568">
        <w:rPr>
          <w:rFonts w:asciiTheme="minorHAnsi" w:hAnsiTheme="minorHAnsi" w:cstheme="minorHAnsi"/>
          <w:color w:val="auto"/>
          <w:szCs w:val="24"/>
        </w:rPr>
        <w:t xml:space="preserve">As regards </w:t>
      </w:r>
      <w:r w:rsidR="00E61D2D" w:rsidRPr="00042568">
        <w:rPr>
          <w:rFonts w:asciiTheme="minorHAnsi" w:hAnsiTheme="minorHAnsi" w:cstheme="minorHAnsi"/>
          <w:color w:val="auto"/>
          <w:szCs w:val="24"/>
        </w:rPr>
        <w:t xml:space="preserve">to </w:t>
      </w:r>
      <w:r w:rsidRPr="00042568">
        <w:rPr>
          <w:rFonts w:asciiTheme="minorHAnsi" w:hAnsiTheme="minorHAnsi" w:cstheme="minorHAnsi"/>
          <w:color w:val="auto"/>
          <w:szCs w:val="24"/>
        </w:rPr>
        <w:t>the permanent rating recommendation, all members agreed t</w:t>
      </w:r>
      <w:r w:rsidR="002969EC" w:rsidRPr="00042568">
        <w:rPr>
          <w:rFonts w:asciiTheme="minorHAnsi" w:hAnsiTheme="minorHAnsi" w:cstheme="minorHAnsi"/>
          <w:color w:val="auto"/>
          <w:szCs w:val="24"/>
        </w:rPr>
        <w:t xml:space="preserve">hat the §4.130 threshold for a </w:t>
      </w:r>
      <w:r w:rsidR="003D361B" w:rsidRPr="00042568">
        <w:rPr>
          <w:rFonts w:asciiTheme="minorHAnsi" w:hAnsiTheme="minorHAnsi" w:cstheme="minorHAnsi"/>
          <w:color w:val="auto"/>
          <w:szCs w:val="24"/>
        </w:rPr>
        <w:t>7</w:t>
      </w:r>
      <w:r w:rsidR="00F95B86">
        <w:rPr>
          <w:rFonts w:asciiTheme="minorHAnsi" w:hAnsiTheme="minorHAnsi" w:cstheme="minorHAnsi"/>
          <w:color w:val="auto"/>
          <w:szCs w:val="24"/>
        </w:rPr>
        <w:t xml:space="preserve">0% rating was not approached. </w:t>
      </w:r>
      <w:r w:rsidR="00FD5CC5" w:rsidRPr="00042568">
        <w:rPr>
          <w:rFonts w:asciiTheme="minorHAnsi" w:hAnsiTheme="minorHAnsi" w:cstheme="minorHAnsi"/>
          <w:color w:val="auto"/>
          <w:szCs w:val="24"/>
        </w:rPr>
        <w:t>A 50% rating IAW §4.130 would rely on an inference that the acuity of reported symptoms could reasonably be expected to result in impaired occupational reliability and productivity, without objective c</w:t>
      </w:r>
      <w:r w:rsidR="00DD348E" w:rsidRPr="00042568">
        <w:rPr>
          <w:rFonts w:asciiTheme="minorHAnsi" w:hAnsiTheme="minorHAnsi" w:cstheme="minorHAnsi"/>
          <w:color w:val="auto"/>
          <w:szCs w:val="24"/>
        </w:rPr>
        <w:t>onfirmation this was not</w:t>
      </w:r>
      <w:r w:rsidR="00FD5CC5" w:rsidRPr="00042568">
        <w:rPr>
          <w:rFonts w:asciiTheme="minorHAnsi" w:hAnsiTheme="minorHAnsi" w:cstheme="minorHAnsi"/>
          <w:color w:val="auto"/>
          <w:szCs w:val="24"/>
        </w:rPr>
        <w:t xml:space="preserve"> the case. </w:t>
      </w:r>
      <w:r w:rsidR="00DD348E" w:rsidRPr="00042568">
        <w:rPr>
          <w:color w:val="auto"/>
          <w:szCs w:val="24"/>
        </w:rPr>
        <w:t>The deliberat</w:t>
      </w:r>
      <w:r w:rsidR="00475DFC" w:rsidRPr="00042568">
        <w:rPr>
          <w:color w:val="auto"/>
          <w:szCs w:val="24"/>
        </w:rPr>
        <w:t>ion settled on arguments for a 30% versus a 1</w:t>
      </w:r>
      <w:r w:rsidR="00DD348E" w:rsidRPr="00042568">
        <w:rPr>
          <w:color w:val="auto"/>
          <w:szCs w:val="24"/>
        </w:rPr>
        <w:t>0% permanent rating recommendation.</w:t>
      </w:r>
      <w:r w:rsidR="00475DFC" w:rsidRPr="00042568">
        <w:rPr>
          <w:rFonts w:asciiTheme="minorHAnsi" w:hAnsiTheme="minorHAnsi" w:cstheme="minorHAnsi"/>
          <w:color w:val="auto"/>
          <w:szCs w:val="24"/>
        </w:rPr>
        <w:t xml:space="preserve"> </w:t>
      </w:r>
      <w:r w:rsidR="00FD5CC5" w:rsidRPr="00042568">
        <w:rPr>
          <w:rFonts w:asciiTheme="minorHAnsi" w:hAnsiTheme="minorHAnsi" w:cstheme="minorHAnsi"/>
          <w:color w:val="auto"/>
          <w:szCs w:val="24"/>
        </w:rPr>
        <w:t>Th</w:t>
      </w:r>
      <w:r w:rsidR="00475DFC" w:rsidRPr="00042568">
        <w:rPr>
          <w:rFonts w:asciiTheme="minorHAnsi" w:hAnsiTheme="minorHAnsi" w:cstheme="minorHAnsi"/>
          <w:color w:val="auto"/>
          <w:szCs w:val="24"/>
        </w:rPr>
        <w:t>e</w:t>
      </w:r>
      <w:r w:rsidR="00E61D2D" w:rsidRPr="00042568">
        <w:rPr>
          <w:rFonts w:asciiTheme="minorHAnsi" w:hAnsiTheme="minorHAnsi" w:cstheme="minorHAnsi"/>
          <w:color w:val="auto"/>
          <w:szCs w:val="24"/>
        </w:rPr>
        <w:t xml:space="preserve"> argument for a 10% permanent rating can be sustained by the §4.130 description for that rating, i.e., “occupational and social impairment due to mild or transient symptoms</w:t>
      </w:r>
      <w:r w:rsidR="00E6304E">
        <w:rPr>
          <w:rFonts w:asciiTheme="minorHAnsi" w:hAnsiTheme="minorHAnsi" w:cstheme="minorHAnsi"/>
          <w:color w:val="auto"/>
          <w:szCs w:val="24"/>
        </w:rPr>
        <w:t xml:space="preserve"> which decrease work efficiency</w:t>
      </w:r>
      <w:r w:rsidR="00E61D2D" w:rsidRPr="00042568">
        <w:rPr>
          <w:rFonts w:asciiTheme="minorHAnsi" w:hAnsiTheme="minorHAnsi" w:cstheme="minorHAnsi"/>
          <w:color w:val="auto"/>
          <w:szCs w:val="24"/>
        </w:rPr>
        <w:t>… only during periods of significant stress; or symptoms controlled by continuous medication</w:t>
      </w:r>
      <w:r w:rsidR="00E6304E">
        <w:rPr>
          <w:rFonts w:asciiTheme="minorHAnsi" w:hAnsiTheme="minorHAnsi" w:cstheme="minorHAnsi"/>
          <w:color w:val="auto"/>
          <w:szCs w:val="24"/>
        </w:rPr>
        <w:t>.”</w:t>
      </w:r>
      <w:r w:rsidR="00E61D2D" w:rsidRPr="00042568">
        <w:rPr>
          <w:rFonts w:asciiTheme="minorHAnsi" w:hAnsiTheme="minorHAnsi" w:cstheme="minorHAnsi"/>
          <w:color w:val="auto"/>
          <w:szCs w:val="24"/>
        </w:rPr>
        <w:t xml:space="preserve"> The VA C&amp;P evidenced </w:t>
      </w:r>
      <w:r w:rsidR="002F69C3" w:rsidRPr="002F69C3">
        <w:rPr>
          <w:rFonts w:asciiTheme="minorHAnsi" w:hAnsiTheme="minorHAnsi" w:cstheme="minorHAnsi"/>
          <w:iCs/>
          <w:color w:val="auto"/>
          <w:szCs w:val="24"/>
        </w:rPr>
        <w:t>no</w:t>
      </w:r>
      <w:r w:rsidR="00E61D2D" w:rsidRPr="00042568">
        <w:rPr>
          <w:rFonts w:asciiTheme="minorHAnsi" w:hAnsiTheme="minorHAnsi" w:cstheme="minorHAnsi"/>
          <w:i/>
          <w:iCs/>
          <w:color w:val="auto"/>
          <w:szCs w:val="24"/>
        </w:rPr>
        <w:t xml:space="preserve"> </w:t>
      </w:r>
      <w:r w:rsidR="00E61D2D" w:rsidRPr="00042568">
        <w:rPr>
          <w:rFonts w:asciiTheme="minorHAnsi" w:hAnsiTheme="minorHAnsi" w:cstheme="minorHAnsi"/>
          <w:color w:val="auto"/>
          <w:szCs w:val="24"/>
        </w:rPr>
        <w:t xml:space="preserve">decreased work efficiency and </w:t>
      </w:r>
      <w:r w:rsidR="002F69C3">
        <w:rPr>
          <w:rFonts w:asciiTheme="minorHAnsi" w:hAnsiTheme="minorHAnsi" w:cstheme="minorHAnsi"/>
          <w:iCs/>
          <w:color w:val="auto"/>
          <w:szCs w:val="24"/>
        </w:rPr>
        <w:t>no</w:t>
      </w:r>
      <w:r w:rsidR="00E61D2D" w:rsidRPr="00042568">
        <w:rPr>
          <w:rFonts w:asciiTheme="minorHAnsi" w:hAnsiTheme="minorHAnsi" w:cstheme="minorHAnsi"/>
          <w:i/>
          <w:iCs/>
          <w:color w:val="auto"/>
          <w:szCs w:val="24"/>
        </w:rPr>
        <w:t xml:space="preserve"> </w:t>
      </w:r>
      <w:r w:rsidR="00E61D2D" w:rsidRPr="00042568">
        <w:rPr>
          <w:rFonts w:asciiTheme="minorHAnsi" w:hAnsiTheme="minorHAnsi" w:cstheme="minorHAnsi"/>
          <w:color w:val="auto"/>
          <w:szCs w:val="24"/>
        </w:rPr>
        <w:t xml:space="preserve">social impairment, without reference to periods of stress. </w:t>
      </w:r>
      <w:proofErr w:type="gramStart"/>
      <w:r w:rsidR="00E61D2D" w:rsidRPr="00042568">
        <w:rPr>
          <w:rFonts w:asciiTheme="minorHAnsi" w:hAnsiTheme="minorHAnsi" w:cstheme="minorHAnsi"/>
          <w:color w:val="auto"/>
          <w:szCs w:val="24"/>
        </w:rPr>
        <w:t xml:space="preserve">Although symptoms </w:t>
      </w:r>
      <w:r w:rsidR="00E61D2D" w:rsidRPr="00042568">
        <w:rPr>
          <w:rFonts w:asciiTheme="minorHAnsi" w:hAnsiTheme="minorHAnsi" w:cstheme="minorHAnsi"/>
          <w:color w:val="auto"/>
          <w:szCs w:val="24"/>
        </w:rPr>
        <w:lastRenderedPageBreak/>
        <w:t xml:space="preserve">were not fully controlled, the CI was noncompliant with medications, and this latter stipulation is preceded by </w:t>
      </w:r>
      <w:r w:rsidR="00C026EE">
        <w:rPr>
          <w:rFonts w:asciiTheme="minorHAnsi" w:hAnsiTheme="minorHAnsi" w:cstheme="minorHAnsi"/>
          <w:color w:val="auto"/>
          <w:szCs w:val="24"/>
        </w:rPr>
        <w:t>“</w:t>
      </w:r>
      <w:r w:rsidR="00E61D2D" w:rsidRPr="00390AB2">
        <w:rPr>
          <w:rFonts w:asciiTheme="minorHAnsi" w:hAnsiTheme="minorHAnsi" w:cstheme="minorHAnsi"/>
          <w:color w:val="auto"/>
          <w:szCs w:val="24"/>
        </w:rPr>
        <w:t>or</w:t>
      </w:r>
      <w:r w:rsidR="00C026EE">
        <w:rPr>
          <w:rFonts w:asciiTheme="minorHAnsi" w:hAnsiTheme="minorHAnsi" w:cstheme="minorHAnsi"/>
          <w:color w:val="auto"/>
          <w:szCs w:val="24"/>
        </w:rPr>
        <w:t>”</w:t>
      </w:r>
      <w:r w:rsidR="000D61CF">
        <w:rPr>
          <w:rFonts w:asciiTheme="minorHAnsi" w:hAnsiTheme="minorHAnsi" w:cstheme="minorHAnsi"/>
          <w:color w:val="auto"/>
          <w:szCs w:val="24"/>
        </w:rPr>
        <w:t xml:space="preserve"> </w:t>
      </w:r>
      <w:r w:rsidR="00E61D2D" w:rsidRPr="00042568">
        <w:rPr>
          <w:rFonts w:asciiTheme="minorHAnsi" w:hAnsiTheme="minorHAnsi" w:cstheme="minorHAnsi"/>
          <w:color w:val="auto"/>
          <w:szCs w:val="24"/>
        </w:rPr>
        <w:t xml:space="preserve">not </w:t>
      </w:r>
      <w:r w:rsidR="00C026EE">
        <w:rPr>
          <w:rFonts w:asciiTheme="minorHAnsi" w:hAnsiTheme="minorHAnsi" w:cstheme="minorHAnsi"/>
          <w:color w:val="auto"/>
          <w:szCs w:val="24"/>
        </w:rPr>
        <w:t>“</w:t>
      </w:r>
      <w:r w:rsidR="00E61D2D" w:rsidRPr="00390AB2">
        <w:rPr>
          <w:rFonts w:asciiTheme="minorHAnsi" w:hAnsiTheme="minorHAnsi" w:cstheme="minorHAnsi"/>
          <w:color w:val="auto"/>
          <w:szCs w:val="24"/>
        </w:rPr>
        <w:t>and</w:t>
      </w:r>
      <w:r w:rsidR="00E61D2D" w:rsidRPr="00042568">
        <w:rPr>
          <w:rFonts w:asciiTheme="minorHAnsi" w:hAnsiTheme="minorHAnsi" w:cstheme="minorHAnsi"/>
          <w:color w:val="auto"/>
          <w:szCs w:val="24"/>
        </w:rPr>
        <w:t>.</w:t>
      </w:r>
      <w:r w:rsidR="00C026EE">
        <w:rPr>
          <w:rFonts w:asciiTheme="minorHAnsi" w:hAnsiTheme="minorHAnsi" w:cstheme="minorHAnsi"/>
          <w:color w:val="auto"/>
          <w:szCs w:val="24"/>
        </w:rPr>
        <w:t>”</w:t>
      </w:r>
      <w:proofErr w:type="gramEnd"/>
      <w:r w:rsidR="00F95B86">
        <w:rPr>
          <w:rFonts w:asciiTheme="minorHAnsi" w:hAnsiTheme="minorHAnsi" w:cstheme="minorHAnsi"/>
          <w:color w:val="auto"/>
          <w:szCs w:val="24"/>
        </w:rPr>
        <w:t xml:space="preserve"> </w:t>
      </w:r>
      <w:r w:rsidR="00E61D2D" w:rsidRPr="00042568">
        <w:rPr>
          <w:rFonts w:asciiTheme="minorHAnsi" w:hAnsiTheme="minorHAnsi" w:cstheme="minorHAnsi"/>
          <w:color w:val="auto"/>
          <w:szCs w:val="24"/>
        </w:rPr>
        <w:t xml:space="preserve">The Board noted the GAF’s at the six month interval </w:t>
      </w:r>
      <w:r w:rsidR="000D61CF">
        <w:rPr>
          <w:rFonts w:asciiTheme="minorHAnsi" w:hAnsiTheme="minorHAnsi" w:cstheme="minorHAnsi"/>
          <w:color w:val="auto"/>
          <w:szCs w:val="24"/>
        </w:rPr>
        <w:t xml:space="preserve">connoted </w:t>
      </w:r>
      <w:r w:rsidR="00E61D2D" w:rsidRPr="00042568">
        <w:rPr>
          <w:rFonts w:asciiTheme="minorHAnsi" w:hAnsiTheme="minorHAnsi" w:cstheme="minorHAnsi"/>
          <w:color w:val="auto"/>
          <w:szCs w:val="24"/>
        </w:rPr>
        <w:t>moderate impairment yet the symptoms and social improvements supported the 10% argument.</w:t>
      </w:r>
      <w:r w:rsidR="00F95B86">
        <w:rPr>
          <w:rFonts w:asciiTheme="minorHAnsi" w:hAnsiTheme="minorHAnsi" w:cstheme="minorHAnsi"/>
          <w:color w:val="auto"/>
          <w:szCs w:val="24"/>
        </w:rPr>
        <w:t xml:space="preserve"> </w:t>
      </w:r>
      <w:r w:rsidR="00730CDC" w:rsidRPr="00390AB2">
        <w:rPr>
          <w:rFonts w:asciiTheme="minorHAnsi" w:hAnsiTheme="minorHAnsi" w:cstheme="minorHAnsi"/>
          <w:color w:val="auto"/>
          <w:szCs w:val="24"/>
        </w:rPr>
        <w:t>The Board</w:t>
      </w:r>
      <w:r w:rsidR="00F2199E" w:rsidRPr="00390AB2">
        <w:rPr>
          <w:rFonts w:asciiTheme="minorHAnsi" w:hAnsiTheme="minorHAnsi" w:cstheme="minorHAnsi"/>
          <w:color w:val="auto"/>
          <w:szCs w:val="24"/>
        </w:rPr>
        <w:t xml:space="preserve"> noted that </w:t>
      </w:r>
      <w:r w:rsidR="002C1274" w:rsidRPr="00390AB2">
        <w:rPr>
          <w:rFonts w:asciiTheme="minorHAnsi" w:hAnsiTheme="minorHAnsi" w:cstheme="minorHAnsi"/>
          <w:color w:val="auto"/>
          <w:szCs w:val="24"/>
        </w:rPr>
        <w:t xml:space="preserve">prior to entering </w:t>
      </w:r>
      <w:r w:rsidR="003C68B6">
        <w:rPr>
          <w:rFonts w:asciiTheme="minorHAnsi" w:hAnsiTheme="minorHAnsi" w:cstheme="minorHAnsi"/>
          <w:color w:val="auto"/>
          <w:szCs w:val="24"/>
        </w:rPr>
        <w:t>the military</w:t>
      </w:r>
      <w:r w:rsidR="002C1274" w:rsidRPr="00390AB2">
        <w:rPr>
          <w:rFonts w:asciiTheme="minorHAnsi" w:hAnsiTheme="minorHAnsi" w:cstheme="minorHAnsi"/>
          <w:color w:val="auto"/>
          <w:szCs w:val="24"/>
        </w:rPr>
        <w:t xml:space="preserve">, </w:t>
      </w:r>
      <w:r w:rsidR="00F2199E" w:rsidRPr="00390AB2">
        <w:rPr>
          <w:rFonts w:asciiTheme="minorHAnsi" w:hAnsiTheme="minorHAnsi" w:cstheme="minorHAnsi"/>
          <w:color w:val="auto"/>
          <w:szCs w:val="24"/>
        </w:rPr>
        <w:t>the CI was working as a bouncer</w:t>
      </w:r>
      <w:r w:rsidR="002C1274" w:rsidRPr="00390AB2">
        <w:rPr>
          <w:rFonts w:asciiTheme="minorHAnsi" w:hAnsiTheme="minorHAnsi" w:cstheme="minorHAnsi"/>
          <w:color w:val="auto"/>
          <w:szCs w:val="24"/>
        </w:rPr>
        <w:t xml:space="preserve"> (and reported </w:t>
      </w:r>
      <w:r w:rsidR="00390AB2" w:rsidRPr="00390AB2">
        <w:rPr>
          <w:rFonts w:asciiTheme="minorHAnsi" w:hAnsiTheme="minorHAnsi" w:cstheme="minorHAnsi"/>
          <w:color w:val="auto"/>
          <w:szCs w:val="24"/>
        </w:rPr>
        <w:t xml:space="preserve">that he drank all the </w:t>
      </w:r>
      <w:r w:rsidR="002C1274" w:rsidRPr="00390AB2">
        <w:rPr>
          <w:rFonts w:asciiTheme="minorHAnsi" w:hAnsiTheme="minorHAnsi" w:cstheme="minorHAnsi"/>
          <w:color w:val="auto"/>
          <w:szCs w:val="24"/>
        </w:rPr>
        <w:t xml:space="preserve">time), and </w:t>
      </w:r>
      <w:r w:rsidR="00596963" w:rsidRPr="00390AB2">
        <w:rPr>
          <w:rFonts w:asciiTheme="minorHAnsi" w:hAnsiTheme="minorHAnsi" w:cstheme="minorHAnsi"/>
          <w:color w:val="auto"/>
          <w:szCs w:val="24"/>
        </w:rPr>
        <w:t>after se</w:t>
      </w:r>
      <w:r w:rsidR="003C68B6">
        <w:rPr>
          <w:rFonts w:asciiTheme="minorHAnsi" w:hAnsiTheme="minorHAnsi" w:cstheme="minorHAnsi"/>
          <w:color w:val="auto"/>
          <w:szCs w:val="24"/>
        </w:rPr>
        <w:t>paration</w:t>
      </w:r>
      <w:r w:rsidR="00F2199E" w:rsidRPr="00390AB2">
        <w:rPr>
          <w:rFonts w:asciiTheme="minorHAnsi" w:hAnsiTheme="minorHAnsi" w:cstheme="minorHAnsi"/>
          <w:color w:val="auto"/>
          <w:szCs w:val="24"/>
        </w:rPr>
        <w:t xml:space="preserve"> at th</w:t>
      </w:r>
      <w:r w:rsidR="002C1274" w:rsidRPr="00390AB2">
        <w:rPr>
          <w:rFonts w:asciiTheme="minorHAnsi" w:hAnsiTheme="minorHAnsi" w:cstheme="minorHAnsi"/>
          <w:color w:val="auto"/>
          <w:szCs w:val="24"/>
        </w:rPr>
        <w:t>e</w:t>
      </w:r>
      <w:r w:rsidR="00F2199E" w:rsidRPr="00390AB2">
        <w:rPr>
          <w:rFonts w:asciiTheme="minorHAnsi" w:hAnsiTheme="minorHAnsi" w:cstheme="minorHAnsi"/>
          <w:color w:val="auto"/>
          <w:szCs w:val="24"/>
        </w:rPr>
        <w:t xml:space="preserve"> six month interval</w:t>
      </w:r>
      <w:r w:rsidR="00596963" w:rsidRPr="00390AB2">
        <w:rPr>
          <w:rFonts w:asciiTheme="minorHAnsi" w:hAnsiTheme="minorHAnsi" w:cstheme="minorHAnsi"/>
          <w:color w:val="auto"/>
          <w:szCs w:val="24"/>
        </w:rPr>
        <w:t>,</w:t>
      </w:r>
      <w:r w:rsidR="00F2199E" w:rsidRPr="00390AB2">
        <w:rPr>
          <w:rFonts w:asciiTheme="minorHAnsi" w:hAnsiTheme="minorHAnsi" w:cstheme="minorHAnsi"/>
          <w:color w:val="auto"/>
          <w:szCs w:val="24"/>
        </w:rPr>
        <w:t xml:space="preserve"> he not only was working as a bouncer</w:t>
      </w:r>
      <w:r w:rsidR="00596963" w:rsidRPr="00390AB2">
        <w:rPr>
          <w:rFonts w:asciiTheme="minorHAnsi" w:hAnsiTheme="minorHAnsi" w:cstheme="minorHAnsi"/>
          <w:color w:val="auto"/>
          <w:szCs w:val="24"/>
        </w:rPr>
        <w:t>,</w:t>
      </w:r>
      <w:r w:rsidR="00F2199E" w:rsidRPr="00390AB2">
        <w:rPr>
          <w:rFonts w:asciiTheme="minorHAnsi" w:hAnsiTheme="minorHAnsi" w:cstheme="minorHAnsi"/>
          <w:color w:val="auto"/>
          <w:szCs w:val="24"/>
        </w:rPr>
        <w:t xml:space="preserve"> he was </w:t>
      </w:r>
      <w:r w:rsidR="00054978" w:rsidRPr="00390AB2">
        <w:rPr>
          <w:rFonts w:asciiTheme="minorHAnsi" w:hAnsiTheme="minorHAnsi" w:cstheme="minorHAnsi"/>
          <w:color w:val="auto"/>
          <w:szCs w:val="24"/>
        </w:rPr>
        <w:t>attending college</w:t>
      </w:r>
      <w:r w:rsidR="00F2199E" w:rsidRPr="00390AB2">
        <w:rPr>
          <w:rFonts w:asciiTheme="minorHAnsi" w:hAnsiTheme="minorHAnsi" w:cstheme="minorHAnsi"/>
          <w:color w:val="auto"/>
          <w:szCs w:val="24"/>
        </w:rPr>
        <w:t>, had a significant re</w:t>
      </w:r>
      <w:r w:rsidR="00596963" w:rsidRPr="00390AB2">
        <w:rPr>
          <w:rFonts w:asciiTheme="minorHAnsi" w:hAnsiTheme="minorHAnsi" w:cstheme="minorHAnsi"/>
          <w:color w:val="auto"/>
          <w:szCs w:val="24"/>
        </w:rPr>
        <w:t>lationship with his girlfriend</w:t>
      </w:r>
      <w:r w:rsidR="002C1274" w:rsidRPr="00390AB2">
        <w:rPr>
          <w:rFonts w:asciiTheme="minorHAnsi" w:hAnsiTheme="minorHAnsi" w:cstheme="minorHAnsi"/>
          <w:color w:val="auto"/>
          <w:szCs w:val="24"/>
        </w:rPr>
        <w:t>, and maintained sobriety from alcohol.</w:t>
      </w:r>
      <w:r w:rsidR="00F95B86">
        <w:rPr>
          <w:rFonts w:asciiTheme="minorHAnsi" w:hAnsiTheme="minorHAnsi" w:cstheme="minorHAnsi"/>
          <w:color w:val="auto"/>
          <w:szCs w:val="24"/>
        </w:rPr>
        <w:t xml:space="preserve"> </w:t>
      </w:r>
      <w:r w:rsidR="00FB4B1A" w:rsidRPr="0097584B">
        <w:rPr>
          <w:rFonts w:asciiTheme="minorHAnsi" w:hAnsiTheme="minorHAnsi" w:cstheme="minorHAnsi"/>
          <w:color w:val="auto"/>
          <w:szCs w:val="24"/>
        </w:rPr>
        <w:t>The Board also note</w:t>
      </w:r>
      <w:r w:rsidR="00513142" w:rsidRPr="0097584B">
        <w:rPr>
          <w:rFonts w:asciiTheme="minorHAnsi" w:hAnsiTheme="minorHAnsi" w:cstheme="minorHAnsi"/>
          <w:color w:val="auto"/>
          <w:szCs w:val="24"/>
        </w:rPr>
        <w:t>d</w:t>
      </w:r>
      <w:r w:rsidR="00FB4B1A" w:rsidRPr="0097584B">
        <w:rPr>
          <w:rFonts w:asciiTheme="minorHAnsi" w:hAnsiTheme="minorHAnsi" w:cstheme="minorHAnsi"/>
          <w:color w:val="auto"/>
          <w:szCs w:val="24"/>
        </w:rPr>
        <w:t xml:space="preserve"> </w:t>
      </w:r>
      <w:r w:rsidR="00513142" w:rsidRPr="0097584B">
        <w:rPr>
          <w:rFonts w:asciiTheme="minorHAnsi" w:hAnsiTheme="minorHAnsi" w:cstheme="minorHAnsi"/>
          <w:color w:val="auto"/>
          <w:szCs w:val="24"/>
        </w:rPr>
        <w:t>the</w:t>
      </w:r>
      <w:r w:rsidR="00FB4B1A" w:rsidRPr="0097584B">
        <w:rPr>
          <w:rFonts w:asciiTheme="minorHAnsi" w:hAnsiTheme="minorHAnsi" w:cstheme="minorHAnsi"/>
          <w:color w:val="auto"/>
          <w:szCs w:val="24"/>
        </w:rPr>
        <w:t xml:space="preserve"> report</w:t>
      </w:r>
      <w:r w:rsidR="00513142" w:rsidRPr="0097584B">
        <w:rPr>
          <w:rFonts w:asciiTheme="minorHAnsi" w:hAnsiTheme="minorHAnsi" w:cstheme="minorHAnsi"/>
          <w:color w:val="auto"/>
          <w:szCs w:val="24"/>
        </w:rPr>
        <w:t>s</w:t>
      </w:r>
      <w:r w:rsidR="00FB4B1A" w:rsidRPr="0097584B">
        <w:rPr>
          <w:rFonts w:asciiTheme="minorHAnsi" w:hAnsiTheme="minorHAnsi" w:cstheme="minorHAnsi"/>
          <w:color w:val="auto"/>
          <w:szCs w:val="24"/>
        </w:rPr>
        <w:t xml:space="preserve"> </w:t>
      </w:r>
      <w:r w:rsidR="00513142" w:rsidRPr="0097584B">
        <w:rPr>
          <w:rFonts w:asciiTheme="minorHAnsi" w:hAnsiTheme="minorHAnsi" w:cstheme="minorHAnsi"/>
          <w:color w:val="auto"/>
          <w:szCs w:val="24"/>
        </w:rPr>
        <w:t>describing</w:t>
      </w:r>
      <w:r w:rsidR="00FB4B1A" w:rsidRPr="0097584B">
        <w:rPr>
          <w:rFonts w:asciiTheme="minorHAnsi" w:hAnsiTheme="minorHAnsi" w:cstheme="minorHAnsi"/>
          <w:color w:val="auto"/>
          <w:szCs w:val="24"/>
        </w:rPr>
        <w:t xml:space="preserve"> </w:t>
      </w:r>
      <w:r w:rsidR="00513142" w:rsidRPr="0097584B">
        <w:rPr>
          <w:rFonts w:asciiTheme="minorHAnsi" w:hAnsiTheme="minorHAnsi" w:cstheme="minorHAnsi"/>
          <w:color w:val="auto"/>
          <w:szCs w:val="24"/>
        </w:rPr>
        <w:t xml:space="preserve">the CI’s </w:t>
      </w:r>
      <w:r w:rsidR="00FB4B1A" w:rsidRPr="0097584B">
        <w:rPr>
          <w:rFonts w:asciiTheme="minorHAnsi" w:hAnsiTheme="minorHAnsi" w:cstheme="minorHAnsi"/>
          <w:color w:val="auto"/>
          <w:szCs w:val="24"/>
        </w:rPr>
        <w:t xml:space="preserve">clinical history </w:t>
      </w:r>
      <w:r w:rsidR="00513142" w:rsidRPr="0097584B">
        <w:rPr>
          <w:rFonts w:asciiTheme="minorHAnsi" w:hAnsiTheme="minorHAnsi" w:cstheme="minorHAnsi"/>
          <w:color w:val="auto"/>
          <w:szCs w:val="24"/>
        </w:rPr>
        <w:t xml:space="preserve">were </w:t>
      </w:r>
      <w:r w:rsidR="00FB4B1A" w:rsidRPr="0097584B">
        <w:rPr>
          <w:rFonts w:asciiTheme="minorHAnsi" w:hAnsiTheme="minorHAnsi" w:cstheme="minorHAnsi"/>
          <w:color w:val="auto"/>
          <w:szCs w:val="24"/>
        </w:rPr>
        <w:t>not supported by</w:t>
      </w:r>
      <w:r w:rsidR="00513142" w:rsidRPr="0097584B">
        <w:rPr>
          <w:rFonts w:asciiTheme="minorHAnsi" w:hAnsiTheme="minorHAnsi" w:cstheme="minorHAnsi"/>
          <w:color w:val="auto"/>
          <w:szCs w:val="24"/>
        </w:rPr>
        <w:t xml:space="preserve"> the</w:t>
      </w:r>
      <w:r w:rsidR="00FB4B1A" w:rsidRPr="0097584B">
        <w:rPr>
          <w:rFonts w:asciiTheme="minorHAnsi" w:hAnsiTheme="minorHAnsi" w:cstheme="minorHAnsi"/>
          <w:color w:val="auto"/>
          <w:szCs w:val="24"/>
        </w:rPr>
        <w:t xml:space="preserve"> primary service medical documentation and </w:t>
      </w:r>
      <w:r w:rsidR="00513142" w:rsidRPr="0097584B">
        <w:rPr>
          <w:rFonts w:asciiTheme="minorHAnsi" w:hAnsiTheme="minorHAnsi" w:cstheme="minorHAnsi"/>
          <w:color w:val="auto"/>
          <w:szCs w:val="24"/>
        </w:rPr>
        <w:t xml:space="preserve">revealed </w:t>
      </w:r>
      <w:r w:rsidR="00F95B86">
        <w:rPr>
          <w:rFonts w:asciiTheme="minorHAnsi" w:hAnsiTheme="minorHAnsi" w:cstheme="minorHAnsi"/>
          <w:color w:val="auto"/>
          <w:szCs w:val="24"/>
        </w:rPr>
        <w:t xml:space="preserve">conflicting symptom reporting. </w:t>
      </w:r>
      <w:r w:rsidR="00060053" w:rsidRPr="0097584B">
        <w:rPr>
          <w:rFonts w:asciiTheme="minorHAnsi" w:hAnsiTheme="minorHAnsi" w:cstheme="minorHAnsi"/>
          <w:color w:val="auto"/>
          <w:szCs w:val="24"/>
        </w:rPr>
        <w:t>The Board is left to consider, therefore, that the CI’s accounts of his symptoms and their severity, which constitute most of the psychiatric evidence, are subject</w:t>
      </w:r>
      <w:r w:rsidR="00F95B86">
        <w:rPr>
          <w:rFonts w:asciiTheme="minorHAnsi" w:hAnsiTheme="minorHAnsi" w:cstheme="minorHAnsi"/>
          <w:color w:val="auto"/>
          <w:szCs w:val="24"/>
        </w:rPr>
        <w:t xml:space="preserve"> to probative value compromise.</w:t>
      </w:r>
      <w:r w:rsidR="00060053" w:rsidRPr="0097584B">
        <w:rPr>
          <w:rFonts w:asciiTheme="minorHAnsi" w:hAnsiTheme="minorHAnsi" w:cstheme="minorHAnsi"/>
          <w:color w:val="auto"/>
          <w:szCs w:val="24"/>
        </w:rPr>
        <w:t xml:space="preserve"> In such cases, the Board leans more heavily on the well-grounded evidence such as actual performance and functioning, objective elements of the mental status examination and symptoms which are consistently reported and compatible with clin</w:t>
      </w:r>
      <w:r w:rsidR="00F95B86">
        <w:rPr>
          <w:rFonts w:asciiTheme="minorHAnsi" w:hAnsiTheme="minorHAnsi" w:cstheme="minorHAnsi"/>
          <w:color w:val="auto"/>
          <w:szCs w:val="24"/>
        </w:rPr>
        <w:t xml:space="preserve">ical expectations. </w:t>
      </w:r>
      <w:r w:rsidR="00E6304E">
        <w:rPr>
          <w:rFonts w:asciiTheme="minorHAnsi" w:hAnsiTheme="minorHAnsi" w:cstheme="minorHAnsi"/>
          <w:color w:val="auto"/>
          <w:szCs w:val="24"/>
        </w:rPr>
        <w:t>In so doing</w:t>
      </w:r>
      <w:r w:rsidR="00060053" w:rsidRPr="0097584B">
        <w:rPr>
          <w:rFonts w:asciiTheme="minorHAnsi" w:hAnsiTheme="minorHAnsi" w:cstheme="minorHAnsi"/>
          <w:color w:val="auto"/>
          <w:szCs w:val="24"/>
        </w:rPr>
        <w:t xml:space="preserve"> however, the Board remains cognizant of VASRD §4.3 (reasonable doubt) and favorably concedes matters which it cannot opine to a “more likely than </w:t>
      </w:r>
      <w:r w:rsidR="00F95B86">
        <w:rPr>
          <w:rFonts w:asciiTheme="minorHAnsi" w:hAnsiTheme="minorHAnsi" w:cstheme="minorHAnsi"/>
          <w:color w:val="auto"/>
          <w:szCs w:val="24"/>
        </w:rPr>
        <w:t xml:space="preserve">not” standard. </w:t>
      </w:r>
      <w:r w:rsidR="00060053" w:rsidRPr="0097584B">
        <w:rPr>
          <w:rFonts w:asciiTheme="minorHAnsi" w:hAnsiTheme="minorHAnsi" w:cstheme="minorHAnsi"/>
          <w:color w:val="auto"/>
          <w:szCs w:val="24"/>
        </w:rPr>
        <w:t>All of the evidence, bolstering and reducing support for t</w:t>
      </w:r>
      <w:r w:rsidR="00F95B86">
        <w:rPr>
          <w:rFonts w:asciiTheme="minorHAnsi" w:hAnsiTheme="minorHAnsi" w:cstheme="minorHAnsi"/>
          <w:color w:val="auto"/>
          <w:szCs w:val="24"/>
        </w:rPr>
        <w:t xml:space="preserve">he higher rating, was debated. </w:t>
      </w:r>
      <w:r w:rsidR="00060053" w:rsidRPr="0097584B">
        <w:rPr>
          <w:rFonts w:asciiTheme="minorHAnsi" w:hAnsiTheme="minorHAnsi" w:cstheme="minorHAnsi"/>
          <w:color w:val="auto"/>
          <w:szCs w:val="24"/>
        </w:rPr>
        <w:t xml:space="preserve">The majority of the Board failed, on balance, to find adequate reasonable doubt favoring the CI in support of a recommendation for the higher rating.  </w:t>
      </w:r>
      <w:r w:rsidR="00FB4B1A" w:rsidRPr="0097584B">
        <w:rPr>
          <w:rFonts w:asciiTheme="minorHAnsi" w:hAnsiTheme="minorHAnsi" w:cstheme="minorHAnsi"/>
          <w:color w:val="auto"/>
          <w:szCs w:val="24"/>
        </w:rPr>
        <w:t>After due deliberation, considering the totality of</w:t>
      </w:r>
      <w:r w:rsidR="00FB4B1A" w:rsidRPr="00042568">
        <w:rPr>
          <w:color w:val="auto"/>
          <w:szCs w:val="24"/>
        </w:rPr>
        <w:t xml:space="preserve"> the evidence and mindful of VASRD §4.3 (reasonable doubt), the Board recommends a permanent PTSD disability rating of 10% in this case.</w:t>
      </w:r>
      <w:r w:rsidR="00FB4B1A">
        <w:rPr>
          <w:color w:val="auto"/>
          <w:sz w:val="23"/>
          <w:szCs w:val="23"/>
        </w:rPr>
        <w:t xml:space="preserve">  </w:t>
      </w:r>
    </w:p>
    <w:p w:rsidR="00C90D3B" w:rsidRDefault="00C90D3B" w:rsidP="00300479">
      <w:pPr>
        <w:spacing w:line="240" w:lineRule="exact"/>
        <w:jc w:val="both"/>
        <w:rPr>
          <w:rFonts w:asciiTheme="minorHAnsi" w:eastAsia="HiddenHorzOCR" w:hAnsiTheme="minorHAnsi"/>
          <w:color w:val="auto"/>
          <w:szCs w:val="24"/>
          <w:u w:val="single"/>
        </w:rPr>
      </w:pPr>
    </w:p>
    <w:p w:rsidR="005548DB" w:rsidRPr="00E75763" w:rsidRDefault="006C1851" w:rsidP="00300479">
      <w:pPr>
        <w:spacing w:line="240" w:lineRule="exact"/>
        <w:jc w:val="both"/>
        <w:rPr>
          <w:rFonts w:asciiTheme="minorHAnsi" w:hAnsiTheme="minorHAnsi"/>
          <w:color w:val="auto"/>
          <w:szCs w:val="24"/>
        </w:rPr>
      </w:pPr>
      <w:r w:rsidRPr="003C2274">
        <w:rPr>
          <w:rFonts w:asciiTheme="minorHAnsi" w:eastAsia="HiddenHorzOCR" w:hAnsiTheme="minorHAnsi"/>
          <w:color w:val="auto"/>
          <w:szCs w:val="24"/>
          <w:u w:val="single"/>
        </w:rPr>
        <w:t xml:space="preserve">Other </w:t>
      </w:r>
      <w:r w:rsidR="00C026EE" w:rsidRPr="003C2274">
        <w:rPr>
          <w:rFonts w:asciiTheme="minorHAnsi" w:eastAsia="HiddenHorzOCR" w:hAnsiTheme="minorHAnsi"/>
          <w:color w:val="auto"/>
          <w:szCs w:val="24"/>
          <w:u w:val="single"/>
        </w:rPr>
        <w:t>PEB Conditions</w:t>
      </w:r>
      <w:r w:rsidRPr="00893AB8">
        <w:rPr>
          <w:rFonts w:asciiTheme="minorHAnsi" w:eastAsia="HiddenHorzOCR" w:hAnsiTheme="minorHAnsi"/>
          <w:color w:val="auto"/>
          <w:szCs w:val="24"/>
        </w:rPr>
        <w:t>:</w:t>
      </w:r>
      <w:r w:rsidRPr="003C2274">
        <w:rPr>
          <w:rFonts w:asciiTheme="minorHAnsi" w:eastAsia="HiddenHorzOCR" w:hAnsiTheme="minorHAnsi"/>
          <w:color w:val="auto"/>
          <w:szCs w:val="24"/>
        </w:rPr>
        <w:t xml:space="preserve"> </w:t>
      </w:r>
      <w:r w:rsidR="00893AB8">
        <w:rPr>
          <w:rFonts w:asciiTheme="minorHAnsi" w:eastAsia="HiddenHorzOCR" w:hAnsiTheme="minorHAnsi"/>
          <w:color w:val="auto"/>
          <w:szCs w:val="24"/>
        </w:rPr>
        <w:t xml:space="preserve"> T</w:t>
      </w:r>
      <w:r w:rsidRPr="003C2274">
        <w:rPr>
          <w:rFonts w:asciiTheme="minorHAnsi" w:eastAsia="HiddenHorzOCR" w:hAnsiTheme="minorHAnsi"/>
          <w:color w:val="auto"/>
          <w:szCs w:val="24"/>
        </w:rPr>
        <w:t xml:space="preserve">he other conditions forwarded by the MEB and adjudicated as </w:t>
      </w:r>
      <w:r w:rsidR="00893AB8">
        <w:rPr>
          <w:rFonts w:asciiTheme="minorHAnsi" w:eastAsia="HiddenHorzOCR" w:hAnsiTheme="minorHAnsi"/>
          <w:color w:val="auto"/>
          <w:szCs w:val="24"/>
        </w:rPr>
        <w:t xml:space="preserve">category 2 conditions </w:t>
      </w:r>
      <w:r w:rsidRPr="003C2274">
        <w:rPr>
          <w:rFonts w:asciiTheme="minorHAnsi" w:eastAsia="HiddenHorzOCR" w:hAnsiTheme="minorHAnsi"/>
          <w:color w:val="auto"/>
          <w:szCs w:val="24"/>
        </w:rPr>
        <w:t>by the PEB were cognitive disorder,</w:t>
      </w:r>
      <w:r w:rsidR="003C2274" w:rsidRPr="003C2274">
        <w:rPr>
          <w:rFonts w:asciiTheme="minorHAnsi" w:eastAsia="HiddenHorzOCR" w:hAnsiTheme="minorHAnsi"/>
          <w:color w:val="auto"/>
          <w:szCs w:val="24"/>
        </w:rPr>
        <w:t xml:space="preserve"> post-traumatic headache,</w:t>
      </w:r>
      <w:r w:rsidRPr="003C2274">
        <w:rPr>
          <w:rFonts w:asciiTheme="minorHAnsi" w:eastAsia="HiddenHorzOCR" w:hAnsiTheme="minorHAnsi"/>
          <w:color w:val="auto"/>
          <w:szCs w:val="24"/>
        </w:rPr>
        <w:t xml:space="preserve"> multiple grade two and three concussion, </w:t>
      </w:r>
      <w:r w:rsidR="00893AB8">
        <w:rPr>
          <w:rFonts w:asciiTheme="minorHAnsi" w:eastAsia="HiddenHorzOCR" w:hAnsiTheme="minorHAnsi"/>
          <w:color w:val="auto"/>
          <w:szCs w:val="24"/>
        </w:rPr>
        <w:t xml:space="preserve">and </w:t>
      </w:r>
      <w:r w:rsidRPr="003C2274">
        <w:rPr>
          <w:rFonts w:asciiTheme="minorHAnsi" w:eastAsia="HiddenHorzOCR" w:hAnsiTheme="minorHAnsi"/>
          <w:color w:val="auto"/>
          <w:szCs w:val="24"/>
        </w:rPr>
        <w:t>personality change due to medical condition</w:t>
      </w:r>
      <w:r w:rsidR="00893AB8">
        <w:rPr>
          <w:rFonts w:asciiTheme="minorHAnsi" w:eastAsia="HiddenHorzOCR" w:hAnsiTheme="minorHAnsi"/>
          <w:color w:val="auto"/>
          <w:szCs w:val="24"/>
        </w:rPr>
        <w:t>.  A</w:t>
      </w:r>
      <w:r w:rsidRPr="003C2274">
        <w:rPr>
          <w:rFonts w:asciiTheme="minorHAnsi" w:eastAsia="HiddenHorzOCR" w:hAnsiTheme="minorHAnsi"/>
          <w:color w:val="auto"/>
          <w:szCs w:val="24"/>
        </w:rPr>
        <w:t>lcohol dependence</w:t>
      </w:r>
      <w:r w:rsidR="00893AB8">
        <w:rPr>
          <w:rFonts w:asciiTheme="minorHAnsi" w:eastAsia="HiddenHorzOCR" w:hAnsiTheme="minorHAnsi"/>
          <w:color w:val="auto"/>
          <w:szCs w:val="24"/>
        </w:rPr>
        <w:t xml:space="preserve"> in sustained partial remission was a category 4 condition, a condition which does not constitute a physical disability</w:t>
      </w:r>
      <w:r w:rsidRPr="003C2274">
        <w:rPr>
          <w:rFonts w:asciiTheme="minorHAnsi" w:eastAsia="HiddenHorzOCR" w:hAnsiTheme="minorHAnsi"/>
          <w:color w:val="auto"/>
          <w:szCs w:val="24"/>
        </w:rPr>
        <w:t>.</w:t>
      </w:r>
      <w:r w:rsidR="00F95B86">
        <w:rPr>
          <w:rFonts w:asciiTheme="minorHAnsi" w:eastAsia="HiddenHorzOCR" w:hAnsiTheme="minorHAnsi"/>
          <w:color w:val="auto"/>
          <w:szCs w:val="24"/>
        </w:rPr>
        <w:t xml:space="preserve"> </w:t>
      </w:r>
      <w:r w:rsidR="00893AB8">
        <w:rPr>
          <w:rFonts w:asciiTheme="minorHAnsi" w:eastAsia="HiddenHorzOCR" w:hAnsiTheme="minorHAnsi"/>
          <w:color w:val="auto"/>
          <w:szCs w:val="24"/>
        </w:rPr>
        <w:t>C</w:t>
      </w:r>
      <w:r w:rsidR="003C2274" w:rsidRPr="003C2274">
        <w:rPr>
          <w:rFonts w:asciiTheme="minorHAnsi" w:hAnsiTheme="minorHAnsi"/>
          <w:color w:val="auto"/>
          <w:szCs w:val="24"/>
        </w:rPr>
        <w:t>ognitive disorder</w:t>
      </w:r>
      <w:r w:rsidR="00893AB8">
        <w:rPr>
          <w:rFonts w:asciiTheme="minorHAnsi" w:hAnsiTheme="minorHAnsi"/>
          <w:color w:val="auto"/>
          <w:szCs w:val="24"/>
        </w:rPr>
        <w:t xml:space="preserve">, </w:t>
      </w:r>
      <w:r w:rsidR="003C2274" w:rsidRPr="003C2274">
        <w:rPr>
          <w:rFonts w:asciiTheme="minorHAnsi" w:hAnsiTheme="minorHAnsi"/>
          <w:color w:val="auto"/>
          <w:szCs w:val="24"/>
        </w:rPr>
        <w:t>sleep disturbances</w:t>
      </w:r>
      <w:r w:rsidR="00893AB8">
        <w:rPr>
          <w:rFonts w:asciiTheme="minorHAnsi" w:hAnsiTheme="minorHAnsi"/>
          <w:color w:val="auto"/>
          <w:szCs w:val="24"/>
        </w:rPr>
        <w:t>, and personality change</w:t>
      </w:r>
      <w:r w:rsidR="003C2274" w:rsidRPr="003C2274">
        <w:rPr>
          <w:rFonts w:asciiTheme="minorHAnsi" w:hAnsiTheme="minorHAnsi"/>
          <w:color w:val="auto"/>
          <w:szCs w:val="24"/>
        </w:rPr>
        <w:t xml:space="preserve"> were subsumed under the </w:t>
      </w:r>
      <w:r w:rsidR="003C2274" w:rsidRPr="003C2274">
        <w:rPr>
          <w:color w:val="auto"/>
          <w:szCs w:val="24"/>
        </w:rPr>
        <w:t>§</w:t>
      </w:r>
      <w:r w:rsidR="00F95B86">
        <w:rPr>
          <w:rFonts w:asciiTheme="minorHAnsi" w:hAnsiTheme="minorHAnsi"/>
          <w:color w:val="auto"/>
          <w:szCs w:val="24"/>
        </w:rPr>
        <w:t xml:space="preserve">4.130 PTSD rating. </w:t>
      </w:r>
      <w:r w:rsidR="00AE2052" w:rsidRPr="003C2274">
        <w:rPr>
          <w:rFonts w:asciiTheme="minorHAnsi" w:hAnsiTheme="minorHAnsi"/>
          <w:color w:val="auto"/>
          <w:szCs w:val="24"/>
        </w:rPr>
        <w:t>After the CI’s blast injury he noted</w:t>
      </w:r>
      <w:r w:rsidR="00AD69AF" w:rsidRPr="003C2274">
        <w:rPr>
          <w:rFonts w:asciiTheme="minorHAnsi" w:hAnsiTheme="minorHAnsi"/>
          <w:color w:val="auto"/>
          <w:szCs w:val="24"/>
        </w:rPr>
        <w:t xml:space="preserve"> residual </w:t>
      </w:r>
      <w:r w:rsidR="00AE2052" w:rsidRPr="003C2274">
        <w:rPr>
          <w:rFonts w:asciiTheme="minorHAnsi" w:hAnsiTheme="minorHAnsi"/>
          <w:color w:val="auto"/>
          <w:szCs w:val="24"/>
        </w:rPr>
        <w:t xml:space="preserve">chronic </w:t>
      </w:r>
      <w:r w:rsidR="00AD69AF" w:rsidRPr="003C2274">
        <w:rPr>
          <w:rFonts w:asciiTheme="minorHAnsi" w:hAnsiTheme="minorHAnsi"/>
          <w:color w:val="auto"/>
          <w:szCs w:val="24"/>
        </w:rPr>
        <w:t xml:space="preserve">headaches occurring daily 2/10 pain scale, then </w:t>
      </w:r>
      <w:r w:rsidR="00AE2052" w:rsidRPr="003C2274">
        <w:rPr>
          <w:rFonts w:asciiTheme="minorHAnsi" w:hAnsiTheme="minorHAnsi"/>
          <w:color w:val="auto"/>
          <w:szCs w:val="24"/>
        </w:rPr>
        <w:t>about one</w:t>
      </w:r>
      <w:r w:rsidR="00AD69AF" w:rsidRPr="003C2274">
        <w:rPr>
          <w:rFonts w:asciiTheme="minorHAnsi" w:hAnsiTheme="minorHAnsi"/>
          <w:color w:val="auto"/>
          <w:szCs w:val="24"/>
        </w:rPr>
        <w:t xml:space="preserve"> time per day </w:t>
      </w:r>
      <w:r w:rsidR="008E3D05" w:rsidRPr="003C2274">
        <w:rPr>
          <w:rFonts w:asciiTheme="minorHAnsi" w:hAnsiTheme="minorHAnsi"/>
          <w:color w:val="auto"/>
          <w:szCs w:val="24"/>
        </w:rPr>
        <w:t xml:space="preserve">he </w:t>
      </w:r>
      <w:r w:rsidR="00E23D80">
        <w:rPr>
          <w:rFonts w:asciiTheme="minorHAnsi" w:hAnsiTheme="minorHAnsi"/>
          <w:color w:val="auto"/>
          <w:szCs w:val="24"/>
        </w:rPr>
        <w:t>has a migraine-</w:t>
      </w:r>
      <w:r w:rsidR="00AE2052" w:rsidRPr="003C2274">
        <w:rPr>
          <w:rFonts w:asciiTheme="minorHAnsi" w:hAnsiTheme="minorHAnsi"/>
          <w:color w:val="auto"/>
          <w:szCs w:val="24"/>
        </w:rPr>
        <w:t xml:space="preserve">like </w:t>
      </w:r>
      <w:r w:rsidR="00AD69AF" w:rsidRPr="003C2274">
        <w:rPr>
          <w:rFonts w:asciiTheme="minorHAnsi" w:hAnsiTheme="minorHAnsi"/>
          <w:color w:val="auto"/>
          <w:szCs w:val="24"/>
        </w:rPr>
        <w:t xml:space="preserve">headache </w:t>
      </w:r>
      <w:r w:rsidR="00AE2052" w:rsidRPr="003C2274">
        <w:rPr>
          <w:rFonts w:asciiTheme="minorHAnsi" w:hAnsiTheme="minorHAnsi"/>
          <w:color w:val="auto"/>
          <w:szCs w:val="24"/>
        </w:rPr>
        <w:t xml:space="preserve">which </w:t>
      </w:r>
      <w:proofErr w:type="spellStart"/>
      <w:r w:rsidR="00AD69AF" w:rsidRPr="003C2274">
        <w:rPr>
          <w:rFonts w:asciiTheme="minorHAnsi" w:hAnsiTheme="minorHAnsi"/>
          <w:color w:val="auto"/>
          <w:szCs w:val="24"/>
        </w:rPr>
        <w:t>Maxalt</w:t>
      </w:r>
      <w:proofErr w:type="spellEnd"/>
      <w:r w:rsidR="00AD69AF" w:rsidRPr="003C2274">
        <w:rPr>
          <w:rFonts w:asciiTheme="minorHAnsi" w:hAnsiTheme="minorHAnsi"/>
          <w:color w:val="auto"/>
          <w:szCs w:val="24"/>
        </w:rPr>
        <w:t xml:space="preserve"> </w:t>
      </w:r>
      <w:r w:rsidR="00F95B86">
        <w:rPr>
          <w:rFonts w:asciiTheme="minorHAnsi" w:hAnsiTheme="minorHAnsi"/>
          <w:color w:val="auto"/>
          <w:szCs w:val="24"/>
        </w:rPr>
        <w:t xml:space="preserve">immediately resolves. </w:t>
      </w:r>
      <w:r w:rsidR="00AE2052" w:rsidRPr="003C2274">
        <w:rPr>
          <w:rFonts w:asciiTheme="minorHAnsi" w:hAnsiTheme="minorHAnsi"/>
          <w:color w:val="auto"/>
          <w:szCs w:val="24"/>
        </w:rPr>
        <w:t>He noted</w:t>
      </w:r>
      <w:r w:rsidR="00745F83" w:rsidRPr="003C2274">
        <w:rPr>
          <w:rFonts w:asciiTheme="minorHAnsi" w:hAnsiTheme="minorHAnsi"/>
          <w:color w:val="auto"/>
          <w:szCs w:val="24"/>
        </w:rPr>
        <w:t xml:space="preserve"> nausea and vomiting with the wearing </w:t>
      </w:r>
      <w:r w:rsidR="00F95B86">
        <w:rPr>
          <w:rFonts w:asciiTheme="minorHAnsi" w:hAnsiTheme="minorHAnsi"/>
          <w:color w:val="auto"/>
          <w:szCs w:val="24"/>
        </w:rPr>
        <w:t xml:space="preserve">of a helmet and post exercise. </w:t>
      </w:r>
      <w:r w:rsidR="00AE2052" w:rsidRPr="003C2274">
        <w:rPr>
          <w:rFonts w:asciiTheme="minorHAnsi" w:hAnsiTheme="minorHAnsi"/>
          <w:color w:val="auto"/>
          <w:szCs w:val="24"/>
        </w:rPr>
        <w:t xml:space="preserve">He was seen by </w:t>
      </w:r>
      <w:r w:rsidR="000D61CF">
        <w:rPr>
          <w:rFonts w:asciiTheme="minorHAnsi" w:hAnsiTheme="minorHAnsi"/>
          <w:color w:val="auto"/>
          <w:szCs w:val="24"/>
        </w:rPr>
        <w:t>n</w:t>
      </w:r>
      <w:r w:rsidR="00AE2052" w:rsidRPr="003C2274">
        <w:rPr>
          <w:rFonts w:asciiTheme="minorHAnsi" w:hAnsiTheme="minorHAnsi"/>
          <w:color w:val="auto"/>
          <w:szCs w:val="24"/>
        </w:rPr>
        <w:t xml:space="preserve">eurology, noted to have a normal exam and radiographs and diagnosed with </w:t>
      </w:r>
      <w:r w:rsidR="008F0BB5">
        <w:rPr>
          <w:rFonts w:asciiTheme="minorHAnsi" w:hAnsiTheme="minorHAnsi"/>
          <w:color w:val="auto"/>
          <w:szCs w:val="24"/>
        </w:rPr>
        <w:t>m</w:t>
      </w:r>
      <w:r w:rsidR="00AE2052" w:rsidRPr="003C2274">
        <w:rPr>
          <w:rFonts w:asciiTheme="minorHAnsi" w:hAnsiTheme="minorHAnsi"/>
          <w:color w:val="auto"/>
          <w:szCs w:val="24"/>
        </w:rPr>
        <w:t>igrai</w:t>
      </w:r>
      <w:r w:rsidR="00F95B86">
        <w:rPr>
          <w:rFonts w:asciiTheme="minorHAnsi" w:hAnsiTheme="minorHAnsi"/>
          <w:color w:val="auto"/>
          <w:szCs w:val="24"/>
        </w:rPr>
        <w:t xml:space="preserve">nes and recommended treatment. </w:t>
      </w:r>
      <w:r w:rsidR="00745F83" w:rsidRPr="003C2274">
        <w:rPr>
          <w:rFonts w:asciiTheme="minorHAnsi" w:hAnsiTheme="minorHAnsi"/>
          <w:color w:val="auto"/>
          <w:szCs w:val="24"/>
        </w:rPr>
        <w:t xml:space="preserve">In follow-up the CI had improvement in headache frequency and lessening of severity, requiring abortive therapy </w:t>
      </w:r>
      <w:r w:rsidR="00E6304E">
        <w:rPr>
          <w:rFonts w:asciiTheme="minorHAnsi" w:hAnsiTheme="minorHAnsi"/>
          <w:color w:val="auto"/>
          <w:szCs w:val="24"/>
        </w:rPr>
        <w:t>two</w:t>
      </w:r>
      <w:r w:rsidR="00745F83" w:rsidRPr="003C2274">
        <w:rPr>
          <w:rFonts w:asciiTheme="minorHAnsi" w:hAnsiTheme="minorHAnsi"/>
          <w:color w:val="auto"/>
          <w:szCs w:val="24"/>
        </w:rPr>
        <w:t xml:space="preserve"> times per week.</w:t>
      </w:r>
      <w:r w:rsidR="00F95B86">
        <w:rPr>
          <w:rFonts w:asciiTheme="minorHAnsi" w:hAnsiTheme="minorHAnsi"/>
          <w:color w:val="auto"/>
          <w:szCs w:val="24"/>
        </w:rPr>
        <w:t xml:space="preserve"> </w:t>
      </w:r>
      <w:r w:rsidR="00410FB7">
        <w:rPr>
          <w:rFonts w:asciiTheme="minorHAnsi" w:hAnsiTheme="minorHAnsi"/>
          <w:color w:val="auto"/>
          <w:szCs w:val="24"/>
        </w:rPr>
        <w:t xml:space="preserve">It </w:t>
      </w:r>
      <w:r w:rsidR="00410FB7" w:rsidRPr="003C2274">
        <w:rPr>
          <w:rFonts w:asciiTheme="minorHAnsi" w:eastAsia="HiddenHorzOCR" w:hAnsiTheme="minorHAnsi"/>
          <w:color w:val="auto"/>
          <w:szCs w:val="24"/>
        </w:rPr>
        <w:t>is clear from the record that headaches prevented the wear of a helmet and thus, he could not meet MOS requirements</w:t>
      </w:r>
      <w:r w:rsidR="00F95B86">
        <w:rPr>
          <w:rFonts w:asciiTheme="minorHAnsi" w:eastAsia="HiddenHorzOCR" w:hAnsiTheme="minorHAnsi"/>
          <w:color w:val="auto"/>
          <w:szCs w:val="24"/>
        </w:rPr>
        <w:t xml:space="preserve">. </w:t>
      </w:r>
      <w:r w:rsidR="00410FB7">
        <w:rPr>
          <w:rFonts w:asciiTheme="minorHAnsi" w:eastAsia="HiddenHorzOCR" w:hAnsiTheme="minorHAnsi"/>
          <w:color w:val="auto"/>
          <w:szCs w:val="24"/>
        </w:rPr>
        <w:t xml:space="preserve">Therefore the Board concluded that the headaches were separately unfitting. </w:t>
      </w:r>
      <w:r w:rsidR="00FE64F0" w:rsidRPr="00FE64F0">
        <w:rPr>
          <w:rFonts w:asciiTheme="minorHAnsi" w:eastAsia="HiddenHorzOCR" w:hAnsiTheme="minorHAnsi"/>
          <w:color w:val="auto"/>
          <w:szCs w:val="24"/>
        </w:rPr>
        <w:t>Although t</w:t>
      </w:r>
      <w:r w:rsidR="00465153" w:rsidRPr="00FE64F0">
        <w:rPr>
          <w:rFonts w:asciiTheme="minorHAnsi" w:eastAsia="HiddenHorzOCR" w:hAnsiTheme="minorHAnsi"/>
          <w:color w:val="auto"/>
          <w:szCs w:val="24"/>
        </w:rPr>
        <w:t xml:space="preserve">he VASRD offers no </w:t>
      </w:r>
      <w:r w:rsidR="00503AD2" w:rsidRPr="00FE64F0">
        <w:rPr>
          <w:rFonts w:asciiTheme="minorHAnsi" w:eastAsia="HiddenHorzOCR" w:hAnsiTheme="minorHAnsi"/>
          <w:color w:val="auto"/>
          <w:szCs w:val="24"/>
        </w:rPr>
        <w:t xml:space="preserve">specific </w:t>
      </w:r>
      <w:r w:rsidR="00465153" w:rsidRPr="00FE64F0">
        <w:rPr>
          <w:rFonts w:asciiTheme="minorHAnsi" w:eastAsia="HiddenHorzOCR" w:hAnsiTheme="minorHAnsi"/>
          <w:color w:val="auto"/>
          <w:szCs w:val="24"/>
        </w:rPr>
        <w:t xml:space="preserve">definition for </w:t>
      </w:r>
      <w:r w:rsidR="00503AD2" w:rsidRPr="00FE64F0">
        <w:rPr>
          <w:rFonts w:asciiTheme="minorHAnsi" w:eastAsia="HiddenHorzOCR" w:hAnsiTheme="minorHAnsi"/>
          <w:color w:val="auto"/>
          <w:szCs w:val="24"/>
        </w:rPr>
        <w:t>“</w:t>
      </w:r>
      <w:r w:rsidR="00465153" w:rsidRPr="00FE64F0">
        <w:rPr>
          <w:rFonts w:asciiTheme="minorHAnsi" w:eastAsia="HiddenHorzOCR" w:hAnsiTheme="minorHAnsi"/>
          <w:color w:val="auto"/>
          <w:szCs w:val="24"/>
        </w:rPr>
        <w:t>prostrating</w:t>
      </w:r>
      <w:r w:rsidR="00E6304E">
        <w:rPr>
          <w:rFonts w:asciiTheme="minorHAnsi" w:eastAsia="HiddenHorzOCR" w:hAnsiTheme="minorHAnsi"/>
          <w:color w:val="auto"/>
          <w:szCs w:val="24"/>
        </w:rPr>
        <w:t>,</w:t>
      </w:r>
      <w:r w:rsidR="00503AD2" w:rsidRPr="00FE64F0">
        <w:rPr>
          <w:rFonts w:asciiTheme="minorHAnsi" w:eastAsia="HiddenHorzOCR" w:hAnsiTheme="minorHAnsi"/>
          <w:color w:val="auto"/>
          <w:szCs w:val="24"/>
        </w:rPr>
        <w:t>”</w:t>
      </w:r>
      <w:r w:rsidR="00FE64F0" w:rsidRPr="00FE64F0">
        <w:rPr>
          <w:rFonts w:asciiTheme="minorHAnsi" w:eastAsia="HiddenHorzOCR" w:hAnsiTheme="minorHAnsi"/>
          <w:color w:val="auto"/>
          <w:szCs w:val="24"/>
        </w:rPr>
        <w:t xml:space="preserve"> in practice, </w:t>
      </w:r>
      <w:r w:rsidR="00503AD2" w:rsidRPr="00FE64F0">
        <w:rPr>
          <w:rFonts w:asciiTheme="minorHAnsi" w:eastAsia="HiddenHorzOCR" w:hAnsiTheme="minorHAnsi"/>
          <w:color w:val="auto"/>
          <w:szCs w:val="24"/>
        </w:rPr>
        <w:t>the common dictionary definition is applied</w:t>
      </w:r>
      <w:r w:rsidR="00FE64F0" w:rsidRPr="00FE64F0">
        <w:rPr>
          <w:rFonts w:asciiTheme="minorHAnsi" w:eastAsia="HiddenHorzOCR" w:hAnsiTheme="minorHAnsi"/>
          <w:color w:val="auto"/>
          <w:szCs w:val="24"/>
        </w:rPr>
        <w:t xml:space="preserve"> when rating headaches under the diagnostic code 8100 migraine headaches.  The clear English definition of prostrating is </w:t>
      </w:r>
      <w:r w:rsidR="00E6304E">
        <w:rPr>
          <w:rFonts w:asciiTheme="minorHAnsi" w:eastAsia="HiddenHorzOCR" w:hAnsiTheme="minorHAnsi"/>
          <w:color w:val="auto"/>
          <w:szCs w:val="24"/>
        </w:rPr>
        <w:t>“</w:t>
      </w:r>
      <w:r w:rsidR="00FE64F0" w:rsidRPr="00FE64F0">
        <w:rPr>
          <w:rFonts w:asciiTheme="minorHAnsi" w:eastAsia="HiddenHorzOCR" w:hAnsiTheme="minorHAnsi"/>
          <w:color w:val="auto"/>
          <w:szCs w:val="24"/>
        </w:rPr>
        <w:t>utter physical exha</w:t>
      </w:r>
      <w:r w:rsidR="00E6304E">
        <w:rPr>
          <w:rFonts w:asciiTheme="minorHAnsi" w:eastAsia="HiddenHorzOCR" w:hAnsiTheme="minorHAnsi"/>
          <w:color w:val="auto"/>
          <w:szCs w:val="24"/>
        </w:rPr>
        <w:t>ustion or helplessness</w:t>
      </w:r>
      <w:r w:rsidR="00FE64F0" w:rsidRPr="00FE64F0">
        <w:rPr>
          <w:rFonts w:asciiTheme="minorHAnsi" w:eastAsia="HiddenHorzOCR" w:hAnsiTheme="minorHAnsi"/>
          <w:color w:val="auto"/>
          <w:szCs w:val="24"/>
        </w:rPr>
        <w:t>,</w:t>
      </w:r>
      <w:r w:rsidR="00E6304E">
        <w:rPr>
          <w:rFonts w:asciiTheme="minorHAnsi" w:eastAsia="HiddenHorzOCR" w:hAnsiTheme="minorHAnsi"/>
          <w:color w:val="auto"/>
          <w:szCs w:val="24"/>
        </w:rPr>
        <w:t>”</w:t>
      </w:r>
      <w:r w:rsidR="00FE64F0" w:rsidRPr="00FE64F0">
        <w:rPr>
          <w:rFonts w:asciiTheme="minorHAnsi" w:eastAsia="HiddenHorzOCR" w:hAnsiTheme="minorHAnsi"/>
          <w:color w:val="auto"/>
          <w:szCs w:val="24"/>
        </w:rPr>
        <w:t xml:space="preserve"> and does not indicate that seekin</w:t>
      </w:r>
      <w:r w:rsidR="00054978">
        <w:rPr>
          <w:rFonts w:asciiTheme="minorHAnsi" w:eastAsia="HiddenHorzOCR" w:hAnsiTheme="minorHAnsi"/>
          <w:color w:val="auto"/>
          <w:szCs w:val="24"/>
        </w:rPr>
        <w:t>g medical attention is required.</w:t>
      </w:r>
      <w:r w:rsidR="00F95B86">
        <w:rPr>
          <w:rFonts w:asciiTheme="minorHAnsi" w:eastAsia="HiddenHorzOCR" w:hAnsiTheme="minorHAnsi"/>
          <w:color w:val="auto"/>
          <w:szCs w:val="24"/>
        </w:rPr>
        <w:t xml:space="preserve"> </w:t>
      </w:r>
      <w:r w:rsidR="005C0051" w:rsidRPr="003C2274">
        <w:rPr>
          <w:rFonts w:asciiTheme="minorHAnsi" w:eastAsia="HiddenHorzOCR" w:hAnsiTheme="minorHAnsi"/>
          <w:color w:val="auto"/>
          <w:szCs w:val="24"/>
        </w:rPr>
        <w:t>There is no evidence that his headaches were prostrating in the record prior to separation</w:t>
      </w:r>
      <w:r w:rsidR="00F95B86">
        <w:rPr>
          <w:rFonts w:asciiTheme="minorHAnsi" w:eastAsia="HiddenHorzOCR" w:hAnsiTheme="minorHAnsi"/>
          <w:color w:val="auto"/>
          <w:szCs w:val="24"/>
        </w:rPr>
        <w:t xml:space="preserve">. </w:t>
      </w:r>
      <w:r w:rsidR="005C0051" w:rsidRPr="003C2274">
        <w:rPr>
          <w:rFonts w:asciiTheme="minorHAnsi" w:eastAsia="HiddenHorzOCR" w:hAnsiTheme="minorHAnsi"/>
          <w:color w:val="auto"/>
          <w:szCs w:val="24"/>
        </w:rPr>
        <w:t xml:space="preserve">The VA rating was based on the 25 February 2009 </w:t>
      </w:r>
      <w:r w:rsidR="00E111A2" w:rsidRPr="003C2274">
        <w:rPr>
          <w:rFonts w:asciiTheme="minorHAnsi" w:eastAsia="HiddenHorzOCR" w:hAnsiTheme="minorHAnsi"/>
          <w:color w:val="auto"/>
          <w:szCs w:val="24"/>
        </w:rPr>
        <w:t xml:space="preserve">C&amp;P </w:t>
      </w:r>
      <w:r w:rsidR="005C0051" w:rsidRPr="003C2274">
        <w:rPr>
          <w:rFonts w:asciiTheme="minorHAnsi" w:eastAsia="HiddenHorzOCR" w:hAnsiTheme="minorHAnsi"/>
          <w:color w:val="auto"/>
          <w:szCs w:val="24"/>
        </w:rPr>
        <w:t xml:space="preserve">exam, over seven months after separation, which documented </w:t>
      </w:r>
      <w:r w:rsidR="00CB5DC4">
        <w:rPr>
          <w:rFonts w:asciiTheme="minorHAnsi" w:eastAsia="HiddenHorzOCR" w:hAnsiTheme="minorHAnsi"/>
          <w:color w:val="auto"/>
          <w:szCs w:val="24"/>
        </w:rPr>
        <w:t xml:space="preserve">historical </w:t>
      </w:r>
      <w:r w:rsidR="005C0051" w:rsidRPr="003C2274">
        <w:rPr>
          <w:rFonts w:asciiTheme="minorHAnsi" w:eastAsia="HiddenHorzOCR" w:hAnsiTheme="minorHAnsi"/>
          <w:color w:val="auto"/>
          <w:szCs w:val="24"/>
        </w:rPr>
        <w:t xml:space="preserve">multiple episodes of </w:t>
      </w:r>
      <w:r w:rsidR="00F2199E">
        <w:rPr>
          <w:rFonts w:asciiTheme="minorHAnsi" w:eastAsia="HiddenHorzOCR" w:hAnsiTheme="minorHAnsi"/>
          <w:color w:val="auto"/>
          <w:szCs w:val="24"/>
        </w:rPr>
        <w:t>exercised induced</w:t>
      </w:r>
      <w:r w:rsidR="00CB5DC4">
        <w:rPr>
          <w:rFonts w:asciiTheme="minorHAnsi" w:eastAsia="HiddenHorzOCR" w:hAnsiTheme="minorHAnsi"/>
          <w:color w:val="auto"/>
          <w:szCs w:val="24"/>
        </w:rPr>
        <w:t xml:space="preserve"> </w:t>
      </w:r>
      <w:r w:rsidR="005C0051" w:rsidRPr="003C2274">
        <w:rPr>
          <w:rFonts w:asciiTheme="minorHAnsi" w:eastAsia="HiddenHorzOCR" w:hAnsiTheme="minorHAnsi"/>
          <w:color w:val="auto"/>
          <w:szCs w:val="24"/>
        </w:rPr>
        <w:t>fainting and headaches lasting several hours</w:t>
      </w:r>
      <w:r w:rsidR="00F2199E">
        <w:rPr>
          <w:rFonts w:asciiTheme="minorHAnsi" w:eastAsia="HiddenHorzOCR" w:hAnsiTheme="minorHAnsi"/>
          <w:color w:val="auto"/>
          <w:szCs w:val="24"/>
        </w:rPr>
        <w:t>,</w:t>
      </w:r>
      <w:r w:rsidR="005C0051" w:rsidRPr="003C2274">
        <w:rPr>
          <w:rFonts w:asciiTheme="minorHAnsi" w:eastAsia="HiddenHorzOCR" w:hAnsiTheme="minorHAnsi"/>
          <w:color w:val="auto"/>
          <w:szCs w:val="24"/>
        </w:rPr>
        <w:t xml:space="preserve"> three days a week.</w:t>
      </w:r>
      <w:r w:rsidR="000B3821" w:rsidRPr="003C2274">
        <w:rPr>
          <w:rFonts w:asciiTheme="minorHAnsi" w:eastAsia="HiddenHorzOCR" w:hAnsiTheme="minorHAnsi"/>
          <w:color w:val="auto"/>
          <w:szCs w:val="24"/>
        </w:rPr>
        <w:t xml:space="preserve"> The fainting spells</w:t>
      </w:r>
      <w:r w:rsidR="00CB5DC4">
        <w:rPr>
          <w:rFonts w:asciiTheme="minorHAnsi" w:eastAsia="HiddenHorzOCR" w:hAnsiTheme="minorHAnsi"/>
          <w:color w:val="auto"/>
          <w:szCs w:val="24"/>
        </w:rPr>
        <w:t xml:space="preserve"> were documented as occurring while in Marine </w:t>
      </w:r>
      <w:r w:rsidR="006B022B">
        <w:rPr>
          <w:rFonts w:asciiTheme="minorHAnsi" w:eastAsia="HiddenHorzOCR" w:hAnsiTheme="minorHAnsi"/>
          <w:color w:val="auto"/>
          <w:szCs w:val="24"/>
        </w:rPr>
        <w:t>S</w:t>
      </w:r>
      <w:r w:rsidR="00CB5DC4">
        <w:rPr>
          <w:rFonts w:asciiTheme="minorHAnsi" w:eastAsia="HiddenHorzOCR" w:hAnsiTheme="minorHAnsi"/>
          <w:color w:val="auto"/>
          <w:szCs w:val="24"/>
        </w:rPr>
        <w:t xml:space="preserve">pecial </w:t>
      </w:r>
      <w:r w:rsidR="006B022B">
        <w:rPr>
          <w:rFonts w:asciiTheme="minorHAnsi" w:eastAsia="HiddenHorzOCR" w:hAnsiTheme="minorHAnsi"/>
          <w:color w:val="auto"/>
          <w:szCs w:val="24"/>
        </w:rPr>
        <w:t>F</w:t>
      </w:r>
      <w:r w:rsidR="00CB5DC4">
        <w:rPr>
          <w:rFonts w:asciiTheme="minorHAnsi" w:eastAsia="HiddenHorzOCR" w:hAnsiTheme="minorHAnsi"/>
          <w:color w:val="auto"/>
          <w:szCs w:val="24"/>
        </w:rPr>
        <w:t xml:space="preserve">orces training which he abandoned, yet was not symptomatic enough to deem him unfit </w:t>
      </w:r>
      <w:r w:rsidR="00F2199E">
        <w:rPr>
          <w:rFonts w:asciiTheme="minorHAnsi" w:eastAsia="HiddenHorzOCR" w:hAnsiTheme="minorHAnsi"/>
          <w:color w:val="auto"/>
          <w:szCs w:val="24"/>
        </w:rPr>
        <w:t>and he</w:t>
      </w:r>
      <w:r w:rsidR="00F95B86">
        <w:rPr>
          <w:rFonts w:asciiTheme="minorHAnsi" w:eastAsia="HiddenHorzOCR" w:hAnsiTheme="minorHAnsi"/>
          <w:color w:val="auto"/>
          <w:szCs w:val="24"/>
        </w:rPr>
        <w:t xml:space="preserve"> subsequently deployed. </w:t>
      </w:r>
      <w:r w:rsidR="00CB5DC4">
        <w:rPr>
          <w:rFonts w:asciiTheme="minorHAnsi" w:eastAsia="HiddenHorzOCR" w:hAnsiTheme="minorHAnsi"/>
          <w:color w:val="auto"/>
          <w:szCs w:val="24"/>
        </w:rPr>
        <w:t xml:space="preserve">Furthermore these </w:t>
      </w:r>
      <w:r w:rsidR="00F2199E">
        <w:rPr>
          <w:rFonts w:asciiTheme="minorHAnsi" w:eastAsia="HiddenHorzOCR" w:hAnsiTheme="minorHAnsi"/>
          <w:color w:val="auto"/>
          <w:szCs w:val="24"/>
        </w:rPr>
        <w:t>fainting</w:t>
      </w:r>
      <w:r w:rsidR="00CB5DC4">
        <w:rPr>
          <w:rFonts w:asciiTheme="minorHAnsi" w:eastAsia="HiddenHorzOCR" w:hAnsiTheme="minorHAnsi"/>
          <w:color w:val="auto"/>
          <w:szCs w:val="24"/>
        </w:rPr>
        <w:t xml:space="preserve"> spells</w:t>
      </w:r>
      <w:r w:rsidR="000B3821" w:rsidRPr="003C2274">
        <w:rPr>
          <w:rFonts w:asciiTheme="minorHAnsi" w:eastAsia="HiddenHorzOCR" w:hAnsiTheme="minorHAnsi"/>
          <w:color w:val="auto"/>
          <w:szCs w:val="24"/>
        </w:rPr>
        <w:t xml:space="preserve"> were not </w:t>
      </w:r>
      <w:r w:rsidR="00CB5DC4">
        <w:rPr>
          <w:rFonts w:asciiTheme="minorHAnsi" w:eastAsia="HiddenHorzOCR" w:hAnsiTheme="minorHAnsi"/>
          <w:color w:val="auto"/>
          <w:szCs w:val="24"/>
        </w:rPr>
        <w:t xml:space="preserve">objectively </w:t>
      </w:r>
      <w:r w:rsidR="000B3821" w:rsidRPr="003C2274">
        <w:rPr>
          <w:rFonts w:asciiTheme="minorHAnsi" w:eastAsia="HiddenHorzOCR" w:hAnsiTheme="minorHAnsi"/>
          <w:color w:val="auto"/>
          <w:szCs w:val="24"/>
        </w:rPr>
        <w:t>documented prior to separation or in the VA C</w:t>
      </w:r>
      <w:r w:rsidR="00F95B86">
        <w:rPr>
          <w:rFonts w:asciiTheme="minorHAnsi" w:eastAsia="HiddenHorzOCR" w:hAnsiTheme="minorHAnsi"/>
          <w:color w:val="auto"/>
          <w:szCs w:val="24"/>
        </w:rPr>
        <w:t xml:space="preserve">&amp;P two weeks after separation. </w:t>
      </w:r>
      <w:r w:rsidR="005F7222" w:rsidRPr="003C2274">
        <w:rPr>
          <w:rFonts w:asciiTheme="minorHAnsi" w:eastAsia="HiddenHorzOCR" w:hAnsiTheme="minorHAnsi"/>
          <w:color w:val="auto"/>
          <w:szCs w:val="24"/>
        </w:rPr>
        <w:t>The Board considered that while the CI did not have prostrating attacks prior to separation if he did not wear his helmet (or sometimes service cover)</w:t>
      </w:r>
      <w:r w:rsidR="00E6304E" w:rsidRPr="003C2274">
        <w:rPr>
          <w:rFonts w:asciiTheme="minorHAnsi" w:eastAsia="HiddenHorzOCR" w:hAnsiTheme="minorHAnsi"/>
          <w:color w:val="auto"/>
          <w:szCs w:val="24"/>
        </w:rPr>
        <w:t>;</w:t>
      </w:r>
      <w:r w:rsidR="005F7222" w:rsidRPr="003C2274">
        <w:rPr>
          <w:rFonts w:asciiTheme="minorHAnsi" w:eastAsia="HiddenHorzOCR" w:hAnsiTheme="minorHAnsi"/>
          <w:color w:val="auto"/>
          <w:szCs w:val="24"/>
        </w:rPr>
        <w:t xml:space="preserve"> he was </w:t>
      </w:r>
      <w:r w:rsidR="00FE64F0">
        <w:rPr>
          <w:rFonts w:asciiTheme="minorHAnsi" w:eastAsia="HiddenHorzOCR" w:hAnsiTheme="minorHAnsi"/>
          <w:color w:val="auto"/>
          <w:szCs w:val="24"/>
        </w:rPr>
        <w:t xml:space="preserve">prevented from participating in military </w:t>
      </w:r>
      <w:r w:rsidR="005F7222" w:rsidRPr="003C2274">
        <w:rPr>
          <w:rFonts w:asciiTheme="minorHAnsi" w:eastAsia="HiddenHorzOCR" w:hAnsiTheme="minorHAnsi"/>
          <w:color w:val="auto"/>
          <w:szCs w:val="24"/>
        </w:rPr>
        <w:t>dut</w:t>
      </w:r>
      <w:r w:rsidR="00FE64F0">
        <w:rPr>
          <w:rFonts w:asciiTheme="minorHAnsi" w:eastAsia="HiddenHorzOCR" w:hAnsiTheme="minorHAnsi"/>
          <w:color w:val="auto"/>
          <w:szCs w:val="24"/>
        </w:rPr>
        <w:t>ies</w:t>
      </w:r>
      <w:r w:rsidR="00F95B86">
        <w:rPr>
          <w:rFonts w:asciiTheme="minorHAnsi" w:eastAsia="HiddenHorzOCR" w:hAnsiTheme="minorHAnsi"/>
          <w:color w:val="auto"/>
          <w:szCs w:val="24"/>
        </w:rPr>
        <w:t xml:space="preserve">. </w:t>
      </w:r>
      <w:r w:rsidR="005F7222" w:rsidRPr="00F2199E">
        <w:rPr>
          <w:rFonts w:asciiTheme="minorHAnsi" w:eastAsia="HiddenHorzOCR" w:hAnsiTheme="minorHAnsi"/>
          <w:color w:val="auto"/>
          <w:szCs w:val="24"/>
        </w:rPr>
        <w:t>After due consideration, the Board determined that the headache condition be rated at 0% and coded 8199-8100, analogous to migraine headaches</w:t>
      </w:r>
      <w:r w:rsidR="000D61CF">
        <w:rPr>
          <w:rFonts w:asciiTheme="minorHAnsi" w:eastAsia="HiddenHorzOCR" w:hAnsiTheme="minorHAnsi"/>
          <w:color w:val="auto"/>
          <w:szCs w:val="24"/>
        </w:rPr>
        <w:t xml:space="preserve"> at separation and permanently. </w:t>
      </w:r>
      <w:r w:rsidR="007A5744">
        <w:rPr>
          <w:color w:val="auto"/>
          <w:szCs w:val="24"/>
        </w:rPr>
        <w:t>T</w:t>
      </w:r>
      <w:r w:rsidR="0031527B">
        <w:rPr>
          <w:color w:val="auto"/>
          <w:szCs w:val="24"/>
        </w:rPr>
        <w:t xml:space="preserve">he personality change due to a medical condition </w:t>
      </w:r>
      <w:r w:rsidR="007A5744">
        <w:rPr>
          <w:color w:val="auto"/>
          <w:szCs w:val="24"/>
        </w:rPr>
        <w:t xml:space="preserve">was </w:t>
      </w:r>
      <w:r w:rsidR="0031527B">
        <w:rPr>
          <w:color w:val="auto"/>
          <w:szCs w:val="24"/>
        </w:rPr>
        <w:t xml:space="preserve">adjudicated by the IPEB as a </w:t>
      </w:r>
      <w:r w:rsidR="00721087">
        <w:rPr>
          <w:color w:val="auto"/>
          <w:szCs w:val="24"/>
        </w:rPr>
        <w:t xml:space="preserve">not unfitting </w:t>
      </w:r>
      <w:r w:rsidR="00F95B86">
        <w:rPr>
          <w:color w:val="auto"/>
          <w:szCs w:val="24"/>
        </w:rPr>
        <w:t xml:space="preserve">Category II condition. </w:t>
      </w:r>
      <w:r w:rsidR="0031527B">
        <w:rPr>
          <w:color w:val="auto"/>
          <w:szCs w:val="24"/>
        </w:rPr>
        <w:t>The MEB psychiatric addendum dated 22 May 2007, over one year prior to separation, noted paranoid and narcissistic traits</w:t>
      </w:r>
      <w:r w:rsidR="00721087">
        <w:rPr>
          <w:color w:val="auto"/>
          <w:szCs w:val="24"/>
        </w:rPr>
        <w:t>.  It was unclear if these were pre-existing</w:t>
      </w:r>
      <w:r w:rsidR="008F0BB5">
        <w:rPr>
          <w:color w:val="auto"/>
          <w:szCs w:val="24"/>
        </w:rPr>
        <w:t xml:space="preserve">, </w:t>
      </w:r>
      <w:r w:rsidR="00721087">
        <w:rPr>
          <w:color w:val="auto"/>
          <w:szCs w:val="24"/>
        </w:rPr>
        <w:t>secondary to brain injury</w:t>
      </w:r>
      <w:r w:rsidR="008F0BB5">
        <w:rPr>
          <w:color w:val="auto"/>
          <w:szCs w:val="24"/>
        </w:rPr>
        <w:t>, or PTSD</w:t>
      </w:r>
      <w:r w:rsidR="00F95B86">
        <w:rPr>
          <w:color w:val="auto"/>
          <w:szCs w:val="24"/>
        </w:rPr>
        <w:t xml:space="preserve">. </w:t>
      </w:r>
      <w:r w:rsidR="00721087">
        <w:rPr>
          <w:color w:val="auto"/>
          <w:szCs w:val="24"/>
        </w:rPr>
        <w:t>Regard</w:t>
      </w:r>
      <w:r w:rsidR="00341068">
        <w:rPr>
          <w:color w:val="auto"/>
          <w:szCs w:val="24"/>
        </w:rPr>
        <w:t>less, his commander did</w:t>
      </w:r>
      <w:r w:rsidR="00721087">
        <w:rPr>
          <w:color w:val="auto"/>
          <w:szCs w:val="24"/>
        </w:rPr>
        <w:t xml:space="preserve"> not indicate that his work performance was impaired</w:t>
      </w:r>
      <w:r w:rsidR="00C9319D">
        <w:rPr>
          <w:color w:val="auto"/>
          <w:szCs w:val="24"/>
        </w:rPr>
        <w:t xml:space="preserve"> and any personality </w:t>
      </w:r>
      <w:r w:rsidR="00C9319D">
        <w:rPr>
          <w:color w:val="auto"/>
          <w:szCs w:val="24"/>
        </w:rPr>
        <w:lastRenderedPageBreak/>
        <w:t>change related to mild TBI and PTSD is considered in the rating for PTSD</w:t>
      </w:r>
      <w:r w:rsidR="00721087">
        <w:rPr>
          <w:color w:val="auto"/>
          <w:szCs w:val="24"/>
        </w:rPr>
        <w:t>.</w:t>
      </w:r>
      <w:r w:rsidR="00390AB2">
        <w:rPr>
          <w:color w:val="auto"/>
          <w:szCs w:val="24"/>
        </w:rPr>
        <w:t xml:space="preserve"> </w:t>
      </w:r>
      <w:r w:rsidR="00390AB2">
        <w:rPr>
          <w:rFonts w:asciiTheme="minorHAnsi" w:eastAsia="HiddenHorzOCR" w:hAnsiTheme="minorHAnsi"/>
          <w:color w:val="auto"/>
          <w:szCs w:val="24"/>
        </w:rPr>
        <w:t>The history of concussion</w:t>
      </w:r>
      <w:r w:rsidR="00C9319D">
        <w:rPr>
          <w:rFonts w:asciiTheme="minorHAnsi" w:eastAsia="HiddenHorzOCR" w:hAnsiTheme="minorHAnsi"/>
          <w:color w:val="auto"/>
          <w:szCs w:val="24"/>
        </w:rPr>
        <w:t xml:space="preserve"> and </w:t>
      </w:r>
      <w:r w:rsidR="00390AB2" w:rsidRPr="003C2274">
        <w:rPr>
          <w:rFonts w:asciiTheme="minorHAnsi" w:eastAsia="HiddenHorzOCR" w:hAnsiTheme="minorHAnsi"/>
          <w:color w:val="auto"/>
          <w:szCs w:val="24"/>
        </w:rPr>
        <w:t xml:space="preserve">cognitive disorder, </w:t>
      </w:r>
      <w:r w:rsidR="00390AB2">
        <w:rPr>
          <w:rFonts w:asciiTheme="minorHAnsi" w:eastAsia="HiddenHorzOCR" w:hAnsiTheme="minorHAnsi"/>
          <w:color w:val="auto"/>
          <w:szCs w:val="24"/>
        </w:rPr>
        <w:t xml:space="preserve">are discussed above under TBI and PTSD and any related impairments are subsumed under the rating for PTSD. </w:t>
      </w:r>
      <w:r w:rsidR="00FE214D">
        <w:rPr>
          <w:rFonts w:cs="Arial"/>
          <w:color w:val="000000"/>
        </w:rPr>
        <w:t>In the matter of</w:t>
      </w:r>
      <w:r w:rsidR="00C9319D">
        <w:rPr>
          <w:rFonts w:cs="Arial"/>
          <w:color w:val="000000"/>
        </w:rPr>
        <w:t xml:space="preserve"> p</w:t>
      </w:r>
      <w:r w:rsidR="00FE214D">
        <w:rPr>
          <w:color w:val="auto"/>
          <w:szCs w:val="24"/>
        </w:rPr>
        <w:t>ersonality change</w:t>
      </w:r>
      <w:r w:rsidR="00FE214D" w:rsidRPr="0031527B">
        <w:rPr>
          <w:color w:val="auto"/>
          <w:szCs w:val="24"/>
        </w:rPr>
        <w:t xml:space="preserve"> </w:t>
      </w:r>
      <w:r w:rsidR="00FE214D">
        <w:rPr>
          <w:rFonts w:cs="Arial"/>
          <w:color w:val="000000"/>
        </w:rPr>
        <w:t xml:space="preserve">condition, the Board unanimously recommends no change from the PEB adjudications as, Category II, </w:t>
      </w:r>
      <w:r w:rsidR="002C1274">
        <w:rPr>
          <w:rFonts w:cs="Arial"/>
          <w:color w:val="000000"/>
        </w:rPr>
        <w:t xml:space="preserve">contributing to but </w:t>
      </w:r>
      <w:r w:rsidR="00FE214D">
        <w:rPr>
          <w:rFonts w:cs="Arial"/>
          <w:color w:val="000000"/>
        </w:rPr>
        <w:t xml:space="preserve">not </w:t>
      </w:r>
      <w:r w:rsidR="002C1274">
        <w:rPr>
          <w:rFonts w:cs="Arial"/>
          <w:color w:val="000000"/>
        </w:rPr>
        <w:t xml:space="preserve">separately </w:t>
      </w:r>
      <w:r w:rsidR="00FE214D">
        <w:rPr>
          <w:rFonts w:cs="Arial"/>
          <w:color w:val="000000"/>
        </w:rPr>
        <w:t>unfitting.</w:t>
      </w:r>
      <w:r w:rsidR="003C2274">
        <w:rPr>
          <w:rFonts w:cs="Arial"/>
          <w:color w:val="000000"/>
        </w:rPr>
        <w:t xml:space="preserve"> </w:t>
      </w:r>
      <w:r w:rsidR="003C2274">
        <w:rPr>
          <w:rFonts w:asciiTheme="minorHAnsi" w:eastAsia="HiddenHorzOCR" w:hAnsiTheme="minorHAnsi"/>
          <w:color w:val="auto"/>
          <w:szCs w:val="24"/>
        </w:rPr>
        <w:t>Alcohol abuse is not a separately ratable condition</w:t>
      </w:r>
      <w:r w:rsidR="00E75763">
        <w:rPr>
          <w:rFonts w:asciiTheme="minorHAnsi" w:eastAsia="HiddenHorzOCR" w:hAnsiTheme="minorHAnsi"/>
          <w:color w:val="auto"/>
          <w:szCs w:val="24"/>
        </w:rPr>
        <w:t>.</w:t>
      </w:r>
    </w:p>
    <w:p w:rsidR="00C90D3B" w:rsidRDefault="00C90D3B" w:rsidP="00300479">
      <w:pPr>
        <w:spacing w:line="240" w:lineRule="exact"/>
        <w:jc w:val="both"/>
        <w:rPr>
          <w:rFonts w:asciiTheme="minorHAnsi" w:hAnsiTheme="minorHAnsi"/>
          <w:color w:val="auto"/>
          <w:szCs w:val="24"/>
        </w:rPr>
      </w:pPr>
    </w:p>
    <w:p w:rsidR="005548DB" w:rsidRPr="006C1851" w:rsidRDefault="005548DB" w:rsidP="00300479">
      <w:pPr>
        <w:spacing w:line="240" w:lineRule="exact"/>
        <w:jc w:val="both"/>
        <w:rPr>
          <w:rFonts w:asciiTheme="minorHAnsi" w:eastAsia="HiddenHorzOCR" w:hAnsiTheme="minorHAnsi"/>
          <w:color w:val="auto"/>
          <w:szCs w:val="24"/>
        </w:rPr>
      </w:pPr>
      <w:proofErr w:type="gramStart"/>
      <w:r w:rsidRPr="005548DB">
        <w:rPr>
          <w:rFonts w:asciiTheme="minorHAnsi" w:hAnsiTheme="minorHAnsi"/>
          <w:color w:val="auto"/>
          <w:szCs w:val="24"/>
          <w:u w:val="single"/>
        </w:rPr>
        <w:t>Remaining conditions</w:t>
      </w:r>
      <w:r w:rsidR="00435B3A">
        <w:rPr>
          <w:rFonts w:asciiTheme="minorHAnsi" w:hAnsiTheme="minorHAnsi"/>
          <w:color w:val="auto"/>
          <w:szCs w:val="24"/>
        </w:rPr>
        <w:t>.</w:t>
      </w:r>
      <w:proofErr w:type="gramEnd"/>
      <w:r w:rsidR="00B6542C">
        <w:rPr>
          <w:rFonts w:asciiTheme="minorHAnsi" w:hAnsiTheme="minorHAnsi"/>
          <w:color w:val="auto"/>
          <w:szCs w:val="24"/>
        </w:rPr>
        <w:t xml:space="preserve">  </w:t>
      </w:r>
      <w:r w:rsidR="00B34694">
        <w:rPr>
          <w:rFonts w:asciiTheme="minorHAnsi" w:hAnsiTheme="minorHAnsi"/>
          <w:color w:val="auto"/>
          <w:szCs w:val="24"/>
        </w:rPr>
        <w:t>Other conditions identified in the DES include blurred vision, right hand pain, bilateral knee pain, and low back pain.</w:t>
      </w:r>
      <w:r w:rsidR="00341068">
        <w:rPr>
          <w:rFonts w:asciiTheme="minorHAnsi" w:hAnsiTheme="minorHAnsi"/>
          <w:color w:val="auto"/>
          <w:szCs w:val="24"/>
        </w:rPr>
        <w:t xml:space="preserve">  </w:t>
      </w:r>
      <w:r w:rsidR="00341068" w:rsidRPr="00341068">
        <w:rPr>
          <w:rFonts w:asciiTheme="minorHAnsi" w:hAnsiTheme="minorHAnsi"/>
          <w:color w:val="auto"/>
          <w:szCs w:val="24"/>
        </w:rPr>
        <w:t>Several additional non-acute conditions or medical co</w:t>
      </w:r>
      <w:r w:rsidR="00F95B86">
        <w:rPr>
          <w:rFonts w:asciiTheme="minorHAnsi" w:hAnsiTheme="minorHAnsi"/>
          <w:color w:val="auto"/>
          <w:szCs w:val="24"/>
        </w:rPr>
        <w:t xml:space="preserve">mplaints were also documented. </w:t>
      </w:r>
      <w:r w:rsidR="00341068" w:rsidRPr="00341068">
        <w:rPr>
          <w:rFonts w:asciiTheme="minorHAnsi" w:hAnsiTheme="minorHAnsi"/>
          <w:color w:val="auto"/>
          <w:szCs w:val="24"/>
        </w:rPr>
        <w:t xml:space="preserve">None of these conditions were clinically significant during the MEB period, none were the basis for limited duty and none were implicated in the </w:t>
      </w:r>
      <w:r w:rsidR="00341068">
        <w:rPr>
          <w:rFonts w:asciiTheme="minorHAnsi" w:hAnsiTheme="minorHAnsi"/>
          <w:color w:val="auto"/>
          <w:szCs w:val="24"/>
        </w:rPr>
        <w:t>NMA</w:t>
      </w:r>
      <w:r w:rsidR="00F95B86">
        <w:rPr>
          <w:rFonts w:asciiTheme="minorHAnsi" w:hAnsiTheme="minorHAnsi"/>
          <w:color w:val="auto"/>
          <w:szCs w:val="24"/>
        </w:rPr>
        <w:t>.</w:t>
      </w:r>
      <w:r w:rsidR="00341068" w:rsidRPr="00341068">
        <w:rPr>
          <w:rFonts w:asciiTheme="minorHAnsi" w:hAnsiTheme="minorHAnsi"/>
          <w:color w:val="auto"/>
          <w:szCs w:val="24"/>
        </w:rPr>
        <w:t xml:space="preserve"> These conditions were reviewed by the action officer</w:t>
      </w:r>
      <w:r w:rsidR="00F95B86">
        <w:rPr>
          <w:rFonts w:asciiTheme="minorHAnsi" w:hAnsiTheme="minorHAnsi"/>
          <w:color w:val="auto"/>
          <w:szCs w:val="24"/>
        </w:rPr>
        <w:t xml:space="preserve"> and considered by the Board.</w:t>
      </w:r>
      <w:r w:rsidR="00341068" w:rsidRPr="00F6196E">
        <w:rPr>
          <w:rFonts w:asciiTheme="minorHAnsi" w:hAnsiTheme="minorHAnsi"/>
          <w:color w:val="auto"/>
          <w:szCs w:val="24"/>
        </w:rPr>
        <w:t xml:space="preserve"> It was determined that none could be argued as unfitting and subject to separa</w:t>
      </w:r>
      <w:r w:rsidR="00F95B86">
        <w:rPr>
          <w:rFonts w:asciiTheme="minorHAnsi" w:hAnsiTheme="minorHAnsi"/>
          <w:color w:val="auto"/>
          <w:szCs w:val="24"/>
        </w:rPr>
        <w:t>tion rating.</w:t>
      </w:r>
      <w:r w:rsidR="006C1851">
        <w:rPr>
          <w:rFonts w:asciiTheme="minorHAnsi" w:hAnsiTheme="minorHAnsi"/>
          <w:color w:val="auto"/>
          <w:szCs w:val="24"/>
        </w:rPr>
        <w:t xml:space="preserve"> Tinnitus was rated</w:t>
      </w:r>
      <w:r w:rsidR="00341068" w:rsidRPr="00F6196E">
        <w:rPr>
          <w:rFonts w:asciiTheme="minorHAnsi" w:hAnsiTheme="minorHAnsi"/>
          <w:color w:val="auto"/>
          <w:szCs w:val="24"/>
        </w:rPr>
        <w:t xml:space="preserve"> by the VA within twelve months of separation</w:t>
      </w:r>
      <w:r w:rsidR="006C1851">
        <w:rPr>
          <w:rFonts w:asciiTheme="minorHAnsi" w:hAnsiTheme="minorHAnsi"/>
          <w:color w:val="auto"/>
          <w:szCs w:val="24"/>
        </w:rPr>
        <w:t>.</w:t>
      </w:r>
      <w:r w:rsidR="00F95B86">
        <w:rPr>
          <w:rFonts w:asciiTheme="minorHAnsi" w:eastAsia="HiddenHorzOCR" w:hAnsiTheme="minorHAnsi"/>
          <w:color w:val="auto"/>
          <w:szCs w:val="24"/>
        </w:rPr>
        <w:t xml:space="preserve"> </w:t>
      </w:r>
      <w:r w:rsidR="006C1851">
        <w:rPr>
          <w:rFonts w:asciiTheme="minorHAnsi" w:eastAsia="HiddenHorzOCR" w:hAnsiTheme="minorHAnsi"/>
          <w:color w:val="auto"/>
          <w:szCs w:val="24"/>
        </w:rPr>
        <w:t>This was in the DES file but there was no documentation in the</w:t>
      </w:r>
      <w:r w:rsidR="00F95B86">
        <w:rPr>
          <w:rFonts w:asciiTheme="minorHAnsi" w:eastAsia="HiddenHorzOCR" w:hAnsiTheme="minorHAnsi"/>
          <w:color w:val="auto"/>
          <w:szCs w:val="24"/>
        </w:rPr>
        <w:t xml:space="preserve"> record that it impaired duty. </w:t>
      </w:r>
      <w:r w:rsidR="006C1851">
        <w:rPr>
          <w:rFonts w:asciiTheme="minorHAnsi" w:eastAsia="HiddenHorzOCR" w:hAnsiTheme="minorHAnsi"/>
          <w:color w:val="auto"/>
          <w:szCs w:val="24"/>
        </w:rPr>
        <w:t>The Board, therefore, has no reasonable basis for recommending any additional unfitting conditions for separation rating.</w:t>
      </w:r>
    </w:p>
    <w:p w:rsidR="00C90D3B" w:rsidRPr="00391858" w:rsidRDefault="00C90D3B" w:rsidP="00300479">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300479">
      <w:pPr>
        <w:spacing w:line="240" w:lineRule="exact"/>
        <w:jc w:val="both"/>
        <w:rPr>
          <w:rFonts w:asciiTheme="minorHAnsi" w:hAnsiTheme="minorHAnsi"/>
          <w:b/>
          <w:color w:val="auto"/>
          <w:szCs w:val="24"/>
          <w:u w:val="single"/>
        </w:rPr>
      </w:pPr>
    </w:p>
    <w:p w:rsidR="00937D13" w:rsidRPr="00730CDC" w:rsidRDefault="00C56FC8" w:rsidP="00300479">
      <w:pPr>
        <w:spacing w:line="240" w:lineRule="exact"/>
        <w:jc w:val="both"/>
        <w:rPr>
          <w:rFonts w:asciiTheme="minorHAnsi" w:hAnsiTheme="minorHAnsi"/>
          <w:color w:val="FF0000"/>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5E1E29">
        <w:rPr>
          <w:rFonts w:asciiTheme="minorHAnsi" w:eastAsiaTheme="minorHAnsi" w:hAnsiTheme="minorHAnsi"/>
          <w:color w:val="auto"/>
          <w:szCs w:val="24"/>
        </w:rPr>
        <w:t xml:space="preserve"> </w:t>
      </w:r>
      <w:r w:rsidR="00B973D8" w:rsidRPr="006C1851">
        <w:rPr>
          <w:rFonts w:asciiTheme="minorHAnsi" w:hAnsiTheme="minorHAnsi" w:cstheme="minorHAnsi"/>
          <w:color w:val="000000"/>
        </w:rPr>
        <w:t xml:space="preserve">In the matter of the </w:t>
      </w:r>
      <w:r w:rsidR="00FB1D67" w:rsidRPr="006C1851">
        <w:rPr>
          <w:rFonts w:asciiTheme="minorHAnsi" w:hAnsiTheme="minorHAnsi" w:cstheme="minorHAnsi"/>
          <w:color w:val="000000"/>
        </w:rPr>
        <w:t>PTSD</w:t>
      </w:r>
      <w:r w:rsidR="00B973D8" w:rsidRPr="006C1851">
        <w:rPr>
          <w:rFonts w:asciiTheme="minorHAnsi" w:hAnsiTheme="minorHAnsi" w:cstheme="minorHAnsi"/>
          <w:color w:val="000000"/>
        </w:rPr>
        <w:t xml:space="preserve">, </w:t>
      </w:r>
      <w:r w:rsidR="00F95B86">
        <w:rPr>
          <w:rFonts w:asciiTheme="minorHAnsi" w:hAnsiTheme="minorHAnsi" w:cstheme="minorHAnsi"/>
          <w:color w:val="000000" w:themeColor="text1"/>
          <w:szCs w:val="24"/>
        </w:rPr>
        <w:t>t</w:t>
      </w:r>
      <w:r w:rsidR="00937D13" w:rsidRPr="006C1851">
        <w:rPr>
          <w:rFonts w:asciiTheme="minorHAnsi" w:hAnsiTheme="minorHAnsi" w:cstheme="minorHAnsi"/>
          <w:color w:val="000000" w:themeColor="text1"/>
          <w:szCs w:val="24"/>
        </w:rPr>
        <w:t xml:space="preserve">he </w:t>
      </w:r>
      <w:r w:rsidR="00937D13" w:rsidRPr="00596963">
        <w:rPr>
          <w:rFonts w:asciiTheme="minorHAnsi" w:hAnsiTheme="minorHAnsi" w:cstheme="minorHAnsi"/>
          <w:color w:val="000000" w:themeColor="text1"/>
          <w:szCs w:val="24"/>
        </w:rPr>
        <w:t>Board</w:t>
      </w:r>
      <w:r w:rsidR="00596963">
        <w:rPr>
          <w:rFonts w:asciiTheme="minorHAnsi" w:eastAsiaTheme="minorHAnsi" w:hAnsiTheme="minorHAnsi"/>
          <w:color w:val="auto"/>
          <w:szCs w:val="24"/>
        </w:rPr>
        <w:t xml:space="preserve"> by a vote of 2:1</w:t>
      </w:r>
      <w:r w:rsidR="006C1851">
        <w:rPr>
          <w:rFonts w:asciiTheme="minorHAnsi" w:hAnsiTheme="minorHAnsi" w:cstheme="minorHAnsi"/>
          <w:color w:val="000000" w:themeColor="text1"/>
          <w:szCs w:val="24"/>
        </w:rPr>
        <w:t xml:space="preserve"> </w:t>
      </w:r>
      <w:r w:rsidR="00937D13" w:rsidRPr="00596963">
        <w:rPr>
          <w:rFonts w:asciiTheme="minorHAnsi" w:hAnsiTheme="minorHAnsi" w:cstheme="minorHAnsi"/>
          <w:color w:val="000000" w:themeColor="text1"/>
          <w:szCs w:val="24"/>
        </w:rPr>
        <w:t xml:space="preserve">recommends that the CI’s prior separation be modified to reflect that the CI was placed on the TDRL at 50% for a period of six months (PTSD at 50% IAW §4.129 and </w:t>
      </w:r>
      <w:proofErr w:type="spellStart"/>
      <w:r w:rsidR="00937D13" w:rsidRPr="00596963">
        <w:rPr>
          <w:rFonts w:asciiTheme="minorHAnsi" w:hAnsiTheme="minorHAnsi" w:cstheme="minorHAnsi"/>
          <w:color w:val="000000" w:themeColor="text1"/>
          <w:szCs w:val="24"/>
        </w:rPr>
        <w:t>DoD</w:t>
      </w:r>
      <w:proofErr w:type="spellEnd"/>
      <w:r w:rsidR="00937D13" w:rsidRPr="00596963">
        <w:rPr>
          <w:rFonts w:asciiTheme="minorHAnsi" w:hAnsiTheme="minorHAnsi" w:cstheme="minorHAnsi"/>
          <w:color w:val="000000" w:themeColor="text1"/>
          <w:szCs w:val="24"/>
        </w:rPr>
        <w:t xml:space="preserve"> direction) and then permanently separated with severance pay by reason of physical disability with a final 10% rating as indicated below.</w:t>
      </w:r>
      <w:r w:rsidR="00596963" w:rsidRPr="00C90D3B">
        <w:rPr>
          <w:rFonts w:asciiTheme="minorHAnsi" w:hAnsiTheme="minorHAnsi" w:cstheme="minorHAnsi"/>
          <w:color w:val="000000" w:themeColor="text1"/>
          <w:szCs w:val="24"/>
        </w:rPr>
        <w:t xml:space="preserve"> The single voter for dissent (who recommended TDRL at 50% for a period of six months </w:t>
      </w:r>
      <w:r w:rsidR="00596963" w:rsidRPr="00596963">
        <w:rPr>
          <w:rFonts w:asciiTheme="minorHAnsi" w:hAnsiTheme="minorHAnsi" w:cstheme="minorHAnsi"/>
          <w:color w:val="000000" w:themeColor="text1"/>
          <w:szCs w:val="24"/>
        </w:rPr>
        <w:t xml:space="preserve">(PTSD at 50% </w:t>
      </w:r>
      <w:r w:rsidR="002C1274">
        <w:rPr>
          <w:rFonts w:asciiTheme="minorHAnsi" w:hAnsiTheme="minorHAnsi" w:cstheme="minorHAnsi"/>
          <w:color w:val="000000" w:themeColor="text1"/>
          <w:szCs w:val="24"/>
        </w:rPr>
        <w:t>[</w:t>
      </w:r>
      <w:r w:rsidR="00596963" w:rsidRPr="00596963">
        <w:rPr>
          <w:rFonts w:asciiTheme="minorHAnsi" w:hAnsiTheme="minorHAnsi" w:cstheme="minorHAnsi"/>
          <w:color w:val="000000" w:themeColor="text1"/>
          <w:szCs w:val="24"/>
        </w:rPr>
        <w:t xml:space="preserve">IAW §4.129 and </w:t>
      </w:r>
      <w:proofErr w:type="spellStart"/>
      <w:proofErr w:type="gramStart"/>
      <w:r w:rsidR="00596963" w:rsidRPr="00596963">
        <w:rPr>
          <w:rFonts w:asciiTheme="minorHAnsi" w:hAnsiTheme="minorHAnsi" w:cstheme="minorHAnsi"/>
          <w:color w:val="000000" w:themeColor="text1"/>
          <w:szCs w:val="24"/>
        </w:rPr>
        <w:t>DoD</w:t>
      </w:r>
      <w:proofErr w:type="spellEnd"/>
      <w:proofErr w:type="gramEnd"/>
      <w:r w:rsidR="00596963" w:rsidRPr="00596963">
        <w:rPr>
          <w:rFonts w:asciiTheme="minorHAnsi" w:hAnsiTheme="minorHAnsi" w:cstheme="minorHAnsi"/>
          <w:color w:val="000000" w:themeColor="text1"/>
          <w:szCs w:val="24"/>
        </w:rPr>
        <w:t xml:space="preserve"> direction</w:t>
      </w:r>
      <w:r w:rsidR="002C1274">
        <w:rPr>
          <w:rFonts w:asciiTheme="minorHAnsi" w:hAnsiTheme="minorHAnsi" w:cstheme="minorHAnsi"/>
          <w:color w:val="000000" w:themeColor="text1"/>
          <w:szCs w:val="24"/>
        </w:rPr>
        <w:t>]</w:t>
      </w:r>
      <w:r w:rsidR="00596963" w:rsidRPr="00C90D3B">
        <w:rPr>
          <w:rFonts w:asciiTheme="minorHAnsi" w:hAnsiTheme="minorHAnsi" w:cstheme="minorHAnsi"/>
          <w:color w:val="000000" w:themeColor="text1"/>
          <w:szCs w:val="24"/>
        </w:rPr>
        <w:t xml:space="preserve"> and then </w:t>
      </w:r>
      <w:r w:rsidR="00596963" w:rsidRPr="00596963">
        <w:rPr>
          <w:rFonts w:asciiTheme="minorHAnsi" w:hAnsiTheme="minorHAnsi" w:cstheme="minorHAnsi"/>
          <w:color w:val="000000" w:themeColor="text1"/>
          <w:szCs w:val="24"/>
        </w:rPr>
        <w:t>permanent</w:t>
      </w:r>
      <w:r w:rsidR="00907EAD">
        <w:rPr>
          <w:rFonts w:asciiTheme="minorHAnsi" w:hAnsiTheme="minorHAnsi" w:cstheme="minorHAnsi"/>
          <w:color w:val="000000" w:themeColor="text1"/>
          <w:szCs w:val="24"/>
        </w:rPr>
        <w:t xml:space="preserve"> 30% disability and retirement</w:t>
      </w:r>
      <w:r w:rsidR="00596963" w:rsidRPr="00C90D3B">
        <w:rPr>
          <w:rFonts w:asciiTheme="minorHAnsi" w:hAnsiTheme="minorHAnsi" w:cstheme="minorHAnsi"/>
          <w:color w:val="000000" w:themeColor="text1"/>
          <w:szCs w:val="24"/>
        </w:rPr>
        <w:t xml:space="preserve">) </w:t>
      </w:r>
      <w:r w:rsidR="00A47728" w:rsidRPr="00C90D3B">
        <w:rPr>
          <w:rFonts w:asciiTheme="minorHAnsi" w:hAnsiTheme="minorHAnsi" w:cstheme="minorHAnsi"/>
          <w:color w:val="000000" w:themeColor="text1"/>
          <w:szCs w:val="24"/>
        </w:rPr>
        <w:t xml:space="preserve">submitted </w:t>
      </w:r>
      <w:r w:rsidR="00F95B86">
        <w:rPr>
          <w:rFonts w:asciiTheme="minorHAnsi" w:hAnsiTheme="minorHAnsi" w:cstheme="minorHAnsi"/>
          <w:color w:val="000000" w:themeColor="text1"/>
          <w:szCs w:val="24"/>
        </w:rPr>
        <w:t xml:space="preserve">the addended minority opinion. </w:t>
      </w:r>
      <w:r w:rsidR="00FB1D67" w:rsidRPr="00C90D3B">
        <w:rPr>
          <w:rFonts w:asciiTheme="minorHAnsi" w:hAnsiTheme="minorHAnsi" w:cstheme="minorHAnsi"/>
          <w:color w:val="000000" w:themeColor="text1"/>
          <w:szCs w:val="24"/>
        </w:rPr>
        <w:t xml:space="preserve">In the matter of the </w:t>
      </w:r>
      <w:r w:rsidR="00E6304E">
        <w:rPr>
          <w:rFonts w:asciiTheme="minorHAnsi" w:hAnsiTheme="minorHAnsi" w:cstheme="minorHAnsi"/>
          <w:color w:val="000000" w:themeColor="text1"/>
          <w:szCs w:val="24"/>
        </w:rPr>
        <w:t>post</w:t>
      </w:r>
      <w:r w:rsidR="006C1851" w:rsidRPr="00C90D3B">
        <w:rPr>
          <w:rFonts w:asciiTheme="minorHAnsi" w:hAnsiTheme="minorHAnsi" w:cstheme="minorHAnsi"/>
          <w:color w:val="000000" w:themeColor="text1"/>
          <w:szCs w:val="24"/>
        </w:rPr>
        <w:t>traumatic headache</w:t>
      </w:r>
      <w:r w:rsidR="00FB1D67" w:rsidRPr="00C90D3B">
        <w:rPr>
          <w:rFonts w:asciiTheme="minorHAnsi" w:hAnsiTheme="minorHAnsi" w:cstheme="minorHAnsi"/>
          <w:color w:val="000000" w:themeColor="text1"/>
          <w:szCs w:val="24"/>
        </w:rPr>
        <w:t xml:space="preserve"> condition, the Board unanimously recommends that it be added as an additionally</w:t>
      </w:r>
      <w:r w:rsidR="00FB1D67" w:rsidRPr="00730CDC">
        <w:rPr>
          <w:rFonts w:asciiTheme="minorHAnsi" w:hAnsiTheme="minorHAnsi" w:cstheme="minorHAnsi"/>
          <w:color w:val="auto"/>
          <w:szCs w:val="24"/>
        </w:rPr>
        <w:t xml:space="preserve"> unfitting condition for separation rating; coded </w:t>
      </w:r>
      <w:r w:rsidR="006C1851" w:rsidRPr="00730CDC">
        <w:rPr>
          <w:rFonts w:asciiTheme="minorHAnsi" w:hAnsiTheme="minorHAnsi" w:cstheme="minorHAnsi"/>
          <w:color w:val="auto"/>
          <w:szCs w:val="24"/>
        </w:rPr>
        <w:t>8199-8</w:t>
      </w:r>
      <w:r w:rsidR="00FB1D67" w:rsidRPr="00730CDC">
        <w:rPr>
          <w:rFonts w:asciiTheme="minorHAnsi" w:hAnsiTheme="minorHAnsi" w:cstheme="minorHAnsi"/>
          <w:color w:val="auto"/>
          <w:szCs w:val="24"/>
        </w:rPr>
        <w:t xml:space="preserve">100 </w:t>
      </w:r>
      <w:r w:rsidR="006C1851" w:rsidRPr="00730CDC">
        <w:rPr>
          <w:rFonts w:asciiTheme="minorHAnsi" w:hAnsiTheme="minorHAnsi" w:cstheme="minorHAnsi"/>
          <w:color w:val="auto"/>
          <w:szCs w:val="24"/>
        </w:rPr>
        <w:t xml:space="preserve">analogous to migraine </w:t>
      </w:r>
      <w:r w:rsidR="00FB1D67" w:rsidRPr="00730CDC">
        <w:rPr>
          <w:rFonts w:asciiTheme="minorHAnsi" w:hAnsiTheme="minorHAnsi" w:cstheme="minorHAnsi"/>
          <w:color w:val="auto"/>
          <w:szCs w:val="24"/>
        </w:rPr>
        <w:t>and rated 0% IAW VASRD §4.124</w:t>
      </w:r>
      <w:r w:rsidR="006C1851" w:rsidRPr="00730CDC">
        <w:rPr>
          <w:rFonts w:asciiTheme="minorHAnsi" w:hAnsiTheme="minorHAnsi" w:cstheme="minorHAnsi"/>
          <w:color w:val="auto"/>
          <w:szCs w:val="24"/>
        </w:rPr>
        <w:t>a</w:t>
      </w:r>
      <w:r w:rsidR="00FB1D67" w:rsidRPr="006C1851">
        <w:rPr>
          <w:rFonts w:asciiTheme="minorHAnsi" w:hAnsiTheme="minorHAnsi" w:cstheme="minorHAnsi"/>
          <w:color w:val="auto"/>
          <w:szCs w:val="24"/>
        </w:rPr>
        <w:t>.</w:t>
      </w:r>
      <w:r w:rsidR="00FB1D67" w:rsidRPr="006C1851">
        <w:rPr>
          <w:rFonts w:asciiTheme="minorHAnsi" w:hAnsiTheme="minorHAnsi" w:cstheme="minorHAnsi"/>
          <w:color w:val="000000" w:themeColor="text1"/>
          <w:szCs w:val="24"/>
        </w:rPr>
        <w:t xml:space="preserve"> </w:t>
      </w:r>
      <w:r w:rsidR="00FB1D67">
        <w:rPr>
          <w:rFonts w:cs="Arial"/>
          <w:color w:val="000000"/>
        </w:rPr>
        <w:t xml:space="preserve">In the matter of the </w:t>
      </w:r>
      <w:r w:rsidR="00FB1D67">
        <w:rPr>
          <w:rFonts w:asciiTheme="minorHAnsi" w:hAnsiTheme="minorHAnsi"/>
          <w:color w:val="auto"/>
          <w:szCs w:val="24"/>
        </w:rPr>
        <w:t>blurred vision, right hand pain, bilateral knee pain, and low back pain</w:t>
      </w:r>
      <w:r w:rsidR="00294996">
        <w:rPr>
          <w:rFonts w:asciiTheme="minorHAnsi" w:hAnsiTheme="minorHAnsi"/>
          <w:color w:val="auto"/>
          <w:szCs w:val="24"/>
        </w:rPr>
        <w:t>, tinnitus</w:t>
      </w:r>
      <w:r w:rsidR="00FB1D67">
        <w:rPr>
          <w:rFonts w:cs="Arial"/>
          <w:color w:val="000000"/>
        </w:rPr>
        <w:t xml:space="preserve"> or any other condition eligible for Board consideration</w:t>
      </w:r>
      <w:r w:rsidR="00FB1D67" w:rsidRPr="00E3004D">
        <w:rPr>
          <w:rFonts w:cs="Arial"/>
          <w:color w:val="auto"/>
        </w:rPr>
        <w:t xml:space="preserve">, </w:t>
      </w:r>
      <w:r w:rsidR="00FB1D67" w:rsidRPr="00E3004D">
        <w:rPr>
          <w:rFonts w:cs="Calibri"/>
          <w:color w:val="auto"/>
          <w:szCs w:val="24"/>
        </w:rPr>
        <w:t>the Board unanimously agrees that it cannot recommend any findings of unfit for additional rating at separation.</w:t>
      </w:r>
    </w:p>
    <w:p w:rsidR="00B973D8" w:rsidRPr="00391858" w:rsidRDefault="00B973D8" w:rsidP="00300479">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300479">
      <w:pPr>
        <w:spacing w:line="240" w:lineRule="exact"/>
        <w:jc w:val="both"/>
        <w:rPr>
          <w:rFonts w:asciiTheme="minorHAnsi" w:hAnsiTheme="minorHAnsi"/>
          <w:color w:val="auto"/>
          <w:szCs w:val="24"/>
          <w:u w:val="single"/>
        </w:rPr>
      </w:pPr>
    </w:p>
    <w:p w:rsidR="006B022B" w:rsidRDefault="006B022B" w:rsidP="00300479">
      <w:pPr>
        <w:spacing w:line="240" w:lineRule="exact"/>
        <w:jc w:val="both"/>
        <w:rPr>
          <w:rFonts w:asciiTheme="minorHAnsi" w:hAnsiTheme="minorHAnsi"/>
          <w:b/>
          <w:color w:val="FF0000"/>
          <w:szCs w:val="24"/>
        </w:rPr>
      </w:pPr>
      <w:r>
        <w:rPr>
          <w:rFonts w:asciiTheme="minorHAnsi" w:hAnsiTheme="minorHAnsi"/>
          <w:color w:val="auto"/>
          <w:szCs w:val="24"/>
          <w:u w:val="single"/>
        </w:rPr>
        <w:t>RECOMMENDATION</w:t>
      </w:r>
      <w:r>
        <w:rPr>
          <w:rFonts w:asciiTheme="minorHAnsi" w:hAnsiTheme="minorHAnsi"/>
          <w:color w:val="auto"/>
          <w:szCs w:val="24"/>
        </w:rPr>
        <w:t>:</w:t>
      </w:r>
      <w:r>
        <w:rPr>
          <w:rFonts w:asciiTheme="minorHAnsi" w:hAnsiTheme="minorHAnsi"/>
          <w:color w:val="000080"/>
          <w:szCs w:val="24"/>
        </w:rPr>
        <w:t xml:space="preserve">  </w:t>
      </w:r>
      <w:r>
        <w:rPr>
          <w:color w:val="auto"/>
          <w:szCs w:val="24"/>
        </w:rPr>
        <w:t xml:space="preserve">The Board recommends that the CI’s prior determination be modified as follows; TDRL at 50% for 6 months following CI’s prior medical separation (PTSD at minimum of 50% IAW §4.129 and </w:t>
      </w:r>
      <w:proofErr w:type="spellStart"/>
      <w:r>
        <w:rPr>
          <w:color w:val="auto"/>
          <w:szCs w:val="24"/>
        </w:rPr>
        <w:t>DoD</w:t>
      </w:r>
      <w:proofErr w:type="spellEnd"/>
      <w:r>
        <w:rPr>
          <w:color w:val="auto"/>
          <w:szCs w:val="24"/>
        </w:rPr>
        <w:t xml:space="preserve"> direction) and then a permanent separation with a 10% disability rating as indicated below.</w:t>
      </w:r>
    </w:p>
    <w:p w:rsidR="006B022B" w:rsidRDefault="006B022B" w:rsidP="006B022B">
      <w:pPr>
        <w:spacing w:line="240" w:lineRule="exact"/>
        <w:jc w:val="both"/>
        <w:rPr>
          <w:rFonts w:asciiTheme="minorHAnsi" w:hAnsiTheme="minorHAnsi"/>
          <w:b/>
          <w:color w:val="FF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620"/>
        <w:gridCol w:w="1260"/>
        <w:gridCol w:w="1530"/>
      </w:tblGrid>
      <w:tr w:rsidR="006B022B" w:rsidTr="006B022B">
        <w:trPr>
          <w:jc w:val="center"/>
        </w:trPr>
        <w:tc>
          <w:tcPr>
            <w:tcW w:w="4950" w:type="dxa"/>
            <w:tcBorders>
              <w:top w:val="single" w:sz="4" w:space="0" w:color="000000"/>
              <w:left w:val="single" w:sz="4" w:space="0" w:color="000000"/>
              <w:bottom w:val="single" w:sz="4" w:space="0" w:color="000000"/>
              <w:right w:val="single" w:sz="4" w:space="0" w:color="000000"/>
            </w:tcBorders>
            <w:shd w:val="clear" w:color="auto" w:fill="D9D9D9"/>
            <w:hideMark/>
          </w:tcPr>
          <w:p w:rsidR="006B022B" w:rsidRDefault="006B022B">
            <w:pPr>
              <w:tabs>
                <w:tab w:val="left" w:pos="288"/>
                <w:tab w:val="left" w:pos="4752"/>
              </w:tabs>
              <w:spacing w:line="240" w:lineRule="exact"/>
              <w:jc w:val="both"/>
              <w:rPr>
                <w:b/>
                <w:color w:val="auto"/>
                <w:szCs w:val="24"/>
              </w:rPr>
            </w:pPr>
            <w:r>
              <w:rPr>
                <w:b/>
                <w:color w:val="auto"/>
                <w:szCs w:val="24"/>
              </w:rPr>
              <w:t>UNFITTING CONDITION</w:t>
            </w:r>
          </w:p>
        </w:tc>
        <w:tc>
          <w:tcPr>
            <w:tcW w:w="1620" w:type="dxa"/>
            <w:tcBorders>
              <w:top w:val="single" w:sz="4" w:space="0" w:color="000000"/>
              <w:left w:val="single" w:sz="4" w:space="0" w:color="000000"/>
              <w:bottom w:val="single" w:sz="4" w:space="0" w:color="000000"/>
              <w:right w:val="single" w:sz="4" w:space="0" w:color="000000"/>
            </w:tcBorders>
            <w:shd w:val="clear" w:color="auto" w:fill="D9D9D9"/>
            <w:hideMark/>
          </w:tcPr>
          <w:p w:rsidR="006B022B" w:rsidRDefault="006B022B">
            <w:pPr>
              <w:tabs>
                <w:tab w:val="left" w:pos="288"/>
                <w:tab w:val="left" w:pos="4752"/>
              </w:tabs>
              <w:spacing w:line="240" w:lineRule="exact"/>
              <w:jc w:val="center"/>
              <w:rPr>
                <w:b/>
                <w:color w:val="auto"/>
                <w:szCs w:val="24"/>
              </w:rPr>
            </w:pPr>
            <w:r>
              <w:rPr>
                <w:b/>
                <w:color w:val="auto"/>
                <w:szCs w:val="24"/>
              </w:rPr>
              <w:t>VASRD CODE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hideMark/>
          </w:tcPr>
          <w:p w:rsidR="006B022B" w:rsidRDefault="006B022B">
            <w:pPr>
              <w:tabs>
                <w:tab w:val="left" w:pos="288"/>
                <w:tab w:val="left" w:pos="4752"/>
              </w:tabs>
              <w:spacing w:line="240" w:lineRule="exact"/>
              <w:jc w:val="center"/>
              <w:rPr>
                <w:b/>
                <w:color w:val="auto"/>
                <w:szCs w:val="24"/>
              </w:rPr>
            </w:pPr>
            <w:r>
              <w:rPr>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6B022B" w:rsidRDefault="006B022B">
            <w:pPr>
              <w:tabs>
                <w:tab w:val="left" w:pos="288"/>
                <w:tab w:val="left" w:pos="4752"/>
              </w:tabs>
              <w:spacing w:line="240" w:lineRule="exact"/>
              <w:jc w:val="center"/>
              <w:rPr>
                <w:b/>
                <w:color w:val="auto"/>
                <w:szCs w:val="24"/>
              </w:rPr>
            </w:pPr>
            <w:r>
              <w:rPr>
                <w:b/>
                <w:color w:val="auto"/>
                <w:szCs w:val="24"/>
              </w:rPr>
              <w:t>PERMANENT</w:t>
            </w:r>
          </w:p>
          <w:p w:rsidR="006B022B" w:rsidRDefault="006B022B">
            <w:pPr>
              <w:tabs>
                <w:tab w:val="left" w:pos="288"/>
                <w:tab w:val="left" w:pos="4752"/>
              </w:tabs>
              <w:spacing w:line="240" w:lineRule="exact"/>
              <w:jc w:val="center"/>
              <w:rPr>
                <w:b/>
                <w:color w:val="auto"/>
                <w:szCs w:val="24"/>
              </w:rPr>
            </w:pPr>
            <w:r>
              <w:rPr>
                <w:b/>
                <w:color w:val="auto"/>
                <w:szCs w:val="24"/>
              </w:rPr>
              <w:t>RATING</w:t>
            </w:r>
          </w:p>
        </w:tc>
      </w:tr>
      <w:tr w:rsidR="006B022B" w:rsidTr="006B022B">
        <w:trPr>
          <w:trHeight w:val="188"/>
          <w:jc w:val="center"/>
        </w:trPr>
        <w:tc>
          <w:tcPr>
            <w:tcW w:w="4950" w:type="dxa"/>
            <w:tcBorders>
              <w:top w:val="single" w:sz="4" w:space="0" w:color="000000"/>
              <w:left w:val="single" w:sz="4" w:space="0" w:color="000000"/>
              <w:bottom w:val="single" w:sz="4" w:space="0" w:color="000000"/>
              <w:right w:val="single" w:sz="4" w:space="0" w:color="000000"/>
            </w:tcBorders>
            <w:hideMark/>
          </w:tcPr>
          <w:p w:rsidR="006B022B" w:rsidRDefault="006B022B">
            <w:pPr>
              <w:tabs>
                <w:tab w:val="left" w:pos="288"/>
                <w:tab w:val="left" w:pos="4752"/>
              </w:tabs>
              <w:spacing w:before="20" w:line="240" w:lineRule="exact"/>
              <w:jc w:val="both"/>
              <w:rPr>
                <w:color w:val="auto"/>
                <w:szCs w:val="24"/>
              </w:rPr>
            </w:pPr>
            <w:r>
              <w:rPr>
                <w:color w:val="auto"/>
                <w:szCs w:val="24"/>
              </w:rPr>
              <w:t>PTSD</w:t>
            </w:r>
          </w:p>
        </w:tc>
        <w:tc>
          <w:tcPr>
            <w:tcW w:w="1620" w:type="dxa"/>
            <w:tcBorders>
              <w:top w:val="single" w:sz="4" w:space="0" w:color="000000"/>
              <w:left w:val="single" w:sz="4" w:space="0" w:color="000000"/>
              <w:bottom w:val="single" w:sz="4" w:space="0" w:color="000000"/>
              <w:right w:val="single" w:sz="4" w:space="0" w:color="000000"/>
            </w:tcBorders>
            <w:hideMark/>
          </w:tcPr>
          <w:p w:rsidR="006B022B" w:rsidRDefault="006B022B">
            <w:pPr>
              <w:tabs>
                <w:tab w:val="left" w:pos="288"/>
                <w:tab w:val="left" w:pos="4752"/>
              </w:tabs>
              <w:spacing w:before="20" w:line="240" w:lineRule="exact"/>
              <w:jc w:val="center"/>
              <w:rPr>
                <w:color w:val="auto"/>
                <w:szCs w:val="24"/>
              </w:rPr>
            </w:pPr>
            <w:r>
              <w:rPr>
                <w:color w:val="auto"/>
                <w:szCs w:val="24"/>
              </w:rPr>
              <w:t>9411</w:t>
            </w:r>
          </w:p>
        </w:tc>
        <w:tc>
          <w:tcPr>
            <w:tcW w:w="1260" w:type="dxa"/>
            <w:tcBorders>
              <w:top w:val="single" w:sz="4" w:space="0" w:color="000000"/>
              <w:left w:val="single" w:sz="4" w:space="0" w:color="000000"/>
              <w:bottom w:val="single" w:sz="4" w:space="0" w:color="000000"/>
              <w:right w:val="single" w:sz="4" w:space="0" w:color="000000"/>
            </w:tcBorders>
            <w:hideMark/>
          </w:tcPr>
          <w:p w:rsidR="006B022B" w:rsidRDefault="006B022B">
            <w:pPr>
              <w:tabs>
                <w:tab w:val="left" w:pos="288"/>
                <w:tab w:val="left" w:pos="4752"/>
              </w:tabs>
              <w:spacing w:before="20" w:line="240" w:lineRule="exact"/>
              <w:jc w:val="center"/>
              <w:rPr>
                <w:color w:val="auto"/>
                <w:szCs w:val="24"/>
              </w:rPr>
            </w:pPr>
            <w:r>
              <w:rPr>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hideMark/>
          </w:tcPr>
          <w:p w:rsidR="006B022B" w:rsidRDefault="006B022B">
            <w:pPr>
              <w:tabs>
                <w:tab w:val="left" w:pos="288"/>
                <w:tab w:val="left" w:pos="4752"/>
              </w:tabs>
              <w:spacing w:before="20" w:line="240" w:lineRule="exact"/>
              <w:jc w:val="center"/>
              <w:rPr>
                <w:color w:val="auto"/>
                <w:szCs w:val="24"/>
              </w:rPr>
            </w:pPr>
            <w:r>
              <w:rPr>
                <w:color w:val="auto"/>
                <w:szCs w:val="24"/>
              </w:rPr>
              <w:t>10%</w:t>
            </w:r>
          </w:p>
        </w:tc>
      </w:tr>
      <w:tr w:rsidR="006B022B" w:rsidTr="006B022B">
        <w:trPr>
          <w:trHeight w:val="188"/>
          <w:jc w:val="center"/>
        </w:trPr>
        <w:tc>
          <w:tcPr>
            <w:tcW w:w="4950" w:type="dxa"/>
            <w:tcBorders>
              <w:top w:val="single" w:sz="4" w:space="0" w:color="000000"/>
              <w:left w:val="single" w:sz="4" w:space="0" w:color="000000"/>
              <w:bottom w:val="single" w:sz="4" w:space="0" w:color="000000"/>
              <w:right w:val="single" w:sz="4" w:space="0" w:color="000000"/>
            </w:tcBorders>
            <w:hideMark/>
          </w:tcPr>
          <w:p w:rsidR="006B022B" w:rsidRDefault="006B022B">
            <w:pPr>
              <w:tabs>
                <w:tab w:val="left" w:pos="288"/>
                <w:tab w:val="left" w:pos="4752"/>
              </w:tabs>
              <w:spacing w:before="20" w:line="240" w:lineRule="exact"/>
              <w:jc w:val="both"/>
              <w:rPr>
                <w:color w:val="auto"/>
                <w:szCs w:val="24"/>
              </w:rPr>
            </w:pPr>
            <w:r>
              <w:rPr>
                <w:color w:val="auto"/>
                <w:szCs w:val="24"/>
              </w:rPr>
              <w:t>Migraine Headaches</w:t>
            </w:r>
          </w:p>
        </w:tc>
        <w:tc>
          <w:tcPr>
            <w:tcW w:w="1620" w:type="dxa"/>
            <w:tcBorders>
              <w:top w:val="single" w:sz="4" w:space="0" w:color="000000"/>
              <w:left w:val="single" w:sz="4" w:space="0" w:color="000000"/>
              <w:bottom w:val="single" w:sz="4" w:space="0" w:color="000000"/>
              <w:right w:val="single" w:sz="4" w:space="0" w:color="000000"/>
            </w:tcBorders>
            <w:hideMark/>
          </w:tcPr>
          <w:p w:rsidR="006B022B" w:rsidRDefault="00E30A2E">
            <w:pPr>
              <w:tabs>
                <w:tab w:val="left" w:pos="288"/>
                <w:tab w:val="left" w:pos="4752"/>
              </w:tabs>
              <w:spacing w:before="20" w:line="240" w:lineRule="exact"/>
              <w:jc w:val="center"/>
              <w:rPr>
                <w:color w:val="auto"/>
                <w:szCs w:val="24"/>
              </w:rPr>
            </w:pPr>
            <w:r>
              <w:rPr>
                <w:color w:val="auto"/>
                <w:szCs w:val="24"/>
              </w:rPr>
              <w:t>8199-</w:t>
            </w:r>
            <w:r w:rsidR="006B022B">
              <w:rPr>
                <w:color w:val="auto"/>
                <w:szCs w:val="24"/>
              </w:rPr>
              <w:t>8100</w:t>
            </w:r>
          </w:p>
        </w:tc>
        <w:tc>
          <w:tcPr>
            <w:tcW w:w="1260" w:type="dxa"/>
            <w:tcBorders>
              <w:top w:val="single" w:sz="4" w:space="0" w:color="000000"/>
              <w:left w:val="single" w:sz="4" w:space="0" w:color="000000"/>
              <w:bottom w:val="single" w:sz="4" w:space="0" w:color="000000"/>
              <w:right w:val="single" w:sz="4" w:space="0" w:color="000000"/>
            </w:tcBorders>
            <w:hideMark/>
          </w:tcPr>
          <w:p w:rsidR="006B022B" w:rsidRDefault="006B022B">
            <w:pPr>
              <w:tabs>
                <w:tab w:val="left" w:pos="288"/>
                <w:tab w:val="left" w:pos="4752"/>
              </w:tabs>
              <w:spacing w:before="20" w:line="240" w:lineRule="exact"/>
              <w:jc w:val="center"/>
              <w:rPr>
                <w:color w:val="auto"/>
                <w:szCs w:val="24"/>
              </w:rPr>
            </w:pPr>
            <w:r>
              <w:rPr>
                <w:color w:val="auto"/>
                <w:szCs w:val="24"/>
              </w:rPr>
              <w:t>0%</w:t>
            </w:r>
          </w:p>
        </w:tc>
        <w:tc>
          <w:tcPr>
            <w:tcW w:w="1530" w:type="dxa"/>
            <w:tcBorders>
              <w:top w:val="single" w:sz="4" w:space="0" w:color="000000"/>
              <w:left w:val="single" w:sz="4" w:space="0" w:color="000000"/>
              <w:bottom w:val="single" w:sz="4" w:space="0" w:color="000000"/>
              <w:right w:val="single" w:sz="4" w:space="0" w:color="000000"/>
            </w:tcBorders>
            <w:hideMark/>
          </w:tcPr>
          <w:p w:rsidR="006B022B" w:rsidRDefault="006B022B">
            <w:pPr>
              <w:tabs>
                <w:tab w:val="left" w:pos="288"/>
                <w:tab w:val="left" w:pos="4752"/>
              </w:tabs>
              <w:spacing w:before="20" w:line="240" w:lineRule="exact"/>
              <w:jc w:val="center"/>
              <w:rPr>
                <w:color w:val="auto"/>
                <w:szCs w:val="24"/>
              </w:rPr>
            </w:pPr>
            <w:r>
              <w:rPr>
                <w:color w:val="auto"/>
                <w:szCs w:val="24"/>
              </w:rPr>
              <w:t>0%</w:t>
            </w:r>
          </w:p>
        </w:tc>
      </w:tr>
      <w:tr w:rsidR="006B022B" w:rsidTr="006B022B">
        <w:trPr>
          <w:gridBefore w:val="1"/>
          <w:wBefore w:w="4950" w:type="dxa"/>
          <w:trHeight w:val="188"/>
          <w:jc w:val="center"/>
        </w:trPr>
        <w:tc>
          <w:tcPr>
            <w:tcW w:w="1620" w:type="dxa"/>
            <w:tcBorders>
              <w:top w:val="single" w:sz="4" w:space="0" w:color="000000"/>
              <w:left w:val="single" w:sz="4" w:space="0" w:color="auto"/>
              <w:bottom w:val="single" w:sz="4" w:space="0" w:color="000000"/>
              <w:right w:val="single" w:sz="4" w:space="0" w:color="000000"/>
            </w:tcBorders>
            <w:shd w:val="pct15" w:color="auto" w:fill="auto"/>
            <w:hideMark/>
          </w:tcPr>
          <w:p w:rsidR="006B022B" w:rsidRDefault="006B022B">
            <w:pPr>
              <w:tabs>
                <w:tab w:val="left" w:pos="288"/>
                <w:tab w:val="left" w:pos="4752"/>
              </w:tabs>
              <w:spacing w:before="20" w:line="240" w:lineRule="exact"/>
              <w:jc w:val="center"/>
              <w:rPr>
                <w:b/>
                <w:color w:val="auto"/>
                <w:szCs w:val="24"/>
              </w:rPr>
            </w:pPr>
            <w:r>
              <w:rPr>
                <w:b/>
                <w:color w:val="auto"/>
                <w:szCs w:val="24"/>
              </w:rPr>
              <w:t>COMBINED</w:t>
            </w:r>
          </w:p>
        </w:tc>
        <w:tc>
          <w:tcPr>
            <w:tcW w:w="1260" w:type="dxa"/>
            <w:tcBorders>
              <w:top w:val="single" w:sz="4" w:space="0" w:color="000000"/>
              <w:left w:val="single" w:sz="4" w:space="0" w:color="auto"/>
              <w:bottom w:val="single" w:sz="4" w:space="0" w:color="000000"/>
              <w:right w:val="single" w:sz="4" w:space="0" w:color="000000"/>
            </w:tcBorders>
            <w:shd w:val="pct15" w:color="auto" w:fill="auto"/>
            <w:hideMark/>
          </w:tcPr>
          <w:p w:rsidR="006B022B" w:rsidRDefault="006B022B">
            <w:pPr>
              <w:tabs>
                <w:tab w:val="left" w:pos="288"/>
                <w:tab w:val="left" w:pos="4752"/>
              </w:tabs>
              <w:spacing w:before="20" w:line="240" w:lineRule="exact"/>
              <w:jc w:val="center"/>
              <w:rPr>
                <w:b/>
                <w:color w:val="auto"/>
                <w:szCs w:val="24"/>
              </w:rPr>
            </w:pPr>
            <w:r>
              <w:rPr>
                <w:b/>
                <w:color w:val="auto"/>
                <w:szCs w:val="24"/>
              </w:rPr>
              <w:t>50%</w:t>
            </w:r>
          </w:p>
        </w:tc>
        <w:tc>
          <w:tcPr>
            <w:tcW w:w="1530" w:type="dxa"/>
            <w:tcBorders>
              <w:top w:val="single" w:sz="4" w:space="0" w:color="000000"/>
              <w:left w:val="single" w:sz="4" w:space="0" w:color="000000"/>
              <w:bottom w:val="single" w:sz="4" w:space="0" w:color="000000"/>
              <w:right w:val="single" w:sz="4" w:space="0" w:color="000000"/>
            </w:tcBorders>
            <w:shd w:val="pct15" w:color="auto" w:fill="auto"/>
            <w:hideMark/>
          </w:tcPr>
          <w:p w:rsidR="006B022B" w:rsidRDefault="006B022B">
            <w:pPr>
              <w:tabs>
                <w:tab w:val="left" w:pos="288"/>
                <w:tab w:val="left" w:pos="4752"/>
              </w:tabs>
              <w:spacing w:before="20" w:line="240" w:lineRule="exact"/>
              <w:jc w:val="center"/>
              <w:rPr>
                <w:b/>
                <w:color w:val="auto"/>
                <w:szCs w:val="24"/>
              </w:rPr>
            </w:pPr>
            <w:r>
              <w:rPr>
                <w:b/>
                <w:color w:val="auto"/>
                <w:szCs w:val="24"/>
              </w:rPr>
              <w:t>10%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6B022B" w:rsidRDefault="006B022B">
      <w:pPr>
        <w:rPr>
          <w:rFonts w:asciiTheme="minorHAnsi" w:hAnsiTheme="minorHAnsi"/>
          <w:color w:val="auto"/>
        </w:rPr>
      </w:pPr>
      <w:r>
        <w:rPr>
          <w:rFonts w:asciiTheme="minorHAnsi" w:hAnsiTheme="minorHAnsi"/>
          <w:color w:val="auto"/>
        </w:rPr>
        <w:br w:type="page"/>
      </w:r>
    </w:p>
    <w:p w:rsidR="00130D97" w:rsidRDefault="00130D97"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r w:rsidR="00730CDC">
        <w:rPr>
          <w:rFonts w:asciiTheme="minorHAnsi" w:hAnsiTheme="minorHAnsi"/>
          <w:color w:val="auto"/>
        </w:rPr>
        <w:t>294</w:t>
      </w:r>
      <w:r>
        <w:rPr>
          <w:rFonts w:asciiTheme="minorHAnsi" w:hAnsiTheme="minorHAnsi"/>
          <w:color w:val="auto"/>
        </w:rPr>
        <w:t xml:space="preserve"> dated 20</w:t>
      </w:r>
      <w:r w:rsidR="007E59E3">
        <w:rPr>
          <w:rFonts w:asciiTheme="minorHAnsi" w:hAnsiTheme="minorHAnsi"/>
          <w:color w:val="auto"/>
        </w:rPr>
        <w:t>0</w:t>
      </w:r>
      <w:r w:rsidR="008B2BD8">
        <w:rPr>
          <w:rFonts w:asciiTheme="minorHAnsi" w:hAnsiTheme="minorHAnsi"/>
          <w:color w:val="auto"/>
        </w:rPr>
        <w:t>110308</w:t>
      </w:r>
      <w:r w:rsidR="00E6304E">
        <w:rPr>
          <w:rFonts w:asciiTheme="minorHAnsi" w:hAnsiTheme="minorHAnsi"/>
          <w:color w:val="auto"/>
        </w:rPr>
        <w:t>, w/</w:t>
      </w:r>
      <w:proofErr w:type="spellStart"/>
      <w:r w:rsidR="00E6304E">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Service Treatment </w:t>
      </w:r>
      <w:r w:rsidR="00E6304E">
        <w:rPr>
          <w:rFonts w:asciiTheme="minorHAnsi" w:hAnsiTheme="minorHAnsi"/>
          <w:color w:val="auto"/>
        </w:rPr>
        <w:t>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E6304E">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8B2BD8" w:rsidRDefault="00130D97"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p>
    <w:p w:rsidR="00D91DA6" w:rsidRPr="00006186" w:rsidRDefault="008B2BD8"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130D97">
        <w:rPr>
          <w:rFonts w:asciiTheme="minorHAnsi" w:hAnsiTheme="minorHAnsi"/>
          <w:color w:val="auto"/>
        </w:rPr>
        <w:t>President</w:t>
      </w:r>
    </w:p>
    <w:p w:rsidR="00294996" w:rsidRDefault="00FB1725" w:rsidP="00B12F4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7621AA" w:rsidRDefault="007621AA">
      <w:pPr>
        <w:rPr>
          <w:rFonts w:asciiTheme="minorHAnsi" w:hAnsiTheme="minorHAnsi" w:cstheme="minorHAnsi"/>
          <w:color w:val="auto"/>
          <w:szCs w:val="24"/>
          <w:u w:val="single"/>
        </w:rPr>
      </w:pPr>
      <w:r>
        <w:rPr>
          <w:rFonts w:asciiTheme="minorHAnsi" w:hAnsiTheme="minorHAnsi" w:cstheme="minorHAnsi"/>
          <w:color w:val="auto"/>
          <w:szCs w:val="24"/>
          <w:u w:val="single"/>
        </w:rPr>
        <w:br w:type="page"/>
      </w:r>
    </w:p>
    <w:p w:rsidR="00FB20BA" w:rsidRDefault="00FB20BA" w:rsidP="00FB4B1A">
      <w:pPr>
        <w:spacing w:line="240" w:lineRule="exact"/>
        <w:jc w:val="both"/>
        <w:rPr>
          <w:rFonts w:asciiTheme="minorHAnsi" w:hAnsiTheme="minorHAnsi" w:cstheme="minorHAnsi"/>
          <w:color w:val="auto"/>
          <w:szCs w:val="24"/>
          <w:u w:val="single"/>
        </w:rPr>
      </w:pPr>
    </w:p>
    <w:p w:rsidR="00FB4B1A" w:rsidRPr="00CB65CA" w:rsidRDefault="00FB4B1A" w:rsidP="00FB4B1A">
      <w:pPr>
        <w:spacing w:line="240" w:lineRule="exact"/>
        <w:jc w:val="both"/>
        <w:rPr>
          <w:rFonts w:asciiTheme="minorHAnsi" w:hAnsiTheme="minorHAnsi" w:cstheme="minorHAnsi"/>
          <w:color w:val="auto"/>
          <w:szCs w:val="24"/>
          <w:u w:val="single"/>
        </w:rPr>
      </w:pPr>
      <w:r w:rsidRPr="00CB65CA">
        <w:rPr>
          <w:rFonts w:asciiTheme="minorHAnsi" w:hAnsiTheme="minorHAnsi" w:cstheme="minorHAnsi"/>
          <w:color w:val="auto"/>
          <w:szCs w:val="24"/>
          <w:u w:val="single"/>
        </w:rPr>
        <w:t>M</w:t>
      </w:r>
      <w:r w:rsidR="00C026EE">
        <w:rPr>
          <w:rFonts w:asciiTheme="minorHAnsi" w:hAnsiTheme="minorHAnsi" w:cstheme="minorHAnsi"/>
          <w:color w:val="auto"/>
          <w:szCs w:val="24"/>
          <w:u w:val="single"/>
        </w:rPr>
        <w:t>INORITY OPINION:</w:t>
      </w:r>
    </w:p>
    <w:p w:rsidR="00FB4B1A" w:rsidRDefault="00FB4B1A" w:rsidP="00FB4B1A">
      <w:pPr>
        <w:spacing w:line="240" w:lineRule="exact"/>
        <w:jc w:val="both"/>
        <w:rPr>
          <w:rFonts w:asciiTheme="minorHAnsi" w:hAnsiTheme="minorHAnsi" w:cstheme="minorHAnsi"/>
          <w:color w:val="auto"/>
          <w:szCs w:val="24"/>
        </w:rPr>
      </w:pPr>
    </w:p>
    <w:p w:rsidR="00FB4B1A" w:rsidRPr="009A0025" w:rsidRDefault="00FB4B1A" w:rsidP="00FB4B1A">
      <w:pPr>
        <w:spacing w:line="240" w:lineRule="exact"/>
        <w:jc w:val="both"/>
        <w:rPr>
          <w:rFonts w:asciiTheme="minorHAnsi" w:hAnsiTheme="minorHAnsi"/>
          <w:color w:val="auto"/>
        </w:rPr>
      </w:pPr>
      <w:r>
        <w:rPr>
          <w:rFonts w:asciiTheme="minorHAnsi" w:hAnsiTheme="minorHAnsi" w:cstheme="minorHAnsi"/>
          <w:color w:val="auto"/>
          <w:szCs w:val="24"/>
        </w:rPr>
        <w:t xml:space="preserve">The minority voter concludes a 30% permanent rating for PTSD at the end of the six month constructive TDRL period is appropriate in this case based on the evidence of the record and application of </w:t>
      </w:r>
      <w:r w:rsidRPr="006C7F5C">
        <w:rPr>
          <w:rFonts w:asciiTheme="minorHAnsi" w:eastAsiaTheme="minorHAnsi" w:hAnsiTheme="minorHAnsi" w:cstheme="minorBidi"/>
          <w:color w:val="auto"/>
          <w:szCs w:val="24"/>
        </w:rPr>
        <w:t>VASRD §4.3 (reasonable doubt) and §4.7 (higher of two evaluations)</w:t>
      </w:r>
      <w:r w:rsidR="00E23D80">
        <w:rPr>
          <w:rFonts w:asciiTheme="minorHAnsi" w:eastAsiaTheme="minorHAnsi" w:hAnsiTheme="minorHAnsi" w:cstheme="minorBidi"/>
          <w:color w:val="auto"/>
          <w:szCs w:val="24"/>
        </w:rPr>
        <w:t xml:space="preserve">. </w:t>
      </w:r>
      <w:r>
        <w:rPr>
          <w:rFonts w:asciiTheme="minorHAnsi" w:hAnsiTheme="minorHAnsi"/>
          <w:color w:val="auto"/>
        </w:rPr>
        <w:t xml:space="preserve">The post separation examinations document CI report of continued symptoms </w:t>
      </w:r>
      <w:r>
        <w:rPr>
          <w:rFonts w:asciiTheme="minorHAnsi" w:hAnsiTheme="minorHAnsi" w:cstheme="minorHAnsi"/>
          <w:color w:val="auto"/>
          <w:szCs w:val="24"/>
        </w:rPr>
        <w:t xml:space="preserve">of PTSD including sleep disturbance, hypervigilance, </w:t>
      </w:r>
      <w:r w:rsidR="00E23D80">
        <w:rPr>
          <w:rFonts w:asciiTheme="minorHAnsi" w:hAnsiTheme="minorHAnsi" w:cstheme="minorHAnsi"/>
          <w:color w:val="auto"/>
          <w:szCs w:val="24"/>
        </w:rPr>
        <w:t xml:space="preserve">irritability, and mood swings. </w:t>
      </w:r>
      <w:r>
        <w:rPr>
          <w:rFonts w:asciiTheme="minorHAnsi" w:hAnsiTheme="minorHAnsi" w:cstheme="minorHAnsi"/>
          <w:color w:val="auto"/>
          <w:szCs w:val="24"/>
        </w:rPr>
        <w:t>Although going to college and working in the same occupation he had prior to entering military service, the VA neurology encounter 14 January 2009 documents CI report of difficulties with school due to memo</w:t>
      </w:r>
      <w:r w:rsidR="00E23D80">
        <w:rPr>
          <w:rFonts w:asciiTheme="minorHAnsi" w:hAnsiTheme="minorHAnsi" w:cstheme="minorHAnsi"/>
          <w:color w:val="auto"/>
          <w:szCs w:val="24"/>
        </w:rPr>
        <w:t xml:space="preserve">ry and concentration problems. </w:t>
      </w:r>
      <w:r>
        <w:rPr>
          <w:rFonts w:asciiTheme="minorHAnsi" w:hAnsiTheme="minorHAnsi"/>
          <w:color w:val="auto"/>
        </w:rPr>
        <w:t xml:space="preserve">The comments and Global Assessment of Functioning ratings by the examining psychiatrists also indicate their assessment of moderate impairment that more nearly approximates the 30% rating.  </w:t>
      </w:r>
      <w:r>
        <w:rPr>
          <w:rFonts w:asciiTheme="minorHAnsi" w:hAnsiTheme="minorHAnsi" w:cstheme="minorHAnsi"/>
          <w:color w:val="auto"/>
          <w:szCs w:val="24"/>
        </w:rPr>
        <w:t>VA treatment records up to a year after separati</w:t>
      </w:r>
      <w:r w:rsidR="00E23D80">
        <w:rPr>
          <w:rFonts w:asciiTheme="minorHAnsi" w:hAnsiTheme="minorHAnsi" w:cstheme="minorHAnsi"/>
          <w:color w:val="auto"/>
          <w:szCs w:val="24"/>
        </w:rPr>
        <w:t xml:space="preserve">on do not reflect improvement. </w:t>
      </w:r>
      <w:r>
        <w:rPr>
          <w:rFonts w:asciiTheme="minorHAnsi" w:hAnsiTheme="minorHAnsi"/>
          <w:color w:val="auto"/>
        </w:rPr>
        <w:t>The minority voter acknowledges that there was scant direct evidence regarding occupational functioning at the time of permanent rating requiring an asses</w:t>
      </w:r>
      <w:r w:rsidR="00E23D80">
        <w:rPr>
          <w:rFonts w:asciiTheme="minorHAnsi" w:hAnsiTheme="minorHAnsi"/>
          <w:color w:val="auto"/>
        </w:rPr>
        <w:t xml:space="preserve">sment based on symptom report. </w:t>
      </w:r>
      <w:r>
        <w:rPr>
          <w:rFonts w:asciiTheme="minorHAnsi" w:hAnsiTheme="minorHAnsi"/>
          <w:color w:val="auto"/>
        </w:rPr>
        <w:t>When speculation is required, r</w:t>
      </w:r>
      <w:r w:rsidRPr="009A0025">
        <w:rPr>
          <w:rFonts w:asciiTheme="minorHAnsi" w:hAnsiTheme="minorHAnsi"/>
          <w:color w:val="auto"/>
        </w:rPr>
        <w:t xml:space="preserve">easonable doubt </w:t>
      </w:r>
      <w:r>
        <w:rPr>
          <w:rFonts w:asciiTheme="minorHAnsi" w:hAnsiTheme="minorHAnsi"/>
          <w:color w:val="auto"/>
        </w:rPr>
        <w:t xml:space="preserve">should weigh </w:t>
      </w:r>
      <w:r w:rsidRPr="009A0025">
        <w:rPr>
          <w:rFonts w:asciiTheme="minorHAnsi" w:hAnsiTheme="minorHAnsi"/>
          <w:color w:val="auto"/>
        </w:rPr>
        <w:t>heavily</w:t>
      </w:r>
      <w:r w:rsidR="00E23D80">
        <w:rPr>
          <w:rFonts w:asciiTheme="minorHAnsi" w:hAnsiTheme="minorHAnsi"/>
          <w:color w:val="auto"/>
        </w:rPr>
        <w:t xml:space="preserve"> in Board deliberations. </w:t>
      </w:r>
      <w:r>
        <w:rPr>
          <w:rFonts w:asciiTheme="minorHAnsi" w:hAnsiTheme="minorHAnsi"/>
          <w:color w:val="auto"/>
        </w:rPr>
        <w:t>The minority voter concludes that c</w:t>
      </w:r>
      <w:r w:rsidRPr="009A0025">
        <w:rPr>
          <w:rFonts w:asciiTheme="minorHAnsi" w:hAnsiTheme="minorHAnsi"/>
          <w:color w:val="auto"/>
        </w:rPr>
        <w:t xml:space="preserve">onsidering the evidence and mindful of VASRD §4.3 (reasonable doubt), a permanent disability rating of </w:t>
      </w:r>
      <w:r>
        <w:rPr>
          <w:rFonts w:asciiTheme="minorHAnsi" w:hAnsiTheme="minorHAnsi"/>
          <w:color w:val="auto"/>
        </w:rPr>
        <w:t>3</w:t>
      </w:r>
      <w:r w:rsidRPr="009A0025">
        <w:rPr>
          <w:rFonts w:asciiTheme="minorHAnsi" w:hAnsiTheme="minorHAnsi"/>
          <w:color w:val="auto"/>
        </w:rPr>
        <w:t xml:space="preserve">0% </w:t>
      </w:r>
      <w:r>
        <w:rPr>
          <w:rFonts w:asciiTheme="minorHAnsi" w:hAnsiTheme="minorHAnsi"/>
          <w:color w:val="auto"/>
        </w:rPr>
        <w:t xml:space="preserve">for PTSD </w:t>
      </w:r>
      <w:r w:rsidRPr="009A0025">
        <w:rPr>
          <w:rFonts w:asciiTheme="minorHAnsi" w:hAnsiTheme="minorHAnsi"/>
          <w:color w:val="auto"/>
        </w:rPr>
        <w:t>in this case is appropriate, fair and equitable.</w:t>
      </w:r>
      <w:r>
        <w:rPr>
          <w:rFonts w:asciiTheme="minorHAnsi" w:hAnsiTheme="minorHAnsi"/>
          <w:color w:val="auto"/>
        </w:rPr>
        <w:t xml:space="preserve">  </w:t>
      </w:r>
    </w:p>
    <w:p w:rsidR="002130BA" w:rsidRDefault="002130BA">
      <w:pPr>
        <w:rPr>
          <w:rFonts w:asciiTheme="minorHAnsi" w:hAnsiTheme="minorHAnsi"/>
          <w:color w:val="auto"/>
        </w:rPr>
      </w:pPr>
      <w:r>
        <w:rPr>
          <w:rFonts w:asciiTheme="minorHAnsi" w:hAnsiTheme="minorHAnsi"/>
          <w:color w:val="auto"/>
        </w:rPr>
        <w:br w:type="page"/>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lastRenderedPageBreak/>
        <w:t>MEMORANDUM FOR DEPUTY COMMANDANT, MANPOWER &amp; RESERVE AFFAIRS</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ab/>
        <w:t>COMMANDER, NAVY PERSONNEL COMMAND</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ab/>
      </w:r>
    </w:p>
    <w:p w:rsidR="002130BA" w:rsidRPr="002130BA" w:rsidRDefault="002130BA" w:rsidP="002130BA">
      <w:pPr>
        <w:tabs>
          <w:tab w:val="left" w:pos="288"/>
          <w:tab w:val="left" w:pos="4752"/>
        </w:tabs>
        <w:spacing w:line="240" w:lineRule="exact"/>
        <w:jc w:val="both"/>
        <w:rPr>
          <w:rFonts w:asciiTheme="minorHAnsi" w:hAnsiTheme="minorHAnsi"/>
          <w:color w:val="auto"/>
        </w:rPr>
      </w:pPr>
      <w:proofErr w:type="spellStart"/>
      <w:r w:rsidRPr="002130BA">
        <w:rPr>
          <w:rFonts w:asciiTheme="minorHAnsi" w:hAnsiTheme="minorHAnsi"/>
          <w:color w:val="auto"/>
        </w:rPr>
        <w:t>Subj</w:t>
      </w:r>
      <w:proofErr w:type="spellEnd"/>
      <w:r w:rsidRPr="002130BA">
        <w:rPr>
          <w:rFonts w:asciiTheme="minorHAnsi" w:hAnsiTheme="minorHAnsi"/>
          <w:color w:val="auto"/>
        </w:rPr>
        <w:t>:  PHYSICAL DISABILITY BOARD OF REVIEW (PDBR) RECOMMENDATIONS</w:t>
      </w:r>
    </w:p>
    <w:p w:rsidR="002130BA" w:rsidRPr="002130BA" w:rsidRDefault="002130BA" w:rsidP="002130BA">
      <w:pPr>
        <w:tabs>
          <w:tab w:val="left" w:pos="288"/>
          <w:tab w:val="left" w:pos="4752"/>
        </w:tabs>
        <w:spacing w:line="240" w:lineRule="exact"/>
        <w:jc w:val="both"/>
        <w:rPr>
          <w:rFonts w:asciiTheme="minorHAnsi" w:hAnsiTheme="minorHAnsi"/>
          <w:color w:val="auto"/>
        </w:rPr>
      </w:pP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 xml:space="preserve">Ref:   (a) </w:t>
      </w:r>
      <w:proofErr w:type="spellStart"/>
      <w:r w:rsidRPr="002130BA">
        <w:rPr>
          <w:rFonts w:asciiTheme="minorHAnsi" w:hAnsiTheme="minorHAnsi"/>
          <w:color w:val="auto"/>
        </w:rPr>
        <w:t>DoDI</w:t>
      </w:r>
      <w:proofErr w:type="spellEnd"/>
      <w:r w:rsidRPr="002130BA">
        <w:rPr>
          <w:rFonts w:asciiTheme="minorHAnsi" w:hAnsiTheme="minorHAnsi"/>
          <w:color w:val="auto"/>
        </w:rPr>
        <w:t xml:space="preserve"> 6040.44</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 xml:space="preserve">          (b) PDBR </w:t>
      </w:r>
      <w:proofErr w:type="spellStart"/>
      <w:r w:rsidRPr="002130BA">
        <w:rPr>
          <w:rFonts w:asciiTheme="minorHAnsi" w:hAnsiTheme="minorHAnsi"/>
          <w:color w:val="auto"/>
        </w:rPr>
        <w:t>ltr</w:t>
      </w:r>
      <w:proofErr w:type="spellEnd"/>
      <w:r w:rsidRPr="002130BA">
        <w:rPr>
          <w:rFonts w:asciiTheme="minorHAnsi" w:hAnsiTheme="minorHAnsi"/>
          <w:color w:val="auto"/>
        </w:rPr>
        <w:t xml:space="preserve"> </w:t>
      </w:r>
      <w:proofErr w:type="spellStart"/>
      <w:r w:rsidRPr="002130BA">
        <w:rPr>
          <w:rFonts w:asciiTheme="minorHAnsi" w:hAnsiTheme="minorHAnsi"/>
          <w:color w:val="auto"/>
        </w:rPr>
        <w:t>dtd</w:t>
      </w:r>
      <w:proofErr w:type="spellEnd"/>
      <w:r w:rsidRPr="002130BA">
        <w:rPr>
          <w:rFonts w:asciiTheme="minorHAnsi" w:hAnsiTheme="minorHAnsi"/>
          <w:color w:val="auto"/>
        </w:rPr>
        <w:t xml:space="preserve"> 22 Feb 12 ICO  </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 xml:space="preserve">          (c) PDBR </w:t>
      </w:r>
      <w:proofErr w:type="spellStart"/>
      <w:r w:rsidRPr="002130BA">
        <w:rPr>
          <w:rFonts w:asciiTheme="minorHAnsi" w:hAnsiTheme="minorHAnsi"/>
          <w:color w:val="auto"/>
        </w:rPr>
        <w:t>ltr</w:t>
      </w:r>
      <w:proofErr w:type="spellEnd"/>
      <w:r w:rsidRPr="002130BA">
        <w:rPr>
          <w:rFonts w:asciiTheme="minorHAnsi" w:hAnsiTheme="minorHAnsi"/>
          <w:color w:val="auto"/>
        </w:rPr>
        <w:t xml:space="preserve"> </w:t>
      </w:r>
      <w:proofErr w:type="spellStart"/>
      <w:r w:rsidRPr="002130BA">
        <w:rPr>
          <w:rFonts w:asciiTheme="minorHAnsi" w:hAnsiTheme="minorHAnsi"/>
          <w:color w:val="auto"/>
        </w:rPr>
        <w:t>dtd</w:t>
      </w:r>
      <w:proofErr w:type="spellEnd"/>
      <w:r w:rsidRPr="002130BA">
        <w:rPr>
          <w:rFonts w:asciiTheme="minorHAnsi" w:hAnsiTheme="minorHAnsi"/>
          <w:color w:val="auto"/>
        </w:rPr>
        <w:t xml:space="preserve"> 28 Feb 12 ICO  </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 xml:space="preserve">          (d) PDBR </w:t>
      </w:r>
      <w:proofErr w:type="spellStart"/>
      <w:r w:rsidRPr="002130BA">
        <w:rPr>
          <w:rFonts w:asciiTheme="minorHAnsi" w:hAnsiTheme="minorHAnsi"/>
          <w:color w:val="auto"/>
        </w:rPr>
        <w:t>ltr</w:t>
      </w:r>
      <w:proofErr w:type="spellEnd"/>
      <w:r w:rsidRPr="002130BA">
        <w:rPr>
          <w:rFonts w:asciiTheme="minorHAnsi" w:hAnsiTheme="minorHAnsi"/>
          <w:color w:val="auto"/>
        </w:rPr>
        <w:t xml:space="preserve"> </w:t>
      </w:r>
      <w:proofErr w:type="spellStart"/>
      <w:r w:rsidRPr="002130BA">
        <w:rPr>
          <w:rFonts w:asciiTheme="minorHAnsi" w:hAnsiTheme="minorHAnsi"/>
          <w:color w:val="auto"/>
        </w:rPr>
        <w:t>dtd</w:t>
      </w:r>
      <w:proofErr w:type="spellEnd"/>
      <w:r w:rsidRPr="002130BA">
        <w:rPr>
          <w:rFonts w:asciiTheme="minorHAnsi" w:hAnsiTheme="minorHAnsi"/>
          <w:color w:val="auto"/>
        </w:rPr>
        <w:t xml:space="preserve"> 24 Feb 12 ICO  </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 xml:space="preserve">          </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1.  Pursuant to reference (a) I approve the recommendations of the PDBR set forth in references (b) through (d).</w:t>
      </w:r>
    </w:p>
    <w:p w:rsidR="002130BA" w:rsidRPr="002130BA" w:rsidRDefault="002130BA" w:rsidP="002130BA">
      <w:pPr>
        <w:tabs>
          <w:tab w:val="left" w:pos="288"/>
          <w:tab w:val="left" w:pos="4752"/>
        </w:tabs>
        <w:spacing w:line="240" w:lineRule="exact"/>
        <w:jc w:val="both"/>
        <w:rPr>
          <w:rFonts w:asciiTheme="minorHAnsi" w:hAnsiTheme="minorHAnsi"/>
          <w:color w:val="auto"/>
        </w:rPr>
      </w:pP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2.  The official records of the following individuals are to be corrected to reflect the stated disposition:</w:t>
      </w:r>
    </w:p>
    <w:p w:rsidR="002130BA" w:rsidRPr="002130BA" w:rsidRDefault="002130BA" w:rsidP="002130BA">
      <w:pPr>
        <w:tabs>
          <w:tab w:val="left" w:pos="288"/>
          <w:tab w:val="left" w:pos="4752"/>
        </w:tabs>
        <w:spacing w:line="240" w:lineRule="exact"/>
        <w:jc w:val="both"/>
        <w:rPr>
          <w:rFonts w:asciiTheme="minorHAnsi" w:hAnsiTheme="minorHAnsi"/>
          <w:color w:val="auto"/>
        </w:rPr>
      </w:pP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 xml:space="preserve">     a.  </w:t>
      </w:r>
      <w:r w:rsidRPr="002130BA">
        <w:rPr>
          <w:rFonts w:asciiTheme="minorHAnsi" w:hAnsiTheme="minorHAnsi"/>
          <w:color w:val="auto"/>
          <w:u w:val="single"/>
        </w:rPr>
        <w:t xml:space="preserve">XXXXXX, former USN, </w:t>
      </w:r>
      <w:r w:rsidRPr="002130BA">
        <w:rPr>
          <w:rFonts w:asciiTheme="minorHAnsi" w:hAnsiTheme="minorHAnsi"/>
          <w:color w:val="auto"/>
        </w:rPr>
        <w:t>: Placement on the Temporary Disability Retired List (TDRL) with a 50 percent disability rating for the period 26 October 2006 through 25 April 2007 followed by disability separation with a final rating of 10 percent effective 26 April 2007.</w:t>
      </w:r>
    </w:p>
    <w:p w:rsidR="002130BA" w:rsidRPr="002130BA" w:rsidRDefault="002130BA" w:rsidP="002130BA">
      <w:pPr>
        <w:tabs>
          <w:tab w:val="left" w:pos="288"/>
          <w:tab w:val="left" w:pos="4752"/>
        </w:tabs>
        <w:spacing w:line="240" w:lineRule="exact"/>
        <w:jc w:val="both"/>
        <w:rPr>
          <w:rFonts w:asciiTheme="minorHAnsi" w:hAnsiTheme="minorHAnsi"/>
          <w:color w:val="auto"/>
          <w:u w:val="single"/>
        </w:rPr>
      </w:pP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 xml:space="preserve">     </w:t>
      </w:r>
      <w:proofErr w:type="gramStart"/>
      <w:r w:rsidRPr="002130BA">
        <w:rPr>
          <w:rFonts w:asciiTheme="minorHAnsi" w:hAnsiTheme="minorHAnsi"/>
          <w:color w:val="auto"/>
        </w:rPr>
        <w:t xml:space="preserve">b.  </w:t>
      </w:r>
      <w:r w:rsidRPr="002130BA">
        <w:rPr>
          <w:rFonts w:asciiTheme="minorHAnsi" w:hAnsiTheme="minorHAnsi"/>
          <w:color w:val="auto"/>
          <w:u w:val="single"/>
        </w:rPr>
        <w:t>XXXXX</w:t>
      </w:r>
      <w:proofErr w:type="gramEnd"/>
      <w:r w:rsidRPr="002130BA">
        <w:rPr>
          <w:rFonts w:asciiTheme="minorHAnsi" w:hAnsiTheme="minorHAnsi"/>
          <w:color w:val="auto"/>
          <w:u w:val="single"/>
        </w:rPr>
        <w:t>, former USMC</w:t>
      </w:r>
      <w:r w:rsidRPr="002130BA">
        <w:rPr>
          <w:rFonts w:asciiTheme="minorHAnsi" w:hAnsiTheme="minorHAnsi"/>
          <w:color w:val="auto"/>
        </w:rPr>
        <w:t>: Placement on Permanent Disability Retired List with a 30 percent disability rating effective 30 June 2008.</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ab/>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 xml:space="preserve">     c.  </w:t>
      </w:r>
      <w:r w:rsidRPr="002130BA">
        <w:rPr>
          <w:rFonts w:asciiTheme="minorHAnsi" w:hAnsiTheme="minorHAnsi"/>
          <w:color w:val="auto"/>
          <w:u w:val="single"/>
        </w:rPr>
        <w:t>XXXXXX, former USMC</w:t>
      </w:r>
      <w:r w:rsidRPr="002130BA">
        <w:rPr>
          <w:rFonts w:asciiTheme="minorHAnsi" w:hAnsiTheme="minorHAnsi"/>
          <w:color w:val="auto"/>
        </w:rPr>
        <w:t>: Placement on the TDRL with a 50 percent disability rating for the period 15 July 2008 through 14 January 2009, followed by disability separation with a final rating of 10 percent effective 15 January 2009.</w:t>
      </w:r>
    </w:p>
    <w:p w:rsidR="002130BA" w:rsidRPr="002130BA" w:rsidRDefault="002130BA" w:rsidP="002130BA">
      <w:pPr>
        <w:tabs>
          <w:tab w:val="left" w:pos="288"/>
          <w:tab w:val="left" w:pos="4752"/>
        </w:tabs>
        <w:spacing w:line="240" w:lineRule="exact"/>
        <w:jc w:val="both"/>
        <w:rPr>
          <w:rFonts w:asciiTheme="minorHAnsi" w:hAnsiTheme="minorHAnsi"/>
          <w:color w:val="auto"/>
        </w:rPr>
      </w:pP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 xml:space="preserve">3.  Please ensure all necessary actions are taken, including the recoupment of disability severance pay if warranted to implement these </w:t>
      </w:r>
      <w:proofErr w:type="gramStart"/>
      <w:r w:rsidRPr="002130BA">
        <w:rPr>
          <w:rFonts w:asciiTheme="minorHAnsi" w:hAnsiTheme="minorHAnsi"/>
          <w:color w:val="auto"/>
        </w:rPr>
        <w:t>decisions,</w:t>
      </w:r>
      <w:proofErr w:type="gramEnd"/>
      <w:r w:rsidRPr="002130BA">
        <w:rPr>
          <w:rFonts w:asciiTheme="minorHAnsi" w:hAnsiTheme="minorHAnsi"/>
          <w:color w:val="auto"/>
        </w:rPr>
        <w:t xml:space="preserve"> and notification to the service members once those actions are completed.</w:t>
      </w:r>
    </w:p>
    <w:p w:rsidR="002130BA" w:rsidRPr="002130BA" w:rsidRDefault="002130BA" w:rsidP="002130BA">
      <w:pPr>
        <w:tabs>
          <w:tab w:val="left" w:pos="288"/>
          <w:tab w:val="left" w:pos="4752"/>
        </w:tabs>
        <w:spacing w:line="240" w:lineRule="exact"/>
        <w:jc w:val="both"/>
        <w:rPr>
          <w:rFonts w:asciiTheme="minorHAnsi" w:hAnsiTheme="minorHAnsi"/>
          <w:color w:val="auto"/>
        </w:rPr>
      </w:pPr>
    </w:p>
    <w:p w:rsidR="002130BA" w:rsidRPr="002130BA" w:rsidRDefault="002130BA" w:rsidP="002130BA">
      <w:pPr>
        <w:tabs>
          <w:tab w:val="left" w:pos="288"/>
          <w:tab w:val="left" w:pos="4752"/>
        </w:tabs>
        <w:spacing w:line="240" w:lineRule="exact"/>
        <w:jc w:val="both"/>
        <w:rPr>
          <w:rFonts w:asciiTheme="minorHAnsi" w:hAnsiTheme="minorHAnsi"/>
          <w:color w:val="auto"/>
        </w:rPr>
      </w:pPr>
    </w:p>
    <w:p w:rsidR="002130BA" w:rsidRPr="002130BA" w:rsidRDefault="002130BA" w:rsidP="002130BA">
      <w:pPr>
        <w:tabs>
          <w:tab w:val="left" w:pos="288"/>
          <w:tab w:val="left" w:pos="4752"/>
        </w:tabs>
        <w:spacing w:line="240" w:lineRule="exact"/>
        <w:jc w:val="both"/>
        <w:rPr>
          <w:rFonts w:asciiTheme="minorHAnsi" w:hAnsiTheme="minorHAnsi"/>
          <w:color w:val="auto"/>
        </w:rPr>
      </w:pP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ab/>
        <w:t xml:space="preserve"> </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ab/>
      </w:r>
      <w:r>
        <w:rPr>
          <w:rFonts w:asciiTheme="minorHAnsi" w:hAnsiTheme="minorHAnsi"/>
          <w:color w:val="auto"/>
        </w:rPr>
        <w:tab/>
      </w:r>
      <w:r>
        <w:rPr>
          <w:rFonts w:asciiTheme="minorHAnsi" w:hAnsiTheme="minorHAnsi"/>
          <w:color w:val="auto"/>
        </w:rPr>
        <w:tab/>
      </w:r>
      <w:r w:rsidRPr="002130BA">
        <w:rPr>
          <w:rFonts w:asciiTheme="minorHAnsi" w:hAnsiTheme="minorHAnsi"/>
          <w:color w:val="auto"/>
        </w:rPr>
        <w:t>Assistant General Counsel</w:t>
      </w:r>
    </w:p>
    <w:p w:rsidR="002130BA" w:rsidRPr="002130BA" w:rsidRDefault="002130BA" w:rsidP="002130BA">
      <w:pPr>
        <w:tabs>
          <w:tab w:val="left" w:pos="288"/>
          <w:tab w:val="left" w:pos="4752"/>
        </w:tabs>
        <w:spacing w:line="240" w:lineRule="exact"/>
        <w:jc w:val="both"/>
        <w:rPr>
          <w:rFonts w:asciiTheme="minorHAnsi" w:hAnsiTheme="minorHAnsi"/>
          <w:color w:val="auto"/>
        </w:rPr>
      </w:pPr>
      <w:r w:rsidRPr="002130BA">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sidRPr="002130BA">
        <w:rPr>
          <w:rFonts w:asciiTheme="minorHAnsi" w:hAnsiTheme="minorHAnsi"/>
          <w:color w:val="auto"/>
        </w:rPr>
        <w:t xml:space="preserve"> (Manpower &amp; Reserve Affairs)</w:t>
      </w:r>
    </w:p>
    <w:p w:rsidR="00FB4B1A" w:rsidRDefault="00FB4B1A" w:rsidP="00FB4B1A">
      <w:pPr>
        <w:tabs>
          <w:tab w:val="left" w:pos="288"/>
          <w:tab w:val="left" w:pos="4752"/>
        </w:tabs>
        <w:spacing w:line="240" w:lineRule="exact"/>
        <w:jc w:val="both"/>
        <w:rPr>
          <w:rFonts w:asciiTheme="minorHAnsi" w:hAnsiTheme="minorHAnsi"/>
          <w:color w:val="auto"/>
        </w:rPr>
      </w:pPr>
    </w:p>
    <w:p w:rsidR="00FB4B1A" w:rsidRDefault="00FB4B1A" w:rsidP="00FB4B1A">
      <w:pPr>
        <w:tabs>
          <w:tab w:val="left" w:pos="288"/>
          <w:tab w:val="left" w:pos="4752"/>
        </w:tabs>
        <w:spacing w:line="240" w:lineRule="exact"/>
        <w:jc w:val="both"/>
        <w:rPr>
          <w:rFonts w:asciiTheme="minorHAnsi" w:hAnsiTheme="minorHAnsi"/>
          <w:color w:val="auto"/>
        </w:rPr>
      </w:pPr>
    </w:p>
    <w:p w:rsidR="00FB4B1A" w:rsidRDefault="00FB4B1A" w:rsidP="00510F9C">
      <w:pPr>
        <w:spacing w:line="240" w:lineRule="exact"/>
        <w:rPr>
          <w:rFonts w:ascii="Times New Roman" w:hAnsi="Times New Roman"/>
          <w:b/>
          <w:color w:val="auto"/>
          <w:szCs w:val="24"/>
        </w:rPr>
      </w:pPr>
    </w:p>
    <w:sectPr w:rsidR="00FB4B1A"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78" w:rsidRDefault="00815478">
      <w:r>
        <w:separator/>
      </w:r>
    </w:p>
  </w:endnote>
  <w:endnote w:type="continuationSeparator" w:id="0">
    <w:p w:rsidR="00815478" w:rsidRDefault="008154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9319D" w:rsidRPr="00684CE6" w:rsidRDefault="004B3BD1" w:rsidP="00F65ED5">
        <w:pPr>
          <w:pStyle w:val="Footer"/>
          <w:jc w:val="right"/>
          <w:rPr>
            <w:color w:val="auto"/>
          </w:rPr>
        </w:pPr>
        <w:r w:rsidRPr="00684CE6">
          <w:rPr>
            <w:color w:val="auto"/>
          </w:rPr>
          <w:fldChar w:fldCharType="begin"/>
        </w:r>
        <w:r w:rsidR="00C9319D" w:rsidRPr="00684CE6">
          <w:rPr>
            <w:color w:val="auto"/>
          </w:rPr>
          <w:instrText xml:space="preserve"> PAGE   \* MERGEFORMAT </w:instrText>
        </w:r>
        <w:r w:rsidRPr="00684CE6">
          <w:rPr>
            <w:color w:val="auto"/>
          </w:rPr>
          <w:fldChar w:fldCharType="separate"/>
        </w:r>
        <w:r w:rsidR="002130BA">
          <w:rPr>
            <w:noProof/>
            <w:color w:val="auto"/>
          </w:rPr>
          <w:t>9</w:t>
        </w:r>
        <w:r w:rsidRPr="00684CE6">
          <w:rPr>
            <w:color w:val="auto"/>
          </w:rPr>
          <w:fldChar w:fldCharType="end"/>
        </w:r>
        <w:r w:rsidR="00C9319D" w:rsidRPr="00684CE6">
          <w:rPr>
            <w:color w:val="auto"/>
          </w:rPr>
          <w:t xml:space="preserve">                                                           </w:t>
        </w:r>
        <w:r w:rsidR="00C9319D" w:rsidRPr="00130D97">
          <w:rPr>
            <w:color w:val="auto"/>
          </w:rPr>
          <w:t>PD1100184</w:t>
        </w:r>
      </w:p>
    </w:sdtContent>
  </w:sdt>
  <w:p w:rsidR="00C9319D" w:rsidRPr="00684CE6" w:rsidRDefault="00C9319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78" w:rsidRDefault="00815478">
      <w:r>
        <w:separator/>
      </w:r>
    </w:p>
  </w:footnote>
  <w:footnote w:type="continuationSeparator" w:id="0">
    <w:p w:rsidR="00815478" w:rsidRDefault="00815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296"/>
    <w:multiLevelType w:val="hybridMultilevel"/>
    <w:tmpl w:val="A22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A0DDB"/>
    <w:multiLevelType w:val="hybridMultilevel"/>
    <w:tmpl w:val="68005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D3F9A"/>
    <w:multiLevelType w:val="multilevel"/>
    <w:tmpl w:val="87A6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3C1B16E4"/>
    <w:multiLevelType w:val="hybridMultilevel"/>
    <w:tmpl w:val="AB1E394A"/>
    <w:lvl w:ilvl="0" w:tplc="D462625A">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9"/>
  </w:num>
  <w:num w:numId="5">
    <w:abstractNumId w:val="5"/>
  </w:num>
  <w:num w:numId="6">
    <w:abstractNumId w:val="11"/>
  </w:num>
  <w:num w:numId="7">
    <w:abstractNumId w:val="2"/>
  </w:num>
  <w:num w:numId="8">
    <w:abstractNumId w:val="7"/>
  </w:num>
  <w:num w:numId="9">
    <w:abstractNumId w:val="19"/>
  </w:num>
  <w:num w:numId="10">
    <w:abstractNumId w:val="13"/>
  </w:num>
  <w:num w:numId="11">
    <w:abstractNumId w:val="6"/>
  </w:num>
  <w:num w:numId="12">
    <w:abstractNumId w:val="17"/>
  </w:num>
  <w:num w:numId="13">
    <w:abstractNumId w:val="10"/>
  </w:num>
  <w:num w:numId="14">
    <w:abstractNumId w:val="18"/>
  </w:num>
  <w:num w:numId="15">
    <w:abstractNumId w:val="22"/>
  </w:num>
  <w:num w:numId="16">
    <w:abstractNumId w:val="3"/>
  </w:num>
  <w:num w:numId="17">
    <w:abstractNumId w:val="20"/>
  </w:num>
  <w:num w:numId="18">
    <w:abstractNumId w:val="12"/>
  </w:num>
  <w:num w:numId="19">
    <w:abstractNumId w:val="16"/>
  </w:num>
  <w:num w:numId="20">
    <w:abstractNumId w:val="8"/>
  </w:num>
  <w:num w:numId="21">
    <w:abstractNumId w:val="0"/>
  </w:num>
  <w:num w:numId="22">
    <w:abstractNumId w:val="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624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A68"/>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45B"/>
    <w:rsid w:val="000416F8"/>
    <w:rsid w:val="00042568"/>
    <w:rsid w:val="00042C26"/>
    <w:rsid w:val="00042E3C"/>
    <w:rsid w:val="00043382"/>
    <w:rsid w:val="00043A4C"/>
    <w:rsid w:val="00044623"/>
    <w:rsid w:val="000452D7"/>
    <w:rsid w:val="00051622"/>
    <w:rsid w:val="00051A11"/>
    <w:rsid w:val="00052234"/>
    <w:rsid w:val="00053905"/>
    <w:rsid w:val="00053D7C"/>
    <w:rsid w:val="00054978"/>
    <w:rsid w:val="00055A86"/>
    <w:rsid w:val="000575C5"/>
    <w:rsid w:val="000577C9"/>
    <w:rsid w:val="00060053"/>
    <w:rsid w:val="00060FFD"/>
    <w:rsid w:val="00061897"/>
    <w:rsid w:val="00063AF5"/>
    <w:rsid w:val="0006431E"/>
    <w:rsid w:val="000652EA"/>
    <w:rsid w:val="00065E21"/>
    <w:rsid w:val="000673ED"/>
    <w:rsid w:val="00070CBE"/>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19F0"/>
    <w:rsid w:val="000A1EAC"/>
    <w:rsid w:val="000A2BCE"/>
    <w:rsid w:val="000A31E2"/>
    <w:rsid w:val="000A33C8"/>
    <w:rsid w:val="000A41E3"/>
    <w:rsid w:val="000A4BBA"/>
    <w:rsid w:val="000A5071"/>
    <w:rsid w:val="000B0AD2"/>
    <w:rsid w:val="000B1022"/>
    <w:rsid w:val="000B2FB8"/>
    <w:rsid w:val="000B3821"/>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1CF"/>
    <w:rsid w:val="000D6457"/>
    <w:rsid w:val="000D7D55"/>
    <w:rsid w:val="000E0993"/>
    <w:rsid w:val="000E1B06"/>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337A"/>
    <w:rsid w:val="0012489B"/>
    <w:rsid w:val="001272AE"/>
    <w:rsid w:val="00130756"/>
    <w:rsid w:val="00130D97"/>
    <w:rsid w:val="001315DD"/>
    <w:rsid w:val="0013525F"/>
    <w:rsid w:val="00135385"/>
    <w:rsid w:val="001364D1"/>
    <w:rsid w:val="001374C7"/>
    <w:rsid w:val="001421FD"/>
    <w:rsid w:val="001425C8"/>
    <w:rsid w:val="00142EBA"/>
    <w:rsid w:val="00143B79"/>
    <w:rsid w:val="00145965"/>
    <w:rsid w:val="00150B8A"/>
    <w:rsid w:val="00150DCB"/>
    <w:rsid w:val="00151912"/>
    <w:rsid w:val="001521C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095"/>
    <w:rsid w:val="001925AD"/>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0FA2"/>
    <w:rsid w:val="001B20E6"/>
    <w:rsid w:val="001B4C0B"/>
    <w:rsid w:val="001B4EC2"/>
    <w:rsid w:val="001B5B59"/>
    <w:rsid w:val="001B60E0"/>
    <w:rsid w:val="001B755A"/>
    <w:rsid w:val="001B7C8C"/>
    <w:rsid w:val="001C0688"/>
    <w:rsid w:val="001C181A"/>
    <w:rsid w:val="001C1877"/>
    <w:rsid w:val="001C2053"/>
    <w:rsid w:val="001C252F"/>
    <w:rsid w:val="001C28D1"/>
    <w:rsid w:val="001C316E"/>
    <w:rsid w:val="001C3473"/>
    <w:rsid w:val="001C3EE7"/>
    <w:rsid w:val="001C5BDA"/>
    <w:rsid w:val="001C5CFC"/>
    <w:rsid w:val="001C703A"/>
    <w:rsid w:val="001C7231"/>
    <w:rsid w:val="001C7418"/>
    <w:rsid w:val="001C7D50"/>
    <w:rsid w:val="001C7EBE"/>
    <w:rsid w:val="001D0051"/>
    <w:rsid w:val="001D169A"/>
    <w:rsid w:val="001D2224"/>
    <w:rsid w:val="001D31AA"/>
    <w:rsid w:val="001D3DC0"/>
    <w:rsid w:val="001D4C07"/>
    <w:rsid w:val="001D4F88"/>
    <w:rsid w:val="001D593C"/>
    <w:rsid w:val="001D68CF"/>
    <w:rsid w:val="001D6A8C"/>
    <w:rsid w:val="001D7A56"/>
    <w:rsid w:val="001E15C0"/>
    <w:rsid w:val="001E18E0"/>
    <w:rsid w:val="001E18E2"/>
    <w:rsid w:val="001E19D0"/>
    <w:rsid w:val="001E2A30"/>
    <w:rsid w:val="001E2FF1"/>
    <w:rsid w:val="001E41FE"/>
    <w:rsid w:val="001E5284"/>
    <w:rsid w:val="001E635C"/>
    <w:rsid w:val="001F0297"/>
    <w:rsid w:val="00200AA0"/>
    <w:rsid w:val="00202325"/>
    <w:rsid w:val="00202736"/>
    <w:rsid w:val="00203652"/>
    <w:rsid w:val="00204562"/>
    <w:rsid w:val="00205B4F"/>
    <w:rsid w:val="002060B6"/>
    <w:rsid w:val="002066B5"/>
    <w:rsid w:val="00211612"/>
    <w:rsid w:val="002119B6"/>
    <w:rsid w:val="00212B40"/>
    <w:rsid w:val="002130BA"/>
    <w:rsid w:val="002133F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BA1"/>
    <w:rsid w:val="00236018"/>
    <w:rsid w:val="002374C9"/>
    <w:rsid w:val="0024162D"/>
    <w:rsid w:val="0024174E"/>
    <w:rsid w:val="00242238"/>
    <w:rsid w:val="0024227D"/>
    <w:rsid w:val="00242D14"/>
    <w:rsid w:val="002432F4"/>
    <w:rsid w:val="00243780"/>
    <w:rsid w:val="00244573"/>
    <w:rsid w:val="00244C2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3CE0"/>
    <w:rsid w:val="00264148"/>
    <w:rsid w:val="002660AF"/>
    <w:rsid w:val="002660DE"/>
    <w:rsid w:val="0027085E"/>
    <w:rsid w:val="00270864"/>
    <w:rsid w:val="00270A03"/>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46D1"/>
    <w:rsid w:val="00294996"/>
    <w:rsid w:val="00295482"/>
    <w:rsid w:val="002969EC"/>
    <w:rsid w:val="00296EFA"/>
    <w:rsid w:val="00297A45"/>
    <w:rsid w:val="00297E20"/>
    <w:rsid w:val="002A0A16"/>
    <w:rsid w:val="002A233F"/>
    <w:rsid w:val="002A3076"/>
    <w:rsid w:val="002A3237"/>
    <w:rsid w:val="002A4119"/>
    <w:rsid w:val="002A58B7"/>
    <w:rsid w:val="002A5943"/>
    <w:rsid w:val="002A5C3C"/>
    <w:rsid w:val="002A685E"/>
    <w:rsid w:val="002A72C7"/>
    <w:rsid w:val="002B0204"/>
    <w:rsid w:val="002B03B2"/>
    <w:rsid w:val="002B0749"/>
    <w:rsid w:val="002B13E4"/>
    <w:rsid w:val="002B2645"/>
    <w:rsid w:val="002B303A"/>
    <w:rsid w:val="002B32E9"/>
    <w:rsid w:val="002B4E22"/>
    <w:rsid w:val="002B6FA0"/>
    <w:rsid w:val="002C0DEA"/>
    <w:rsid w:val="002C1274"/>
    <w:rsid w:val="002C34F6"/>
    <w:rsid w:val="002C3B6D"/>
    <w:rsid w:val="002C4471"/>
    <w:rsid w:val="002C4CC1"/>
    <w:rsid w:val="002C5D9D"/>
    <w:rsid w:val="002C5F10"/>
    <w:rsid w:val="002C6E5B"/>
    <w:rsid w:val="002D08F3"/>
    <w:rsid w:val="002D18B4"/>
    <w:rsid w:val="002D231A"/>
    <w:rsid w:val="002D3B02"/>
    <w:rsid w:val="002D5330"/>
    <w:rsid w:val="002D5F57"/>
    <w:rsid w:val="002D6FAA"/>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1AF2"/>
    <w:rsid w:val="002F287E"/>
    <w:rsid w:val="002F2981"/>
    <w:rsid w:val="002F2D63"/>
    <w:rsid w:val="002F69C3"/>
    <w:rsid w:val="002F6AD8"/>
    <w:rsid w:val="002F797D"/>
    <w:rsid w:val="002F7F81"/>
    <w:rsid w:val="00300479"/>
    <w:rsid w:val="00300A36"/>
    <w:rsid w:val="00301B45"/>
    <w:rsid w:val="00305856"/>
    <w:rsid w:val="003059BA"/>
    <w:rsid w:val="0030678B"/>
    <w:rsid w:val="00306D16"/>
    <w:rsid w:val="00307595"/>
    <w:rsid w:val="00310CD7"/>
    <w:rsid w:val="00313D7A"/>
    <w:rsid w:val="0031527B"/>
    <w:rsid w:val="00317B92"/>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FEF"/>
    <w:rsid w:val="00341068"/>
    <w:rsid w:val="003419DE"/>
    <w:rsid w:val="00341A54"/>
    <w:rsid w:val="00344A4F"/>
    <w:rsid w:val="00344D17"/>
    <w:rsid w:val="0034669F"/>
    <w:rsid w:val="00351498"/>
    <w:rsid w:val="00352960"/>
    <w:rsid w:val="00352B22"/>
    <w:rsid w:val="00352CBF"/>
    <w:rsid w:val="00353631"/>
    <w:rsid w:val="00354547"/>
    <w:rsid w:val="003549F5"/>
    <w:rsid w:val="003567DE"/>
    <w:rsid w:val="003574F3"/>
    <w:rsid w:val="00357831"/>
    <w:rsid w:val="003604A5"/>
    <w:rsid w:val="0036202B"/>
    <w:rsid w:val="0036319E"/>
    <w:rsid w:val="003632A4"/>
    <w:rsid w:val="00363362"/>
    <w:rsid w:val="00365000"/>
    <w:rsid w:val="00365767"/>
    <w:rsid w:val="003659C0"/>
    <w:rsid w:val="003660DF"/>
    <w:rsid w:val="00367D4F"/>
    <w:rsid w:val="00370743"/>
    <w:rsid w:val="00370EF5"/>
    <w:rsid w:val="0037135B"/>
    <w:rsid w:val="003716D6"/>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0AB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5B6"/>
    <w:rsid w:val="003B7A8B"/>
    <w:rsid w:val="003C2274"/>
    <w:rsid w:val="003C294B"/>
    <w:rsid w:val="003C4AEE"/>
    <w:rsid w:val="003C5046"/>
    <w:rsid w:val="003C6068"/>
    <w:rsid w:val="003C68B6"/>
    <w:rsid w:val="003C7AEC"/>
    <w:rsid w:val="003D05A8"/>
    <w:rsid w:val="003D2BA3"/>
    <w:rsid w:val="003D316B"/>
    <w:rsid w:val="003D361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4782"/>
    <w:rsid w:val="003F58B0"/>
    <w:rsid w:val="003F678B"/>
    <w:rsid w:val="003F776F"/>
    <w:rsid w:val="004007E9"/>
    <w:rsid w:val="00400810"/>
    <w:rsid w:val="00401825"/>
    <w:rsid w:val="00401BBC"/>
    <w:rsid w:val="00403BFB"/>
    <w:rsid w:val="00404B45"/>
    <w:rsid w:val="00405BCF"/>
    <w:rsid w:val="00406CC5"/>
    <w:rsid w:val="004074A4"/>
    <w:rsid w:val="004101B2"/>
    <w:rsid w:val="00410FB7"/>
    <w:rsid w:val="004123D7"/>
    <w:rsid w:val="00412658"/>
    <w:rsid w:val="004129DA"/>
    <w:rsid w:val="004147F7"/>
    <w:rsid w:val="004150E2"/>
    <w:rsid w:val="00415EA4"/>
    <w:rsid w:val="0041604B"/>
    <w:rsid w:val="004172DB"/>
    <w:rsid w:val="00420A1D"/>
    <w:rsid w:val="00421485"/>
    <w:rsid w:val="004216DA"/>
    <w:rsid w:val="00422B75"/>
    <w:rsid w:val="00424612"/>
    <w:rsid w:val="004247D2"/>
    <w:rsid w:val="0042528C"/>
    <w:rsid w:val="00425672"/>
    <w:rsid w:val="00425A6A"/>
    <w:rsid w:val="00427F54"/>
    <w:rsid w:val="004316FD"/>
    <w:rsid w:val="00433F36"/>
    <w:rsid w:val="00434860"/>
    <w:rsid w:val="0043503A"/>
    <w:rsid w:val="00435B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A7C"/>
    <w:rsid w:val="00460E3F"/>
    <w:rsid w:val="0046111A"/>
    <w:rsid w:val="0046183F"/>
    <w:rsid w:val="00462F68"/>
    <w:rsid w:val="0046369B"/>
    <w:rsid w:val="004640E9"/>
    <w:rsid w:val="00465153"/>
    <w:rsid w:val="00466CED"/>
    <w:rsid w:val="00466EB5"/>
    <w:rsid w:val="0046732B"/>
    <w:rsid w:val="00467592"/>
    <w:rsid w:val="00467690"/>
    <w:rsid w:val="004718E7"/>
    <w:rsid w:val="00472289"/>
    <w:rsid w:val="00472535"/>
    <w:rsid w:val="00475DFC"/>
    <w:rsid w:val="004761CC"/>
    <w:rsid w:val="004766C9"/>
    <w:rsid w:val="00480D4A"/>
    <w:rsid w:val="00481DA1"/>
    <w:rsid w:val="00482E23"/>
    <w:rsid w:val="00483A2B"/>
    <w:rsid w:val="00484212"/>
    <w:rsid w:val="0048489C"/>
    <w:rsid w:val="00484BA9"/>
    <w:rsid w:val="00485139"/>
    <w:rsid w:val="0048599A"/>
    <w:rsid w:val="00486818"/>
    <w:rsid w:val="0049255F"/>
    <w:rsid w:val="00492A94"/>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3BD1"/>
    <w:rsid w:val="004B46D7"/>
    <w:rsid w:val="004B6AF3"/>
    <w:rsid w:val="004B715E"/>
    <w:rsid w:val="004B7169"/>
    <w:rsid w:val="004B79C9"/>
    <w:rsid w:val="004B7A02"/>
    <w:rsid w:val="004C00DD"/>
    <w:rsid w:val="004C05CF"/>
    <w:rsid w:val="004C0776"/>
    <w:rsid w:val="004C1EF8"/>
    <w:rsid w:val="004C2063"/>
    <w:rsid w:val="004C24C5"/>
    <w:rsid w:val="004C47D5"/>
    <w:rsid w:val="004C4CAF"/>
    <w:rsid w:val="004C5E33"/>
    <w:rsid w:val="004C60A3"/>
    <w:rsid w:val="004C6CDA"/>
    <w:rsid w:val="004D10D4"/>
    <w:rsid w:val="004D1553"/>
    <w:rsid w:val="004D16BD"/>
    <w:rsid w:val="004D2AAB"/>
    <w:rsid w:val="004D6E90"/>
    <w:rsid w:val="004D6F2B"/>
    <w:rsid w:val="004E0248"/>
    <w:rsid w:val="004E21A3"/>
    <w:rsid w:val="004E32EA"/>
    <w:rsid w:val="004E6866"/>
    <w:rsid w:val="004F0C58"/>
    <w:rsid w:val="004F26D2"/>
    <w:rsid w:val="004F3222"/>
    <w:rsid w:val="004F3639"/>
    <w:rsid w:val="004F3BFA"/>
    <w:rsid w:val="004F4E3C"/>
    <w:rsid w:val="004F5A1A"/>
    <w:rsid w:val="004F77A3"/>
    <w:rsid w:val="005000AB"/>
    <w:rsid w:val="00500F3C"/>
    <w:rsid w:val="005025EE"/>
    <w:rsid w:val="00503401"/>
    <w:rsid w:val="00503AD2"/>
    <w:rsid w:val="00503DDF"/>
    <w:rsid w:val="00504B64"/>
    <w:rsid w:val="00505524"/>
    <w:rsid w:val="00506688"/>
    <w:rsid w:val="00510588"/>
    <w:rsid w:val="00510F9C"/>
    <w:rsid w:val="0051146C"/>
    <w:rsid w:val="0051220B"/>
    <w:rsid w:val="00512253"/>
    <w:rsid w:val="00512484"/>
    <w:rsid w:val="00513142"/>
    <w:rsid w:val="00514449"/>
    <w:rsid w:val="00515172"/>
    <w:rsid w:val="00515419"/>
    <w:rsid w:val="005157BD"/>
    <w:rsid w:val="00515D57"/>
    <w:rsid w:val="00517B73"/>
    <w:rsid w:val="005214A3"/>
    <w:rsid w:val="005222E7"/>
    <w:rsid w:val="00523A8B"/>
    <w:rsid w:val="00523E04"/>
    <w:rsid w:val="00524582"/>
    <w:rsid w:val="00525003"/>
    <w:rsid w:val="0052590B"/>
    <w:rsid w:val="005261A5"/>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06D6"/>
    <w:rsid w:val="0055288D"/>
    <w:rsid w:val="005530B0"/>
    <w:rsid w:val="005548DB"/>
    <w:rsid w:val="00555259"/>
    <w:rsid w:val="00555C66"/>
    <w:rsid w:val="00555E37"/>
    <w:rsid w:val="005569EF"/>
    <w:rsid w:val="00556BDE"/>
    <w:rsid w:val="00560D57"/>
    <w:rsid w:val="00562A94"/>
    <w:rsid w:val="00563FAD"/>
    <w:rsid w:val="00567E61"/>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6963"/>
    <w:rsid w:val="00597E16"/>
    <w:rsid w:val="005A0B1D"/>
    <w:rsid w:val="005A1846"/>
    <w:rsid w:val="005A258C"/>
    <w:rsid w:val="005A3560"/>
    <w:rsid w:val="005A464E"/>
    <w:rsid w:val="005A4FE7"/>
    <w:rsid w:val="005A62FC"/>
    <w:rsid w:val="005A6C99"/>
    <w:rsid w:val="005A7D5D"/>
    <w:rsid w:val="005A7FFE"/>
    <w:rsid w:val="005B0040"/>
    <w:rsid w:val="005B011A"/>
    <w:rsid w:val="005B0283"/>
    <w:rsid w:val="005B1ADA"/>
    <w:rsid w:val="005B1D8F"/>
    <w:rsid w:val="005B1E94"/>
    <w:rsid w:val="005B5B3D"/>
    <w:rsid w:val="005B64CF"/>
    <w:rsid w:val="005C0051"/>
    <w:rsid w:val="005C0E87"/>
    <w:rsid w:val="005C13FE"/>
    <w:rsid w:val="005C16F3"/>
    <w:rsid w:val="005C3758"/>
    <w:rsid w:val="005C4D72"/>
    <w:rsid w:val="005C50C1"/>
    <w:rsid w:val="005C62C2"/>
    <w:rsid w:val="005D2306"/>
    <w:rsid w:val="005D4A74"/>
    <w:rsid w:val="005D5E91"/>
    <w:rsid w:val="005D67EF"/>
    <w:rsid w:val="005E1E29"/>
    <w:rsid w:val="005E3064"/>
    <w:rsid w:val="005E45E5"/>
    <w:rsid w:val="005E6AEE"/>
    <w:rsid w:val="005E72B2"/>
    <w:rsid w:val="005F1115"/>
    <w:rsid w:val="005F1AB6"/>
    <w:rsid w:val="005F27F2"/>
    <w:rsid w:val="005F2971"/>
    <w:rsid w:val="005F2B27"/>
    <w:rsid w:val="005F3567"/>
    <w:rsid w:val="005F3AFE"/>
    <w:rsid w:val="005F424D"/>
    <w:rsid w:val="005F55F5"/>
    <w:rsid w:val="005F5EC1"/>
    <w:rsid w:val="005F67A9"/>
    <w:rsid w:val="005F6B6D"/>
    <w:rsid w:val="005F7222"/>
    <w:rsid w:val="006008F8"/>
    <w:rsid w:val="00601CD0"/>
    <w:rsid w:val="00605AAB"/>
    <w:rsid w:val="00606BEB"/>
    <w:rsid w:val="0061014A"/>
    <w:rsid w:val="0061054B"/>
    <w:rsid w:val="00612FB0"/>
    <w:rsid w:val="0061356D"/>
    <w:rsid w:val="00613E26"/>
    <w:rsid w:val="00614FB5"/>
    <w:rsid w:val="00615641"/>
    <w:rsid w:val="00616959"/>
    <w:rsid w:val="0062036E"/>
    <w:rsid w:val="006211D0"/>
    <w:rsid w:val="00621595"/>
    <w:rsid w:val="00622D23"/>
    <w:rsid w:val="0062359D"/>
    <w:rsid w:val="00623634"/>
    <w:rsid w:val="00624D0C"/>
    <w:rsid w:val="00625984"/>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57D46"/>
    <w:rsid w:val="00657F27"/>
    <w:rsid w:val="00662AD0"/>
    <w:rsid w:val="00662F08"/>
    <w:rsid w:val="00663589"/>
    <w:rsid w:val="006649CD"/>
    <w:rsid w:val="00665D75"/>
    <w:rsid w:val="006708E3"/>
    <w:rsid w:val="00670918"/>
    <w:rsid w:val="00670DDC"/>
    <w:rsid w:val="00671389"/>
    <w:rsid w:val="00671EB4"/>
    <w:rsid w:val="00673CDC"/>
    <w:rsid w:val="0067443B"/>
    <w:rsid w:val="00675FFA"/>
    <w:rsid w:val="006770AA"/>
    <w:rsid w:val="006801A9"/>
    <w:rsid w:val="00682486"/>
    <w:rsid w:val="00684CE6"/>
    <w:rsid w:val="00684E2B"/>
    <w:rsid w:val="00687C7E"/>
    <w:rsid w:val="00690569"/>
    <w:rsid w:val="00690FDA"/>
    <w:rsid w:val="00691E61"/>
    <w:rsid w:val="006937C6"/>
    <w:rsid w:val="00693C5E"/>
    <w:rsid w:val="00693CEE"/>
    <w:rsid w:val="00694EEA"/>
    <w:rsid w:val="006955B4"/>
    <w:rsid w:val="00695DEF"/>
    <w:rsid w:val="00696326"/>
    <w:rsid w:val="00696476"/>
    <w:rsid w:val="00696A45"/>
    <w:rsid w:val="00696C74"/>
    <w:rsid w:val="006A10FA"/>
    <w:rsid w:val="006A40E6"/>
    <w:rsid w:val="006A516B"/>
    <w:rsid w:val="006A5362"/>
    <w:rsid w:val="006A543A"/>
    <w:rsid w:val="006A5C07"/>
    <w:rsid w:val="006A75FA"/>
    <w:rsid w:val="006B022B"/>
    <w:rsid w:val="006B07D5"/>
    <w:rsid w:val="006B1309"/>
    <w:rsid w:val="006B31E6"/>
    <w:rsid w:val="006B3923"/>
    <w:rsid w:val="006B3F3E"/>
    <w:rsid w:val="006B4AA2"/>
    <w:rsid w:val="006B53C4"/>
    <w:rsid w:val="006B586B"/>
    <w:rsid w:val="006B5923"/>
    <w:rsid w:val="006B67D9"/>
    <w:rsid w:val="006B6C14"/>
    <w:rsid w:val="006B715E"/>
    <w:rsid w:val="006C0152"/>
    <w:rsid w:val="006C1851"/>
    <w:rsid w:val="006C1D6E"/>
    <w:rsid w:val="006C2EF6"/>
    <w:rsid w:val="006C39F0"/>
    <w:rsid w:val="006C3A68"/>
    <w:rsid w:val="006C3B08"/>
    <w:rsid w:val="006C6AB1"/>
    <w:rsid w:val="006C6E6B"/>
    <w:rsid w:val="006D145F"/>
    <w:rsid w:val="006D1C85"/>
    <w:rsid w:val="006D2000"/>
    <w:rsid w:val="006D2D39"/>
    <w:rsid w:val="006D2F31"/>
    <w:rsid w:val="006D4250"/>
    <w:rsid w:val="006D4E0E"/>
    <w:rsid w:val="006D5861"/>
    <w:rsid w:val="006D5CE2"/>
    <w:rsid w:val="006D6C92"/>
    <w:rsid w:val="006D7854"/>
    <w:rsid w:val="006E06D1"/>
    <w:rsid w:val="006E1313"/>
    <w:rsid w:val="006E1945"/>
    <w:rsid w:val="006E2394"/>
    <w:rsid w:val="006E2DC8"/>
    <w:rsid w:val="006E7356"/>
    <w:rsid w:val="006E77C8"/>
    <w:rsid w:val="006F0F9C"/>
    <w:rsid w:val="006F149D"/>
    <w:rsid w:val="006F1A46"/>
    <w:rsid w:val="006F4F06"/>
    <w:rsid w:val="006F5A4E"/>
    <w:rsid w:val="006F5D37"/>
    <w:rsid w:val="006F6005"/>
    <w:rsid w:val="006F6A8A"/>
    <w:rsid w:val="007005EA"/>
    <w:rsid w:val="00703B6C"/>
    <w:rsid w:val="00703BB0"/>
    <w:rsid w:val="00704519"/>
    <w:rsid w:val="00704C88"/>
    <w:rsid w:val="00704EA1"/>
    <w:rsid w:val="00705C40"/>
    <w:rsid w:val="00706482"/>
    <w:rsid w:val="00706754"/>
    <w:rsid w:val="00706BEF"/>
    <w:rsid w:val="00707ECE"/>
    <w:rsid w:val="00710CE8"/>
    <w:rsid w:val="00711350"/>
    <w:rsid w:val="00711538"/>
    <w:rsid w:val="007116BC"/>
    <w:rsid w:val="00711961"/>
    <w:rsid w:val="00711CA6"/>
    <w:rsid w:val="00711F03"/>
    <w:rsid w:val="00712ECA"/>
    <w:rsid w:val="007165CE"/>
    <w:rsid w:val="00717CEB"/>
    <w:rsid w:val="0072035D"/>
    <w:rsid w:val="00720968"/>
    <w:rsid w:val="00721087"/>
    <w:rsid w:val="00721705"/>
    <w:rsid w:val="00721B7A"/>
    <w:rsid w:val="00721D12"/>
    <w:rsid w:val="00721F8B"/>
    <w:rsid w:val="007237CE"/>
    <w:rsid w:val="00724688"/>
    <w:rsid w:val="007272F1"/>
    <w:rsid w:val="0073062D"/>
    <w:rsid w:val="0073093B"/>
    <w:rsid w:val="00730CDC"/>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5F83"/>
    <w:rsid w:val="007468AC"/>
    <w:rsid w:val="00746AE2"/>
    <w:rsid w:val="00750C82"/>
    <w:rsid w:val="00750E3A"/>
    <w:rsid w:val="00752035"/>
    <w:rsid w:val="0076100C"/>
    <w:rsid w:val="007612A5"/>
    <w:rsid w:val="007621AA"/>
    <w:rsid w:val="00763CAE"/>
    <w:rsid w:val="00763F95"/>
    <w:rsid w:val="007651ED"/>
    <w:rsid w:val="00766C87"/>
    <w:rsid w:val="00771043"/>
    <w:rsid w:val="00773AF7"/>
    <w:rsid w:val="00774D9F"/>
    <w:rsid w:val="00774FFD"/>
    <w:rsid w:val="00777E51"/>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5744"/>
    <w:rsid w:val="007A5AD1"/>
    <w:rsid w:val="007A5B7B"/>
    <w:rsid w:val="007A5F82"/>
    <w:rsid w:val="007A65A9"/>
    <w:rsid w:val="007B0128"/>
    <w:rsid w:val="007B0A06"/>
    <w:rsid w:val="007B0B24"/>
    <w:rsid w:val="007B1C83"/>
    <w:rsid w:val="007B4181"/>
    <w:rsid w:val="007B5C5C"/>
    <w:rsid w:val="007B6CE0"/>
    <w:rsid w:val="007B7B37"/>
    <w:rsid w:val="007B7C41"/>
    <w:rsid w:val="007C05C5"/>
    <w:rsid w:val="007C11E9"/>
    <w:rsid w:val="007C238B"/>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5A7D"/>
    <w:rsid w:val="007D67CB"/>
    <w:rsid w:val="007D6BFE"/>
    <w:rsid w:val="007D7466"/>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5478"/>
    <w:rsid w:val="00816CCB"/>
    <w:rsid w:val="00817572"/>
    <w:rsid w:val="00817713"/>
    <w:rsid w:val="008208C3"/>
    <w:rsid w:val="00821BA2"/>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7F14"/>
    <w:rsid w:val="0085006A"/>
    <w:rsid w:val="0085089F"/>
    <w:rsid w:val="0085206E"/>
    <w:rsid w:val="00852273"/>
    <w:rsid w:val="0085275B"/>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1BE"/>
    <w:rsid w:val="00871262"/>
    <w:rsid w:val="0087170E"/>
    <w:rsid w:val="0087178B"/>
    <w:rsid w:val="00871D4E"/>
    <w:rsid w:val="00871E7B"/>
    <w:rsid w:val="008721BB"/>
    <w:rsid w:val="0087566D"/>
    <w:rsid w:val="00875B50"/>
    <w:rsid w:val="00875B51"/>
    <w:rsid w:val="00875F2D"/>
    <w:rsid w:val="008764DC"/>
    <w:rsid w:val="00876945"/>
    <w:rsid w:val="00881E61"/>
    <w:rsid w:val="00882CC2"/>
    <w:rsid w:val="0088325A"/>
    <w:rsid w:val="008836A0"/>
    <w:rsid w:val="00883930"/>
    <w:rsid w:val="00884535"/>
    <w:rsid w:val="008902BE"/>
    <w:rsid w:val="0089038F"/>
    <w:rsid w:val="00890CDA"/>
    <w:rsid w:val="00891BBA"/>
    <w:rsid w:val="00892079"/>
    <w:rsid w:val="00892B90"/>
    <w:rsid w:val="00892D80"/>
    <w:rsid w:val="00893AB8"/>
    <w:rsid w:val="00894568"/>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BD8"/>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1E3"/>
    <w:rsid w:val="008E0D8F"/>
    <w:rsid w:val="008E0F4E"/>
    <w:rsid w:val="008E1E94"/>
    <w:rsid w:val="008E2D99"/>
    <w:rsid w:val="008E30D4"/>
    <w:rsid w:val="008E38B0"/>
    <w:rsid w:val="008E3D05"/>
    <w:rsid w:val="008E4A60"/>
    <w:rsid w:val="008E67D2"/>
    <w:rsid w:val="008E744D"/>
    <w:rsid w:val="008F0BB5"/>
    <w:rsid w:val="008F1E08"/>
    <w:rsid w:val="008F30F4"/>
    <w:rsid w:val="008F6FC8"/>
    <w:rsid w:val="0090045D"/>
    <w:rsid w:val="00900D8F"/>
    <w:rsid w:val="009014E3"/>
    <w:rsid w:val="009020ED"/>
    <w:rsid w:val="009026E8"/>
    <w:rsid w:val="00902FDD"/>
    <w:rsid w:val="00905EEF"/>
    <w:rsid w:val="00906EB7"/>
    <w:rsid w:val="00907EAD"/>
    <w:rsid w:val="009102BF"/>
    <w:rsid w:val="00911490"/>
    <w:rsid w:val="009115F2"/>
    <w:rsid w:val="00911B11"/>
    <w:rsid w:val="00914ADB"/>
    <w:rsid w:val="00916773"/>
    <w:rsid w:val="00917182"/>
    <w:rsid w:val="00922796"/>
    <w:rsid w:val="00923B25"/>
    <w:rsid w:val="0092402E"/>
    <w:rsid w:val="009259BA"/>
    <w:rsid w:val="00926FCB"/>
    <w:rsid w:val="009303BB"/>
    <w:rsid w:val="0093108A"/>
    <w:rsid w:val="0093311A"/>
    <w:rsid w:val="009346D0"/>
    <w:rsid w:val="00936E04"/>
    <w:rsid w:val="00937D13"/>
    <w:rsid w:val="009419B4"/>
    <w:rsid w:val="00941A4C"/>
    <w:rsid w:val="00942645"/>
    <w:rsid w:val="009461E6"/>
    <w:rsid w:val="00950A3A"/>
    <w:rsid w:val="0095340A"/>
    <w:rsid w:val="00953AC7"/>
    <w:rsid w:val="00953AF6"/>
    <w:rsid w:val="0095423E"/>
    <w:rsid w:val="00954581"/>
    <w:rsid w:val="0095466C"/>
    <w:rsid w:val="00954E5B"/>
    <w:rsid w:val="00955316"/>
    <w:rsid w:val="00955E45"/>
    <w:rsid w:val="009576BC"/>
    <w:rsid w:val="00957899"/>
    <w:rsid w:val="00960357"/>
    <w:rsid w:val="00960E41"/>
    <w:rsid w:val="0096168C"/>
    <w:rsid w:val="00961840"/>
    <w:rsid w:val="009625E3"/>
    <w:rsid w:val="00962DE7"/>
    <w:rsid w:val="00962F2D"/>
    <w:rsid w:val="00963A7A"/>
    <w:rsid w:val="009672CD"/>
    <w:rsid w:val="00972440"/>
    <w:rsid w:val="00972996"/>
    <w:rsid w:val="009732B8"/>
    <w:rsid w:val="00974647"/>
    <w:rsid w:val="0097514A"/>
    <w:rsid w:val="0097584B"/>
    <w:rsid w:val="009759C2"/>
    <w:rsid w:val="00975C72"/>
    <w:rsid w:val="00976869"/>
    <w:rsid w:val="00976E05"/>
    <w:rsid w:val="009775CD"/>
    <w:rsid w:val="00977740"/>
    <w:rsid w:val="00977CB4"/>
    <w:rsid w:val="009809B8"/>
    <w:rsid w:val="00981086"/>
    <w:rsid w:val="009818AF"/>
    <w:rsid w:val="00981B1C"/>
    <w:rsid w:val="0098222D"/>
    <w:rsid w:val="00984EBF"/>
    <w:rsid w:val="00985099"/>
    <w:rsid w:val="00985D32"/>
    <w:rsid w:val="00986514"/>
    <w:rsid w:val="00986FCC"/>
    <w:rsid w:val="009907EC"/>
    <w:rsid w:val="009935C3"/>
    <w:rsid w:val="0099421F"/>
    <w:rsid w:val="00994FC8"/>
    <w:rsid w:val="009A0DE3"/>
    <w:rsid w:val="009A1643"/>
    <w:rsid w:val="009A215A"/>
    <w:rsid w:val="009A49D3"/>
    <w:rsid w:val="009A4F1B"/>
    <w:rsid w:val="009A66C5"/>
    <w:rsid w:val="009A66E7"/>
    <w:rsid w:val="009A79BA"/>
    <w:rsid w:val="009B137A"/>
    <w:rsid w:val="009B14D1"/>
    <w:rsid w:val="009B1534"/>
    <w:rsid w:val="009B4963"/>
    <w:rsid w:val="009B4A3B"/>
    <w:rsid w:val="009B69D3"/>
    <w:rsid w:val="009B7BA7"/>
    <w:rsid w:val="009B7C01"/>
    <w:rsid w:val="009C0938"/>
    <w:rsid w:val="009C0C22"/>
    <w:rsid w:val="009C15D9"/>
    <w:rsid w:val="009C22C8"/>
    <w:rsid w:val="009C2E9B"/>
    <w:rsid w:val="009C3F82"/>
    <w:rsid w:val="009C4BC8"/>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0864"/>
    <w:rsid w:val="009F3B63"/>
    <w:rsid w:val="009F43E2"/>
    <w:rsid w:val="009F6292"/>
    <w:rsid w:val="009F7809"/>
    <w:rsid w:val="009F7AF5"/>
    <w:rsid w:val="00A00613"/>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728"/>
    <w:rsid w:val="00A47CF1"/>
    <w:rsid w:val="00A50418"/>
    <w:rsid w:val="00A54A47"/>
    <w:rsid w:val="00A56D26"/>
    <w:rsid w:val="00A571A7"/>
    <w:rsid w:val="00A5749A"/>
    <w:rsid w:val="00A575E1"/>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01B8"/>
    <w:rsid w:val="00A82C52"/>
    <w:rsid w:val="00A838E8"/>
    <w:rsid w:val="00A83C15"/>
    <w:rsid w:val="00A84EC4"/>
    <w:rsid w:val="00A86CB6"/>
    <w:rsid w:val="00A87F49"/>
    <w:rsid w:val="00A90D55"/>
    <w:rsid w:val="00A944D8"/>
    <w:rsid w:val="00A959E7"/>
    <w:rsid w:val="00A95BBA"/>
    <w:rsid w:val="00A961EE"/>
    <w:rsid w:val="00AA020A"/>
    <w:rsid w:val="00AA04B3"/>
    <w:rsid w:val="00AA1253"/>
    <w:rsid w:val="00AA1ED0"/>
    <w:rsid w:val="00AA1F5B"/>
    <w:rsid w:val="00AA28EF"/>
    <w:rsid w:val="00AA3593"/>
    <w:rsid w:val="00AA38CA"/>
    <w:rsid w:val="00AA493E"/>
    <w:rsid w:val="00AA6A09"/>
    <w:rsid w:val="00AA718A"/>
    <w:rsid w:val="00AA73AF"/>
    <w:rsid w:val="00AB0A8A"/>
    <w:rsid w:val="00AB1754"/>
    <w:rsid w:val="00AB1F8D"/>
    <w:rsid w:val="00AB27DD"/>
    <w:rsid w:val="00AB592E"/>
    <w:rsid w:val="00AC1535"/>
    <w:rsid w:val="00AC37BE"/>
    <w:rsid w:val="00AC439D"/>
    <w:rsid w:val="00AC62CC"/>
    <w:rsid w:val="00AC6689"/>
    <w:rsid w:val="00AC713F"/>
    <w:rsid w:val="00AC7329"/>
    <w:rsid w:val="00AC7D47"/>
    <w:rsid w:val="00AC7D96"/>
    <w:rsid w:val="00AD00E4"/>
    <w:rsid w:val="00AD067E"/>
    <w:rsid w:val="00AD168B"/>
    <w:rsid w:val="00AD1B4E"/>
    <w:rsid w:val="00AD2801"/>
    <w:rsid w:val="00AD3496"/>
    <w:rsid w:val="00AD49A1"/>
    <w:rsid w:val="00AD5771"/>
    <w:rsid w:val="00AD6870"/>
    <w:rsid w:val="00AD68C5"/>
    <w:rsid w:val="00AD69AF"/>
    <w:rsid w:val="00AD7F8F"/>
    <w:rsid w:val="00AE0BF9"/>
    <w:rsid w:val="00AE1273"/>
    <w:rsid w:val="00AE18C5"/>
    <w:rsid w:val="00AE2052"/>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2FA5"/>
    <w:rsid w:val="00B04562"/>
    <w:rsid w:val="00B0472F"/>
    <w:rsid w:val="00B06930"/>
    <w:rsid w:val="00B0773A"/>
    <w:rsid w:val="00B07955"/>
    <w:rsid w:val="00B1176B"/>
    <w:rsid w:val="00B12F40"/>
    <w:rsid w:val="00B140B8"/>
    <w:rsid w:val="00B14FAA"/>
    <w:rsid w:val="00B15BED"/>
    <w:rsid w:val="00B15D30"/>
    <w:rsid w:val="00B16A08"/>
    <w:rsid w:val="00B16D18"/>
    <w:rsid w:val="00B177DE"/>
    <w:rsid w:val="00B20624"/>
    <w:rsid w:val="00B20934"/>
    <w:rsid w:val="00B23436"/>
    <w:rsid w:val="00B237F1"/>
    <w:rsid w:val="00B23F10"/>
    <w:rsid w:val="00B24328"/>
    <w:rsid w:val="00B24ED4"/>
    <w:rsid w:val="00B24F33"/>
    <w:rsid w:val="00B26354"/>
    <w:rsid w:val="00B26CA0"/>
    <w:rsid w:val="00B30C30"/>
    <w:rsid w:val="00B31965"/>
    <w:rsid w:val="00B32179"/>
    <w:rsid w:val="00B32341"/>
    <w:rsid w:val="00B32C2B"/>
    <w:rsid w:val="00B33007"/>
    <w:rsid w:val="00B331A9"/>
    <w:rsid w:val="00B33498"/>
    <w:rsid w:val="00B33598"/>
    <w:rsid w:val="00B34694"/>
    <w:rsid w:val="00B36569"/>
    <w:rsid w:val="00B37345"/>
    <w:rsid w:val="00B37F53"/>
    <w:rsid w:val="00B40A05"/>
    <w:rsid w:val="00B40A3E"/>
    <w:rsid w:val="00B427BB"/>
    <w:rsid w:val="00B43BA2"/>
    <w:rsid w:val="00B449EE"/>
    <w:rsid w:val="00B454AE"/>
    <w:rsid w:val="00B50227"/>
    <w:rsid w:val="00B50510"/>
    <w:rsid w:val="00B522CD"/>
    <w:rsid w:val="00B52866"/>
    <w:rsid w:val="00B543D4"/>
    <w:rsid w:val="00B55143"/>
    <w:rsid w:val="00B555C8"/>
    <w:rsid w:val="00B55917"/>
    <w:rsid w:val="00B5646A"/>
    <w:rsid w:val="00B56F3D"/>
    <w:rsid w:val="00B57921"/>
    <w:rsid w:val="00B57E78"/>
    <w:rsid w:val="00B57EB8"/>
    <w:rsid w:val="00B609F6"/>
    <w:rsid w:val="00B60E75"/>
    <w:rsid w:val="00B643A6"/>
    <w:rsid w:val="00B64DD6"/>
    <w:rsid w:val="00B6542C"/>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E7A"/>
    <w:rsid w:val="00B83F87"/>
    <w:rsid w:val="00B8478F"/>
    <w:rsid w:val="00B91676"/>
    <w:rsid w:val="00B92046"/>
    <w:rsid w:val="00B9322B"/>
    <w:rsid w:val="00B955D5"/>
    <w:rsid w:val="00B95833"/>
    <w:rsid w:val="00B973D8"/>
    <w:rsid w:val="00BA1824"/>
    <w:rsid w:val="00BA2D98"/>
    <w:rsid w:val="00BA2F0C"/>
    <w:rsid w:val="00BA30D1"/>
    <w:rsid w:val="00BA30E1"/>
    <w:rsid w:val="00BA4609"/>
    <w:rsid w:val="00BA5BE2"/>
    <w:rsid w:val="00BA7F46"/>
    <w:rsid w:val="00BB0A0A"/>
    <w:rsid w:val="00BB133C"/>
    <w:rsid w:val="00BB1F04"/>
    <w:rsid w:val="00BB1F3A"/>
    <w:rsid w:val="00BB391A"/>
    <w:rsid w:val="00BB45B5"/>
    <w:rsid w:val="00BB4DDE"/>
    <w:rsid w:val="00BB6064"/>
    <w:rsid w:val="00BB65CE"/>
    <w:rsid w:val="00BB7012"/>
    <w:rsid w:val="00BC09D1"/>
    <w:rsid w:val="00BC1CF3"/>
    <w:rsid w:val="00BC2BE0"/>
    <w:rsid w:val="00BC3573"/>
    <w:rsid w:val="00BC7F82"/>
    <w:rsid w:val="00BD1844"/>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26EE"/>
    <w:rsid w:val="00C0359D"/>
    <w:rsid w:val="00C038EC"/>
    <w:rsid w:val="00C058BD"/>
    <w:rsid w:val="00C05C6D"/>
    <w:rsid w:val="00C072D7"/>
    <w:rsid w:val="00C104DB"/>
    <w:rsid w:val="00C10F5B"/>
    <w:rsid w:val="00C1122B"/>
    <w:rsid w:val="00C127F2"/>
    <w:rsid w:val="00C13B34"/>
    <w:rsid w:val="00C13F26"/>
    <w:rsid w:val="00C1474E"/>
    <w:rsid w:val="00C14C37"/>
    <w:rsid w:val="00C157AA"/>
    <w:rsid w:val="00C162E1"/>
    <w:rsid w:val="00C16775"/>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850"/>
    <w:rsid w:val="00C26E7C"/>
    <w:rsid w:val="00C276CD"/>
    <w:rsid w:val="00C27827"/>
    <w:rsid w:val="00C30A97"/>
    <w:rsid w:val="00C31DDC"/>
    <w:rsid w:val="00C3223A"/>
    <w:rsid w:val="00C32882"/>
    <w:rsid w:val="00C34168"/>
    <w:rsid w:val="00C34326"/>
    <w:rsid w:val="00C34CEB"/>
    <w:rsid w:val="00C36201"/>
    <w:rsid w:val="00C368E8"/>
    <w:rsid w:val="00C369DF"/>
    <w:rsid w:val="00C36C3D"/>
    <w:rsid w:val="00C372C7"/>
    <w:rsid w:val="00C42443"/>
    <w:rsid w:val="00C42CBA"/>
    <w:rsid w:val="00C4338C"/>
    <w:rsid w:val="00C43C2B"/>
    <w:rsid w:val="00C45B27"/>
    <w:rsid w:val="00C472C7"/>
    <w:rsid w:val="00C5019E"/>
    <w:rsid w:val="00C51962"/>
    <w:rsid w:val="00C52785"/>
    <w:rsid w:val="00C5377C"/>
    <w:rsid w:val="00C53E8A"/>
    <w:rsid w:val="00C54DF3"/>
    <w:rsid w:val="00C560A7"/>
    <w:rsid w:val="00C56FC8"/>
    <w:rsid w:val="00C60F23"/>
    <w:rsid w:val="00C6170B"/>
    <w:rsid w:val="00C62722"/>
    <w:rsid w:val="00C62EB2"/>
    <w:rsid w:val="00C64C70"/>
    <w:rsid w:val="00C64C87"/>
    <w:rsid w:val="00C66204"/>
    <w:rsid w:val="00C665FE"/>
    <w:rsid w:val="00C71BEC"/>
    <w:rsid w:val="00C74D3A"/>
    <w:rsid w:val="00C75F3D"/>
    <w:rsid w:val="00C77897"/>
    <w:rsid w:val="00C80511"/>
    <w:rsid w:val="00C816BD"/>
    <w:rsid w:val="00C826F5"/>
    <w:rsid w:val="00C83740"/>
    <w:rsid w:val="00C83DB0"/>
    <w:rsid w:val="00C84AD1"/>
    <w:rsid w:val="00C85579"/>
    <w:rsid w:val="00C862F1"/>
    <w:rsid w:val="00C863E5"/>
    <w:rsid w:val="00C87BE6"/>
    <w:rsid w:val="00C87F76"/>
    <w:rsid w:val="00C90D3B"/>
    <w:rsid w:val="00C9319D"/>
    <w:rsid w:val="00C931FC"/>
    <w:rsid w:val="00C932C5"/>
    <w:rsid w:val="00C94CB6"/>
    <w:rsid w:val="00C95299"/>
    <w:rsid w:val="00C95A72"/>
    <w:rsid w:val="00C964A8"/>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5DC4"/>
    <w:rsid w:val="00CB758D"/>
    <w:rsid w:val="00CB7A3E"/>
    <w:rsid w:val="00CB7FF7"/>
    <w:rsid w:val="00CC0D0E"/>
    <w:rsid w:val="00CC1253"/>
    <w:rsid w:val="00CC19B3"/>
    <w:rsid w:val="00CC2044"/>
    <w:rsid w:val="00CC39D2"/>
    <w:rsid w:val="00CC3DEF"/>
    <w:rsid w:val="00CC6787"/>
    <w:rsid w:val="00CC69EC"/>
    <w:rsid w:val="00CC78A2"/>
    <w:rsid w:val="00CC7DF8"/>
    <w:rsid w:val="00CD15BE"/>
    <w:rsid w:val="00CD1EF2"/>
    <w:rsid w:val="00CD32BD"/>
    <w:rsid w:val="00CD34C7"/>
    <w:rsid w:val="00CD4ACC"/>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6DD7"/>
    <w:rsid w:val="00D31683"/>
    <w:rsid w:val="00D336C8"/>
    <w:rsid w:val="00D339E8"/>
    <w:rsid w:val="00D3654A"/>
    <w:rsid w:val="00D3662E"/>
    <w:rsid w:val="00D40B1F"/>
    <w:rsid w:val="00D40D75"/>
    <w:rsid w:val="00D43978"/>
    <w:rsid w:val="00D43CBD"/>
    <w:rsid w:val="00D449F0"/>
    <w:rsid w:val="00D462D7"/>
    <w:rsid w:val="00D467C5"/>
    <w:rsid w:val="00D5062C"/>
    <w:rsid w:val="00D50C8C"/>
    <w:rsid w:val="00D52393"/>
    <w:rsid w:val="00D523E4"/>
    <w:rsid w:val="00D5279D"/>
    <w:rsid w:val="00D52A1B"/>
    <w:rsid w:val="00D52AA7"/>
    <w:rsid w:val="00D52FCC"/>
    <w:rsid w:val="00D53F14"/>
    <w:rsid w:val="00D54BE4"/>
    <w:rsid w:val="00D54DDB"/>
    <w:rsid w:val="00D554BC"/>
    <w:rsid w:val="00D559A1"/>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45A1"/>
    <w:rsid w:val="00D95984"/>
    <w:rsid w:val="00D95C64"/>
    <w:rsid w:val="00D9706F"/>
    <w:rsid w:val="00D972D4"/>
    <w:rsid w:val="00DA02B7"/>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88D"/>
    <w:rsid w:val="00DB4A6D"/>
    <w:rsid w:val="00DB5941"/>
    <w:rsid w:val="00DB626D"/>
    <w:rsid w:val="00DB6365"/>
    <w:rsid w:val="00DB756C"/>
    <w:rsid w:val="00DC07B7"/>
    <w:rsid w:val="00DC0BF1"/>
    <w:rsid w:val="00DC17F2"/>
    <w:rsid w:val="00DC3A36"/>
    <w:rsid w:val="00DC41C3"/>
    <w:rsid w:val="00DC4A3C"/>
    <w:rsid w:val="00DC4FA4"/>
    <w:rsid w:val="00DC5B37"/>
    <w:rsid w:val="00DC7362"/>
    <w:rsid w:val="00DD1094"/>
    <w:rsid w:val="00DD286D"/>
    <w:rsid w:val="00DD2CAF"/>
    <w:rsid w:val="00DD348E"/>
    <w:rsid w:val="00DD3593"/>
    <w:rsid w:val="00DD64E0"/>
    <w:rsid w:val="00DD7BE0"/>
    <w:rsid w:val="00DE0086"/>
    <w:rsid w:val="00DE0160"/>
    <w:rsid w:val="00DE0C67"/>
    <w:rsid w:val="00DE3AAD"/>
    <w:rsid w:val="00DE598A"/>
    <w:rsid w:val="00DE648E"/>
    <w:rsid w:val="00DE6952"/>
    <w:rsid w:val="00DE6A0D"/>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11A2"/>
    <w:rsid w:val="00E1308B"/>
    <w:rsid w:val="00E14581"/>
    <w:rsid w:val="00E14623"/>
    <w:rsid w:val="00E15539"/>
    <w:rsid w:val="00E16541"/>
    <w:rsid w:val="00E17EC9"/>
    <w:rsid w:val="00E202F4"/>
    <w:rsid w:val="00E207C3"/>
    <w:rsid w:val="00E21386"/>
    <w:rsid w:val="00E23D80"/>
    <w:rsid w:val="00E23F27"/>
    <w:rsid w:val="00E242AF"/>
    <w:rsid w:val="00E24849"/>
    <w:rsid w:val="00E2536E"/>
    <w:rsid w:val="00E25B8A"/>
    <w:rsid w:val="00E25EF8"/>
    <w:rsid w:val="00E2632B"/>
    <w:rsid w:val="00E26F75"/>
    <w:rsid w:val="00E27423"/>
    <w:rsid w:val="00E30A2E"/>
    <w:rsid w:val="00E322F7"/>
    <w:rsid w:val="00E3369B"/>
    <w:rsid w:val="00E362D2"/>
    <w:rsid w:val="00E36D76"/>
    <w:rsid w:val="00E40478"/>
    <w:rsid w:val="00E405EA"/>
    <w:rsid w:val="00E408B7"/>
    <w:rsid w:val="00E41637"/>
    <w:rsid w:val="00E42789"/>
    <w:rsid w:val="00E43AA0"/>
    <w:rsid w:val="00E43F59"/>
    <w:rsid w:val="00E464F0"/>
    <w:rsid w:val="00E46EF3"/>
    <w:rsid w:val="00E47370"/>
    <w:rsid w:val="00E473E9"/>
    <w:rsid w:val="00E47B47"/>
    <w:rsid w:val="00E50BEB"/>
    <w:rsid w:val="00E548FA"/>
    <w:rsid w:val="00E567E6"/>
    <w:rsid w:val="00E57703"/>
    <w:rsid w:val="00E57ED4"/>
    <w:rsid w:val="00E57FED"/>
    <w:rsid w:val="00E6092F"/>
    <w:rsid w:val="00E61D2D"/>
    <w:rsid w:val="00E62049"/>
    <w:rsid w:val="00E629DA"/>
    <w:rsid w:val="00E6304E"/>
    <w:rsid w:val="00E64374"/>
    <w:rsid w:val="00E6469F"/>
    <w:rsid w:val="00E65D39"/>
    <w:rsid w:val="00E670F8"/>
    <w:rsid w:val="00E6741B"/>
    <w:rsid w:val="00E67FAC"/>
    <w:rsid w:val="00E7200B"/>
    <w:rsid w:val="00E738CB"/>
    <w:rsid w:val="00E739B4"/>
    <w:rsid w:val="00E73C88"/>
    <w:rsid w:val="00E74437"/>
    <w:rsid w:val="00E7443D"/>
    <w:rsid w:val="00E75763"/>
    <w:rsid w:val="00E75ACE"/>
    <w:rsid w:val="00E76098"/>
    <w:rsid w:val="00E76880"/>
    <w:rsid w:val="00E771AF"/>
    <w:rsid w:val="00E776F7"/>
    <w:rsid w:val="00E80386"/>
    <w:rsid w:val="00E809C3"/>
    <w:rsid w:val="00E81A1A"/>
    <w:rsid w:val="00E81C3E"/>
    <w:rsid w:val="00E82359"/>
    <w:rsid w:val="00E82B6D"/>
    <w:rsid w:val="00E83187"/>
    <w:rsid w:val="00E831E9"/>
    <w:rsid w:val="00E8608F"/>
    <w:rsid w:val="00E86C1D"/>
    <w:rsid w:val="00E96002"/>
    <w:rsid w:val="00E97418"/>
    <w:rsid w:val="00E9763D"/>
    <w:rsid w:val="00EA1177"/>
    <w:rsid w:val="00EA118B"/>
    <w:rsid w:val="00EA11B6"/>
    <w:rsid w:val="00EA2181"/>
    <w:rsid w:val="00EA24B8"/>
    <w:rsid w:val="00EA2DD8"/>
    <w:rsid w:val="00EA4475"/>
    <w:rsid w:val="00EA52FE"/>
    <w:rsid w:val="00EA681F"/>
    <w:rsid w:val="00EB04C6"/>
    <w:rsid w:val="00EB06A6"/>
    <w:rsid w:val="00EB32A3"/>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5BB9"/>
    <w:rsid w:val="00ED12F0"/>
    <w:rsid w:val="00ED290C"/>
    <w:rsid w:val="00ED2A6C"/>
    <w:rsid w:val="00ED4773"/>
    <w:rsid w:val="00ED5284"/>
    <w:rsid w:val="00ED65E7"/>
    <w:rsid w:val="00ED664B"/>
    <w:rsid w:val="00ED6A61"/>
    <w:rsid w:val="00ED7DA4"/>
    <w:rsid w:val="00EE03BB"/>
    <w:rsid w:val="00EE0552"/>
    <w:rsid w:val="00EE0B44"/>
    <w:rsid w:val="00EE125D"/>
    <w:rsid w:val="00EE23DE"/>
    <w:rsid w:val="00EE48BB"/>
    <w:rsid w:val="00EE6FE0"/>
    <w:rsid w:val="00EE704A"/>
    <w:rsid w:val="00EE7840"/>
    <w:rsid w:val="00EF2E75"/>
    <w:rsid w:val="00EF416C"/>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199E"/>
    <w:rsid w:val="00F22A26"/>
    <w:rsid w:val="00F24072"/>
    <w:rsid w:val="00F26432"/>
    <w:rsid w:val="00F3197A"/>
    <w:rsid w:val="00F31A86"/>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135"/>
    <w:rsid w:val="00F83248"/>
    <w:rsid w:val="00F83376"/>
    <w:rsid w:val="00F83FEE"/>
    <w:rsid w:val="00F853AE"/>
    <w:rsid w:val="00F908D5"/>
    <w:rsid w:val="00F913B9"/>
    <w:rsid w:val="00F92E1C"/>
    <w:rsid w:val="00F93C74"/>
    <w:rsid w:val="00F93DCC"/>
    <w:rsid w:val="00F9435D"/>
    <w:rsid w:val="00F95B86"/>
    <w:rsid w:val="00F966F9"/>
    <w:rsid w:val="00F96F61"/>
    <w:rsid w:val="00F97740"/>
    <w:rsid w:val="00FA0C8F"/>
    <w:rsid w:val="00FA230D"/>
    <w:rsid w:val="00FA2DEF"/>
    <w:rsid w:val="00FA2F7B"/>
    <w:rsid w:val="00FA3C97"/>
    <w:rsid w:val="00FA3D30"/>
    <w:rsid w:val="00FA4B49"/>
    <w:rsid w:val="00FA54F8"/>
    <w:rsid w:val="00FA78C8"/>
    <w:rsid w:val="00FA7A2F"/>
    <w:rsid w:val="00FB09FE"/>
    <w:rsid w:val="00FB0E80"/>
    <w:rsid w:val="00FB101D"/>
    <w:rsid w:val="00FB1725"/>
    <w:rsid w:val="00FB1D67"/>
    <w:rsid w:val="00FB20BA"/>
    <w:rsid w:val="00FB2493"/>
    <w:rsid w:val="00FB2FAF"/>
    <w:rsid w:val="00FB42B7"/>
    <w:rsid w:val="00FB4484"/>
    <w:rsid w:val="00FB4B1A"/>
    <w:rsid w:val="00FB593A"/>
    <w:rsid w:val="00FB6410"/>
    <w:rsid w:val="00FB6E82"/>
    <w:rsid w:val="00FB792E"/>
    <w:rsid w:val="00FB7CF0"/>
    <w:rsid w:val="00FC0042"/>
    <w:rsid w:val="00FC1E67"/>
    <w:rsid w:val="00FC2A13"/>
    <w:rsid w:val="00FC2D10"/>
    <w:rsid w:val="00FC4284"/>
    <w:rsid w:val="00FC4576"/>
    <w:rsid w:val="00FC5FF5"/>
    <w:rsid w:val="00FC6285"/>
    <w:rsid w:val="00FC78FB"/>
    <w:rsid w:val="00FC7DBC"/>
    <w:rsid w:val="00FD076A"/>
    <w:rsid w:val="00FD0AA0"/>
    <w:rsid w:val="00FD1D5A"/>
    <w:rsid w:val="00FD5059"/>
    <w:rsid w:val="00FD554D"/>
    <w:rsid w:val="00FD5BCC"/>
    <w:rsid w:val="00FD5CC5"/>
    <w:rsid w:val="00FD7B23"/>
    <w:rsid w:val="00FE214D"/>
    <w:rsid w:val="00FE2A48"/>
    <w:rsid w:val="00FE5D0A"/>
    <w:rsid w:val="00FE6469"/>
    <w:rsid w:val="00FE64F0"/>
    <w:rsid w:val="00FE7B06"/>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uiPriority w:val="99"/>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NormalWeb">
    <w:name w:val="Normal (Web)"/>
    <w:basedOn w:val="Normal"/>
    <w:uiPriority w:val="99"/>
    <w:unhideWhenUsed/>
    <w:rsid w:val="00C964A8"/>
    <w:pPr>
      <w:spacing w:before="100" w:beforeAutospacing="1" w:after="100" w:afterAutospacing="1"/>
    </w:pPr>
    <w:rPr>
      <w:rFonts w:ascii="Times New Roman" w:hAnsi="Times New Roman"/>
      <w:color w:val="auto"/>
      <w:szCs w:val="24"/>
    </w:rPr>
  </w:style>
  <w:style w:type="paragraph" w:styleId="NoSpacing">
    <w:name w:val="No Spacing"/>
    <w:uiPriority w:val="1"/>
    <w:qFormat/>
    <w:rsid w:val="00696A45"/>
    <w:rPr>
      <w:rFonts w:asciiTheme="minorHAnsi" w:eastAsiaTheme="minorHAnsi" w:hAnsiTheme="minorHAnsi" w:cstheme="minorBidi"/>
      <w:sz w:val="22"/>
      <w:szCs w:val="22"/>
    </w:rPr>
  </w:style>
  <w:style w:type="paragraph" w:customStyle="1" w:styleId="Default">
    <w:name w:val="Default"/>
    <w:rsid w:val="00465153"/>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64790443">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7833077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31">
          <w:marLeft w:val="0"/>
          <w:marRight w:val="0"/>
          <w:marTop w:val="0"/>
          <w:marBottom w:val="0"/>
          <w:divBdr>
            <w:top w:val="none" w:sz="0" w:space="0" w:color="auto"/>
            <w:left w:val="none" w:sz="0" w:space="0" w:color="auto"/>
            <w:bottom w:val="none" w:sz="0" w:space="0" w:color="auto"/>
            <w:right w:val="none" w:sz="0" w:space="0" w:color="auto"/>
          </w:divBdr>
          <w:divsChild>
            <w:div w:id="1855338534">
              <w:marLeft w:val="0"/>
              <w:marRight w:val="0"/>
              <w:marTop w:val="0"/>
              <w:marBottom w:val="0"/>
              <w:divBdr>
                <w:top w:val="none" w:sz="0" w:space="0" w:color="auto"/>
                <w:left w:val="none" w:sz="0" w:space="0" w:color="auto"/>
                <w:bottom w:val="none" w:sz="0" w:space="0" w:color="auto"/>
                <w:right w:val="none" w:sz="0" w:space="0" w:color="auto"/>
              </w:divBdr>
              <w:divsChild>
                <w:div w:id="667025981">
                  <w:marLeft w:val="0"/>
                  <w:marRight w:val="0"/>
                  <w:marTop w:val="0"/>
                  <w:marBottom w:val="0"/>
                  <w:divBdr>
                    <w:top w:val="none" w:sz="0" w:space="0" w:color="auto"/>
                    <w:left w:val="none" w:sz="0" w:space="0" w:color="auto"/>
                    <w:bottom w:val="none" w:sz="0" w:space="0" w:color="auto"/>
                    <w:right w:val="none" w:sz="0" w:space="0" w:color="auto"/>
                  </w:divBdr>
                  <w:divsChild>
                    <w:div w:id="446512090">
                      <w:marLeft w:val="0"/>
                      <w:marRight w:val="0"/>
                      <w:marTop w:val="0"/>
                      <w:marBottom w:val="0"/>
                      <w:divBdr>
                        <w:top w:val="none" w:sz="0" w:space="0" w:color="auto"/>
                        <w:left w:val="none" w:sz="0" w:space="0" w:color="auto"/>
                        <w:bottom w:val="none" w:sz="0" w:space="0" w:color="auto"/>
                        <w:right w:val="none" w:sz="0" w:space="0" w:color="auto"/>
                      </w:divBdr>
                      <w:divsChild>
                        <w:div w:id="1461148389">
                          <w:marLeft w:val="-102"/>
                          <w:marRight w:val="0"/>
                          <w:marTop w:val="0"/>
                          <w:marBottom w:val="0"/>
                          <w:divBdr>
                            <w:top w:val="none" w:sz="0" w:space="0" w:color="auto"/>
                            <w:left w:val="none" w:sz="0" w:space="0" w:color="auto"/>
                            <w:bottom w:val="none" w:sz="0" w:space="0" w:color="auto"/>
                            <w:right w:val="none" w:sz="0" w:space="0" w:color="auto"/>
                          </w:divBdr>
                          <w:divsChild>
                            <w:div w:id="1380205238">
                              <w:marLeft w:val="0"/>
                              <w:marRight w:val="0"/>
                              <w:marTop w:val="0"/>
                              <w:marBottom w:val="0"/>
                              <w:divBdr>
                                <w:top w:val="none" w:sz="0" w:space="0" w:color="auto"/>
                                <w:left w:val="none" w:sz="0" w:space="0" w:color="auto"/>
                                <w:bottom w:val="none" w:sz="0" w:space="0" w:color="auto"/>
                                <w:right w:val="none" w:sz="0" w:space="0" w:color="auto"/>
                              </w:divBdr>
                              <w:divsChild>
                                <w:div w:id="1408068221">
                                  <w:marLeft w:val="0"/>
                                  <w:marRight w:val="0"/>
                                  <w:marTop w:val="0"/>
                                  <w:marBottom w:val="0"/>
                                  <w:divBdr>
                                    <w:top w:val="none" w:sz="0" w:space="0" w:color="auto"/>
                                    <w:left w:val="none" w:sz="0" w:space="0" w:color="auto"/>
                                    <w:bottom w:val="none" w:sz="0" w:space="0" w:color="auto"/>
                                    <w:right w:val="none" w:sz="0" w:space="0" w:color="auto"/>
                                  </w:divBdr>
                                  <w:divsChild>
                                    <w:div w:id="1387725479">
                                      <w:marLeft w:val="0"/>
                                      <w:marRight w:val="0"/>
                                      <w:marTop w:val="0"/>
                                      <w:marBottom w:val="0"/>
                                      <w:divBdr>
                                        <w:top w:val="none" w:sz="0" w:space="0" w:color="auto"/>
                                        <w:left w:val="none" w:sz="0" w:space="0" w:color="auto"/>
                                        <w:bottom w:val="none" w:sz="0" w:space="0" w:color="auto"/>
                                        <w:right w:val="none" w:sz="0" w:space="0" w:color="auto"/>
                                      </w:divBdr>
                                      <w:divsChild>
                                        <w:div w:id="960843363">
                                          <w:marLeft w:val="0"/>
                                          <w:marRight w:val="0"/>
                                          <w:marTop w:val="0"/>
                                          <w:marBottom w:val="0"/>
                                          <w:divBdr>
                                            <w:top w:val="none" w:sz="0" w:space="0" w:color="auto"/>
                                            <w:left w:val="none" w:sz="0" w:space="0" w:color="auto"/>
                                            <w:bottom w:val="none" w:sz="0" w:space="0" w:color="auto"/>
                                            <w:right w:val="none" w:sz="0" w:space="0" w:color="auto"/>
                                          </w:divBdr>
                                          <w:divsChild>
                                            <w:div w:id="1674069472">
                                              <w:marLeft w:val="0"/>
                                              <w:marRight w:val="0"/>
                                              <w:marTop w:val="0"/>
                                              <w:marBottom w:val="0"/>
                                              <w:divBdr>
                                                <w:top w:val="none" w:sz="0" w:space="0" w:color="auto"/>
                                                <w:left w:val="none" w:sz="0" w:space="0" w:color="auto"/>
                                                <w:bottom w:val="none" w:sz="0" w:space="0" w:color="auto"/>
                                                <w:right w:val="none" w:sz="0" w:space="0" w:color="auto"/>
                                              </w:divBdr>
                                              <w:divsChild>
                                                <w:div w:id="1038551063">
                                                  <w:marLeft w:val="0"/>
                                                  <w:marRight w:val="0"/>
                                                  <w:marTop w:val="0"/>
                                                  <w:marBottom w:val="0"/>
                                                  <w:divBdr>
                                                    <w:top w:val="none" w:sz="0" w:space="0" w:color="auto"/>
                                                    <w:left w:val="none" w:sz="0" w:space="0" w:color="auto"/>
                                                    <w:bottom w:val="none" w:sz="0" w:space="0" w:color="auto"/>
                                                    <w:right w:val="none" w:sz="0" w:space="0" w:color="auto"/>
                                                  </w:divBdr>
                                                  <w:divsChild>
                                                    <w:div w:id="1926377577">
                                                      <w:marLeft w:val="0"/>
                                                      <w:marRight w:val="0"/>
                                                      <w:marTop w:val="0"/>
                                                      <w:marBottom w:val="0"/>
                                                      <w:divBdr>
                                                        <w:top w:val="none" w:sz="0" w:space="0" w:color="auto"/>
                                                        <w:left w:val="none" w:sz="0" w:space="0" w:color="auto"/>
                                                        <w:bottom w:val="none" w:sz="0" w:space="0" w:color="auto"/>
                                                        <w:right w:val="none" w:sz="0" w:space="0" w:color="auto"/>
                                                      </w:divBdr>
                                                      <w:divsChild>
                                                        <w:div w:id="18498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C777-C5AE-419F-8FEF-220850A5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4</cp:revision>
  <cp:lastPrinted>2011-04-08T11:41:00Z</cp:lastPrinted>
  <dcterms:created xsi:type="dcterms:W3CDTF">2012-02-10T15:54:00Z</dcterms:created>
  <dcterms:modified xsi:type="dcterms:W3CDTF">2012-04-02T22:16:00Z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