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340980" w:rsidRDefault="00F629C0" w:rsidP="00B24F22">
      <w:pPr>
        <w:tabs>
          <w:tab w:val="righ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833D6">
        <w:rPr>
          <w:rFonts w:asciiTheme="minorHAnsi" w:hAnsiTheme="minorHAnsi"/>
          <w:caps/>
          <w:color w:val="auto"/>
        </w:rPr>
        <w:t xml:space="preserve">XXXXXXXXXXXXX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67246C">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B24F22">
        <w:rPr>
          <w:rFonts w:asciiTheme="minorHAnsi" w:hAnsiTheme="minorHAnsi"/>
          <w:caps/>
          <w:color w:val="auto"/>
        </w:rPr>
        <w:t xml:space="preserve"> </w:t>
      </w:r>
      <w:r w:rsidR="00332DE3" w:rsidRPr="00340980">
        <w:rPr>
          <w:rFonts w:asciiTheme="minorHAnsi" w:hAnsiTheme="minorHAnsi"/>
          <w:caps/>
          <w:color w:val="auto"/>
        </w:rPr>
        <w:t>air force</w:t>
      </w:r>
    </w:p>
    <w:p w:rsidR="00DE3AAD" w:rsidRDefault="00012733" w:rsidP="00B24F22">
      <w:pPr>
        <w:tabs>
          <w:tab w:val="right" w:pos="9270"/>
        </w:tabs>
        <w:spacing w:line="240" w:lineRule="exact"/>
        <w:jc w:val="both"/>
        <w:rPr>
          <w:rFonts w:asciiTheme="minorHAnsi" w:hAnsiTheme="minorHAnsi"/>
          <w:caps/>
          <w:color w:val="auto"/>
        </w:rPr>
      </w:pPr>
      <w:r w:rsidRPr="00340980">
        <w:rPr>
          <w:rFonts w:asciiTheme="minorHAnsi" w:hAnsiTheme="minorHAnsi"/>
          <w:caps/>
          <w:color w:val="auto"/>
        </w:rPr>
        <w:t>C</w:t>
      </w:r>
      <w:r w:rsidR="00DE3AAD" w:rsidRPr="00340980">
        <w:rPr>
          <w:rFonts w:asciiTheme="minorHAnsi" w:hAnsiTheme="minorHAnsi"/>
          <w:caps/>
          <w:color w:val="auto"/>
        </w:rPr>
        <w:t>ASE NUMBER:  PD</w:t>
      </w:r>
      <w:r w:rsidR="00DB7361" w:rsidRPr="00340980">
        <w:rPr>
          <w:rFonts w:asciiTheme="minorHAnsi" w:hAnsiTheme="minorHAnsi"/>
          <w:caps/>
          <w:color w:val="auto"/>
        </w:rPr>
        <w:t>11</w:t>
      </w:r>
      <w:r w:rsidR="00DE3AAD" w:rsidRPr="00340980">
        <w:rPr>
          <w:rFonts w:asciiTheme="minorHAnsi" w:hAnsiTheme="minorHAnsi"/>
          <w:caps/>
          <w:color w:val="auto"/>
        </w:rPr>
        <w:t>00</w:t>
      </w:r>
      <w:r w:rsidR="004954E3">
        <w:rPr>
          <w:rFonts w:asciiTheme="minorHAnsi" w:hAnsiTheme="minorHAnsi"/>
          <w:caps/>
          <w:color w:val="auto"/>
        </w:rPr>
        <w:t>153</w:t>
      </w:r>
      <w:r w:rsidR="00DE3AAD">
        <w:rPr>
          <w:rFonts w:asciiTheme="minorHAnsi" w:hAnsiTheme="minorHAnsi"/>
          <w:color w:val="auto"/>
        </w:rPr>
        <w:tab/>
      </w:r>
      <w:r w:rsidR="00DE3AAD" w:rsidRPr="00DE3AAD">
        <w:rPr>
          <w:rFonts w:asciiTheme="minorHAnsi" w:hAnsiTheme="minorHAnsi"/>
          <w:color w:val="auto"/>
        </w:rPr>
        <w:t>SEPARATION DATE:  20</w:t>
      </w:r>
      <w:r w:rsidR="004954E3">
        <w:rPr>
          <w:rFonts w:asciiTheme="minorHAnsi" w:hAnsiTheme="minorHAnsi"/>
          <w:color w:val="auto"/>
        </w:rPr>
        <w:t>040705</w:t>
      </w:r>
    </w:p>
    <w:p w:rsidR="00827B29"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526C70">
        <w:rPr>
          <w:rFonts w:asciiTheme="minorHAnsi" w:hAnsiTheme="minorHAnsi"/>
          <w:caps/>
          <w:color w:val="auto"/>
        </w:rPr>
        <w:t>2</w:t>
      </w:r>
      <w:r w:rsidR="000E1EA9">
        <w:rPr>
          <w:rFonts w:asciiTheme="minorHAnsi" w:hAnsiTheme="minorHAnsi"/>
          <w:caps/>
          <w:color w:val="auto"/>
        </w:rPr>
        <w:t>0118</w:t>
      </w:r>
    </w:p>
    <w:p w:rsidR="008E0D8F" w:rsidRPr="00E070E1" w:rsidRDefault="008E0D8F"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F1206" w:rsidRPr="00E070E1" w:rsidRDefault="003F1206" w:rsidP="00510F9C">
      <w:pPr>
        <w:tabs>
          <w:tab w:val="left" w:pos="288"/>
          <w:tab w:val="left" w:pos="4752"/>
        </w:tabs>
        <w:spacing w:line="240" w:lineRule="exact"/>
        <w:jc w:val="both"/>
        <w:rPr>
          <w:rFonts w:asciiTheme="minorHAnsi" w:hAnsiTheme="minorHAnsi"/>
          <w:b/>
          <w:color w:val="auto"/>
        </w:rPr>
      </w:pPr>
    </w:p>
    <w:p w:rsidR="00F63FC7" w:rsidRPr="00C472C7" w:rsidRDefault="00FB0E80" w:rsidP="006647FA">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4954E3">
        <w:rPr>
          <w:rFonts w:asciiTheme="minorHAnsi" w:hAnsiTheme="minorHAnsi"/>
          <w:color w:val="auto"/>
          <w:szCs w:val="24"/>
        </w:rPr>
        <w:t>Staff Sergeant</w:t>
      </w:r>
      <w:r w:rsidR="00B24F22">
        <w:rPr>
          <w:rFonts w:asciiTheme="minorHAnsi" w:hAnsiTheme="minorHAnsi"/>
          <w:color w:val="auto"/>
          <w:szCs w:val="24"/>
        </w:rPr>
        <w:t>/</w:t>
      </w:r>
      <w:r w:rsidR="004954E3">
        <w:rPr>
          <w:rFonts w:asciiTheme="minorHAnsi" w:hAnsiTheme="minorHAnsi"/>
          <w:color w:val="auto"/>
          <w:szCs w:val="24"/>
        </w:rPr>
        <w:t>E-5</w:t>
      </w:r>
      <w:r w:rsidR="00705C40" w:rsidRPr="00AD7F8F">
        <w:rPr>
          <w:rFonts w:asciiTheme="minorHAnsi" w:hAnsiTheme="minorHAnsi"/>
          <w:color w:val="auto"/>
          <w:szCs w:val="24"/>
        </w:rPr>
        <w:t xml:space="preserve"> (</w:t>
      </w:r>
      <w:r w:rsidR="004954E3">
        <w:rPr>
          <w:rFonts w:asciiTheme="minorHAnsi" w:hAnsiTheme="minorHAnsi"/>
          <w:color w:val="auto"/>
          <w:szCs w:val="24"/>
        </w:rPr>
        <w:t>3E751</w:t>
      </w:r>
      <w:r w:rsidR="00B24F22">
        <w:rPr>
          <w:rFonts w:asciiTheme="minorHAnsi" w:hAnsiTheme="minorHAnsi"/>
          <w:color w:val="auto"/>
          <w:szCs w:val="24"/>
        </w:rPr>
        <w:t xml:space="preserve">, </w:t>
      </w:r>
      <w:r w:rsidR="004954E3">
        <w:rPr>
          <w:rFonts w:asciiTheme="minorHAnsi" w:hAnsiTheme="minorHAnsi"/>
          <w:color w:val="auto"/>
          <w:szCs w:val="24"/>
        </w:rPr>
        <w:t>Firefighter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67246C" w:rsidRPr="004954E3">
        <w:rPr>
          <w:rFonts w:asciiTheme="minorHAnsi" w:hAnsiTheme="minorHAnsi"/>
          <w:color w:val="auto"/>
          <w:szCs w:val="24"/>
        </w:rPr>
        <w:t>trigeminal neuralgia</w:t>
      </w:r>
      <w:r w:rsidR="00C75F3D">
        <w:rPr>
          <w:rFonts w:asciiTheme="minorHAnsi" w:hAnsiTheme="minorHAnsi"/>
          <w:i/>
          <w:color w:val="auto"/>
          <w:szCs w:val="24"/>
        </w:rPr>
        <w:t>.</w:t>
      </w:r>
      <w:r w:rsidR="0067246C">
        <w:rPr>
          <w:rFonts w:asciiTheme="minorHAnsi" w:hAnsiTheme="minorHAns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9020ED" w:rsidRPr="00340980">
        <w:rPr>
          <w:rFonts w:asciiTheme="minorHAnsi" w:hAnsiTheme="minorHAnsi"/>
          <w:color w:val="auto"/>
          <w:szCs w:val="24"/>
        </w:rPr>
        <w:t>Air Force Specialty (AFS)</w:t>
      </w:r>
      <w:r w:rsidR="00555C66" w:rsidRPr="00340980">
        <w:rPr>
          <w:rFonts w:asciiTheme="minorHAnsi" w:hAnsiTheme="minorHAnsi"/>
          <w:color w:val="auto"/>
          <w:szCs w:val="24"/>
        </w:rPr>
        <w:t>.  He was issued</w:t>
      </w:r>
      <w:r w:rsidR="00E322F7" w:rsidRPr="00340980">
        <w:rPr>
          <w:rFonts w:asciiTheme="minorHAnsi" w:hAnsiTheme="minorHAnsi"/>
          <w:color w:val="auto"/>
          <w:szCs w:val="24"/>
        </w:rPr>
        <w:t xml:space="preserve"> a permanent </w:t>
      </w:r>
      <w:r w:rsidR="004954E3" w:rsidRPr="00340980">
        <w:rPr>
          <w:rFonts w:asciiTheme="minorHAnsi" w:hAnsiTheme="minorHAnsi"/>
          <w:color w:val="auto"/>
          <w:szCs w:val="24"/>
        </w:rPr>
        <w:t>P</w:t>
      </w:r>
      <w:r w:rsidR="0044411E" w:rsidRPr="00340980">
        <w:rPr>
          <w:rFonts w:asciiTheme="minorHAnsi" w:hAnsiTheme="minorHAnsi"/>
          <w:color w:val="auto"/>
          <w:szCs w:val="24"/>
        </w:rPr>
        <w:t xml:space="preserve">4 </w:t>
      </w:r>
      <w:r w:rsidR="00E322F7" w:rsidRPr="00340980">
        <w:rPr>
          <w:rFonts w:asciiTheme="minorHAnsi" w:hAnsiTheme="minorHAnsi"/>
          <w:color w:val="auto"/>
          <w:szCs w:val="24"/>
        </w:rPr>
        <w:t>profile</w:t>
      </w:r>
      <w:r w:rsidR="00A83880">
        <w:rPr>
          <w:rFonts w:asciiTheme="minorHAnsi" w:hAnsiTheme="minorHAnsi"/>
          <w:color w:val="auto"/>
          <w:szCs w:val="24"/>
        </w:rPr>
        <w:t xml:space="preserve"> restricting his use of his respirator mask</w:t>
      </w:r>
      <w:r w:rsidR="00E322F7" w:rsidRPr="00340980">
        <w:rPr>
          <w:rFonts w:asciiTheme="minorHAnsi" w:hAnsiTheme="minorHAnsi"/>
          <w:color w:val="auto"/>
          <w:szCs w:val="24"/>
        </w:rPr>
        <w:t xml:space="preserve"> and underwent a </w:t>
      </w:r>
      <w:r w:rsidR="00705C40" w:rsidRPr="00340980">
        <w:rPr>
          <w:rFonts w:asciiTheme="minorHAnsi" w:hAnsiTheme="minorHAnsi"/>
          <w:color w:val="auto"/>
          <w:szCs w:val="24"/>
        </w:rPr>
        <w:t>Medical Evaluation Board (</w:t>
      </w:r>
      <w:r w:rsidR="00E322F7" w:rsidRPr="00340980">
        <w:rPr>
          <w:rFonts w:asciiTheme="minorHAnsi" w:hAnsiTheme="minorHAnsi"/>
          <w:color w:val="auto"/>
          <w:szCs w:val="24"/>
        </w:rPr>
        <w:t>MEB</w:t>
      </w:r>
      <w:r w:rsidR="00705C40" w:rsidRPr="00340980">
        <w:rPr>
          <w:rFonts w:asciiTheme="minorHAnsi" w:hAnsiTheme="minorHAnsi"/>
          <w:color w:val="auto"/>
          <w:szCs w:val="24"/>
        </w:rPr>
        <w:t>)</w:t>
      </w:r>
      <w:r w:rsidR="00E322F7" w:rsidRPr="00340980">
        <w:rPr>
          <w:rFonts w:asciiTheme="minorHAnsi" w:hAnsiTheme="minorHAnsi"/>
          <w:color w:val="auto"/>
          <w:szCs w:val="24"/>
        </w:rPr>
        <w:t>.</w:t>
      </w:r>
      <w:r w:rsidR="0067246C">
        <w:rPr>
          <w:rFonts w:asciiTheme="minorHAnsi" w:hAnsiTheme="minorHAnsi"/>
          <w:color w:val="auto"/>
          <w:szCs w:val="24"/>
        </w:rPr>
        <w:t xml:space="preserve">  Trigeminal neuralgia </w:t>
      </w:r>
      <w:r w:rsidR="004954E3" w:rsidRPr="00340980">
        <w:rPr>
          <w:rFonts w:asciiTheme="minorHAnsi" w:hAnsiTheme="minorHAnsi"/>
          <w:color w:val="auto"/>
          <w:szCs w:val="24"/>
        </w:rPr>
        <w:t xml:space="preserve">was </w:t>
      </w:r>
      <w:r w:rsidR="000A33C8" w:rsidRPr="00340980">
        <w:rPr>
          <w:rFonts w:asciiTheme="minorHAnsi" w:hAnsiTheme="minorHAnsi"/>
          <w:color w:val="auto"/>
          <w:szCs w:val="24"/>
        </w:rPr>
        <w:t xml:space="preserve">forwarded to the Physical Evaluation Board (PEB) as medically unacceptable IAW </w:t>
      </w:r>
      <w:r w:rsidR="00376E08" w:rsidRPr="00340980">
        <w:rPr>
          <w:rFonts w:asciiTheme="minorHAnsi" w:hAnsiTheme="minorHAnsi"/>
          <w:color w:val="auto"/>
          <w:szCs w:val="24"/>
        </w:rPr>
        <w:t>AFI 48-123.</w:t>
      </w:r>
      <w:r w:rsidR="0067246C">
        <w:rPr>
          <w:rFonts w:asciiTheme="minorHAnsi" w:hAnsiTheme="minorHAnsi"/>
          <w:color w:val="auto"/>
          <w:szCs w:val="24"/>
        </w:rPr>
        <w:t xml:space="preserve">  </w:t>
      </w:r>
      <w:r w:rsidR="001A5E62" w:rsidRPr="00340980">
        <w:rPr>
          <w:rFonts w:asciiTheme="minorHAnsi" w:hAnsiTheme="minorHAnsi"/>
          <w:color w:val="auto"/>
          <w:szCs w:val="24"/>
        </w:rPr>
        <w:t>No other conditions appeared on the MEB’s submission.  Other conditions included in the</w:t>
      </w:r>
      <w:r w:rsidR="00DC17F2" w:rsidRPr="00340980">
        <w:rPr>
          <w:rFonts w:asciiTheme="minorHAnsi" w:hAnsiTheme="minorHAnsi"/>
          <w:color w:val="auto"/>
          <w:szCs w:val="24"/>
        </w:rPr>
        <w:t xml:space="preserve"> </w:t>
      </w:r>
      <w:r w:rsidR="00555C66" w:rsidRPr="00340980">
        <w:rPr>
          <w:rFonts w:asciiTheme="minorHAnsi" w:hAnsiTheme="minorHAnsi"/>
          <w:color w:val="auto"/>
          <w:szCs w:val="24"/>
        </w:rPr>
        <w:t xml:space="preserve">Disability Evaluation System (DES) </w:t>
      </w:r>
      <w:r w:rsidR="001A5E62" w:rsidRPr="00340980">
        <w:rPr>
          <w:rFonts w:asciiTheme="minorHAnsi" w:hAnsiTheme="minorHAnsi"/>
          <w:color w:val="auto"/>
          <w:szCs w:val="24"/>
        </w:rPr>
        <w:t>packet will be discussed below.</w:t>
      </w:r>
      <w:r w:rsidR="00AC314D">
        <w:rPr>
          <w:rFonts w:asciiTheme="minorHAnsi" w:hAnsiTheme="minorHAnsi"/>
          <w:color w:val="auto"/>
          <w:szCs w:val="24"/>
        </w:rPr>
        <w:t xml:space="preserve">  </w:t>
      </w:r>
      <w:r w:rsidR="00B20624" w:rsidRPr="00340980">
        <w:rPr>
          <w:rFonts w:asciiTheme="minorHAnsi" w:hAnsiTheme="minorHAnsi"/>
          <w:color w:val="auto"/>
          <w:szCs w:val="24"/>
        </w:rPr>
        <w:t xml:space="preserve">The </w:t>
      </w:r>
      <w:r w:rsidR="00B24F22">
        <w:rPr>
          <w:rFonts w:asciiTheme="minorHAnsi" w:hAnsiTheme="minorHAnsi"/>
          <w:color w:val="auto"/>
          <w:szCs w:val="24"/>
        </w:rPr>
        <w:t xml:space="preserve">PEB </w:t>
      </w:r>
      <w:r w:rsidR="00B20624" w:rsidRPr="00340980">
        <w:rPr>
          <w:rFonts w:asciiTheme="minorHAnsi" w:hAnsiTheme="minorHAnsi"/>
          <w:color w:val="auto"/>
          <w:szCs w:val="24"/>
        </w:rPr>
        <w:t xml:space="preserve">adjudicated the </w:t>
      </w:r>
      <w:r w:rsidR="00B24F22">
        <w:rPr>
          <w:rFonts w:asciiTheme="minorHAnsi" w:hAnsiTheme="minorHAnsi"/>
          <w:color w:val="auto"/>
          <w:szCs w:val="24"/>
        </w:rPr>
        <w:t>trigeminal n</w:t>
      </w:r>
      <w:r w:rsidR="00340980" w:rsidRPr="00340980">
        <w:rPr>
          <w:rFonts w:asciiTheme="minorHAnsi" w:hAnsiTheme="minorHAnsi"/>
          <w:color w:val="auto"/>
          <w:szCs w:val="24"/>
        </w:rPr>
        <w:t xml:space="preserve">euralgia </w:t>
      </w:r>
      <w:r w:rsidR="00C127F2" w:rsidRPr="00340980">
        <w:rPr>
          <w:rFonts w:asciiTheme="minorHAnsi" w:hAnsiTheme="minorHAnsi"/>
          <w:color w:val="auto"/>
          <w:szCs w:val="24"/>
        </w:rPr>
        <w:t xml:space="preserve">condition </w:t>
      </w:r>
      <w:r w:rsidR="00B20624" w:rsidRPr="00340980">
        <w:rPr>
          <w:rFonts w:asciiTheme="minorHAnsi" w:hAnsiTheme="minorHAnsi"/>
          <w:color w:val="auto"/>
          <w:szCs w:val="24"/>
        </w:rPr>
        <w:t xml:space="preserve">as unfitting, rated </w:t>
      </w:r>
      <w:r w:rsidR="00340980" w:rsidRPr="00340980">
        <w:rPr>
          <w:rFonts w:asciiTheme="minorHAnsi" w:hAnsiTheme="minorHAnsi"/>
          <w:color w:val="auto"/>
          <w:szCs w:val="24"/>
        </w:rPr>
        <w:t>10</w:t>
      </w:r>
      <w:r w:rsidR="00B20624" w:rsidRPr="00340980">
        <w:rPr>
          <w:rFonts w:asciiTheme="minorHAnsi" w:hAnsiTheme="minorHAnsi"/>
          <w:color w:val="auto"/>
          <w:szCs w:val="24"/>
        </w:rPr>
        <w:t>%</w:t>
      </w:r>
      <w:r w:rsidR="00B80EDD" w:rsidRPr="00340980">
        <w:rPr>
          <w:rFonts w:asciiTheme="minorHAnsi" w:hAnsiTheme="minorHAnsi"/>
          <w:color w:val="auto"/>
          <w:szCs w:val="24"/>
        </w:rPr>
        <w:t>,</w:t>
      </w:r>
      <w:r w:rsidR="00B20624" w:rsidRPr="00C472C7">
        <w:rPr>
          <w:rFonts w:asciiTheme="minorHAnsi" w:hAnsiTheme="minorHAnsi"/>
          <w:color w:val="auto"/>
          <w:szCs w:val="24"/>
        </w:rPr>
        <w:t xml:space="preserve"> with application of </w:t>
      </w:r>
      <w:r w:rsidR="00763CAE" w:rsidRPr="0067246C">
        <w:rPr>
          <w:rFonts w:asciiTheme="minorHAnsi" w:hAnsiTheme="minorHAnsi"/>
          <w:color w:val="auto"/>
          <w:szCs w:val="24"/>
        </w:rPr>
        <w:t>Department of Defense Instruction (</w:t>
      </w:r>
      <w:r w:rsidR="00B20624" w:rsidRPr="0067246C">
        <w:rPr>
          <w:rFonts w:asciiTheme="minorHAnsi" w:hAnsiTheme="minorHAnsi"/>
          <w:color w:val="auto"/>
          <w:szCs w:val="24"/>
        </w:rPr>
        <w:t>DoDI</w:t>
      </w:r>
      <w:r w:rsidR="00763CAE" w:rsidRPr="0067246C">
        <w:rPr>
          <w:rFonts w:asciiTheme="minorHAnsi" w:hAnsiTheme="minorHAnsi"/>
          <w:color w:val="auto"/>
          <w:szCs w:val="24"/>
        </w:rPr>
        <w:t>)</w:t>
      </w:r>
      <w:r w:rsidR="00B20624" w:rsidRPr="0067246C">
        <w:rPr>
          <w:rFonts w:asciiTheme="minorHAnsi" w:hAnsiTheme="minorHAnsi"/>
          <w:color w:val="auto"/>
          <w:szCs w:val="24"/>
        </w:rPr>
        <w:t xml:space="preserve"> 1332.39</w:t>
      </w:r>
      <w:r w:rsidR="00B24F22">
        <w:rPr>
          <w:rFonts w:asciiTheme="minorHAnsi" w:hAnsiTheme="minorHAnsi"/>
          <w:color w:val="auto"/>
          <w:szCs w:val="24"/>
        </w:rPr>
        <w:t xml:space="preserve"> and Veterans</w:t>
      </w:r>
      <w:r w:rsidR="002B0204" w:rsidRPr="0067246C">
        <w:rPr>
          <w:rFonts w:asciiTheme="minorHAnsi" w:hAnsiTheme="minorHAnsi"/>
          <w:color w:val="auto"/>
          <w:szCs w:val="24"/>
        </w:rPr>
        <w:t xml:space="preserve"> Administration Schedule for Rating Disabilities (VASRD)</w:t>
      </w:r>
      <w:r w:rsidR="00B20624" w:rsidRPr="0067246C">
        <w:rPr>
          <w:rFonts w:asciiTheme="minorHAnsi" w:hAnsiTheme="minorHAnsi"/>
          <w:color w:val="auto"/>
          <w:szCs w:val="24"/>
        </w:rPr>
        <w:t>.</w:t>
      </w:r>
      <w:r w:rsidR="0067246C">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340980">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C138DE">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340980">
        <w:rPr>
          <w:rFonts w:asciiTheme="minorHAnsi" w:hAnsiTheme="minorHAnsi"/>
          <w:color w:val="auto"/>
        </w:rPr>
        <w:t xml:space="preserve">  </w:t>
      </w:r>
      <w:r w:rsidR="00976BBC" w:rsidRPr="00976BBC">
        <w:rPr>
          <w:rFonts w:asciiTheme="minorHAnsi" w:hAnsiTheme="minorHAnsi"/>
          <w:color w:val="auto"/>
        </w:rPr>
        <w:t xml:space="preserve">The CI states: </w:t>
      </w:r>
      <w:r w:rsidR="001423CB" w:rsidRPr="00976BBC">
        <w:rPr>
          <w:rFonts w:asciiTheme="minorHAnsi" w:hAnsiTheme="minorHAnsi"/>
          <w:color w:val="auto"/>
        </w:rPr>
        <w:t>“When</w:t>
      </w:r>
      <w:r w:rsidR="00340980">
        <w:rPr>
          <w:rFonts w:asciiTheme="minorHAnsi" w:hAnsiTheme="minorHAnsi"/>
          <w:color w:val="auto"/>
        </w:rPr>
        <w:t xml:space="preserve"> confronted with options by </w:t>
      </w:r>
      <w:r w:rsidR="00340980" w:rsidRPr="00340980">
        <w:rPr>
          <w:rFonts w:asciiTheme="minorHAnsi" w:hAnsiTheme="minorHAnsi"/>
          <w:color w:val="auto"/>
        </w:rPr>
        <w:t xml:space="preserve">Wilford Hall neurology and MEB board, was counseled that </w:t>
      </w:r>
      <w:r w:rsidR="00340980">
        <w:rPr>
          <w:rFonts w:asciiTheme="minorHAnsi" w:hAnsiTheme="minorHAnsi"/>
          <w:color w:val="auto"/>
        </w:rPr>
        <w:t>‘</w:t>
      </w:r>
      <w:r w:rsidR="00340980" w:rsidRPr="00340980">
        <w:rPr>
          <w:rFonts w:asciiTheme="minorHAnsi" w:hAnsiTheme="minorHAnsi"/>
          <w:color w:val="auto"/>
        </w:rPr>
        <w:t>it</w:t>
      </w:r>
      <w:r w:rsidR="00B24F22">
        <w:rPr>
          <w:rFonts w:asciiTheme="minorHAnsi" w:hAnsiTheme="minorHAnsi"/>
          <w:color w:val="auto"/>
        </w:rPr>
        <w:t xml:space="preserve"> was easiest to claim only the t</w:t>
      </w:r>
      <w:r w:rsidR="00340980" w:rsidRPr="00340980">
        <w:rPr>
          <w:rFonts w:asciiTheme="minorHAnsi" w:hAnsiTheme="minorHAnsi"/>
          <w:color w:val="auto"/>
        </w:rPr>
        <w:t>rigeminal</w:t>
      </w:r>
      <w:r w:rsidR="00340980">
        <w:rPr>
          <w:rFonts w:asciiTheme="minorHAnsi" w:hAnsiTheme="minorHAnsi"/>
          <w:color w:val="auto"/>
        </w:rPr>
        <w:t xml:space="preserve"> </w:t>
      </w:r>
      <w:r w:rsidR="00B24F22">
        <w:rPr>
          <w:rFonts w:asciiTheme="minorHAnsi" w:hAnsiTheme="minorHAnsi"/>
          <w:color w:val="auto"/>
        </w:rPr>
        <w:t>n</w:t>
      </w:r>
      <w:r w:rsidR="00340980" w:rsidRPr="00340980">
        <w:rPr>
          <w:rFonts w:asciiTheme="minorHAnsi" w:hAnsiTheme="minorHAnsi"/>
          <w:color w:val="auto"/>
        </w:rPr>
        <w:t>eural</w:t>
      </w:r>
      <w:r w:rsidR="00340980">
        <w:rPr>
          <w:rFonts w:asciiTheme="minorHAnsi" w:hAnsiTheme="minorHAnsi"/>
          <w:color w:val="auto"/>
        </w:rPr>
        <w:t>gia, and not complicate things.’</w:t>
      </w:r>
      <w:r w:rsidR="00340980" w:rsidRPr="00340980">
        <w:rPr>
          <w:rFonts w:asciiTheme="minorHAnsi" w:hAnsiTheme="minorHAnsi"/>
          <w:color w:val="auto"/>
        </w:rPr>
        <w:t xml:space="preserve"> </w:t>
      </w:r>
      <w:r w:rsidR="0036067F">
        <w:rPr>
          <w:rFonts w:asciiTheme="minorHAnsi" w:hAnsiTheme="minorHAnsi"/>
          <w:color w:val="auto"/>
        </w:rPr>
        <w:t xml:space="preserve"> </w:t>
      </w:r>
      <w:r w:rsidR="00340980" w:rsidRPr="00340980">
        <w:rPr>
          <w:rFonts w:asciiTheme="minorHAnsi" w:hAnsiTheme="minorHAnsi"/>
          <w:color w:val="auto"/>
        </w:rPr>
        <w:t xml:space="preserve">This advice was taken and acted upon in good faith. </w:t>
      </w:r>
      <w:r w:rsidR="009C57A4">
        <w:rPr>
          <w:rFonts w:asciiTheme="minorHAnsi" w:hAnsiTheme="minorHAnsi"/>
          <w:color w:val="auto"/>
        </w:rPr>
        <w:t xml:space="preserve"> </w:t>
      </w:r>
      <w:r w:rsidR="00340980" w:rsidRPr="00340980">
        <w:rPr>
          <w:rFonts w:asciiTheme="minorHAnsi" w:hAnsiTheme="minorHAnsi"/>
          <w:color w:val="auto"/>
        </w:rPr>
        <w:t>Only later when in the VA system, did the full weight</w:t>
      </w:r>
      <w:r w:rsidR="00340980">
        <w:rPr>
          <w:rFonts w:asciiTheme="minorHAnsi" w:hAnsiTheme="minorHAnsi"/>
          <w:color w:val="auto"/>
        </w:rPr>
        <w:t xml:space="preserve"> </w:t>
      </w:r>
      <w:r w:rsidR="00340980" w:rsidRPr="00340980">
        <w:rPr>
          <w:rFonts w:asciiTheme="minorHAnsi" w:hAnsiTheme="minorHAnsi"/>
          <w:color w:val="auto"/>
        </w:rPr>
        <w:t>of</w:t>
      </w:r>
      <w:r w:rsidR="00340980">
        <w:rPr>
          <w:rFonts w:asciiTheme="minorHAnsi" w:hAnsiTheme="minorHAnsi"/>
          <w:color w:val="auto"/>
        </w:rPr>
        <w:t xml:space="preserve"> </w:t>
      </w:r>
      <w:r w:rsidR="00340980" w:rsidRPr="00340980">
        <w:rPr>
          <w:rFonts w:asciiTheme="minorHAnsi" w:hAnsiTheme="minorHAnsi"/>
          <w:color w:val="auto"/>
        </w:rPr>
        <w:t>that decision become apparent.</w:t>
      </w:r>
      <w:r w:rsidR="0036067F">
        <w:rPr>
          <w:rFonts w:asciiTheme="minorHAnsi" w:hAnsiTheme="minorHAnsi"/>
          <w:color w:val="auto"/>
        </w:rPr>
        <w:t xml:space="preserve"> </w:t>
      </w:r>
      <w:r w:rsidR="00340980" w:rsidRPr="00340980">
        <w:rPr>
          <w:rFonts w:asciiTheme="minorHAnsi" w:hAnsiTheme="minorHAnsi"/>
          <w:color w:val="auto"/>
        </w:rPr>
        <w:t xml:space="preserve"> The trigeminal neuralgia was only one symptom from </w:t>
      </w:r>
      <w:r w:rsidR="00340980" w:rsidRPr="00012F18">
        <w:rPr>
          <w:rFonts w:asciiTheme="minorHAnsi" w:hAnsiTheme="minorHAnsi"/>
          <w:color w:val="auto"/>
        </w:rPr>
        <w:t>an accident</w:t>
      </w:r>
      <w:r w:rsidR="00340980" w:rsidRPr="00340980">
        <w:rPr>
          <w:rFonts w:asciiTheme="minorHAnsi" w:hAnsiTheme="minorHAnsi"/>
          <w:color w:val="auto"/>
        </w:rPr>
        <w:t xml:space="preserve"> during military experiences</w:t>
      </w:r>
      <w:r w:rsidR="00340980">
        <w:rPr>
          <w:rFonts w:asciiTheme="minorHAnsi" w:hAnsiTheme="minorHAnsi"/>
          <w:color w:val="auto"/>
        </w:rPr>
        <w:t xml:space="preserve"> </w:t>
      </w:r>
      <w:r w:rsidR="00340980" w:rsidRPr="00340980">
        <w:rPr>
          <w:rFonts w:asciiTheme="minorHAnsi" w:hAnsiTheme="minorHAnsi"/>
          <w:color w:val="auto"/>
        </w:rPr>
        <w:t xml:space="preserve">that included an array of chronic symptoms and disability to include: </w:t>
      </w:r>
      <w:r w:rsidR="0036067F">
        <w:rPr>
          <w:rFonts w:asciiTheme="minorHAnsi" w:hAnsiTheme="minorHAnsi"/>
          <w:color w:val="auto"/>
        </w:rPr>
        <w:t xml:space="preserve"> </w:t>
      </w:r>
      <w:r w:rsidR="00B24F22">
        <w:rPr>
          <w:rFonts w:asciiTheme="minorHAnsi" w:hAnsiTheme="minorHAnsi"/>
          <w:color w:val="auto"/>
        </w:rPr>
        <w:t>posttraumatic stress disorder (</w:t>
      </w:r>
      <w:r w:rsidR="00340980" w:rsidRPr="00340980">
        <w:rPr>
          <w:rFonts w:asciiTheme="minorHAnsi" w:hAnsiTheme="minorHAnsi"/>
          <w:color w:val="auto"/>
        </w:rPr>
        <w:t>PTSD</w:t>
      </w:r>
      <w:r w:rsidR="00B24F22">
        <w:rPr>
          <w:rFonts w:asciiTheme="minorHAnsi" w:hAnsiTheme="minorHAnsi"/>
          <w:color w:val="auto"/>
        </w:rPr>
        <w:t>)</w:t>
      </w:r>
      <w:r w:rsidR="00340980" w:rsidRPr="00340980">
        <w:rPr>
          <w:rFonts w:asciiTheme="minorHAnsi" w:hAnsiTheme="minorHAnsi"/>
          <w:color w:val="auto"/>
        </w:rPr>
        <w:t>, chronic headaches, depression, nightmares, joint problems, severe and</w:t>
      </w:r>
      <w:r w:rsidR="00340980">
        <w:rPr>
          <w:rFonts w:asciiTheme="minorHAnsi" w:hAnsiTheme="minorHAnsi"/>
          <w:color w:val="auto"/>
        </w:rPr>
        <w:t xml:space="preserve"> chronic pain, etc.</w:t>
      </w:r>
      <w:r w:rsidR="00340980" w:rsidRPr="00340980">
        <w:rPr>
          <w:rFonts w:asciiTheme="minorHAnsi" w:hAnsiTheme="minorHAnsi"/>
          <w:color w:val="auto"/>
        </w:rPr>
        <w:t xml:space="preserve"> </w:t>
      </w:r>
      <w:r w:rsidR="0036067F">
        <w:rPr>
          <w:rFonts w:asciiTheme="minorHAnsi" w:hAnsiTheme="minorHAnsi"/>
          <w:color w:val="auto"/>
        </w:rPr>
        <w:t xml:space="preserve"> </w:t>
      </w:r>
      <w:r w:rsidR="00340980" w:rsidRPr="00340980">
        <w:rPr>
          <w:rFonts w:asciiTheme="minorHAnsi" w:hAnsiTheme="minorHAnsi"/>
          <w:color w:val="auto"/>
        </w:rPr>
        <w:t>Though trigeminal neuralgia was identified as the primary causation for separation, it was in fact only one symptom of a much</w:t>
      </w:r>
      <w:r w:rsidR="00340980">
        <w:rPr>
          <w:rFonts w:asciiTheme="minorHAnsi" w:hAnsiTheme="minorHAnsi"/>
          <w:color w:val="auto"/>
        </w:rPr>
        <w:t xml:space="preserve"> </w:t>
      </w:r>
      <w:r w:rsidR="00340980" w:rsidRPr="00340980">
        <w:rPr>
          <w:rFonts w:asciiTheme="minorHAnsi" w:hAnsiTheme="minorHAnsi"/>
          <w:color w:val="auto"/>
        </w:rPr>
        <w:t>larger problem that continues to exist on a daily basis</w:t>
      </w:r>
      <w:r w:rsidR="00340980">
        <w:rPr>
          <w:rFonts w:asciiTheme="minorHAnsi" w:hAnsiTheme="minorHAnsi"/>
          <w:color w:val="auto"/>
        </w:rPr>
        <w:t>.</w:t>
      </w:r>
      <w:r w:rsidR="00340980" w:rsidRPr="00340980">
        <w:rPr>
          <w:rFonts w:asciiTheme="minorHAnsi" w:hAnsiTheme="minorHAnsi"/>
          <w:color w:val="auto"/>
        </w:rPr>
        <w:t xml:space="preserve"> </w:t>
      </w:r>
      <w:r w:rsidR="0036067F">
        <w:rPr>
          <w:rFonts w:asciiTheme="minorHAnsi" w:hAnsiTheme="minorHAnsi"/>
          <w:color w:val="auto"/>
        </w:rPr>
        <w:t xml:space="preserve"> </w:t>
      </w:r>
      <w:r w:rsidR="00340980" w:rsidRPr="00340980">
        <w:rPr>
          <w:rFonts w:asciiTheme="minorHAnsi" w:hAnsiTheme="minorHAnsi"/>
          <w:color w:val="auto"/>
        </w:rPr>
        <w:t>Secondly, total active military service includ</w:t>
      </w:r>
      <w:r w:rsidR="00340980">
        <w:rPr>
          <w:rFonts w:asciiTheme="minorHAnsi" w:hAnsiTheme="minorHAnsi"/>
          <w:color w:val="auto"/>
        </w:rPr>
        <w:t>e</w:t>
      </w:r>
      <w:r w:rsidR="00340980" w:rsidRPr="00340980">
        <w:rPr>
          <w:rFonts w:asciiTheme="minorHAnsi" w:hAnsiTheme="minorHAnsi"/>
          <w:color w:val="auto"/>
        </w:rPr>
        <w:t>d time in the US Navy and US Coast Guard,</w:t>
      </w:r>
      <w:r w:rsidR="00340980">
        <w:rPr>
          <w:rFonts w:asciiTheme="minorHAnsi" w:hAnsiTheme="minorHAnsi"/>
          <w:color w:val="auto"/>
        </w:rPr>
        <w:t xml:space="preserve"> </w:t>
      </w:r>
      <w:r w:rsidR="00340980" w:rsidRPr="00340980">
        <w:rPr>
          <w:rFonts w:asciiTheme="minorHAnsi" w:hAnsiTheme="minorHAnsi"/>
          <w:color w:val="auto"/>
        </w:rPr>
        <w:t>which included accidents and physical events related to military service.</w:t>
      </w:r>
      <w:r w:rsidR="0036067F">
        <w:rPr>
          <w:rFonts w:asciiTheme="minorHAnsi" w:hAnsiTheme="minorHAnsi"/>
          <w:color w:val="auto"/>
        </w:rPr>
        <w:t xml:space="preserve"> </w:t>
      </w:r>
      <w:r w:rsidR="00340980" w:rsidRPr="00340980">
        <w:rPr>
          <w:rFonts w:asciiTheme="minorHAnsi" w:hAnsiTheme="minorHAnsi"/>
          <w:color w:val="auto"/>
        </w:rPr>
        <w:t xml:space="preserve"> When joining the Air Force, these injuries were not disqualifying, but</w:t>
      </w:r>
      <w:r w:rsidR="00340980">
        <w:rPr>
          <w:rFonts w:asciiTheme="minorHAnsi" w:hAnsiTheme="minorHAnsi"/>
          <w:color w:val="auto"/>
        </w:rPr>
        <w:t xml:space="preserve"> </w:t>
      </w:r>
      <w:r w:rsidR="00340980" w:rsidRPr="00340980">
        <w:rPr>
          <w:rFonts w:asciiTheme="minorHAnsi" w:hAnsiTheme="minorHAnsi"/>
          <w:color w:val="auto"/>
        </w:rPr>
        <w:t>when being reviewed for medi</w:t>
      </w:r>
      <w:r w:rsidR="00340980">
        <w:rPr>
          <w:rFonts w:asciiTheme="minorHAnsi" w:hAnsiTheme="minorHAnsi"/>
          <w:color w:val="auto"/>
        </w:rPr>
        <w:t>c</w:t>
      </w:r>
      <w:r w:rsidR="00340980" w:rsidRPr="00340980">
        <w:rPr>
          <w:rFonts w:asciiTheme="minorHAnsi" w:hAnsiTheme="minorHAnsi"/>
          <w:color w:val="auto"/>
        </w:rPr>
        <w:t>al separation, only one symptom and events from service with t</w:t>
      </w:r>
      <w:r w:rsidR="00340980">
        <w:rPr>
          <w:rFonts w:asciiTheme="minorHAnsi" w:hAnsiTheme="minorHAnsi"/>
          <w:color w:val="auto"/>
        </w:rPr>
        <w:t>h</w:t>
      </w:r>
      <w:r w:rsidR="00340980" w:rsidRPr="00340980">
        <w:rPr>
          <w:rFonts w:asciiTheme="minorHAnsi" w:hAnsiTheme="minorHAnsi"/>
          <w:color w:val="auto"/>
        </w:rPr>
        <w:t xml:space="preserve">e Air Force were considered, </w:t>
      </w:r>
      <w:r w:rsidR="001423CB" w:rsidRPr="00340980">
        <w:rPr>
          <w:rFonts w:asciiTheme="minorHAnsi" w:hAnsiTheme="minorHAnsi"/>
          <w:color w:val="auto"/>
        </w:rPr>
        <w:t>the</w:t>
      </w:r>
      <w:r w:rsidR="00340980" w:rsidRPr="00340980">
        <w:rPr>
          <w:rFonts w:asciiTheme="minorHAnsi" w:hAnsiTheme="minorHAnsi"/>
          <w:color w:val="auto"/>
        </w:rPr>
        <w:t xml:space="preserve"> possible relation</w:t>
      </w:r>
      <w:r w:rsidR="00340980">
        <w:rPr>
          <w:rFonts w:asciiTheme="minorHAnsi" w:hAnsiTheme="minorHAnsi"/>
          <w:color w:val="auto"/>
        </w:rPr>
        <w:t xml:space="preserve"> </w:t>
      </w:r>
      <w:r w:rsidR="00340980" w:rsidRPr="00340980">
        <w:rPr>
          <w:rFonts w:asciiTheme="minorHAnsi" w:hAnsiTheme="minorHAnsi"/>
          <w:color w:val="auto"/>
        </w:rPr>
        <w:t>or total sum of</w:t>
      </w:r>
      <w:r w:rsidR="00340980">
        <w:rPr>
          <w:rFonts w:asciiTheme="minorHAnsi" w:hAnsiTheme="minorHAnsi"/>
          <w:color w:val="auto"/>
        </w:rPr>
        <w:t xml:space="preserve"> </w:t>
      </w:r>
      <w:r w:rsidR="00340980" w:rsidRPr="00340980">
        <w:rPr>
          <w:rFonts w:asciiTheme="minorHAnsi" w:hAnsiTheme="minorHAnsi"/>
          <w:color w:val="auto"/>
        </w:rPr>
        <w:t>injur</w:t>
      </w:r>
      <w:r w:rsidR="00340980">
        <w:rPr>
          <w:rFonts w:asciiTheme="minorHAnsi" w:hAnsiTheme="minorHAnsi"/>
          <w:color w:val="auto"/>
        </w:rPr>
        <w:t>ies was not assessed.</w:t>
      </w:r>
      <w:r w:rsidR="006A17F4">
        <w:rPr>
          <w:rFonts w:asciiTheme="minorHAnsi" w:hAnsiTheme="minorHAnsi"/>
          <w:color w:val="auto"/>
        </w:rPr>
        <w:t>”</w:t>
      </w:r>
      <w:r w:rsidR="00012F18">
        <w:rPr>
          <w:rFonts w:asciiTheme="minorHAnsi" w:hAnsiTheme="minorHAnsi"/>
          <w:color w:val="auto"/>
        </w:rPr>
        <w:t xml:space="preserve">  </w:t>
      </w:r>
      <w:r w:rsidR="00ED5284" w:rsidRPr="00340980">
        <w:rPr>
          <w:rFonts w:eastAsiaTheme="minorHAnsi" w:cstheme="minorBidi"/>
          <w:color w:val="auto"/>
          <w:szCs w:val="24"/>
        </w:rPr>
        <w:t>He</w:t>
      </w:r>
      <w:r w:rsidR="00ED5284" w:rsidRPr="005C4D72">
        <w:rPr>
          <w:rFonts w:eastAsiaTheme="minorHAnsi" w:cstheme="minorBidi"/>
          <w:color w:val="auto"/>
          <w:szCs w:val="24"/>
        </w:rPr>
        <w:t xml:space="preserve"> additionally lists all of his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5E02DC" w:rsidRDefault="005E02DC" w:rsidP="00510F9C">
      <w:pPr>
        <w:spacing w:line="240" w:lineRule="exact"/>
        <w:rPr>
          <w:rFonts w:asciiTheme="minorHAnsi" w:hAnsiTheme="minorHAnsi"/>
          <w:color w:val="auto"/>
          <w:u w:val="single"/>
        </w:rPr>
      </w:pPr>
    </w:p>
    <w:p w:rsidR="002151AB"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5E02DC" w:rsidRPr="00FF1022" w:rsidRDefault="005E02DC"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743455" w:rsidRDefault="00B731E4" w:rsidP="00E74539">
            <w:pPr>
              <w:spacing w:line="200" w:lineRule="exact"/>
              <w:contextualSpacing/>
              <w:jc w:val="center"/>
              <w:rPr>
                <w:b/>
                <w:color w:val="auto"/>
                <w:sz w:val="18"/>
                <w:szCs w:val="18"/>
              </w:rPr>
            </w:pPr>
            <w:r w:rsidRPr="00743455">
              <w:rPr>
                <w:b/>
                <w:color w:val="auto"/>
                <w:sz w:val="18"/>
                <w:szCs w:val="18"/>
              </w:rPr>
              <w:t xml:space="preserve">Service </w:t>
            </w:r>
            <w:r w:rsidR="00B24F22">
              <w:rPr>
                <w:b/>
                <w:color w:val="auto"/>
                <w:sz w:val="18"/>
                <w:szCs w:val="18"/>
              </w:rPr>
              <w:t>PEB</w:t>
            </w:r>
            <w:r w:rsidRPr="00743455">
              <w:rPr>
                <w:b/>
                <w:color w:val="auto"/>
                <w:sz w:val="18"/>
                <w:szCs w:val="18"/>
              </w:rPr>
              <w:t xml:space="preserve"> – Dated 200</w:t>
            </w:r>
            <w:r w:rsidR="00E74539" w:rsidRPr="00743455">
              <w:rPr>
                <w:b/>
                <w:color w:val="auto"/>
                <w:sz w:val="18"/>
                <w:szCs w:val="18"/>
              </w:rPr>
              <w:t>40414</w:t>
            </w:r>
          </w:p>
        </w:tc>
        <w:tc>
          <w:tcPr>
            <w:tcW w:w="5418" w:type="dxa"/>
            <w:gridSpan w:val="4"/>
            <w:tcBorders>
              <w:left w:val="thinThickThinSmallGap" w:sz="24" w:space="0" w:color="auto"/>
            </w:tcBorders>
            <w:shd w:val="clear" w:color="auto" w:fill="D9D9D9" w:themeFill="background1" w:themeFillShade="D9"/>
            <w:vAlign w:val="center"/>
          </w:tcPr>
          <w:p w:rsidR="002B4E22" w:rsidRPr="00743455" w:rsidRDefault="002B4E22" w:rsidP="00E74539">
            <w:pPr>
              <w:spacing w:line="200" w:lineRule="exact"/>
              <w:contextualSpacing/>
              <w:jc w:val="center"/>
              <w:rPr>
                <w:b/>
                <w:color w:val="auto"/>
                <w:sz w:val="18"/>
                <w:szCs w:val="18"/>
              </w:rPr>
            </w:pPr>
            <w:r w:rsidRPr="00743455">
              <w:rPr>
                <w:b/>
                <w:color w:val="auto"/>
                <w:sz w:val="18"/>
                <w:szCs w:val="18"/>
              </w:rPr>
              <w:t>VA (</w:t>
            </w:r>
            <w:r w:rsidR="00E74539" w:rsidRPr="00743455">
              <w:rPr>
                <w:b/>
                <w:color w:val="auto"/>
                <w:sz w:val="18"/>
                <w:szCs w:val="18"/>
              </w:rPr>
              <w:t>~3</w:t>
            </w:r>
            <w:r w:rsidR="0079154B" w:rsidRPr="00743455">
              <w:rPr>
                <w:b/>
                <w:color w:val="auto"/>
                <w:sz w:val="18"/>
                <w:szCs w:val="18"/>
              </w:rPr>
              <w:t xml:space="preserve"> </w:t>
            </w:r>
            <w:r w:rsidRPr="00743455">
              <w:rPr>
                <w:b/>
                <w:color w:val="auto"/>
                <w:sz w:val="18"/>
                <w:szCs w:val="18"/>
              </w:rPr>
              <w:t>Mo. Pr</w:t>
            </w:r>
            <w:r w:rsidR="007272F1" w:rsidRPr="00743455">
              <w:rPr>
                <w:b/>
                <w:color w:val="auto"/>
                <w:sz w:val="18"/>
                <w:szCs w:val="18"/>
              </w:rPr>
              <w:t>e</w:t>
            </w:r>
            <w:r w:rsidRPr="00743455">
              <w:rPr>
                <w:b/>
                <w:color w:val="auto"/>
                <w:sz w:val="18"/>
                <w:szCs w:val="18"/>
              </w:rPr>
              <w:t xml:space="preserve"> Separation) – All Effective Date </w:t>
            </w:r>
            <w:r w:rsidR="002D08F3" w:rsidRPr="00743455">
              <w:rPr>
                <w:b/>
                <w:color w:val="auto"/>
                <w:sz w:val="18"/>
                <w:szCs w:val="18"/>
              </w:rPr>
              <w:t>200</w:t>
            </w:r>
            <w:r w:rsidR="00E74539" w:rsidRPr="00743455">
              <w:rPr>
                <w:b/>
                <w:color w:val="auto"/>
                <w:sz w:val="18"/>
                <w:szCs w:val="18"/>
              </w:rPr>
              <w:t>40703</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743455" w:rsidRDefault="002B4E22" w:rsidP="00B0472F">
            <w:pPr>
              <w:spacing w:line="200" w:lineRule="exact"/>
              <w:contextualSpacing/>
              <w:jc w:val="center"/>
              <w:rPr>
                <w:b/>
                <w:color w:val="auto"/>
                <w:sz w:val="18"/>
                <w:szCs w:val="18"/>
              </w:rPr>
            </w:pPr>
            <w:r w:rsidRPr="00743455">
              <w:rPr>
                <w:b/>
                <w:color w:val="auto"/>
                <w:sz w:val="18"/>
                <w:szCs w:val="18"/>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743455" w:rsidRDefault="00E74539" w:rsidP="00B0472F">
            <w:pPr>
              <w:spacing w:line="180" w:lineRule="exact"/>
              <w:contextualSpacing/>
              <w:rPr>
                <w:color w:val="auto"/>
                <w:sz w:val="18"/>
                <w:szCs w:val="18"/>
              </w:rPr>
            </w:pPr>
            <w:r w:rsidRPr="00743455">
              <w:rPr>
                <w:color w:val="auto"/>
                <w:sz w:val="18"/>
                <w:szCs w:val="18"/>
              </w:rPr>
              <w:t>Trigeminal Neuralgia</w:t>
            </w:r>
          </w:p>
        </w:tc>
        <w:tc>
          <w:tcPr>
            <w:tcW w:w="1062" w:type="dxa"/>
            <w:tcBorders>
              <w:left w:val="single" w:sz="4" w:space="0" w:color="auto"/>
            </w:tcBorders>
            <w:shd w:val="clear" w:color="auto" w:fill="FFFFFF" w:themeFill="background1"/>
            <w:vAlign w:val="center"/>
          </w:tcPr>
          <w:p w:rsidR="002D08F3" w:rsidRPr="00743455" w:rsidRDefault="00E74539" w:rsidP="00B0472F">
            <w:pPr>
              <w:spacing w:line="180" w:lineRule="exact"/>
              <w:contextualSpacing/>
              <w:jc w:val="center"/>
              <w:rPr>
                <w:color w:val="auto"/>
                <w:sz w:val="18"/>
                <w:szCs w:val="18"/>
              </w:rPr>
            </w:pPr>
            <w:r w:rsidRPr="00743455">
              <w:rPr>
                <w:color w:val="auto"/>
                <w:sz w:val="18"/>
                <w:szCs w:val="18"/>
              </w:rPr>
              <w:t>8405</w:t>
            </w:r>
          </w:p>
        </w:tc>
        <w:tc>
          <w:tcPr>
            <w:tcW w:w="900" w:type="dxa"/>
            <w:tcBorders>
              <w:right w:val="thinThickThinSmallGap" w:sz="24" w:space="0" w:color="auto"/>
            </w:tcBorders>
            <w:shd w:val="clear" w:color="auto" w:fill="FFFFFF" w:themeFill="background1"/>
            <w:vAlign w:val="center"/>
          </w:tcPr>
          <w:p w:rsidR="002D08F3" w:rsidRPr="00743455" w:rsidRDefault="00E74539" w:rsidP="00B0472F">
            <w:pPr>
              <w:spacing w:line="180" w:lineRule="exact"/>
              <w:contextualSpacing/>
              <w:jc w:val="center"/>
              <w:rPr>
                <w:color w:val="auto"/>
                <w:sz w:val="18"/>
                <w:szCs w:val="18"/>
                <w:highlight w:val="yellow"/>
              </w:rPr>
            </w:pPr>
            <w:r w:rsidRPr="00743455">
              <w:rPr>
                <w:color w:val="auto"/>
                <w:sz w:val="18"/>
                <w:szCs w:val="18"/>
              </w:rPr>
              <w:t>10</w:t>
            </w:r>
            <w:r w:rsidR="002D08F3" w:rsidRPr="00743455">
              <w:rPr>
                <w:color w:val="auto"/>
                <w:sz w:val="18"/>
                <w:szCs w:val="18"/>
              </w:rPr>
              <w:t>%</w:t>
            </w:r>
          </w:p>
        </w:tc>
        <w:tc>
          <w:tcPr>
            <w:tcW w:w="2538" w:type="dxa"/>
            <w:tcBorders>
              <w:left w:val="thinThickThinSmallGap" w:sz="24" w:space="0" w:color="auto"/>
            </w:tcBorders>
            <w:shd w:val="clear" w:color="auto" w:fill="FFFFFF" w:themeFill="background1"/>
            <w:vAlign w:val="center"/>
          </w:tcPr>
          <w:p w:rsidR="002D08F3" w:rsidRPr="00743455" w:rsidRDefault="00E74539" w:rsidP="00B0472F">
            <w:pPr>
              <w:spacing w:line="180" w:lineRule="exact"/>
              <w:contextualSpacing/>
              <w:rPr>
                <w:color w:val="auto"/>
                <w:sz w:val="18"/>
                <w:szCs w:val="18"/>
              </w:rPr>
            </w:pPr>
            <w:r w:rsidRPr="00743455">
              <w:rPr>
                <w:color w:val="auto"/>
                <w:sz w:val="18"/>
                <w:szCs w:val="18"/>
              </w:rPr>
              <w:t>Trigeminal Neuralgia</w:t>
            </w:r>
          </w:p>
        </w:tc>
        <w:tc>
          <w:tcPr>
            <w:tcW w:w="1062" w:type="dxa"/>
            <w:shd w:val="clear" w:color="auto" w:fill="FFFFFF" w:themeFill="background1"/>
            <w:vAlign w:val="center"/>
          </w:tcPr>
          <w:p w:rsidR="002D08F3" w:rsidRPr="00743455" w:rsidRDefault="00E74539" w:rsidP="00B0472F">
            <w:pPr>
              <w:spacing w:line="180" w:lineRule="exact"/>
              <w:contextualSpacing/>
              <w:jc w:val="center"/>
              <w:rPr>
                <w:color w:val="auto"/>
                <w:sz w:val="18"/>
                <w:szCs w:val="18"/>
              </w:rPr>
            </w:pPr>
            <w:r w:rsidRPr="00743455">
              <w:rPr>
                <w:color w:val="auto"/>
                <w:sz w:val="18"/>
                <w:szCs w:val="18"/>
              </w:rPr>
              <w:t>8405</w:t>
            </w:r>
          </w:p>
        </w:tc>
        <w:tc>
          <w:tcPr>
            <w:tcW w:w="828" w:type="dxa"/>
            <w:shd w:val="clear" w:color="auto" w:fill="FFFFFF" w:themeFill="background1"/>
            <w:vAlign w:val="center"/>
          </w:tcPr>
          <w:p w:rsidR="002D08F3" w:rsidRPr="00743455" w:rsidRDefault="00E74539" w:rsidP="00B0472F">
            <w:pPr>
              <w:spacing w:line="180" w:lineRule="exact"/>
              <w:contextualSpacing/>
              <w:jc w:val="center"/>
              <w:rPr>
                <w:color w:val="auto"/>
                <w:sz w:val="18"/>
                <w:szCs w:val="18"/>
              </w:rPr>
            </w:pPr>
            <w:r w:rsidRPr="00743455">
              <w:rPr>
                <w:color w:val="auto"/>
                <w:sz w:val="18"/>
                <w:szCs w:val="18"/>
              </w:rPr>
              <w:t>10</w:t>
            </w:r>
            <w:r w:rsidR="002D08F3" w:rsidRPr="00743455">
              <w:rPr>
                <w:color w:val="auto"/>
                <w:sz w:val="18"/>
                <w:szCs w:val="18"/>
              </w:rPr>
              <w:t>%</w:t>
            </w:r>
          </w:p>
        </w:tc>
        <w:tc>
          <w:tcPr>
            <w:tcW w:w="990" w:type="dxa"/>
            <w:shd w:val="clear" w:color="auto" w:fill="FFFFFF" w:themeFill="background1"/>
            <w:vAlign w:val="center"/>
          </w:tcPr>
          <w:p w:rsidR="002D08F3" w:rsidRPr="00743455" w:rsidRDefault="002D08F3" w:rsidP="00E74539">
            <w:pPr>
              <w:spacing w:line="180" w:lineRule="exact"/>
              <w:contextualSpacing/>
              <w:jc w:val="center"/>
              <w:rPr>
                <w:color w:val="auto"/>
                <w:sz w:val="18"/>
                <w:szCs w:val="18"/>
              </w:rPr>
            </w:pPr>
            <w:r w:rsidRPr="00743455">
              <w:rPr>
                <w:color w:val="auto"/>
                <w:sz w:val="18"/>
                <w:szCs w:val="18"/>
              </w:rPr>
              <w:t>200</w:t>
            </w:r>
            <w:r w:rsidR="00E74539" w:rsidRPr="00743455">
              <w:rPr>
                <w:color w:val="auto"/>
                <w:sz w:val="18"/>
                <w:szCs w:val="18"/>
              </w:rPr>
              <w:t>41116</w:t>
            </w:r>
          </w:p>
        </w:tc>
      </w:tr>
      <w:tr w:rsidR="00DD2F41" w:rsidRPr="002A4119" w:rsidTr="003762F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highlight w:val="yellow"/>
              </w:rPr>
            </w:pPr>
            <w:r w:rsidRPr="00743455">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DD2F41" w:rsidRPr="00743455" w:rsidRDefault="00DD2F41" w:rsidP="006400E9">
            <w:pPr>
              <w:spacing w:line="240" w:lineRule="exact"/>
              <w:contextualSpacing/>
              <w:rPr>
                <w:color w:val="auto"/>
                <w:sz w:val="18"/>
                <w:szCs w:val="18"/>
              </w:rPr>
            </w:pPr>
            <w:r w:rsidRPr="00743455">
              <w:rPr>
                <w:color w:val="auto"/>
                <w:sz w:val="18"/>
                <w:szCs w:val="18"/>
              </w:rPr>
              <w:t>TMJ Dysfunction</w:t>
            </w:r>
          </w:p>
        </w:tc>
        <w:tc>
          <w:tcPr>
            <w:tcW w:w="1062" w:type="dxa"/>
            <w:tcBorders>
              <w:left w:val="single" w:sz="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9905</w:t>
            </w:r>
          </w:p>
        </w:tc>
        <w:tc>
          <w:tcPr>
            <w:tcW w:w="828" w:type="dxa"/>
            <w:shd w:val="clear" w:color="auto" w:fill="FFFFFF" w:themeFill="background1"/>
            <w:vAlign w:val="center"/>
          </w:tcPr>
          <w:p w:rsidR="00DD2F41" w:rsidRPr="00743455" w:rsidRDefault="00DD2F41" w:rsidP="00743455">
            <w:pPr>
              <w:spacing w:line="240" w:lineRule="exact"/>
              <w:contextualSpacing/>
              <w:jc w:val="center"/>
              <w:rPr>
                <w:color w:val="auto"/>
                <w:sz w:val="18"/>
                <w:szCs w:val="18"/>
              </w:rPr>
            </w:pPr>
            <w:r w:rsidRPr="00743455">
              <w:rPr>
                <w:color w:val="auto"/>
                <w:sz w:val="18"/>
                <w:szCs w:val="18"/>
              </w:rPr>
              <w:t>20%</w:t>
            </w:r>
            <w:r w:rsidR="004776DD" w:rsidRPr="00743455">
              <w:rPr>
                <w:color w:val="auto"/>
                <w:sz w:val="18"/>
                <w:szCs w:val="18"/>
              </w:rPr>
              <w:t>*</w:t>
            </w:r>
          </w:p>
        </w:tc>
        <w:tc>
          <w:tcPr>
            <w:tcW w:w="990" w:type="dxa"/>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20041116</w:t>
            </w:r>
          </w:p>
        </w:tc>
      </w:tr>
      <w:tr w:rsidR="00DD2F41" w:rsidRPr="002A4119" w:rsidTr="003762F7">
        <w:trPr>
          <w:trHeight w:val="287"/>
          <w:jc w:val="center"/>
        </w:trPr>
        <w:tc>
          <w:tcPr>
            <w:tcW w:w="4158" w:type="dxa"/>
            <w:gridSpan w:val="3"/>
            <w:vMerge/>
            <w:tcBorders>
              <w:right w:val="thinThickThinSmallGap" w:sz="2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DD2F41" w:rsidRPr="00743455" w:rsidRDefault="00012F18" w:rsidP="006400E9">
            <w:pPr>
              <w:spacing w:line="240" w:lineRule="exact"/>
              <w:contextualSpacing/>
              <w:rPr>
                <w:color w:val="auto"/>
                <w:sz w:val="18"/>
                <w:szCs w:val="18"/>
              </w:rPr>
            </w:pPr>
            <w:r w:rsidRPr="00743455">
              <w:rPr>
                <w:color w:val="auto"/>
                <w:sz w:val="18"/>
                <w:szCs w:val="18"/>
              </w:rPr>
              <w:t>Bilateral</w:t>
            </w:r>
            <w:r w:rsidR="00DD2F41" w:rsidRPr="00743455">
              <w:rPr>
                <w:color w:val="auto"/>
                <w:sz w:val="18"/>
                <w:szCs w:val="18"/>
              </w:rPr>
              <w:t xml:space="preserve"> Tinnitus</w:t>
            </w:r>
          </w:p>
        </w:tc>
        <w:tc>
          <w:tcPr>
            <w:tcW w:w="1062" w:type="dxa"/>
            <w:tcBorders>
              <w:left w:val="single" w:sz="4" w:space="0" w:color="auto"/>
              <w:right w:val="single" w:sz="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6260</w:t>
            </w:r>
          </w:p>
        </w:tc>
        <w:tc>
          <w:tcPr>
            <w:tcW w:w="828" w:type="dxa"/>
            <w:tcBorders>
              <w:left w:val="single" w:sz="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10%</w:t>
            </w:r>
          </w:p>
        </w:tc>
        <w:tc>
          <w:tcPr>
            <w:tcW w:w="990" w:type="dxa"/>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20041116</w:t>
            </w:r>
          </w:p>
        </w:tc>
      </w:tr>
      <w:tr w:rsidR="00DD2F41" w:rsidRPr="002A4119" w:rsidTr="00B0472F">
        <w:trPr>
          <w:trHeight w:val="260"/>
          <w:jc w:val="center"/>
        </w:trPr>
        <w:tc>
          <w:tcPr>
            <w:tcW w:w="4158" w:type="dxa"/>
            <w:gridSpan w:val="3"/>
            <w:vMerge/>
            <w:tcBorders>
              <w:right w:val="thinThickThinSmallGap" w:sz="2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DD2F41" w:rsidRPr="00743455" w:rsidRDefault="00012F18" w:rsidP="006400E9">
            <w:pPr>
              <w:spacing w:line="240" w:lineRule="exact"/>
              <w:contextualSpacing/>
              <w:rPr>
                <w:color w:val="auto"/>
                <w:sz w:val="18"/>
                <w:szCs w:val="18"/>
              </w:rPr>
            </w:pPr>
            <w:r w:rsidRPr="00743455">
              <w:rPr>
                <w:color w:val="auto"/>
                <w:sz w:val="18"/>
                <w:szCs w:val="18"/>
              </w:rPr>
              <w:t xml:space="preserve">Bilateral </w:t>
            </w:r>
            <w:r w:rsidR="00DD2F41" w:rsidRPr="00743455">
              <w:rPr>
                <w:color w:val="auto"/>
                <w:sz w:val="18"/>
                <w:szCs w:val="18"/>
              </w:rPr>
              <w:t>Plantar Fasciitis</w:t>
            </w:r>
          </w:p>
        </w:tc>
        <w:tc>
          <w:tcPr>
            <w:tcW w:w="1062" w:type="dxa"/>
            <w:tcBorders>
              <w:left w:val="single" w:sz="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5276</w:t>
            </w:r>
          </w:p>
        </w:tc>
        <w:tc>
          <w:tcPr>
            <w:tcW w:w="828" w:type="dxa"/>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10%</w:t>
            </w:r>
          </w:p>
        </w:tc>
        <w:tc>
          <w:tcPr>
            <w:tcW w:w="990" w:type="dxa"/>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20041116</w:t>
            </w:r>
          </w:p>
        </w:tc>
      </w:tr>
      <w:tr w:rsidR="00DD2F41" w:rsidRPr="002A4119" w:rsidTr="00B0472F">
        <w:trPr>
          <w:trHeight w:val="260"/>
          <w:jc w:val="center"/>
        </w:trPr>
        <w:tc>
          <w:tcPr>
            <w:tcW w:w="4158" w:type="dxa"/>
            <w:gridSpan w:val="3"/>
            <w:vMerge/>
            <w:tcBorders>
              <w:right w:val="thinThickThinSmallGap" w:sz="24" w:space="0" w:color="auto"/>
            </w:tcBorders>
            <w:shd w:val="clear" w:color="auto" w:fill="FFFFFF" w:themeFill="background1"/>
          </w:tcPr>
          <w:p w:rsidR="00DD2F41" w:rsidRPr="00743455" w:rsidRDefault="00DD2F41" w:rsidP="006400E9">
            <w:pPr>
              <w:spacing w:line="240" w:lineRule="exact"/>
              <w:contextualSpacing/>
              <w:jc w:val="center"/>
              <w:rPr>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rFonts w:cs="Times New Roman"/>
                <w:color w:val="auto"/>
                <w:sz w:val="18"/>
                <w:szCs w:val="18"/>
              </w:rPr>
              <w:t>0% x 3</w:t>
            </w:r>
            <w:r w:rsidR="004776DD" w:rsidRPr="00743455">
              <w:rPr>
                <w:rFonts w:cs="Times New Roman"/>
                <w:color w:val="auto"/>
                <w:sz w:val="18"/>
                <w:szCs w:val="18"/>
              </w:rPr>
              <w:t>**</w:t>
            </w:r>
            <w:r w:rsidRPr="00743455">
              <w:rPr>
                <w:rFonts w:cs="Times New Roman"/>
                <w:color w:val="auto"/>
                <w:sz w:val="18"/>
                <w:szCs w:val="18"/>
              </w:rPr>
              <w:t>/Not Service Connected x 12</w:t>
            </w:r>
          </w:p>
        </w:tc>
        <w:tc>
          <w:tcPr>
            <w:tcW w:w="990" w:type="dxa"/>
            <w:shd w:val="clear" w:color="auto" w:fill="FFFFFF" w:themeFill="background1"/>
            <w:vAlign w:val="center"/>
          </w:tcPr>
          <w:p w:rsidR="00DD2F41" w:rsidRPr="00743455" w:rsidRDefault="00DD2F41" w:rsidP="006400E9">
            <w:pPr>
              <w:spacing w:line="240" w:lineRule="exact"/>
              <w:contextualSpacing/>
              <w:jc w:val="center"/>
              <w:rPr>
                <w:color w:val="auto"/>
                <w:sz w:val="18"/>
                <w:szCs w:val="18"/>
              </w:rPr>
            </w:pPr>
            <w:r w:rsidRPr="00743455">
              <w:rPr>
                <w:color w:val="auto"/>
                <w:sz w:val="18"/>
                <w:szCs w:val="18"/>
              </w:rPr>
              <w:t>20041116</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743455" w:rsidRDefault="007A65A9" w:rsidP="00743455">
            <w:pPr>
              <w:spacing w:line="240" w:lineRule="exact"/>
              <w:contextualSpacing/>
              <w:jc w:val="center"/>
              <w:rPr>
                <w:b/>
                <w:color w:val="auto"/>
                <w:sz w:val="18"/>
                <w:szCs w:val="18"/>
              </w:rPr>
            </w:pPr>
            <w:r w:rsidRPr="00743455">
              <w:rPr>
                <w:b/>
                <w:color w:val="auto"/>
                <w:sz w:val="18"/>
                <w:szCs w:val="18"/>
              </w:rPr>
              <w:t xml:space="preserve">Combined: </w:t>
            </w:r>
            <w:r w:rsidR="006458FD" w:rsidRPr="00743455">
              <w:rPr>
                <w:b/>
                <w:color w:val="auto"/>
                <w:sz w:val="18"/>
                <w:szCs w:val="18"/>
              </w:rPr>
              <w:t xml:space="preserve"> </w:t>
            </w:r>
            <w:r w:rsidR="00E74539" w:rsidRPr="00743455">
              <w:rPr>
                <w:b/>
                <w:color w:val="auto"/>
                <w:sz w:val="18"/>
                <w:szCs w:val="18"/>
              </w:rPr>
              <w:t>10</w:t>
            </w:r>
            <w:r w:rsidRPr="00743455">
              <w:rPr>
                <w:b/>
                <w:color w:val="auto"/>
                <w:sz w:val="18"/>
                <w:szCs w:val="18"/>
              </w:rPr>
              <w:t>%</w:t>
            </w:r>
          </w:p>
        </w:tc>
        <w:tc>
          <w:tcPr>
            <w:tcW w:w="5418" w:type="dxa"/>
            <w:gridSpan w:val="4"/>
            <w:tcBorders>
              <w:left w:val="thinThickThinSmallGap" w:sz="24" w:space="0" w:color="auto"/>
            </w:tcBorders>
            <w:shd w:val="clear" w:color="auto" w:fill="D9D9D9" w:themeFill="background1" w:themeFillShade="D9"/>
            <w:vAlign w:val="center"/>
          </w:tcPr>
          <w:p w:rsidR="007A65A9" w:rsidRPr="00743455" w:rsidRDefault="007A65A9" w:rsidP="006400E9">
            <w:pPr>
              <w:spacing w:line="240" w:lineRule="exact"/>
              <w:contextualSpacing/>
              <w:jc w:val="center"/>
              <w:rPr>
                <w:b/>
                <w:color w:val="auto"/>
                <w:sz w:val="18"/>
                <w:szCs w:val="18"/>
              </w:rPr>
            </w:pPr>
            <w:r w:rsidRPr="00743455">
              <w:rPr>
                <w:b/>
                <w:color w:val="auto"/>
                <w:sz w:val="18"/>
                <w:szCs w:val="18"/>
              </w:rPr>
              <w:t xml:space="preserve">Combined:  </w:t>
            </w:r>
            <w:r w:rsidR="00DD2F41" w:rsidRPr="00743455">
              <w:rPr>
                <w:b/>
                <w:color w:val="auto"/>
                <w:sz w:val="18"/>
                <w:szCs w:val="18"/>
              </w:rPr>
              <w:t>4</w:t>
            </w:r>
            <w:r w:rsidR="006F0F9C" w:rsidRPr="00743455">
              <w:rPr>
                <w:b/>
                <w:color w:val="auto"/>
                <w:sz w:val="18"/>
                <w:szCs w:val="18"/>
              </w:rPr>
              <w:t>0</w:t>
            </w:r>
            <w:r w:rsidRPr="00743455">
              <w:rPr>
                <w:b/>
                <w:color w:val="auto"/>
                <w:sz w:val="18"/>
                <w:szCs w:val="18"/>
              </w:rPr>
              <w:t>%</w:t>
            </w:r>
            <w:r w:rsidR="00743455">
              <w:rPr>
                <w:b/>
                <w:color w:val="auto"/>
                <w:sz w:val="18"/>
                <w:szCs w:val="18"/>
              </w:rPr>
              <w:t>***</w:t>
            </w:r>
          </w:p>
        </w:tc>
      </w:tr>
    </w:tbl>
    <w:p w:rsidR="004776DD" w:rsidRPr="004776DD" w:rsidRDefault="008A5F32" w:rsidP="006400E9">
      <w:pPr>
        <w:pBdr>
          <w:bottom w:val="single" w:sz="12" w:space="1" w:color="auto"/>
        </w:pBdr>
        <w:tabs>
          <w:tab w:val="left" w:pos="288"/>
          <w:tab w:val="left" w:pos="4752"/>
        </w:tabs>
        <w:spacing w:line="240" w:lineRule="exact"/>
        <w:jc w:val="both"/>
        <w:rPr>
          <w:rFonts w:asciiTheme="minorHAnsi" w:hAnsiTheme="minorHAnsi"/>
          <w:color w:val="auto"/>
          <w:sz w:val="18"/>
        </w:rPr>
      </w:pPr>
      <w:r w:rsidRPr="008A5F32">
        <w:rPr>
          <w:rFonts w:asciiTheme="minorHAnsi" w:hAnsiTheme="minorHAnsi"/>
          <w:color w:val="auto"/>
          <w:sz w:val="18"/>
        </w:rPr>
        <w:t>PTSD at 50% added effective 20040813; 70% effective 20060801</w:t>
      </w:r>
      <w:r w:rsidR="008C35BA">
        <w:rPr>
          <w:rFonts w:asciiTheme="minorHAnsi" w:hAnsiTheme="minorHAnsi"/>
          <w:color w:val="auto"/>
          <w:sz w:val="18"/>
        </w:rPr>
        <w:t xml:space="preserve">; </w:t>
      </w:r>
      <w:r w:rsidR="00743455">
        <w:rPr>
          <w:rFonts w:asciiTheme="minorHAnsi" w:hAnsiTheme="minorHAnsi"/>
          <w:color w:val="auto"/>
          <w:sz w:val="18"/>
        </w:rPr>
        <w:t>*</w:t>
      </w:r>
      <w:r w:rsidR="00743455" w:rsidRPr="00743455">
        <w:rPr>
          <w:rFonts w:asciiTheme="minorHAnsi" w:hAnsiTheme="minorHAnsi"/>
          <w:color w:val="auto"/>
          <w:sz w:val="18"/>
        </w:rPr>
        <w:t xml:space="preserve"> </w:t>
      </w:r>
      <w:r w:rsidR="00743455">
        <w:rPr>
          <w:rFonts w:asciiTheme="minorHAnsi" w:hAnsiTheme="minorHAnsi"/>
          <w:color w:val="auto"/>
          <w:sz w:val="18"/>
        </w:rPr>
        <w:t>TMJ increased to 30% effective 20090622</w:t>
      </w:r>
      <w:r w:rsidR="008C35BA">
        <w:rPr>
          <w:rFonts w:asciiTheme="minorHAnsi" w:hAnsiTheme="minorHAnsi"/>
          <w:color w:val="auto"/>
          <w:sz w:val="18"/>
        </w:rPr>
        <w:t xml:space="preserve">; </w:t>
      </w:r>
      <w:r w:rsidR="004776DD">
        <w:rPr>
          <w:rFonts w:asciiTheme="minorHAnsi" w:hAnsiTheme="minorHAnsi"/>
          <w:color w:val="auto"/>
          <w:sz w:val="18"/>
        </w:rPr>
        <w:t xml:space="preserve">** Lumbar strain increased </w:t>
      </w:r>
      <w:r>
        <w:rPr>
          <w:rFonts w:asciiTheme="minorHAnsi" w:hAnsiTheme="minorHAnsi"/>
          <w:color w:val="auto"/>
          <w:sz w:val="18"/>
        </w:rPr>
        <w:t>from 0% t</w:t>
      </w:r>
      <w:r w:rsidR="004776DD">
        <w:rPr>
          <w:rFonts w:asciiTheme="minorHAnsi" w:hAnsiTheme="minorHAnsi"/>
          <w:color w:val="auto"/>
          <w:sz w:val="18"/>
        </w:rPr>
        <w:t>o 20% effective 20090318</w:t>
      </w:r>
      <w:r w:rsidR="00743455">
        <w:rPr>
          <w:rFonts w:asciiTheme="minorHAnsi" w:hAnsiTheme="minorHAnsi"/>
          <w:color w:val="auto"/>
          <w:sz w:val="18"/>
        </w:rPr>
        <w:t>.</w:t>
      </w:r>
      <w:r w:rsidR="00743455" w:rsidRPr="00743455">
        <w:rPr>
          <w:rFonts w:asciiTheme="minorHAnsi" w:hAnsiTheme="minorHAnsi"/>
          <w:color w:val="auto"/>
          <w:sz w:val="18"/>
        </w:rPr>
        <w:t xml:space="preserve"> </w:t>
      </w:r>
      <w:r w:rsidR="008C35BA">
        <w:rPr>
          <w:rFonts w:asciiTheme="minorHAnsi" w:hAnsiTheme="minorHAnsi"/>
          <w:color w:val="auto"/>
          <w:sz w:val="18"/>
        </w:rPr>
        <w:t>;</w:t>
      </w:r>
      <w:r w:rsidR="00743455">
        <w:rPr>
          <w:rFonts w:asciiTheme="minorHAnsi" w:hAnsiTheme="minorHAnsi"/>
          <w:color w:val="auto"/>
          <w:sz w:val="18"/>
        </w:rPr>
        <w:t>***70% from 20040813; 80% from 20060801; 90% from 20090318</w:t>
      </w:r>
    </w:p>
    <w:p w:rsidR="00B24F22" w:rsidRDefault="00B24F22" w:rsidP="008F3C7D">
      <w:pPr>
        <w:tabs>
          <w:tab w:val="left" w:pos="288"/>
          <w:tab w:val="left" w:pos="4752"/>
        </w:tabs>
        <w:spacing w:line="240" w:lineRule="exact"/>
        <w:jc w:val="both"/>
        <w:rPr>
          <w:rFonts w:asciiTheme="minorHAnsi" w:hAnsiTheme="minorHAnsi"/>
          <w:color w:val="auto"/>
          <w:szCs w:val="24"/>
          <w:u w:val="single"/>
        </w:rPr>
      </w:pPr>
    </w:p>
    <w:p w:rsidR="00012F18" w:rsidRDefault="002C6E5B" w:rsidP="008F3C7D">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D2115E">
        <w:rPr>
          <w:rFonts w:asciiTheme="minorHAnsi" w:hAnsiTheme="minorHAnsi"/>
          <w:color w:val="auto"/>
          <w:szCs w:val="24"/>
        </w:rPr>
        <w:t xml:space="preserve">  </w:t>
      </w:r>
      <w:r w:rsidR="008A5F32">
        <w:rPr>
          <w:color w:val="auto"/>
          <w:szCs w:val="24"/>
        </w:rPr>
        <w:t xml:space="preserve">The </w:t>
      </w:r>
      <w:r w:rsidR="00012F18" w:rsidRPr="00AF1A34">
        <w:rPr>
          <w:color w:val="auto"/>
          <w:szCs w:val="24"/>
        </w:rPr>
        <w:t>CI contention suggest</w:t>
      </w:r>
      <w:r w:rsidR="00C74977">
        <w:rPr>
          <w:color w:val="auto"/>
          <w:szCs w:val="24"/>
        </w:rPr>
        <w:t>s</w:t>
      </w:r>
      <w:r w:rsidR="00012F18" w:rsidRPr="00AF1A34">
        <w:rPr>
          <w:color w:val="auto"/>
          <w:szCs w:val="24"/>
        </w:rPr>
        <w:t xml:space="preserve"> that Service ratings should have been conferred for other conditions documented at the </w:t>
      </w:r>
      <w:r w:rsidR="00B24F22">
        <w:rPr>
          <w:color w:val="auto"/>
          <w:szCs w:val="24"/>
        </w:rPr>
        <w:t>time of separation.  While the DES considers all of the S</w:t>
      </w:r>
      <w:r w:rsidR="00012F18" w:rsidRPr="00AF1A34">
        <w:rPr>
          <w:color w:val="auto"/>
          <w:szCs w:val="24"/>
        </w:rPr>
        <w:t>ervice member's medical conditions, compensation can only be offered for those medical cond</w:t>
      </w:r>
      <w:r w:rsidR="00B24F22">
        <w:rPr>
          <w:color w:val="auto"/>
          <w:szCs w:val="24"/>
        </w:rPr>
        <w:t>itions that cut  short a S</w:t>
      </w:r>
      <w:r w:rsidR="00012F18" w:rsidRPr="00AF1A34">
        <w:rPr>
          <w:color w:val="auto"/>
          <w:szCs w:val="24"/>
        </w:rPr>
        <w:t xml:space="preserve">ervice member’s career, and then only to the degree of severity present at the time of final disposition.  The </w:t>
      </w:r>
      <w:r w:rsidR="00B24F22">
        <w:rPr>
          <w:color w:val="auto"/>
          <w:szCs w:val="24"/>
        </w:rPr>
        <w:t>Department of Veterans’ Affairs (</w:t>
      </w:r>
      <w:r w:rsidR="00012F18" w:rsidRPr="00AF1A34">
        <w:rPr>
          <w:color w:val="auto"/>
          <w:szCs w:val="24"/>
        </w:rPr>
        <w:t>DVA</w:t>
      </w:r>
      <w:r w:rsidR="00B24F22">
        <w:rPr>
          <w:color w:val="auto"/>
          <w:szCs w:val="24"/>
        </w:rPr>
        <w:t>)</w:t>
      </w:r>
      <w:r w:rsidR="00012F18" w:rsidRPr="00AF1A34">
        <w:rPr>
          <w:color w:val="auto"/>
          <w:szCs w:val="24"/>
        </w:rPr>
        <w:t xml:space="preserve">, however, is empowered to compensate </w:t>
      </w:r>
      <w:r w:rsidR="009C3A12">
        <w:rPr>
          <w:color w:val="auto"/>
          <w:szCs w:val="24"/>
        </w:rPr>
        <w:t xml:space="preserve">all </w:t>
      </w:r>
      <w:r w:rsidR="00012F18" w:rsidRPr="00AF1A34">
        <w:rPr>
          <w:color w:val="auto"/>
          <w:szCs w:val="24"/>
        </w:rPr>
        <w:t>service connected conditions</w:t>
      </w:r>
      <w:r w:rsidR="009C3A12">
        <w:rPr>
          <w:color w:val="auto"/>
          <w:szCs w:val="24"/>
        </w:rPr>
        <w:t xml:space="preserve"> without fitness consideration</w:t>
      </w:r>
      <w:r w:rsidR="00012F18" w:rsidRPr="00AF1A34">
        <w:rPr>
          <w:color w:val="auto"/>
          <w:szCs w:val="24"/>
        </w:rPr>
        <w:t xml:space="preserve"> and to periodically re-evaluate said conditions fo</w:t>
      </w:r>
      <w:r w:rsidR="00B24F22">
        <w:rPr>
          <w:color w:val="auto"/>
          <w:szCs w:val="24"/>
        </w:rPr>
        <w:t>r the purpose of adjusting the V</w:t>
      </w:r>
      <w:r w:rsidR="00012F18" w:rsidRPr="00AF1A34">
        <w:rPr>
          <w:color w:val="auto"/>
          <w:szCs w:val="24"/>
        </w:rPr>
        <w:t xml:space="preserve">eteran’s disability rating should </w:t>
      </w:r>
      <w:r w:rsidR="008F3C7D">
        <w:rPr>
          <w:color w:val="auto"/>
          <w:szCs w:val="24"/>
        </w:rPr>
        <w:t>the</w:t>
      </w:r>
      <w:r w:rsidR="00012F18" w:rsidRPr="00AF1A34">
        <w:rPr>
          <w:color w:val="auto"/>
          <w:szCs w:val="24"/>
        </w:rPr>
        <w:t xml:space="preserve"> degree of impairment vary over time.</w:t>
      </w:r>
      <w:r w:rsidR="008F3C7D">
        <w:rPr>
          <w:color w:val="auto"/>
          <w:szCs w:val="24"/>
        </w:rPr>
        <w:t xml:space="preserve">  </w:t>
      </w:r>
      <w:r w:rsidR="00012F18" w:rsidRPr="00BD1518">
        <w:rPr>
          <w:rFonts w:asciiTheme="minorHAnsi" w:hAnsiTheme="minorHAnsi"/>
          <w:color w:val="auto"/>
          <w:szCs w:val="24"/>
        </w:rPr>
        <w:t>It is noted for the record that the Board has neither the jurisdiction nor authority to scrutinize or render opinions in reference to the CI’s statements in the application regarding medical care or suspected DES improprieties in the processing of his case.</w:t>
      </w:r>
    </w:p>
    <w:p w:rsidR="00D267E2" w:rsidRPr="00B82CC0" w:rsidRDefault="00D267E2" w:rsidP="006400E9">
      <w:pPr>
        <w:spacing w:line="240" w:lineRule="exact"/>
        <w:rPr>
          <w:rFonts w:asciiTheme="minorHAnsi" w:hAnsiTheme="minorHAnsi"/>
          <w:color w:val="auto"/>
          <w:szCs w:val="24"/>
        </w:rPr>
      </w:pPr>
    </w:p>
    <w:p w:rsidR="00DB74B2" w:rsidRDefault="001C5C33" w:rsidP="00133E97">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Facial</w:t>
      </w:r>
      <w:r w:rsidR="005E0B73">
        <w:rPr>
          <w:rFonts w:asciiTheme="minorHAnsi" w:hAnsiTheme="minorHAnsi"/>
          <w:color w:val="auto"/>
          <w:szCs w:val="24"/>
          <w:u w:val="single"/>
        </w:rPr>
        <w:t xml:space="preserve"> </w:t>
      </w:r>
      <w:r w:rsidR="00AA394F">
        <w:rPr>
          <w:rFonts w:asciiTheme="minorHAnsi" w:hAnsiTheme="minorHAnsi"/>
          <w:color w:val="auto"/>
          <w:szCs w:val="24"/>
          <w:u w:val="single"/>
        </w:rPr>
        <w:t xml:space="preserve">Pain </w:t>
      </w:r>
      <w:r w:rsidR="003F2EEE" w:rsidRPr="00DD2F41">
        <w:rPr>
          <w:rFonts w:asciiTheme="minorHAnsi" w:hAnsiTheme="minorHAnsi"/>
          <w:color w:val="auto"/>
          <w:szCs w:val="24"/>
          <w:u w:val="single"/>
        </w:rPr>
        <w:t>Condition</w:t>
      </w:r>
      <w:r w:rsidR="00B7097E">
        <w:rPr>
          <w:rFonts w:asciiTheme="minorHAnsi" w:hAnsiTheme="minorHAnsi"/>
          <w:color w:val="auto"/>
          <w:szCs w:val="24"/>
        </w:rPr>
        <w:t>.</w:t>
      </w:r>
      <w:proofErr w:type="gramEnd"/>
      <w:r w:rsidR="003F2EEE" w:rsidRPr="00DD2F41">
        <w:rPr>
          <w:rFonts w:asciiTheme="minorHAnsi" w:hAnsiTheme="minorHAnsi"/>
          <w:color w:val="auto"/>
          <w:szCs w:val="24"/>
        </w:rPr>
        <w:t xml:space="preserve">  </w:t>
      </w:r>
      <w:r w:rsidR="006B631E">
        <w:rPr>
          <w:rFonts w:asciiTheme="minorHAnsi" w:hAnsiTheme="minorHAnsi"/>
          <w:color w:val="auto"/>
          <w:szCs w:val="24"/>
        </w:rPr>
        <w:t xml:space="preserve">The CI served </w:t>
      </w:r>
      <w:r w:rsidR="006A17F4">
        <w:rPr>
          <w:rFonts w:asciiTheme="minorHAnsi" w:hAnsiTheme="minorHAnsi"/>
          <w:color w:val="auto"/>
          <w:szCs w:val="24"/>
        </w:rPr>
        <w:t>in</w:t>
      </w:r>
      <w:r w:rsidR="006B631E">
        <w:rPr>
          <w:rFonts w:asciiTheme="minorHAnsi" w:hAnsiTheme="minorHAnsi"/>
          <w:color w:val="auto"/>
          <w:szCs w:val="24"/>
        </w:rPr>
        <w:t xml:space="preserve"> the Coast Guar</w:t>
      </w:r>
      <w:r w:rsidR="005E0B73">
        <w:rPr>
          <w:rFonts w:asciiTheme="minorHAnsi" w:hAnsiTheme="minorHAnsi"/>
          <w:color w:val="auto"/>
          <w:szCs w:val="24"/>
        </w:rPr>
        <w:t>d (CG),</w:t>
      </w:r>
      <w:r w:rsidR="005E0B73" w:rsidRPr="005E0B73">
        <w:rPr>
          <w:rFonts w:asciiTheme="minorHAnsi" w:hAnsiTheme="minorHAnsi"/>
          <w:color w:val="auto"/>
          <w:szCs w:val="24"/>
        </w:rPr>
        <w:t xml:space="preserve"> </w:t>
      </w:r>
      <w:r w:rsidR="005E0B73">
        <w:rPr>
          <w:rFonts w:asciiTheme="minorHAnsi" w:hAnsiTheme="minorHAnsi"/>
          <w:color w:val="auto"/>
          <w:szCs w:val="24"/>
        </w:rPr>
        <w:t>Navy</w:t>
      </w:r>
      <w:r w:rsidR="006B631E">
        <w:rPr>
          <w:rFonts w:asciiTheme="minorHAnsi" w:hAnsiTheme="minorHAnsi"/>
          <w:color w:val="auto"/>
          <w:szCs w:val="24"/>
        </w:rPr>
        <w:t xml:space="preserve"> and Air Force</w:t>
      </w:r>
      <w:r w:rsidR="005E0B73">
        <w:rPr>
          <w:rFonts w:asciiTheme="minorHAnsi" w:hAnsiTheme="minorHAnsi"/>
          <w:color w:val="auto"/>
          <w:szCs w:val="24"/>
        </w:rPr>
        <w:t xml:space="preserve"> (AF)</w:t>
      </w:r>
      <w:r w:rsidR="006B631E">
        <w:rPr>
          <w:rFonts w:asciiTheme="minorHAnsi" w:hAnsiTheme="minorHAnsi"/>
          <w:color w:val="auto"/>
          <w:szCs w:val="24"/>
        </w:rPr>
        <w:t xml:space="preserve"> throughout his ten year combined service.</w:t>
      </w:r>
      <w:r w:rsidR="00F57DE1">
        <w:rPr>
          <w:rFonts w:asciiTheme="minorHAnsi" w:hAnsiTheme="minorHAnsi"/>
          <w:color w:val="auto"/>
          <w:szCs w:val="24"/>
        </w:rPr>
        <w:t xml:space="preserve">  </w:t>
      </w:r>
      <w:r w:rsidR="00B11AF6">
        <w:rPr>
          <w:rFonts w:asciiTheme="minorHAnsi" w:hAnsiTheme="minorHAnsi"/>
          <w:color w:val="auto"/>
          <w:szCs w:val="24"/>
        </w:rPr>
        <w:t>I</w:t>
      </w:r>
      <w:r w:rsidR="006B631E">
        <w:rPr>
          <w:rFonts w:asciiTheme="minorHAnsi" w:hAnsiTheme="minorHAnsi"/>
          <w:color w:val="auto"/>
          <w:szCs w:val="24"/>
        </w:rPr>
        <w:t xml:space="preserve">n 1998, </w:t>
      </w:r>
      <w:r w:rsidR="00AD6A80">
        <w:rPr>
          <w:rFonts w:asciiTheme="minorHAnsi" w:hAnsiTheme="minorHAnsi"/>
          <w:color w:val="auto"/>
          <w:szCs w:val="24"/>
        </w:rPr>
        <w:t>while a recruit in training</w:t>
      </w:r>
      <w:r w:rsidR="005E0B73">
        <w:rPr>
          <w:rFonts w:asciiTheme="minorHAnsi" w:hAnsiTheme="minorHAnsi"/>
          <w:color w:val="auto"/>
          <w:szCs w:val="24"/>
        </w:rPr>
        <w:t xml:space="preserve"> for the CG</w:t>
      </w:r>
      <w:r w:rsidR="00AD6A80">
        <w:rPr>
          <w:rFonts w:asciiTheme="minorHAnsi" w:hAnsiTheme="minorHAnsi"/>
          <w:color w:val="auto"/>
          <w:szCs w:val="24"/>
        </w:rPr>
        <w:t xml:space="preserve">, </w:t>
      </w:r>
      <w:r w:rsidR="00B11AF6">
        <w:rPr>
          <w:rFonts w:asciiTheme="minorHAnsi" w:hAnsiTheme="minorHAnsi"/>
          <w:color w:val="auto"/>
          <w:szCs w:val="24"/>
        </w:rPr>
        <w:t>the CI</w:t>
      </w:r>
      <w:r w:rsidR="00AD6A80">
        <w:rPr>
          <w:rFonts w:asciiTheme="minorHAnsi" w:hAnsiTheme="minorHAnsi"/>
          <w:color w:val="auto"/>
          <w:szCs w:val="24"/>
        </w:rPr>
        <w:t xml:space="preserve"> suffered a </w:t>
      </w:r>
      <w:proofErr w:type="spellStart"/>
      <w:r w:rsidR="00B4547A">
        <w:rPr>
          <w:rFonts w:asciiTheme="minorHAnsi" w:hAnsiTheme="minorHAnsi"/>
          <w:color w:val="auto"/>
          <w:szCs w:val="24"/>
        </w:rPr>
        <w:t>vasovagal</w:t>
      </w:r>
      <w:proofErr w:type="spellEnd"/>
      <w:r w:rsidR="00B4547A">
        <w:rPr>
          <w:rFonts w:asciiTheme="minorHAnsi" w:hAnsiTheme="minorHAnsi"/>
          <w:color w:val="auto"/>
          <w:szCs w:val="24"/>
        </w:rPr>
        <w:t xml:space="preserve"> </w:t>
      </w:r>
      <w:proofErr w:type="spellStart"/>
      <w:r w:rsidR="00B4547A">
        <w:rPr>
          <w:rFonts w:asciiTheme="minorHAnsi" w:hAnsiTheme="minorHAnsi"/>
          <w:color w:val="auto"/>
          <w:szCs w:val="24"/>
        </w:rPr>
        <w:t>syncop</w:t>
      </w:r>
      <w:r w:rsidR="00E070E1">
        <w:rPr>
          <w:rFonts w:asciiTheme="minorHAnsi" w:hAnsiTheme="minorHAnsi"/>
          <w:color w:val="auto"/>
          <w:szCs w:val="24"/>
        </w:rPr>
        <w:t>al</w:t>
      </w:r>
      <w:proofErr w:type="spellEnd"/>
      <w:r w:rsidR="006B631E">
        <w:rPr>
          <w:rFonts w:asciiTheme="minorHAnsi" w:hAnsiTheme="minorHAnsi"/>
          <w:color w:val="auto"/>
          <w:szCs w:val="24"/>
        </w:rPr>
        <w:t xml:space="preserve"> </w:t>
      </w:r>
      <w:r w:rsidR="00A84CA9">
        <w:rPr>
          <w:rFonts w:asciiTheme="minorHAnsi" w:hAnsiTheme="minorHAnsi"/>
          <w:color w:val="auto"/>
          <w:szCs w:val="24"/>
        </w:rPr>
        <w:t xml:space="preserve">episode </w:t>
      </w:r>
      <w:r w:rsidR="006B631E">
        <w:rPr>
          <w:rFonts w:asciiTheme="minorHAnsi" w:hAnsiTheme="minorHAnsi"/>
          <w:color w:val="auto"/>
          <w:szCs w:val="24"/>
        </w:rPr>
        <w:t>falling</w:t>
      </w:r>
      <w:r w:rsidR="00A41DA8">
        <w:rPr>
          <w:rFonts w:asciiTheme="minorHAnsi" w:hAnsiTheme="minorHAnsi"/>
          <w:color w:val="auto"/>
          <w:szCs w:val="24"/>
        </w:rPr>
        <w:t xml:space="preserve"> forward onto his face (earlier that </w:t>
      </w:r>
      <w:r w:rsidR="00BB39AC" w:rsidRPr="00A41DA8">
        <w:rPr>
          <w:rFonts w:asciiTheme="minorHAnsi" w:hAnsiTheme="minorHAnsi"/>
          <w:color w:val="auto"/>
          <w:szCs w:val="24"/>
        </w:rPr>
        <w:t xml:space="preserve">morning, the bunkmate above him </w:t>
      </w:r>
      <w:r w:rsidR="006A17F4">
        <w:rPr>
          <w:rFonts w:asciiTheme="minorHAnsi" w:hAnsiTheme="minorHAnsi"/>
          <w:color w:val="auto"/>
          <w:szCs w:val="24"/>
        </w:rPr>
        <w:t xml:space="preserve">had </w:t>
      </w:r>
      <w:r w:rsidR="00975948" w:rsidRPr="00A41DA8">
        <w:rPr>
          <w:rFonts w:asciiTheme="minorHAnsi" w:hAnsiTheme="minorHAnsi"/>
          <w:color w:val="auto"/>
          <w:szCs w:val="24"/>
        </w:rPr>
        <w:t xml:space="preserve">hit </w:t>
      </w:r>
      <w:r w:rsidR="00BB39AC" w:rsidRPr="00A41DA8">
        <w:rPr>
          <w:rFonts w:asciiTheme="minorHAnsi" w:hAnsiTheme="minorHAnsi"/>
          <w:color w:val="auto"/>
          <w:szCs w:val="24"/>
        </w:rPr>
        <w:t xml:space="preserve">him </w:t>
      </w:r>
      <w:r w:rsidR="00A41DA8" w:rsidRPr="00A41DA8">
        <w:rPr>
          <w:rFonts w:asciiTheme="minorHAnsi" w:hAnsiTheme="minorHAnsi"/>
          <w:color w:val="auto"/>
          <w:szCs w:val="24"/>
        </w:rPr>
        <w:t xml:space="preserve">in the face </w:t>
      </w:r>
      <w:r w:rsidR="00BB39AC" w:rsidRPr="00A41DA8">
        <w:rPr>
          <w:rFonts w:asciiTheme="minorHAnsi" w:hAnsiTheme="minorHAnsi"/>
          <w:color w:val="auto"/>
          <w:szCs w:val="24"/>
        </w:rPr>
        <w:t>while getting out of the bu</w:t>
      </w:r>
      <w:r w:rsidR="00975948" w:rsidRPr="00A41DA8">
        <w:rPr>
          <w:rFonts w:asciiTheme="minorHAnsi" w:hAnsiTheme="minorHAnsi"/>
          <w:color w:val="auto"/>
          <w:szCs w:val="24"/>
        </w:rPr>
        <w:t>n</w:t>
      </w:r>
      <w:r w:rsidR="00BB39AC" w:rsidRPr="00A41DA8">
        <w:rPr>
          <w:rFonts w:asciiTheme="minorHAnsi" w:hAnsiTheme="minorHAnsi"/>
          <w:color w:val="auto"/>
          <w:szCs w:val="24"/>
        </w:rPr>
        <w:t>k</w:t>
      </w:r>
      <w:r w:rsidR="00C74977">
        <w:rPr>
          <w:rFonts w:asciiTheme="minorHAnsi" w:hAnsiTheme="minorHAnsi"/>
          <w:color w:val="auto"/>
          <w:szCs w:val="24"/>
        </w:rPr>
        <w:t>)</w:t>
      </w:r>
      <w:r w:rsidR="00A41DA8">
        <w:rPr>
          <w:rFonts w:asciiTheme="minorHAnsi" w:hAnsiTheme="minorHAnsi"/>
          <w:color w:val="auto"/>
          <w:szCs w:val="24"/>
        </w:rPr>
        <w:t xml:space="preserve">.  </w:t>
      </w:r>
      <w:r w:rsidR="006A17F4">
        <w:rPr>
          <w:rFonts w:asciiTheme="minorHAnsi" w:hAnsiTheme="minorHAnsi"/>
          <w:color w:val="auto"/>
          <w:szCs w:val="24"/>
        </w:rPr>
        <w:t>CI</w:t>
      </w:r>
      <w:r w:rsidR="005E0B73">
        <w:rPr>
          <w:rFonts w:asciiTheme="minorHAnsi" w:hAnsiTheme="minorHAnsi"/>
          <w:color w:val="auto"/>
          <w:szCs w:val="24"/>
        </w:rPr>
        <w:t xml:space="preserve"> </w:t>
      </w:r>
      <w:r w:rsidR="006648A9">
        <w:rPr>
          <w:rFonts w:asciiTheme="minorHAnsi" w:hAnsiTheme="minorHAnsi"/>
          <w:color w:val="auto"/>
          <w:szCs w:val="24"/>
        </w:rPr>
        <w:t xml:space="preserve">received </w:t>
      </w:r>
      <w:r w:rsidR="005E0B73">
        <w:rPr>
          <w:rFonts w:asciiTheme="minorHAnsi" w:hAnsiTheme="minorHAnsi"/>
          <w:color w:val="auto"/>
          <w:szCs w:val="24"/>
        </w:rPr>
        <w:t>emergent</w:t>
      </w:r>
      <w:r w:rsidR="006648A9">
        <w:rPr>
          <w:rFonts w:asciiTheme="minorHAnsi" w:hAnsiTheme="minorHAnsi"/>
          <w:color w:val="auto"/>
          <w:szCs w:val="24"/>
        </w:rPr>
        <w:t xml:space="preserve"> care</w:t>
      </w:r>
      <w:r w:rsidR="005E0B73">
        <w:rPr>
          <w:rFonts w:asciiTheme="minorHAnsi" w:hAnsiTheme="minorHAnsi"/>
          <w:color w:val="auto"/>
          <w:szCs w:val="24"/>
        </w:rPr>
        <w:t xml:space="preserve"> for </w:t>
      </w:r>
      <w:r w:rsidR="006648A9">
        <w:rPr>
          <w:rFonts w:asciiTheme="minorHAnsi" w:hAnsiTheme="minorHAnsi"/>
          <w:color w:val="auto"/>
          <w:szCs w:val="24"/>
        </w:rPr>
        <w:t xml:space="preserve">conditions including </w:t>
      </w:r>
      <w:r w:rsidR="00DD7FD5">
        <w:rPr>
          <w:rFonts w:asciiTheme="minorHAnsi" w:hAnsiTheme="minorHAnsi"/>
          <w:color w:val="auto"/>
          <w:szCs w:val="24"/>
        </w:rPr>
        <w:t xml:space="preserve">a chin laceration, </w:t>
      </w:r>
      <w:r w:rsidR="006B631E">
        <w:rPr>
          <w:rFonts w:asciiTheme="minorHAnsi" w:hAnsiTheme="minorHAnsi"/>
          <w:color w:val="auto"/>
          <w:szCs w:val="24"/>
        </w:rPr>
        <w:t>tr</w:t>
      </w:r>
      <w:r w:rsidR="00CA7635">
        <w:rPr>
          <w:rFonts w:asciiTheme="minorHAnsi" w:hAnsiTheme="minorHAnsi"/>
          <w:color w:val="auto"/>
          <w:szCs w:val="24"/>
        </w:rPr>
        <w:t>au</w:t>
      </w:r>
      <w:r w:rsidR="005E0B73">
        <w:rPr>
          <w:rFonts w:asciiTheme="minorHAnsi" w:hAnsiTheme="minorHAnsi"/>
          <w:color w:val="auto"/>
          <w:szCs w:val="24"/>
        </w:rPr>
        <w:t>ma to his teeth</w:t>
      </w:r>
      <w:r w:rsidR="00DD7FD5">
        <w:rPr>
          <w:rFonts w:asciiTheme="minorHAnsi" w:hAnsiTheme="minorHAnsi"/>
          <w:color w:val="auto"/>
          <w:szCs w:val="24"/>
        </w:rPr>
        <w:t xml:space="preserve"> and new onset bilateral </w:t>
      </w:r>
      <w:r w:rsidR="00900DF2">
        <w:rPr>
          <w:rFonts w:asciiTheme="minorHAnsi" w:hAnsiTheme="minorHAnsi"/>
          <w:color w:val="auto"/>
          <w:szCs w:val="24"/>
        </w:rPr>
        <w:t>temporomandibular joint (</w:t>
      </w:r>
      <w:r w:rsidR="00DD7FD5">
        <w:rPr>
          <w:rFonts w:asciiTheme="minorHAnsi" w:hAnsiTheme="minorHAnsi"/>
          <w:color w:val="auto"/>
          <w:szCs w:val="24"/>
        </w:rPr>
        <w:t>TMJ</w:t>
      </w:r>
      <w:r w:rsidR="00900DF2" w:rsidRPr="009C57A4">
        <w:rPr>
          <w:rFonts w:asciiTheme="minorHAnsi" w:hAnsiTheme="minorHAnsi"/>
          <w:color w:val="auto"/>
          <w:szCs w:val="24"/>
        </w:rPr>
        <w:t>)</w:t>
      </w:r>
      <w:r w:rsidR="00675FBA" w:rsidRPr="009C57A4">
        <w:rPr>
          <w:rFonts w:asciiTheme="minorHAnsi" w:hAnsiTheme="minorHAnsi"/>
          <w:color w:val="auto"/>
          <w:szCs w:val="24"/>
        </w:rPr>
        <w:t xml:space="preserve"> pain</w:t>
      </w:r>
      <w:r w:rsidR="00AD6A80" w:rsidRPr="009C57A4">
        <w:rPr>
          <w:rFonts w:asciiTheme="minorHAnsi" w:hAnsiTheme="minorHAnsi"/>
          <w:color w:val="auto"/>
          <w:szCs w:val="24"/>
        </w:rPr>
        <w:t>.</w:t>
      </w:r>
      <w:r w:rsidR="00900DF2">
        <w:rPr>
          <w:rFonts w:asciiTheme="minorHAnsi" w:hAnsiTheme="minorHAnsi"/>
          <w:color w:val="auto"/>
          <w:szCs w:val="24"/>
        </w:rPr>
        <w:t xml:space="preserve">  </w:t>
      </w:r>
      <w:r w:rsidR="00CA7635">
        <w:rPr>
          <w:rFonts w:asciiTheme="minorHAnsi" w:hAnsiTheme="minorHAnsi"/>
          <w:color w:val="auto"/>
          <w:szCs w:val="24"/>
        </w:rPr>
        <w:t xml:space="preserve">The CI was deemed fit for duty and </w:t>
      </w:r>
      <w:r w:rsidR="00AD6A80">
        <w:rPr>
          <w:rFonts w:asciiTheme="minorHAnsi" w:hAnsiTheme="minorHAnsi"/>
          <w:color w:val="auto"/>
          <w:szCs w:val="24"/>
        </w:rPr>
        <w:t xml:space="preserve">allowed to </w:t>
      </w:r>
      <w:r w:rsidR="00CA7635">
        <w:rPr>
          <w:rFonts w:asciiTheme="minorHAnsi" w:hAnsiTheme="minorHAnsi"/>
          <w:color w:val="auto"/>
          <w:szCs w:val="24"/>
        </w:rPr>
        <w:t>complete training</w:t>
      </w:r>
      <w:r w:rsidR="00B11AF6">
        <w:rPr>
          <w:rFonts w:asciiTheme="minorHAnsi" w:hAnsiTheme="minorHAnsi"/>
          <w:color w:val="auto"/>
          <w:szCs w:val="24"/>
        </w:rPr>
        <w:t>.</w:t>
      </w:r>
      <w:r w:rsidR="00690172">
        <w:rPr>
          <w:rFonts w:asciiTheme="minorHAnsi" w:hAnsiTheme="minorHAnsi"/>
          <w:color w:val="auto"/>
          <w:szCs w:val="24"/>
        </w:rPr>
        <w:t xml:space="preserve">  </w:t>
      </w:r>
      <w:r w:rsidR="00323624">
        <w:rPr>
          <w:rFonts w:asciiTheme="minorHAnsi" w:hAnsiTheme="minorHAnsi"/>
          <w:color w:val="auto"/>
          <w:szCs w:val="24"/>
        </w:rPr>
        <w:t>After this incident</w:t>
      </w:r>
      <w:r w:rsidR="006648A9">
        <w:rPr>
          <w:rFonts w:asciiTheme="minorHAnsi" w:hAnsiTheme="minorHAnsi"/>
          <w:color w:val="auto"/>
          <w:szCs w:val="24"/>
        </w:rPr>
        <w:t>,</w:t>
      </w:r>
      <w:r w:rsidR="00323624">
        <w:rPr>
          <w:rFonts w:asciiTheme="minorHAnsi" w:hAnsiTheme="minorHAnsi"/>
          <w:color w:val="auto"/>
          <w:szCs w:val="24"/>
        </w:rPr>
        <w:t xml:space="preserve"> he sought care</w:t>
      </w:r>
      <w:r w:rsidR="00B11AF6">
        <w:rPr>
          <w:rFonts w:asciiTheme="minorHAnsi" w:hAnsiTheme="minorHAnsi"/>
          <w:color w:val="auto"/>
          <w:szCs w:val="24"/>
        </w:rPr>
        <w:t xml:space="preserve"> </w:t>
      </w:r>
      <w:r w:rsidR="00D802AD">
        <w:rPr>
          <w:rFonts w:asciiTheme="minorHAnsi" w:hAnsiTheme="minorHAnsi"/>
          <w:color w:val="auto"/>
          <w:szCs w:val="24"/>
        </w:rPr>
        <w:t xml:space="preserve">only </w:t>
      </w:r>
      <w:r w:rsidR="00B11AF6">
        <w:rPr>
          <w:rFonts w:asciiTheme="minorHAnsi" w:hAnsiTheme="minorHAnsi"/>
          <w:color w:val="auto"/>
          <w:szCs w:val="24"/>
        </w:rPr>
        <w:t>once for TMJ</w:t>
      </w:r>
      <w:r w:rsidR="00900DF2">
        <w:rPr>
          <w:rFonts w:asciiTheme="minorHAnsi" w:hAnsiTheme="minorHAnsi"/>
          <w:color w:val="auto"/>
          <w:szCs w:val="24"/>
        </w:rPr>
        <w:t xml:space="preserve"> pain </w:t>
      </w:r>
      <w:r w:rsidR="00B11AF6">
        <w:rPr>
          <w:rFonts w:asciiTheme="minorHAnsi" w:hAnsiTheme="minorHAnsi"/>
          <w:color w:val="auto"/>
          <w:szCs w:val="24"/>
        </w:rPr>
        <w:t>until</w:t>
      </w:r>
      <w:r w:rsidR="00690172">
        <w:rPr>
          <w:rFonts w:asciiTheme="minorHAnsi" w:hAnsiTheme="minorHAnsi"/>
          <w:color w:val="auto"/>
          <w:szCs w:val="24"/>
        </w:rPr>
        <w:t xml:space="preserve"> September 2002</w:t>
      </w:r>
      <w:r w:rsidR="00D802AD">
        <w:rPr>
          <w:rFonts w:asciiTheme="minorHAnsi" w:hAnsiTheme="minorHAnsi"/>
          <w:color w:val="auto"/>
          <w:szCs w:val="24"/>
        </w:rPr>
        <w:t xml:space="preserve"> when h</w:t>
      </w:r>
      <w:r w:rsidR="00690172">
        <w:rPr>
          <w:rFonts w:asciiTheme="minorHAnsi" w:hAnsiTheme="minorHAnsi"/>
          <w:color w:val="auto"/>
          <w:szCs w:val="24"/>
        </w:rPr>
        <w:t xml:space="preserve">e </w:t>
      </w:r>
      <w:r w:rsidR="00B11AF6">
        <w:rPr>
          <w:rFonts w:asciiTheme="minorHAnsi" w:hAnsiTheme="minorHAnsi"/>
          <w:color w:val="auto"/>
          <w:szCs w:val="24"/>
        </w:rPr>
        <w:t>underwent</w:t>
      </w:r>
      <w:r w:rsidR="00690172">
        <w:rPr>
          <w:rFonts w:asciiTheme="minorHAnsi" w:hAnsiTheme="minorHAnsi"/>
          <w:color w:val="auto"/>
          <w:szCs w:val="24"/>
        </w:rPr>
        <w:t xml:space="preserve"> a comprehensive </w:t>
      </w:r>
      <w:r w:rsidR="00900DF2">
        <w:rPr>
          <w:rFonts w:asciiTheme="minorHAnsi" w:hAnsiTheme="minorHAnsi"/>
          <w:color w:val="auto"/>
          <w:szCs w:val="24"/>
        </w:rPr>
        <w:t>temporomandibular disorder (</w:t>
      </w:r>
      <w:r w:rsidR="00690172">
        <w:rPr>
          <w:rFonts w:asciiTheme="minorHAnsi" w:hAnsiTheme="minorHAnsi"/>
          <w:color w:val="auto"/>
          <w:szCs w:val="24"/>
        </w:rPr>
        <w:t>TMD</w:t>
      </w:r>
      <w:r w:rsidR="00900DF2">
        <w:rPr>
          <w:rFonts w:asciiTheme="minorHAnsi" w:hAnsiTheme="minorHAnsi"/>
          <w:color w:val="auto"/>
          <w:szCs w:val="24"/>
        </w:rPr>
        <w:t>)</w:t>
      </w:r>
      <w:r w:rsidR="00690172">
        <w:rPr>
          <w:rFonts w:asciiTheme="minorHAnsi" w:hAnsiTheme="minorHAnsi"/>
          <w:color w:val="auto"/>
          <w:szCs w:val="24"/>
        </w:rPr>
        <w:t xml:space="preserve"> evaluatio</w:t>
      </w:r>
      <w:r w:rsidR="000B4E14">
        <w:rPr>
          <w:rFonts w:asciiTheme="minorHAnsi" w:hAnsiTheme="minorHAnsi"/>
          <w:color w:val="auto"/>
          <w:szCs w:val="24"/>
        </w:rPr>
        <w:t xml:space="preserve">n </w:t>
      </w:r>
      <w:r w:rsidR="00B11AF6">
        <w:rPr>
          <w:rFonts w:asciiTheme="minorHAnsi" w:hAnsiTheme="minorHAnsi"/>
          <w:color w:val="auto"/>
          <w:szCs w:val="24"/>
        </w:rPr>
        <w:t>by a dental specialist</w:t>
      </w:r>
      <w:r w:rsidR="00D802AD">
        <w:rPr>
          <w:rFonts w:asciiTheme="minorHAnsi" w:hAnsiTheme="minorHAnsi"/>
          <w:color w:val="auto"/>
          <w:szCs w:val="24"/>
        </w:rPr>
        <w:t>.  The CI had</w:t>
      </w:r>
      <w:r w:rsidR="00DD7FD5">
        <w:rPr>
          <w:rFonts w:asciiTheme="minorHAnsi" w:hAnsiTheme="minorHAnsi"/>
          <w:color w:val="auto"/>
          <w:szCs w:val="24"/>
        </w:rPr>
        <w:t xml:space="preserve"> had</w:t>
      </w:r>
      <w:r w:rsidR="00B11AF6">
        <w:rPr>
          <w:rFonts w:asciiTheme="minorHAnsi" w:hAnsiTheme="minorHAnsi"/>
          <w:color w:val="auto"/>
          <w:szCs w:val="24"/>
        </w:rPr>
        <w:t xml:space="preserve"> a six month history of right facial pain</w:t>
      </w:r>
      <w:r w:rsidR="00690172">
        <w:rPr>
          <w:rFonts w:asciiTheme="minorHAnsi" w:hAnsiTheme="minorHAnsi"/>
          <w:color w:val="auto"/>
          <w:szCs w:val="24"/>
        </w:rPr>
        <w:t xml:space="preserve"> especially with chewing and </w:t>
      </w:r>
      <w:r w:rsidR="00655C96">
        <w:rPr>
          <w:rFonts w:asciiTheme="minorHAnsi" w:hAnsiTheme="minorHAnsi"/>
          <w:color w:val="auto"/>
          <w:szCs w:val="24"/>
        </w:rPr>
        <w:t xml:space="preserve">when </w:t>
      </w:r>
      <w:r w:rsidR="00690172">
        <w:rPr>
          <w:rFonts w:asciiTheme="minorHAnsi" w:hAnsiTheme="minorHAnsi"/>
          <w:color w:val="auto"/>
          <w:szCs w:val="24"/>
        </w:rPr>
        <w:t>we</w:t>
      </w:r>
      <w:r w:rsidR="00941041">
        <w:rPr>
          <w:rFonts w:asciiTheme="minorHAnsi" w:hAnsiTheme="minorHAnsi"/>
          <w:color w:val="auto"/>
          <w:szCs w:val="24"/>
        </w:rPr>
        <w:t xml:space="preserve">aring </w:t>
      </w:r>
      <w:r w:rsidR="00DD7FD5">
        <w:rPr>
          <w:rFonts w:asciiTheme="minorHAnsi" w:hAnsiTheme="minorHAnsi"/>
          <w:color w:val="auto"/>
          <w:szCs w:val="24"/>
        </w:rPr>
        <w:t>his</w:t>
      </w:r>
      <w:r w:rsidR="00D802AD">
        <w:rPr>
          <w:rFonts w:asciiTheme="minorHAnsi" w:hAnsiTheme="minorHAnsi"/>
          <w:color w:val="auto"/>
          <w:szCs w:val="24"/>
        </w:rPr>
        <w:t xml:space="preserve"> </w:t>
      </w:r>
      <w:r w:rsidR="00E070E1">
        <w:rPr>
          <w:rFonts w:asciiTheme="minorHAnsi" w:hAnsiTheme="minorHAnsi"/>
          <w:color w:val="auto"/>
          <w:szCs w:val="24"/>
        </w:rPr>
        <w:t>firefight</w:t>
      </w:r>
      <w:r w:rsidR="005D13CE">
        <w:rPr>
          <w:rFonts w:asciiTheme="minorHAnsi" w:hAnsiTheme="minorHAnsi"/>
          <w:color w:val="auto"/>
          <w:szCs w:val="24"/>
        </w:rPr>
        <w:t xml:space="preserve">ers </w:t>
      </w:r>
      <w:r w:rsidR="00655C96">
        <w:rPr>
          <w:rFonts w:asciiTheme="minorHAnsi" w:hAnsiTheme="minorHAnsi"/>
          <w:color w:val="auto"/>
          <w:szCs w:val="24"/>
        </w:rPr>
        <w:t>respirator mask</w:t>
      </w:r>
      <w:r w:rsidR="00B11AF6">
        <w:rPr>
          <w:rFonts w:asciiTheme="minorHAnsi" w:hAnsiTheme="minorHAnsi"/>
          <w:color w:val="auto"/>
          <w:szCs w:val="24"/>
        </w:rPr>
        <w:t>.  This</w:t>
      </w:r>
      <w:r w:rsidR="00690172">
        <w:rPr>
          <w:rFonts w:asciiTheme="minorHAnsi" w:hAnsiTheme="minorHAnsi"/>
          <w:color w:val="auto"/>
          <w:szCs w:val="24"/>
        </w:rPr>
        <w:t xml:space="preserve"> exam </w:t>
      </w:r>
      <w:r w:rsidR="00655C96">
        <w:rPr>
          <w:rFonts w:asciiTheme="minorHAnsi" w:hAnsiTheme="minorHAnsi"/>
          <w:color w:val="auto"/>
          <w:szCs w:val="24"/>
        </w:rPr>
        <w:t>revealed</w:t>
      </w:r>
      <w:r w:rsidR="00690172">
        <w:rPr>
          <w:rFonts w:asciiTheme="minorHAnsi" w:hAnsiTheme="minorHAnsi"/>
          <w:color w:val="auto"/>
          <w:szCs w:val="24"/>
        </w:rPr>
        <w:t xml:space="preserve"> a tender right TMJ joint with popping</w:t>
      </w:r>
      <w:r w:rsidR="004B1844">
        <w:rPr>
          <w:rFonts w:asciiTheme="minorHAnsi" w:hAnsiTheme="minorHAnsi"/>
          <w:color w:val="auto"/>
          <w:szCs w:val="24"/>
        </w:rPr>
        <w:t xml:space="preserve">, bilateral </w:t>
      </w:r>
      <w:proofErr w:type="spellStart"/>
      <w:r w:rsidR="004B1844">
        <w:rPr>
          <w:rFonts w:asciiTheme="minorHAnsi" w:hAnsiTheme="minorHAnsi"/>
          <w:color w:val="auto"/>
          <w:szCs w:val="24"/>
        </w:rPr>
        <w:t>masseter</w:t>
      </w:r>
      <w:proofErr w:type="spellEnd"/>
      <w:r w:rsidR="004B1844">
        <w:rPr>
          <w:rFonts w:asciiTheme="minorHAnsi" w:hAnsiTheme="minorHAnsi"/>
          <w:color w:val="auto"/>
          <w:szCs w:val="24"/>
        </w:rPr>
        <w:t xml:space="preserve"> muscle pain </w:t>
      </w:r>
      <w:r w:rsidR="00690172">
        <w:rPr>
          <w:rFonts w:asciiTheme="minorHAnsi" w:hAnsiTheme="minorHAnsi"/>
          <w:color w:val="auto"/>
          <w:szCs w:val="24"/>
        </w:rPr>
        <w:t>and a normal</w:t>
      </w:r>
      <w:r w:rsidR="00B11AF6">
        <w:rPr>
          <w:rFonts w:asciiTheme="minorHAnsi" w:hAnsiTheme="minorHAnsi"/>
          <w:color w:val="auto"/>
          <w:szCs w:val="24"/>
        </w:rPr>
        <w:t xml:space="preserve"> oral</w:t>
      </w:r>
      <w:r w:rsidR="00690172">
        <w:rPr>
          <w:rFonts w:asciiTheme="minorHAnsi" w:hAnsiTheme="minorHAnsi"/>
          <w:color w:val="auto"/>
          <w:szCs w:val="24"/>
        </w:rPr>
        <w:t xml:space="preserve"> aperture of 47mm.  He was diagno</w:t>
      </w:r>
      <w:r w:rsidR="006648A9">
        <w:rPr>
          <w:rFonts w:asciiTheme="minorHAnsi" w:hAnsiTheme="minorHAnsi"/>
          <w:color w:val="auto"/>
          <w:szCs w:val="24"/>
        </w:rPr>
        <w:t>sed with right TMJ inflammation</w:t>
      </w:r>
      <w:r w:rsidR="00690172">
        <w:rPr>
          <w:rFonts w:asciiTheme="minorHAnsi" w:hAnsiTheme="minorHAnsi"/>
          <w:color w:val="auto"/>
          <w:szCs w:val="24"/>
        </w:rPr>
        <w:t xml:space="preserve"> </w:t>
      </w:r>
      <w:r w:rsidR="00655C96">
        <w:rPr>
          <w:rFonts w:asciiTheme="minorHAnsi" w:hAnsiTheme="minorHAnsi"/>
          <w:color w:val="auto"/>
          <w:szCs w:val="24"/>
        </w:rPr>
        <w:t xml:space="preserve">and </w:t>
      </w:r>
      <w:proofErr w:type="spellStart"/>
      <w:r w:rsidR="00690172">
        <w:rPr>
          <w:rFonts w:asciiTheme="minorHAnsi" w:hAnsiTheme="minorHAnsi"/>
          <w:color w:val="auto"/>
          <w:szCs w:val="24"/>
        </w:rPr>
        <w:t>myofascial</w:t>
      </w:r>
      <w:proofErr w:type="spellEnd"/>
      <w:r w:rsidR="00690172">
        <w:rPr>
          <w:rFonts w:asciiTheme="minorHAnsi" w:hAnsiTheme="minorHAnsi"/>
          <w:color w:val="auto"/>
          <w:szCs w:val="24"/>
        </w:rPr>
        <w:t xml:space="preserve"> pain</w:t>
      </w:r>
      <w:r w:rsidR="00655C96">
        <w:rPr>
          <w:rFonts w:asciiTheme="minorHAnsi" w:hAnsiTheme="minorHAnsi"/>
          <w:color w:val="auto"/>
          <w:szCs w:val="24"/>
        </w:rPr>
        <w:t>.</w:t>
      </w:r>
      <w:r w:rsidR="00690172">
        <w:rPr>
          <w:rFonts w:asciiTheme="minorHAnsi" w:hAnsiTheme="minorHAnsi"/>
          <w:color w:val="auto"/>
          <w:szCs w:val="24"/>
        </w:rPr>
        <w:t xml:space="preserve">  After conservative treatment</w:t>
      </w:r>
      <w:r w:rsidR="00941041">
        <w:rPr>
          <w:rFonts w:asciiTheme="minorHAnsi" w:hAnsiTheme="minorHAnsi"/>
          <w:color w:val="auto"/>
          <w:szCs w:val="24"/>
        </w:rPr>
        <w:t>,</w:t>
      </w:r>
      <w:r w:rsidR="00690172">
        <w:rPr>
          <w:rFonts w:asciiTheme="minorHAnsi" w:hAnsiTheme="minorHAnsi"/>
          <w:color w:val="auto"/>
          <w:szCs w:val="24"/>
        </w:rPr>
        <w:t xml:space="preserve"> </w:t>
      </w:r>
      <w:r w:rsidR="00BF490C">
        <w:rPr>
          <w:rFonts w:asciiTheme="minorHAnsi" w:hAnsiTheme="minorHAnsi"/>
          <w:color w:val="auto"/>
          <w:szCs w:val="24"/>
        </w:rPr>
        <w:t>the TMJ</w:t>
      </w:r>
      <w:r w:rsidR="00941041">
        <w:rPr>
          <w:rFonts w:asciiTheme="minorHAnsi" w:hAnsiTheme="minorHAnsi"/>
          <w:color w:val="auto"/>
          <w:szCs w:val="24"/>
        </w:rPr>
        <w:t xml:space="preserve"> symptoms appeared to be</w:t>
      </w:r>
      <w:r w:rsidR="00690172">
        <w:rPr>
          <w:rFonts w:asciiTheme="minorHAnsi" w:hAnsiTheme="minorHAnsi"/>
          <w:color w:val="auto"/>
          <w:szCs w:val="24"/>
        </w:rPr>
        <w:t xml:space="preserve"> </w:t>
      </w:r>
      <w:r w:rsidR="00BF490C">
        <w:rPr>
          <w:rFonts w:asciiTheme="minorHAnsi" w:hAnsiTheme="minorHAnsi"/>
          <w:color w:val="auto"/>
          <w:szCs w:val="24"/>
        </w:rPr>
        <w:t>quiescent</w:t>
      </w:r>
      <w:r w:rsidR="00690172">
        <w:rPr>
          <w:rFonts w:asciiTheme="minorHAnsi" w:hAnsiTheme="minorHAnsi"/>
          <w:color w:val="auto"/>
          <w:szCs w:val="24"/>
        </w:rPr>
        <w:t xml:space="preserve"> </w:t>
      </w:r>
      <w:r w:rsidR="00AA394F">
        <w:rPr>
          <w:rFonts w:asciiTheme="minorHAnsi" w:hAnsiTheme="minorHAnsi"/>
          <w:color w:val="auto"/>
          <w:szCs w:val="24"/>
        </w:rPr>
        <w:t>until August 2003 when recurrent, predominantly right sided TMJ pain associated with right sided headache was</w:t>
      </w:r>
      <w:r w:rsidR="00BF490C">
        <w:rPr>
          <w:rFonts w:asciiTheme="minorHAnsi" w:hAnsiTheme="minorHAnsi"/>
          <w:color w:val="auto"/>
          <w:szCs w:val="24"/>
        </w:rPr>
        <w:t xml:space="preserve"> </w:t>
      </w:r>
      <w:r w:rsidR="00AA394F">
        <w:rPr>
          <w:rFonts w:asciiTheme="minorHAnsi" w:hAnsiTheme="minorHAnsi"/>
          <w:color w:val="auto"/>
          <w:szCs w:val="24"/>
        </w:rPr>
        <w:t xml:space="preserve">documented.  </w:t>
      </w:r>
      <w:r w:rsidR="00BF490C">
        <w:rPr>
          <w:rFonts w:asciiTheme="minorHAnsi" w:hAnsiTheme="minorHAnsi"/>
          <w:color w:val="auto"/>
          <w:szCs w:val="24"/>
        </w:rPr>
        <w:t>At this time</w:t>
      </w:r>
      <w:r w:rsidR="00E02DA8">
        <w:rPr>
          <w:rFonts w:asciiTheme="minorHAnsi" w:hAnsiTheme="minorHAnsi"/>
          <w:color w:val="auto"/>
          <w:szCs w:val="24"/>
        </w:rPr>
        <w:t xml:space="preserve"> </w:t>
      </w:r>
      <w:r w:rsidR="006A17F4">
        <w:rPr>
          <w:rFonts w:asciiTheme="minorHAnsi" w:hAnsiTheme="minorHAnsi"/>
          <w:color w:val="auto"/>
          <w:szCs w:val="24"/>
        </w:rPr>
        <w:t>CI</w:t>
      </w:r>
      <w:r w:rsidR="00900DF2">
        <w:rPr>
          <w:rFonts w:asciiTheme="minorHAnsi" w:hAnsiTheme="minorHAnsi"/>
          <w:color w:val="auto"/>
          <w:szCs w:val="24"/>
        </w:rPr>
        <w:t xml:space="preserve"> was treated with </w:t>
      </w:r>
      <w:r w:rsidR="006648A9">
        <w:rPr>
          <w:rFonts w:asciiTheme="minorHAnsi" w:hAnsiTheme="minorHAnsi"/>
          <w:color w:val="auto"/>
          <w:szCs w:val="24"/>
        </w:rPr>
        <w:t>both intra</w:t>
      </w:r>
      <w:r w:rsidR="009C57A4">
        <w:rPr>
          <w:rFonts w:asciiTheme="minorHAnsi" w:hAnsiTheme="minorHAnsi"/>
          <w:color w:val="auto"/>
          <w:szCs w:val="24"/>
        </w:rPr>
        <w:t>-</w:t>
      </w:r>
      <w:r w:rsidR="006648A9">
        <w:rPr>
          <w:rFonts w:asciiTheme="minorHAnsi" w:hAnsiTheme="minorHAnsi"/>
          <w:color w:val="auto"/>
          <w:szCs w:val="24"/>
        </w:rPr>
        <w:t xml:space="preserve">articular and </w:t>
      </w:r>
      <w:proofErr w:type="gramStart"/>
      <w:r w:rsidR="006648A9">
        <w:rPr>
          <w:rFonts w:asciiTheme="minorHAnsi" w:hAnsiTheme="minorHAnsi"/>
          <w:color w:val="auto"/>
          <w:szCs w:val="24"/>
        </w:rPr>
        <w:t>trigger</w:t>
      </w:r>
      <w:proofErr w:type="gramEnd"/>
      <w:r w:rsidR="006648A9">
        <w:rPr>
          <w:rFonts w:asciiTheme="minorHAnsi" w:hAnsiTheme="minorHAnsi"/>
          <w:color w:val="auto"/>
          <w:szCs w:val="24"/>
        </w:rPr>
        <w:t xml:space="preserve"> point </w:t>
      </w:r>
      <w:r w:rsidR="00B11AF6">
        <w:rPr>
          <w:rFonts w:asciiTheme="minorHAnsi" w:hAnsiTheme="minorHAnsi"/>
          <w:color w:val="auto"/>
          <w:szCs w:val="24"/>
        </w:rPr>
        <w:t xml:space="preserve">injections </w:t>
      </w:r>
      <w:r w:rsidR="006648A9">
        <w:rPr>
          <w:rFonts w:asciiTheme="minorHAnsi" w:hAnsiTheme="minorHAnsi"/>
          <w:color w:val="auto"/>
          <w:szCs w:val="24"/>
        </w:rPr>
        <w:t>as well as prescribed</w:t>
      </w:r>
      <w:r w:rsidR="0047413A">
        <w:rPr>
          <w:rFonts w:asciiTheme="minorHAnsi" w:hAnsiTheme="minorHAnsi"/>
          <w:color w:val="auto"/>
          <w:szCs w:val="24"/>
        </w:rPr>
        <w:t xml:space="preserve"> </w:t>
      </w:r>
      <w:r w:rsidR="004B1844">
        <w:rPr>
          <w:rFonts w:asciiTheme="minorHAnsi" w:hAnsiTheme="minorHAnsi"/>
          <w:color w:val="auto"/>
          <w:szCs w:val="24"/>
        </w:rPr>
        <w:t>chronic pain medications</w:t>
      </w:r>
      <w:r w:rsidR="00C74977">
        <w:rPr>
          <w:rFonts w:asciiTheme="minorHAnsi" w:hAnsiTheme="minorHAnsi"/>
          <w:color w:val="auto"/>
          <w:szCs w:val="24"/>
        </w:rPr>
        <w:t>.</w:t>
      </w:r>
      <w:r w:rsidR="00BF490C">
        <w:rPr>
          <w:rFonts w:asciiTheme="minorHAnsi" w:hAnsiTheme="minorHAnsi"/>
          <w:color w:val="auto"/>
          <w:szCs w:val="24"/>
        </w:rPr>
        <w:t xml:space="preserve"> </w:t>
      </w:r>
      <w:r w:rsidR="005A42DD">
        <w:rPr>
          <w:rFonts w:asciiTheme="minorHAnsi" w:hAnsiTheme="minorHAnsi"/>
          <w:color w:val="auto"/>
          <w:szCs w:val="24"/>
        </w:rPr>
        <w:t xml:space="preserve"> An </w:t>
      </w:r>
      <w:r w:rsidR="00480106">
        <w:rPr>
          <w:rFonts w:asciiTheme="minorHAnsi" w:hAnsiTheme="minorHAnsi"/>
          <w:color w:val="auto"/>
          <w:szCs w:val="24"/>
        </w:rPr>
        <w:t>October 2003 exam</w:t>
      </w:r>
      <w:r w:rsidR="005A42DD">
        <w:rPr>
          <w:rFonts w:asciiTheme="minorHAnsi" w:hAnsiTheme="minorHAnsi"/>
          <w:color w:val="auto"/>
          <w:szCs w:val="24"/>
        </w:rPr>
        <w:t xml:space="preserve">ination recorded </w:t>
      </w:r>
      <w:r w:rsidR="006648A9">
        <w:rPr>
          <w:rFonts w:asciiTheme="minorHAnsi" w:hAnsiTheme="minorHAnsi"/>
          <w:color w:val="auto"/>
          <w:szCs w:val="24"/>
        </w:rPr>
        <w:t>a</w:t>
      </w:r>
      <w:r w:rsidR="00480106">
        <w:rPr>
          <w:rFonts w:asciiTheme="minorHAnsi" w:hAnsiTheme="minorHAnsi"/>
          <w:color w:val="auto"/>
          <w:szCs w:val="24"/>
        </w:rPr>
        <w:t xml:space="preserve"> 47mm active opening distance.</w:t>
      </w:r>
      <w:r w:rsidR="005A42DD">
        <w:rPr>
          <w:rFonts w:asciiTheme="minorHAnsi" w:hAnsiTheme="minorHAnsi"/>
          <w:color w:val="auto"/>
          <w:szCs w:val="24"/>
        </w:rPr>
        <w:t xml:space="preserve">  There was continued right jaw pain and right facial pain occurring frequently; h</w:t>
      </w:r>
      <w:r w:rsidR="00480106">
        <w:rPr>
          <w:rFonts w:asciiTheme="minorHAnsi" w:hAnsiTheme="minorHAnsi"/>
          <w:color w:val="auto"/>
          <w:szCs w:val="24"/>
        </w:rPr>
        <w:t xml:space="preserve">eadache </w:t>
      </w:r>
      <w:r w:rsidR="005A42DD">
        <w:rPr>
          <w:rFonts w:asciiTheme="minorHAnsi" w:hAnsiTheme="minorHAnsi"/>
          <w:color w:val="auto"/>
          <w:szCs w:val="24"/>
        </w:rPr>
        <w:t xml:space="preserve">was reported as </w:t>
      </w:r>
      <w:r w:rsidR="00480106">
        <w:rPr>
          <w:rFonts w:asciiTheme="minorHAnsi" w:hAnsiTheme="minorHAnsi"/>
          <w:color w:val="auto"/>
          <w:szCs w:val="24"/>
        </w:rPr>
        <w:t>sporadic</w:t>
      </w:r>
      <w:r w:rsidR="006648A9">
        <w:rPr>
          <w:rFonts w:asciiTheme="minorHAnsi" w:hAnsiTheme="minorHAnsi"/>
          <w:color w:val="auto"/>
          <w:szCs w:val="24"/>
        </w:rPr>
        <w:t xml:space="preserve"> at</w:t>
      </w:r>
      <w:r w:rsidR="00480106">
        <w:rPr>
          <w:rFonts w:asciiTheme="minorHAnsi" w:hAnsiTheme="minorHAnsi"/>
          <w:color w:val="auto"/>
          <w:szCs w:val="24"/>
        </w:rPr>
        <w:t xml:space="preserve"> twice per week</w:t>
      </w:r>
      <w:r w:rsidR="005A42DD">
        <w:rPr>
          <w:rFonts w:asciiTheme="minorHAnsi" w:hAnsiTheme="minorHAnsi"/>
          <w:color w:val="auto"/>
          <w:szCs w:val="24"/>
        </w:rPr>
        <w:t xml:space="preserve">.  </w:t>
      </w:r>
      <w:r w:rsidR="00941041">
        <w:rPr>
          <w:rFonts w:asciiTheme="minorHAnsi" w:hAnsiTheme="minorHAnsi"/>
          <w:color w:val="auto"/>
          <w:szCs w:val="24"/>
        </w:rPr>
        <w:t xml:space="preserve">Other consultants to include physical therapy and occupational therapy became involved to achieve a multidisciplinary treatment approach.  </w:t>
      </w:r>
      <w:r w:rsidR="00BF490C">
        <w:rPr>
          <w:rFonts w:asciiTheme="minorHAnsi" w:hAnsiTheme="minorHAnsi"/>
          <w:color w:val="auto"/>
          <w:szCs w:val="24"/>
        </w:rPr>
        <w:t xml:space="preserve">With these modalities and </w:t>
      </w:r>
      <w:r w:rsidR="00A83880">
        <w:rPr>
          <w:rFonts w:asciiTheme="minorHAnsi" w:hAnsiTheme="minorHAnsi"/>
          <w:color w:val="auto"/>
          <w:szCs w:val="24"/>
        </w:rPr>
        <w:t>his</w:t>
      </w:r>
      <w:r w:rsidR="00BF490C">
        <w:rPr>
          <w:rFonts w:asciiTheme="minorHAnsi" w:hAnsiTheme="minorHAnsi"/>
          <w:color w:val="auto"/>
          <w:szCs w:val="24"/>
        </w:rPr>
        <w:t xml:space="preserve"> profile the CI noted the intense stabbing pain had lessened.</w:t>
      </w:r>
      <w:r w:rsidR="0047413A">
        <w:rPr>
          <w:rFonts w:asciiTheme="minorHAnsi" w:hAnsiTheme="minorHAnsi"/>
          <w:color w:val="auto"/>
          <w:szCs w:val="24"/>
        </w:rPr>
        <w:t xml:space="preserve">  </w:t>
      </w:r>
      <w:r w:rsidR="00BF490C">
        <w:rPr>
          <w:rFonts w:asciiTheme="minorHAnsi" w:hAnsiTheme="minorHAnsi"/>
          <w:color w:val="auto"/>
          <w:szCs w:val="24"/>
        </w:rPr>
        <w:t>However</w:t>
      </w:r>
      <w:r w:rsidR="00941041">
        <w:rPr>
          <w:rFonts w:asciiTheme="minorHAnsi" w:hAnsiTheme="minorHAnsi"/>
          <w:color w:val="auto"/>
          <w:szCs w:val="24"/>
        </w:rPr>
        <w:t>,</w:t>
      </w:r>
      <w:r w:rsidR="00BF490C">
        <w:rPr>
          <w:rFonts w:asciiTheme="minorHAnsi" w:hAnsiTheme="minorHAnsi"/>
          <w:color w:val="auto"/>
          <w:szCs w:val="24"/>
        </w:rPr>
        <w:t xml:space="preserve"> the dull pain was still present.</w:t>
      </w:r>
      <w:r w:rsidR="00941041">
        <w:rPr>
          <w:rFonts w:asciiTheme="minorHAnsi" w:hAnsiTheme="minorHAnsi"/>
          <w:color w:val="auto"/>
          <w:szCs w:val="24"/>
        </w:rPr>
        <w:t xml:space="preserve">  Througho</w:t>
      </w:r>
      <w:r w:rsidR="00941041" w:rsidRPr="00F42398">
        <w:rPr>
          <w:rFonts w:asciiTheme="minorHAnsi" w:hAnsiTheme="minorHAnsi"/>
          <w:color w:val="auto"/>
          <w:szCs w:val="24"/>
        </w:rPr>
        <w:t>ut all these treatment records</w:t>
      </w:r>
      <w:r w:rsidR="009C57A4" w:rsidRPr="00F42398">
        <w:rPr>
          <w:rFonts w:asciiTheme="minorHAnsi" w:hAnsiTheme="minorHAnsi"/>
          <w:color w:val="auto"/>
          <w:szCs w:val="24"/>
        </w:rPr>
        <w:t>,</w:t>
      </w:r>
      <w:r w:rsidR="00941041" w:rsidRPr="00F42398">
        <w:rPr>
          <w:rFonts w:asciiTheme="minorHAnsi" w:hAnsiTheme="minorHAnsi"/>
          <w:color w:val="auto"/>
          <w:szCs w:val="24"/>
        </w:rPr>
        <w:t xml:space="preserve"> his weight was maintained at 165 lbs.</w:t>
      </w:r>
      <w:r w:rsidR="009C57A4" w:rsidRPr="00F42398">
        <w:rPr>
          <w:rFonts w:asciiTheme="minorHAnsi" w:hAnsiTheme="minorHAnsi"/>
          <w:color w:val="auto"/>
          <w:szCs w:val="24"/>
        </w:rPr>
        <w:t xml:space="preserve">  </w:t>
      </w:r>
      <w:r w:rsidR="0047413A" w:rsidRPr="00F42398">
        <w:rPr>
          <w:rFonts w:asciiTheme="minorHAnsi" w:hAnsiTheme="minorHAnsi"/>
          <w:color w:val="auto"/>
          <w:szCs w:val="24"/>
        </w:rPr>
        <w:t xml:space="preserve">The neurology </w:t>
      </w:r>
      <w:r w:rsidR="00B24F22" w:rsidRPr="00F42398">
        <w:rPr>
          <w:rFonts w:asciiTheme="minorHAnsi" w:hAnsiTheme="minorHAnsi"/>
          <w:color w:val="auto"/>
          <w:szCs w:val="24"/>
        </w:rPr>
        <w:t>narrative summary (</w:t>
      </w:r>
      <w:r w:rsidR="0047413A" w:rsidRPr="00F42398">
        <w:rPr>
          <w:rFonts w:asciiTheme="minorHAnsi" w:hAnsiTheme="minorHAnsi"/>
          <w:color w:val="auto"/>
          <w:szCs w:val="24"/>
        </w:rPr>
        <w:t>NARSUM</w:t>
      </w:r>
      <w:r w:rsidR="00B24F22" w:rsidRPr="00F42398">
        <w:rPr>
          <w:rFonts w:asciiTheme="minorHAnsi" w:hAnsiTheme="minorHAnsi"/>
          <w:color w:val="auto"/>
          <w:szCs w:val="24"/>
        </w:rPr>
        <w:t>)</w:t>
      </w:r>
      <w:r w:rsidR="0047413A" w:rsidRPr="00F42398">
        <w:rPr>
          <w:rFonts w:asciiTheme="minorHAnsi" w:hAnsiTheme="minorHAnsi"/>
          <w:color w:val="auto"/>
          <w:szCs w:val="24"/>
        </w:rPr>
        <w:t xml:space="preserve"> exam</w:t>
      </w:r>
      <w:r w:rsidR="005A42DD" w:rsidRPr="00F42398">
        <w:rPr>
          <w:rFonts w:asciiTheme="minorHAnsi" w:hAnsiTheme="minorHAnsi"/>
          <w:color w:val="auto"/>
          <w:szCs w:val="24"/>
        </w:rPr>
        <w:t>ination</w:t>
      </w:r>
      <w:r w:rsidR="006648A9" w:rsidRPr="00F42398">
        <w:rPr>
          <w:rFonts w:asciiTheme="minorHAnsi" w:hAnsiTheme="minorHAnsi"/>
          <w:color w:val="auto"/>
          <w:szCs w:val="24"/>
        </w:rPr>
        <w:t>,</w:t>
      </w:r>
      <w:r w:rsidR="005A42DD" w:rsidRPr="00F42398">
        <w:rPr>
          <w:rFonts w:asciiTheme="minorHAnsi" w:hAnsiTheme="minorHAnsi"/>
          <w:color w:val="auto"/>
          <w:szCs w:val="24"/>
        </w:rPr>
        <w:t xml:space="preserve"> </w:t>
      </w:r>
      <w:r w:rsidR="0047413A" w:rsidRPr="00F42398">
        <w:rPr>
          <w:rFonts w:asciiTheme="minorHAnsi" w:hAnsiTheme="minorHAnsi"/>
          <w:color w:val="auto"/>
          <w:szCs w:val="24"/>
        </w:rPr>
        <w:t>completed three months prior to separation</w:t>
      </w:r>
      <w:r w:rsidR="006648A9" w:rsidRPr="00F42398">
        <w:rPr>
          <w:rFonts w:asciiTheme="minorHAnsi" w:hAnsiTheme="minorHAnsi"/>
          <w:color w:val="auto"/>
          <w:szCs w:val="24"/>
        </w:rPr>
        <w:t>,</w:t>
      </w:r>
      <w:r w:rsidR="0047413A" w:rsidRPr="00F42398">
        <w:rPr>
          <w:rFonts w:asciiTheme="minorHAnsi" w:hAnsiTheme="minorHAnsi"/>
          <w:color w:val="auto"/>
          <w:szCs w:val="24"/>
        </w:rPr>
        <w:t xml:space="preserve"> noted painful triggers included wearing </w:t>
      </w:r>
      <w:r w:rsidR="004B1844" w:rsidRPr="00F42398">
        <w:rPr>
          <w:rFonts w:asciiTheme="minorHAnsi" w:hAnsiTheme="minorHAnsi"/>
          <w:color w:val="auto"/>
          <w:szCs w:val="24"/>
        </w:rPr>
        <w:t>his</w:t>
      </w:r>
      <w:r w:rsidR="0047413A" w:rsidRPr="00F42398">
        <w:rPr>
          <w:rFonts w:asciiTheme="minorHAnsi" w:hAnsiTheme="minorHAnsi"/>
          <w:color w:val="auto"/>
          <w:szCs w:val="24"/>
        </w:rPr>
        <w:t xml:space="preserve"> </w:t>
      </w:r>
      <w:r w:rsidR="00900DF2" w:rsidRPr="00F42398">
        <w:rPr>
          <w:rFonts w:asciiTheme="minorHAnsi" w:hAnsiTheme="minorHAnsi"/>
          <w:color w:val="auto"/>
          <w:szCs w:val="24"/>
        </w:rPr>
        <w:t xml:space="preserve">respirator </w:t>
      </w:r>
      <w:r w:rsidR="0047413A" w:rsidRPr="00F42398">
        <w:rPr>
          <w:rFonts w:asciiTheme="minorHAnsi" w:hAnsiTheme="minorHAnsi"/>
          <w:color w:val="auto"/>
          <w:szCs w:val="24"/>
        </w:rPr>
        <w:t>mask, shaving</w:t>
      </w:r>
      <w:r w:rsidR="005A42DD" w:rsidRPr="00F42398">
        <w:rPr>
          <w:rFonts w:asciiTheme="minorHAnsi" w:hAnsiTheme="minorHAnsi"/>
          <w:color w:val="auto"/>
          <w:szCs w:val="24"/>
        </w:rPr>
        <w:t>,</w:t>
      </w:r>
      <w:r w:rsidR="0047413A" w:rsidRPr="00F42398">
        <w:rPr>
          <w:rFonts w:asciiTheme="minorHAnsi" w:hAnsiTheme="minorHAnsi"/>
          <w:color w:val="auto"/>
          <w:szCs w:val="24"/>
        </w:rPr>
        <w:t xml:space="preserve"> and brushing his teeth.</w:t>
      </w:r>
      <w:r w:rsidR="004B1844" w:rsidRPr="00F42398">
        <w:rPr>
          <w:rFonts w:asciiTheme="minorHAnsi" w:hAnsiTheme="minorHAnsi"/>
          <w:color w:val="auto"/>
          <w:szCs w:val="24"/>
        </w:rPr>
        <w:t xml:space="preserve"> </w:t>
      </w:r>
      <w:r w:rsidR="009C57A4" w:rsidRPr="00F42398">
        <w:rPr>
          <w:rFonts w:asciiTheme="minorHAnsi" w:hAnsiTheme="minorHAnsi"/>
          <w:color w:val="auto"/>
          <w:szCs w:val="24"/>
        </w:rPr>
        <w:t xml:space="preserve"> </w:t>
      </w:r>
      <w:r w:rsidR="004B1844" w:rsidRPr="00F42398">
        <w:rPr>
          <w:rFonts w:asciiTheme="minorHAnsi" w:hAnsiTheme="minorHAnsi"/>
          <w:color w:val="auto"/>
          <w:szCs w:val="24"/>
        </w:rPr>
        <w:t xml:space="preserve">The pain </w:t>
      </w:r>
      <w:r w:rsidR="006648A9" w:rsidRPr="00F42398">
        <w:rPr>
          <w:rFonts w:asciiTheme="minorHAnsi" w:hAnsiTheme="minorHAnsi"/>
          <w:color w:val="auto"/>
          <w:szCs w:val="24"/>
        </w:rPr>
        <w:t>wa</w:t>
      </w:r>
      <w:r w:rsidR="004B1844" w:rsidRPr="00F42398">
        <w:rPr>
          <w:rFonts w:asciiTheme="minorHAnsi" w:hAnsiTheme="minorHAnsi"/>
          <w:color w:val="auto"/>
          <w:szCs w:val="24"/>
        </w:rPr>
        <w:t>s de</w:t>
      </w:r>
      <w:r w:rsidR="0057701D" w:rsidRPr="00F42398">
        <w:rPr>
          <w:rFonts w:asciiTheme="minorHAnsi" w:hAnsiTheme="minorHAnsi"/>
          <w:color w:val="auto"/>
          <w:szCs w:val="24"/>
        </w:rPr>
        <w:t>s</w:t>
      </w:r>
      <w:r w:rsidR="004B1844" w:rsidRPr="00F42398">
        <w:rPr>
          <w:rFonts w:asciiTheme="minorHAnsi" w:hAnsiTheme="minorHAnsi"/>
          <w:color w:val="auto"/>
          <w:szCs w:val="24"/>
        </w:rPr>
        <w:t>cribed as very sharp and electric-like and “can be so severe when it hits that his face involuntarily twitches.</w:t>
      </w:r>
      <w:r w:rsidR="006A17F4" w:rsidRPr="00F42398">
        <w:rPr>
          <w:rFonts w:asciiTheme="minorHAnsi" w:hAnsiTheme="minorHAnsi"/>
          <w:color w:val="auto"/>
          <w:szCs w:val="24"/>
        </w:rPr>
        <w:t>”</w:t>
      </w:r>
      <w:r w:rsidR="004B1844" w:rsidRPr="00F42398">
        <w:rPr>
          <w:rFonts w:asciiTheme="minorHAnsi" w:hAnsiTheme="minorHAnsi"/>
          <w:color w:val="auto"/>
          <w:szCs w:val="24"/>
        </w:rPr>
        <w:t xml:space="preserve">  </w:t>
      </w:r>
      <w:r w:rsidR="006A17F4" w:rsidRPr="00F42398">
        <w:rPr>
          <w:rFonts w:asciiTheme="minorHAnsi" w:hAnsiTheme="minorHAnsi"/>
          <w:color w:val="auto"/>
          <w:szCs w:val="24"/>
        </w:rPr>
        <w:t xml:space="preserve">It was also stated that </w:t>
      </w:r>
      <w:r w:rsidR="00B24F22" w:rsidRPr="00F42398">
        <w:rPr>
          <w:rFonts w:asciiTheme="minorHAnsi" w:hAnsiTheme="minorHAnsi"/>
          <w:color w:val="auto"/>
          <w:szCs w:val="24"/>
        </w:rPr>
        <w:t>“w</w:t>
      </w:r>
      <w:r w:rsidR="004B1844" w:rsidRPr="00F42398">
        <w:rPr>
          <w:rFonts w:asciiTheme="minorHAnsi" w:hAnsiTheme="minorHAnsi"/>
          <w:color w:val="auto"/>
          <w:szCs w:val="24"/>
        </w:rPr>
        <w:t xml:space="preserve">hen wearing a mask the pain is constant in nature.”  </w:t>
      </w:r>
      <w:r w:rsidR="006A17F4" w:rsidRPr="00F42398">
        <w:rPr>
          <w:rFonts w:asciiTheme="minorHAnsi" w:hAnsiTheme="minorHAnsi"/>
          <w:color w:val="auto"/>
          <w:szCs w:val="24"/>
        </w:rPr>
        <w:t>CI</w:t>
      </w:r>
      <w:r w:rsidR="0047413A" w:rsidRPr="00F42398">
        <w:rPr>
          <w:rFonts w:asciiTheme="minorHAnsi" w:hAnsiTheme="minorHAnsi"/>
          <w:color w:val="auto"/>
          <w:szCs w:val="24"/>
        </w:rPr>
        <w:t xml:space="preserve"> </w:t>
      </w:r>
      <w:r w:rsidR="006A17F4" w:rsidRPr="00F42398">
        <w:rPr>
          <w:rFonts w:asciiTheme="minorHAnsi" w:hAnsiTheme="minorHAnsi"/>
          <w:color w:val="auto"/>
          <w:szCs w:val="24"/>
        </w:rPr>
        <w:t xml:space="preserve">had also </w:t>
      </w:r>
      <w:r w:rsidR="0047413A" w:rsidRPr="00F42398">
        <w:rPr>
          <w:rFonts w:asciiTheme="minorHAnsi" w:hAnsiTheme="minorHAnsi"/>
          <w:color w:val="auto"/>
          <w:szCs w:val="24"/>
        </w:rPr>
        <w:t>noted numbness around the right nose and maxilla for several months</w:t>
      </w:r>
      <w:r w:rsidR="006A17F4" w:rsidRPr="00F42398">
        <w:rPr>
          <w:rFonts w:asciiTheme="minorHAnsi" w:hAnsiTheme="minorHAnsi"/>
          <w:color w:val="auto"/>
          <w:szCs w:val="24"/>
        </w:rPr>
        <w:t>,</w:t>
      </w:r>
      <w:r w:rsidR="004B1844" w:rsidRPr="00F42398">
        <w:rPr>
          <w:rFonts w:asciiTheme="minorHAnsi" w:hAnsiTheme="minorHAnsi"/>
          <w:color w:val="auto"/>
          <w:szCs w:val="24"/>
        </w:rPr>
        <w:t xml:space="preserve"> </w:t>
      </w:r>
      <w:r w:rsidR="006A17F4" w:rsidRPr="00F42398">
        <w:rPr>
          <w:rFonts w:asciiTheme="minorHAnsi" w:hAnsiTheme="minorHAnsi"/>
          <w:color w:val="auto"/>
          <w:szCs w:val="24"/>
        </w:rPr>
        <w:t>and</w:t>
      </w:r>
      <w:r w:rsidR="004B1844" w:rsidRPr="00F42398">
        <w:rPr>
          <w:rFonts w:asciiTheme="minorHAnsi" w:hAnsiTheme="minorHAnsi"/>
          <w:color w:val="auto"/>
          <w:szCs w:val="24"/>
        </w:rPr>
        <w:t xml:space="preserve"> his pain </w:t>
      </w:r>
      <w:r w:rsidR="005047CB" w:rsidRPr="00F42398">
        <w:rPr>
          <w:rFonts w:asciiTheme="minorHAnsi" w:hAnsiTheme="minorHAnsi"/>
          <w:color w:val="auto"/>
          <w:szCs w:val="24"/>
        </w:rPr>
        <w:t>was</w:t>
      </w:r>
      <w:r w:rsidR="004B1844" w:rsidRPr="00F42398">
        <w:rPr>
          <w:rFonts w:asciiTheme="minorHAnsi" w:hAnsiTheme="minorHAnsi"/>
          <w:color w:val="auto"/>
          <w:szCs w:val="24"/>
        </w:rPr>
        <w:t xml:space="preserve"> </w:t>
      </w:r>
      <w:r w:rsidR="005047CB" w:rsidRPr="00F42398">
        <w:rPr>
          <w:rFonts w:asciiTheme="minorHAnsi" w:hAnsiTheme="minorHAnsi"/>
          <w:color w:val="auto"/>
          <w:szCs w:val="24"/>
        </w:rPr>
        <w:t xml:space="preserve">worse </w:t>
      </w:r>
      <w:r w:rsidR="006A17F4" w:rsidRPr="00F42398">
        <w:rPr>
          <w:rFonts w:asciiTheme="minorHAnsi" w:hAnsiTheme="minorHAnsi"/>
          <w:color w:val="auto"/>
          <w:szCs w:val="24"/>
        </w:rPr>
        <w:t>when</w:t>
      </w:r>
      <w:r w:rsidR="005047CB" w:rsidRPr="00F42398">
        <w:rPr>
          <w:rFonts w:asciiTheme="minorHAnsi" w:hAnsiTheme="minorHAnsi"/>
          <w:color w:val="auto"/>
          <w:szCs w:val="24"/>
        </w:rPr>
        <w:t xml:space="preserve"> he was </w:t>
      </w:r>
      <w:r w:rsidR="004B1844" w:rsidRPr="00F42398">
        <w:rPr>
          <w:rFonts w:asciiTheme="minorHAnsi" w:hAnsiTheme="minorHAnsi"/>
          <w:color w:val="auto"/>
          <w:szCs w:val="24"/>
        </w:rPr>
        <w:t xml:space="preserve">not </w:t>
      </w:r>
      <w:r w:rsidR="005047CB" w:rsidRPr="00F42398">
        <w:rPr>
          <w:rFonts w:asciiTheme="minorHAnsi" w:hAnsiTheme="minorHAnsi"/>
          <w:color w:val="auto"/>
          <w:szCs w:val="24"/>
        </w:rPr>
        <w:t>taking his</w:t>
      </w:r>
      <w:r w:rsidR="004B1844" w:rsidRPr="00F42398">
        <w:rPr>
          <w:rFonts w:asciiTheme="minorHAnsi" w:hAnsiTheme="minorHAnsi"/>
          <w:color w:val="auto"/>
          <w:szCs w:val="24"/>
        </w:rPr>
        <w:t xml:space="preserve"> </w:t>
      </w:r>
      <w:r w:rsidR="00F61D21" w:rsidRPr="00F42398">
        <w:rPr>
          <w:rFonts w:asciiTheme="minorHAnsi" w:hAnsiTheme="minorHAnsi"/>
          <w:color w:val="auto"/>
          <w:szCs w:val="24"/>
        </w:rPr>
        <w:t>medications</w:t>
      </w:r>
      <w:r w:rsidR="004B1844" w:rsidRPr="00F42398">
        <w:rPr>
          <w:rFonts w:asciiTheme="minorHAnsi" w:hAnsiTheme="minorHAnsi"/>
          <w:color w:val="auto"/>
          <w:szCs w:val="24"/>
        </w:rPr>
        <w:t>.</w:t>
      </w:r>
      <w:r w:rsidR="0047413A" w:rsidRPr="00F42398">
        <w:rPr>
          <w:rFonts w:asciiTheme="minorHAnsi" w:hAnsiTheme="minorHAnsi"/>
          <w:color w:val="auto"/>
          <w:szCs w:val="24"/>
        </w:rPr>
        <w:t xml:space="preserve">  The exam</w:t>
      </w:r>
      <w:r w:rsidR="005A42DD" w:rsidRPr="00F42398">
        <w:rPr>
          <w:rFonts w:asciiTheme="minorHAnsi" w:hAnsiTheme="minorHAnsi"/>
          <w:color w:val="auto"/>
          <w:szCs w:val="24"/>
        </w:rPr>
        <w:t>ination</w:t>
      </w:r>
      <w:r w:rsidR="0047413A" w:rsidRPr="00F42398">
        <w:rPr>
          <w:rFonts w:asciiTheme="minorHAnsi" w:hAnsiTheme="minorHAnsi"/>
          <w:color w:val="auto"/>
          <w:szCs w:val="24"/>
        </w:rPr>
        <w:t xml:space="preserve"> demonstrated decreased sensation in the V2</w:t>
      </w:r>
      <w:r w:rsidR="00900DF2" w:rsidRPr="00F42398">
        <w:rPr>
          <w:rFonts w:asciiTheme="minorHAnsi" w:hAnsiTheme="minorHAnsi"/>
          <w:color w:val="auto"/>
          <w:szCs w:val="24"/>
        </w:rPr>
        <w:t xml:space="preserve"> </w:t>
      </w:r>
      <w:r w:rsidR="0047413A" w:rsidRPr="00F42398">
        <w:rPr>
          <w:rFonts w:asciiTheme="minorHAnsi" w:hAnsiTheme="minorHAnsi"/>
          <w:color w:val="auto"/>
          <w:szCs w:val="24"/>
        </w:rPr>
        <w:t>distribution of the right trigeminal nerve</w:t>
      </w:r>
      <w:r w:rsidR="00900DF2" w:rsidRPr="00F42398">
        <w:rPr>
          <w:rFonts w:asciiTheme="minorHAnsi" w:hAnsiTheme="minorHAnsi"/>
          <w:color w:val="auto"/>
          <w:szCs w:val="24"/>
        </w:rPr>
        <w:t xml:space="preserve"> (cheek bone to upper lip</w:t>
      </w:r>
      <w:r w:rsidR="00E50F86" w:rsidRPr="00F42398">
        <w:rPr>
          <w:rFonts w:asciiTheme="minorHAnsi" w:hAnsiTheme="minorHAnsi"/>
          <w:color w:val="auto"/>
          <w:szCs w:val="24"/>
        </w:rPr>
        <w:t>; maxillary branch; purely sensory</w:t>
      </w:r>
      <w:r w:rsidR="00900DF2" w:rsidRPr="00F42398">
        <w:rPr>
          <w:rFonts w:asciiTheme="minorHAnsi" w:hAnsiTheme="minorHAnsi"/>
          <w:color w:val="auto"/>
          <w:szCs w:val="24"/>
        </w:rPr>
        <w:t>)</w:t>
      </w:r>
      <w:r w:rsidR="0047413A" w:rsidRPr="00F42398">
        <w:rPr>
          <w:rFonts w:asciiTheme="minorHAnsi" w:hAnsiTheme="minorHAnsi"/>
          <w:color w:val="auto"/>
          <w:szCs w:val="24"/>
        </w:rPr>
        <w:t xml:space="preserve">, but no documented motor loss. </w:t>
      </w:r>
      <w:r w:rsidR="00A41DA8" w:rsidRPr="00F42398">
        <w:rPr>
          <w:rFonts w:asciiTheme="minorHAnsi" w:hAnsiTheme="minorHAnsi"/>
          <w:color w:val="auto"/>
          <w:szCs w:val="24"/>
        </w:rPr>
        <w:t xml:space="preserve"> </w:t>
      </w:r>
      <w:r w:rsidR="00B24F22" w:rsidRPr="00F42398">
        <w:rPr>
          <w:rFonts w:asciiTheme="minorHAnsi" w:hAnsiTheme="minorHAnsi"/>
          <w:color w:val="auto"/>
          <w:szCs w:val="24"/>
        </w:rPr>
        <w:t>A</w:t>
      </w:r>
      <w:r w:rsidR="0047413A" w:rsidRPr="00F42398">
        <w:rPr>
          <w:rFonts w:asciiTheme="minorHAnsi" w:hAnsiTheme="minorHAnsi"/>
          <w:color w:val="auto"/>
          <w:szCs w:val="24"/>
        </w:rPr>
        <w:t xml:space="preserve"> </w:t>
      </w:r>
      <w:r w:rsidR="00B24F22" w:rsidRPr="00F42398">
        <w:rPr>
          <w:rFonts w:asciiTheme="minorHAnsi" w:hAnsiTheme="minorHAnsi"/>
          <w:color w:val="auto"/>
          <w:szCs w:val="24"/>
        </w:rPr>
        <w:t>magnetic resonance image (</w:t>
      </w:r>
      <w:r w:rsidR="0047413A" w:rsidRPr="00F42398">
        <w:rPr>
          <w:rFonts w:asciiTheme="minorHAnsi" w:hAnsiTheme="minorHAnsi"/>
          <w:color w:val="auto"/>
          <w:szCs w:val="24"/>
        </w:rPr>
        <w:t>MRI</w:t>
      </w:r>
      <w:r w:rsidR="00B24F22" w:rsidRPr="00F42398">
        <w:rPr>
          <w:rFonts w:asciiTheme="minorHAnsi" w:hAnsiTheme="minorHAnsi"/>
          <w:color w:val="auto"/>
          <w:szCs w:val="24"/>
        </w:rPr>
        <w:t xml:space="preserve">), </w:t>
      </w:r>
      <w:r w:rsidR="00EC599C" w:rsidRPr="00F42398">
        <w:rPr>
          <w:rFonts w:asciiTheme="minorHAnsi" w:hAnsiTheme="minorHAnsi"/>
          <w:color w:val="auto"/>
          <w:szCs w:val="24"/>
        </w:rPr>
        <w:t>1 December 2003</w:t>
      </w:r>
      <w:r w:rsidR="00B24F22" w:rsidRPr="00F42398">
        <w:rPr>
          <w:rFonts w:asciiTheme="minorHAnsi" w:hAnsiTheme="minorHAnsi"/>
          <w:color w:val="auto"/>
          <w:szCs w:val="24"/>
        </w:rPr>
        <w:t>,</w:t>
      </w:r>
      <w:r w:rsidR="0047413A" w:rsidRPr="00F42398">
        <w:rPr>
          <w:rFonts w:asciiTheme="minorHAnsi" w:hAnsiTheme="minorHAnsi"/>
          <w:color w:val="auto"/>
          <w:szCs w:val="24"/>
        </w:rPr>
        <w:t xml:space="preserve"> of the TMJs revealed small bilateral </w:t>
      </w:r>
      <w:proofErr w:type="spellStart"/>
      <w:r w:rsidR="0047413A" w:rsidRPr="00F42398">
        <w:rPr>
          <w:rFonts w:asciiTheme="minorHAnsi" w:hAnsiTheme="minorHAnsi"/>
          <w:color w:val="auto"/>
          <w:szCs w:val="24"/>
        </w:rPr>
        <w:t>mandi</w:t>
      </w:r>
      <w:r w:rsidR="009212C2" w:rsidRPr="00F42398">
        <w:rPr>
          <w:rFonts w:asciiTheme="minorHAnsi" w:hAnsiTheme="minorHAnsi"/>
          <w:color w:val="auto"/>
          <w:szCs w:val="24"/>
        </w:rPr>
        <w:t>b</w:t>
      </w:r>
      <w:r w:rsidR="0047413A" w:rsidRPr="00F42398">
        <w:rPr>
          <w:rFonts w:asciiTheme="minorHAnsi" w:hAnsiTheme="minorHAnsi"/>
          <w:color w:val="auto"/>
          <w:szCs w:val="24"/>
        </w:rPr>
        <w:t>ular</w:t>
      </w:r>
      <w:proofErr w:type="spellEnd"/>
      <w:r w:rsidR="0047413A" w:rsidRPr="00F42398">
        <w:rPr>
          <w:rFonts w:asciiTheme="minorHAnsi" w:hAnsiTheme="minorHAnsi"/>
          <w:color w:val="auto"/>
          <w:szCs w:val="24"/>
        </w:rPr>
        <w:t xml:space="preserve"> </w:t>
      </w:r>
      <w:proofErr w:type="spellStart"/>
      <w:r w:rsidR="0047413A" w:rsidRPr="00F42398">
        <w:rPr>
          <w:rFonts w:asciiTheme="minorHAnsi" w:hAnsiTheme="minorHAnsi"/>
          <w:color w:val="auto"/>
          <w:szCs w:val="24"/>
        </w:rPr>
        <w:t>condyle</w:t>
      </w:r>
      <w:proofErr w:type="spellEnd"/>
      <w:r w:rsidR="0047413A" w:rsidRPr="00F42398">
        <w:rPr>
          <w:rFonts w:asciiTheme="minorHAnsi" w:hAnsiTheme="minorHAnsi"/>
          <w:color w:val="auto"/>
          <w:szCs w:val="24"/>
        </w:rPr>
        <w:t xml:space="preserve"> </w:t>
      </w:r>
      <w:proofErr w:type="spellStart"/>
      <w:r w:rsidR="0047413A" w:rsidRPr="00F42398">
        <w:rPr>
          <w:rFonts w:asciiTheme="minorHAnsi" w:hAnsiTheme="minorHAnsi"/>
          <w:color w:val="auto"/>
          <w:szCs w:val="24"/>
        </w:rPr>
        <w:t>osteophytes</w:t>
      </w:r>
      <w:proofErr w:type="spellEnd"/>
      <w:r w:rsidR="00B00A49" w:rsidRPr="00F42398">
        <w:rPr>
          <w:rFonts w:asciiTheme="minorHAnsi" w:hAnsiTheme="minorHAnsi"/>
          <w:color w:val="auto"/>
          <w:szCs w:val="24"/>
        </w:rPr>
        <w:t>.  The menisci w</w:t>
      </w:r>
      <w:r w:rsidR="00B00A49">
        <w:rPr>
          <w:rFonts w:asciiTheme="minorHAnsi" w:hAnsiTheme="minorHAnsi"/>
          <w:color w:val="auto"/>
          <w:szCs w:val="24"/>
        </w:rPr>
        <w:t xml:space="preserve">ere in </w:t>
      </w:r>
      <w:r w:rsidR="005A42DD">
        <w:rPr>
          <w:rFonts w:asciiTheme="minorHAnsi" w:hAnsiTheme="minorHAnsi"/>
          <w:color w:val="auto"/>
          <w:szCs w:val="24"/>
        </w:rPr>
        <w:t xml:space="preserve">a </w:t>
      </w:r>
      <w:r w:rsidR="00B00A49">
        <w:rPr>
          <w:rFonts w:asciiTheme="minorHAnsi" w:hAnsiTheme="minorHAnsi"/>
          <w:color w:val="auto"/>
          <w:szCs w:val="24"/>
        </w:rPr>
        <w:t xml:space="preserve">normal position in both the open and closed mouth position </w:t>
      </w:r>
      <w:r w:rsidR="0047413A">
        <w:rPr>
          <w:rFonts w:asciiTheme="minorHAnsi" w:hAnsiTheme="minorHAnsi"/>
          <w:color w:val="auto"/>
          <w:szCs w:val="24"/>
        </w:rPr>
        <w:t>without evidence of meniscal subluxation or dislocation</w:t>
      </w:r>
      <w:r w:rsidR="00B00A49">
        <w:rPr>
          <w:rFonts w:asciiTheme="minorHAnsi" w:hAnsiTheme="minorHAnsi"/>
          <w:color w:val="auto"/>
          <w:szCs w:val="24"/>
        </w:rPr>
        <w:t xml:space="preserve">, and the translation of the </w:t>
      </w:r>
      <w:proofErr w:type="spellStart"/>
      <w:r w:rsidR="00B00A49">
        <w:rPr>
          <w:rFonts w:asciiTheme="minorHAnsi" w:hAnsiTheme="minorHAnsi"/>
          <w:color w:val="auto"/>
          <w:szCs w:val="24"/>
        </w:rPr>
        <w:t>mandibular</w:t>
      </w:r>
      <w:proofErr w:type="spellEnd"/>
      <w:r w:rsidR="00B00A49">
        <w:rPr>
          <w:rFonts w:asciiTheme="minorHAnsi" w:hAnsiTheme="minorHAnsi"/>
          <w:color w:val="auto"/>
          <w:szCs w:val="24"/>
        </w:rPr>
        <w:t xml:space="preserve"> </w:t>
      </w:r>
      <w:proofErr w:type="spellStart"/>
      <w:r w:rsidR="00B00A49">
        <w:rPr>
          <w:rFonts w:asciiTheme="minorHAnsi" w:hAnsiTheme="minorHAnsi"/>
          <w:color w:val="auto"/>
          <w:szCs w:val="24"/>
        </w:rPr>
        <w:t>condyle</w:t>
      </w:r>
      <w:r w:rsidR="00C74977">
        <w:rPr>
          <w:rFonts w:asciiTheme="minorHAnsi" w:hAnsiTheme="minorHAnsi"/>
          <w:color w:val="auto"/>
          <w:szCs w:val="24"/>
        </w:rPr>
        <w:t>s</w:t>
      </w:r>
      <w:proofErr w:type="spellEnd"/>
      <w:r w:rsidR="00B00A49">
        <w:rPr>
          <w:rFonts w:asciiTheme="minorHAnsi" w:hAnsiTheme="minorHAnsi"/>
          <w:color w:val="auto"/>
          <w:szCs w:val="24"/>
        </w:rPr>
        <w:t xml:space="preserve"> (forward gliding movement with opening) was normal in appearance.  The MRI was</w:t>
      </w:r>
      <w:r w:rsidR="0047413A">
        <w:rPr>
          <w:rFonts w:asciiTheme="minorHAnsi" w:hAnsiTheme="minorHAnsi"/>
          <w:color w:val="auto"/>
          <w:szCs w:val="24"/>
        </w:rPr>
        <w:t xml:space="preserve"> otherwise unremarkable.  The neurologist opined the CI had classic </w:t>
      </w:r>
      <w:proofErr w:type="spellStart"/>
      <w:r w:rsidR="0047413A">
        <w:rPr>
          <w:rFonts w:asciiTheme="minorHAnsi" w:hAnsiTheme="minorHAnsi"/>
          <w:color w:val="auto"/>
          <w:szCs w:val="24"/>
        </w:rPr>
        <w:t>lancinating</w:t>
      </w:r>
      <w:proofErr w:type="spellEnd"/>
      <w:r w:rsidR="0047413A">
        <w:rPr>
          <w:rFonts w:asciiTheme="minorHAnsi" w:hAnsiTheme="minorHAnsi"/>
          <w:color w:val="auto"/>
          <w:szCs w:val="24"/>
        </w:rPr>
        <w:t xml:space="preserve"> pain triggers of the distribution of trigeminal </w:t>
      </w:r>
      <w:r w:rsidR="00BB39AC" w:rsidRPr="00A41DA8">
        <w:rPr>
          <w:rFonts w:asciiTheme="minorHAnsi" w:hAnsiTheme="minorHAnsi"/>
          <w:color w:val="auto"/>
          <w:szCs w:val="24"/>
        </w:rPr>
        <w:t>nerve</w:t>
      </w:r>
      <w:r w:rsidR="00BB39AC">
        <w:rPr>
          <w:rFonts w:asciiTheme="minorHAnsi" w:hAnsiTheme="minorHAnsi"/>
          <w:color w:val="auto"/>
          <w:szCs w:val="24"/>
        </w:rPr>
        <w:t xml:space="preserve"> </w:t>
      </w:r>
      <w:r w:rsidR="0047413A">
        <w:rPr>
          <w:rFonts w:asciiTheme="minorHAnsi" w:hAnsiTheme="minorHAnsi"/>
          <w:color w:val="auto"/>
          <w:szCs w:val="24"/>
        </w:rPr>
        <w:t>with an atypical sensory loss</w:t>
      </w:r>
      <w:r w:rsidR="008A1309">
        <w:rPr>
          <w:rFonts w:asciiTheme="minorHAnsi" w:hAnsiTheme="minorHAnsi"/>
          <w:color w:val="auto"/>
          <w:szCs w:val="24"/>
        </w:rPr>
        <w:t>.</w:t>
      </w:r>
      <w:r w:rsidR="00655C96">
        <w:rPr>
          <w:rFonts w:asciiTheme="minorHAnsi" w:hAnsiTheme="minorHAnsi"/>
          <w:color w:val="auto"/>
          <w:szCs w:val="24"/>
        </w:rPr>
        <w:t xml:space="preserve">  He </w:t>
      </w:r>
      <w:r w:rsidR="00900802">
        <w:rPr>
          <w:rFonts w:asciiTheme="minorHAnsi" w:hAnsiTheme="minorHAnsi"/>
          <w:color w:val="auto"/>
          <w:szCs w:val="24"/>
        </w:rPr>
        <w:t xml:space="preserve">recommended a trial of the medication </w:t>
      </w:r>
      <w:proofErr w:type="spellStart"/>
      <w:r w:rsidR="00900802">
        <w:rPr>
          <w:rFonts w:asciiTheme="minorHAnsi" w:hAnsiTheme="minorHAnsi"/>
          <w:color w:val="auto"/>
          <w:szCs w:val="24"/>
        </w:rPr>
        <w:t>Tegretol</w:t>
      </w:r>
      <w:proofErr w:type="spellEnd"/>
      <w:r w:rsidR="00655C96">
        <w:rPr>
          <w:rFonts w:asciiTheme="minorHAnsi" w:hAnsiTheme="minorHAnsi"/>
          <w:color w:val="auto"/>
          <w:szCs w:val="24"/>
        </w:rPr>
        <w:t xml:space="preserve"> and i</w:t>
      </w:r>
      <w:r w:rsidR="00941041">
        <w:rPr>
          <w:rFonts w:asciiTheme="minorHAnsi" w:hAnsiTheme="minorHAnsi"/>
          <w:color w:val="auto"/>
          <w:szCs w:val="24"/>
        </w:rPr>
        <w:t>f this was not successful</w:t>
      </w:r>
      <w:r w:rsidR="00900802">
        <w:rPr>
          <w:rFonts w:asciiTheme="minorHAnsi" w:hAnsiTheme="minorHAnsi"/>
          <w:color w:val="auto"/>
          <w:szCs w:val="24"/>
        </w:rPr>
        <w:t xml:space="preserve"> </w:t>
      </w:r>
      <w:r w:rsidR="00655C96">
        <w:rPr>
          <w:rFonts w:asciiTheme="minorHAnsi" w:hAnsiTheme="minorHAnsi"/>
          <w:color w:val="auto"/>
          <w:szCs w:val="24"/>
        </w:rPr>
        <w:t xml:space="preserve">to </w:t>
      </w:r>
      <w:r w:rsidR="00900802">
        <w:rPr>
          <w:rFonts w:asciiTheme="minorHAnsi" w:hAnsiTheme="minorHAnsi"/>
          <w:color w:val="auto"/>
          <w:szCs w:val="24"/>
        </w:rPr>
        <w:t>consider</w:t>
      </w:r>
      <w:r w:rsidR="00DD7FD5">
        <w:rPr>
          <w:rFonts w:asciiTheme="minorHAnsi" w:hAnsiTheme="minorHAnsi"/>
          <w:color w:val="auto"/>
          <w:szCs w:val="24"/>
        </w:rPr>
        <w:t xml:space="preserve"> other definitive treatment options.</w:t>
      </w:r>
      <w:r w:rsidR="008A1309">
        <w:rPr>
          <w:rFonts w:asciiTheme="minorHAnsi" w:hAnsiTheme="minorHAnsi"/>
          <w:color w:val="auto"/>
          <w:szCs w:val="24"/>
        </w:rPr>
        <w:t xml:space="preserve">  </w:t>
      </w:r>
      <w:r w:rsidR="00900802">
        <w:rPr>
          <w:rFonts w:asciiTheme="minorHAnsi" w:hAnsiTheme="minorHAnsi"/>
          <w:color w:val="auto"/>
          <w:szCs w:val="24"/>
        </w:rPr>
        <w:t>The Board notes that the occupational physicians caring for the CI were also concerned that the underlying problem was secondary to trigeminal neuralgia rather than TMD.</w:t>
      </w:r>
      <w:r w:rsidR="00ED2441">
        <w:rPr>
          <w:rFonts w:asciiTheme="minorHAnsi" w:hAnsiTheme="minorHAnsi"/>
          <w:color w:val="auto"/>
          <w:szCs w:val="24"/>
        </w:rPr>
        <w:t xml:space="preserve">  </w:t>
      </w:r>
      <w:r w:rsidR="0057701D">
        <w:rPr>
          <w:rFonts w:asciiTheme="minorHAnsi" w:hAnsiTheme="minorHAnsi"/>
          <w:color w:val="auto"/>
          <w:szCs w:val="24"/>
        </w:rPr>
        <w:t xml:space="preserve">The </w:t>
      </w:r>
      <w:r w:rsidR="00B24F22">
        <w:rPr>
          <w:rFonts w:asciiTheme="minorHAnsi" w:hAnsiTheme="minorHAnsi"/>
          <w:color w:val="auto"/>
          <w:szCs w:val="24"/>
        </w:rPr>
        <w:t>PEB</w:t>
      </w:r>
      <w:r w:rsidR="0057701D">
        <w:rPr>
          <w:rFonts w:asciiTheme="minorHAnsi" w:hAnsiTheme="minorHAnsi"/>
          <w:color w:val="auto"/>
          <w:szCs w:val="24"/>
        </w:rPr>
        <w:t xml:space="preserve"> adjudicated </w:t>
      </w:r>
      <w:r w:rsidR="00381A2D">
        <w:rPr>
          <w:rFonts w:asciiTheme="minorHAnsi" w:hAnsiTheme="minorHAnsi"/>
          <w:color w:val="auto"/>
          <w:szCs w:val="24"/>
        </w:rPr>
        <w:t>t</w:t>
      </w:r>
      <w:r w:rsidR="0057701D">
        <w:rPr>
          <w:rFonts w:asciiTheme="minorHAnsi" w:hAnsiTheme="minorHAnsi"/>
          <w:color w:val="auto"/>
          <w:szCs w:val="24"/>
        </w:rPr>
        <w:t xml:space="preserve">rigeminal </w:t>
      </w:r>
      <w:r w:rsidR="00381A2D">
        <w:rPr>
          <w:rFonts w:asciiTheme="minorHAnsi" w:hAnsiTheme="minorHAnsi"/>
          <w:color w:val="auto"/>
          <w:szCs w:val="24"/>
        </w:rPr>
        <w:t>n</w:t>
      </w:r>
      <w:r w:rsidR="0057701D">
        <w:rPr>
          <w:rFonts w:asciiTheme="minorHAnsi" w:hAnsiTheme="minorHAnsi"/>
          <w:color w:val="auto"/>
          <w:szCs w:val="24"/>
        </w:rPr>
        <w:t xml:space="preserve">euralgia as unfitting, coded 8405, and rated it at 10%.  </w:t>
      </w:r>
      <w:r w:rsidR="00F61A6F">
        <w:rPr>
          <w:rFonts w:asciiTheme="minorHAnsi" w:hAnsiTheme="minorHAnsi"/>
          <w:color w:val="auto"/>
          <w:szCs w:val="24"/>
        </w:rPr>
        <w:t xml:space="preserve">The CI concurred with the </w:t>
      </w:r>
      <w:r w:rsidR="00B24F22">
        <w:rPr>
          <w:rFonts w:asciiTheme="minorHAnsi" w:hAnsiTheme="minorHAnsi"/>
          <w:color w:val="auto"/>
          <w:szCs w:val="24"/>
        </w:rPr>
        <w:t>PEB</w:t>
      </w:r>
      <w:r w:rsidR="00F61A6F">
        <w:rPr>
          <w:rFonts w:asciiTheme="minorHAnsi" w:hAnsiTheme="minorHAnsi"/>
          <w:color w:val="auto"/>
          <w:szCs w:val="24"/>
        </w:rPr>
        <w:t xml:space="preserve"> and did not appeal.</w:t>
      </w:r>
      <w:r w:rsidR="009C57A4">
        <w:rPr>
          <w:rFonts w:asciiTheme="minorHAnsi" w:hAnsiTheme="minorHAnsi"/>
          <w:color w:val="auto"/>
          <w:szCs w:val="24"/>
        </w:rPr>
        <w:t xml:space="preserve">  </w:t>
      </w:r>
      <w:r w:rsidR="00B416F2">
        <w:rPr>
          <w:rFonts w:asciiTheme="minorHAnsi" w:hAnsiTheme="minorHAnsi"/>
          <w:color w:val="auto"/>
          <w:szCs w:val="24"/>
        </w:rPr>
        <w:t xml:space="preserve">The VA </w:t>
      </w:r>
      <w:r w:rsidR="006A17F4">
        <w:rPr>
          <w:rFonts w:asciiTheme="minorHAnsi" w:hAnsiTheme="minorHAnsi"/>
          <w:color w:val="auto"/>
          <w:szCs w:val="24"/>
        </w:rPr>
        <w:t>C</w:t>
      </w:r>
      <w:r w:rsidR="00B416F2">
        <w:rPr>
          <w:rFonts w:asciiTheme="minorHAnsi" w:hAnsiTheme="minorHAnsi"/>
          <w:color w:val="auto"/>
          <w:szCs w:val="24"/>
        </w:rPr>
        <w:t xml:space="preserve">ompensation and </w:t>
      </w:r>
      <w:r w:rsidR="006A17F4">
        <w:rPr>
          <w:rFonts w:asciiTheme="minorHAnsi" w:hAnsiTheme="minorHAnsi"/>
          <w:color w:val="auto"/>
          <w:szCs w:val="24"/>
        </w:rPr>
        <w:t>P</w:t>
      </w:r>
      <w:r w:rsidR="00B416F2">
        <w:rPr>
          <w:rFonts w:asciiTheme="minorHAnsi" w:hAnsiTheme="minorHAnsi"/>
          <w:color w:val="auto"/>
          <w:szCs w:val="24"/>
        </w:rPr>
        <w:t>ension (C&amp;P) exam</w:t>
      </w:r>
      <w:r w:rsidR="00B00A49">
        <w:rPr>
          <w:rFonts w:asciiTheme="minorHAnsi" w:hAnsiTheme="minorHAnsi"/>
          <w:color w:val="auto"/>
          <w:szCs w:val="24"/>
        </w:rPr>
        <w:t>ination</w:t>
      </w:r>
      <w:r w:rsidR="00B416F2">
        <w:rPr>
          <w:rFonts w:asciiTheme="minorHAnsi" w:hAnsiTheme="minorHAnsi"/>
          <w:color w:val="auto"/>
          <w:szCs w:val="24"/>
        </w:rPr>
        <w:t xml:space="preserve"> </w:t>
      </w:r>
      <w:r w:rsidR="00900802">
        <w:rPr>
          <w:rFonts w:asciiTheme="minorHAnsi" w:hAnsiTheme="minorHAnsi"/>
          <w:color w:val="auto"/>
          <w:szCs w:val="24"/>
        </w:rPr>
        <w:t xml:space="preserve">completed </w:t>
      </w:r>
      <w:r w:rsidR="00B416F2">
        <w:rPr>
          <w:rFonts w:asciiTheme="minorHAnsi" w:hAnsiTheme="minorHAnsi"/>
          <w:color w:val="auto"/>
          <w:szCs w:val="24"/>
        </w:rPr>
        <w:t>four months after separation</w:t>
      </w:r>
      <w:r w:rsidR="00900802">
        <w:rPr>
          <w:rFonts w:asciiTheme="minorHAnsi" w:hAnsiTheme="minorHAnsi"/>
          <w:color w:val="auto"/>
          <w:szCs w:val="24"/>
        </w:rPr>
        <w:t xml:space="preserve"> documented </w:t>
      </w:r>
      <w:r w:rsidR="00F614CD">
        <w:rPr>
          <w:rFonts w:asciiTheme="minorHAnsi" w:hAnsiTheme="minorHAnsi"/>
          <w:color w:val="auto"/>
          <w:szCs w:val="24"/>
        </w:rPr>
        <w:t xml:space="preserve">facial pain </w:t>
      </w:r>
      <w:r w:rsidR="00900802">
        <w:rPr>
          <w:rFonts w:asciiTheme="minorHAnsi" w:hAnsiTheme="minorHAnsi"/>
          <w:color w:val="auto"/>
          <w:szCs w:val="24"/>
        </w:rPr>
        <w:t xml:space="preserve">triggered by shaving </w:t>
      </w:r>
      <w:r w:rsidR="000B4E14">
        <w:rPr>
          <w:rFonts w:asciiTheme="minorHAnsi" w:hAnsiTheme="minorHAnsi"/>
          <w:color w:val="auto"/>
          <w:szCs w:val="24"/>
        </w:rPr>
        <w:t xml:space="preserve">and </w:t>
      </w:r>
      <w:r w:rsidR="00F614CD">
        <w:rPr>
          <w:rFonts w:asciiTheme="minorHAnsi" w:hAnsiTheme="minorHAnsi"/>
          <w:color w:val="auto"/>
          <w:szCs w:val="24"/>
        </w:rPr>
        <w:t>brushing his teeth</w:t>
      </w:r>
      <w:r w:rsidR="006A17F4">
        <w:rPr>
          <w:rFonts w:asciiTheme="minorHAnsi" w:hAnsiTheme="minorHAnsi"/>
          <w:color w:val="auto"/>
          <w:szCs w:val="24"/>
        </w:rPr>
        <w:t>,</w:t>
      </w:r>
      <w:r w:rsidR="00DB5BBE">
        <w:rPr>
          <w:rFonts w:asciiTheme="minorHAnsi" w:hAnsiTheme="minorHAnsi"/>
          <w:color w:val="auto"/>
          <w:szCs w:val="24"/>
        </w:rPr>
        <w:t xml:space="preserve"> attributed to his trigeminal neuralgia</w:t>
      </w:r>
      <w:r w:rsidR="006A17F4">
        <w:rPr>
          <w:rFonts w:asciiTheme="minorHAnsi" w:hAnsiTheme="minorHAnsi"/>
          <w:color w:val="auto"/>
          <w:szCs w:val="24"/>
        </w:rPr>
        <w:t>,</w:t>
      </w:r>
      <w:r w:rsidR="00DB5BBE">
        <w:rPr>
          <w:rFonts w:asciiTheme="minorHAnsi" w:hAnsiTheme="minorHAnsi"/>
          <w:color w:val="auto"/>
          <w:szCs w:val="24"/>
        </w:rPr>
        <w:t xml:space="preserve"> lasting from seconds to days.</w:t>
      </w:r>
      <w:r w:rsidR="000B4E14" w:rsidRPr="000B4E14">
        <w:rPr>
          <w:rFonts w:asciiTheme="minorHAnsi" w:hAnsiTheme="minorHAnsi"/>
          <w:color w:val="auto"/>
          <w:szCs w:val="24"/>
        </w:rPr>
        <w:t xml:space="preserve"> </w:t>
      </w:r>
      <w:r w:rsidR="000B4E14">
        <w:rPr>
          <w:rFonts w:asciiTheme="minorHAnsi" w:hAnsiTheme="minorHAnsi"/>
          <w:color w:val="auto"/>
          <w:szCs w:val="24"/>
        </w:rPr>
        <w:t xml:space="preserve"> </w:t>
      </w:r>
      <w:r w:rsidR="00655C96">
        <w:rPr>
          <w:rFonts w:asciiTheme="minorHAnsi" w:hAnsiTheme="minorHAnsi"/>
          <w:color w:val="auto"/>
          <w:szCs w:val="24"/>
        </w:rPr>
        <w:t>With</w:t>
      </w:r>
      <w:r w:rsidR="000B4E14">
        <w:rPr>
          <w:rFonts w:asciiTheme="minorHAnsi" w:hAnsiTheme="minorHAnsi"/>
          <w:color w:val="auto"/>
          <w:szCs w:val="24"/>
        </w:rPr>
        <w:t xml:space="preserve"> regards to his TMD</w:t>
      </w:r>
      <w:r w:rsidR="00655C96">
        <w:rPr>
          <w:rFonts w:asciiTheme="minorHAnsi" w:hAnsiTheme="minorHAnsi"/>
          <w:color w:val="auto"/>
          <w:szCs w:val="24"/>
        </w:rPr>
        <w:t>,</w:t>
      </w:r>
      <w:r w:rsidR="000B4E14">
        <w:rPr>
          <w:rFonts w:asciiTheme="minorHAnsi" w:hAnsiTheme="minorHAnsi"/>
          <w:color w:val="auto"/>
          <w:szCs w:val="24"/>
        </w:rPr>
        <w:t xml:space="preserve"> </w:t>
      </w:r>
      <w:r w:rsidR="006A17F4">
        <w:rPr>
          <w:rFonts w:asciiTheme="minorHAnsi" w:hAnsiTheme="minorHAnsi"/>
          <w:color w:val="auto"/>
          <w:szCs w:val="24"/>
        </w:rPr>
        <w:t>CI</w:t>
      </w:r>
      <w:r w:rsidR="000B4E14">
        <w:rPr>
          <w:rFonts w:asciiTheme="minorHAnsi" w:hAnsiTheme="minorHAnsi"/>
          <w:color w:val="auto"/>
          <w:szCs w:val="24"/>
        </w:rPr>
        <w:t xml:space="preserve"> had</w:t>
      </w:r>
      <w:r w:rsidR="00DB5BBE">
        <w:rPr>
          <w:rFonts w:asciiTheme="minorHAnsi" w:hAnsiTheme="minorHAnsi"/>
          <w:color w:val="auto"/>
          <w:szCs w:val="24"/>
        </w:rPr>
        <w:t xml:space="preserve"> pain wi</w:t>
      </w:r>
      <w:r w:rsidR="000B4E14">
        <w:rPr>
          <w:rFonts w:asciiTheme="minorHAnsi" w:hAnsiTheme="minorHAnsi"/>
          <w:color w:val="auto"/>
          <w:szCs w:val="24"/>
        </w:rPr>
        <w:t>th chewing 3/10 up to 6/10 and noted</w:t>
      </w:r>
      <w:r w:rsidR="00900802">
        <w:rPr>
          <w:rFonts w:asciiTheme="minorHAnsi" w:hAnsiTheme="minorHAnsi"/>
          <w:color w:val="auto"/>
          <w:szCs w:val="24"/>
        </w:rPr>
        <w:t xml:space="preserve"> locking of </w:t>
      </w:r>
      <w:r w:rsidR="00900802">
        <w:rPr>
          <w:rFonts w:asciiTheme="minorHAnsi" w:hAnsiTheme="minorHAnsi"/>
          <w:color w:val="auto"/>
          <w:szCs w:val="24"/>
        </w:rPr>
        <w:lastRenderedPageBreak/>
        <w:t xml:space="preserve">the jaw.  </w:t>
      </w:r>
      <w:r w:rsidR="00DB5BBE">
        <w:rPr>
          <w:rFonts w:asciiTheme="minorHAnsi" w:hAnsiTheme="minorHAnsi"/>
          <w:color w:val="auto"/>
          <w:szCs w:val="24"/>
        </w:rPr>
        <w:t>He resorted</w:t>
      </w:r>
      <w:r w:rsidR="000B4E14">
        <w:rPr>
          <w:rFonts w:asciiTheme="minorHAnsi" w:hAnsiTheme="minorHAnsi"/>
          <w:color w:val="auto"/>
          <w:szCs w:val="24"/>
        </w:rPr>
        <w:t xml:space="preserve"> to eating soft foods and </w:t>
      </w:r>
      <w:r w:rsidR="003B31FF">
        <w:rPr>
          <w:rFonts w:asciiTheme="minorHAnsi" w:hAnsiTheme="minorHAnsi"/>
          <w:color w:val="auto"/>
          <w:szCs w:val="24"/>
        </w:rPr>
        <w:t xml:space="preserve">reported he had </w:t>
      </w:r>
      <w:r w:rsidR="00DB5BBE">
        <w:rPr>
          <w:rFonts w:asciiTheme="minorHAnsi" w:hAnsiTheme="minorHAnsi"/>
          <w:color w:val="auto"/>
          <w:szCs w:val="24"/>
        </w:rPr>
        <w:t xml:space="preserve">lost </w:t>
      </w:r>
      <w:r w:rsidR="00935221">
        <w:rPr>
          <w:rFonts w:asciiTheme="minorHAnsi" w:hAnsiTheme="minorHAnsi"/>
          <w:color w:val="auto"/>
          <w:szCs w:val="24"/>
        </w:rPr>
        <w:t xml:space="preserve">20 pounds </w:t>
      </w:r>
      <w:r w:rsidR="00B00A49">
        <w:rPr>
          <w:rFonts w:asciiTheme="minorHAnsi" w:hAnsiTheme="minorHAnsi"/>
          <w:color w:val="auto"/>
          <w:szCs w:val="24"/>
        </w:rPr>
        <w:t xml:space="preserve">of </w:t>
      </w:r>
      <w:r w:rsidR="00DB5BBE">
        <w:rPr>
          <w:rFonts w:asciiTheme="minorHAnsi" w:hAnsiTheme="minorHAnsi"/>
          <w:color w:val="auto"/>
          <w:szCs w:val="24"/>
        </w:rPr>
        <w:t>weight from 185 to 165</w:t>
      </w:r>
      <w:r w:rsidR="00B00A49">
        <w:rPr>
          <w:rFonts w:asciiTheme="minorHAnsi" w:hAnsiTheme="minorHAnsi"/>
          <w:color w:val="auto"/>
          <w:szCs w:val="24"/>
        </w:rPr>
        <w:t xml:space="preserve"> pounds at the time of the C&amp;P examination.</w:t>
      </w:r>
      <w:r w:rsidR="00DB5BBE">
        <w:rPr>
          <w:rFonts w:asciiTheme="minorHAnsi" w:hAnsiTheme="minorHAnsi"/>
          <w:color w:val="auto"/>
          <w:szCs w:val="24"/>
        </w:rPr>
        <w:t xml:space="preserve">  The TMJ pain</w:t>
      </w:r>
      <w:r w:rsidR="00F614CD">
        <w:rPr>
          <w:rFonts w:asciiTheme="minorHAnsi" w:hAnsiTheme="minorHAnsi"/>
          <w:color w:val="auto"/>
          <w:szCs w:val="24"/>
        </w:rPr>
        <w:t xml:space="preserve"> was noted to be worse on the right than left</w:t>
      </w:r>
      <w:r w:rsidR="00DB5BBE">
        <w:rPr>
          <w:rFonts w:asciiTheme="minorHAnsi" w:hAnsiTheme="minorHAnsi"/>
          <w:color w:val="auto"/>
          <w:szCs w:val="24"/>
        </w:rPr>
        <w:t>.  The exam demonstrated</w:t>
      </w:r>
      <w:r w:rsidR="00F614CD">
        <w:rPr>
          <w:rFonts w:asciiTheme="minorHAnsi" w:hAnsiTheme="minorHAnsi"/>
          <w:color w:val="auto"/>
          <w:szCs w:val="24"/>
        </w:rPr>
        <w:t xml:space="preserve"> </w:t>
      </w:r>
      <w:r w:rsidR="00DB5BBE">
        <w:rPr>
          <w:rFonts w:asciiTheme="minorHAnsi" w:hAnsiTheme="minorHAnsi"/>
          <w:color w:val="auto"/>
          <w:szCs w:val="24"/>
        </w:rPr>
        <w:t>an oral opening of</w:t>
      </w:r>
      <w:r w:rsidR="00F614CD">
        <w:rPr>
          <w:rFonts w:asciiTheme="minorHAnsi" w:hAnsiTheme="minorHAnsi"/>
          <w:color w:val="auto"/>
          <w:szCs w:val="24"/>
        </w:rPr>
        <w:t xml:space="preserve"> 25 mm</w:t>
      </w:r>
      <w:r w:rsidR="00EE61FB">
        <w:rPr>
          <w:rFonts w:asciiTheme="minorHAnsi" w:hAnsiTheme="minorHAnsi"/>
          <w:color w:val="auto"/>
          <w:szCs w:val="24"/>
        </w:rPr>
        <w:t>,</w:t>
      </w:r>
      <w:r w:rsidR="00F614CD">
        <w:rPr>
          <w:rFonts w:asciiTheme="minorHAnsi" w:hAnsiTheme="minorHAnsi"/>
          <w:color w:val="auto"/>
          <w:szCs w:val="24"/>
        </w:rPr>
        <w:t xml:space="preserve"> </w:t>
      </w:r>
      <w:r w:rsidR="00DB5BBE">
        <w:rPr>
          <w:rFonts w:asciiTheme="minorHAnsi" w:hAnsiTheme="minorHAnsi"/>
          <w:color w:val="auto"/>
          <w:szCs w:val="24"/>
        </w:rPr>
        <w:t xml:space="preserve">with the ability to </w:t>
      </w:r>
      <w:r w:rsidR="00F614CD">
        <w:rPr>
          <w:rFonts w:asciiTheme="minorHAnsi" w:hAnsiTheme="minorHAnsi"/>
          <w:color w:val="auto"/>
          <w:szCs w:val="24"/>
        </w:rPr>
        <w:t>move it 6 mm to the right and 8 mm to the left, limited by pain.</w:t>
      </w:r>
      <w:r w:rsidR="00935221">
        <w:rPr>
          <w:rFonts w:asciiTheme="minorHAnsi" w:hAnsiTheme="minorHAnsi"/>
          <w:color w:val="auto"/>
          <w:szCs w:val="24"/>
        </w:rPr>
        <w:t xml:space="preserve">  </w:t>
      </w:r>
      <w:r w:rsidR="00DB5BBE">
        <w:rPr>
          <w:rFonts w:asciiTheme="minorHAnsi" w:hAnsiTheme="minorHAnsi"/>
          <w:color w:val="auto"/>
          <w:szCs w:val="24"/>
        </w:rPr>
        <w:t>There was</w:t>
      </w:r>
      <w:r w:rsidR="00F614CD">
        <w:rPr>
          <w:rFonts w:asciiTheme="minorHAnsi" w:hAnsiTheme="minorHAnsi"/>
          <w:color w:val="auto"/>
          <w:szCs w:val="24"/>
        </w:rPr>
        <w:t xml:space="preserve"> </w:t>
      </w:r>
      <w:r w:rsidR="00DB5BBE">
        <w:rPr>
          <w:rFonts w:asciiTheme="minorHAnsi" w:hAnsiTheme="minorHAnsi"/>
          <w:color w:val="auto"/>
          <w:szCs w:val="24"/>
        </w:rPr>
        <w:t>TMJ</w:t>
      </w:r>
      <w:r w:rsidR="00F614CD">
        <w:rPr>
          <w:rFonts w:asciiTheme="minorHAnsi" w:hAnsiTheme="minorHAnsi"/>
          <w:color w:val="auto"/>
          <w:szCs w:val="24"/>
        </w:rPr>
        <w:t xml:space="preserve"> clicking, worse on the right than left.</w:t>
      </w:r>
      <w:r w:rsidR="00115115">
        <w:rPr>
          <w:rFonts w:asciiTheme="minorHAnsi" w:hAnsiTheme="minorHAnsi"/>
          <w:color w:val="auto"/>
          <w:szCs w:val="24"/>
        </w:rPr>
        <w:t xml:space="preserve">  The C&amp;P examiner made no comments with regard to occupational problems relating to his facial pain condition.  A psychiatry evaluation the same day recorded occupational problems related to a diagnosis of </w:t>
      </w:r>
      <w:r w:rsidR="00B24F22">
        <w:rPr>
          <w:rFonts w:asciiTheme="minorHAnsi" w:hAnsiTheme="minorHAnsi"/>
          <w:color w:val="auto"/>
          <w:szCs w:val="24"/>
        </w:rPr>
        <w:t>PTSD</w:t>
      </w:r>
      <w:r w:rsidR="00115115">
        <w:rPr>
          <w:rFonts w:asciiTheme="minorHAnsi" w:hAnsiTheme="minorHAnsi"/>
          <w:color w:val="auto"/>
          <w:szCs w:val="24"/>
        </w:rPr>
        <w:t xml:space="preserve"> (discussed below). </w:t>
      </w:r>
      <w:r w:rsidR="00E070E1">
        <w:rPr>
          <w:rFonts w:asciiTheme="minorHAnsi" w:hAnsiTheme="minorHAnsi"/>
          <w:color w:val="auto"/>
          <w:szCs w:val="24"/>
        </w:rPr>
        <w:t xml:space="preserve"> </w:t>
      </w:r>
      <w:r w:rsidR="00935221" w:rsidRPr="00A41DA8">
        <w:rPr>
          <w:rFonts w:asciiTheme="minorHAnsi" w:hAnsiTheme="minorHAnsi"/>
          <w:color w:val="auto"/>
          <w:szCs w:val="24"/>
        </w:rPr>
        <w:t xml:space="preserve">Although the CI reported a 20 pound weight loss, </w:t>
      </w:r>
      <w:r w:rsidR="00BB39AC" w:rsidRPr="00A41DA8">
        <w:rPr>
          <w:rFonts w:asciiTheme="minorHAnsi" w:hAnsiTheme="minorHAnsi"/>
          <w:color w:val="auto"/>
          <w:szCs w:val="24"/>
        </w:rPr>
        <w:t>service records document stable weights of 165 pounds over several years leading up to separation</w:t>
      </w:r>
      <w:r w:rsidR="00935221" w:rsidRPr="00A41DA8">
        <w:rPr>
          <w:rFonts w:asciiTheme="minorHAnsi" w:hAnsiTheme="minorHAnsi"/>
          <w:color w:val="auto"/>
          <w:szCs w:val="24"/>
        </w:rPr>
        <w:t>, no different than the 165 pound weight reported at the time of the C&amp;P examination.</w:t>
      </w:r>
      <w:r w:rsidR="009C57A4">
        <w:rPr>
          <w:rFonts w:asciiTheme="minorHAnsi" w:hAnsiTheme="minorHAnsi"/>
          <w:color w:val="auto"/>
          <w:szCs w:val="24"/>
        </w:rPr>
        <w:t xml:space="preserve"> </w:t>
      </w:r>
      <w:r w:rsidR="00935221" w:rsidRPr="00A41DA8">
        <w:rPr>
          <w:rFonts w:asciiTheme="minorHAnsi" w:hAnsiTheme="minorHAnsi"/>
          <w:color w:val="auto"/>
          <w:szCs w:val="24"/>
        </w:rPr>
        <w:t xml:space="preserve"> Further, </w:t>
      </w:r>
      <w:r w:rsidR="00BB39AC" w:rsidRPr="00A41DA8">
        <w:rPr>
          <w:rFonts w:asciiTheme="minorHAnsi" w:hAnsiTheme="minorHAnsi"/>
          <w:color w:val="auto"/>
          <w:szCs w:val="24"/>
        </w:rPr>
        <w:t>VA records document weight gain to 185 pounds over the year after the C&amp;P examination.</w:t>
      </w:r>
      <w:r w:rsidR="009C57A4">
        <w:rPr>
          <w:rFonts w:asciiTheme="minorHAnsi" w:hAnsiTheme="minorHAnsi"/>
          <w:color w:val="auto"/>
          <w:szCs w:val="24"/>
        </w:rPr>
        <w:t xml:space="preserve">  </w:t>
      </w:r>
      <w:r w:rsidR="00ED2441">
        <w:rPr>
          <w:rFonts w:asciiTheme="minorHAnsi" w:hAnsiTheme="minorHAnsi"/>
          <w:color w:val="auto"/>
          <w:szCs w:val="24"/>
        </w:rPr>
        <w:t xml:space="preserve">The VA adjudicated the </w:t>
      </w:r>
      <w:r w:rsidR="00A84CA9">
        <w:rPr>
          <w:rFonts w:asciiTheme="minorHAnsi" w:hAnsiTheme="minorHAnsi"/>
          <w:color w:val="auto"/>
          <w:szCs w:val="24"/>
        </w:rPr>
        <w:t>t</w:t>
      </w:r>
      <w:r w:rsidR="00ED2441">
        <w:rPr>
          <w:rFonts w:asciiTheme="minorHAnsi" w:hAnsiTheme="minorHAnsi"/>
          <w:color w:val="auto"/>
          <w:szCs w:val="24"/>
        </w:rPr>
        <w:t xml:space="preserve">rigeminal </w:t>
      </w:r>
      <w:r w:rsidR="00A84CA9">
        <w:rPr>
          <w:rFonts w:asciiTheme="minorHAnsi" w:hAnsiTheme="minorHAnsi"/>
          <w:color w:val="auto"/>
          <w:szCs w:val="24"/>
        </w:rPr>
        <w:t>n</w:t>
      </w:r>
      <w:r w:rsidR="00ED2441">
        <w:rPr>
          <w:rFonts w:asciiTheme="minorHAnsi" w:hAnsiTheme="minorHAnsi"/>
          <w:color w:val="auto"/>
          <w:szCs w:val="24"/>
        </w:rPr>
        <w:t>euralgia identically, but added TMD, coded 9905, and rated it 20% for limited jaw opening.</w:t>
      </w:r>
      <w:r w:rsidR="000B4E14">
        <w:rPr>
          <w:rFonts w:asciiTheme="minorHAnsi" w:hAnsiTheme="minorHAnsi"/>
          <w:color w:val="auto"/>
          <w:szCs w:val="24"/>
        </w:rPr>
        <w:t xml:space="preserve">  </w:t>
      </w:r>
      <w:r w:rsidR="00DD7FD5" w:rsidRPr="00DD7FD5">
        <w:rPr>
          <w:rFonts w:asciiTheme="minorHAnsi" w:hAnsiTheme="minorHAnsi"/>
          <w:color w:val="auto"/>
          <w:szCs w:val="24"/>
        </w:rPr>
        <w:t xml:space="preserve">Although the PEB did not specifically adjudicate the </w:t>
      </w:r>
      <w:r w:rsidR="00DD7FD5">
        <w:rPr>
          <w:rFonts w:asciiTheme="minorHAnsi" w:hAnsiTheme="minorHAnsi"/>
          <w:color w:val="auto"/>
          <w:szCs w:val="24"/>
        </w:rPr>
        <w:t>TMD</w:t>
      </w:r>
      <w:r w:rsidR="00DD7FD5" w:rsidRPr="00DD7FD5">
        <w:rPr>
          <w:rFonts w:asciiTheme="minorHAnsi" w:hAnsiTheme="minorHAnsi"/>
          <w:color w:val="auto"/>
          <w:szCs w:val="24"/>
        </w:rPr>
        <w:t xml:space="preserve"> condition, it was presented in the MEB evidence before the PEB.</w:t>
      </w:r>
      <w:r w:rsidR="00935221">
        <w:rPr>
          <w:rFonts w:asciiTheme="minorHAnsi" w:hAnsiTheme="minorHAnsi"/>
          <w:color w:val="auto"/>
          <w:szCs w:val="24"/>
        </w:rPr>
        <w:t xml:space="preserve">  The TMD and trigeminal neuralgia conditions were intertwined problems and t</w:t>
      </w:r>
      <w:r w:rsidR="00DD7FD5" w:rsidRPr="00DD7FD5">
        <w:rPr>
          <w:rFonts w:asciiTheme="minorHAnsi" w:hAnsiTheme="minorHAnsi"/>
          <w:color w:val="auto"/>
          <w:szCs w:val="24"/>
        </w:rPr>
        <w:t xml:space="preserve">he Board </w:t>
      </w:r>
      <w:r w:rsidR="008B5D3C">
        <w:rPr>
          <w:rFonts w:asciiTheme="minorHAnsi" w:hAnsiTheme="minorHAnsi"/>
          <w:color w:val="auto"/>
          <w:szCs w:val="24"/>
        </w:rPr>
        <w:t xml:space="preserve">first </w:t>
      </w:r>
      <w:r w:rsidR="00935221">
        <w:rPr>
          <w:rFonts w:asciiTheme="minorHAnsi" w:hAnsiTheme="minorHAnsi"/>
          <w:color w:val="auto"/>
          <w:szCs w:val="24"/>
        </w:rPr>
        <w:t xml:space="preserve">considered whether the TMD condition was a separately unfitting condition.  </w:t>
      </w:r>
      <w:r w:rsidR="00DD7FD5" w:rsidRPr="00DD7FD5">
        <w:rPr>
          <w:rFonts w:asciiTheme="minorHAnsi" w:hAnsiTheme="minorHAnsi"/>
          <w:color w:val="auto"/>
          <w:szCs w:val="24"/>
        </w:rPr>
        <w:t>The Board’s threshold for countering DES fitness determinations is higher than the VASRD §4.3 (reasonable doubt) standard used for its rating recommendations, but remains adherent to the DoDI 6040.44</w:t>
      </w:r>
      <w:r w:rsidR="00DD7FD5">
        <w:rPr>
          <w:rFonts w:asciiTheme="minorHAnsi" w:hAnsiTheme="minorHAnsi"/>
          <w:color w:val="auto"/>
          <w:szCs w:val="24"/>
        </w:rPr>
        <w:t xml:space="preserve"> “fair and equitable” standard.</w:t>
      </w:r>
      <w:r w:rsidR="00ED2441">
        <w:rPr>
          <w:rFonts w:asciiTheme="minorHAnsi" w:hAnsiTheme="minorHAnsi"/>
          <w:color w:val="auto"/>
          <w:szCs w:val="24"/>
        </w:rPr>
        <w:t xml:space="preserve">  </w:t>
      </w:r>
      <w:r w:rsidR="00AF29A7">
        <w:rPr>
          <w:rFonts w:asciiTheme="minorHAnsi" w:hAnsiTheme="minorHAnsi"/>
          <w:color w:val="auto"/>
          <w:szCs w:val="24"/>
        </w:rPr>
        <w:t xml:space="preserve">In the </w:t>
      </w:r>
      <w:r w:rsidR="000B4E14">
        <w:rPr>
          <w:rFonts w:asciiTheme="minorHAnsi" w:hAnsiTheme="minorHAnsi"/>
          <w:color w:val="auto"/>
          <w:szCs w:val="24"/>
        </w:rPr>
        <w:t>NARSUM</w:t>
      </w:r>
      <w:r w:rsidR="00AF29A7">
        <w:rPr>
          <w:rFonts w:asciiTheme="minorHAnsi" w:hAnsiTheme="minorHAnsi"/>
          <w:color w:val="auto"/>
          <w:szCs w:val="24"/>
        </w:rPr>
        <w:t>, the n</w:t>
      </w:r>
      <w:r w:rsidR="000B4E14">
        <w:rPr>
          <w:rFonts w:asciiTheme="minorHAnsi" w:hAnsiTheme="minorHAnsi"/>
          <w:color w:val="auto"/>
          <w:szCs w:val="24"/>
        </w:rPr>
        <w:t>eurologist opined the facial pain was from an atypical trigeminal neuralgia</w:t>
      </w:r>
      <w:r w:rsidR="009C57A4">
        <w:rPr>
          <w:rFonts w:asciiTheme="minorHAnsi" w:hAnsiTheme="minorHAnsi"/>
          <w:color w:val="auto"/>
          <w:szCs w:val="24"/>
        </w:rPr>
        <w:t xml:space="preserve">.  </w:t>
      </w:r>
      <w:r w:rsidR="002B03AA" w:rsidRPr="00C74977">
        <w:rPr>
          <w:rFonts w:asciiTheme="minorHAnsi" w:hAnsiTheme="minorHAnsi"/>
          <w:color w:val="auto"/>
          <w:szCs w:val="24"/>
        </w:rPr>
        <w:t>At the request of the CI</w:t>
      </w:r>
      <w:r w:rsidR="00C74977">
        <w:rPr>
          <w:rFonts w:asciiTheme="minorHAnsi" w:hAnsiTheme="minorHAnsi"/>
          <w:color w:val="auto"/>
          <w:szCs w:val="24"/>
        </w:rPr>
        <w:t>,</w:t>
      </w:r>
      <w:r w:rsidR="002B03AA" w:rsidRPr="00C74977">
        <w:rPr>
          <w:rFonts w:asciiTheme="minorHAnsi" w:hAnsiTheme="minorHAnsi"/>
          <w:color w:val="auto"/>
          <w:szCs w:val="24"/>
        </w:rPr>
        <w:t xml:space="preserve"> the oral surgeon prepared a memorandum that was submitted </w:t>
      </w:r>
      <w:r w:rsidR="009C57A4" w:rsidRPr="00C74977">
        <w:rPr>
          <w:rFonts w:asciiTheme="minorHAnsi" w:hAnsiTheme="minorHAnsi"/>
          <w:color w:val="auto"/>
          <w:szCs w:val="24"/>
        </w:rPr>
        <w:t xml:space="preserve">to </w:t>
      </w:r>
      <w:r w:rsidR="000B4E14" w:rsidRPr="00C74977">
        <w:rPr>
          <w:rFonts w:asciiTheme="minorHAnsi" w:hAnsiTheme="minorHAnsi"/>
          <w:color w:val="auto"/>
          <w:szCs w:val="24"/>
        </w:rPr>
        <w:t>the MEB/</w:t>
      </w:r>
      <w:r w:rsidR="00B24F22">
        <w:rPr>
          <w:rFonts w:asciiTheme="minorHAnsi" w:hAnsiTheme="minorHAnsi"/>
          <w:color w:val="auto"/>
          <w:szCs w:val="24"/>
        </w:rPr>
        <w:t>PEB</w:t>
      </w:r>
      <w:r w:rsidR="002B03AA" w:rsidRPr="00C74977">
        <w:rPr>
          <w:rFonts w:asciiTheme="minorHAnsi" w:hAnsiTheme="minorHAnsi"/>
          <w:color w:val="auto"/>
          <w:szCs w:val="24"/>
        </w:rPr>
        <w:t xml:space="preserve"> in which he</w:t>
      </w:r>
      <w:r w:rsidR="000B4E14" w:rsidRPr="00C74977">
        <w:rPr>
          <w:rFonts w:asciiTheme="minorHAnsi" w:hAnsiTheme="minorHAnsi"/>
          <w:color w:val="auto"/>
          <w:szCs w:val="24"/>
        </w:rPr>
        <w:t xml:space="preserve"> opined that he did not concur with the trigeminal </w:t>
      </w:r>
      <w:r w:rsidR="009A645B" w:rsidRPr="00C74977">
        <w:rPr>
          <w:rFonts w:asciiTheme="minorHAnsi" w:hAnsiTheme="minorHAnsi"/>
          <w:color w:val="auto"/>
          <w:szCs w:val="24"/>
        </w:rPr>
        <w:t>neuralgia</w:t>
      </w:r>
      <w:r w:rsidR="000B4E14" w:rsidRPr="00C74977">
        <w:rPr>
          <w:rFonts w:asciiTheme="minorHAnsi" w:hAnsiTheme="minorHAnsi"/>
          <w:color w:val="auto"/>
          <w:szCs w:val="24"/>
        </w:rPr>
        <w:t xml:space="preserve"> diagnosis and stated </w:t>
      </w:r>
      <w:r w:rsidR="009C57A4" w:rsidRPr="00C74977">
        <w:rPr>
          <w:rFonts w:asciiTheme="minorHAnsi" w:hAnsiTheme="minorHAnsi"/>
          <w:color w:val="auto"/>
          <w:szCs w:val="24"/>
        </w:rPr>
        <w:t xml:space="preserve">that </w:t>
      </w:r>
      <w:r w:rsidR="000B4E14" w:rsidRPr="00C74977">
        <w:rPr>
          <w:rFonts w:asciiTheme="minorHAnsi" w:hAnsiTheme="minorHAnsi"/>
          <w:color w:val="auto"/>
          <w:szCs w:val="24"/>
        </w:rPr>
        <w:t xml:space="preserve">his current impression was </w:t>
      </w:r>
      <w:r w:rsidR="00EE61FB">
        <w:rPr>
          <w:rFonts w:asciiTheme="minorHAnsi" w:hAnsiTheme="minorHAnsi"/>
          <w:color w:val="auto"/>
          <w:szCs w:val="24"/>
        </w:rPr>
        <w:t xml:space="preserve">that </w:t>
      </w:r>
      <w:r w:rsidR="000B4E14" w:rsidRPr="00C74977">
        <w:rPr>
          <w:rFonts w:asciiTheme="minorHAnsi" w:hAnsiTheme="minorHAnsi"/>
          <w:color w:val="auto"/>
          <w:szCs w:val="24"/>
        </w:rPr>
        <w:t>of an intra-</w:t>
      </w:r>
      <w:proofErr w:type="spellStart"/>
      <w:r w:rsidR="000B4E14" w:rsidRPr="00C74977">
        <w:rPr>
          <w:rFonts w:asciiTheme="minorHAnsi" w:hAnsiTheme="minorHAnsi"/>
          <w:color w:val="auto"/>
          <w:szCs w:val="24"/>
        </w:rPr>
        <w:t>articular</w:t>
      </w:r>
      <w:proofErr w:type="spellEnd"/>
      <w:r w:rsidR="000B4E14" w:rsidRPr="00C74977">
        <w:rPr>
          <w:rFonts w:asciiTheme="minorHAnsi" w:hAnsiTheme="minorHAnsi"/>
          <w:color w:val="auto"/>
          <w:szCs w:val="24"/>
        </w:rPr>
        <w:t xml:space="preserve"> disorder with secondary </w:t>
      </w:r>
      <w:proofErr w:type="spellStart"/>
      <w:r w:rsidR="000B4E14" w:rsidRPr="00C74977">
        <w:rPr>
          <w:rFonts w:asciiTheme="minorHAnsi" w:hAnsiTheme="minorHAnsi"/>
          <w:color w:val="auto"/>
          <w:szCs w:val="24"/>
        </w:rPr>
        <w:t>myalgia</w:t>
      </w:r>
      <w:proofErr w:type="spellEnd"/>
      <w:r w:rsidR="000B4E14" w:rsidRPr="00C74977">
        <w:rPr>
          <w:rFonts w:asciiTheme="minorHAnsi" w:hAnsiTheme="minorHAnsi"/>
          <w:color w:val="auto"/>
          <w:szCs w:val="24"/>
        </w:rPr>
        <w:t xml:space="preserve"> and neural compression.</w:t>
      </w:r>
      <w:r w:rsidR="00F93699" w:rsidRPr="00F93699">
        <w:rPr>
          <w:rFonts w:asciiTheme="minorHAnsi" w:hAnsiTheme="minorHAnsi"/>
          <w:color w:val="auto"/>
          <w:szCs w:val="24"/>
        </w:rPr>
        <w:t xml:space="preserve"> </w:t>
      </w:r>
      <w:r w:rsidR="00F93699">
        <w:rPr>
          <w:rFonts w:asciiTheme="minorHAnsi" w:hAnsiTheme="minorHAnsi"/>
          <w:color w:val="auto"/>
          <w:szCs w:val="24"/>
        </w:rPr>
        <w:t xml:space="preserve"> TMD and trigeminal neuralgia have overlapping symptoms</w:t>
      </w:r>
      <w:r w:rsidR="008B5D3C">
        <w:rPr>
          <w:rFonts w:asciiTheme="minorHAnsi" w:hAnsiTheme="minorHAnsi"/>
          <w:color w:val="auto"/>
          <w:szCs w:val="24"/>
        </w:rPr>
        <w:t xml:space="preserve"> and t</w:t>
      </w:r>
      <w:r w:rsidR="00DB74B2">
        <w:rPr>
          <w:rFonts w:asciiTheme="minorHAnsi" w:hAnsiTheme="minorHAnsi"/>
          <w:color w:val="auto"/>
          <w:szCs w:val="24"/>
        </w:rPr>
        <w:t xml:space="preserve">he </w:t>
      </w:r>
      <w:proofErr w:type="spellStart"/>
      <w:r w:rsidR="00DB74B2">
        <w:rPr>
          <w:rFonts w:asciiTheme="minorHAnsi" w:hAnsiTheme="minorHAnsi"/>
          <w:color w:val="auto"/>
          <w:szCs w:val="24"/>
        </w:rPr>
        <w:t>orofacial</w:t>
      </w:r>
      <w:proofErr w:type="spellEnd"/>
      <w:r w:rsidR="00DB74B2">
        <w:rPr>
          <w:rFonts w:asciiTheme="minorHAnsi" w:hAnsiTheme="minorHAnsi"/>
          <w:color w:val="auto"/>
          <w:szCs w:val="24"/>
        </w:rPr>
        <w:t xml:space="preserve"> surgeon and neurologist rendered different diagnoses based on the same symptoms.</w:t>
      </w:r>
      <w:r w:rsidR="008B5D3C">
        <w:rPr>
          <w:rFonts w:asciiTheme="minorHAnsi" w:hAnsiTheme="minorHAnsi"/>
          <w:color w:val="auto"/>
          <w:szCs w:val="24"/>
        </w:rPr>
        <w:t xml:space="preserve">  </w:t>
      </w:r>
      <w:r w:rsidR="008A1309">
        <w:rPr>
          <w:rFonts w:asciiTheme="minorHAnsi" w:hAnsiTheme="minorHAnsi"/>
          <w:color w:val="auto"/>
          <w:szCs w:val="24"/>
        </w:rPr>
        <w:t>The Board agreed</w:t>
      </w:r>
      <w:r w:rsidR="00D00070">
        <w:rPr>
          <w:rFonts w:asciiTheme="minorHAnsi" w:hAnsiTheme="minorHAnsi"/>
          <w:color w:val="auto"/>
          <w:szCs w:val="24"/>
        </w:rPr>
        <w:t xml:space="preserve"> </w:t>
      </w:r>
      <w:r w:rsidR="00AF29A7">
        <w:rPr>
          <w:rFonts w:asciiTheme="minorHAnsi" w:hAnsiTheme="minorHAnsi"/>
          <w:color w:val="auto"/>
          <w:szCs w:val="24"/>
        </w:rPr>
        <w:t xml:space="preserve">that </w:t>
      </w:r>
      <w:r w:rsidR="008A1309">
        <w:rPr>
          <w:rFonts w:asciiTheme="minorHAnsi" w:hAnsiTheme="minorHAnsi"/>
          <w:color w:val="auto"/>
          <w:szCs w:val="24"/>
        </w:rPr>
        <w:t xml:space="preserve">the evidence supported facial pain </w:t>
      </w:r>
      <w:r w:rsidR="009212C2">
        <w:rPr>
          <w:rFonts w:asciiTheme="minorHAnsi" w:hAnsiTheme="minorHAnsi"/>
          <w:color w:val="auto"/>
          <w:szCs w:val="24"/>
        </w:rPr>
        <w:t>prevent</w:t>
      </w:r>
      <w:r w:rsidR="00AF29A7">
        <w:rPr>
          <w:rFonts w:asciiTheme="minorHAnsi" w:hAnsiTheme="minorHAnsi"/>
          <w:color w:val="auto"/>
          <w:szCs w:val="24"/>
        </w:rPr>
        <w:t xml:space="preserve">ing </w:t>
      </w:r>
      <w:r w:rsidR="009212C2">
        <w:rPr>
          <w:rFonts w:asciiTheme="minorHAnsi" w:hAnsiTheme="minorHAnsi"/>
          <w:color w:val="auto"/>
          <w:szCs w:val="24"/>
        </w:rPr>
        <w:t xml:space="preserve">wear of </w:t>
      </w:r>
      <w:r w:rsidR="00AF29A7">
        <w:rPr>
          <w:rFonts w:asciiTheme="minorHAnsi" w:hAnsiTheme="minorHAnsi"/>
          <w:color w:val="auto"/>
          <w:szCs w:val="24"/>
        </w:rPr>
        <w:t xml:space="preserve">required </w:t>
      </w:r>
      <w:r w:rsidR="009212C2">
        <w:rPr>
          <w:rFonts w:asciiTheme="minorHAnsi" w:hAnsiTheme="minorHAnsi"/>
          <w:color w:val="auto"/>
          <w:szCs w:val="24"/>
        </w:rPr>
        <w:t xml:space="preserve">protective gear </w:t>
      </w:r>
      <w:r w:rsidR="00EE61FB">
        <w:rPr>
          <w:rFonts w:asciiTheme="minorHAnsi" w:hAnsiTheme="minorHAnsi"/>
          <w:color w:val="auto"/>
          <w:szCs w:val="24"/>
        </w:rPr>
        <w:t xml:space="preserve">which </w:t>
      </w:r>
      <w:r w:rsidR="009212C2">
        <w:rPr>
          <w:rFonts w:asciiTheme="minorHAnsi" w:hAnsiTheme="minorHAnsi"/>
          <w:color w:val="auto"/>
          <w:szCs w:val="24"/>
        </w:rPr>
        <w:t xml:space="preserve">was </w:t>
      </w:r>
      <w:r w:rsidR="008A1309">
        <w:rPr>
          <w:rFonts w:asciiTheme="minorHAnsi" w:hAnsiTheme="minorHAnsi"/>
          <w:color w:val="auto"/>
          <w:szCs w:val="24"/>
        </w:rPr>
        <w:t xml:space="preserve">the unfitting </w:t>
      </w:r>
      <w:r w:rsidR="00C74977">
        <w:rPr>
          <w:rFonts w:asciiTheme="minorHAnsi" w:hAnsiTheme="minorHAnsi"/>
          <w:color w:val="auto"/>
          <w:szCs w:val="24"/>
        </w:rPr>
        <w:t xml:space="preserve">impairment </w:t>
      </w:r>
      <w:r w:rsidR="00EE61FB">
        <w:rPr>
          <w:rFonts w:asciiTheme="minorHAnsi" w:hAnsiTheme="minorHAnsi"/>
          <w:color w:val="auto"/>
          <w:szCs w:val="24"/>
        </w:rPr>
        <w:t>that</w:t>
      </w:r>
      <w:r w:rsidR="008A1309">
        <w:rPr>
          <w:rFonts w:asciiTheme="minorHAnsi" w:hAnsiTheme="minorHAnsi"/>
          <w:color w:val="auto"/>
          <w:szCs w:val="24"/>
        </w:rPr>
        <w:t xml:space="preserve"> resulted</w:t>
      </w:r>
      <w:r w:rsidR="00DD7FD5">
        <w:rPr>
          <w:rFonts w:asciiTheme="minorHAnsi" w:hAnsiTheme="minorHAnsi"/>
          <w:color w:val="auto"/>
          <w:szCs w:val="24"/>
        </w:rPr>
        <w:t xml:space="preserve"> </w:t>
      </w:r>
      <w:r w:rsidR="008A1309">
        <w:rPr>
          <w:rFonts w:asciiTheme="minorHAnsi" w:hAnsiTheme="minorHAnsi"/>
          <w:color w:val="auto"/>
          <w:szCs w:val="24"/>
        </w:rPr>
        <w:t xml:space="preserve">in </w:t>
      </w:r>
      <w:r w:rsidR="00EE61FB">
        <w:rPr>
          <w:rFonts w:asciiTheme="minorHAnsi" w:hAnsiTheme="minorHAnsi"/>
          <w:color w:val="auto"/>
          <w:szCs w:val="24"/>
        </w:rPr>
        <w:t>CI’</w:t>
      </w:r>
      <w:r w:rsidR="008A1309">
        <w:rPr>
          <w:rFonts w:asciiTheme="minorHAnsi" w:hAnsiTheme="minorHAnsi"/>
          <w:color w:val="auto"/>
          <w:szCs w:val="24"/>
        </w:rPr>
        <w:t xml:space="preserve">s </w:t>
      </w:r>
      <w:r w:rsidR="00DD7FD5">
        <w:rPr>
          <w:rFonts w:asciiTheme="minorHAnsi" w:hAnsiTheme="minorHAnsi"/>
          <w:color w:val="auto"/>
          <w:szCs w:val="24"/>
        </w:rPr>
        <w:t>permanent profile</w:t>
      </w:r>
      <w:r w:rsidR="009212C2">
        <w:rPr>
          <w:rFonts w:asciiTheme="minorHAnsi" w:hAnsiTheme="minorHAnsi"/>
          <w:color w:val="auto"/>
          <w:szCs w:val="24"/>
        </w:rPr>
        <w:t xml:space="preserve">.  </w:t>
      </w:r>
      <w:r w:rsidR="00DC3C35">
        <w:rPr>
          <w:rFonts w:asciiTheme="minorHAnsi" w:hAnsiTheme="minorHAnsi"/>
          <w:color w:val="auto"/>
          <w:szCs w:val="24"/>
        </w:rPr>
        <w:t>With respect to TMD, the CI sought care intermittently and respond</w:t>
      </w:r>
      <w:r w:rsidR="005047CB">
        <w:rPr>
          <w:rFonts w:asciiTheme="minorHAnsi" w:hAnsiTheme="minorHAnsi"/>
          <w:color w:val="auto"/>
          <w:szCs w:val="24"/>
        </w:rPr>
        <w:t>ed</w:t>
      </w:r>
      <w:r w:rsidR="00DC3C35">
        <w:rPr>
          <w:rFonts w:asciiTheme="minorHAnsi" w:hAnsiTheme="minorHAnsi"/>
          <w:color w:val="auto"/>
          <w:szCs w:val="24"/>
        </w:rPr>
        <w:t xml:space="preserve"> to conservative treatment measures</w:t>
      </w:r>
      <w:r w:rsidR="005047CB">
        <w:rPr>
          <w:rFonts w:asciiTheme="minorHAnsi" w:hAnsiTheme="minorHAnsi"/>
          <w:color w:val="auto"/>
          <w:szCs w:val="24"/>
        </w:rPr>
        <w:t xml:space="preserve"> for over five years.  At</w:t>
      </w:r>
      <w:r w:rsidR="00DC3C35">
        <w:rPr>
          <w:rFonts w:asciiTheme="minorHAnsi" w:hAnsiTheme="minorHAnsi"/>
          <w:color w:val="auto"/>
          <w:szCs w:val="24"/>
        </w:rPr>
        <w:t xml:space="preserve"> the time of </w:t>
      </w:r>
      <w:r w:rsidR="00A84CA9">
        <w:rPr>
          <w:rFonts w:asciiTheme="minorHAnsi" w:hAnsiTheme="minorHAnsi"/>
          <w:color w:val="auto"/>
          <w:szCs w:val="24"/>
        </w:rPr>
        <w:t xml:space="preserve">the MEB, dental entries noted limited jaw opening.  There was not </w:t>
      </w:r>
      <w:r w:rsidR="00DC3C35">
        <w:rPr>
          <w:rFonts w:asciiTheme="minorHAnsi" w:hAnsiTheme="minorHAnsi"/>
          <w:color w:val="auto"/>
          <w:szCs w:val="24"/>
        </w:rPr>
        <w:t>any documented weight loss</w:t>
      </w:r>
      <w:r w:rsidR="00DB74B2">
        <w:rPr>
          <w:rFonts w:asciiTheme="minorHAnsi" w:hAnsiTheme="minorHAnsi"/>
          <w:color w:val="auto"/>
          <w:szCs w:val="24"/>
        </w:rPr>
        <w:t xml:space="preserve"> due to impaired ability to eat.</w:t>
      </w:r>
      <w:r w:rsidR="00D00070">
        <w:rPr>
          <w:rFonts w:asciiTheme="minorHAnsi" w:hAnsiTheme="minorHAnsi"/>
          <w:color w:val="auto"/>
          <w:szCs w:val="24"/>
        </w:rPr>
        <w:t xml:space="preserve">  </w:t>
      </w:r>
      <w:r w:rsidR="009212C2">
        <w:rPr>
          <w:rFonts w:asciiTheme="minorHAnsi" w:hAnsiTheme="minorHAnsi"/>
          <w:color w:val="auto"/>
          <w:szCs w:val="24"/>
        </w:rPr>
        <w:t xml:space="preserve">MRI of the TMJs documented mild anatomic pathology.  </w:t>
      </w:r>
      <w:r w:rsidR="00A84CA9">
        <w:rPr>
          <w:rFonts w:asciiTheme="minorHAnsi" w:hAnsiTheme="minorHAnsi"/>
          <w:color w:val="auto"/>
          <w:szCs w:val="24"/>
        </w:rPr>
        <w:t>W</w:t>
      </w:r>
      <w:r w:rsidR="00D00070">
        <w:rPr>
          <w:rFonts w:asciiTheme="minorHAnsi" w:hAnsiTheme="minorHAnsi"/>
          <w:color w:val="auto"/>
          <w:szCs w:val="24"/>
        </w:rPr>
        <w:t xml:space="preserve">earing of the </w:t>
      </w:r>
      <w:r w:rsidR="00D00070" w:rsidRPr="009C57A4">
        <w:rPr>
          <w:rFonts w:asciiTheme="minorHAnsi" w:hAnsiTheme="minorHAnsi"/>
          <w:color w:val="auto"/>
          <w:szCs w:val="24"/>
        </w:rPr>
        <w:t xml:space="preserve">protective gear aggravated the </w:t>
      </w:r>
      <w:r w:rsidR="00DB74B2" w:rsidRPr="009C57A4">
        <w:rPr>
          <w:rFonts w:asciiTheme="minorHAnsi" w:hAnsiTheme="minorHAnsi"/>
          <w:color w:val="auto"/>
          <w:szCs w:val="24"/>
        </w:rPr>
        <w:t xml:space="preserve">facial pain regardless of etiology, TMD or </w:t>
      </w:r>
      <w:r w:rsidR="00D00070" w:rsidRPr="009C57A4">
        <w:rPr>
          <w:rFonts w:asciiTheme="minorHAnsi" w:hAnsiTheme="minorHAnsi"/>
          <w:color w:val="auto"/>
          <w:szCs w:val="24"/>
        </w:rPr>
        <w:t>trigeminal neuralgia</w:t>
      </w:r>
      <w:r w:rsidR="00ED2441" w:rsidRPr="009C57A4">
        <w:rPr>
          <w:rFonts w:asciiTheme="minorHAnsi" w:hAnsiTheme="minorHAnsi"/>
          <w:color w:val="auto"/>
          <w:szCs w:val="24"/>
        </w:rPr>
        <w:t>.</w:t>
      </w:r>
      <w:r w:rsidR="00A84CA9" w:rsidRPr="009C57A4">
        <w:rPr>
          <w:rFonts w:asciiTheme="minorHAnsi" w:hAnsiTheme="minorHAnsi"/>
          <w:color w:val="auto"/>
          <w:szCs w:val="24"/>
        </w:rPr>
        <w:t xml:space="preserve">  Limited jaw opening did not interfere with duty performance or result in inadequate nutrition.</w:t>
      </w:r>
      <w:r w:rsidR="008B5D3C" w:rsidRPr="009C57A4">
        <w:rPr>
          <w:rFonts w:asciiTheme="minorHAnsi" w:hAnsiTheme="minorHAnsi"/>
          <w:color w:val="auto"/>
          <w:szCs w:val="24"/>
        </w:rPr>
        <w:t xml:space="preserve">  </w:t>
      </w:r>
      <w:r w:rsidR="00A41DA8">
        <w:rPr>
          <w:rFonts w:asciiTheme="minorHAnsi" w:hAnsiTheme="minorHAnsi"/>
          <w:color w:val="auto"/>
          <w:szCs w:val="24"/>
        </w:rPr>
        <w:t xml:space="preserve">The Board concluded that trigeminal neuralgia was most consistent with </w:t>
      </w:r>
      <w:r w:rsidR="00EE61FB">
        <w:rPr>
          <w:rFonts w:asciiTheme="minorHAnsi" w:hAnsiTheme="minorHAnsi"/>
          <w:color w:val="auto"/>
          <w:szCs w:val="24"/>
        </w:rPr>
        <w:t>CI’</w:t>
      </w:r>
      <w:r w:rsidR="00A41DA8">
        <w:rPr>
          <w:rFonts w:asciiTheme="minorHAnsi" w:hAnsiTheme="minorHAnsi"/>
          <w:color w:val="auto"/>
          <w:szCs w:val="24"/>
        </w:rPr>
        <w:t>s inability to wear the respirator required for his duties</w:t>
      </w:r>
      <w:r w:rsidR="009C57A4">
        <w:rPr>
          <w:rFonts w:asciiTheme="minorHAnsi" w:hAnsiTheme="minorHAnsi"/>
          <w:color w:val="auto"/>
          <w:szCs w:val="24"/>
        </w:rPr>
        <w:t xml:space="preserve"> and that the TMD, while symptomatic, did not rise to the level of being a separately unfitting </w:t>
      </w:r>
      <w:r w:rsidR="002B03AA">
        <w:rPr>
          <w:rFonts w:asciiTheme="minorHAnsi" w:hAnsiTheme="minorHAnsi"/>
          <w:color w:val="auto"/>
          <w:szCs w:val="24"/>
        </w:rPr>
        <w:t>condition</w:t>
      </w:r>
      <w:r w:rsidR="00A41DA8">
        <w:rPr>
          <w:rFonts w:asciiTheme="minorHAnsi" w:hAnsiTheme="minorHAnsi"/>
          <w:color w:val="auto"/>
          <w:szCs w:val="24"/>
        </w:rPr>
        <w:t xml:space="preserve">.  </w:t>
      </w:r>
      <w:r w:rsidR="00323624">
        <w:rPr>
          <w:rFonts w:asciiTheme="minorHAnsi" w:hAnsiTheme="minorHAnsi"/>
          <w:color w:val="auto"/>
          <w:szCs w:val="24"/>
        </w:rPr>
        <w:t>All evidence considered</w:t>
      </w:r>
      <w:r w:rsidR="00C31C22" w:rsidRPr="00664296">
        <w:rPr>
          <w:rFonts w:asciiTheme="minorHAnsi" w:hAnsiTheme="minorHAnsi"/>
          <w:color w:val="auto"/>
          <w:szCs w:val="24"/>
        </w:rPr>
        <w:t xml:space="preserve"> there is not reasonable doubt in the CI’s favor supporting addition of </w:t>
      </w:r>
      <w:r w:rsidR="00C31C22">
        <w:rPr>
          <w:rFonts w:asciiTheme="minorHAnsi" w:hAnsiTheme="minorHAnsi"/>
          <w:color w:val="auto"/>
          <w:szCs w:val="24"/>
        </w:rPr>
        <w:t>TMD</w:t>
      </w:r>
      <w:r w:rsidR="00C31C22" w:rsidRPr="00664296">
        <w:rPr>
          <w:rFonts w:asciiTheme="minorHAnsi" w:hAnsiTheme="minorHAnsi"/>
          <w:color w:val="auto"/>
          <w:szCs w:val="24"/>
        </w:rPr>
        <w:t xml:space="preserve"> as a</w:t>
      </w:r>
      <w:r w:rsidR="008B5D3C">
        <w:rPr>
          <w:rFonts w:asciiTheme="minorHAnsi" w:hAnsiTheme="minorHAnsi"/>
          <w:color w:val="auto"/>
          <w:szCs w:val="24"/>
        </w:rPr>
        <w:t xml:space="preserve"> separately </w:t>
      </w:r>
      <w:r w:rsidR="00C31C22" w:rsidRPr="00664296">
        <w:rPr>
          <w:rFonts w:asciiTheme="minorHAnsi" w:hAnsiTheme="minorHAnsi"/>
          <w:color w:val="auto"/>
          <w:szCs w:val="24"/>
        </w:rPr>
        <w:t>unfitting condition for separation rating.</w:t>
      </w:r>
      <w:r w:rsidR="00E23DF2">
        <w:rPr>
          <w:rFonts w:asciiTheme="minorHAnsi" w:hAnsiTheme="minorHAnsi"/>
          <w:color w:val="auto"/>
          <w:szCs w:val="24"/>
        </w:rPr>
        <w:t xml:space="preserve">  </w:t>
      </w:r>
      <w:r w:rsidR="00DC3C35">
        <w:rPr>
          <w:rFonts w:asciiTheme="minorHAnsi" w:hAnsiTheme="minorHAnsi"/>
          <w:color w:val="auto"/>
          <w:szCs w:val="24"/>
        </w:rPr>
        <w:t xml:space="preserve">The Board then directed its </w:t>
      </w:r>
      <w:r w:rsidR="00EE61FB">
        <w:rPr>
          <w:rFonts w:asciiTheme="minorHAnsi" w:hAnsiTheme="minorHAnsi"/>
          <w:color w:val="auto"/>
          <w:szCs w:val="24"/>
        </w:rPr>
        <w:t xml:space="preserve">attention to the </w:t>
      </w:r>
      <w:r w:rsidR="00DC3C35">
        <w:rPr>
          <w:rFonts w:asciiTheme="minorHAnsi" w:hAnsiTheme="minorHAnsi"/>
          <w:color w:val="auto"/>
          <w:szCs w:val="24"/>
        </w:rPr>
        <w:t>rating recommendation for trigeminal neuralgia.</w:t>
      </w:r>
      <w:r w:rsidR="00AF29A7">
        <w:rPr>
          <w:rFonts w:asciiTheme="minorHAnsi" w:hAnsiTheme="minorHAnsi"/>
          <w:color w:val="auto"/>
          <w:szCs w:val="24"/>
        </w:rPr>
        <w:t xml:space="preserve">  The only guidance to distinguish between these ratings was to note the </w:t>
      </w:r>
      <w:r w:rsidR="00AF29A7" w:rsidRPr="00F168E2">
        <w:rPr>
          <w:rFonts w:asciiTheme="minorHAnsi" w:hAnsiTheme="minorHAnsi"/>
          <w:color w:val="auto"/>
          <w:szCs w:val="24"/>
        </w:rPr>
        <w:t>relative degree of sensory manifestation or motor loss</w:t>
      </w:r>
      <w:r w:rsidR="00AF29A7">
        <w:rPr>
          <w:rFonts w:asciiTheme="minorHAnsi" w:hAnsiTheme="minorHAnsi"/>
          <w:color w:val="auto"/>
          <w:szCs w:val="24"/>
        </w:rPr>
        <w:t xml:space="preserve">.  There was documented mild atypical sensory loss but no motor loss.  The Board therefore deliberated between the 10% moderate and the 30% severe rating.  </w:t>
      </w:r>
      <w:r w:rsidR="004A5A13">
        <w:rPr>
          <w:rFonts w:asciiTheme="minorHAnsi" w:hAnsiTheme="minorHAnsi"/>
          <w:color w:val="auto"/>
          <w:szCs w:val="24"/>
        </w:rPr>
        <w:t xml:space="preserve">The Board noted the continued good duty performance despite </w:t>
      </w:r>
      <w:r w:rsidR="00EE61FB">
        <w:rPr>
          <w:rFonts w:asciiTheme="minorHAnsi" w:hAnsiTheme="minorHAnsi"/>
          <w:color w:val="auto"/>
          <w:szCs w:val="24"/>
        </w:rPr>
        <w:t>CI’</w:t>
      </w:r>
      <w:r w:rsidR="004A5A13">
        <w:rPr>
          <w:rFonts w:asciiTheme="minorHAnsi" w:hAnsiTheme="minorHAnsi"/>
          <w:color w:val="auto"/>
          <w:szCs w:val="24"/>
        </w:rPr>
        <w:t xml:space="preserve">s painful condition, limited only by inability to wear the respirator or gas mask.  </w:t>
      </w:r>
      <w:r w:rsidR="009D7051" w:rsidRPr="00664296">
        <w:rPr>
          <w:rFonts w:asciiTheme="minorHAnsi" w:hAnsiTheme="minorHAnsi"/>
          <w:color w:val="auto"/>
          <w:szCs w:val="24"/>
        </w:rPr>
        <w:t>All evidence considered</w:t>
      </w:r>
      <w:proofErr w:type="gramStart"/>
      <w:r w:rsidR="009D7051" w:rsidRPr="00664296">
        <w:rPr>
          <w:rFonts w:asciiTheme="minorHAnsi" w:hAnsiTheme="minorHAnsi"/>
          <w:color w:val="auto"/>
          <w:szCs w:val="24"/>
        </w:rPr>
        <w:t>,</w:t>
      </w:r>
      <w:proofErr w:type="gramEnd"/>
      <w:r w:rsidR="009D7051" w:rsidRPr="00664296">
        <w:rPr>
          <w:rFonts w:asciiTheme="minorHAnsi" w:hAnsiTheme="minorHAnsi"/>
          <w:color w:val="auto"/>
          <w:szCs w:val="24"/>
        </w:rPr>
        <w:t xml:space="preserve"> there is not reasonable doubt in the CI’s favor supporting recharacterization of the PEB fitness adjudication for </w:t>
      </w:r>
      <w:r w:rsidR="00DD7FD5">
        <w:rPr>
          <w:rFonts w:asciiTheme="minorHAnsi" w:hAnsiTheme="minorHAnsi"/>
          <w:color w:val="auto"/>
          <w:szCs w:val="24"/>
        </w:rPr>
        <w:t>trigeminal neuralgia</w:t>
      </w:r>
      <w:r w:rsidR="009D7051">
        <w:rPr>
          <w:rFonts w:asciiTheme="minorHAnsi" w:hAnsiTheme="minorHAnsi"/>
          <w:color w:val="auto"/>
          <w:szCs w:val="24"/>
        </w:rPr>
        <w:t>.</w:t>
      </w:r>
    </w:p>
    <w:p w:rsidR="009C57A4" w:rsidRPr="006560B6" w:rsidRDefault="009C57A4" w:rsidP="00133E97">
      <w:pPr>
        <w:spacing w:line="240" w:lineRule="exact"/>
        <w:jc w:val="both"/>
        <w:rPr>
          <w:rFonts w:asciiTheme="minorHAnsi" w:hAnsiTheme="minorHAnsi"/>
          <w:color w:val="auto"/>
          <w:szCs w:val="24"/>
          <w:highlight w:val="yellow"/>
        </w:rPr>
      </w:pPr>
    </w:p>
    <w:p w:rsidR="00EC337D" w:rsidRPr="00EC337D" w:rsidRDefault="00EC337D" w:rsidP="00133E97">
      <w:pPr>
        <w:autoSpaceDE w:val="0"/>
        <w:autoSpaceDN w:val="0"/>
        <w:adjustRightInd w:val="0"/>
        <w:spacing w:line="240" w:lineRule="exact"/>
        <w:jc w:val="both"/>
        <w:rPr>
          <w:rFonts w:asciiTheme="minorHAnsi" w:hAnsiTheme="minorHAnsi"/>
          <w:color w:val="auto"/>
          <w:szCs w:val="24"/>
        </w:rPr>
      </w:pPr>
      <w:r w:rsidRPr="007973D8">
        <w:rPr>
          <w:rFonts w:asciiTheme="minorHAnsi" w:eastAsia="HiddenHorzOCR" w:hAnsiTheme="minorHAnsi"/>
          <w:color w:val="auto"/>
          <w:szCs w:val="24"/>
          <w:u w:val="single"/>
        </w:rPr>
        <w:t>Other Contended Conditions</w:t>
      </w:r>
      <w:r w:rsidR="001423CB" w:rsidRPr="001423CB">
        <w:rPr>
          <w:rFonts w:asciiTheme="minorHAnsi" w:eastAsia="HiddenHorzOCR" w:hAnsiTheme="minorHAnsi"/>
          <w:color w:val="auto"/>
          <w:szCs w:val="24"/>
        </w:rPr>
        <w:t>:</w:t>
      </w:r>
      <w:r w:rsidRPr="001423CB">
        <w:rPr>
          <w:rFonts w:asciiTheme="minorHAnsi" w:eastAsia="HiddenHorzOCR" w:hAnsiTheme="minorHAnsi"/>
          <w:color w:val="auto"/>
          <w:szCs w:val="24"/>
        </w:rPr>
        <w:t xml:space="preserve"> </w:t>
      </w:r>
      <w:r w:rsidRPr="007973D8">
        <w:rPr>
          <w:rFonts w:asciiTheme="minorHAnsi" w:eastAsia="HiddenHorzOCR" w:hAnsiTheme="minorHAnsi"/>
          <w:color w:val="auto"/>
          <w:szCs w:val="24"/>
        </w:rPr>
        <w:t xml:space="preserve"> </w:t>
      </w:r>
      <w:r w:rsidR="00B7097E">
        <w:rPr>
          <w:rFonts w:asciiTheme="minorHAnsi" w:eastAsia="HiddenHorzOCR" w:hAnsiTheme="minorHAnsi"/>
          <w:color w:val="auto"/>
          <w:szCs w:val="24"/>
        </w:rPr>
        <w:t xml:space="preserve">The </w:t>
      </w:r>
      <w:r w:rsidRPr="00711350">
        <w:rPr>
          <w:rFonts w:asciiTheme="minorHAnsi" w:eastAsia="HiddenHorzOCR" w:hAnsiTheme="minorHAnsi"/>
          <w:color w:val="auto"/>
          <w:szCs w:val="24"/>
        </w:rPr>
        <w:t xml:space="preserve">CI’s application asserts that compensable ratings should be considered for </w:t>
      </w:r>
      <w:r w:rsidR="001423CB">
        <w:rPr>
          <w:rFonts w:asciiTheme="minorHAnsi" w:eastAsia="HiddenHorzOCR" w:hAnsiTheme="minorHAnsi"/>
          <w:color w:val="auto"/>
          <w:szCs w:val="24"/>
        </w:rPr>
        <w:t xml:space="preserve">depression, </w:t>
      </w:r>
      <w:r w:rsidR="00022C0C">
        <w:rPr>
          <w:rFonts w:asciiTheme="minorHAnsi" w:eastAsia="HiddenHorzOCR" w:hAnsiTheme="minorHAnsi"/>
          <w:color w:val="auto"/>
          <w:szCs w:val="24"/>
        </w:rPr>
        <w:t>PTSD</w:t>
      </w:r>
      <w:r w:rsidR="001423CB">
        <w:rPr>
          <w:rFonts w:asciiTheme="minorHAnsi" w:eastAsia="HiddenHorzOCR" w:hAnsiTheme="minorHAnsi"/>
          <w:color w:val="auto"/>
          <w:szCs w:val="24"/>
        </w:rPr>
        <w:t xml:space="preserve">, bilateral plantar fasciitis, </w:t>
      </w:r>
      <w:r w:rsidR="00B7097E">
        <w:rPr>
          <w:rFonts w:asciiTheme="minorHAnsi" w:eastAsia="HiddenHorzOCR" w:hAnsiTheme="minorHAnsi"/>
          <w:color w:val="auto"/>
          <w:szCs w:val="24"/>
        </w:rPr>
        <w:t xml:space="preserve">bilateral tinnitus, </w:t>
      </w:r>
      <w:r w:rsidR="001423CB">
        <w:rPr>
          <w:rFonts w:asciiTheme="minorHAnsi" w:eastAsia="HiddenHorzOCR" w:hAnsiTheme="minorHAnsi"/>
          <w:color w:val="auto"/>
          <w:szCs w:val="24"/>
        </w:rPr>
        <w:t xml:space="preserve">lumbosacral strain, </w:t>
      </w:r>
      <w:r w:rsidR="00B7097E">
        <w:rPr>
          <w:rFonts w:asciiTheme="minorHAnsi" w:eastAsia="HiddenHorzOCR" w:hAnsiTheme="minorHAnsi"/>
          <w:color w:val="auto"/>
          <w:szCs w:val="24"/>
        </w:rPr>
        <w:t xml:space="preserve">and </w:t>
      </w:r>
      <w:r w:rsidR="001423CB">
        <w:rPr>
          <w:rFonts w:asciiTheme="minorHAnsi" w:eastAsia="HiddenHorzOCR" w:hAnsiTheme="minorHAnsi"/>
          <w:color w:val="auto"/>
          <w:szCs w:val="24"/>
        </w:rPr>
        <w:t>migraine headaches</w:t>
      </w:r>
      <w:r w:rsidRPr="00711350">
        <w:rPr>
          <w:rFonts w:asciiTheme="minorHAnsi" w:eastAsia="HiddenHorzOCR" w:hAnsiTheme="minorHAnsi"/>
          <w:color w:val="auto"/>
          <w:szCs w:val="24"/>
        </w:rPr>
        <w:t>.</w:t>
      </w:r>
      <w:r w:rsidR="00DC2A92">
        <w:rPr>
          <w:rFonts w:asciiTheme="minorHAnsi" w:eastAsia="HiddenHorzOCR" w:hAnsiTheme="minorHAnsi"/>
          <w:color w:val="auto"/>
          <w:szCs w:val="24"/>
        </w:rPr>
        <w:t xml:space="preserve">  </w:t>
      </w:r>
      <w:r w:rsidR="00A44B46">
        <w:rPr>
          <w:rFonts w:asciiTheme="minorHAnsi" w:eastAsia="HiddenHorzOCR" w:hAnsiTheme="minorHAnsi"/>
          <w:color w:val="auto"/>
          <w:szCs w:val="24"/>
        </w:rPr>
        <w:t xml:space="preserve">PTSD was diagnosed five months after </w:t>
      </w:r>
      <w:r w:rsidR="00A44B46">
        <w:rPr>
          <w:rFonts w:asciiTheme="minorHAnsi" w:hAnsiTheme="minorHAnsi"/>
          <w:color w:val="auto"/>
          <w:szCs w:val="24"/>
        </w:rPr>
        <w:t xml:space="preserve">separation by the VA at which time the CI reported PTSD symptoms for approximately ten years, worse in the prior three years.  </w:t>
      </w:r>
      <w:r w:rsidR="00FD3EA1">
        <w:rPr>
          <w:rFonts w:asciiTheme="minorHAnsi" w:eastAsia="HiddenHorzOCR" w:hAnsiTheme="minorHAnsi"/>
          <w:color w:val="auto"/>
          <w:szCs w:val="24"/>
        </w:rPr>
        <w:t xml:space="preserve">There is no mention of PTSD or depression throughout the </w:t>
      </w:r>
      <w:r w:rsidR="00A44B46">
        <w:rPr>
          <w:rFonts w:asciiTheme="minorHAnsi" w:eastAsia="HiddenHorzOCR" w:hAnsiTheme="minorHAnsi"/>
          <w:color w:val="auto"/>
          <w:szCs w:val="24"/>
        </w:rPr>
        <w:t xml:space="preserve">service treatment record </w:t>
      </w:r>
      <w:r w:rsidR="00FD3EA1">
        <w:rPr>
          <w:rFonts w:asciiTheme="minorHAnsi" w:eastAsia="HiddenHorzOCR" w:hAnsiTheme="minorHAnsi"/>
          <w:color w:val="auto"/>
          <w:szCs w:val="24"/>
        </w:rPr>
        <w:t>or anywhere in the DES file</w:t>
      </w:r>
      <w:r w:rsidR="009C57A4">
        <w:rPr>
          <w:rFonts w:asciiTheme="minorHAnsi" w:eastAsia="HiddenHorzOCR" w:hAnsiTheme="minorHAnsi"/>
          <w:color w:val="auto"/>
          <w:szCs w:val="24"/>
        </w:rPr>
        <w:t xml:space="preserve">.  </w:t>
      </w:r>
      <w:r w:rsidR="008B5D3C">
        <w:rPr>
          <w:rFonts w:asciiTheme="minorHAnsi" w:hAnsiTheme="minorHAnsi"/>
          <w:color w:val="auto"/>
          <w:szCs w:val="24"/>
        </w:rPr>
        <w:t>The commander’s statement reflected excellent duty performance.</w:t>
      </w:r>
      <w:r w:rsidR="00A44B46">
        <w:rPr>
          <w:rFonts w:asciiTheme="minorHAnsi" w:hAnsiTheme="minorHAnsi"/>
          <w:color w:val="auto"/>
          <w:szCs w:val="24"/>
        </w:rPr>
        <w:t xml:space="preserve">  </w:t>
      </w:r>
      <w:r w:rsidR="00133E97">
        <w:rPr>
          <w:rFonts w:asciiTheme="minorHAnsi" w:hAnsiTheme="minorHAnsi"/>
          <w:color w:val="auto"/>
          <w:szCs w:val="24"/>
        </w:rPr>
        <w:t xml:space="preserve">Headaches were documented in association with the TMD condition and are subsumed in the discussion of the unfitting </w:t>
      </w:r>
      <w:r w:rsidR="00AA394F">
        <w:rPr>
          <w:rFonts w:asciiTheme="minorHAnsi" w:hAnsiTheme="minorHAnsi"/>
          <w:color w:val="auto"/>
          <w:szCs w:val="24"/>
        </w:rPr>
        <w:t>facial pain/</w:t>
      </w:r>
      <w:r w:rsidR="00133E97">
        <w:rPr>
          <w:rFonts w:asciiTheme="minorHAnsi" w:hAnsiTheme="minorHAnsi"/>
          <w:color w:val="auto"/>
          <w:szCs w:val="24"/>
        </w:rPr>
        <w:t>trigeminal neuralgia.</w:t>
      </w:r>
      <w:r w:rsidR="00975948">
        <w:rPr>
          <w:rFonts w:asciiTheme="minorHAnsi" w:hAnsiTheme="minorHAnsi"/>
          <w:color w:val="auto"/>
          <w:szCs w:val="24"/>
        </w:rPr>
        <w:t xml:space="preserve">  The C&amp;P examiner </w:t>
      </w:r>
      <w:r w:rsidR="007A241A">
        <w:rPr>
          <w:rFonts w:asciiTheme="minorHAnsi" w:hAnsiTheme="minorHAnsi"/>
          <w:color w:val="auto"/>
          <w:szCs w:val="24"/>
        </w:rPr>
        <w:t xml:space="preserve">on </w:t>
      </w:r>
      <w:r w:rsidR="00975948">
        <w:rPr>
          <w:rFonts w:asciiTheme="minorHAnsi" w:hAnsiTheme="minorHAnsi"/>
          <w:color w:val="auto"/>
          <w:szCs w:val="24"/>
        </w:rPr>
        <w:t>16 November 2004 noted that headaches had not caused the CI to miss any work.</w:t>
      </w:r>
      <w:r w:rsidR="00133E97">
        <w:rPr>
          <w:rFonts w:asciiTheme="minorHAnsi" w:hAnsiTheme="minorHAnsi"/>
          <w:color w:val="auto"/>
          <w:szCs w:val="24"/>
        </w:rPr>
        <w:t xml:space="preserve">  </w:t>
      </w:r>
      <w:r w:rsidR="00505797">
        <w:rPr>
          <w:rFonts w:asciiTheme="minorHAnsi" w:hAnsiTheme="minorHAnsi"/>
          <w:color w:val="auto"/>
          <w:szCs w:val="24"/>
        </w:rPr>
        <w:t xml:space="preserve">Bilateral plantar fasciitis, bilateral tinnitus, </w:t>
      </w:r>
      <w:r w:rsidR="00133E97">
        <w:rPr>
          <w:rFonts w:asciiTheme="minorHAnsi" w:hAnsiTheme="minorHAnsi"/>
          <w:color w:val="auto"/>
          <w:szCs w:val="24"/>
        </w:rPr>
        <w:t xml:space="preserve">and </w:t>
      </w:r>
      <w:r w:rsidR="00505797">
        <w:rPr>
          <w:rFonts w:asciiTheme="minorHAnsi" w:hAnsiTheme="minorHAnsi"/>
          <w:color w:val="auto"/>
          <w:szCs w:val="24"/>
        </w:rPr>
        <w:t xml:space="preserve">lumbosacral strain were mentioned in </w:t>
      </w:r>
      <w:r w:rsidR="00DB74B2">
        <w:rPr>
          <w:rFonts w:asciiTheme="minorHAnsi" w:hAnsiTheme="minorHAnsi"/>
          <w:color w:val="auto"/>
          <w:szCs w:val="24"/>
        </w:rPr>
        <w:t xml:space="preserve">service treatment records however </w:t>
      </w:r>
      <w:r w:rsidR="00505797">
        <w:rPr>
          <w:rFonts w:asciiTheme="minorHAnsi" w:hAnsiTheme="minorHAnsi"/>
          <w:color w:val="auto"/>
          <w:szCs w:val="24"/>
        </w:rPr>
        <w:t xml:space="preserve">none of these conditions were in the DES file nor </w:t>
      </w:r>
      <w:r w:rsidR="00DB74B2">
        <w:rPr>
          <w:rFonts w:asciiTheme="minorHAnsi" w:hAnsiTheme="minorHAnsi"/>
          <w:color w:val="auto"/>
          <w:szCs w:val="24"/>
        </w:rPr>
        <w:t xml:space="preserve">were </w:t>
      </w:r>
      <w:r w:rsidR="00505797">
        <w:rPr>
          <w:rFonts w:asciiTheme="minorHAnsi" w:hAnsiTheme="minorHAnsi"/>
          <w:color w:val="auto"/>
          <w:szCs w:val="24"/>
        </w:rPr>
        <w:t xml:space="preserve">clinically or occupationally </w:t>
      </w:r>
      <w:r w:rsidR="00DB74B2">
        <w:rPr>
          <w:rFonts w:asciiTheme="minorHAnsi" w:hAnsiTheme="minorHAnsi"/>
          <w:color w:val="auto"/>
          <w:szCs w:val="24"/>
        </w:rPr>
        <w:t xml:space="preserve">significant </w:t>
      </w:r>
      <w:r w:rsidR="00505797">
        <w:rPr>
          <w:rFonts w:asciiTheme="minorHAnsi" w:hAnsiTheme="minorHAnsi"/>
          <w:color w:val="auto"/>
          <w:szCs w:val="24"/>
        </w:rPr>
        <w:lastRenderedPageBreak/>
        <w:t>during the MEB period.</w:t>
      </w:r>
      <w:r w:rsidR="00505797" w:rsidRPr="00505797">
        <w:rPr>
          <w:rFonts w:asciiTheme="minorHAnsi" w:hAnsiTheme="minorHAnsi"/>
          <w:color w:val="auto"/>
          <w:szCs w:val="24"/>
        </w:rPr>
        <w:t xml:space="preserve"> </w:t>
      </w:r>
      <w:r w:rsidR="00975948">
        <w:rPr>
          <w:rFonts w:asciiTheme="minorHAnsi" w:hAnsiTheme="minorHAnsi"/>
          <w:color w:val="auto"/>
          <w:szCs w:val="24"/>
        </w:rPr>
        <w:t xml:space="preserve"> </w:t>
      </w:r>
      <w:r w:rsidR="00505797" w:rsidRPr="00711350">
        <w:rPr>
          <w:rFonts w:asciiTheme="minorHAnsi" w:hAnsiTheme="minorHAnsi"/>
          <w:color w:val="auto"/>
          <w:szCs w:val="24"/>
        </w:rPr>
        <w:t>There was no evidence for concluding that any of the conditions interfered with duty performance to a degree that could be argued as unfitting.</w:t>
      </w:r>
      <w:r w:rsidR="00505797">
        <w:rPr>
          <w:rFonts w:asciiTheme="minorHAnsi" w:hAnsiTheme="minorHAnsi"/>
          <w:color w:val="auto"/>
          <w:szCs w:val="24"/>
        </w:rPr>
        <w:t xml:space="preserve">  </w:t>
      </w:r>
      <w:r w:rsidR="00FD3EA1">
        <w:rPr>
          <w:rFonts w:asciiTheme="minorHAnsi" w:hAnsiTheme="minorHAnsi"/>
          <w:color w:val="auto"/>
          <w:szCs w:val="24"/>
        </w:rPr>
        <w:t xml:space="preserve">The Board does not have the authority under DoDI 6040.44 to render fitness or rating recommendations for any </w:t>
      </w:r>
      <w:r w:rsidRPr="00711350">
        <w:rPr>
          <w:rFonts w:asciiTheme="minorHAnsi" w:hAnsiTheme="minorHAnsi"/>
          <w:color w:val="auto"/>
          <w:szCs w:val="24"/>
        </w:rPr>
        <w:t>conditions</w:t>
      </w:r>
      <w:r w:rsidR="00FD3EA1">
        <w:rPr>
          <w:rFonts w:asciiTheme="minorHAnsi" w:hAnsiTheme="minorHAnsi"/>
          <w:color w:val="auto"/>
          <w:szCs w:val="24"/>
        </w:rPr>
        <w:t xml:space="preserve"> not considered by the DES.  The Board, therefore, has no reasonable basis for recommending</w:t>
      </w:r>
      <w:r w:rsidR="00A43862">
        <w:rPr>
          <w:rFonts w:asciiTheme="minorHAnsi" w:hAnsiTheme="minorHAnsi"/>
          <w:color w:val="auto"/>
          <w:szCs w:val="24"/>
        </w:rPr>
        <w:t xml:space="preserve"> any of</w:t>
      </w:r>
      <w:r w:rsidR="00FD3EA1">
        <w:rPr>
          <w:rFonts w:asciiTheme="minorHAnsi" w:hAnsiTheme="minorHAnsi"/>
          <w:color w:val="auto"/>
          <w:szCs w:val="24"/>
        </w:rPr>
        <w:t xml:space="preserve"> </w:t>
      </w:r>
      <w:r w:rsidR="00505797">
        <w:rPr>
          <w:rFonts w:asciiTheme="minorHAnsi" w:hAnsiTheme="minorHAnsi"/>
          <w:color w:val="auto"/>
          <w:szCs w:val="24"/>
        </w:rPr>
        <w:t>these conditions as additional</w:t>
      </w:r>
      <w:r w:rsidR="007A241A">
        <w:rPr>
          <w:rFonts w:asciiTheme="minorHAnsi" w:hAnsiTheme="minorHAnsi"/>
          <w:color w:val="auto"/>
          <w:szCs w:val="24"/>
        </w:rPr>
        <w:t>ly</w:t>
      </w:r>
      <w:r w:rsidR="00505797">
        <w:rPr>
          <w:rFonts w:asciiTheme="minorHAnsi" w:hAnsiTheme="minorHAnsi"/>
          <w:color w:val="auto"/>
          <w:szCs w:val="24"/>
        </w:rPr>
        <w:t xml:space="preserve"> unfitting for separation rating.</w:t>
      </w:r>
    </w:p>
    <w:p w:rsidR="00F6196E" w:rsidRDefault="00F6196E" w:rsidP="00133E97">
      <w:pPr>
        <w:spacing w:line="240" w:lineRule="exact"/>
        <w:jc w:val="both"/>
        <w:rPr>
          <w:rFonts w:asciiTheme="minorHAnsi" w:hAnsiTheme="minorHAnsi"/>
          <w:color w:val="auto"/>
          <w:szCs w:val="24"/>
        </w:rPr>
      </w:pPr>
    </w:p>
    <w:p w:rsidR="002943ED" w:rsidRDefault="00F6196E" w:rsidP="00133E97">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00EC65CA">
        <w:rPr>
          <w:rFonts w:asciiTheme="minorHAnsi" w:hAnsiTheme="minorHAnsi"/>
          <w:color w:val="auto"/>
          <w:szCs w:val="24"/>
        </w:rPr>
        <w:t>:</w:t>
      </w:r>
      <w:r w:rsidR="002943ED">
        <w:rPr>
          <w:rFonts w:asciiTheme="minorHAnsi" w:hAnsiTheme="minorHAnsi"/>
          <w:color w:val="auto"/>
          <w:szCs w:val="24"/>
        </w:rPr>
        <w:t xml:space="preserve">  </w:t>
      </w:r>
      <w:r w:rsidR="002943ED" w:rsidRPr="00F6196E">
        <w:rPr>
          <w:rFonts w:asciiTheme="minorHAnsi" w:hAnsiTheme="minorHAnsi"/>
          <w:color w:val="auto"/>
          <w:szCs w:val="24"/>
        </w:rPr>
        <w:t xml:space="preserve">No other conditions were noted in the NARSUM, or found elsewhere in the DES file.  The Board </w:t>
      </w:r>
      <w:r w:rsidR="002943ED">
        <w:rPr>
          <w:rFonts w:asciiTheme="minorHAnsi" w:hAnsiTheme="minorHAnsi"/>
          <w:color w:val="auto"/>
          <w:szCs w:val="24"/>
        </w:rPr>
        <w:t xml:space="preserve">notes that </w:t>
      </w:r>
      <w:proofErr w:type="spellStart"/>
      <w:r w:rsidR="002943ED">
        <w:rPr>
          <w:rFonts w:asciiTheme="minorHAnsi" w:hAnsiTheme="minorHAnsi"/>
          <w:color w:val="auto"/>
          <w:szCs w:val="24"/>
        </w:rPr>
        <w:t>tinea</w:t>
      </w:r>
      <w:proofErr w:type="spellEnd"/>
      <w:r w:rsidR="002943ED">
        <w:rPr>
          <w:rFonts w:asciiTheme="minorHAnsi" w:hAnsiTheme="minorHAnsi"/>
          <w:color w:val="auto"/>
          <w:szCs w:val="24"/>
        </w:rPr>
        <w:t xml:space="preserve"> </w:t>
      </w:r>
      <w:proofErr w:type="spellStart"/>
      <w:r w:rsidR="002943ED">
        <w:rPr>
          <w:rFonts w:asciiTheme="minorHAnsi" w:hAnsiTheme="minorHAnsi"/>
          <w:color w:val="auto"/>
          <w:szCs w:val="24"/>
        </w:rPr>
        <w:t>pedis</w:t>
      </w:r>
      <w:proofErr w:type="spellEnd"/>
      <w:r w:rsidR="002943ED">
        <w:rPr>
          <w:rFonts w:asciiTheme="minorHAnsi" w:hAnsiTheme="minorHAnsi"/>
          <w:color w:val="auto"/>
          <w:szCs w:val="24"/>
        </w:rPr>
        <w:t>, hip and knee conditions, decreased hearing</w:t>
      </w:r>
      <w:r w:rsidR="00A44B46">
        <w:rPr>
          <w:rFonts w:asciiTheme="minorHAnsi" w:hAnsiTheme="minorHAnsi"/>
          <w:color w:val="auto"/>
          <w:szCs w:val="24"/>
        </w:rPr>
        <w:t xml:space="preserve"> </w:t>
      </w:r>
      <w:r w:rsidR="002943ED">
        <w:rPr>
          <w:rFonts w:asciiTheme="minorHAnsi" w:hAnsiTheme="minorHAnsi"/>
          <w:color w:val="auto"/>
          <w:szCs w:val="24"/>
        </w:rPr>
        <w:t xml:space="preserve">and </w:t>
      </w:r>
      <w:r w:rsidR="002943ED" w:rsidRPr="00F6196E">
        <w:rPr>
          <w:rFonts w:asciiTheme="minorHAnsi" w:hAnsiTheme="minorHAnsi"/>
          <w:color w:val="auto"/>
          <w:szCs w:val="24"/>
        </w:rPr>
        <w:t>additional non-acute conditions or medical complaints were also documented</w:t>
      </w:r>
      <w:r w:rsidR="002943ED">
        <w:rPr>
          <w:rFonts w:asciiTheme="minorHAnsi" w:hAnsiTheme="minorHAnsi"/>
          <w:color w:val="auto"/>
          <w:szCs w:val="24"/>
        </w:rPr>
        <w:t xml:space="preserve"> in the VA rating decision.  The Board </w:t>
      </w:r>
      <w:r w:rsidR="002943ED" w:rsidRPr="00F6196E">
        <w:rPr>
          <w:rFonts w:asciiTheme="minorHAnsi" w:hAnsiTheme="minorHAnsi"/>
          <w:color w:val="auto"/>
          <w:szCs w:val="24"/>
        </w:rPr>
        <w:t>does not have the authority under DoDI 6040.44 to render fitness or rating recommendations for any conditions not considered by the DES</w:t>
      </w:r>
      <w:r w:rsidR="002943ED" w:rsidRPr="00B56F3D">
        <w:rPr>
          <w:rFonts w:asciiTheme="minorHAnsi" w:hAnsiTheme="minorHAnsi"/>
          <w:color w:val="auto"/>
          <w:szCs w:val="24"/>
        </w:rPr>
        <w:t>.  The Board, therefore, has no reasonable basis for recommending any additional unfitting conditions for separation rating.</w:t>
      </w:r>
    </w:p>
    <w:p w:rsidR="002943ED" w:rsidRPr="00391858" w:rsidRDefault="002943ED" w:rsidP="00133E97">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7FA" w:rsidRDefault="006647FA" w:rsidP="00F1737C">
      <w:pPr>
        <w:spacing w:line="240" w:lineRule="exact"/>
        <w:rPr>
          <w:rFonts w:asciiTheme="minorHAnsi" w:hAnsiTheme="minorHAnsi"/>
          <w:b/>
          <w:color w:val="auto"/>
          <w:szCs w:val="24"/>
          <w:u w:val="single"/>
        </w:rPr>
      </w:pPr>
    </w:p>
    <w:p w:rsidR="00AA394F" w:rsidRPr="009C57A4" w:rsidRDefault="00C56FC8" w:rsidP="000E56A3">
      <w:pPr>
        <w:spacing w:line="240" w:lineRule="exact"/>
        <w:jc w:val="both"/>
        <w:rPr>
          <w:rFonts w:cs="Calibr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2943ED">
        <w:rPr>
          <w:rFonts w:asciiTheme="minorHAnsi" w:eastAsiaTheme="minorHAnsi" w:hAnsiTheme="minorHAnsi"/>
          <w:color w:val="auto"/>
          <w:szCs w:val="24"/>
        </w:rPr>
        <w:t xml:space="preserve">  </w:t>
      </w:r>
      <w:r w:rsidR="00EE61FB" w:rsidRPr="00EE61FB">
        <w:rPr>
          <w:color w:val="auto"/>
          <w:sz w:val="23"/>
          <w:szCs w:val="23"/>
        </w:rPr>
        <w:t xml:space="preserve">As discussed above, PEB reliance on DoDI 1332.39 for rating </w:t>
      </w:r>
      <w:r w:rsidR="00EE61FB" w:rsidRPr="00EE61FB">
        <w:rPr>
          <w:rFonts w:asciiTheme="minorHAnsi" w:eastAsiaTheme="minorHAnsi" w:hAnsiTheme="minorHAnsi"/>
          <w:color w:val="auto"/>
          <w:szCs w:val="24"/>
        </w:rPr>
        <w:t>the right facial pain condition</w:t>
      </w:r>
      <w:r w:rsidR="00EE61FB" w:rsidRPr="00EE61FB">
        <w:rPr>
          <w:color w:val="auto"/>
          <w:sz w:val="23"/>
          <w:szCs w:val="23"/>
        </w:rPr>
        <w:t xml:space="preserve"> was operant in this case and the condition was adjudicated independently of that instruction by the Board.</w:t>
      </w:r>
      <w:r w:rsidR="00022C0C">
        <w:rPr>
          <w:color w:val="auto"/>
          <w:sz w:val="23"/>
          <w:szCs w:val="23"/>
        </w:rPr>
        <w:t xml:space="preserve"> </w:t>
      </w:r>
      <w:r w:rsidR="00EE61FB">
        <w:rPr>
          <w:sz w:val="23"/>
          <w:szCs w:val="23"/>
        </w:rPr>
        <w:t xml:space="preserve"> </w:t>
      </w:r>
      <w:r w:rsidR="002943ED" w:rsidRPr="009C57A4">
        <w:rPr>
          <w:rFonts w:asciiTheme="minorHAnsi" w:eastAsiaTheme="minorHAnsi" w:hAnsiTheme="minorHAnsi"/>
          <w:color w:val="auto"/>
          <w:szCs w:val="24"/>
        </w:rPr>
        <w:t>In the matter of t</w:t>
      </w:r>
      <w:r w:rsidR="00A43862" w:rsidRPr="009C57A4">
        <w:rPr>
          <w:rFonts w:asciiTheme="minorHAnsi" w:eastAsiaTheme="minorHAnsi" w:hAnsiTheme="minorHAnsi"/>
          <w:color w:val="auto"/>
          <w:szCs w:val="24"/>
        </w:rPr>
        <w:t>he right facial pain condition, the Board unanimously recommends no change in the PEB adjudication</w:t>
      </w:r>
      <w:r w:rsidR="00A43862" w:rsidRPr="000E56A3">
        <w:rPr>
          <w:rFonts w:asciiTheme="minorHAnsi" w:eastAsiaTheme="minorHAnsi" w:hAnsiTheme="minorHAnsi"/>
          <w:color w:val="auto"/>
          <w:szCs w:val="24"/>
        </w:rPr>
        <w:t>.</w:t>
      </w:r>
      <w:r w:rsidR="000E56A3">
        <w:rPr>
          <w:rFonts w:asciiTheme="minorHAnsi" w:eastAsiaTheme="minorHAnsi" w:hAnsiTheme="minorHAnsi"/>
          <w:color w:val="auto"/>
          <w:szCs w:val="24"/>
        </w:rPr>
        <w:t xml:space="preserve">  </w:t>
      </w:r>
      <w:r w:rsidR="00AC314D" w:rsidRPr="000E56A3">
        <w:rPr>
          <w:rFonts w:asciiTheme="minorHAnsi" w:eastAsiaTheme="minorHAnsi" w:hAnsiTheme="minorHAnsi"/>
          <w:color w:val="auto"/>
          <w:szCs w:val="24"/>
        </w:rPr>
        <w:t xml:space="preserve">In the matter of the </w:t>
      </w:r>
      <w:r w:rsidR="002B03AA" w:rsidRPr="000E56A3">
        <w:rPr>
          <w:rFonts w:asciiTheme="minorHAnsi" w:eastAsiaTheme="minorHAnsi" w:hAnsiTheme="minorHAnsi"/>
          <w:color w:val="auto"/>
          <w:szCs w:val="24"/>
        </w:rPr>
        <w:t>TMD</w:t>
      </w:r>
      <w:r w:rsidR="00BB46FC" w:rsidRPr="000E56A3">
        <w:rPr>
          <w:rFonts w:asciiTheme="minorHAnsi" w:eastAsiaTheme="minorHAnsi" w:hAnsiTheme="minorHAnsi"/>
          <w:color w:val="auto"/>
          <w:szCs w:val="24"/>
        </w:rPr>
        <w:t>,</w:t>
      </w:r>
      <w:r w:rsidR="002B03AA" w:rsidRPr="000E56A3">
        <w:rPr>
          <w:rFonts w:asciiTheme="minorHAnsi" w:eastAsiaTheme="minorHAnsi" w:hAnsiTheme="minorHAnsi"/>
          <w:color w:val="auto"/>
          <w:szCs w:val="24"/>
        </w:rPr>
        <w:t xml:space="preserve"> PTSD</w:t>
      </w:r>
      <w:r w:rsidR="00BB46FC" w:rsidRPr="000E56A3">
        <w:rPr>
          <w:rFonts w:asciiTheme="minorHAnsi" w:eastAsiaTheme="minorHAnsi" w:hAnsiTheme="minorHAnsi"/>
          <w:color w:val="auto"/>
          <w:szCs w:val="24"/>
        </w:rPr>
        <w:t>,</w:t>
      </w:r>
      <w:r w:rsidR="00133E97" w:rsidRPr="000E56A3">
        <w:rPr>
          <w:rFonts w:asciiTheme="minorHAnsi" w:eastAsiaTheme="minorHAnsi" w:hAnsiTheme="minorHAnsi"/>
          <w:color w:val="auto"/>
          <w:szCs w:val="24"/>
        </w:rPr>
        <w:t xml:space="preserve"> </w:t>
      </w:r>
      <w:r w:rsidR="002B03AA" w:rsidRPr="000E56A3">
        <w:rPr>
          <w:rFonts w:asciiTheme="minorHAnsi" w:eastAsiaTheme="minorHAnsi" w:hAnsiTheme="minorHAnsi"/>
          <w:color w:val="auto"/>
          <w:szCs w:val="24"/>
        </w:rPr>
        <w:t>lumbosacral strain,</w:t>
      </w:r>
      <w:r w:rsidR="00BB46FC" w:rsidRPr="000E56A3">
        <w:rPr>
          <w:rFonts w:asciiTheme="minorHAnsi" w:eastAsiaTheme="minorHAnsi" w:hAnsiTheme="minorHAnsi"/>
          <w:color w:val="auto"/>
          <w:szCs w:val="24"/>
        </w:rPr>
        <w:t xml:space="preserve"> bilateral plantar fasciitis, bilateral tinnitus</w:t>
      </w:r>
      <w:r w:rsidR="002B03AA" w:rsidRPr="000E56A3">
        <w:rPr>
          <w:rFonts w:asciiTheme="minorHAnsi" w:eastAsiaTheme="minorHAnsi" w:hAnsiTheme="minorHAnsi"/>
          <w:color w:val="auto"/>
          <w:szCs w:val="24"/>
        </w:rPr>
        <w:t xml:space="preserve"> </w:t>
      </w:r>
      <w:r w:rsidR="00AA394F" w:rsidRPr="000E56A3">
        <w:rPr>
          <w:rFonts w:asciiTheme="minorHAnsi" w:eastAsiaTheme="minorHAnsi" w:hAnsiTheme="minorHAnsi"/>
          <w:color w:val="auto"/>
          <w:szCs w:val="24"/>
        </w:rPr>
        <w:t>or any other condition eligible for Board consideration, the Board</w:t>
      </w:r>
      <w:r w:rsidR="00AA394F" w:rsidRPr="009C57A4">
        <w:rPr>
          <w:rFonts w:cs="Calibri"/>
          <w:color w:val="auto"/>
          <w:szCs w:val="24"/>
        </w:rPr>
        <w:t xml:space="preserve"> unanimously agrees that it cannot recommend any findings of unfit for additional rating at separation.</w:t>
      </w:r>
    </w:p>
    <w:p w:rsidR="00AC314D" w:rsidRPr="009C57A4" w:rsidRDefault="00AC314D"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83369" w:rsidRPr="009C57A4" w:rsidRDefault="00383369" w:rsidP="00AC314D">
      <w:pPr>
        <w:spacing w:line="240" w:lineRule="exact"/>
        <w:rPr>
          <w:rFonts w:asciiTheme="minorHAnsi" w:hAnsiTheme="minorHAnsi"/>
          <w:color w:val="auto"/>
          <w:szCs w:val="24"/>
          <w:u w:val="single"/>
        </w:rPr>
      </w:pPr>
    </w:p>
    <w:p w:rsidR="007F7A26" w:rsidRPr="009C57A4" w:rsidRDefault="00C56FC8" w:rsidP="00AC314D">
      <w:pPr>
        <w:spacing w:line="240" w:lineRule="exact"/>
        <w:rPr>
          <w:rFonts w:asciiTheme="minorHAnsi" w:hAnsiTheme="minorHAnsi"/>
          <w:color w:val="auto"/>
          <w:szCs w:val="24"/>
        </w:rPr>
      </w:pPr>
      <w:r w:rsidRPr="009C57A4">
        <w:rPr>
          <w:rFonts w:asciiTheme="minorHAnsi" w:hAnsiTheme="minorHAnsi"/>
          <w:color w:val="auto"/>
          <w:szCs w:val="24"/>
          <w:u w:val="single"/>
        </w:rPr>
        <w:t>RECOMMENDATION</w:t>
      </w:r>
      <w:r w:rsidRPr="009C57A4">
        <w:rPr>
          <w:rFonts w:asciiTheme="minorHAnsi" w:hAnsiTheme="minorHAnsi"/>
          <w:color w:val="auto"/>
          <w:szCs w:val="24"/>
        </w:rPr>
        <w:t>:</w:t>
      </w:r>
      <w:r w:rsidR="007F7A26" w:rsidRPr="009C57A4">
        <w:rPr>
          <w:rFonts w:asciiTheme="minorHAnsi" w:hAnsiTheme="minorHAnsi"/>
          <w:color w:val="000080"/>
          <w:szCs w:val="24"/>
        </w:rPr>
        <w:t xml:space="preserve"> </w:t>
      </w:r>
      <w:r w:rsidR="00AC314D" w:rsidRPr="009C57A4">
        <w:rPr>
          <w:rFonts w:asciiTheme="minorHAnsi" w:hAnsiTheme="minorHAnsi"/>
          <w:color w:val="000080"/>
          <w:szCs w:val="24"/>
        </w:rPr>
        <w:t xml:space="preserve"> </w:t>
      </w:r>
      <w:r w:rsidR="00A43862" w:rsidRPr="009C57A4">
        <w:rPr>
          <w:rFonts w:asciiTheme="minorHAnsi" w:hAnsiTheme="minorHAnsi"/>
          <w:color w:val="auto"/>
          <w:szCs w:val="24"/>
        </w:rPr>
        <w:t>The Board, therefore, recommends that there be no recharacterization of the CI’s disability and separation determination, as follows:</w:t>
      </w:r>
    </w:p>
    <w:p w:rsidR="007F7A26" w:rsidRPr="009C57A4" w:rsidRDefault="007F7A26"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7F7A26" w:rsidRPr="009C57A4" w:rsidTr="003762F7">
        <w:trPr>
          <w:trHeight w:val="287"/>
          <w:jc w:val="center"/>
        </w:trPr>
        <w:tc>
          <w:tcPr>
            <w:tcW w:w="6480" w:type="dxa"/>
            <w:shd w:val="clear" w:color="auto" w:fill="D9D9D9"/>
            <w:vAlign w:val="center"/>
          </w:tcPr>
          <w:p w:rsidR="007F7A26" w:rsidRPr="009C57A4" w:rsidRDefault="007F7A26" w:rsidP="007F7A26">
            <w:pPr>
              <w:spacing w:line="240" w:lineRule="exact"/>
              <w:jc w:val="both"/>
              <w:rPr>
                <w:rFonts w:asciiTheme="minorHAnsi" w:hAnsiTheme="minorHAnsi"/>
                <w:b/>
                <w:color w:val="auto"/>
                <w:szCs w:val="24"/>
              </w:rPr>
            </w:pPr>
            <w:r w:rsidRPr="009C57A4">
              <w:rPr>
                <w:rFonts w:asciiTheme="minorHAnsi" w:hAnsiTheme="minorHAnsi"/>
                <w:b/>
                <w:color w:val="auto"/>
                <w:szCs w:val="24"/>
              </w:rPr>
              <w:t>UNFITTING CONDITION</w:t>
            </w:r>
          </w:p>
        </w:tc>
        <w:tc>
          <w:tcPr>
            <w:tcW w:w="1710" w:type="dxa"/>
            <w:shd w:val="clear" w:color="auto" w:fill="D9D9D9"/>
            <w:vAlign w:val="center"/>
          </w:tcPr>
          <w:p w:rsidR="007F7A26" w:rsidRPr="009C57A4" w:rsidRDefault="007F7A26" w:rsidP="007F7A26">
            <w:pPr>
              <w:spacing w:line="240" w:lineRule="exact"/>
              <w:jc w:val="both"/>
              <w:rPr>
                <w:rFonts w:asciiTheme="minorHAnsi" w:hAnsiTheme="minorHAnsi"/>
                <w:b/>
                <w:color w:val="auto"/>
                <w:szCs w:val="24"/>
              </w:rPr>
            </w:pPr>
            <w:r w:rsidRPr="009C57A4">
              <w:rPr>
                <w:rFonts w:asciiTheme="minorHAnsi" w:hAnsiTheme="minorHAnsi"/>
                <w:b/>
                <w:color w:val="auto"/>
                <w:szCs w:val="24"/>
              </w:rPr>
              <w:t>VASRD CODE</w:t>
            </w:r>
          </w:p>
        </w:tc>
        <w:tc>
          <w:tcPr>
            <w:tcW w:w="1170" w:type="dxa"/>
            <w:shd w:val="clear" w:color="auto" w:fill="D9D9D9"/>
            <w:vAlign w:val="center"/>
          </w:tcPr>
          <w:p w:rsidR="007F7A26" w:rsidRPr="009C57A4" w:rsidRDefault="007F7A26" w:rsidP="007F7A26">
            <w:pPr>
              <w:spacing w:line="240" w:lineRule="exact"/>
              <w:jc w:val="both"/>
              <w:rPr>
                <w:rFonts w:asciiTheme="minorHAnsi" w:hAnsiTheme="minorHAnsi"/>
                <w:b/>
                <w:color w:val="auto"/>
                <w:szCs w:val="24"/>
              </w:rPr>
            </w:pPr>
            <w:r w:rsidRPr="009C57A4">
              <w:rPr>
                <w:rFonts w:asciiTheme="minorHAnsi" w:hAnsiTheme="minorHAnsi"/>
                <w:b/>
                <w:color w:val="auto"/>
                <w:szCs w:val="24"/>
              </w:rPr>
              <w:t>RATING</w:t>
            </w:r>
          </w:p>
        </w:tc>
      </w:tr>
      <w:tr w:rsidR="007F7A26" w:rsidRPr="009C57A4" w:rsidTr="007F7A26">
        <w:trPr>
          <w:trHeight w:val="314"/>
          <w:jc w:val="center"/>
        </w:trPr>
        <w:tc>
          <w:tcPr>
            <w:tcW w:w="6480" w:type="dxa"/>
            <w:vAlign w:val="center"/>
          </w:tcPr>
          <w:p w:rsidR="007F7A26" w:rsidRPr="009C57A4" w:rsidRDefault="0031336C" w:rsidP="007F7A26">
            <w:pPr>
              <w:spacing w:line="240" w:lineRule="exact"/>
              <w:jc w:val="both"/>
              <w:rPr>
                <w:rFonts w:asciiTheme="minorHAnsi" w:hAnsiTheme="minorHAnsi"/>
                <w:color w:val="auto"/>
                <w:szCs w:val="24"/>
              </w:rPr>
            </w:pPr>
            <w:r w:rsidRPr="009C57A4">
              <w:rPr>
                <w:rFonts w:asciiTheme="minorHAnsi" w:hAnsiTheme="minorHAnsi"/>
                <w:color w:val="auto"/>
                <w:szCs w:val="24"/>
              </w:rPr>
              <w:t>Trigeminal Neuralgia</w:t>
            </w:r>
          </w:p>
        </w:tc>
        <w:tc>
          <w:tcPr>
            <w:tcW w:w="1710" w:type="dxa"/>
            <w:vAlign w:val="center"/>
          </w:tcPr>
          <w:p w:rsidR="007F7A26" w:rsidRPr="009C57A4" w:rsidRDefault="0031336C" w:rsidP="007F7A26">
            <w:pPr>
              <w:spacing w:line="240" w:lineRule="exact"/>
              <w:jc w:val="center"/>
              <w:rPr>
                <w:rFonts w:asciiTheme="minorHAnsi" w:hAnsiTheme="minorHAnsi"/>
                <w:color w:val="auto"/>
                <w:szCs w:val="24"/>
              </w:rPr>
            </w:pPr>
            <w:r w:rsidRPr="009C57A4">
              <w:rPr>
                <w:rFonts w:asciiTheme="minorHAnsi" w:hAnsiTheme="minorHAnsi"/>
                <w:color w:val="auto"/>
                <w:szCs w:val="24"/>
              </w:rPr>
              <w:t>8405</w:t>
            </w:r>
          </w:p>
        </w:tc>
        <w:tc>
          <w:tcPr>
            <w:tcW w:w="1170" w:type="dxa"/>
            <w:vAlign w:val="center"/>
          </w:tcPr>
          <w:p w:rsidR="007F7A26" w:rsidRPr="009C57A4" w:rsidRDefault="0031336C" w:rsidP="007F7A26">
            <w:pPr>
              <w:spacing w:line="240" w:lineRule="exact"/>
              <w:jc w:val="center"/>
              <w:rPr>
                <w:rFonts w:asciiTheme="minorHAnsi" w:hAnsiTheme="minorHAnsi"/>
                <w:color w:val="auto"/>
                <w:szCs w:val="24"/>
              </w:rPr>
            </w:pPr>
            <w:r w:rsidRPr="009C57A4">
              <w:rPr>
                <w:rFonts w:asciiTheme="minorHAnsi" w:hAnsiTheme="minorHAnsi"/>
                <w:color w:val="auto"/>
                <w:szCs w:val="24"/>
              </w:rPr>
              <w:t>1</w:t>
            </w:r>
            <w:r w:rsidR="007F7A26" w:rsidRPr="009C57A4">
              <w:rPr>
                <w:rFonts w:asciiTheme="minorHAnsi" w:hAnsiTheme="minorHAnsi"/>
                <w:color w:val="auto"/>
                <w:szCs w:val="24"/>
              </w:rPr>
              <w:t>0%</w:t>
            </w:r>
          </w:p>
        </w:tc>
      </w:tr>
      <w:tr w:rsidR="007F7A26" w:rsidRPr="007F7A26" w:rsidTr="007F7A26">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7F7A26" w:rsidRPr="009C57A4" w:rsidRDefault="007F7A26" w:rsidP="007F7A26">
            <w:pPr>
              <w:spacing w:line="240" w:lineRule="exact"/>
              <w:jc w:val="both"/>
              <w:rPr>
                <w:rFonts w:asciiTheme="minorHAnsi" w:hAnsiTheme="minorHAnsi"/>
                <w:b/>
                <w:color w:val="auto"/>
                <w:szCs w:val="24"/>
              </w:rPr>
            </w:pPr>
            <w:r w:rsidRPr="009C57A4">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7F7A26" w:rsidRPr="009C57A4" w:rsidRDefault="0031336C" w:rsidP="007F7A26">
            <w:pPr>
              <w:spacing w:line="240" w:lineRule="exact"/>
              <w:jc w:val="center"/>
              <w:rPr>
                <w:rFonts w:asciiTheme="minorHAnsi" w:hAnsiTheme="minorHAnsi"/>
                <w:b/>
                <w:color w:val="auto"/>
                <w:szCs w:val="24"/>
              </w:rPr>
            </w:pPr>
            <w:r w:rsidRPr="009C57A4">
              <w:rPr>
                <w:rFonts w:asciiTheme="minorHAnsi" w:hAnsiTheme="minorHAnsi"/>
                <w:b/>
                <w:color w:val="auto"/>
                <w:szCs w:val="24"/>
              </w:rPr>
              <w:t>1</w:t>
            </w:r>
            <w:r w:rsidR="007F7A26" w:rsidRPr="009C57A4">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EC65CA">
        <w:rPr>
          <w:rFonts w:asciiTheme="minorHAnsi" w:hAnsiTheme="minorHAnsi"/>
          <w:color w:val="auto"/>
        </w:rPr>
        <w:t>294</w:t>
      </w:r>
      <w:r>
        <w:rPr>
          <w:rFonts w:asciiTheme="minorHAnsi" w:hAnsiTheme="minorHAnsi"/>
          <w:color w:val="auto"/>
        </w:rPr>
        <w:t xml:space="preserve"> dated 20</w:t>
      </w:r>
      <w:r w:rsidR="00103D5A">
        <w:rPr>
          <w:rFonts w:asciiTheme="minorHAnsi" w:hAnsiTheme="minorHAnsi"/>
          <w:color w:val="auto"/>
        </w:rPr>
        <w:t>110322</w:t>
      </w:r>
      <w:r w:rsidR="00022C0C">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EC65CA">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EC65CA">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4833D6">
        <w:rPr>
          <w:rFonts w:asciiTheme="minorHAnsi" w:hAnsiTheme="minorHAnsi"/>
          <w:color w:val="auto"/>
        </w:rPr>
        <w:t xml:space="preserve">XXXXXXXXXXXXX </w:t>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0945F8">
        <w:rPr>
          <w:rFonts w:asciiTheme="minorHAnsi" w:hAnsiTheme="minorHAnsi"/>
          <w:color w:val="auto"/>
        </w:rPr>
        <w:t>President</w:t>
      </w:r>
    </w:p>
    <w:p w:rsidR="007F0AB7" w:rsidRDefault="00FB1725"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4833D6" w:rsidRDefault="004833D6">
      <w:pPr>
        <w:rPr>
          <w:rFonts w:ascii="Times New Roman" w:hAnsi="Times New Roman"/>
          <w:color w:val="auto"/>
        </w:rPr>
      </w:pPr>
      <w:r>
        <w:rPr>
          <w:rFonts w:ascii="Times New Roman" w:hAnsi="Times New Roman"/>
          <w:color w:val="auto"/>
        </w:rPr>
        <w:br w:type="page"/>
      </w:r>
    </w:p>
    <w:p w:rsidR="004833D6" w:rsidRDefault="004833D6" w:rsidP="004833D6">
      <w:pPr>
        <w:tabs>
          <w:tab w:val="left" w:pos="576"/>
        </w:tabs>
        <w:spacing w:line="240" w:lineRule="exact"/>
        <w:ind w:right="-1080"/>
        <w:rPr>
          <w:rFonts w:ascii="Times New Roman" w:hAnsi="Times New Roman"/>
          <w:color w:val="auto"/>
        </w:rPr>
      </w:pPr>
      <w:r>
        <w:rPr>
          <w:rFonts w:ascii="Times New Roman" w:hAnsi="Times New Roman"/>
          <w:color w:val="auto"/>
        </w:rPr>
        <w:lastRenderedPageBreak/>
        <w:t>SAF/MRB</w:t>
      </w:r>
    </w:p>
    <w:p w:rsidR="004833D6" w:rsidRDefault="004833D6" w:rsidP="004833D6">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4833D6" w:rsidRDefault="004833D6" w:rsidP="004833D6">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r>
        <w:rPr>
          <w:rFonts w:ascii="Times New Roman" w:hAnsi="Times New Roman"/>
          <w:color w:val="auto"/>
        </w:rPr>
        <w:t xml:space="preserve">Dear </w:t>
      </w:r>
      <w:proofErr w:type="gramStart"/>
      <w:r>
        <w:rPr>
          <w:rFonts w:ascii="Times New Roman" w:hAnsi="Times New Roman"/>
          <w:color w:val="auto"/>
        </w:rPr>
        <w:t>XXXXXXXXXXXXX :</w:t>
      </w:r>
      <w:proofErr w:type="gramEnd"/>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PD-2011-00153.</w:t>
      </w:r>
    </w:p>
    <w:p w:rsidR="004833D6" w:rsidRDefault="004833D6" w:rsidP="004833D6">
      <w:pPr>
        <w:tabs>
          <w:tab w:val="left" w:pos="720"/>
        </w:tabs>
        <w:spacing w:line="240" w:lineRule="exact"/>
        <w:rPr>
          <w:rFonts w:ascii="Times New Roman" w:hAnsi="Times New Roman"/>
          <w:color w:val="auto"/>
        </w:rPr>
      </w:pPr>
    </w:p>
    <w:p w:rsidR="004833D6" w:rsidRDefault="004833D6" w:rsidP="004833D6">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4833D6" w:rsidRDefault="004833D6" w:rsidP="004833D6">
      <w:pPr>
        <w:pStyle w:val="BodyText2"/>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4833D6">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4833D6" w:rsidRDefault="004833D6" w:rsidP="004833D6">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4833D6" w:rsidRDefault="004833D6" w:rsidP="004833D6">
      <w:pPr>
        <w:tabs>
          <w:tab w:val="left" w:pos="720"/>
        </w:tabs>
        <w:spacing w:line="240" w:lineRule="exact"/>
        <w:ind w:right="-1080"/>
        <w:rPr>
          <w:rFonts w:ascii="Times New Roman" w:hAnsi="Times New Roman"/>
          <w:color w:val="auto"/>
        </w:rPr>
      </w:pPr>
    </w:p>
    <w:p w:rsidR="004833D6" w:rsidRDefault="004833D6" w:rsidP="00C138D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4833D6" w:rsidSect="005E02DC">
      <w:footerReference w:type="default" r:id="rId8"/>
      <w:footnotePr>
        <w:numRestart w:val="eachSect"/>
      </w:footnotePr>
      <w:pgSz w:w="12240" w:h="15840" w:code="1"/>
      <w:pgMar w:top="1152" w:right="1440" w:bottom="1152"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35" w:rsidRDefault="00F41835">
      <w:r>
        <w:separator/>
      </w:r>
    </w:p>
  </w:endnote>
  <w:endnote w:type="continuationSeparator" w:id="0">
    <w:p w:rsidR="00F41835" w:rsidRDefault="00F418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15115" w:rsidRPr="00684CE6" w:rsidRDefault="00EC779C" w:rsidP="00F65ED5">
        <w:pPr>
          <w:pStyle w:val="Footer"/>
          <w:jc w:val="right"/>
          <w:rPr>
            <w:color w:val="auto"/>
          </w:rPr>
        </w:pPr>
        <w:r w:rsidRPr="00684CE6">
          <w:rPr>
            <w:color w:val="auto"/>
          </w:rPr>
          <w:fldChar w:fldCharType="begin"/>
        </w:r>
        <w:r w:rsidR="00115115" w:rsidRPr="00684CE6">
          <w:rPr>
            <w:color w:val="auto"/>
          </w:rPr>
          <w:instrText xml:space="preserve"> PAGE   \* MERGEFORMAT </w:instrText>
        </w:r>
        <w:r w:rsidRPr="00684CE6">
          <w:rPr>
            <w:color w:val="auto"/>
          </w:rPr>
          <w:fldChar w:fldCharType="separate"/>
        </w:r>
        <w:r w:rsidR="004833D6">
          <w:rPr>
            <w:noProof/>
            <w:color w:val="auto"/>
          </w:rPr>
          <w:t>5</w:t>
        </w:r>
        <w:r w:rsidRPr="00684CE6">
          <w:rPr>
            <w:color w:val="auto"/>
          </w:rPr>
          <w:fldChar w:fldCharType="end"/>
        </w:r>
        <w:r w:rsidR="00115115" w:rsidRPr="00684CE6">
          <w:rPr>
            <w:color w:val="auto"/>
          </w:rPr>
          <w:t xml:space="preserve">                                                           PD</w:t>
        </w:r>
        <w:r w:rsidR="00115115">
          <w:rPr>
            <w:color w:val="auto"/>
          </w:rPr>
          <w:t xml:space="preserve"> </w:t>
        </w:r>
        <w:r w:rsidR="00115115" w:rsidRPr="00103D5A">
          <w:rPr>
            <w:color w:val="auto"/>
          </w:rPr>
          <w:t>1100</w:t>
        </w:r>
        <w:r w:rsidR="00115115">
          <w:rPr>
            <w:color w:val="auto"/>
          </w:rPr>
          <w:t>153</w:t>
        </w:r>
      </w:p>
    </w:sdtContent>
  </w:sdt>
  <w:p w:rsidR="00115115" w:rsidRPr="00684CE6" w:rsidRDefault="0011511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35" w:rsidRDefault="00F41835">
      <w:r>
        <w:separator/>
      </w:r>
    </w:p>
  </w:footnote>
  <w:footnote w:type="continuationSeparator" w:id="0">
    <w:p w:rsidR="00F41835" w:rsidRDefault="00F41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419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F18"/>
    <w:rsid w:val="00013417"/>
    <w:rsid w:val="000145C2"/>
    <w:rsid w:val="0001473F"/>
    <w:rsid w:val="00014A9E"/>
    <w:rsid w:val="00021361"/>
    <w:rsid w:val="00022C0C"/>
    <w:rsid w:val="00022CF3"/>
    <w:rsid w:val="00023913"/>
    <w:rsid w:val="00023D43"/>
    <w:rsid w:val="00024DE7"/>
    <w:rsid w:val="00026092"/>
    <w:rsid w:val="000260E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92F"/>
    <w:rsid w:val="00060FFD"/>
    <w:rsid w:val="0006431E"/>
    <w:rsid w:val="000652EA"/>
    <w:rsid w:val="00065470"/>
    <w:rsid w:val="00065E21"/>
    <w:rsid w:val="000673ED"/>
    <w:rsid w:val="00070DED"/>
    <w:rsid w:val="00072433"/>
    <w:rsid w:val="0007488B"/>
    <w:rsid w:val="00075702"/>
    <w:rsid w:val="00075A0C"/>
    <w:rsid w:val="000775C2"/>
    <w:rsid w:val="000806AD"/>
    <w:rsid w:val="00080BDF"/>
    <w:rsid w:val="00082400"/>
    <w:rsid w:val="00082482"/>
    <w:rsid w:val="00084CF2"/>
    <w:rsid w:val="00085D7B"/>
    <w:rsid w:val="000863BD"/>
    <w:rsid w:val="0008708B"/>
    <w:rsid w:val="00087E11"/>
    <w:rsid w:val="00092619"/>
    <w:rsid w:val="00092C66"/>
    <w:rsid w:val="000945F8"/>
    <w:rsid w:val="000949DD"/>
    <w:rsid w:val="00094E4F"/>
    <w:rsid w:val="000A03F9"/>
    <w:rsid w:val="000A2BCE"/>
    <w:rsid w:val="000A33C8"/>
    <w:rsid w:val="000A3A51"/>
    <w:rsid w:val="000A41E3"/>
    <w:rsid w:val="000A4BBA"/>
    <w:rsid w:val="000A5071"/>
    <w:rsid w:val="000B0AD2"/>
    <w:rsid w:val="000B1022"/>
    <w:rsid w:val="000B2FB8"/>
    <w:rsid w:val="000B485D"/>
    <w:rsid w:val="000B4C99"/>
    <w:rsid w:val="000B4E14"/>
    <w:rsid w:val="000C06F6"/>
    <w:rsid w:val="000C1D34"/>
    <w:rsid w:val="000C2362"/>
    <w:rsid w:val="000C2FA8"/>
    <w:rsid w:val="000C3C13"/>
    <w:rsid w:val="000C4D5F"/>
    <w:rsid w:val="000C53F9"/>
    <w:rsid w:val="000C5813"/>
    <w:rsid w:val="000C5A33"/>
    <w:rsid w:val="000C5EE9"/>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B1C"/>
    <w:rsid w:val="000E1EA9"/>
    <w:rsid w:val="000E2E50"/>
    <w:rsid w:val="000E37E0"/>
    <w:rsid w:val="000E3F20"/>
    <w:rsid w:val="000E4CBF"/>
    <w:rsid w:val="000E5577"/>
    <w:rsid w:val="000E56A3"/>
    <w:rsid w:val="000E7034"/>
    <w:rsid w:val="000E7731"/>
    <w:rsid w:val="000E7D06"/>
    <w:rsid w:val="000F02BE"/>
    <w:rsid w:val="000F0928"/>
    <w:rsid w:val="000F427B"/>
    <w:rsid w:val="000F43D0"/>
    <w:rsid w:val="000F4F18"/>
    <w:rsid w:val="000F688E"/>
    <w:rsid w:val="000F7181"/>
    <w:rsid w:val="001007CE"/>
    <w:rsid w:val="001008C1"/>
    <w:rsid w:val="00101AFB"/>
    <w:rsid w:val="001023DB"/>
    <w:rsid w:val="00102B8D"/>
    <w:rsid w:val="00103948"/>
    <w:rsid w:val="00103CCF"/>
    <w:rsid w:val="00103D5A"/>
    <w:rsid w:val="0010417F"/>
    <w:rsid w:val="001042D2"/>
    <w:rsid w:val="0010530E"/>
    <w:rsid w:val="00105C07"/>
    <w:rsid w:val="00106AD8"/>
    <w:rsid w:val="00107EC5"/>
    <w:rsid w:val="001103CD"/>
    <w:rsid w:val="00111C9B"/>
    <w:rsid w:val="00113D2A"/>
    <w:rsid w:val="00114F20"/>
    <w:rsid w:val="00115115"/>
    <w:rsid w:val="0011590B"/>
    <w:rsid w:val="001211AF"/>
    <w:rsid w:val="001219DF"/>
    <w:rsid w:val="0012220B"/>
    <w:rsid w:val="00122ABE"/>
    <w:rsid w:val="00122D58"/>
    <w:rsid w:val="001231DC"/>
    <w:rsid w:val="0012489B"/>
    <w:rsid w:val="001272AE"/>
    <w:rsid w:val="00130756"/>
    <w:rsid w:val="00130C60"/>
    <w:rsid w:val="001315DD"/>
    <w:rsid w:val="00133E97"/>
    <w:rsid w:val="0013525F"/>
    <w:rsid w:val="00135385"/>
    <w:rsid w:val="001364D1"/>
    <w:rsid w:val="001374C7"/>
    <w:rsid w:val="00140999"/>
    <w:rsid w:val="001421FD"/>
    <w:rsid w:val="001423CB"/>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EEB"/>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4FE"/>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577"/>
    <w:rsid w:val="001B57AC"/>
    <w:rsid w:val="001B5B59"/>
    <w:rsid w:val="001B601E"/>
    <w:rsid w:val="001B60E0"/>
    <w:rsid w:val="001B755A"/>
    <w:rsid w:val="001B7C8C"/>
    <w:rsid w:val="001C0688"/>
    <w:rsid w:val="001C181A"/>
    <w:rsid w:val="001C1877"/>
    <w:rsid w:val="001C2053"/>
    <w:rsid w:val="001C252F"/>
    <w:rsid w:val="001C28D1"/>
    <w:rsid w:val="001C3473"/>
    <w:rsid w:val="001C5BDA"/>
    <w:rsid w:val="001C5C33"/>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E7EFC"/>
    <w:rsid w:val="001F0297"/>
    <w:rsid w:val="001F20F3"/>
    <w:rsid w:val="001F7317"/>
    <w:rsid w:val="00200874"/>
    <w:rsid w:val="00200AA0"/>
    <w:rsid w:val="00202325"/>
    <w:rsid w:val="00202736"/>
    <w:rsid w:val="00202C9F"/>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608"/>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2B3C"/>
    <w:rsid w:val="00253EAA"/>
    <w:rsid w:val="002540A9"/>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3ED"/>
    <w:rsid w:val="00294437"/>
    <w:rsid w:val="002949CF"/>
    <w:rsid w:val="00297A45"/>
    <w:rsid w:val="00297E20"/>
    <w:rsid w:val="002A233F"/>
    <w:rsid w:val="002A306F"/>
    <w:rsid w:val="002A3237"/>
    <w:rsid w:val="002A4119"/>
    <w:rsid w:val="002A58B7"/>
    <w:rsid w:val="002A5943"/>
    <w:rsid w:val="002A5C3C"/>
    <w:rsid w:val="002A685E"/>
    <w:rsid w:val="002A72C7"/>
    <w:rsid w:val="002B0204"/>
    <w:rsid w:val="002B03AA"/>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3C7B"/>
    <w:rsid w:val="002D5330"/>
    <w:rsid w:val="002D5F57"/>
    <w:rsid w:val="002D73D4"/>
    <w:rsid w:val="002D7787"/>
    <w:rsid w:val="002E1877"/>
    <w:rsid w:val="002E1C31"/>
    <w:rsid w:val="002E2E0F"/>
    <w:rsid w:val="002E333A"/>
    <w:rsid w:val="002E3474"/>
    <w:rsid w:val="002E3CB8"/>
    <w:rsid w:val="002E400C"/>
    <w:rsid w:val="002E49C3"/>
    <w:rsid w:val="002E5114"/>
    <w:rsid w:val="002E5988"/>
    <w:rsid w:val="002E65E6"/>
    <w:rsid w:val="002E7072"/>
    <w:rsid w:val="002E7570"/>
    <w:rsid w:val="002E764B"/>
    <w:rsid w:val="002F0D6A"/>
    <w:rsid w:val="002F0E28"/>
    <w:rsid w:val="002F287E"/>
    <w:rsid w:val="002F2981"/>
    <w:rsid w:val="002F2D63"/>
    <w:rsid w:val="002F5DE5"/>
    <w:rsid w:val="002F6AD8"/>
    <w:rsid w:val="002F7F81"/>
    <w:rsid w:val="00300A36"/>
    <w:rsid w:val="00301B45"/>
    <w:rsid w:val="0030465E"/>
    <w:rsid w:val="00305856"/>
    <w:rsid w:val="0030678B"/>
    <w:rsid w:val="00306D16"/>
    <w:rsid w:val="00307595"/>
    <w:rsid w:val="00310CD7"/>
    <w:rsid w:val="0031336C"/>
    <w:rsid w:val="00313D7A"/>
    <w:rsid w:val="0032136A"/>
    <w:rsid w:val="00323624"/>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980"/>
    <w:rsid w:val="00341A54"/>
    <w:rsid w:val="00344A4F"/>
    <w:rsid w:val="00344D17"/>
    <w:rsid w:val="0034669F"/>
    <w:rsid w:val="00351498"/>
    <w:rsid w:val="00352B22"/>
    <w:rsid w:val="00352CBF"/>
    <w:rsid w:val="00354547"/>
    <w:rsid w:val="003549F5"/>
    <w:rsid w:val="003567DE"/>
    <w:rsid w:val="003574F3"/>
    <w:rsid w:val="00357831"/>
    <w:rsid w:val="003604A5"/>
    <w:rsid w:val="0036067F"/>
    <w:rsid w:val="0036217E"/>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2F7"/>
    <w:rsid w:val="00376B81"/>
    <w:rsid w:val="00376E08"/>
    <w:rsid w:val="00377BD2"/>
    <w:rsid w:val="00380FD4"/>
    <w:rsid w:val="00381185"/>
    <w:rsid w:val="00381502"/>
    <w:rsid w:val="00381A2D"/>
    <w:rsid w:val="00381E16"/>
    <w:rsid w:val="003821E1"/>
    <w:rsid w:val="00383369"/>
    <w:rsid w:val="003840F6"/>
    <w:rsid w:val="00384866"/>
    <w:rsid w:val="003857D4"/>
    <w:rsid w:val="00385D6F"/>
    <w:rsid w:val="00386D43"/>
    <w:rsid w:val="00387095"/>
    <w:rsid w:val="00387E95"/>
    <w:rsid w:val="00390092"/>
    <w:rsid w:val="00391858"/>
    <w:rsid w:val="00393651"/>
    <w:rsid w:val="00394926"/>
    <w:rsid w:val="00394FF9"/>
    <w:rsid w:val="00395344"/>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1FF"/>
    <w:rsid w:val="003B3A77"/>
    <w:rsid w:val="003B4319"/>
    <w:rsid w:val="003B5854"/>
    <w:rsid w:val="003B6764"/>
    <w:rsid w:val="003B7A8B"/>
    <w:rsid w:val="003C294B"/>
    <w:rsid w:val="003C5046"/>
    <w:rsid w:val="003C6068"/>
    <w:rsid w:val="003C7AEC"/>
    <w:rsid w:val="003D2BA3"/>
    <w:rsid w:val="003D316B"/>
    <w:rsid w:val="003D3C22"/>
    <w:rsid w:val="003D4B60"/>
    <w:rsid w:val="003D56A0"/>
    <w:rsid w:val="003D69F5"/>
    <w:rsid w:val="003D7089"/>
    <w:rsid w:val="003D7DDB"/>
    <w:rsid w:val="003E024F"/>
    <w:rsid w:val="003E02C7"/>
    <w:rsid w:val="003E0543"/>
    <w:rsid w:val="003E061D"/>
    <w:rsid w:val="003E0B5A"/>
    <w:rsid w:val="003E1682"/>
    <w:rsid w:val="003E31E3"/>
    <w:rsid w:val="003E3E93"/>
    <w:rsid w:val="003E46D1"/>
    <w:rsid w:val="003E59E8"/>
    <w:rsid w:val="003E6214"/>
    <w:rsid w:val="003F070E"/>
    <w:rsid w:val="003F1206"/>
    <w:rsid w:val="003F28DB"/>
    <w:rsid w:val="003F2EEE"/>
    <w:rsid w:val="003F4D56"/>
    <w:rsid w:val="003F58B0"/>
    <w:rsid w:val="003F776F"/>
    <w:rsid w:val="004007E9"/>
    <w:rsid w:val="00400810"/>
    <w:rsid w:val="00401825"/>
    <w:rsid w:val="00401BBC"/>
    <w:rsid w:val="004038A4"/>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413A"/>
    <w:rsid w:val="004761CC"/>
    <w:rsid w:val="004766C9"/>
    <w:rsid w:val="004776DD"/>
    <w:rsid w:val="00480106"/>
    <w:rsid w:val="00480D4A"/>
    <w:rsid w:val="00481DA1"/>
    <w:rsid w:val="004833D6"/>
    <w:rsid w:val="00483A2B"/>
    <w:rsid w:val="00484212"/>
    <w:rsid w:val="00484BA9"/>
    <w:rsid w:val="0048599A"/>
    <w:rsid w:val="00486818"/>
    <w:rsid w:val="0049255F"/>
    <w:rsid w:val="00494235"/>
    <w:rsid w:val="0049445D"/>
    <w:rsid w:val="00495350"/>
    <w:rsid w:val="004954E3"/>
    <w:rsid w:val="00495E3C"/>
    <w:rsid w:val="00497156"/>
    <w:rsid w:val="004A0C79"/>
    <w:rsid w:val="004A24D2"/>
    <w:rsid w:val="004A3214"/>
    <w:rsid w:val="004A4136"/>
    <w:rsid w:val="004A417B"/>
    <w:rsid w:val="004A4378"/>
    <w:rsid w:val="004A5A13"/>
    <w:rsid w:val="004A712D"/>
    <w:rsid w:val="004B03F3"/>
    <w:rsid w:val="004B0CC9"/>
    <w:rsid w:val="004B1844"/>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A89"/>
    <w:rsid w:val="00503DDF"/>
    <w:rsid w:val="005047CB"/>
    <w:rsid w:val="00505524"/>
    <w:rsid w:val="00505797"/>
    <w:rsid w:val="00506688"/>
    <w:rsid w:val="00510588"/>
    <w:rsid w:val="005109DC"/>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6C70"/>
    <w:rsid w:val="00527178"/>
    <w:rsid w:val="00527701"/>
    <w:rsid w:val="005278CB"/>
    <w:rsid w:val="00534D42"/>
    <w:rsid w:val="005350A5"/>
    <w:rsid w:val="00536379"/>
    <w:rsid w:val="00536C82"/>
    <w:rsid w:val="00537238"/>
    <w:rsid w:val="005400C5"/>
    <w:rsid w:val="005404CD"/>
    <w:rsid w:val="00540BE0"/>
    <w:rsid w:val="00540BEF"/>
    <w:rsid w:val="00542C9A"/>
    <w:rsid w:val="0054301D"/>
    <w:rsid w:val="005436C2"/>
    <w:rsid w:val="0054412B"/>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2C7E"/>
    <w:rsid w:val="00563FAD"/>
    <w:rsid w:val="005701C1"/>
    <w:rsid w:val="005703BF"/>
    <w:rsid w:val="00570754"/>
    <w:rsid w:val="005709F7"/>
    <w:rsid w:val="005710A9"/>
    <w:rsid w:val="00571B11"/>
    <w:rsid w:val="00571D1B"/>
    <w:rsid w:val="00571DA3"/>
    <w:rsid w:val="005738F5"/>
    <w:rsid w:val="00573D34"/>
    <w:rsid w:val="00575963"/>
    <w:rsid w:val="00575EBE"/>
    <w:rsid w:val="0057701D"/>
    <w:rsid w:val="0058039C"/>
    <w:rsid w:val="00580A63"/>
    <w:rsid w:val="00583379"/>
    <w:rsid w:val="0058417C"/>
    <w:rsid w:val="00586995"/>
    <w:rsid w:val="00586EC6"/>
    <w:rsid w:val="00587DDE"/>
    <w:rsid w:val="005916E3"/>
    <w:rsid w:val="00593043"/>
    <w:rsid w:val="00595B60"/>
    <w:rsid w:val="00595BF0"/>
    <w:rsid w:val="00597E16"/>
    <w:rsid w:val="005A0B1D"/>
    <w:rsid w:val="005A1846"/>
    <w:rsid w:val="005A258C"/>
    <w:rsid w:val="005A2708"/>
    <w:rsid w:val="005A3560"/>
    <w:rsid w:val="005A42DD"/>
    <w:rsid w:val="005A464E"/>
    <w:rsid w:val="005A62FC"/>
    <w:rsid w:val="005A6C99"/>
    <w:rsid w:val="005A7D5D"/>
    <w:rsid w:val="005B0040"/>
    <w:rsid w:val="005B011A"/>
    <w:rsid w:val="005B0283"/>
    <w:rsid w:val="005B1ADA"/>
    <w:rsid w:val="005B1D8F"/>
    <w:rsid w:val="005B1E94"/>
    <w:rsid w:val="005B1E9D"/>
    <w:rsid w:val="005B5B3D"/>
    <w:rsid w:val="005B64CF"/>
    <w:rsid w:val="005C0E87"/>
    <w:rsid w:val="005C16F3"/>
    <w:rsid w:val="005C3758"/>
    <w:rsid w:val="005C4D72"/>
    <w:rsid w:val="005C50C1"/>
    <w:rsid w:val="005C62C2"/>
    <w:rsid w:val="005D13CE"/>
    <w:rsid w:val="005D2306"/>
    <w:rsid w:val="005D4A74"/>
    <w:rsid w:val="005D517C"/>
    <w:rsid w:val="005D5E91"/>
    <w:rsid w:val="005D67EF"/>
    <w:rsid w:val="005E02DC"/>
    <w:rsid w:val="005E0B73"/>
    <w:rsid w:val="005E3064"/>
    <w:rsid w:val="005E43C5"/>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0E9"/>
    <w:rsid w:val="00640622"/>
    <w:rsid w:val="006418C9"/>
    <w:rsid w:val="00642BD6"/>
    <w:rsid w:val="006444C3"/>
    <w:rsid w:val="00645046"/>
    <w:rsid w:val="0064527A"/>
    <w:rsid w:val="006458FD"/>
    <w:rsid w:val="00645EA2"/>
    <w:rsid w:val="00651E6D"/>
    <w:rsid w:val="00653D2D"/>
    <w:rsid w:val="00653F43"/>
    <w:rsid w:val="006555E7"/>
    <w:rsid w:val="00655C96"/>
    <w:rsid w:val="006560B6"/>
    <w:rsid w:val="006573F2"/>
    <w:rsid w:val="00662AD0"/>
    <w:rsid w:val="00662F08"/>
    <w:rsid w:val="00663589"/>
    <w:rsid w:val="006647FA"/>
    <w:rsid w:val="006648A9"/>
    <w:rsid w:val="006649CD"/>
    <w:rsid w:val="00665D75"/>
    <w:rsid w:val="006708E3"/>
    <w:rsid w:val="00670DDC"/>
    <w:rsid w:val="00671389"/>
    <w:rsid w:val="00671EB4"/>
    <w:rsid w:val="0067246C"/>
    <w:rsid w:val="00673CDC"/>
    <w:rsid w:val="0067443B"/>
    <w:rsid w:val="00675FBA"/>
    <w:rsid w:val="006770AA"/>
    <w:rsid w:val="00682486"/>
    <w:rsid w:val="00684CE6"/>
    <w:rsid w:val="00684E2B"/>
    <w:rsid w:val="0068688B"/>
    <w:rsid w:val="00687C7E"/>
    <w:rsid w:val="00690172"/>
    <w:rsid w:val="00690569"/>
    <w:rsid w:val="00690FDA"/>
    <w:rsid w:val="00691E61"/>
    <w:rsid w:val="006937C6"/>
    <w:rsid w:val="00693C5E"/>
    <w:rsid w:val="00693CEE"/>
    <w:rsid w:val="00694EEA"/>
    <w:rsid w:val="006955B4"/>
    <w:rsid w:val="00695DEF"/>
    <w:rsid w:val="00696476"/>
    <w:rsid w:val="00696C74"/>
    <w:rsid w:val="006A10FA"/>
    <w:rsid w:val="006A17F4"/>
    <w:rsid w:val="006A200E"/>
    <w:rsid w:val="006A40E6"/>
    <w:rsid w:val="006A516B"/>
    <w:rsid w:val="006A5362"/>
    <w:rsid w:val="006A543A"/>
    <w:rsid w:val="006A5C07"/>
    <w:rsid w:val="006A75FA"/>
    <w:rsid w:val="006B07D5"/>
    <w:rsid w:val="006B1309"/>
    <w:rsid w:val="006B1C2A"/>
    <w:rsid w:val="006B31E6"/>
    <w:rsid w:val="006B3923"/>
    <w:rsid w:val="006B3F3E"/>
    <w:rsid w:val="006B4AA2"/>
    <w:rsid w:val="006B53C4"/>
    <w:rsid w:val="006B586B"/>
    <w:rsid w:val="006B5923"/>
    <w:rsid w:val="006B631E"/>
    <w:rsid w:val="006B67D9"/>
    <w:rsid w:val="006B6C14"/>
    <w:rsid w:val="006B715E"/>
    <w:rsid w:val="006C1D6E"/>
    <w:rsid w:val="006C2EF6"/>
    <w:rsid w:val="006C3A68"/>
    <w:rsid w:val="006C3B08"/>
    <w:rsid w:val="006C6AB1"/>
    <w:rsid w:val="006C6E6B"/>
    <w:rsid w:val="006D0EB1"/>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1E43"/>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6A74"/>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455"/>
    <w:rsid w:val="00743B71"/>
    <w:rsid w:val="00743C2D"/>
    <w:rsid w:val="00743E36"/>
    <w:rsid w:val="00743F05"/>
    <w:rsid w:val="007441C1"/>
    <w:rsid w:val="007446F7"/>
    <w:rsid w:val="00744EBB"/>
    <w:rsid w:val="00745B0A"/>
    <w:rsid w:val="00745DBE"/>
    <w:rsid w:val="007468AC"/>
    <w:rsid w:val="00746AE2"/>
    <w:rsid w:val="007501B4"/>
    <w:rsid w:val="00750C82"/>
    <w:rsid w:val="00750E3A"/>
    <w:rsid w:val="00752035"/>
    <w:rsid w:val="0076100C"/>
    <w:rsid w:val="007612A5"/>
    <w:rsid w:val="0076296B"/>
    <w:rsid w:val="00763CAE"/>
    <w:rsid w:val="00763F95"/>
    <w:rsid w:val="007651ED"/>
    <w:rsid w:val="00765482"/>
    <w:rsid w:val="00766C87"/>
    <w:rsid w:val="00771043"/>
    <w:rsid w:val="00773AF7"/>
    <w:rsid w:val="00774FFD"/>
    <w:rsid w:val="00775E95"/>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3CF7"/>
    <w:rsid w:val="00794ADE"/>
    <w:rsid w:val="00794F3D"/>
    <w:rsid w:val="00795CE9"/>
    <w:rsid w:val="00796045"/>
    <w:rsid w:val="007968AC"/>
    <w:rsid w:val="007969AB"/>
    <w:rsid w:val="007973D8"/>
    <w:rsid w:val="00797801"/>
    <w:rsid w:val="007A07B7"/>
    <w:rsid w:val="007A0B39"/>
    <w:rsid w:val="007A14A4"/>
    <w:rsid w:val="007A168F"/>
    <w:rsid w:val="007A2346"/>
    <w:rsid w:val="007A241A"/>
    <w:rsid w:val="007A28E4"/>
    <w:rsid w:val="007A2FF1"/>
    <w:rsid w:val="007A3BB3"/>
    <w:rsid w:val="007A3F91"/>
    <w:rsid w:val="007A5AD1"/>
    <w:rsid w:val="007A5B7B"/>
    <w:rsid w:val="007A65A9"/>
    <w:rsid w:val="007B0128"/>
    <w:rsid w:val="007B0A06"/>
    <w:rsid w:val="007B0B24"/>
    <w:rsid w:val="007B1C83"/>
    <w:rsid w:val="007B222A"/>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3CC9"/>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A26"/>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3934"/>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290"/>
    <w:rsid w:val="00883930"/>
    <w:rsid w:val="00884535"/>
    <w:rsid w:val="008866E1"/>
    <w:rsid w:val="00886857"/>
    <w:rsid w:val="008902BE"/>
    <w:rsid w:val="0089038F"/>
    <w:rsid w:val="00890CDA"/>
    <w:rsid w:val="00891BBA"/>
    <w:rsid w:val="00892079"/>
    <w:rsid w:val="00892A04"/>
    <w:rsid w:val="00892B90"/>
    <w:rsid w:val="00896535"/>
    <w:rsid w:val="00896683"/>
    <w:rsid w:val="00896E71"/>
    <w:rsid w:val="0089750B"/>
    <w:rsid w:val="00897589"/>
    <w:rsid w:val="008A0D4F"/>
    <w:rsid w:val="008A1309"/>
    <w:rsid w:val="008A39D7"/>
    <w:rsid w:val="008A55DE"/>
    <w:rsid w:val="008A5C34"/>
    <w:rsid w:val="008A5F32"/>
    <w:rsid w:val="008A63A9"/>
    <w:rsid w:val="008A7073"/>
    <w:rsid w:val="008A79F0"/>
    <w:rsid w:val="008A7F7E"/>
    <w:rsid w:val="008B04DB"/>
    <w:rsid w:val="008B09B4"/>
    <w:rsid w:val="008B1DF4"/>
    <w:rsid w:val="008B27FD"/>
    <w:rsid w:val="008B2FDB"/>
    <w:rsid w:val="008B3AF2"/>
    <w:rsid w:val="008B446D"/>
    <w:rsid w:val="008B515D"/>
    <w:rsid w:val="008B5D31"/>
    <w:rsid w:val="008B5D3C"/>
    <w:rsid w:val="008B6705"/>
    <w:rsid w:val="008C22F3"/>
    <w:rsid w:val="008C35BA"/>
    <w:rsid w:val="008C3FD0"/>
    <w:rsid w:val="008C4F01"/>
    <w:rsid w:val="008D1484"/>
    <w:rsid w:val="008D29E7"/>
    <w:rsid w:val="008D5104"/>
    <w:rsid w:val="008D75F4"/>
    <w:rsid w:val="008D795D"/>
    <w:rsid w:val="008D7B07"/>
    <w:rsid w:val="008E0D8F"/>
    <w:rsid w:val="008E0F4E"/>
    <w:rsid w:val="008E1E94"/>
    <w:rsid w:val="008E2A25"/>
    <w:rsid w:val="008E2D99"/>
    <w:rsid w:val="008E30D4"/>
    <w:rsid w:val="008E38B0"/>
    <w:rsid w:val="008E4A60"/>
    <w:rsid w:val="008E603C"/>
    <w:rsid w:val="008E744D"/>
    <w:rsid w:val="008F1E08"/>
    <w:rsid w:val="008F3C7D"/>
    <w:rsid w:val="008F6FC8"/>
    <w:rsid w:val="0090045D"/>
    <w:rsid w:val="00900802"/>
    <w:rsid w:val="00900D8F"/>
    <w:rsid w:val="00900DF2"/>
    <w:rsid w:val="009014E3"/>
    <w:rsid w:val="009020ED"/>
    <w:rsid w:val="009026E8"/>
    <w:rsid w:val="00902FDD"/>
    <w:rsid w:val="00904337"/>
    <w:rsid w:val="00905EEF"/>
    <w:rsid w:val="00906EB7"/>
    <w:rsid w:val="009102BF"/>
    <w:rsid w:val="00911490"/>
    <w:rsid w:val="009115F2"/>
    <w:rsid w:val="00911B11"/>
    <w:rsid w:val="00914ADB"/>
    <w:rsid w:val="00917182"/>
    <w:rsid w:val="009212C2"/>
    <w:rsid w:val="0092345E"/>
    <w:rsid w:val="00923B25"/>
    <w:rsid w:val="0092402E"/>
    <w:rsid w:val="009259BA"/>
    <w:rsid w:val="00926FCB"/>
    <w:rsid w:val="009303BB"/>
    <w:rsid w:val="0093108A"/>
    <w:rsid w:val="0093311A"/>
    <w:rsid w:val="009346D0"/>
    <w:rsid w:val="00935221"/>
    <w:rsid w:val="00941041"/>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48"/>
    <w:rsid w:val="009759C2"/>
    <w:rsid w:val="00975C72"/>
    <w:rsid w:val="00976869"/>
    <w:rsid w:val="00976BBC"/>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3B3D"/>
    <w:rsid w:val="009A49D3"/>
    <w:rsid w:val="009A4F1B"/>
    <w:rsid w:val="009A540F"/>
    <w:rsid w:val="009A588A"/>
    <w:rsid w:val="009A645B"/>
    <w:rsid w:val="009A66C5"/>
    <w:rsid w:val="009A66E7"/>
    <w:rsid w:val="009A79BA"/>
    <w:rsid w:val="009B14D1"/>
    <w:rsid w:val="009B1534"/>
    <w:rsid w:val="009B4963"/>
    <w:rsid w:val="009B4A3B"/>
    <w:rsid w:val="009B68F7"/>
    <w:rsid w:val="009B69D3"/>
    <w:rsid w:val="009B7BA7"/>
    <w:rsid w:val="009B7C01"/>
    <w:rsid w:val="009C0938"/>
    <w:rsid w:val="009C0C22"/>
    <w:rsid w:val="009C15D9"/>
    <w:rsid w:val="009C22C8"/>
    <w:rsid w:val="009C3A12"/>
    <w:rsid w:val="009C3F82"/>
    <w:rsid w:val="009C57A4"/>
    <w:rsid w:val="009C582A"/>
    <w:rsid w:val="009C5C56"/>
    <w:rsid w:val="009C72DD"/>
    <w:rsid w:val="009C78FD"/>
    <w:rsid w:val="009C7DF5"/>
    <w:rsid w:val="009D056C"/>
    <w:rsid w:val="009D060F"/>
    <w:rsid w:val="009D1ADE"/>
    <w:rsid w:val="009D3652"/>
    <w:rsid w:val="009D37CA"/>
    <w:rsid w:val="009D4229"/>
    <w:rsid w:val="009D4268"/>
    <w:rsid w:val="009D7051"/>
    <w:rsid w:val="009E09D0"/>
    <w:rsid w:val="009E1283"/>
    <w:rsid w:val="009E3A7F"/>
    <w:rsid w:val="009E3FE0"/>
    <w:rsid w:val="009E4C9B"/>
    <w:rsid w:val="009E4DFC"/>
    <w:rsid w:val="009E5789"/>
    <w:rsid w:val="009E57B1"/>
    <w:rsid w:val="009E6379"/>
    <w:rsid w:val="009F020F"/>
    <w:rsid w:val="009F3B63"/>
    <w:rsid w:val="009F43E2"/>
    <w:rsid w:val="009F6292"/>
    <w:rsid w:val="009F7809"/>
    <w:rsid w:val="009F7AF5"/>
    <w:rsid w:val="009F7E59"/>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205"/>
    <w:rsid w:val="00A40FFB"/>
    <w:rsid w:val="00A41468"/>
    <w:rsid w:val="00A414A9"/>
    <w:rsid w:val="00A41DA8"/>
    <w:rsid w:val="00A43862"/>
    <w:rsid w:val="00A44141"/>
    <w:rsid w:val="00A44B46"/>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80"/>
    <w:rsid w:val="00A838E8"/>
    <w:rsid w:val="00A83C15"/>
    <w:rsid w:val="00A84CA9"/>
    <w:rsid w:val="00A84EC4"/>
    <w:rsid w:val="00A86CB6"/>
    <w:rsid w:val="00A90D55"/>
    <w:rsid w:val="00A911D7"/>
    <w:rsid w:val="00A93590"/>
    <w:rsid w:val="00A944D8"/>
    <w:rsid w:val="00A959E7"/>
    <w:rsid w:val="00A95BBA"/>
    <w:rsid w:val="00A961EE"/>
    <w:rsid w:val="00AA04B3"/>
    <w:rsid w:val="00AA1253"/>
    <w:rsid w:val="00AA1ED0"/>
    <w:rsid w:val="00AA1F5B"/>
    <w:rsid w:val="00AA28EF"/>
    <w:rsid w:val="00AA3593"/>
    <w:rsid w:val="00AA38CA"/>
    <w:rsid w:val="00AA394F"/>
    <w:rsid w:val="00AA493E"/>
    <w:rsid w:val="00AA5FD9"/>
    <w:rsid w:val="00AA73AF"/>
    <w:rsid w:val="00AB0A8A"/>
    <w:rsid w:val="00AB1754"/>
    <w:rsid w:val="00AB1F8D"/>
    <w:rsid w:val="00AB27DD"/>
    <w:rsid w:val="00AB592E"/>
    <w:rsid w:val="00AC314D"/>
    <w:rsid w:val="00AC37BE"/>
    <w:rsid w:val="00AC439D"/>
    <w:rsid w:val="00AC62CC"/>
    <w:rsid w:val="00AC713F"/>
    <w:rsid w:val="00AC7329"/>
    <w:rsid w:val="00AC7D96"/>
    <w:rsid w:val="00AD00E4"/>
    <w:rsid w:val="00AD067E"/>
    <w:rsid w:val="00AD168B"/>
    <w:rsid w:val="00AD1B4E"/>
    <w:rsid w:val="00AD2801"/>
    <w:rsid w:val="00AD3496"/>
    <w:rsid w:val="00AD482A"/>
    <w:rsid w:val="00AD49A1"/>
    <w:rsid w:val="00AD5771"/>
    <w:rsid w:val="00AD6870"/>
    <w:rsid w:val="00AD68C5"/>
    <w:rsid w:val="00AD6A80"/>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29A7"/>
    <w:rsid w:val="00AF4FA5"/>
    <w:rsid w:val="00AF6ECC"/>
    <w:rsid w:val="00B00A49"/>
    <w:rsid w:val="00B022DC"/>
    <w:rsid w:val="00B04562"/>
    <w:rsid w:val="00B0472F"/>
    <w:rsid w:val="00B06930"/>
    <w:rsid w:val="00B0773A"/>
    <w:rsid w:val="00B07955"/>
    <w:rsid w:val="00B1176B"/>
    <w:rsid w:val="00B11AF6"/>
    <w:rsid w:val="00B140B8"/>
    <w:rsid w:val="00B14FAA"/>
    <w:rsid w:val="00B15BED"/>
    <w:rsid w:val="00B15D30"/>
    <w:rsid w:val="00B16D18"/>
    <w:rsid w:val="00B177DE"/>
    <w:rsid w:val="00B20624"/>
    <w:rsid w:val="00B23436"/>
    <w:rsid w:val="00B237F1"/>
    <w:rsid w:val="00B23F10"/>
    <w:rsid w:val="00B24328"/>
    <w:rsid w:val="00B24ED4"/>
    <w:rsid w:val="00B24F22"/>
    <w:rsid w:val="00B24F33"/>
    <w:rsid w:val="00B26354"/>
    <w:rsid w:val="00B26CA0"/>
    <w:rsid w:val="00B31965"/>
    <w:rsid w:val="00B32179"/>
    <w:rsid w:val="00B32341"/>
    <w:rsid w:val="00B32C2B"/>
    <w:rsid w:val="00B33007"/>
    <w:rsid w:val="00B331A9"/>
    <w:rsid w:val="00B3322C"/>
    <w:rsid w:val="00B33498"/>
    <w:rsid w:val="00B33598"/>
    <w:rsid w:val="00B36569"/>
    <w:rsid w:val="00B37345"/>
    <w:rsid w:val="00B37F53"/>
    <w:rsid w:val="00B40A05"/>
    <w:rsid w:val="00B40A3E"/>
    <w:rsid w:val="00B416F2"/>
    <w:rsid w:val="00B427BB"/>
    <w:rsid w:val="00B43BA2"/>
    <w:rsid w:val="00B449EE"/>
    <w:rsid w:val="00B4547A"/>
    <w:rsid w:val="00B454AE"/>
    <w:rsid w:val="00B45B21"/>
    <w:rsid w:val="00B50227"/>
    <w:rsid w:val="00B50510"/>
    <w:rsid w:val="00B522CD"/>
    <w:rsid w:val="00B55143"/>
    <w:rsid w:val="00B555C8"/>
    <w:rsid w:val="00B55917"/>
    <w:rsid w:val="00B5646A"/>
    <w:rsid w:val="00B56F3D"/>
    <w:rsid w:val="00B57921"/>
    <w:rsid w:val="00B57E78"/>
    <w:rsid w:val="00B57EB8"/>
    <w:rsid w:val="00B609F6"/>
    <w:rsid w:val="00B60E75"/>
    <w:rsid w:val="00B63698"/>
    <w:rsid w:val="00B643A6"/>
    <w:rsid w:val="00B64DD6"/>
    <w:rsid w:val="00B66505"/>
    <w:rsid w:val="00B6710C"/>
    <w:rsid w:val="00B67974"/>
    <w:rsid w:val="00B67E84"/>
    <w:rsid w:val="00B7097E"/>
    <w:rsid w:val="00B71486"/>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CC0"/>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0F0C"/>
    <w:rsid w:val="00BB133C"/>
    <w:rsid w:val="00BB1F04"/>
    <w:rsid w:val="00BB39AC"/>
    <w:rsid w:val="00BB45B5"/>
    <w:rsid w:val="00BB46FC"/>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A2"/>
    <w:rsid w:val="00BE2AB8"/>
    <w:rsid w:val="00BE2FC1"/>
    <w:rsid w:val="00BE3142"/>
    <w:rsid w:val="00BE4039"/>
    <w:rsid w:val="00BE6365"/>
    <w:rsid w:val="00BF01B7"/>
    <w:rsid w:val="00BF0B7F"/>
    <w:rsid w:val="00BF2988"/>
    <w:rsid w:val="00BF4720"/>
    <w:rsid w:val="00BF490C"/>
    <w:rsid w:val="00BF4F49"/>
    <w:rsid w:val="00BF6759"/>
    <w:rsid w:val="00BF70A6"/>
    <w:rsid w:val="00BF7B4F"/>
    <w:rsid w:val="00BF7B63"/>
    <w:rsid w:val="00C0359D"/>
    <w:rsid w:val="00C038EC"/>
    <w:rsid w:val="00C05C6D"/>
    <w:rsid w:val="00C06BF4"/>
    <w:rsid w:val="00C072D7"/>
    <w:rsid w:val="00C104DB"/>
    <w:rsid w:val="00C10F5B"/>
    <w:rsid w:val="00C1122B"/>
    <w:rsid w:val="00C123F8"/>
    <w:rsid w:val="00C127F2"/>
    <w:rsid w:val="00C138DE"/>
    <w:rsid w:val="00C13B34"/>
    <w:rsid w:val="00C13F26"/>
    <w:rsid w:val="00C1474E"/>
    <w:rsid w:val="00C14C37"/>
    <w:rsid w:val="00C157AA"/>
    <w:rsid w:val="00C162E1"/>
    <w:rsid w:val="00C16BE4"/>
    <w:rsid w:val="00C16E9F"/>
    <w:rsid w:val="00C1713D"/>
    <w:rsid w:val="00C17523"/>
    <w:rsid w:val="00C175E1"/>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C22"/>
    <w:rsid w:val="00C31DDC"/>
    <w:rsid w:val="00C3223A"/>
    <w:rsid w:val="00C34168"/>
    <w:rsid w:val="00C34326"/>
    <w:rsid w:val="00C34CEB"/>
    <w:rsid w:val="00C36201"/>
    <w:rsid w:val="00C368E8"/>
    <w:rsid w:val="00C36C3D"/>
    <w:rsid w:val="00C372C7"/>
    <w:rsid w:val="00C40FAD"/>
    <w:rsid w:val="00C42443"/>
    <w:rsid w:val="00C42CBA"/>
    <w:rsid w:val="00C4338C"/>
    <w:rsid w:val="00C43928"/>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2DD"/>
    <w:rsid w:val="00C665FE"/>
    <w:rsid w:val="00C71BEC"/>
    <w:rsid w:val="00C74977"/>
    <w:rsid w:val="00C74D3A"/>
    <w:rsid w:val="00C74E0C"/>
    <w:rsid w:val="00C75F3D"/>
    <w:rsid w:val="00C769FB"/>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A7635"/>
    <w:rsid w:val="00CB1B18"/>
    <w:rsid w:val="00CB20DC"/>
    <w:rsid w:val="00CB23DC"/>
    <w:rsid w:val="00CB2487"/>
    <w:rsid w:val="00CB28E2"/>
    <w:rsid w:val="00CB2F20"/>
    <w:rsid w:val="00CB47E2"/>
    <w:rsid w:val="00CB758D"/>
    <w:rsid w:val="00CB7A3E"/>
    <w:rsid w:val="00CB7FF7"/>
    <w:rsid w:val="00CC0D0E"/>
    <w:rsid w:val="00CC1253"/>
    <w:rsid w:val="00CC19B3"/>
    <w:rsid w:val="00CC2044"/>
    <w:rsid w:val="00CC39D2"/>
    <w:rsid w:val="00CC420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2035"/>
    <w:rsid w:val="00CE3722"/>
    <w:rsid w:val="00CF158D"/>
    <w:rsid w:val="00CF193B"/>
    <w:rsid w:val="00CF2166"/>
    <w:rsid w:val="00CF4340"/>
    <w:rsid w:val="00CF4394"/>
    <w:rsid w:val="00CF48B4"/>
    <w:rsid w:val="00D00070"/>
    <w:rsid w:val="00D000A9"/>
    <w:rsid w:val="00D00384"/>
    <w:rsid w:val="00D005DB"/>
    <w:rsid w:val="00D0064E"/>
    <w:rsid w:val="00D00981"/>
    <w:rsid w:val="00D02590"/>
    <w:rsid w:val="00D02596"/>
    <w:rsid w:val="00D0280D"/>
    <w:rsid w:val="00D02AEF"/>
    <w:rsid w:val="00D04762"/>
    <w:rsid w:val="00D05669"/>
    <w:rsid w:val="00D061EB"/>
    <w:rsid w:val="00D06952"/>
    <w:rsid w:val="00D07A72"/>
    <w:rsid w:val="00D10577"/>
    <w:rsid w:val="00D12405"/>
    <w:rsid w:val="00D12A4E"/>
    <w:rsid w:val="00D1323B"/>
    <w:rsid w:val="00D14BAE"/>
    <w:rsid w:val="00D1648B"/>
    <w:rsid w:val="00D16819"/>
    <w:rsid w:val="00D17DD9"/>
    <w:rsid w:val="00D20AC0"/>
    <w:rsid w:val="00D2115E"/>
    <w:rsid w:val="00D2321B"/>
    <w:rsid w:val="00D23350"/>
    <w:rsid w:val="00D237E7"/>
    <w:rsid w:val="00D23DE4"/>
    <w:rsid w:val="00D25A5C"/>
    <w:rsid w:val="00D267E2"/>
    <w:rsid w:val="00D26873"/>
    <w:rsid w:val="00D26CEA"/>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3FEE"/>
    <w:rsid w:val="00D54BE4"/>
    <w:rsid w:val="00D54DDB"/>
    <w:rsid w:val="00D554BC"/>
    <w:rsid w:val="00D560DC"/>
    <w:rsid w:val="00D56602"/>
    <w:rsid w:val="00D60483"/>
    <w:rsid w:val="00D61ABB"/>
    <w:rsid w:val="00D62D5C"/>
    <w:rsid w:val="00D63577"/>
    <w:rsid w:val="00D64AD7"/>
    <w:rsid w:val="00D67FD7"/>
    <w:rsid w:val="00D72410"/>
    <w:rsid w:val="00D73D53"/>
    <w:rsid w:val="00D7408A"/>
    <w:rsid w:val="00D74261"/>
    <w:rsid w:val="00D7441B"/>
    <w:rsid w:val="00D75589"/>
    <w:rsid w:val="00D76AB2"/>
    <w:rsid w:val="00D802AD"/>
    <w:rsid w:val="00D80490"/>
    <w:rsid w:val="00D829AD"/>
    <w:rsid w:val="00D82EE2"/>
    <w:rsid w:val="00D83D1B"/>
    <w:rsid w:val="00D84133"/>
    <w:rsid w:val="00D8545C"/>
    <w:rsid w:val="00D86E57"/>
    <w:rsid w:val="00D875EC"/>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9BA"/>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5BBE"/>
    <w:rsid w:val="00DB626D"/>
    <w:rsid w:val="00DB6365"/>
    <w:rsid w:val="00DB7361"/>
    <w:rsid w:val="00DB74B2"/>
    <w:rsid w:val="00DC07B7"/>
    <w:rsid w:val="00DC0BF1"/>
    <w:rsid w:val="00DC17F2"/>
    <w:rsid w:val="00DC2A92"/>
    <w:rsid w:val="00DC3C35"/>
    <w:rsid w:val="00DC41C3"/>
    <w:rsid w:val="00DC4A3C"/>
    <w:rsid w:val="00DC4FA4"/>
    <w:rsid w:val="00DC5B37"/>
    <w:rsid w:val="00DD286D"/>
    <w:rsid w:val="00DD2CAF"/>
    <w:rsid w:val="00DD2F41"/>
    <w:rsid w:val="00DD3593"/>
    <w:rsid w:val="00DD64E0"/>
    <w:rsid w:val="00DD7BE0"/>
    <w:rsid w:val="00DD7FD5"/>
    <w:rsid w:val="00DE0C67"/>
    <w:rsid w:val="00DE3AAD"/>
    <w:rsid w:val="00DE598A"/>
    <w:rsid w:val="00DE6952"/>
    <w:rsid w:val="00DE7E74"/>
    <w:rsid w:val="00DF071B"/>
    <w:rsid w:val="00DF5C84"/>
    <w:rsid w:val="00DF6EF8"/>
    <w:rsid w:val="00E00A69"/>
    <w:rsid w:val="00E0116F"/>
    <w:rsid w:val="00E017BC"/>
    <w:rsid w:val="00E017F0"/>
    <w:rsid w:val="00E01A0E"/>
    <w:rsid w:val="00E02DA8"/>
    <w:rsid w:val="00E0346A"/>
    <w:rsid w:val="00E041E4"/>
    <w:rsid w:val="00E04AEE"/>
    <w:rsid w:val="00E070E1"/>
    <w:rsid w:val="00E1012B"/>
    <w:rsid w:val="00E103C8"/>
    <w:rsid w:val="00E1085B"/>
    <w:rsid w:val="00E1308B"/>
    <w:rsid w:val="00E14581"/>
    <w:rsid w:val="00E14623"/>
    <w:rsid w:val="00E15539"/>
    <w:rsid w:val="00E16541"/>
    <w:rsid w:val="00E17EC9"/>
    <w:rsid w:val="00E202F4"/>
    <w:rsid w:val="00E207C3"/>
    <w:rsid w:val="00E21386"/>
    <w:rsid w:val="00E23728"/>
    <w:rsid w:val="00E23DF2"/>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4FA2"/>
    <w:rsid w:val="00E464F0"/>
    <w:rsid w:val="00E46EF3"/>
    <w:rsid w:val="00E47370"/>
    <w:rsid w:val="00E473E9"/>
    <w:rsid w:val="00E47B47"/>
    <w:rsid w:val="00E50BEB"/>
    <w:rsid w:val="00E50F86"/>
    <w:rsid w:val="00E520DB"/>
    <w:rsid w:val="00E53061"/>
    <w:rsid w:val="00E548FA"/>
    <w:rsid w:val="00E57703"/>
    <w:rsid w:val="00E57ED4"/>
    <w:rsid w:val="00E57FED"/>
    <w:rsid w:val="00E6092F"/>
    <w:rsid w:val="00E62049"/>
    <w:rsid w:val="00E629DA"/>
    <w:rsid w:val="00E64374"/>
    <w:rsid w:val="00E6469F"/>
    <w:rsid w:val="00E65D39"/>
    <w:rsid w:val="00E670F8"/>
    <w:rsid w:val="00E6741B"/>
    <w:rsid w:val="00E67FAC"/>
    <w:rsid w:val="00E704A6"/>
    <w:rsid w:val="00E7200B"/>
    <w:rsid w:val="00E738CB"/>
    <w:rsid w:val="00E73C88"/>
    <w:rsid w:val="00E74437"/>
    <w:rsid w:val="00E7443D"/>
    <w:rsid w:val="00E74539"/>
    <w:rsid w:val="00E75ACE"/>
    <w:rsid w:val="00E771AF"/>
    <w:rsid w:val="00E80386"/>
    <w:rsid w:val="00E809C3"/>
    <w:rsid w:val="00E81A1A"/>
    <w:rsid w:val="00E81C3E"/>
    <w:rsid w:val="00E82359"/>
    <w:rsid w:val="00E82B6D"/>
    <w:rsid w:val="00E83187"/>
    <w:rsid w:val="00E831E9"/>
    <w:rsid w:val="00E8608F"/>
    <w:rsid w:val="00E86C1D"/>
    <w:rsid w:val="00E93384"/>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6EA7"/>
    <w:rsid w:val="00EB76E4"/>
    <w:rsid w:val="00EC0E65"/>
    <w:rsid w:val="00EC1251"/>
    <w:rsid w:val="00EC2938"/>
    <w:rsid w:val="00EC337D"/>
    <w:rsid w:val="00EC38EF"/>
    <w:rsid w:val="00EC50C9"/>
    <w:rsid w:val="00EC58B4"/>
    <w:rsid w:val="00EC599C"/>
    <w:rsid w:val="00EC5BB2"/>
    <w:rsid w:val="00EC65CA"/>
    <w:rsid w:val="00EC779C"/>
    <w:rsid w:val="00ED12F0"/>
    <w:rsid w:val="00ED2441"/>
    <w:rsid w:val="00ED290C"/>
    <w:rsid w:val="00ED2A6C"/>
    <w:rsid w:val="00ED4773"/>
    <w:rsid w:val="00ED5284"/>
    <w:rsid w:val="00ED664B"/>
    <w:rsid w:val="00ED6A61"/>
    <w:rsid w:val="00ED7DA4"/>
    <w:rsid w:val="00EE03BB"/>
    <w:rsid w:val="00EE0552"/>
    <w:rsid w:val="00EE0B44"/>
    <w:rsid w:val="00EE125D"/>
    <w:rsid w:val="00EE23DE"/>
    <w:rsid w:val="00EE48BB"/>
    <w:rsid w:val="00EE61FB"/>
    <w:rsid w:val="00EE6FE0"/>
    <w:rsid w:val="00EE704A"/>
    <w:rsid w:val="00EE7840"/>
    <w:rsid w:val="00EF2E75"/>
    <w:rsid w:val="00EF4C74"/>
    <w:rsid w:val="00EF5268"/>
    <w:rsid w:val="00EF608E"/>
    <w:rsid w:val="00EF6C4A"/>
    <w:rsid w:val="00F0044B"/>
    <w:rsid w:val="00F03525"/>
    <w:rsid w:val="00F0424D"/>
    <w:rsid w:val="00F0480B"/>
    <w:rsid w:val="00F04957"/>
    <w:rsid w:val="00F05807"/>
    <w:rsid w:val="00F06451"/>
    <w:rsid w:val="00F07052"/>
    <w:rsid w:val="00F0706C"/>
    <w:rsid w:val="00F11EBE"/>
    <w:rsid w:val="00F12293"/>
    <w:rsid w:val="00F12BA8"/>
    <w:rsid w:val="00F130D0"/>
    <w:rsid w:val="00F137AA"/>
    <w:rsid w:val="00F14933"/>
    <w:rsid w:val="00F1516A"/>
    <w:rsid w:val="00F15EE5"/>
    <w:rsid w:val="00F168E2"/>
    <w:rsid w:val="00F171F9"/>
    <w:rsid w:val="00F1737C"/>
    <w:rsid w:val="00F22A26"/>
    <w:rsid w:val="00F24072"/>
    <w:rsid w:val="00F26432"/>
    <w:rsid w:val="00F3197A"/>
    <w:rsid w:val="00F32139"/>
    <w:rsid w:val="00F33D56"/>
    <w:rsid w:val="00F34E08"/>
    <w:rsid w:val="00F41835"/>
    <w:rsid w:val="00F41D91"/>
    <w:rsid w:val="00F41F52"/>
    <w:rsid w:val="00F42363"/>
    <w:rsid w:val="00F42398"/>
    <w:rsid w:val="00F427C4"/>
    <w:rsid w:val="00F43D6C"/>
    <w:rsid w:val="00F46964"/>
    <w:rsid w:val="00F46F9A"/>
    <w:rsid w:val="00F470FD"/>
    <w:rsid w:val="00F50F30"/>
    <w:rsid w:val="00F5126A"/>
    <w:rsid w:val="00F5126E"/>
    <w:rsid w:val="00F516EF"/>
    <w:rsid w:val="00F51755"/>
    <w:rsid w:val="00F5580D"/>
    <w:rsid w:val="00F56149"/>
    <w:rsid w:val="00F56EA1"/>
    <w:rsid w:val="00F57DE1"/>
    <w:rsid w:val="00F606D5"/>
    <w:rsid w:val="00F611B3"/>
    <w:rsid w:val="00F614CD"/>
    <w:rsid w:val="00F6196E"/>
    <w:rsid w:val="00F61A6F"/>
    <w:rsid w:val="00F61D21"/>
    <w:rsid w:val="00F624DD"/>
    <w:rsid w:val="00F629C0"/>
    <w:rsid w:val="00F63FC7"/>
    <w:rsid w:val="00F65E1F"/>
    <w:rsid w:val="00F65ED5"/>
    <w:rsid w:val="00F6608B"/>
    <w:rsid w:val="00F6636A"/>
    <w:rsid w:val="00F667C5"/>
    <w:rsid w:val="00F67E31"/>
    <w:rsid w:val="00F718A8"/>
    <w:rsid w:val="00F72183"/>
    <w:rsid w:val="00F75350"/>
    <w:rsid w:val="00F76D01"/>
    <w:rsid w:val="00F80B43"/>
    <w:rsid w:val="00F81C35"/>
    <w:rsid w:val="00F82981"/>
    <w:rsid w:val="00F8311F"/>
    <w:rsid w:val="00F83248"/>
    <w:rsid w:val="00F83376"/>
    <w:rsid w:val="00F83A37"/>
    <w:rsid w:val="00F853AE"/>
    <w:rsid w:val="00F908D5"/>
    <w:rsid w:val="00F913B9"/>
    <w:rsid w:val="00F9369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3EA1"/>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C65CA"/>
    <w:pPr>
      <w:autoSpaceDE w:val="0"/>
      <w:autoSpaceDN w:val="0"/>
      <w:adjustRightInd w:val="0"/>
    </w:pPr>
    <w:rPr>
      <w:rFonts w:ascii="Times New Roman" w:hAnsi="Times New Roman"/>
      <w:color w:val="000000"/>
      <w:szCs w:val="24"/>
    </w:rPr>
  </w:style>
  <w:style w:type="paragraph" w:styleId="BodyText2">
    <w:name w:val="Body Text 2"/>
    <w:basedOn w:val="Normal"/>
    <w:link w:val="BodyText2Char"/>
    <w:rsid w:val="004833D6"/>
    <w:pPr>
      <w:spacing w:after="120" w:line="480" w:lineRule="auto"/>
    </w:pPr>
  </w:style>
  <w:style w:type="character" w:customStyle="1" w:styleId="BodyText2Char">
    <w:name w:val="Body Text 2 Char"/>
    <w:basedOn w:val="DefaultParagraphFont"/>
    <w:link w:val="BodyText2"/>
    <w:rsid w:val="004833D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7202340">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43F02-38E8-4E77-8087-6B99E8FD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2012-01-24T14:51:00Z</cp:lastPrinted>
  <dcterms:created xsi:type="dcterms:W3CDTF">2012-05-10T17:27:00Z</dcterms:created>
  <dcterms:modified xsi:type="dcterms:W3CDTF">2012-05-10T17:27:00Z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