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354FA9">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354FA9">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354FA9">
      <w:pPr>
        <w:tabs>
          <w:tab w:val="left" w:pos="288"/>
          <w:tab w:val="left" w:pos="4752"/>
        </w:tabs>
        <w:spacing w:line="240" w:lineRule="exact"/>
        <w:jc w:val="both"/>
        <w:rPr>
          <w:rFonts w:asciiTheme="minorHAnsi" w:hAnsiTheme="minorHAnsi"/>
          <w:caps/>
          <w:color w:val="auto"/>
        </w:rPr>
      </w:pPr>
    </w:p>
    <w:p w:rsidR="00E0346A" w:rsidRDefault="00F629C0" w:rsidP="00354FA9">
      <w:pPr>
        <w:tabs>
          <w:tab w:val="left" w:pos="288"/>
          <w:tab w:val="left" w:pos="4752"/>
          <w:tab w:val="left" w:pos="5130"/>
          <w:tab w:val="left" w:pos="9270"/>
        </w:tabs>
        <w:spacing w:line="240" w:lineRule="exact"/>
        <w:rPr>
          <w:rFonts w:asciiTheme="minorHAnsi" w:hAnsiTheme="minorHAnsi"/>
          <w:caps/>
          <w:color w:val="auto"/>
        </w:rPr>
      </w:pPr>
      <w:r w:rsidRPr="00FD6C41">
        <w:rPr>
          <w:rFonts w:asciiTheme="minorHAnsi" w:hAnsiTheme="minorHAnsi"/>
          <w:caps/>
          <w:color w:val="auto"/>
        </w:rPr>
        <w:t xml:space="preserve">NAME: </w:t>
      </w:r>
      <w:r w:rsidR="00771A57">
        <w:rPr>
          <w:rFonts w:asciiTheme="minorHAnsi" w:hAnsiTheme="minorHAnsi"/>
          <w:caps/>
          <w:color w:val="auto"/>
        </w:rPr>
        <w:t xml:space="preserve"> </w:t>
      </w:r>
      <w:r w:rsidR="004216DA">
        <w:rPr>
          <w:rFonts w:asciiTheme="minorHAnsi" w:hAnsiTheme="minorHAnsi"/>
          <w:caps/>
          <w:color w:val="auto"/>
        </w:rPr>
        <w:t xml:space="preserve">        </w:t>
      </w:r>
      <w:r w:rsidR="00332DE3">
        <w:rPr>
          <w:rFonts w:asciiTheme="minorHAnsi" w:hAnsiTheme="minorHAnsi"/>
          <w:caps/>
          <w:color w:val="auto"/>
        </w:rPr>
        <w:t xml:space="preserve"> </w:t>
      </w:r>
      <w:r w:rsidR="000A3D6B">
        <w:rPr>
          <w:rFonts w:asciiTheme="minorHAnsi" w:hAnsiTheme="minorHAnsi"/>
          <w:caps/>
          <w:color w:val="auto"/>
        </w:rPr>
        <w:t xml:space="preserve">         </w:t>
      </w:r>
      <w:r w:rsidR="00D14B13">
        <w:rPr>
          <w:rFonts w:asciiTheme="minorHAnsi" w:hAnsiTheme="minorHAnsi"/>
          <w:caps/>
          <w:color w:val="auto"/>
        </w:rPr>
        <w:t xml:space="preserve">                            </w:t>
      </w:r>
      <w:r w:rsidR="00D14B13">
        <w:rPr>
          <w:rFonts w:asciiTheme="minorHAnsi" w:hAnsiTheme="minorHAnsi"/>
          <w:caps/>
          <w:color w:val="auto"/>
        </w:rPr>
        <w:tab/>
        <w:t xml:space="preserve">                       </w:t>
      </w:r>
      <w:r w:rsidR="00771A57">
        <w:rPr>
          <w:rFonts w:asciiTheme="minorHAnsi" w:hAnsiTheme="minorHAnsi"/>
          <w:caps/>
          <w:color w:val="auto"/>
        </w:rPr>
        <w:t xml:space="preserve">       </w:t>
      </w:r>
      <w:r w:rsidR="00D14B13">
        <w:rPr>
          <w:rFonts w:asciiTheme="minorHAnsi" w:hAnsiTheme="minorHAnsi"/>
          <w:caps/>
          <w:color w:val="auto"/>
        </w:rPr>
        <w:t>B</w:t>
      </w:r>
      <w:r w:rsidRPr="00FD6C41">
        <w:rPr>
          <w:rFonts w:asciiTheme="minorHAnsi" w:hAnsiTheme="minorHAnsi"/>
          <w:caps/>
          <w:color w:val="auto"/>
        </w:rPr>
        <w:t>RANCH OF SERVICE</w:t>
      </w:r>
      <w:r w:rsidRPr="000A3D6B">
        <w:rPr>
          <w:rFonts w:asciiTheme="minorHAnsi" w:hAnsiTheme="minorHAnsi"/>
          <w:caps/>
          <w:color w:val="auto"/>
        </w:rPr>
        <w:t xml:space="preserve">: </w:t>
      </w:r>
      <w:r w:rsidR="004C24C5" w:rsidRPr="000A3D6B">
        <w:rPr>
          <w:rFonts w:asciiTheme="minorHAnsi" w:hAnsiTheme="minorHAnsi"/>
          <w:caps/>
          <w:color w:val="auto"/>
        </w:rPr>
        <w:t xml:space="preserve"> </w:t>
      </w:r>
      <w:r w:rsidR="00332DE3" w:rsidRPr="000A3D6B">
        <w:rPr>
          <w:rFonts w:asciiTheme="minorHAnsi" w:hAnsiTheme="minorHAnsi"/>
          <w:caps/>
          <w:color w:val="auto"/>
        </w:rPr>
        <w:t xml:space="preserve">Army </w:t>
      </w:r>
    </w:p>
    <w:p w:rsidR="00DE3AAD" w:rsidRDefault="00012733" w:rsidP="00354FA9">
      <w:pPr>
        <w:tabs>
          <w:tab w:val="left" w:pos="288"/>
          <w:tab w:val="left" w:pos="4752"/>
          <w:tab w:val="left" w:pos="5130"/>
          <w:tab w:val="left" w:pos="9270"/>
        </w:tabs>
        <w:spacing w:line="240" w:lineRule="exact"/>
        <w:rPr>
          <w:rFonts w:asciiTheme="minorHAnsi" w:hAnsiTheme="minorHAnsi"/>
          <w:caps/>
          <w:color w:val="auto"/>
        </w:rPr>
      </w:pPr>
      <w:r>
        <w:rPr>
          <w:rFonts w:asciiTheme="minorHAnsi" w:hAnsiTheme="minorHAnsi"/>
          <w:caps/>
          <w:color w:val="auto"/>
        </w:rPr>
        <w:t>C</w:t>
      </w:r>
      <w:r w:rsidR="00DE3AAD" w:rsidRPr="00FD6C41">
        <w:rPr>
          <w:rFonts w:asciiTheme="minorHAnsi" w:hAnsiTheme="minorHAnsi"/>
          <w:caps/>
          <w:color w:val="auto"/>
        </w:rPr>
        <w:t xml:space="preserve">ASE NUMBER: </w:t>
      </w:r>
      <w:r w:rsidR="00DE3AAD">
        <w:rPr>
          <w:rFonts w:asciiTheme="minorHAnsi" w:hAnsiTheme="minorHAnsi"/>
          <w:caps/>
          <w:color w:val="auto"/>
        </w:rPr>
        <w:t xml:space="preserve"> </w:t>
      </w:r>
      <w:r w:rsidR="00DE3AAD" w:rsidRPr="000A3D6B">
        <w:rPr>
          <w:rFonts w:asciiTheme="minorHAnsi" w:hAnsiTheme="minorHAnsi"/>
          <w:caps/>
          <w:color w:val="auto"/>
        </w:rPr>
        <w:t>PD</w:t>
      </w:r>
      <w:r w:rsidR="000A3D6B" w:rsidRPr="000A3D6B">
        <w:rPr>
          <w:rFonts w:asciiTheme="minorHAnsi" w:hAnsiTheme="minorHAnsi"/>
          <w:caps/>
          <w:color w:val="auto"/>
        </w:rPr>
        <w:t>11</w:t>
      </w:r>
      <w:r w:rsidR="00DE3AAD" w:rsidRPr="000A3D6B">
        <w:rPr>
          <w:rFonts w:asciiTheme="minorHAnsi" w:hAnsiTheme="minorHAnsi"/>
          <w:caps/>
          <w:color w:val="auto"/>
        </w:rPr>
        <w:t>00</w:t>
      </w:r>
      <w:r w:rsidR="000A3D6B" w:rsidRPr="000A3D6B">
        <w:rPr>
          <w:rFonts w:asciiTheme="minorHAnsi" w:hAnsiTheme="minorHAnsi"/>
          <w:caps/>
          <w:color w:val="auto"/>
        </w:rPr>
        <w:t>149</w:t>
      </w:r>
      <w:r w:rsidR="00DE3AAD" w:rsidRPr="00DE3AAD">
        <w:rPr>
          <w:rFonts w:asciiTheme="minorHAnsi" w:hAnsiTheme="minorHAnsi"/>
          <w:color w:val="auto"/>
        </w:rPr>
        <w:t xml:space="preserve"> </w:t>
      </w:r>
      <w:r w:rsidR="00D14B13">
        <w:rPr>
          <w:rFonts w:asciiTheme="minorHAnsi" w:hAnsiTheme="minorHAnsi"/>
          <w:color w:val="auto"/>
        </w:rPr>
        <w:tab/>
        <w:t xml:space="preserve"> </w:t>
      </w:r>
      <w:r w:rsidR="00D14B13">
        <w:rPr>
          <w:rFonts w:asciiTheme="minorHAnsi" w:hAnsiTheme="minorHAnsi"/>
          <w:color w:val="auto"/>
        </w:rPr>
        <w:tab/>
        <w:t xml:space="preserve">                       </w:t>
      </w:r>
      <w:r w:rsidR="00DE3AAD" w:rsidRPr="00DE3AAD">
        <w:rPr>
          <w:rFonts w:asciiTheme="minorHAnsi" w:hAnsiTheme="minorHAnsi"/>
          <w:color w:val="auto"/>
        </w:rPr>
        <w:t>SEPARATION DATE:  200</w:t>
      </w:r>
      <w:r w:rsidR="000A3D6B">
        <w:rPr>
          <w:rFonts w:asciiTheme="minorHAnsi" w:hAnsiTheme="minorHAnsi"/>
          <w:color w:val="auto"/>
        </w:rPr>
        <w:t>50629</w:t>
      </w:r>
    </w:p>
    <w:p w:rsidR="00827B29" w:rsidRPr="00FF558E" w:rsidRDefault="004F3639" w:rsidP="00354FA9">
      <w:pPr>
        <w:tabs>
          <w:tab w:val="left" w:pos="288"/>
          <w:tab w:val="left" w:pos="5130"/>
        </w:tabs>
        <w:spacing w:line="240" w:lineRule="exact"/>
        <w:rPr>
          <w:rFonts w:asciiTheme="minorHAnsi" w:hAnsiTheme="minorHAnsi"/>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Pr="00655258">
        <w:rPr>
          <w:rFonts w:asciiTheme="minorHAnsi" w:hAnsiTheme="minorHAnsi"/>
          <w:caps/>
          <w:color w:val="auto"/>
        </w:rPr>
        <w:t>201</w:t>
      </w:r>
      <w:r w:rsidR="00703CAF">
        <w:rPr>
          <w:rFonts w:asciiTheme="minorHAnsi" w:hAnsiTheme="minorHAnsi"/>
          <w:caps/>
          <w:color w:val="auto"/>
        </w:rPr>
        <w:t>2</w:t>
      </w:r>
      <w:r w:rsidR="00FF558E">
        <w:rPr>
          <w:rFonts w:asciiTheme="minorHAnsi" w:hAnsiTheme="minorHAnsi"/>
          <w:caps/>
          <w:color w:val="auto"/>
        </w:rPr>
        <w:t>03</w:t>
      </w:r>
      <w:r w:rsidR="00602E5E">
        <w:rPr>
          <w:rFonts w:asciiTheme="minorHAnsi" w:hAnsiTheme="minorHAnsi"/>
          <w:caps/>
          <w:color w:val="auto"/>
        </w:rPr>
        <w:t>21</w:t>
      </w:r>
    </w:p>
    <w:p w:rsidR="008E0D8F" w:rsidRDefault="008E0D8F" w:rsidP="00354FA9">
      <w:pPr>
        <w:pBdr>
          <w:bottom w:val="single" w:sz="12" w:space="1" w:color="auto"/>
        </w:pBdr>
        <w:tabs>
          <w:tab w:val="left" w:pos="288"/>
          <w:tab w:val="left" w:pos="4752"/>
        </w:tabs>
        <w:spacing w:line="240" w:lineRule="exact"/>
        <w:jc w:val="both"/>
        <w:rPr>
          <w:rFonts w:asciiTheme="minorHAnsi" w:hAnsiTheme="minorHAnsi"/>
          <w:color w:val="auto"/>
          <w:u w:val="single"/>
        </w:rPr>
      </w:pPr>
    </w:p>
    <w:p w:rsidR="00FB0E80" w:rsidRPr="00AD7F8F" w:rsidRDefault="00FB0E80" w:rsidP="00354FA9">
      <w:pPr>
        <w:tabs>
          <w:tab w:val="left" w:pos="288"/>
          <w:tab w:val="left" w:pos="4752"/>
        </w:tabs>
        <w:spacing w:line="240" w:lineRule="exact"/>
        <w:jc w:val="both"/>
        <w:rPr>
          <w:rFonts w:asciiTheme="minorHAnsi" w:hAnsiTheme="minorHAnsi"/>
          <w:color w:val="auto"/>
        </w:rPr>
      </w:pPr>
    </w:p>
    <w:p w:rsidR="00F63FC7" w:rsidRPr="00C472C7" w:rsidRDefault="00FB0E80" w:rsidP="00354FA9">
      <w:pPr>
        <w:tabs>
          <w:tab w:val="left" w:pos="288"/>
          <w:tab w:val="left" w:pos="4752"/>
        </w:tabs>
        <w:spacing w:line="240" w:lineRule="exact"/>
        <w:jc w:val="both"/>
        <w:rPr>
          <w:rFonts w:asciiTheme="minorHAnsi" w:hAnsiTheme="minorHAnsi"/>
          <w:color w:val="auto"/>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w:t>
      </w:r>
      <w:r w:rsidR="009759C2" w:rsidRPr="00EC337D">
        <w:rPr>
          <w:rFonts w:asciiTheme="minorHAnsi" w:hAnsiTheme="minorHAnsi"/>
          <w:color w:val="auto"/>
        </w:rPr>
        <w:t>Data extracted from the available evidence of record reflects that this covered individual (CI)</w:t>
      </w:r>
      <w:r w:rsidR="00570754" w:rsidRPr="00EC337D">
        <w:rPr>
          <w:rFonts w:asciiTheme="minorHAnsi" w:hAnsiTheme="minorHAnsi"/>
          <w:color w:val="auto"/>
        </w:rPr>
        <w:t xml:space="preserve"> </w:t>
      </w:r>
      <w:r w:rsidR="002C6E5B" w:rsidRPr="00AD7F8F">
        <w:rPr>
          <w:rFonts w:asciiTheme="minorHAnsi" w:hAnsiTheme="minorHAnsi"/>
          <w:color w:val="auto"/>
          <w:szCs w:val="24"/>
        </w:rPr>
        <w:t xml:space="preserve">was </w:t>
      </w:r>
      <w:r w:rsidR="00E322F7" w:rsidRPr="00AD7F8F">
        <w:rPr>
          <w:rFonts w:asciiTheme="minorHAnsi" w:hAnsiTheme="minorHAnsi"/>
          <w:color w:val="auto"/>
          <w:szCs w:val="24"/>
        </w:rPr>
        <w:t>a</w:t>
      </w:r>
      <w:r w:rsidR="007B6C84">
        <w:rPr>
          <w:rFonts w:asciiTheme="minorHAnsi" w:hAnsiTheme="minorHAnsi"/>
          <w:color w:val="auto"/>
          <w:szCs w:val="24"/>
        </w:rPr>
        <w:t xml:space="preserve"> mobilized</w:t>
      </w:r>
      <w:r w:rsidR="00825DF8">
        <w:rPr>
          <w:rFonts w:asciiTheme="minorHAnsi" w:hAnsiTheme="minorHAnsi"/>
          <w:color w:val="auto"/>
          <w:szCs w:val="24"/>
        </w:rPr>
        <w:t xml:space="preserve"> </w:t>
      </w:r>
      <w:r w:rsidR="006D4E0E" w:rsidRPr="00AD7F8F">
        <w:rPr>
          <w:rFonts w:asciiTheme="minorHAnsi" w:hAnsiTheme="minorHAnsi"/>
          <w:color w:val="auto"/>
          <w:szCs w:val="24"/>
        </w:rPr>
        <w:t>National Guard</w:t>
      </w:r>
      <w:r w:rsidR="00825DF8">
        <w:rPr>
          <w:rFonts w:asciiTheme="minorHAnsi" w:hAnsiTheme="minorHAnsi"/>
          <w:color w:val="auto"/>
          <w:szCs w:val="24"/>
        </w:rPr>
        <w:t xml:space="preserve"> SSG/E</w:t>
      </w:r>
      <w:r w:rsidR="00D14B13">
        <w:rPr>
          <w:rFonts w:asciiTheme="minorHAnsi" w:hAnsiTheme="minorHAnsi"/>
          <w:color w:val="auto"/>
          <w:szCs w:val="24"/>
        </w:rPr>
        <w:t>-</w:t>
      </w:r>
      <w:r w:rsidR="00825DF8">
        <w:rPr>
          <w:rFonts w:asciiTheme="minorHAnsi" w:hAnsiTheme="minorHAnsi"/>
          <w:color w:val="auto"/>
          <w:szCs w:val="24"/>
        </w:rPr>
        <w:t xml:space="preserve">6 </w:t>
      </w:r>
      <w:r w:rsidR="00D14B13">
        <w:rPr>
          <w:rFonts w:asciiTheme="minorHAnsi" w:hAnsiTheme="minorHAnsi"/>
          <w:color w:val="auto"/>
          <w:szCs w:val="24"/>
        </w:rPr>
        <w:t>(</w:t>
      </w:r>
      <w:r w:rsidR="00825DF8">
        <w:rPr>
          <w:rFonts w:asciiTheme="minorHAnsi" w:hAnsiTheme="minorHAnsi"/>
          <w:color w:val="auto"/>
          <w:szCs w:val="24"/>
        </w:rPr>
        <w:t>13B</w:t>
      </w:r>
      <w:r w:rsidR="00CA1530">
        <w:rPr>
          <w:rFonts w:asciiTheme="minorHAnsi" w:hAnsiTheme="minorHAnsi"/>
          <w:color w:val="auto"/>
          <w:szCs w:val="24"/>
        </w:rPr>
        <w:t>,</w:t>
      </w:r>
      <w:r w:rsidR="00825DF8">
        <w:rPr>
          <w:rFonts w:asciiTheme="minorHAnsi" w:hAnsiTheme="minorHAnsi"/>
          <w:color w:val="auto"/>
          <w:szCs w:val="24"/>
        </w:rPr>
        <w:t xml:space="preserve"> Cannon Crewmember</w:t>
      </w:r>
      <w:r w:rsidR="00D14B13">
        <w:rPr>
          <w:rFonts w:asciiTheme="minorHAnsi" w:hAnsiTheme="minorHAnsi"/>
          <w:color w:val="auto"/>
          <w:szCs w:val="24"/>
        </w:rPr>
        <w:t>)</w:t>
      </w:r>
      <w:r w:rsidR="00C75F3D">
        <w:rPr>
          <w:rFonts w:asciiTheme="minorHAnsi" w:hAnsiTheme="minorHAnsi"/>
          <w:color w:val="auto"/>
          <w:szCs w:val="24"/>
        </w:rPr>
        <w:t xml:space="preserve"> </w:t>
      </w:r>
      <w:r w:rsidR="002C6E5B" w:rsidRPr="00AD7F8F">
        <w:rPr>
          <w:rFonts w:asciiTheme="minorHAnsi" w:hAnsiTheme="minorHAnsi"/>
          <w:color w:val="auto"/>
          <w:szCs w:val="24"/>
        </w:rPr>
        <w:t xml:space="preserve">medically separated for </w:t>
      </w:r>
      <w:r w:rsidR="00825DF8">
        <w:rPr>
          <w:rFonts w:asciiTheme="minorHAnsi" w:hAnsiTheme="minorHAnsi"/>
          <w:color w:val="auto"/>
          <w:szCs w:val="24"/>
        </w:rPr>
        <w:t>low back pain</w:t>
      </w:r>
      <w:r w:rsidR="00D14B13">
        <w:rPr>
          <w:rFonts w:asciiTheme="minorHAnsi" w:hAnsiTheme="minorHAnsi"/>
          <w:color w:val="auto"/>
          <w:szCs w:val="24"/>
        </w:rPr>
        <w:t xml:space="preserve"> (LBP)</w:t>
      </w:r>
      <w:r w:rsidR="00C75F3D">
        <w:rPr>
          <w:rFonts w:asciiTheme="minorHAnsi" w:hAnsiTheme="minorHAnsi"/>
          <w:i/>
          <w:color w:val="auto"/>
          <w:szCs w:val="24"/>
        </w:rPr>
        <w:t>.</w:t>
      </w:r>
      <w:r w:rsidR="007B6C84">
        <w:rPr>
          <w:rFonts w:asciiTheme="minorHAnsi" w:hAnsiTheme="minorHAnsi"/>
          <w:color w:val="auto"/>
          <w:szCs w:val="24"/>
        </w:rPr>
        <w:t xml:space="preserve">  </w:t>
      </w:r>
      <w:r w:rsidR="00BD582F">
        <w:rPr>
          <w:rFonts w:asciiTheme="minorHAnsi" w:hAnsiTheme="minorHAnsi"/>
          <w:color w:val="auto"/>
          <w:szCs w:val="24"/>
        </w:rPr>
        <w:t>I</w:t>
      </w:r>
      <w:r w:rsidR="007B6C84">
        <w:rPr>
          <w:rFonts w:asciiTheme="minorHAnsi" w:hAnsiTheme="minorHAnsi"/>
          <w:color w:val="auto"/>
          <w:szCs w:val="24"/>
        </w:rPr>
        <w:t>n January 2004</w:t>
      </w:r>
      <w:r w:rsidR="00BD582F">
        <w:rPr>
          <w:rFonts w:asciiTheme="minorHAnsi" w:hAnsiTheme="minorHAnsi"/>
          <w:color w:val="auto"/>
          <w:szCs w:val="24"/>
        </w:rPr>
        <w:t>, he fell</w:t>
      </w:r>
      <w:r w:rsidR="007B6C84">
        <w:rPr>
          <w:rFonts w:asciiTheme="minorHAnsi" w:hAnsiTheme="minorHAnsi"/>
          <w:color w:val="auto"/>
          <w:szCs w:val="24"/>
        </w:rPr>
        <w:t xml:space="preserve"> </w:t>
      </w:r>
      <w:r w:rsidR="00060D7F">
        <w:rPr>
          <w:rFonts w:asciiTheme="minorHAnsi" w:hAnsiTheme="minorHAnsi"/>
          <w:color w:val="auto"/>
          <w:szCs w:val="24"/>
        </w:rPr>
        <w:t xml:space="preserve">on ice </w:t>
      </w:r>
      <w:r w:rsidR="00BD582F">
        <w:rPr>
          <w:rFonts w:asciiTheme="minorHAnsi" w:hAnsiTheme="minorHAnsi"/>
          <w:color w:val="auto"/>
          <w:szCs w:val="24"/>
        </w:rPr>
        <w:t xml:space="preserve">and injured his back.  </w:t>
      </w:r>
      <w:r w:rsidR="007B6C84">
        <w:rPr>
          <w:rFonts w:asciiTheme="minorHAnsi" w:hAnsiTheme="minorHAnsi"/>
          <w:color w:val="auto"/>
          <w:szCs w:val="24"/>
        </w:rPr>
        <w:t>He was treated</w:t>
      </w:r>
      <w:r w:rsidR="00BD582F">
        <w:rPr>
          <w:rFonts w:asciiTheme="minorHAnsi" w:hAnsiTheme="minorHAnsi"/>
          <w:color w:val="auto"/>
          <w:szCs w:val="24"/>
        </w:rPr>
        <w:t xml:space="preserve">, but </w:t>
      </w:r>
      <w:r w:rsidR="00E322F7" w:rsidRPr="00825DF8">
        <w:rPr>
          <w:rFonts w:asciiTheme="minorHAnsi" w:hAnsiTheme="minorHAnsi"/>
          <w:color w:val="auto"/>
          <w:szCs w:val="24"/>
        </w:rPr>
        <w:t xml:space="preserve">did not respond adequately </w:t>
      </w:r>
      <w:r w:rsidR="00C75F3D" w:rsidRPr="00825DF8">
        <w:rPr>
          <w:rFonts w:asciiTheme="minorHAnsi" w:hAnsiTheme="minorHAnsi"/>
          <w:color w:val="auto"/>
          <w:szCs w:val="24"/>
        </w:rPr>
        <w:t xml:space="preserve">to </w:t>
      </w:r>
      <w:r w:rsidR="00BD582F">
        <w:rPr>
          <w:rFonts w:asciiTheme="minorHAnsi" w:hAnsiTheme="minorHAnsi"/>
          <w:color w:val="auto"/>
          <w:szCs w:val="24"/>
        </w:rPr>
        <w:t>fully perform his m</w:t>
      </w:r>
      <w:r w:rsidR="009020ED" w:rsidRPr="00825DF8">
        <w:rPr>
          <w:rFonts w:asciiTheme="minorHAnsi" w:hAnsiTheme="minorHAnsi"/>
          <w:color w:val="auto"/>
          <w:szCs w:val="24"/>
        </w:rPr>
        <w:t xml:space="preserve">ilitary </w:t>
      </w:r>
      <w:r w:rsidR="00BD582F">
        <w:rPr>
          <w:rFonts w:asciiTheme="minorHAnsi" w:hAnsiTheme="minorHAnsi"/>
          <w:color w:val="auto"/>
          <w:szCs w:val="24"/>
        </w:rPr>
        <w:t xml:space="preserve">duties or </w:t>
      </w:r>
      <w:r w:rsidR="002752AE" w:rsidRPr="00825DF8">
        <w:rPr>
          <w:rFonts w:asciiTheme="minorHAnsi" w:hAnsiTheme="minorHAnsi"/>
          <w:color w:val="auto"/>
          <w:szCs w:val="24"/>
        </w:rPr>
        <w:t xml:space="preserve">meet </w:t>
      </w:r>
      <w:r w:rsidR="0044411E" w:rsidRPr="00825DF8">
        <w:rPr>
          <w:rFonts w:asciiTheme="minorHAnsi" w:hAnsiTheme="minorHAnsi"/>
          <w:color w:val="auto"/>
          <w:szCs w:val="24"/>
        </w:rPr>
        <w:t xml:space="preserve">physical fitness </w:t>
      </w:r>
      <w:r w:rsidR="002752AE" w:rsidRPr="00825DF8">
        <w:rPr>
          <w:rFonts w:asciiTheme="minorHAnsi" w:hAnsiTheme="minorHAnsi"/>
          <w:color w:val="auto"/>
          <w:szCs w:val="24"/>
        </w:rPr>
        <w:t>standards</w:t>
      </w:r>
      <w:r w:rsidR="00555C66" w:rsidRPr="00825DF8">
        <w:rPr>
          <w:rFonts w:asciiTheme="minorHAnsi" w:hAnsiTheme="minorHAnsi"/>
          <w:color w:val="auto"/>
          <w:szCs w:val="24"/>
        </w:rPr>
        <w:t>.  He was issued</w:t>
      </w:r>
      <w:r w:rsidR="00E322F7" w:rsidRPr="00825DF8">
        <w:rPr>
          <w:rFonts w:asciiTheme="minorHAnsi" w:hAnsiTheme="minorHAnsi"/>
          <w:color w:val="auto"/>
          <w:szCs w:val="24"/>
        </w:rPr>
        <w:t xml:space="preserve"> a permanent profile</w:t>
      </w:r>
      <w:r w:rsidR="0044411E" w:rsidRPr="00825DF8">
        <w:rPr>
          <w:rFonts w:asciiTheme="minorHAnsi" w:hAnsiTheme="minorHAnsi"/>
          <w:color w:val="auto"/>
          <w:szCs w:val="24"/>
        </w:rPr>
        <w:t xml:space="preserve"> </w:t>
      </w:r>
      <w:r w:rsidR="00E322F7" w:rsidRPr="00825DF8">
        <w:rPr>
          <w:rFonts w:asciiTheme="minorHAnsi" w:hAnsiTheme="minorHAnsi"/>
          <w:color w:val="auto"/>
          <w:szCs w:val="24"/>
        </w:rPr>
        <w:t xml:space="preserve">and underwent a </w:t>
      </w:r>
      <w:r w:rsidR="00705C40" w:rsidRPr="00825DF8">
        <w:rPr>
          <w:rFonts w:asciiTheme="minorHAnsi" w:hAnsiTheme="minorHAnsi"/>
          <w:color w:val="auto"/>
          <w:szCs w:val="24"/>
        </w:rPr>
        <w:t>Medical Evaluation Board (</w:t>
      </w:r>
      <w:r w:rsidR="00E322F7" w:rsidRPr="00825DF8">
        <w:rPr>
          <w:rFonts w:asciiTheme="minorHAnsi" w:hAnsiTheme="minorHAnsi"/>
          <w:color w:val="auto"/>
          <w:szCs w:val="24"/>
        </w:rPr>
        <w:t>MEB</w:t>
      </w:r>
      <w:r w:rsidR="00705C40" w:rsidRPr="00825DF8">
        <w:rPr>
          <w:rFonts w:asciiTheme="minorHAnsi" w:hAnsiTheme="minorHAnsi"/>
          <w:color w:val="auto"/>
          <w:szCs w:val="24"/>
        </w:rPr>
        <w:t>)</w:t>
      </w:r>
      <w:r w:rsidR="00E322F7" w:rsidRPr="00825DF8">
        <w:rPr>
          <w:rFonts w:asciiTheme="minorHAnsi" w:hAnsiTheme="minorHAnsi"/>
          <w:color w:val="auto"/>
          <w:szCs w:val="24"/>
        </w:rPr>
        <w:t>.</w:t>
      </w:r>
      <w:r w:rsidR="007B6C84">
        <w:rPr>
          <w:rFonts w:asciiTheme="minorHAnsi" w:hAnsiTheme="minorHAnsi"/>
          <w:color w:val="auto"/>
          <w:szCs w:val="24"/>
        </w:rPr>
        <w:t xml:space="preserve">  </w:t>
      </w:r>
      <w:r w:rsidR="00825DF8" w:rsidRPr="00825DF8">
        <w:rPr>
          <w:rFonts w:asciiTheme="minorHAnsi" w:hAnsiTheme="minorHAnsi"/>
          <w:color w:val="auto"/>
          <w:szCs w:val="24"/>
        </w:rPr>
        <w:t xml:space="preserve">Chronic </w:t>
      </w:r>
      <w:r w:rsidR="00602E5E">
        <w:rPr>
          <w:rFonts w:asciiTheme="minorHAnsi" w:hAnsiTheme="minorHAnsi"/>
          <w:color w:val="auto"/>
          <w:szCs w:val="24"/>
        </w:rPr>
        <w:t>LBP</w:t>
      </w:r>
      <w:r w:rsidR="0099000F">
        <w:rPr>
          <w:rFonts w:asciiTheme="minorHAnsi" w:hAnsiTheme="minorHAnsi"/>
          <w:color w:val="auto"/>
          <w:szCs w:val="24"/>
        </w:rPr>
        <w:t xml:space="preserve"> </w:t>
      </w:r>
      <w:r w:rsidR="00825DF8" w:rsidRPr="00825DF8">
        <w:rPr>
          <w:rFonts w:asciiTheme="minorHAnsi" w:hAnsiTheme="minorHAnsi"/>
          <w:color w:val="auto"/>
          <w:szCs w:val="24"/>
        </w:rPr>
        <w:t>was</w:t>
      </w:r>
      <w:r w:rsidR="000243FE">
        <w:rPr>
          <w:rFonts w:asciiTheme="minorHAnsi" w:hAnsiTheme="minorHAnsi"/>
          <w:color w:val="auto"/>
          <w:szCs w:val="24"/>
        </w:rPr>
        <w:t xml:space="preserve"> </w:t>
      </w:r>
      <w:r w:rsidR="000A33C8" w:rsidRPr="00825DF8">
        <w:rPr>
          <w:rFonts w:asciiTheme="minorHAnsi" w:hAnsiTheme="minorHAnsi"/>
          <w:color w:val="auto"/>
          <w:szCs w:val="24"/>
        </w:rPr>
        <w:t>forwarded to the Physical Evaluation Board (PEB) as medically unacceptable IAW AR 40-501</w:t>
      </w:r>
      <w:r w:rsidR="00376E08" w:rsidRPr="00825DF8">
        <w:rPr>
          <w:rFonts w:asciiTheme="minorHAnsi" w:hAnsiTheme="minorHAnsi"/>
          <w:color w:val="auto"/>
          <w:szCs w:val="24"/>
        </w:rPr>
        <w:t>.</w:t>
      </w:r>
      <w:r w:rsidR="007B6C84">
        <w:rPr>
          <w:rFonts w:asciiTheme="minorHAnsi" w:hAnsiTheme="minorHAnsi"/>
          <w:color w:val="auto"/>
          <w:szCs w:val="24"/>
        </w:rPr>
        <w:t xml:space="preserve">  </w:t>
      </w:r>
      <w:r w:rsidR="00825DF8" w:rsidRPr="00825DF8">
        <w:rPr>
          <w:rFonts w:asciiTheme="minorHAnsi" w:hAnsiTheme="minorHAnsi"/>
          <w:color w:val="auto"/>
          <w:szCs w:val="24"/>
        </w:rPr>
        <w:t xml:space="preserve">Two </w:t>
      </w:r>
      <w:r w:rsidR="00954E5B" w:rsidRPr="00825DF8">
        <w:rPr>
          <w:rFonts w:asciiTheme="minorHAnsi" w:hAnsiTheme="minorHAnsi"/>
          <w:color w:val="auto"/>
          <w:szCs w:val="24"/>
        </w:rPr>
        <w:t>other conditions</w:t>
      </w:r>
      <w:r w:rsidR="00602E5E">
        <w:rPr>
          <w:rFonts w:asciiTheme="minorHAnsi" w:hAnsiTheme="minorHAnsi"/>
          <w:color w:val="auto"/>
          <w:szCs w:val="24"/>
        </w:rPr>
        <w:t xml:space="preserve"> (</w:t>
      </w:r>
      <w:r w:rsidR="0099000F">
        <w:rPr>
          <w:rFonts w:asciiTheme="minorHAnsi" w:hAnsiTheme="minorHAnsi"/>
          <w:color w:val="auto"/>
          <w:szCs w:val="24"/>
        </w:rPr>
        <w:t>obesity and tinea corporis)</w:t>
      </w:r>
      <w:r w:rsidR="00954E5B" w:rsidRPr="00825DF8">
        <w:rPr>
          <w:rFonts w:asciiTheme="minorHAnsi" w:hAnsiTheme="minorHAnsi"/>
          <w:color w:val="auto"/>
          <w:szCs w:val="24"/>
        </w:rPr>
        <w:t xml:space="preserve"> were </w:t>
      </w:r>
      <w:r w:rsidR="0099000F">
        <w:rPr>
          <w:rFonts w:asciiTheme="minorHAnsi" w:hAnsiTheme="minorHAnsi"/>
          <w:color w:val="auto"/>
          <w:szCs w:val="24"/>
        </w:rPr>
        <w:t>listed</w:t>
      </w:r>
      <w:r w:rsidR="00954E5B" w:rsidRPr="00825DF8">
        <w:rPr>
          <w:rFonts w:asciiTheme="minorHAnsi" w:hAnsiTheme="minorHAnsi"/>
          <w:color w:val="auto"/>
          <w:szCs w:val="24"/>
        </w:rPr>
        <w:t xml:space="preserve"> on the</w:t>
      </w:r>
      <w:r w:rsidR="0099000F">
        <w:rPr>
          <w:rFonts w:asciiTheme="minorHAnsi" w:hAnsiTheme="minorHAnsi"/>
          <w:color w:val="auto"/>
          <w:szCs w:val="24"/>
        </w:rPr>
        <w:t xml:space="preserve"> DA Form 3947</w:t>
      </w:r>
      <w:r w:rsidR="00B04562" w:rsidRPr="00825DF8">
        <w:rPr>
          <w:rFonts w:asciiTheme="minorHAnsi" w:hAnsiTheme="minorHAnsi"/>
          <w:color w:val="auto"/>
          <w:szCs w:val="24"/>
        </w:rPr>
        <w:t xml:space="preserve"> </w:t>
      </w:r>
      <w:r w:rsidR="00954E5B" w:rsidRPr="00825DF8">
        <w:rPr>
          <w:rFonts w:asciiTheme="minorHAnsi" w:hAnsiTheme="minorHAnsi"/>
          <w:color w:val="auto"/>
          <w:szCs w:val="24"/>
        </w:rPr>
        <w:t>as medically acceptable</w:t>
      </w:r>
      <w:r w:rsidR="00B04562" w:rsidRPr="00825DF8">
        <w:rPr>
          <w:rFonts w:asciiTheme="minorHAnsi" w:hAnsiTheme="minorHAnsi"/>
          <w:color w:val="auto"/>
          <w:szCs w:val="24"/>
        </w:rPr>
        <w:t>.</w:t>
      </w:r>
      <w:r w:rsidR="007B6C84">
        <w:rPr>
          <w:rFonts w:asciiTheme="minorHAnsi" w:hAnsiTheme="minorHAnsi"/>
          <w:color w:val="auto"/>
          <w:szCs w:val="24"/>
        </w:rPr>
        <w:t xml:space="preserve">  </w:t>
      </w:r>
      <w:r w:rsidR="00B20624" w:rsidRPr="002F0640">
        <w:rPr>
          <w:rFonts w:asciiTheme="minorHAnsi" w:hAnsiTheme="minorHAnsi"/>
          <w:color w:val="auto"/>
          <w:szCs w:val="24"/>
        </w:rPr>
        <w:t>The PEB</w:t>
      </w:r>
      <w:r w:rsidR="007828B4" w:rsidRPr="002F0640">
        <w:rPr>
          <w:rFonts w:asciiTheme="minorHAnsi" w:hAnsiTheme="minorHAnsi"/>
          <w:color w:val="auto"/>
          <w:szCs w:val="24"/>
        </w:rPr>
        <w:t xml:space="preserve"> </w:t>
      </w:r>
      <w:r w:rsidR="0099000F">
        <w:rPr>
          <w:rFonts w:asciiTheme="minorHAnsi" w:hAnsiTheme="minorHAnsi"/>
          <w:color w:val="auto"/>
          <w:szCs w:val="24"/>
        </w:rPr>
        <w:t>found</w:t>
      </w:r>
      <w:r w:rsidR="00B20624" w:rsidRPr="002F0640">
        <w:rPr>
          <w:rFonts w:asciiTheme="minorHAnsi" w:hAnsiTheme="minorHAnsi"/>
          <w:color w:val="auto"/>
          <w:szCs w:val="24"/>
        </w:rPr>
        <w:t xml:space="preserve"> the </w:t>
      </w:r>
      <w:r w:rsidR="0099000F">
        <w:rPr>
          <w:rFonts w:asciiTheme="minorHAnsi" w:hAnsiTheme="minorHAnsi"/>
          <w:color w:val="auto"/>
          <w:szCs w:val="24"/>
        </w:rPr>
        <w:t>LBP</w:t>
      </w:r>
      <w:r w:rsidR="00825DF8" w:rsidRPr="002F0640">
        <w:rPr>
          <w:rFonts w:asciiTheme="minorHAnsi" w:hAnsiTheme="minorHAnsi"/>
          <w:color w:val="auto"/>
          <w:szCs w:val="24"/>
        </w:rPr>
        <w:t xml:space="preserve"> </w:t>
      </w:r>
      <w:r w:rsidR="00B20624" w:rsidRPr="002F0640">
        <w:rPr>
          <w:rFonts w:asciiTheme="minorHAnsi" w:hAnsiTheme="minorHAnsi"/>
          <w:color w:val="auto"/>
          <w:szCs w:val="24"/>
        </w:rPr>
        <w:t>condition unfitting</w:t>
      </w:r>
      <w:r w:rsidR="0099000F">
        <w:rPr>
          <w:rFonts w:asciiTheme="minorHAnsi" w:hAnsiTheme="minorHAnsi"/>
          <w:color w:val="auto"/>
          <w:szCs w:val="24"/>
        </w:rPr>
        <w:t xml:space="preserve"> and </w:t>
      </w:r>
      <w:r w:rsidR="00B20624" w:rsidRPr="002F0640">
        <w:rPr>
          <w:rFonts w:asciiTheme="minorHAnsi" w:hAnsiTheme="minorHAnsi"/>
          <w:color w:val="auto"/>
          <w:szCs w:val="24"/>
        </w:rPr>
        <w:t xml:space="preserve">rated </w:t>
      </w:r>
      <w:r w:rsidR="0099000F">
        <w:rPr>
          <w:rFonts w:asciiTheme="minorHAnsi" w:hAnsiTheme="minorHAnsi"/>
          <w:color w:val="auto"/>
          <w:szCs w:val="24"/>
        </w:rPr>
        <w:t xml:space="preserve">it </w:t>
      </w:r>
      <w:r w:rsidR="00825DF8" w:rsidRPr="002F0640">
        <w:rPr>
          <w:rFonts w:asciiTheme="minorHAnsi" w:hAnsiTheme="minorHAnsi"/>
          <w:color w:val="auto"/>
          <w:szCs w:val="24"/>
        </w:rPr>
        <w:t>10</w:t>
      </w:r>
      <w:r w:rsidR="00B20624" w:rsidRPr="002F0640">
        <w:rPr>
          <w:rFonts w:asciiTheme="minorHAnsi" w:hAnsiTheme="minorHAnsi"/>
          <w:color w:val="auto"/>
          <w:szCs w:val="24"/>
        </w:rPr>
        <w:t>%</w:t>
      </w:r>
      <w:r w:rsidR="0099000F">
        <w:rPr>
          <w:rFonts w:asciiTheme="minorHAnsi" w:hAnsiTheme="minorHAnsi"/>
          <w:color w:val="auto"/>
          <w:szCs w:val="24"/>
        </w:rPr>
        <w:t xml:space="preserve"> IAW</w:t>
      </w:r>
      <w:r w:rsidR="00B20624" w:rsidRPr="002F0640">
        <w:rPr>
          <w:rFonts w:asciiTheme="minorHAnsi" w:hAnsiTheme="minorHAnsi"/>
          <w:color w:val="auto"/>
          <w:szCs w:val="24"/>
        </w:rPr>
        <w:t xml:space="preserve"> the </w:t>
      </w:r>
      <w:r w:rsidR="002B0204" w:rsidRPr="002F0640">
        <w:rPr>
          <w:rFonts w:asciiTheme="minorHAnsi" w:hAnsiTheme="minorHAnsi"/>
          <w:color w:val="auto"/>
          <w:szCs w:val="24"/>
        </w:rPr>
        <w:t>Veterans’ Administration Schedule for Rating Disabilities (VASRD)</w:t>
      </w:r>
      <w:r w:rsidR="00B20624" w:rsidRPr="002F0640">
        <w:rPr>
          <w:rFonts w:asciiTheme="minorHAnsi" w:hAnsiTheme="minorHAnsi"/>
          <w:color w:val="auto"/>
          <w:szCs w:val="24"/>
        </w:rPr>
        <w:t>.</w:t>
      </w:r>
      <w:r w:rsidR="007B6C84">
        <w:rPr>
          <w:rFonts w:asciiTheme="minorHAnsi" w:hAnsiTheme="minorHAnsi"/>
          <w:color w:val="auto"/>
          <w:szCs w:val="24"/>
        </w:rPr>
        <w:t xml:space="preserve">  </w:t>
      </w:r>
      <w:r w:rsidR="00B20624" w:rsidRPr="00C472C7">
        <w:rPr>
          <w:rFonts w:asciiTheme="minorHAnsi" w:hAnsiTheme="minorHAnsi"/>
          <w:color w:val="auto"/>
        </w:rPr>
        <w:t xml:space="preserve">The </w:t>
      </w:r>
      <w:r w:rsidR="008A6761">
        <w:rPr>
          <w:rFonts w:asciiTheme="minorHAnsi" w:hAnsiTheme="minorHAnsi"/>
          <w:color w:val="auto"/>
        </w:rPr>
        <w:t xml:space="preserve">other two MEB conditions were found to be not unfitting and therefore not ratable.  The </w:t>
      </w:r>
      <w:r w:rsidR="00B20624" w:rsidRPr="00C472C7">
        <w:rPr>
          <w:rFonts w:asciiTheme="minorHAnsi" w:hAnsiTheme="minorHAnsi"/>
          <w:color w:val="auto"/>
        </w:rPr>
        <w:t xml:space="preserve">CI </w:t>
      </w:r>
      <w:r w:rsidR="00190E48" w:rsidRPr="00C472C7">
        <w:rPr>
          <w:rFonts w:asciiTheme="minorHAnsi" w:hAnsiTheme="minorHAnsi"/>
          <w:color w:val="auto"/>
        </w:rPr>
        <w:t xml:space="preserve">made no appeals, </w:t>
      </w:r>
      <w:r w:rsidR="00B20624" w:rsidRPr="00C472C7">
        <w:rPr>
          <w:rFonts w:asciiTheme="minorHAnsi" w:hAnsiTheme="minorHAnsi"/>
          <w:color w:val="auto"/>
        </w:rPr>
        <w:t xml:space="preserve">and was </w:t>
      </w:r>
      <w:r w:rsidR="0099000F">
        <w:rPr>
          <w:rFonts w:asciiTheme="minorHAnsi" w:hAnsiTheme="minorHAnsi"/>
          <w:color w:val="auto"/>
        </w:rPr>
        <w:t xml:space="preserve">thus </w:t>
      </w:r>
      <w:r w:rsidR="00B20624" w:rsidRPr="00C472C7">
        <w:rPr>
          <w:rFonts w:asciiTheme="minorHAnsi" w:hAnsiTheme="minorHAnsi"/>
          <w:color w:val="auto"/>
        </w:rPr>
        <w:t xml:space="preserve">medically separated with </w:t>
      </w:r>
      <w:r w:rsidR="00825DF8">
        <w:rPr>
          <w:rFonts w:asciiTheme="minorHAnsi" w:hAnsiTheme="minorHAnsi"/>
          <w:color w:val="auto"/>
        </w:rPr>
        <w:t>10</w:t>
      </w:r>
      <w:r w:rsidR="00B20624" w:rsidRPr="00C472C7">
        <w:rPr>
          <w:rFonts w:asciiTheme="minorHAnsi" w:hAnsiTheme="minorHAnsi"/>
          <w:color w:val="auto"/>
        </w:rPr>
        <w:t>% disability.</w:t>
      </w:r>
    </w:p>
    <w:p w:rsidR="008E0D8F" w:rsidRDefault="008E0D8F" w:rsidP="00354FA9">
      <w:pPr>
        <w:pBdr>
          <w:bottom w:val="single" w:sz="12" w:space="1" w:color="auto"/>
        </w:pBdr>
        <w:tabs>
          <w:tab w:val="left" w:pos="288"/>
          <w:tab w:val="left" w:pos="4752"/>
        </w:tabs>
        <w:spacing w:line="240" w:lineRule="exact"/>
        <w:jc w:val="both"/>
        <w:rPr>
          <w:rFonts w:asciiTheme="minorHAnsi" w:hAnsiTheme="minorHAnsi"/>
          <w:color w:val="auto"/>
        </w:rPr>
      </w:pPr>
    </w:p>
    <w:p w:rsidR="00612FB0" w:rsidRDefault="00612FB0" w:rsidP="00354FA9">
      <w:pPr>
        <w:tabs>
          <w:tab w:val="left" w:pos="288"/>
          <w:tab w:val="left" w:pos="4752"/>
        </w:tabs>
        <w:spacing w:line="240" w:lineRule="exact"/>
        <w:jc w:val="both"/>
        <w:rPr>
          <w:rFonts w:asciiTheme="minorHAnsi" w:hAnsiTheme="minorHAnsi"/>
          <w:color w:val="auto"/>
          <w:u w:val="single"/>
        </w:rPr>
      </w:pPr>
    </w:p>
    <w:p w:rsidR="00ED5284" w:rsidRPr="005C4D72" w:rsidRDefault="003E053B" w:rsidP="00354FA9">
      <w:pPr>
        <w:tabs>
          <w:tab w:val="left" w:pos="288"/>
          <w:tab w:val="left" w:pos="4752"/>
        </w:tabs>
        <w:spacing w:line="240" w:lineRule="exact"/>
        <w:jc w:val="both"/>
        <w:rPr>
          <w:rFonts w:eastAsiaTheme="minorHAnsi" w:cstheme="minorBidi"/>
          <w:color w:val="auto"/>
          <w:szCs w:val="24"/>
        </w:rPr>
      </w:pPr>
      <w:r w:rsidRPr="00326C08">
        <w:rPr>
          <w:rFonts w:asciiTheme="minorHAnsi" w:hAnsiTheme="minorHAnsi"/>
          <w:color w:val="auto"/>
          <w:u w:val="single"/>
        </w:rPr>
        <w:t>CI CONTENTION</w:t>
      </w:r>
      <w:r w:rsidRPr="00326C08">
        <w:rPr>
          <w:rFonts w:asciiTheme="minorHAnsi" w:hAnsiTheme="minorHAnsi"/>
          <w:color w:val="auto"/>
        </w:rPr>
        <w:t>:</w:t>
      </w:r>
      <w:r w:rsidR="0099000F">
        <w:rPr>
          <w:rFonts w:asciiTheme="minorHAnsi" w:hAnsiTheme="minorHAnsi"/>
          <w:color w:val="auto"/>
        </w:rPr>
        <w:t xml:space="preserve"> </w:t>
      </w:r>
      <w:r w:rsidR="000A3D6B">
        <w:rPr>
          <w:rFonts w:asciiTheme="minorHAnsi" w:hAnsiTheme="minorHAnsi"/>
          <w:color w:val="auto"/>
        </w:rPr>
        <w:t xml:space="preserve"> </w:t>
      </w:r>
      <w:r w:rsidR="00D14B13">
        <w:rPr>
          <w:rFonts w:asciiTheme="minorHAnsi" w:hAnsiTheme="minorHAnsi"/>
          <w:color w:val="auto"/>
        </w:rPr>
        <w:t xml:space="preserve">The CI states, </w:t>
      </w:r>
      <w:r w:rsidR="000A3D6B">
        <w:rPr>
          <w:rFonts w:asciiTheme="minorHAnsi" w:hAnsiTheme="minorHAnsi"/>
          <w:color w:val="auto"/>
        </w:rPr>
        <w:t>“I was not properly rated while getting out.  I received a lump sum severance and a rating of 10% from the Army.  I am currently rated at 80% SC with pending issues to be claimed/rated.</w:t>
      </w:r>
      <w:r w:rsidR="00703CAF">
        <w:rPr>
          <w:rFonts w:asciiTheme="minorHAnsi" w:hAnsiTheme="minorHAnsi"/>
          <w:color w:val="auto"/>
        </w:rPr>
        <w:t>”</w:t>
      </w:r>
    </w:p>
    <w:p w:rsidR="003E1682" w:rsidRDefault="003E1682" w:rsidP="00354FA9">
      <w:pPr>
        <w:pBdr>
          <w:bottom w:val="single" w:sz="12" w:space="1" w:color="auto"/>
        </w:pBdr>
        <w:spacing w:line="240" w:lineRule="exact"/>
        <w:rPr>
          <w:rFonts w:asciiTheme="minorHAnsi" w:hAnsiTheme="minorHAnsi"/>
          <w:color w:val="auto"/>
          <w:u w:val="single"/>
        </w:rPr>
      </w:pPr>
    </w:p>
    <w:p w:rsidR="002F0640" w:rsidRDefault="002F0640" w:rsidP="00354FA9">
      <w:pPr>
        <w:spacing w:line="240" w:lineRule="exact"/>
        <w:rPr>
          <w:rFonts w:asciiTheme="minorHAnsi" w:hAnsiTheme="minorHAnsi"/>
          <w:color w:val="auto"/>
          <w:u w:val="single"/>
        </w:rPr>
      </w:pPr>
    </w:p>
    <w:p w:rsidR="002338CA" w:rsidRDefault="007F0AB7" w:rsidP="00354FA9">
      <w:pPr>
        <w:spacing w:line="240" w:lineRule="exact"/>
        <w:rPr>
          <w:rFonts w:asciiTheme="minorHAnsi" w:hAnsiTheme="minorHAnsi"/>
          <w:color w:val="auto"/>
        </w:rPr>
      </w:pPr>
      <w:r>
        <w:rPr>
          <w:rFonts w:asciiTheme="minorHAnsi" w:hAnsiTheme="minorHAnsi"/>
          <w:color w:val="auto"/>
          <w:u w:val="single"/>
        </w:rPr>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r w:rsidR="00DA5040" w:rsidRPr="00DA5040">
        <w:rPr>
          <w:color w:val="auto"/>
          <w:sz w:val="18"/>
          <w:szCs w:val="18"/>
        </w:rPr>
        <w:t xml:space="preserve"> </w:t>
      </w:r>
    </w:p>
    <w:p w:rsidR="000F0928" w:rsidRPr="002A4119" w:rsidRDefault="000F0928" w:rsidP="00354FA9">
      <w:pPr>
        <w:spacing w:line="240" w:lineRule="exact"/>
        <w:rPr>
          <w:rFonts w:asciiTheme="minorHAnsi" w:hAnsiTheme="minorHAnsi"/>
          <w:color w:val="auto"/>
        </w:rPr>
      </w:pPr>
    </w:p>
    <w:tbl>
      <w:tblPr>
        <w:tblStyle w:val="TableGrid"/>
        <w:tblW w:w="8860" w:type="dxa"/>
        <w:jc w:val="center"/>
        <w:tblInd w:w="284" w:type="dxa"/>
        <w:tblLayout w:type="fixed"/>
        <w:tblLook w:val="04A0"/>
      </w:tblPr>
      <w:tblGrid>
        <w:gridCol w:w="1714"/>
        <w:gridCol w:w="1260"/>
        <w:gridCol w:w="900"/>
        <w:gridCol w:w="2250"/>
        <w:gridCol w:w="846"/>
        <w:gridCol w:w="900"/>
        <w:gridCol w:w="990"/>
      </w:tblGrid>
      <w:tr w:rsidR="002B4E22" w:rsidRPr="002A4119" w:rsidTr="00CB0488">
        <w:trPr>
          <w:trHeight w:val="233"/>
          <w:jc w:val="center"/>
        </w:trPr>
        <w:tc>
          <w:tcPr>
            <w:tcW w:w="3874" w:type="dxa"/>
            <w:gridSpan w:val="3"/>
            <w:tcBorders>
              <w:right w:val="thinThickThinSmallGap" w:sz="24" w:space="0" w:color="auto"/>
            </w:tcBorders>
            <w:shd w:val="clear" w:color="auto" w:fill="D9D9D9" w:themeFill="background1" w:themeFillShade="D9"/>
            <w:vAlign w:val="center"/>
          </w:tcPr>
          <w:p w:rsidR="002B4E22" w:rsidRPr="00B06930" w:rsidRDefault="00166FB4" w:rsidP="00354FA9">
            <w:pPr>
              <w:spacing w:line="240" w:lineRule="exact"/>
              <w:contextualSpacing/>
              <w:jc w:val="center"/>
              <w:rPr>
                <w:b/>
                <w:color w:val="auto"/>
                <w:sz w:val="20"/>
                <w:szCs w:val="20"/>
              </w:rPr>
            </w:pPr>
            <w:r>
              <w:rPr>
                <w:b/>
                <w:color w:val="auto"/>
                <w:sz w:val="20"/>
                <w:szCs w:val="20"/>
              </w:rPr>
              <w:t>Army</w:t>
            </w:r>
            <w:r w:rsidR="00B731E4" w:rsidRPr="00B06930">
              <w:rPr>
                <w:b/>
                <w:color w:val="auto"/>
                <w:sz w:val="20"/>
                <w:szCs w:val="20"/>
              </w:rPr>
              <w:t xml:space="preserve"> </w:t>
            </w:r>
            <w:r>
              <w:rPr>
                <w:b/>
                <w:color w:val="auto"/>
                <w:sz w:val="20"/>
                <w:szCs w:val="20"/>
              </w:rPr>
              <w:t>PEB – d</w:t>
            </w:r>
            <w:r w:rsidR="00B731E4" w:rsidRPr="00B06930">
              <w:rPr>
                <w:b/>
                <w:color w:val="auto"/>
                <w:sz w:val="20"/>
                <w:szCs w:val="20"/>
              </w:rPr>
              <w:t>ated 200</w:t>
            </w:r>
            <w:r w:rsidR="002F0640">
              <w:rPr>
                <w:b/>
                <w:color w:val="auto"/>
                <w:sz w:val="20"/>
                <w:szCs w:val="20"/>
              </w:rPr>
              <w:t>50613</w:t>
            </w:r>
          </w:p>
        </w:tc>
        <w:tc>
          <w:tcPr>
            <w:tcW w:w="4986" w:type="dxa"/>
            <w:gridSpan w:val="4"/>
            <w:tcBorders>
              <w:left w:val="thinThickThinSmallGap" w:sz="24" w:space="0" w:color="auto"/>
            </w:tcBorders>
            <w:shd w:val="clear" w:color="auto" w:fill="D9D9D9" w:themeFill="background1" w:themeFillShade="D9"/>
            <w:vAlign w:val="center"/>
          </w:tcPr>
          <w:p w:rsidR="002B4E22" w:rsidRPr="00825DF8" w:rsidRDefault="002B4E22" w:rsidP="00354FA9">
            <w:pPr>
              <w:spacing w:line="240" w:lineRule="exact"/>
              <w:contextualSpacing/>
              <w:jc w:val="center"/>
              <w:rPr>
                <w:b/>
                <w:color w:val="auto"/>
                <w:sz w:val="20"/>
                <w:szCs w:val="20"/>
              </w:rPr>
            </w:pPr>
            <w:r w:rsidRPr="00825DF8">
              <w:rPr>
                <w:b/>
                <w:color w:val="auto"/>
                <w:sz w:val="20"/>
                <w:szCs w:val="20"/>
              </w:rPr>
              <w:t>VA (</w:t>
            </w:r>
            <w:r w:rsidR="00825DF8" w:rsidRPr="00825DF8">
              <w:rPr>
                <w:b/>
                <w:color w:val="auto"/>
                <w:sz w:val="20"/>
                <w:szCs w:val="20"/>
              </w:rPr>
              <w:t>2</w:t>
            </w:r>
            <w:r w:rsidR="0079154B" w:rsidRPr="00825DF8">
              <w:rPr>
                <w:b/>
                <w:color w:val="auto"/>
                <w:sz w:val="20"/>
                <w:szCs w:val="20"/>
              </w:rPr>
              <w:t xml:space="preserve"> </w:t>
            </w:r>
            <w:r w:rsidR="00166FB4">
              <w:rPr>
                <w:b/>
                <w:color w:val="auto"/>
                <w:sz w:val="20"/>
                <w:szCs w:val="20"/>
              </w:rPr>
              <w:t>m</w:t>
            </w:r>
            <w:r w:rsidRPr="00825DF8">
              <w:rPr>
                <w:b/>
                <w:color w:val="auto"/>
                <w:sz w:val="20"/>
                <w:szCs w:val="20"/>
              </w:rPr>
              <w:t>o.</w:t>
            </w:r>
            <w:r w:rsidR="00166FB4">
              <w:rPr>
                <w:b/>
                <w:color w:val="auto"/>
                <w:sz w:val="20"/>
                <w:szCs w:val="20"/>
              </w:rPr>
              <w:t xml:space="preserve"> a</w:t>
            </w:r>
            <w:r w:rsidRPr="00825DF8">
              <w:rPr>
                <w:b/>
                <w:color w:val="auto"/>
                <w:sz w:val="20"/>
                <w:szCs w:val="20"/>
              </w:rPr>
              <w:t xml:space="preserve">fter Separation) – All Effective </w:t>
            </w:r>
            <w:r w:rsidR="002D08F3" w:rsidRPr="00825DF8">
              <w:rPr>
                <w:b/>
                <w:color w:val="auto"/>
                <w:sz w:val="20"/>
                <w:szCs w:val="20"/>
              </w:rPr>
              <w:t>200</w:t>
            </w:r>
            <w:r w:rsidR="00825DF8" w:rsidRPr="00825DF8">
              <w:rPr>
                <w:b/>
                <w:color w:val="auto"/>
                <w:sz w:val="20"/>
                <w:szCs w:val="20"/>
              </w:rPr>
              <w:t>50630</w:t>
            </w:r>
          </w:p>
        </w:tc>
      </w:tr>
      <w:tr w:rsidR="002B4E22" w:rsidRPr="002A4119" w:rsidTr="00CB0488">
        <w:trPr>
          <w:trHeight w:val="278"/>
          <w:jc w:val="center"/>
        </w:trPr>
        <w:tc>
          <w:tcPr>
            <w:tcW w:w="1714" w:type="dxa"/>
            <w:tcBorders>
              <w:bottom w:val="single" w:sz="4" w:space="0" w:color="000000" w:themeColor="text1"/>
              <w:right w:val="single" w:sz="4" w:space="0" w:color="auto"/>
            </w:tcBorders>
            <w:shd w:val="clear" w:color="auto" w:fill="D9D9D9" w:themeFill="background1" w:themeFillShade="D9"/>
            <w:vAlign w:val="center"/>
          </w:tcPr>
          <w:p w:rsidR="002B4E22" w:rsidRPr="00B06930" w:rsidRDefault="002B4E22" w:rsidP="00354FA9">
            <w:pPr>
              <w:spacing w:line="240" w:lineRule="exact"/>
              <w:contextualSpacing/>
              <w:jc w:val="center"/>
              <w:rPr>
                <w:b/>
                <w:color w:val="auto"/>
                <w:sz w:val="20"/>
                <w:szCs w:val="20"/>
              </w:rPr>
            </w:pPr>
            <w:r w:rsidRPr="00B06930">
              <w:rPr>
                <w:b/>
                <w:color w:val="auto"/>
                <w:sz w:val="20"/>
                <w:szCs w:val="20"/>
              </w:rPr>
              <w:t>Condition</w:t>
            </w:r>
          </w:p>
        </w:tc>
        <w:tc>
          <w:tcPr>
            <w:tcW w:w="1260" w:type="dxa"/>
            <w:tcBorders>
              <w:left w:val="single" w:sz="4" w:space="0" w:color="auto"/>
              <w:bottom w:val="single" w:sz="4" w:space="0" w:color="000000" w:themeColor="text1"/>
            </w:tcBorders>
            <w:shd w:val="clear" w:color="auto" w:fill="D9D9D9" w:themeFill="background1" w:themeFillShade="D9"/>
            <w:vAlign w:val="center"/>
          </w:tcPr>
          <w:p w:rsidR="002B4E22" w:rsidRPr="00B06930" w:rsidRDefault="002B4E22" w:rsidP="00354FA9">
            <w:pPr>
              <w:spacing w:line="240" w:lineRule="exact"/>
              <w:contextualSpacing/>
              <w:jc w:val="center"/>
              <w:rPr>
                <w:b/>
                <w:color w:val="auto"/>
                <w:sz w:val="20"/>
                <w:szCs w:val="20"/>
              </w:rPr>
            </w:pPr>
            <w:r w:rsidRPr="00B06930">
              <w:rPr>
                <w:b/>
                <w:color w:val="auto"/>
                <w:sz w:val="20"/>
                <w:szCs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B06930" w:rsidRDefault="002B4E22" w:rsidP="00354FA9">
            <w:pPr>
              <w:spacing w:line="240" w:lineRule="exact"/>
              <w:contextualSpacing/>
              <w:jc w:val="center"/>
              <w:rPr>
                <w:b/>
                <w:color w:val="auto"/>
                <w:sz w:val="20"/>
                <w:szCs w:val="20"/>
              </w:rPr>
            </w:pPr>
            <w:r w:rsidRPr="00B06930">
              <w:rPr>
                <w:b/>
                <w:color w:val="auto"/>
                <w:sz w:val="20"/>
                <w:szCs w:val="20"/>
              </w:rPr>
              <w:t>Rating</w:t>
            </w:r>
          </w:p>
        </w:tc>
        <w:tc>
          <w:tcPr>
            <w:tcW w:w="2250"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825DF8" w:rsidRDefault="002B4E22" w:rsidP="00354FA9">
            <w:pPr>
              <w:spacing w:line="240" w:lineRule="exact"/>
              <w:contextualSpacing/>
              <w:jc w:val="center"/>
              <w:rPr>
                <w:b/>
                <w:color w:val="auto"/>
                <w:sz w:val="20"/>
                <w:szCs w:val="20"/>
              </w:rPr>
            </w:pPr>
            <w:r w:rsidRPr="00825DF8">
              <w:rPr>
                <w:b/>
                <w:color w:val="auto"/>
                <w:sz w:val="20"/>
                <w:szCs w:val="20"/>
              </w:rPr>
              <w:t>Condition</w:t>
            </w:r>
          </w:p>
        </w:tc>
        <w:tc>
          <w:tcPr>
            <w:tcW w:w="846" w:type="dxa"/>
            <w:tcBorders>
              <w:bottom w:val="single" w:sz="4" w:space="0" w:color="000000" w:themeColor="text1"/>
            </w:tcBorders>
            <w:shd w:val="clear" w:color="auto" w:fill="D9D9D9" w:themeFill="background1" w:themeFillShade="D9"/>
            <w:vAlign w:val="center"/>
          </w:tcPr>
          <w:p w:rsidR="002B4E22" w:rsidRPr="00B06930" w:rsidRDefault="002B4E22" w:rsidP="00354FA9">
            <w:pPr>
              <w:spacing w:line="240" w:lineRule="exact"/>
              <w:contextualSpacing/>
              <w:jc w:val="center"/>
              <w:rPr>
                <w:b/>
                <w:color w:val="auto"/>
                <w:sz w:val="20"/>
                <w:szCs w:val="20"/>
              </w:rPr>
            </w:pPr>
            <w:r w:rsidRPr="00B06930">
              <w:rPr>
                <w:b/>
                <w:color w:val="auto"/>
                <w:sz w:val="20"/>
                <w:szCs w:val="20"/>
              </w:rPr>
              <w:t>Code</w:t>
            </w:r>
          </w:p>
        </w:tc>
        <w:tc>
          <w:tcPr>
            <w:tcW w:w="900" w:type="dxa"/>
            <w:tcBorders>
              <w:bottom w:val="single" w:sz="4" w:space="0" w:color="000000" w:themeColor="text1"/>
            </w:tcBorders>
            <w:shd w:val="clear" w:color="auto" w:fill="D9D9D9" w:themeFill="background1" w:themeFillShade="D9"/>
            <w:vAlign w:val="center"/>
          </w:tcPr>
          <w:p w:rsidR="002B4E22" w:rsidRPr="00B06930" w:rsidRDefault="002B4E22" w:rsidP="00354FA9">
            <w:pPr>
              <w:spacing w:line="240" w:lineRule="exact"/>
              <w:contextualSpacing/>
              <w:jc w:val="center"/>
              <w:rPr>
                <w:b/>
                <w:color w:val="auto"/>
                <w:sz w:val="20"/>
                <w:szCs w:val="20"/>
              </w:rPr>
            </w:pPr>
            <w:r w:rsidRPr="00B06930">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2B4E22" w:rsidRPr="00B06930" w:rsidRDefault="002B4E22" w:rsidP="00354FA9">
            <w:pPr>
              <w:spacing w:line="240" w:lineRule="exact"/>
              <w:contextualSpacing/>
              <w:jc w:val="center"/>
              <w:rPr>
                <w:b/>
                <w:color w:val="auto"/>
                <w:sz w:val="20"/>
                <w:szCs w:val="20"/>
              </w:rPr>
            </w:pPr>
            <w:r w:rsidRPr="00B06930">
              <w:rPr>
                <w:b/>
                <w:color w:val="auto"/>
                <w:sz w:val="20"/>
                <w:szCs w:val="20"/>
              </w:rPr>
              <w:t>Exam</w:t>
            </w:r>
          </w:p>
        </w:tc>
      </w:tr>
      <w:tr w:rsidR="002D08F3" w:rsidRPr="002A4119" w:rsidTr="00CB0488">
        <w:trPr>
          <w:trHeight w:val="287"/>
          <w:jc w:val="center"/>
        </w:trPr>
        <w:tc>
          <w:tcPr>
            <w:tcW w:w="1714" w:type="dxa"/>
            <w:tcBorders>
              <w:right w:val="single" w:sz="4" w:space="0" w:color="auto"/>
            </w:tcBorders>
            <w:shd w:val="clear" w:color="auto" w:fill="FFFFFF" w:themeFill="background1"/>
            <w:vAlign w:val="center"/>
          </w:tcPr>
          <w:p w:rsidR="002D08F3" w:rsidRPr="002F0640" w:rsidRDefault="002F0640" w:rsidP="00354FA9">
            <w:pPr>
              <w:spacing w:line="240" w:lineRule="exact"/>
              <w:contextualSpacing/>
              <w:rPr>
                <w:color w:val="auto"/>
                <w:sz w:val="18"/>
                <w:szCs w:val="18"/>
              </w:rPr>
            </w:pPr>
            <w:r w:rsidRPr="002F0640">
              <w:rPr>
                <w:color w:val="auto"/>
                <w:sz w:val="18"/>
                <w:szCs w:val="18"/>
              </w:rPr>
              <w:t>Chronic LBP</w:t>
            </w:r>
          </w:p>
        </w:tc>
        <w:tc>
          <w:tcPr>
            <w:tcW w:w="1260" w:type="dxa"/>
            <w:tcBorders>
              <w:left w:val="single" w:sz="4" w:space="0" w:color="auto"/>
            </w:tcBorders>
            <w:shd w:val="clear" w:color="auto" w:fill="FFFFFF" w:themeFill="background1"/>
            <w:vAlign w:val="center"/>
          </w:tcPr>
          <w:p w:rsidR="002D08F3" w:rsidRPr="002F0640" w:rsidRDefault="002F0640" w:rsidP="00354FA9">
            <w:pPr>
              <w:spacing w:line="240" w:lineRule="exact"/>
              <w:contextualSpacing/>
              <w:jc w:val="center"/>
              <w:rPr>
                <w:color w:val="auto"/>
                <w:sz w:val="18"/>
                <w:szCs w:val="18"/>
              </w:rPr>
            </w:pPr>
            <w:r w:rsidRPr="002F0640">
              <w:rPr>
                <w:color w:val="auto"/>
                <w:sz w:val="18"/>
                <w:szCs w:val="18"/>
              </w:rPr>
              <w:t>5243</w:t>
            </w:r>
          </w:p>
        </w:tc>
        <w:tc>
          <w:tcPr>
            <w:tcW w:w="900" w:type="dxa"/>
            <w:tcBorders>
              <w:right w:val="thinThickThinSmallGap" w:sz="24" w:space="0" w:color="auto"/>
            </w:tcBorders>
            <w:shd w:val="clear" w:color="auto" w:fill="FFFFFF" w:themeFill="background1"/>
            <w:vAlign w:val="center"/>
          </w:tcPr>
          <w:p w:rsidR="002D08F3" w:rsidRPr="002F0640" w:rsidRDefault="002F0640" w:rsidP="00354FA9">
            <w:pPr>
              <w:spacing w:line="240" w:lineRule="exact"/>
              <w:contextualSpacing/>
              <w:jc w:val="center"/>
              <w:rPr>
                <w:color w:val="auto"/>
                <w:sz w:val="18"/>
                <w:szCs w:val="18"/>
              </w:rPr>
            </w:pPr>
            <w:r w:rsidRPr="002F0640">
              <w:rPr>
                <w:color w:val="auto"/>
                <w:sz w:val="18"/>
                <w:szCs w:val="18"/>
              </w:rPr>
              <w:t>10%</w:t>
            </w:r>
          </w:p>
        </w:tc>
        <w:tc>
          <w:tcPr>
            <w:tcW w:w="2250" w:type="dxa"/>
            <w:tcBorders>
              <w:left w:val="thinThickThinSmallGap" w:sz="24" w:space="0" w:color="auto"/>
            </w:tcBorders>
            <w:shd w:val="clear" w:color="auto" w:fill="FFFFFF" w:themeFill="background1"/>
            <w:vAlign w:val="center"/>
          </w:tcPr>
          <w:p w:rsidR="002D08F3" w:rsidRPr="000A3D6B" w:rsidRDefault="000A3D6B" w:rsidP="00354FA9">
            <w:pPr>
              <w:spacing w:line="240" w:lineRule="exact"/>
              <w:contextualSpacing/>
              <w:rPr>
                <w:color w:val="auto"/>
                <w:sz w:val="18"/>
                <w:szCs w:val="18"/>
              </w:rPr>
            </w:pPr>
            <w:r w:rsidRPr="000A3D6B">
              <w:rPr>
                <w:color w:val="auto"/>
                <w:sz w:val="18"/>
                <w:szCs w:val="18"/>
              </w:rPr>
              <w:t xml:space="preserve">Low Back Strain </w:t>
            </w:r>
          </w:p>
        </w:tc>
        <w:tc>
          <w:tcPr>
            <w:tcW w:w="846" w:type="dxa"/>
            <w:shd w:val="clear" w:color="auto" w:fill="FFFFFF" w:themeFill="background1"/>
            <w:vAlign w:val="center"/>
          </w:tcPr>
          <w:p w:rsidR="002D08F3" w:rsidRPr="0086102A" w:rsidRDefault="000A3D6B" w:rsidP="00354FA9">
            <w:pPr>
              <w:spacing w:line="240" w:lineRule="exact"/>
              <w:contextualSpacing/>
              <w:jc w:val="center"/>
              <w:rPr>
                <w:color w:val="auto"/>
                <w:sz w:val="18"/>
                <w:szCs w:val="18"/>
              </w:rPr>
            </w:pPr>
            <w:r>
              <w:rPr>
                <w:color w:val="auto"/>
                <w:sz w:val="18"/>
                <w:szCs w:val="18"/>
              </w:rPr>
              <w:t>5237</w:t>
            </w:r>
          </w:p>
        </w:tc>
        <w:tc>
          <w:tcPr>
            <w:tcW w:w="900" w:type="dxa"/>
            <w:shd w:val="clear" w:color="auto" w:fill="FFFFFF" w:themeFill="background1"/>
            <w:vAlign w:val="center"/>
          </w:tcPr>
          <w:p w:rsidR="002D08F3" w:rsidRPr="0086102A" w:rsidRDefault="000A3D6B" w:rsidP="00354FA9">
            <w:pPr>
              <w:spacing w:line="240" w:lineRule="exact"/>
              <w:contextualSpacing/>
              <w:jc w:val="center"/>
              <w:rPr>
                <w:color w:val="auto"/>
                <w:sz w:val="18"/>
                <w:szCs w:val="18"/>
              </w:rPr>
            </w:pPr>
            <w:r>
              <w:rPr>
                <w:color w:val="auto"/>
                <w:sz w:val="18"/>
                <w:szCs w:val="18"/>
              </w:rPr>
              <w:t>10%</w:t>
            </w:r>
          </w:p>
        </w:tc>
        <w:tc>
          <w:tcPr>
            <w:tcW w:w="990" w:type="dxa"/>
            <w:shd w:val="clear" w:color="auto" w:fill="FFFFFF" w:themeFill="background1"/>
            <w:vAlign w:val="center"/>
          </w:tcPr>
          <w:p w:rsidR="002D08F3" w:rsidRPr="0086102A" w:rsidRDefault="002D08F3" w:rsidP="00354FA9">
            <w:pPr>
              <w:spacing w:line="240" w:lineRule="exact"/>
              <w:contextualSpacing/>
              <w:jc w:val="center"/>
              <w:rPr>
                <w:color w:val="auto"/>
                <w:sz w:val="18"/>
                <w:szCs w:val="18"/>
                <w:highlight w:val="yellow"/>
              </w:rPr>
            </w:pPr>
            <w:r w:rsidRPr="002F0640">
              <w:rPr>
                <w:color w:val="auto"/>
                <w:sz w:val="18"/>
                <w:szCs w:val="18"/>
              </w:rPr>
              <w:t>200</w:t>
            </w:r>
            <w:r w:rsidR="002F0640" w:rsidRPr="002F0640">
              <w:rPr>
                <w:color w:val="auto"/>
                <w:sz w:val="18"/>
                <w:szCs w:val="18"/>
              </w:rPr>
              <w:t>50903</w:t>
            </w:r>
          </w:p>
        </w:tc>
      </w:tr>
      <w:tr w:rsidR="00DA5040" w:rsidRPr="002A4119" w:rsidTr="00CB0488">
        <w:trPr>
          <w:trHeight w:val="287"/>
          <w:jc w:val="center"/>
        </w:trPr>
        <w:tc>
          <w:tcPr>
            <w:tcW w:w="1714" w:type="dxa"/>
            <w:tcBorders>
              <w:right w:val="single" w:sz="4" w:space="0" w:color="auto"/>
            </w:tcBorders>
            <w:shd w:val="clear" w:color="auto" w:fill="FFFFFF" w:themeFill="background1"/>
            <w:vAlign w:val="center"/>
          </w:tcPr>
          <w:p w:rsidR="00DA5040" w:rsidRPr="0086102A" w:rsidRDefault="00DA5040" w:rsidP="00354FA9">
            <w:pPr>
              <w:spacing w:line="240" w:lineRule="exact"/>
              <w:contextualSpacing/>
              <w:rPr>
                <w:color w:val="auto"/>
                <w:sz w:val="18"/>
                <w:szCs w:val="18"/>
              </w:rPr>
            </w:pPr>
          </w:p>
        </w:tc>
        <w:tc>
          <w:tcPr>
            <w:tcW w:w="2160" w:type="dxa"/>
            <w:gridSpan w:val="2"/>
            <w:vMerge w:val="restart"/>
            <w:tcBorders>
              <w:left w:val="single" w:sz="4" w:space="0" w:color="auto"/>
              <w:right w:val="thinThickThinSmallGap" w:sz="24" w:space="0" w:color="auto"/>
            </w:tcBorders>
            <w:shd w:val="clear" w:color="auto" w:fill="FFFFFF" w:themeFill="background1"/>
            <w:vAlign w:val="center"/>
          </w:tcPr>
          <w:p w:rsidR="00DA5040" w:rsidRPr="002F0640" w:rsidRDefault="00DA5040" w:rsidP="00354FA9">
            <w:pPr>
              <w:spacing w:line="240" w:lineRule="exact"/>
              <w:contextualSpacing/>
              <w:jc w:val="center"/>
              <w:rPr>
                <w:color w:val="auto"/>
                <w:sz w:val="18"/>
                <w:szCs w:val="18"/>
              </w:rPr>
            </w:pPr>
            <w:r w:rsidRPr="002F0640">
              <w:rPr>
                <w:color w:val="auto"/>
                <w:sz w:val="18"/>
                <w:szCs w:val="18"/>
              </w:rPr>
              <w:t>Not Unfitting</w:t>
            </w:r>
          </w:p>
          <w:p w:rsidR="00DA5040" w:rsidRPr="004C2063" w:rsidRDefault="00DA5040" w:rsidP="00354FA9">
            <w:pPr>
              <w:spacing w:line="240" w:lineRule="exact"/>
              <w:contextualSpacing/>
              <w:jc w:val="center"/>
              <w:rPr>
                <w:color w:val="auto"/>
                <w:sz w:val="18"/>
                <w:szCs w:val="18"/>
                <w:highlight w:val="yellow"/>
              </w:rPr>
            </w:pPr>
          </w:p>
        </w:tc>
        <w:tc>
          <w:tcPr>
            <w:tcW w:w="2250" w:type="dxa"/>
            <w:tcBorders>
              <w:left w:val="thinThickThinSmallGap" w:sz="24" w:space="0" w:color="auto"/>
              <w:right w:val="single" w:sz="4" w:space="0" w:color="auto"/>
            </w:tcBorders>
            <w:shd w:val="clear" w:color="auto" w:fill="FFFFFF" w:themeFill="background1"/>
            <w:vAlign w:val="center"/>
          </w:tcPr>
          <w:p w:rsidR="00DA5040" w:rsidRPr="000A3D6B" w:rsidRDefault="00DA5040" w:rsidP="00354FA9">
            <w:pPr>
              <w:spacing w:line="240" w:lineRule="exact"/>
              <w:contextualSpacing/>
              <w:rPr>
                <w:color w:val="auto"/>
                <w:sz w:val="18"/>
                <w:szCs w:val="18"/>
              </w:rPr>
            </w:pPr>
            <w:r w:rsidRPr="000A3D6B">
              <w:rPr>
                <w:color w:val="auto"/>
                <w:sz w:val="18"/>
                <w:szCs w:val="18"/>
              </w:rPr>
              <w:t>Osteoarthriti</w:t>
            </w:r>
            <w:r w:rsidR="00166FB4">
              <w:rPr>
                <w:color w:val="auto"/>
                <w:sz w:val="18"/>
                <w:szCs w:val="18"/>
              </w:rPr>
              <w:t>s, Both Ankles</w:t>
            </w:r>
          </w:p>
        </w:tc>
        <w:tc>
          <w:tcPr>
            <w:tcW w:w="846" w:type="dxa"/>
            <w:tcBorders>
              <w:left w:val="single" w:sz="4" w:space="0" w:color="auto"/>
            </w:tcBorders>
            <w:shd w:val="clear" w:color="auto" w:fill="FFFFFF" w:themeFill="background1"/>
            <w:vAlign w:val="center"/>
          </w:tcPr>
          <w:p w:rsidR="00DA5040" w:rsidRPr="0086102A" w:rsidRDefault="00DA5040" w:rsidP="00354FA9">
            <w:pPr>
              <w:spacing w:line="240" w:lineRule="exact"/>
              <w:contextualSpacing/>
              <w:jc w:val="center"/>
              <w:rPr>
                <w:color w:val="auto"/>
                <w:sz w:val="18"/>
                <w:szCs w:val="18"/>
              </w:rPr>
            </w:pPr>
            <w:r>
              <w:rPr>
                <w:color w:val="auto"/>
                <w:sz w:val="18"/>
                <w:szCs w:val="18"/>
              </w:rPr>
              <w:t>5003</w:t>
            </w:r>
          </w:p>
        </w:tc>
        <w:tc>
          <w:tcPr>
            <w:tcW w:w="900" w:type="dxa"/>
            <w:shd w:val="clear" w:color="auto" w:fill="FFFFFF" w:themeFill="background1"/>
            <w:vAlign w:val="center"/>
          </w:tcPr>
          <w:p w:rsidR="00DA5040" w:rsidRPr="0086102A" w:rsidRDefault="00DA5040" w:rsidP="00354FA9">
            <w:pPr>
              <w:spacing w:line="240" w:lineRule="exact"/>
              <w:contextualSpacing/>
              <w:jc w:val="center"/>
              <w:rPr>
                <w:color w:val="auto"/>
                <w:sz w:val="18"/>
                <w:szCs w:val="18"/>
              </w:rPr>
            </w:pPr>
            <w:r>
              <w:rPr>
                <w:color w:val="auto"/>
                <w:sz w:val="18"/>
                <w:szCs w:val="18"/>
              </w:rPr>
              <w:t>20%</w:t>
            </w:r>
          </w:p>
        </w:tc>
        <w:tc>
          <w:tcPr>
            <w:tcW w:w="990" w:type="dxa"/>
            <w:shd w:val="clear" w:color="auto" w:fill="FFFFFF" w:themeFill="background1"/>
            <w:vAlign w:val="center"/>
          </w:tcPr>
          <w:p w:rsidR="00DA5040" w:rsidRPr="002F0640" w:rsidRDefault="00DA5040" w:rsidP="00354FA9">
            <w:pPr>
              <w:spacing w:line="240" w:lineRule="exact"/>
              <w:contextualSpacing/>
              <w:jc w:val="center"/>
              <w:rPr>
                <w:color w:val="auto"/>
                <w:sz w:val="18"/>
                <w:szCs w:val="18"/>
              </w:rPr>
            </w:pPr>
            <w:r w:rsidRPr="002F0640">
              <w:rPr>
                <w:color w:val="auto"/>
                <w:sz w:val="18"/>
                <w:szCs w:val="18"/>
              </w:rPr>
              <w:t>20050903</w:t>
            </w:r>
          </w:p>
        </w:tc>
      </w:tr>
      <w:tr w:rsidR="00DA5040" w:rsidRPr="002A4119" w:rsidTr="00CB0488">
        <w:trPr>
          <w:trHeight w:val="287"/>
          <w:jc w:val="center"/>
        </w:trPr>
        <w:tc>
          <w:tcPr>
            <w:tcW w:w="1714" w:type="dxa"/>
            <w:tcBorders>
              <w:right w:val="single" w:sz="4" w:space="0" w:color="auto"/>
            </w:tcBorders>
            <w:shd w:val="clear" w:color="auto" w:fill="FFFFFF" w:themeFill="background1"/>
            <w:vAlign w:val="center"/>
          </w:tcPr>
          <w:p w:rsidR="00DA5040" w:rsidRPr="002F0640" w:rsidRDefault="00DA5040" w:rsidP="00354FA9">
            <w:pPr>
              <w:spacing w:line="240" w:lineRule="exact"/>
              <w:contextualSpacing/>
              <w:rPr>
                <w:color w:val="auto"/>
                <w:sz w:val="18"/>
                <w:szCs w:val="18"/>
              </w:rPr>
            </w:pPr>
          </w:p>
        </w:tc>
        <w:tc>
          <w:tcPr>
            <w:tcW w:w="2160" w:type="dxa"/>
            <w:gridSpan w:val="2"/>
            <w:vMerge/>
            <w:tcBorders>
              <w:left w:val="single" w:sz="4" w:space="0" w:color="auto"/>
              <w:right w:val="thinThickThinSmallGap" w:sz="24" w:space="0" w:color="auto"/>
            </w:tcBorders>
            <w:shd w:val="clear" w:color="auto" w:fill="FFFFFF" w:themeFill="background1"/>
            <w:vAlign w:val="center"/>
          </w:tcPr>
          <w:p w:rsidR="00DA5040" w:rsidRPr="002F0640" w:rsidRDefault="00DA5040" w:rsidP="00354FA9">
            <w:pPr>
              <w:spacing w:line="240" w:lineRule="exact"/>
              <w:contextualSpacing/>
              <w:jc w:val="center"/>
              <w:rPr>
                <w:color w:val="auto"/>
                <w:sz w:val="18"/>
                <w:szCs w:val="18"/>
              </w:rPr>
            </w:pPr>
          </w:p>
        </w:tc>
        <w:tc>
          <w:tcPr>
            <w:tcW w:w="2250" w:type="dxa"/>
            <w:tcBorders>
              <w:left w:val="thinThickThinSmallGap" w:sz="24" w:space="0" w:color="auto"/>
              <w:right w:val="single" w:sz="4" w:space="0" w:color="auto"/>
            </w:tcBorders>
            <w:shd w:val="clear" w:color="auto" w:fill="FFFFFF" w:themeFill="background1"/>
            <w:vAlign w:val="center"/>
          </w:tcPr>
          <w:p w:rsidR="00DA5040" w:rsidRPr="000A3D6B" w:rsidRDefault="00DA5040" w:rsidP="00354FA9">
            <w:pPr>
              <w:spacing w:line="240" w:lineRule="exact"/>
              <w:contextualSpacing/>
              <w:rPr>
                <w:color w:val="auto"/>
                <w:sz w:val="18"/>
                <w:szCs w:val="18"/>
              </w:rPr>
            </w:pPr>
            <w:r w:rsidRPr="000A3D6B">
              <w:rPr>
                <w:color w:val="auto"/>
                <w:sz w:val="18"/>
                <w:szCs w:val="18"/>
              </w:rPr>
              <w:t>Radiculopathy</w:t>
            </w:r>
            <w:r w:rsidR="00166FB4">
              <w:rPr>
                <w:color w:val="auto"/>
                <w:sz w:val="18"/>
                <w:szCs w:val="18"/>
              </w:rPr>
              <w:t>, Left Leg</w:t>
            </w:r>
            <w:r w:rsidRPr="000A3D6B">
              <w:rPr>
                <w:color w:val="auto"/>
                <w:sz w:val="18"/>
                <w:szCs w:val="18"/>
              </w:rPr>
              <w:t xml:space="preserve"> </w:t>
            </w:r>
          </w:p>
        </w:tc>
        <w:tc>
          <w:tcPr>
            <w:tcW w:w="846" w:type="dxa"/>
            <w:tcBorders>
              <w:left w:val="single" w:sz="4" w:space="0" w:color="auto"/>
              <w:right w:val="single" w:sz="4" w:space="0" w:color="auto"/>
            </w:tcBorders>
            <w:shd w:val="clear" w:color="auto" w:fill="FFFFFF" w:themeFill="background1"/>
            <w:vAlign w:val="center"/>
          </w:tcPr>
          <w:p w:rsidR="00DA5040" w:rsidRPr="0086102A" w:rsidRDefault="00DA5040" w:rsidP="00354FA9">
            <w:pPr>
              <w:spacing w:line="240" w:lineRule="exact"/>
              <w:contextualSpacing/>
              <w:jc w:val="center"/>
              <w:rPr>
                <w:color w:val="auto"/>
                <w:sz w:val="18"/>
                <w:szCs w:val="18"/>
              </w:rPr>
            </w:pPr>
            <w:r>
              <w:rPr>
                <w:color w:val="auto"/>
                <w:sz w:val="18"/>
                <w:szCs w:val="18"/>
              </w:rPr>
              <w:t>8620</w:t>
            </w:r>
          </w:p>
        </w:tc>
        <w:tc>
          <w:tcPr>
            <w:tcW w:w="900" w:type="dxa"/>
            <w:tcBorders>
              <w:left w:val="single" w:sz="4" w:space="0" w:color="auto"/>
            </w:tcBorders>
            <w:shd w:val="clear" w:color="auto" w:fill="FFFFFF" w:themeFill="background1"/>
            <w:vAlign w:val="center"/>
          </w:tcPr>
          <w:p w:rsidR="00DA5040" w:rsidRPr="0086102A" w:rsidRDefault="00DA5040" w:rsidP="00354FA9">
            <w:pPr>
              <w:spacing w:line="240" w:lineRule="exact"/>
              <w:contextualSpacing/>
              <w:jc w:val="center"/>
              <w:rPr>
                <w:color w:val="auto"/>
                <w:sz w:val="18"/>
                <w:szCs w:val="18"/>
              </w:rPr>
            </w:pPr>
            <w:r>
              <w:rPr>
                <w:color w:val="auto"/>
                <w:sz w:val="18"/>
                <w:szCs w:val="18"/>
              </w:rPr>
              <w:t>10%</w:t>
            </w:r>
          </w:p>
        </w:tc>
        <w:tc>
          <w:tcPr>
            <w:tcW w:w="990" w:type="dxa"/>
            <w:shd w:val="clear" w:color="auto" w:fill="FFFFFF" w:themeFill="background1"/>
            <w:vAlign w:val="center"/>
          </w:tcPr>
          <w:p w:rsidR="00DA5040" w:rsidRPr="002F0640" w:rsidRDefault="00DA5040" w:rsidP="00354FA9">
            <w:pPr>
              <w:spacing w:line="240" w:lineRule="exact"/>
              <w:contextualSpacing/>
              <w:jc w:val="center"/>
              <w:rPr>
                <w:color w:val="auto"/>
                <w:sz w:val="18"/>
                <w:szCs w:val="18"/>
              </w:rPr>
            </w:pPr>
            <w:r w:rsidRPr="002F0640">
              <w:rPr>
                <w:color w:val="auto"/>
                <w:sz w:val="18"/>
                <w:szCs w:val="18"/>
              </w:rPr>
              <w:t>20050903</w:t>
            </w:r>
          </w:p>
        </w:tc>
      </w:tr>
      <w:tr w:rsidR="00DA5040" w:rsidRPr="002A4119" w:rsidTr="00CB0488">
        <w:trPr>
          <w:trHeight w:val="287"/>
          <w:jc w:val="center"/>
        </w:trPr>
        <w:tc>
          <w:tcPr>
            <w:tcW w:w="1714" w:type="dxa"/>
            <w:tcBorders>
              <w:right w:val="single" w:sz="4" w:space="0" w:color="auto"/>
            </w:tcBorders>
            <w:shd w:val="clear" w:color="auto" w:fill="FFFFFF" w:themeFill="background1"/>
            <w:vAlign w:val="center"/>
          </w:tcPr>
          <w:p w:rsidR="00DA5040" w:rsidRPr="002F0640" w:rsidRDefault="00DA5040" w:rsidP="00354FA9">
            <w:pPr>
              <w:spacing w:line="240" w:lineRule="exact"/>
              <w:contextualSpacing/>
              <w:rPr>
                <w:color w:val="auto"/>
                <w:sz w:val="18"/>
                <w:szCs w:val="18"/>
              </w:rPr>
            </w:pPr>
            <w:r w:rsidRPr="002F0640">
              <w:rPr>
                <w:color w:val="auto"/>
                <w:sz w:val="18"/>
                <w:szCs w:val="18"/>
              </w:rPr>
              <w:t xml:space="preserve">Tinea Corporis </w:t>
            </w:r>
          </w:p>
        </w:tc>
        <w:tc>
          <w:tcPr>
            <w:tcW w:w="2160" w:type="dxa"/>
            <w:gridSpan w:val="2"/>
            <w:vMerge/>
            <w:tcBorders>
              <w:left w:val="single" w:sz="4" w:space="0" w:color="auto"/>
              <w:right w:val="thinThickThinSmallGap" w:sz="24" w:space="0" w:color="auto"/>
            </w:tcBorders>
            <w:shd w:val="clear" w:color="auto" w:fill="FFFFFF" w:themeFill="background1"/>
            <w:vAlign w:val="center"/>
          </w:tcPr>
          <w:p w:rsidR="00DA5040" w:rsidRPr="002F0640" w:rsidRDefault="00DA5040" w:rsidP="00354FA9">
            <w:pPr>
              <w:spacing w:line="240" w:lineRule="exact"/>
              <w:contextualSpacing/>
              <w:jc w:val="center"/>
              <w:rPr>
                <w:color w:val="auto"/>
                <w:sz w:val="18"/>
                <w:szCs w:val="18"/>
              </w:rPr>
            </w:pPr>
          </w:p>
        </w:tc>
        <w:tc>
          <w:tcPr>
            <w:tcW w:w="3996" w:type="dxa"/>
            <w:gridSpan w:val="3"/>
            <w:tcBorders>
              <w:left w:val="thinThickThinSmallGap" w:sz="24" w:space="0" w:color="auto"/>
            </w:tcBorders>
            <w:shd w:val="clear" w:color="auto" w:fill="FFFFFF" w:themeFill="background1"/>
            <w:vAlign w:val="center"/>
          </w:tcPr>
          <w:p w:rsidR="00DA5040" w:rsidRPr="000A3D6B" w:rsidRDefault="00DA5040" w:rsidP="00354FA9">
            <w:pPr>
              <w:spacing w:line="240" w:lineRule="exact"/>
              <w:contextualSpacing/>
              <w:rPr>
                <w:color w:val="auto"/>
                <w:sz w:val="18"/>
                <w:szCs w:val="18"/>
              </w:rPr>
            </w:pPr>
            <w:r>
              <w:rPr>
                <w:color w:val="auto"/>
                <w:sz w:val="18"/>
                <w:szCs w:val="18"/>
              </w:rPr>
              <w:t xml:space="preserve">No </w:t>
            </w:r>
            <w:r w:rsidR="00166FB4">
              <w:rPr>
                <w:color w:val="auto"/>
                <w:sz w:val="18"/>
                <w:szCs w:val="18"/>
              </w:rPr>
              <w:t xml:space="preserve">Corresponding </w:t>
            </w:r>
            <w:r>
              <w:rPr>
                <w:color w:val="auto"/>
                <w:sz w:val="18"/>
                <w:szCs w:val="18"/>
              </w:rPr>
              <w:t>VA Entry</w:t>
            </w:r>
            <w:r w:rsidR="00166FB4">
              <w:rPr>
                <w:color w:val="auto"/>
                <w:sz w:val="18"/>
                <w:szCs w:val="18"/>
              </w:rPr>
              <w:t xml:space="preserve"> for Tinea</w:t>
            </w:r>
          </w:p>
        </w:tc>
        <w:tc>
          <w:tcPr>
            <w:tcW w:w="990" w:type="dxa"/>
            <w:shd w:val="clear" w:color="auto" w:fill="FFFFFF" w:themeFill="background1"/>
            <w:vAlign w:val="center"/>
          </w:tcPr>
          <w:p w:rsidR="00DA5040" w:rsidRPr="0086102A" w:rsidRDefault="00DA5040" w:rsidP="00354FA9">
            <w:pPr>
              <w:spacing w:line="240" w:lineRule="exact"/>
              <w:contextualSpacing/>
              <w:jc w:val="center"/>
              <w:rPr>
                <w:color w:val="auto"/>
                <w:sz w:val="18"/>
                <w:szCs w:val="18"/>
                <w:highlight w:val="yellow"/>
              </w:rPr>
            </w:pPr>
          </w:p>
        </w:tc>
      </w:tr>
      <w:tr w:rsidR="00DA5040" w:rsidRPr="002A4119" w:rsidTr="00CB0488">
        <w:trPr>
          <w:trHeight w:val="287"/>
          <w:jc w:val="center"/>
        </w:trPr>
        <w:tc>
          <w:tcPr>
            <w:tcW w:w="1714" w:type="dxa"/>
            <w:tcBorders>
              <w:right w:val="single" w:sz="4" w:space="0" w:color="auto"/>
            </w:tcBorders>
            <w:shd w:val="clear" w:color="auto" w:fill="FFFFFF" w:themeFill="background1"/>
            <w:vAlign w:val="center"/>
          </w:tcPr>
          <w:p w:rsidR="00DA5040" w:rsidRPr="002F0640" w:rsidRDefault="00DA5040" w:rsidP="00354FA9">
            <w:pPr>
              <w:spacing w:line="240" w:lineRule="exact"/>
              <w:contextualSpacing/>
              <w:rPr>
                <w:color w:val="auto"/>
                <w:sz w:val="18"/>
                <w:szCs w:val="18"/>
              </w:rPr>
            </w:pPr>
            <w:r w:rsidRPr="002F0640">
              <w:rPr>
                <w:color w:val="auto"/>
                <w:sz w:val="18"/>
                <w:szCs w:val="18"/>
              </w:rPr>
              <w:t>Exogenous Obesity</w:t>
            </w:r>
          </w:p>
        </w:tc>
        <w:tc>
          <w:tcPr>
            <w:tcW w:w="2160" w:type="dxa"/>
            <w:gridSpan w:val="2"/>
            <w:vMerge/>
            <w:tcBorders>
              <w:left w:val="single" w:sz="4" w:space="0" w:color="auto"/>
              <w:right w:val="thinThickThinSmallGap" w:sz="24" w:space="0" w:color="auto"/>
            </w:tcBorders>
            <w:shd w:val="clear" w:color="auto" w:fill="FFFFFF" w:themeFill="background1"/>
            <w:vAlign w:val="center"/>
          </w:tcPr>
          <w:p w:rsidR="00DA5040" w:rsidRPr="002F0640" w:rsidRDefault="00DA5040" w:rsidP="00354FA9">
            <w:pPr>
              <w:spacing w:line="240" w:lineRule="exact"/>
              <w:contextualSpacing/>
              <w:jc w:val="center"/>
              <w:rPr>
                <w:color w:val="auto"/>
                <w:sz w:val="18"/>
                <w:szCs w:val="18"/>
              </w:rPr>
            </w:pPr>
          </w:p>
        </w:tc>
        <w:tc>
          <w:tcPr>
            <w:tcW w:w="3996" w:type="dxa"/>
            <w:gridSpan w:val="3"/>
            <w:tcBorders>
              <w:left w:val="thinThickThinSmallGap" w:sz="24" w:space="0" w:color="auto"/>
            </w:tcBorders>
            <w:shd w:val="clear" w:color="auto" w:fill="FFFFFF" w:themeFill="background1"/>
            <w:vAlign w:val="center"/>
          </w:tcPr>
          <w:p w:rsidR="00DA5040" w:rsidRDefault="00DA5040" w:rsidP="00354FA9">
            <w:pPr>
              <w:spacing w:line="240" w:lineRule="exact"/>
              <w:contextualSpacing/>
              <w:rPr>
                <w:color w:val="auto"/>
                <w:sz w:val="18"/>
                <w:szCs w:val="18"/>
              </w:rPr>
            </w:pPr>
            <w:r>
              <w:rPr>
                <w:color w:val="auto"/>
                <w:sz w:val="18"/>
                <w:szCs w:val="18"/>
              </w:rPr>
              <w:t xml:space="preserve">No </w:t>
            </w:r>
            <w:r w:rsidR="00166FB4">
              <w:rPr>
                <w:color w:val="auto"/>
                <w:sz w:val="18"/>
                <w:szCs w:val="18"/>
              </w:rPr>
              <w:t xml:space="preserve">Corresponding </w:t>
            </w:r>
            <w:r>
              <w:rPr>
                <w:color w:val="auto"/>
                <w:sz w:val="18"/>
                <w:szCs w:val="18"/>
              </w:rPr>
              <w:t>VA Entry</w:t>
            </w:r>
            <w:r w:rsidR="00166FB4">
              <w:rPr>
                <w:color w:val="auto"/>
                <w:sz w:val="18"/>
                <w:szCs w:val="18"/>
              </w:rPr>
              <w:t xml:space="preserve"> for Obesity</w:t>
            </w:r>
          </w:p>
        </w:tc>
        <w:tc>
          <w:tcPr>
            <w:tcW w:w="990" w:type="dxa"/>
            <w:shd w:val="clear" w:color="auto" w:fill="FFFFFF" w:themeFill="background1"/>
            <w:vAlign w:val="center"/>
          </w:tcPr>
          <w:p w:rsidR="00DA5040" w:rsidRPr="0086102A" w:rsidRDefault="00DA5040" w:rsidP="00354FA9">
            <w:pPr>
              <w:spacing w:line="240" w:lineRule="exact"/>
              <w:contextualSpacing/>
              <w:jc w:val="center"/>
              <w:rPr>
                <w:color w:val="auto"/>
                <w:sz w:val="18"/>
                <w:szCs w:val="18"/>
                <w:highlight w:val="yellow"/>
              </w:rPr>
            </w:pPr>
          </w:p>
        </w:tc>
      </w:tr>
      <w:tr w:rsidR="007A65A9" w:rsidRPr="002A4119" w:rsidTr="00CB0488">
        <w:trPr>
          <w:trHeight w:val="260"/>
          <w:jc w:val="center"/>
        </w:trPr>
        <w:tc>
          <w:tcPr>
            <w:tcW w:w="3874" w:type="dxa"/>
            <w:gridSpan w:val="3"/>
            <w:tcBorders>
              <w:right w:val="thinThickThinSmallGap" w:sz="24" w:space="0" w:color="auto"/>
            </w:tcBorders>
            <w:shd w:val="clear" w:color="auto" w:fill="FFFFFF" w:themeFill="background1"/>
          </w:tcPr>
          <w:p w:rsidR="007A65A9" w:rsidRPr="0086102A" w:rsidRDefault="00DA5040" w:rsidP="00354FA9">
            <w:pPr>
              <w:spacing w:line="240" w:lineRule="exact"/>
              <w:contextualSpacing/>
              <w:jc w:val="center"/>
              <w:rPr>
                <w:color w:val="auto"/>
                <w:sz w:val="18"/>
                <w:szCs w:val="18"/>
              </w:rPr>
            </w:pPr>
            <w:r w:rsidRPr="0086102A">
              <w:rPr>
                <w:color w:val="auto"/>
                <w:sz w:val="18"/>
                <w:szCs w:val="18"/>
              </w:rPr>
              <w:t>↓No Additional MEB</w:t>
            </w:r>
            <w:r>
              <w:rPr>
                <w:color w:val="auto"/>
                <w:sz w:val="18"/>
                <w:szCs w:val="18"/>
              </w:rPr>
              <w:t>/PEB</w:t>
            </w:r>
            <w:r w:rsidRPr="0086102A">
              <w:rPr>
                <w:color w:val="auto"/>
                <w:sz w:val="18"/>
                <w:szCs w:val="18"/>
              </w:rPr>
              <w:t xml:space="preserve"> Entries↓</w:t>
            </w:r>
          </w:p>
        </w:tc>
        <w:tc>
          <w:tcPr>
            <w:tcW w:w="3996" w:type="dxa"/>
            <w:gridSpan w:val="3"/>
            <w:tcBorders>
              <w:left w:val="thinThickThinSmallGap" w:sz="24" w:space="0" w:color="auto"/>
            </w:tcBorders>
            <w:shd w:val="clear" w:color="auto" w:fill="FFFFFF" w:themeFill="background1"/>
            <w:vAlign w:val="center"/>
          </w:tcPr>
          <w:p w:rsidR="007A65A9" w:rsidRPr="0086102A" w:rsidRDefault="007A65A9" w:rsidP="00354FA9">
            <w:pPr>
              <w:spacing w:line="240" w:lineRule="exact"/>
              <w:contextualSpacing/>
              <w:jc w:val="center"/>
              <w:rPr>
                <w:color w:val="auto"/>
                <w:sz w:val="18"/>
                <w:szCs w:val="18"/>
              </w:rPr>
            </w:pPr>
            <w:r w:rsidRPr="0086102A">
              <w:rPr>
                <w:rFonts w:cs="Times New Roman"/>
                <w:color w:val="auto"/>
                <w:sz w:val="18"/>
                <w:szCs w:val="18"/>
              </w:rPr>
              <w:t>Not Service Connected</w:t>
            </w:r>
            <w:r w:rsidR="00166FB4">
              <w:rPr>
                <w:rFonts w:cs="Times New Roman"/>
                <w:color w:val="auto"/>
                <w:sz w:val="18"/>
                <w:szCs w:val="18"/>
              </w:rPr>
              <w:t xml:space="preserve"> (NSC)</w:t>
            </w:r>
            <w:r w:rsidRPr="0086102A">
              <w:rPr>
                <w:rFonts w:cs="Times New Roman"/>
                <w:color w:val="auto"/>
                <w:sz w:val="18"/>
                <w:szCs w:val="18"/>
              </w:rPr>
              <w:t xml:space="preserve"> </w:t>
            </w:r>
            <w:r w:rsidR="00374EA1">
              <w:rPr>
                <w:rFonts w:cs="Times New Roman"/>
                <w:color w:val="auto"/>
                <w:sz w:val="18"/>
                <w:szCs w:val="18"/>
              </w:rPr>
              <w:t>x</w:t>
            </w:r>
            <w:r w:rsidR="000A3D6B">
              <w:rPr>
                <w:rFonts w:cs="Times New Roman"/>
                <w:color w:val="auto"/>
                <w:sz w:val="18"/>
                <w:szCs w:val="18"/>
              </w:rPr>
              <w:t xml:space="preserve"> 3</w:t>
            </w:r>
          </w:p>
        </w:tc>
        <w:tc>
          <w:tcPr>
            <w:tcW w:w="990" w:type="dxa"/>
            <w:shd w:val="clear" w:color="auto" w:fill="FFFFFF" w:themeFill="background1"/>
            <w:vAlign w:val="center"/>
          </w:tcPr>
          <w:p w:rsidR="007A65A9" w:rsidRPr="0086102A" w:rsidRDefault="002D08F3" w:rsidP="00354FA9">
            <w:pPr>
              <w:spacing w:line="240" w:lineRule="exact"/>
              <w:contextualSpacing/>
              <w:jc w:val="center"/>
              <w:rPr>
                <w:color w:val="auto"/>
                <w:sz w:val="18"/>
                <w:szCs w:val="18"/>
                <w:highlight w:val="yellow"/>
              </w:rPr>
            </w:pPr>
            <w:r w:rsidRPr="002F0640">
              <w:rPr>
                <w:color w:val="auto"/>
                <w:sz w:val="18"/>
                <w:szCs w:val="18"/>
              </w:rPr>
              <w:t>200</w:t>
            </w:r>
            <w:r w:rsidR="002F0640" w:rsidRPr="002F0640">
              <w:rPr>
                <w:color w:val="auto"/>
                <w:sz w:val="18"/>
                <w:szCs w:val="18"/>
              </w:rPr>
              <w:t>50903</w:t>
            </w:r>
          </w:p>
        </w:tc>
      </w:tr>
      <w:tr w:rsidR="007A65A9" w:rsidRPr="002A4119" w:rsidTr="00CB0488">
        <w:trPr>
          <w:trHeight w:val="242"/>
          <w:jc w:val="center"/>
        </w:trPr>
        <w:tc>
          <w:tcPr>
            <w:tcW w:w="3874" w:type="dxa"/>
            <w:gridSpan w:val="3"/>
            <w:tcBorders>
              <w:right w:val="thinThickThinSmallGap" w:sz="24" w:space="0" w:color="auto"/>
            </w:tcBorders>
            <w:shd w:val="clear" w:color="auto" w:fill="D9D9D9" w:themeFill="background1" w:themeFillShade="D9"/>
            <w:vAlign w:val="center"/>
          </w:tcPr>
          <w:p w:rsidR="007A65A9" w:rsidRPr="00B06930" w:rsidRDefault="007A65A9" w:rsidP="00354FA9">
            <w:pPr>
              <w:spacing w:line="240" w:lineRule="exact"/>
              <w:contextualSpacing/>
              <w:jc w:val="center"/>
              <w:rPr>
                <w:b/>
                <w:color w:val="auto"/>
                <w:sz w:val="20"/>
                <w:szCs w:val="20"/>
              </w:rPr>
            </w:pPr>
            <w:r w:rsidRPr="00B06930">
              <w:rPr>
                <w:b/>
                <w:color w:val="auto"/>
                <w:sz w:val="20"/>
                <w:szCs w:val="20"/>
              </w:rPr>
              <w:t xml:space="preserve">Combined: </w:t>
            </w:r>
            <w:r w:rsidR="006458FD">
              <w:rPr>
                <w:b/>
                <w:color w:val="auto"/>
                <w:sz w:val="20"/>
                <w:szCs w:val="20"/>
              </w:rPr>
              <w:t xml:space="preserve"> </w:t>
            </w:r>
            <w:r w:rsidR="002F0640">
              <w:rPr>
                <w:b/>
                <w:color w:val="auto"/>
                <w:sz w:val="20"/>
                <w:szCs w:val="20"/>
              </w:rPr>
              <w:t>10</w:t>
            </w:r>
            <w:r w:rsidRPr="00B06930">
              <w:rPr>
                <w:b/>
                <w:color w:val="auto"/>
                <w:sz w:val="20"/>
                <w:szCs w:val="20"/>
              </w:rPr>
              <w:t>%</w:t>
            </w:r>
          </w:p>
        </w:tc>
        <w:tc>
          <w:tcPr>
            <w:tcW w:w="4986" w:type="dxa"/>
            <w:gridSpan w:val="4"/>
            <w:tcBorders>
              <w:left w:val="thinThickThinSmallGap" w:sz="24" w:space="0" w:color="auto"/>
            </w:tcBorders>
            <w:shd w:val="clear" w:color="auto" w:fill="D9D9D9" w:themeFill="background1" w:themeFillShade="D9"/>
            <w:vAlign w:val="center"/>
          </w:tcPr>
          <w:p w:rsidR="007A65A9" w:rsidRPr="00B06930" w:rsidRDefault="00D14B13" w:rsidP="00354FA9">
            <w:pPr>
              <w:spacing w:line="240" w:lineRule="exact"/>
              <w:contextualSpacing/>
              <w:jc w:val="center"/>
              <w:rPr>
                <w:b/>
                <w:color w:val="auto"/>
                <w:sz w:val="20"/>
                <w:szCs w:val="20"/>
              </w:rPr>
            </w:pPr>
            <w:r>
              <w:rPr>
                <w:b/>
                <w:color w:val="auto"/>
                <w:sz w:val="20"/>
                <w:szCs w:val="20"/>
              </w:rPr>
              <w:t>C</w:t>
            </w:r>
            <w:r w:rsidR="007A65A9" w:rsidRPr="00B06930">
              <w:rPr>
                <w:b/>
                <w:color w:val="auto"/>
                <w:sz w:val="20"/>
                <w:szCs w:val="20"/>
              </w:rPr>
              <w:t xml:space="preserve">ombined:  </w:t>
            </w:r>
            <w:r w:rsidR="000A3D6B">
              <w:rPr>
                <w:b/>
                <w:color w:val="auto"/>
                <w:sz w:val="20"/>
                <w:szCs w:val="20"/>
              </w:rPr>
              <w:t>4</w:t>
            </w:r>
            <w:r w:rsidR="006F0F9C">
              <w:rPr>
                <w:b/>
                <w:color w:val="auto"/>
                <w:sz w:val="20"/>
                <w:szCs w:val="20"/>
              </w:rPr>
              <w:t>0</w:t>
            </w:r>
            <w:r w:rsidR="007A65A9" w:rsidRPr="00B06930">
              <w:rPr>
                <w:b/>
                <w:color w:val="auto"/>
                <w:sz w:val="20"/>
                <w:szCs w:val="20"/>
              </w:rPr>
              <w:t>%</w:t>
            </w:r>
          </w:p>
        </w:tc>
      </w:tr>
    </w:tbl>
    <w:p w:rsidR="00F1737C" w:rsidRPr="00437D18" w:rsidRDefault="00F1737C" w:rsidP="00354FA9">
      <w:pPr>
        <w:pBdr>
          <w:bottom w:val="single" w:sz="12" w:space="1" w:color="auto"/>
        </w:pBdr>
        <w:tabs>
          <w:tab w:val="left" w:pos="288"/>
          <w:tab w:val="left" w:pos="4752"/>
        </w:tabs>
        <w:spacing w:line="240" w:lineRule="exact"/>
        <w:jc w:val="both"/>
        <w:rPr>
          <w:rFonts w:asciiTheme="minorHAnsi" w:hAnsiTheme="minorHAnsi"/>
          <w:color w:val="auto"/>
          <w:sz w:val="18"/>
          <w:szCs w:val="18"/>
        </w:rPr>
      </w:pPr>
    </w:p>
    <w:p w:rsidR="001D4253" w:rsidRDefault="001D4253" w:rsidP="00354FA9">
      <w:pPr>
        <w:spacing w:line="240" w:lineRule="exact"/>
        <w:rPr>
          <w:rFonts w:asciiTheme="minorHAnsi" w:hAnsiTheme="minorHAnsi"/>
          <w:color w:val="auto"/>
          <w:szCs w:val="24"/>
          <w:u w:val="single"/>
        </w:rPr>
      </w:pPr>
    </w:p>
    <w:p w:rsidR="00381E79" w:rsidRPr="00786E7F" w:rsidRDefault="00381E79" w:rsidP="00354FA9">
      <w:pPr>
        <w:spacing w:line="240" w:lineRule="exact"/>
        <w:jc w:val="both"/>
        <w:rPr>
          <w:rFonts w:asciiTheme="minorHAnsi" w:hAnsiTheme="minorHAnsi"/>
          <w:color w:val="auto"/>
          <w:szCs w:val="24"/>
        </w:rPr>
      </w:pPr>
      <w:r w:rsidRPr="001F29F9">
        <w:rPr>
          <w:color w:val="000000" w:themeColor="text1"/>
          <w:szCs w:val="24"/>
          <w:u w:val="single"/>
        </w:rPr>
        <w:t>ANALYSIS SUMMARY</w:t>
      </w:r>
      <w:r w:rsidRPr="001F29F9">
        <w:rPr>
          <w:color w:val="000000" w:themeColor="text1"/>
          <w:szCs w:val="24"/>
        </w:rPr>
        <w:t>:</w:t>
      </w:r>
      <w:r w:rsidR="00786E7F">
        <w:rPr>
          <w:rFonts w:asciiTheme="minorHAnsi" w:hAnsiTheme="minorHAnsi"/>
          <w:color w:val="auto"/>
          <w:szCs w:val="24"/>
        </w:rPr>
        <w:t xml:space="preserve">  </w:t>
      </w:r>
      <w:r w:rsidRPr="00601CCD">
        <w:rPr>
          <w:color w:val="000000" w:themeColor="text1"/>
          <w:szCs w:val="24"/>
        </w:rPr>
        <w:t xml:space="preserve">The Board acknowledges the </w:t>
      </w:r>
      <w:r w:rsidR="00E12E62">
        <w:rPr>
          <w:color w:val="000000" w:themeColor="text1"/>
          <w:szCs w:val="24"/>
        </w:rPr>
        <w:t>sentiment expressed by</w:t>
      </w:r>
      <w:r w:rsidRPr="00601CCD">
        <w:rPr>
          <w:color w:val="000000" w:themeColor="text1"/>
          <w:szCs w:val="24"/>
        </w:rPr>
        <w:t xml:space="preserve"> the CI</w:t>
      </w:r>
      <w:r w:rsidR="00596610">
        <w:rPr>
          <w:color w:val="000000" w:themeColor="text1"/>
          <w:szCs w:val="24"/>
        </w:rPr>
        <w:t xml:space="preserve"> in item </w:t>
      </w:r>
      <w:r w:rsidR="00131F48">
        <w:rPr>
          <w:color w:val="000000" w:themeColor="text1"/>
          <w:szCs w:val="24"/>
        </w:rPr>
        <w:t>3</w:t>
      </w:r>
      <w:r w:rsidR="00E12E62">
        <w:rPr>
          <w:color w:val="000000" w:themeColor="text1"/>
          <w:szCs w:val="24"/>
        </w:rPr>
        <w:t xml:space="preserve"> of </w:t>
      </w:r>
      <w:r w:rsidR="00131F48">
        <w:rPr>
          <w:color w:val="000000" w:themeColor="text1"/>
          <w:szCs w:val="24"/>
        </w:rPr>
        <w:t xml:space="preserve">the </w:t>
      </w:r>
      <w:r w:rsidR="00E12E62">
        <w:rPr>
          <w:color w:val="000000" w:themeColor="text1"/>
          <w:szCs w:val="24"/>
        </w:rPr>
        <w:t xml:space="preserve">DD Form 294. </w:t>
      </w:r>
      <w:r w:rsidRPr="00601CCD">
        <w:rPr>
          <w:color w:val="000000" w:themeColor="text1"/>
          <w:szCs w:val="24"/>
        </w:rPr>
        <w:t xml:space="preserve"> The Board wishes to clarify that </w:t>
      </w:r>
      <w:r w:rsidR="00E12E62">
        <w:rPr>
          <w:color w:val="000000" w:themeColor="text1"/>
          <w:szCs w:val="24"/>
        </w:rPr>
        <w:t xml:space="preserve">the </w:t>
      </w:r>
      <w:r w:rsidRPr="00601CCD">
        <w:rPr>
          <w:color w:val="000000" w:themeColor="text1"/>
          <w:szCs w:val="24"/>
        </w:rPr>
        <w:t xml:space="preserve">Disability Evaluation System (DES) </w:t>
      </w:r>
      <w:r w:rsidR="00E12E62">
        <w:rPr>
          <w:color w:val="000000" w:themeColor="text1"/>
          <w:szCs w:val="24"/>
        </w:rPr>
        <w:t xml:space="preserve">is subject to certain laws and rules under which it must operate.  </w:t>
      </w:r>
      <w:r w:rsidRPr="00601CCD">
        <w:rPr>
          <w:color w:val="000000" w:themeColor="text1"/>
          <w:szCs w:val="24"/>
        </w:rPr>
        <w:t>The DES has neither the role nor the authority to compensate service members for anticipated future severity or potential complications of conditions resulting in medical separation.</w:t>
      </w:r>
      <w:r>
        <w:rPr>
          <w:color w:val="000000" w:themeColor="text1"/>
          <w:szCs w:val="24"/>
        </w:rPr>
        <w:t xml:space="preserve"> </w:t>
      </w:r>
      <w:r w:rsidRPr="00601CCD">
        <w:rPr>
          <w:color w:val="000000" w:themeColor="text1"/>
          <w:szCs w:val="24"/>
        </w:rPr>
        <w:t xml:space="preserve"> That role and authority is granted by Congress to the </w:t>
      </w:r>
      <w:r w:rsidR="00596610">
        <w:rPr>
          <w:color w:val="000000" w:themeColor="text1"/>
          <w:szCs w:val="24"/>
        </w:rPr>
        <w:t xml:space="preserve">Department of </w:t>
      </w:r>
      <w:r w:rsidRPr="00601CCD">
        <w:rPr>
          <w:color w:val="000000" w:themeColor="text1"/>
          <w:szCs w:val="24"/>
        </w:rPr>
        <w:t>Veteran</w:t>
      </w:r>
      <w:r>
        <w:rPr>
          <w:color w:val="000000" w:themeColor="text1"/>
          <w:szCs w:val="24"/>
        </w:rPr>
        <w:t>s’ A</w:t>
      </w:r>
      <w:r w:rsidR="00596610">
        <w:rPr>
          <w:color w:val="000000" w:themeColor="text1"/>
          <w:szCs w:val="24"/>
        </w:rPr>
        <w:t>ffairs</w:t>
      </w:r>
      <w:r w:rsidRPr="00601CCD">
        <w:rPr>
          <w:color w:val="000000" w:themeColor="text1"/>
          <w:szCs w:val="24"/>
        </w:rPr>
        <w:t xml:space="preserve"> (</w:t>
      </w:r>
      <w:r w:rsidR="00596610">
        <w:rPr>
          <w:color w:val="000000" w:themeColor="text1"/>
          <w:szCs w:val="24"/>
        </w:rPr>
        <w:t>D</w:t>
      </w:r>
      <w:r w:rsidRPr="00601CCD">
        <w:rPr>
          <w:color w:val="000000" w:themeColor="text1"/>
          <w:szCs w:val="24"/>
        </w:rPr>
        <w:t>VA)</w:t>
      </w:r>
      <w:r>
        <w:rPr>
          <w:color w:val="000000" w:themeColor="text1"/>
          <w:szCs w:val="24"/>
        </w:rPr>
        <w:t xml:space="preserve">.  </w:t>
      </w:r>
      <w:r w:rsidRPr="00601CCD">
        <w:rPr>
          <w:color w:val="000000" w:themeColor="text1"/>
          <w:szCs w:val="24"/>
        </w:rPr>
        <w:t xml:space="preserve">The Board evaluates </w:t>
      </w:r>
      <w:r w:rsidR="00596610">
        <w:rPr>
          <w:color w:val="000000" w:themeColor="text1"/>
          <w:szCs w:val="24"/>
        </w:rPr>
        <w:t>D</w:t>
      </w:r>
      <w:r w:rsidRPr="00601CCD">
        <w:rPr>
          <w:color w:val="000000" w:themeColor="text1"/>
          <w:szCs w:val="24"/>
        </w:rPr>
        <w:t>VA evidence proximal to separation in arriving at its recommendations, but its authority resides in evaluating the fairness of DES fitness and rating determinations at the time of separation.</w:t>
      </w:r>
      <w:r>
        <w:rPr>
          <w:color w:val="000000" w:themeColor="text1"/>
          <w:szCs w:val="24"/>
        </w:rPr>
        <w:t xml:space="preserve"> </w:t>
      </w:r>
      <w:r w:rsidRPr="00601CCD">
        <w:rPr>
          <w:color w:val="000000" w:themeColor="text1"/>
          <w:szCs w:val="24"/>
        </w:rPr>
        <w:t xml:space="preserve"> The Board also acknowledges the CI's contention that service ratings should have been conferred for other </w:t>
      </w:r>
      <w:r w:rsidRPr="003C4D30">
        <w:rPr>
          <w:color w:val="000000" w:themeColor="text1"/>
          <w:szCs w:val="24"/>
        </w:rPr>
        <w:t xml:space="preserve">conditions.  While the DES considers all of the CI's medical conditions, compensation can only be offered for those conditions that cut short a service member’s career, and then only to the degree of severity present at the time of separation.  The VA, however, is empowered to </w:t>
      </w:r>
      <w:r w:rsidR="00596610">
        <w:rPr>
          <w:color w:val="000000" w:themeColor="text1"/>
          <w:szCs w:val="24"/>
        </w:rPr>
        <w:lastRenderedPageBreak/>
        <w:t>compensate service-</w:t>
      </w:r>
      <w:r w:rsidRPr="003C4D30">
        <w:rPr>
          <w:color w:val="000000" w:themeColor="text1"/>
          <w:szCs w:val="24"/>
        </w:rPr>
        <w:t xml:space="preserve">connected conditions and to periodically re-evaluate said conditions for the purpose of adjusting the </w:t>
      </w:r>
      <w:r w:rsidR="00596610">
        <w:rPr>
          <w:color w:val="000000" w:themeColor="text1"/>
          <w:szCs w:val="24"/>
        </w:rPr>
        <w:t>V</w:t>
      </w:r>
      <w:r w:rsidRPr="003C4D30">
        <w:rPr>
          <w:color w:val="000000" w:themeColor="text1"/>
          <w:szCs w:val="24"/>
        </w:rPr>
        <w:t xml:space="preserve">eteran’s rating should </w:t>
      </w:r>
      <w:r w:rsidR="00596610">
        <w:rPr>
          <w:color w:val="000000" w:themeColor="text1"/>
          <w:szCs w:val="24"/>
        </w:rPr>
        <w:t>the</w:t>
      </w:r>
      <w:r w:rsidRPr="003C4D30">
        <w:rPr>
          <w:color w:val="000000" w:themeColor="text1"/>
          <w:szCs w:val="24"/>
        </w:rPr>
        <w:t xml:space="preserve"> degree of impairment vary over time. </w:t>
      </w:r>
      <w:r w:rsidR="00030B02">
        <w:rPr>
          <w:color w:val="000000" w:themeColor="text1"/>
          <w:szCs w:val="24"/>
        </w:rPr>
        <w:t xml:space="preserve"> </w:t>
      </w:r>
      <w:r>
        <w:rPr>
          <w:color w:val="000000" w:themeColor="text1"/>
          <w:szCs w:val="24"/>
        </w:rPr>
        <w:t xml:space="preserve"> </w:t>
      </w:r>
      <w:r w:rsidRPr="003C4D30">
        <w:rPr>
          <w:color w:val="000000" w:themeColor="text1"/>
          <w:szCs w:val="24"/>
        </w:rPr>
        <w:t xml:space="preserve">   </w:t>
      </w:r>
    </w:p>
    <w:p w:rsidR="00381E79" w:rsidRDefault="00381E79" w:rsidP="00354FA9">
      <w:pPr>
        <w:tabs>
          <w:tab w:val="left" w:pos="288"/>
          <w:tab w:val="left" w:pos="4752"/>
        </w:tabs>
        <w:spacing w:line="240" w:lineRule="exact"/>
        <w:jc w:val="both"/>
        <w:rPr>
          <w:rFonts w:asciiTheme="minorHAnsi" w:hAnsiTheme="minorHAnsi"/>
          <w:color w:val="auto"/>
          <w:szCs w:val="24"/>
          <w:u w:val="single"/>
        </w:rPr>
      </w:pPr>
    </w:p>
    <w:p w:rsidR="00602E5E" w:rsidRPr="001D4253" w:rsidRDefault="00602E5E" w:rsidP="00354FA9">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u w:val="single"/>
        </w:rPr>
        <w:t xml:space="preserve">Low </w:t>
      </w:r>
      <w:r w:rsidR="00F16EBF" w:rsidRPr="00664296">
        <w:rPr>
          <w:rFonts w:asciiTheme="minorHAnsi" w:hAnsiTheme="minorHAnsi"/>
          <w:color w:val="auto"/>
          <w:szCs w:val="24"/>
          <w:u w:val="single"/>
        </w:rPr>
        <w:t xml:space="preserve">Back </w:t>
      </w:r>
      <w:r>
        <w:rPr>
          <w:rFonts w:asciiTheme="minorHAnsi" w:hAnsiTheme="minorHAnsi"/>
          <w:color w:val="auto"/>
          <w:szCs w:val="24"/>
          <w:u w:val="single"/>
        </w:rPr>
        <w:t>Pain (LBP)</w:t>
      </w:r>
      <w:r w:rsidR="00F16EBF" w:rsidRPr="00664296">
        <w:rPr>
          <w:rFonts w:asciiTheme="minorHAnsi" w:hAnsiTheme="minorHAnsi"/>
          <w:color w:val="auto"/>
          <w:szCs w:val="24"/>
        </w:rPr>
        <w:t>.</w:t>
      </w:r>
      <w:r w:rsidR="00A02C0F">
        <w:rPr>
          <w:rFonts w:asciiTheme="minorHAnsi" w:hAnsiTheme="minorHAnsi"/>
          <w:color w:val="auto"/>
          <w:szCs w:val="24"/>
        </w:rPr>
        <w:t xml:space="preserve">  </w:t>
      </w:r>
      <w:r w:rsidR="00CB0488">
        <w:rPr>
          <w:rFonts w:asciiTheme="minorHAnsi" w:hAnsiTheme="minorHAnsi"/>
          <w:color w:val="auto"/>
          <w:szCs w:val="24"/>
        </w:rPr>
        <w:t>In January 2004, t</w:t>
      </w:r>
      <w:r w:rsidR="00A02C0F">
        <w:rPr>
          <w:rFonts w:asciiTheme="minorHAnsi" w:hAnsiTheme="minorHAnsi"/>
          <w:color w:val="auto"/>
          <w:szCs w:val="24"/>
        </w:rPr>
        <w:t xml:space="preserve">he CI </w:t>
      </w:r>
      <w:r>
        <w:rPr>
          <w:rFonts w:asciiTheme="minorHAnsi" w:hAnsiTheme="minorHAnsi"/>
          <w:color w:val="auto"/>
          <w:szCs w:val="24"/>
        </w:rPr>
        <w:t xml:space="preserve">injured his back when he </w:t>
      </w:r>
      <w:r w:rsidR="00A02C0F">
        <w:rPr>
          <w:rFonts w:asciiTheme="minorHAnsi" w:hAnsiTheme="minorHAnsi"/>
          <w:color w:val="auto"/>
          <w:szCs w:val="24"/>
        </w:rPr>
        <w:t>slipped a</w:t>
      </w:r>
      <w:r w:rsidR="00CB0488">
        <w:rPr>
          <w:rFonts w:asciiTheme="minorHAnsi" w:hAnsiTheme="minorHAnsi"/>
          <w:color w:val="auto"/>
          <w:szCs w:val="24"/>
        </w:rPr>
        <w:t>nd fell on ice</w:t>
      </w:r>
      <w:r w:rsidR="00C939F4">
        <w:rPr>
          <w:rFonts w:asciiTheme="minorHAnsi" w:hAnsiTheme="minorHAnsi"/>
          <w:color w:val="auto"/>
          <w:szCs w:val="24"/>
        </w:rPr>
        <w:t xml:space="preserve">.  </w:t>
      </w:r>
      <w:r w:rsidR="00A02C0F">
        <w:rPr>
          <w:rFonts w:asciiTheme="minorHAnsi" w:hAnsiTheme="minorHAnsi"/>
          <w:color w:val="auto"/>
          <w:szCs w:val="24"/>
        </w:rPr>
        <w:t xml:space="preserve">He was treated with pain medication, physical therapy </w:t>
      </w:r>
      <w:r w:rsidR="00C939F4">
        <w:rPr>
          <w:rFonts w:asciiTheme="minorHAnsi" w:hAnsiTheme="minorHAnsi"/>
          <w:color w:val="auto"/>
          <w:szCs w:val="24"/>
        </w:rPr>
        <w:t xml:space="preserve">(PT) </w:t>
      </w:r>
      <w:r w:rsidR="00A02C0F">
        <w:rPr>
          <w:rFonts w:asciiTheme="minorHAnsi" w:hAnsiTheme="minorHAnsi"/>
          <w:color w:val="auto"/>
          <w:szCs w:val="24"/>
        </w:rPr>
        <w:t xml:space="preserve">and </w:t>
      </w:r>
      <w:r w:rsidR="00C46A04">
        <w:rPr>
          <w:rFonts w:asciiTheme="minorHAnsi" w:hAnsiTheme="minorHAnsi"/>
          <w:color w:val="auto"/>
          <w:szCs w:val="24"/>
        </w:rPr>
        <w:t xml:space="preserve">stretching </w:t>
      </w:r>
      <w:r w:rsidR="00166FB4">
        <w:rPr>
          <w:rFonts w:asciiTheme="minorHAnsi" w:hAnsiTheme="minorHAnsi"/>
          <w:color w:val="auto"/>
          <w:szCs w:val="24"/>
        </w:rPr>
        <w:t>exercise</w:t>
      </w:r>
      <w:r w:rsidR="00C46A04">
        <w:rPr>
          <w:rFonts w:asciiTheme="minorHAnsi" w:hAnsiTheme="minorHAnsi"/>
          <w:color w:val="auto"/>
          <w:szCs w:val="24"/>
        </w:rPr>
        <w:t>s</w:t>
      </w:r>
      <w:r w:rsidR="00A02C0F">
        <w:rPr>
          <w:rFonts w:asciiTheme="minorHAnsi" w:hAnsiTheme="minorHAnsi"/>
          <w:color w:val="auto"/>
          <w:szCs w:val="24"/>
        </w:rPr>
        <w:t xml:space="preserve">.  </w:t>
      </w:r>
      <w:r w:rsidR="00C939F4">
        <w:rPr>
          <w:rFonts w:asciiTheme="minorHAnsi" w:hAnsiTheme="minorHAnsi"/>
          <w:color w:val="auto"/>
          <w:szCs w:val="24"/>
        </w:rPr>
        <w:t>Magnetic resonance imaging (</w:t>
      </w:r>
      <w:r w:rsidR="00A02C0F">
        <w:rPr>
          <w:rFonts w:asciiTheme="minorHAnsi" w:hAnsiTheme="minorHAnsi"/>
          <w:color w:val="auto"/>
          <w:szCs w:val="24"/>
        </w:rPr>
        <w:t>MRI</w:t>
      </w:r>
      <w:r w:rsidR="00C939F4">
        <w:rPr>
          <w:rFonts w:asciiTheme="minorHAnsi" w:hAnsiTheme="minorHAnsi"/>
          <w:color w:val="auto"/>
          <w:szCs w:val="24"/>
        </w:rPr>
        <w:t>)</w:t>
      </w:r>
      <w:r w:rsidR="00A02C0F">
        <w:rPr>
          <w:rFonts w:asciiTheme="minorHAnsi" w:hAnsiTheme="minorHAnsi"/>
          <w:color w:val="auto"/>
          <w:szCs w:val="24"/>
        </w:rPr>
        <w:t xml:space="preserve"> showed multilevel degenerative disc disease</w:t>
      </w:r>
      <w:r w:rsidR="001A7474">
        <w:rPr>
          <w:rFonts w:asciiTheme="minorHAnsi" w:hAnsiTheme="minorHAnsi"/>
          <w:color w:val="auto"/>
          <w:szCs w:val="24"/>
        </w:rPr>
        <w:t xml:space="preserve"> </w:t>
      </w:r>
      <w:r w:rsidR="00C46A04">
        <w:rPr>
          <w:rFonts w:asciiTheme="minorHAnsi" w:hAnsiTheme="minorHAnsi"/>
          <w:color w:val="auto"/>
          <w:szCs w:val="24"/>
        </w:rPr>
        <w:t>(DDD)</w:t>
      </w:r>
      <w:r w:rsidR="00A02C0F">
        <w:rPr>
          <w:rFonts w:asciiTheme="minorHAnsi" w:hAnsiTheme="minorHAnsi"/>
          <w:color w:val="auto"/>
          <w:szCs w:val="24"/>
        </w:rPr>
        <w:t>.</w:t>
      </w:r>
      <w:r w:rsidR="00C46A04">
        <w:rPr>
          <w:rFonts w:asciiTheme="minorHAnsi" w:hAnsiTheme="minorHAnsi"/>
          <w:color w:val="auto"/>
          <w:szCs w:val="24"/>
        </w:rPr>
        <w:t xml:space="preserve">  In spite of treatment, his LBP persisted and an MEB was initiated.</w:t>
      </w:r>
      <w:r w:rsidR="00A02C0F">
        <w:rPr>
          <w:rFonts w:asciiTheme="minorHAnsi" w:hAnsiTheme="minorHAnsi"/>
          <w:color w:val="auto"/>
          <w:szCs w:val="24"/>
        </w:rPr>
        <w:t xml:space="preserve">  </w:t>
      </w:r>
      <w:r w:rsidR="00392D2D">
        <w:rPr>
          <w:rFonts w:asciiTheme="minorHAnsi" w:hAnsiTheme="minorHAnsi"/>
          <w:color w:val="auto"/>
          <w:szCs w:val="24"/>
        </w:rPr>
        <w:t xml:space="preserve">At his May 2005 MEB examination, his gait was normal and he was in no acute distress.  </w:t>
      </w:r>
      <w:r w:rsidR="00C5753D">
        <w:rPr>
          <w:rFonts w:asciiTheme="minorHAnsi" w:hAnsiTheme="minorHAnsi"/>
          <w:color w:val="auto"/>
          <w:szCs w:val="24"/>
        </w:rPr>
        <w:t>There was some tenderness to palpation (TTP), but no muscle spasm.  Neurological exam was normal.</w:t>
      </w:r>
      <w:r w:rsidR="005168EF">
        <w:rPr>
          <w:rFonts w:asciiTheme="minorHAnsi" w:hAnsiTheme="minorHAnsi"/>
          <w:color w:val="auto"/>
          <w:szCs w:val="24"/>
        </w:rPr>
        <w:t xml:space="preserve">  As noted above, the PEB found him unfit due to LBP, and he was separated with 10% disabi</w:t>
      </w:r>
      <w:r w:rsidR="00596610">
        <w:rPr>
          <w:rFonts w:asciiTheme="minorHAnsi" w:hAnsiTheme="minorHAnsi"/>
          <w:color w:val="auto"/>
          <w:szCs w:val="24"/>
        </w:rPr>
        <w:t>lity.  On 3 September 2005, 9</w:t>
      </w:r>
      <w:r w:rsidR="005168EF">
        <w:rPr>
          <w:rFonts w:asciiTheme="minorHAnsi" w:hAnsiTheme="minorHAnsi"/>
          <w:color w:val="auto"/>
          <w:szCs w:val="24"/>
        </w:rPr>
        <w:t xml:space="preserve"> weeks</w:t>
      </w:r>
      <w:r w:rsidR="00596610">
        <w:rPr>
          <w:rFonts w:asciiTheme="minorHAnsi" w:hAnsiTheme="minorHAnsi"/>
          <w:color w:val="auto"/>
          <w:szCs w:val="24"/>
        </w:rPr>
        <w:t xml:space="preserve"> after separation, he had a VA C</w:t>
      </w:r>
      <w:r w:rsidR="005168EF">
        <w:rPr>
          <w:rFonts w:asciiTheme="minorHAnsi" w:hAnsiTheme="minorHAnsi"/>
          <w:color w:val="auto"/>
          <w:szCs w:val="24"/>
        </w:rPr>
        <w:t xml:space="preserve">ompensation and </w:t>
      </w:r>
      <w:r w:rsidR="00596610">
        <w:rPr>
          <w:rFonts w:asciiTheme="minorHAnsi" w:hAnsiTheme="minorHAnsi"/>
          <w:color w:val="auto"/>
          <w:szCs w:val="24"/>
        </w:rPr>
        <w:t>P</w:t>
      </w:r>
      <w:r w:rsidR="005168EF">
        <w:rPr>
          <w:rFonts w:asciiTheme="minorHAnsi" w:hAnsiTheme="minorHAnsi"/>
          <w:color w:val="auto"/>
          <w:szCs w:val="24"/>
        </w:rPr>
        <w:t>ension (C&amp;P) exam.  At that time, he reported intermittent LBP with intermittent left-sided radicular</w:t>
      </w:r>
      <w:r w:rsidR="00A02C0F">
        <w:rPr>
          <w:rFonts w:asciiTheme="minorHAnsi" w:hAnsiTheme="minorHAnsi"/>
          <w:color w:val="auto"/>
          <w:szCs w:val="24"/>
        </w:rPr>
        <w:t xml:space="preserve"> </w:t>
      </w:r>
      <w:r w:rsidR="005168EF">
        <w:rPr>
          <w:rFonts w:asciiTheme="minorHAnsi" w:hAnsiTheme="minorHAnsi"/>
          <w:color w:val="auto"/>
          <w:szCs w:val="24"/>
        </w:rPr>
        <w:t>pain</w:t>
      </w:r>
      <w:r w:rsidR="003B1CBE">
        <w:rPr>
          <w:rFonts w:asciiTheme="minorHAnsi" w:hAnsiTheme="minorHAnsi"/>
          <w:color w:val="auto"/>
          <w:szCs w:val="24"/>
        </w:rPr>
        <w:t xml:space="preserve"> and numbness</w:t>
      </w:r>
      <w:r w:rsidR="005168EF">
        <w:rPr>
          <w:rFonts w:asciiTheme="minorHAnsi" w:hAnsiTheme="minorHAnsi"/>
          <w:color w:val="auto"/>
          <w:szCs w:val="24"/>
        </w:rPr>
        <w:t xml:space="preserve">.  His gait was normal, </w:t>
      </w:r>
      <w:r w:rsidR="003B1CBE">
        <w:rPr>
          <w:rFonts w:asciiTheme="minorHAnsi" w:hAnsiTheme="minorHAnsi"/>
          <w:color w:val="auto"/>
          <w:szCs w:val="24"/>
        </w:rPr>
        <w:t>with</w:t>
      </w:r>
      <w:r w:rsidR="005168EF">
        <w:rPr>
          <w:rFonts w:asciiTheme="minorHAnsi" w:hAnsiTheme="minorHAnsi"/>
          <w:color w:val="auto"/>
          <w:szCs w:val="24"/>
        </w:rPr>
        <w:t xml:space="preserve"> normal toe raise/heel raise.  </w:t>
      </w:r>
      <w:r w:rsidR="003B1CBE">
        <w:rPr>
          <w:rFonts w:asciiTheme="minorHAnsi" w:hAnsiTheme="minorHAnsi"/>
          <w:color w:val="auto"/>
          <w:szCs w:val="24"/>
        </w:rPr>
        <w:t>Back exam revealed some mild TTP, but no muscle spasm.  Neurological exam showed some dysthesia of the left thigh, but motor exam was completely normal.</w:t>
      </w:r>
      <w:r w:rsidR="00FC767A">
        <w:rPr>
          <w:rFonts w:asciiTheme="minorHAnsi" w:hAnsiTheme="minorHAnsi"/>
          <w:color w:val="auto"/>
          <w:szCs w:val="24"/>
        </w:rPr>
        <w:t xml:space="preserve">  </w:t>
      </w:r>
      <w:r w:rsidR="00F16EBF" w:rsidRPr="00664296">
        <w:rPr>
          <w:rFonts w:asciiTheme="minorHAnsi" w:hAnsiTheme="minorHAnsi"/>
          <w:color w:val="auto"/>
          <w:szCs w:val="24"/>
        </w:rPr>
        <w:t>T</w:t>
      </w:r>
      <w:r w:rsidR="00060D7F" w:rsidRPr="00060D7F">
        <w:rPr>
          <w:rFonts w:asciiTheme="minorHAnsi" w:hAnsiTheme="minorHAnsi"/>
          <w:color w:val="auto"/>
          <w:szCs w:val="24"/>
        </w:rPr>
        <w:t xml:space="preserve">wo </w:t>
      </w:r>
      <w:r w:rsidR="00F16EBF" w:rsidRPr="00060D7F">
        <w:rPr>
          <w:rFonts w:asciiTheme="minorHAnsi" w:hAnsiTheme="minorHAnsi"/>
          <w:color w:val="auto"/>
          <w:szCs w:val="24"/>
        </w:rPr>
        <w:t>goniometric</w:t>
      </w:r>
      <w:r w:rsidR="00F16EBF" w:rsidRPr="00664296">
        <w:rPr>
          <w:rFonts w:asciiTheme="minorHAnsi" w:hAnsiTheme="minorHAnsi"/>
          <w:color w:val="auto"/>
          <w:szCs w:val="24"/>
        </w:rPr>
        <w:t xml:space="preserve"> range-of-motion (ROM) evaluations </w:t>
      </w:r>
      <w:r w:rsidR="00D14B13">
        <w:rPr>
          <w:rFonts w:asciiTheme="minorHAnsi" w:hAnsiTheme="minorHAnsi"/>
          <w:color w:val="auto"/>
          <w:szCs w:val="24"/>
        </w:rPr>
        <w:t xml:space="preserve">were </w:t>
      </w:r>
      <w:r w:rsidR="00F16EBF" w:rsidRPr="00664296">
        <w:rPr>
          <w:rFonts w:asciiTheme="minorHAnsi" w:hAnsiTheme="minorHAnsi"/>
          <w:color w:val="auto"/>
          <w:szCs w:val="24"/>
        </w:rPr>
        <w:t xml:space="preserve">in evidence </w:t>
      </w:r>
      <w:r w:rsidR="00D14B13">
        <w:rPr>
          <w:rFonts w:asciiTheme="minorHAnsi" w:hAnsiTheme="minorHAnsi"/>
          <w:color w:val="auto"/>
          <w:szCs w:val="24"/>
        </w:rPr>
        <w:t xml:space="preserve">and are summarized </w:t>
      </w:r>
      <w:r w:rsidR="00F16EBF" w:rsidRPr="00664296">
        <w:rPr>
          <w:rFonts w:asciiTheme="minorHAnsi" w:hAnsiTheme="minorHAnsi"/>
          <w:color w:val="auto"/>
          <w:szCs w:val="24"/>
        </w:rPr>
        <w:t>below.</w:t>
      </w:r>
    </w:p>
    <w:p w:rsidR="00F16EBF" w:rsidRDefault="00F16EBF" w:rsidP="00354FA9">
      <w:pPr>
        <w:spacing w:line="240" w:lineRule="exact"/>
        <w:rPr>
          <w:rFonts w:asciiTheme="minorHAnsi" w:hAnsiTheme="minorHAnsi"/>
          <w:color w:val="000000" w:themeColor="text1"/>
          <w:sz w:val="16"/>
          <w:szCs w:val="16"/>
          <w:highlight w:val="yellow"/>
          <w:u w:val="single"/>
        </w:rPr>
      </w:pPr>
    </w:p>
    <w:tbl>
      <w:tblPr>
        <w:tblW w:w="0" w:type="auto"/>
        <w:jc w:val="center"/>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83"/>
        <w:gridCol w:w="2033"/>
        <w:gridCol w:w="2428"/>
      </w:tblGrid>
      <w:tr w:rsidR="00060D7F" w:rsidRPr="00C34CEB" w:rsidTr="00C52B3A">
        <w:trPr>
          <w:jc w:val="center"/>
        </w:trPr>
        <w:tc>
          <w:tcPr>
            <w:tcW w:w="228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060D7F" w:rsidRPr="00FB42B7" w:rsidRDefault="00060D7F" w:rsidP="00354FA9">
            <w:pPr>
              <w:pStyle w:val="ListParagraph"/>
              <w:spacing w:after="0" w:line="240" w:lineRule="exact"/>
              <w:ind w:left="0"/>
              <w:jc w:val="center"/>
              <w:rPr>
                <w:rFonts w:eastAsia="Calibri" w:cs="Times New Roman"/>
                <w:b/>
                <w:sz w:val="20"/>
                <w:szCs w:val="20"/>
              </w:rPr>
            </w:pPr>
            <w:r w:rsidRPr="00FB42B7">
              <w:rPr>
                <w:rFonts w:eastAsia="Calibri"/>
                <w:sz w:val="20"/>
                <w:szCs w:val="20"/>
              </w:rPr>
              <w:t>Goniometric ROM - Thoracolumbar</w:t>
            </w:r>
          </w:p>
        </w:tc>
        <w:tc>
          <w:tcPr>
            <w:tcW w:w="203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060D7F" w:rsidRDefault="00060D7F" w:rsidP="00354FA9">
            <w:pPr>
              <w:spacing w:line="240" w:lineRule="exact"/>
              <w:contextualSpacing/>
              <w:jc w:val="center"/>
              <w:rPr>
                <w:rFonts w:asciiTheme="minorHAnsi" w:eastAsia="Calibri" w:hAnsiTheme="minorHAnsi"/>
                <w:color w:val="auto"/>
                <w:sz w:val="20"/>
              </w:rPr>
            </w:pPr>
            <w:r w:rsidRPr="00FB42B7">
              <w:rPr>
                <w:rFonts w:asciiTheme="minorHAnsi" w:eastAsia="Calibri" w:hAnsiTheme="minorHAnsi"/>
                <w:color w:val="auto"/>
                <w:sz w:val="20"/>
              </w:rPr>
              <w:t>PT</w:t>
            </w:r>
            <w:r w:rsidR="00D432F8">
              <w:rPr>
                <w:rFonts w:asciiTheme="minorHAnsi" w:eastAsia="Calibri" w:hAnsiTheme="minorHAnsi"/>
                <w:color w:val="auto"/>
                <w:sz w:val="20"/>
              </w:rPr>
              <w:t xml:space="preserve"> – 6 wks.</w:t>
            </w:r>
            <w:r w:rsidRPr="00FB42B7">
              <w:rPr>
                <w:rFonts w:asciiTheme="minorHAnsi" w:eastAsia="Calibri" w:hAnsiTheme="minorHAnsi"/>
                <w:color w:val="auto"/>
                <w:sz w:val="20"/>
              </w:rPr>
              <w:t xml:space="preserve"> Pre-Sep</w:t>
            </w:r>
          </w:p>
          <w:p w:rsidR="00D432F8" w:rsidRPr="00FB42B7" w:rsidRDefault="00D432F8" w:rsidP="00354FA9">
            <w:pPr>
              <w:spacing w:line="240" w:lineRule="exact"/>
              <w:contextualSpacing/>
              <w:jc w:val="center"/>
              <w:rPr>
                <w:rFonts w:asciiTheme="minorHAnsi" w:eastAsia="Calibri" w:hAnsiTheme="minorHAnsi"/>
                <w:color w:val="auto"/>
                <w:sz w:val="20"/>
              </w:rPr>
            </w:pPr>
            <w:r>
              <w:rPr>
                <w:rFonts w:asciiTheme="minorHAnsi" w:eastAsia="Calibri" w:hAnsiTheme="minorHAnsi"/>
                <w:color w:val="auto"/>
                <w:sz w:val="20"/>
              </w:rPr>
              <w:t>(20050516)</w:t>
            </w:r>
          </w:p>
        </w:tc>
        <w:tc>
          <w:tcPr>
            <w:tcW w:w="24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060D7F" w:rsidRDefault="00060D7F" w:rsidP="00354FA9">
            <w:pPr>
              <w:spacing w:line="240" w:lineRule="exact"/>
              <w:contextualSpacing/>
              <w:jc w:val="center"/>
              <w:rPr>
                <w:rFonts w:asciiTheme="minorHAnsi" w:eastAsia="Calibri" w:hAnsiTheme="minorHAnsi"/>
                <w:color w:val="auto"/>
                <w:sz w:val="20"/>
              </w:rPr>
            </w:pPr>
            <w:r w:rsidRPr="00FB42B7">
              <w:rPr>
                <w:rFonts w:asciiTheme="minorHAnsi" w:eastAsia="Calibri" w:hAnsiTheme="minorHAnsi"/>
                <w:color w:val="auto"/>
                <w:sz w:val="20"/>
              </w:rPr>
              <w:t>VA</w:t>
            </w:r>
            <w:r w:rsidRPr="00FB42B7">
              <w:rPr>
                <w:rFonts w:asciiTheme="minorHAnsi" w:eastAsiaTheme="minorHAnsi" w:hAnsiTheme="minorHAnsi" w:cstheme="minorBidi"/>
                <w:color w:val="auto"/>
                <w:sz w:val="20"/>
              </w:rPr>
              <w:t xml:space="preserve"> C&amp;P</w:t>
            </w:r>
            <w:r w:rsidR="00D432F8">
              <w:rPr>
                <w:rFonts w:asciiTheme="minorHAnsi" w:eastAsiaTheme="minorHAnsi" w:hAnsiTheme="minorHAnsi" w:cstheme="minorBidi"/>
                <w:color w:val="auto"/>
                <w:sz w:val="20"/>
              </w:rPr>
              <w:t xml:space="preserve"> – 9½ wks. Post</w:t>
            </w:r>
            <w:r w:rsidRPr="00FB42B7">
              <w:rPr>
                <w:rFonts w:asciiTheme="minorHAnsi" w:eastAsia="Calibri" w:hAnsiTheme="minorHAnsi"/>
                <w:color w:val="auto"/>
                <w:sz w:val="20"/>
              </w:rPr>
              <w:t>-Sep</w:t>
            </w:r>
          </w:p>
          <w:p w:rsidR="00D432F8" w:rsidRPr="00FB42B7" w:rsidRDefault="00D432F8" w:rsidP="00354FA9">
            <w:pPr>
              <w:spacing w:line="240" w:lineRule="exact"/>
              <w:contextualSpacing/>
              <w:jc w:val="center"/>
              <w:rPr>
                <w:rFonts w:asciiTheme="minorHAnsi" w:eastAsiaTheme="minorHAnsi" w:hAnsiTheme="minorHAnsi" w:cstheme="minorBidi"/>
                <w:color w:val="auto"/>
                <w:sz w:val="20"/>
              </w:rPr>
            </w:pPr>
            <w:r>
              <w:rPr>
                <w:rFonts w:asciiTheme="minorHAnsi" w:eastAsia="Calibri" w:hAnsiTheme="minorHAnsi"/>
                <w:color w:val="auto"/>
                <w:sz w:val="20"/>
              </w:rPr>
              <w:t>(20050903)</w:t>
            </w:r>
          </w:p>
        </w:tc>
      </w:tr>
      <w:tr w:rsidR="00060D7F" w:rsidRPr="00C34CEB" w:rsidTr="00C52B3A">
        <w:trPr>
          <w:jc w:val="center"/>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060D7F" w:rsidRPr="00C34CEB" w:rsidRDefault="00060D7F" w:rsidP="00354FA9">
            <w:pPr>
              <w:pStyle w:val="ListParagraph"/>
              <w:spacing w:after="0" w:line="240" w:lineRule="exact"/>
              <w:ind w:left="0"/>
              <w:jc w:val="center"/>
              <w:rPr>
                <w:rFonts w:eastAsia="Calibri" w:cs="Times New Roman"/>
                <w:sz w:val="18"/>
                <w:szCs w:val="18"/>
              </w:rPr>
            </w:pPr>
            <w:r w:rsidRPr="00C34CEB">
              <w:rPr>
                <w:rFonts w:eastAsia="Calibri" w:cs="Times New Roman"/>
                <w:sz w:val="18"/>
                <w:szCs w:val="18"/>
              </w:rPr>
              <w:t>Flex</w:t>
            </w:r>
            <w:r w:rsidR="00C52B3A">
              <w:rPr>
                <w:rFonts w:eastAsia="Calibri" w:cs="Times New Roman"/>
                <w:sz w:val="18"/>
                <w:szCs w:val="18"/>
              </w:rPr>
              <w:t>ion (</w:t>
            </w:r>
            <w:r w:rsidRPr="00C34CEB">
              <w:rPr>
                <w:rFonts w:eastAsia="Calibri" w:cs="Times New Roman"/>
                <w:sz w:val="18"/>
                <w:szCs w:val="18"/>
              </w:rPr>
              <w:t>90</w:t>
            </w:r>
            <w:r w:rsidR="00C52B3A" w:rsidRPr="00C34CEB">
              <w:rPr>
                <w:rFonts w:eastAsia="Calibri"/>
                <w:sz w:val="18"/>
                <w:szCs w:val="18"/>
              </w:rPr>
              <w:t>⁰</w:t>
            </w:r>
            <w:r w:rsidR="00C52B3A">
              <w:rPr>
                <w:rFonts w:eastAsia="Calibri"/>
                <w:sz w:val="18"/>
                <w:szCs w:val="18"/>
              </w:rPr>
              <w:t xml:space="preserve"> is normal</w:t>
            </w:r>
            <w:r w:rsidRPr="00C34CEB">
              <w:rPr>
                <w:rFonts w:eastAsia="Calibri" w:cs="Times New Roman"/>
                <w:sz w:val="18"/>
                <w:szCs w:val="18"/>
              </w:rPr>
              <w:t>)</w:t>
            </w:r>
          </w:p>
        </w:tc>
        <w:tc>
          <w:tcPr>
            <w:tcW w:w="2033" w:type="dxa"/>
            <w:tcBorders>
              <w:top w:val="single" w:sz="4" w:space="0" w:color="000000"/>
              <w:left w:val="single" w:sz="4" w:space="0" w:color="000000"/>
              <w:bottom w:val="single" w:sz="4" w:space="0" w:color="000000"/>
              <w:right w:val="single" w:sz="4" w:space="0" w:color="000000"/>
            </w:tcBorders>
            <w:vAlign w:val="center"/>
          </w:tcPr>
          <w:p w:rsidR="00060D7F" w:rsidRPr="00C34CEB" w:rsidRDefault="00060D7F" w:rsidP="00354FA9">
            <w:pPr>
              <w:spacing w:line="24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30</w:t>
            </w:r>
            <w:r w:rsidRPr="00C34CEB">
              <w:rPr>
                <w:rFonts w:asciiTheme="minorHAnsi" w:eastAsia="Calibri" w:hAnsiTheme="minorHAnsi"/>
                <w:color w:val="auto"/>
                <w:sz w:val="18"/>
                <w:szCs w:val="18"/>
              </w:rPr>
              <w:t>⁰</w:t>
            </w:r>
          </w:p>
        </w:tc>
        <w:tc>
          <w:tcPr>
            <w:tcW w:w="2428" w:type="dxa"/>
            <w:tcBorders>
              <w:top w:val="single" w:sz="4" w:space="0" w:color="000000"/>
              <w:left w:val="single" w:sz="4" w:space="0" w:color="000000"/>
              <w:bottom w:val="single" w:sz="4" w:space="0" w:color="000000"/>
              <w:right w:val="single" w:sz="4" w:space="0" w:color="000000"/>
            </w:tcBorders>
            <w:vAlign w:val="center"/>
          </w:tcPr>
          <w:p w:rsidR="00060D7F" w:rsidRPr="00C34CEB" w:rsidRDefault="00060D7F" w:rsidP="00354FA9">
            <w:pPr>
              <w:spacing w:line="24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75</w:t>
            </w:r>
            <w:r w:rsidRPr="00C34CEB">
              <w:rPr>
                <w:rFonts w:asciiTheme="minorHAnsi" w:eastAsia="Calibri" w:hAnsiTheme="minorHAnsi"/>
                <w:color w:val="auto"/>
                <w:sz w:val="18"/>
                <w:szCs w:val="18"/>
              </w:rPr>
              <w:t>⁰</w:t>
            </w:r>
          </w:p>
        </w:tc>
      </w:tr>
      <w:tr w:rsidR="00060D7F" w:rsidRPr="00C34CEB" w:rsidTr="00C52B3A">
        <w:trPr>
          <w:jc w:val="center"/>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060D7F" w:rsidRPr="00C34CEB" w:rsidRDefault="00060D7F" w:rsidP="00354FA9">
            <w:pPr>
              <w:pStyle w:val="ListParagraph"/>
              <w:spacing w:after="0" w:line="240" w:lineRule="exact"/>
              <w:ind w:left="0"/>
              <w:jc w:val="center"/>
              <w:rPr>
                <w:rFonts w:eastAsia="Calibri" w:cs="Times New Roman"/>
                <w:sz w:val="18"/>
                <w:szCs w:val="18"/>
              </w:rPr>
            </w:pPr>
            <w:r w:rsidRPr="00C34CEB">
              <w:rPr>
                <w:rFonts w:eastAsia="Calibri" w:cs="Times New Roman"/>
                <w:sz w:val="18"/>
                <w:szCs w:val="18"/>
              </w:rPr>
              <w:t>C</w:t>
            </w:r>
            <w:r w:rsidR="00C52B3A">
              <w:rPr>
                <w:rFonts w:eastAsia="Calibri" w:cs="Times New Roman"/>
                <w:sz w:val="18"/>
                <w:szCs w:val="18"/>
              </w:rPr>
              <w:t>ombined</w:t>
            </w:r>
            <w:r w:rsidRPr="00C34CEB">
              <w:rPr>
                <w:rFonts w:eastAsia="Calibri" w:cs="Times New Roman"/>
                <w:sz w:val="18"/>
                <w:szCs w:val="18"/>
              </w:rPr>
              <w:t xml:space="preserve"> (240</w:t>
            </w:r>
            <w:r w:rsidR="00C52B3A" w:rsidRPr="00C34CEB">
              <w:rPr>
                <w:rFonts w:eastAsia="Calibri"/>
                <w:sz w:val="18"/>
                <w:szCs w:val="18"/>
              </w:rPr>
              <w:t>⁰</w:t>
            </w:r>
            <w:r w:rsidR="00C52B3A">
              <w:rPr>
                <w:rFonts w:eastAsia="Calibri"/>
                <w:sz w:val="18"/>
                <w:szCs w:val="18"/>
              </w:rPr>
              <w:t xml:space="preserve"> is normal</w:t>
            </w:r>
            <w:r w:rsidRPr="00C34CEB">
              <w:rPr>
                <w:rFonts w:eastAsia="Calibri" w:cs="Times New Roman"/>
                <w:sz w:val="18"/>
                <w:szCs w:val="18"/>
              </w:rPr>
              <w:t>)</w:t>
            </w:r>
          </w:p>
        </w:tc>
        <w:tc>
          <w:tcPr>
            <w:tcW w:w="2033" w:type="dxa"/>
            <w:tcBorders>
              <w:top w:val="single" w:sz="4" w:space="0" w:color="000000"/>
              <w:left w:val="single" w:sz="4" w:space="0" w:color="000000"/>
              <w:bottom w:val="single" w:sz="4" w:space="0" w:color="000000"/>
              <w:right w:val="single" w:sz="4" w:space="0" w:color="000000"/>
            </w:tcBorders>
            <w:vAlign w:val="center"/>
          </w:tcPr>
          <w:p w:rsidR="00060D7F" w:rsidRPr="00C34CEB" w:rsidRDefault="00060D7F" w:rsidP="00354FA9">
            <w:pPr>
              <w:pStyle w:val="ListParagraph"/>
              <w:spacing w:after="0" w:line="240" w:lineRule="exact"/>
              <w:ind w:left="0"/>
              <w:jc w:val="center"/>
              <w:rPr>
                <w:rFonts w:eastAsia="Calibri" w:cs="Times New Roman"/>
                <w:sz w:val="18"/>
                <w:szCs w:val="18"/>
              </w:rPr>
            </w:pPr>
            <w:r>
              <w:rPr>
                <w:rFonts w:eastAsia="Calibri" w:cs="Times New Roman"/>
                <w:sz w:val="18"/>
                <w:szCs w:val="18"/>
              </w:rPr>
              <w:t>125</w:t>
            </w:r>
            <w:r w:rsidRPr="00C34CEB">
              <w:rPr>
                <w:rFonts w:eastAsia="Calibri" w:cs="Times New Roman"/>
                <w:sz w:val="18"/>
                <w:szCs w:val="18"/>
              </w:rPr>
              <w:t>⁰</w:t>
            </w:r>
          </w:p>
        </w:tc>
        <w:tc>
          <w:tcPr>
            <w:tcW w:w="2428" w:type="dxa"/>
            <w:tcBorders>
              <w:top w:val="single" w:sz="4" w:space="0" w:color="000000"/>
              <w:left w:val="single" w:sz="4" w:space="0" w:color="000000"/>
              <w:bottom w:val="single" w:sz="4" w:space="0" w:color="000000"/>
              <w:right w:val="single" w:sz="4" w:space="0" w:color="000000"/>
            </w:tcBorders>
            <w:vAlign w:val="center"/>
          </w:tcPr>
          <w:p w:rsidR="00060D7F" w:rsidRPr="00C34CEB" w:rsidRDefault="00060D7F" w:rsidP="00354FA9">
            <w:pPr>
              <w:spacing w:line="240" w:lineRule="exact"/>
              <w:jc w:val="center"/>
              <w:rPr>
                <w:rFonts w:asciiTheme="minorHAnsi" w:hAnsiTheme="minorHAnsi"/>
                <w:color w:val="auto"/>
                <w:sz w:val="18"/>
                <w:szCs w:val="18"/>
              </w:rPr>
            </w:pPr>
            <w:r>
              <w:rPr>
                <w:rFonts w:asciiTheme="minorHAnsi" w:eastAsia="Calibri" w:hAnsiTheme="minorHAnsi"/>
                <w:color w:val="auto"/>
                <w:sz w:val="18"/>
                <w:szCs w:val="18"/>
              </w:rPr>
              <w:t>225</w:t>
            </w:r>
            <w:r w:rsidRPr="00C34CEB">
              <w:rPr>
                <w:rFonts w:asciiTheme="minorHAnsi" w:eastAsia="Calibri" w:hAnsiTheme="minorHAnsi"/>
                <w:color w:val="auto"/>
                <w:sz w:val="18"/>
                <w:szCs w:val="18"/>
              </w:rPr>
              <w:t>⁰</w:t>
            </w:r>
          </w:p>
        </w:tc>
      </w:tr>
      <w:tr w:rsidR="00060D7F" w:rsidRPr="00C34CEB" w:rsidTr="00C52B3A">
        <w:trPr>
          <w:jc w:val="center"/>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060D7F" w:rsidRPr="00C34CEB" w:rsidRDefault="00060D7F" w:rsidP="00354FA9">
            <w:pPr>
              <w:pStyle w:val="ListParagraph"/>
              <w:spacing w:after="0" w:line="240" w:lineRule="exact"/>
              <w:ind w:left="0"/>
              <w:jc w:val="center"/>
              <w:rPr>
                <w:rFonts w:eastAsia="Calibri" w:cs="Times New Roman"/>
                <w:sz w:val="18"/>
                <w:szCs w:val="18"/>
              </w:rPr>
            </w:pPr>
            <w:r w:rsidRPr="00C34CEB">
              <w:rPr>
                <w:rFonts w:eastAsia="Calibri" w:cs="Times New Roman"/>
                <w:sz w:val="18"/>
                <w:szCs w:val="18"/>
              </w:rPr>
              <w:t>Comment</w:t>
            </w:r>
          </w:p>
        </w:tc>
        <w:tc>
          <w:tcPr>
            <w:tcW w:w="2033" w:type="dxa"/>
            <w:tcBorders>
              <w:top w:val="single" w:sz="4" w:space="0" w:color="000000"/>
              <w:left w:val="single" w:sz="4" w:space="0" w:color="000000"/>
              <w:bottom w:val="single" w:sz="4" w:space="0" w:color="000000"/>
              <w:right w:val="single" w:sz="4" w:space="0" w:color="000000"/>
            </w:tcBorders>
            <w:vAlign w:val="center"/>
          </w:tcPr>
          <w:p w:rsidR="00060D7F" w:rsidRPr="00C34CEB" w:rsidRDefault="00C939F4" w:rsidP="00354FA9">
            <w:pPr>
              <w:tabs>
                <w:tab w:val="left" w:pos="288"/>
                <w:tab w:val="left" w:pos="4752"/>
              </w:tabs>
              <w:spacing w:line="24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Pain with motion</w:t>
            </w:r>
          </w:p>
        </w:tc>
        <w:tc>
          <w:tcPr>
            <w:tcW w:w="2428" w:type="dxa"/>
            <w:tcBorders>
              <w:top w:val="single" w:sz="4" w:space="0" w:color="000000"/>
              <w:left w:val="single" w:sz="4" w:space="0" w:color="000000"/>
              <w:bottom w:val="single" w:sz="4" w:space="0" w:color="000000"/>
              <w:right w:val="single" w:sz="4" w:space="0" w:color="000000"/>
            </w:tcBorders>
            <w:vAlign w:val="center"/>
          </w:tcPr>
          <w:p w:rsidR="00060D7F" w:rsidRPr="00C34CEB" w:rsidRDefault="00060D7F" w:rsidP="00354FA9">
            <w:pPr>
              <w:tabs>
                <w:tab w:val="left" w:pos="288"/>
                <w:tab w:val="left" w:pos="4752"/>
              </w:tabs>
              <w:spacing w:line="24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Normal gait</w:t>
            </w:r>
            <w:r w:rsidR="00D432F8">
              <w:rPr>
                <w:rFonts w:asciiTheme="minorHAnsi" w:eastAsiaTheme="minorHAnsi" w:hAnsiTheme="minorHAnsi"/>
                <w:color w:val="auto"/>
                <w:sz w:val="18"/>
                <w:szCs w:val="18"/>
              </w:rPr>
              <w:t>,</w:t>
            </w:r>
            <w:r>
              <w:rPr>
                <w:rFonts w:asciiTheme="minorHAnsi" w:eastAsiaTheme="minorHAnsi" w:hAnsiTheme="minorHAnsi"/>
                <w:color w:val="auto"/>
                <w:sz w:val="18"/>
                <w:szCs w:val="18"/>
              </w:rPr>
              <w:t xml:space="preserve"> no spasm</w:t>
            </w:r>
          </w:p>
        </w:tc>
      </w:tr>
    </w:tbl>
    <w:p w:rsidR="00D14B13" w:rsidRDefault="00D14B13" w:rsidP="00354FA9">
      <w:pPr>
        <w:spacing w:line="240" w:lineRule="exact"/>
        <w:jc w:val="both"/>
        <w:rPr>
          <w:rFonts w:asciiTheme="minorHAnsi" w:hAnsiTheme="minorHAnsi"/>
          <w:color w:val="000000" w:themeColor="text1"/>
          <w:sz w:val="16"/>
          <w:szCs w:val="16"/>
          <w:u w:val="single"/>
        </w:rPr>
      </w:pPr>
    </w:p>
    <w:p w:rsidR="00FD7CA5" w:rsidRPr="00B66165" w:rsidRDefault="00C52B3A" w:rsidP="00354FA9">
      <w:pPr>
        <w:autoSpaceDE w:val="0"/>
        <w:autoSpaceDN w:val="0"/>
        <w:adjustRightInd w:val="0"/>
        <w:spacing w:line="240" w:lineRule="exact"/>
        <w:jc w:val="both"/>
        <w:rPr>
          <w:rStyle w:val="Strong"/>
          <w:rFonts w:eastAsia="Calibri"/>
          <w:b w:val="0"/>
          <w:bCs w:val="0"/>
          <w:color w:val="auto"/>
          <w:szCs w:val="24"/>
        </w:rPr>
      </w:pPr>
      <w:r>
        <w:rPr>
          <w:rFonts w:asciiTheme="minorHAnsi" w:hAnsiTheme="minorHAnsi"/>
          <w:color w:val="auto"/>
          <w:szCs w:val="24"/>
        </w:rPr>
        <w:t xml:space="preserve">The Board carefully reviewed all </w:t>
      </w:r>
      <w:r w:rsidR="008A6761">
        <w:rPr>
          <w:rFonts w:asciiTheme="minorHAnsi" w:hAnsiTheme="minorHAnsi"/>
          <w:color w:val="auto"/>
          <w:szCs w:val="24"/>
        </w:rPr>
        <w:t xml:space="preserve">evidentiary information available.  </w:t>
      </w:r>
      <w:r w:rsidR="00AB2983" w:rsidRPr="00FB3252">
        <w:rPr>
          <w:rFonts w:asciiTheme="minorHAnsi" w:hAnsiTheme="minorHAnsi"/>
          <w:color w:val="auto"/>
          <w:szCs w:val="24"/>
        </w:rPr>
        <w:t>The PEB</w:t>
      </w:r>
      <w:r w:rsidR="00AB2983">
        <w:rPr>
          <w:rFonts w:asciiTheme="minorHAnsi" w:hAnsiTheme="minorHAnsi"/>
          <w:color w:val="auto"/>
          <w:szCs w:val="24"/>
        </w:rPr>
        <w:t xml:space="preserve"> and the VA used different </w:t>
      </w:r>
      <w:r w:rsidR="00C939F4">
        <w:rPr>
          <w:rFonts w:asciiTheme="minorHAnsi" w:hAnsiTheme="minorHAnsi"/>
          <w:color w:val="auto"/>
          <w:szCs w:val="24"/>
        </w:rPr>
        <w:t xml:space="preserve">diagnostic </w:t>
      </w:r>
      <w:r w:rsidR="00AB2983">
        <w:rPr>
          <w:rFonts w:asciiTheme="minorHAnsi" w:hAnsiTheme="minorHAnsi"/>
          <w:color w:val="auto"/>
          <w:szCs w:val="24"/>
        </w:rPr>
        <w:t xml:space="preserve">codes for the </w:t>
      </w:r>
      <w:r w:rsidR="009A7E16">
        <w:rPr>
          <w:rFonts w:asciiTheme="minorHAnsi" w:hAnsiTheme="minorHAnsi"/>
          <w:color w:val="auto"/>
          <w:szCs w:val="24"/>
        </w:rPr>
        <w:t>LBP</w:t>
      </w:r>
      <w:r w:rsidR="00AB2983">
        <w:rPr>
          <w:rFonts w:asciiTheme="minorHAnsi" w:hAnsiTheme="minorHAnsi"/>
          <w:color w:val="auto"/>
          <w:szCs w:val="24"/>
        </w:rPr>
        <w:t xml:space="preserve"> condition, but both assigned a 10% rating.  </w:t>
      </w:r>
      <w:r w:rsidR="00AB2983" w:rsidRPr="005E712C">
        <w:rPr>
          <w:color w:val="auto"/>
          <w:szCs w:val="24"/>
        </w:rPr>
        <w:t>The</w:t>
      </w:r>
      <w:r w:rsidR="00AB2983">
        <w:rPr>
          <w:color w:val="auto"/>
          <w:szCs w:val="24"/>
        </w:rPr>
        <w:t xml:space="preserve"> Board noted the significant disparity between the two ROM exams.  There were inconsistencies noted with the May 2005 PT exam, which caused the Board to question its validity and probative value.  A 30</w:t>
      </w:r>
      <w:r w:rsidR="00AB2983" w:rsidRPr="005E712C">
        <w:rPr>
          <w:color w:val="auto"/>
          <w:szCs w:val="24"/>
        </w:rPr>
        <w:t>⁰</w:t>
      </w:r>
      <w:r w:rsidR="00AB2983" w:rsidRPr="005E712C">
        <w:rPr>
          <w:rFonts w:eastAsia="Calibri"/>
          <w:color w:val="auto"/>
          <w:szCs w:val="24"/>
        </w:rPr>
        <w:t xml:space="preserve"> limitation of forward flexion would preclude certain activities of daily living, such as dressing oneself or riding in a car.  The record does not indicate that the CI was unable to dress himself or ride in a car.  There is also no evidence that he was unable to sit in a chair, or to sit on the examination table.</w:t>
      </w:r>
      <w:r w:rsidR="00AB2983">
        <w:rPr>
          <w:rFonts w:eastAsia="Calibri"/>
          <w:color w:val="auto"/>
          <w:szCs w:val="24"/>
        </w:rPr>
        <w:t xml:space="preserve">  </w:t>
      </w:r>
      <w:r w:rsidR="002940EC">
        <w:rPr>
          <w:rFonts w:eastAsia="Calibri"/>
          <w:color w:val="auto"/>
          <w:szCs w:val="24"/>
        </w:rPr>
        <w:t>A</w:t>
      </w:r>
      <w:r w:rsidR="00AB2983">
        <w:rPr>
          <w:rFonts w:eastAsia="Calibri"/>
          <w:color w:val="auto"/>
          <w:szCs w:val="24"/>
        </w:rPr>
        <w:t>ddition</w:t>
      </w:r>
      <w:r w:rsidR="002940EC">
        <w:rPr>
          <w:rFonts w:eastAsia="Calibri"/>
          <w:color w:val="auto"/>
          <w:szCs w:val="24"/>
        </w:rPr>
        <w:t>ally</w:t>
      </w:r>
      <w:r w:rsidR="00AB2983">
        <w:rPr>
          <w:rFonts w:eastAsia="Calibri"/>
          <w:color w:val="auto"/>
          <w:szCs w:val="24"/>
        </w:rPr>
        <w:t>, t</w:t>
      </w:r>
      <w:r w:rsidR="00AB2983">
        <w:rPr>
          <w:rFonts w:asciiTheme="minorHAnsi" w:hAnsiTheme="minorHAnsi"/>
          <w:color w:val="auto"/>
          <w:szCs w:val="24"/>
        </w:rPr>
        <w:t xml:space="preserve">here were other factors associated with the </w:t>
      </w:r>
      <w:r w:rsidR="00097A4D">
        <w:rPr>
          <w:rFonts w:asciiTheme="minorHAnsi" w:hAnsiTheme="minorHAnsi"/>
          <w:color w:val="auto"/>
          <w:szCs w:val="24"/>
        </w:rPr>
        <w:t>PT</w:t>
      </w:r>
      <w:r w:rsidR="00AB2983">
        <w:rPr>
          <w:rFonts w:asciiTheme="minorHAnsi" w:hAnsiTheme="minorHAnsi"/>
          <w:color w:val="auto"/>
          <w:szCs w:val="24"/>
        </w:rPr>
        <w:t xml:space="preserve"> exam, which caused further diminution of its probative value.  </w:t>
      </w:r>
      <w:r w:rsidR="00097A4D">
        <w:rPr>
          <w:rFonts w:asciiTheme="minorHAnsi" w:hAnsiTheme="minorHAnsi"/>
          <w:color w:val="auto"/>
          <w:szCs w:val="24"/>
        </w:rPr>
        <w:t>In contrast, t</w:t>
      </w:r>
      <w:r w:rsidR="00AB2983">
        <w:rPr>
          <w:rFonts w:asciiTheme="minorHAnsi" w:hAnsiTheme="minorHAnsi"/>
          <w:color w:val="auto"/>
          <w:szCs w:val="24"/>
        </w:rPr>
        <w:t>he September 2005 C&amp;P exam was performed by a physician</w:t>
      </w:r>
      <w:r w:rsidR="00097A4D">
        <w:rPr>
          <w:rFonts w:asciiTheme="minorHAnsi" w:hAnsiTheme="minorHAnsi"/>
          <w:color w:val="auto"/>
          <w:szCs w:val="24"/>
        </w:rPr>
        <w:t xml:space="preserve">.  The examiner </w:t>
      </w:r>
      <w:r w:rsidR="00AB2983">
        <w:rPr>
          <w:rFonts w:asciiTheme="minorHAnsi" w:hAnsiTheme="minorHAnsi"/>
          <w:color w:val="auto"/>
          <w:szCs w:val="24"/>
        </w:rPr>
        <w:t>do</w:t>
      </w:r>
      <w:r w:rsidR="00097A4D">
        <w:rPr>
          <w:rFonts w:asciiTheme="minorHAnsi" w:hAnsiTheme="minorHAnsi"/>
          <w:color w:val="auto"/>
          <w:szCs w:val="24"/>
        </w:rPr>
        <w:t xml:space="preserve">cumented a normal gait.  </w:t>
      </w:r>
      <w:r w:rsidR="00FD7CA5">
        <w:rPr>
          <w:rFonts w:asciiTheme="minorHAnsi" w:hAnsiTheme="minorHAnsi"/>
          <w:color w:val="auto"/>
          <w:szCs w:val="24"/>
        </w:rPr>
        <w:t>He</w:t>
      </w:r>
      <w:r w:rsidR="00097A4D">
        <w:rPr>
          <w:rFonts w:asciiTheme="minorHAnsi" w:hAnsiTheme="minorHAnsi"/>
          <w:color w:val="auto"/>
          <w:szCs w:val="24"/>
        </w:rPr>
        <w:t xml:space="preserve"> also commented on the CI’s ability to toe raise, heel raise, and rise from a seated position.  A detailed motor examination of the lower extremities is documented.  In addition, t</w:t>
      </w:r>
      <w:r w:rsidR="00AB2983" w:rsidRPr="00CA5FD7">
        <w:rPr>
          <w:color w:val="auto"/>
          <w:szCs w:val="24"/>
        </w:rPr>
        <w:t xml:space="preserve">he </w:t>
      </w:r>
      <w:r w:rsidR="00AB2983">
        <w:rPr>
          <w:color w:val="auto"/>
          <w:szCs w:val="24"/>
        </w:rPr>
        <w:t>C&amp;P</w:t>
      </w:r>
      <w:r w:rsidR="00AB2983" w:rsidRPr="00CA5FD7">
        <w:rPr>
          <w:color w:val="auto"/>
          <w:szCs w:val="24"/>
        </w:rPr>
        <w:t xml:space="preserve"> examination was more consistent with o</w:t>
      </w:r>
      <w:r w:rsidR="00097A4D">
        <w:rPr>
          <w:color w:val="auto"/>
          <w:szCs w:val="24"/>
        </w:rPr>
        <w:t>ther o</w:t>
      </w:r>
      <w:r w:rsidR="00AB2983" w:rsidRPr="00CA5FD7">
        <w:rPr>
          <w:color w:val="auto"/>
          <w:szCs w:val="24"/>
        </w:rPr>
        <w:t xml:space="preserve">utpatient notes, </w:t>
      </w:r>
      <w:r w:rsidR="00AB2983">
        <w:rPr>
          <w:color w:val="auto"/>
          <w:szCs w:val="24"/>
        </w:rPr>
        <w:t xml:space="preserve">and </w:t>
      </w:r>
      <w:r w:rsidR="00AB2983" w:rsidRPr="00CA5FD7">
        <w:rPr>
          <w:color w:val="auto"/>
          <w:szCs w:val="24"/>
        </w:rPr>
        <w:t>more reflective of the anticipated severity suggested by the clinical pathology</w:t>
      </w:r>
      <w:r w:rsidR="00AB2983">
        <w:rPr>
          <w:color w:val="auto"/>
          <w:szCs w:val="24"/>
        </w:rPr>
        <w:t xml:space="preserve">. </w:t>
      </w:r>
      <w:r w:rsidR="00AB2983" w:rsidRPr="002C78B4">
        <w:rPr>
          <w:rFonts w:asciiTheme="minorHAnsi" w:hAnsiTheme="minorHAnsi"/>
          <w:color w:val="auto"/>
          <w:szCs w:val="24"/>
        </w:rPr>
        <w:t xml:space="preserve"> </w:t>
      </w:r>
      <w:r w:rsidR="00AB2983">
        <w:rPr>
          <w:rFonts w:asciiTheme="minorHAnsi" w:hAnsiTheme="minorHAnsi"/>
          <w:color w:val="auto"/>
          <w:szCs w:val="24"/>
        </w:rPr>
        <w:t xml:space="preserve">After due deliberation, the Board decided to assign greater probative value to the </w:t>
      </w:r>
      <w:r w:rsidR="00C939F4">
        <w:rPr>
          <w:rFonts w:asciiTheme="minorHAnsi" w:hAnsiTheme="minorHAnsi"/>
          <w:color w:val="auto"/>
          <w:szCs w:val="24"/>
        </w:rPr>
        <w:t>September 2005</w:t>
      </w:r>
      <w:r w:rsidR="00AB2983">
        <w:rPr>
          <w:rFonts w:asciiTheme="minorHAnsi" w:hAnsiTheme="minorHAnsi"/>
          <w:color w:val="auto"/>
          <w:szCs w:val="24"/>
        </w:rPr>
        <w:t xml:space="preserve"> C&amp;P examination, because of the factors elaborated above.</w:t>
      </w:r>
      <w:r w:rsidR="000B5E5D">
        <w:rPr>
          <w:rFonts w:asciiTheme="minorHAnsi" w:hAnsiTheme="minorHAnsi"/>
          <w:color w:val="auto"/>
          <w:szCs w:val="24"/>
        </w:rPr>
        <w:t xml:space="preserve">  Based on ROM measured at the September 2005 C&amp;P exam, the CI clearly fits the 10% criteria </w:t>
      </w:r>
      <w:r w:rsidR="00786E7F">
        <w:rPr>
          <w:rFonts w:asciiTheme="minorHAnsi" w:hAnsiTheme="minorHAnsi"/>
          <w:color w:val="auto"/>
          <w:szCs w:val="24"/>
        </w:rPr>
        <w:t>in VASRD</w:t>
      </w:r>
      <w:r w:rsidR="00261B8E" w:rsidRPr="00172BF6">
        <w:rPr>
          <w:rFonts w:asciiTheme="minorHAnsi" w:eastAsiaTheme="minorHAnsi" w:hAnsiTheme="minorHAnsi"/>
          <w:color w:val="auto"/>
          <w:szCs w:val="24"/>
        </w:rPr>
        <w:t xml:space="preserve"> </w:t>
      </w:r>
      <w:r w:rsidR="00261B8E" w:rsidRPr="00172BF6">
        <w:rPr>
          <w:rFonts w:eastAsia="Calibri"/>
          <w:color w:val="auto"/>
          <w:szCs w:val="24"/>
        </w:rPr>
        <w:t>§4.71a</w:t>
      </w:r>
      <w:r w:rsidR="00261B8E">
        <w:rPr>
          <w:rFonts w:asciiTheme="minorHAnsi" w:hAnsiTheme="minorHAnsi"/>
          <w:color w:val="auto"/>
          <w:szCs w:val="24"/>
        </w:rPr>
        <w:t xml:space="preserve"> </w:t>
      </w:r>
      <w:r w:rsidR="000B5E5D">
        <w:rPr>
          <w:rFonts w:asciiTheme="minorHAnsi" w:hAnsiTheme="minorHAnsi"/>
          <w:color w:val="auto"/>
          <w:szCs w:val="24"/>
        </w:rPr>
        <w:t xml:space="preserve">due to flexion greater than </w:t>
      </w:r>
      <w:r w:rsidR="00FD7CA5">
        <w:rPr>
          <w:rFonts w:asciiTheme="minorHAnsi" w:hAnsiTheme="minorHAnsi"/>
          <w:color w:val="auto"/>
          <w:szCs w:val="24"/>
        </w:rPr>
        <w:t>6</w:t>
      </w:r>
      <w:r w:rsidR="00FD7CA5">
        <w:rPr>
          <w:color w:val="auto"/>
          <w:szCs w:val="24"/>
        </w:rPr>
        <w:t>0</w:t>
      </w:r>
      <w:r w:rsidR="00FD7CA5" w:rsidRPr="005E712C">
        <w:rPr>
          <w:color w:val="auto"/>
          <w:szCs w:val="24"/>
        </w:rPr>
        <w:t>⁰</w:t>
      </w:r>
      <w:r w:rsidR="000B5E5D">
        <w:rPr>
          <w:rFonts w:asciiTheme="minorHAnsi" w:hAnsiTheme="minorHAnsi"/>
          <w:color w:val="auto"/>
          <w:szCs w:val="24"/>
        </w:rPr>
        <w:t xml:space="preserve"> but not greater than </w:t>
      </w:r>
      <w:r w:rsidR="00FD7CA5">
        <w:rPr>
          <w:rFonts w:asciiTheme="minorHAnsi" w:hAnsiTheme="minorHAnsi"/>
          <w:color w:val="auto"/>
          <w:szCs w:val="24"/>
        </w:rPr>
        <w:t>85</w:t>
      </w:r>
      <w:r w:rsidR="00FD7CA5" w:rsidRPr="005E712C">
        <w:rPr>
          <w:color w:val="auto"/>
          <w:szCs w:val="24"/>
        </w:rPr>
        <w:t>⁰</w:t>
      </w:r>
      <w:r w:rsidR="000B5E5D">
        <w:rPr>
          <w:rFonts w:asciiTheme="minorHAnsi" w:hAnsiTheme="minorHAnsi"/>
          <w:color w:val="auto"/>
          <w:szCs w:val="24"/>
        </w:rPr>
        <w:t xml:space="preserve">, and </w:t>
      </w:r>
      <w:r w:rsidR="00FD7CA5">
        <w:rPr>
          <w:rFonts w:asciiTheme="minorHAnsi" w:hAnsiTheme="minorHAnsi"/>
          <w:color w:val="auto"/>
          <w:szCs w:val="24"/>
        </w:rPr>
        <w:t>c</w:t>
      </w:r>
      <w:r w:rsidR="000B5E5D">
        <w:rPr>
          <w:rFonts w:asciiTheme="minorHAnsi" w:hAnsiTheme="minorHAnsi"/>
          <w:color w:val="auto"/>
          <w:szCs w:val="24"/>
        </w:rPr>
        <w:t xml:space="preserve">ombined </w:t>
      </w:r>
      <w:r w:rsidR="00261B8E">
        <w:rPr>
          <w:rFonts w:asciiTheme="minorHAnsi" w:hAnsiTheme="minorHAnsi"/>
          <w:color w:val="auto"/>
          <w:szCs w:val="24"/>
        </w:rPr>
        <w:t xml:space="preserve">thoracolumbar </w:t>
      </w:r>
      <w:r w:rsidR="000B5E5D">
        <w:rPr>
          <w:rFonts w:asciiTheme="minorHAnsi" w:hAnsiTheme="minorHAnsi"/>
          <w:color w:val="auto"/>
          <w:szCs w:val="24"/>
        </w:rPr>
        <w:t xml:space="preserve">ROM greater than </w:t>
      </w:r>
      <w:r w:rsidR="00FD7CA5">
        <w:rPr>
          <w:rFonts w:asciiTheme="minorHAnsi" w:hAnsiTheme="minorHAnsi"/>
          <w:color w:val="auto"/>
          <w:szCs w:val="24"/>
        </w:rPr>
        <w:t>12</w:t>
      </w:r>
      <w:r w:rsidR="00FD7CA5">
        <w:rPr>
          <w:color w:val="auto"/>
          <w:szCs w:val="24"/>
        </w:rPr>
        <w:t>0</w:t>
      </w:r>
      <w:r w:rsidR="00FD7CA5" w:rsidRPr="005E712C">
        <w:rPr>
          <w:color w:val="auto"/>
          <w:szCs w:val="24"/>
        </w:rPr>
        <w:t>⁰</w:t>
      </w:r>
      <w:r w:rsidR="000B5E5D">
        <w:rPr>
          <w:rFonts w:asciiTheme="minorHAnsi" w:hAnsiTheme="minorHAnsi"/>
          <w:color w:val="auto"/>
          <w:szCs w:val="24"/>
        </w:rPr>
        <w:t xml:space="preserve"> but no</w:t>
      </w:r>
      <w:r w:rsidR="00FD7CA5">
        <w:rPr>
          <w:rFonts w:asciiTheme="minorHAnsi" w:hAnsiTheme="minorHAnsi"/>
          <w:color w:val="auto"/>
          <w:szCs w:val="24"/>
        </w:rPr>
        <w:t>t</w:t>
      </w:r>
      <w:r w:rsidR="000B5E5D">
        <w:rPr>
          <w:rFonts w:asciiTheme="minorHAnsi" w:hAnsiTheme="minorHAnsi"/>
          <w:color w:val="auto"/>
          <w:szCs w:val="24"/>
        </w:rPr>
        <w:t xml:space="preserve"> greater than </w:t>
      </w:r>
      <w:r w:rsidR="00FD7CA5">
        <w:rPr>
          <w:rFonts w:asciiTheme="minorHAnsi" w:hAnsiTheme="minorHAnsi"/>
          <w:color w:val="auto"/>
          <w:szCs w:val="24"/>
        </w:rPr>
        <w:t>235</w:t>
      </w:r>
      <w:r w:rsidR="00FD7CA5" w:rsidRPr="005E712C">
        <w:rPr>
          <w:color w:val="auto"/>
          <w:szCs w:val="24"/>
        </w:rPr>
        <w:t>⁰</w:t>
      </w:r>
      <w:r w:rsidR="000B5E5D">
        <w:rPr>
          <w:rFonts w:asciiTheme="minorHAnsi" w:hAnsiTheme="minorHAnsi"/>
          <w:color w:val="auto"/>
          <w:szCs w:val="24"/>
        </w:rPr>
        <w:t>.</w:t>
      </w:r>
      <w:r w:rsidR="00FD7CA5">
        <w:rPr>
          <w:rFonts w:asciiTheme="minorHAnsi" w:hAnsiTheme="minorHAnsi"/>
          <w:color w:val="auto"/>
          <w:szCs w:val="24"/>
        </w:rPr>
        <w:t xml:space="preserve">  After due deliberation, and </w:t>
      </w:r>
      <w:r w:rsidR="00FD7CA5" w:rsidRPr="00265EE0">
        <w:rPr>
          <w:rFonts w:eastAsia="Calibri"/>
          <w:color w:val="auto"/>
          <w:szCs w:val="24"/>
        </w:rPr>
        <w:t xml:space="preserve">consideration of all </w:t>
      </w:r>
      <w:r w:rsidR="00FD7CA5">
        <w:rPr>
          <w:rFonts w:eastAsia="Calibri"/>
          <w:color w:val="auto"/>
          <w:szCs w:val="24"/>
        </w:rPr>
        <w:t xml:space="preserve">the </w:t>
      </w:r>
      <w:r w:rsidR="00FD7CA5" w:rsidRPr="00265EE0">
        <w:rPr>
          <w:rFonts w:eastAsia="Calibri"/>
          <w:color w:val="auto"/>
          <w:szCs w:val="24"/>
        </w:rPr>
        <w:t>eviden</w:t>
      </w:r>
      <w:r w:rsidR="00FD7CA5">
        <w:rPr>
          <w:rFonts w:eastAsia="Calibri"/>
          <w:color w:val="auto"/>
          <w:szCs w:val="24"/>
        </w:rPr>
        <w:t xml:space="preserve">ce, </w:t>
      </w:r>
      <w:r w:rsidR="00FD7CA5" w:rsidRPr="00265EE0">
        <w:rPr>
          <w:rFonts w:eastAsia="Calibri"/>
          <w:color w:val="auto"/>
          <w:szCs w:val="24"/>
        </w:rPr>
        <w:t xml:space="preserve">the Board </w:t>
      </w:r>
      <w:r w:rsidR="00FD7CA5">
        <w:rPr>
          <w:rFonts w:eastAsia="Calibri"/>
          <w:color w:val="auto"/>
          <w:szCs w:val="24"/>
        </w:rPr>
        <w:t>determined</w:t>
      </w:r>
      <w:r w:rsidR="00FD7CA5" w:rsidRPr="00265EE0">
        <w:rPr>
          <w:rFonts w:eastAsia="Calibri"/>
          <w:color w:val="auto"/>
          <w:szCs w:val="24"/>
        </w:rPr>
        <w:t xml:space="preserve"> that the preponderance of the evidence suppor</w:t>
      </w:r>
      <w:r w:rsidR="00FD7CA5">
        <w:rPr>
          <w:rFonts w:eastAsia="Calibri"/>
          <w:color w:val="auto"/>
          <w:szCs w:val="24"/>
        </w:rPr>
        <w:t xml:space="preserve">ted a rating of 10%. </w:t>
      </w:r>
      <w:r w:rsidR="00FD7CA5" w:rsidRPr="00265EE0">
        <w:rPr>
          <w:rFonts w:eastAsia="Calibri"/>
          <w:color w:val="auto"/>
          <w:szCs w:val="24"/>
        </w:rPr>
        <w:t xml:space="preserve"> There was n</w:t>
      </w:r>
      <w:r w:rsidR="00FD7CA5">
        <w:rPr>
          <w:rFonts w:eastAsia="Calibri"/>
          <w:color w:val="auto"/>
          <w:szCs w:val="24"/>
        </w:rPr>
        <w:t xml:space="preserve">ot sufficient evidence </w:t>
      </w:r>
      <w:r w:rsidR="00FD7CA5" w:rsidRPr="00265EE0">
        <w:rPr>
          <w:rFonts w:eastAsia="Calibri"/>
          <w:color w:val="auto"/>
          <w:szCs w:val="24"/>
        </w:rPr>
        <w:t xml:space="preserve">to justify a Board recommendation for </w:t>
      </w:r>
      <w:r w:rsidR="00EE023E">
        <w:rPr>
          <w:rFonts w:eastAsia="Calibri"/>
          <w:color w:val="auto"/>
          <w:szCs w:val="24"/>
        </w:rPr>
        <w:t xml:space="preserve">a </w:t>
      </w:r>
      <w:r w:rsidR="00FD7CA5" w:rsidRPr="00265EE0">
        <w:rPr>
          <w:rFonts w:eastAsia="Calibri"/>
          <w:color w:val="auto"/>
          <w:szCs w:val="24"/>
        </w:rPr>
        <w:t xml:space="preserve">greater </w:t>
      </w:r>
      <w:r w:rsidR="00EE023E">
        <w:rPr>
          <w:rFonts w:eastAsia="Calibri"/>
          <w:color w:val="auto"/>
          <w:szCs w:val="24"/>
        </w:rPr>
        <w:t xml:space="preserve">percentage </w:t>
      </w:r>
      <w:r w:rsidR="00FD7CA5" w:rsidRPr="00265EE0">
        <w:rPr>
          <w:rFonts w:eastAsia="Calibri"/>
          <w:color w:val="auto"/>
          <w:szCs w:val="24"/>
        </w:rPr>
        <w:t xml:space="preserve">than 10%.  </w:t>
      </w:r>
      <w:r w:rsidR="00FD7CA5">
        <w:rPr>
          <w:rFonts w:asciiTheme="minorHAnsi" w:hAnsiTheme="minorHAnsi"/>
          <w:color w:val="auto"/>
          <w:szCs w:val="24"/>
        </w:rPr>
        <w:t xml:space="preserve">The CI had a normal gait and normal spinal contour.  </w:t>
      </w:r>
      <w:r w:rsidR="00EE023E">
        <w:rPr>
          <w:rFonts w:asciiTheme="minorHAnsi" w:hAnsiTheme="minorHAnsi"/>
          <w:color w:val="auto"/>
          <w:szCs w:val="24"/>
        </w:rPr>
        <w:t xml:space="preserve">There was no evidence of incapacitating episodes.  </w:t>
      </w:r>
      <w:r w:rsidR="00EE023E">
        <w:rPr>
          <w:rFonts w:eastAsia="Calibri"/>
          <w:color w:val="auto"/>
          <w:szCs w:val="24"/>
        </w:rPr>
        <w:t xml:space="preserve">The Board </w:t>
      </w:r>
      <w:r w:rsidR="00FD7CA5">
        <w:rPr>
          <w:rFonts w:eastAsia="Calibri"/>
          <w:color w:val="auto"/>
          <w:szCs w:val="24"/>
        </w:rPr>
        <w:t>unanimously</w:t>
      </w:r>
      <w:r w:rsidR="00FD7CA5" w:rsidRPr="00265EE0">
        <w:rPr>
          <w:rFonts w:eastAsia="Calibri"/>
          <w:color w:val="auto"/>
          <w:szCs w:val="24"/>
        </w:rPr>
        <w:t xml:space="preserve"> recommends a rating of 10% for the </w:t>
      </w:r>
      <w:r w:rsidR="00FD7CA5">
        <w:rPr>
          <w:rFonts w:eastAsia="Calibri"/>
          <w:color w:val="auto"/>
          <w:szCs w:val="24"/>
        </w:rPr>
        <w:t>LBP</w:t>
      </w:r>
      <w:r w:rsidR="00FD7CA5" w:rsidRPr="00265EE0">
        <w:rPr>
          <w:rFonts w:eastAsia="Calibri"/>
          <w:color w:val="auto"/>
          <w:szCs w:val="24"/>
        </w:rPr>
        <w:t xml:space="preserve"> condition.</w:t>
      </w:r>
    </w:p>
    <w:p w:rsidR="00C939F4" w:rsidRDefault="00AB2983" w:rsidP="00354FA9">
      <w:pPr>
        <w:autoSpaceDE w:val="0"/>
        <w:autoSpaceDN w:val="0"/>
        <w:adjustRightInd w:val="0"/>
        <w:spacing w:line="240" w:lineRule="exact"/>
        <w:jc w:val="both"/>
        <w:rPr>
          <w:rFonts w:eastAsia="Calibri"/>
          <w:color w:val="auto"/>
          <w:szCs w:val="24"/>
        </w:rPr>
      </w:pPr>
      <w:r>
        <w:rPr>
          <w:rFonts w:eastAsia="Calibri"/>
          <w:color w:val="auto"/>
          <w:szCs w:val="24"/>
        </w:rPr>
        <w:t xml:space="preserve"> </w:t>
      </w:r>
    </w:p>
    <w:p w:rsidR="00AB2983" w:rsidRPr="009C03AA" w:rsidRDefault="00EE023E" w:rsidP="00354FA9">
      <w:pPr>
        <w:autoSpaceDE w:val="0"/>
        <w:autoSpaceDN w:val="0"/>
        <w:adjustRightInd w:val="0"/>
        <w:spacing w:line="240" w:lineRule="exact"/>
        <w:jc w:val="both"/>
        <w:rPr>
          <w:rFonts w:eastAsia="Calibri"/>
          <w:color w:val="auto"/>
          <w:szCs w:val="24"/>
        </w:rPr>
      </w:pPr>
      <w:r>
        <w:rPr>
          <w:rFonts w:eastAsia="Calibri"/>
          <w:color w:val="auto"/>
          <w:szCs w:val="24"/>
        </w:rPr>
        <w:t>The Board then considered the matter of lumbosacral radiculopathy.</w:t>
      </w:r>
      <w:r w:rsidR="00261B8E">
        <w:rPr>
          <w:rFonts w:eastAsia="Calibri"/>
          <w:color w:val="auto"/>
          <w:szCs w:val="24"/>
        </w:rPr>
        <w:t xml:space="preserve">  </w:t>
      </w:r>
      <w:r w:rsidR="00AB2983">
        <w:rPr>
          <w:rFonts w:eastAsia="Calibri"/>
          <w:color w:val="auto"/>
          <w:szCs w:val="24"/>
        </w:rPr>
        <w:t xml:space="preserve">Although the CI </w:t>
      </w:r>
      <w:r w:rsidR="00261B8E">
        <w:rPr>
          <w:rFonts w:eastAsia="Calibri"/>
          <w:color w:val="auto"/>
          <w:szCs w:val="24"/>
        </w:rPr>
        <w:t xml:space="preserve">reported </w:t>
      </w:r>
      <w:r w:rsidR="00AB2983">
        <w:rPr>
          <w:rFonts w:eastAsia="Calibri"/>
          <w:color w:val="auto"/>
          <w:szCs w:val="24"/>
        </w:rPr>
        <w:t xml:space="preserve">some </w:t>
      </w:r>
      <w:r w:rsidR="00C939F4">
        <w:rPr>
          <w:rFonts w:eastAsia="Calibri"/>
          <w:color w:val="auto"/>
          <w:szCs w:val="24"/>
        </w:rPr>
        <w:t xml:space="preserve">intermittent left-sided radicular symptoms, </w:t>
      </w:r>
      <w:r w:rsidR="00AB2983">
        <w:rPr>
          <w:rFonts w:eastAsia="Calibri"/>
          <w:color w:val="auto"/>
          <w:szCs w:val="24"/>
        </w:rPr>
        <w:t xml:space="preserve">examination revealed </w:t>
      </w:r>
      <w:r w:rsidR="00C939F4">
        <w:rPr>
          <w:rFonts w:eastAsia="Calibri"/>
          <w:color w:val="auto"/>
          <w:szCs w:val="24"/>
        </w:rPr>
        <w:t>no m</w:t>
      </w:r>
      <w:r w:rsidR="002940EC">
        <w:rPr>
          <w:rFonts w:eastAsia="Calibri"/>
          <w:color w:val="auto"/>
          <w:szCs w:val="24"/>
        </w:rPr>
        <w:t>o</w:t>
      </w:r>
      <w:r w:rsidR="00C939F4">
        <w:rPr>
          <w:rFonts w:eastAsia="Calibri"/>
          <w:color w:val="auto"/>
          <w:szCs w:val="24"/>
        </w:rPr>
        <w:t>tor weakness</w:t>
      </w:r>
      <w:r w:rsidR="002940EC">
        <w:rPr>
          <w:rFonts w:eastAsia="Calibri"/>
          <w:color w:val="auto"/>
          <w:szCs w:val="24"/>
        </w:rPr>
        <w:t>,</w:t>
      </w:r>
      <w:r w:rsidR="00C939F4">
        <w:rPr>
          <w:rFonts w:eastAsia="Calibri"/>
          <w:color w:val="auto"/>
          <w:szCs w:val="24"/>
        </w:rPr>
        <w:t xml:space="preserve"> or </w:t>
      </w:r>
      <w:r w:rsidR="002940EC">
        <w:rPr>
          <w:rFonts w:eastAsia="Calibri"/>
          <w:color w:val="auto"/>
          <w:szCs w:val="24"/>
        </w:rPr>
        <w:t xml:space="preserve">other objective evidence of </w:t>
      </w:r>
      <w:r w:rsidR="009C03AA">
        <w:rPr>
          <w:rFonts w:eastAsia="Calibri"/>
          <w:color w:val="auto"/>
          <w:szCs w:val="24"/>
        </w:rPr>
        <w:t xml:space="preserve">a </w:t>
      </w:r>
      <w:r w:rsidR="00C939F4">
        <w:rPr>
          <w:rFonts w:eastAsia="Calibri"/>
          <w:color w:val="auto"/>
          <w:szCs w:val="24"/>
        </w:rPr>
        <w:t>focal neurological deficit</w:t>
      </w:r>
      <w:r w:rsidR="00261B8E">
        <w:rPr>
          <w:rFonts w:eastAsia="Calibri"/>
          <w:color w:val="auto"/>
          <w:szCs w:val="24"/>
        </w:rPr>
        <w:t xml:space="preserve"> </w:t>
      </w:r>
      <w:r w:rsidR="00261B8E">
        <w:rPr>
          <w:rFonts w:asciiTheme="minorHAnsi" w:hAnsiTheme="minorHAnsi"/>
          <w:color w:val="auto"/>
          <w:szCs w:val="24"/>
        </w:rPr>
        <w:t xml:space="preserve">that would be separately unfitting.  The only finding on neurological exam was some </w:t>
      </w:r>
      <w:r w:rsidR="009C03AA">
        <w:rPr>
          <w:rFonts w:asciiTheme="minorHAnsi" w:hAnsiTheme="minorHAnsi"/>
          <w:color w:val="auto"/>
          <w:szCs w:val="24"/>
        </w:rPr>
        <w:t xml:space="preserve">mild dysthesia of the left thigh.  </w:t>
      </w:r>
      <w:r w:rsidR="00AB2983">
        <w:rPr>
          <w:rFonts w:eastAsia="Calibri"/>
          <w:color w:val="auto"/>
          <w:szCs w:val="24"/>
        </w:rPr>
        <w:t>The</w:t>
      </w:r>
      <w:r w:rsidR="009C03AA">
        <w:rPr>
          <w:rFonts w:eastAsia="Calibri"/>
          <w:color w:val="auto"/>
          <w:szCs w:val="24"/>
        </w:rPr>
        <w:t>refore, the</w:t>
      </w:r>
      <w:r w:rsidR="00AB2983">
        <w:rPr>
          <w:rFonts w:eastAsia="Calibri"/>
          <w:color w:val="auto"/>
          <w:szCs w:val="24"/>
        </w:rPr>
        <w:t xml:space="preserve"> Board </w:t>
      </w:r>
      <w:r w:rsidR="009C03AA">
        <w:rPr>
          <w:rFonts w:eastAsia="Calibri"/>
          <w:color w:val="auto"/>
          <w:szCs w:val="24"/>
        </w:rPr>
        <w:t xml:space="preserve">unanimously </w:t>
      </w:r>
      <w:r w:rsidR="00AB2983">
        <w:rPr>
          <w:rFonts w:eastAsia="Calibri"/>
          <w:color w:val="auto"/>
          <w:szCs w:val="24"/>
        </w:rPr>
        <w:t xml:space="preserve">concluded that </w:t>
      </w:r>
      <w:r w:rsidR="00AB2983">
        <w:rPr>
          <w:rFonts w:asciiTheme="minorHAnsi" w:hAnsiTheme="minorHAnsi"/>
          <w:color w:val="auto"/>
          <w:szCs w:val="24"/>
        </w:rPr>
        <w:t>there was insufficient evidence of a</w:t>
      </w:r>
      <w:r w:rsidR="009C03AA">
        <w:rPr>
          <w:rFonts w:asciiTheme="minorHAnsi" w:hAnsiTheme="minorHAnsi"/>
          <w:color w:val="auto"/>
          <w:szCs w:val="24"/>
        </w:rPr>
        <w:t xml:space="preserve">n unfitting peripheral </w:t>
      </w:r>
      <w:r w:rsidR="00AB2983">
        <w:rPr>
          <w:rFonts w:asciiTheme="minorHAnsi" w:hAnsiTheme="minorHAnsi"/>
          <w:color w:val="auto"/>
          <w:szCs w:val="24"/>
        </w:rPr>
        <w:t>neuropathy</w:t>
      </w:r>
      <w:r w:rsidR="009C03AA">
        <w:rPr>
          <w:rFonts w:asciiTheme="minorHAnsi" w:hAnsiTheme="minorHAnsi"/>
          <w:color w:val="auto"/>
          <w:szCs w:val="24"/>
        </w:rPr>
        <w:t xml:space="preserve"> (radiculopathy).</w:t>
      </w:r>
      <w:r w:rsidR="00AB2983">
        <w:rPr>
          <w:rFonts w:asciiTheme="minorHAnsi" w:hAnsiTheme="minorHAnsi"/>
          <w:color w:val="auto"/>
          <w:szCs w:val="24"/>
        </w:rPr>
        <w:t xml:space="preserve"> </w:t>
      </w:r>
    </w:p>
    <w:p w:rsidR="00EC337D" w:rsidRPr="00D14B13" w:rsidRDefault="00D14B13" w:rsidP="00354FA9">
      <w:pPr>
        <w:spacing w:line="240" w:lineRule="exact"/>
        <w:jc w:val="both"/>
        <w:rPr>
          <w:rFonts w:eastAsia="HiddenHorzOCR" w:cs="Calibri"/>
          <w:color w:val="auto"/>
          <w:szCs w:val="24"/>
        </w:rPr>
      </w:pPr>
      <w:r>
        <w:rPr>
          <w:rFonts w:cs="Calibri"/>
          <w:color w:val="000000" w:themeColor="text1"/>
          <w:szCs w:val="24"/>
          <w:u w:val="single"/>
        </w:rPr>
        <w:lastRenderedPageBreak/>
        <w:t>O</w:t>
      </w:r>
      <w:r w:rsidR="004C60A3" w:rsidRPr="00D14B13">
        <w:rPr>
          <w:rFonts w:eastAsia="HiddenHorzOCR" w:cs="Calibri"/>
          <w:color w:val="auto"/>
          <w:szCs w:val="24"/>
          <w:u w:val="single"/>
        </w:rPr>
        <w:t>t</w:t>
      </w:r>
      <w:r w:rsidR="003604A5" w:rsidRPr="00D14B13">
        <w:rPr>
          <w:rFonts w:eastAsia="HiddenHorzOCR" w:cs="Calibri"/>
          <w:color w:val="auto"/>
          <w:szCs w:val="24"/>
          <w:u w:val="single"/>
        </w:rPr>
        <w:t xml:space="preserve">her </w:t>
      </w:r>
      <w:r w:rsidR="000B2FB8" w:rsidRPr="00D14B13">
        <w:rPr>
          <w:rFonts w:eastAsia="HiddenHorzOCR" w:cs="Calibri"/>
          <w:color w:val="auto"/>
          <w:szCs w:val="24"/>
          <w:u w:val="single"/>
        </w:rPr>
        <w:t>PEB</w:t>
      </w:r>
      <w:r w:rsidR="002838C5" w:rsidRPr="00D14B13">
        <w:rPr>
          <w:rFonts w:eastAsia="HiddenHorzOCR" w:cs="Calibri"/>
          <w:color w:val="auto"/>
          <w:szCs w:val="24"/>
          <w:u w:val="single"/>
        </w:rPr>
        <w:t xml:space="preserve"> </w:t>
      </w:r>
      <w:r w:rsidR="003604A5" w:rsidRPr="00D14B13">
        <w:rPr>
          <w:rFonts w:eastAsia="HiddenHorzOCR" w:cs="Calibri"/>
          <w:color w:val="auto"/>
          <w:szCs w:val="24"/>
          <w:u w:val="single"/>
        </w:rPr>
        <w:t>Conditions</w:t>
      </w:r>
      <w:r>
        <w:rPr>
          <w:rFonts w:eastAsia="HiddenHorzOCR" w:cs="Calibri"/>
          <w:color w:val="auto"/>
          <w:szCs w:val="24"/>
        </w:rPr>
        <w:t xml:space="preserve">.  </w:t>
      </w:r>
      <w:r w:rsidR="009C03AA">
        <w:rPr>
          <w:rFonts w:eastAsia="HiddenHorzOCR" w:cs="Calibri"/>
          <w:color w:val="auto"/>
          <w:szCs w:val="24"/>
        </w:rPr>
        <w:t>E</w:t>
      </w:r>
      <w:r w:rsidR="00F16EBF" w:rsidRPr="00F16EBF">
        <w:rPr>
          <w:rFonts w:asciiTheme="minorHAnsi" w:eastAsia="HiddenHorzOCR" w:hAnsiTheme="minorHAnsi"/>
          <w:color w:val="auto"/>
          <w:szCs w:val="24"/>
        </w:rPr>
        <w:t xml:space="preserve">xogenous obesity </w:t>
      </w:r>
      <w:r w:rsidR="00EC337D" w:rsidRPr="00F16EBF">
        <w:rPr>
          <w:rFonts w:asciiTheme="minorHAnsi" w:eastAsia="HiddenHorzOCR" w:hAnsiTheme="minorHAnsi"/>
          <w:color w:val="auto"/>
          <w:szCs w:val="24"/>
        </w:rPr>
        <w:t xml:space="preserve">and </w:t>
      </w:r>
      <w:r w:rsidR="00F16EBF" w:rsidRPr="00F16EBF">
        <w:rPr>
          <w:rFonts w:asciiTheme="minorHAnsi" w:eastAsia="HiddenHorzOCR" w:hAnsiTheme="minorHAnsi"/>
          <w:color w:val="auto"/>
          <w:szCs w:val="24"/>
        </w:rPr>
        <w:t>tinea corporis</w:t>
      </w:r>
      <w:r w:rsidR="009C03AA">
        <w:rPr>
          <w:rFonts w:asciiTheme="minorHAnsi" w:eastAsia="HiddenHorzOCR" w:hAnsiTheme="minorHAnsi"/>
          <w:color w:val="auto"/>
          <w:szCs w:val="24"/>
        </w:rPr>
        <w:t xml:space="preserve"> were </w:t>
      </w:r>
      <w:r w:rsidR="009C03AA" w:rsidRPr="00D14B13">
        <w:rPr>
          <w:rFonts w:eastAsia="HiddenHorzOCR" w:cs="Calibri"/>
          <w:color w:val="auto"/>
          <w:szCs w:val="24"/>
        </w:rPr>
        <w:t xml:space="preserve">adjudicated </w:t>
      </w:r>
      <w:r w:rsidR="009C03AA">
        <w:rPr>
          <w:rFonts w:eastAsia="HiddenHorzOCR" w:cs="Calibri"/>
          <w:color w:val="auto"/>
          <w:szCs w:val="24"/>
        </w:rPr>
        <w:t>by the PEB as</w:t>
      </w:r>
      <w:r w:rsidR="009C03AA" w:rsidRPr="00D14B13">
        <w:rPr>
          <w:rFonts w:eastAsia="HiddenHorzOCR" w:cs="Calibri"/>
          <w:color w:val="auto"/>
          <w:szCs w:val="24"/>
        </w:rPr>
        <w:t xml:space="preserve"> not unfitting</w:t>
      </w:r>
      <w:r w:rsidR="00EC337D" w:rsidRPr="00711350">
        <w:rPr>
          <w:rFonts w:asciiTheme="minorHAnsi" w:eastAsia="HiddenHorzOCR" w:hAnsiTheme="minorHAnsi"/>
          <w:color w:val="auto"/>
          <w:szCs w:val="24"/>
        </w:rPr>
        <w:t>.  N</w:t>
      </w:r>
      <w:r w:rsidR="006F3828">
        <w:rPr>
          <w:rFonts w:asciiTheme="minorHAnsi" w:eastAsia="HiddenHorzOCR" w:hAnsiTheme="minorHAnsi"/>
          <w:color w:val="auto"/>
          <w:szCs w:val="24"/>
        </w:rPr>
        <w:t>either</w:t>
      </w:r>
      <w:r w:rsidR="00EC337D" w:rsidRPr="00711350">
        <w:rPr>
          <w:rFonts w:asciiTheme="minorHAnsi" w:eastAsia="HiddenHorzOCR" w:hAnsiTheme="minorHAnsi"/>
          <w:color w:val="auto"/>
          <w:szCs w:val="24"/>
        </w:rPr>
        <w:t xml:space="preserve"> of these condition</w:t>
      </w:r>
      <w:r w:rsidR="00EC337D" w:rsidRPr="00F16EBF">
        <w:rPr>
          <w:rFonts w:asciiTheme="minorHAnsi" w:eastAsia="HiddenHorzOCR" w:hAnsiTheme="minorHAnsi"/>
          <w:color w:val="auto"/>
          <w:szCs w:val="24"/>
        </w:rPr>
        <w:t>s w</w:t>
      </w:r>
      <w:r w:rsidR="006F3828">
        <w:rPr>
          <w:rFonts w:asciiTheme="minorHAnsi" w:eastAsia="HiddenHorzOCR" w:hAnsiTheme="minorHAnsi"/>
          <w:color w:val="auto"/>
          <w:szCs w:val="24"/>
        </w:rPr>
        <w:t>as</w:t>
      </w:r>
      <w:r w:rsidR="00EC337D" w:rsidRPr="00711350">
        <w:rPr>
          <w:rFonts w:asciiTheme="minorHAnsi" w:eastAsia="HiddenHorzOCR" w:hAnsiTheme="minorHAnsi"/>
          <w:color w:val="auto"/>
          <w:szCs w:val="24"/>
        </w:rPr>
        <w:t xml:space="preserve"> profiled, </w:t>
      </w:r>
      <w:r w:rsidR="006F3828">
        <w:rPr>
          <w:rFonts w:asciiTheme="minorHAnsi" w:eastAsia="HiddenHorzOCR" w:hAnsiTheme="minorHAnsi"/>
          <w:color w:val="auto"/>
          <w:szCs w:val="24"/>
        </w:rPr>
        <w:t xml:space="preserve">nor </w:t>
      </w:r>
      <w:r w:rsidR="00EC337D" w:rsidRPr="00711350">
        <w:rPr>
          <w:rFonts w:asciiTheme="minorHAnsi" w:eastAsia="HiddenHorzOCR" w:hAnsiTheme="minorHAnsi"/>
          <w:color w:val="auto"/>
          <w:szCs w:val="24"/>
        </w:rPr>
        <w:t xml:space="preserve">implicated in the </w:t>
      </w:r>
      <w:r w:rsidR="00B5646A" w:rsidRPr="00F16EBF">
        <w:rPr>
          <w:rFonts w:asciiTheme="minorHAnsi" w:eastAsia="HiddenHorzOCR" w:hAnsiTheme="minorHAnsi"/>
          <w:color w:val="auto"/>
          <w:szCs w:val="24"/>
        </w:rPr>
        <w:t>c</w:t>
      </w:r>
      <w:r w:rsidR="00EC337D" w:rsidRPr="00F16EBF">
        <w:rPr>
          <w:rFonts w:asciiTheme="minorHAnsi" w:eastAsia="HiddenHorzOCR" w:hAnsiTheme="minorHAnsi"/>
          <w:color w:val="auto"/>
          <w:szCs w:val="24"/>
        </w:rPr>
        <w:t>ommander’s</w:t>
      </w:r>
      <w:r w:rsidR="00774FFD" w:rsidRPr="00F16EBF">
        <w:rPr>
          <w:rFonts w:asciiTheme="minorHAnsi" w:eastAsia="HiddenHorzOCR" w:hAnsiTheme="minorHAnsi"/>
          <w:color w:val="auto"/>
          <w:szCs w:val="24"/>
        </w:rPr>
        <w:t xml:space="preserve"> statement</w:t>
      </w:r>
      <w:r w:rsidR="00EC337D" w:rsidRPr="00711350">
        <w:rPr>
          <w:rFonts w:asciiTheme="minorHAnsi" w:eastAsia="HiddenHorzOCR" w:hAnsiTheme="minorHAnsi"/>
          <w:color w:val="auto"/>
          <w:szCs w:val="24"/>
        </w:rPr>
        <w:t xml:space="preserve">.  </w:t>
      </w:r>
      <w:r w:rsidR="006F3828">
        <w:rPr>
          <w:rFonts w:asciiTheme="minorHAnsi" w:eastAsia="HiddenHorzOCR" w:hAnsiTheme="minorHAnsi"/>
          <w:color w:val="auto"/>
          <w:szCs w:val="24"/>
        </w:rPr>
        <w:t>They</w:t>
      </w:r>
      <w:r w:rsidR="00EC337D" w:rsidRPr="00711350">
        <w:rPr>
          <w:rFonts w:asciiTheme="minorHAnsi" w:eastAsia="HiddenHorzOCR" w:hAnsiTheme="minorHAnsi"/>
          <w:color w:val="auto"/>
          <w:szCs w:val="24"/>
        </w:rPr>
        <w:t xml:space="preserve"> were reviewed by the </w:t>
      </w:r>
      <w:r w:rsidR="00B80EDD">
        <w:rPr>
          <w:rFonts w:asciiTheme="minorHAnsi" w:eastAsia="HiddenHorzOCR" w:hAnsiTheme="minorHAnsi"/>
          <w:color w:val="auto"/>
          <w:szCs w:val="24"/>
        </w:rPr>
        <w:t>a</w:t>
      </w:r>
      <w:r w:rsidR="00EC337D" w:rsidRPr="00711350">
        <w:rPr>
          <w:rFonts w:asciiTheme="minorHAnsi" w:eastAsia="HiddenHorzOCR" w:hAnsiTheme="minorHAnsi"/>
          <w:color w:val="auto"/>
          <w:szCs w:val="24"/>
        </w:rPr>
        <w:t xml:space="preserve">ction </w:t>
      </w:r>
      <w:r w:rsidR="00B80EDD">
        <w:rPr>
          <w:rFonts w:asciiTheme="minorHAnsi" w:eastAsia="HiddenHorzOCR" w:hAnsiTheme="minorHAnsi"/>
          <w:color w:val="auto"/>
          <w:szCs w:val="24"/>
        </w:rPr>
        <w:t>o</w:t>
      </w:r>
      <w:r w:rsidR="00EC337D" w:rsidRPr="00711350">
        <w:rPr>
          <w:rFonts w:asciiTheme="minorHAnsi" w:eastAsia="HiddenHorzOCR" w:hAnsiTheme="minorHAnsi"/>
          <w:color w:val="auto"/>
          <w:szCs w:val="24"/>
        </w:rPr>
        <w:t xml:space="preserve">fficer and considered by the Board.  There was </w:t>
      </w:r>
      <w:r w:rsidR="006F3828">
        <w:rPr>
          <w:rFonts w:asciiTheme="minorHAnsi" w:eastAsia="HiddenHorzOCR" w:hAnsiTheme="minorHAnsi"/>
          <w:color w:val="auto"/>
          <w:szCs w:val="24"/>
        </w:rPr>
        <w:t>insufficient evidence in</w:t>
      </w:r>
      <w:r w:rsidR="00EC337D" w:rsidRPr="00711350">
        <w:rPr>
          <w:rFonts w:asciiTheme="minorHAnsi" w:eastAsia="HiddenHorzOCR" w:hAnsiTheme="minorHAnsi"/>
          <w:color w:val="auto"/>
          <w:szCs w:val="24"/>
        </w:rPr>
        <w:t xml:space="preserve"> the record that </w:t>
      </w:r>
      <w:r w:rsidR="006F3828">
        <w:rPr>
          <w:rFonts w:asciiTheme="minorHAnsi" w:eastAsia="HiddenHorzOCR" w:hAnsiTheme="minorHAnsi"/>
          <w:color w:val="auto"/>
          <w:szCs w:val="24"/>
        </w:rPr>
        <w:t>either</w:t>
      </w:r>
      <w:r w:rsidR="00EC337D" w:rsidRPr="00711350">
        <w:rPr>
          <w:rFonts w:asciiTheme="minorHAnsi" w:eastAsia="HiddenHorzOCR" w:hAnsiTheme="minorHAnsi"/>
          <w:color w:val="auto"/>
          <w:szCs w:val="24"/>
        </w:rPr>
        <w:t xml:space="preserve"> of these conditions significantly interfered with satisfactory performance of </w:t>
      </w:r>
      <w:r w:rsidR="006F3828">
        <w:rPr>
          <w:rFonts w:asciiTheme="minorHAnsi" w:eastAsia="HiddenHorzOCR" w:hAnsiTheme="minorHAnsi"/>
          <w:color w:val="auto"/>
          <w:szCs w:val="24"/>
        </w:rPr>
        <w:t xml:space="preserve">military duties.  </w:t>
      </w:r>
      <w:r w:rsidR="00EC337D" w:rsidRPr="00711350">
        <w:rPr>
          <w:rFonts w:asciiTheme="minorHAnsi" w:eastAsia="HiddenHorzOCR" w:hAnsiTheme="minorHAnsi"/>
          <w:color w:val="auto"/>
          <w:szCs w:val="24"/>
        </w:rPr>
        <w:t>All evidence considered, there is not reasonable doubt in the CI’s favor supporting re</w:t>
      </w:r>
      <w:r w:rsidR="006F3828">
        <w:rPr>
          <w:rFonts w:asciiTheme="minorHAnsi" w:eastAsia="HiddenHorzOCR" w:hAnsiTheme="minorHAnsi"/>
          <w:color w:val="auto"/>
          <w:szCs w:val="24"/>
        </w:rPr>
        <w:t>versal</w:t>
      </w:r>
      <w:r w:rsidR="00EC337D" w:rsidRPr="00711350">
        <w:rPr>
          <w:rFonts w:asciiTheme="minorHAnsi" w:eastAsia="HiddenHorzOCR" w:hAnsiTheme="minorHAnsi"/>
          <w:color w:val="auto"/>
          <w:szCs w:val="24"/>
        </w:rPr>
        <w:t xml:space="preserve"> of the PEB</w:t>
      </w:r>
      <w:r w:rsidR="006F3828">
        <w:rPr>
          <w:rFonts w:asciiTheme="minorHAnsi" w:eastAsia="HiddenHorzOCR" w:hAnsiTheme="minorHAnsi"/>
          <w:color w:val="auto"/>
          <w:szCs w:val="24"/>
        </w:rPr>
        <w:t>’s</w:t>
      </w:r>
      <w:r w:rsidR="00EC337D" w:rsidRPr="00711350">
        <w:rPr>
          <w:rFonts w:asciiTheme="minorHAnsi" w:eastAsia="HiddenHorzOCR" w:hAnsiTheme="minorHAnsi"/>
          <w:color w:val="auto"/>
          <w:szCs w:val="24"/>
        </w:rPr>
        <w:t xml:space="preserve"> fitness adjudication for </w:t>
      </w:r>
      <w:r w:rsidR="006F3828">
        <w:rPr>
          <w:rFonts w:asciiTheme="minorHAnsi" w:eastAsia="HiddenHorzOCR" w:hAnsiTheme="minorHAnsi"/>
          <w:color w:val="auto"/>
          <w:szCs w:val="24"/>
        </w:rPr>
        <w:t>either</w:t>
      </w:r>
      <w:r w:rsidR="00EC337D" w:rsidRPr="00711350">
        <w:rPr>
          <w:rFonts w:asciiTheme="minorHAnsi" w:eastAsia="HiddenHorzOCR" w:hAnsiTheme="minorHAnsi"/>
          <w:color w:val="auto"/>
          <w:szCs w:val="24"/>
        </w:rPr>
        <w:t xml:space="preserve"> of the stated conditions.</w:t>
      </w:r>
    </w:p>
    <w:p w:rsidR="00C94CB6" w:rsidRDefault="00C94CB6" w:rsidP="00354FA9">
      <w:pPr>
        <w:spacing w:line="240" w:lineRule="exact"/>
        <w:rPr>
          <w:rFonts w:asciiTheme="minorHAnsi" w:hAnsiTheme="minorHAnsi"/>
          <w:color w:val="auto"/>
          <w:szCs w:val="24"/>
          <w:u w:val="single"/>
        </w:rPr>
      </w:pPr>
    </w:p>
    <w:p w:rsidR="00F6196E" w:rsidRPr="00DF1B31" w:rsidRDefault="00EC337D" w:rsidP="00354FA9">
      <w:pPr>
        <w:spacing w:line="240" w:lineRule="exact"/>
        <w:jc w:val="both"/>
        <w:rPr>
          <w:rFonts w:asciiTheme="minorHAnsi" w:eastAsia="HiddenHorzOCR" w:hAnsiTheme="minorHAnsi"/>
          <w:i/>
          <w:color w:val="auto"/>
          <w:sz w:val="20"/>
        </w:rPr>
      </w:pPr>
      <w:r w:rsidRPr="00EC337D">
        <w:rPr>
          <w:rFonts w:asciiTheme="minorHAnsi" w:hAnsiTheme="minorHAnsi"/>
          <w:color w:val="auto"/>
          <w:szCs w:val="24"/>
          <w:u w:val="single"/>
        </w:rPr>
        <w:t>Remaining Conditions</w:t>
      </w:r>
      <w:r w:rsidR="00D14B13">
        <w:rPr>
          <w:rFonts w:asciiTheme="minorHAnsi" w:hAnsiTheme="minorHAnsi"/>
          <w:color w:val="auto"/>
          <w:szCs w:val="24"/>
        </w:rPr>
        <w:t xml:space="preserve">.  </w:t>
      </w:r>
      <w:r w:rsidR="00BE1E1C">
        <w:rPr>
          <w:rFonts w:asciiTheme="minorHAnsi" w:hAnsiTheme="minorHAnsi"/>
          <w:color w:val="auto"/>
          <w:szCs w:val="24"/>
        </w:rPr>
        <w:t>Shoulder pain, knee trouble, ankle pain, and s</w:t>
      </w:r>
      <w:r w:rsidRPr="00711350">
        <w:rPr>
          <w:rFonts w:asciiTheme="minorHAnsi" w:hAnsiTheme="minorHAnsi"/>
          <w:color w:val="auto"/>
          <w:szCs w:val="24"/>
        </w:rPr>
        <w:t xml:space="preserve">everal </w:t>
      </w:r>
      <w:r w:rsidR="00BE1E1C">
        <w:rPr>
          <w:rFonts w:asciiTheme="minorHAnsi" w:hAnsiTheme="minorHAnsi"/>
          <w:color w:val="auto"/>
          <w:szCs w:val="24"/>
        </w:rPr>
        <w:t>other</w:t>
      </w:r>
      <w:r w:rsidRPr="00711350">
        <w:rPr>
          <w:rFonts w:asciiTheme="minorHAnsi" w:hAnsiTheme="minorHAnsi"/>
          <w:color w:val="auto"/>
          <w:szCs w:val="24"/>
        </w:rPr>
        <w:t xml:space="preserve"> conditions</w:t>
      </w:r>
      <w:r w:rsidR="00BE1E1C">
        <w:rPr>
          <w:rFonts w:asciiTheme="minorHAnsi" w:hAnsiTheme="minorHAnsi"/>
          <w:color w:val="auto"/>
          <w:szCs w:val="24"/>
        </w:rPr>
        <w:t xml:space="preserve"> were also noted in the DES file.  </w:t>
      </w:r>
      <w:r w:rsidRPr="00711350">
        <w:rPr>
          <w:rFonts w:asciiTheme="minorHAnsi" w:hAnsiTheme="minorHAnsi"/>
          <w:color w:val="auto"/>
          <w:szCs w:val="24"/>
        </w:rPr>
        <w:t>None of these condition</w:t>
      </w:r>
      <w:r w:rsidRPr="00B3001C">
        <w:rPr>
          <w:rFonts w:asciiTheme="minorHAnsi" w:hAnsiTheme="minorHAnsi"/>
          <w:color w:val="auto"/>
          <w:szCs w:val="24"/>
        </w:rPr>
        <w:t>s</w:t>
      </w:r>
      <w:r w:rsidRPr="00711350">
        <w:rPr>
          <w:rFonts w:asciiTheme="minorHAnsi" w:hAnsiTheme="minorHAnsi"/>
          <w:color w:val="auto"/>
          <w:szCs w:val="24"/>
        </w:rPr>
        <w:t xml:space="preserve"> were clinically </w:t>
      </w:r>
      <w:r w:rsidR="006F3828">
        <w:rPr>
          <w:rFonts w:asciiTheme="minorHAnsi" w:hAnsiTheme="minorHAnsi"/>
          <w:color w:val="auto"/>
          <w:szCs w:val="24"/>
        </w:rPr>
        <w:t>significant</w:t>
      </w:r>
      <w:r w:rsidRPr="00711350">
        <w:rPr>
          <w:rFonts w:asciiTheme="minorHAnsi" w:hAnsiTheme="minorHAnsi"/>
          <w:color w:val="auto"/>
          <w:szCs w:val="24"/>
        </w:rPr>
        <w:t xml:space="preserve"> during the MEB</w:t>
      </w:r>
      <w:r w:rsidR="006F3828">
        <w:rPr>
          <w:rFonts w:asciiTheme="minorHAnsi" w:hAnsiTheme="minorHAnsi"/>
          <w:color w:val="auto"/>
          <w:szCs w:val="24"/>
        </w:rPr>
        <w:t>/PEB</w:t>
      </w:r>
      <w:r w:rsidRPr="00711350">
        <w:rPr>
          <w:rFonts w:asciiTheme="minorHAnsi" w:hAnsiTheme="minorHAnsi"/>
          <w:color w:val="auto"/>
          <w:szCs w:val="24"/>
        </w:rPr>
        <w:t xml:space="preserve"> period</w:t>
      </w:r>
      <w:r w:rsidR="006008F8" w:rsidRPr="003B4319">
        <w:rPr>
          <w:rFonts w:asciiTheme="minorHAnsi" w:hAnsiTheme="minorHAnsi"/>
          <w:color w:val="auto"/>
          <w:szCs w:val="24"/>
        </w:rPr>
        <w:t>,</w:t>
      </w:r>
      <w:r w:rsidRPr="00711350">
        <w:rPr>
          <w:rFonts w:asciiTheme="minorHAnsi" w:hAnsiTheme="minorHAnsi"/>
          <w:color w:val="auto"/>
          <w:szCs w:val="24"/>
        </w:rPr>
        <w:t xml:space="preserve"> </w:t>
      </w:r>
      <w:r w:rsidRPr="005C62C2">
        <w:rPr>
          <w:rFonts w:asciiTheme="minorHAnsi" w:hAnsiTheme="minorHAnsi"/>
          <w:color w:val="auto"/>
          <w:szCs w:val="24"/>
        </w:rPr>
        <w:t xml:space="preserve">none </w:t>
      </w:r>
      <w:r w:rsidR="006F3828">
        <w:rPr>
          <w:rFonts w:asciiTheme="minorHAnsi" w:hAnsiTheme="minorHAnsi"/>
          <w:color w:val="auto"/>
          <w:szCs w:val="24"/>
        </w:rPr>
        <w:t xml:space="preserve">were </w:t>
      </w:r>
      <w:r w:rsidRPr="00B3001C">
        <w:rPr>
          <w:rFonts w:asciiTheme="minorHAnsi" w:hAnsiTheme="minorHAnsi"/>
          <w:color w:val="auto"/>
          <w:szCs w:val="24"/>
        </w:rPr>
        <w:t>profile</w:t>
      </w:r>
      <w:r w:rsidR="006F3828">
        <w:rPr>
          <w:rFonts w:asciiTheme="minorHAnsi" w:hAnsiTheme="minorHAnsi"/>
          <w:color w:val="auto"/>
          <w:szCs w:val="24"/>
        </w:rPr>
        <w:t>d</w:t>
      </w:r>
      <w:r w:rsidR="00A10C68">
        <w:rPr>
          <w:rFonts w:asciiTheme="minorHAnsi" w:hAnsiTheme="minorHAnsi"/>
          <w:color w:val="auto"/>
          <w:szCs w:val="24"/>
        </w:rPr>
        <w:t>,</w:t>
      </w:r>
      <w:r w:rsidR="00FE5B4B">
        <w:rPr>
          <w:rFonts w:asciiTheme="minorHAnsi" w:hAnsiTheme="minorHAnsi"/>
          <w:color w:val="auto"/>
          <w:szCs w:val="24"/>
        </w:rPr>
        <w:t xml:space="preserve"> </w:t>
      </w:r>
      <w:r w:rsidRPr="00711350">
        <w:rPr>
          <w:rFonts w:asciiTheme="minorHAnsi" w:hAnsiTheme="minorHAnsi"/>
          <w:color w:val="auto"/>
          <w:szCs w:val="24"/>
        </w:rPr>
        <w:t xml:space="preserve">and none </w:t>
      </w:r>
      <w:r w:rsidRPr="00B3001C">
        <w:rPr>
          <w:rFonts w:asciiTheme="minorHAnsi" w:hAnsiTheme="minorHAnsi"/>
          <w:color w:val="auto"/>
          <w:szCs w:val="24"/>
        </w:rPr>
        <w:t>were</w:t>
      </w:r>
      <w:r w:rsidRPr="00711350">
        <w:rPr>
          <w:rFonts w:asciiTheme="minorHAnsi" w:hAnsiTheme="minorHAnsi"/>
          <w:color w:val="auto"/>
          <w:szCs w:val="24"/>
        </w:rPr>
        <w:t xml:space="preserve"> implicated in the </w:t>
      </w:r>
      <w:r w:rsidR="00B5646A" w:rsidRPr="00B3001C">
        <w:rPr>
          <w:rFonts w:asciiTheme="minorHAnsi" w:hAnsiTheme="minorHAnsi"/>
          <w:color w:val="auto"/>
          <w:szCs w:val="24"/>
        </w:rPr>
        <w:t>c</w:t>
      </w:r>
      <w:r w:rsidRPr="00B3001C">
        <w:rPr>
          <w:rFonts w:asciiTheme="minorHAnsi" w:hAnsiTheme="minorHAnsi"/>
          <w:color w:val="auto"/>
          <w:szCs w:val="24"/>
        </w:rPr>
        <w:t>ommander’s</w:t>
      </w:r>
      <w:r w:rsidR="00774FFD" w:rsidRPr="00B3001C">
        <w:rPr>
          <w:rFonts w:asciiTheme="minorHAnsi" w:hAnsiTheme="minorHAnsi"/>
          <w:color w:val="auto"/>
          <w:szCs w:val="24"/>
        </w:rPr>
        <w:t xml:space="preserve"> statement</w:t>
      </w:r>
      <w:r w:rsidRPr="00711350">
        <w:rPr>
          <w:rFonts w:asciiTheme="minorHAnsi" w:hAnsiTheme="minorHAnsi"/>
          <w:color w:val="auto"/>
          <w:szCs w:val="24"/>
        </w:rPr>
        <w:t xml:space="preserve">.  These conditions were reviewed by the </w:t>
      </w:r>
      <w:r w:rsidR="003B4319">
        <w:rPr>
          <w:rFonts w:asciiTheme="minorHAnsi" w:hAnsiTheme="minorHAnsi"/>
          <w:color w:val="auto"/>
          <w:szCs w:val="24"/>
        </w:rPr>
        <w:t>a</w:t>
      </w:r>
      <w:r w:rsidRPr="00711350">
        <w:rPr>
          <w:rFonts w:asciiTheme="minorHAnsi" w:hAnsiTheme="minorHAnsi"/>
          <w:color w:val="auto"/>
          <w:szCs w:val="24"/>
        </w:rPr>
        <w:t xml:space="preserve">ction </w:t>
      </w:r>
      <w:r w:rsidR="003B4319">
        <w:rPr>
          <w:rFonts w:asciiTheme="minorHAnsi" w:hAnsiTheme="minorHAnsi"/>
          <w:color w:val="auto"/>
          <w:szCs w:val="24"/>
        </w:rPr>
        <w:t>o</w:t>
      </w:r>
      <w:r w:rsidRPr="00711350">
        <w:rPr>
          <w:rFonts w:asciiTheme="minorHAnsi" w:hAnsiTheme="minorHAnsi"/>
          <w:color w:val="auto"/>
          <w:szCs w:val="24"/>
        </w:rPr>
        <w:t>fficer and considered by the Board.  It was determined that none could be argued as unfitting and subject to separation rating.  Additionally</w:t>
      </w:r>
      <w:r w:rsidR="00DF1B31">
        <w:rPr>
          <w:rFonts w:asciiTheme="minorHAnsi" w:hAnsiTheme="minorHAnsi"/>
          <w:color w:val="auto"/>
          <w:szCs w:val="24"/>
        </w:rPr>
        <w:t xml:space="preserve">, </w:t>
      </w:r>
      <w:r w:rsidRPr="00711350">
        <w:rPr>
          <w:rFonts w:asciiTheme="minorHAnsi" w:hAnsiTheme="minorHAnsi"/>
          <w:color w:val="auto"/>
          <w:szCs w:val="24"/>
        </w:rPr>
        <w:t>other conditions were noted in the VA rating decision proximal to separation, but were not documented in the DES file.  The Board does not have t</w:t>
      </w:r>
      <w:r w:rsidR="00DF1B31">
        <w:rPr>
          <w:rFonts w:asciiTheme="minorHAnsi" w:hAnsiTheme="minorHAnsi"/>
          <w:color w:val="auto"/>
          <w:szCs w:val="24"/>
        </w:rPr>
        <w:t xml:space="preserve">he authority </w:t>
      </w:r>
      <w:r w:rsidRPr="00711350">
        <w:rPr>
          <w:rFonts w:asciiTheme="minorHAnsi" w:hAnsiTheme="minorHAnsi"/>
          <w:color w:val="auto"/>
          <w:szCs w:val="24"/>
        </w:rPr>
        <w:t>to render fitness or rating recommendations for any conditions not considered by the DES.</w:t>
      </w:r>
      <w:r w:rsidR="00817572">
        <w:rPr>
          <w:rFonts w:asciiTheme="minorHAnsi" w:hAnsiTheme="minorHAnsi"/>
          <w:color w:val="auto"/>
          <w:szCs w:val="24"/>
        </w:rPr>
        <w:t xml:space="preserve">  </w:t>
      </w:r>
      <w:r w:rsidR="00817572" w:rsidRPr="00B56F3D">
        <w:rPr>
          <w:rFonts w:asciiTheme="minorHAnsi" w:hAnsiTheme="minorHAnsi"/>
          <w:color w:val="auto"/>
          <w:szCs w:val="24"/>
        </w:rPr>
        <w:t xml:space="preserve">The Board, therefore, has no reasonable basis for recommending any additional </w:t>
      </w:r>
      <w:r w:rsidR="006F3828">
        <w:rPr>
          <w:rFonts w:asciiTheme="minorHAnsi" w:hAnsiTheme="minorHAnsi"/>
          <w:color w:val="auto"/>
          <w:szCs w:val="24"/>
        </w:rPr>
        <w:t xml:space="preserve">conditions for </w:t>
      </w:r>
      <w:r w:rsidR="00817572" w:rsidRPr="00B56F3D">
        <w:rPr>
          <w:rFonts w:asciiTheme="minorHAnsi" w:hAnsiTheme="minorHAnsi"/>
          <w:color w:val="auto"/>
          <w:szCs w:val="24"/>
        </w:rPr>
        <w:t>rating.</w:t>
      </w:r>
    </w:p>
    <w:p w:rsidR="00F1737C" w:rsidRPr="00391858" w:rsidRDefault="00F1737C" w:rsidP="00354FA9">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354FA9">
      <w:pPr>
        <w:spacing w:line="240" w:lineRule="exact"/>
        <w:rPr>
          <w:rFonts w:asciiTheme="minorHAnsi" w:hAnsiTheme="minorHAnsi"/>
          <w:b/>
          <w:color w:val="auto"/>
          <w:szCs w:val="24"/>
          <w:u w:val="single"/>
        </w:rPr>
      </w:pPr>
    </w:p>
    <w:p w:rsidR="00C56FC8" w:rsidRPr="00354FA9" w:rsidRDefault="00C56FC8" w:rsidP="00354FA9">
      <w:pPr>
        <w:spacing w:line="240" w:lineRule="exact"/>
        <w:jc w:val="both"/>
        <w:rPr>
          <w:rFonts w:eastAsiaTheme="minorHAnsi"/>
          <w:color w:val="000000" w:themeColor="text1"/>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2940EC">
        <w:rPr>
          <w:rFonts w:asciiTheme="minorHAnsi" w:eastAsiaTheme="minorHAnsi" w:hAnsiTheme="minorHAnsi"/>
          <w:color w:val="auto"/>
          <w:szCs w:val="24"/>
        </w:rPr>
        <w:t xml:space="preserve">  In the matter of the LBP condition</w:t>
      </w:r>
      <w:r w:rsidR="006F3828">
        <w:rPr>
          <w:rFonts w:asciiTheme="minorHAnsi" w:eastAsiaTheme="minorHAnsi" w:hAnsiTheme="minorHAnsi"/>
          <w:color w:val="auto"/>
          <w:szCs w:val="24"/>
        </w:rPr>
        <w:t>, the Board unanimously recommends no change to the PEB adjudication.</w:t>
      </w:r>
      <w:r w:rsidR="006F3828" w:rsidRPr="006F3828">
        <w:rPr>
          <w:rFonts w:asciiTheme="minorHAnsi" w:eastAsiaTheme="minorHAnsi" w:hAnsiTheme="minorHAnsi"/>
          <w:color w:val="auto"/>
          <w:szCs w:val="24"/>
        </w:rPr>
        <w:t xml:space="preserve"> </w:t>
      </w:r>
      <w:r w:rsidR="006F3828">
        <w:rPr>
          <w:rFonts w:asciiTheme="minorHAnsi" w:eastAsiaTheme="minorHAnsi" w:hAnsiTheme="minorHAnsi"/>
          <w:color w:val="auto"/>
          <w:szCs w:val="24"/>
        </w:rPr>
        <w:t>In the matter of the obesity and the tinea corporis conditions, the Board unanimously recommends no change to the PEB adjudication.  In the matter of the s</w:t>
      </w:r>
      <w:r w:rsidR="006F3828">
        <w:rPr>
          <w:rFonts w:asciiTheme="minorHAnsi" w:hAnsiTheme="minorHAnsi"/>
          <w:color w:val="auto"/>
          <w:szCs w:val="24"/>
        </w:rPr>
        <w:t xml:space="preserve">houlder pain, knee trouble, ankle pain, </w:t>
      </w:r>
      <w:r w:rsidR="00354FA9">
        <w:rPr>
          <w:rFonts w:eastAsia="HiddenHorzOCR"/>
          <w:color w:val="000000" w:themeColor="text1"/>
          <w:szCs w:val="24"/>
        </w:rPr>
        <w:t xml:space="preserve">or </w:t>
      </w:r>
      <w:r w:rsidR="00354FA9" w:rsidRPr="00730CED">
        <w:rPr>
          <w:rFonts w:eastAsiaTheme="minorHAnsi"/>
          <w:color w:val="000000" w:themeColor="text1"/>
          <w:szCs w:val="24"/>
        </w:rPr>
        <w:t>any other conditions eligible for consideration, the Board unanimously agrees that it cannot recommend any findings of unfit for additional rating at separation.</w:t>
      </w:r>
    </w:p>
    <w:p w:rsidR="00F1737C" w:rsidRPr="00391858" w:rsidRDefault="00F1737C" w:rsidP="00354FA9">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354FA9">
      <w:pPr>
        <w:spacing w:line="240" w:lineRule="exact"/>
        <w:rPr>
          <w:rFonts w:asciiTheme="minorHAnsi" w:hAnsiTheme="minorHAnsi"/>
          <w:b/>
          <w:color w:val="auto"/>
          <w:szCs w:val="24"/>
          <w:u w:val="single"/>
        </w:rPr>
      </w:pPr>
    </w:p>
    <w:p w:rsidR="00FB593A" w:rsidRPr="00B427BB" w:rsidRDefault="00C56FC8" w:rsidP="00354FA9">
      <w:pPr>
        <w:spacing w:line="240" w:lineRule="exact"/>
        <w:rPr>
          <w:rFonts w:asciiTheme="minorHAnsi" w:hAnsiTheme="minorHAnsi"/>
          <w:color w:val="auto"/>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p>
    <w:p w:rsidR="006B4AA2" w:rsidRDefault="00C56FC8" w:rsidP="00354FA9">
      <w:pPr>
        <w:spacing w:line="240" w:lineRule="exact"/>
        <w:jc w:val="both"/>
        <w:rPr>
          <w:rFonts w:asciiTheme="minorHAnsi" w:hAnsiTheme="minorHAnsi"/>
          <w:color w:val="auto"/>
          <w:szCs w:val="24"/>
        </w:rPr>
      </w:pPr>
      <w:r w:rsidRPr="00396779">
        <w:rPr>
          <w:rFonts w:asciiTheme="minorHAnsi" w:hAnsiTheme="minorHAnsi"/>
          <w:color w:val="auto"/>
          <w:szCs w:val="24"/>
        </w:rPr>
        <w:t>The Board</w:t>
      </w:r>
      <w:r w:rsidR="006A543A">
        <w:rPr>
          <w:rFonts w:asciiTheme="minorHAnsi" w:hAnsiTheme="minorHAnsi"/>
          <w:color w:val="auto"/>
          <w:szCs w:val="24"/>
        </w:rPr>
        <w:t>,</w:t>
      </w:r>
      <w:r w:rsidRPr="00396779">
        <w:rPr>
          <w:rFonts w:asciiTheme="minorHAnsi" w:hAnsiTheme="minorHAnsi"/>
          <w:color w:val="auto"/>
          <w:szCs w:val="24"/>
        </w:rPr>
        <w:t xml:space="preserve"> therefore</w:t>
      </w:r>
      <w:r w:rsidR="006A543A">
        <w:rPr>
          <w:rFonts w:asciiTheme="minorHAnsi" w:hAnsiTheme="minorHAnsi"/>
          <w:color w:val="auto"/>
          <w:szCs w:val="24"/>
        </w:rPr>
        <w:t>,</w:t>
      </w:r>
      <w:r w:rsidRPr="00396779">
        <w:rPr>
          <w:rFonts w:asciiTheme="minorHAnsi" w:hAnsiTheme="minorHAnsi"/>
          <w:color w:val="auto"/>
          <w:szCs w:val="24"/>
        </w:rPr>
        <w:t xml:space="preserve"> recommends that there be no recharacterization of the CI’s </w:t>
      </w:r>
      <w:r w:rsidRPr="00B427BB">
        <w:rPr>
          <w:rFonts w:asciiTheme="minorHAnsi" w:hAnsiTheme="minorHAnsi"/>
          <w:color w:val="auto"/>
          <w:szCs w:val="24"/>
        </w:rPr>
        <w:t>disability and separation determination</w:t>
      </w:r>
      <w:r w:rsidR="008C3FD0">
        <w:rPr>
          <w:rFonts w:asciiTheme="minorHAnsi" w:hAnsiTheme="minorHAnsi"/>
          <w:color w:val="auto"/>
          <w:szCs w:val="24"/>
        </w:rPr>
        <w:t>,</w:t>
      </w:r>
      <w:r w:rsidR="00BD2A49">
        <w:rPr>
          <w:rFonts w:asciiTheme="minorHAnsi" w:hAnsiTheme="minorHAnsi"/>
          <w:color w:val="auto"/>
          <w:szCs w:val="24"/>
        </w:rPr>
        <w:t xml:space="preserve"> as follows:</w:t>
      </w:r>
      <w:r w:rsidR="003604A5">
        <w:rPr>
          <w:rFonts w:asciiTheme="minorHAnsi" w:hAnsiTheme="minorHAnsi"/>
          <w:color w:val="auto"/>
          <w:szCs w:val="24"/>
        </w:rPr>
        <w:t xml:space="preserve"> </w:t>
      </w:r>
    </w:p>
    <w:p w:rsidR="004101B2" w:rsidRPr="00AF01B2" w:rsidRDefault="004101B2" w:rsidP="00354FA9">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F01B2" w:rsidTr="00103948">
        <w:trPr>
          <w:trHeight w:val="233"/>
          <w:jc w:val="center"/>
        </w:trPr>
        <w:tc>
          <w:tcPr>
            <w:tcW w:w="6480" w:type="dxa"/>
            <w:shd w:val="clear" w:color="auto" w:fill="D9D9D9"/>
            <w:vAlign w:val="center"/>
          </w:tcPr>
          <w:p w:rsidR="00A95BBA" w:rsidRPr="00AF01B2" w:rsidRDefault="00A95BBA" w:rsidP="00354FA9">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710" w:type="dxa"/>
            <w:shd w:val="clear" w:color="auto" w:fill="D9D9D9"/>
            <w:vAlign w:val="center"/>
          </w:tcPr>
          <w:p w:rsidR="00A95BBA" w:rsidRPr="00AF01B2" w:rsidRDefault="00A95BBA" w:rsidP="00354FA9">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170" w:type="dxa"/>
            <w:shd w:val="clear" w:color="auto" w:fill="D9D9D9"/>
            <w:vAlign w:val="center"/>
          </w:tcPr>
          <w:p w:rsidR="00A95BBA" w:rsidRPr="00AF01B2" w:rsidRDefault="00A95BBA" w:rsidP="00354FA9">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A95BBA" w:rsidRPr="00AF01B2" w:rsidTr="00103948">
        <w:trPr>
          <w:jc w:val="center"/>
        </w:trPr>
        <w:tc>
          <w:tcPr>
            <w:tcW w:w="6480" w:type="dxa"/>
            <w:vAlign w:val="center"/>
          </w:tcPr>
          <w:p w:rsidR="00A95BBA" w:rsidRPr="00AF01B2" w:rsidRDefault="0021525B" w:rsidP="00354FA9">
            <w:pPr>
              <w:tabs>
                <w:tab w:val="left" w:pos="288"/>
                <w:tab w:val="left" w:pos="4752"/>
              </w:tabs>
              <w:spacing w:line="240" w:lineRule="exact"/>
              <w:rPr>
                <w:rFonts w:asciiTheme="minorHAnsi" w:hAnsiTheme="minorHAnsi"/>
                <w:color w:val="auto"/>
                <w:szCs w:val="24"/>
              </w:rPr>
            </w:pPr>
            <w:r w:rsidRPr="0021525B">
              <w:rPr>
                <w:rFonts w:asciiTheme="minorHAnsi" w:hAnsiTheme="minorHAnsi"/>
                <w:color w:val="auto"/>
                <w:szCs w:val="24"/>
              </w:rPr>
              <w:t>Chronic L</w:t>
            </w:r>
            <w:r w:rsidR="006F3828">
              <w:rPr>
                <w:rFonts w:asciiTheme="minorHAnsi" w:hAnsiTheme="minorHAnsi"/>
                <w:color w:val="auto"/>
                <w:szCs w:val="24"/>
              </w:rPr>
              <w:t xml:space="preserve">ow </w:t>
            </w:r>
            <w:r w:rsidRPr="0021525B">
              <w:rPr>
                <w:rFonts w:asciiTheme="minorHAnsi" w:hAnsiTheme="minorHAnsi"/>
                <w:color w:val="auto"/>
                <w:szCs w:val="24"/>
              </w:rPr>
              <w:t>B</w:t>
            </w:r>
            <w:r w:rsidR="006F3828">
              <w:rPr>
                <w:rFonts w:asciiTheme="minorHAnsi" w:hAnsiTheme="minorHAnsi"/>
                <w:color w:val="auto"/>
                <w:szCs w:val="24"/>
              </w:rPr>
              <w:t xml:space="preserve">ack </w:t>
            </w:r>
            <w:r w:rsidRPr="0021525B">
              <w:rPr>
                <w:rFonts w:asciiTheme="minorHAnsi" w:hAnsiTheme="minorHAnsi"/>
                <w:color w:val="auto"/>
                <w:szCs w:val="24"/>
              </w:rPr>
              <w:t>P</w:t>
            </w:r>
            <w:r w:rsidR="006F3828">
              <w:rPr>
                <w:rFonts w:asciiTheme="minorHAnsi" w:hAnsiTheme="minorHAnsi"/>
                <w:color w:val="auto"/>
                <w:szCs w:val="24"/>
              </w:rPr>
              <w:t>ain</w:t>
            </w:r>
          </w:p>
        </w:tc>
        <w:tc>
          <w:tcPr>
            <w:tcW w:w="1710" w:type="dxa"/>
            <w:vAlign w:val="center"/>
          </w:tcPr>
          <w:p w:rsidR="00A95BBA" w:rsidRPr="00AF01B2" w:rsidRDefault="0021525B" w:rsidP="00354FA9">
            <w:pPr>
              <w:tabs>
                <w:tab w:val="left" w:pos="288"/>
                <w:tab w:val="left" w:pos="4752"/>
              </w:tabs>
              <w:spacing w:line="240" w:lineRule="exact"/>
              <w:jc w:val="center"/>
              <w:rPr>
                <w:rFonts w:asciiTheme="minorHAnsi" w:hAnsiTheme="minorHAnsi"/>
                <w:color w:val="auto"/>
                <w:szCs w:val="24"/>
              </w:rPr>
            </w:pPr>
            <w:r w:rsidRPr="0021525B">
              <w:rPr>
                <w:rFonts w:asciiTheme="minorHAnsi" w:hAnsiTheme="minorHAnsi"/>
                <w:color w:val="auto"/>
                <w:szCs w:val="24"/>
              </w:rPr>
              <w:t>5243</w:t>
            </w:r>
          </w:p>
        </w:tc>
        <w:tc>
          <w:tcPr>
            <w:tcW w:w="1170" w:type="dxa"/>
            <w:vAlign w:val="center"/>
          </w:tcPr>
          <w:p w:rsidR="00A95BBA" w:rsidRPr="00AF01B2" w:rsidRDefault="0021525B" w:rsidP="00354FA9">
            <w:pPr>
              <w:tabs>
                <w:tab w:val="left" w:pos="288"/>
                <w:tab w:val="left" w:pos="4752"/>
              </w:tabs>
              <w:spacing w:line="240" w:lineRule="exact"/>
              <w:jc w:val="center"/>
              <w:rPr>
                <w:rFonts w:asciiTheme="minorHAnsi" w:hAnsiTheme="minorHAnsi"/>
                <w:color w:val="auto"/>
                <w:szCs w:val="24"/>
              </w:rPr>
            </w:pPr>
            <w:r w:rsidRPr="0021525B">
              <w:rPr>
                <w:rFonts w:asciiTheme="minorHAnsi" w:hAnsiTheme="minorHAnsi"/>
                <w:color w:val="auto"/>
                <w:szCs w:val="24"/>
              </w:rPr>
              <w:t>10%</w:t>
            </w:r>
          </w:p>
        </w:tc>
      </w:tr>
      <w:tr w:rsidR="00A95BBA" w:rsidRPr="00AF01B2"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AF01B2" w:rsidRDefault="00A95BBA" w:rsidP="00354FA9">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AF01B2" w:rsidRDefault="00BB1C8E" w:rsidP="00354FA9">
            <w:pPr>
              <w:tabs>
                <w:tab w:val="left" w:pos="288"/>
                <w:tab w:val="left" w:pos="4752"/>
              </w:tabs>
              <w:spacing w:line="240" w:lineRule="exact"/>
              <w:jc w:val="center"/>
              <w:rPr>
                <w:rFonts w:asciiTheme="minorHAnsi" w:hAnsiTheme="minorHAnsi"/>
                <w:b/>
                <w:color w:val="auto"/>
                <w:szCs w:val="24"/>
              </w:rPr>
            </w:pPr>
            <w:r w:rsidRPr="00BB1C8E">
              <w:rPr>
                <w:rFonts w:asciiTheme="minorHAnsi" w:hAnsiTheme="minorHAnsi"/>
                <w:b/>
                <w:color w:val="auto"/>
                <w:szCs w:val="24"/>
              </w:rPr>
              <w:t>1</w:t>
            </w:r>
            <w:r w:rsidR="00A95BBA" w:rsidRPr="00BB1C8E">
              <w:rPr>
                <w:rFonts w:asciiTheme="minorHAnsi" w:hAnsiTheme="minorHAnsi"/>
                <w:b/>
                <w:color w:val="auto"/>
                <w:szCs w:val="24"/>
              </w:rPr>
              <w:t>0</w:t>
            </w:r>
            <w:r w:rsidR="00A95BBA" w:rsidRPr="00AF01B2">
              <w:rPr>
                <w:rFonts w:asciiTheme="minorHAnsi" w:hAnsiTheme="minorHAnsi"/>
                <w:b/>
                <w:color w:val="auto"/>
                <w:szCs w:val="24"/>
              </w:rPr>
              <w:t>%</w:t>
            </w:r>
          </w:p>
        </w:tc>
      </w:tr>
    </w:tbl>
    <w:p w:rsidR="00A83C15" w:rsidRPr="00391858" w:rsidRDefault="00A83C15" w:rsidP="00354FA9">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106AD8" w:rsidRPr="00391858" w:rsidRDefault="00106AD8" w:rsidP="00354FA9">
      <w:pPr>
        <w:tabs>
          <w:tab w:val="left" w:pos="288"/>
          <w:tab w:val="left" w:pos="4752"/>
        </w:tabs>
        <w:spacing w:line="240" w:lineRule="exact"/>
        <w:rPr>
          <w:b/>
          <w:color w:val="auto"/>
          <w:szCs w:val="24"/>
        </w:rPr>
      </w:pPr>
    </w:p>
    <w:p w:rsidR="00D91DA6" w:rsidRPr="00006186" w:rsidRDefault="00FB1725" w:rsidP="00354FA9">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354FA9">
      <w:pPr>
        <w:tabs>
          <w:tab w:val="left" w:pos="288"/>
          <w:tab w:val="left" w:pos="4752"/>
        </w:tabs>
        <w:spacing w:line="240" w:lineRule="exact"/>
        <w:jc w:val="both"/>
        <w:rPr>
          <w:rFonts w:asciiTheme="minorHAnsi" w:hAnsiTheme="minorHAnsi"/>
          <w:color w:val="auto"/>
        </w:rPr>
      </w:pPr>
    </w:p>
    <w:p w:rsidR="00114F20" w:rsidRPr="00006186" w:rsidRDefault="00FB1725" w:rsidP="00354FA9">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A.  DD Form 294, dated 20</w:t>
      </w:r>
      <w:r w:rsidR="000A3D6B">
        <w:rPr>
          <w:rFonts w:asciiTheme="minorHAnsi" w:hAnsiTheme="minorHAnsi"/>
          <w:color w:val="auto"/>
        </w:rPr>
        <w:t>110323</w:t>
      </w:r>
      <w:r w:rsidR="00596610">
        <w:rPr>
          <w:rFonts w:asciiTheme="minorHAnsi" w:hAnsiTheme="minorHAnsi"/>
          <w:color w:val="auto"/>
        </w:rPr>
        <w:t>, w/</w:t>
      </w:r>
      <w:proofErr w:type="spellStart"/>
      <w:r w:rsidR="00596610">
        <w:rPr>
          <w:rFonts w:asciiTheme="minorHAnsi" w:hAnsiTheme="minorHAnsi"/>
          <w:color w:val="auto"/>
        </w:rPr>
        <w:t>atchs</w:t>
      </w:r>
      <w:proofErr w:type="spellEnd"/>
    </w:p>
    <w:p w:rsidR="00114F20" w:rsidRPr="00006186" w:rsidRDefault="00FB1725" w:rsidP="00354FA9">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w:t>
      </w:r>
      <w:r w:rsidR="00596610">
        <w:rPr>
          <w:rFonts w:asciiTheme="minorHAnsi" w:hAnsiTheme="minorHAnsi"/>
          <w:color w:val="auto"/>
        </w:rPr>
        <w:t>it B.  Service Treatment Record</w:t>
      </w:r>
    </w:p>
    <w:p w:rsidR="00114F20" w:rsidRPr="00006186" w:rsidRDefault="00FB1725" w:rsidP="00354FA9">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w:t>
      </w:r>
      <w:r w:rsidR="00596610">
        <w:rPr>
          <w:rFonts w:asciiTheme="minorHAnsi" w:hAnsiTheme="minorHAnsi"/>
          <w:color w:val="auto"/>
        </w:rPr>
        <w:t>erans' Affairs Treatment Record</w:t>
      </w:r>
    </w:p>
    <w:p w:rsidR="00D91DA6" w:rsidRPr="00006186" w:rsidRDefault="00D91DA6" w:rsidP="00354FA9">
      <w:pPr>
        <w:tabs>
          <w:tab w:val="left" w:pos="288"/>
          <w:tab w:val="left" w:pos="4752"/>
        </w:tabs>
        <w:spacing w:line="240" w:lineRule="exact"/>
        <w:jc w:val="both"/>
        <w:rPr>
          <w:rFonts w:asciiTheme="minorHAnsi" w:hAnsiTheme="minorHAnsi"/>
          <w:color w:val="auto"/>
        </w:rPr>
      </w:pPr>
    </w:p>
    <w:p w:rsidR="00114F20" w:rsidRPr="00006186" w:rsidRDefault="00114F20" w:rsidP="00354FA9">
      <w:pPr>
        <w:tabs>
          <w:tab w:val="left" w:pos="288"/>
          <w:tab w:val="left" w:pos="4752"/>
        </w:tabs>
        <w:spacing w:line="240" w:lineRule="exact"/>
        <w:jc w:val="both"/>
        <w:rPr>
          <w:rFonts w:asciiTheme="minorHAnsi" w:hAnsiTheme="minorHAnsi"/>
          <w:color w:val="auto"/>
        </w:rPr>
      </w:pPr>
    </w:p>
    <w:p w:rsidR="00BB1C8E" w:rsidRPr="00006186" w:rsidRDefault="00BB1C8E" w:rsidP="00354FA9">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t xml:space="preserve">President </w:t>
      </w:r>
    </w:p>
    <w:p w:rsidR="00771A57" w:rsidRDefault="00BB1C8E" w:rsidP="00354FA9">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Physical Disability Board of Review</w:t>
      </w:r>
    </w:p>
    <w:p w:rsidR="00771A57" w:rsidRDefault="00771A57">
      <w:pPr>
        <w:rPr>
          <w:rFonts w:asciiTheme="minorHAnsi" w:hAnsiTheme="minorHAnsi"/>
          <w:color w:val="auto"/>
        </w:rPr>
      </w:pPr>
      <w:r>
        <w:rPr>
          <w:rFonts w:asciiTheme="minorHAnsi" w:hAnsiTheme="minorHAnsi"/>
          <w:color w:val="auto"/>
        </w:rPr>
        <w:br w:type="page"/>
      </w:r>
    </w:p>
    <w:p w:rsidR="00771A57" w:rsidRDefault="00771A57" w:rsidP="00771A57">
      <w:pPr>
        <w:pStyle w:val="Header"/>
        <w:tabs>
          <w:tab w:val="clear" w:pos="4320"/>
          <w:tab w:val="clear" w:pos="8640"/>
        </w:tabs>
      </w:pPr>
      <w:r>
        <w:lastRenderedPageBreak/>
        <w:t>SFMR-RB</w:t>
      </w:r>
      <w:r>
        <w:tab/>
      </w:r>
      <w:r>
        <w:tab/>
      </w:r>
      <w:r>
        <w:tab/>
      </w:r>
      <w:r>
        <w:tab/>
      </w:r>
      <w:r>
        <w:tab/>
      </w:r>
      <w:r>
        <w:tab/>
      </w:r>
      <w:r>
        <w:tab/>
      </w:r>
      <w:r>
        <w:tab/>
      </w:r>
      <w:r>
        <w:tab/>
      </w:r>
    </w:p>
    <w:p w:rsidR="00771A57" w:rsidRDefault="00771A57" w:rsidP="00771A57">
      <w:pPr>
        <w:pStyle w:val="Header"/>
        <w:tabs>
          <w:tab w:val="clear" w:pos="4320"/>
          <w:tab w:val="clear" w:pos="8640"/>
        </w:tabs>
      </w:pPr>
    </w:p>
    <w:p w:rsidR="00771A57" w:rsidRDefault="00771A57" w:rsidP="00771A57"/>
    <w:p w:rsidR="00771A57" w:rsidRDefault="00771A57" w:rsidP="00771A57">
      <w:r>
        <w:t xml:space="preserve">MEMORANDUM FOR Commander, US Army Physical Disability Agency </w:t>
      </w:r>
    </w:p>
    <w:p w:rsidR="00771A57" w:rsidRDefault="00771A57" w:rsidP="00771A57"/>
    <w:p w:rsidR="00771A57" w:rsidRDefault="00771A57" w:rsidP="00771A57">
      <w:pPr>
        <w:ind w:right="-180"/>
      </w:pPr>
      <w:r>
        <w:t>SUBJECT:  Department of Defense Physical Disability Board of Review Recommendation</w:t>
      </w:r>
    </w:p>
    <w:p w:rsidR="00771A57" w:rsidRDefault="00771A57" w:rsidP="00771A57">
      <w:pPr>
        <w:pStyle w:val="Header"/>
        <w:tabs>
          <w:tab w:val="clear" w:pos="4320"/>
          <w:tab w:val="clear" w:pos="8640"/>
        </w:tabs>
      </w:pPr>
    </w:p>
    <w:p w:rsidR="00771A57" w:rsidRDefault="00771A57" w:rsidP="00771A57"/>
    <w:p w:rsidR="00771A57" w:rsidRDefault="00771A57" w:rsidP="00771A57">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771A57" w:rsidRDefault="00771A57" w:rsidP="00771A57"/>
    <w:p w:rsidR="00771A57" w:rsidRDefault="00771A57" w:rsidP="00771A57">
      <w:r>
        <w:t>This decision is final.  The individual concerned, counsel (if any), and any Members of Congress who have shown interest in this application have been notified of this decision by mail.</w:t>
      </w:r>
    </w:p>
    <w:p w:rsidR="00771A57" w:rsidRDefault="00771A57" w:rsidP="00771A57"/>
    <w:p w:rsidR="00771A57" w:rsidRDefault="00771A57" w:rsidP="00771A57">
      <w:r>
        <w:t xml:space="preserve"> BY ORDER OF THE SECRETARY OF THE ARMY:</w:t>
      </w:r>
    </w:p>
    <w:p w:rsidR="00771A57" w:rsidRDefault="00771A57" w:rsidP="00771A57"/>
    <w:p w:rsidR="00771A57" w:rsidRDefault="00771A57" w:rsidP="00771A57"/>
    <w:p w:rsidR="00771A57" w:rsidRDefault="00771A57" w:rsidP="00771A57">
      <w:pPr>
        <w:pStyle w:val="Header"/>
        <w:tabs>
          <w:tab w:val="clear" w:pos="4320"/>
          <w:tab w:val="clear" w:pos="8640"/>
        </w:tabs>
      </w:pPr>
    </w:p>
    <w:p w:rsidR="00771A57" w:rsidRDefault="00771A57" w:rsidP="00771A57"/>
    <w:p w:rsidR="00771A57" w:rsidRDefault="00771A57" w:rsidP="00771A57">
      <w:bookmarkStart w:id="0" w:name="OLE_LINK3"/>
      <w:bookmarkStart w:id="1" w:name="OLE_LINK4"/>
      <w:r>
        <w:t>Encl</w:t>
      </w:r>
      <w:r>
        <w:tab/>
      </w:r>
      <w:r>
        <w:tab/>
      </w:r>
      <w:r>
        <w:tab/>
      </w:r>
      <w:r>
        <w:tab/>
      </w:r>
      <w:r>
        <w:tab/>
      </w:r>
      <w:r>
        <w:tab/>
        <w:t xml:space="preserve">     </w:t>
      </w:r>
    </w:p>
    <w:p w:rsidR="00771A57" w:rsidRDefault="00771A57" w:rsidP="00771A57">
      <w:r>
        <w:tab/>
      </w:r>
      <w:r>
        <w:tab/>
      </w:r>
      <w:r>
        <w:tab/>
      </w:r>
      <w:r>
        <w:tab/>
      </w:r>
      <w:r>
        <w:tab/>
      </w:r>
      <w:r>
        <w:tab/>
        <w:t xml:space="preserve">     </w:t>
      </w:r>
      <w:r>
        <w:tab/>
        <w:t>Deputy Assistant Secretary</w:t>
      </w:r>
    </w:p>
    <w:p w:rsidR="00BB1C8E" w:rsidRPr="00006186" w:rsidRDefault="00771A57" w:rsidP="00771A5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tab/>
      </w:r>
      <w:r>
        <w:tab/>
      </w:r>
      <w:r>
        <w:tab/>
      </w:r>
      <w:r>
        <w:tab/>
      </w:r>
      <w:r>
        <w:tab/>
      </w:r>
      <w:r>
        <w:tab/>
        <w:t xml:space="preserve">         (Army Review Boards)</w:t>
      </w:r>
      <w:bookmarkEnd w:id="0"/>
      <w:bookmarkEnd w:id="1"/>
    </w:p>
    <w:p w:rsidR="00DF1B31" w:rsidRDefault="00DF1B31" w:rsidP="00354FA9">
      <w:pPr>
        <w:spacing w:line="240" w:lineRule="exact"/>
        <w:rPr>
          <w:rFonts w:asciiTheme="minorHAnsi" w:hAnsiTheme="minorHAnsi"/>
          <w:color w:val="auto"/>
          <w:szCs w:val="24"/>
        </w:rPr>
      </w:pPr>
    </w:p>
    <w:sectPr w:rsidR="00DF1B31" w:rsidSect="002A5C3C">
      <w:footerReference w:type="default" r:id="rId8"/>
      <w:footerReference w:type="firs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687" w:rsidRDefault="00833687">
      <w:r>
        <w:separator/>
      </w:r>
    </w:p>
  </w:endnote>
  <w:endnote w:type="continuationSeparator" w:id="0">
    <w:p w:rsidR="00833687" w:rsidRDefault="008336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2940EC" w:rsidRPr="00684CE6" w:rsidRDefault="004440F3" w:rsidP="00F65ED5">
        <w:pPr>
          <w:pStyle w:val="Footer"/>
          <w:jc w:val="right"/>
          <w:rPr>
            <w:color w:val="auto"/>
          </w:rPr>
        </w:pPr>
        <w:r w:rsidRPr="000A3D6B">
          <w:rPr>
            <w:color w:val="auto"/>
          </w:rPr>
          <w:fldChar w:fldCharType="begin"/>
        </w:r>
        <w:r w:rsidR="002940EC" w:rsidRPr="000A3D6B">
          <w:rPr>
            <w:color w:val="auto"/>
          </w:rPr>
          <w:instrText xml:space="preserve"> PAGE   \* MERGEFORMAT </w:instrText>
        </w:r>
        <w:r w:rsidRPr="000A3D6B">
          <w:rPr>
            <w:color w:val="auto"/>
          </w:rPr>
          <w:fldChar w:fldCharType="separate"/>
        </w:r>
        <w:r w:rsidR="00771A57">
          <w:rPr>
            <w:noProof/>
            <w:color w:val="auto"/>
          </w:rPr>
          <w:t>4</w:t>
        </w:r>
        <w:r w:rsidRPr="000A3D6B">
          <w:rPr>
            <w:color w:val="auto"/>
          </w:rPr>
          <w:fldChar w:fldCharType="end"/>
        </w:r>
        <w:r w:rsidR="002940EC" w:rsidRPr="000A3D6B">
          <w:rPr>
            <w:color w:val="auto"/>
          </w:rPr>
          <w:t xml:space="preserve">                                                           PD1100149</w:t>
        </w:r>
      </w:p>
    </w:sdtContent>
  </w:sdt>
  <w:p w:rsidR="002940EC" w:rsidRPr="00684CE6" w:rsidRDefault="002940EC">
    <w:pPr>
      <w:pStyle w:val="Footer"/>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0EC" w:rsidRPr="00DB4A6D" w:rsidRDefault="002940EC" w:rsidP="00DB4A6D">
    <w:pPr>
      <w:pStyle w:val="Footer"/>
      <w:rPr>
        <w:color w:val="auto"/>
      </w:rPr>
    </w:pPr>
    <w:r w:rsidRPr="00DB4A6D">
      <w:rPr>
        <w:color w:val="auto"/>
      </w:rPr>
      <w:tab/>
      <w:t>1</w:t>
    </w:r>
  </w:p>
  <w:p w:rsidR="002940EC" w:rsidRPr="009F020F" w:rsidRDefault="002940EC" w:rsidP="00DB4A6D">
    <w:pPr>
      <w:pStyle w:val="Footer"/>
      <w:rPr>
        <w:color w:val="auto"/>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687" w:rsidRDefault="00833687">
      <w:r>
        <w:separator/>
      </w:r>
    </w:p>
  </w:footnote>
  <w:footnote w:type="continuationSeparator" w:id="0">
    <w:p w:rsidR="00833687" w:rsidRDefault="008336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62146"/>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513"/>
    <w:rsid w:val="00010ABA"/>
    <w:rsid w:val="00010B0F"/>
    <w:rsid w:val="00012428"/>
    <w:rsid w:val="00012733"/>
    <w:rsid w:val="00013417"/>
    <w:rsid w:val="000145C2"/>
    <w:rsid w:val="0001473F"/>
    <w:rsid w:val="00014A9E"/>
    <w:rsid w:val="0001714A"/>
    <w:rsid w:val="00021361"/>
    <w:rsid w:val="00022CF3"/>
    <w:rsid w:val="00023913"/>
    <w:rsid w:val="00023D43"/>
    <w:rsid w:val="000243FE"/>
    <w:rsid w:val="00024DE7"/>
    <w:rsid w:val="00026092"/>
    <w:rsid w:val="00030776"/>
    <w:rsid w:val="00030B02"/>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5DA4"/>
    <w:rsid w:val="000575C5"/>
    <w:rsid w:val="000577C9"/>
    <w:rsid w:val="00060D7F"/>
    <w:rsid w:val="00060FFD"/>
    <w:rsid w:val="0006431E"/>
    <w:rsid w:val="000652EA"/>
    <w:rsid w:val="00065E21"/>
    <w:rsid w:val="000673ED"/>
    <w:rsid w:val="00070DED"/>
    <w:rsid w:val="00072433"/>
    <w:rsid w:val="0007488B"/>
    <w:rsid w:val="00075702"/>
    <w:rsid w:val="00075A0C"/>
    <w:rsid w:val="000775C2"/>
    <w:rsid w:val="000806AD"/>
    <w:rsid w:val="00080BDF"/>
    <w:rsid w:val="00081DB7"/>
    <w:rsid w:val="00082482"/>
    <w:rsid w:val="00084CF2"/>
    <w:rsid w:val="00085D7B"/>
    <w:rsid w:val="0008708B"/>
    <w:rsid w:val="00092619"/>
    <w:rsid w:val="00092C66"/>
    <w:rsid w:val="000949DD"/>
    <w:rsid w:val="00094E4F"/>
    <w:rsid w:val="00097A4D"/>
    <w:rsid w:val="000A2BCE"/>
    <w:rsid w:val="000A33C8"/>
    <w:rsid w:val="000A3CD3"/>
    <w:rsid w:val="000A3D6B"/>
    <w:rsid w:val="000A41E3"/>
    <w:rsid w:val="000A4BBA"/>
    <w:rsid w:val="000A5071"/>
    <w:rsid w:val="000B0AD2"/>
    <w:rsid w:val="000B1022"/>
    <w:rsid w:val="000B2FB8"/>
    <w:rsid w:val="000B4C99"/>
    <w:rsid w:val="000B5E5D"/>
    <w:rsid w:val="000C06F6"/>
    <w:rsid w:val="000C1D34"/>
    <w:rsid w:val="000C2362"/>
    <w:rsid w:val="000C2FA8"/>
    <w:rsid w:val="000C3C13"/>
    <w:rsid w:val="000C4D5F"/>
    <w:rsid w:val="000C53F9"/>
    <w:rsid w:val="000C5813"/>
    <w:rsid w:val="000C75CF"/>
    <w:rsid w:val="000C7B83"/>
    <w:rsid w:val="000C7DE4"/>
    <w:rsid w:val="000D049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BF"/>
    <w:rsid w:val="000E5577"/>
    <w:rsid w:val="000E7034"/>
    <w:rsid w:val="000F02BE"/>
    <w:rsid w:val="000F0928"/>
    <w:rsid w:val="000F427B"/>
    <w:rsid w:val="000F432B"/>
    <w:rsid w:val="000F43D0"/>
    <w:rsid w:val="000F4F18"/>
    <w:rsid w:val="000F5E24"/>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211AF"/>
    <w:rsid w:val="001219DF"/>
    <w:rsid w:val="0012220B"/>
    <w:rsid w:val="00122ABE"/>
    <w:rsid w:val="001231DC"/>
    <w:rsid w:val="0012489B"/>
    <w:rsid w:val="001272AE"/>
    <w:rsid w:val="00130756"/>
    <w:rsid w:val="001315DD"/>
    <w:rsid w:val="00131F48"/>
    <w:rsid w:val="0013525F"/>
    <w:rsid w:val="00135385"/>
    <w:rsid w:val="001364D1"/>
    <w:rsid w:val="001374C7"/>
    <w:rsid w:val="001421FD"/>
    <w:rsid w:val="001425C8"/>
    <w:rsid w:val="00142EBA"/>
    <w:rsid w:val="00143B79"/>
    <w:rsid w:val="00145965"/>
    <w:rsid w:val="00150B8A"/>
    <w:rsid w:val="00150DCB"/>
    <w:rsid w:val="00151912"/>
    <w:rsid w:val="00153740"/>
    <w:rsid w:val="00153D88"/>
    <w:rsid w:val="001541C5"/>
    <w:rsid w:val="0015623F"/>
    <w:rsid w:val="00156585"/>
    <w:rsid w:val="00156BA9"/>
    <w:rsid w:val="001611E3"/>
    <w:rsid w:val="00161642"/>
    <w:rsid w:val="00161761"/>
    <w:rsid w:val="001646E8"/>
    <w:rsid w:val="00166182"/>
    <w:rsid w:val="00166FB4"/>
    <w:rsid w:val="0017139A"/>
    <w:rsid w:val="001724C8"/>
    <w:rsid w:val="001732C4"/>
    <w:rsid w:val="001745DD"/>
    <w:rsid w:val="00174FDE"/>
    <w:rsid w:val="00174FE3"/>
    <w:rsid w:val="00177659"/>
    <w:rsid w:val="001779E5"/>
    <w:rsid w:val="00180826"/>
    <w:rsid w:val="001809F6"/>
    <w:rsid w:val="00181240"/>
    <w:rsid w:val="00182A4C"/>
    <w:rsid w:val="00183F77"/>
    <w:rsid w:val="00183FB3"/>
    <w:rsid w:val="001844D8"/>
    <w:rsid w:val="00185DA8"/>
    <w:rsid w:val="00185ECB"/>
    <w:rsid w:val="001865E0"/>
    <w:rsid w:val="001870F0"/>
    <w:rsid w:val="00190E48"/>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474"/>
    <w:rsid w:val="001A7538"/>
    <w:rsid w:val="001B06FB"/>
    <w:rsid w:val="001B0B1A"/>
    <w:rsid w:val="001B4C0B"/>
    <w:rsid w:val="001B4EC2"/>
    <w:rsid w:val="001B5B59"/>
    <w:rsid w:val="001B60E0"/>
    <w:rsid w:val="001B6199"/>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4253"/>
    <w:rsid w:val="001D4F88"/>
    <w:rsid w:val="001D68CF"/>
    <w:rsid w:val="001D6A8C"/>
    <w:rsid w:val="001D7A56"/>
    <w:rsid w:val="001E15C0"/>
    <w:rsid w:val="001E18E0"/>
    <w:rsid w:val="001E18E2"/>
    <w:rsid w:val="001E19D0"/>
    <w:rsid w:val="001E2A30"/>
    <w:rsid w:val="001E2FF1"/>
    <w:rsid w:val="001E41FE"/>
    <w:rsid w:val="001E635C"/>
    <w:rsid w:val="001F0297"/>
    <w:rsid w:val="00200AA0"/>
    <w:rsid w:val="00202325"/>
    <w:rsid w:val="00202736"/>
    <w:rsid w:val="00203652"/>
    <w:rsid w:val="00204562"/>
    <w:rsid w:val="00205B4F"/>
    <w:rsid w:val="002060B6"/>
    <w:rsid w:val="002066B5"/>
    <w:rsid w:val="00211612"/>
    <w:rsid w:val="002119B6"/>
    <w:rsid w:val="00212B40"/>
    <w:rsid w:val="00213BD0"/>
    <w:rsid w:val="00214DBA"/>
    <w:rsid w:val="002151AB"/>
    <w:rsid w:val="0021525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6860"/>
    <w:rsid w:val="002468D9"/>
    <w:rsid w:val="00246DFF"/>
    <w:rsid w:val="00246E89"/>
    <w:rsid w:val="0025183C"/>
    <w:rsid w:val="00251AA5"/>
    <w:rsid w:val="00252351"/>
    <w:rsid w:val="002528EC"/>
    <w:rsid w:val="00253EAA"/>
    <w:rsid w:val="00255049"/>
    <w:rsid w:val="00257AFF"/>
    <w:rsid w:val="00257DE5"/>
    <w:rsid w:val="00260531"/>
    <w:rsid w:val="00260B9A"/>
    <w:rsid w:val="00261B8E"/>
    <w:rsid w:val="00262EA5"/>
    <w:rsid w:val="0026318D"/>
    <w:rsid w:val="00264148"/>
    <w:rsid w:val="002660AF"/>
    <w:rsid w:val="00270864"/>
    <w:rsid w:val="002712F7"/>
    <w:rsid w:val="0027159C"/>
    <w:rsid w:val="002722F2"/>
    <w:rsid w:val="00274549"/>
    <w:rsid w:val="002749D9"/>
    <w:rsid w:val="00274E46"/>
    <w:rsid w:val="002752AE"/>
    <w:rsid w:val="002769AF"/>
    <w:rsid w:val="00276C86"/>
    <w:rsid w:val="00276FD0"/>
    <w:rsid w:val="00277217"/>
    <w:rsid w:val="002810A4"/>
    <w:rsid w:val="00282DB6"/>
    <w:rsid w:val="002838C5"/>
    <w:rsid w:val="00284A26"/>
    <w:rsid w:val="00285095"/>
    <w:rsid w:val="00286DF5"/>
    <w:rsid w:val="00287006"/>
    <w:rsid w:val="00292397"/>
    <w:rsid w:val="00292AB2"/>
    <w:rsid w:val="00293DB6"/>
    <w:rsid w:val="00293FE8"/>
    <w:rsid w:val="002940EC"/>
    <w:rsid w:val="00294437"/>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C0DEA"/>
    <w:rsid w:val="002C34F6"/>
    <w:rsid w:val="002C3B6D"/>
    <w:rsid w:val="002C5D9D"/>
    <w:rsid w:val="002C5F10"/>
    <w:rsid w:val="002C6E5B"/>
    <w:rsid w:val="002D08F3"/>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640"/>
    <w:rsid w:val="002F0678"/>
    <w:rsid w:val="002F0D6A"/>
    <w:rsid w:val="002F0E28"/>
    <w:rsid w:val="002F287E"/>
    <w:rsid w:val="002F2981"/>
    <w:rsid w:val="002F2D63"/>
    <w:rsid w:val="002F6AD8"/>
    <w:rsid w:val="002F7F81"/>
    <w:rsid w:val="00300291"/>
    <w:rsid w:val="00300A36"/>
    <w:rsid w:val="00301B45"/>
    <w:rsid w:val="00305856"/>
    <w:rsid w:val="0030678B"/>
    <w:rsid w:val="00306D16"/>
    <w:rsid w:val="00307595"/>
    <w:rsid w:val="00310CD7"/>
    <w:rsid w:val="00311CA0"/>
    <w:rsid w:val="00313D7A"/>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1A54"/>
    <w:rsid w:val="00344A4F"/>
    <w:rsid w:val="00344D17"/>
    <w:rsid w:val="0034669F"/>
    <w:rsid w:val="00351498"/>
    <w:rsid w:val="00352B22"/>
    <w:rsid w:val="00352CBF"/>
    <w:rsid w:val="00354547"/>
    <w:rsid w:val="003549F5"/>
    <w:rsid w:val="00354FA9"/>
    <w:rsid w:val="003567DE"/>
    <w:rsid w:val="003574F3"/>
    <w:rsid w:val="00357831"/>
    <w:rsid w:val="003604A5"/>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E16"/>
    <w:rsid w:val="00381E79"/>
    <w:rsid w:val="003821E1"/>
    <w:rsid w:val="003840F6"/>
    <w:rsid w:val="00384866"/>
    <w:rsid w:val="003857D4"/>
    <w:rsid w:val="00385D6F"/>
    <w:rsid w:val="00386D43"/>
    <w:rsid w:val="00387095"/>
    <w:rsid w:val="00387E95"/>
    <w:rsid w:val="00390092"/>
    <w:rsid w:val="00390953"/>
    <w:rsid w:val="00391858"/>
    <w:rsid w:val="00392D2D"/>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33F"/>
    <w:rsid w:val="003A7FF8"/>
    <w:rsid w:val="003B17AC"/>
    <w:rsid w:val="003B1CBE"/>
    <w:rsid w:val="003B227A"/>
    <w:rsid w:val="003B3A77"/>
    <w:rsid w:val="003B4319"/>
    <w:rsid w:val="003B5854"/>
    <w:rsid w:val="003B6764"/>
    <w:rsid w:val="003B7A8B"/>
    <w:rsid w:val="003C294B"/>
    <w:rsid w:val="003C5046"/>
    <w:rsid w:val="003C6068"/>
    <w:rsid w:val="003C7AEC"/>
    <w:rsid w:val="003D2BA3"/>
    <w:rsid w:val="003D316B"/>
    <w:rsid w:val="003D3C22"/>
    <w:rsid w:val="003D56A0"/>
    <w:rsid w:val="003D69F5"/>
    <w:rsid w:val="003D7089"/>
    <w:rsid w:val="003D7DDB"/>
    <w:rsid w:val="003E024F"/>
    <w:rsid w:val="003E02C7"/>
    <w:rsid w:val="003E053B"/>
    <w:rsid w:val="003E0543"/>
    <w:rsid w:val="003E061D"/>
    <w:rsid w:val="003E0B5A"/>
    <w:rsid w:val="003E1682"/>
    <w:rsid w:val="003E31E3"/>
    <w:rsid w:val="003E3E93"/>
    <w:rsid w:val="003E46D1"/>
    <w:rsid w:val="003E6214"/>
    <w:rsid w:val="003E69CA"/>
    <w:rsid w:val="003F070E"/>
    <w:rsid w:val="003F1206"/>
    <w:rsid w:val="003F28DB"/>
    <w:rsid w:val="003F2EEE"/>
    <w:rsid w:val="003F58B0"/>
    <w:rsid w:val="003F776F"/>
    <w:rsid w:val="004007E9"/>
    <w:rsid w:val="00400810"/>
    <w:rsid w:val="00401825"/>
    <w:rsid w:val="00401BBC"/>
    <w:rsid w:val="00403BFB"/>
    <w:rsid w:val="00404B45"/>
    <w:rsid w:val="00405BCF"/>
    <w:rsid w:val="00406CC5"/>
    <w:rsid w:val="004074A4"/>
    <w:rsid w:val="004101B2"/>
    <w:rsid w:val="004123D7"/>
    <w:rsid w:val="00412658"/>
    <w:rsid w:val="004129DA"/>
    <w:rsid w:val="0041531B"/>
    <w:rsid w:val="00415EA4"/>
    <w:rsid w:val="0041604B"/>
    <w:rsid w:val="004172DB"/>
    <w:rsid w:val="00420A1D"/>
    <w:rsid w:val="00421485"/>
    <w:rsid w:val="004216DA"/>
    <w:rsid w:val="00422B75"/>
    <w:rsid w:val="0042453F"/>
    <w:rsid w:val="00424612"/>
    <w:rsid w:val="0042528C"/>
    <w:rsid w:val="00425672"/>
    <w:rsid w:val="00425A6A"/>
    <w:rsid w:val="00425E7E"/>
    <w:rsid w:val="00427F54"/>
    <w:rsid w:val="004316FD"/>
    <w:rsid w:val="00433F36"/>
    <w:rsid w:val="00434860"/>
    <w:rsid w:val="00434E55"/>
    <w:rsid w:val="0043503A"/>
    <w:rsid w:val="00437B8A"/>
    <w:rsid w:val="00437D18"/>
    <w:rsid w:val="00437D77"/>
    <w:rsid w:val="004435BE"/>
    <w:rsid w:val="0044384F"/>
    <w:rsid w:val="004440F3"/>
    <w:rsid w:val="0044411E"/>
    <w:rsid w:val="00444472"/>
    <w:rsid w:val="00444F80"/>
    <w:rsid w:val="00445599"/>
    <w:rsid w:val="00446018"/>
    <w:rsid w:val="0045027B"/>
    <w:rsid w:val="004504E7"/>
    <w:rsid w:val="00451F9D"/>
    <w:rsid w:val="00453167"/>
    <w:rsid w:val="004543BC"/>
    <w:rsid w:val="0045645D"/>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61CC"/>
    <w:rsid w:val="004766C9"/>
    <w:rsid w:val="00480D4A"/>
    <w:rsid w:val="00481B31"/>
    <w:rsid w:val="00481DA1"/>
    <w:rsid w:val="00483A2B"/>
    <w:rsid w:val="00484212"/>
    <w:rsid w:val="00484BA9"/>
    <w:rsid w:val="0048599A"/>
    <w:rsid w:val="00486818"/>
    <w:rsid w:val="0049255F"/>
    <w:rsid w:val="0049445D"/>
    <w:rsid w:val="00495350"/>
    <w:rsid w:val="00495E3C"/>
    <w:rsid w:val="00497156"/>
    <w:rsid w:val="00497E2F"/>
    <w:rsid w:val="004A0C79"/>
    <w:rsid w:val="004A24D2"/>
    <w:rsid w:val="004A3214"/>
    <w:rsid w:val="004A4136"/>
    <w:rsid w:val="004A417B"/>
    <w:rsid w:val="004A4378"/>
    <w:rsid w:val="004A712D"/>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6BD"/>
    <w:rsid w:val="004D2AAB"/>
    <w:rsid w:val="004D6E90"/>
    <w:rsid w:val="004D6F2B"/>
    <w:rsid w:val="004E0248"/>
    <w:rsid w:val="004E21A3"/>
    <w:rsid w:val="004E32EA"/>
    <w:rsid w:val="004E6866"/>
    <w:rsid w:val="004F056E"/>
    <w:rsid w:val="004F0C58"/>
    <w:rsid w:val="004F3222"/>
    <w:rsid w:val="004F3639"/>
    <w:rsid w:val="004F3BFA"/>
    <w:rsid w:val="004F4E3C"/>
    <w:rsid w:val="004F5A1A"/>
    <w:rsid w:val="004F77A3"/>
    <w:rsid w:val="005000AB"/>
    <w:rsid w:val="00500F3C"/>
    <w:rsid w:val="005025EE"/>
    <w:rsid w:val="00503DDF"/>
    <w:rsid w:val="00505524"/>
    <w:rsid w:val="00506688"/>
    <w:rsid w:val="00510588"/>
    <w:rsid w:val="00510F9C"/>
    <w:rsid w:val="0051146C"/>
    <w:rsid w:val="0051220B"/>
    <w:rsid w:val="00512253"/>
    <w:rsid w:val="00512484"/>
    <w:rsid w:val="00514449"/>
    <w:rsid w:val="00515419"/>
    <w:rsid w:val="005157BD"/>
    <w:rsid w:val="005168EF"/>
    <w:rsid w:val="00517E68"/>
    <w:rsid w:val="005214A3"/>
    <w:rsid w:val="005222E7"/>
    <w:rsid w:val="00523A8B"/>
    <w:rsid w:val="00523E04"/>
    <w:rsid w:val="00525003"/>
    <w:rsid w:val="0052590B"/>
    <w:rsid w:val="00526591"/>
    <w:rsid w:val="00527178"/>
    <w:rsid w:val="005278CB"/>
    <w:rsid w:val="00534D42"/>
    <w:rsid w:val="005350A5"/>
    <w:rsid w:val="00536379"/>
    <w:rsid w:val="00537238"/>
    <w:rsid w:val="005400C5"/>
    <w:rsid w:val="005404CD"/>
    <w:rsid w:val="00540BE0"/>
    <w:rsid w:val="00540BEF"/>
    <w:rsid w:val="00542C9A"/>
    <w:rsid w:val="005436C2"/>
    <w:rsid w:val="00543B66"/>
    <w:rsid w:val="005442D4"/>
    <w:rsid w:val="0054586A"/>
    <w:rsid w:val="0054631F"/>
    <w:rsid w:val="00546C24"/>
    <w:rsid w:val="005471BA"/>
    <w:rsid w:val="00547BE6"/>
    <w:rsid w:val="0055034F"/>
    <w:rsid w:val="0055288D"/>
    <w:rsid w:val="00555259"/>
    <w:rsid w:val="00555C66"/>
    <w:rsid w:val="005569EF"/>
    <w:rsid w:val="00556BDE"/>
    <w:rsid w:val="00560D57"/>
    <w:rsid w:val="00562A94"/>
    <w:rsid w:val="00563FAD"/>
    <w:rsid w:val="005701C1"/>
    <w:rsid w:val="005703BF"/>
    <w:rsid w:val="00570754"/>
    <w:rsid w:val="005709F7"/>
    <w:rsid w:val="005710A9"/>
    <w:rsid w:val="00571B11"/>
    <w:rsid w:val="00571D1B"/>
    <w:rsid w:val="00571DA3"/>
    <w:rsid w:val="005738F5"/>
    <w:rsid w:val="00573D34"/>
    <w:rsid w:val="00574C36"/>
    <w:rsid w:val="00575963"/>
    <w:rsid w:val="00575EBE"/>
    <w:rsid w:val="00576BDB"/>
    <w:rsid w:val="0058039C"/>
    <w:rsid w:val="00580A63"/>
    <w:rsid w:val="00583379"/>
    <w:rsid w:val="0058417C"/>
    <w:rsid w:val="00586EC6"/>
    <w:rsid w:val="00587DDE"/>
    <w:rsid w:val="00591492"/>
    <w:rsid w:val="0059274C"/>
    <w:rsid w:val="00593043"/>
    <w:rsid w:val="00595B60"/>
    <w:rsid w:val="00595BF0"/>
    <w:rsid w:val="00596610"/>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5960"/>
    <w:rsid w:val="005B5B3D"/>
    <w:rsid w:val="005B64CF"/>
    <w:rsid w:val="005C0E87"/>
    <w:rsid w:val="005C16F3"/>
    <w:rsid w:val="005C3758"/>
    <w:rsid w:val="005C4D72"/>
    <w:rsid w:val="005C50C1"/>
    <w:rsid w:val="005C62C2"/>
    <w:rsid w:val="005D2306"/>
    <w:rsid w:val="005D4A74"/>
    <w:rsid w:val="005D5E91"/>
    <w:rsid w:val="005D67EF"/>
    <w:rsid w:val="005E3064"/>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2E5E"/>
    <w:rsid w:val="00605AAB"/>
    <w:rsid w:val="00606BEB"/>
    <w:rsid w:val="0061014A"/>
    <w:rsid w:val="0061054B"/>
    <w:rsid w:val="00612FB0"/>
    <w:rsid w:val="0061356D"/>
    <w:rsid w:val="00613E26"/>
    <w:rsid w:val="00615641"/>
    <w:rsid w:val="00616959"/>
    <w:rsid w:val="0062036E"/>
    <w:rsid w:val="006211D0"/>
    <w:rsid w:val="00621595"/>
    <w:rsid w:val="0062359D"/>
    <w:rsid w:val="00623634"/>
    <w:rsid w:val="006238F6"/>
    <w:rsid w:val="00624D0C"/>
    <w:rsid w:val="006274B4"/>
    <w:rsid w:val="006307BA"/>
    <w:rsid w:val="006315BA"/>
    <w:rsid w:val="00634AC5"/>
    <w:rsid w:val="00634C4A"/>
    <w:rsid w:val="0063532E"/>
    <w:rsid w:val="00637063"/>
    <w:rsid w:val="0063737C"/>
    <w:rsid w:val="00637BDC"/>
    <w:rsid w:val="00640622"/>
    <w:rsid w:val="006418C9"/>
    <w:rsid w:val="00642BD6"/>
    <w:rsid w:val="00645046"/>
    <w:rsid w:val="0064527A"/>
    <w:rsid w:val="006458FD"/>
    <w:rsid w:val="00645EA2"/>
    <w:rsid w:val="0064639B"/>
    <w:rsid w:val="0065064A"/>
    <w:rsid w:val="00651E6D"/>
    <w:rsid w:val="00653D2D"/>
    <w:rsid w:val="006555E7"/>
    <w:rsid w:val="006560B6"/>
    <w:rsid w:val="006573F2"/>
    <w:rsid w:val="00662AD0"/>
    <w:rsid w:val="00662F08"/>
    <w:rsid w:val="00663589"/>
    <w:rsid w:val="006649CD"/>
    <w:rsid w:val="00665D75"/>
    <w:rsid w:val="006708E3"/>
    <w:rsid w:val="00670DDC"/>
    <w:rsid w:val="00671389"/>
    <w:rsid w:val="00671EB4"/>
    <w:rsid w:val="00673CDC"/>
    <w:rsid w:val="0067443B"/>
    <w:rsid w:val="006770AA"/>
    <w:rsid w:val="00682486"/>
    <w:rsid w:val="00684CE6"/>
    <w:rsid w:val="00684E2B"/>
    <w:rsid w:val="00687C7E"/>
    <w:rsid w:val="00690569"/>
    <w:rsid w:val="00690FDA"/>
    <w:rsid w:val="00691E61"/>
    <w:rsid w:val="006937C6"/>
    <w:rsid w:val="00693C5E"/>
    <w:rsid w:val="00693CEE"/>
    <w:rsid w:val="00694EEA"/>
    <w:rsid w:val="006955B4"/>
    <w:rsid w:val="00695DEF"/>
    <w:rsid w:val="00696476"/>
    <w:rsid w:val="00696C74"/>
    <w:rsid w:val="006A10FA"/>
    <w:rsid w:val="006A40E6"/>
    <w:rsid w:val="006A516B"/>
    <w:rsid w:val="006A5362"/>
    <w:rsid w:val="006A543A"/>
    <w:rsid w:val="006A5C07"/>
    <w:rsid w:val="006A75FA"/>
    <w:rsid w:val="006B07D5"/>
    <w:rsid w:val="006B1309"/>
    <w:rsid w:val="006B31E6"/>
    <w:rsid w:val="006B3923"/>
    <w:rsid w:val="006B3F3E"/>
    <w:rsid w:val="006B4AA2"/>
    <w:rsid w:val="006B53C4"/>
    <w:rsid w:val="006B586B"/>
    <w:rsid w:val="006B5923"/>
    <w:rsid w:val="006B67D9"/>
    <w:rsid w:val="006B6C14"/>
    <w:rsid w:val="006B715E"/>
    <w:rsid w:val="006C0727"/>
    <w:rsid w:val="006C1D6E"/>
    <w:rsid w:val="006C2EF6"/>
    <w:rsid w:val="006C3A68"/>
    <w:rsid w:val="006C3B08"/>
    <w:rsid w:val="006C6AB1"/>
    <w:rsid w:val="006C6E6B"/>
    <w:rsid w:val="006D145F"/>
    <w:rsid w:val="006D2000"/>
    <w:rsid w:val="006D2D39"/>
    <w:rsid w:val="006D2F31"/>
    <w:rsid w:val="006D4250"/>
    <w:rsid w:val="006D4E0E"/>
    <w:rsid w:val="006D5861"/>
    <w:rsid w:val="006D5CE2"/>
    <w:rsid w:val="006D7854"/>
    <w:rsid w:val="006E06D1"/>
    <w:rsid w:val="006E1313"/>
    <w:rsid w:val="006E2DC8"/>
    <w:rsid w:val="006E7356"/>
    <w:rsid w:val="006E77C8"/>
    <w:rsid w:val="006F0F9C"/>
    <w:rsid w:val="006F149D"/>
    <w:rsid w:val="006F1A46"/>
    <w:rsid w:val="006F3828"/>
    <w:rsid w:val="006F4F06"/>
    <w:rsid w:val="006F5A4E"/>
    <w:rsid w:val="006F5D37"/>
    <w:rsid w:val="006F6005"/>
    <w:rsid w:val="007005EA"/>
    <w:rsid w:val="00703B6C"/>
    <w:rsid w:val="00703BB0"/>
    <w:rsid w:val="00703CAF"/>
    <w:rsid w:val="00704519"/>
    <w:rsid w:val="00704C88"/>
    <w:rsid w:val="00704EA1"/>
    <w:rsid w:val="00705C40"/>
    <w:rsid w:val="00706482"/>
    <w:rsid w:val="00706754"/>
    <w:rsid w:val="00706BBC"/>
    <w:rsid w:val="00706BEF"/>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4688"/>
    <w:rsid w:val="007272F1"/>
    <w:rsid w:val="0073062D"/>
    <w:rsid w:val="0073093B"/>
    <w:rsid w:val="0073254D"/>
    <w:rsid w:val="007340F3"/>
    <w:rsid w:val="00734703"/>
    <w:rsid w:val="00735704"/>
    <w:rsid w:val="00736A49"/>
    <w:rsid w:val="007419A1"/>
    <w:rsid w:val="00743B71"/>
    <w:rsid w:val="00743C2D"/>
    <w:rsid w:val="00743E36"/>
    <w:rsid w:val="00743F05"/>
    <w:rsid w:val="007441C1"/>
    <w:rsid w:val="007446F7"/>
    <w:rsid w:val="00744EBB"/>
    <w:rsid w:val="00745B0A"/>
    <w:rsid w:val="00745DBE"/>
    <w:rsid w:val="0074668F"/>
    <w:rsid w:val="007468AC"/>
    <w:rsid w:val="00746AE2"/>
    <w:rsid w:val="00750C82"/>
    <w:rsid w:val="00750E3A"/>
    <w:rsid w:val="00752035"/>
    <w:rsid w:val="0076100C"/>
    <w:rsid w:val="007612A5"/>
    <w:rsid w:val="00763CAE"/>
    <w:rsid w:val="00763F95"/>
    <w:rsid w:val="007651ED"/>
    <w:rsid w:val="00766C87"/>
    <w:rsid w:val="00771043"/>
    <w:rsid w:val="00771A57"/>
    <w:rsid w:val="00773AF7"/>
    <w:rsid w:val="00774FFD"/>
    <w:rsid w:val="00780378"/>
    <w:rsid w:val="0078085E"/>
    <w:rsid w:val="00781BD4"/>
    <w:rsid w:val="00782562"/>
    <w:rsid w:val="007828B4"/>
    <w:rsid w:val="00784832"/>
    <w:rsid w:val="00784EA0"/>
    <w:rsid w:val="00785D77"/>
    <w:rsid w:val="00786111"/>
    <w:rsid w:val="00786E7F"/>
    <w:rsid w:val="00790963"/>
    <w:rsid w:val="0079154B"/>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4181"/>
    <w:rsid w:val="007B5C5C"/>
    <w:rsid w:val="007B6C84"/>
    <w:rsid w:val="007B6CE0"/>
    <w:rsid w:val="007B7B37"/>
    <w:rsid w:val="007B7C41"/>
    <w:rsid w:val="007C05C5"/>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26D3"/>
    <w:rsid w:val="007F30E4"/>
    <w:rsid w:val="0080064F"/>
    <w:rsid w:val="00801B85"/>
    <w:rsid w:val="00803850"/>
    <w:rsid w:val="008039E8"/>
    <w:rsid w:val="00804385"/>
    <w:rsid w:val="00804E0E"/>
    <w:rsid w:val="00805AFD"/>
    <w:rsid w:val="008062C9"/>
    <w:rsid w:val="008078D8"/>
    <w:rsid w:val="0080798E"/>
    <w:rsid w:val="00811D5B"/>
    <w:rsid w:val="00813C51"/>
    <w:rsid w:val="00816CCB"/>
    <w:rsid w:val="00817572"/>
    <w:rsid w:val="00817713"/>
    <w:rsid w:val="008208C3"/>
    <w:rsid w:val="008220F1"/>
    <w:rsid w:val="0082220D"/>
    <w:rsid w:val="0082340B"/>
    <w:rsid w:val="00823D6A"/>
    <w:rsid w:val="00825DF8"/>
    <w:rsid w:val="00827B29"/>
    <w:rsid w:val="00827DB6"/>
    <w:rsid w:val="008304B2"/>
    <w:rsid w:val="00830999"/>
    <w:rsid w:val="00830D5E"/>
    <w:rsid w:val="00830F69"/>
    <w:rsid w:val="008324D9"/>
    <w:rsid w:val="00833418"/>
    <w:rsid w:val="00833687"/>
    <w:rsid w:val="0083387F"/>
    <w:rsid w:val="00834458"/>
    <w:rsid w:val="00834AEA"/>
    <w:rsid w:val="00834F5E"/>
    <w:rsid w:val="00835841"/>
    <w:rsid w:val="00835BF8"/>
    <w:rsid w:val="00835FB7"/>
    <w:rsid w:val="00837465"/>
    <w:rsid w:val="0084002E"/>
    <w:rsid w:val="00840159"/>
    <w:rsid w:val="00840621"/>
    <w:rsid w:val="00841243"/>
    <w:rsid w:val="00841457"/>
    <w:rsid w:val="0084374E"/>
    <w:rsid w:val="008439D4"/>
    <w:rsid w:val="00844256"/>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566D"/>
    <w:rsid w:val="00875B50"/>
    <w:rsid w:val="00875B51"/>
    <w:rsid w:val="00875F2D"/>
    <w:rsid w:val="008764DC"/>
    <w:rsid w:val="00882CC2"/>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D4F"/>
    <w:rsid w:val="008A39D7"/>
    <w:rsid w:val="008A55DE"/>
    <w:rsid w:val="008A5C34"/>
    <w:rsid w:val="008A63A9"/>
    <w:rsid w:val="008A6761"/>
    <w:rsid w:val="008A7073"/>
    <w:rsid w:val="008A79F0"/>
    <w:rsid w:val="008A7F7E"/>
    <w:rsid w:val="008B04DB"/>
    <w:rsid w:val="008B09B4"/>
    <w:rsid w:val="008B1DF4"/>
    <w:rsid w:val="008B27FD"/>
    <w:rsid w:val="008B2FDB"/>
    <w:rsid w:val="008B3AF2"/>
    <w:rsid w:val="008B446D"/>
    <w:rsid w:val="008B515D"/>
    <w:rsid w:val="008B5D31"/>
    <w:rsid w:val="008B6705"/>
    <w:rsid w:val="008C22F3"/>
    <w:rsid w:val="008C3FD0"/>
    <w:rsid w:val="008C4F01"/>
    <w:rsid w:val="008D1484"/>
    <w:rsid w:val="008D29E7"/>
    <w:rsid w:val="008D5104"/>
    <w:rsid w:val="008D75F4"/>
    <w:rsid w:val="008D795D"/>
    <w:rsid w:val="008D7B07"/>
    <w:rsid w:val="008E0D8F"/>
    <w:rsid w:val="008E0F4E"/>
    <w:rsid w:val="008E1E94"/>
    <w:rsid w:val="008E2D99"/>
    <w:rsid w:val="008E30D4"/>
    <w:rsid w:val="008E38B0"/>
    <w:rsid w:val="008E4A60"/>
    <w:rsid w:val="008E5D50"/>
    <w:rsid w:val="008E744D"/>
    <w:rsid w:val="008F1E08"/>
    <w:rsid w:val="008F6FC8"/>
    <w:rsid w:val="0090045D"/>
    <w:rsid w:val="00900D8F"/>
    <w:rsid w:val="009014E3"/>
    <w:rsid w:val="009020ED"/>
    <w:rsid w:val="009026E8"/>
    <w:rsid w:val="00902FDD"/>
    <w:rsid w:val="00905EEF"/>
    <w:rsid w:val="00906EB7"/>
    <w:rsid w:val="009102BF"/>
    <w:rsid w:val="00911490"/>
    <w:rsid w:val="009115F2"/>
    <w:rsid w:val="00911B11"/>
    <w:rsid w:val="00914ADB"/>
    <w:rsid w:val="00917182"/>
    <w:rsid w:val="00923B25"/>
    <w:rsid w:val="0092402E"/>
    <w:rsid w:val="009259BA"/>
    <w:rsid w:val="00926FCB"/>
    <w:rsid w:val="009303BB"/>
    <w:rsid w:val="0093108A"/>
    <w:rsid w:val="0093311A"/>
    <w:rsid w:val="009346D0"/>
    <w:rsid w:val="009419B4"/>
    <w:rsid w:val="00941A4C"/>
    <w:rsid w:val="00942645"/>
    <w:rsid w:val="009461E6"/>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72CD"/>
    <w:rsid w:val="00967C7A"/>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356D"/>
    <w:rsid w:val="00985099"/>
    <w:rsid w:val="00985D32"/>
    <w:rsid w:val="00986514"/>
    <w:rsid w:val="00986FCC"/>
    <w:rsid w:val="0099000F"/>
    <w:rsid w:val="00992486"/>
    <w:rsid w:val="009935C3"/>
    <w:rsid w:val="0099421F"/>
    <w:rsid w:val="009942A1"/>
    <w:rsid w:val="00994FC8"/>
    <w:rsid w:val="009A0DE3"/>
    <w:rsid w:val="009A1643"/>
    <w:rsid w:val="009A215A"/>
    <w:rsid w:val="009A49D3"/>
    <w:rsid w:val="009A4F1B"/>
    <w:rsid w:val="009A66C5"/>
    <w:rsid w:val="009A66E7"/>
    <w:rsid w:val="009A79BA"/>
    <w:rsid w:val="009A7E16"/>
    <w:rsid w:val="009B11F8"/>
    <w:rsid w:val="009B14D1"/>
    <w:rsid w:val="009B1534"/>
    <w:rsid w:val="009B4963"/>
    <w:rsid w:val="009B4A3B"/>
    <w:rsid w:val="009B4EA9"/>
    <w:rsid w:val="009B69D3"/>
    <w:rsid w:val="009B7BA7"/>
    <w:rsid w:val="009B7C01"/>
    <w:rsid w:val="009C03AA"/>
    <w:rsid w:val="009C0938"/>
    <w:rsid w:val="009C0C22"/>
    <w:rsid w:val="009C15D9"/>
    <w:rsid w:val="009C22C8"/>
    <w:rsid w:val="009C3F82"/>
    <w:rsid w:val="009C582A"/>
    <w:rsid w:val="009C5C56"/>
    <w:rsid w:val="009C5E38"/>
    <w:rsid w:val="009C72DD"/>
    <w:rsid w:val="009C78FD"/>
    <w:rsid w:val="009C7DF5"/>
    <w:rsid w:val="009D056C"/>
    <w:rsid w:val="009D060F"/>
    <w:rsid w:val="009D1ADE"/>
    <w:rsid w:val="009D3652"/>
    <w:rsid w:val="009D37CA"/>
    <w:rsid w:val="009D4229"/>
    <w:rsid w:val="009D4268"/>
    <w:rsid w:val="009E09D0"/>
    <w:rsid w:val="009E1283"/>
    <w:rsid w:val="009E3A7F"/>
    <w:rsid w:val="009E4C9B"/>
    <w:rsid w:val="009E4DFC"/>
    <w:rsid w:val="009E5789"/>
    <w:rsid w:val="009E57B1"/>
    <w:rsid w:val="009E6379"/>
    <w:rsid w:val="009F020F"/>
    <w:rsid w:val="009F3B63"/>
    <w:rsid w:val="009F43E2"/>
    <w:rsid w:val="009F6292"/>
    <w:rsid w:val="009F7809"/>
    <w:rsid w:val="009F7AF5"/>
    <w:rsid w:val="00A006F1"/>
    <w:rsid w:val="00A007A7"/>
    <w:rsid w:val="00A00D14"/>
    <w:rsid w:val="00A01408"/>
    <w:rsid w:val="00A02457"/>
    <w:rsid w:val="00A02C0F"/>
    <w:rsid w:val="00A03190"/>
    <w:rsid w:val="00A0404B"/>
    <w:rsid w:val="00A06F66"/>
    <w:rsid w:val="00A0798C"/>
    <w:rsid w:val="00A07BDD"/>
    <w:rsid w:val="00A07F12"/>
    <w:rsid w:val="00A10C68"/>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40FFB"/>
    <w:rsid w:val="00A41468"/>
    <w:rsid w:val="00A414A9"/>
    <w:rsid w:val="00A41F19"/>
    <w:rsid w:val="00A44141"/>
    <w:rsid w:val="00A44CCA"/>
    <w:rsid w:val="00A44D75"/>
    <w:rsid w:val="00A47CF1"/>
    <w:rsid w:val="00A50418"/>
    <w:rsid w:val="00A54A47"/>
    <w:rsid w:val="00A56D26"/>
    <w:rsid w:val="00A571A7"/>
    <w:rsid w:val="00A5749A"/>
    <w:rsid w:val="00A57BA8"/>
    <w:rsid w:val="00A608FB"/>
    <w:rsid w:val="00A60D83"/>
    <w:rsid w:val="00A60F68"/>
    <w:rsid w:val="00A63DF3"/>
    <w:rsid w:val="00A65C78"/>
    <w:rsid w:val="00A660A8"/>
    <w:rsid w:val="00A66A45"/>
    <w:rsid w:val="00A67591"/>
    <w:rsid w:val="00A67CA6"/>
    <w:rsid w:val="00A70E7B"/>
    <w:rsid w:val="00A717EA"/>
    <w:rsid w:val="00A73B84"/>
    <w:rsid w:val="00A7411D"/>
    <w:rsid w:val="00A756C4"/>
    <w:rsid w:val="00A7592B"/>
    <w:rsid w:val="00A76094"/>
    <w:rsid w:val="00A768E2"/>
    <w:rsid w:val="00A82C52"/>
    <w:rsid w:val="00A838E8"/>
    <w:rsid w:val="00A83C15"/>
    <w:rsid w:val="00A84EC4"/>
    <w:rsid w:val="00A86CB6"/>
    <w:rsid w:val="00A87AA1"/>
    <w:rsid w:val="00A90D55"/>
    <w:rsid w:val="00A944D8"/>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AF7"/>
    <w:rsid w:val="00AB1F8D"/>
    <w:rsid w:val="00AB27DD"/>
    <w:rsid w:val="00AB2983"/>
    <w:rsid w:val="00AB592E"/>
    <w:rsid w:val="00AC37BE"/>
    <w:rsid w:val="00AC439D"/>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0B83"/>
    <w:rsid w:val="00AF1103"/>
    <w:rsid w:val="00AF1668"/>
    <w:rsid w:val="00AF28DE"/>
    <w:rsid w:val="00AF4FA5"/>
    <w:rsid w:val="00AF6ECC"/>
    <w:rsid w:val="00B022DC"/>
    <w:rsid w:val="00B04562"/>
    <w:rsid w:val="00B0472F"/>
    <w:rsid w:val="00B06930"/>
    <w:rsid w:val="00B0773A"/>
    <w:rsid w:val="00B07955"/>
    <w:rsid w:val="00B1176B"/>
    <w:rsid w:val="00B140B8"/>
    <w:rsid w:val="00B14FAA"/>
    <w:rsid w:val="00B152B6"/>
    <w:rsid w:val="00B15BED"/>
    <w:rsid w:val="00B15D30"/>
    <w:rsid w:val="00B16D18"/>
    <w:rsid w:val="00B177DE"/>
    <w:rsid w:val="00B20624"/>
    <w:rsid w:val="00B23436"/>
    <w:rsid w:val="00B237F1"/>
    <w:rsid w:val="00B23F10"/>
    <w:rsid w:val="00B24328"/>
    <w:rsid w:val="00B24ED4"/>
    <w:rsid w:val="00B24F33"/>
    <w:rsid w:val="00B24F85"/>
    <w:rsid w:val="00B26354"/>
    <w:rsid w:val="00B26CA0"/>
    <w:rsid w:val="00B3001C"/>
    <w:rsid w:val="00B31965"/>
    <w:rsid w:val="00B31E92"/>
    <w:rsid w:val="00B32179"/>
    <w:rsid w:val="00B32341"/>
    <w:rsid w:val="00B32C2B"/>
    <w:rsid w:val="00B33007"/>
    <w:rsid w:val="00B331A9"/>
    <w:rsid w:val="00B33498"/>
    <w:rsid w:val="00B33598"/>
    <w:rsid w:val="00B36569"/>
    <w:rsid w:val="00B37345"/>
    <w:rsid w:val="00B37F53"/>
    <w:rsid w:val="00B40A05"/>
    <w:rsid w:val="00B40A3E"/>
    <w:rsid w:val="00B427BB"/>
    <w:rsid w:val="00B43BA2"/>
    <w:rsid w:val="00B449EE"/>
    <w:rsid w:val="00B454AE"/>
    <w:rsid w:val="00B50227"/>
    <w:rsid w:val="00B50510"/>
    <w:rsid w:val="00B522CD"/>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E84"/>
    <w:rsid w:val="00B67FFD"/>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55D5"/>
    <w:rsid w:val="00B95833"/>
    <w:rsid w:val="00BA1824"/>
    <w:rsid w:val="00BA2D98"/>
    <w:rsid w:val="00BA2F0C"/>
    <w:rsid w:val="00BA30D1"/>
    <w:rsid w:val="00BA30E1"/>
    <w:rsid w:val="00BA4609"/>
    <w:rsid w:val="00BA5BE2"/>
    <w:rsid w:val="00BA7F46"/>
    <w:rsid w:val="00BB0A0A"/>
    <w:rsid w:val="00BB133C"/>
    <w:rsid w:val="00BB1C8E"/>
    <w:rsid w:val="00BB1F04"/>
    <w:rsid w:val="00BB45B5"/>
    <w:rsid w:val="00BB4DDE"/>
    <w:rsid w:val="00BB6064"/>
    <w:rsid w:val="00BB65CE"/>
    <w:rsid w:val="00BB7012"/>
    <w:rsid w:val="00BC09D1"/>
    <w:rsid w:val="00BC0CA0"/>
    <w:rsid w:val="00BC1CF3"/>
    <w:rsid w:val="00BC2BE0"/>
    <w:rsid w:val="00BC3573"/>
    <w:rsid w:val="00BC7F82"/>
    <w:rsid w:val="00BD2A49"/>
    <w:rsid w:val="00BD3683"/>
    <w:rsid w:val="00BD40AB"/>
    <w:rsid w:val="00BD582F"/>
    <w:rsid w:val="00BD6297"/>
    <w:rsid w:val="00BD6806"/>
    <w:rsid w:val="00BD7433"/>
    <w:rsid w:val="00BD7831"/>
    <w:rsid w:val="00BD7C10"/>
    <w:rsid w:val="00BE046F"/>
    <w:rsid w:val="00BE0DEB"/>
    <w:rsid w:val="00BE1E1C"/>
    <w:rsid w:val="00BE2AB8"/>
    <w:rsid w:val="00BE2B41"/>
    <w:rsid w:val="00BE2FC1"/>
    <w:rsid w:val="00BE3142"/>
    <w:rsid w:val="00BE4039"/>
    <w:rsid w:val="00BE6365"/>
    <w:rsid w:val="00BF01B7"/>
    <w:rsid w:val="00BF0B7F"/>
    <w:rsid w:val="00BF2988"/>
    <w:rsid w:val="00BF4720"/>
    <w:rsid w:val="00BF4F49"/>
    <w:rsid w:val="00BF6759"/>
    <w:rsid w:val="00BF70A6"/>
    <w:rsid w:val="00BF7B4F"/>
    <w:rsid w:val="00BF7B63"/>
    <w:rsid w:val="00C0359D"/>
    <w:rsid w:val="00C038EC"/>
    <w:rsid w:val="00C058D7"/>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2443"/>
    <w:rsid w:val="00C42CBA"/>
    <w:rsid w:val="00C4338C"/>
    <w:rsid w:val="00C43C2B"/>
    <w:rsid w:val="00C4511D"/>
    <w:rsid w:val="00C45B27"/>
    <w:rsid w:val="00C46A04"/>
    <w:rsid w:val="00C472C7"/>
    <w:rsid w:val="00C5019E"/>
    <w:rsid w:val="00C51962"/>
    <w:rsid w:val="00C5247E"/>
    <w:rsid w:val="00C52B3A"/>
    <w:rsid w:val="00C5377C"/>
    <w:rsid w:val="00C53E8A"/>
    <w:rsid w:val="00C54DF3"/>
    <w:rsid w:val="00C560A7"/>
    <w:rsid w:val="00C56FC8"/>
    <w:rsid w:val="00C5753D"/>
    <w:rsid w:val="00C60F23"/>
    <w:rsid w:val="00C6170B"/>
    <w:rsid w:val="00C62EB2"/>
    <w:rsid w:val="00C64C87"/>
    <w:rsid w:val="00C665FE"/>
    <w:rsid w:val="00C70F13"/>
    <w:rsid w:val="00C71BB2"/>
    <w:rsid w:val="00C71BEC"/>
    <w:rsid w:val="00C74D3A"/>
    <w:rsid w:val="00C75F3D"/>
    <w:rsid w:val="00C80511"/>
    <w:rsid w:val="00C826F5"/>
    <w:rsid w:val="00C83740"/>
    <w:rsid w:val="00C84AD1"/>
    <w:rsid w:val="00C85579"/>
    <w:rsid w:val="00C862F1"/>
    <w:rsid w:val="00C863E5"/>
    <w:rsid w:val="00C87BE6"/>
    <w:rsid w:val="00C87F76"/>
    <w:rsid w:val="00C931FC"/>
    <w:rsid w:val="00C932C5"/>
    <w:rsid w:val="00C939F4"/>
    <w:rsid w:val="00C94CB6"/>
    <w:rsid w:val="00C95299"/>
    <w:rsid w:val="00C95A72"/>
    <w:rsid w:val="00C9650E"/>
    <w:rsid w:val="00C97000"/>
    <w:rsid w:val="00C975BD"/>
    <w:rsid w:val="00CA068D"/>
    <w:rsid w:val="00CA1228"/>
    <w:rsid w:val="00CA1530"/>
    <w:rsid w:val="00CA1C73"/>
    <w:rsid w:val="00CA282D"/>
    <w:rsid w:val="00CA3F73"/>
    <w:rsid w:val="00CA4670"/>
    <w:rsid w:val="00CA5F89"/>
    <w:rsid w:val="00CA6B1A"/>
    <w:rsid w:val="00CB0488"/>
    <w:rsid w:val="00CB1B18"/>
    <w:rsid w:val="00CB20DC"/>
    <w:rsid w:val="00CB23DC"/>
    <w:rsid w:val="00CB2487"/>
    <w:rsid w:val="00CB28E2"/>
    <w:rsid w:val="00CB2F20"/>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6E15"/>
    <w:rsid w:val="00CD76F8"/>
    <w:rsid w:val="00CD78B8"/>
    <w:rsid w:val="00CE02E8"/>
    <w:rsid w:val="00CE0398"/>
    <w:rsid w:val="00CE069E"/>
    <w:rsid w:val="00CE0DE0"/>
    <w:rsid w:val="00CE3722"/>
    <w:rsid w:val="00CF158D"/>
    <w:rsid w:val="00CF2166"/>
    <w:rsid w:val="00CF4340"/>
    <w:rsid w:val="00CF4394"/>
    <w:rsid w:val="00CF48B4"/>
    <w:rsid w:val="00D000A9"/>
    <w:rsid w:val="00D00384"/>
    <w:rsid w:val="00D005DB"/>
    <w:rsid w:val="00D0064E"/>
    <w:rsid w:val="00D00981"/>
    <w:rsid w:val="00D02596"/>
    <w:rsid w:val="00D0280D"/>
    <w:rsid w:val="00D02AEF"/>
    <w:rsid w:val="00D05669"/>
    <w:rsid w:val="00D061EB"/>
    <w:rsid w:val="00D063C4"/>
    <w:rsid w:val="00D06952"/>
    <w:rsid w:val="00D07A72"/>
    <w:rsid w:val="00D10577"/>
    <w:rsid w:val="00D12405"/>
    <w:rsid w:val="00D12A4E"/>
    <w:rsid w:val="00D1323B"/>
    <w:rsid w:val="00D14B13"/>
    <w:rsid w:val="00D14BAE"/>
    <w:rsid w:val="00D1648B"/>
    <w:rsid w:val="00D16819"/>
    <w:rsid w:val="00D17DD9"/>
    <w:rsid w:val="00D20AC0"/>
    <w:rsid w:val="00D2321B"/>
    <w:rsid w:val="00D23350"/>
    <w:rsid w:val="00D237E7"/>
    <w:rsid w:val="00D23DE4"/>
    <w:rsid w:val="00D25A5C"/>
    <w:rsid w:val="00D26873"/>
    <w:rsid w:val="00D31683"/>
    <w:rsid w:val="00D336C8"/>
    <w:rsid w:val="00D339E8"/>
    <w:rsid w:val="00D3654A"/>
    <w:rsid w:val="00D3662E"/>
    <w:rsid w:val="00D40B1F"/>
    <w:rsid w:val="00D40D75"/>
    <w:rsid w:val="00D432F8"/>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56E77"/>
    <w:rsid w:val="00D60483"/>
    <w:rsid w:val="00D61ABB"/>
    <w:rsid w:val="00D62D5C"/>
    <w:rsid w:val="00D63577"/>
    <w:rsid w:val="00D654C4"/>
    <w:rsid w:val="00D67FD7"/>
    <w:rsid w:val="00D72410"/>
    <w:rsid w:val="00D73D53"/>
    <w:rsid w:val="00D7408A"/>
    <w:rsid w:val="00D74261"/>
    <w:rsid w:val="00D7441B"/>
    <w:rsid w:val="00D75589"/>
    <w:rsid w:val="00D76AB2"/>
    <w:rsid w:val="00D80490"/>
    <w:rsid w:val="00D829AD"/>
    <w:rsid w:val="00D82EE2"/>
    <w:rsid w:val="00D83D1B"/>
    <w:rsid w:val="00D84133"/>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95B"/>
    <w:rsid w:val="00DA27F3"/>
    <w:rsid w:val="00DA2D1E"/>
    <w:rsid w:val="00DA3EC8"/>
    <w:rsid w:val="00DA40C1"/>
    <w:rsid w:val="00DA5040"/>
    <w:rsid w:val="00DA5564"/>
    <w:rsid w:val="00DA6B55"/>
    <w:rsid w:val="00DA6B97"/>
    <w:rsid w:val="00DA6CEE"/>
    <w:rsid w:val="00DB0015"/>
    <w:rsid w:val="00DB0359"/>
    <w:rsid w:val="00DB0ABB"/>
    <w:rsid w:val="00DB2AAD"/>
    <w:rsid w:val="00DB44E2"/>
    <w:rsid w:val="00DB4A6D"/>
    <w:rsid w:val="00DB4D9B"/>
    <w:rsid w:val="00DB5941"/>
    <w:rsid w:val="00DB626D"/>
    <w:rsid w:val="00DB6365"/>
    <w:rsid w:val="00DC07B7"/>
    <w:rsid w:val="00DC0BF1"/>
    <w:rsid w:val="00DC17F2"/>
    <w:rsid w:val="00DC41C3"/>
    <w:rsid w:val="00DC4A3C"/>
    <w:rsid w:val="00DC4FA4"/>
    <w:rsid w:val="00DC5B37"/>
    <w:rsid w:val="00DD286D"/>
    <w:rsid w:val="00DD2CAF"/>
    <w:rsid w:val="00DD3593"/>
    <w:rsid w:val="00DD64E0"/>
    <w:rsid w:val="00DD7BE0"/>
    <w:rsid w:val="00DE0C67"/>
    <w:rsid w:val="00DE3AAD"/>
    <w:rsid w:val="00DE598A"/>
    <w:rsid w:val="00DE6952"/>
    <w:rsid w:val="00DE7E74"/>
    <w:rsid w:val="00DF071B"/>
    <w:rsid w:val="00DF1B31"/>
    <w:rsid w:val="00DF5C84"/>
    <w:rsid w:val="00DF6EF8"/>
    <w:rsid w:val="00E00A69"/>
    <w:rsid w:val="00E017BC"/>
    <w:rsid w:val="00E017F0"/>
    <w:rsid w:val="00E01A0E"/>
    <w:rsid w:val="00E0346A"/>
    <w:rsid w:val="00E041E4"/>
    <w:rsid w:val="00E04AEE"/>
    <w:rsid w:val="00E1012B"/>
    <w:rsid w:val="00E103C8"/>
    <w:rsid w:val="00E1085B"/>
    <w:rsid w:val="00E12E62"/>
    <w:rsid w:val="00E1308B"/>
    <w:rsid w:val="00E14581"/>
    <w:rsid w:val="00E14623"/>
    <w:rsid w:val="00E15539"/>
    <w:rsid w:val="00E16541"/>
    <w:rsid w:val="00E178B9"/>
    <w:rsid w:val="00E17EC9"/>
    <w:rsid w:val="00E202F4"/>
    <w:rsid w:val="00E207C3"/>
    <w:rsid w:val="00E21386"/>
    <w:rsid w:val="00E242AF"/>
    <w:rsid w:val="00E24849"/>
    <w:rsid w:val="00E2536E"/>
    <w:rsid w:val="00E25B8A"/>
    <w:rsid w:val="00E25EF8"/>
    <w:rsid w:val="00E2632B"/>
    <w:rsid w:val="00E26F75"/>
    <w:rsid w:val="00E27423"/>
    <w:rsid w:val="00E322F7"/>
    <w:rsid w:val="00E3369B"/>
    <w:rsid w:val="00E34804"/>
    <w:rsid w:val="00E36107"/>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48FA"/>
    <w:rsid w:val="00E57703"/>
    <w:rsid w:val="00E57ED4"/>
    <w:rsid w:val="00E57FED"/>
    <w:rsid w:val="00E6092F"/>
    <w:rsid w:val="00E62049"/>
    <w:rsid w:val="00E629DA"/>
    <w:rsid w:val="00E64374"/>
    <w:rsid w:val="00E6469F"/>
    <w:rsid w:val="00E65D39"/>
    <w:rsid w:val="00E65F14"/>
    <w:rsid w:val="00E670F8"/>
    <w:rsid w:val="00E6741B"/>
    <w:rsid w:val="00E67FAC"/>
    <w:rsid w:val="00E7200B"/>
    <w:rsid w:val="00E738CB"/>
    <w:rsid w:val="00E73C88"/>
    <w:rsid w:val="00E74437"/>
    <w:rsid w:val="00E7443D"/>
    <w:rsid w:val="00E75ACE"/>
    <w:rsid w:val="00E76C61"/>
    <w:rsid w:val="00E771AF"/>
    <w:rsid w:val="00E80386"/>
    <w:rsid w:val="00E809C3"/>
    <w:rsid w:val="00E81A1A"/>
    <w:rsid w:val="00E81C3E"/>
    <w:rsid w:val="00E82359"/>
    <w:rsid w:val="00E82B6D"/>
    <w:rsid w:val="00E83187"/>
    <w:rsid w:val="00E831E9"/>
    <w:rsid w:val="00E8608F"/>
    <w:rsid w:val="00E86C1D"/>
    <w:rsid w:val="00E95737"/>
    <w:rsid w:val="00E9763D"/>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EFD"/>
    <w:rsid w:val="00EB679F"/>
    <w:rsid w:val="00EB76E4"/>
    <w:rsid w:val="00EC0E65"/>
    <w:rsid w:val="00EC1251"/>
    <w:rsid w:val="00EC2938"/>
    <w:rsid w:val="00EC337D"/>
    <w:rsid w:val="00EC38EF"/>
    <w:rsid w:val="00EC50C9"/>
    <w:rsid w:val="00EC58B4"/>
    <w:rsid w:val="00EC5BB2"/>
    <w:rsid w:val="00ED12F0"/>
    <w:rsid w:val="00ED290C"/>
    <w:rsid w:val="00ED2A6C"/>
    <w:rsid w:val="00ED4773"/>
    <w:rsid w:val="00ED5284"/>
    <w:rsid w:val="00ED664B"/>
    <w:rsid w:val="00ED6A61"/>
    <w:rsid w:val="00ED7160"/>
    <w:rsid w:val="00ED7DA4"/>
    <w:rsid w:val="00EE023E"/>
    <w:rsid w:val="00EE03BB"/>
    <w:rsid w:val="00EE0552"/>
    <w:rsid w:val="00EE0B44"/>
    <w:rsid w:val="00EE125D"/>
    <w:rsid w:val="00EE23DE"/>
    <w:rsid w:val="00EE48BB"/>
    <w:rsid w:val="00EE6DB1"/>
    <w:rsid w:val="00EE6FE0"/>
    <w:rsid w:val="00EE704A"/>
    <w:rsid w:val="00EE7840"/>
    <w:rsid w:val="00EF2E75"/>
    <w:rsid w:val="00EF4C74"/>
    <w:rsid w:val="00EF5268"/>
    <w:rsid w:val="00EF608E"/>
    <w:rsid w:val="00EF6C4A"/>
    <w:rsid w:val="00F0044B"/>
    <w:rsid w:val="00F03235"/>
    <w:rsid w:val="00F03525"/>
    <w:rsid w:val="00F0424D"/>
    <w:rsid w:val="00F04957"/>
    <w:rsid w:val="00F05807"/>
    <w:rsid w:val="00F06451"/>
    <w:rsid w:val="00F07052"/>
    <w:rsid w:val="00F0706C"/>
    <w:rsid w:val="00F072C0"/>
    <w:rsid w:val="00F11EBE"/>
    <w:rsid w:val="00F12293"/>
    <w:rsid w:val="00F12BA8"/>
    <w:rsid w:val="00F130D0"/>
    <w:rsid w:val="00F14933"/>
    <w:rsid w:val="00F1516A"/>
    <w:rsid w:val="00F15EE5"/>
    <w:rsid w:val="00F16EBF"/>
    <w:rsid w:val="00F171F9"/>
    <w:rsid w:val="00F1737C"/>
    <w:rsid w:val="00F22A25"/>
    <w:rsid w:val="00F22A26"/>
    <w:rsid w:val="00F24072"/>
    <w:rsid w:val="00F26432"/>
    <w:rsid w:val="00F3197A"/>
    <w:rsid w:val="00F32139"/>
    <w:rsid w:val="00F33D56"/>
    <w:rsid w:val="00F34E08"/>
    <w:rsid w:val="00F41D91"/>
    <w:rsid w:val="00F41F52"/>
    <w:rsid w:val="00F42363"/>
    <w:rsid w:val="00F427C4"/>
    <w:rsid w:val="00F43D6C"/>
    <w:rsid w:val="00F46964"/>
    <w:rsid w:val="00F46F9A"/>
    <w:rsid w:val="00F470FD"/>
    <w:rsid w:val="00F474FE"/>
    <w:rsid w:val="00F50F30"/>
    <w:rsid w:val="00F5126A"/>
    <w:rsid w:val="00F5126E"/>
    <w:rsid w:val="00F516EF"/>
    <w:rsid w:val="00F51755"/>
    <w:rsid w:val="00F5580D"/>
    <w:rsid w:val="00F56EA1"/>
    <w:rsid w:val="00F606D5"/>
    <w:rsid w:val="00F611B3"/>
    <w:rsid w:val="00F6196E"/>
    <w:rsid w:val="00F624DD"/>
    <w:rsid w:val="00F629C0"/>
    <w:rsid w:val="00F62BB8"/>
    <w:rsid w:val="00F63FC7"/>
    <w:rsid w:val="00F65E1F"/>
    <w:rsid w:val="00F65ED5"/>
    <w:rsid w:val="00F6608B"/>
    <w:rsid w:val="00F6636A"/>
    <w:rsid w:val="00F667C5"/>
    <w:rsid w:val="00F67E31"/>
    <w:rsid w:val="00F718A8"/>
    <w:rsid w:val="00F72183"/>
    <w:rsid w:val="00F76D01"/>
    <w:rsid w:val="00F80B43"/>
    <w:rsid w:val="00F81C35"/>
    <w:rsid w:val="00F82981"/>
    <w:rsid w:val="00F8311F"/>
    <w:rsid w:val="00F83248"/>
    <w:rsid w:val="00F83376"/>
    <w:rsid w:val="00F853AE"/>
    <w:rsid w:val="00F86271"/>
    <w:rsid w:val="00F908D5"/>
    <w:rsid w:val="00F910AC"/>
    <w:rsid w:val="00F913B9"/>
    <w:rsid w:val="00F93C74"/>
    <w:rsid w:val="00F93DCC"/>
    <w:rsid w:val="00F9435D"/>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395"/>
    <w:rsid w:val="00FC5FF5"/>
    <w:rsid w:val="00FC6285"/>
    <w:rsid w:val="00FC767A"/>
    <w:rsid w:val="00FC78FB"/>
    <w:rsid w:val="00FC7DBC"/>
    <w:rsid w:val="00FD076A"/>
    <w:rsid w:val="00FD0AA0"/>
    <w:rsid w:val="00FD1D5A"/>
    <w:rsid w:val="00FD5059"/>
    <w:rsid w:val="00FD554D"/>
    <w:rsid w:val="00FD5BCC"/>
    <w:rsid w:val="00FD7B23"/>
    <w:rsid w:val="00FD7CA5"/>
    <w:rsid w:val="00FE2A48"/>
    <w:rsid w:val="00FE5B4B"/>
    <w:rsid w:val="00FE5D0A"/>
    <w:rsid w:val="00FE6469"/>
    <w:rsid w:val="00FF05D0"/>
    <w:rsid w:val="00FF06CE"/>
    <w:rsid w:val="00FF0FF7"/>
    <w:rsid w:val="00FF1022"/>
    <w:rsid w:val="00FF10A2"/>
    <w:rsid w:val="00FF1438"/>
    <w:rsid w:val="00FF3A38"/>
    <w:rsid w:val="00FF3C25"/>
    <w:rsid w:val="00FF4129"/>
    <w:rsid w:val="00FF44F7"/>
    <w:rsid w:val="00FF4C90"/>
    <w:rsid w:val="00FF558E"/>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2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706BBC"/>
    <w:pPr>
      <w:autoSpaceDE w:val="0"/>
      <w:autoSpaceDN w:val="0"/>
      <w:adjustRightInd w:val="0"/>
    </w:pPr>
    <w:rPr>
      <w:rFonts w:ascii="Times New Roman" w:hAnsi="Times New Roman"/>
      <w:color w:val="000000"/>
      <w:szCs w:val="24"/>
    </w:rPr>
  </w:style>
  <w:style w:type="character" w:styleId="Strong">
    <w:name w:val="Strong"/>
    <w:basedOn w:val="DefaultParagraphFont"/>
    <w:qFormat/>
    <w:rsid w:val="00AB2983"/>
    <w:rPr>
      <w:b/>
      <w:bCs/>
    </w:rPr>
  </w:style>
  <w:style w:type="character" w:customStyle="1" w:styleId="HeaderChar">
    <w:name w:val="Header Char"/>
    <w:basedOn w:val="DefaultParagraphFont"/>
    <w:link w:val="Header"/>
    <w:uiPriority w:val="99"/>
    <w:locked/>
    <w:rsid w:val="00771A57"/>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3680D-6A46-439C-90EE-54570CBC1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1622</Words>
  <Characters>9249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10</cp:revision>
  <cp:lastPrinted>2012-03-21T17:06:00Z</cp:lastPrinted>
  <dcterms:created xsi:type="dcterms:W3CDTF">2012-03-21T17:23:00Z</dcterms:created>
  <dcterms:modified xsi:type="dcterms:W3CDTF">2012-04-09T16:27:00Z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