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D54BC6" w:rsidRPr="0082171F" w:rsidRDefault="00D54BC6" w:rsidP="0008180C">
      <w:pPr>
        <w:tabs>
          <w:tab w:val="left" w:pos="288"/>
          <w:tab w:val="right" w:pos="9270"/>
        </w:tabs>
        <w:spacing w:line="240" w:lineRule="exact"/>
        <w:jc w:val="both"/>
        <w:rPr>
          <w:rFonts w:asciiTheme="minorHAnsi" w:hAnsiTheme="minorHAnsi"/>
          <w:caps/>
          <w:color w:val="auto"/>
        </w:rPr>
      </w:pPr>
      <w:r w:rsidRPr="0082171F">
        <w:rPr>
          <w:rFonts w:asciiTheme="minorHAnsi" w:hAnsiTheme="minorHAnsi"/>
          <w:caps/>
          <w:color w:val="auto"/>
        </w:rPr>
        <w:t xml:space="preserve">NAME:  </w:t>
      </w:r>
      <w:r w:rsidR="001A7E3C">
        <w:rPr>
          <w:rFonts w:asciiTheme="minorHAnsi" w:hAnsiTheme="minorHAnsi"/>
          <w:caps/>
          <w:color w:val="auto"/>
        </w:rPr>
        <w:t xml:space="preserve"> </w:t>
      </w:r>
      <w:r w:rsidR="0095300E">
        <w:rPr>
          <w:rFonts w:asciiTheme="minorHAnsi" w:hAnsiTheme="minorHAnsi"/>
          <w:caps/>
          <w:color w:val="auto"/>
        </w:rPr>
        <w:t xml:space="preserve">       </w:t>
      </w:r>
      <w:r w:rsidR="004D5ECD">
        <w:rPr>
          <w:rFonts w:asciiTheme="minorHAnsi" w:hAnsiTheme="minorHAnsi"/>
          <w:caps/>
          <w:color w:val="auto"/>
        </w:rPr>
        <w:t xml:space="preserve">                             </w:t>
      </w:r>
      <w:r w:rsidR="00A74BF7">
        <w:rPr>
          <w:rFonts w:asciiTheme="minorHAnsi" w:hAnsiTheme="minorHAnsi"/>
          <w:caps/>
          <w:color w:val="auto"/>
        </w:rPr>
        <w:t xml:space="preserve"> </w:t>
      </w:r>
      <w:r w:rsidR="0008180C">
        <w:rPr>
          <w:rFonts w:asciiTheme="minorHAnsi" w:hAnsiTheme="minorHAnsi"/>
          <w:caps/>
          <w:color w:val="auto"/>
        </w:rPr>
        <w:tab/>
      </w:r>
      <w:r w:rsidRPr="0082171F">
        <w:rPr>
          <w:rFonts w:asciiTheme="minorHAnsi" w:hAnsiTheme="minorHAnsi"/>
          <w:caps/>
          <w:color w:val="auto"/>
        </w:rPr>
        <w:t xml:space="preserve">BRANCH OF SERVICE: </w:t>
      </w:r>
      <w:r>
        <w:rPr>
          <w:rFonts w:asciiTheme="minorHAnsi" w:hAnsiTheme="minorHAnsi"/>
          <w:caps/>
          <w:color w:val="auto"/>
        </w:rPr>
        <w:t xml:space="preserve"> Army</w:t>
      </w:r>
    </w:p>
    <w:p w:rsidR="00D54BC6" w:rsidRPr="0082171F" w:rsidRDefault="00D54BC6" w:rsidP="0008180C">
      <w:pPr>
        <w:tabs>
          <w:tab w:val="right" w:pos="9270"/>
        </w:tabs>
        <w:spacing w:line="240" w:lineRule="exact"/>
        <w:jc w:val="both"/>
        <w:rPr>
          <w:rFonts w:asciiTheme="minorHAnsi" w:hAnsiTheme="minorHAnsi"/>
          <w:caps/>
          <w:color w:val="auto"/>
        </w:rPr>
      </w:pPr>
      <w:r w:rsidRPr="0082171F">
        <w:rPr>
          <w:rFonts w:asciiTheme="minorHAnsi" w:hAnsiTheme="minorHAnsi"/>
          <w:caps/>
          <w:color w:val="auto"/>
        </w:rPr>
        <w:t>CASE NUMBER:  PD</w:t>
      </w:r>
      <w:r>
        <w:rPr>
          <w:rFonts w:asciiTheme="minorHAnsi" w:hAnsiTheme="minorHAnsi"/>
          <w:caps/>
          <w:color w:val="auto"/>
        </w:rPr>
        <w:t>1100121</w:t>
      </w:r>
      <w:r w:rsidR="0095300E">
        <w:rPr>
          <w:rFonts w:asciiTheme="minorHAnsi" w:hAnsiTheme="minorHAnsi"/>
          <w:color w:val="auto"/>
        </w:rPr>
        <w:t xml:space="preserve">                       </w:t>
      </w:r>
      <w:r w:rsidR="0008180C">
        <w:rPr>
          <w:rFonts w:asciiTheme="minorHAnsi" w:hAnsiTheme="minorHAnsi"/>
          <w:color w:val="auto"/>
        </w:rPr>
        <w:tab/>
      </w:r>
      <w:r w:rsidRPr="0082171F">
        <w:rPr>
          <w:rFonts w:asciiTheme="minorHAnsi" w:hAnsiTheme="minorHAnsi"/>
          <w:color w:val="auto"/>
        </w:rPr>
        <w:t>SEPARATION DATE:  200</w:t>
      </w:r>
      <w:r>
        <w:rPr>
          <w:rFonts w:asciiTheme="minorHAnsi" w:hAnsiTheme="minorHAnsi"/>
          <w:color w:val="auto"/>
        </w:rPr>
        <w:t>90327</w:t>
      </w:r>
    </w:p>
    <w:p w:rsidR="00D54BC6" w:rsidRPr="00D54BC6" w:rsidRDefault="00D54BC6" w:rsidP="00D54BC6">
      <w:pPr>
        <w:tabs>
          <w:tab w:val="left" w:pos="288"/>
          <w:tab w:val="left" w:pos="5130"/>
        </w:tabs>
        <w:spacing w:line="240" w:lineRule="exact"/>
        <w:jc w:val="both"/>
        <w:rPr>
          <w:rFonts w:asciiTheme="minorHAnsi" w:hAnsiTheme="minorHAnsi"/>
          <w:color w:val="auto"/>
        </w:rPr>
      </w:pPr>
      <w:r w:rsidRPr="0082171F">
        <w:rPr>
          <w:rFonts w:asciiTheme="minorHAnsi" w:hAnsiTheme="minorHAnsi"/>
          <w:caps/>
          <w:color w:val="auto"/>
        </w:rPr>
        <w:t>BOARD DATE:  201</w:t>
      </w:r>
      <w:r w:rsidR="00AE62F3">
        <w:rPr>
          <w:rFonts w:asciiTheme="minorHAnsi" w:hAnsiTheme="minorHAnsi"/>
          <w:caps/>
          <w:color w:val="auto"/>
        </w:rPr>
        <w:t>2</w:t>
      </w:r>
      <w:r w:rsidR="0095300E">
        <w:rPr>
          <w:rFonts w:asciiTheme="minorHAnsi" w:hAnsiTheme="minorHAnsi"/>
          <w:caps/>
          <w:color w:val="auto"/>
        </w:rPr>
        <w:t>0120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D54BC6" w:rsidRPr="00866D53" w:rsidRDefault="00D54BC6" w:rsidP="00D54BC6">
      <w:pPr>
        <w:tabs>
          <w:tab w:val="left" w:pos="288"/>
          <w:tab w:val="left" w:pos="4752"/>
        </w:tabs>
        <w:spacing w:line="240" w:lineRule="exact"/>
        <w:jc w:val="both"/>
        <w:rPr>
          <w:rFonts w:asciiTheme="minorHAnsi" w:hAnsiTheme="minorHAnsi"/>
          <w:color w:val="auto"/>
          <w:szCs w:val="24"/>
        </w:rPr>
      </w:pPr>
      <w:r w:rsidRPr="00B51FB2">
        <w:rPr>
          <w:rFonts w:asciiTheme="minorHAnsi" w:hAnsiTheme="minorHAnsi"/>
          <w:color w:val="auto"/>
          <w:u w:val="single"/>
        </w:rPr>
        <w:t>SUMMARY OF CASE</w:t>
      </w:r>
      <w:r w:rsidRPr="00B51FB2">
        <w:rPr>
          <w:rFonts w:asciiTheme="minorHAnsi" w:hAnsiTheme="minorHAnsi"/>
          <w:color w:val="auto"/>
        </w:rPr>
        <w:t xml:space="preserve">:  Data extracted from the available evidence of record reflects that this covered individual (CI) </w:t>
      </w:r>
      <w:r w:rsidRPr="00B51FB2">
        <w:rPr>
          <w:rFonts w:asciiTheme="minorHAnsi" w:hAnsiTheme="minorHAnsi"/>
          <w:color w:val="auto"/>
          <w:szCs w:val="24"/>
        </w:rPr>
        <w:t xml:space="preserve">was an </w:t>
      </w:r>
      <w:r>
        <w:rPr>
          <w:rFonts w:asciiTheme="minorHAnsi" w:hAnsiTheme="minorHAnsi"/>
          <w:color w:val="auto"/>
          <w:szCs w:val="24"/>
        </w:rPr>
        <w:t xml:space="preserve">active duty </w:t>
      </w:r>
      <w:r w:rsidR="00A913BA">
        <w:rPr>
          <w:rFonts w:asciiTheme="minorHAnsi" w:hAnsiTheme="minorHAnsi"/>
          <w:color w:val="auto"/>
          <w:szCs w:val="24"/>
        </w:rPr>
        <w:t>SSG/</w:t>
      </w:r>
      <w:r>
        <w:rPr>
          <w:rFonts w:asciiTheme="minorHAnsi" w:hAnsiTheme="minorHAnsi"/>
          <w:color w:val="auto"/>
          <w:szCs w:val="24"/>
        </w:rPr>
        <w:t>E</w:t>
      </w:r>
      <w:r w:rsidR="00AE62F3">
        <w:rPr>
          <w:rFonts w:asciiTheme="minorHAnsi" w:hAnsiTheme="minorHAnsi"/>
          <w:color w:val="auto"/>
          <w:szCs w:val="24"/>
        </w:rPr>
        <w:t>-</w:t>
      </w:r>
      <w:r>
        <w:rPr>
          <w:rFonts w:asciiTheme="minorHAnsi" w:hAnsiTheme="minorHAnsi"/>
          <w:color w:val="auto"/>
          <w:szCs w:val="24"/>
        </w:rPr>
        <w:t xml:space="preserve">6 </w:t>
      </w:r>
      <w:r w:rsidRPr="00B51FB2">
        <w:rPr>
          <w:rFonts w:asciiTheme="minorHAnsi" w:hAnsiTheme="minorHAnsi"/>
          <w:color w:val="auto"/>
          <w:szCs w:val="24"/>
        </w:rPr>
        <w:t>(</w:t>
      </w:r>
      <w:r>
        <w:rPr>
          <w:rFonts w:asciiTheme="minorHAnsi" w:hAnsiTheme="minorHAnsi"/>
          <w:color w:val="auto"/>
          <w:szCs w:val="24"/>
        </w:rPr>
        <w:t>74D, Chemical Operations</w:t>
      </w:r>
      <w:r w:rsidRPr="00B51FB2">
        <w:rPr>
          <w:rFonts w:asciiTheme="minorHAnsi" w:hAnsiTheme="minorHAnsi"/>
          <w:color w:val="auto"/>
          <w:szCs w:val="24"/>
        </w:rPr>
        <w:t xml:space="preserve">) medically separated for </w:t>
      </w:r>
      <w:r>
        <w:rPr>
          <w:rFonts w:asciiTheme="minorHAnsi" w:hAnsiTheme="minorHAnsi"/>
          <w:color w:val="auto"/>
          <w:szCs w:val="24"/>
        </w:rPr>
        <w:t>degenerative arthritis of the lumbar</w:t>
      </w:r>
      <w:r w:rsidR="00A913BA">
        <w:rPr>
          <w:rFonts w:asciiTheme="minorHAnsi" w:hAnsiTheme="minorHAnsi"/>
          <w:color w:val="auto"/>
          <w:szCs w:val="24"/>
        </w:rPr>
        <w:t xml:space="preserve"> spine</w:t>
      </w:r>
      <w:r w:rsidR="004D5ECD">
        <w:rPr>
          <w:rFonts w:asciiTheme="minorHAnsi" w:hAnsiTheme="minorHAnsi"/>
          <w:color w:val="auto"/>
          <w:szCs w:val="24"/>
        </w:rPr>
        <w:t>,</w:t>
      </w:r>
      <w:r w:rsidR="00A913BA">
        <w:rPr>
          <w:rFonts w:asciiTheme="minorHAnsi" w:hAnsiTheme="minorHAnsi"/>
          <w:color w:val="auto"/>
          <w:szCs w:val="24"/>
        </w:rPr>
        <w:t xml:space="preserve"> and left shoulder pain. </w:t>
      </w:r>
      <w:r w:rsidR="007A5E5C">
        <w:rPr>
          <w:rFonts w:asciiTheme="minorHAnsi" w:hAnsiTheme="minorHAnsi"/>
          <w:color w:val="auto"/>
          <w:szCs w:val="24"/>
        </w:rPr>
        <w:t xml:space="preserve"> The CI</w:t>
      </w:r>
      <w:r>
        <w:rPr>
          <w:rFonts w:asciiTheme="minorHAnsi" w:hAnsiTheme="minorHAnsi"/>
          <w:color w:val="auto"/>
          <w:szCs w:val="24"/>
        </w:rPr>
        <w:t xml:space="preserve"> developed back pain, with associated right leg pain,</w:t>
      </w:r>
      <w:r w:rsidRPr="00F64225">
        <w:rPr>
          <w:rFonts w:asciiTheme="minorHAnsi" w:hAnsiTheme="minorHAnsi"/>
          <w:color w:val="auto"/>
          <w:szCs w:val="24"/>
        </w:rPr>
        <w:t xml:space="preserve"> </w:t>
      </w:r>
      <w:r>
        <w:rPr>
          <w:rFonts w:asciiTheme="minorHAnsi" w:hAnsiTheme="minorHAnsi"/>
          <w:color w:val="auto"/>
          <w:szCs w:val="24"/>
        </w:rPr>
        <w:t>in August 2005 w</w:t>
      </w:r>
      <w:r w:rsidR="00D27E2A">
        <w:rPr>
          <w:rFonts w:asciiTheme="minorHAnsi" w:hAnsiTheme="minorHAnsi"/>
          <w:color w:val="auto"/>
          <w:szCs w:val="24"/>
        </w:rPr>
        <w:t>hile deployed to Iraq.  I</w:t>
      </w:r>
      <w:r>
        <w:rPr>
          <w:rFonts w:asciiTheme="minorHAnsi" w:hAnsiTheme="minorHAnsi"/>
          <w:color w:val="auto"/>
          <w:szCs w:val="24"/>
        </w:rPr>
        <w:t>n July 2006 he had an acute exac</w:t>
      </w:r>
      <w:r w:rsidR="00D27E2A">
        <w:rPr>
          <w:rFonts w:asciiTheme="minorHAnsi" w:hAnsiTheme="minorHAnsi"/>
          <w:color w:val="auto"/>
          <w:szCs w:val="24"/>
        </w:rPr>
        <w:t>erbation of back and leg pain</w:t>
      </w:r>
      <w:r w:rsidR="007A5E5C">
        <w:rPr>
          <w:rFonts w:asciiTheme="minorHAnsi" w:hAnsiTheme="minorHAnsi"/>
          <w:color w:val="auto"/>
          <w:szCs w:val="24"/>
        </w:rPr>
        <w:t>.  Magnetic Resonance Imaging (</w:t>
      </w:r>
      <w:r w:rsidR="00D27E2A">
        <w:rPr>
          <w:rFonts w:asciiTheme="minorHAnsi" w:hAnsiTheme="minorHAnsi"/>
          <w:color w:val="auto"/>
          <w:szCs w:val="24"/>
        </w:rPr>
        <w:t>MRI</w:t>
      </w:r>
      <w:r w:rsidR="007A5E5C">
        <w:rPr>
          <w:rFonts w:asciiTheme="minorHAnsi" w:hAnsiTheme="minorHAnsi"/>
          <w:color w:val="auto"/>
          <w:szCs w:val="24"/>
        </w:rPr>
        <w:t>)</w:t>
      </w:r>
      <w:r w:rsidR="00D27E2A">
        <w:rPr>
          <w:rFonts w:asciiTheme="minorHAnsi" w:hAnsiTheme="minorHAnsi"/>
          <w:color w:val="auto"/>
          <w:szCs w:val="24"/>
        </w:rPr>
        <w:t xml:space="preserve"> </w:t>
      </w:r>
      <w:r>
        <w:rPr>
          <w:rFonts w:asciiTheme="minorHAnsi" w:hAnsiTheme="minorHAnsi"/>
          <w:color w:val="auto"/>
          <w:szCs w:val="24"/>
        </w:rPr>
        <w:t>revealed a her</w:t>
      </w:r>
      <w:r w:rsidR="00866D53">
        <w:rPr>
          <w:rFonts w:asciiTheme="minorHAnsi" w:hAnsiTheme="minorHAnsi"/>
          <w:color w:val="auto"/>
          <w:szCs w:val="24"/>
        </w:rPr>
        <w:t>niated disc at L5-S1.  In spite of surgical interv</w:t>
      </w:r>
      <w:r w:rsidR="00D27E2A">
        <w:rPr>
          <w:rFonts w:asciiTheme="minorHAnsi" w:hAnsiTheme="minorHAnsi"/>
          <w:color w:val="auto"/>
          <w:szCs w:val="24"/>
        </w:rPr>
        <w:t>ention and</w:t>
      </w:r>
      <w:r>
        <w:rPr>
          <w:rFonts w:asciiTheme="minorHAnsi" w:hAnsiTheme="minorHAnsi"/>
          <w:color w:val="auto"/>
          <w:szCs w:val="24"/>
        </w:rPr>
        <w:t xml:space="preserve"> physical therapy</w:t>
      </w:r>
      <w:r w:rsidR="007A5E5C">
        <w:rPr>
          <w:rFonts w:asciiTheme="minorHAnsi" w:hAnsiTheme="minorHAnsi"/>
          <w:color w:val="auto"/>
          <w:szCs w:val="24"/>
        </w:rPr>
        <w:t xml:space="preserve"> (PT),</w:t>
      </w:r>
      <w:r>
        <w:rPr>
          <w:rFonts w:asciiTheme="minorHAnsi" w:hAnsiTheme="minorHAnsi"/>
          <w:color w:val="auto"/>
          <w:szCs w:val="24"/>
        </w:rPr>
        <w:t xml:space="preserve"> the CI continued to </w:t>
      </w:r>
      <w:r w:rsidR="004D5ECD">
        <w:rPr>
          <w:rFonts w:asciiTheme="minorHAnsi" w:hAnsiTheme="minorHAnsi"/>
          <w:color w:val="auto"/>
          <w:szCs w:val="24"/>
        </w:rPr>
        <w:t>have</w:t>
      </w:r>
      <w:r>
        <w:rPr>
          <w:rFonts w:asciiTheme="minorHAnsi" w:hAnsiTheme="minorHAnsi"/>
          <w:color w:val="auto"/>
          <w:szCs w:val="24"/>
        </w:rPr>
        <w:t xml:space="preserve"> </w:t>
      </w:r>
      <w:r w:rsidR="00A913BA">
        <w:rPr>
          <w:rFonts w:asciiTheme="minorHAnsi" w:hAnsiTheme="minorHAnsi"/>
          <w:color w:val="auto"/>
          <w:szCs w:val="24"/>
        </w:rPr>
        <w:t xml:space="preserve">back </w:t>
      </w:r>
      <w:r>
        <w:rPr>
          <w:rFonts w:asciiTheme="minorHAnsi" w:hAnsiTheme="minorHAnsi"/>
          <w:color w:val="auto"/>
          <w:szCs w:val="24"/>
        </w:rPr>
        <w:t>pain</w:t>
      </w:r>
      <w:r w:rsidR="00866D53">
        <w:rPr>
          <w:rFonts w:asciiTheme="minorHAnsi" w:hAnsiTheme="minorHAnsi"/>
          <w:color w:val="auto"/>
          <w:szCs w:val="24"/>
        </w:rPr>
        <w:t xml:space="preserve">.  </w:t>
      </w:r>
      <w:r w:rsidR="004D5ECD">
        <w:rPr>
          <w:rFonts w:asciiTheme="minorHAnsi" w:hAnsiTheme="minorHAnsi"/>
          <w:color w:val="auto"/>
          <w:szCs w:val="24"/>
        </w:rPr>
        <w:t>He</w:t>
      </w:r>
      <w:r w:rsidR="00866D53">
        <w:rPr>
          <w:rFonts w:asciiTheme="minorHAnsi" w:hAnsiTheme="minorHAnsi"/>
          <w:color w:val="auto"/>
          <w:szCs w:val="24"/>
        </w:rPr>
        <w:t xml:space="preserve"> developed</w:t>
      </w:r>
      <w:r>
        <w:rPr>
          <w:rFonts w:asciiTheme="minorHAnsi" w:hAnsiTheme="minorHAnsi"/>
          <w:color w:val="auto"/>
          <w:szCs w:val="24"/>
        </w:rPr>
        <w:t xml:space="preserve"> left shoulder pain</w:t>
      </w:r>
      <w:r w:rsidR="00866D53">
        <w:rPr>
          <w:rFonts w:asciiTheme="minorHAnsi" w:hAnsiTheme="minorHAnsi"/>
          <w:color w:val="auto"/>
          <w:szCs w:val="24"/>
        </w:rPr>
        <w:t xml:space="preserve"> with overhead activities in October 2008</w:t>
      </w:r>
      <w:r>
        <w:rPr>
          <w:rFonts w:asciiTheme="minorHAnsi" w:hAnsiTheme="minorHAnsi"/>
          <w:color w:val="auto"/>
          <w:szCs w:val="24"/>
        </w:rPr>
        <w:t>.</w:t>
      </w:r>
      <w:r w:rsidR="00866D53">
        <w:rPr>
          <w:rFonts w:asciiTheme="minorHAnsi" w:hAnsiTheme="minorHAnsi"/>
          <w:color w:val="auto"/>
          <w:szCs w:val="24"/>
        </w:rPr>
        <w:t xml:space="preserve">  MRI revealed rotator cuff tendonitis and a probable labrum tear.  The CI</w:t>
      </w:r>
      <w:r w:rsidRPr="00B51FB2">
        <w:rPr>
          <w:rFonts w:asciiTheme="minorHAnsi" w:hAnsiTheme="minorHAnsi"/>
          <w:color w:val="auto"/>
          <w:szCs w:val="24"/>
        </w:rPr>
        <w:t xml:space="preserve"> </w:t>
      </w:r>
      <w:r w:rsidRPr="00CD2A8B">
        <w:rPr>
          <w:rFonts w:asciiTheme="minorHAnsi" w:hAnsiTheme="minorHAnsi"/>
          <w:color w:val="auto"/>
          <w:szCs w:val="24"/>
        </w:rPr>
        <w:t>did not respond adequately to treatment</w:t>
      </w:r>
      <w:r w:rsidR="00866D53">
        <w:rPr>
          <w:rFonts w:asciiTheme="minorHAnsi" w:hAnsiTheme="minorHAnsi"/>
          <w:color w:val="auto"/>
          <w:szCs w:val="24"/>
        </w:rPr>
        <w:t xml:space="preserve"> for either</w:t>
      </w:r>
      <w:r w:rsidR="00236B8D">
        <w:rPr>
          <w:rFonts w:asciiTheme="minorHAnsi" w:hAnsiTheme="minorHAnsi"/>
          <w:color w:val="auto"/>
          <w:szCs w:val="24"/>
        </w:rPr>
        <w:t xml:space="preserve"> the back pain or shoulder pain.  He </w:t>
      </w:r>
      <w:r w:rsidRPr="00CD2A8B">
        <w:rPr>
          <w:rFonts w:asciiTheme="minorHAnsi" w:hAnsiTheme="minorHAnsi"/>
          <w:color w:val="auto"/>
          <w:szCs w:val="24"/>
        </w:rPr>
        <w:t>was unable to perform within his Military Occupational Specialty (MOS) or meet physical fitness standards</w:t>
      </w:r>
      <w:r w:rsidR="00A913BA">
        <w:rPr>
          <w:rFonts w:asciiTheme="minorHAnsi" w:hAnsiTheme="minorHAnsi"/>
          <w:color w:val="auto"/>
          <w:szCs w:val="24"/>
        </w:rPr>
        <w:t xml:space="preserve">.  He was issued a permanent </w:t>
      </w:r>
      <w:r w:rsidRPr="00CD2A8B">
        <w:rPr>
          <w:rFonts w:asciiTheme="minorHAnsi" w:hAnsiTheme="minorHAnsi"/>
          <w:color w:val="auto"/>
          <w:szCs w:val="24"/>
        </w:rPr>
        <w:t>profile and underwent a Medical Evaluation Board (MEB).</w:t>
      </w:r>
      <w:r w:rsidR="00236B8D">
        <w:rPr>
          <w:rFonts w:asciiTheme="minorHAnsi" w:hAnsiTheme="minorHAnsi"/>
          <w:color w:val="auto"/>
          <w:szCs w:val="24"/>
        </w:rPr>
        <w:t xml:space="preserve">  Low back pain</w:t>
      </w:r>
      <w:r w:rsidR="00150618">
        <w:rPr>
          <w:rFonts w:asciiTheme="minorHAnsi" w:hAnsiTheme="minorHAnsi"/>
          <w:color w:val="auto"/>
          <w:szCs w:val="24"/>
        </w:rPr>
        <w:t xml:space="preserve"> (LBP)</w:t>
      </w:r>
      <w:r w:rsidR="00236B8D">
        <w:rPr>
          <w:rFonts w:asciiTheme="minorHAnsi" w:hAnsiTheme="minorHAnsi"/>
          <w:color w:val="auto"/>
          <w:szCs w:val="24"/>
        </w:rPr>
        <w:t xml:space="preserve">, </w:t>
      </w:r>
      <w:proofErr w:type="spellStart"/>
      <w:r w:rsidR="00236B8D">
        <w:rPr>
          <w:rFonts w:asciiTheme="minorHAnsi" w:hAnsiTheme="minorHAnsi"/>
          <w:color w:val="auto"/>
          <w:szCs w:val="24"/>
        </w:rPr>
        <w:t>patellofemoral</w:t>
      </w:r>
      <w:proofErr w:type="spellEnd"/>
      <w:r w:rsidR="00236B8D">
        <w:rPr>
          <w:rFonts w:asciiTheme="minorHAnsi" w:hAnsiTheme="minorHAnsi"/>
          <w:color w:val="auto"/>
          <w:szCs w:val="24"/>
        </w:rPr>
        <w:t xml:space="preserve"> syndrome</w:t>
      </w:r>
      <w:r>
        <w:rPr>
          <w:rFonts w:asciiTheme="minorHAnsi" w:hAnsiTheme="minorHAnsi"/>
          <w:color w:val="auto"/>
          <w:szCs w:val="24"/>
        </w:rPr>
        <w:t xml:space="preserve"> and left shoulder pain</w:t>
      </w:r>
      <w:r w:rsidRPr="00B51FB2">
        <w:rPr>
          <w:rFonts w:asciiTheme="minorHAnsi" w:hAnsiTheme="minorHAnsi"/>
          <w:color w:val="auto"/>
          <w:szCs w:val="24"/>
        </w:rPr>
        <w:t xml:space="preserve"> </w:t>
      </w:r>
      <w:r w:rsidRPr="00CD2A8B">
        <w:rPr>
          <w:rFonts w:asciiTheme="minorHAnsi" w:hAnsiTheme="minorHAnsi"/>
          <w:color w:val="auto"/>
          <w:szCs w:val="24"/>
        </w:rPr>
        <w:t>were forwarded</w:t>
      </w:r>
      <w:r w:rsidRPr="00B51FB2">
        <w:rPr>
          <w:rFonts w:asciiTheme="minorHAnsi" w:hAnsiTheme="minorHAnsi"/>
          <w:color w:val="auto"/>
          <w:szCs w:val="24"/>
        </w:rPr>
        <w:t xml:space="preserve"> to the Physical Evaluation Board (PEB) as medically unacceptable </w:t>
      </w:r>
      <w:r w:rsidRPr="00CD2A8B">
        <w:rPr>
          <w:rFonts w:asciiTheme="minorHAnsi" w:hAnsiTheme="minorHAnsi"/>
          <w:color w:val="auto"/>
          <w:szCs w:val="24"/>
        </w:rPr>
        <w:t xml:space="preserve">IAW AR 40-501. </w:t>
      </w:r>
      <w:r>
        <w:rPr>
          <w:rFonts w:asciiTheme="minorHAnsi" w:hAnsiTheme="minorHAnsi"/>
          <w:color w:val="auto"/>
          <w:szCs w:val="24"/>
        </w:rPr>
        <w:t xml:space="preserve"> </w:t>
      </w:r>
      <w:r w:rsidR="007A5E5C">
        <w:rPr>
          <w:rFonts w:asciiTheme="minorHAnsi" w:hAnsiTheme="minorHAnsi"/>
          <w:color w:val="auto"/>
          <w:szCs w:val="24"/>
        </w:rPr>
        <w:t>Two other conditions (</w:t>
      </w:r>
      <w:r w:rsidR="00BC79FC">
        <w:rPr>
          <w:rFonts w:asciiTheme="minorHAnsi" w:hAnsiTheme="minorHAnsi"/>
          <w:color w:val="auto"/>
          <w:szCs w:val="24"/>
        </w:rPr>
        <w:t>l</w:t>
      </w:r>
      <w:r w:rsidR="00236B8D">
        <w:rPr>
          <w:rFonts w:asciiTheme="minorHAnsi" w:hAnsiTheme="minorHAnsi"/>
          <w:color w:val="auto"/>
          <w:szCs w:val="24"/>
        </w:rPr>
        <w:t xml:space="preserve">eft Achilles tendonitis and left </w:t>
      </w:r>
      <w:proofErr w:type="spellStart"/>
      <w:r w:rsidR="00236B8D">
        <w:rPr>
          <w:rFonts w:asciiTheme="minorHAnsi" w:hAnsiTheme="minorHAnsi"/>
          <w:color w:val="auto"/>
          <w:szCs w:val="24"/>
        </w:rPr>
        <w:t>sensorineural</w:t>
      </w:r>
      <w:proofErr w:type="spellEnd"/>
      <w:r w:rsidR="00236B8D">
        <w:rPr>
          <w:rFonts w:asciiTheme="minorHAnsi" w:hAnsiTheme="minorHAnsi"/>
          <w:color w:val="auto"/>
          <w:szCs w:val="24"/>
        </w:rPr>
        <w:t xml:space="preserve"> hearing loss</w:t>
      </w:r>
      <w:r w:rsidR="007A5E5C">
        <w:rPr>
          <w:rFonts w:asciiTheme="minorHAnsi" w:hAnsiTheme="minorHAnsi"/>
          <w:color w:val="auto"/>
          <w:szCs w:val="24"/>
        </w:rPr>
        <w:t>)</w:t>
      </w:r>
      <w:r w:rsidR="00BC79FC">
        <w:rPr>
          <w:rFonts w:asciiTheme="minorHAnsi" w:hAnsiTheme="minorHAnsi"/>
          <w:color w:val="auto"/>
          <w:szCs w:val="24"/>
        </w:rPr>
        <w:t xml:space="preserve"> were list</w:t>
      </w:r>
      <w:r w:rsidRPr="005A3234">
        <w:rPr>
          <w:rFonts w:asciiTheme="minorHAnsi" w:hAnsiTheme="minorHAnsi"/>
          <w:color w:val="auto"/>
          <w:szCs w:val="24"/>
        </w:rPr>
        <w:t>ed</w:t>
      </w:r>
      <w:r w:rsidRPr="00B51FB2">
        <w:rPr>
          <w:rFonts w:asciiTheme="minorHAnsi" w:hAnsiTheme="minorHAnsi"/>
          <w:color w:val="auto"/>
          <w:szCs w:val="24"/>
        </w:rPr>
        <w:t xml:space="preserve"> on the MEB submission as medically acceptable.</w:t>
      </w:r>
      <w:r>
        <w:rPr>
          <w:rFonts w:asciiTheme="minorHAnsi" w:hAnsiTheme="minorHAnsi"/>
          <w:color w:val="auto"/>
          <w:szCs w:val="24"/>
        </w:rPr>
        <w:t xml:space="preserve">  </w:t>
      </w:r>
      <w:r w:rsidRPr="00B51FB2">
        <w:rPr>
          <w:rFonts w:asciiTheme="minorHAnsi" w:hAnsiTheme="minorHAnsi"/>
          <w:color w:val="auto"/>
          <w:szCs w:val="24"/>
        </w:rPr>
        <w:t xml:space="preserve">The PEB </w:t>
      </w:r>
      <w:r w:rsidR="00236B8D">
        <w:rPr>
          <w:rFonts w:asciiTheme="minorHAnsi" w:hAnsiTheme="minorHAnsi"/>
          <w:color w:val="auto"/>
          <w:szCs w:val="24"/>
        </w:rPr>
        <w:t>originally found the CI fit for duty, but on reconsideration adjudicated</w:t>
      </w:r>
      <w:r w:rsidRPr="00B51FB2">
        <w:rPr>
          <w:rFonts w:asciiTheme="minorHAnsi" w:hAnsiTheme="minorHAnsi"/>
          <w:color w:val="auto"/>
          <w:szCs w:val="24"/>
        </w:rPr>
        <w:t xml:space="preserve"> </w:t>
      </w:r>
      <w:r w:rsidRPr="00C417CE">
        <w:rPr>
          <w:rFonts w:asciiTheme="minorHAnsi" w:hAnsiTheme="minorHAnsi"/>
          <w:color w:val="auto"/>
          <w:szCs w:val="24"/>
        </w:rPr>
        <w:t>degenerative arthritis of</w:t>
      </w:r>
      <w:r w:rsidR="00236B8D">
        <w:rPr>
          <w:rFonts w:asciiTheme="minorHAnsi" w:hAnsiTheme="minorHAnsi"/>
          <w:color w:val="auto"/>
          <w:szCs w:val="24"/>
        </w:rPr>
        <w:t xml:space="preserve"> the lumbar spine</w:t>
      </w:r>
      <w:r w:rsidRPr="00C417CE">
        <w:rPr>
          <w:rFonts w:asciiTheme="minorHAnsi" w:hAnsiTheme="minorHAnsi"/>
          <w:color w:val="auto"/>
          <w:szCs w:val="24"/>
        </w:rPr>
        <w:t xml:space="preserve"> and</w:t>
      </w:r>
      <w:r w:rsidR="00236B8D">
        <w:rPr>
          <w:rFonts w:asciiTheme="minorHAnsi" w:hAnsiTheme="minorHAnsi"/>
          <w:color w:val="auto"/>
          <w:szCs w:val="24"/>
        </w:rPr>
        <w:t xml:space="preserve"> left shoulder pain</w:t>
      </w:r>
      <w:r w:rsidRPr="00B51FB2">
        <w:rPr>
          <w:rFonts w:asciiTheme="minorHAnsi" w:hAnsiTheme="minorHAnsi"/>
          <w:color w:val="auto"/>
          <w:szCs w:val="24"/>
        </w:rPr>
        <w:t xml:space="preserve"> as unfitting</w:t>
      </w:r>
      <w:r w:rsidR="00236B8D">
        <w:rPr>
          <w:rFonts w:asciiTheme="minorHAnsi" w:hAnsiTheme="minorHAnsi"/>
          <w:color w:val="auto"/>
          <w:szCs w:val="24"/>
        </w:rPr>
        <w:t xml:space="preserve"> conditions</w:t>
      </w:r>
      <w:r w:rsidRPr="00B51FB2">
        <w:rPr>
          <w:rFonts w:asciiTheme="minorHAnsi" w:hAnsiTheme="minorHAnsi"/>
          <w:color w:val="auto"/>
          <w:szCs w:val="24"/>
        </w:rPr>
        <w:t xml:space="preserve">, rated </w:t>
      </w:r>
      <w:r w:rsidRPr="00C417CE">
        <w:rPr>
          <w:rFonts w:asciiTheme="minorHAnsi" w:hAnsiTheme="minorHAnsi"/>
          <w:color w:val="auto"/>
          <w:szCs w:val="24"/>
        </w:rPr>
        <w:t xml:space="preserve">10% </w:t>
      </w:r>
      <w:r w:rsidR="00D75858">
        <w:rPr>
          <w:rFonts w:asciiTheme="minorHAnsi" w:hAnsiTheme="minorHAnsi"/>
          <w:color w:val="auto"/>
          <w:szCs w:val="24"/>
        </w:rPr>
        <w:t>each IAW</w:t>
      </w:r>
      <w:r w:rsidRPr="00C417CE">
        <w:rPr>
          <w:rFonts w:asciiTheme="minorHAnsi" w:hAnsiTheme="minorHAnsi"/>
          <w:color w:val="auto"/>
          <w:szCs w:val="24"/>
        </w:rPr>
        <w:t xml:space="preserve"> the</w:t>
      </w:r>
      <w:r w:rsidR="00236B8D" w:rsidRPr="00236B8D">
        <w:rPr>
          <w:rFonts w:asciiTheme="minorHAnsi" w:hAnsiTheme="minorHAnsi"/>
          <w:color w:val="auto"/>
          <w:szCs w:val="24"/>
        </w:rPr>
        <w:t xml:space="preserve"> Veterans’ Administration Schedule for Rating Disabilities (VASRD)</w:t>
      </w:r>
      <w:r w:rsidRPr="00C417CE">
        <w:rPr>
          <w:rFonts w:asciiTheme="minorHAnsi" w:hAnsiTheme="minorHAnsi"/>
          <w:color w:val="auto"/>
          <w:szCs w:val="24"/>
        </w:rPr>
        <w:t>.</w:t>
      </w:r>
      <w:r>
        <w:rPr>
          <w:rFonts w:asciiTheme="minorHAnsi" w:hAnsiTheme="minorHAnsi"/>
          <w:color w:val="auto"/>
          <w:szCs w:val="24"/>
        </w:rPr>
        <w:t xml:space="preserve">  </w:t>
      </w:r>
      <w:r w:rsidRPr="00B51FB2">
        <w:rPr>
          <w:rFonts w:asciiTheme="minorHAnsi" w:hAnsiTheme="minorHAnsi"/>
          <w:color w:val="auto"/>
        </w:rPr>
        <w:t xml:space="preserve">The CI </w:t>
      </w:r>
      <w:r w:rsidR="00946A28">
        <w:rPr>
          <w:rFonts w:asciiTheme="minorHAnsi" w:hAnsiTheme="minorHAnsi"/>
          <w:color w:val="auto"/>
        </w:rPr>
        <w:t xml:space="preserve">accepted the </w:t>
      </w:r>
      <w:r w:rsidR="00D75858">
        <w:rPr>
          <w:rFonts w:asciiTheme="minorHAnsi" w:hAnsiTheme="minorHAnsi"/>
          <w:color w:val="auto"/>
        </w:rPr>
        <w:t>PEB findings</w:t>
      </w:r>
      <w:r w:rsidRPr="00B51FB2">
        <w:rPr>
          <w:rFonts w:asciiTheme="minorHAnsi" w:hAnsiTheme="minorHAnsi"/>
          <w:color w:val="auto"/>
        </w:rPr>
        <w:t xml:space="preserve">, and was </w:t>
      </w:r>
      <w:r w:rsidR="00D75858">
        <w:rPr>
          <w:rFonts w:asciiTheme="minorHAnsi" w:hAnsiTheme="minorHAnsi"/>
          <w:color w:val="auto"/>
        </w:rPr>
        <w:t xml:space="preserve">thus </w:t>
      </w:r>
      <w:r w:rsidRPr="00B51FB2">
        <w:rPr>
          <w:rFonts w:asciiTheme="minorHAnsi" w:hAnsiTheme="minorHAnsi"/>
          <w:color w:val="auto"/>
        </w:rPr>
        <w:t xml:space="preserve">medically separated with a </w:t>
      </w:r>
      <w:r>
        <w:rPr>
          <w:rFonts w:asciiTheme="minorHAnsi" w:hAnsiTheme="minorHAnsi"/>
          <w:color w:val="auto"/>
        </w:rPr>
        <w:t>20</w:t>
      </w:r>
      <w:r w:rsidRPr="00B51FB2">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085D7B" w:rsidRPr="005C4C90" w:rsidRDefault="00085D7B" w:rsidP="00510F9C">
      <w:pPr>
        <w:tabs>
          <w:tab w:val="left" w:pos="288"/>
          <w:tab w:val="left" w:pos="4752"/>
        </w:tabs>
        <w:spacing w:line="240" w:lineRule="exact"/>
        <w:jc w:val="both"/>
        <w:rPr>
          <w:rFonts w:asciiTheme="minorHAnsi" w:hAnsiTheme="minorHAnsi"/>
          <w:color w:val="auto"/>
          <w:szCs w:val="24"/>
        </w:rPr>
      </w:pPr>
    </w:p>
    <w:p w:rsidR="00ED5284" w:rsidRPr="005C4C90" w:rsidRDefault="005C4C90" w:rsidP="00510F9C">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Pr="00326C08">
        <w:rPr>
          <w:rFonts w:asciiTheme="minorHAnsi" w:hAnsiTheme="minorHAnsi"/>
          <w:color w:val="auto"/>
          <w:szCs w:val="24"/>
        </w:rPr>
        <w:t>The CI states</w:t>
      </w:r>
      <w:r w:rsidR="00516CE4">
        <w:rPr>
          <w:rFonts w:asciiTheme="minorHAnsi" w:hAnsiTheme="minorHAnsi"/>
          <w:color w:val="auto"/>
          <w:szCs w:val="24"/>
        </w:rPr>
        <w:t>,</w:t>
      </w:r>
      <w:r w:rsidRPr="00326C08">
        <w:rPr>
          <w:rFonts w:asciiTheme="minorHAnsi" w:hAnsiTheme="minorHAnsi"/>
          <w:color w:val="auto"/>
          <w:szCs w:val="24"/>
        </w:rPr>
        <w:t xml:space="preserve"> </w:t>
      </w:r>
      <w:r>
        <w:rPr>
          <w:rFonts w:asciiTheme="minorHAnsi" w:hAnsiTheme="minorHAnsi"/>
          <w:color w:val="auto"/>
          <w:szCs w:val="24"/>
        </w:rPr>
        <w:t xml:space="preserve">“I feel that my records should have been looked at more carefully and I should have been awarded a higher rating then 20%.”  He </w:t>
      </w:r>
      <w:r w:rsidR="00ED5284" w:rsidRPr="005C4D72">
        <w:rPr>
          <w:rFonts w:eastAsiaTheme="minorHAnsi" w:cstheme="minorBidi"/>
          <w:color w:val="auto"/>
          <w:szCs w:val="24"/>
        </w:rPr>
        <w:t>additionally lists his VA conditions and ratin</w:t>
      </w:r>
      <w:r w:rsidR="00D9495B">
        <w:rPr>
          <w:rFonts w:eastAsiaTheme="minorHAnsi" w:cstheme="minorBidi"/>
          <w:color w:val="auto"/>
          <w:szCs w:val="24"/>
        </w:rPr>
        <w:t>gs</w:t>
      </w:r>
      <w:r w:rsidR="00ED5284" w:rsidRPr="005C4D72">
        <w:rPr>
          <w:rFonts w:eastAsiaTheme="minorHAnsi" w:cstheme="minorBidi"/>
          <w:color w:val="auto"/>
          <w:szCs w:val="24"/>
        </w:rPr>
        <w:t xml:space="preserve">.  A contention for their inclusion in the </w:t>
      </w:r>
      <w:r w:rsidR="00D9495B">
        <w:rPr>
          <w:rFonts w:eastAsiaTheme="minorHAnsi" w:cstheme="minorBidi"/>
          <w:color w:val="auto"/>
          <w:szCs w:val="24"/>
        </w:rPr>
        <w:t xml:space="preserve">Service </w:t>
      </w:r>
      <w:r w:rsidR="00ED5284" w:rsidRPr="005C4D72">
        <w:rPr>
          <w:rFonts w:eastAsiaTheme="minorHAnsi" w:cstheme="minorBidi"/>
          <w:color w:val="auto"/>
          <w:szCs w:val="24"/>
        </w:rPr>
        <w:t>separation rating is therefore implied.</w:t>
      </w:r>
    </w:p>
    <w:p w:rsidR="00FC66A3" w:rsidRDefault="00FC66A3" w:rsidP="00FC66A3">
      <w:pPr>
        <w:pBdr>
          <w:bottom w:val="single" w:sz="12" w:space="1" w:color="auto"/>
        </w:pBdr>
        <w:tabs>
          <w:tab w:val="left" w:pos="288"/>
          <w:tab w:val="left" w:pos="4752"/>
        </w:tabs>
        <w:spacing w:line="240" w:lineRule="exact"/>
        <w:jc w:val="both"/>
        <w:rPr>
          <w:rFonts w:asciiTheme="minorHAnsi" w:hAnsiTheme="minorHAnsi"/>
          <w:color w:val="auto"/>
        </w:rPr>
      </w:pPr>
    </w:p>
    <w:p w:rsidR="00FC66A3" w:rsidRDefault="00FC66A3" w:rsidP="00FC66A3">
      <w:pPr>
        <w:tabs>
          <w:tab w:val="left" w:pos="288"/>
          <w:tab w:val="left" w:pos="4752"/>
        </w:tabs>
        <w:spacing w:line="240" w:lineRule="exact"/>
        <w:jc w:val="both"/>
        <w:rPr>
          <w:rFonts w:asciiTheme="minorHAnsi" w:hAnsiTheme="minorHAnsi"/>
          <w:color w:val="auto"/>
          <w:szCs w:val="24"/>
        </w:rPr>
      </w:pPr>
    </w:p>
    <w:p w:rsidR="00FC66A3" w:rsidRPr="00FC66A3" w:rsidRDefault="00EE6943" w:rsidP="00FC66A3">
      <w:pPr>
        <w:tabs>
          <w:tab w:val="left" w:pos="288"/>
          <w:tab w:val="left" w:pos="4752"/>
        </w:tabs>
        <w:spacing w:line="240" w:lineRule="exact"/>
        <w:jc w:val="both"/>
        <w:rPr>
          <w:rFonts w:asciiTheme="minorHAnsi" w:hAnsiTheme="minorHAnsi"/>
          <w:color w:val="auto"/>
          <w:szCs w:val="24"/>
          <w:u w:val="single"/>
        </w:rPr>
      </w:pPr>
      <w:r>
        <w:rPr>
          <w:rFonts w:asciiTheme="minorHAnsi" w:hAnsiTheme="minorHAnsi"/>
          <w:color w:val="auto"/>
          <w:szCs w:val="24"/>
          <w:u w:val="single"/>
        </w:rPr>
        <w:t>RATING COMPARISON</w:t>
      </w:r>
      <w:r w:rsidR="00FC66A3" w:rsidRPr="00FC66A3">
        <w:rPr>
          <w:rFonts w:asciiTheme="minorHAnsi" w:hAnsiTheme="minorHAnsi"/>
          <w:color w:val="auto"/>
          <w:szCs w:val="24"/>
          <w:u w:val="single"/>
        </w:rPr>
        <w:t>:</w:t>
      </w:r>
    </w:p>
    <w:p w:rsidR="00FC66A3" w:rsidRDefault="00FC66A3" w:rsidP="00FC66A3">
      <w:pPr>
        <w:tabs>
          <w:tab w:val="left" w:pos="288"/>
          <w:tab w:val="left" w:pos="4752"/>
        </w:tabs>
        <w:spacing w:line="240" w:lineRule="exact"/>
        <w:jc w:val="both"/>
        <w:rPr>
          <w:rFonts w:asciiTheme="minorHAnsi" w:hAnsiTheme="minorHAnsi"/>
          <w:color w:val="auto"/>
          <w:szCs w:val="24"/>
        </w:rPr>
      </w:pPr>
    </w:p>
    <w:tbl>
      <w:tblPr>
        <w:tblStyle w:val="TableGrid"/>
        <w:tblpPr w:leftFromText="187" w:rightFromText="187" w:vertAnchor="text" w:tblpXSpec="center" w:tblpY="1"/>
        <w:tblOverlap w:val="never"/>
        <w:tblW w:w="9612" w:type="dxa"/>
        <w:jc w:val="center"/>
        <w:tblLayout w:type="fixed"/>
        <w:tblLook w:val="04A0"/>
      </w:tblPr>
      <w:tblGrid>
        <w:gridCol w:w="2268"/>
        <w:gridCol w:w="1080"/>
        <w:gridCol w:w="810"/>
        <w:gridCol w:w="2556"/>
        <w:gridCol w:w="1080"/>
        <w:gridCol w:w="828"/>
        <w:gridCol w:w="990"/>
      </w:tblGrid>
      <w:tr w:rsidR="00FC66A3" w:rsidRPr="00EE6943" w:rsidTr="00EE6943">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FC66A3" w:rsidRPr="00EE6943" w:rsidRDefault="00FC66A3" w:rsidP="00FC66A3">
            <w:pPr>
              <w:contextualSpacing/>
              <w:jc w:val="center"/>
              <w:rPr>
                <w:rFonts w:cstheme="minorHAnsi"/>
                <w:b/>
                <w:color w:val="000000" w:themeColor="text1"/>
                <w:sz w:val="18"/>
                <w:szCs w:val="18"/>
              </w:rPr>
            </w:pPr>
            <w:r w:rsidRPr="00EE6943">
              <w:rPr>
                <w:rFonts w:cstheme="minorHAnsi"/>
                <w:b/>
                <w:color w:val="000000" w:themeColor="text1"/>
                <w:sz w:val="18"/>
                <w:szCs w:val="18"/>
              </w:rPr>
              <w:t>Army PEB – dated 20090203</w:t>
            </w:r>
          </w:p>
        </w:tc>
        <w:tc>
          <w:tcPr>
            <w:tcW w:w="5454" w:type="dxa"/>
            <w:gridSpan w:val="4"/>
            <w:tcBorders>
              <w:left w:val="thinThickThinSmallGap" w:sz="24" w:space="0" w:color="auto"/>
            </w:tcBorders>
            <w:shd w:val="clear" w:color="auto" w:fill="D9D9D9" w:themeFill="background1" w:themeFillShade="D9"/>
            <w:vAlign w:val="center"/>
          </w:tcPr>
          <w:p w:rsidR="00FC66A3" w:rsidRPr="00EE6943" w:rsidRDefault="00425C5D" w:rsidP="00425C5D">
            <w:pPr>
              <w:contextualSpacing/>
              <w:jc w:val="center"/>
              <w:rPr>
                <w:rFonts w:cstheme="minorHAnsi"/>
                <w:b/>
                <w:color w:val="000000" w:themeColor="text1"/>
                <w:sz w:val="18"/>
                <w:szCs w:val="18"/>
              </w:rPr>
            </w:pPr>
            <w:r w:rsidRPr="00EE6943">
              <w:rPr>
                <w:rFonts w:cstheme="minorHAnsi"/>
                <w:b/>
                <w:color w:val="000000" w:themeColor="text1"/>
                <w:sz w:val="18"/>
                <w:szCs w:val="18"/>
              </w:rPr>
              <w:t>VA (2 weeks After Separation) – All Effective 20090328</w:t>
            </w:r>
          </w:p>
        </w:tc>
      </w:tr>
      <w:tr w:rsidR="00FC66A3" w:rsidRPr="00EE6943" w:rsidTr="00EE6943">
        <w:trPr>
          <w:trHeight w:val="278"/>
          <w:jc w:val="center"/>
        </w:trPr>
        <w:tc>
          <w:tcPr>
            <w:tcW w:w="2268" w:type="dxa"/>
            <w:tcBorders>
              <w:bottom w:val="single" w:sz="4" w:space="0" w:color="000000" w:themeColor="text1"/>
              <w:right w:val="single" w:sz="4" w:space="0" w:color="auto"/>
            </w:tcBorders>
            <w:shd w:val="clear" w:color="auto" w:fill="D9D9D9" w:themeFill="background1" w:themeFillShade="D9"/>
            <w:vAlign w:val="center"/>
          </w:tcPr>
          <w:p w:rsidR="00FC66A3" w:rsidRPr="00EE6943" w:rsidRDefault="00FC66A3" w:rsidP="006125ED">
            <w:pPr>
              <w:contextualSpacing/>
              <w:rPr>
                <w:rFonts w:cstheme="minorHAnsi"/>
                <w:b/>
                <w:color w:val="000000" w:themeColor="text1"/>
                <w:sz w:val="18"/>
                <w:szCs w:val="18"/>
              </w:rPr>
            </w:pPr>
            <w:r w:rsidRPr="00EE6943">
              <w:rPr>
                <w:rFonts w:cstheme="minorHAns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FC66A3" w:rsidRPr="00EE6943" w:rsidRDefault="00FC66A3" w:rsidP="006125ED">
            <w:pPr>
              <w:contextualSpacing/>
              <w:rPr>
                <w:rFonts w:cstheme="minorHAnsi"/>
                <w:b/>
                <w:color w:val="000000" w:themeColor="text1"/>
                <w:sz w:val="18"/>
                <w:szCs w:val="18"/>
              </w:rPr>
            </w:pPr>
            <w:r w:rsidRPr="00EE6943">
              <w:rPr>
                <w:rFonts w:cstheme="minorHAns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FC66A3" w:rsidRPr="00EE6943" w:rsidRDefault="00FC66A3" w:rsidP="006125ED">
            <w:pPr>
              <w:contextualSpacing/>
              <w:rPr>
                <w:rFonts w:cstheme="minorHAnsi"/>
                <w:b/>
                <w:color w:val="000000" w:themeColor="text1"/>
                <w:sz w:val="18"/>
                <w:szCs w:val="18"/>
              </w:rPr>
            </w:pPr>
            <w:r w:rsidRPr="00EE6943">
              <w:rPr>
                <w:rFonts w:cstheme="minorHAnsi"/>
                <w:b/>
                <w:color w:val="000000" w:themeColor="text1"/>
                <w:sz w:val="18"/>
                <w:szCs w:val="18"/>
              </w:rPr>
              <w:t>Rating</w:t>
            </w:r>
          </w:p>
        </w:tc>
        <w:tc>
          <w:tcPr>
            <w:tcW w:w="2556" w:type="dxa"/>
            <w:tcBorders>
              <w:left w:val="thinThickThinSmallGap" w:sz="24" w:space="0" w:color="auto"/>
              <w:bottom w:val="single" w:sz="4" w:space="0" w:color="000000" w:themeColor="text1"/>
            </w:tcBorders>
            <w:shd w:val="clear" w:color="auto" w:fill="D9D9D9" w:themeFill="background1" w:themeFillShade="D9"/>
            <w:vAlign w:val="center"/>
          </w:tcPr>
          <w:p w:rsidR="00FC66A3" w:rsidRPr="00EE6943" w:rsidRDefault="00FC66A3" w:rsidP="006125ED">
            <w:pPr>
              <w:contextualSpacing/>
              <w:rPr>
                <w:rFonts w:cstheme="minorHAnsi"/>
                <w:b/>
                <w:color w:val="000000" w:themeColor="text1"/>
                <w:sz w:val="18"/>
                <w:szCs w:val="18"/>
              </w:rPr>
            </w:pPr>
            <w:r w:rsidRPr="00EE6943">
              <w:rPr>
                <w:rFonts w:cstheme="minorHAns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FC66A3" w:rsidRPr="00EE6943" w:rsidRDefault="00FC66A3" w:rsidP="006125ED">
            <w:pPr>
              <w:contextualSpacing/>
              <w:rPr>
                <w:rFonts w:cstheme="minorHAnsi"/>
                <w:b/>
                <w:color w:val="000000" w:themeColor="text1"/>
                <w:sz w:val="18"/>
                <w:szCs w:val="18"/>
              </w:rPr>
            </w:pPr>
            <w:r w:rsidRPr="00EE6943">
              <w:rPr>
                <w:rFonts w:cstheme="minorHAns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FC66A3" w:rsidRPr="00EE6943" w:rsidRDefault="00FC66A3" w:rsidP="006125ED">
            <w:pPr>
              <w:contextualSpacing/>
              <w:rPr>
                <w:rFonts w:cstheme="minorHAnsi"/>
                <w:b/>
                <w:color w:val="000000" w:themeColor="text1"/>
                <w:sz w:val="18"/>
                <w:szCs w:val="18"/>
              </w:rPr>
            </w:pPr>
            <w:r w:rsidRPr="00EE6943">
              <w:rPr>
                <w:rFonts w:cstheme="minorHAns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FC66A3" w:rsidRPr="00EE6943" w:rsidRDefault="00FC66A3" w:rsidP="00EE6943">
            <w:pPr>
              <w:contextualSpacing/>
              <w:jc w:val="center"/>
              <w:rPr>
                <w:rFonts w:cstheme="minorHAnsi"/>
                <w:b/>
                <w:color w:val="000000" w:themeColor="text1"/>
                <w:sz w:val="18"/>
                <w:szCs w:val="18"/>
              </w:rPr>
            </w:pPr>
            <w:r w:rsidRPr="00EE6943">
              <w:rPr>
                <w:rFonts w:cstheme="minorHAnsi"/>
                <w:b/>
                <w:color w:val="000000" w:themeColor="text1"/>
                <w:sz w:val="18"/>
                <w:szCs w:val="18"/>
              </w:rPr>
              <w:t>Exam</w:t>
            </w:r>
          </w:p>
        </w:tc>
      </w:tr>
      <w:tr w:rsidR="00425C5D" w:rsidRPr="00EE6943" w:rsidTr="00EE6943">
        <w:trPr>
          <w:trHeight w:val="144"/>
          <w:jc w:val="center"/>
        </w:trPr>
        <w:tc>
          <w:tcPr>
            <w:tcW w:w="2268" w:type="dxa"/>
            <w:tcBorders>
              <w:right w:val="single" w:sz="4" w:space="0" w:color="auto"/>
            </w:tcBorders>
            <w:shd w:val="clear" w:color="auto" w:fill="FFFFFF" w:themeFill="background1"/>
            <w:vAlign w:val="center"/>
          </w:tcPr>
          <w:p w:rsidR="00425C5D" w:rsidRPr="00EE6943" w:rsidRDefault="00425C5D" w:rsidP="00EE6943">
            <w:pPr>
              <w:pStyle w:val="ListParagraph"/>
              <w:spacing w:after="0" w:line="240" w:lineRule="exact"/>
              <w:ind w:left="0"/>
              <w:rPr>
                <w:rFonts w:cstheme="minorHAnsi"/>
                <w:sz w:val="18"/>
                <w:szCs w:val="18"/>
              </w:rPr>
            </w:pPr>
            <w:r w:rsidRPr="00EE6943">
              <w:rPr>
                <w:rFonts w:cstheme="minorHAnsi"/>
                <w:sz w:val="18"/>
                <w:szCs w:val="18"/>
              </w:rPr>
              <w:t>Lumbar Spine Arthritis</w:t>
            </w:r>
          </w:p>
        </w:tc>
        <w:tc>
          <w:tcPr>
            <w:tcW w:w="1080" w:type="dxa"/>
            <w:tcBorders>
              <w:left w:val="single" w:sz="4" w:space="0" w:color="auto"/>
            </w:tcBorders>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5242</w:t>
            </w:r>
          </w:p>
        </w:tc>
        <w:tc>
          <w:tcPr>
            <w:tcW w:w="810" w:type="dxa"/>
            <w:tcBorders>
              <w:right w:val="thinThickThinSmallGap" w:sz="24" w:space="0" w:color="auto"/>
            </w:tcBorders>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10%</w:t>
            </w:r>
          </w:p>
        </w:tc>
        <w:tc>
          <w:tcPr>
            <w:tcW w:w="2556" w:type="dxa"/>
            <w:tcBorders>
              <w:left w:val="thinThickThinSmallGap" w:sz="24" w:space="0" w:color="auto"/>
            </w:tcBorders>
            <w:shd w:val="clear" w:color="auto" w:fill="FFFFFF" w:themeFill="background1"/>
            <w:vAlign w:val="center"/>
          </w:tcPr>
          <w:p w:rsidR="00425C5D" w:rsidRPr="00EE6943" w:rsidRDefault="00425C5D" w:rsidP="00425C5D">
            <w:pPr>
              <w:pStyle w:val="ListParagraph"/>
              <w:spacing w:after="0" w:line="240" w:lineRule="exact"/>
              <w:ind w:left="0"/>
              <w:rPr>
                <w:rFonts w:cstheme="minorHAnsi"/>
                <w:sz w:val="18"/>
                <w:szCs w:val="18"/>
              </w:rPr>
            </w:pPr>
            <w:r w:rsidRPr="00EE6943">
              <w:rPr>
                <w:rFonts w:cstheme="minorHAnsi"/>
                <w:sz w:val="18"/>
                <w:szCs w:val="18"/>
              </w:rPr>
              <w:t>Lumbar Spine Arthritis</w:t>
            </w:r>
          </w:p>
        </w:tc>
        <w:tc>
          <w:tcPr>
            <w:tcW w:w="1080" w:type="dxa"/>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5242</w:t>
            </w:r>
          </w:p>
        </w:tc>
        <w:tc>
          <w:tcPr>
            <w:tcW w:w="828" w:type="dxa"/>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10%</w:t>
            </w:r>
          </w:p>
        </w:tc>
        <w:tc>
          <w:tcPr>
            <w:tcW w:w="990" w:type="dxa"/>
            <w:shd w:val="clear" w:color="auto" w:fill="FFFFFF" w:themeFill="background1"/>
            <w:vAlign w:val="center"/>
          </w:tcPr>
          <w:p w:rsidR="00425C5D" w:rsidRPr="00EE6943" w:rsidRDefault="00425C5D" w:rsidP="00EE6943">
            <w:pPr>
              <w:pStyle w:val="ListParagraph"/>
              <w:spacing w:after="0" w:line="240" w:lineRule="exact"/>
              <w:ind w:left="0"/>
              <w:jc w:val="center"/>
              <w:rPr>
                <w:rFonts w:cstheme="minorHAnsi"/>
                <w:sz w:val="18"/>
                <w:szCs w:val="18"/>
              </w:rPr>
            </w:pPr>
            <w:r w:rsidRPr="00EE6943">
              <w:rPr>
                <w:rFonts w:cstheme="minorHAnsi"/>
                <w:sz w:val="18"/>
                <w:szCs w:val="18"/>
              </w:rPr>
              <w:t>20090409</w:t>
            </w:r>
          </w:p>
        </w:tc>
      </w:tr>
      <w:tr w:rsidR="00425C5D" w:rsidRPr="00EE6943" w:rsidTr="00EE6943">
        <w:trPr>
          <w:trHeight w:val="144"/>
          <w:jc w:val="center"/>
        </w:trPr>
        <w:tc>
          <w:tcPr>
            <w:tcW w:w="2268" w:type="dxa"/>
            <w:tcBorders>
              <w:right w:val="single" w:sz="4" w:space="0" w:color="auto"/>
            </w:tcBorders>
            <w:shd w:val="clear" w:color="auto" w:fill="FFFFFF" w:themeFill="background1"/>
            <w:vAlign w:val="center"/>
          </w:tcPr>
          <w:p w:rsidR="00425C5D" w:rsidRPr="00EE6943" w:rsidRDefault="00425C5D" w:rsidP="00EE6943">
            <w:pPr>
              <w:pStyle w:val="ListParagraph"/>
              <w:spacing w:after="0" w:line="240" w:lineRule="exact"/>
              <w:ind w:left="0"/>
              <w:rPr>
                <w:rFonts w:cstheme="minorHAnsi"/>
                <w:sz w:val="18"/>
                <w:szCs w:val="18"/>
              </w:rPr>
            </w:pPr>
            <w:r w:rsidRPr="00EE6943">
              <w:rPr>
                <w:rFonts w:cstheme="minorHAnsi"/>
                <w:sz w:val="18"/>
                <w:szCs w:val="18"/>
              </w:rPr>
              <w:t>Left Shoulder Pain</w:t>
            </w:r>
          </w:p>
        </w:tc>
        <w:tc>
          <w:tcPr>
            <w:tcW w:w="1080" w:type="dxa"/>
            <w:tcBorders>
              <w:left w:val="single" w:sz="4" w:space="0" w:color="auto"/>
            </w:tcBorders>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5099-5003</w:t>
            </w:r>
          </w:p>
        </w:tc>
        <w:tc>
          <w:tcPr>
            <w:tcW w:w="810" w:type="dxa"/>
            <w:tcBorders>
              <w:right w:val="thinThickThinSmallGap" w:sz="24" w:space="0" w:color="auto"/>
            </w:tcBorders>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10%</w:t>
            </w:r>
          </w:p>
        </w:tc>
        <w:tc>
          <w:tcPr>
            <w:tcW w:w="2556" w:type="dxa"/>
            <w:tcBorders>
              <w:left w:val="thinThickThinSmallGap" w:sz="24" w:space="0" w:color="auto"/>
              <w:right w:val="single" w:sz="4" w:space="0" w:color="auto"/>
            </w:tcBorders>
            <w:shd w:val="clear" w:color="auto" w:fill="FFFFFF" w:themeFill="background1"/>
            <w:vAlign w:val="center"/>
          </w:tcPr>
          <w:p w:rsidR="00425C5D" w:rsidRPr="00EE6943" w:rsidRDefault="00425C5D" w:rsidP="00425C5D">
            <w:pPr>
              <w:pStyle w:val="ListParagraph"/>
              <w:spacing w:after="0" w:line="240" w:lineRule="exact"/>
              <w:ind w:left="0"/>
              <w:rPr>
                <w:rFonts w:cstheme="minorHAnsi"/>
                <w:sz w:val="18"/>
                <w:szCs w:val="18"/>
              </w:rPr>
            </w:pPr>
            <w:r w:rsidRPr="00EE6943">
              <w:rPr>
                <w:rFonts w:cstheme="minorHAnsi"/>
                <w:sz w:val="18"/>
                <w:szCs w:val="18"/>
              </w:rPr>
              <w:t xml:space="preserve">Left Shoulder  </w:t>
            </w:r>
            <w:proofErr w:type="spellStart"/>
            <w:r w:rsidRPr="00EE6943">
              <w:rPr>
                <w:rFonts w:cstheme="minorHAnsi"/>
                <w:sz w:val="18"/>
                <w:szCs w:val="18"/>
              </w:rPr>
              <w:t>Labral</w:t>
            </w:r>
            <w:proofErr w:type="spellEnd"/>
            <w:r w:rsidRPr="00EE6943">
              <w:rPr>
                <w:rFonts w:cstheme="minorHAnsi"/>
                <w:sz w:val="18"/>
                <w:szCs w:val="18"/>
              </w:rPr>
              <w:t xml:space="preserve"> Tear </w:t>
            </w:r>
          </w:p>
        </w:tc>
        <w:tc>
          <w:tcPr>
            <w:tcW w:w="1080" w:type="dxa"/>
            <w:tcBorders>
              <w:left w:val="single" w:sz="4" w:space="0" w:color="auto"/>
            </w:tcBorders>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5201-5024</w:t>
            </w:r>
          </w:p>
        </w:tc>
        <w:tc>
          <w:tcPr>
            <w:tcW w:w="828" w:type="dxa"/>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10%</w:t>
            </w:r>
          </w:p>
        </w:tc>
        <w:tc>
          <w:tcPr>
            <w:tcW w:w="990" w:type="dxa"/>
            <w:shd w:val="clear" w:color="auto" w:fill="FFFFFF" w:themeFill="background1"/>
            <w:vAlign w:val="center"/>
          </w:tcPr>
          <w:p w:rsidR="00425C5D" w:rsidRPr="00EE6943" w:rsidRDefault="00425C5D" w:rsidP="00EE6943">
            <w:pPr>
              <w:pStyle w:val="ListParagraph"/>
              <w:spacing w:after="0" w:line="240" w:lineRule="exact"/>
              <w:ind w:left="0"/>
              <w:jc w:val="center"/>
              <w:rPr>
                <w:rFonts w:cstheme="minorHAnsi"/>
                <w:sz w:val="18"/>
                <w:szCs w:val="18"/>
              </w:rPr>
            </w:pPr>
            <w:r w:rsidRPr="00EE6943">
              <w:rPr>
                <w:rFonts w:cstheme="minorHAnsi"/>
                <w:sz w:val="18"/>
                <w:szCs w:val="18"/>
              </w:rPr>
              <w:t>20090409</w:t>
            </w:r>
          </w:p>
        </w:tc>
      </w:tr>
      <w:tr w:rsidR="00425C5D" w:rsidRPr="00EE6943" w:rsidTr="00EE6943">
        <w:trPr>
          <w:trHeight w:val="144"/>
          <w:jc w:val="center"/>
        </w:trPr>
        <w:tc>
          <w:tcPr>
            <w:tcW w:w="2268" w:type="dxa"/>
            <w:tcBorders>
              <w:right w:val="single" w:sz="4" w:space="0" w:color="auto"/>
            </w:tcBorders>
            <w:shd w:val="clear" w:color="auto" w:fill="FFFFFF" w:themeFill="background1"/>
            <w:vAlign w:val="center"/>
          </w:tcPr>
          <w:p w:rsidR="00425C5D" w:rsidRPr="00EE6943" w:rsidRDefault="00425C5D" w:rsidP="00EE6943">
            <w:pPr>
              <w:pStyle w:val="ListParagraph"/>
              <w:spacing w:after="0" w:line="240" w:lineRule="exact"/>
              <w:ind w:left="0"/>
              <w:rPr>
                <w:rFonts w:cstheme="minorHAnsi"/>
                <w:sz w:val="18"/>
                <w:szCs w:val="18"/>
              </w:rPr>
            </w:pPr>
            <w:r w:rsidRPr="00EE6943">
              <w:rPr>
                <w:rFonts w:cstheme="minorHAnsi"/>
                <w:sz w:val="18"/>
                <w:szCs w:val="18"/>
              </w:rPr>
              <w:t xml:space="preserve">Left Achilles Tendonitis </w:t>
            </w:r>
          </w:p>
        </w:tc>
        <w:tc>
          <w:tcPr>
            <w:tcW w:w="1890" w:type="dxa"/>
            <w:gridSpan w:val="2"/>
            <w:tcBorders>
              <w:left w:val="single" w:sz="4" w:space="0" w:color="auto"/>
              <w:right w:val="thinThickThinSmallGap" w:sz="24" w:space="0" w:color="auto"/>
            </w:tcBorders>
            <w:shd w:val="clear" w:color="auto" w:fill="FFFFFF" w:themeFill="background1"/>
            <w:vAlign w:val="center"/>
          </w:tcPr>
          <w:p w:rsidR="00425C5D" w:rsidRPr="00EE6943" w:rsidRDefault="00425C5D" w:rsidP="00425C5D">
            <w:pPr>
              <w:spacing w:line="180" w:lineRule="exact"/>
              <w:contextualSpacing/>
              <w:rPr>
                <w:rFonts w:eastAsia="Times New Roman" w:cstheme="minorHAnsi"/>
                <w:color w:val="000000" w:themeColor="text1"/>
                <w:sz w:val="18"/>
                <w:szCs w:val="18"/>
                <w:highlight w:val="yellow"/>
              </w:rPr>
            </w:pPr>
            <w:r w:rsidRPr="00EE6943">
              <w:rPr>
                <w:rFonts w:cstheme="minorHAnsi"/>
                <w:color w:val="000000" w:themeColor="text1"/>
                <w:sz w:val="18"/>
                <w:szCs w:val="18"/>
              </w:rPr>
              <w:t>Not Unfitting</w:t>
            </w:r>
          </w:p>
        </w:tc>
        <w:tc>
          <w:tcPr>
            <w:tcW w:w="2556" w:type="dxa"/>
            <w:tcBorders>
              <w:left w:val="thinThickThinSmallGap" w:sz="24" w:space="0" w:color="auto"/>
              <w:right w:val="single" w:sz="4" w:space="0" w:color="auto"/>
            </w:tcBorders>
            <w:shd w:val="clear" w:color="auto" w:fill="FFFFFF" w:themeFill="background1"/>
          </w:tcPr>
          <w:p w:rsidR="00425C5D" w:rsidRPr="00EE6943" w:rsidRDefault="00425C5D" w:rsidP="00425C5D">
            <w:pPr>
              <w:pStyle w:val="ListParagraph"/>
              <w:spacing w:after="0" w:line="240" w:lineRule="exact"/>
              <w:ind w:left="0"/>
              <w:rPr>
                <w:rFonts w:cstheme="minorHAnsi"/>
                <w:sz w:val="18"/>
                <w:szCs w:val="18"/>
              </w:rPr>
            </w:pPr>
            <w:r w:rsidRPr="00EE6943">
              <w:rPr>
                <w:rFonts w:cstheme="minorHAnsi"/>
                <w:sz w:val="18"/>
                <w:szCs w:val="18"/>
              </w:rPr>
              <w:t>Left Ankle, Achilles Tendonitis</w:t>
            </w:r>
          </w:p>
        </w:tc>
        <w:tc>
          <w:tcPr>
            <w:tcW w:w="1080" w:type="dxa"/>
            <w:tcBorders>
              <w:left w:val="single" w:sz="4" w:space="0" w:color="auto"/>
            </w:tcBorders>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5271</w:t>
            </w:r>
          </w:p>
        </w:tc>
        <w:tc>
          <w:tcPr>
            <w:tcW w:w="828" w:type="dxa"/>
            <w:shd w:val="clear" w:color="auto" w:fill="FFFFFF" w:themeFill="background1"/>
            <w:vAlign w:val="center"/>
          </w:tcPr>
          <w:p w:rsidR="00425C5D" w:rsidRPr="00EE6943" w:rsidRDefault="00425C5D" w:rsidP="00EE6943">
            <w:pPr>
              <w:pStyle w:val="ListParagraph"/>
              <w:spacing w:after="0" w:line="240" w:lineRule="exact"/>
              <w:ind w:left="0"/>
              <w:jc w:val="center"/>
              <w:rPr>
                <w:rFonts w:cstheme="minorHAnsi"/>
                <w:sz w:val="18"/>
                <w:szCs w:val="18"/>
              </w:rPr>
            </w:pPr>
            <w:r w:rsidRPr="00EE6943">
              <w:rPr>
                <w:rFonts w:cstheme="minorHAnsi"/>
                <w:sz w:val="18"/>
                <w:szCs w:val="18"/>
              </w:rPr>
              <w:t>10%</w:t>
            </w:r>
          </w:p>
        </w:tc>
        <w:tc>
          <w:tcPr>
            <w:tcW w:w="990" w:type="dxa"/>
            <w:shd w:val="clear" w:color="auto" w:fill="FFFFFF" w:themeFill="background1"/>
            <w:vAlign w:val="center"/>
          </w:tcPr>
          <w:p w:rsidR="00425C5D" w:rsidRPr="00EE6943" w:rsidRDefault="00425C5D" w:rsidP="00EE6943">
            <w:pPr>
              <w:jc w:val="center"/>
              <w:rPr>
                <w:rFonts w:cstheme="minorHAnsi"/>
                <w:color w:val="auto"/>
                <w:sz w:val="18"/>
                <w:szCs w:val="18"/>
              </w:rPr>
            </w:pPr>
            <w:r w:rsidRPr="00EE6943">
              <w:rPr>
                <w:rFonts w:cstheme="minorHAnsi"/>
                <w:color w:val="auto"/>
                <w:sz w:val="18"/>
                <w:szCs w:val="18"/>
              </w:rPr>
              <w:t>20090409</w:t>
            </w:r>
          </w:p>
        </w:tc>
      </w:tr>
      <w:tr w:rsidR="00425C5D" w:rsidRPr="00EE6943" w:rsidTr="00EE6943">
        <w:trPr>
          <w:trHeight w:val="144"/>
          <w:jc w:val="center"/>
        </w:trPr>
        <w:tc>
          <w:tcPr>
            <w:tcW w:w="2268" w:type="dxa"/>
            <w:tcBorders>
              <w:right w:val="single" w:sz="4" w:space="0" w:color="auto"/>
            </w:tcBorders>
            <w:shd w:val="clear" w:color="auto" w:fill="FFFFFF" w:themeFill="background1"/>
            <w:vAlign w:val="center"/>
          </w:tcPr>
          <w:p w:rsidR="00425C5D" w:rsidRPr="00EE6943" w:rsidRDefault="00425C5D" w:rsidP="00EE6943">
            <w:pPr>
              <w:pStyle w:val="ListParagraph"/>
              <w:spacing w:after="0" w:line="240" w:lineRule="exact"/>
              <w:ind w:left="0"/>
              <w:rPr>
                <w:rFonts w:cstheme="minorHAnsi"/>
                <w:sz w:val="18"/>
                <w:szCs w:val="18"/>
              </w:rPr>
            </w:pPr>
            <w:proofErr w:type="spellStart"/>
            <w:r w:rsidRPr="00EE6943">
              <w:rPr>
                <w:rFonts w:cstheme="minorHAnsi"/>
                <w:sz w:val="18"/>
                <w:szCs w:val="18"/>
              </w:rPr>
              <w:t>Patellofemoral</w:t>
            </w:r>
            <w:proofErr w:type="spellEnd"/>
            <w:r w:rsidRPr="00EE6943">
              <w:rPr>
                <w:rFonts w:cstheme="minorHAnsi"/>
                <w:sz w:val="18"/>
                <w:szCs w:val="18"/>
              </w:rPr>
              <w:t xml:space="preserve"> Syndrome</w:t>
            </w:r>
          </w:p>
        </w:tc>
        <w:tc>
          <w:tcPr>
            <w:tcW w:w="1890" w:type="dxa"/>
            <w:gridSpan w:val="2"/>
            <w:tcBorders>
              <w:left w:val="single" w:sz="4" w:space="0" w:color="auto"/>
              <w:right w:val="thinThickThinSmallGap" w:sz="24" w:space="0" w:color="auto"/>
            </w:tcBorders>
            <w:shd w:val="clear" w:color="auto" w:fill="FFFFFF" w:themeFill="background1"/>
            <w:vAlign w:val="center"/>
          </w:tcPr>
          <w:p w:rsidR="00425C5D" w:rsidRPr="00EE6943" w:rsidRDefault="00425C5D" w:rsidP="00425C5D">
            <w:pPr>
              <w:spacing w:line="180" w:lineRule="exact"/>
              <w:contextualSpacing/>
              <w:rPr>
                <w:rFonts w:eastAsia="Times New Roman" w:cstheme="minorHAnsi"/>
                <w:color w:val="000000" w:themeColor="text1"/>
                <w:sz w:val="18"/>
                <w:szCs w:val="18"/>
                <w:highlight w:val="yellow"/>
              </w:rPr>
            </w:pPr>
            <w:r w:rsidRPr="00EE6943">
              <w:rPr>
                <w:rFonts w:cstheme="minorHAnsi"/>
                <w:color w:val="000000" w:themeColor="text1"/>
                <w:sz w:val="18"/>
                <w:szCs w:val="18"/>
              </w:rPr>
              <w:t>Not Unfitting</w:t>
            </w:r>
          </w:p>
        </w:tc>
        <w:tc>
          <w:tcPr>
            <w:tcW w:w="2556" w:type="dxa"/>
            <w:tcBorders>
              <w:left w:val="thinThickThinSmallGap" w:sz="24" w:space="0" w:color="auto"/>
              <w:right w:val="single" w:sz="4" w:space="0" w:color="auto"/>
            </w:tcBorders>
            <w:shd w:val="clear" w:color="auto" w:fill="FFFFFF" w:themeFill="background1"/>
          </w:tcPr>
          <w:p w:rsidR="00425C5D" w:rsidRPr="00EE6943" w:rsidRDefault="00425C5D" w:rsidP="00425C5D">
            <w:pPr>
              <w:spacing w:line="240" w:lineRule="exact"/>
              <w:rPr>
                <w:rFonts w:cstheme="minorHAnsi"/>
                <w:color w:val="auto"/>
                <w:sz w:val="18"/>
                <w:szCs w:val="18"/>
              </w:rPr>
            </w:pPr>
            <w:proofErr w:type="spellStart"/>
            <w:r w:rsidRPr="00EE6943">
              <w:rPr>
                <w:rFonts w:cstheme="minorHAnsi"/>
                <w:color w:val="auto"/>
                <w:sz w:val="18"/>
                <w:szCs w:val="18"/>
              </w:rPr>
              <w:t>Chondromalacia</w:t>
            </w:r>
            <w:proofErr w:type="spellEnd"/>
            <w:r w:rsidRPr="00EE6943">
              <w:rPr>
                <w:rFonts w:cstheme="minorHAnsi"/>
                <w:color w:val="auto"/>
                <w:sz w:val="18"/>
                <w:szCs w:val="18"/>
              </w:rPr>
              <w:t xml:space="preserve"> Patellae</w:t>
            </w:r>
          </w:p>
        </w:tc>
        <w:tc>
          <w:tcPr>
            <w:tcW w:w="1080" w:type="dxa"/>
            <w:tcBorders>
              <w:left w:val="single" w:sz="4" w:space="0" w:color="auto"/>
            </w:tcBorders>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5099-5014</w:t>
            </w:r>
          </w:p>
        </w:tc>
        <w:tc>
          <w:tcPr>
            <w:tcW w:w="828" w:type="dxa"/>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0%</w:t>
            </w:r>
          </w:p>
        </w:tc>
        <w:tc>
          <w:tcPr>
            <w:tcW w:w="990" w:type="dxa"/>
            <w:shd w:val="clear" w:color="auto" w:fill="FFFFFF" w:themeFill="background1"/>
            <w:vAlign w:val="center"/>
          </w:tcPr>
          <w:p w:rsidR="00425C5D" w:rsidRPr="00EE6943" w:rsidRDefault="00425C5D" w:rsidP="00EE6943">
            <w:pPr>
              <w:jc w:val="center"/>
              <w:rPr>
                <w:rFonts w:cstheme="minorHAnsi"/>
                <w:color w:val="auto"/>
                <w:sz w:val="18"/>
                <w:szCs w:val="18"/>
              </w:rPr>
            </w:pPr>
            <w:r w:rsidRPr="00EE6943">
              <w:rPr>
                <w:rFonts w:cstheme="minorHAnsi"/>
                <w:color w:val="auto"/>
                <w:sz w:val="18"/>
                <w:szCs w:val="18"/>
              </w:rPr>
              <w:t>20090409</w:t>
            </w:r>
          </w:p>
        </w:tc>
      </w:tr>
      <w:tr w:rsidR="00425C5D" w:rsidRPr="00EE6943" w:rsidTr="00EE6943">
        <w:trPr>
          <w:trHeight w:val="144"/>
          <w:jc w:val="center"/>
        </w:trPr>
        <w:tc>
          <w:tcPr>
            <w:tcW w:w="2268" w:type="dxa"/>
            <w:tcBorders>
              <w:right w:val="single" w:sz="4" w:space="0" w:color="auto"/>
            </w:tcBorders>
            <w:shd w:val="clear" w:color="auto" w:fill="FFFFFF" w:themeFill="background1"/>
            <w:vAlign w:val="center"/>
          </w:tcPr>
          <w:p w:rsidR="00425C5D" w:rsidRPr="00EE6943" w:rsidRDefault="00425C5D" w:rsidP="00EE6943">
            <w:pPr>
              <w:pStyle w:val="ListParagraph"/>
              <w:spacing w:after="0" w:line="240" w:lineRule="exact"/>
              <w:ind w:left="0"/>
              <w:rPr>
                <w:rFonts w:cstheme="minorHAnsi"/>
                <w:sz w:val="18"/>
                <w:szCs w:val="18"/>
              </w:rPr>
            </w:pPr>
            <w:r w:rsidRPr="00EE6943">
              <w:rPr>
                <w:rFonts w:cstheme="minorHAnsi"/>
                <w:sz w:val="18"/>
                <w:szCs w:val="18"/>
              </w:rPr>
              <w:t>Hearing Loss Left Ear</w:t>
            </w:r>
          </w:p>
        </w:tc>
        <w:tc>
          <w:tcPr>
            <w:tcW w:w="1890" w:type="dxa"/>
            <w:gridSpan w:val="2"/>
            <w:tcBorders>
              <w:left w:val="single" w:sz="4" w:space="0" w:color="auto"/>
              <w:right w:val="thinThickThinSmallGap" w:sz="24" w:space="0" w:color="auto"/>
            </w:tcBorders>
            <w:shd w:val="clear" w:color="auto" w:fill="FFFFFF" w:themeFill="background1"/>
            <w:vAlign w:val="center"/>
          </w:tcPr>
          <w:p w:rsidR="00425C5D" w:rsidRPr="00EE6943" w:rsidRDefault="00425C5D" w:rsidP="00425C5D">
            <w:pPr>
              <w:spacing w:line="180" w:lineRule="exact"/>
              <w:contextualSpacing/>
              <w:rPr>
                <w:rFonts w:eastAsia="Times New Roman" w:cstheme="minorHAnsi"/>
                <w:color w:val="000000" w:themeColor="text1"/>
                <w:sz w:val="18"/>
                <w:szCs w:val="18"/>
              </w:rPr>
            </w:pPr>
            <w:r w:rsidRPr="00EE6943">
              <w:rPr>
                <w:rFonts w:cstheme="minorHAnsi"/>
                <w:color w:val="000000" w:themeColor="text1"/>
                <w:sz w:val="18"/>
                <w:szCs w:val="18"/>
              </w:rPr>
              <w:t>Not Unfitting</w:t>
            </w:r>
          </w:p>
        </w:tc>
        <w:tc>
          <w:tcPr>
            <w:tcW w:w="2556" w:type="dxa"/>
            <w:tcBorders>
              <w:left w:val="thinThickThinSmallGap" w:sz="24" w:space="0" w:color="auto"/>
              <w:right w:val="single" w:sz="4" w:space="0" w:color="auto"/>
            </w:tcBorders>
            <w:shd w:val="clear" w:color="auto" w:fill="FFFFFF" w:themeFill="background1"/>
            <w:vAlign w:val="center"/>
          </w:tcPr>
          <w:p w:rsidR="00425C5D" w:rsidRPr="00EE6943" w:rsidRDefault="00425C5D" w:rsidP="00425C5D">
            <w:pPr>
              <w:spacing w:line="240" w:lineRule="exact"/>
              <w:rPr>
                <w:rFonts w:cstheme="minorHAnsi"/>
                <w:color w:val="auto"/>
                <w:sz w:val="18"/>
                <w:szCs w:val="18"/>
              </w:rPr>
            </w:pPr>
            <w:r w:rsidRPr="00EE6943">
              <w:rPr>
                <w:rFonts w:cstheme="minorHAnsi"/>
                <w:color w:val="auto"/>
                <w:sz w:val="18"/>
                <w:szCs w:val="18"/>
              </w:rPr>
              <w:t>Hearing Loss Left Ear</w:t>
            </w:r>
          </w:p>
        </w:tc>
        <w:tc>
          <w:tcPr>
            <w:tcW w:w="1080" w:type="dxa"/>
            <w:tcBorders>
              <w:left w:val="single" w:sz="4" w:space="0" w:color="auto"/>
              <w:right w:val="single" w:sz="4" w:space="0" w:color="auto"/>
            </w:tcBorders>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6100</w:t>
            </w:r>
          </w:p>
        </w:tc>
        <w:tc>
          <w:tcPr>
            <w:tcW w:w="828" w:type="dxa"/>
            <w:tcBorders>
              <w:left w:val="single" w:sz="4" w:space="0" w:color="auto"/>
            </w:tcBorders>
            <w:shd w:val="clear" w:color="auto" w:fill="FFFFFF" w:themeFill="background1"/>
            <w:vAlign w:val="center"/>
          </w:tcPr>
          <w:p w:rsidR="00425C5D" w:rsidRPr="00EE6943" w:rsidRDefault="00425C5D" w:rsidP="00425C5D">
            <w:pPr>
              <w:pStyle w:val="ListParagraph"/>
              <w:spacing w:after="0" w:line="240" w:lineRule="exact"/>
              <w:ind w:left="0"/>
              <w:jc w:val="center"/>
              <w:rPr>
                <w:rFonts w:cstheme="minorHAnsi"/>
                <w:sz w:val="18"/>
                <w:szCs w:val="18"/>
              </w:rPr>
            </w:pPr>
            <w:r w:rsidRPr="00EE6943">
              <w:rPr>
                <w:rFonts w:cstheme="minorHAnsi"/>
                <w:sz w:val="18"/>
                <w:szCs w:val="18"/>
              </w:rPr>
              <w:t>0%</w:t>
            </w:r>
          </w:p>
        </w:tc>
        <w:tc>
          <w:tcPr>
            <w:tcW w:w="990" w:type="dxa"/>
            <w:shd w:val="clear" w:color="auto" w:fill="FFFFFF" w:themeFill="background1"/>
            <w:vAlign w:val="center"/>
          </w:tcPr>
          <w:p w:rsidR="00425C5D" w:rsidRPr="00EE6943" w:rsidRDefault="00425C5D" w:rsidP="00EE6943">
            <w:pPr>
              <w:jc w:val="center"/>
              <w:rPr>
                <w:rFonts w:cstheme="minorHAnsi"/>
                <w:color w:val="auto"/>
                <w:sz w:val="18"/>
                <w:szCs w:val="18"/>
              </w:rPr>
            </w:pPr>
            <w:r w:rsidRPr="00EE6943">
              <w:rPr>
                <w:rFonts w:cstheme="minorHAnsi"/>
                <w:color w:val="auto"/>
                <w:sz w:val="18"/>
                <w:szCs w:val="18"/>
              </w:rPr>
              <w:t>20090409</w:t>
            </w:r>
          </w:p>
        </w:tc>
      </w:tr>
      <w:tr w:rsidR="00EB7DDC" w:rsidRPr="00EE6943" w:rsidTr="00EE6943">
        <w:trPr>
          <w:trHeight w:val="144"/>
          <w:jc w:val="center"/>
        </w:trPr>
        <w:tc>
          <w:tcPr>
            <w:tcW w:w="4158" w:type="dxa"/>
            <w:gridSpan w:val="3"/>
            <w:vMerge w:val="restart"/>
            <w:tcBorders>
              <w:right w:val="thinThickThinSmallGap" w:sz="24" w:space="0" w:color="auto"/>
            </w:tcBorders>
            <w:shd w:val="clear" w:color="auto" w:fill="FFFFFF" w:themeFill="background1"/>
            <w:vAlign w:val="center"/>
          </w:tcPr>
          <w:p w:rsidR="00EB7DDC" w:rsidRPr="00EE6943" w:rsidRDefault="00EB7DDC" w:rsidP="00EE6943">
            <w:pPr>
              <w:spacing w:line="180" w:lineRule="exact"/>
              <w:contextualSpacing/>
              <w:jc w:val="center"/>
              <w:rPr>
                <w:rFonts w:eastAsia="Times New Roman" w:cstheme="minorHAnsi"/>
                <w:color w:val="000000" w:themeColor="text1"/>
                <w:sz w:val="18"/>
                <w:szCs w:val="18"/>
              </w:rPr>
            </w:pPr>
            <w:r w:rsidRPr="00EE6943">
              <w:rPr>
                <w:rFonts w:cstheme="minorHAnsi"/>
                <w:color w:val="000000" w:themeColor="text1"/>
                <w:sz w:val="18"/>
                <w:szCs w:val="18"/>
              </w:rPr>
              <w:t>↓No Additional MEB/PEB Entries↓</w:t>
            </w:r>
          </w:p>
        </w:tc>
        <w:tc>
          <w:tcPr>
            <w:tcW w:w="2556" w:type="dxa"/>
            <w:tcBorders>
              <w:left w:val="thinThickThinSmallGap" w:sz="24" w:space="0" w:color="auto"/>
              <w:right w:val="single" w:sz="4" w:space="0" w:color="auto"/>
            </w:tcBorders>
            <w:shd w:val="clear" w:color="auto" w:fill="FFFFFF" w:themeFill="background1"/>
            <w:vAlign w:val="center"/>
          </w:tcPr>
          <w:p w:rsidR="00EB7DDC" w:rsidRPr="00EE6943" w:rsidRDefault="00EB7DDC" w:rsidP="00EB7DDC">
            <w:pPr>
              <w:spacing w:line="240" w:lineRule="exact"/>
              <w:rPr>
                <w:rFonts w:cstheme="minorHAnsi"/>
                <w:color w:val="auto"/>
                <w:sz w:val="18"/>
                <w:szCs w:val="18"/>
              </w:rPr>
            </w:pPr>
            <w:r w:rsidRPr="00EE6943">
              <w:rPr>
                <w:rFonts w:cstheme="minorHAnsi"/>
                <w:color w:val="auto"/>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EB7DDC" w:rsidRPr="00EE6943" w:rsidRDefault="00EB7DDC" w:rsidP="00EB7DDC">
            <w:pPr>
              <w:pStyle w:val="ListParagraph"/>
              <w:spacing w:after="0" w:line="240" w:lineRule="exact"/>
              <w:ind w:left="0"/>
              <w:jc w:val="center"/>
              <w:rPr>
                <w:rFonts w:cstheme="minorHAnsi"/>
                <w:sz w:val="18"/>
                <w:szCs w:val="18"/>
              </w:rPr>
            </w:pPr>
            <w:r w:rsidRPr="00EE6943">
              <w:rPr>
                <w:rFonts w:cstheme="minorHAnsi"/>
                <w:sz w:val="18"/>
                <w:szCs w:val="18"/>
              </w:rPr>
              <w:t>6260</w:t>
            </w:r>
          </w:p>
        </w:tc>
        <w:tc>
          <w:tcPr>
            <w:tcW w:w="828" w:type="dxa"/>
            <w:tcBorders>
              <w:left w:val="single" w:sz="4" w:space="0" w:color="auto"/>
            </w:tcBorders>
            <w:shd w:val="clear" w:color="auto" w:fill="FFFFFF" w:themeFill="background1"/>
            <w:vAlign w:val="center"/>
          </w:tcPr>
          <w:p w:rsidR="00EB7DDC" w:rsidRPr="00EE6943" w:rsidRDefault="00EB7DDC" w:rsidP="00EB7DDC">
            <w:pPr>
              <w:pStyle w:val="ListParagraph"/>
              <w:spacing w:after="0" w:line="240" w:lineRule="exact"/>
              <w:ind w:left="0"/>
              <w:jc w:val="center"/>
              <w:rPr>
                <w:rFonts w:cstheme="minorHAnsi"/>
                <w:sz w:val="18"/>
                <w:szCs w:val="18"/>
              </w:rPr>
            </w:pPr>
            <w:r w:rsidRPr="00EE6943">
              <w:rPr>
                <w:rFonts w:cstheme="minorHAnsi"/>
                <w:sz w:val="18"/>
                <w:szCs w:val="18"/>
              </w:rPr>
              <w:t>10%</w:t>
            </w:r>
          </w:p>
        </w:tc>
        <w:tc>
          <w:tcPr>
            <w:tcW w:w="990" w:type="dxa"/>
            <w:shd w:val="clear" w:color="auto" w:fill="FFFFFF" w:themeFill="background1"/>
            <w:vAlign w:val="center"/>
          </w:tcPr>
          <w:p w:rsidR="00EB7DDC" w:rsidRPr="00EE6943" w:rsidRDefault="00EB7DDC" w:rsidP="00EE6943">
            <w:pPr>
              <w:jc w:val="center"/>
              <w:rPr>
                <w:rFonts w:cstheme="minorHAnsi"/>
                <w:color w:val="auto"/>
                <w:sz w:val="18"/>
                <w:szCs w:val="18"/>
              </w:rPr>
            </w:pPr>
            <w:r w:rsidRPr="00EE6943">
              <w:rPr>
                <w:rFonts w:cstheme="minorHAnsi"/>
                <w:color w:val="auto"/>
                <w:sz w:val="18"/>
                <w:szCs w:val="18"/>
              </w:rPr>
              <w:t>20090409</w:t>
            </w:r>
          </w:p>
        </w:tc>
      </w:tr>
      <w:tr w:rsidR="00EB7DDC" w:rsidRPr="00EE6943" w:rsidTr="00EE6943">
        <w:trPr>
          <w:trHeight w:val="144"/>
          <w:jc w:val="center"/>
        </w:trPr>
        <w:tc>
          <w:tcPr>
            <w:tcW w:w="4158" w:type="dxa"/>
            <w:gridSpan w:val="3"/>
            <w:vMerge/>
            <w:tcBorders>
              <w:right w:val="thinThickThinSmallGap" w:sz="24" w:space="0" w:color="auto"/>
            </w:tcBorders>
            <w:shd w:val="clear" w:color="auto" w:fill="FFFFFF" w:themeFill="background1"/>
            <w:vAlign w:val="center"/>
          </w:tcPr>
          <w:p w:rsidR="00EB7DDC" w:rsidRPr="00EE6943" w:rsidRDefault="00EB7DDC" w:rsidP="00EB7DDC">
            <w:pPr>
              <w:spacing w:line="180" w:lineRule="exact"/>
              <w:contextualSpacing/>
              <w:rPr>
                <w:rFonts w:cstheme="minorHAnsi"/>
                <w:color w:val="000000" w:themeColor="text1"/>
                <w:sz w:val="18"/>
                <w:szCs w:val="18"/>
              </w:rPr>
            </w:pPr>
          </w:p>
        </w:tc>
        <w:tc>
          <w:tcPr>
            <w:tcW w:w="2556" w:type="dxa"/>
            <w:tcBorders>
              <w:left w:val="thinThickThinSmallGap" w:sz="24" w:space="0" w:color="auto"/>
              <w:right w:val="single" w:sz="4" w:space="0" w:color="auto"/>
            </w:tcBorders>
            <w:shd w:val="clear" w:color="auto" w:fill="FFFFFF" w:themeFill="background1"/>
          </w:tcPr>
          <w:p w:rsidR="00EB7DDC" w:rsidRPr="00EE6943" w:rsidRDefault="00EB7DDC" w:rsidP="00EB7DDC">
            <w:pPr>
              <w:spacing w:line="240" w:lineRule="exact"/>
              <w:jc w:val="both"/>
              <w:rPr>
                <w:rFonts w:cstheme="minorHAnsi"/>
                <w:color w:val="auto"/>
                <w:sz w:val="18"/>
                <w:szCs w:val="18"/>
              </w:rPr>
            </w:pPr>
            <w:r w:rsidRPr="00EE6943">
              <w:rPr>
                <w:rFonts w:cstheme="minorHAnsi"/>
                <w:color w:val="auto"/>
                <w:sz w:val="18"/>
                <w:szCs w:val="18"/>
              </w:rPr>
              <w:t>Hypothyroidism</w:t>
            </w:r>
          </w:p>
        </w:tc>
        <w:tc>
          <w:tcPr>
            <w:tcW w:w="1080" w:type="dxa"/>
            <w:tcBorders>
              <w:left w:val="single" w:sz="4" w:space="0" w:color="auto"/>
              <w:right w:val="single" w:sz="4" w:space="0" w:color="auto"/>
            </w:tcBorders>
            <w:shd w:val="clear" w:color="auto" w:fill="FFFFFF" w:themeFill="background1"/>
            <w:vAlign w:val="center"/>
          </w:tcPr>
          <w:p w:rsidR="00EB7DDC" w:rsidRPr="00EE6943" w:rsidRDefault="00EB7DDC" w:rsidP="00EB7DDC">
            <w:pPr>
              <w:pStyle w:val="ListParagraph"/>
              <w:spacing w:after="0" w:line="240" w:lineRule="exact"/>
              <w:ind w:left="0"/>
              <w:jc w:val="center"/>
              <w:rPr>
                <w:rFonts w:cstheme="minorHAnsi"/>
                <w:sz w:val="18"/>
                <w:szCs w:val="18"/>
              </w:rPr>
            </w:pPr>
            <w:r w:rsidRPr="00EE6943">
              <w:rPr>
                <w:rFonts w:cstheme="minorHAnsi"/>
                <w:sz w:val="18"/>
                <w:szCs w:val="18"/>
              </w:rPr>
              <w:t>7903</w:t>
            </w:r>
          </w:p>
        </w:tc>
        <w:tc>
          <w:tcPr>
            <w:tcW w:w="828" w:type="dxa"/>
            <w:tcBorders>
              <w:left w:val="single" w:sz="4" w:space="0" w:color="auto"/>
            </w:tcBorders>
            <w:shd w:val="clear" w:color="auto" w:fill="FFFFFF" w:themeFill="background1"/>
            <w:vAlign w:val="center"/>
          </w:tcPr>
          <w:p w:rsidR="00EB7DDC" w:rsidRPr="00EE6943" w:rsidRDefault="00EB7DDC" w:rsidP="00EE6943">
            <w:pPr>
              <w:pStyle w:val="ListParagraph"/>
              <w:spacing w:after="0" w:line="240" w:lineRule="exact"/>
              <w:ind w:left="0"/>
              <w:jc w:val="center"/>
              <w:rPr>
                <w:rFonts w:cstheme="minorHAnsi"/>
                <w:sz w:val="18"/>
                <w:szCs w:val="18"/>
              </w:rPr>
            </w:pPr>
            <w:r w:rsidRPr="00EE6943">
              <w:rPr>
                <w:rFonts w:cstheme="minorHAnsi"/>
                <w:sz w:val="18"/>
                <w:szCs w:val="18"/>
              </w:rPr>
              <w:t>10%</w:t>
            </w:r>
          </w:p>
        </w:tc>
        <w:tc>
          <w:tcPr>
            <w:tcW w:w="990" w:type="dxa"/>
            <w:shd w:val="clear" w:color="auto" w:fill="FFFFFF" w:themeFill="background1"/>
            <w:vAlign w:val="center"/>
          </w:tcPr>
          <w:p w:rsidR="00EB7DDC" w:rsidRPr="00EE6943" w:rsidRDefault="00EB7DDC" w:rsidP="00EE6943">
            <w:pPr>
              <w:jc w:val="center"/>
              <w:rPr>
                <w:rFonts w:cstheme="minorHAnsi"/>
                <w:color w:val="auto"/>
                <w:sz w:val="18"/>
                <w:szCs w:val="18"/>
              </w:rPr>
            </w:pPr>
            <w:r w:rsidRPr="00EE6943">
              <w:rPr>
                <w:rFonts w:cstheme="minorHAnsi"/>
                <w:color w:val="auto"/>
                <w:sz w:val="18"/>
                <w:szCs w:val="18"/>
              </w:rPr>
              <w:t>20090409</w:t>
            </w:r>
          </w:p>
        </w:tc>
      </w:tr>
      <w:tr w:rsidR="00EB7DDC" w:rsidRPr="00EE6943" w:rsidTr="00EE6943">
        <w:trPr>
          <w:trHeight w:val="288"/>
          <w:jc w:val="center"/>
        </w:trPr>
        <w:tc>
          <w:tcPr>
            <w:tcW w:w="4158" w:type="dxa"/>
            <w:gridSpan w:val="3"/>
            <w:vMerge/>
            <w:tcBorders>
              <w:right w:val="thinThickThinSmallGap" w:sz="24" w:space="0" w:color="auto"/>
            </w:tcBorders>
            <w:shd w:val="clear" w:color="auto" w:fill="FFFFFF" w:themeFill="background1"/>
          </w:tcPr>
          <w:p w:rsidR="00EB7DDC" w:rsidRPr="00EE6943" w:rsidRDefault="00EB7DDC" w:rsidP="00425C5D">
            <w:pPr>
              <w:spacing w:line="180" w:lineRule="exact"/>
              <w:contextualSpacing/>
              <w:rPr>
                <w:rFonts w:eastAsia="Times New Roman" w:cstheme="minorHAnsi"/>
                <w:color w:val="000000" w:themeColor="text1"/>
                <w:sz w:val="18"/>
                <w:szCs w:val="18"/>
              </w:rPr>
            </w:pPr>
          </w:p>
        </w:tc>
        <w:tc>
          <w:tcPr>
            <w:tcW w:w="4464" w:type="dxa"/>
            <w:gridSpan w:val="3"/>
            <w:tcBorders>
              <w:left w:val="thinThickThinSmallGap" w:sz="24" w:space="0" w:color="auto"/>
            </w:tcBorders>
            <w:shd w:val="clear" w:color="auto" w:fill="FFFFFF" w:themeFill="background1"/>
            <w:vAlign w:val="center"/>
          </w:tcPr>
          <w:p w:rsidR="00EB7DDC" w:rsidRPr="00EE6943" w:rsidRDefault="00EB7DDC" w:rsidP="00EB7DDC">
            <w:pPr>
              <w:spacing w:line="180" w:lineRule="exact"/>
              <w:contextualSpacing/>
              <w:jc w:val="center"/>
              <w:rPr>
                <w:rFonts w:eastAsia="Times New Roman" w:cstheme="minorHAnsi"/>
                <w:color w:val="000000" w:themeColor="text1"/>
                <w:sz w:val="18"/>
                <w:szCs w:val="18"/>
              </w:rPr>
            </w:pPr>
            <w:r w:rsidRPr="00EE6943">
              <w:rPr>
                <w:rFonts w:eastAsia="Times New Roman" w:cstheme="minorHAnsi"/>
                <w:color w:val="000000" w:themeColor="text1"/>
                <w:sz w:val="18"/>
                <w:szCs w:val="18"/>
              </w:rPr>
              <w:t>Not Service Connected (NSC) x 1</w:t>
            </w:r>
          </w:p>
        </w:tc>
        <w:tc>
          <w:tcPr>
            <w:tcW w:w="990" w:type="dxa"/>
            <w:shd w:val="clear" w:color="auto" w:fill="FFFFFF" w:themeFill="background1"/>
            <w:vAlign w:val="center"/>
          </w:tcPr>
          <w:p w:rsidR="00EB7DDC" w:rsidRPr="00EE6943" w:rsidRDefault="00EE6943" w:rsidP="00EE6943">
            <w:pPr>
              <w:spacing w:line="180" w:lineRule="exact"/>
              <w:contextualSpacing/>
              <w:jc w:val="center"/>
              <w:rPr>
                <w:rFonts w:eastAsia="Times New Roman" w:cstheme="minorHAnsi"/>
                <w:color w:val="000000" w:themeColor="text1"/>
                <w:sz w:val="18"/>
                <w:szCs w:val="18"/>
              </w:rPr>
            </w:pPr>
            <w:r w:rsidRPr="00EE6943">
              <w:rPr>
                <w:rFonts w:eastAsia="Times New Roman" w:cstheme="minorHAnsi"/>
                <w:color w:val="000000" w:themeColor="text1"/>
                <w:sz w:val="18"/>
                <w:szCs w:val="18"/>
              </w:rPr>
              <w:t>20090409</w:t>
            </w:r>
          </w:p>
        </w:tc>
      </w:tr>
      <w:tr w:rsidR="00425C5D" w:rsidRPr="00EE6943" w:rsidTr="00EE6943">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425C5D" w:rsidRPr="00EE6943" w:rsidRDefault="00425C5D" w:rsidP="00EE6943">
            <w:pPr>
              <w:contextualSpacing/>
              <w:jc w:val="center"/>
              <w:rPr>
                <w:rFonts w:cstheme="minorHAnsi"/>
                <w:b/>
                <w:color w:val="000000" w:themeColor="text1"/>
                <w:sz w:val="18"/>
                <w:szCs w:val="18"/>
              </w:rPr>
            </w:pPr>
            <w:r w:rsidRPr="00EE6943">
              <w:rPr>
                <w:rFonts w:cstheme="minorHAnsi"/>
                <w:b/>
                <w:color w:val="000000" w:themeColor="text1"/>
                <w:sz w:val="18"/>
                <w:szCs w:val="18"/>
              </w:rPr>
              <w:t xml:space="preserve">Combined:  </w:t>
            </w:r>
            <w:r w:rsidR="00EE6943">
              <w:rPr>
                <w:rFonts w:cstheme="minorHAnsi"/>
                <w:b/>
                <w:color w:val="000000" w:themeColor="text1"/>
                <w:sz w:val="18"/>
                <w:szCs w:val="18"/>
              </w:rPr>
              <w:t>20</w:t>
            </w:r>
            <w:r w:rsidRPr="00EE6943">
              <w:rPr>
                <w:rFonts w:cstheme="minorHAnsi"/>
                <w:b/>
                <w:color w:val="000000" w:themeColor="text1"/>
                <w:sz w:val="18"/>
                <w:szCs w:val="18"/>
              </w:rPr>
              <w:t>%</w:t>
            </w:r>
          </w:p>
        </w:tc>
        <w:tc>
          <w:tcPr>
            <w:tcW w:w="5454" w:type="dxa"/>
            <w:gridSpan w:val="4"/>
            <w:tcBorders>
              <w:left w:val="thinThickThinSmallGap" w:sz="24" w:space="0" w:color="auto"/>
            </w:tcBorders>
            <w:shd w:val="clear" w:color="auto" w:fill="D9D9D9" w:themeFill="background1" w:themeFillShade="D9"/>
            <w:vAlign w:val="center"/>
          </w:tcPr>
          <w:p w:rsidR="00425C5D" w:rsidRPr="00EE6943" w:rsidRDefault="00425C5D" w:rsidP="00EE6943">
            <w:pPr>
              <w:contextualSpacing/>
              <w:jc w:val="center"/>
              <w:rPr>
                <w:rFonts w:cstheme="minorHAnsi"/>
                <w:b/>
                <w:color w:val="000000" w:themeColor="text1"/>
                <w:sz w:val="18"/>
                <w:szCs w:val="18"/>
              </w:rPr>
            </w:pPr>
            <w:r w:rsidRPr="00EE6943">
              <w:rPr>
                <w:rFonts w:cstheme="minorHAnsi"/>
                <w:b/>
                <w:color w:val="000000" w:themeColor="text1"/>
                <w:sz w:val="18"/>
                <w:szCs w:val="18"/>
              </w:rPr>
              <w:t xml:space="preserve">Combined:  </w:t>
            </w:r>
            <w:r w:rsidR="00EE6943">
              <w:rPr>
                <w:rFonts w:cstheme="minorHAnsi"/>
                <w:b/>
                <w:color w:val="000000" w:themeColor="text1"/>
                <w:sz w:val="18"/>
                <w:szCs w:val="18"/>
              </w:rPr>
              <w:t>40</w:t>
            </w:r>
            <w:r w:rsidRPr="00EE6943">
              <w:rPr>
                <w:rFonts w:cstheme="minorHAnsi"/>
                <w:b/>
                <w:color w:val="000000" w:themeColor="text1"/>
                <w:sz w:val="18"/>
                <w:szCs w:val="18"/>
              </w:rPr>
              <w:t>%</w:t>
            </w:r>
          </w:p>
        </w:tc>
      </w:tr>
    </w:tbl>
    <w:p w:rsidR="00FC66A3" w:rsidRDefault="00FC66A3" w:rsidP="00EE6943">
      <w:pPr>
        <w:pBdr>
          <w:bottom w:val="single" w:sz="12" w:space="1" w:color="auto"/>
        </w:pBdr>
        <w:spacing w:line="240" w:lineRule="exact"/>
        <w:jc w:val="both"/>
        <w:rPr>
          <w:rFonts w:asciiTheme="minorHAnsi" w:hAnsiTheme="minorHAnsi"/>
          <w:color w:val="auto"/>
          <w:szCs w:val="24"/>
          <w:u w:val="single"/>
        </w:rPr>
      </w:pPr>
    </w:p>
    <w:p w:rsidR="00EE6943" w:rsidRDefault="00EE6943" w:rsidP="00F26887">
      <w:pPr>
        <w:spacing w:line="240" w:lineRule="exact"/>
        <w:jc w:val="both"/>
        <w:rPr>
          <w:rFonts w:asciiTheme="minorHAnsi" w:hAnsiTheme="minorHAnsi"/>
          <w:color w:val="auto"/>
          <w:szCs w:val="24"/>
          <w:u w:val="single"/>
        </w:rPr>
      </w:pPr>
    </w:p>
    <w:p w:rsidR="00384F3C" w:rsidRPr="00384F3C" w:rsidRDefault="00384F3C" w:rsidP="00F26887">
      <w:pPr>
        <w:spacing w:line="240" w:lineRule="exact"/>
        <w:jc w:val="both"/>
        <w:rPr>
          <w:rFonts w:asciiTheme="minorHAnsi" w:hAnsiTheme="minorHAnsi"/>
          <w:color w:val="auto"/>
          <w:szCs w:val="24"/>
        </w:rPr>
      </w:pPr>
      <w:r>
        <w:rPr>
          <w:rFonts w:asciiTheme="minorHAnsi" w:hAnsiTheme="minorHAnsi"/>
          <w:color w:val="auto"/>
          <w:szCs w:val="24"/>
          <w:u w:val="single"/>
        </w:rPr>
        <w:lastRenderedPageBreak/>
        <w:t xml:space="preserve">ANALYSIS </w:t>
      </w:r>
      <w:r w:rsidRPr="00A913BA">
        <w:rPr>
          <w:rFonts w:asciiTheme="minorHAnsi" w:hAnsiTheme="minorHAnsi"/>
          <w:color w:val="auto"/>
          <w:szCs w:val="24"/>
          <w:u w:val="single"/>
        </w:rPr>
        <w:t>SUMMARY</w:t>
      </w:r>
      <w:r>
        <w:rPr>
          <w:rFonts w:asciiTheme="minorHAnsi" w:hAnsiTheme="minorHAnsi"/>
          <w:color w:val="auto"/>
          <w:szCs w:val="24"/>
        </w:rPr>
        <w:t xml:space="preserve">:  </w:t>
      </w:r>
      <w:r w:rsidRPr="00384F3C">
        <w:rPr>
          <w:rFonts w:asciiTheme="minorHAnsi" w:hAnsiTheme="minorHAnsi"/>
          <w:color w:val="auto"/>
          <w:szCs w:val="24"/>
        </w:rPr>
        <w:t xml:space="preserve">The Board acknowledges the sentiment expressed </w:t>
      </w:r>
      <w:r w:rsidR="00150618">
        <w:rPr>
          <w:rFonts w:asciiTheme="minorHAnsi" w:hAnsiTheme="minorHAnsi"/>
          <w:color w:val="auto"/>
          <w:szCs w:val="24"/>
        </w:rPr>
        <w:t>by the CI, that he should have been awarded a higher rating.  The Board examine</w:t>
      </w:r>
      <w:r w:rsidR="00184C1F">
        <w:rPr>
          <w:rFonts w:asciiTheme="minorHAnsi" w:hAnsiTheme="minorHAnsi"/>
          <w:color w:val="auto"/>
          <w:szCs w:val="24"/>
        </w:rPr>
        <w:t>d</w:t>
      </w:r>
      <w:r w:rsidR="00150618">
        <w:rPr>
          <w:rFonts w:asciiTheme="minorHAnsi" w:hAnsiTheme="minorHAnsi"/>
          <w:color w:val="auto"/>
          <w:szCs w:val="24"/>
        </w:rPr>
        <w:t xml:space="preserve"> </w:t>
      </w:r>
      <w:r w:rsidR="00AD1E74">
        <w:rPr>
          <w:rFonts w:asciiTheme="minorHAnsi" w:hAnsiTheme="minorHAnsi"/>
          <w:color w:val="auto"/>
          <w:szCs w:val="24"/>
        </w:rPr>
        <w:t>his</w:t>
      </w:r>
      <w:r w:rsidR="00150618">
        <w:rPr>
          <w:rFonts w:asciiTheme="minorHAnsi" w:hAnsiTheme="minorHAnsi"/>
          <w:color w:val="auto"/>
          <w:szCs w:val="24"/>
        </w:rPr>
        <w:t xml:space="preserve"> record very carefully, to determine whether or not a higher rating </w:t>
      </w:r>
      <w:r w:rsidR="004D5ECD">
        <w:rPr>
          <w:rFonts w:asciiTheme="minorHAnsi" w:hAnsiTheme="minorHAnsi"/>
          <w:color w:val="auto"/>
          <w:szCs w:val="24"/>
        </w:rPr>
        <w:t>would be</w:t>
      </w:r>
      <w:r w:rsidR="00150618">
        <w:rPr>
          <w:rFonts w:asciiTheme="minorHAnsi" w:hAnsiTheme="minorHAnsi"/>
          <w:color w:val="auto"/>
          <w:szCs w:val="24"/>
        </w:rPr>
        <w:t xml:space="preserve"> justified.</w:t>
      </w:r>
    </w:p>
    <w:p w:rsidR="00384F3C" w:rsidRDefault="00384F3C" w:rsidP="00F26887">
      <w:pPr>
        <w:spacing w:line="240" w:lineRule="exact"/>
        <w:jc w:val="both"/>
        <w:rPr>
          <w:rFonts w:asciiTheme="minorHAnsi" w:hAnsiTheme="minorHAnsi"/>
          <w:color w:val="auto"/>
          <w:szCs w:val="24"/>
          <w:u w:val="single"/>
        </w:rPr>
      </w:pPr>
    </w:p>
    <w:p w:rsidR="008377B9" w:rsidRPr="00157C7A" w:rsidRDefault="0054684F" w:rsidP="00157C7A">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L</w:t>
      </w:r>
      <w:r w:rsidR="00150618">
        <w:rPr>
          <w:rFonts w:asciiTheme="minorHAnsi" w:hAnsiTheme="minorHAnsi"/>
          <w:color w:val="auto"/>
          <w:szCs w:val="24"/>
          <w:u w:val="single"/>
        </w:rPr>
        <w:t>ow back pain</w:t>
      </w:r>
      <w:r w:rsidR="004C60A3" w:rsidRPr="00A913BA">
        <w:rPr>
          <w:rFonts w:asciiTheme="minorHAnsi" w:hAnsiTheme="minorHAnsi"/>
          <w:color w:val="auto"/>
          <w:szCs w:val="24"/>
        </w:rPr>
        <w:t>.</w:t>
      </w:r>
      <w:proofErr w:type="gramEnd"/>
      <w:r w:rsidR="00A913BA">
        <w:rPr>
          <w:rFonts w:asciiTheme="minorHAnsi" w:hAnsiTheme="minorHAnsi"/>
          <w:color w:val="auto"/>
          <w:szCs w:val="24"/>
        </w:rPr>
        <w:t xml:space="preserve">  </w:t>
      </w:r>
      <w:r w:rsidR="00150618">
        <w:rPr>
          <w:rFonts w:asciiTheme="minorHAnsi" w:hAnsiTheme="minorHAnsi"/>
          <w:color w:val="auto"/>
          <w:szCs w:val="24"/>
        </w:rPr>
        <w:t>As noted above, t</w:t>
      </w:r>
      <w:r w:rsidR="00A913BA">
        <w:rPr>
          <w:rFonts w:asciiTheme="minorHAnsi" w:hAnsiTheme="minorHAnsi"/>
          <w:color w:val="auto"/>
          <w:szCs w:val="24"/>
        </w:rPr>
        <w:t>he CI</w:t>
      </w:r>
      <w:r>
        <w:rPr>
          <w:rFonts w:asciiTheme="minorHAnsi" w:hAnsiTheme="minorHAnsi"/>
          <w:color w:val="auto"/>
          <w:szCs w:val="24"/>
        </w:rPr>
        <w:t xml:space="preserve"> developed </w:t>
      </w:r>
      <w:r w:rsidR="00150618">
        <w:rPr>
          <w:rFonts w:asciiTheme="minorHAnsi" w:hAnsiTheme="minorHAnsi"/>
          <w:color w:val="auto"/>
          <w:szCs w:val="24"/>
        </w:rPr>
        <w:t>LBP</w:t>
      </w:r>
      <w:r>
        <w:rPr>
          <w:rFonts w:asciiTheme="minorHAnsi" w:hAnsiTheme="minorHAnsi"/>
          <w:color w:val="auto"/>
          <w:szCs w:val="24"/>
        </w:rPr>
        <w:t xml:space="preserve"> </w:t>
      </w:r>
      <w:r w:rsidR="00150618">
        <w:rPr>
          <w:rFonts w:asciiTheme="minorHAnsi" w:hAnsiTheme="minorHAnsi"/>
          <w:color w:val="auto"/>
          <w:szCs w:val="24"/>
        </w:rPr>
        <w:t xml:space="preserve">and </w:t>
      </w:r>
      <w:r>
        <w:rPr>
          <w:rFonts w:asciiTheme="minorHAnsi" w:hAnsiTheme="minorHAnsi"/>
          <w:color w:val="auto"/>
          <w:szCs w:val="24"/>
        </w:rPr>
        <w:t xml:space="preserve">right leg pain </w:t>
      </w:r>
      <w:r w:rsidR="004D5ECD">
        <w:rPr>
          <w:rFonts w:asciiTheme="minorHAnsi" w:hAnsiTheme="minorHAnsi"/>
          <w:color w:val="auto"/>
          <w:szCs w:val="24"/>
        </w:rPr>
        <w:t xml:space="preserve">in August 2005, </w:t>
      </w:r>
      <w:r>
        <w:rPr>
          <w:rFonts w:asciiTheme="minorHAnsi" w:hAnsiTheme="minorHAnsi"/>
          <w:color w:val="auto"/>
          <w:szCs w:val="24"/>
        </w:rPr>
        <w:t xml:space="preserve">during a deployment to Iraq.  </w:t>
      </w:r>
      <w:r w:rsidR="00150618">
        <w:rPr>
          <w:rFonts w:asciiTheme="minorHAnsi" w:hAnsiTheme="minorHAnsi"/>
          <w:color w:val="auto"/>
          <w:szCs w:val="24"/>
        </w:rPr>
        <w:t>He was treated with m</w:t>
      </w:r>
      <w:r>
        <w:rPr>
          <w:rFonts w:asciiTheme="minorHAnsi" w:hAnsiTheme="minorHAnsi"/>
          <w:color w:val="auto"/>
          <w:szCs w:val="24"/>
        </w:rPr>
        <w:t>edication</w:t>
      </w:r>
      <w:r w:rsidR="00150618">
        <w:rPr>
          <w:rFonts w:asciiTheme="minorHAnsi" w:hAnsiTheme="minorHAnsi"/>
          <w:color w:val="auto"/>
          <w:szCs w:val="24"/>
        </w:rPr>
        <w:t xml:space="preserve">, and </w:t>
      </w:r>
      <w:r>
        <w:rPr>
          <w:rFonts w:asciiTheme="minorHAnsi" w:hAnsiTheme="minorHAnsi"/>
          <w:color w:val="auto"/>
          <w:szCs w:val="24"/>
        </w:rPr>
        <w:t>was able to complete his deployment.  In July 2006</w:t>
      </w:r>
      <w:r w:rsidR="00EE6943">
        <w:rPr>
          <w:rFonts w:asciiTheme="minorHAnsi" w:hAnsiTheme="minorHAnsi"/>
          <w:color w:val="auto"/>
          <w:szCs w:val="24"/>
        </w:rPr>
        <w:t>,</w:t>
      </w:r>
      <w:r>
        <w:rPr>
          <w:rFonts w:asciiTheme="minorHAnsi" w:hAnsiTheme="minorHAnsi"/>
          <w:color w:val="auto"/>
          <w:szCs w:val="24"/>
        </w:rPr>
        <w:t xml:space="preserve"> he had an acute exacerbation of his back and leg pain.  MRI </w:t>
      </w:r>
      <w:r w:rsidR="00684B74">
        <w:rPr>
          <w:rFonts w:asciiTheme="minorHAnsi" w:hAnsiTheme="minorHAnsi"/>
          <w:color w:val="auto"/>
          <w:szCs w:val="24"/>
        </w:rPr>
        <w:t>revealed</w:t>
      </w:r>
      <w:r w:rsidR="00AD1E74">
        <w:rPr>
          <w:rFonts w:asciiTheme="minorHAnsi" w:hAnsiTheme="minorHAnsi"/>
          <w:color w:val="auto"/>
          <w:szCs w:val="24"/>
        </w:rPr>
        <w:t xml:space="preserve"> a </w:t>
      </w:r>
      <w:r>
        <w:rPr>
          <w:rFonts w:asciiTheme="minorHAnsi" w:hAnsiTheme="minorHAnsi"/>
          <w:color w:val="auto"/>
          <w:szCs w:val="24"/>
        </w:rPr>
        <w:t xml:space="preserve">disc </w:t>
      </w:r>
      <w:proofErr w:type="spellStart"/>
      <w:r>
        <w:rPr>
          <w:rFonts w:asciiTheme="minorHAnsi" w:hAnsiTheme="minorHAnsi"/>
          <w:color w:val="auto"/>
          <w:szCs w:val="24"/>
        </w:rPr>
        <w:t>herniation</w:t>
      </w:r>
      <w:proofErr w:type="spellEnd"/>
      <w:r>
        <w:rPr>
          <w:rFonts w:asciiTheme="minorHAnsi" w:hAnsiTheme="minorHAnsi"/>
          <w:color w:val="auto"/>
          <w:szCs w:val="24"/>
        </w:rPr>
        <w:t xml:space="preserve"> at L5-S1</w:t>
      </w:r>
      <w:r w:rsidR="00FA3A46">
        <w:rPr>
          <w:rFonts w:asciiTheme="minorHAnsi" w:hAnsiTheme="minorHAnsi"/>
          <w:color w:val="auto"/>
          <w:szCs w:val="24"/>
        </w:rPr>
        <w:t xml:space="preserve"> and the </w:t>
      </w:r>
      <w:r>
        <w:rPr>
          <w:rFonts w:asciiTheme="minorHAnsi" w:hAnsiTheme="minorHAnsi"/>
          <w:color w:val="auto"/>
          <w:szCs w:val="24"/>
        </w:rPr>
        <w:t xml:space="preserve">herniated disc was </w:t>
      </w:r>
      <w:r w:rsidR="00FA3A46">
        <w:rPr>
          <w:rFonts w:asciiTheme="minorHAnsi" w:hAnsiTheme="minorHAnsi"/>
          <w:color w:val="auto"/>
          <w:szCs w:val="24"/>
        </w:rPr>
        <w:t xml:space="preserve">surgically </w:t>
      </w:r>
      <w:r>
        <w:rPr>
          <w:rFonts w:asciiTheme="minorHAnsi" w:hAnsiTheme="minorHAnsi"/>
          <w:color w:val="auto"/>
          <w:szCs w:val="24"/>
        </w:rPr>
        <w:t>removed</w:t>
      </w:r>
      <w:r w:rsidR="003B5234">
        <w:rPr>
          <w:rFonts w:asciiTheme="minorHAnsi" w:hAnsiTheme="minorHAnsi"/>
          <w:color w:val="auto"/>
          <w:szCs w:val="24"/>
        </w:rPr>
        <w:t>.</w:t>
      </w:r>
      <w:r w:rsidR="00A608E4">
        <w:rPr>
          <w:rFonts w:asciiTheme="minorHAnsi" w:hAnsiTheme="minorHAnsi"/>
          <w:color w:val="auto"/>
          <w:szCs w:val="24"/>
        </w:rPr>
        <w:t xml:space="preserve">  Postoperatively, his </w:t>
      </w:r>
      <w:r>
        <w:rPr>
          <w:rFonts w:asciiTheme="minorHAnsi" w:hAnsiTheme="minorHAnsi"/>
          <w:color w:val="auto"/>
          <w:szCs w:val="24"/>
        </w:rPr>
        <w:t>symptoms resolved</w:t>
      </w:r>
      <w:r w:rsidR="00FA3A46">
        <w:rPr>
          <w:rFonts w:asciiTheme="minorHAnsi" w:hAnsiTheme="minorHAnsi"/>
          <w:color w:val="auto"/>
          <w:szCs w:val="24"/>
        </w:rPr>
        <w:t xml:space="preserve">.  However, a short time later </w:t>
      </w:r>
      <w:r w:rsidR="00FF272D">
        <w:rPr>
          <w:rFonts w:asciiTheme="minorHAnsi" w:hAnsiTheme="minorHAnsi"/>
          <w:color w:val="auto"/>
          <w:szCs w:val="24"/>
        </w:rPr>
        <w:t>while doing field training,</w:t>
      </w:r>
      <w:r>
        <w:rPr>
          <w:rFonts w:asciiTheme="minorHAnsi" w:hAnsiTheme="minorHAnsi"/>
          <w:color w:val="auto"/>
          <w:szCs w:val="24"/>
        </w:rPr>
        <w:t xml:space="preserve"> the </w:t>
      </w:r>
      <w:r w:rsidR="00FA3A46">
        <w:rPr>
          <w:rFonts w:asciiTheme="minorHAnsi" w:hAnsiTheme="minorHAnsi"/>
          <w:color w:val="auto"/>
          <w:szCs w:val="24"/>
        </w:rPr>
        <w:t>LBP returned. R</w:t>
      </w:r>
      <w:r w:rsidR="00FF272D">
        <w:rPr>
          <w:rFonts w:asciiTheme="minorHAnsi" w:hAnsiTheme="minorHAnsi"/>
          <w:color w:val="auto"/>
          <w:szCs w:val="24"/>
        </w:rPr>
        <w:t xml:space="preserve">epeat MRI showed no evidence of a recurrent </w:t>
      </w:r>
      <w:r w:rsidR="00FA3A46">
        <w:rPr>
          <w:rFonts w:asciiTheme="minorHAnsi" w:hAnsiTheme="minorHAnsi"/>
          <w:color w:val="auto"/>
          <w:szCs w:val="24"/>
        </w:rPr>
        <w:t xml:space="preserve">disc </w:t>
      </w:r>
      <w:proofErr w:type="spellStart"/>
      <w:r w:rsidR="00FF272D">
        <w:rPr>
          <w:rFonts w:asciiTheme="minorHAnsi" w:hAnsiTheme="minorHAnsi"/>
          <w:color w:val="auto"/>
          <w:szCs w:val="24"/>
        </w:rPr>
        <w:t>herniat</w:t>
      </w:r>
      <w:r w:rsidR="00FA3A46">
        <w:rPr>
          <w:rFonts w:asciiTheme="minorHAnsi" w:hAnsiTheme="minorHAnsi"/>
          <w:color w:val="auto"/>
          <w:szCs w:val="24"/>
        </w:rPr>
        <w:t>ion</w:t>
      </w:r>
      <w:proofErr w:type="spellEnd"/>
      <w:r w:rsidR="00FF272D">
        <w:rPr>
          <w:rFonts w:asciiTheme="minorHAnsi" w:hAnsiTheme="minorHAnsi"/>
          <w:color w:val="auto"/>
          <w:szCs w:val="24"/>
        </w:rPr>
        <w:t>.</w:t>
      </w:r>
      <w:r w:rsidR="00AD1E74">
        <w:rPr>
          <w:rFonts w:asciiTheme="minorHAnsi" w:hAnsiTheme="minorHAnsi"/>
          <w:color w:val="auto"/>
          <w:szCs w:val="24"/>
        </w:rPr>
        <w:t xml:space="preserve">  In February 2007, h</w:t>
      </w:r>
      <w:r w:rsidR="00FF272D">
        <w:rPr>
          <w:rFonts w:asciiTheme="minorHAnsi" w:hAnsiTheme="minorHAnsi"/>
          <w:color w:val="auto"/>
          <w:szCs w:val="24"/>
        </w:rPr>
        <w:t xml:space="preserve">e was </w:t>
      </w:r>
      <w:r w:rsidR="00FA3A46">
        <w:rPr>
          <w:rFonts w:asciiTheme="minorHAnsi" w:hAnsiTheme="minorHAnsi"/>
          <w:color w:val="auto"/>
          <w:szCs w:val="24"/>
        </w:rPr>
        <w:t>issued</w:t>
      </w:r>
      <w:r w:rsidR="00FF272D">
        <w:rPr>
          <w:rFonts w:asciiTheme="minorHAnsi" w:hAnsiTheme="minorHAnsi"/>
          <w:color w:val="auto"/>
          <w:szCs w:val="24"/>
        </w:rPr>
        <w:t xml:space="preserve"> a permanent profile for chronic </w:t>
      </w:r>
      <w:r w:rsidR="00AD1E74">
        <w:rPr>
          <w:rFonts w:asciiTheme="minorHAnsi" w:hAnsiTheme="minorHAnsi"/>
          <w:color w:val="auto"/>
          <w:szCs w:val="24"/>
        </w:rPr>
        <w:t>LBP</w:t>
      </w:r>
      <w:r w:rsidR="00550166">
        <w:rPr>
          <w:rFonts w:asciiTheme="minorHAnsi" w:hAnsiTheme="minorHAnsi"/>
          <w:color w:val="auto"/>
          <w:szCs w:val="24"/>
        </w:rPr>
        <w:t>.</w:t>
      </w:r>
      <w:r w:rsidR="00AD1E74">
        <w:rPr>
          <w:rFonts w:asciiTheme="minorHAnsi" w:hAnsiTheme="minorHAnsi"/>
          <w:color w:val="auto"/>
          <w:szCs w:val="24"/>
        </w:rPr>
        <w:t xml:space="preserve">  </w:t>
      </w:r>
      <w:r w:rsidR="00FA3A46">
        <w:rPr>
          <w:rFonts w:asciiTheme="minorHAnsi" w:hAnsiTheme="minorHAnsi"/>
          <w:color w:val="auto"/>
          <w:szCs w:val="24"/>
        </w:rPr>
        <w:t>I</w:t>
      </w:r>
      <w:r w:rsidR="00AD1E74">
        <w:rPr>
          <w:rFonts w:asciiTheme="minorHAnsi" w:hAnsiTheme="minorHAnsi"/>
          <w:color w:val="auto"/>
          <w:szCs w:val="24"/>
        </w:rPr>
        <w:t xml:space="preserve">n </w:t>
      </w:r>
      <w:r w:rsidR="00550166">
        <w:rPr>
          <w:rFonts w:asciiTheme="minorHAnsi" w:hAnsiTheme="minorHAnsi"/>
          <w:color w:val="auto"/>
          <w:szCs w:val="24"/>
        </w:rPr>
        <w:t>2008</w:t>
      </w:r>
      <w:r w:rsidR="00AD1E74">
        <w:rPr>
          <w:rFonts w:asciiTheme="minorHAnsi" w:hAnsiTheme="minorHAnsi"/>
          <w:color w:val="auto"/>
          <w:szCs w:val="24"/>
        </w:rPr>
        <w:t xml:space="preserve">, he met a </w:t>
      </w:r>
      <w:r w:rsidR="00550166">
        <w:rPr>
          <w:rFonts w:asciiTheme="minorHAnsi" w:hAnsiTheme="minorHAnsi"/>
          <w:color w:val="auto"/>
          <w:szCs w:val="24"/>
        </w:rPr>
        <w:t>Medical MOS Review Board (MMRB)</w:t>
      </w:r>
      <w:r w:rsidR="00AD1E74">
        <w:rPr>
          <w:rFonts w:asciiTheme="minorHAnsi" w:hAnsiTheme="minorHAnsi"/>
          <w:color w:val="auto"/>
          <w:szCs w:val="24"/>
        </w:rPr>
        <w:t xml:space="preserve">.  The MMRB recommended </w:t>
      </w:r>
      <w:r w:rsidR="00550166">
        <w:rPr>
          <w:rFonts w:asciiTheme="minorHAnsi" w:hAnsiTheme="minorHAnsi"/>
          <w:color w:val="auto"/>
          <w:szCs w:val="24"/>
        </w:rPr>
        <w:t xml:space="preserve">reclassification, and his MOS </w:t>
      </w:r>
      <w:r w:rsidR="00AD1E74">
        <w:rPr>
          <w:rFonts w:asciiTheme="minorHAnsi" w:hAnsiTheme="minorHAnsi"/>
          <w:color w:val="auto"/>
          <w:szCs w:val="24"/>
        </w:rPr>
        <w:t xml:space="preserve">went </w:t>
      </w:r>
      <w:r w:rsidR="00550166">
        <w:rPr>
          <w:rFonts w:asciiTheme="minorHAnsi" w:hAnsiTheme="minorHAnsi"/>
          <w:color w:val="auto"/>
          <w:szCs w:val="24"/>
        </w:rPr>
        <w:t>from Combat Engineer t</w:t>
      </w:r>
      <w:r w:rsidR="003B5234">
        <w:rPr>
          <w:rFonts w:asciiTheme="minorHAnsi" w:hAnsiTheme="minorHAnsi"/>
          <w:color w:val="auto"/>
          <w:szCs w:val="24"/>
        </w:rPr>
        <w:t>o Chemical Operations</w:t>
      </w:r>
      <w:r w:rsidR="00550166">
        <w:rPr>
          <w:rFonts w:asciiTheme="minorHAnsi" w:hAnsiTheme="minorHAnsi"/>
          <w:color w:val="auto"/>
          <w:szCs w:val="24"/>
        </w:rPr>
        <w:t xml:space="preserve">.  He continued to have </w:t>
      </w:r>
      <w:r w:rsidR="00AD1E74">
        <w:rPr>
          <w:rFonts w:asciiTheme="minorHAnsi" w:hAnsiTheme="minorHAnsi"/>
          <w:color w:val="auto"/>
          <w:szCs w:val="24"/>
        </w:rPr>
        <w:t>LBP</w:t>
      </w:r>
      <w:r w:rsidR="00550166">
        <w:rPr>
          <w:rFonts w:asciiTheme="minorHAnsi" w:hAnsiTheme="minorHAnsi"/>
          <w:color w:val="auto"/>
          <w:szCs w:val="24"/>
        </w:rPr>
        <w:t>, especially with running or lifting.  He was unable to</w:t>
      </w:r>
      <w:r w:rsidR="00A363A0">
        <w:rPr>
          <w:rFonts w:asciiTheme="minorHAnsi" w:hAnsiTheme="minorHAnsi"/>
          <w:color w:val="auto"/>
          <w:szCs w:val="24"/>
        </w:rPr>
        <w:t xml:space="preserve"> wear chemical gear. </w:t>
      </w:r>
      <w:r w:rsidR="00550166">
        <w:rPr>
          <w:rFonts w:asciiTheme="minorHAnsi" w:hAnsiTheme="minorHAnsi"/>
          <w:color w:val="auto"/>
          <w:szCs w:val="24"/>
        </w:rPr>
        <w:t xml:space="preserve"> A profile was </w:t>
      </w:r>
      <w:r w:rsidR="00AD1E74">
        <w:rPr>
          <w:rFonts w:asciiTheme="minorHAnsi" w:hAnsiTheme="minorHAnsi"/>
          <w:color w:val="auto"/>
          <w:szCs w:val="24"/>
        </w:rPr>
        <w:t>issued</w:t>
      </w:r>
      <w:r w:rsidR="00550166">
        <w:rPr>
          <w:rFonts w:asciiTheme="minorHAnsi" w:hAnsiTheme="minorHAnsi"/>
          <w:color w:val="auto"/>
          <w:szCs w:val="24"/>
        </w:rPr>
        <w:t xml:space="preserve"> in October 2008 that prohibited running, </w:t>
      </w:r>
      <w:r w:rsidR="00684B74">
        <w:rPr>
          <w:rFonts w:asciiTheme="minorHAnsi" w:hAnsiTheme="minorHAnsi"/>
          <w:color w:val="auto"/>
          <w:szCs w:val="24"/>
        </w:rPr>
        <w:t>carrying a rucksack</w:t>
      </w:r>
      <w:r w:rsidR="00FA3A46">
        <w:rPr>
          <w:rFonts w:asciiTheme="minorHAnsi" w:hAnsiTheme="minorHAnsi"/>
          <w:color w:val="auto"/>
          <w:szCs w:val="24"/>
        </w:rPr>
        <w:t>, or</w:t>
      </w:r>
      <w:r w:rsidR="00550166">
        <w:rPr>
          <w:rFonts w:asciiTheme="minorHAnsi" w:hAnsiTheme="minorHAnsi"/>
          <w:color w:val="auto"/>
          <w:szCs w:val="24"/>
        </w:rPr>
        <w:t xml:space="preserve"> lifting over 30 pounds</w:t>
      </w:r>
      <w:r w:rsidR="00AD1E74">
        <w:rPr>
          <w:rFonts w:asciiTheme="minorHAnsi" w:hAnsiTheme="minorHAnsi"/>
          <w:color w:val="auto"/>
          <w:szCs w:val="24"/>
        </w:rPr>
        <w:t>.  A</w:t>
      </w:r>
      <w:r w:rsidR="00FA3A46">
        <w:rPr>
          <w:rFonts w:asciiTheme="minorHAnsi" w:hAnsiTheme="minorHAnsi"/>
          <w:color w:val="auto"/>
          <w:szCs w:val="24"/>
        </w:rPr>
        <w:t>t that point, a</w:t>
      </w:r>
      <w:r w:rsidR="00550166">
        <w:rPr>
          <w:rFonts w:asciiTheme="minorHAnsi" w:hAnsiTheme="minorHAnsi"/>
          <w:color w:val="auto"/>
          <w:szCs w:val="24"/>
        </w:rPr>
        <w:t xml:space="preserve">n MEB was initiated. </w:t>
      </w:r>
      <w:r w:rsidR="00157C7A">
        <w:rPr>
          <w:rFonts w:asciiTheme="minorHAnsi" w:hAnsiTheme="minorHAnsi"/>
          <w:color w:val="auto"/>
          <w:szCs w:val="24"/>
        </w:rPr>
        <w:t xml:space="preserve"> </w:t>
      </w:r>
      <w:r w:rsidR="00AD1E74">
        <w:rPr>
          <w:rFonts w:asciiTheme="minorHAnsi" w:hAnsiTheme="minorHAnsi"/>
          <w:color w:val="auto"/>
          <w:szCs w:val="24"/>
        </w:rPr>
        <w:t xml:space="preserve">At his December 2008 </w:t>
      </w:r>
      <w:r w:rsidR="00684B74">
        <w:rPr>
          <w:rFonts w:asciiTheme="minorHAnsi" w:hAnsiTheme="minorHAnsi"/>
          <w:color w:val="auto"/>
          <w:szCs w:val="24"/>
        </w:rPr>
        <w:t xml:space="preserve">MEB </w:t>
      </w:r>
      <w:r w:rsidR="00AD1E74">
        <w:rPr>
          <w:rFonts w:asciiTheme="minorHAnsi" w:hAnsiTheme="minorHAnsi"/>
          <w:color w:val="auto"/>
          <w:szCs w:val="24"/>
        </w:rPr>
        <w:t xml:space="preserve">evaluation, three </w:t>
      </w:r>
      <w:r w:rsidR="00684B74">
        <w:rPr>
          <w:rFonts w:asciiTheme="minorHAnsi" w:hAnsiTheme="minorHAnsi"/>
          <w:color w:val="auto"/>
          <w:szCs w:val="24"/>
        </w:rPr>
        <w:t>months prior to separation, there was moderate tenderness</w:t>
      </w:r>
      <w:r w:rsidR="00184C1F">
        <w:rPr>
          <w:rFonts w:asciiTheme="minorHAnsi" w:hAnsiTheme="minorHAnsi"/>
          <w:color w:val="auto"/>
          <w:szCs w:val="24"/>
        </w:rPr>
        <w:t xml:space="preserve"> to palpation (TTP) but no </w:t>
      </w:r>
      <w:r w:rsidR="00684B74">
        <w:rPr>
          <w:rFonts w:asciiTheme="minorHAnsi" w:hAnsiTheme="minorHAnsi"/>
          <w:color w:val="auto"/>
          <w:szCs w:val="24"/>
        </w:rPr>
        <w:t>guarding or spasm</w:t>
      </w:r>
      <w:r w:rsidR="00AD1E74">
        <w:rPr>
          <w:rFonts w:asciiTheme="minorHAnsi" w:hAnsiTheme="minorHAnsi"/>
          <w:color w:val="auto"/>
          <w:szCs w:val="24"/>
        </w:rPr>
        <w:t xml:space="preserve">.  Gait, </w:t>
      </w:r>
      <w:r w:rsidR="00684B74">
        <w:rPr>
          <w:rFonts w:asciiTheme="minorHAnsi" w:hAnsiTheme="minorHAnsi"/>
          <w:color w:val="auto"/>
          <w:szCs w:val="24"/>
        </w:rPr>
        <w:t xml:space="preserve">spinal contour, </w:t>
      </w:r>
      <w:r w:rsidR="00184C1F">
        <w:rPr>
          <w:rFonts w:asciiTheme="minorHAnsi" w:hAnsiTheme="minorHAnsi"/>
          <w:color w:val="auto"/>
          <w:szCs w:val="24"/>
        </w:rPr>
        <w:t xml:space="preserve">and </w:t>
      </w:r>
      <w:r w:rsidR="00684B74">
        <w:rPr>
          <w:rFonts w:asciiTheme="minorHAnsi" w:hAnsiTheme="minorHAnsi"/>
          <w:color w:val="auto"/>
          <w:szCs w:val="24"/>
        </w:rPr>
        <w:t>neurologic examination</w:t>
      </w:r>
      <w:r w:rsidR="00184C1F">
        <w:rPr>
          <w:rFonts w:asciiTheme="minorHAnsi" w:hAnsiTheme="minorHAnsi"/>
          <w:color w:val="auto"/>
          <w:szCs w:val="24"/>
        </w:rPr>
        <w:t xml:space="preserve"> were all normal</w:t>
      </w:r>
      <w:r w:rsidR="00684B74">
        <w:rPr>
          <w:rFonts w:asciiTheme="minorHAnsi" w:hAnsiTheme="minorHAnsi"/>
          <w:color w:val="auto"/>
          <w:szCs w:val="24"/>
        </w:rPr>
        <w:t>.</w:t>
      </w:r>
      <w:r w:rsidR="00184C1F">
        <w:rPr>
          <w:rFonts w:asciiTheme="minorHAnsi" w:hAnsiTheme="minorHAnsi"/>
          <w:color w:val="auto"/>
          <w:szCs w:val="24"/>
        </w:rPr>
        <w:t xml:space="preserve"> </w:t>
      </w:r>
      <w:r w:rsidR="00684B74">
        <w:rPr>
          <w:rFonts w:asciiTheme="minorHAnsi" w:hAnsiTheme="minorHAnsi"/>
          <w:color w:val="auto"/>
          <w:szCs w:val="24"/>
        </w:rPr>
        <w:t xml:space="preserve"> Wad</w:t>
      </w:r>
      <w:r w:rsidR="00184C1F">
        <w:rPr>
          <w:rFonts w:asciiTheme="minorHAnsi" w:hAnsiTheme="minorHAnsi"/>
          <w:color w:val="auto"/>
          <w:szCs w:val="24"/>
        </w:rPr>
        <w:t>d</w:t>
      </w:r>
      <w:r w:rsidR="00684B74">
        <w:rPr>
          <w:rFonts w:asciiTheme="minorHAnsi" w:hAnsiTheme="minorHAnsi"/>
          <w:color w:val="auto"/>
          <w:szCs w:val="24"/>
        </w:rPr>
        <w:t>ell’s signs were absent.</w:t>
      </w:r>
      <w:r w:rsidR="00184C1F">
        <w:rPr>
          <w:rFonts w:asciiTheme="minorHAnsi" w:hAnsiTheme="minorHAnsi"/>
          <w:color w:val="auto"/>
          <w:szCs w:val="24"/>
        </w:rPr>
        <w:t xml:space="preserve">  </w:t>
      </w:r>
      <w:r w:rsidR="00A608E4">
        <w:rPr>
          <w:rFonts w:asciiTheme="minorHAnsi" w:hAnsiTheme="minorHAnsi"/>
          <w:color w:val="auto"/>
          <w:szCs w:val="24"/>
        </w:rPr>
        <w:t>R</w:t>
      </w:r>
      <w:r w:rsidR="00684B74">
        <w:rPr>
          <w:rFonts w:asciiTheme="minorHAnsi" w:hAnsiTheme="minorHAnsi"/>
          <w:color w:val="auto"/>
          <w:szCs w:val="24"/>
        </w:rPr>
        <w:t xml:space="preserve">ange-of-motion (ROM) was </w:t>
      </w:r>
      <w:r w:rsidR="00184C1F">
        <w:rPr>
          <w:rFonts w:asciiTheme="minorHAnsi" w:hAnsiTheme="minorHAnsi"/>
          <w:color w:val="auto"/>
          <w:szCs w:val="24"/>
        </w:rPr>
        <w:t>measured and is s</w:t>
      </w:r>
      <w:r w:rsidR="00FA3A46">
        <w:rPr>
          <w:rFonts w:asciiTheme="minorHAnsi" w:hAnsiTheme="minorHAnsi"/>
          <w:color w:val="auto"/>
          <w:szCs w:val="24"/>
        </w:rPr>
        <w:t>hown</w:t>
      </w:r>
      <w:r w:rsidR="00184C1F">
        <w:rPr>
          <w:rFonts w:asciiTheme="minorHAnsi" w:hAnsiTheme="minorHAnsi"/>
          <w:color w:val="auto"/>
          <w:szCs w:val="24"/>
        </w:rPr>
        <w:t xml:space="preserve"> in the chart below</w:t>
      </w:r>
      <w:r w:rsidR="00684B74">
        <w:rPr>
          <w:rFonts w:asciiTheme="minorHAnsi" w:hAnsiTheme="minorHAnsi"/>
          <w:color w:val="auto"/>
          <w:szCs w:val="24"/>
        </w:rPr>
        <w:t xml:space="preserve">.  </w:t>
      </w:r>
      <w:r w:rsidR="00184C1F">
        <w:rPr>
          <w:rFonts w:asciiTheme="minorHAnsi" w:hAnsiTheme="minorHAnsi"/>
          <w:color w:val="auto"/>
          <w:szCs w:val="24"/>
        </w:rPr>
        <w:t>No s</w:t>
      </w:r>
      <w:r w:rsidR="00684B74" w:rsidRPr="00F26887">
        <w:rPr>
          <w:rFonts w:asciiTheme="minorHAnsi" w:hAnsiTheme="minorHAnsi"/>
          <w:color w:val="auto"/>
          <w:szCs w:val="24"/>
        </w:rPr>
        <w:t xml:space="preserve">igns of </w:t>
      </w:r>
      <w:proofErr w:type="spellStart"/>
      <w:r w:rsidR="00684B74" w:rsidRPr="00F26887">
        <w:rPr>
          <w:rFonts w:asciiTheme="minorHAnsi" w:hAnsiTheme="minorHAnsi"/>
          <w:color w:val="auto"/>
          <w:szCs w:val="24"/>
        </w:rPr>
        <w:t>intervertebral</w:t>
      </w:r>
      <w:proofErr w:type="spellEnd"/>
      <w:r w:rsidR="00684B74" w:rsidRPr="00F26887">
        <w:rPr>
          <w:rFonts w:asciiTheme="minorHAnsi" w:hAnsiTheme="minorHAnsi"/>
          <w:color w:val="auto"/>
          <w:szCs w:val="24"/>
        </w:rPr>
        <w:t xml:space="preserve"> disk syndrome </w:t>
      </w:r>
      <w:r w:rsidR="002C5397">
        <w:rPr>
          <w:rFonts w:asciiTheme="minorHAnsi" w:hAnsiTheme="minorHAnsi"/>
          <w:color w:val="auto"/>
          <w:szCs w:val="24"/>
        </w:rPr>
        <w:t xml:space="preserve">(IVDS) </w:t>
      </w:r>
      <w:r w:rsidR="008377B9" w:rsidRPr="00F26887">
        <w:rPr>
          <w:rFonts w:asciiTheme="minorHAnsi" w:hAnsiTheme="minorHAnsi"/>
          <w:color w:val="auto"/>
          <w:szCs w:val="24"/>
        </w:rPr>
        <w:t xml:space="preserve">were </w:t>
      </w:r>
      <w:r w:rsidR="00684B74" w:rsidRPr="00F26887">
        <w:rPr>
          <w:rFonts w:asciiTheme="minorHAnsi" w:hAnsiTheme="minorHAnsi"/>
          <w:color w:val="auto"/>
          <w:szCs w:val="24"/>
        </w:rPr>
        <w:t>present</w:t>
      </w:r>
      <w:r w:rsidR="00684B74">
        <w:rPr>
          <w:rFonts w:asciiTheme="minorHAnsi" w:hAnsiTheme="minorHAnsi"/>
          <w:color w:val="auto"/>
          <w:szCs w:val="24"/>
        </w:rPr>
        <w:t xml:space="preserve">.  </w:t>
      </w:r>
      <w:r w:rsidR="00184C1F">
        <w:rPr>
          <w:rFonts w:asciiTheme="minorHAnsi" w:hAnsiTheme="minorHAnsi"/>
          <w:color w:val="auto"/>
          <w:szCs w:val="24"/>
        </w:rPr>
        <w:t>On 9 April 2009, t</w:t>
      </w:r>
      <w:r w:rsidR="00684B74">
        <w:rPr>
          <w:rFonts w:asciiTheme="minorHAnsi" w:hAnsiTheme="minorHAnsi"/>
          <w:color w:val="auto"/>
          <w:szCs w:val="24"/>
        </w:rPr>
        <w:t>wo weeks after separation</w:t>
      </w:r>
      <w:r w:rsidR="00184C1F">
        <w:rPr>
          <w:rFonts w:asciiTheme="minorHAnsi" w:hAnsiTheme="minorHAnsi"/>
          <w:color w:val="auto"/>
          <w:szCs w:val="24"/>
        </w:rPr>
        <w:t>,</w:t>
      </w:r>
      <w:r w:rsidR="001E07F7">
        <w:rPr>
          <w:rFonts w:asciiTheme="minorHAnsi" w:hAnsiTheme="minorHAnsi"/>
          <w:color w:val="auto"/>
          <w:szCs w:val="24"/>
        </w:rPr>
        <w:t xml:space="preserve"> the CI had a VA Compensation and P</w:t>
      </w:r>
      <w:r w:rsidR="00684B74">
        <w:rPr>
          <w:rFonts w:asciiTheme="minorHAnsi" w:hAnsiTheme="minorHAnsi"/>
          <w:color w:val="auto"/>
          <w:szCs w:val="24"/>
        </w:rPr>
        <w:t>ension (C&amp;P) evaluation.  At that time</w:t>
      </w:r>
      <w:r w:rsidR="00A608E4">
        <w:rPr>
          <w:rFonts w:asciiTheme="minorHAnsi" w:hAnsiTheme="minorHAnsi"/>
          <w:color w:val="auto"/>
          <w:szCs w:val="24"/>
        </w:rPr>
        <w:t>,</w:t>
      </w:r>
      <w:r w:rsidR="00684B74">
        <w:rPr>
          <w:rFonts w:asciiTheme="minorHAnsi" w:hAnsiTheme="minorHAnsi"/>
          <w:color w:val="auto"/>
          <w:szCs w:val="24"/>
        </w:rPr>
        <w:t xml:space="preserve"> </w:t>
      </w:r>
      <w:r w:rsidR="00A608E4">
        <w:rPr>
          <w:rFonts w:asciiTheme="minorHAnsi" w:hAnsiTheme="minorHAnsi"/>
          <w:color w:val="auto"/>
          <w:szCs w:val="24"/>
        </w:rPr>
        <w:t>he</w:t>
      </w:r>
      <w:r w:rsidR="00684B74">
        <w:rPr>
          <w:rFonts w:asciiTheme="minorHAnsi" w:hAnsiTheme="minorHAnsi"/>
          <w:color w:val="auto"/>
          <w:szCs w:val="24"/>
        </w:rPr>
        <w:t xml:space="preserve"> complained of</w:t>
      </w:r>
      <w:r w:rsidR="00C37ED9">
        <w:rPr>
          <w:rFonts w:asciiTheme="minorHAnsi" w:hAnsiTheme="minorHAnsi"/>
          <w:color w:val="auto"/>
          <w:szCs w:val="24"/>
        </w:rPr>
        <w:t xml:space="preserve"> </w:t>
      </w:r>
      <w:r w:rsidR="00184C1F">
        <w:rPr>
          <w:rFonts w:asciiTheme="minorHAnsi" w:hAnsiTheme="minorHAnsi"/>
          <w:color w:val="auto"/>
          <w:szCs w:val="24"/>
        </w:rPr>
        <w:t>LBP</w:t>
      </w:r>
      <w:r w:rsidR="00C37ED9">
        <w:rPr>
          <w:rFonts w:asciiTheme="minorHAnsi" w:hAnsiTheme="minorHAnsi"/>
          <w:color w:val="auto"/>
          <w:szCs w:val="24"/>
        </w:rPr>
        <w:t xml:space="preserve"> with intermittent </w:t>
      </w:r>
      <w:r w:rsidR="00184C1F">
        <w:rPr>
          <w:rFonts w:asciiTheme="minorHAnsi" w:hAnsiTheme="minorHAnsi"/>
          <w:color w:val="auto"/>
          <w:szCs w:val="24"/>
        </w:rPr>
        <w:t>numbness in the posterior right thigh</w:t>
      </w:r>
      <w:r w:rsidR="00C37ED9">
        <w:rPr>
          <w:rFonts w:asciiTheme="minorHAnsi" w:hAnsiTheme="minorHAnsi"/>
          <w:color w:val="auto"/>
          <w:szCs w:val="24"/>
        </w:rPr>
        <w:t>.</w:t>
      </w:r>
      <w:r w:rsidR="00684B74">
        <w:rPr>
          <w:rFonts w:asciiTheme="minorHAnsi" w:hAnsiTheme="minorHAnsi"/>
          <w:color w:val="auto"/>
          <w:szCs w:val="24"/>
        </w:rPr>
        <w:t xml:space="preserve">  He was able to walk </w:t>
      </w:r>
      <w:r w:rsidR="00C37ED9">
        <w:rPr>
          <w:rFonts w:asciiTheme="minorHAnsi" w:hAnsiTheme="minorHAnsi"/>
          <w:color w:val="auto"/>
          <w:szCs w:val="24"/>
        </w:rPr>
        <w:t>one</w:t>
      </w:r>
      <w:r w:rsidR="00684B74">
        <w:rPr>
          <w:rFonts w:asciiTheme="minorHAnsi" w:hAnsiTheme="minorHAnsi"/>
          <w:color w:val="auto"/>
          <w:szCs w:val="24"/>
        </w:rPr>
        <w:t xml:space="preserve"> to </w:t>
      </w:r>
      <w:r w:rsidR="00C37ED9">
        <w:rPr>
          <w:rFonts w:asciiTheme="minorHAnsi" w:hAnsiTheme="minorHAnsi"/>
          <w:color w:val="auto"/>
          <w:szCs w:val="24"/>
        </w:rPr>
        <w:t>three</w:t>
      </w:r>
      <w:r w:rsidR="00684B74">
        <w:rPr>
          <w:rFonts w:asciiTheme="minorHAnsi" w:hAnsiTheme="minorHAnsi"/>
          <w:color w:val="auto"/>
          <w:szCs w:val="24"/>
        </w:rPr>
        <w:t xml:space="preserve"> miles.  The examiner noted </w:t>
      </w:r>
      <w:r w:rsidR="00C37ED9">
        <w:rPr>
          <w:rFonts w:asciiTheme="minorHAnsi" w:hAnsiTheme="minorHAnsi"/>
          <w:color w:val="auto"/>
          <w:szCs w:val="24"/>
        </w:rPr>
        <w:t>normal posture, normal gait, and norm</w:t>
      </w:r>
      <w:r w:rsidR="00605162">
        <w:rPr>
          <w:rFonts w:asciiTheme="minorHAnsi" w:hAnsiTheme="minorHAnsi"/>
          <w:color w:val="auto"/>
          <w:szCs w:val="24"/>
        </w:rPr>
        <w:t>al spinal contour</w:t>
      </w:r>
      <w:r w:rsidR="00E82857">
        <w:rPr>
          <w:rFonts w:asciiTheme="minorHAnsi" w:hAnsiTheme="minorHAnsi"/>
          <w:color w:val="auto"/>
          <w:szCs w:val="24"/>
        </w:rPr>
        <w:t>,</w:t>
      </w:r>
      <w:r w:rsidR="00605162">
        <w:rPr>
          <w:rFonts w:asciiTheme="minorHAnsi" w:hAnsiTheme="minorHAnsi"/>
          <w:color w:val="auto"/>
          <w:szCs w:val="24"/>
        </w:rPr>
        <w:t xml:space="preserve"> without</w:t>
      </w:r>
      <w:r w:rsidR="00C37ED9">
        <w:rPr>
          <w:rFonts w:asciiTheme="minorHAnsi" w:hAnsiTheme="minorHAnsi"/>
          <w:color w:val="auto"/>
          <w:szCs w:val="24"/>
        </w:rPr>
        <w:t xml:space="preserve"> muscle spasm.  Reflexes, strength and sensat</w:t>
      </w:r>
      <w:r w:rsidR="00605162">
        <w:rPr>
          <w:rFonts w:asciiTheme="minorHAnsi" w:hAnsiTheme="minorHAnsi"/>
          <w:color w:val="auto"/>
          <w:szCs w:val="24"/>
        </w:rPr>
        <w:t>ion were normal</w:t>
      </w:r>
      <w:r w:rsidR="00184C1F">
        <w:rPr>
          <w:rFonts w:asciiTheme="minorHAnsi" w:hAnsiTheme="minorHAnsi"/>
          <w:color w:val="auto"/>
          <w:szCs w:val="24"/>
        </w:rPr>
        <w:t>.  S</w:t>
      </w:r>
      <w:r w:rsidR="00C37ED9">
        <w:rPr>
          <w:rFonts w:asciiTheme="minorHAnsi" w:hAnsiTheme="minorHAnsi"/>
          <w:color w:val="auto"/>
          <w:szCs w:val="24"/>
        </w:rPr>
        <w:t>traight leg rais</w:t>
      </w:r>
      <w:r w:rsidR="00184C1F">
        <w:rPr>
          <w:rFonts w:asciiTheme="minorHAnsi" w:hAnsiTheme="minorHAnsi"/>
          <w:color w:val="auto"/>
          <w:szCs w:val="24"/>
        </w:rPr>
        <w:t xml:space="preserve">e testing was negative.  </w:t>
      </w:r>
      <w:r w:rsidR="002C5397" w:rsidRPr="00F26887">
        <w:rPr>
          <w:rFonts w:asciiTheme="minorHAnsi" w:hAnsiTheme="minorHAnsi"/>
          <w:color w:val="auto"/>
          <w:szCs w:val="24"/>
        </w:rPr>
        <w:t xml:space="preserve">Signs of </w:t>
      </w:r>
      <w:r w:rsidR="002C5397">
        <w:rPr>
          <w:rFonts w:asciiTheme="minorHAnsi" w:hAnsiTheme="minorHAnsi"/>
          <w:color w:val="auto"/>
          <w:szCs w:val="24"/>
        </w:rPr>
        <w:t>IVDS</w:t>
      </w:r>
      <w:r w:rsidR="002C5397" w:rsidRPr="00F26887">
        <w:rPr>
          <w:rFonts w:asciiTheme="minorHAnsi" w:hAnsiTheme="minorHAnsi"/>
          <w:color w:val="auto"/>
          <w:szCs w:val="24"/>
        </w:rPr>
        <w:t xml:space="preserve"> were not present</w:t>
      </w:r>
      <w:r w:rsidR="002C5397">
        <w:rPr>
          <w:rFonts w:asciiTheme="minorHAnsi" w:hAnsiTheme="minorHAnsi"/>
          <w:color w:val="auto"/>
          <w:szCs w:val="24"/>
        </w:rPr>
        <w:t xml:space="preserve">.  </w:t>
      </w:r>
      <w:r w:rsidR="00FA3A46">
        <w:rPr>
          <w:rFonts w:asciiTheme="minorHAnsi" w:hAnsiTheme="minorHAnsi"/>
          <w:color w:val="auto"/>
          <w:szCs w:val="24"/>
        </w:rPr>
        <w:t>T</w:t>
      </w:r>
      <w:r w:rsidR="00684B74">
        <w:rPr>
          <w:rFonts w:asciiTheme="minorHAnsi" w:hAnsiTheme="minorHAnsi"/>
          <w:color w:val="auto"/>
          <w:szCs w:val="24"/>
        </w:rPr>
        <w:t>horacolumbar</w:t>
      </w:r>
      <w:r w:rsidR="002C5397">
        <w:rPr>
          <w:rFonts w:asciiTheme="minorHAnsi" w:hAnsiTheme="minorHAnsi"/>
          <w:color w:val="auto"/>
          <w:szCs w:val="24"/>
        </w:rPr>
        <w:t xml:space="preserve"> ROM is shown in the </w:t>
      </w:r>
      <w:r w:rsidR="008377B9">
        <w:rPr>
          <w:rFonts w:asciiTheme="minorHAnsi" w:hAnsiTheme="minorHAnsi"/>
          <w:color w:val="auto"/>
          <w:szCs w:val="24"/>
        </w:rPr>
        <w:t>chart below</w:t>
      </w:r>
      <w:r w:rsidR="00684B74">
        <w:rPr>
          <w:rFonts w:asciiTheme="minorHAnsi" w:hAnsiTheme="minorHAnsi"/>
          <w:color w:val="auto"/>
          <w:szCs w:val="24"/>
        </w:rPr>
        <w:t xml:space="preserve">.  </w:t>
      </w:r>
    </w:p>
    <w:p w:rsidR="00684B74" w:rsidRPr="0054684F" w:rsidRDefault="00684B74" w:rsidP="00510F9C">
      <w:pPr>
        <w:spacing w:line="240" w:lineRule="exact"/>
        <w:rPr>
          <w:rFonts w:asciiTheme="minorHAnsi" w:hAnsiTheme="minorHAnsi"/>
          <w:color w:val="auto"/>
          <w:szCs w:val="24"/>
        </w:rPr>
      </w:pPr>
    </w:p>
    <w:tbl>
      <w:tblPr>
        <w:tblW w:w="7783" w:type="dxa"/>
        <w:jc w:val="center"/>
        <w:tblInd w:w="-1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2"/>
        <w:gridCol w:w="2430"/>
        <w:gridCol w:w="2541"/>
      </w:tblGrid>
      <w:tr w:rsidR="008377B9" w:rsidRPr="00D93603" w:rsidTr="00A608E4">
        <w:trPr>
          <w:jc w:val="center"/>
        </w:trPr>
        <w:tc>
          <w:tcPr>
            <w:tcW w:w="2812" w:type="dxa"/>
            <w:shd w:val="clear" w:color="auto" w:fill="D9D9D9" w:themeFill="background1" w:themeFillShade="D9"/>
          </w:tcPr>
          <w:p w:rsidR="008377B9" w:rsidRPr="00D93603" w:rsidRDefault="008377B9" w:rsidP="00B3767B">
            <w:pPr>
              <w:spacing w:line="240" w:lineRule="exact"/>
              <w:contextualSpacing/>
              <w:jc w:val="center"/>
              <w:rPr>
                <w:rFonts w:eastAsia="Calibri"/>
                <w:color w:val="auto"/>
                <w:sz w:val="22"/>
                <w:szCs w:val="22"/>
                <w:highlight w:val="yellow"/>
              </w:rPr>
            </w:pPr>
            <w:r w:rsidRPr="00D93603">
              <w:rPr>
                <w:rFonts w:eastAsia="Calibri"/>
                <w:color w:val="auto"/>
                <w:sz w:val="22"/>
                <w:szCs w:val="22"/>
              </w:rPr>
              <w:t>Thoracolumbar</w:t>
            </w:r>
          </w:p>
        </w:tc>
        <w:tc>
          <w:tcPr>
            <w:tcW w:w="4971" w:type="dxa"/>
            <w:gridSpan w:val="2"/>
            <w:shd w:val="clear" w:color="auto" w:fill="D9D9D9" w:themeFill="background1" w:themeFillShade="D9"/>
          </w:tcPr>
          <w:p w:rsidR="008377B9" w:rsidRPr="00D93603" w:rsidRDefault="008377B9" w:rsidP="00B3767B">
            <w:pPr>
              <w:spacing w:line="240" w:lineRule="exact"/>
              <w:contextualSpacing/>
              <w:jc w:val="center"/>
              <w:rPr>
                <w:rFonts w:eastAsia="Calibri"/>
                <w:color w:val="auto"/>
                <w:sz w:val="22"/>
                <w:szCs w:val="22"/>
              </w:rPr>
            </w:pPr>
            <w:r w:rsidRPr="00B33FAF">
              <w:rPr>
                <w:rFonts w:eastAsia="Calibri"/>
                <w:color w:val="auto"/>
                <w:sz w:val="22"/>
                <w:szCs w:val="22"/>
              </w:rPr>
              <w:t xml:space="preserve">Separation Date:  </w:t>
            </w:r>
            <w:r>
              <w:rPr>
                <w:rFonts w:eastAsia="Calibri"/>
                <w:color w:val="auto"/>
                <w:sz w:val="22"/>
                <w:szCs w:val="22"/>
              </w:rPr>
              <w:t>20090327</w:t>
            </w:r>
          </w:p>
        </w:tc>
      </w:tr>
      <w:tr w:rsidR="008377B9" w:rsidRPr="00D93603" w:rsidTr="00A608E4">
        <w:trPr>
          <w:jc w:val="center"/>
        </w:trPr>
        <w:tc>
          <w:tcPr>
            <w:tcW w:w="2812" w:type="dxa"/>
            <w:shd w:val="clear" w:color="auto" w:fill="D9D9D9" w:themeFill="background1" w:themeFillShade="D9"/>
          </w:tcPr>
          <w:p w:rsidR="008377B9" w:rsidRPr="00D93603" w:rsidRDefault="008377B9" w:rsidP="00B3767B">
            <w:pPr>
              <w:spacing w:line="240" w:lineRule="exact"/>
              <w:contextualSpacing/>
              <w:jc w:val="center"/>
              <w:rPr>
                <w:rFonts w:eastAsia="Calibri"/>
                <w:color w:val="auto"/>
                <w:sz w:val="22"/>
                <w:szCs w:val="22"/>
              </w:rPr>
            </w:pPr>
            <w:r w:rsidRPr="00F26887">
              <w:rPr>
                <w:rFonts w:eastAsia="Calibri"/>
                <w:color w:val="auto"/>
                <w:sz w:val="22"/>
                <w:szCs w:val="22"/>
              </w:rPr>
              <w:t>Goniometric ROM</w:t>
            </w:r>
          </w:p>
        </w:tc>
        <w:tc>
          <w:tcPr>
            <w:tcW w:w="2430" w:type="dxa"/>
            <w:shd w:val="clear" w:color="auto" w:fill="D9D9D9" w:themeFill="background1" w:themeFillShade="D9"/>
          </w:tcPr>
          <w:p w:rsidR="008377B9" w:rsidRPr="00D93603" w:rsidRDefault="00DB0B11" w:rsidP="00A608E4">
            <w:pPr>
              <w:spacing w:line="240" w:lineRule="exact"/>
              <w:contextualSpacing/>
              <w:jc w:val="center"/>
              <w:rPr>
                <w:rFonts w:eastAsia="Calibri"/>
                <w:color w:val="auto"/>
                <w:sz w:val="22"/>
                <w:szCs w:val="22"/>
              </w:rPr>
            </w:pPr>
            <w:r>
              <w:rPr>
                <w:rFonts w:eastAsia="Calibri"/>
                <w:color w:val="auto"/>
                <w:sz w:val="22"/>
                <w:szCs w:val="22"/>
              </w:rPr>
              <w:t>MEB</w:t>
            </w:r>
            <w:r w:rsidR="00A608E4">
              <w:rPr>
                <w:rFonts w:eastAsia="Calibri"/>
                <w:color w:val="auto"/>
                <w:sz w:val="22"/>
                <w:szCs w:val="22"/>
              </w:rPr>
              <w:t>/</w:t>
            </w:r>
            <w:r w:rsidR="008377B9" w:rsidRPr="00D93603">
              <w:rPr>
                <w:rFonts w:eastAsia="Calibri"/>
                <w:color w:val="auto"/>
                <w:sz w:val="22"/>
                <w:szCs w:val="22"/>
              </w:rPr>
              <w:t xml:space="preserve">PT </w:t>
            </w:r>
            <w:r w:rsidR="008377B9">
              <w:rPr>
                <w:rFonts w:eastAsia="Calibri"/>
                <w:color w:val="auto"/>
                <w:sz w:val="22"/>
                <w:szCs w:val="22"/>
              </w:rPr>
              <w:t xml:space="preserve">– 4 </w:t>
            </w:r>
            <w:r w:rsidR="00E82857">
              <w:rPr>
                <w:rFonts w:eastAsia="Calibri"/>
                <w:color w:val="auto"/>
                <w:sz w:val="22"/>
                <w:szCs w:val="22"/>
              </w:rPr>
              <w:t>m</w:t>
            </w:r>
            <w:r w:rsidR="008377B9">
              <w:rPr>
                <w:rFonts w:eastAsia="Calibri"/>
                <w:color w:val="auto"/>
                <w:sz w:val="22"/>
                <w:szCs w:val="22"/>
              </w:rPr>
              <w:t>o.</w:t>
            </w:r>
            <w:r w:rsidR="008377B9" w:rsidRPr="00D93603">
              <w:rPr>
                <w:rFonts w:eastAsia="Calibri"/>
                <w:color w:val="auto"/>
                <w:sz w:val="22"/>
                <w:szCs w:val="22"/>
              </w:rPr>
              <w:t xml:space="preserve"> Pre</w:t>
            </w:r>
            <w:r w:rsidR="00E82857">
              <w:rPr>
                <w:rFonts w:eastAsia="Calibri"/>
                <w:color w:val="auto"/>
                <w:sz w:val="22"/>
                <w:szCs w:val="22"/>
              </w:rPr>
              <w:t>-</w:t>
            </w:r>
            <w:r w:rsidR="008377B9" w:rsidRPr="00D93603">
              <w:rPr>
                <w:rFonts w:eastAsia="Calibri"/>
                <w:color w:val="auto"/>
                <w:sz w:val="22"/>
                <w:szCs w:val="22"/>
              </w:rPr>
              <w:t>Sep</w:t>
            </w:r>
          </w:p>
        </w:tc>
        <w:tc>
          <w:tcPr>
            <w:tcW w:w="2541" w:type="dxa"/>
            <w:shd w:val="clear" w:color="auto" w:fill="D9D9D9" w:themeFill="background1" w:themeFillShade="D9"/>
          </w:tcPr>
          <w:p w:rsidR="008377B9" w:rsidRPr="00D93603" w:rsidRDefault="008377B9" w:rsidP="00E82857">
            <w:pPr>
              <w:spacing w:line="240" w:lineRule="exact"/>
              <w:contextualSpacing/>
              <w:jc w:val="center"/>
              <w:rPr>
                <w:rFonts w:eastAsiaTheme="minorHAnsi" w:cstheme="minorBidi"/>
                <w:color w:val="auto"/>
                <w:sz w:val="22"/>
                <w:szCs w:val="22"/>
              </w:rPr>
            </w:pPr>
            <w:r w:rsidRPr="00D93603">
              <w:rPr>
                <w:rFonts w:eastAsia="Calibri"/>
                <w:color w:val="auto"/>
                <w:sz w:val="22"/>
                <w:szCs w:val="22"/>
              </w:rPr>
              <w:t>VA</w:t>
            </w:r>
            <w:r w:rsidRPr="00D93603">
              <w:rPr>
                <w:rFonts w:eastAsiaTheme="minorHAnsi" w:cstheme="minorBidi"/>
                <w:color w:val="auto"/>
                <w:sz w:val="22"/>
                <w:szCs w:val="22"/>
              </w:rPr>
              <w:t xml:space="preserve"> C&amp;P –</w:t>
            </w:r>
            <w:r w:rsidR="00E82857">
              <w:rPr>
                <w:rFonts w:eastAsiaTheme="minorHAnsi" w:cstheme="minorBidi"/>
                <w:color w:val="auto"/>
                <w:sz w:val="22"/>
                <w:szCs w:val="22"/>
              </w:rPr>
              <w:t xml:space="preserve"> </w:t>
            </w:r>
            <w:r>
              <w:rPr>
                <w:rFonts w:eastAsiaTheme="minorHAnsi" w:cstheme="minorBidi"/>
                <w:color w:val="auto"/>
                <w:sz w:val="22"/>
                <w:szCs w:val="22"/>
              </w:rPr>
              <w:t xml:space="preserve">2 </w:t>
            </w:r>
            <w:r w:rsidR="00E82857">
              <w:rPr>
                <w:rFonts w:eastAsiaTheme="minorHAnsi" w:cstheme="minorBidi"/>
                <w:color w:val="auto"/>
                <w:sz w:val="22"/>
                <w:szCs w:val="22"/>
              </w:rPr>
              <w:t>w</w:t>
            </w:r>
            <w:r>
              <w:rPr>
                <w:rFonts w:eastAsiaTheme="minorHAnsi" w:cstheme="minorBidi"/>
                <w:color w:val="auto"/>
                <w:sz w:val="22"/>
                <w:szCs w:val="22"/>
              </w:rPr>
              <w:t>ks.</w:t>
            </w:r>
            <w:r w:rsidRPr="00D93603">
              <w:rPr>
                <w:rFonts w:eastAsiaTheme="minorHAnsi" w:cstheme="minorBidi"/>
                <w:color w:val="auto"/>
                <w:sz w:val="22"/>
                <w:szCs w:val="22"/>
              </w:rPr>
              <w:t xml:space="preserve"> Post</w:t>
            </w:r>
            <w:r w:rsidR="00E82857">
              <w:rPr>
                <w:rFonts w:eastAsiaTheme="minorHAnsi" w:cstheme="minorBidi"/>
                <w:color w:val="auto"/>
                <w:sz w:val="22"/>
                <w:szCs w:val="22"/>
              </w:rPr>
              <w:t>-</w:t>
            </w:r>
            <w:r w:rsidRPr="00D93603">
              <w:rPr>
                <w:rFonts w:eastAsiaTheme="minorHAnsi" w:cstheme="minorBidi"/>
                <w:color w:val="auto"/>
                <w:sz w:val="22"/>
                <w:szCs w:val="22"/>
              </w:rPr>
              <w:t>Sep</w:t>
            </w:r>
          </w:p>
        </w:tc>
      </w:tr>
      <w:tr w:rsidR="008377B9" w:rsidRPr="00D93603" w:rsidTr="00A608E4">
        <w:trPr>
          <w:jc w:val="center"/>
        </w:trPr>
        <w:tc>
          <w:tcPr>
            <w:tcW w:w="2812" w:type="dxa"/>
          </w:tcPr>
          <w:p w:rsidR="008377B9" w:rsidRPr="00D93603" w:rsidRDefault="008377B9" w:rsidP="00E82857">
            <w:pPr>
              <w:spacing w:line="240" w:lineRule="exact"/>
              <w:contextualSpacing/>
              <w:jc w:val="center"/>
              <w:rPr>
                <w:rFonts w:eastAsia="Calibri"/>
                <w:color w:val="auto"/>
                <w:sz w:val="22"/>
                <w:szCs w:val="22"/>
              </w:rPr>
            </w:pPr>
            <w:r w:rsidRPr="00D93603">
              <w:rPr>
                <w:rFonts w:eastAsia="Calibri"/>
                <w:color w:val="auto"/>
                <w:sz w:val="22"/>
                <w:szCs w:val="22"/>
              </w:rPr>
              <w:t xml:space="preserve">Flexion </w:t>
            </w:r>
            <w:r w:rsidR="00E82857">
              <w:rPr>
                <w:rFonts w:eastAsia="Calibri"/>
                <w:color w:val="auto"/>
                <w:sz w:val="22"/>
                <w:szCs w:val="22"/>
              </w:rPr>
              <w:t>(</w:t>
            </w:r>
            <w:r w:rsidRPr="00D93603">
              <w:rPr>
                <w:rFonts w:eastAsia="Calibri"/>
                <w:color w:val="auto"/>
                <w:sz w:val="22"/>
                <w:szCs w:val="22"/>
              </w:rPr>
              <w:t xml:space="preserve">90⁰ </w:t>
            </w:r>
            <w:r w:rsidR="00E82857">
              <w:rPr>
                <w:rFonts w:eastAsia="Calibri"/>
                <w:color w:val="auto"/>
                <w:sz w:val="22"/>
                <w:szCs w:val="22"/>
              </w:rPr>
              <w:t xml:space="preserve">is </w:t>
            </w:r>
            <w:r w:rsidRPr="00D93603">
              <w:rPr>
                <w:rFonts w:eastAsia="Calibri"/>
                <w:color w:val="auto"/>
                <w:sz w:val="22"/>
                <w:szCs w:val="22"/>
              </w:rPr>
              <w:t>normal</w:t>
            </w:r>
            <w:r w:rsidR="00E82857">
              <w:rPr>
                <w:rFonts w:eastAsia="Calibri"/>
                <w:color w:val="auto"/>
                <w:sz w:val="22"/>
                <w:szCs w:val="22"/>
              </w:rPr>
              <w:t>)</w:t>
            </w:r>
          </w:p>
        </w:tc>
        <w:tc>
          <w:tcPr>
            <w:tcW w:w="2430" w:type="dxa"/>
          </w:tcPr>
          <w:p w:rsidR="008377B9" w:rsidRPr="00D93603" w:rsidRDefault="008377B9" w:rsidP="00B3767B">
            <w:pPr>
              <w:spacing w:line="240" w:lineRule="exact"/>
              <w:contextualSpacing/>
              <w:jc w:val="center"/>
              <w:rPr>
                <w:rFonts w:eastAsia="Calibri"/>
                <w:color w:val="auto"/>
                <w:sz w:val="22"/>
                <w:szCs w:val="22"/>
              </w:rPr>
            </w:pPr>
            <w:r>
              <w:rPr>
                <w:rFonts w:eastAsia="Calibri"/>
                <w:color w:val="auto"/>
                <w:sz w:val="22"/>
                <w:szCs w:val="22"/>
              </w:rPr>
              <w:t>80</w:t>
            </w:r>
            <w:r w:rsidRPr="00D93603">
              <w:rPr>
                <w:rFonts w:eastAsia="Calibri"/>
                <w:color w:val="auto"/>
                <w:sz w:val="22"/>
                <w:szCs w:val="22"/>
              </w:rPr>
              <w:t>⁰</w:t>
            </w:r>
          </w:p>
        </w:tc>
        <w:tc>
          <w:tcPr>
            <w:tcW w:w="2541" w:type="dxa"/>
          </w:tcPr>
          <w:p w:rsidR="008377B9" w:rsidRPr="00D93603" w:rsidRDefault="008377B9" w:rsidP="00B3767B">
            <w:pPr>
              <w:spacing w:line="240" w:lineRule="exact"/>
              <w:contextualSpacing/>
              <w:jc w:val="center"/>
              <w:rPr>
                <w:rFonts w:eastAsia="Calibri"/>
                <w:color w:val="auto"/>
                <w:sz w:val="22"/>
                <w:szCs w:val="22"/>
              </w:rPr>
            </w:pPr>
            <w:r>
              <w:rPr>
                <w:rFonts w:eastAsia="Calibri"/>
                <w:color w:val="auto"/>
                <w:sz w:val="22"/>
                <w:szCs w:val="22"/>
              </w:rPr>
              <w:t>80</w:t>
            </w:r>
            <w:r w:rsidRPr="00D93603">
              <w:rPr>
                <w:rFonts w:eastAsia="Calibri"/>
                <w:color w:val="auto"/>
                <w:sz w:val="22"/>
                <w:szCs w:val="22"/>
              </w:rPr>
              <w:t>⁰</w:t>
            </w:r>
          </w:p>
        </w:tc>
      </w:tr>
      <w:tr w:rsidR="008377B9" w:rsidRPr="00D93603" w:rsidTr="00A608E4">
        <w:trPr>
          <w:jc w:val="center"/>
        </w:trPr>
        <w:tc>
          <w:tcPr>
            <w:tcW w:w="2812" w:type="dxa"/>
          </w:tcPr>
          <w:p w:rsidR="008377B9" w:rsidRPr="00D93603" w:rsidRDefault="008377B9" w:rsidP="00B3767B">
            <w:pPr>
              <w:spacing w:line="240" w:lineRule="exact"/>
              <w:contextualSpacing/>
              <w:jc w:val="center"/>
              <w:rPr>
                <w:rFonts w:eastAsia="Calibri"/>
                <w:color w:val="auto"/>
                <w:sz w:val="22"/>
                <w:szCs w:val="22"/>
              </w:rPr>
            </w:pPr>
            <w:r w:rsidRPr="00D93603">
              <w:rPr>
                <w:rFonts w:eastAsia="Calibri"/>
                <w:color w:val="auto"/>
                <w:sz w:val="22"/>
                <w:szCs w:val="22"/>
              </w:rPr>
              <w:t xml:space="preserve">Combined </w:t>
            </w:r>
            <w:r w:rsidR="00E82857">
              <w:rPr>
                <w:rFonts w:eastAsia="Calibri"/>
                <w:color w:val="auto"/>
                <w:sz w:val="22"/>
                <w:szCs w:val="22"/>
              </w:rPr>
              <w:t>(</w:t>
            </w:r>
            <w:r w:rsidRPr="00D93603">
              <w:rPr>
                <w:rFonts w:eastAsia="Calibri"/>
                <w:color w:val="auto"/>
                <w:sz w:val="22"/>
                <w:szCs w:val="22"/>
              </w:rPr>
              <w:t xml:space="preserve">240⁰ </w:t>
            </w:r>
            <w:r w:rsidR="00E82857">
              <w:rPr>
                <w:rFonts w:eastAsia="Calibri"/>
                <w:color w:val="auto"/>
                <w:sz w:val="22"/>
                <w:szCs w:val="22"/>
              </w:rPr>
              <w:t xml:space="preserve">is </w:t>
            </w:r>
            <w:r w:rsidRPr="00D93603">
              <w:rPr>
                <w:rFonts w:eastAsia="Calibri"/>
                <w:color w:val="auto"/>
                <w:sz w:val="22"/>
                <w:szCs w:val="22"/>
              </w:rPr>
              <w:t>normal</w:t>
            </w:r>
            <w:r w:rsidR="00E82857">
              <w:rPr>
                <w:rFonts w:eastAsia="Calibri"/>
                <w:color w:val="auto"/>
                <w:sz w:val="22"/>
                <w:szCs w:val="22"/>
              </w:rPr>
              <w:t>)</w:t>
            </w:r>
          </w:p>
        </w:tc>
        <w:tc>
          <w:tcPr>
            <w:tcW w:w="2430" w:type="dxa"/>
          </w:tcPr>
          <w:p w:rsidR="008377B9" w:rsidRPr="00D93603" w:rsidRDefault="008377B9" w:rsidP="00B3767B">
            <w:pPr>
              <w:spacing w:line="240" w:lineRule="exact"/>
              <w:contextualSpacing/>
              <w:jc w:val="center"/>
              <w:rPr>
                <w:rFonts w:eastAsia="Calibri"/>
                <w:color w:val="auto"/>
                <w:sz w:val="22"/>
                <w:szCs w:val="22"/>
              </w:rPr>
            </w:pPr>
            <w:r>
              <w:rPr>
                <w:rFonts w:eastAsia="Calibri"/>
                <w:color w:val="auto"/>
                <w:sz w:val="22"/>
                <w:szCs w:val="22"/>
              </w:rPr>
              <w:t>225</w:t>
            </w:r>
            <w:r w:rsidRPr="00D93603">
              <w:rPr>
                <w:rFonts w:eastAsia="Calibri"/>
                <w:color w:val="auto"/>
                <w:sz w:val="22"/>
                <w:szCs w:val="22"/>
              </w:rPr>
              <w:t>⁰</w:t>
            </w:r>
          </w:p>
        </w:tc>
        <w:tc>
          <w:tcPr>
            <w:tcW w:w="2541" w:type="dxa"/>
          </w:tcPr>
          <w:p w:rsidR="008377B9" w:rsidRPr="00D93603" w:rsidRDefault="008377B9" w:rsidP="00B3767B">
            <w:pPr>
              <w:spacing w:line="240" w:lineRule="exact"/>
              <w:contextualSpacing/>
              <w:jc w:val="center"/>
              <w:rPr>
                <w:rFonts w:eastAsia="Calibri"/>
                <w:color w:val="auto"/>
                <w:sz w:val="22"/>
                <w:szCs w:val="22"/>
              </w:rPr>
            </w:pPr>
            <w:r>
              <w:rPr>
                <w:rFonts w:eastAsia="Calibri"/>
                <w:color w:val="auto"/>
                <w:sz w:val="22"/>
                <w:szCs w:val="22"/>
              </w:rPr>
              <w:t>200</w:t>
            </w:r>
            <w:r w:rsidRPr="00D93603">
              <w:rPr>
                <w:rFonts w:eastAsia="Calibri"/>
                <w:color w:val="auto"/>
                <w:sz w:val="22"/>
                <w:szCs w:val="22"/>
              </w:rPr>
              <w:t>⁰</w:t>
            </w:r>
          </w:p>
        </w:tc>
      </w:tr>
      <w:tr w:rsidR="008377B9" w:rsidRPr="00D93603" w:rsidTr="00A608E4">
        <w:trPr>
          <w:jc w:val="center"/>
        </w:trPr>
        <w:tc>
          <w:tcPr>
            <w:tcW w:w="2812" w:type="dxa"/>
          </w:tcPr>
          <w:p w:rsidR="008377B9" w:rsidRPr="00D93603" w:rsidRDefault="008377B9" w:rsidP="00B3767B">
            <w:pPr>
              <w:tabs>
                <w:tab w:val="left" w:pos="288"/>
                <w:tab w:val="left" w:pos="4752"/>
              </w:tabs>
              <w:spacing w:line="240" w:lineRule="exact"/>
              <w:jc w:val="center"/>
              <w:rPr>
                <w:rFonts w:asciiTheme="minorHAnsi" w:eastAsiaTheme="minorHAnsi" w:hAnsiTheme="minorHAnsi"/>
                <w:color w:val="auto"/>
                <w:sz w:val="22"/>
                <w:szCs w:val="22"/>
              </w:rPr>
            </w:pPr>
            <w:r w:rsidRPr="00D93603">
              <w:rPr>
                <w:rFonts w:asciiTheme="minorHAnsi" w:eastAsiaTheme="minorHAnsi" w:hAnsiTheme="minorHAnsi"/>
                <w:color w:val="auto"/>
                <w:sz w:val="22"/>
                <w:szCs w:val="22"/>
              </w:rPr>
              <w:t xml:space="preserve">§4.71a Rating </w:t>
            </w:r>
          </w:p>
        </w:tc>
        <w:tc>
          <w:tcPr>
            <w:tcW w:w="2430" w:type="dxa"/>
          </w:tcPr>
          <w:p w:rsidR="008377B9" w:rsidRPr="00D93603" w:rsidRDefault="008377B9" w:rsidP="00B3767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Pr="00D93603">
              <w:rPr>
                <w:rFonts w:asciiTheme="minorHAnsi" w:eastAsiaTheme="minorHAnsi" w:hAnsiTheme="minorHAnsi"/>
                <w:color w:val="auto"/>
                <w:sz w:val="22"/>
                <w:szCs w:val="22"/>
              </w:rPr>
              <w:t>%</w:t>
            </w:r>
          </w:p>
        </w:tc>
        <w:tc>
          <w:tcPr>
            <w:tcW w:w="2541" w:type="dxa"/>
          </w:tcPr>
          <w:p w:rsidR="008377B9" w:rsidRPr="00D93603" w:rsidRDefault="008377B9" w:rsidP="00B3767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Pr="00D93603">
              <w:rPr>
                <w:rFonts w:asciiTheme="minorHAnsi" w:eastAsiaTheme="minorHAnsi" w:hAnsiTheme="minorHAnsi"/>
                <w:color w:val="auto"/>
                <w:sz w:val="22"/>
                <w:szCs w:val="22"/>
              </w:rPr>
              <w:t>%</w:t>
            </w:r>
          </w:p>
        </w:tc>
      </w:tr>
    </w:tbl>
    <w:p w:rsidR="006D145F" w:rsidRDefault="006D145F" w:rsidP="00510F9C">
      <w:pPr>
        <w:spacing w:line="240" w:lineRule="exact"/>
        <w:rPr>
          <w:rFonts w:asciiTheme="minorHAnsi" w:hAnsiTheme="minorHAnsi"/>
          <w:color w:val="auto"/>
          <w:szCs w:val="24"/>
          <w:highlight w:val="yellow"/>
          <w:u w:val="single"/>
        </w:rPr>
      </w:pPr>
    </w:p>
    <w:p w:rsidR="008377B9" w:rsidRDefault="008377B9" w:rsidP="008377B9">
      <w:pPr>
        <w:tabs>
          <w:tab w:val="left" w:pos="288"/>
          <w:tab w:val="left" w:pos="4752"/>
        </w:tabs>
        <w:spacing w:line="240" w:lineRule="exact"/>
        <w:jc w:val="both"/>
        <w:rPr>
          <w:rFonts w:eastAsia="Calibri"/>
          <w:color w:val="auto"/>
          <w:szCs w:val="24"/>
        </w:rPr>
      </w:pPr>
      <w:r>
        <w:rPr>
          <w:color w:val="auto"/>
          <w:szCs w:val="24"/>
        </w:rPr>
        <w:t xml:space="preserve">The </w:t>
      </w:r>
      <w:r w:rsidR="00946A28">
        <w:rPr>
          <w:color w:val="auto"/>
          <w:szCs w:val="24"/>
        </w:rPr>
        <w:t xml:space="preserve">Board </w:t>
      </w:r>
      <w:r>
        <w:rPr>
          <w:color w:val="auto"/>
          <w:szCs w:val="24"/>
        </w:rPr>
        <w:t xml:space="preserve">carefully reviewed all evidentiary information available.  </w:t>
      </w:r>
      <w:proofErr w:type="spellStart"/>
      <w:r>
        <w:rPr>
          <w:color w:val="auto"/>
          <w:szCs w:val="24"/>
        </w:rPr>
        <w:t>Thoracolumbar</w:t>
      </w:r>
      <w:proofErr w:type="spellEnd"/>
      <w:r>
        <w:rPr>
          <w:color w:val="auto"/>
          <w:szCs w:val="24"/>
        </w:rPr>
        <w:t xml:space="preserve"> </w:t>
      </w:r>
      <w:r w:rsidR="00E82857">
        <w:rPr>
          <w:color w:val="auto"/>
          <w:szCs w:val="24"/>
        </w:rPr>
        <w:t>ROM</w:t>
      </w:r>
      <w:r>
        <w:rPr>
          <w:color w:val="auto"/>
          <w:szCs w:val="24"/>
        </w:rPr>
        <w:t xml:space="preserve"> measured by both</w:t>
      </w:r>
      <w:r w:rsidR="007D3DD8">
        <w:rPr>
          <w:color w:val="auto"/>
          <w:szCs w:val="24"/>
        </w:rPr>
        <w:t xml:space="preserve"> the </w:t>
      </w:r>
      <w:r>
        <w:rPr>
          <w:color w:val="auto"/>
          <w:szCs w:val="24"/>
        </w:rPr>
        <w:t>MEB</w:t>
      </w:r>
      <w:r w:rsidR="00A608E4">
        <w:rPr>
          <w:color w:val="auto"/>
          <w:szCs w:val="24"/>
        </w:rPr>
        <w:t>/</w:t>
      </w:r>
      <w:r w:rsidR="00DB0B11">
        <w:rPr>
          <w:color w:val="auto"/>
          <w:szCs w:val="24"/>
        </w:rPr>
        <w:t>PT</w:t>
      </w:r>
      <w:r>
        <w:rPr>
          <w:color w:val="auto"/>
          <w:szCs w:val="24"/>
        </w:rPr>
        <w:t xml:space="preserve"> </w:t>
      </w:r>
      <w:r w:rsidR="007D3DD8">
        <w:rPr>
          <w:color w:val="auto"/>
          <w:szCs w:val="24"/>
        </w:rPr>
        <w:t xml:space="preserve">exam </w:t>
      </w:r>
      <w:r>
        <w:rPr>
          <w:color w:val="auto"/>
          <w:szCs w:val="24"/>
        </w:rPr>
        <w:t xml:space="preserve">and </w:t>
      </w:r>
      <w:r w:rsidR="007D3DD8">
        <w:rPr>
          <w:color w:val="auto"/>
          <w:szCs w:val="24"/>
        </w:rPr>
        <w:t xml:space="preserve">the VA </w:t>
      </w:r>
      <w:r>
        <w:rPr>
          <w:color w:val="auto"/>
          <w:szCs w:val="24"/>
        </w:rPr>
        <w:t>C</w:t>
      </w:r>
      <w:r w:rsidRPr="00A608E4">
        <w:rPr>
          <w:color w:val="auto"/>
          <w:sz w:val="22"/>
          <w:szCs w:val="22"/>
        </w:rPr>
        <w:t>&amp;</w:t>
      </w:r>
      <w:r>
        <w:rPr>
          <w:color w:val="auto"/>
          <w:szCs w:val="24"/>
        </w:rPr>
        <w:t>P</w:t>
      </w:r>
      <w:r w:rsidR="007D3DD8">
        <w:rPr>
          <w:color w:val="auto"/>
          <w:szCs w:val="24"/>
        </w:rPr>
        <w:t xml:space="preserve"> exam</w:t>
      </w:r>
      <w:r w:rsidR="00A608E4">
        <w:rPr>
          <w:color w:val="auto"/>
          <w:szCs w:val="24"/>
        </w:rPr>
        <w:t>,</w:t>
      </w:r>
      <w:r>
        <w:rPr>
          <w:color w:val="auto"/>
          <w:szCs w:val="24"/>
        </w:rPr>
        <w:t xml:space="preserve"> fit</w:t>
      </w:r>
      <w:r w:rsidR="00E82857">
        <w:rPr>
          <w:color w:val="auto"/>
          <w:szCs w:val="24"/>
        </w:rPr>
        <w:t>s</w:t>
      </w:r>
      <w:r>
        <w:rPr>
          <w:color w:val="auto"/>
          <w:szCs w:val="24"/>
        </w:rPr>
        <w:t xml:space="preserve"> VASRD criteria for a 10% rating based on forward flexion and </w:t>
      </w:r>
      <w:r w:rsidR="00A608E4">
        <w:rPr>
          <w:color w:val="auto"/>
          <w:szCs w:val="24"/>
        </w:rPr>
        <w:t xml:space="preserve">also </w:t>
      </w:r>
      <w:r>
        <w:rPr>
          <w:color w:val="auto"/>
          <w:szCs w:val="24"/>
        </w:rPr>
        <w:t>combined motion.</w:t>
      </w:r>
      <w:r>
        <w:rPr>
          <w:rFonts w:eastAsia="Calibri"/>
          <w:color w:val="auto"/>
          <w:szCs w:val="24"/>
        </w:rPr>
        <w:t xml:space="preserve">  There was </w:t>
      </w:r>
      <w:r w:rsidRPr="008377B9">
        <w:rPr>
          <w:rFonts w:eastAsia="Calibri"/>
          <w:color w:val="auto"/>
          <w:szCs w:val="24"/>
        </w:rPr>
        <w:t>no</w:t>
      </w:r>
      <w:r>
        <w:rPr>
          <w:rFonts w:eastAsia="Calibri"/>
          <w:color w:val="auto"/>
          <w:szCs w:val="24"/>
        </w:rPr>
        <w:t xml:space="preserve"> evidence that the CI was having incapacitating episodes that would warrant a higher rating under code 5243 (</w:t>
      </w:r>
      <w:proofErr w:type="spellStart"/>
      <w:r>
        <w:rPr>
          <w:rFonts w:eastAsia="Calibri"/>
          <w:color w:val="auto"/>
          <w:szCs w:val="24"/>
        </w:rPr>
        <w:t>intervertebral</w:t>
      </w:r>
      <w:proofErr w:type="spellEnd"/>
      <w:r>
        <w:rPr>
          <w:rFonts w:eastAsia="Calibri"/>
          <w:color w:val="auto"/>
          <w:szCs w:val="24"/>
        </w:rPr>
        <w:t xml:space="preserve"> disc syndrome).  </w:t>
      </w:r>
      <w:r w:rsidRPr="001100A7">
        <w:rPr>
          <w:rFonts w:eastAsia="Calibri"/>
          <w:color w:val="auto"/>
          <w:szCs w:val="24"/>
        </w:rPr>
        <w:t xml:space="preserve">There was no </w:t>
      </w:r>
      <w:r w:rsidR="00234F18">
        <w:rPr>
          <w:rFonts w:eastAsia="Calibri"/>
          <w:color w:val="auto"/>
          <w:szCs w:val="24"/>
        </w:rPr>
        <w:t xml:space="preserve">objective </w:t>
      </w:r>
      <w:r w:rsidRPr="001100A7">
        <w:rPr>
          <w:rFonts w:eastAsia="Calibri"/>
          <w:color w:val="auto"/>
          <w:szCs w:val="24"/>
        </w:rPr>
        <w:t xml:space="preserve">evidence of ratable peripheral nerve impairment in this case.  </w:t>
      </w:r>
      <w:r w:rsidR="00EA2220">
        <w:rPr>
          <w:rFonts w:eastAsia="Calibri"/>
          <w:color w:val="auto"/>
          <w:szCs w:val="24"/>
        </w:rPr>
        <w:t xml:space="preserve">His right leg </w:t>
      </w:r>
      <w:proofErr w:type="spellStart"/>
      <w:r w:rsidR="00906AED">
        <w:rPr>
          <w:rFonts w:eastAsia="Calibri"/>
          <w:color w:val="auto"/>
          <w:szCs w:val="24"/>
        </w:rPr>
        <w:t>radicular</w:t>
      </w:r>
      <w:proofErr w:type="spellEnd"/>
      <w:r w:rsidR="00906AED">
        <w:rPr>
          <w:rFonts w:eastAsia="Calibri"/>
          <w:color w:val="auto"/>
          <w:szCs w:val="24"/>
        </w:rPr>
        <w:t xml:space="preserve"> </w:t>
      </w:r>
      <w:r w:rsidR="00EA2220">
        <w:rPr>
          <w:rFonts w:eastAsia="Calibri"/>
          <w:color w:val="auto"/>
          <w:szCs w:val="24"/>
        </w:rPr>
        <w:t xml:space="preserve">symptoms were sensory only.  On multiple exams, there was no documented, objective evidence of unfitting motor weakness.  </w:t>
      </w:r>
      <w:r w:rsidRPr="00141BD9">
        <w:rPr>
          <w:rFonts w:asciiTheme="minorHAnsi" w:hAnsiTheme="minorHAnsi"/>
          <w:color w:val="auto"/>
          <w:szCs w:val="24"/>
        </w:rPr>
        <w:t xml:space="preserve">No exam in evidence documented an abnormal gait or </w:t>
      </w:r>
      <w:r w:rsidR="00DB0B11">
        <w:rPr>
          <w:rFonts w:asciiTheme="minorHAnsi" w:hAnsiTheme="minorHAnsi"/>
          <w:color w:val="auto"/>
          <w:szCs w:val="24"/>
        </w:rPr>
        <w:t xml:space="preserve">spinal </w:t>
      </w:r>
      <w:r w:rsidRPr="00141BD9">
        <w:rPr>
          <w:rFonts w:asciiTheme="minorHAnsi" w:hAnsiTheme="minorHAnsi"/>
          <w:color w:val="auto"/>
          <w:szCs w:val="24"/>
        </w:rPr>
        <w:t>contour which would qualify for a §4.71a rating of 20%</w:t>
      </w:r>
      <w:r>
        <w:rPr>
          <w:rFonts w:asciiTheme="minorHAnsi" w:hAnsiTheme="minorHAnsi"/>
          <w:color w:val="auto"/>
          <w:szCs w:val="24"/>
        </w:rPr>
        <w:t xml:space="preserve">. </w:t>
      </w:r>
      <w:r>
        <w:rPr>
          <w:rFonts w:eastAsia="Calibri"/>
          <w:color w:val="auto"/>
          <w:szCs w:val="24"/>
        </w:rPr>
        <w:t xml:space="preserve"> All evidence considered</w:t>
      </w:r>
      <w:proofErr w:type="gramStart"/>
      <w:r>
        <w:rPr>
          <w:rFonts w:eastAsia="Calibri"/>
          <w:color w:val="auto"/>
          <w:szCs w:val="24"/>
        </w:rPr>
        <w:t>,</w:t>
      </w:r>
      <w:proofErr w:type="gramEnd"/>
      <w:r>
        <w:rPr>
          <w:rFonts w:eastAsia="Calibri"/>
          <w:color w:val="auto"/>
          <w:szCs w:val="24"/>
        </w:rPr>
        <w:t xml:space="preserve"> there is not reasonable doubt in the CI’s favor to justify a Board recommendation for other than the 10% rating assigned by the PEB.</w:t>
      </w:r>
      <w:r w:rsidR="00A35DE4">
        <w:rPr>
          <w:rFonts w:eastAsia="Calibri"/>
          <w:color w:val="auto"/>
          <w:szCs w:val="24"/>
        </w:rPr>
        <w:t xml:space="preserve">  After due deliberation, </w:t>
      </w:r>
      <w:r w:rsidR="00A35DE4">
        <w:rPr>
          <w:rFonts w:asciiTheme="minorHAnsi" w:hAnsiTheme="minorHAnsi"/>
          <w:color w:val="auto"/>
          <w:szCs w:val="24"/>
        </w:rPr>
        <w:t xml:space="preserve">the Board unanimously recommends a rating of 10% </w:t>
      </w:r>
      <w:r w:rsidR="00A35DE4">
        <w:rPr>
          <w:rFonts w:eastAsia="Calibri"/>
          <w:color w:val="auto"/>
          <w:szCs w:val="24"/>
        </w:rPr>
        <w:t>for the back pain condition.</w:t>
      </w:r>
      <w:r w:rsidR="001858AF">
        <w:rPr>
          <w:rFonts w:eastAsia="Calibri"/>
          <w:color w:val="auto"/>
          <w:szCs w:val="24"/>
        </w:rPr>
        <w:t xml:space="preserve">  It is appropriately coded 5242 and, as explained above, meets criteria for the 10% rating level.</w:t>
      </w:r>
    </w:p>
    <w:p w:rsidR="00B3767B" w:rsidRDefault="00B3767B" w:rsidP="008377B9">
      <w:pPr>
        <w:tabs>
          <w:tab w:val="left" w:pos="288"/>
          <w:tab w:val="left" w:pos="4752"/>
        </w:tabs>
        <w:spacing w:line="240" w:lineRule="exact"/>
        <w:jc w:val="both"/>
        <w:rPr>
          <w:rFonts w:eastAsia="Calibri"/>
          <w:color w:val="auto"/>
          <w:szCs w:val="24"/>
        </w:rPr>
      </w:pPr>
    </w:p>
    <w:p w:rsidR="00384F3C" w:rsidRDefault="00B3767B" w:rsidP="00AE62F3">
      <w:pPr>
        <w:spacing w:line="240" w:lineRule="exact"/>
        <w:jc w:val="both"/>
        <w:rPr>
          <w:rFonts w:asciiTheme="minorHAnsi" w:hAnsiTheme="minorHAnsi"/>
          <w:color w:val="auto"/>
          <w:szCs w:val="24"/>
        </w:rPr>
      </w:pPr>
      <w:r w:rsidRPr="00B3767B">
        <w:rPr>
          <w:rFonts w:asciiTheme="minorHAnsi" w:hAnsiTheme="minorHAnsi"/>
          <w:color w:val="auto"/>
          <w:szCs w:val="24"/>
          <w:u w:val="single"/>
        </w:rPr>
        <w:t>Left shoulder pain</w:t>
      </w:r>
      <w:r w:rsidRPr="00B3767B">
        <w:rPr>
          <w:rFonts w:asciiTheme="minorHAnsi" w:hAnsiTheme="minorHAnsi"/>
          <w:color w:val="auto"/>
          <w:szCs w:val="24"/>
        </w:rPr>
        <w:t>.</w:t>
      </w:r>
      <w:r>
        <w:rPr>
          <w:rFonts w:asciiTheme="minorHAnsi" w:hAnsiTheme="minorHAnsi"/>
          <w:color w:val="auto"/>
          <w:szCs w:val="24"/>
        </w:rPr>
        <w:t xml:space="preserve">  </w:t>
      </w:r>
      <w:r w:rsidR="00B650B8">
        <w:rPr>
          <w:rFonts w:asciiTheme="minorHAnsi" w:hAnsiTheme="minorHAnsi"/>
          <w:color w:val="auto"/>
          <w:szCs w:val="24"/>
        </w:rPr>
        <w:t>The C</w:t>
      </w:r>
      <w:r w:rsidR="00601FA3">
        <w:rPr>
          <w:rFonts w:asciiTheme="minorHAnsi" w:hAnsiTheme="minorHAnsi"/>
          <w:color w:val="auto"/>
          <w:szCs w:val="24"/>
        </w:rPr>
        <w:t>I</w:t>
      </w:r>
      <w:r w:rsidR="00B650B8">
        <w:rPr>
          <w:rFonts w:asciiTheme="minorHAnsi" w:hAnsiTheme="minorHAnsi"/>
          <w:color w:val="auto"/>
          <w:szCs w:val="24"/>
        </w:rPr>
        <w:t xml:space="preserve"> developed </w:t>
      </w:r>
      <w:r w:rsidR="00601FA3">
        <w:rPr>
          <w:rFonts w:asciiTheme="minorHAnsi" w:hAnsiTheme="minorHAnsi"/>
          <w:color w:val="auto"/>
          <w:szCs w:val="24"/>
        </w:rPr>
        <w:t xml:space="preserve">left </w:t>
      </w:r>
      <w:r w:rsidR="00605162">
        <w:rPr>
          <w:rFonts w:asciiTheme="minorHAnsi" w:hAnsiTheme="minorHAnsi"/>
          <w:color w:val="auto"/>
          <w:szCs w:val="24"/>
        </w:rPr>
        <w:t>shoulder pain</w:t>
      </w:r>
      <w:r w:rsidR="00B650B8">
        <w:rPr>
          <w:rFonts w:asciiTheme="minorHAnsi" w:hAnsiTheme="minorHAnsi"/>
          <w:color w:val="auto"/>
          <w:szCs w:val="24"/>
        </w:rPr>
        <w:t xml:space="preserve"> in 2008.  </w:t>
      </w:r>
      <w:r w:rsidR="00234F18">
        <w:rPr>
          <w:rFonts w:asciiTheme="minorHAnsi" w:hAnsiTheme="minorHAnsi"/>
          <w:color w:val="auto"/>
          <w:szCs w:val="24"/>
        </w:rPr>
        <w:t>E</w:t>
      </w:r>
      <w:r w:rsidR="00601FA3">
        <w:rPr>
          <w:rFonts w:asciiTheme="minorHAnsi" w:hAnsiTheme="minorHAnsi"/>
          <w:color w:val="auto"/>
          <w:szCs w:val="24"/>
        </w:rPr>
        <w:t>xamination</w:t>
      </w:r>
      <w:r w:rsidR="00DB0B11">
        <w:rPr>
          <w:rFonts w:asciiTheme="minorHAnsi" w:hAnsiTheme="minorHAnsi"/>
          <w:color w:val="auto"/>
          <w:szCs w:val="24"/>
        </w:rPr>
        <w:t xml:space="preserve"> </w:t>
      </w:r>
      <w:r w:rsidR="00B650B8">
        <w:rPr>
          <w:rFonts w:asciiTheme="minorHAnsi" w:hAnsiTheme="minorHAnsi"/>
          <w:color w:val="auto"/>
          <w:szCs w:val="24"/>
        </w:rPr>
        <w:t xml:space="preserve">revealed </w:t>
      </w:r>
      <w:proofErr w:type="spellStart"/>
      <w:r w:rsidR="00B650B8">
        <w:rPr>
          <w:rFonts w:asciiTheme="minorHAnsi" w:hAnsiTheme="minorHAnsi"/>
          <w:color w:val="auto"/>
          <w:szCs w:val="24"/>
        </w:rPr>
        <w:t>crepit</w:t>
      </w:r>
      <w:r w:rsidR="00601FA3">
        <w:rPr>
          <w:rFonts w:asciiTheme="minorHAnsi" w:hAnsiTheme="minorHAnsi"/>
          <w:color w:val="auto"/>
          <w:szCs w:val="24"/>
        </w:rPr>
        <w:t>us</w:t>
      </w:r>
      <w:proofErr w:type="spellEnd"/>
      <w:r w:rsidR="00DB0B11">
        <w:rPr>
          <w:rFonts w:asciiTheme="minorHAnsi" w:hAnsiTheme="minorHAnsi"/>
          <w:color w:val="auto"/>
          <w:szCs w:val="24"/>
        </w:rPr>
        <w:t xml:space="preserve">, </w:t>
      </w:r>
      <w:r w:rsidR="00203CD9">
        <w:rPr>
          <w:rFonts w:asciiTheme="minorHAnsi" w:hAnsiTheme="minorHAnsi"/>
          <w:color w:val="auto"/>
          <w:szCs w:val="24"/>
        </w:rPr>
        <w:t>and</w:t>
      </w:r>
      <w:r w:rsidR="00B650B8">
        <w:rPr>
          <w:rFonts w:asciiTheme="minorHAnsi" w:hAnsiTheme="minorHAnsi"/>
          <w:color w:val="auto"/>
          <w:szCs w:val="24"/>
        </w:rPr>
        <w:t xml:space="preserve"> a positive apprehension </w:t>
      </w:r>
      <w:r w:rsidR="00DB0B11">
        <w:rPr>
          <w:rFonts w:asciiTheme="minorHAnsi" w:hAnsiTheme="minorHAnsi"/>
          <w:color w:val="auto"/>
          <w:szCs w:val="24"/>
        </w:rPr>
        <w:t>sign</w:t>
      </w:r>
      <w:r w:rsidR="00B650B8">
        <w:rPr>
          <w:rFonts w:asciiTheme="minorHAnsi" w:hAnsiTheme="minorHAnsi"/>
          <w:color w:val="auto"/>
          <w:szCs w:val="24"/>
        </w:rPr>
        <w:t xml:space="preserve">.  MRI </w:t>
      </w:r>
      <w:r w:rsidR="00DB0B11">
        <w:rPr>
          <w:rFonts w:asciiTheme="minorHAnsi" w:hAnsiTheme="minorHAnsi"/>
          <w:color w:val="auto"/>
          <w:szCs w:val="24"/>
        </w:rPr>
        <w:t>show</w:t>
      </w:r>
      <w:r w:rsidR="00B650B8">
        <w:rPr>
          <w:rFonts w:asciiTheme="minorHAnsi" w:hAnsiTheme="minorHAnsi"/>
          <w:color w:val="auto"/>
          <w:szCs w:val="24"/>
        </w:rPr>
        <w:t xml:space="preserve">ed rotator cuff </w:t>
      </w:r>
      <w:proofErr w:type="spellStart"/>
      <w:r w:rsidR="00B650B8">
        <w:rPr>
          <w:rFonts w:asciiTheme="minorHAnsi" w:hAnsiTheme="minorHAnsi"/>
          <w:color w:val="auto"/>
          <w:szCs w:val="24"/>
        </w:rPr>
        <w:t>tendinosis</w:t>
      </w:r>
      <w:proofErr w:type="spellEnd"/>
      <w:r w:rsidR="00234F18">
        <w:rPr>
          <w:rFonts w:asciiTheme="minorHAnsi" w:hAnsiTheme="minorHAnsi"/>
          <w:color w:val="auto"/>
          <w:szCs w:val="24"/>
        </w:rPr>
        <w:t>, with</w:t>
      </w:r>
      <w:r w:rsidR="00B650B8">
        <w:rPr>
          <w:rFonts w:asciiTheme="minorHAnsi" w:hAnsiTheme="minorHAnsi"/>
          <w:color w:val="auto"/>
          <w:szCs w:val="24"/>
        </w:rPr>
        <w:t xml:space="preserve"> po</w:t>
      </w:r>
      <w:r w:rsidR="00605162">
        <w:rPr>
          <w:rFonts w:asciiTheme="minorHAnsi" w:hAnsiTheme="minorHAnsi"/>
          <w:color w:val="auto"/>
          <w:szCs w:val="24"/>
        </w:rPr>
        <w:t xml:space="preserve">ssible </w:t>
      </w:r>
      <w:proofErr w:type="spellStart"/>
      <w:r w:rsidR="00605162">
        <w:rPr>
          <w:rFonts w:asciiTheme="minorHAnsi" w:hAnsiTheme="minorHAnsi"/>
          <w:color w:val="auto"/>
          <w:szCs w:val="24"/>
        </w:rPr>
        <w:t>labral</w:t>
      </w:r>
      <w:proofErr w:type="spellEnd"/>
      <w:r w:rsidR="00605162">
        <w:rPr>
          <w:rFonts w:asciiTheme="minorHAnsi" w:hAnsiTheme="minorHAnsi"/>
          <w:color w:val="auto"/>
          <w:szCs w:val="24"/>
        </w:rPr>
        <w:t xml:space="preserve"> tear.  </w:t>
      </w:r>
      <w:r w:rsidR="00B650B8">
        <w:rPr>
          <w:rFonts w:asciiTheme="minorHAnsi" w:hAnsiTheme="minorHAnsi"/>
          <w:color w:val="auto"/>
          <w:szCs w:val="24"/>
        </w:rPr>
        <w:t xml:space="preserve">He was </w:t>
      </w:r>
      <w:r w:rsidR="00DB0B11">
        <w:rPr>
          <w:rFonts w:asciiTheme="minorHAnsi" w:hAnsiTheme="minorHAnsi"/>
          <w:color w:val="auto"/>
          <w:szCs w:val="24"/>
        </w:rPr>
        <w:t xml:space="preserve">issued a permanent </w:t>
      </w:r>
      <w:r w:rsidR="00B650B8">
        <w:rPr>
          <w:rFonts w:asciiTheme="minorHAnsi" w:hAnsiTheme="minorHAnsi"/>
          <w:color w:val="auto"/>
          <w:szCs w:val="24"/>
        </w:rPr>
        <w:t>profile for his shoulder condition, with restrictions to include no carrying a rucksack and no lifting more than 30 pounds</w:t>
      </w:r>
      <w:r w:rsidR="00384F3C">
        <w:rPr>
          <w:rFonts w:asciiTheme="minorHAnsi" w:hAnsiTheme="minorHAnsi"/>
          <w:color w:val="auto"/>
          <w:szCs w:val="24"/>
        </w:rPr>
        <w:t xml:space="preserve">.  </w:t>
      </w:r>
      <w:r w:rsidR="00DB0B11">
        <w:rPr>
          <w:rFonts w:asciiTheme="minorHAnsi" w:hAnsiTheme="minorHAnsi"/>
          <w:color w:val="auto"/>
          <w:szCs w:val="24"/>
        </w:rPr>
        <w:t xml:space="preserve">At his December 2008 </w:t>
      </w:r>
      <w:r w:rsidR="00601FA3">
        <w:rPr>
          <w:rFonts w:asciiTheme="minorHAnsi" w:hAnsiTheme="minorHAnsi"/>
          <w:color w:val="auto"/>
          <w:szCs w:val="24"/>
        </w:rPr>
        <w:t>MEB</w:t>
      </w:r>
      <w:r w:rsidR="00DB0B11">
        <w:rPr>
          <w:rFonts w:asciiTheme="minorHAnsi" w:hAnsiTheme="minorHAnsi"/>
          <w:color w:val="auto"/>
          <w:szCs w:val="24"/>
        </w:rPr>
        <w:t xml:space="preserve"> evaluation, three</w:t>
      </w:r>
      <w:r w:rsidR="00384F3C">
        <w:rPr>
          <w:rFonts w:asciiTheme="minorHAnsi" w:hAnsiTheme="minorHAnsi"/>
          <w:color w:val="auto"/>
          <w:szCs w:val="24"/>
        </w:rPr>
        <w:t xml:space="preserve"> months prior to separation, the CI complained of left shoulder pain</w:t>
      </w:r>
      <w:r w:rsidR="00601FA3">
        <w:rPr>
          <w:rFonts w:asciiTheme="minorHAnsi" w:hAnsiTheme="minorHAnsi"/>
          <w:color w:val="auto"/>
          <w:szCs w:val="24"/>
        </w:rPr>
        <w:t xml:space="preserve"> and “catching</w:t>
      </w:r>
      <w:r w:rsidR="00DB0B11">
        <w:rPr>
          <w:rFonts w:asciiTheme="minorHAnsi" w:hAnsiTheme="minorHAnsi"/>
          <w:color w:val="auto"/>
          <w:szCs w:val="24"/>
        </w:rPr>
        <w:t>.</w:t>
      </w:r>
      <w:r w:rsidR="00601FA3">
        <w:rPr>
          <w:rFonts w:asciiTheme="minorHAnsi" w:hAnsiTheme="minorHAnsi"/>
          <w:color w:val="auto"/>
          <w:szCs w:val="24"/>
        </w:rPr>
        <w:t>”</w:t>
      </w:r>
      <w:r w:rsidR="00DB0B11">
        <w:rPr>
          <w:rFonts w:asciiTheme="minorHAnsi" w:hAnsiTheme="minorHAnsi"/>
          <w:color w:val="auto"/>
          <w:szCs w:val="24"/>
        </w:rPr>
        <w:t xml:space="preserve">  </w:t>
      </w:r>
      <w:r w:rsidR="00605162">
        <w:rPr>
          <w:rFonts w:asciiTheme="minorHAnsi" w:hAnsiTheme="minorHAnsi"/>
          <w:color w:val="auto"/>
          <w:szCs w:val="24"/>
        </w:rPr>
        <w:t>On</w:t>
      </w:r>
      <w:r w:rsidR="00384F3C">
        <w:rPr>
          <w:rFonts w:asciiTheme="minorHAnsi" w:hAnsiTheme="minorHAnsi"/>
          <w:color w:val="auto"/>
          <w:szCs w:val="24"/>
        </w:rPr>
        <w:t xml:space="preserve"> examination</w:t>
      </w:r>
      <w:r w:rsidR="00DB0B11">
        <w:rPr>
          <w:rFonts w:asciiTheme="minorHAnsi" w:hAnsiTheme="minorHAnsi"/>
          <w:color w:val="auto"/>
          <w:szCs w:val="24"/>
        </w:rPr>
        <w:t>,</w:t>
      </w:r>
      <w:r w:rsidR="00601FA3">
        <w:rPr>
          <w:rFonts w:asciiTheme="minorHAnsi" w:hAnsiTheme="minorHAnsi"/>
          <w:color w:val="auto"/>
          <w:szCs w:val="24"/>
        </w:rPr>
        <w:t xml:space="preserve"> there was some </w:t>
      </w:r>
      <w:proofErr w:type="spellStart"/>
      <w:r w:rsidR="00601FA3">
        <w:rPr>
          <w:rFonts w:asciiTheme="minorHAnsi" w:hAnsiTheme="minorHAnsi"/>
          <w:color w:val="auto"/>
          <w:szCs w:val="24"/>
        </w:rPr>
        <w:t>crepitus</w:t>
      </w:r>
      <w:proofErr w:type="spellEnd"/>
      <w:r w:rsidR="00DB0B11">
        <w:rPr>
          <w:rFonts w:asciiTheme="minorHAnsi" w:hAnsiTheme="minorHAnsi"/>
          <w:color w:val="auto"/>
          <w:szCs w:val="24"/>
        </w:rPr>
        <w:t xml:space="preserve">, </w:t>
      </w:r>
      <w:r w:rsidR="00601FA3">
        <w:rPr>
          <w:rFonts w:asciiTheme="minorHAnsi" w:hAnsiTheme="minorHAnsi"/>
          <w:color w:val="auto"/>
          <w:szCs w:val="24"/>
        </w:rPr>
        <w:t xml:space="preserve">pain with </w:t>
      </w:r>
      <w:r w:rsidR="00DB0B11">
        <w:rPr>
          <w:rFonts w:asciiTheme="minorHAnsi" w:hAnsiTheme="minorHAnsi"/>
          <w:color w:val="auto"/>
          <w:szCs w:val="24"/>
        </w:rPr>
        <w:t xml:space="preserve">motion, and </w:t>
      </w:r>
      <w:r w:rsidR="00946A28">
        <w:rPr>
          <w:rFonts w:asciiTheme="minorHAnsi" w:hAnsiTheme="minorHAnsi"/>
          <w:color w:val="auto"/>
          <w:szCs w:val="24"/>
        </w:rPr>
        <w:t>TTP</w:t>
      </w:r>
      <w:r w:rsidR="00601FA3">
        <w:rPr>
          <w:rFonts w:asciiTheme="minorHAnsi" w:hAnsiTheme="minorHAnsi"/>
          <w:color w:val="auto"/>
          <w:szCs w:val="24"/>
        </w:rPr>
        <w:t>.</w:t>
      </w:r>
      <w:r w:rsidR="00DB0B11">
        <w:rPr>
          <w:rFonts w:asciiTheme="minorHAnsi" w:hAnsiTheme="minorHAnsi"/>
          <w:color w:val="auto"/>
          <w:szCs w:val="24"/>
        </w:rPr>
        <w:t xml:space="preserve">  Shoulder ROM is summarized in the </w:t>
      </w:r>
      <w:r w:rsidR="00601FA3">
        <w:rPr>
          <w:rFonts w:asciiTheme="minorHAnsi" w:hAnsiTheme="minorHAnsi"/>
          <w:color w:val="auto"/>
          <w:szCs w:val="24"/>
        </w:rPr>
        <w:t>chart below.</w:t>
      </w:r>
      <w:r w:rsidR="00DB0B11">
        <w:rPr>
          <w:rFonts w:asciiTheme="minorHAnsi" w:hAnsiTheme="minorHAnsi"/>
          <w:color w:val="auto"/>
          <w:szCs w:val="24"/>
        </w:rPr>
        <w:t xml:space="preserve">  </w:t>
      </w:r>
      <w:r w:rsidR="00601FA3">
        <w:rPr>
          <w:rFonts w:asciiTheme="minorHAnsi" w:hAnsiTheme="minorHAnsi"/>
          <w:color w:val="auto"/>
          <w:szCs w:val="24"/>
        </w:rPr>
        <w:t>Two weeks after separation</w:t>
      </w:r>
      <w:r w:rsidR="00DB0B11">
        <w:rPr>
          <w:rFonts w:asciiTheme="minorHAnsi" w:hAnsiTheme="minorHAnsi"/>
          <w:color w:val="auto"/>
          <w:szCs w:val="24"/>
        </w:rPr>
        <w:t>,</w:t>
      </w:r>
      <w:r w:rsidR="00601FA3">
        <w:rPr>
          <w:rFonts w:asciiTheme="minorHAnsi" w:hAnsiTheme="minorHAnsi"/>
          <w:color w:val="auto"/>
          <w:szCs w:val="24"/>
        </w:rPr>
        <w:t xml:space="preserve"> </w:t>
      </w:r>
      <w:r w:rsidR="00234F18">
        <w:rPr>
          <w:rFonts w:asciiTheme="minorHAnsi" w:hAnsiTheme="minorHAnsi"/>
          <w:color w:val="auto"/>
          <w:szCs w:val="24"/>
        </w:rPr>
        <w:t>at his</w:t>
      </w:r>
      <w:r w:rsidR="00601FA3">
        <w:rPr>
          <w:rFonts w:asciiTheme="minorHAnsi" w:hAnsiTheme="minorHAnsi"/>
          <w:color w:val="auto"/>
          <w:szCs w:val="24"/>
        </w:rPr>
        <w:t xml:space="preserve"> VA C&amp;P evaluation</w:t>
      </w:r>
      <w:r w:rsidR="00234F18">
        <w:rPr>
          <w:rFonts w:asciiTheme="minorHAnsi" w:hAnsiTheme="minorHAnsi"/>
          <w:color w:val="auto"/>
          <w:szCs w:val="24"/>
        </w:rPr>
        <w:t xml:space="preserve">, </w:t>
      </w:r>
      <w:r w:rsidR="00DB0B11">
        <w:rPr>
          <w:rFonts w:asciiTheme="minorHAnsi" w:hAnsiTheme="minorHAnsi"/>
          <w:color w:val="auto"/>
          <w:szCs w:val="24"/>
        </w:rPr>
        <w:t xml:space="preserve">he was having </w:t>
      </w:r>
      <w:r w:rsidR="00601FA3">
        <w:rPr>
          <w:rFonts w:asciiTheme="minorHAnsi" w:hAnsiTheme="minorHAnsi"/>
          <w:color w:val="auto"/>
          <w:szCs w:val="24"/>
        </w:rPr>
        <w:t>daily</w:t>
      </w:r>
      <w:r w:rsidR="00DB0B11">
        <w:rPr>
          <w:rFonts w:asciiTheme="minorHAnsi" w:hAnsiTheme="minorHAnsi"/>
          <w:color w:val="auto"/>
          <w:szCs w:val="24"/>
        </w:rPr>
        <w:t xml:space="preserve"> </w:t>
      </w:r>
      <w:r w:rsidR="00601FA3">
        <w:rPr>
          <w:rFonts w:asciiTheme="minorHAnsi" w:hAnsiTheme="minorHAnsi"/>
          <w:color w:val="auto"/>
          <w:szCs w:val="24"/>
        </w:rPr>
        <w:t xml:space="preserve">shoulder pain.  There was no history of locking, subluxation or dislocation.  There </w:t>
      </w:r>
      <w:r w:rsidR="00601FA3">
        <w:rPr>
          <w:rFonts w:asciiTheme="minorHAnsi" w:hAnsiTheme="minorHAnsi"/>
          <w:color w:val="auto"/>
          <w:szCs w:val="24"/>
        </w:rPr>
        <w:lastRenderedPageBreak/>
        <w:t xml:space="preserve">was some guarding and motion was slightly restricted due to pain.  Radiographs were normal.  </w:t>
      </w:r>
      <w:r w:rsidR="001471D4">
        <w:rPr>
          <w:color w:val="auto"/>
          <w:szCs w:val="24"/>
        </w:rPr>
        <w:t xml:space="preserve">Two </w:t>
      </w:r>
      <w:r w:rsidR="001471D4" w:rsidRPr="006D3B25">
        <w:rPr>
          <w:color w:val="auto"/>
          <w:szCs w:val="24"/>
        </w:rPr>
        <w:t>goniometric</w:t>
      </w:r>
      <w:r w:rsidR="001471D4">
        <w:rPr>
          <w:color w:val="auto"/>
          <w:szCs w:val="24"/>
        </w:rPr>
        <w:t xml:space="preserve"> </w:t>
      </w:r>
      <w:r w:rsidR="00DB0B11">
        <w:rPr>
          <w:color w:val="auto"/>
          <w:szCs w:val="24"/>
        </w:rPr>
        <w:t xml:space="preserve">ROM </w:t>
      </w:r>
      <w:r w:rsidR="00394476">
        <w:rPr>
          <w:color w:val="auto"/>
          <w:szCs w:val="24"/>
        </w:rPr>
        <w:t xml:space="preserve">evaluations </w:t>
      </w:r>
      <w:r w:rsidR="001471D4">
        <w:rPr>
          <w:color w:val="auto"/>
          <w:szCs w:val="24"/>
        </w:rPr>
        <w:t>w</w:t>
      </w:r>
      <w:r w:rsidR="00234F18">
        <w:rPr>
          <w:color w:val="auto"/>
          <w:szCs w:val="24"/>
        </w:rPr>
        <w:t>ere in evidence and t</w:t>
      </w:r>
      <w:r w:rsidR="001471D4">
        <w:rPr>
          <w:color w:val="auto"/>
          <w:szCs w:val="24"/>
        </w:rPr>
        <w:t>hese two exams are summarized in the chart below.</w:t>
      </w:r>
    </w:p>
    <w:p w:rsidR="001471D4" w:rsidRPr="00396779" w:rsidRDefault="001471D4" w:rsidP="001471D4">
      <w:pPr>
        <w:tabs>
          <w:tab w:val="left" w:pos="2980"/>
        </w:tabs>
        <w:spacing w:line="240" w:lineRule="exact"/>
        <w:jc w:val="both"/>
        <w:rPr>
          <w:rFonts w:asciiTheme="minorHAnsi" w:hAnsiTheme="minorHAnsi"/>
          <w:color w:val="auto"/>
          <w:szCs w:val="24"/>
        </w:rPr>
      </w:pPr>
    </w:p>
    <w:tbl>
      <w:tblPr>
        <w:tblW w:w="6719" w:type="dxa"/>
        <w:jc w:val="center"/>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9"/>
        <w:gridCol w:w="1885"/>
        <w:gridCol w:w="2475"/>
      </w:tblGrid>
      <w:tr w:rsidR="001471D4" w:rsidRPr="00B91C14" w:rsidTr="00EC2C93">
        <w:trPr>
          <w:trHeight w:val="410"/>
          <w:jc w:val="center"/>
        </w:trPr>
        <w:tc>
          <w:tcPr>
            <w:tcW w:w="2359" w:type="dxa"/>
            <w:shd w:val="clear" w:color="auto" w:fill="D9D9D9" w:themeFill="background1" w:themeFillShade="D9"/>
            <w:vAlign w:val="center"/>
          </w:tcPr>
          <w:p w:rsidR="0098412B" w:rsidRDefault="001471D4" w:rsidP="00EC2C93">
            <w:pPr>
              <w:spacing w:line="200" w:lineRule="exact"/>
              <w:contextualSpacing/>
              <w:jc w:val="center"/>
              <w:rPr>
                <w:rFonts w:asciiTheme="minorHAnsi" w:eastAsia="Calibri" w:hAnsiTheme="minorHAnsi"/>
                <w:color w:val="auto"/>
                <w:sz w:val="20"/>
              </w:rPr>
            </w:pPr>
            <w:r w:rsidRPr="00B91C14">
              <w:rPr>
                <w:rFonts w:asciiTheme="minorHAnsi" w:eastAsia="Calibri" w:hAnsiTheme="minorHAnsi"/>
                <w:color w:val="auto"/>
                <w:sz w:val="20"/>
              </w:rPr>
              <w:t xml:space="preserve">Goniometric ROM </w:t>
            </w:r>
          </w:p>
          <w:p w:rsidR="001471D4" w:rsidRPr="00B91C14" w:rsidRDefault="001471D4" w:rsidP="00EC2C93">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Left</w:t>
            </w:r>
            <w:r w:rsidRPr="00B91C14">
              <w:rPr>
                <w:rFonts w:asciiTheme="minorHAnsi" w:eastAsia="Calibri" w:hAnsiTheme="minorHAnsi"/>
                <w:color w:val="auto"/>
                <w:sz w:val="20"/>
              </w:rPr>
              <w:t xml:space="preserve"> Shoulder</w:t>
            </w:r>
          </w:p>
        </w:tc>
        <w:tc>
          <w:tcPr>
            <w:tcW w:w="1885" w:type="dxa"/>
            <w:shd w:val="clear" w:color="auto" w:fill="D9D9D9" w:themeFill="background1" w:themeFillShade="D9"/>
            <w:vAlign w:val="center"/>
          </w:tcPr>
          <w:p w:rsidR="001471D4" w:rsidRPr="00B91C14" w:rsidRDefault="001471D4" w:rsidP="0098412B">
            <w:pPr>
              <w:spacing w:line="200" w:lineRule="exact"/>
              <w:contextualSpacing/>
              <w:jc w:val="center"/>
              <w:rPr>
                <w:rFonts w:asciiTheme="minorHAnsi" w:eastAsia="Calibri" w:hAnsiTheme="minorHAnsi"/>
                <w:color w:val="auto"/>
                <w:sz w:val="20"/>
              </w:rPr>
            </w:pPr>
            <w:r w:rsidRPr="00B91C14">
              <w:rPr>
                <w:rFonts w:asciiTheme="minorHAnsi" w:eastAsia="Calibri" w:hAnsiTheme="minorHAnsi"/>
                <w:color w:val="auto"/>
                <w:sz w:val="20"/>
              </w:rPr>
              <w:t>PT</w:t>
            </w:r>
            <w:r w:rsidR="0098412B">
              <w:rPr>
                <w:rFonts w:asciiTheme="minorHAnsi" w:eastAsia="Calibri" w:hAnsiTheme="minorHAnsi"/>
                <w:color w:val="auto"/>
                <w:sz w:val="20"/>
              </w:rPr>
              <w:t xml:space="preserve"> – </w:t>
            </w:r>
            <w:r>
              <w:rPr>
                <w:rFonts w:asciiTheme="minorHAnsi" w:eastAsia="Calibri" w:hAnsiTheme="minorHAnsi"/>
                <w:color w:val="auto"/>
                <w:sz w:val="20"/>
              </w:rPr>
              <w:t>4</w:t>
            </w:r>
            <w:r w:rsidRPr="00B91C14">
              <w:rPr>
                <w:rFonts w:asciiTheme="minorHAnsi" w:eastAsia="Calibri" w:hAnsiTheme="minorHAnsi"/>
                <w:color w:val="auto"/>
                <w:sz w:val="20"/>
              </w:rPr>
              <w:t xml:space="preserve"> </w:t>
            </w:r>
            <w:r w:rsidR="0098412B">
              <w:rPr>
                <w:rFonts w:asciiTheme="minorHAnsi" w:eastAsia="Calibri" w:hAnsiTheme="minorHAnsi"/>
                <w:color w:val="auto"/>
                <w:sz w:val="20"/>
              </w:rPr>
              <w:t>m</w:t>
            </w:r>
            <w:r w:rsidRPr="00B91C14">
              <w:rPr>
                <w:rFonts w:asciiTheme="minorHAnsi" w:eastAsia="Calibri" w:hAnsiTheme="minorHAnsi"/>
                <w:color w:val="auto"/>
                <w:sz w:val="20"/>
              </w:rPr>
              <w:t>o. Pre-Sep</w:t>
            </w:r>
          </w:p>
        </w:tc>
        <w:tc>
          <w:tcPr>
            <w:tcW w:w="2475" w:type="dxa"/>
            <w:shd w:val="clear" w:color="auto" w:fill="D9D9D9" w:themeFill="background1" w:themeFillShade="D9"/>
            <w:vAlign w:val="center"/>
          </w:tcPr>
          <w:p w:rsidR="001471D4" w:rsidRPr="00B91C14" w:rsidRDefault="001471D4" w:rsidP="0098412B">
            <w:pPr>
              <w:spacing w:line="200" w:lineRule="exact"/>
              <w:contextualSpacing/>
              <w:jc w:val="center"/>
              <w:rPr>
                <w:rFonts w:asciiTheme="minorHAnsi" w:eastAsiaTheme="minorHAnsi" w:hAnsiTheme="minorHAnsi" w:cstheme="minorBidi"/>
                <w:color w:val="auto"/>
                <w:sz w:val="20"/>
              </w:rPr>
            </w:pPr>
            <w:r w:rsidRPr="00B91C14">
              <w:rPr>
                <w:rFonts w:asciiTheme="minorHAnsi" w:eastAsia="Calibri" w:hAnsiTheme="minorHAnsi"/>
                <w:color w:val="auto"/>
                <w:sz w:val="20"/>
              </w:rPr>
              <w:t>VA</w:t>
            </w:r>
            <w:r w:rsidRPr="00B91C14">
              <w:rPr>
                <w:rFonts w:asciiTheme="minorHAnsi" w:eastAsiaTheme="minorHAnsi" w:hAnsiTheme="minorHAnsi" w:cstheme="minorBidi"/>
                <w:color w:val="auto"/>
                <w:sz w:val="20"/>
              </w:rPr>
              <w:t xml:space="preserve"> C&amp;P</w:t>
            </w:r>
            <w:r w:rsidR="0098412B">
              <w:rPr>
                <w:rFonts w:asciiTheme="minorHAnsi" w:eastAsiaTheme="minorHAnsi" w:hAnsiTheme="minorHAnsi" w:cstheme="minorBidi"/>
                <w:color w:val="auto"/>
                <w:sz w:val="20"/>
              </w:rPr>
              <w:t xml:space="preserve"> – </w:t>
            </w:r>
            <w:r>
              <w:rPr>
                <w:rFonts w:asciiTheme="minorHAnsi" w:eastAsia="Calibri" w:hAnsiTheme="minorHAnsi"/>
                <w:color w:val="auto"/>
                <w:sz w:val="20"/>
              </w:rPr>
              <w:t xml:space="preserve">2 </w:t>
            </w:r>
            <w:r w:rsidR="0098412B">
              <w:rPr>
                <w:rFonts w:asciiTheme="minorHAnsi" w:eastAsia="Calibri" w:hAnsiTheme="minorHAnsi"/>
                <w:color w:val="auto"/>
                <w:sz w:val="20"/>
              </w:rPr>
              <w:t>w</w:t>
            </w:r>
            <w:r>
              <w:rPr>
                <w:rFonts w:asciiTheme="minorHAnsi" w:eastAsia="Calibri" w:hAnsiTheme="minorHAnsi"/>
                <w:color w:val="auto"/>
                <w:sz w:val="20"/>
              </w:rPr>
              <w:t>ks.</w:t>
            </w:r>
            <w:r w:rsidRPr="00B91C14">
              <w:rPr>
                <w:rFonts w:asciiTheme="minorHAnsi" w:eastAsia="Calibri" w:hAnsiTheme="minorHAnsi"/>
                <w:color w:val="auto"/>
                <w:sz w:val="20"/>
              </w:rPr>
              <w:t xml:space="preserve"> </w:t>
            </w:r>
            <w:r w:rsidR="0098412B">
              <w:rPr>
                <w:rFonts w:asciiTheme="minorHAnsi" w:eastAsia="Calibri" w:hAnsiTheme="minorHAnsi"/>
                <w:color w:val="auto"/>
                <w:sz w:val="20"/>
              </w:rPr>
              <w:t>Post</w:t>
            </w:r>
            <w:r w:rsidRPr="00B91C14">
              <w:rPr>
                <w:rFonts w:asciiTheme="minorHAnsi" w:eastAsia="Calibri" w:hAnsiTheme="minorHAnsi"/>
                <w:color w:val="auto"/>
                <w:sz w:val="20"/>
              </w:rPr>
              <w:t>-Sep</w:t>
            </w:r>
          </w:p>
        </w:tc>
      </w:tr>
      <w:tr w:rsidR="001471D4" w:rsidRPr="00B91C14" w:rsidTr="00EC2C93">
        <w:trPr>
          <w:jc w:val="center"/>
        </w:trPr>
        <w:tc>
          <w:tcPr>
            <w:tcW w:w="2359" w:type="dxa"/>
            <w:vAlign w:val="center"/>
          </w:tcPr>
          <w:p w:rsidR="001471D4" w:rsidRPr="00B91C14" w:rsidRDefault="0098412B" w:rsidP="0098412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Flexion (</w:t>
            </w:r>
            <w:r w:rsidR="001471D4" w:rsidRPr="00B91C14">
              <w:rPr>
                <w:rFonts w:asciiTheme="minorHAnsi" w:eastAsia="Calibri" w:hAnsiTheme="minorHAnsi"/>
                <w:color w:val="auto"/>
                <w:sz w:val="18"/>
                <w:szCs w:val="18"/>
              </w:rPr>
              <w:t>180</w:t>
            </w:r>
            <w:r w:rsidRPr="00B91C14">
              <w:rPr>
                <w:rFonts w:asciiTheme="minorHAnsi" w:eastAsia="Calibri" w:hAnsiTheme="minorHAnsi"/>
                <w:color w:val="auto"/>
                <w:sz w:val="18"/>
                <w:szCs w:val="18"/>
              </w:rPr>
              <w:t>⁰</w:t>
            </w:r>
            <w:r>
              <w:rPr>
                <w:rFonts w:asciiTheme="minorHAnsi" w:eastAsia="Calibri" w:hAnsiTheme="minorHAnsi"/>
                <w:color w:val="auto"/>
                <w:sz w:val="18"/>
                <w:szCs w:val="18"/>
              </w:rPr>
              <w:t xml:space="preserve"> is normal</w:t>
            </w:r>
            <w:r w:rsidR="001471D4" w:rsidRPr="00B91C14">
              <w:rPr>
                <w:rFonts w:asciiTheme="minorHAnsi" w:eastAsia="Calibri" w:hAnsiTheme="minorHAnsi"/>
                <w:color w:val="auto"/>
                <w:sz w:val="18"/>
                <w:szCs w:val="18"/>
              </w:rPr>
              <w:t>)</w:t>
            </w:r>
          </w:p>
        </w:tc>
        <w:tc>
          <w:tcPr>
            <w:tcW w:w="1885" w:type="dxa"/>
            <w:vAlign w:val="center"/>
          </w:tcPr>
          <w:p w:rsidR="001471D4" w:rsidRPr="00B91C14" w:rsidRDefault="001471D4" w:rsidP="0098412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125</w:t>
            </w:r>
            <w:r w:rsidRPr="00B91C14">
              <w:rPr>
                <w:rFonts w:asciiTheme="minorHAnsi" w:eastAsia="Calibri" w:hAnsiTheme="minorHAnsi"/>
                <w:color w:val="auto"/>
                <w:sz w:val="18"/>
                <w:szCs w:val="18"/>
              </w:rPr>
              <w:t>⁰</w:t>
            </w:r>
          </w:p>
        </w:tc>
        <w:tc>
          <w:tcPr>
            <w:tcW w:w="2475" w:type="dxa"/>
            <w:vAlign w:val="center"/>
          </w:tcPr>
          <w:p w:rsidR="001471D4" w:rsidRPr="00B91C14" w:rsidRDefault="001471D4" w:rsidP="00EC2C9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180</w:t>
            </w:r>
            <w:r w:rsidRPr="00B91C14">
              <w:rPr>
                <w:rFonts w:asciiTheme="minorHAnsi" w:eastAsia="Calibri" w:hAnsiTheme="minorHAnsi"/>
                <w:color w:val="auto"/>
                <w:sz w:val="18"/>
                <w:szCs w:val="18"/>
              </w:rPr>
              <w:t>⁰</w:t>
            </w:r>
          </w:p>
        </w:tc>
      </w:tr>
      <w:tr w:rsidR="001471D4" w:rsidRPr="00B91C14" w:rsidTr="00EC2C93">
        <w:trPr>
          <w:trHeight w:val="79"/>
          <w:jc w:val="center"/>
        </w:trPr>
        <w:tc>
          <w:tcPr>
            <w:tcW w:w="2359" w:type="dxa"/>
            <w:vAlign w:val="center"/>
          </w:tcPr>
          <w:p w:rsidR="001471D4" w:rsidRPr="00B91C14" w:rsidRDefault="0098412B" w:rsidP="0098412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Abduction (</w:t>
            </w:r>
            <w:r w:rsidR="001471D4" w:rsidRPr="00B91C14">
              <w:rPr>
                <w:rFonts w:asciiTheme="minorHAnsi" w:eastAsia="Calibri" w:hAnsiTheme="minorHAnsi"/>
                <w:color w:val="auto"/>
                <w:sz w:val="18"/>
                <w:szCs w:val="18"/>
              </w:rPr>
              <w:t>180</w:t>
            </w:r>
            <w:r w:rsidRPr="00B91C14">
              <w:rPr>
                <w:rFonts w:asciiTheme="minorHAnsi" w:eastAsia="Calibri" w:hAnsiTheme="minorHAnsi"/>
                <w:color w:val="auto"/>
                <w:sz w:val="18"/>
                <w:szCs w:val="18"/>
              </w:rPr>
              <w:t>⁰</w:t>
            </w:r>
            <w:r>
              <w:rPr>
                <w:rFonts w:asciiTheme="minorHAnsi" w:eastAsia="Calibri" w:hAnsiTheme="minorHAnsi"/>
                <w:color w:val="auto"/>
                <w:sz w:val="18"/>
                <w:szCs w:val="18"/>
              </w:rPr>
              <w:t xml:space="preserve"> is normal</w:t>
            </w:r>
            <w:r w:rsidR="001471D4" w:rsidRPr="00B91C14">
              <w:rPr>
                <w:rFonts w:asciiTheme="minorHAnsi" w:eastAsia="Calibri" w:hAnsiTheme="minorHAnsi"/>
                <w:color w:val="auto"/>
                <w:sz w:val="18"/>
                <w:szCs w:val="18"/>
              </w:rPr>
              <w:t>)</w:t>
            </w:r>
          </w:p>
        </w:tc>
        <w:tc>
          <w:tcPr>
            <w:tcW w:w="1885" w:type="dxa"/>
            <w:vAlign w:val="center"/>
          </w:tcPr>
          <w:p w:rsidR="001471D4" w:rsidRPr="00B91C14" w:rsidRDefault="001471D4" w:rsidP="001471D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110</w:t>
            </w:r>
            <w:r w:rsidRPr="00B91C14">
              <w:rPr>
                <w:rFonts w:asciiTheme="minorHAnsi" w:eastAsia="Calibri" w:hAnsiTheme="minorHAnsi"/>
                <w:color w:val="auto"/>
                <w:sz w:val="18"/>
                <w:szCs w:val="18"/>
              </w:rPr>
              <w:t>⁰</w:t>
            </w:r>
          </w:p>
        </w:tc>
        <w:tc>
          <w:tcPr>
            <w:tcW w:w="2475" w:type="dxa"/>
            <w:vAlign w:val="center"/>
          </w:tcPr>
          <w:p w:rsidR="001471D4" w:rsidRPr="00B91C14" w:rsidRDefault="001471D4" w:rsidP="00EC2C9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170</w:t>
            </w:r>
            <w:r w:rsidRPr="00B91C14">
              <w:rPr>
                <w:rFonts w:asciiTheme="minorHAnsi" w:eastAsia="Calibri" w:hAnsiTheme="minorHAnsi"/>
                <w:color w:val="auto"/>
                <w:sz w:val="18"/>
                <w:szCs w:val="18"/>
              </w:rPr>
              <w:t>⁰</w:t>
            </w:r>
          </w:p>
        </w:tc>
      </w:tr>
      <w:tr w:rsidR="001471D4" w:rsidRPr="00B91C14" w:rsidTr="00EC2C93">
        <w:trPr>
          <w:jc w:val="center"/>
        </w:trPr>
        <w:tc>
          <w:tcPr>
            <w:tcW w:w="2359" w:type="dxa"/>
            <w:vAlign w:val="center"/>
          </w:tcPr>
          <w:p w:rsidR="001471D4" w:rsidRPr="00B91C14" w:rsidRDefault="001471D4" w:rsidP="00EC2C93">
            <w:pPr>
              <w:tabs>
                <w:tab w:val="left" w:pos="288"/>
                <w:tab w:val="left" w:pos="4752"/>
              </w:tabs>
              <w:spacing w:line="180" w:lineRule="exact"/>
              <w:jc w:val="center"/>
              <w:rPr>
                <w:rFonts w:asciiTheme="minorHAnsi" w:eastAsiaTheme="minorHAnsi" w:hAnsiTheme="minorHAnsi"/>
                <w:color w:val="auto"/>
                <w:sz w:val="18"/>
                <w:szCs w:val="18"/>
              </w:rPr>
            </w:pPr>
            <w:r w:rsidRPr="00B91C14">
              <w:rPr>
                <w:rFonts w:asciiTheme="minorHAnsi" w:eastAsiaTheme="minorHAnsi" w:hAnsiTheme="minorHAnsi"/>
                <w:color w:val="auto"/>
                <w:sz w:val="18"/>
                <w:szCs w:val="18"/>
              </w:rPr>
              <w:t xml:space="preserve">§4.71a Rating </w:t>
            </w:r>
          </w:p>
        </w:tc>
        <w:tc>
          <w:tcPr>
            <w:tcW w:w="1885" w:type="dxa"/>
            <w:vAlign w:val="center"/>
          </w:tcPr>
          <w:p w:rsidR="001471D4" w:rsidRPr="00B91C14" w:rsidRDefault="001471D4" w:rsidP="00EC2C93">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B91C14">
              <w:rPr>
                <w:rFonts w:asciiTheme="minorHAnsi" w:eastAsiaTheme="minorHAnsi" w:hAnsiTheme="minorHAnsi"/>
                <w:color w:val="auto"/>
                <w:sz w:val="18"/>
                <w:szCs w:val="18"/>
              </w:rPr>
              <w:t>%</w:t>
            </w:r>
            <w:r w:rsidR="0098412B">
              <w:rPr>
                <w:rFonts w:asciiTheme="minorHAnsi" w:eastAsiaTheme="minorHAnsi" w:hAnsiTheme="minorHAnsi"/>
                <w:color w:val="auto"/>
                <w:sz w:val="18"/>
                <w:szCs w:val="18"/>
              </w:rPr>
              <w:t>*</w:t>
            </w:r>
          </w:p>
        </w:tc>
        <w:tc>
          <w:tcPr>
            <w:tcW w:w="2475" w:type="dxa"/>
            <w:vAlign w:val="center"/>
          </w:tcPr>
          <w:p w:rsidR="001471D4" w:rsidRPr="00B91C14" w:rsidRDefault="001471D4" w:rsidP="00EC2C93">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B91C14">
              <w:rPr>
                <w:rFonts w:asciiTheme="minorHAnsi" w:eastAsiaTheme="minorHAnsi" w:hAnsiTheme="minorHAnsi"/>
                <w:color w:val="auto"/>
                <w:sz w:val="18"/>
                <w:szCs w:val="18"/>
              </w:rPr>
              <w:t>%</w:t>
            </w:r>
            <w:r w:rsidR="0098412B">
              <w:rPr>
                <w:rFonts w:asciiTheme="minorHAnsi" w:eastAsiaTheme="minorHAnsi" w:hAnsiTheme="minorHAnsi"/>
                <w:color w:val="auto"/>
                <w:sz w:val="18"/>
                <w:szCs w:val="18"/>
              </w:rPr>
              <w:t>*</w:t>
            </w:r>
          </w:p>
        </w:tc>
      </w:tr>
      <w:tr w:rsidR="001471D4" w:rsidRPr="00B91C14" w:rsidTr="00EC2C93">
        <w:trPr>
          <w:jc w:val="center"/>
        </w:trPr>
        <w:tc>
          <w:tcPr>
            <w:tcW w:w="2359" w:type="dxa"/>
            <w:vAlign w:val="center"/>
          </w:tcPr>
          <w:p w:rsidR="001471D4" w:rsidRPr="00B91C14" w:rsidRDefault="001471D4" w:rsidP="00EC2C93">
            <w:pPr>
              <w:tabs>
                <w:tab w:val="left" w:pos="288"/>
                <w:tab w:val="left" w:pos="4752"/>
              </w:tabs>
              <w:spacing w:line="180" w:lineRule="exact"/>
              <w:jc w:val="center"/>
              <w:rPr>
                <w:rFonts w:asciiTheme="minorHAnsi" w:eastAsiaTheme="minorHAnsi" w:hAnsiTheme="minorHAnsi"/>
                <w:color w:val="auto"/>
                <w:sz w:val="18"/>
                <w:szCs w:val="18"/>
              </w:rPr>
            </w:pPr>
            <w:r w:rsidRPr="00B91C14">
              <w:rPr>
                <w:rFonts w:asciiTheme="minorHAnsi" w:eastAsiaTheme="minorHAnsi" w:hAnsiTheme="minorHAnsi"/>
                <w:color w:val="auto"/>
                <w:sz w:val="18"/>
                <w:szCs w:val="18"/>
              </w:rPr>
              <w:t>Comment</w:t>
            </w:r>
          </w:p>
        </w:tc>
        <w:tc>
          <w:tcPr>
            <w:tcW w:w="1885" w:type="dxa"/>
            <w:vAlign w:val="center"/>
          </w:tcPr>
          <w:p w:rsidR="001471D4" w:rsidRPr="00B91C14" w:rsidRDefault="001471D4" w:rsidP="00EC2C93">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Painful Motion</w:t>
            </w:r>
          </w:p>
        </w:tc>
        <w:tc>
          <w:tcPr>
            <w:tcW w:w="2475" w:type="dxa"/>
            <w:vAlign w:val="center"/>
          </w:tcPr>
          <w:p w:rsidR="001471D4" w:rsidRPr="00B91C14" w:rsidRDefault="001471D4" w:rsidP="00EC2C93">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Painful Motion</w:t>
            </w:r>
          </w:p>
        </w:tc>
      </w:tr>
    </w:tbl>
    <w:p w:rsidR="00384F3C" w:rsidRDefault="001B32FF" w:rsidP="00510F9C">
      <w:pPr>
        <w:spacing w:line="240" w:lineRule="exact"/>
        <w:rPr>
          <w:rFonts w:asciiTheme="minorHAnsi" w:hAnsiTheme="minorHAnsi"/>
          <w:color w:val="auto"/>
          <w:szCs w:val="24"/>
          <w:highlight w:val="yellow"/>
        </w:rPr>
      </w:pPr>
      <w:r>
        <w:rPr>
          <w:rFonts w:asciiTheme="minorHAnsi" w:hAnsiTheme="minorHAnsi"/>
          <w:color w:val="auto"/>
          <w:sz w:val="16"/>
          <w:szCs w:val="16"/>
        </w:rPr>
        <w:tab/>
      </w:r>
      <w:r>
        <w:rPr>
          <w:rFonts w:asciiTheme="minorHAnsi" w:hAnsiTheme="minorHAnsi"/>
          <w:color w:val="auto"/>
          <w:sz w:val="16"/>
          <w:szCs w:val="16"/>
        </w:rPr>
        <w:tab/>
      </w:r>
      <w:r w:rsidRPr="009E61F4">
        <w:rPr>
          <w:rFonts w:asciiTheme="minorHAnsi" w:hAnsiTheme="minorHAnsi"/>
          <w:color w:val="auto"/>
          <w:sz w:val="16"/>
          <w:szCs w:val="16"/>
        </w:rPr>
        <w:t xml:space="preserve">*10% based on </w:t>
      </w:r>
      <w:r w:rsidRPr="009E61F4">
        <w:rPr>
          <w:rFonts w:asciiTheme="minorHAnsi" w:eastAsiaTheme="minorHAnsi" w:hAnsiTheme="minorHAnsi"/>
          <w:color w:val="auto"/>
          <w:sz w:val="16"/>
          <w:szCs w:val="16"/>
        </w:rPr>
        <w:t>§4.40 (Functional loss), §4.45 (The joints), and §4.59 (Painful motion)</w:t>
      </w:r>
    </w:p>
    <w:p w:rsidR="001B32FF" w:rsidRPr="00B3767B" w:rsidRDefault="001B32FF" w:rsidP="00510F9C">
      <w:pPr>
        <w:spacing w:line="240" w:lineRule="exact"/>
        <w:rPr>
          <w:rFonts w:asciiTheme="minorHAnsi" w:hAnsiTheme="minorHAnsi"/>
          <w:color w:val="auto"/>
          <w:szCs w:val="24"/>
          <w:highlight w:val="yellow"/>
        </w:rPr>
      </w:pPr>
    </w:p>
    <w:p w:rsidR="00384F3C" w:rsidRPr="00DB666F" w:rsidRDefault="001B32FF" w:rsidP="00F26887">
      <w:pPr>
        <w:spacing w:line="240" w:lineRule="exact"/>
        <w:jc w:val="both"/>
        <w:rPr>
          <w:color w:val="auto"/>
          <w:szCs w:val="24"/>
        </w:rPr>
      </w:pPr>
      <w:r w:rsidRPr="0065109B">
        <w:rPr>
          <w:color w:val="auto"/>
          <w:szCs w:val="24"/>
        </w:rPr>
        <w:t xml:space="preserve">The </w:t>
      </w:r>
      <w:r w:rsidR="00866E5D">
        <w:rPr>
          <w:color w:val="auto"/>
          <w:szCs w:val="24"/>
        </w:rPr>
        <w:t xml:space="preserve">Board </w:t>
      </w:r>
      <w:r w:rsidRPr="0065109B">
        <w:rPr>
          <w:color w:val="auto"/>
          <w:szCs w:val="24"/>
        </w:rPr>
        <w:t xml:space="preserve">carefully reviewed all </w:t>
      </w:r>
      <w:r w:rsidR="00866E5D">
        <w:rPr>
          <w:color w:val="auto"/>
          <w:szCs w:val="24"/>
        </w:rPr>
        <w:t xml:space="preserve">the </w:t>
      </w:r>
      <w:r w:rsidRPr="0065109B">
        <w:rPr>
          <w:color w:val="auto"/>
          <w:szCs w:val="24"/>
        </w:rPr>
        <w:t>eviden</w:t>
      </w:r>
      <w:r w:rsidR="00866E5D">
        <w:rPr>
          <w:color w:val="auto"/>
          <w:szCs w:val="24"/>
        </w:rPr>
        <w:t>ce</w:t>
      </w:r>
      <w:r w:rsidRPr="0065109B">
        <w:rPr>
          <w:color w:val="auto"/>
          <w:szCs w:val="24"/>
        </w:rPr>
        <w:t xml:space="preserve">.  The </w:t>
      </w:r>
      <w:r w:rsidR="00866E5D">
        <w:rPr>
          <w:color w:val="auto"/>
          <w:szCs w:val="24"/>
        </w:rPr>
        <w:t>left shoulder</w:t>
      </w:r>
      <w:r w:rsidRPr="0065109B">
        <w:rPr>
          <w:color w:val="auto"/>
          <w:szCs w:val="24"/>
        </w:rPr>
        <w:t xml:space="preserve"> limitation of motion was essentially non-compensable based on V</w:t>
      </w:r>
      <w:r w:rsidR="00866E5D">
        <w:rPr>
          <w:color w:val="auto"/>
          <w:szCs w:val="24"/>
        </w:rPr>
        <w:t>ASRD</w:t>
      </w:r>
      <w:r w:rsidRPr="0065109B">
        <w:rPr>
          <w:color w:val="auto"/>
          <w:szCs w:val="24"/>
        </w:rPr>
        <w:t xml:space="preserve"> </w:t>
      </w:r>
      <w:r w:rsidRPr="0065109B">
        <w:rPr>
          <w:rFonts w:asciiTheme="minorHAnsi" w:eastAsiaTheme="minorHAnsi" w:hAnsiTheme="minorHAnsi"/>
          <w:color w:val="auto"/>
          <w:szCs w:val="24"/>
        </w:rPr>
        <w:t xml:space="preserve">§4.71a </w:t>
      </w:r>
      <w:r w:rsidR="00866E5D">
        <w:rPr>
          <w:rFonts w:asciiTheme="minorHAnsi" w:eastAsiaTheme="minorHAnsi" w:hAnsiTheme="minorHAnsi"/>
          <w:color w:val="auto"/>
          <w:szCs w:val="24"/>
        </w:rPr>
        <w:t>shoulder and arm codes</w:t>
      </w:r>
      <w:r w:rsidRPr="0065109B">
        <w:rPr>
          <w:rFonts w:asciiTheme="minorHAnsi" w:eastAsiaTheme="minorHAnsi" w:hAnsiTheme="minorHAnsi"/>
          <w:color w:val="auto"/>
          <w:szCs w:val="24"/>
        </w:rPr>
        <w:t xml:space="preserve"> (52</w:t>
      </w:r>
      <w:r w:rsidR="00866E5D">
        <w:rPr>
          <w:rFonts w:asciiTheme="minorHAnsi" w:eastAsiaTheme="minorHAnsi" w:hAnsiTheme="minorHAnsi"/>
          <w:color w:val="auto"/>
          <w:szCs w:val="24"/>
        </w:rPr>
        <w:t>00 through 5203</w:t>
      </w:r>
      <w:r w:rsidRPr="0065109B">
        <w:rPr>
          <w:rFonts w:asciiTheme="minorHAnsi" w:eastAsiaTheme="minorHAnsi" w:hAnsiTheme="minorHAnsi"/>
          <w:color w:val="auto"/>
          <w:szCs w:val="24"/>
        </w:rPr>
        <w:t xml:space="preserve">).  </w:t>
      </w:r>
      <w:r w:rsidRPr="0065109B">
        <w:rPr>
          <w:rFonts w:eastAsia="Calibri"/>
          <w:color w:val="auto"/>
          <w:szCs w:val="24"/>
        </w:rPr>
        <w:t xml:space="preserve">However, IAW VASRD §4.40, </w:t>
      </w:r>
      <w:r w:rsidRPr="0065109B">
        <w:rPr>
          <w:rFonts w:asciiTheme="minorHAnsi" w:eastAsiaTheme="minorHAnsi" w:hAnsiTheme="minorHAnsi"/>
          <w:color w:val="auto"/>
          <w:szCs w:val="24"/>
        </w:rPr>
        <w:t xml:space="preserve">§4.45, and </w:t>
      </w:r>
      <w:r w:rsidRPr="0065109B">
        <w:rPr>
          <w:rFonts w:eastAsia="Calibri"/>
          <w:color w:val="auto"/>
          <w:szCs w:val="24"/>
        </w:rPr>
        <w:t>§4.59</w:t>
      </w:r>
      <w:r w:rsidR="00866E5D">
        <w:rPr>
          <w:rFonts w:eastAsia="Calibri"/>
          <w:color w:val="auto"/>
          <w:szCs w:val="24"/>
        </w:rPr>
        <w:t>;</w:t>
      </w:r>
      <w:r w:rsidRPr="0065109B">
        <w:rPr>
          <w:color w:val="auto"/>
          <w:szCs w:val="24"/>
        </w:rPr>
        <w:t xml:space="preserve"> a 10% rating is warranted when there is satisfactory evidence of functional limitation due to painful motion of a major joint.  </w:t>
      </w:r>
      <w:r w:rsidRPr="0065109B">
        <w:rPr>
          <w:rFonts w:asciiTheme="minorHAnsi" w:hAnsiTheme="minorHAnsi"/>
          <w:color w:val="auto"/>
          <w:szCs w:val="24"/>
        </w:rPr>
        <w:t xml:space="preserve">There was no path to a rating higher than 10% for </w:t>
      </w:r>
      <w:r>
        <w:rPr>
          <w:rFonts w:asciiTheme="minorHAnsi" w:hAnsiTheme="minorHAnsi"/>
          <w:color w:val="auto"/>
          <w:szCs w:val="24"/>
        </w:rPr>
        <w:t xml:space="preserve">the </w:t>
      </w:r>
      <w:r w:rsidR="00866E5D">
        <w:rPr>
          <w:rFonts w:asciiTheme="minorHAnsi" w:hAnsiTheme="minorHAnsi"/>
          <w:color w:val="auto"/>
          <w:szCs w:val="24"/>
        </w:rPr>
        <w:t>left shoulder</w:t>
      </w:r>
      <w:r w:rsidRPr="0065109B">
        <w:rPr>
          <w:rFonts w:asciiTheme="minorHAnsi" w:hAnsiTheme="minorHAnsi"/>
          <w:color w:val="auto"/>
          <w:szCs w:val="24"/>
        </w:rPr>
        <w:t xml:space="preserve"> since there was no </w:t>
      </w:r>
      <w:r>
        <w:rPr>
          <w:rFonts w:asciiTheme="minorHAnsi" w:hAnsiTheme="minorHAnsi"/>
          <w:color w:val="auto"/>
          <w:szCs w:val="24"/>
        </w:rPr>
        <w:t xml:space="preserve">evidence in the </w:t>
      </w:r>
      <w:r w:rsidR="00866E5D">
        <w:rPr>
          <w:rFonts w:asciiTheme="minorHAnsi" w:hAnsiTheme="minorHAnsi"/>
          <w:color w:val="auto"/>
          <w:szCs w:val="24"/>
        </w:rPr>
        <w:t>treatment record</w:t>
      </w:r>
      <w:r>
        <w:rPr>
          <w:rFonts w:asciiTheme="minorHAnsi" w:hAnsiTheme="minorHAnsi"/>
          <w:color w:val="auto"/>
          <w:szCs w:val="24"/>
        </w:rPr>
        <w:t xml:space="preserve"> of </w:t>
      </w:r>
      <w:proofErr w:type="spellStart"/>
      <w:r w:rsidR="00866E5D" w:rsidRPr="00384F3C">
        <w:rPr>
          <w:rFonts w:asciiTheme="minorHAnsi" w:hAnsiTheme="minorHAnsi"/>
          <w:color w:val="auto"/>
          <w:szCs w:val="24"/>
        </w:rPr>
        <w:t>ankylosis</w:t>
      </w:r>
      <w:proofErr w:type="spellEnd"/>
      <w:r w:rsidR="00866E5D" w:rsidRPr="00384F3C">
        <w:rPr>
          <w:rFonts w:asciiTheme="minorHAnsi" w:hAnsiTheme="minorHAnsi"/>
          <w:color w:val="auto"/>
          <w:szCs w:val="24"/>
        </w:rPr>
        <w:t xml:space="preserve">, loss of the humeral head, nonunion, </w:t>
      </w:r>
      <w:proofErr w:type="spellStart"/>
      <w:r w:rsidR="00866E5D" w:rsidRPr="00384F3C">
        <w:rPr>
          <w:rFonts w:asciiTheme="minorHAnsi" w:hAnsiTheme="minorHAnsi"/>
          <w:color w:val="auto"/>
          <w:szCs w:val="24"/>
        </w:rPr>
        <w:t>malunion</w:t>
      </w:r>
      <w:proofErr w:type="spellEnd"/>
      <w:r w:rsidR="00866E5D" w:rsidRPr="00384F3C">
        <w:rPr>
          <w:rFonts w:asciiTheme="minorHAnsi" w:hAnsiTheme="minorHAnsi"/>
          <w:color w:val="auto"/>
          <w:szCs w:val="24"/>
        </w:rPr>
        <w:t>, fibrous union, deformity</w:t>
      </w:r>
      <w:r w:rsidR="00866E5D">
        <w:rPr>
          <w:rFonts w:asciiTheme="minorHAnsi" w:hAnsiTheme="minorHAnsi"/>
          <w:color w:val="auto"/>
          <w:szCs w:val="24"/>
        </w:rPr>
        <w:t>,</w:t>
      </w:r>
      <w:r w:rsidR="00866E5D" w:rsidRPr="0065109B">
        <w:rPr>
          <w:rFonts w:asciiTheme="minorHAnsi" w:hAnsiTheme="minorHAnsi"/>
          <w:color w:val="auto"/>
          <w:szCs w:val="24"/>
        </w:rPr>
        <w:t xml:space="preserve"> </w:t>
      </w:r>
      <w:proofErr w:type="spellStart"/>
      <w:r w:rsidRPr="0065109B">
        <w:rPr>
          <w:rFonts w:asciiTheme="minorHAnsi" w:hAnsiTheme="minorHAnsi"/>
          <w:color w:val="auto"/>
          <w:szCs w:val="24"/>
        </w:rPr>
        <w:t>ligamentous</w:t>
      </w:r>
      <w:proofErr w:type="spellEnd"/>
      <w:r w:rsidRPr="0065109B">
        <w:rPr>
          <w:rFonts w:asciiTheme="minorHAnsi" w:hAnsiTheme="minorHAnsi"/>
          <w:color w:val="auto"/>
          <w:szCs w:val="24"/>
        </w:rPr>
        <w:t xml:space="preserve"> instability, </w:t>
      </w:r>
      <w:r w:rsidR="00866E5D">
        <w:rPr>
          <w:rFonts w:asciiTheme="minorHAnsi" w:hAnsiTheme="minorHAnsi"/>
          <w:color w:val="auto"/>
          <w:szCs w:val="24"/>
        </w:rPr>
        <w:t xml:space="preserve">recurrent dislocation, scapular impairment, </w:t>
      </w:r>
      <w:r>
        <w:rPr>
          <w:rFonts w:asciiTheme="minorHAnsi" w:hAnsiTheme="minorHAnsi"/>
          <w:color w:val="auto"/>
          <w:szCs w:val="24"/>
        </w:rPr>
        <w:t xml:space="preserve">or other significant </w:t>
      </w:r>
      <w:r w:rsidR="00906AED">
        <w:rPr>
          <w:rFonts w:asciiTheme="minorHAnsi" w:hAnsiTheme="minorHAnsi"/>
          <w:color w:val="auto"/>
          <w:szCs w:val="24"/>
        </w:rPr>
        <w:t xml:space="preserve">left shoulder </w:t>
      </w:r>
      <w:r>
        <w:rPr>
          <w:rFonts w:asciiTheme="minorHAnsi" w:hAnsiTheme="minorHAnsi"/>
          <w:color w:val="auto"/>
          <w:szCs w:val="24"/>
        </w:rPr>
        <w:t>joint abnormality</w:t>
      </w:r>
      <w:r w:rsidRPr="0065109B">
        <w:rPr>
          <w:rFonts w:asciiTheme="minorHAnsi" w:hAnsiTheme="minorHAnsi"/>
          <w:color w:val="auto"/>
          <w:szCs w:val="24"/>
        </w:rPr>
        <w:t xml:space="preserve"> at the </w:t>
      </w:r>
      <w:r>
        <w:rPr>
          <w:rFonts w:asciiTheme="minorHAnsi" w:hAnsiTheme="minorHAnsi"/>
          <w:color w:val="auto"/>
          <w:szCs w:val="24"/>
        </w:rPr>
        <w:t>time of separation from service.</w:t>
      </w:r>
      <w:r w:rsidR="00DB666F">
        <w:rPr>
          <w:rFonts w:asciiTheme="minorHAnsi" w:hAnsiTheme="minorHAnsi"/>
          <w:color w:val="auto"/>
          <w:szCs w:val="24"/>
        </w:rPr>
        <w:t xml:space="preserve">  </w:t>
      </w:r>
      <w:r w:rsidR="00E771CD">
        <w:rPr>
          <w:rFonts w:eastAsia="Calibri"/>
          <w:color w:val="auto"/>
          <w:szCs w:val="24"/>
        </w:rPr>
        <w:t>All evidence considered</w:t>
      </w:r>
      <w:proofErr w:type="gramStart"/>
      <w:r w:rsidR="00E771CD">
        <w:rPr>
          <w:rFonts w:eastAsia="Calibri"/>
          <w:color w:val="auto"/>
          <w:szCs w:val="24"/>
        </w:rPr>
        <w:t>,</w:t>
      </w:r>
      <w:proofErr w:type="gramEnd"/>
      <w:r w:rsidR="00E771CD">
        <w:rPr>
          <w:rFonts w:eastAsia="Calibri"/>
          <w:color w:val="auto"/>
          <w:szCs w:val="24"/>
        </w:rPr>
        <w:t xml:space="preserve"> there is not reasonable doubt in the CI’s favor to justify a Board recommendation for other than the 10% rating assigned by the PEB</w:t>
      </w:r>
      <w:r w:rsidR="00AE62F3">
        <w:rPr>
          <w:rFonts w:eastAsia="Calibri"/>
          <w:color w:val="auto"/>
          <w:szCs w:val="24"/>
        </w:rPr>
        <w:t xml:space="preserve"> for the left shoulder</w:t>
      </w:r>
      <w:r w:rsidR="00E771CD">
        <w:rPr>
          <w:rFonts w:eastAsia="Calibri"/>
          <w:color w:val="auto"/>
          <w:szCs w:val="24"/>
        </w:rPr>
        <w:t>.</w:t>
      </w:r>
      <w:r w:rsidR="00DB666F">
        <w:rPr>
          <w:rFonts w:eastAsia="Calibri"/>
          <w:color w:val="auto"/>
          <w:szCs w:val="24"/>
        </w:rPr>
        <w:t xml:space="preserve">  The Board unanimously recommends 10% for the left shoulder pain condition.</w:t>
      </w:r>
    </w:p>
    <w:p w:rsidR="00EC2C93" w:rsidRDefault="00EC2C93" w:rsidP="00F26887">
      <w:pPr>
        <w:spacing w:line="240" w:lineRule="exact"/>
        <w:jc w:val="both"/>
        <w:rPr>
          <w:rFonts w:eastAsia="Calibri"/>
          <w:color w:val="auto"/>
          <w:szCs w:val="24"/>
        </w:rPr>
      </w:pPr>
    </w:p>
    <w:p w:rsidR="00EC2C93" w:rsidRPr="00E771CD" w:rsidRDefault="00DB666F" w:rsidP="00F26887">
      <w:pPr>
        <w:spacing w:line="240" w:lineRule="exact"/>
        <w:jc w:val="both"/>
        <w:rPr>
          <w:color w:val="auto"/>
          <w:szCs w:val="24"/>
        </w:rPr>
      </w:pPr>
      <w:proofErr w:type="spellStart"/>
      <w:proofErr w:type="gramStart"/>
      <w:r>
        <w:rPr>
          <w:rFonts w:eastAsia="Calibri"/>
          <w:color w:val="auto"/>
          <w:szCs w:val="24"/>
          <w:u w:val="single"/>
        </w:rPr>
        <w:t>P</w:t>
      </w:r>
      <w:r w:rsidR="00EC2C93" w:rsidRPr="00EC2C93">
        <w:rPr>
          <w:rFonts w:eastAsia="Calibri"/>
          <w:color w:val="auto"/>
          <w:szCs w:val="24"/>
          <w:u w:val="single"/>
        </w:rPr>
        <w:t>atellofemoral</w:t>
      </w:r>
      <w:proofErr w:type="spellEnd"/>
      <w:r w:rsidR="00EC2C93" w:rsidRPr="00EC2C93">
        <w:rPr>
          <w:rFonts w:eastAsia="Calibri"/>
          <w:color w:val="auto"/>
          <w:szCs w:val="24"/>
          <w:u w:val="single"/>
        </w:rPr>
        <w:t xml:space="preserve"> syndrome</w:t>
      </w:r>
      <w:r w:rsidR="00EC2C93">
        <w:rPr>
          <w:rFonts w:eastAsia="Calibri"/>
          <w:color w:val="auto"/>
          <w:szCs w:val="24"/>
        </w:rPr>
        <w:t>.</w:t>
      </w:r>
      <w:proofErr w:type="gramEnd"/>
      <w:r w:rsidR="00EC2C93">
        <w:rPr>
          <w:rFonts w:eastAsia="Calibri"/>
          <w:color w:val="auto"/>
          <w:szCs w:val="24"/>
        </w:rPr>
        <w:t xml:space="preserve">  The CI developed knee pain in 2003.  An MRI in August 2008 documented early changes consistent with patellar chondromalacia, and the CI was treated with </w:t>
      </w:r>
      <w:r w:rsidR="001334BF">
        <w:rPr>
          <w:rFonts w:eastAsia="Calibri"/>
          <w:color w:val="auto"/>
          <w:szCs w:val="24"/>
        </w:rPr>
        <w:t>PT</w:t>
      </w:r>
      <w:r w:rsidR="00EC2C93">
        <w:rPr>
          <w:rFonts w:eastAsia="Calibri"/>
          <w:color w:val="auto"/>
          <w:szCs w:val="24"/>
        </w:rPr>
        <w:t xml:space="preserve"> and medication.  Right knee pain was included on his profile dated 28 October 2008</w:t>
      </w:r>
      <w:r w:rsidR="00EC2C93">
        <w:rPr>
          <w:rFonts w:asciiTheme="minorHAnsi" w:hAnsiTheme="minorHAnsi"/>
          <w:color w:val="auto"/>
          <w:szCs w:val="24"/>
        </w:rPr>
        <w:t xml:space="preserve">.  </w:t>
      </w:r>
      <w:r w:rsidR="001334BF">
        <w:rPr>
          <w:rFonts w:asciiTheme="minorHAnsi" w:hAnsiTheme="minorHAnsi"/>
          <w:color w:val="auto"/>
          <w:szCs w:val="24"/>
        </w:rPr>
        <w:t xml:space="preserve">At his December 2008 </w:t>
      </w:r>
      <w:r w:rsidR="00EC2C93">
        <w:rPr>
          <w:rFonts w:asciiTheme="minorHAnsi" w:hAnsiTheme="minorHAnsi"/>
          <w:color w:val="auto"/>
          <w:szCs w:val="24"/>
        </w:rPr>
        <w:t>MEB</w:t>
      </w:r>
      <w:r w:rsidR="001334BF">
        <w:rPr>
          <w:rFonts w:asciiTheme="minorHAnsi" w:hAnsiTheme="minorHAnsi"/>
          <w:color w:val="auto"/>
          <w:szCs w:val="24"/>
        </w:rPr>
        <w:t xml:space="preserve"> evaluation, </w:t>
      </w:r>
      <w:r w:rsidR="00946A28">
        <w:rPr>
          <w:rFonts w:asciiTheme="minorHAnsi" w:hAnsiTheme="minorHAnsi"/>
          <w:color w:val="auto"/>
          <w:szCs w:val="24"/>
        </w:rPr>
        <w:t>three</w:t>
      </w:r>
      <w:r w:rsidR="00EC2C93">
        <w:rPr>
          <w:rFonts w:asciiTheme="minorHAnsi" w:hAnsiTheme="minorHAnsi"/>
          <w:color w:val="auto"/>
          <w:szCs w:val="24"/>
        </w:rPr>
        <w:t xml:space="preserve"> months prior to separation, the CI complained of </w:t>
      </w:r>
      <w:r w:rsidR="001334BF">
        <w:rPr>
          <w:rFonts w:asciiTheme="minorHAnsi" w:hAnsiTheme="minorHAnsi"/>
          <w:color w:val="auto"/>
          <w:szCs w:val="24"/>
        </w:rPr>
        <w:t xml:space="preserve">knee </w:t>
      </w:r>
      <w:r w:rsidR="00EC2C93">
        <w:rPr>
          <w:rFonts w:asciiTheme="minorHAnsi" w:hAnsiTheme="minorHAnsi"/>
          <w:color w:val="auto"/>
          <w:szCs w:val="24"/>
        </w:rPr>
        <w:t>pain with activity, especially running or climbing stairs</w:t>
      </w:r>
      <w:r w:rsidR="001334BF">
        <w:rPr>
          <w:rFonts w:asciiTheme="minorHAnsi" w:hAnsiTheme="minorHAnsi"/>
          <w:color w:val="auto"/>
          <w:szCs w:val="24"/>
        </w:rPr>
        <w:t>.  The pain re</w:t>
      </w:r>
      <w:r w:rsidR="00EC2C93">
        <w:rPr>
          <w:rFonts w:asciiTheme="minorHAnsi" w:hAnsiTheme="minorHAnsi"/>
          <w:color w:val="auto"/>
          <w:szCs w:val="24"/>
        </w:rPr>
        <w:t>spond</w:t>
      </w:r>
      <w:r w:rsidR="001334BF">
        <w:rPr>
          <w:rFonts w:asciiTheme="minorHAnsi" w:hAnsiTheme="minorHAnsi"/>
          <w:color w:val="auto"/>
          <w:szCs w:val="24"/>
        </w:rPr>
        <w:t>ed</w:t>
      </w:r>
      <w:r w:rsidR="00EC2C93">
        <w:rPr>
          <w:rFonts w:asciiTheme="minorHAnsi" w:hAnsiTheme="minorHAnsi"/>
          <w:color w:val="auto"/>
          <w:szCs w:val="24"/>
        </w:rPr>
        <w:t xml:space="preserve"> well to rest and medication.  </w:t>
      </w:r>
      <w:r w:rsidR="001334BF">
        <w:rPr>
          <w:rFonts w:asciiTheme="minorHAnsi" w:hAnsiTheme="minorHAnsi"/>
          <w:color w:val="auto"/>
          <w:szCs w:val="24"/>
        </w:rPr>
        <w:t xml:space="preserve">On exam, </w:t>
      </w:r>
      <w:r w:rsidR="00EC2C93">
        <w:rPr>
          <w:rFonts w:asciiTheme="minorHAnsi" w:hAnsiTheme="minorHAnsi"/>
          <w:color w:val="auto"/>
          <w:szCs w:val="24"/>
        </w:rPr>
        <w:t xml:space="preserve">there was minimal </w:t>
      </w:r>
      <w:proofErr w:type="spellStart"/>
      <w:r w:rsidR="00EC2C93">
        <w:rPr>
          <w:rFonts w:asciiTheme="minorHAnsi" w:hAnsiTheme="minorHAnsi"/>
          <w:color w:val="auto"/>
          <w:szCs w:val="24"/>
        </w:rPr>
        <w:t>crepitus</w:t>
      </w:r>
      <w:proofErr w:type="spellEnd"/>
      <w:r w:rsidR="00EC2C93">
        <w:rPr>
          <w:rFonts w:asciiTheme="minorHAnsi" w:hAnsiTheme="minorHAnsi"/>
          <w:color w:val="auto"/>
          <w:szCs w:val="24"/>
        </w:rPr>
        <w:t xml:space="preserve"> and no effusion.  R</w:t>
      </w:r>
      <w:r w:rsidR="001334BF">
        <w:rPr>
          <w:rFonts w:asciiTheme="minorHAnsi" w:hAnsiTheme="minorHAnsi"/>
          <w:color w:val="auto"/>
          <w:szCs w:val="24"/>
        </w:rPr>
        <w:t>OM</w:t>
      </w:r>
      <w:r w:rsidR="00EC2C93">
        <w:rPr>
          <w:rFonts w:asciiTheme="minorHAnsi" w:hAnsiTheme="minorHAnsi"/>
          <w:color w:val="auto"/>
          <w:szCs w:val="24"/>
        </w:rPr>
        <w:t xml:space="preserve"> was equal in both knees, and there was no pain with motion.  </w:t>
      </w:r>
      <w:r w:rsidR="000E0592">
        <w:rPr>
          <w:rFonts w:asciiTheme="minorHAnsi" w:hAnsiTheme="minorHAnsi"/>
          <w:color w:val="auto"/>
          <w:szCs w:val="24"/>
        </w:rPr>
        <w:t>Two weeks after separation</w:t>
      </w:r>
      <w:r w:rsidR="001334BF">
        <w:rPr>
          <w:rFonts w:asciiTheme="minorHAnsi" w:hAnsiTheme="minorHAnsi"/>
          <w:color w:val="auto"/>
          <w:szCs w:val="24"/>
        </w:rPr>
        <w:t xml:space="preserve">, at his </w:t>
      </w:r>
      <w:r w:rsidR="000E0592">
        <w:rPr>
          <w:rFonts w:asciiTheme="minorHAnsi" w:hAnsiTheme="minorHAnsi"/>
          <w:color w:val="auto"/>
          <w:szCs w:val="24"/>
        </w:rPr>
        <w:t>VA C&amp;P evaluation</w:t>
      </w:r>
      <w:r w:rsidR="001334BF">
        <w:rPr>
          <w:rFonts w:asciiTheme="minorHAnsi" w:hAnsiTheme="minorHAnsi"/>
          <w:color w:val="auto"/>
          <w:szCs w:val="24"/>
        </w:rPr>
        <w:t xml:space="preserve">, </w:t>
      </w:r>
      <w:r w:rsidR="000E0592">
        <w:rPr>
          <w:rFonts w:asciiTheme="minorHAnsi" w:hAnsiTheme="minorHAnsi"/>
          <w:color w:val="auto"/>
          <w:szCs w:val="24"/>
        </w:rPr>
        <w:t xml:space="preserve">the CI complained of right knee pain with climbing stairs, running, and prolonged sitting.  There was no locking, swelling or giving way.  On examination there was some crepitus, no instability, and </w:t>
      </w:r>
      <w:proofErr w:type="gramStart"/>
      <w:r w:rsidR="000E0592">
        <w:rPr>
          <w:rFonts w:asciiTheme="minorHAnsi" w:hAnsiTheme="minorHAnsi"/>
          <w:color w:val="auto"/>
          <w:szCs w:val="24"/>
        </w:rPr>
        <w:t>no</w:t>
      </w:r>
      <w:proofErr w:type="gramEnd"/>
      <w:r w:rsidR="000E0592">
        <w:rPr>
          <w:rFonts w:asciiTheme="minorHAnsi" w:hAnsiTheme="minorHAnsi"/>
          <w:color w:val="auto"/>
          <w:szCs w:val="24"/>
        </w:rPr>
        <w:t xml:space="preserve"> </w:t>
      </w:r>
      <w:proofErr w:type="spellStart"/>
      <w:r w:rsidR="000E0592">
        <w:rPr>
          <w:rFonts w:asciiTheme="minorHAnsi" w:hAnsiTheme="minorHAnsi"/>
          <w:color w:val="auto"/>
          <w:szCs w:val="24"/>
        </w:rPr>
        <w:t>meniscal</w:t>
      </w:r>
      <w:proofErr w:type="spellEnd"/>
      <w:r w:rsidR="000E0592">
        <w:rPr>
          <w:rFonts w:asciiTheme="minorHAnsi" w:hAnsiTheme="minorHAnsi"/>
          <w:color w:val="auto"/>
          <w:szCs w:val="24"/>
        </w:rPr>
        <w:t xml:space="preserve"> or patellar abnormalities.  There was no pain with motion, and motion was full.  Radiographs of the right knee were normal.  </w:t>
      </w:r>
      <w:r w:rsidR="000E0592">
        <w:rPr>
          <w:color w:val="auto"/>
          <w:szCs w:val="24"/>
        </w:rPr>
        <w:t>The Board carefully reviewed all</w:t>
      </w:r>
      <w:r w:rsidR="001334BF">
        <w:rPr>
          <w:color w:val="auto"/>
          <w:szCs w:val="24"/>
        </w:rPr>
        <w:t xml:space="preserve"> the evidence, and determined that the </w:t>
      </w:r>
      <w:r w:rsidR="00E06629">
        <w:rPr>
          <w:color w:val="auto"/>
          <w:szCs w:val="24"/>
        </w:rPr>
        <w:t>knee pain was not unfitting</w:t>
      </w:r>
      <w:r w:rsidR="001334BF">
        <w:rPr>
          <w:color w:val="auto"/>
          <w:szCs w:val="24"/>
        </w:rPr>
        <w:t>.  I</w:t>
      </w:r>
      <w:r w:rsidR="00E06629">
        <w:rPr>
          <w:color w:val="auto"/>
          <w:szCs w:val="24"/>
        </w:rPr>
        <w:t>t had been present since 2003</w:t>
      </w:r>
      <w:r w:rsidR="001334BF">
        <w:rPr>
          <w:color w:val="auto"/>
          <w:szCs w:val="24"/>
        </w:rPr>
        <w:t xml:space="preserve">, and there was insufficient evidence that </w:t>
      </w:r>
      <w:r w:rsidR="00E06629">
        <w:rPr>
          <w:color w:val="auto"/>
          <w:szCs w:val="24"/>
        </w:rPr>
        <w:t>it</w:t>
      </w:r>
      <w:r w:rsidR="001334BF">
        <w:rPr>
          <w:color w:val="auto"/>
          <w:szCs w:val="24"/>
        </w:rPr>
        <w:t xml:space="preserve"> caused any </w:t>
      </w:r>
      <w:r w:rsidR="00E06629">
        <w:rPr>
          <w:color w:val="auto"/>
          <w:szCs w:val="24"/>
        </w:rPr>
        <w:t>interfere</w:t>
      </w:r>
      <w:r w:rsidR="001334BF">
        <w:rPr>
          <w:color w:val="auto"/>
          <w:szCs w:val="24"/>
        </w:rPr>
        <w:t>nce</w:t>
      </w:r>
      <w:r w:rsidR="00E06629">
        <w:rPr>
          <w:color w:val="auto"/>
          <w:szCs w:val="24"/>
        </w:rPr>
        <w:t xml:space="preserve"> with the performance of his </w:t>
      </w:r>
      <w:r w:rsidR="001334BF">
        <w:rPr>
          <w:color w:val="auto"/>
          <w:szCs w:val="24"/>
        </w:rPr>
        <w:t xml:space="preserve">required military </w:t>
      </w:r>
      <w:r w:rsidR="00E06629">
        <w:rPr>
          <w:color w:val="auto"/>
          <w:szCs w:val="24"/>
        </w:rPr>
        <w:t xml:space="preserve">duties.  </w:t>
      </w:r>
      <w:r w:rsidR="00E06629" w:rsidRPr="00AE3316">
        <w:rPr>
          <w:rFonts w:asciiTheme="minorHAnsi" w:hAnsiTheme="minorHAnsi"/>
          <w:color w:val="auto"/>
          <w:szCs w:val="24"/>
        </w:rPr>
        <w:t>All evidence considered</w:t>
      </w:r>
      <w:proofErr w:type="gramStart"/>
      <w:r w:rsidR="00E06629" w:rsidRPr="00AE3316">
        <w:rPr>
          <w:rFonts w:asciiTheme="minorHAnsi" w:hAnsiTheme="minorHAnsi"/>
          <w:color w:val="auto"/>
          <w:szCs w:val="24"/>
        </w:rPr>
        <w:t>,</w:t>
      </w:r>
      <w:proofErr w:type="gramEnd"/>
      <w:r w:rsidR="00E06629" w:rsidRPr="00AE3316">
        <w:rPr>
          <w:rFonts w:asciiTheme="minorHAnsi" w:hAnsiTheme="minorHAnsi"/>
          <w:color w:val="auto"/>
          <w:szCs w:val="24"/>
        </w:rPr>
        <w:t xml:space="preserve"> there is not reasonable doubt in the CI’s favor supporting</w:t>
      </w:r>
      <w:r w:rsidR="00E06629">
        <w:rPr>
          <w:rFonts w:asciiTheme="minorHAnsi" w:hAnsiTheme="minorHAnsi"/>
          <w:color w:val="auto"/>
          <w:szCs w:val="24"/>
        </w:rPr>
        <w:t xml:space="preserve"> addition of right knee pa</w:t>
      </w:r>
      <w:r w:rsidR="001334BF">
        <w:rPr>
          <w:rFonts w:asciiTheme="minorHAnsi" w:hAnsiTheme="minorHAnsi"/>
          <w:color w:val="auto"/>
          <w:szCs w:val="24"/>
        </w:rPr>
        <w:t>in</w:t>
      </w:r>
      <w:r w:rsidR="00E06629">
        <w:rPr>
          <w:rFonts w:asciiTheme="minorHAnsi" w:hAnsiTheme="minorHAnsi"/>
          <w:color w:val="auto"/>
          <w:szCs w:val="24"/>
        </w:rPr>
        <w:t xml:space="preserve"> as an unfitting condition for separation rating.</w:t>
      </w:r>
    </w:p>
    <w:p w:rsidR="002F2981" w:rsidRDefault="002F2981" w:rsidP="00510F9C">
      <w:pPr>
        <w:spacing w:line="240" w:lineRule="exact"/>
        <w:rPr>
          <w:rFonts w:asciiTheme="minorHAnsi" w:eastAsia="HiddenHorzOCR" w:hAnsiTheme="minorHAnsi"/>
          <w:b/>
          <w:i/>
          <w:color w:val="auto"/>
          <w:szCs w:val="24"/>
          <w:u w:val="single"/>
        </w:rPr>
      </w:pPr>
    </w:p>
    <w:p w:rsidR="00910A64" w:rsidRDefault="00910A64" w:rsidP="00910A64">
      <w:pPr>
        <w:spacing w:line="240" w:lineRule="exact"/>
        <w:jc w:val="both"/>
        <w:rPr>
          <w:rFonts w:asciiTheme="minorHAnsi" w:eastAsia="HiddenHorzOCR" w:hAnsiTheme="minorHAnsi"/>
          <w:color w:val="auto"/>
          <w:szCs w:val="24"/>
        </w:rPr>
      </w:pPr>
      <w:proofErr w:type="gramStart"/>
      <w:r w:rsidRPr="00737283">
        <w:rPr>
          <w:rFonts w:asciiTheme="minorHAnsi" w:eastAsia="HiddenHorzOCR" w:hAnsiTheme="minorHAnsi"/>
          <w:color w:val="auto"/>
          <w:szCs w:val="24"/>
          <w:u w:val="single"/>
        </w:rPr>
        <w:t>Other PEB Conditions</w:t>
      </w:r>
      <w:r w:rsidR="001334BF">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w:t>
      </w:r>
      <w:r w:rsidR="00D9495B" w:rsidRPr="00E144A0">
        <w:rPr>
          <w:rFonts w:asciiTheme="minorHAnsi" w:eastAsia="HiddenHorzOCR" w:hAnsiTheme="minorHAnsi"/>
          <w:color w:val="auto"/>
          <w:szCs w:val="24"/>
        </w:rPr>
        <w:t>Achilles</w:t>
      </w:r>
      <w:r w:rsidRPr="00E144A0">
        <w:rPr>
          <w:rFonts w:asciiTheme="minorHAnsi" w:eastAsia="HiddenHorzOCR" w:hAnsiTheme="minorHAnsi"/>
          <w:color w:val="auto"/>
          <w:szCs w:val="24"/>
        </w:rPr>
        <w:t xml:space="preserve"> tendonitis</w:t>
      </w:r>
      <w:r w:rsidR="00E06629">
        <w:rPr>
          <w:rFonts w:asciiTheme="minorHAnsi" w:eastAsia="HiddenHorzOCR" w:hAnsiTheme="minorHAnsi"/>
          <w:color w:val="auto"/>
          <w:szCs w:val="24"/>
        </w:rPr>
        <w:t xml:space="preserve"> </w:t>
      </w:r>
      <w:r w:rsidRPr="00E144A0">
        <w:rPr>
          <w:rFonts w:asciiTheme="minorHAnsi" w:eastAsia="HiddenHorzOCR" w:hAnsiTheme="minorHAnsi"/>
          <w:color w:val="auto"/>
          <w:szCs w:val="24"/>
        </w:rPr>
        <w:t xml:space="preserve">and </w:t>
      </w:r>
      <w:proofErr w:type="spellStart"/>
      <w:r w:rsidRPr="00E144A0">
        <w:rPr>
          <w:rFonts w:asciiTheme="minorHAnsi" w:eastAsia="HiddenHorzOCR" w:hAnsiTheme="minorHAnsi"/>
          <w:color w:val="auto"/>
          <w:szCs w:val="24"/>
        </w:rPr>
        <w:t>sensorineural</w:t>
      </w:r>
      <w:proofErr w:type="spellEnd"/>
      <w:r w:rsidRPr="00E144A0">
        <w:rPr>
          <w:rFonts w:asciiTheme="minorHAnsi" w:eastAsia="HiddenHorzOCR" w:hAnsiTheme="minorHAnsi"/>
          <w:color w:val="auto"/>
          <w:szCs w:val="24"/>
        </w:rPr>
        <w:t xml:space="preserve"> hearing loss</w:t>
      </w:r>
      <w:r w:rsidR="005A51B3">
        <w:rPr>
          <w:rFonts w:asciiTheme="minorHAnsi" w:eastAsia="HiddenHorzOCR" w:hAnsiTheme="minorHAnsi"/>
          <w:color w:val="auto"/>
          <w:szCs w:val="24"/>
        </w:rPr>
        <w:t xml:space="preserve"> (SNHL) were both </w:t>
      </w:r>
      <w:r w:rsidR="005A51B3" w:rsidRPr="00737283">
        <w:rPr>
          <w:rFonts w:asciiTheme="minorHAnsi" w:eastAsia="HiddenHorzOCR" w:hAnsiTheme="minorHAnsi"/>
          <w:color w:val="auto"/>
          <w:szCs w:val="24"/>
        </w:rPr>
        <w:t xml:space="preserve">adjudicated </w:t>
      </w:r>
      <w:r w:rsidR="005A51B3">
        <w:rPr>
          <w:rFonts w:asciiTheme="minorHAnsi" w:eastAsia="HiddenHorzOCR" w:hAnsiTheme="minorHAnsi"/>
          <w:color w:val="auto"/>
          <w:szCs w:val="24"/>
        </w:rPr>
        <w:t xml:space="preserve">by the PEB as </w:t>
      </w:r>
      <w:r w:rsidR="005A51B3" w:rsidRPr="00737283">
        <w:rPr>
          <w:rFonts w:asciiTheme="minorHAnsi" w:eastAsia="HiddenHorzOCR" w:hAnsiTheme="minorHAnsi"/>
          <w:color w:val="auto"/>
          <w:szCs w:val="24"/>
        </w:rPr>
        <w:t>not unfitting</w:t>
      </w:r>
      <w:r>
        <w:rPr>
          <w:rFonts w:asciiTheme="minorHAnsi" w:eastAsia="HiddenHorzOCR" w:hAnsiTheme="minorHAnsi"/>
          <w:color w:val="auto"/>
          <w:szCs w:val="24"/>
        </w:rPr>
        <w:t>.</w:t>
      </w:r>
      <w:r w:rsidR="00E06629">
        <w:rPr>
          <w:rFonts w:asciiTheme="minorHAnsi" w:eastAsia="HiddenHorzOCR" w:hAnsiTheme="minorHAnsi"/>
          <w:color w:val="auto"/>
          <w:szCs w:val="24"/>
        </w:rPr>
        <w:t xml:space="preserve">  </w:t>
      </w:r>
      <w:r w:rsidR="00A363A0">
        <w:rPr>
          <w:rFonts w:asciiTheme="minorHAnsi" w:eastAsia="HiddenHorzOCR" w:hAnsiTheme="minorHAnsi"/>
          <w:color w:val="auto"/>
          <w:szCs w:val="24"/>
        </w:rPr>
        <w:t>Neither condition was</w:t>
      </w:r>
      <w:r w:rsidRPr="00E144A0">
        <w:rPr>
          <w:rFonts w:asciiTheme="minorHAnsi" w:eastAsia="HiddenHorzOCR" w:hAnsiTheme="minorHAnsi"/>
          <w:color w:val="auto"/>
          <w:szCs w:val="24"/>
        </w:rPr>
        <w:t xml:space="preserve"> implicated in the commander’s state</w:t>
      </w:r>
      <w:r w:rsidR="00E06629">
        <w:rPr>
          <w:rFonts w:asciiTheme="minorHAnsi" w:eastAsia="HiddenHorzOCR" w:hAnsiTheme="minorHAnsi"/>
          <w:color w:val="auto"/>
          <w:szCs w:val="24"/>
        </w:rPr>
        <w:t>ment</w:t>
      </w:r>
      <w:r w:rsidRPr="00737283">
        <w:rPr>
          <w:rFonts w:asciiTheme="minorHAnsi" w:eastAsia="HiddenHorzOCR" w:hAnsiTheme="minorHAnsi"/>
          <w:color w:val="auto"/>
          <w:szCs w:val="24"/>
        </w:rPr>
        <w:t xml:space="preserve"> or noted as f</w:t>
      </w:r>
      <w:r w:rsidR="00E06629">
        <w:rPr>
          <w:rFonts w:asciiTheme="minorHAnsi" w:eastAsia="HiddenHorzOCR" w:hAnsiTheme="minorHAnsi"/>
          <w:color w:val="auto"/>
          <w:szCs w:val="24"/>
        </w:rPr>
        <w:t>ailing retention standards.  Both</w:t>
      </w:r>
      <w:r w:rsidRPr="00737283">
        <w:rPr>
          <w:rFonts w:asciiTheme="minorHAnsi" w:eastAsia="HiddenHorzOCR" w:hAnsiTheme="minorHAnsi"/>
          <w:color w:val="auto"/>
          <w:szCs w:val="24"/>
        </w:rPr>
        <w:t xml:space="preserve"> were reviewed by the action officer and considered by the Board.  There was no ind</w:t>
      </w:r>
      <w:r w:rsidR="00A363A0">
        <w:rPr>
          <w:rFonts w:asciiTheme="minorHAnsi" w:eastAsia="HiddenHorzOCR" w:hAnsiTheme="minorHAnsi"/>
          <w:color w:val="auto"/>
          <w:szCs w:val="24"/>
        </w:rPr>
        <w:t>ication from the record that either</w:t>
      </w:r>
      <w:r w:rsidRPr="00737283">
        <w:rPr>
          <w:rFonts w:asciiTheme="minorHAnsi" w:eastAsia="HiddenHorzOCR" w:hAnsiTheme="minorHAnsi"/>
          <w:color w:val="auto"/>
          <w:szCs w:val="24"/>
        </w:rPr>
        <w:t xml:space="preserve"> of these conditions significantly interfered with satisfactory performance of </w:t>
      </w:r>
      <w:r w:rsidRPr="00E144A0">
        <w:rPr>
          <w:rFonts w:asciiTheme="minorHAnsi" w:eastAsia="HiddenHorzOCR" w:hAnsiTheme="minorHAnsi"/>
          <w:color w:val="auto"/>
          <w:szCs w:val="24"/>
        </w:rPr>
        <w:t>duty require</w:t>
      </w:r>
      <w:r>
        <w:rPr>
          <w:rFonts w:asciiTheme="minorHAnsi" w:eastAsia="HiddenHorzOCR" w:hAnsiTheme="minorHAnsi"/>
          <w:color w:val="auto"/>
          <w:szCs w:val="24"/>
        </w:rPr>
        <w:t>ments.  All evidence considered</w:t>
      </w:r>
      <w:proofErr w:type="gramStart"/>
      <w:r w:rsidR="00906AED">
        <w:rPr>
          <w:rFonts w:asciiTheme="minorHAnsi" w:eastAsia="HiddenHorzOCR" w:hAnsiTheme="minorHAnsi"/>
          <w:color w:val="auto"/>
          <w:szCs w:val="24"/>
        </w:rPr>
        <w:t>,</w:t>
      </w:r>
      <w:proofErr w:type="gramEnd"/>
      <w:r w:rsidRPr="00E144A0">
        <w:rPr>
          <w:rFonts w:asciiTheme="minorHAnsi" w:eastAsia="HiddenHorzOCR" w:hAnsiTheme="minorHAnsi"/>
          <w:color w:val="auto"/>
          <w:szCs w:val="24"/>
        </w:rPr>
        <w:t xml:space="preserve"> there is not reasonable doubt in the CI’s favor supporting</w:t>
      </w:r>
      <w:r w:rsidRPr="00737283">
        <w:rPr>
          <w:rFonts w:asciiTheme="minorHAnsi" w:eastAsia="HiddenHorzOCR" w:hAnsiTheme="minorHAnsi"/>
          <w:color w:val="auto"/>
          <w:szCs w:val="24"/>
        </w:rPr>
        <w:t xml:space="preserve"> re</w:t>
      </w:r>
      <w:r w:rsidR="005A51B3">
        <w:rPr>
          <w:rFonts w:asciiTheme="minorHAnsi" w:eastAsia="HiddenHorzOCR" w:hAnsiTheme="minorHAnsi"/>
          <w:color w:val="auto"/>
          <w:szCs w:val="24"/>
        </w:rPr>
        <w:t>versal</w:t>
      </w:r>
      <w:r w:rsidRPr="00737283">
        <w:rPr>
          <w:rFonts w:asciiTheme="minorHAnsi" w:eastAsia="HiddenHorzOCR" w:hAnsiTheme="minorHAnsi"/>
          <w:color w:val="auto"/>
          <w:szCs w:val="24"/>
        </w:rPr>
        <w:t xml:space="preserve"> of the </w:t>
      </w:r>
      <w:r w:rsidR="00E06629">
        <w:rPr>
          <w:rFonts w:asciiTheme="minorHAnsi" w:eastAsia="HiddenHorzOCR" w:hAnsiTheme="minorHAnsi"/>
          <w:color w:val="auto"/>
          <w:szCs w:val="24"/>
        </w:rPr>
        <w:t>PEB fitness adjudication for either</w:t>
      </w:r>
      <w:r w:rsidRPr="00737283">
        <w:rPr>
          <w:rFonts w:asciiTheme="minorHAnsi" w:eastAsia="HiddenHorzOCR" w:hAnsiTheme="minorHAnsi"/>
          <w:color w:val="auto"/>
          <w:szCs w:val="24"/>
        </w:rPr>
        <w:t xml:space="preserve"> of the stated conditions.</w:t>
      </w:r>
    </w:p>
    <w:p w:rsidR="00EC337D" w:rsidRPr="00EC337D" w:rsidRDefault="00EC337D" w:rsidP="00510F9C">
      <w:pPr>
        <w:spacing w:line="240" w:lineRule="exact"/>
        <w:jc w:val="both"/>
        <w:rPr>
          <w:rFonts w:asciiTheme="minorHAnsi" w:eastAsia="HiddenHorzOCR" w:hAnsiTheme="minorHAnsi"/>
          <w:color w:val="auto"/>
          <w:szCs w:val="24"/>
        </w:rPr>
      </w:pPr>
    </w:p>
    <w:p w:rsidR="00F6196E" w:rsidRPr="00EF2C40" w:rsidRDefault="005A51B3" w:rsidP="00EF2C40">
      <w:pPr>
        <w:spacing w:line="240" w:lineRule="exact"/>
        <w:jc w:val="both"/>
        <w:rPr>
          <w:rFonts w:asciiTheme="minorHAnsi" w:eastAsia="HiddenHorzOCR" w:hAnsiTheme="minorHAnsi"/>
          <w:i/>
          <w:color w:val="auto"/>
          <w:sz w:val="20"/>
        </w:rPr>
      </w:pPr>
      <w:proofErr w:type="gramStart"/>
      <w:r>
        <w:rPr>
          <w:rFonts w:asciiTheme="minorHAnsi" w:eastAsia="HiddenHorzOCR" w:hAnsiTheme="minorHAnsi"/>
          <w:color w:val="auto"/>
          <w:szCs w:val="24"/>
          <w:u w:val="single"/>
        </w:rPr>
        <w:t>Remaining</w:t>
      </w:r>
      <w:r w:rsidR="00EC337D" w:rsidRPr="007973D8">
        <w:rPr>
          <w:rFonts w:asciiTheme="minorHAnsi" w:eastAsia="HiddenHorzOCR" w:hAnsiTheme="minorHAnsi"/>
          <w:color w:val="auto"/>
          <w:szCs w:val="24"/>
          <w:u w:val="single"/>
        </w:rPr>
        <w:t xml:space="preserve"> Conditions</w:t>
      </w:r>
      <w:r w:rsidR="00EC337D" w:rsidRPr="007973D8">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w:t>
      </w:r>
      <w:proofErr w:type="gramStart"/>
      <w:r w:rsidR="00EC337D" w:rsidRPr="007973D8">
        <w:rPr>
          <w:rFonts w:asciiTheme="minorHAnsi" w:eastAsia="HiddenHorzOCR" w:hAnsiTheme="minorHAnsi"/>
          <w:color w:val="auto"/>
          <w:szCs w:val="24"/>
        </w:rPr>
        <w:t>T</w:t>
      </w:r>
      <w:r w:rsidR="00F26887">
        <w:rPr>
          <w:rFonts w:asciiTheme="minorHAnsi" w:eastAsia="HiddenHorzOCR" w:hAnsiTheme="minorHAnsi"/>
          <w:color w:val="auto"/>
          <w:szCs w:val="24"/>
        </w:rPr>
        <w:t>innitus,</w:t>
      </w:r>
      <w:proofErr w:type="gramEnd"/>
      <w:r w:rsidR="00F26887">
        <w:rPr>
          <w:rFonts w:asciiTheme="minorHAnsi" w:eastAsia="HiddenHorzOCR" w:hAnsiTheme="minorHAnsi"/>
          <w:color w:val="auto"/>
          <w:szCs w:val="24"/>
        </w:rPr>
        <w:t xml:space="preserve"> </w:t>
      </w:r>
      <w:r>
        <w:rPr>
          <w:rFonts w:asciiTheme="minorHAnsi" w:eastAsia="HiddenHorzOCR" w:hAnsiTheme="minorHAnsi"/>
          <w:color w:val="auto"/>
          <w:szCs w:val="24"/>
        </w:rPr>
        <w:t xml:space="preserve">and other conditions were also noted in the </w:t>
      </w:r>
      <w:r w:rsidR="00946A28">
        <w:rPr>
          <w:rFonts w:asciiTheme="minorHAnsi" w:eastAsia="HiddenHorzOCR" w:hAnsiTheme="minorHAnsi"/>
          <w:color w:val="auto"/>
          <w:szCs w:val="24"/>
        </w:rPr>
        <w:t>Disability Evaluation System (</w:t>
      </w:r>
      <w:r>
        <w:rPr>
          <w:rFonts w:asciiTheme="minorHAnsi" w:eastAsia="HiddenHorzOCR" w:hAnsiTheme="minorHAnsi"/>
          <w:color w:val="auto"/>
          <w:szCs w:val="24"/>
        </w:rPr>
        <w:t>DES</w:t>
      </w:r>
      <w:r w:rsidR="00946A28">
        <w:rPr>
          <w:rFonts w:asciiTheme="minorHAnsi" w:eastAsia="HiddenHorzOCR" w:hAnsiTheme="minorHAnsi"/>
          <w:color w:val="auto"/>
          <w:szCs w:val="24"/>
        </w:rPr>
        <w:t>)</w:t>
      </w:r>
      <w:r>
        <w:rPr>
          <w:rFonts w:asciiTheme="minorHAnsi" w:eastAsia="HiddenHorzOCR" w:hAnsiTheme="minorHAnsi"/>
          <w:color w:val="auto"/>
          <w:szCs w:val="24"/>
        </w:rPr>
        <w:t xml:space="preserve"> file.  </w:t>
      </w:r>
      <w:r w:rsidR="00906AED">
        <w:rPr>
          <w:rFonts w:asciiTheme="minorHAnsi" w:eastAsia="HiddenHorzOCR" w:hAnsiTheme="minorHAnsi"/>
          <w:color w:val="auto"/>
          <w:szCs w:val="24"/>
        </w:rPr>
        <w:t>T</w:t>
      </w:r>
      <w:r w:rsidR="00EC337D" w:rsidRPr="00711350">
        <w:rPr>
          <w:rFonts w:asciiTheme="minorHAnsi" w:hAnsiTheme="minorHAnsi"/>
          <w:color w:val="auto"/>
          <w:szCs w:val="24"/>
        </w:rPr>
        <w:t xml:space="preserve">hese conditions were reviewed by the </w:t>
      </w:r>
      <w:r w:rsidR="003B4319">
        <w:rPr>
          <w:rFonts w:asciiTheme="minorHAnsi" w:hAnsiTheme="minorHAnsi"/>
          <w:color w:val="auto"/>
          <w:szCs w:val="24"/>
        </w:rPr>
        <w:t>a</w:t>
      </w:r>
      <w:r w:rsidR="00EC337D" w:rsidRPr="00711350">
        <w:rPr>
          <w:rFonts w:asciiTheme="minorHAnsi" w:hAnsiTheme="minorHAnsi"/>
          <w:color w:val="auto"/>
          <w:szCs w:val="24"/>
        </w:rPr>
        <w:t xml:space="preserve">ction </w:t>
      </w:r>
      <w:r w:rsidR="003B4319">
        <w:rPr>
          <w:rFonts w:asciiTheme="minorHAnsi" w:hAnsiTheme="minorHAnsi"/>
          <w:color w:val="auto"/>
          <w:szCs w:val="24"/>
        </w:rPr>
        <w:t>o</w:t>
      </w:r>
      <w:r w:rsidR="00EC337D" w:rsidRPr="00711350">
        <w:rPr>
          <w:rFonts w:asciiTheme="minorHAnsi" w:hAnsiTheme="minorHAnsi"/>
          <w:color w:val="auto"/>
          <w:szCs w:val="24"/>
        </w:rPr>
        <w:t xml:space="preserve">fficer and considered by the Board.  </w:t>
      </w:r>
      <w:r>
        <w:rPr>
          <w:rFonts w:asciiTheme="minorHAnsi" w:hAnsiTheme="minorHAnsi"/>
          <w:color w:val="auto"/>
          <w:szCs w:val="24"/>
        </w:rPr>
        <w:t>T</w:t>
      </w:r>
      <w:r w:rsidR="00EC337D" w:rsidRPr="00711350">
        <w:rPr>
          <w:rFonts w:asciiTheme="minorHAnsi" w:hAnsiTheme="minorHAnsi"/>
          <w:color w:val="auto"/>
          <w:szCs w:val="24"/>
        </w:rPr>
        <w:t xml:space="preserve">here was </w:t>
      </w:r>
      <w:r>
        <w:rPr>
          <w:rFonts w:asciiTheme="minorHAnsi" w:hAnsiTheme="minorHAnsi"/>
          <w:color w:val="auto"/>
          <w:szCs w:val="24"/>
        </w:rPr>
        <w:t>insufficient</w:t>
      </w:r>
      <w:r w:rsidR="00EC337D" w:rsidRPr="00711350">
        <w:rPr>
          <w:rFonts w:asciiTheme="minorHAnsi" w:hAnsiTheme="minorHAnsi"/>
          <w:color w:val="auto"/>
          <w:szCs w:val="24"/>
        </w:rPr>
        <w:t xml:space="preserve"> evidence for concl</w:t>
      </w:r>
      <w:r w:rsidR="00EF2C40">
        <w:rPr>
          <w:rFonts w:asciiTheme="minorHAnsi" w:hAnsiTheme="minorHAnsi"/>
          <w:color w:val="auto"/>
          <w:szCs w:val="24"/>
        </w:rPr>
        <w:t xml:space="preserve">uding that </w:t>
      </w:r>
      <w:r>
        <w:rPr>
          <w:rFonts w:asciiTheme="minorHAnsi" w:hAnsiTheme="minorHAnsi"/>
          <w:color w:val="auto"/>
          <w:szCs w:val="24"/>
        </w:rPr>
        <w:t>any of them</w:t>
      </w:r>
      <w:r w:rsidR="00EC337D" w:rsidRPr="00711350">
        <w:rPr>
          <w:rFonts w:asciiTheme="minorHAnsi" w:hAnsiTheme="minorHAnsi"/>
          <w:color w:val="auto"/>
          <w:szCs w:val="24"/>
        </w:rPr>
        <w:t xml:space="preserve"> interfered with duty performance to a degree that could be argued as unfitting.</w:t>
      </w:r>
      <w:r>
        <w:rPr>
          <w:rFonts w:asciiTheme="minorHAnsi" w:hAnsiTheme="minorHAnsi"/>
          <w:color w:val="auto"/>
          <w:szCs w:val="24"/>
        </w:rPr>
        <w:t xml:space="preserve">  Additionally, </w:t>
      </w:r>
      <w:r>
        <w:rPr>
          <w:rFonts w:asciiTheme="minorHAnsi" w:eastAsia="HiddenHorzOCR" w:hAnsiTheme="minorHAnsi"/>
          <w:color w:val="auto"/>
          <w:szCs w:val="24"/>
        </w:rPr>
        <w:t xml:space="preserve">hypothyroidism and posttraumatic stress disorder were noted in the VA rating decision but were not </w:t>
      </w:r>
      <w:r w:rsidR="00EF2C40">
        <w:rPr>
          <w:rFonts w:asciiTheme="minorHAnsi" w:hAnsiTheme="minorHAnsi"/>
          <w:color w:val="auto"/>
          <w:szCs w:val="24"/>
        </w:rPr>
        <w:t xml:space="preserve">documented in the DES file.  </w:t>
      </w:r>
      <w:r w:rsidR="00EF2C40" w:rsidRPr="00F6196E">
        <w:rPr>
          <w:rFonts w:asciiTheme="minorHAnsi" w:hAnsiTheme="minorHAnsi"/>
          <w:color w:val="auto"/>
          <w:szCs w:val="24"/>
        </w:rPr>
        <w:t>The Board does not have the authority to render fitness or rating recommendations for any conditions not considered by the DES</w:t>
      </w:r>
      <w:r w:rsidR="00EF2C40" w:rsidRPr="00B56F3D">
        <w:rPr>
          <w:rFonts w:asciiTheme="minorHAnsi" w:hAnsiTheme="minorHAnsi"/>
          <w:color w:val="auto"/>
          <w:szCs w:val="24"/>
        </w:rPr>
        <w:t>.</w:t>
      </w:r>
      <w:r w:rsidR="00EF2C40">
        <w:rPr>
          <w:rFonts w:asciiTheme="minorHAnsi" w:hAnsiTheme="minorHAnsi"/>
          <w:color w:val="auto"/>
          <w:szCs w:val="24"/>
        </w:rPr>
        <w:t xml:space="preserve">  </w:t>
      </w:r>
      <w:r w:rsidR="00273282" w:rsidRPr="00B56F3D">
        <w:rPr>
          <w:rFonts w:asciiTheme="minorHAnsi" w:hAnsiTheme="minorHAnsi"/>
          <w:color w:val="auto"/>
          <w:szCs w:val="24"/>
        </w:rPr>
        <w:t xml:space="preserve">The Board, </w:t>
      </w:r>
      <w:r w:rsidR="00273282" w:rsidRPr="00B56F3D">
        <w:rPr>
          <w:rFonts w:asciiTheme="minorHAnsi" w:hAnsiTheme="minorHAnsi"/>
          <w:color w:val="auto"/>
          <w:szCs w:val="24"/>
        </w:rPr>
        <w:lastRenderedPageBreak/>
        <w:t>therefore, has no reasonable basis for recommending any additional unfitting conditions for separation rating</w:t>
      </w:r>
      <w:r w:rsidR="00273282">
        <w:rPr>
          <w:rFonts w:asciiTheme="minorHAnsi" w:hAnsiTheme="minorHAnsi"/>
          <w:color w:val="auto"/>
          <w:szCs w:val="24"/>
        </w:rPr>
        <w:t>.</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1006BF" w:rsidRDefault="00C56FC8" w:rsidP="001006BF">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EF2C40">
        <w:rPr>
          <w:rFonts w:asciiTheme="minorHAnsi" w:eastAsiaTheme="minorHAnsi" w:hAnsiTheme="minorHAnsi"/>
          <w:color w:val="auto"/>
          <w:szCs w:val="24"/>
        </w:rPr>
        <w:t xml:space="preserve">  </w:t>
      </w:r>
      <w:r w:rsidR="00EF2C40" w:rsidRPr="00AE3316">
        <w:rPr>
          <w:rFonts w:asciiTheme="minorHAnsi" w:eastAsiaTheme="minorHAnsi" w:hAnsiTheme="minorHAnsi"/>
          <w:color w:val="auto"/>
          <w:szCs w:val="24"/>
        </w:rPr>
        <w:t>The Board did not surmise from the record or PEB ruling in this case that any prerogatives outside the VASRD were exercised.</w:t>
      </w:r>
      <w:r w:rsidR="00EF2C40">
        <w:rPr>
          <w:rFonts w:asciiTheme="minorHAnsi" w:eastAsiaTheme="minorHAnsi" w:hAnsiTheme="minorHAnsi"/>
          <w:color w:val="auto"/>
          <w:szCs w:val="24"/>
        </w:rPr>
        <w:t xml:space="preserve">  </w:t>
      </w:r>
      <w:r w:rsidR="00EF2C40" w:rsidRPr="00AE3316">
        <w:rPr>
          <w:rFonts w:asciiTheme="minorHAnsi" w:eastAsiaTheme="minorHAnsi" w:hAnsiTheme="minorHAnsi"/>
          <w:color w:val="auto"/>
          <w:szCs w:val="24"/>
        </w:rPr>
        <w:t xml:space="preserve">In the matter of the </w:t>
      </w:r>
      <w:r w:rsidR="00906AED">
        <w:rPr>
          <w:rFonts w:asciiTheme="minorHAnsi" w:eastAsiaTheme="minorHAnsi" w:hAnsiTheme="minorHAnsi"/>
          <w:color w:val="auto"/>
          <w:szCs w:val="24"/>
        </w:rPr>
        <w:t>L</w:t>
      </w:r>
      <w:r w:rsidR="00EF2C40">
        <w:rPr>
          <w:rFonts w:asciiTheme="minorHAnsi" w:eastAsiaTheme="minorHAnsi" w:hAnsiTheme="minorHAnsi"/>
          <w:color w:val="auto"/>
          <w:szCs w:val="24"/>
        </w:rPr>
        <w:t>umbar spine arthritis</w:t>
      </w:r>
      <w:r w:rsidR="00906AED">
        <w:rPr>
          <w:rFonts w:asciiTheme="minorHAnsi" w:eastAsiaTheme="minorHAnsi" w:hAnsiTheme="minorHAnsi"/>
          <w:color w:val="auto"/>
          <w:szCs w:val="24"/>
        </w:rPr>
        <w:t>,</w:t>
      </w:r>
      <w:r w:rsidR="00EF2C40" w:rsidRPr="00AE3316">
        <w:rPr>
          <w:rFonts w:asciiTheme="minorHAnsi" w:eastAsiaTheme="minorHAnsi" w:hAnsiTheme="minorHAnsi"/>
          <w:color w:val="auto"/>
          <w:szCs w:val="24"/>
        </w:rPr>
        <w:t xml:space="preserve"> and </w:t>
      </w:r>
      <w:r w:rsidR="00EF2C40" w:rsidRPr="00AE3316">
        <w:rPr>
          <w:rFonts w:asciiTheme="minorHAnsi" w:hAnsiTheme="minorHAnsi"/>
          <w:color w:val="auto"/>
          <w:szCs w:val="24"/>
        </w:rPr>
        <w:t>IAW VASRD §</w:t>
      </w:r>
      <w:r w:rsidR="00EF2C40" w:rsidRPr="00EF2C40">
        <w:rPr>
          <w:rFonts w:asciiTheme="minorHAnsi" w:hAnsiTheme="minorHAnsi"/>
          <w:color w:val="auto"/>
          <w:szCs w:val="24"/>
        </w:rPr>
        <w:t>4.71a</w:t>
      </w:r>
      <w:r w:rsidR="00EF2C40" w:rsidRPr="00AE3316">
        <w:rPr>
          <w:rFonts w:asciiTheme="minorHAnsi" w:eastAsiaTheme="minorHAnsi" w:hAnsiTheme="minorHAnsi"/>
          <w:color w:val="auto"/>
          <w:szCs w:val="24"/>
        </w:rPr>
        <w:t xml:space="preserve">, the Board </w:t>
      </w:r>
      <w:r w:rsidR="00EF2C40" w:rsidRPr="00605162">
        <w:rPr>
          <w:rFonts w:asciiTheme="minorHAnsi" w:eastAsiaTheme="minorHAnsi" w:hAnsiTheme="minorHAnsi"/>
          <w:color w:val="auto"/>
          <w:szCs w:val="24"/>
        </w:rPr>
        <w:t>unanimously</w:t>
      </w:r>
      <w:r w:rsidR="00EF2C40" w:rsidRPr="00AE3316">
        <w:rPr>
          <w:rFonts w:asciiTheme="minorHAnsi" w:eastAsiaTheme="minorHAnsi" w:hAnsiTheme="minorHAnsi"/>
          <w:color w:val="auto"/>
          <w:szCs w:val="24"/>
        </w:rPr>
        <w:t xml:space="preserve"> recommends no </w:t>
      </w:r>
      <w:r w:rsidR="00EF2C40">
        <w:rPr>
          <w:rFonts w:asciiTheme="minorHAnsi" w:eastAsiaTheme="minorHAnsi" w:hAnsiTheme="minorHAnsi"/>
          <w:color w:val="auto"/>
          <w:szCs w:val="24"/>
        </w:rPr>
        <w:t>change in</w:t>
      </w:r>
      <w:r w:rsidR="00EF2C40" w:rsidRPr="00AE3316">
        <w:rPr>
          <w:rFonts w:asciiTheme="minorHAnsi" w:eastAsiaTheme="minorHAnsi" w:hAnsiTheme="minorHAnsi"/>
          <w:color w:val="auto"/>
          <w:szCs w:val="24"/>
        </w:rPr>
        <w:t xml:space="preserve"> the PEB </w:t>
      </w:r>
      <w:r w:rsidR="00EF2C40">
        <w:rPr>
          <w:rFonts w:asciiTheme="minorHAnsi" w:eastAsiaTheme="minorHAnsi" w:hAnsiTheme="minorHAnsi"/>
          <w:color w:val="auto"/>
          <w:szCs w:val="24"/>
        </w:rPr>
        <w:t>adjudication</w:t>
      </w:r>
      <w:r w:rsidR="00EF2C40">
        <w:rPr>
          <w:rFonts w:asciiTheme="minorHAnsi" w:hAnsiTheme="minorHAnsi"/>
          <w:color w:val="auto"/>
          <w:szCs w:val="24"/>
        </w:rPr>
        <w:t xml:space="preserve">.  </w:t>
      </w:r>
      <w:r w:rsidR="00EF2C40" w:rsidRPr="00AE3316">
        <w:rPr>
          <w:rFonts w:asciiTheme="minorHAnsi" w:eastAsiaTheme="minorHAnsi" w:hAnsiTheme="minorHAnsi"/>
          <w:color w:val="auto"/>
          <w:szCs w:val="24"/>
        </w:rPr>
        <w:t xml:space="preserve">In the matter of the </w:t>
      </w:r>
      <w:r w:rsidR="00EF2C40">
        <w:rPr>
          <w:rFonts w:asciiTheme="minorHAnsi" w:eastAsiaTheme="minorHAnsi" w:hAnsiTheme="minorHAnsi"/>
          <w:color w:val="auto"/>
          <w:szCs w:val="24"/>
        </w:rPr>
        <w:t>left shoulder pain</w:t>
      </w:r>
      <w:r w:rsidR="00906AED">
        <w:rPr>
          <w:rFonts w:asciiTheme="minorHAnsi" w:eastAsiaTheme="minorHAnsi" w:hAnsiTheme="minorHAnsi"/>
          <w:color w:val="auto"/>
          <w:szCs w:val="24"/>
        </w:rPr>
        <w:t>,</w:t>
      </w:r>
      <w:r w:rsidR="00EF2C40" w:rsidRPr="00AE3316">
        <w:rPr>
          <w:rFonts w:asciiTheme="minorHAnsi" w:eastAsiaTheme="minorHAnsi" w:hAnsiTheme="minorHAnsi"/>
          <w:color w:val="auto"/>
          <w:szCs w:val="24"/>
        </w:rPr>
        <w:t xml:space="preserve"> and </w:t>
      </w:r>
      <w:r w:rsidR="00EF2C40" w:rsidRPr="00AE3316">
        <w:rPr>
          <w:rFonts w:asciiTheme="minorHAnsi" w:hAnsiTheme="minorHAnsi"/>
          <w:color w:val="auto"/>
          <w:szCs w:val="24"/>
        </w:rPr>
        <w:t>IAW VASRD §</w:t>
      </w:r>
      <w:r w:rsidR="00EF2C40" w:rsidRPr="00EF2C40">
        <w:rPr>
          <w:rFonts w:asciiTheme="minorHAnsi" w:hAnsiTheme="minorHAnsi"/>
          <w:color w:val="auto"/>
          <w:szCs w:val="24"/>
        </w:rPr>
        <w:t>4.71a</w:t>
      </w:r>
      <w:r w:rsidR="00EF2C40" w:rsidRPr="00AE3316">
        <w:rPr>
          <w:rFonts w:asciiTheme="minorHAnsi" w:eastAsiaTheme="minorHAnsi" w:hAnsiTheme="minorHAnsi"/>
          <w:color w:val="auto"/>
          <w:szCs w:val="24"/>
        </w:rPr>
        <w:t xml:space="preserve">, the Board </w:t>
      </w:r>
      <w:r w:rsidR="00EF2C40" w:rsidRPr="00605162">
        <w:rPr>
          <w:rFonts w:asciiTheme="minorHAnsi" w:eastAsiaTheme="minorHAnsi" w:hAnsiTheme="minorHAnsi"/>
          <w:color w:val="auto"/>
          <w:szCs w:val="24"/>
        </w:rPr>
        <w:t>unanimously</w:t>
      </w:r>
      <w:r w:rsidR="00EF2C40" w:rsidRPr="00AE3316">
        <w:rPr>
          <w:rFonts w:asciiTheme="minorHAnsi" w:eastAsiaTheme="minorHAnsi" w:hAnsiTheme="minorHAnsi"/>
          <w:color w:val="auto"/>
          <w:szCs w:val="24"/>
        </w:rPr>
        <w:t xml:space="preserve"> recommends no </w:t>
      </w:r>
      <w:r w:rsidR="00EF2C40">
        <w:rPr>
          <w:rFonts w:asciiTheme="minorHAnsi" w:eastAsiaTheme="minorHAnsi" w:hAnsiTheme="minorHAnsi"/>
          <w:color w:val="auto"/>
          <w:szCs w:val="24"/>
        </w:rPr>
        <w:t>change in</w:t>
      </w:r>
      <w:r w:rsidR="00EF2C40" w:rsidRPr="00AE3316">
        <w:rPr>
          <w:rFonts w:asciiTheme="minorHAnsi" w:eastAsiaTheme="minorHAnsi" w:hAnsiTheme="minorHAnsi"/>
          <w:color w:val="auto"/>
          <w:szCs w:val="24"/>
        </w:rPr>
        <w:t xml:space="preserve"> the PEB </w:t>
      </w:r>
      <w:r w:rsidR="00EF2C40">
        <w:rPr>
          <w:rFonts w:asciiTheme="minorHAnsi" w:eastAsiaTheme="minorHAnsi" w:hAnsiTheme="minorHAnsi"/>
          <w:color w:val="auto"/>
          <w:szCs w:val="24"/>
        </w:rPr>
        <w:t>adjudication</w:t>
      </w:r>
      <w:r w:rsidR="00EF2C40">
        <w:rPr>
          <w:rFonts w:asciiTheme="minorHAnsi" w:hAnsiTheme="minorHAnsi"/>
          <w:color w:val="auto"/>
          <w:szCs w:val="24"/>
        </w:rPr>
        <w:t xml:space="preserve">.  </w:t>
      </w:r>
      <w:r w:rsidR="001006BF" w:rsidRPr="00AE3316">
        <w:rPr>
          <w:rFonts w:asciiTheme="minorHAnsi" w:eastAsiaTheme="minorHAnsi" w:hAnsiTheme="minorHAnsi"/>
          <w:color w:val="auto"/>
          <w:szCs w:val="24"/>
        </w:rPr>
        <w:t xml:space="preserve">In the matter of the </w:t>
      </w:r>
      <w:r w:rsidR="001006BF">
        <w:rPr>
          <w:rFonts w:asciiTheme="minorHAnsi" w:eastAsiaTheme="minorHAnsi" w:hAnsiTheme="minorHAnsi"/>
          <w:color w:val="auto"/>
          <w:szCs w:val="24"/>
        </w:rPr>
        <w:t>right knee patellofemoral syndrome, left Achilles tendonitis</w:t>
      </w:r>
      <w:r w:rsidR="002361BB">
        <w:rPr>
          <w:rFonts w:asciiTheme="minorHAnsi" w:eastAsiaTheme="minorHAnsi" w:hAnsiTheme="minorHAnsi"/>
          <w:color w:val="auto"/>
          <w:szCs w:val="24"/>
        </w:rPr>
        <w:t xml:space="preserve">, </w:t>
      </w:r>
      <w:r w:rsidR="001006BF">
        <w:rPr>
          <w:rFonts w:asciiTheme="minorHAnsi" w:eastAsiaTheme="minorHAnsi" w:hAnsiTheme="minorHAnsi"/>
          <w:color w:val="auto"/>
          <w:szCs w:val="24"/>
        </w:rPr>
        <w:t xml:space="preserve">left ear </w:t>
      </w:r>
      <w:r w:rsidR="00906AED">
        <w:rPr>
          <w:rFonts w:asciiTheme="minorHAnsi" w:eastAsiaTheme="minorHAnsi" w:hAnsiTheme="minorHAnsi"/>
          <w:color w:val="auto"/>
          <w:szCs w:val="24"/>
        </w:rPr>
        <w:t>SNHL, tinnitus, or any</w:t>
      </w:r>
      <w:r w:rsidR="001006BF">
        <w:rPr>
          <w:rFonts w:asciiTheme="minorHAnsi" w:hAnsiTheme="minorHAnsi"/>
          <w:color w:val="auto"/>
          <w:szCs w:val="24"/>
        </w:rPr>
        <w:t xml:space="preserve"> other</w:t>
      </w:r>
      <w:r w:rsidR="001006BF" w:rsidRPr="00AE3316">
        <w:rPr>
          <w:rFonts w:asciiTheme="minorHAnsi" w:hAnsiTheme="minorHAnsi"/>
          <w:color w:val="auto"/>
          <w:szCs w:val="24"/>
        </w:rPr>
        <w:t xml:space="preserve"> conditions</w:t>
      </w:r>
      <w:r w:rsidR="00906AED">
        <w:rPr>
          <w:rFonts w:asciiTheme="minorHAnsi" w:hAnsiTheme="minorHAnsi"/>
          <w:color w:val="auto"/>
          <w:szCs w:val="24"/>
        </w:rPr>
        <w:t xml:space="preserve"> eligible for </w:t>
      </w:r>
      <w:r w:rsidR="001006BF">
        <w:rPr>
          <w:rFonts w:asciiTheme="minorHAnsi" w:hAnsiTheme="minorHAnsi"/>
          <w:color w:val="auto"/>
          <w:szCs w:val="24"/>
        </w:rPr>
        <w:t>consideration</w:t>
      </w:r>
      <w:r w:rsidR="001006BF" w:rsidRPr="00AE3316">
        <w:rPr>
          <w:rFonts w:asciiTheme="minorHAnsi" w:hAnsiTheme="minorHAnsi"/>
          <w:color w:val="auto"/>
          <w:szCs w:val="24"/>
        </w:rPr>
        <w:t xml:space="preserve">; the Board </w:t>
      </w:r>
      <w:r w:rsidR="001006BF" w:rsidRPr="00605162">
        <w:rPr>
          <w:rFonts w:asciiTheme="minorHAnsi" w:hAnsiTheme="minorHAnsi"/>
          <w:color w:val="auto"/>
          <w:szCs w:val="24"/>
        </w:rPr>
        <w:t xml:space="preserve">unanimously </w:t>
      </w:r>
      <w:r w:rsidR="001006BF" w:rsidRPr="00AE3316">
        <w:rPr>
          <w:rFonts w:asciiTheme="minorHAnsi" w:hAnsiTheme="minorHAnsi"/>
          <w:color w:val="auto"/>
          <w:szCs w:val="24"/>
        </w:rPr>
        <w:t>agrees that it cannot</w:t>
      </w:r>
      <w:r w:rsidR="001006BF" w:rsidRPr="00AE3316">
        <w:rPr>
          <w:rFonts w:asciiTheme="minorHAnsi" w:hAnsiTheme="minorHAnsi"/>
          <w:color w:val="000080"/>
          <w:szCs w:val="24"/>
        </w:rPr>
        <w:t xml:space="preserve"> </w:t>
      </w:r>
      <w:r w:rsidR="001006BF" w:rsidRPr="00AE3316">
        <w:rPr>
          <w:rFonts w:asciiTheme="minorHAnsi" w:hAnsiTheme="minorHAnsi"/>
          <w:color w:val="auto"/>
          <w:szCs w:val="24"/>
        </w:rPr>
        <w:t>recommend a</w:t>
      </w:r>
      <w:r w:rsidR="001006BF">
        <w:rPr>
          <w:rFonts w:asciiTheme="minorHAnsi" w:hAnsiTheme="minorHAnsi"/>
          <w:color w:val="auto"/>
          <w:szCs w:val="24"/>
        </w:rPr>
        <w:t>ny</w:t>
      </w:r>
      <w:r w:rsidR="001006BF" w:rsidRPr="00AE3316">
        <w:rPr>
          <w:rFonts w:asciiTheme="minorHAnsi" w:hAnsiTheme="minorHAnsi"/>
          <w:color w:val="auto"/>
          <w:szCs w:val="24"/>
        </w:rPr>
        <w:t xml:space="preserve"> finding</w:t>
      </w:r>
      <w:r w:rsidR="001006BF">
        <w:rPr>
          <w:rFonts w:asciiTheme="minorHAnsi" w:hAnsiTheme="minorHAnsi"/>
          <w:color w:val="auto"/>
          <w:szCs w:val="24"/>
        </w:rPr>
        <w:t>s</w:t>
      </w:r>
      <w:r w:rsidR="001006BF" w:rsidRPr="00AE3316">
        <w:rPr>
          <w:rFonts w:asciiTheme="minorHAnsi" w:hAnsiTheme="minorHAnsi"/>
          <w:color w:val="auto"/>
          <w:szCs w:val="24"/>
        </w:rPr>
        <w:t xml:space="preserve">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56FC8" w:rsidRPr="00AE62F3" w:rsidRDefault="00C56FC8" w:rsidP="00AE62F3">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1006BF">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1006BF"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Lumbar Spine Arthritis</w:t>
            </w:r>
          </w:p>
        </w:tc>
        <w:tc>
          <w:tcPr>
            <w:tcW w:w="1710" w:type="dxa"/>
            <w:vAlign w:val="center"/>
          </w:tcPr>
          <w:p w:rsidR="00A95BBA" w:rsidRPr="00AF01B2" w:rsidRDefault="001006BF"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5242</w:t>
            </w:r>
          </w:p>
        </w:tc>
        <w:tc>
          <w:tcPr>
            <w:tcW w:w="1170" w:type="dxa"/>
            <w:vAlign w:val="center"/>
          </w:tcPr>
          <w:p w:rsidR="00A95BBA" w:rsidRPr="00AF01B2" w:rsidRDefault="001006BF"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1006BF" w:rsidRPr="00AF01B2" w:rsidTr="00103948">
        <w:trPr>
          <w:jc w:val="center"/>
        </w:trPr>
        <w:tc>
          <w:tcPr>
            <w:tcW w:w="6480" w:type="dxa"/>
            <w:vAlign w:val="center"/>
          </w:tcPr>
          <w:p w:rsidR="001006BF" w:rsidRDefault="001006BF"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Left Shoulder Pain </w:t>
            </w:r>
          </w:p>
        </w:tc>
        <w:tc>
          <w:tcPr>
            <w:tcW w:w="1710" w:type="dxa"/>
            <w:vAlign w:val="center"/>
          </w:tcPr>
          <w:p w:rsidR="001006BF" w:rsidRDefault="001006BF"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5099-5003</w:t>
            </w:r>
          </w:p>
        </w:tc>
        <w:tc>
          <w:tcPr>
            <w:tcW w:w="1170" w:type="dxa"/>
            <w:vAlign w:val="center"/>
          </w:tcPr>
          <w:p w:rsidR="001006BF" w:rsidRDefault="001006BF"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1006BF"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1006BF">
        <w:rPr>
          <w:rFonts w:asciiTheme="minorHAnsi" w:hAnsiTheme="minorHAnsi"/>
          <w:color w:val="auto"/>
        </w:rPr>
        <w:t>110323</w:t>
      </w:r>
      <w:r w:rsidR="00946A28">
        <w:rPr>
          <w:rFonts w:asciiTheme="minorHAnsi" w:hAnsiTheme="minorHAnsi"/>
          <w:color w:val="auto"/>
        </w:rPr>
        <w:t>, w/</w:t>
      </w:r>
      <w:proofErr w:type="spellStart"/>
      <w:r w:rsidR="00946A28">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946A28">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946A28">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006BF" w:rsidRPr="0085089F" w:rsidRDefault="001006BF" w:rsidP="001006BF">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1A7E3C">
        <w:rPr>
          <w:rFonts w:asciiTheme="minorHAnsi" w:hAnsiTheme="minorHAnsi"/>
          <w:color w:val="auto"/>
        </w:rPr>
        <w:t xml:space="preserve"> </w:t>
      </w:r>
    </w:p>
    <w:p w:rsidR="001006BF" w:rsidRPr="0085089F" w:rsidRDefault="001006BF" w:rsidP="001006BF">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1A7E3C" w:rsidRDefault="001006BF" w:rsidP="001006B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1A7E3C" w:rsidRDefault="001A7E3C">
      <w:pPr>
        <w:rPr>
          <w:rFonts w:asciiTheme="minorHAnsi" w:hAnsiTheme="minorHAnsi"/>
          <w:color w:val="auto"/>
        </w:rPr>
      </w:pPr>
      <w:r>
        <w:rPr>
          <w:rFonts w:asciiTheme="minorHAnsi" w:hAnsiTheme="minorHAnsi"/>
          <w:color w:val="auto"/>
        </w:rPr>
        <w:br w:type="page"/>
      </w:r>
    </w:p>
    <w:p w:rsidR="001A7E3C" w:rsidRDefault="001A7E3C" w:rsidP="001A7E3C">
      <w:pPr>
        <w:pStyle w:val="Header"/>
        <w:tabs>
          <w:tab w:val="clear" w:pos="4320"/>
          <w:tab w:val="clear" w:pos="8640"/>
        </w:tabs>
      </w:pPr>
      <w:r>
        <w:lastRenderedPageBreak/>
        <w:t>SFMR-RB</w:t>
      </w:r>
      <w:r>
        <w:tab/>
      </w:r>
      <w:r>
        <w:tab/>
      </w:r>
      <w:r>
        <w:tab/>
      </w:r>
      <w:r>
        <w:tab/>
      </w:r>
      <w:r>
        <w:tab/>
      </w:r>
      <w:r>
        <w:tab/>
      </w:r>
      <w:r>
        <w:tab/>
      </w:r>
      <w:r>
        <w:tab/>
      </w:r>
      <w:r>
        <w:tab/>
      </w:r>
    </w:p>
    <w:p w:rsidR="001A7E3C" w:rsidRDefault="001A7E3C" w:rsidP="001A7E3C">
      <w:pPr>
        <w:pStyle w:val="Header"/>
        <w:tabs>
          <w:tab w:val="clear" w:pos="4320"/>
          <w:tab w:val="clear" w:pos="8640"/>
        </w:tabs>
      </w:pPr>
    </w:p>
    <w:p w:rsidR="001A7E3C" w:rsidRDefault="001A7E3C" w:rsidP="001A7E3C"/>
    <w:p w:rsidR="001A7E3C" w:rsidRDefault="001A7E3C" w:rsidP="001A7E3C">
      <w:r>
        <w:t xml:space="preserve">MEMORANDUM FOR Commander, US Army Physical Disability Agency </w:t>
      </w:r>
    </w:p>
    <w:p w:rsidR="001A7E3C" w:rsidRDefault="001A7E3C" w:rsidP="001A7E3C"/>
    <w:p w:rsidR="001A7E3C" w:rsidRDefault="001A7E3C" w:rsidP="001A7E3C">
      <w:pPr>
        <w:ind w:right="-180"/>
      </w:pPr>
      <w:r>
        <w:t xml:space="preserve">SUBJECT:  Department of Defense Physical Disability Board of Review Recommendation for </w:t>
      </w:r>
    </w:p>
    <w:p w:rsidR="001A7E3C" w:rsidRDefault="001A7E3C" w:rsidP="001A7E3C"/>
    <w:p w:rsidR="001A7E3C" w:rsidRDefault="001A7E3C" w:rsidP="001A7E3C">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1A7E3C" w:rsidRDefault="001A7E3C" w:rsidP="001A7E3C"/>
    <w:p w:rsidR="001A7E3C" w:rsidRDefault="001A7E3C" w:rsidP="001A7E3C">
      <w:r>
        <w:t>This decision is final.  The individual concerned, counsel (if any), and any Members of Congress who have shown interest in this application have been notified of this decision by mail.</w:t>
      </w:r>
    </w:p>
    <w:p w:rsidR="001A7E3C" w:rsidRDefault="001A7E3C" w:rsidP="001A7E3C"/>
    <w:p w:rsidR="001A7E3C" w:rsidRDefault="001A7E3C" w:rsidP="001A7E3C">
      <w:r>
        <w:t xml:space="preserve"> BY ORDER OF THE SECRETARY OF THE ARMY:</w:t>
      </w:r>
    </w:p>
    <w:p w:rsidR="001A7E3C" w:rsidRDefault="001A7E3C" w:rsidP="001A7E3C"/>
    <w:p w:rsidR="001A7E3C" w:rsidRDefault="001A7E3C" w:rsidP="001A7E3C"/>
    <w:p w:rsidR="001A7E3C" w:rsidRDefault="001A7E3C" w:rsidP="001A7E3C">
      <w:pPr>
        <w:pStyle w:val="Header"/>
        <w:tabs>
          <w:tab w:val="clear" w:pos="4320"/>
          <w:tab w:val="clear" w:pos="8640"/>
        </w:tabs>
      </w:pPr>
    </w:p>
    <w:p w:rsidR="001A7E3C" w:rsidRDefault="001A7E3C" w:rsidP="001A7E3C"/>
    <w:p w:rsidR="001A7E3C" w:rsidRDefault="001A7E3C" w:rsidP="001A7E3C">
      <w:bookmarkStart w:id="0" w:name="OLE_LINK3"/>
      <w:bookmarkStart w:id="1" w:name="OLE_LINK4"/>
      <w:r>
        <w:t>Encl</w:t>
      </w:r>
      <w:r>
        <w:tab/>
      </w:r>
      <w:r>
        <w:tab/>
      </w:r>
      <w:r>
        <w:tab/>
      </w:r>
      <w:r>
        <w:tab/>
      </w:r>
      <w:r>
        <w:tab/>
      </w:r>
      <w:r>
        <w:tab/>
        <w:t xml:space="preserve"> </w:t>
      </w:r>
    </w:p>
    <w:p w:rsidR="001A7E3C" w:rsidRDefault="001A7E3C" w:rsidP="001A7E3C">
      <w:r>
        <w:tab/>
      </w:r>
      <w:r>
        <w:tab/>
      </w:r>
      <w:r>
        <w:tab/>
      </w:r>
      <w:r>
        <w:tab/>
      </w:r>
      <w:r>
        <w:tab/>
      </w:r>
      <w:r>
        <w:tab/>
        <w:t xml:space="preserve">     Deputy Assistant Secretary</w:t>
      </w:r>
    </w:p>
    <w:p w:rsidR="001A7E3C" w:rsidRDefault="001A7E3C" w:rsidP="001A7E3C">
      <w:r>
        <w:tab/>
      </w:r>
      <w:r>
        <w:tab/>
      </w:r>
      <w:r>
        <w:tab/>
      </w:r>
      <w:r>
        <w:tab/>
      </w:r>
      <w:r>
        <w:tab/>
      </w:r>
      <w:r>
        <w:tab/>
        <w:t xml:space="preserve">         (Army Review Boards)</w:t>
      </w:r>
      <w:bookmarkEnd w:id="0"/>
      <w:bookmarkEnd w:id="1"/>
    </w:p>
    <w:p w:rsidR="001006BF" w:rsidRPr="00B906FA" w:rsidRDefault="001006BF" w:rsidP="001006B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1006BF" w:rsidRPr="00B906FA"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B6D" w:rsidRDefault="00B87B6D">
      <w:r>
        <w:separator/>
      </w:r>
    </w:p>
  </w:endnote>
  <w:endnote w:type="continuationSeparator" w:id="0">
    <w:p w:rsidR="00B87B6D" w:rsidRDefault="00B87B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334BF" w:rsidRPr="00684CE6" w:rsidRDefault="00005F4D" w:rsidP="00F65ED5">
        <w:pPr>
          <w:pStyle w:val="Footer"/>
          <w:jc w:val="right"/>
          <w:rPr>
            <w:color w:val="auto"/>
          </w:rPr>
        </w:pPr>
        <w:r w:rsidRPr="00684CE6">
          <w:rPr>
            <w:color w:val="auto"/>
          </w:rPr>
          <w:fldChar w:fldCharType="begin"/>
        </w:r>
        <w:r w:rsidR="001334BF" w:rsidRPr="00684CE6">
          <w:rPr>
            <w:color w:val="auto"/>
          </w:rPr>
          <w:instrText xml:space="preserve"> PAGE   \* MERGEFORMAT </w:instrText>
        </w:r>
        <w:r w:rsidRPr="00684CE6">
          <w:rPr>
            <w:color w:val="auto"/>
          </w:rPr>
          <w:fldChar w:fldCharType="separate"/>
        </w:r>
        <w:r w:rsidR="001A7E3C">
          <w:rPr>
            <w:noProof/>
            <w:color w:val="auto"/>
          </w:rPr>
          <w:t>4</w:t>
        </w:r>
        <w:r w:rsidRPr="00684CE6">
          <w:rPr>
            <w:color w:val="auto"/>
          </w:rPr>
          <w:fldChar w:fldCharType="end"/>
        </w:r>
        <w:r w:rsidR="001334BF" w:rsidRPr="00684CE6">
          <w:rPr>
            <w:color w:val="auto"/>
          </w:rPr>
          <w:t xml:space="preserve">                                                           PD</w:t>
        </w:r>
        <w:r w:rsidR="001334BF">
          <w:rPr>
            <w:color w:val="auto"/>
          </w:rPr>
          <w:t>1100121</w:t>
        </w:r>
      </w:p>
    </w:sdtContent>
  </w:sdt>
  <w:p w:rsidR="001334BF" w:rsidRPr="00684CE6" w:rsidRDefault="001334B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B6D" w:rsidRDefault="00B87B6D">
      <w:r>
        <w:separator/>
      </w:r>
    </w:p>
  </w:footnote>
  <w:footnote w:type="continuationSeparator" w:id="0">
    <w:p w:rsidR="00B87B6D" w:rsidRDefault="00B87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2210"/>
  </w:hdrShapeDefaults>
  <w:footnotePr>
    <w:numRestart w:val="eachSect"/>
    <w:footnote w:id="-1"/>
    <w:footnote w:id="0"/>
  </w:footnotePr>
  <w:endnotePr>
    <w:endnote w:id="-1"/>
    <w:endnote w:id="0"/>
  </w:endnotePr>
  <w:compat/>
  <w:rsids>
    <w:rsidRoot w:val="001C28D1"/>
    <w:rsid w:val="000024F5"/>
    <w:rsid w:val="000059FA"/>
    <w:rsid w:val="00005F4D"/>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27654"/>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180C"/>
    <w:rsid w:val="00082482"/>
    <w:rsid w:val="00084CF2"/>
    <w:rsid w:val="000857C7"/>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088"/>
    <w:rsid w:val="000C75CF"/>
    <w:rsid w:val="000C7B83"/>
    <w:rsid w:val="000C7DE4"/>
    <w:rsid w:val="000D0AE6"/>
    <w:rsid w:val="000D15E7"/>
    <w:rsid w:val="000D1A24"/>
    <w:rsid w:val="000D1CF4"/>
    <w:rsid w:val="000D1DBC"/>
    <w:rsid w:val="000D21C7"/>
    <w:rsid w:val="000D248A"/>
    <w:rsid w:val="000D2CFD"/>
    <w:rsid w:val="000D35D8"/>
    <w:rsid w:val="000D43F9"/>
    <w:rsid w:val="000D464A"/>
    <w:rsid w:val="000D4717"/>
    <w:rsid w:val="000D6457"/>
    <w:rsid w:val="000D7D55"/>
    <w:rsid w:val="000E0592"/>
    <w:rsid w:val="000E0993"/>
    <w:rsid w:val="000E2E50"/>
    <w:rsid w:val="000E37E0"/>
    <w:rsid w:val="000E3F20"/>
    <w:rsid w:val="000E4CBF"/>
    <w:rsid w:val="000E5577"/>
    <w:rsid w:val="000E7034"/>
    <w:rsid w:val="000F0224"/>
    <w:rsid w:val="000F02BE"/>
    <w:rsid w:val="000F0928"/>
    <w:rsid w:val="000F427B"/>
    <w:rsid w:val="000F43D0"/>
    <w:rsid w:val="000F4F18"/>
    <w:rsid w:val="000F688E"/>
    <w:rsid w:val="000F7181"/>
    <w:rsid w:val="001006BF"/>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34BF"/>
    <w:rsid w:val="0013525F"/>
    <w:rsid w:val="00135385"/>
    <w:rsid w:val="00135B65"/>
    <w:rsid w:val="001364D1"/>
    <w:rsid w:val="001374C7"/>
    <w:rsid w:val="001421FD"/>
    <w:rsid w:val="001425C8"/>
    <w:rsid w:val="00142EBA"/>
    <w:rsid w:val="00143B79"/>
    <w:rsid w:val="00145965"/>
    <w:rsid w:val="001471D4"/>
    <w:rsid w:val="00150618"/>
    <w:rsid w:val="00150B8A"/>
    <w:rsid w:val="00150DCB"/>
    <w:rsid w:val="00151912"/>
    <w:rsid w:val="00153740"/>
    <w:rsid w:val="00153D88"/>
    <w:rsid w:val="001541C5"/>
    <w:rsid w:val="0015623F"/>
    <w:rsid w:val="00156585"/>
    <w:rsid w:val="00156BA9"/>
    <w:rsid w:val="00157C7A"/>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4C1F"/>
    <w:rsid w:val="001858AF"/>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E3C"/>
    <w:rsid w:val="001B06FB"/>
    <w:rsid w:val="001B0B1A"/>
    <w:rsid w:val="001B32FF"/>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07F7"/>
    <w:rsid w:val="001E15C0"/>
    <w:rsid w:val="001E18E0"/>
    <w:rsid w:val="001E18E2"/>
    <w:rsid w:val="001E19D0"/>
    <w:rsid w:val="001E2A30"/>
    <w:rsid w:val="001E2FF1"/>
    <w:rsid w:val="001E41FE"/>
    <w:rsid w:val="001E635C"/>
    <w:rsid w:val="001F0297"/>
    <w:rsid w:val="001F0B1A"/>
    <w:rsid w:val="001F216F"/>
    <w:rsid w:val="00200AA0"/>
    <w:rsid w:val="00202325"/>
    <w:rsid w:val="00202736"/>
    <w:rsid w:val="00203652"/>
    <w:rsid w:val="00203CD9"/>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4F18"/>
    <w:rsid w:val="00235B4C"/>
    <w:rsid w:val="00236018"/>
    <w:rsid w:val="002361BB"/>
    <w:rsid w:val="00236B8D"/>
    <w:rsid w:val="002374C9"/>
    <w:rsid w:val="0024174E"/>
    <w:rsid w:val="00242238"/>
    <w:rsid w:val="0024227D"/>
    <w:rsid w:val="00242323"/>
    <w:rsid w:val="00242D14"/>
    <w:rsid w:val="002432F4"/>
    <w:rsid w:val="00246860"/>
    <w:rsid w:val="002468D9"/>
    <w:rsid w:val="00246DFF"/>
    <w:rsid w:val="00246E89"/>
    <w:rsid w:val="0025183C"/>
    <w:rsid w:val="00252351"/>
    <w:rsid w:val="002528EC"/>
    <w:rsid w:val="00253EAA"/>
    <w:rsid w:val="00253EF8"/>
    <w:rsid w:val="00255049"/>
    <w:rsid w:val="00257AFF"/>
    <w:rsid w:val="00257DE5"/>
    <w:rsid w:val="00260531"/>
    <w:rsid w:val="00260B9A"/>
    <w:rsid w:val="00262EA5"/>
    <w:rsid w:val="0026318D"/>
    <w:rsid w:val="00264148"/>
    <w:rsid w:val="002660AF"/>
    <w:rsid w:val="00270864"/>
    <w:rsid w:val="002712F7"/>
    <w:rsid w:val="0027159C"/>
    <w:rsid w:val="002722F2"/>
    <w:rsid w:val="0027328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B9A"/>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397"/>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2DC4"/>
    <w:rsid w:val="002F6AD8"/>
    <w:rsid w:val="002F7F81"/>
    <w:rsid w:val="00300A36"/>
    <w:rsid w:val="00301B45"/>
    <w:rsid w:val="00305856"/>
    <w:rsid w:val="0030678B"/>
    <w:rsid w:val="00306D16"/>
    <w:rsid w:val="00307595"/>
    <w:rsid w:val="00310CD7"/>
    <w:rsid w:val="0031116A"/>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919"/>
    <w:rsid w:val="00377BD2"/>
    <w:rsid w:val="00380FD4"/>
    <w:rsid w:val="00381E16"/>
    <w:rsid w:val="003821E1"/>
    <w:rsid w:val="003840F6"/>
    <w:rsid w:val="00384866"/>
    <w:rsid w:val="00384F3C"/>
    <w:rsid w:val="003857D4"/>
    <w:rsid w:val="00385D6F"/>
    <w:rsid w:val="00385FE0"/>
    <w:rsid w:val="00386D43"/>
    <w:rsid w:val="00387095"/>
    <w:rsid w:val="00387E95"/>
    <w:rsid w:val="00390092"/>
    <w:rsid w:val="00391858"/>
    <w:rsid w:val="00393651"/>
    <w:rsid w:val="00394476"/>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234"/>
    <w:rsid w:val="003B5854"/>
    <w:rsid w:val="003B6764"/>
    <w:rsid w:val="003B7A8B"/>
    <w:rsid w:val="003C294B"/>
    <w:rsid w:val="003C5046"/>
    <w:rsid w:val="003C6068"/>
    <w:rsid w:val="003C7AEC"/>
    <w:rsid w:val="003D2BA3"/>
    <w:rsid w:val="003D316B"/>
    <w:rsid w:val="003D3C22"/>
    <w:rsid w:val="003D519E"/>
    <w:rsid w:val="003D56A0"/>
    <w:rsid w:val="003D69F5"/>
    <w:rsid w:val="003D7089"/>
    <w:rsid w:val="003D7DDB"/>
    <w:rsid w:val="003E024F"/>
    <w:rsid w:val="003E02C7"/>
    <w:rsid w:val="003E0543"/>
    <w:rsid w:val="003E061D"/>
    <w:rsid w:val="003E0B5A"/>
    <w:rsid w:val="003E1682"/>
    <w:rsid w:val="003E31E3"/>
    <w:rsid w:val="003E3E93"/>
    <w:rsid w:val="003E462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5C5D"/>
    <w:rsid w:val="00427EC9"/>
    <w:rsid w:val="00427F54"/>
    <w:rsid w:val="004316FD"/>
    <w:rsid w:val="004332CD"/>
    <w:rsid w:val="00433F36"/>
    <w:rsid w:val="00434860"/>
    <w:rsid w:val="00434BA6"/>
    <w:rsid w:val="00434EDA"/>
    <w:rsid w:val="0043503A"/>
    <w:rsid w:val="00437B8A"/>
    <w:rsid w:val="00437D18"/>
    <w:rsid w:val="00437D77"/>
    <w:rsid w:val="00443508"/>
    <w:rsid w:val="004435BE"/>
    <w:rsid w:val="0044384F"/>
    <w:rsid w:val="0044411E"/>
    <w:rsid w:val="00444472"/>
    <w:rsid w:val="00444F80"/>
    <w:rsid w:val="00445599"/>
    <w:rsid w:val="00446018"/>
    <w:rsid w:val="0045027B"/>
    <w:rsid w:val="004504E7"/>
    <w:rsid w:val="00451F9D"/>
    <w:rsid w:val="00452E98"/>
    <w:rsid w:val="00453167"/>
    <w:rsid w:val="004540FD"/>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5ECD"/>
    <w:rsid w:val="004D6E90"/>
    <w:rsid w:val="004D6F2B"/>
    <w:rsid w:val="004E0248"/>
    <w:rsid w:val="004E21A3"/>
    <w:rsid w:val="004E32EA"/>
    <w:rsid w:val="004E6866"/>
    <w:rsid w:val="004F0C58"/>
    <w:rsid w:val="004F2CD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16CE4"/>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84F"/>
    <w:rsid w:val="00546C24"/>
    <w:rsid w:val="005471BA"/>
    <w:rsid w:val="00547BE6"/>
    <w:rsid w:val="0055016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474"/>
    <w:rsid w:val="005A258C"/>
    <w:rsid w:val="005A3560"/>
    <w:rsid w:val="005A464E"/>
    <w:rsid w:val="005A51B3"/>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C90"/>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1FA3"/>
    <w:rsid w:val="00605162"/>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1260"/>
    <w:rsid w:val="00682486"/>
    <w:rsid w:val="00684B74"/>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97634"/>
    <w:rsid w:val="006A10FA"/>
    <w:rsid w:val="006A40E6"/>
    <w:rsid w:val="006A516B"/>
    <w:rsid w:val="006A5362"/>
    <w:rsid w:val="006A543A"/>
    <w:rsid w:val="006A5C07"/>
    <w:rsid w:val="006A75FA"/>
    <w:rsid w:val="006A7FE3"/>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751"/>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A78"/>
    <w:rsid w:val="007A3BB3"/>
    <w:rsid w:val="007A3F91"/>
    <w:rsid w:val="007A5AD1"/>
    <w:rsid w:val="007A5B7B"/>
    <w:rsid w:val="007A5E5C"/>
    <w:rsid w:val="007A65A9"/>
    <w:rsid w:val="007B0128"/>
    <w:rsid w:val="007B0A06"/>
    <w:rsid w:val="007B0B24"/>
    <w:rsid w:val="007B1C83"/>
    <w:rsid w:val="007B3464"/>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DD8"/>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3FC2"/>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377B9"/>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66D53"/>
    <w:rsid w:val="00866E5D"/>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3D4F"/>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0D2"/>
    <w:rsid w:val="008B6705"/>
    <w:rsid w:val="008B73A1"/>
    <w:rsid w:val="008C22F3"/>
    <w:rsid w:val="008C3FD0"/>
    <w:rsid w:val="008C4F01"/>
    <w:rsid w:val="008D1484"/>
    <w:rsid w:val="008D29E7"/>
    <w:rsid w:val="008D3292"/>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AED"/>
    <w:rsid w:val="00906EB7"/>
    <w:rsid w:val="009102BF"/>
    <w:rsid w:val="00910A64"/>
    <w:rsid w:val="00911490"/>
    <w:rsid w:val="009115F2"/>
    <w:rsid w:val="00911B11"/>
    <w:rsid w:val="00914ADB"/>
    <w:rsid w:val="00917182"/>
    <w:rsid w:val="00923B25"/>
    <w:rsid w:val="0092402E"/>
    <w:rsid w:val="009259BA"/>
    <w:rsid w:val="00926FCB"/>
    <w:rsid w:val="009303BB"/>
    <w:rsid w:val="0093108A"/>
    <w:rsid w:val="0093311A"/>
    <w:rsid w:val="00933795"/>
    <w:rsid w:val="009346D0"/>
    <w:rsid w:val="009419B4"/>
    <w:rsid w:val="00941A4C"/>
    <w:rsid w:val="00942645"/>
    <w:rsid w:val="009461E6"/>
    <w:rsid w:val="00946A28"/>
    <w:rsid w:val="00950A3A"/>
    <w:rsid w:val="0095300E"/>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12B"/>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491"/>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5DE4"/>
    <w:rsid w:val="00A363A0"/>
    <w:rsid w:val="00A40FFB"/>
    <w:rsid w:val="00A41468"/>
    <w:rsid w:val="00A414A9"/>
    <w:rsid w:val="00A43D2A"/>
    <w:rsid w:val="00A44141"/>
    <w:rsid w:val="00A44CCA"/>
    <w:rsid w:val="00A44D75"/>
    <w:rsid w:val="00A47CF1"/>
    <w:rsid w:val="00A50418"/>
    <w:rsid w:val="00A54A47"/>
    <w:rsid w:val="00A56D26"/>
    <w:rsid w:val="00A571A7"/>
    <w:rsid w:val="00A5749A"/>
    <w:rsid w:val="00A57BA8"/>
    <w:rsid w:val="00A608E4"/>
    <w:rsid w:val="00A608FB"/>
    <w:rsid w:val="00A60D83"/>
    <w:rsid w:val="00A60F68"/>
    <w:rsid w:val="00A63DF3"/>
    <w:rsid w:val="00A65C78"/>
    <w:rsid w:val="00A660A8"/>
    <w:rsid w:val="00A66A45"/>
    <w:rsid w:val="00A67591"/>
    <w:rsid w:val="00A67CA6"/>
    <w:rsid w:val="00A70E7B"/>
    <w:rsid w:val="00A717EA"/>
    <w:rsid w:val="00A73B84"/>
    <w:rsid w:val="00A7411D"/>
    <w:rsid w:val="00A74BF7"/>
    <w:rsid w:val="00A756C4"/>
    <w:rsid w:val="00A7592B"/>
    <w:rsid w:val="00A76094"/>
    <w:rsid w:val="00A768E2"/>
    <w:rsid w:val="00A82C52"/>
    <w:rsid w:val="00A838E8"/>
    <w:rsid w:val="00A83C15"/>
    <w:rsid w:val="00A8488C"/>
    <w:rsid w:val="00A84EC4"/>
    <w:rsid w:val="00A86CB6"/>
    <w:rsid w:val="00A90D55"/>
    <w:rsid w:val="00A913BA"/>
    <w:rsid w:val="00A944D8"/>
    <w:rsid w:val="00A959E7"/>
    <w:rsid w:val="00A95BBA"/>
    <w:rsid w:val="00A95E24"/>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1E74"/>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62F3"/>
    <w:rsid w:val="00AF01B2"/>
    <w:rsid w:val="00AF0B86"/>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67B"/>
    <w:rsid w:val="00B37F53"/>
    <w:rsid w:val="00B40A05"/>
    <w:rsid w:val="00B40A3E"/>
    <w:rsid w:val="00B427BB"/>
    <w:rsid w:val="00B43BA2"/>
    <w:rsid w:val="00B449EE"/>
    <w:rsid w:val="00B454AE"/>
    <w:rsid w:val="00B50227"/>
    <w:rsid w:val="00B50510"/>
    <w:rsid w:val="00B522CD"/>
    <w:rsid w:val="00B54F9E"/>
    <w:rsid w:val="00B55143"/>
    <w:rsid w:val="00B555C8"/>
    <w:rsid w:val="00B55917"/>
    <w:rsid w:val="00B5646A"/>
    <w:rsid w:val="00B56F3D"/>
    <w:rsid w:val="00B57921"/>
    <w:rsid w:val="00B57E78"/>
    <w:rsid w:val="00B57EB8"/>
    <w:rsid w:val="00B609F6"/>
    <w:rsid w:val="00B60E75"/>
    <w:rsid w:val="00B643A6"/>
    <w:rsid w:val="00B64DD6"/>
    <w:rsid w:val="00B650B8"/>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7B6D"/>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9FC"/>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E7F00"/>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6F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5B31"/>
    <w:rsid w:val="00C36201"/>
    <w:rsid w:val="00C368E8"/>
    <w:rsid w:val="00C36C3D"/>
    <w:rsid w:val="00C372C7"/>
    <w:rsid w:val="00C37ED9"/>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1AA1"/>
    <w:rsid w:val="00C62EB2"/>
    <w:rsid w:val="00C64C87"/>
    <w:rsid w:val="00C665FE"/>
    <w:rsid w:val="00C67993"/>
    <w:rsid w:val="00C67E7A"/>
    <w:rsid w:val="00C71BEC"/>
    <w:rsid w:val="00C73455"/>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1E66"/>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568A"/>
    <w:rsid w:val="00D1648B"/>
    <w:rsid w:val="00D16819"/>
    <w:rsid w:val="00D17DD9"/>
    <w:rsid w:val="00D20380"/>
    <w:rsid w:val="00D20AC0"/>
    <w:rsid w:val="00D2321B"/>
    <w:rsid w:val="00D23350"/>
    <w:rsid w:val="00D237E7"/>
    <w:rsid w:val="00D23DE4"/>
    <w:rsid w:val="00D25A5C"/>
    <w:rsid w:val="00D26873"/>
    <w:rsid w:val="00D27E2A"/>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C6"/>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5858"/>
    <w:rsid w:val="00D76AB2"/>
    <w:rsid w:val="00D80490"/>
    <w:rsid w:val="00D82419"/>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495B"/>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0B11"/>
    <w:rsid w:val="00DB2AAD"/>
    <w:rsid w:val="00DB44E2"/>
    <w:rsid w:val="00DB4A6D"/>
    <w:rsid w:val="00DB5941"/>
    <w:rsid w:val="00DB626D"/>
    <w:rsid w:val="00DB6365"/>
    <w:rsid w:val="00DB666F"/>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05AEA"/>
    <w:rsid w:val="00E06629"/>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6128"/>
    <w:rsid w:val="00E771AF"/>
    <w:rsid w:val="00E771CD"/>
    <w:rsid w:val="00E80386"/>
    <w:rsid w:val="00E809C3"/>
    <w:rsid w:val="00E81A1A"/>
    <w:rsid w:val="00E81C3E"/>
    <w:rsid w:val="00E82359"/>
    <w:rsid w:val="00E82857"/>
    <w:rsid w:val="00E82B6D"/>
    <w:rsid w:val="00E83187"/>
    <w:rsid w:val="00E831E9"/>
    <w:rsid w:val="00E8608F"/>
    <w:rsid w:val="00E86C1D"/>
    <w:rsid w:val="00E9763D"/>
    <w:rsid w:val="00EA1177"/>
    <w:rsid w:val="00EA118B"/>
    <w:rsid w:val="00EA11B6"/>
    <w:rsid w:val="00EA2181"/>
    <w:rsid w:val="00EA2220"/>
    <w:rsid w:val="00EA2DD8"/>
    <w:rsid w:val="00EA4475"/>
    <w:rsid w:val="00EA52FE"/>
    <w:rsid w:val="00EA681F"/>
    <w:rsid w:val="00EB04C6"/>
    <w:rsid w:val="00EB06A6"/>
    <w:rsid w:val="00EB3307"/>
    <w:rsid w:val="00EB3823"/>
    <w:rsid w:val="00EB47D8"/>
    <w:rsid w:val="00EB57D3"/>
    <w:rsid w:val="00EB5EFD"/>
    <w:rsid w:val="00EB679F"/>
    <w:rsid w:val="00EB76E4"/>
    <w:rsid w:val="00EB7DDC"/>
    <w:rsid w:val="00EC0E65"/>
    <w:rsid w:val="00EC1251"/>
    <w:rsid w:val="00EC2938"/>
    <w:rsid w:val="00EC2C93"/>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943"/>
    <w:rsid w:val="00EE6FE0"/>
    <w:rsid w:val="00EE704A"/>
    <w:rsid w:val="00EE7840"/>
    <w:rsid w:val="00EF2C40"/>
    <w:rsid w:val="00EF2E75"/>
    <w:rsid w:val="00EF4C74"/>
    <w:rsid w:val="00EF5268"/>
    <w:rsid w:val="00EF608E"/>
    <w:rsid w:val="00EF6B71"/>
    <w:rsid w:val="00EF6C4A"/>
    <w:rsid w:val="00F0044B"/>
    <w:rsid w:val="00F03525"/>
    <w:rsid w:val="00F0424D"/>
    <w:rsid w:val="00F04957"/>
    <w:rsid w:val="00F05807"/>
    <w:rsid w:val="00F05A30"/>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26887"/>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6D7"/>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A46"/>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0BD"/>
    <w:rsid w:val="00FC4284"/>
    <w:rsid w:val="00FC4576"/>
    <w:rsid w:val="00FC5FF5"/>
    <w:rsid w:val="00FC6285"/>
    <w:rsid w:val="00FC66A3"/>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272D"/>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1A7E3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C6F0-C246-4898-BC1B-AB2482C0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2012-02-09T13:02:00Z</cp:lastPrinted>
  <dcterms:created xsi:type="dcterms:W3CDTF">2012-02-06T16:11:00Z</dcterms:created>
  <dcterms:modified xsi:type="dcterms:W3CDTF">2012-03-15T11:24:00Z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