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670" w:rsidRPr="00396779" w:rsidRDefault="00540BEF" w:rsidP="00510F9C">
      <w:pPr>
        <w:tabs>
          <w:tab w:val="left" w:pos="288"/>
          <w:tab w:val="left" w:pos="4752"/>
        </w:tabs>
        <w:spacing w:line="240" w:lineRule="exact"/>
        <w:jc w:val="center"/>
        <w:rPr>
          <w:rFonts w:asciiTheme="minorHAnsi" w:hAnsiTheme="minorHAnsi"/>
          <w:color w:val="auto"/>
        </w:rPr>
      </w:pPr>
      <w:r w:rsidRPr="00396779">
        <w:rPr>
          <w:rFonts w:asciiTheme="minorHAnsi" w:hAnsiTheme="minorHAnsi"/>
          <w:color w:val="auto"/>
        </w:rPr>
        <w:t>RECORD OF PROCEEDINGS</w:t>
      </w:r>
    </w:p>
    <w:p w:rsidR="00540BEF" w:rsidRPr="00396779" w:rsidRDefault="00540BEF" w:rsidP="00510F9C">
      <w:pPr>
        <w:tabs>
          <w:tab w:val="left" w:pos="288"/>
          <w:tab w:val="left" w:pos="4752"/>
        </w:tabs>
        <w:spacing w:line="240" w:lineRule="exact"/>
        <w:jc w:val="center"/>
        <w:rPr>
          <w:rFonts w:asciiTheme="minorHAnsi" w:hAnsiTheme="minorHAnsi"/>
          <w:color w:val="auto"/>
        </w:rPr>
      </w:pPr>
      <w:r w:rsidRPr="00396779">
        <w:rPr>
          <w:rFonts w:asciiTheme="minorHAnsi" w:hAnsiTheme="minorHAnsi"/>
          <w:color w:val="auto"/>
        </w:rPr>
        <w:t>PHYSICAL DISABILITY BOARD OF REVIEW</w:t>
      </w:r>
    </w:p>
    <w:p w:rsidR="00540BEF" w:rsidRPr="00396779" w:rsidRDefault="00540BEF" w:rsidP="00510F9C">
      <w:pPr>
        <w:tabs>
          <w:tab w:val="left" w:pos="288"/>
          <w:tab w:val="left" w:pos="4752"/>
        </w:tabs>
        <w:spacing w:line="240" w:lineRule="exact"/>
        <w:jc w:val="both"/>
        <w:rPr>
          <w:rFonts w:asciiTheme="minorHAnsi" w:hAnsiTheme="minorHAnsi"/>
          <w:caps/>
          <w:color w:val="auto"/>
        </w:rPr>
      </w:pPr>
    </w:p>
    <w:p w:rsidR="00844CA6" w:rsidRDefault="00F629C0" w:rsidP="0012333C">
      <w:pPr>
        <w:tabs>
          <w:tab w:val="left" w:pos="288"/>
          <w:tab w:val="left" w:pos="5940"/>
          <w:tab w:val="left" w:pos="9270"/>
        </w:tabs>
        <w:spacing w:line="240" w:lineRule="exact"/>
        <w:jc w:val="both"/>
        <w:rPr>
          <w:rFonts w:asciiTheme="minorHAnsi" w:hAnsiTheme="minorHAnsi"/>
          <w:caps/>
          <w:color w:val="auto"/>
        </w:rPr>
      </w:pPr>
      <w:r w:rsidRPr="00FD6C41">
        <w:rPr>
          <w:rFonts w:asciiTheme="minorHAnsi" w:hAnsiTheme="minorHAnsi"/>
          <w:caps/>
          <w:color w:val="auto"/>
        </w:rPr>
        <w:t xml:space="preserve">NAME: </w:t>
      </w:r>
      <w:r>
        <w:rPr>
          <w:rFonts w:asciiTheme="minorHAnsi" w:hAnsiTheme="minorHAnsi"/>
          <w:caps/>
          <w:color w:val="auto"/>
        </w:rPr>
        <w:t xml:space="preserve"> </w:t>
      </w:r>
      <w:r w:rsidR="00CA2356">
        <w:rPr>
          <w:rFonts w:asciiTheme="minorHAnsi" w:hAnsiTheme="minorHAnsi"/>
          <w:color w:val="auto"/>
        </w:rPr>
        <w:t>XXXXXXXXXX</w:t>
      </w:r>
      <w:r w:rsidR="0012333C">
        <w:rPr>
          <w:rFonts w:asciiTheme="minorHAnsi" w:hAnsiTheme="minorHAnsi"/>
          <w:caps/>
          <w:color w:val="auto"/>
        </w:rPr>
        <w:tab/>
      </w:r>
      <w:r w:rsidRPr="00FD6C41">
        <w:rPr>
          <w:rFonts w:asciiTheme="minorHAnsi" w:hAnsiTheme="minorHAnsi"/>
          <w:caps/>
          <w:color w:val="auto"/>
        </w:rPr>
        <w:t>BRANCH OF SERVICE</w:t>
      </w:r>
      <w:r w:rsidRPr="00844CA6">
        <w:rPr>
          <w:rFonts w:asciiTheme="minorHAnsi" w:hAnsiTheme="minorHAnsi"/>
          <w:caps/>
          <w:color w:val="auto"/>
        </w:rPr>
        <w:t xml:space="preserve">: </w:t>
      </w:r>
      <w:r w:rsidR="004C24C5" w:rsidRPr="00844CA6">
        <w:rPr>
          <w:rFonts w:asciiTheme="minorHAnsi" w:hAnsiTheme="minorHAnsi"/>
          <w:caps/>
          <w:color w:val="auto"/>
        </w:rPr>
        <w:t xml:space="preserve"> </w:t>
      </w:r>
      <w:r w:rsidR="000259DF">
        <w:rPr>
          <w:rFonts w:asciiTheme="minorHAnsi" w:hAnsiTheme="minorHAnsi"/>
          <w:caps/>
          <w:color w:val="auto"/>
        </w:rPr>
        <w:t>Army</w:t>
      </w:r>
    </w:p>
    <w:p w:rsidR="00DE3AAD" w:rsidRDefault="00012733" w:rsidP="0012333C">
      <w:pPr>
        <w:tabs>
          <w:tab w:val="left" w:pos="288"/>
          <w:tab w:val="left" w:pos="5940"/>
          <w:tab w:val="left" w:pos="9270"/>
        </w:tabs>
        <w:spacing w:line="240" w:lineRule="exact"/>
        <w:jc w:val="both"/>
        <w:rPr>
          <w:rFonts w:asciiTheme="minorHAnsi" w:hAnsiTheme="minorHAnsi"/>
          <w:caps/>
          <w:color w:val="auto"/>
        </w:rPr>
      </w:pPr>
      <w:r>
        <w:rPr>
          <w:rFonts w:asciiTheme="minorHAnsi" w:hAnsiTheme="minorHAnsi"/>
          <w:caps/>
          <w:color w:val="auto"/>
        </w:rPr>
        <w:t>C</w:t>
      </w:r>
      <w:r w:rsidR="00DE3AAD" w:rsidRPr="00FD6C41">
        <w:rPr>
          <w:rFonts w:asciiTheme="minorHAnsi" w:hAnsiTheme="minorHAnsi"/>
          <w:caps/>
          <w:color w:val="auto"/>
        </w:rPr>
        <w:t xml:space="preserve">ASE NUMBER: </w:t>
      </w:r>
      <w:r w:rsidR="00DE3AAD">
        <w:rPr>
          <w:rFonts w:asciiTheme="minorHAnsi" w:hAnsiTheme="minorHAnsi"/>
          <w:caps/>
          <w:color w:val="auto"/>
        </w:rPr>
        <w:t xml:space="preserve"> </w:t>
      </w:r>
      <w:r w:rsidR="00DE3AAD" w:rsidRPr="00844CA6">
        <w:rPr>
          <w:rFonts w:asciiTheme="minorHAnsi" w:hAnsiTheme="minorHAnsi"/>
          <w:caps/>
          <w:color w:val="auto"/>
        </w:rPr>
        <w:t>PD</w:t>
      </w:r>
      <w:r w:rsidR="00844CA6">
        <w:rPr>
          <w:rFonts w:asciiTheme="minorHAnsi" w:hAnsiTheme="minorHAnsi"/>
          <w:caps/>
          <w:color w:val="auto"/>
        </w:rPr>
        <w:t>11</w:t>
      </w:r>
      <w:r w:rsidR="00DE3AAD" w:rsidRPr="00844CA6">
        <w:rPr>
          <w:rFonts w:asciiTheme="minorHAnsi" w:hAnsiTheme="minorHAnsi"/>
          <w:caps/>
          <w:color w:val="auto"/>
        </w:rPr>
        <w:t>00</w:t>
      </w:r>
      <w:r w:rsidR="00844CA6">
        <w:rPr>
          <w:rFonts w:asciiTheme="minorHAnsi" w:hAnsiTheme="minorHAnsi"/>
          <w:caps/>
          <w:color w:val="auto"/>
        </w:rPr>
        <w:t>108</w:t>
      </w:r>
      <w:r w:rsidR="00DE3AAD" w:rsidRPr="00DE3AAD">
        <w:rPr>
          <w:rFonts w:asciiTheme="minorHAnsi" w:hAnsiTheme="minorHAnsi"/>
          <w:color w:val="auto"/>
        </w:rPr>
        <w:t xml:space="preserve"> </w:t>
      </w:r>
      <w:r w:rsidR="00DE3AAD">
        <w:rPr>
          <w:rFonts w:asciiTheme="minorHAnsi" w:hAnsiTheme="minorHAnsi"/>
          <w:color w:val="auto"/>
        </w:rPr>
        <w:tab/>
      </w:r>
      <w:r w:rsidR="00DE3AAD" w:rsidRPr="00DE3AAD">
        <w:rPr>
          <w:rFonts w:asciiTheme="minorHAnsi" w:hAnsiTheme="minorHAnsi"/>
          <w:color w:val="auto"/>
        </w:rPr>
        <w:t>SEPARATION DATE:  200</w:t>
      </w:r>
      <w:r w:rsidR="00844CA6">
        <w:rPr>
          <w:rFonts w:asciiTheme="minorHAnsi" w:hAnsiTheme="minorHAnsi"/>
          <w:color w:val="auto"/>
        </w:rPr>
        <w:t>20105</w:t>
      </w:r>
    </w:p>
    <w:p w:rsidR="004F3639" w:rsidRPr="00FD6C41" w:rsidRDefault="004F3639" w:rsidP="00510F9C">
      <w:pPr>
        <w:tabs>
          <w:tab w:val="left" w:pos="288"/>
          <w:tab w:val="left" w:pos="5130"/>
        </w:tabs>
        <w:spacing w:line="240" w:lineRule="exact"/>
        <w:jc w:val="both"/>
        <w:rPr>
          <w:rFonts w:asciiTheme="minorHAnsi" w:hAnsiTheme="minorHAnsi"/>
          <w:color w:val="auto"/>
        </w:rPr>
      </w:pPr>
      <w:r w:rsidRPr="00FD6C41">
        <w:rPr>
          <w:rFonts w:asciiTheme="minorHAnsi" w:hAnsiTheme="minorHAnsi"/>
          <w:caps/>
          <w:color w:val="auto"/>
        </w:rPr>
        <w:t xml:space="preserve">BOARD DATE: </w:t>
      </w:r>
      <w:r>
        <w:rPr>
          <w:rFonts w:asciiTheme="minorHAnsi" w:hAnsiTheme="minorHAnsi"/>
          <w:caps/>
          <w:color w:val="auto"/>
        </w:rPr>
        <w:t xml:space="preserve"> </w:t>
      </w:r>
      <w:r w:rsidRPr="00655258">
        <w:rPr>
          <w:rFonts w:asciiTheme="minorHAnsi" w:hAnsiTheme="minorHAnsi"/>
          <w:caps/>
          <w:color w:val="auto"/>
        </w:rPr>
        <w:t>2011</w:t>
      </w:r>
      <w:r w:rsidR="00C8377C">
        <w:rPr>
          <w:rFonts w:asciiTheme="minorHAnsi" w:hAnsiTheme="minorHAnsi"/>
          <w:caps/>
          <w:color w:val="auto"/>
        </w:rPr>
        <w:t>1110</w:t>
      </w:r>
    </w:p>
    <w:p w:rsidR="008E0D8F" w:rsidRDefault="008E0D8F" w:rsidP="00510F9C">
      <w:pPr>
        <w:pBdr>
          <w:bottom w:val="single" w:sz="12" w:space="1" w:color="auto"/>
        </w:pBdr>
        <w:tabs>
          <w:tab w:val="left" w:pos="288"/>
          <w:tab w:val="left" w:pos="4752"/>
        </w:tabs>
        <w:spacing w:line="240" w:lineRule="exact"/>
        <w:jc w:val="both"/>
        <w:rPr>
          <w:rFonts w:asciiTheme="minorHAnsi" w:hAnsiTheme="minorHAnsi"/>
          <w:color w:val="auto"/>
          <w:u w:val="single"/>
        </w:rPr>
      </w:pPr>
    </w:p>
    <w:p w:rsidR="00FB0E80" w:rsidRPr="00AD7F8F" w:rsidRDefault="00FB0E80" w:rsidP="00FB0E80">
      <w:pPr>
        <w:tabs>
          <w:tab w:val="left" w:pos="288"/>
          <w:tab w:val="left" w:pos="4752"/>
        </w:tabs>
        <w:spacing w:line="240" w:lineRule="exact"/>
        <w:jc w:val="both"/>
        <w:rPr>
          <w:rFonts w:asciiTheme="minorHAnsi" w:hAnsiTheme="minorHAnsi"/>
          <w:color w:val="auto"/>
        </w:rPr>
      </w:pPr>
    </w:p>
    <w:p w:rsidR="00F63FC7" w:rsidRPr="00C8377C" w:rsidRDefault="00FB0E80" w:rsidP="00510F9C">
      <w:pPr>
        <w:tabs>
          <w:tab w:val="left" w:pos="288"/>
          <w:tab w:val="left" w:pos="4752"/>
        </w:tabs>
        <w:spacing w:line="240" w:lineRule="exact"/>
        <w:jc w:val="both"/>
        <w:rPr>
          <w:rFonts w:asciiTheme="minorHAnsi" w:hAnsiTheme="minorHAnsi"/>
          <w:color w:val="auto"/>
        </w:rPr>
      </w:pPr>
      <w:r w:rsidRPr="0085006A">
        <w:rPr>
          <w:rFonts w:asciiTheme="minorHAnsi" w:hAnsiTheme="minorHAnsi"/>
          <w:color w:val="auto"/>
          <w:u w:val="single"/>
        </w:rPr>
        <w:t>SUMMARY OF CASE</w:t>
      </w:r>
      <w:r w:rsidRPr="0085006A">
        <w:rPr>
          <w:rFonts w:asciiTheme="minorHAnsi" w:hAnsiTheme="minorHAnsi"/>
          <w:color w:val="auto"/>
        </w:rPr>
        <w:t>:</w:t>
      </w:r>
      <w:r w:rsidRPr="00EC337D">
        <w:rPr>
          <w:rFonts w:asciiTheme="minorHAnsi" w:hAnsiTheme="minorHAnsi"/>
          <w:color w:val="auto"/>
        </w:rPr>
        <w:t xml:space="preserve">  </w:t>
      </w:r>
      <w:r w:rsidR="009759C2" w:rsidRPr="00EC337D">
        <w:rPr>
          <w:rFonts w:asciiTheme="minorHAnsi" w:hAnsiTheme="minorHAnsi"/>
          <w:color w:val="auto"/>
        </w:rPr>
        <w:t>Data extracted from the available evidence of record reflects that this covered individual (CI)</w:t>
      </w:r>
      <w:r w:rsidR="00570754" w:rsidRPr="00EC337D">
        <w:rPr>
          <w:rFonts w:asciiTheme="minorHAnsi" w:hAnsiTheme="minorHAnsi"/>
          <w:color w:val="auto"/>
        </w:rPr>
        <w:t xml:space="preserve"> </w:t>
      </w:r>
      <w:r w:rsidR="002C6E5B" w:rsidRPr="00AD7F8F">
        <w:rPr>
          <w:rFonts w:asciiTheme="minorHAnsi" w:hAnsiTheme="minorHAnsi"/>
          <w:color w:val="auto"/>
          <w:szCs w:val="24"/>
        </w:rPr>
        <w:t xml:space="preserve">was </w:t>
      </w:r>
      <w:r w:rsidR="00E322F7" w:rsidRPr="00AD7F8F">
        <w:rPr>
          <w:rFonts w:asciiTheme="minorHAnsi" w:hAnsiTheme="minorHAnsi"/>
          <w:color w:val="auto"/>
          <w:szCs w:val="24"/>
        </w:rPr>
        <w:t xml:space="preserve">an </w:t>
      </w:r>
      <w:r w:rsidR="00E322F7" w:rsidRPr="00C8377C">
        <w:rPr>
          <w:rFonts w:asciiTheme="minorHAnsi" w:hAnsiTheme="minorHAnsi"/>
          <w:color w:val="auto"/>
          <w:szCs w:val="24"/>
        </w:rPr>
        <w:t>active duty</w:t>
      </w:r>
      <w:r w:rsidR="006D4E0E" w:rsidRPr="00C8377C">
        <w:rPr>
          <w:rFonts w:asciiTheme="minorHAnsi" w:hAnsiTheme="minorHAnsi"/>
          <w:color w:val="auto"/>
          <w:szCs w:val="24"/>
        </w:rPr>
        <w:t xml:space="preserve"> </w:t>
      </w:r>
      <w:r w:rsidR="002E65E6" w:rsidRPr="00C8377C">
        <w:rPr>
          <w:rFonts w:asciiTheme="minorHAnsi" w:hAnsiTheme="minorHAnsi"/>
          <w:color w:val="auto"/>
          <w:szCs w:val="24"/>
        </w:rPr>
        <w:t>member,</w:t>
      </w:r>
      <w:r w:rsidR="006D4E0E" w:rsidRPr="00C8377C">
        <w:rPr>
          <w:rFonts w:asciiTheme="minorHAnsi" w:hAnsiTheme="minorHAnsi"/>
          <w:color w:val="auto"/>
          <w:szCs w:val="24"/>
        </w:rPr>
        <w:t xml:space="preserve"> </w:t>
      </w:r>
      <w:r w:rsidR="00361CC1" w:rsidRPr="00C8377C">
        <w:rPr>
          <w:rFonts w:asciiTheme="minorHAnsi" w:hAnsiTheme="minorHAnsi"/>
          <w:color w:val="auto"/>
          <w:szCs w:val="24"/>
        </w:rPr>
        <w:t>SGT/E-5</w:t>
      </w:r>
      <w:r w:rsidR="00705C40" w:rsidRPr="00C8377C">
        <w:rPr>
          <w:rFonts w:asciiTheme="minorHAnsi" w:hAnsiTheme="minorHAnsi"/>
          <w:color w:val="auto"/>
          <w:szCs w:val="24"/>
        </w:rPr>
        <w:t xml:space="preserve"> (</w:t>
      </w:r>
      <w:r w:rsidR="00361CC1" w:rsidRPr="00C8377C">
        <w:rPr>
          <w:rFonts w:asciiTheme="minorHAnsi" w:hAnsiTheme="minorHAnsi"/>
          <w:color w:val="auto"/>
          <w:szCs w:val="24"/>
        </w:rPr>
        <w:t>63E</w:t>
      </w:r>
      <w:r w:rsidR="00C75F3D" w:rsidRPr="00C8377C">
        <w:rPr>
          <w:rFonts w:asciiTheme="minorHAnsi" w:hAnsiTheme="minorHAnsi"/>
          <w:color w:val="auto"/>
          <w:szCs w:val="24"/>
        </w:rPr>
        <w:t xml:space="preserve">, </w:t>
      </w:r>
      <w:r w:rsidR="00361CC1" w:rsidRPr="00C8377C">
        <w:rPr>
          <w:rFonts w:asciiTheme="minorHAnsi" w:hAnsiTheme="minorHAnsi"/>
          <w:color w:val="auto"/>
          <w:szCs w:val="24"/>
        </w:rPr>
        <w:t>M1 Abrams Tank System Mechanic</w:t>
      </w:r>
      <w:r w:rsidR="00E322F7" w:rsidRPr="00C8377C">
        <w:rPr>
          <w:rFonts w:asciiTheme="minorHAnsi" w:hAnsiTheme="minorHAnsi"/>
          <w:color w:val="auto"/>
          <w:szCs w:val="24"/>
        </w:rPr>
        <w:t>)</w:t>
      </w:r>
      <w:r w:rsidR="00C75F3D" w:rsidRPr="00C8377C">
        <w:rPr>
          <w:rFonts w:asciiTheme="minorHAnsi" w:hAnsiTheme="minorHAnsi"/>
          <w:color w:val="auto"/>
          <w:szCs w:val="24"/>
        </w:rPr>
        <w:t xml:space="preserve">, </w:t>
      </w:r>
      <w:r w:rsidR="002C6E5B" w:rsidRPr="00C8377C">
        <w:rPr>
          <w:rFonts w:asciiTheme="minorHAnsi" w:hAnsiTheme="minorHAnsi"/>
          <w:color w:val="auto"/>
          <w:szCs w:val="24"/>
        </w:rPr>
        <w:t xml:space="preserve">medically separated for </w:t>
      </w:r>
      <w:r w:rsidR="00361CC1" w:rsidRPr="00C8377C">
        <w:rPr>
          <w:rFonts w:asciiTheme="minorHAnsi" w:hAnsiTheme="minorHAnsi"/>
          <w:color w:val="auto"/>
          <w:szCs w:val="24"/>
        </w:rPr>
        <w:t>bilateral patellofemoral arthritis.</w:t>
      </w:r>
      <w:r w:rsidR="00BA4104" w:rsidRPr="00C8377C">
        <w:rPr>
          <w:rFonts w:asciiTheme="minorHAnsi" w:hAnsiTheme="minorHAnsi"/>
          <w:color w:val="auto"/>
          <w:szCs w:val="24"/>
        </w:rPr>
        <w:t xml:space="preserve">  The CI had a six year history of bilateral knee pain</w:t>
      </w:r>
      <w:r w:rsidR="000259DF" w:rsidRPr="00C8377C">
        <w:rPr>
          <w:rFonts w:asciiTheme="minorHAnsi" w:hAnsiTheme="minorHAnsi"/>
          <w:color w:val="auto"/>
          <w:szCs w:val="24"/>
        </w:rPr>
        <w:t xml:space="preserve">, with no history of </w:t>
      </w:r>
      <w:r w:rsidR="00A326C1" w:rsidRPr="00C8377C">
        <w:rPr>
          <w:rFonts w:asciiTheme="minorHAnsi" w:hAnsiTheme="minorHAnsi"/>
          <w:color w:val="auto"/>
          <w:szCs w:val="24"/>
        </w:rPr>
        <w:t xml:space="preserve">significant </w:t>
      </w:r>
      <w:r w:rsidR="007512C4" w:rsidRPr="00C8377C">
        <w:rPr>
          <w:rFonts w:asciiTheme="minorHAnsi" w:hAnsiTheme="minorHAnsi"/>
          <w:color w:val="auto"/>
          <w:szCs w:val="24"/>
        </w:rPr>
        <w:t xml:space="preserve">knee </w:t>
      </w:r>
      <w:r w:rsidR="000259DF" w:rsidRPr="00C8377C">
        <w:rPr>
          <w:rFonts w:asciiTheme="minorHAnsi" w:hAnsiTheme="minorHAnsi"/>
          <w:color w:val="auto"/>
          <w:szCs w:val="24"/>
        </w:rPr>
        <w:t xml:space="preserve">trauma. </w:t>
      </w:r>
      <w:r w:rsidR="00BA4104" w:rsidRPr="00C8377C">
        <w:rPr>
          <w:rFonts w:asciiTheme="minorHAnsi" w:hAnsiTheme="minorHAnsi"/>
          <w:color w:val="auto"/>
          <w:szCs w:val="24"/>
        </w:rPr>
        <w:t xml:space="preserve"> </w:t>
      </w:r>
      <w:r w:rsidR="001413C8" w:rsidRPr="00C8377C">
        <w:rPr>
          <w:rFonts w:asciiTheme="minorHAnsi" w:hAnsiTheme="minorHAnsi"/>
          <w:color w:val="auto"/>
          <w:szCs w:val="24"/>
        </w:rPr>
        <w:t>Radiographs revealed mild bilateral patellofemoral degenerative changes.  Rheumatologic evaluation rule</w:t>
      </w:r>
      <w:r w:rsidR="007512C4" w:rsidRPr="00C8377C">
        <w:rPr>
          <w:rFonts w:asciiTheme="minorHAnsi" w:hAnsiTheme="minorHAnsi"/>
          <w:color w:val="auto"/>
          <w:szCs w:val="24"/>
        </w:rPr>
        <w:t>d</w:t>
      </w:r>
      <w:r w:rsidR="001413C8" w:rsidRPr="00C8377C">
        <w:rPr>
          <w:rFonts w:asciiTheme="minorHAnsi" w:hAnsiTheme="minorHAnsi"/>
          <w:color w:val="auto"/>
          <w:szCs w:val="24"/>
        </w:rPr>
        <w:t xml:space="preserve"> out autoimmune etiology.  </w:t>
      </w:r>
      <w:r w:rsidR="000259DF" w:rsidRPr="00C8377C">
        <w:rPr>
          <w:rFonts w:asciiTheme="minorHAnsi" w:hAnsiTheme="minorHAnsi"/>
          <w:color w:val="auto"/>
          <w:szCs w:val="24"/>
        </w:rPr>
        <w:t>His</w:t>
      </w:r>
      <w:r w:rsidR="00BA4104" w:rsidRPr="00C8377C">
        <w:rPr>
          <w:rFonts w:asciiTheme="minorHAnsi" w:hAnsiTheme="minorHAnsi"/>
          <w:color w:val="auto"/>
          <w:szCs w:val="24"/>
        </w:rPr>
        <w:t xml:space="preserve"> treatment </w:t>
      </w:r>
      <w:r w:rsidR="000259DF" w:rsidRPr="00C8377C">
        <w:rPr>
          <w:rFonts w:asciiTheme="minorHAnsi" w:hAnsiTheme="minorHAnsi"/>
          <w:color w:val="auto"/>
          <w:szCs w:val="24"/>
        </w:rPr>
        <w:t>included</w:t>
      </w:r>
      <w:r w:rsidR="00BA4104" w:rsidRPr="00C8377C">
        <w:rPr>
          <w:rFonts w:asciiTheme="minorHAnsi" w:hAnsiTheme="minorHAnsi"/>
          <w:color w:val="auto"/>
          <w:szCs w:val="24"/>
        </w:rPr>
        <w:t xml:space="preserve"> physical therapy</w:t>
      </w:r>
      <w:r w:rsidR="001413C8" w:rsidRPr="00C8377C">
        <w:rPr>
          <w:rFonts w:asciiTheme="minorHAnsi" w:hAnsiTheme="minorHAnsi"/>
          <w:color w:val="auto"/>
          <w:szCs w:val="24"/>
        </w:rPr>
        <w:t>,</w:t>
      </w:r>
      <w:r w:rsidR="000259DF" w:rsidRPr="00C8377C">
        <w:rPr>
          <w:rFonts w:asciiTheme="minorHAnsi" w:hAnsiTheme="minorHAnsi"/>
          <w:color w:val="auto"/>
          <w:szCs w:val="24"/>
        </w:rPr>
        <w:t xml:space="preserve"> medications (including opiates)</w:t>
      </w:r>
      <w:r w:rsidR="001413C8" w:rsidRPr="00C8377C">
        <w:rPr>
          <w:rFonts w:asciiTheme="minorHAnsi" w:hAnsiTheme="minorHAnsi"/>
          <w:color w:val="auto"/>
          <w:szCs w:val="24"/>
        </w:rPr>
        <w:t>, and left</w:t>
      </w:r>
      <w:r w:rsidR="00D60329">
        <w:rPr>
          <w:rFonts w:asciiTheme="minorHAnsi" w:hAnsiTheme="minorHAnsi"/>
          <w:color w:val="auto"/>
          <w:szCs w:val="24"/>
        </w:rPr>
        <w:t xml:space="preserve"> knee surgery (lateral release); all</w:t>
      </w:r>
      <w:r w:rsidR="001413C8" w:rsidRPr="00C8377C">
        <w:rPr>
          <w:rFonts w:asciiTheme="minorHAnsi" w:hAnsiTheme="minorHAnsi"/>
          <w:color w:val="auto"/>
          <w:szCs w:val="24"/>
        </w:rPr>
        <w:t xml:space="preserve"> without significant improvement</w:t>
      </w:r>
      <w:r w:rsidR="00BA4104" w:rsidRPr="00C8377C">
        <w:rPr>
          <w:rFonts w:asciiTheme="minorHAnsi" w:hAnsiTheme="minorHAnsi"/>
          <w:color w:val="auto"/>
          <w:szCs w:val="24"/>
        </w:rPr>
        <w:t xml:space="preserve">. </w:t>
      </w:r>
      <w:r w:rsidR="000259DF" w:rsidRPr="00C8377C">
        <w:rPr>
          <w:rFonts w:asciiTheme="minorHAnsi" w:hAnsiTheme="minorHAnsi"/>
          <w:color w:val="auto"/>
          <w:szCs w:val="24"/>
        </w:rPr>
        <w:t xml:space="preserve"> </w:t>
      </w:r>
      <w:r w:rsidR="00E322F7" w:rsidRPr="00C8377C">
        <w:rPr>
          <w:rFonts w:asciiTheme="minorHAnsi" w:hAnsiTheme="minorHAnsi"/>
          <w:color w:val="auto"/>
          <w:szCs w:val="24"/>
        </w:rPr>
        <w:t xml:space="preserve">He </w:t>
      </w:r>
      <w:r w:rsidR="00D60329">
        <w:rPr>
          <w:rFonts w:asciiTheme="minorHAnsi" w:hAnsiTheme="minorHAnsi"/>
          <w:color w:val="auto"/>
          <w:szCs w:val="24"/>
        </w:rPr>
        <w:t>remained</w:t>
      </w:r>
      <w:r w:rsidR="00C75F3D" w:rsidRPr="00C8377C">
        <w:rPr>
          <w:rFonts w:asciiTheme="minorHAnsi" w:hAnsiTheme="minorHAnsi"/>
          <w:color w:val="auto"/>
          <w:szCs w:val="24"/>
        </w:rPr>
        <w:t xml:space="preserve"> unable to </w:t>
      </w:r>
      <w:r w:rsidR="00E322F7" w:rsidRPr="00C8377C">
        <w:rPr>
          <w:rFonts w:asciiTheme="minorHAnsi" w:hAnsiTheme="minorHAnsi"/>
          <w:color w:val="auto"/>
          <w:szCs w:val="24"/>
        </w:rPr>
        <w:t xml:space="preserve">perform within his </w:t>
      </w:r>
      <w:r w:rsidR="00AD2AD5">
        <w:rPr>
          <w:rFonts w:asciiTheme="minorHAnsi" w:hAnsiTheme="minorHAnsi"/>
          <w:color w:val="auto"/>
          <w:szCs w:val="24"/>
        </w:rPr>
        <w:t>military o</w:t>
      </w:r>
      <w:r w:rsidR="00705C40" w:rsidRPr="00C8377C">
        <w:rPr>
          <w:rFonts w:asciiTheme="minorHAnsi" w:hAnsiTheme="minorHAnsi"/>
          <w:color w:val="auto"/>
          <w:szCs w:val="24"/>
        </w:rPr>
        <w:t xml:space="preserve">ccupational </w:t>
      </w:r>
      <w:r w:rsidR="00AD2AD5">
        <w:rPr>
          <w:rFonts w:asciiTheme="minorHAnsi" w:hAnsiTheme="minorHAnsi"/>
          <w:color w:val="auto"/>
          <w:szCs w:val="24"/>
        </w:rPr>
        <w:t>s</w:t>
      </w:r>
      <w:r w:rsidR="003A40B4" w:rsidRPr="00C8377C">
        <w:rPr>
          <w:rFonts w:asciiTheme="minorHAnsi" w:hAnsiTheme="minorHAnsi"/>
          <w:color w:val="auto"/>
          <w:szCs w:val="24"/>
        </w:rPr>
        <w:t>pecialty</w:t>
      </w:r>
      <w:r w:rsidR="002752AE" w:rsidRPr="00C8377C">
        <w:rPr>
          <w:rFonts w:asciiTheme="minorHAnsi" w:hAnsiTheme="minorHAnsi"/>
          <w:color w:val="auto"/>
          <w:szCs w:val="24"/>
        </w:rPr>
        <w:t xml:space="preserve"> (MOS) or meet </w:t>
      </w:r>
      <w:r w:rsidR="0044411E" w:rsidRPr="00C8377C">
        <w:rPr>
          <w:rFonts w:asciiTheme="minorHAnsi" w:hAnsiTheme="minorHAnsi"/>
          <w:color w:val="auto"/>
          <w:szCs w:val="24"/>
        </w:rPr>
        <w:t xml:space="preserve">physical fitness </w:t>
      </w:r>
      <w:r w:rsidR="002752AE" w:rsidRPr="00C8377C">
        <w:rPr>
          <w:rFonts w:asciiTheme="minorHAnsi" w:hAnsiTheme="minorHAnsi"/>
          <w:color w:val="auto"/>
          <w:szCs w:val="24"/>
        </w:rPr>
        <w:t>standards</w:t>
      </w:r>
      <w:r w:rsidR="00D60329">
        <w:rPr>
          <w:rFonts w:asciiTheme="minorHAnsi" w:hAnsiTheme="minorHAnsi"/>
          <w:color w:val="auto"/>
          <w:szCs w:val="24"/>
        </w:rPr>
        <w:t xml:space="preserve">; and, </w:t>
      </w:r>
      <w:r w:rsidR="00555C66" w:rsidRPr="00C8377C">
        <w:rPr>
          <w:rFonts w:asciiTheme="minorHAnsi" w:hAnsiTheme="minorHAnsi"/>
          <w:color w:val="auto"/>
          <w:szCs w:val="24"/>
        </w:rPr>
        <w:t xml:space="preserve">was </w:t>
      </w:r>
      <w:r w:rsidR="00D60329">
        <w:rPr>
          <w:rFonts w:asciiTheme="minorHAnsi" w:hAnsiTheme="minorHAnsi"/>
          <w:color w:val="auto"/>
          <w:szCs w:val="24"/>
        </w:rPr>
        <w:t xml:space="preserve">consequently </w:t>
      </w:r>
      <w:r w:rsidR="00555C66" w:rsidRPr="00C8377C">
        <w:rPr>
          <w:rFonts w:asciiTheme="minorHAnsi" w:hAnsiTheme="minorHAnsi"/>
          <w:color w:val="auto"/>
          <w:szCs w:val="24"/>
        </w:rPr>
        <w:t>issued</w:t>
      </w:r>
      <w:r w:rsidR="00E322F7" w:rsidRPr="00C8377C">
        <w:rPr>
          <w:rFonts w:asciiTheme="minorHAnsi" w:hAnsiTheme="minorHAnsi"/>
          <w:color w:val="auto"/>
          <w:szCs w:val="24"/>
        </w:rPr>
        <w:t xml:space="preserve"> a permanent </w:t>
      </w:r>
      <w:r w:rsidR="00883AF8" w:rsidRPr="00C8377C">
        <w:rPr>
          <w:rFonts w:asciiTheme="minorHAnsi" w:hAnsiTheme="minorHAnsi"/>
          <w:color w:val="auto"/>
          <w:szCs w:val="24"/>
        </w:rPr>
        <w:t>U2/</w:t>
      </w:r>
      <w:r w:rsidR="00361CC1" w:rsidRPr="00C8377C">
        <w:rPr>
          <w:rFonts w:asciiTheme="minorHAnsi" w:hAnsiTheme="minorHAnsi"/>
          <w:color w:val="auto"/>
          <w:szCs w:val="24"/>
        </w:rPr>
        <w:t>L3</w:t>
      </w:r>
      <w:r w:rsidR="0044411E" w:rsidRPr="00C8377C">
        <w:rPr>
          <w:rFonts w:asciiTheme="minorHAnsi" w:hAnsiTheme="minorHAnsi"/>
          <w:color w:val="auto"/>
          <w:szCs w:val="24"/>
        </w:rPr>
        <w:t xml:space="preserve"> </w:t>
      </w:r>
      <w:r w:rsidR="00E322F7" w:rsidRPr="00C8377C">
        <w:rPr>
          <w:rFonts w:asciiTheme="minorHAnsi" w:hAnsiTheme="minorHAnsi"/>
          <w:color w:val="auto"/>
          <w:szCs w:val="24"/>
        </w:rPr>
        <w:t xml:space="preserve">profile and </w:t>
      </w:r>
      <w:r w:rsidR="00D60329">
        <w:rPr>
          <w:rFonts w:asciiTheme="minorHAnsi" w:hAnsiTheme="minorHAnsi"/>
          <w:color w:val="auto"/>
          <w:szCs w:val="24"/>
        </w:rPr>
        <w:t>referred for</w:t>
      </w:r>
      <w:r w:rsidR="00E322F7" w:rsidRPr="00C8377C">
        <w:rPr>
          <w:rFonts w:asciiTheme="minorHAnsi" w:hAnsiTheme="minorHAnsi"/>
          <w:color w:val="auto"/>
          <w:szCs w:val="24"/>
        </w:rPr>
        <w:t xml:space="preserve"> a </w:t>
      </w:r>
      <w:r w:rsidR="00705C40" w:rsidRPr="00C8377C">
        <w:rPr>
          <w:rFonts w:asciiTheme="minorHAnsi" w:hAnsiTheme="minorHAnsi"/>
          <w:color w:val="auto"/>
          <w:szCs w:val="24"/>
        </w:rPr>
        <w:t>Medical Evaluation Board (</w:t>
      </w:r>
      <w:r w:rsidR="00E322F7" w:rsidRPr="00C8377C">
        <w:rPr>
          <w:rFonts w:asciiTheme="minorHAnsi" w:hAnsiTheme="minorHAnsi"/>
          <w:color w:val="auto"/>
          <w:szCs w:val="24"/>
        </w:rPr>
        <w:t>MEB</w:t>
      </w:r>
      <w:r w:rsidR="00705C40" w:rsidRPr="00C8377C">
        <w:rPr>
          <w:rFonts w:asciiTheme="minorHAnsi" w:hAnsiTheme="minorHAnsi"/>
          <w:color w:val="auto"/>
          <w:szCs w:val="24"/>
        </w:rPr>
        <w:t>)</w:t>
      </w:r>
      <w:r w:rsidR="00E322F7" w:rsidRPr="00C8377C">
        <w:rPr>
          <w:rFonts w:asciiTheme="minorHAnsi" w:hAnsiTheme="minorHAnsi"/>
          <w:color w:val="auto"/>
          <w:szCs w:val="24"/>
        </w:rPr>
        <w:t>.</w:t>
      </w:r>
      <w:r w:rsidR="00BA4104" w:rsidRPr="00C8377C">
        <w:rPr>
          <w:rFonts w:asciiTheme="minorHAnsi" w:hAnsiTheme="minorHAnsi"/>
          <w:color w:val="auto"/>
          <w:szCs w:val="24"/>
        </w:rPr>
        <w:t xml:space="preserve">  </w:t>
      </w:r>
      <w:r w:rsidR="00D60329">
        <w:rPr>
          <w:rFonts w:asciiTheme="minorHAnsi" w:hAnsiTheme="minorHAnsi"/>
          <w:color w:val="auto"/>
          <w:szCs w:val="24"/>
        </w:rPr>
        <w:t>B</w:t>
      </w:r>
      <w:r w:rsidR="004F661F" w:rsidRPr="00C8377C">
        <w:rPr>
          <w:rFonts w:asciiTheme="minorHAnsi" w:hAnsiTheme="minorHAnsi"/>
          <w:color w:val="auto"/>
          <w:szCs w:val="24"/>
        </w:rPr>
        <w:t xml:space="preserve">ilateral </w:t>
      </w:r>
      <w:r w:rsidR="00A326C1" w:rsidRPr="00C8377C">
        <w:rPr>
          <w:rFonts w:asciiTheme="minorHAnsi" w:hAnsiTheme="minorHAnsi"/>
          <w:color w:val="auto"/>
          <w:szCs w:val="24"/>
        </w:rPr>
        <w:t xml:space="preserve">knee </w:t>
      </w:r>
      <w:r w:rsidR="004F661F" w:rsidRPr="00C8377C">
        <w:rPr>
          <w:rFonts w:asciiTheme="minorHAnsi" w:hAnsiTheme="minorHAnsi"/>
          <w:color w:val="auto"/>
          <w:szCs w:val="24"/>
        </w:rPr>
        <w:t xml:space="preserve">arthritis, </w:t>
      </w:r>
      <w:r w:rsidR="00D60329">
        <w:rPr>
          <w:rFonts w:asciiTheme="minorHAnsi" w:hAnsiTheme="minorHAnsi"/>
          <w:color w:val="auto"/>
          <w:szCs w:val="24"/>
        </w:rPr>
        <w:t xml:space="preserve">bilateral </w:t>
      </w:r>
      <w:r w:rsidR="00A326C1" w:rsidRPr="00C8377C">
        <w:rPr>
          <w:rFonts w:asciiTheme="minorHAnsi" w:hAnsiTheme="minorHAnsi"/>
          <w:color w:val="auto"/>
          <w:szCs w:val="24"/>
        </w:rPr>
        <w:t xml:space="preserve">shoulder pain with impingement syndrome, </w:t>
      </w:r>
      <w:r w:rsidR="004F661F" w:rsidRPr="00C8377C">
        <w:rPr>
          <w:rFonts w:asciiTheme="minorHAnsi" w:hAnsiTheme="minorHAnsi"/>
          <w:color w:val="auto"/>
          <w:szCs w:val="24"/>
        </w:rPr>
        <w:t xml:space="preserve">and </w:t>
      </w:r>
      <w:r w:rsidR="00D60329">
        <w:rPr>
          <w:rFonts w:asciiTheme="minorHAnsi" w:hAnsiTheme="minorHAnsi"/>
          <w:color w:val="auto"/>
          <w:szCs w:val="24"/>
        </w:rPr>
        <w:t xml:space="preserve">bilateral </w:t>
      </w:r>
      <w:r w:rsidR="004F661F" w:rsidRPr="00C8377C">
        <w:rPr>
          <w:rFonts w:asciiTheme="minorHAnsi" w:hAnsiTheme="minorHAnsi"/>
          <w:color w:val="auto"/>
          <w:szCs w:val="24"/>
        </w:rPr>
        <w:t xml:space="preserve">hand pain </w:t>
      </w:r>
      <w:r w:rsidR="000A33C8" w:rsidRPr="00C8377C">
        <w:rPr>
          <w:rFonts w:asciiTheme="minorHAnsi" w:hAnsiTheme="minorHAnsi"/>
          <w:color w:val="auto"/>
          <w:szCs w:val="24"/>
        </w:rPr>
        <w:t xml:space="preserve">were forwarded to the Physical Evaluation Board (PEB) as </w:t>
      </w:r>
      <w:r w:rsidR="00D60329">
        <w:rPr>
          <w:rFonts w:asciiTheme="minorHAnsi" w:hAnsiTheme="minorHAnsi"/>
          <w:color w:val="auto"/>
          <w:szCs w:val="24"/>
        </w:rPr>
        <w:t xml:space="preserve">three separate </w:t>
      </w:r>
      <w:r w:rsidR="000A33C8" w:rsidRPr="00C8377C">
        <w:rPr>
          <w:rFonts w:asciiTheme="minorHAnsi" w:hAnsiTheme="minorHAnsi"/>
          <w:color w:val="auto"/>
          <w:szCs w:val="24"/>
        </w:rPr>
        <w:t xml:space="preserve">medically unacceptable </w:t>
      </w:r>
      <w:r w:rsidR="00D60329">
        <w:rPr>
          <w:rFonts w:asciiTheme="minorHAnsi" w:hAnsiTheme="minorHAnsi"/>
          <w:color w:val="auto"/>
          <w:szCs w:val="24"/>
        </w:rPr>
        <w:t xml:space="preserve">conditions </w:t>
      </w:r>
      <w:r w:rsidR="000A33C8" w:rsidRPr="00C8377C">
        <w:rPr>
          <w:rFonts w:asciiTheme="minorHAnsi" w:hAnsiTheme="minorHAnsi"/>
          <w:color w:val="auto"/>
          <w:szCs w:val="24"/>
        </w:rPr>
        <w:t>IAW AR 40-501</w:t>
      </w:r>
      <w:r w:rsidR="00376E08" w:rsidRPr="00C8377C">
        <w:rPr>
          <w:rFonts w:asciiTheme="minorHAnsi" w:hAnsiTheme="minorHAnsi"/>
          <w:color w:val="auto"/>
          <w:szCs w:val="24"/>
        </w:rPr>
        <w:t>.</w:t>
      </w:r>
      <w:r w:rsidR="00BA4104" w:rsidRPr="00C8377C">
        <w:rPr>
          <w:rFonts w:asciiTheme="minorHAnsi" w:hAnsiTheme="minorHAnsi"/>
          <w:color w:val="auto"/>
          <w:szCs w:val="24"/>
        </w:rPr>
        <w:t xml:space="preserve">  </w:t>
      </w:r>
      <w:r w:rsidR="001A5E62" w:rsidRPr="00C8377C">
        <w:rPr>
          <w:rFonts w:asciiTheme="minorHAnsi" w:hAnsiTheme="minorHAnsi"/>
          <w:color w:val="auto"/>
          <w:szCs w:val="24"/>
        </w:rPr>
        <w:t xml:space="preserve">No other conditions appeared on the MEB’s </w:t>
      </w:r>
      <w:r w:rsidR="00D60329">
        <w:rPr>
          <w:rFonts w:asciiTheme="minorHAnsi" w:hAnsiTheme="minorHAnsi"/>
          <w:color w:val="auto"/>
          <w:szCs w:val="24"/>
        </w:rPr>
        <w:t xml:space="preserve">DA Form 3947 </w:t>
      </w:r>
      <w:r w:rsidR="001A5E62" w:rsidRPr="00C8377C">
        <w:rPr>
          <w:rFonts w:asciiTheme="minorHAnsi" w:hAnsiTheme="minorHAnsi"/>
          <w:color w:val="auto"/>
          <w:szCs w:val="24"/>
        </w:rPr>
        <w:t>submission.  Other conditions included in the</w:t>
      </w:r>
      <w:r w:rsidR="00DC17F2" w:rsidRPr="00C8377C">
        <w:rPr>
          <w:rFonts w:asciiTheme="minorHAnsi" w:hAnsiTheme="minorHAnsi"/>
          <w:color w:val="auto"/>
          <w:szCs w:val="24"/>
        </w:rPr>
        <w:t xml:space="preserve"> </w:t>
      </w:r>
      <w:r w:rsidR="00555C66" w:rsidRPr="00C8377C">
        <w:rPr>
          <w:rFonts w:asciiTheme="minorHAnsi" w:hAnsiTheme="minorHAnsi"/>
          <w:color w:val="auto"/>
          <w:szCs w:val="24"/>
        </w:rPr>
        <w:t xml:space="preserve">Disability Evaluation System (DES) </w:t>
      </w:r>
      <w:r w:rsidR="000259DF" w:rsidRPr="00C8377C">
        <w:rPr>
          <w:rFonts w:asciiTheme="minorHAnsi" w:hAnsiTheme="minorHAnsi"/>
          <w:color w:val="auto"/>
          <w:szCs w:val="24"/>
        </w:rPr>
        <w:t>file are</w:t>
      </w:r>
      <w:r w:rsidR="001A5E62" w:rsidRPr="00C8377C">
        <w:rPr>
          <w:rFonts w:asciiTheme="minorHAnsi" w:hAnsiTheme="minorHAnsi"/>
          <w:color w:val="auto"/>
          <w:szCs w:val="24"/>
        </w:rPr>
        <w:t xml:space="preserve"> discussed below.</w:t>
      </w:r>
      <w:r w:rsidR="00BA4104" w:rsidRPr="00C8377C">
        <w:rPr>
          <w:rFonts w:asciiTheme="minorHAnsi" w:hAnsiTheme="minorHAnsi"/>
          <w:color w:val="auto"/>
          <w:szCs w:val="24"/>
        </w:rPr>
        <w:t xml:space="preserve">  </w:t>
      </w:r>
      <w:r w:rsidR="00D60329">
        <w:rPr>
          <w:rFonts w:asciiTheme="minorHAnsi" w:hAnsiTheme="minorHAnsi"/>
          <w:color w:val="auto"/>
          <w:szCs w:val="24"/>
        </w:rPr>
        <w:t>An</w:t>
      </w:r>
      <w:r w:rsidR="00B20624" w:rsidRPr="00C8377C">
        <w:rPr>
          <w:rFonts w:asciiTheme="minorHAnsi" w:hAnsiTheme="minorHAnsi"/>
          <w:color w:val="auto"/>
          <w:szCs w:val="24"/>
        </w:rPr>
        <w:t xml:space="preserve"> </w:t>
      </w:r>
      <w:r w:rsidR="00AD2AD5">
        <w:rPr>
          <w:rFonts w:asciiTheme="minorHAnsi" w:hAnsiTheme="minorHAnsi"/>
          <w:color w:val="auto"/>
          <w:szCs w:val="24"/>
        </w:rPr>
        <w:t>I</w:t>
      </w:r>
      <w:r w:rsidR="00FB792E" w:rsidRPr="00C8377C">
        <w:rPr>
          <w:rFonts w:asciiTheme="minorHAnsi" w:hAnsiTheme="minorHAnsi"/>
          <w:color w:val="auto"/>
          <w:szCs w:val="24"/>
        </w:rPr>
        <w:t xml:space="preserve">nformal </w:t>
      </w:r>
      <w:r w:rsidR="00B20624" w:rsidRPr="00C8377C">
        <w:rPr>
          <w:rFonts w:asciiTheme="minorHAnsi" w:hAnsiTheme="minorHAnsi"/>
          <w:color w:val="auto"/>
          <w:szCs w:val="24"/>
        </w:rPr>
        <w:t>PEB</w:t>
      </w:r>
      <w:r w:rsidR="007828B4" w:rsidRPr="00C8377C">
        <w:rPr>
          <w:rFonts w:asciiTheme="minorHAnsi" w:hAnsiTheme="minorHAnsi"/>
          <w:color w:val="auto"/>
          <w:szCs w:val="24"/>
        </w:rPr>
        <w:t xml:space="preserve"> </w:t>
      </w:r>
      <w:r w:rsidR="00B20624" w:rsidRPr="00C8377C">
        <w:rPr>
          <w:rFonts w:asciiTheme="minorHAnsi" w:hAnsiTheme="minorHAnsi"/>
          <w:color w:val="auto"/>
          <w:szCs w:val="24"/>
        </w:rPr>
        <w:t xml:space="preserve">adjudicated the </w:t>
      </w:r>
      <w:r w:rsidR="004622DA" w:rsidRPr="00C8377C">
        <w:rPr>
          <w:rFonts w:asciiTheme="minorHAnsi" w:hAnsiTheme="minorHAnsi"/>
          <w:color w:val="auto"/>
          <w:szCs w:val="24"/>
        </w:rPr>
        <w:t xml:space="preserve">bilateral patellofemoral arthritis </w:t>
      </w:r>
      <w:r w:rsidR="00C127F2" w:rsidRPr="00C8377C">
        <w:rPr>
          <w:rFonts w:asciiTheme="minorHAnsi" w:hAnsiTheme="minorHAnsi"/>
          <w:color w:val="auto"/>
          <w:szCs w:val="24"/>
        </w:rPr>
        <w:t xml:space="preserve">condition </w:t>
      </w:r>
      <w:r w:rsidR="00B20624" w:rsidRPr="00C8377C">
        <w:rPr>
          <w:rFonts w:asciiTheme="minorHAnsi" w:hAnsiTheme="minorHAnsi"/>
          <w:color w:val="auto"/>
          <w:szCs w:val="24"/>
        </w:rPr>
        <w:t xml:space="preserve">as unfitting, rated </w:t>
      </w:r>
      <w:r w:rsidR="004622DA" w:rsidRPr="00C8377C">
        <w:rPr>
          <w:rFonts w:asciiTheme="minorHAnsi" w:hAnsiTheme="minorHAnsi"/>
          <w:color w:val="auto"/>
          <w:szCs w:val="24"/>
        </w:rPr>
        <w:t>20</w:t>
      </w:r>
      <w:r w:rsidR="00B20624" w:rsidRPr="00C8377C">
        <w:rPr>
          <w:rFonts w:asciiTheme="minorHAnsi" w:hAnsiTheme="minorHAnsi"/>
          <w:color w:val="auto"/>
          <w:szCs w:val="24"/>
        </w:rPr>
        <w:t>%</w:t>
      </w:r>
      <w:r w:rsidR="00B80EDD" w:rsidRPr="00C8377C">
        <w:rPr>
          <w:rFonts w:asciiTheme="minorHAnsi" w:hAnsiTheme="minorHAnsi"/>
          <w:color w:val="auto"/>
          <w:szCs w:val="24"/>
        </w:rPr>
        <w:t>,</w:t>
      </w:r>
      <w:r w:rsidR="00B20624" w:rsidRPr="00C8377C">
        <w:rPr>
          <w:rFonts w:asciiTheme="minorHAnsi" w:hAnsiTheme="minorHAnsi"/>
          <w:color w:val="auto"/>
          <w:szCs w:val="24"/>
        </w:rPr>
        <w:t xml:space="preserve"> with </w:t>
      </w:r>
      <w:r w:rsidR="008840E4">
        <w:rPr>
          <w:rFonts w:asciiTheme="minorHAnsi" w:hAnsiTheme="minorHAnsi"/>
          <w:color w:val="auto"/>
          <w:szCs w:val="24"/>
        </w:rPr>
        <w:t>presumptive</w:t>
      </w:r>
      <w:r w:rsidR="002D705F" w:rsidRPr="00C8377C">
        <w:rPr>
          <w:rFonts w:asciiTheme="minorHAnsi" w:hAnsiTheme="minorHAnsi"/>
          <w:color w:val="auto"/>
          <w:szCs w:val="24"/>
        </w:rPr>
        <w:t xml:space="preserve"> application of the </w:t>
      </w:r>
      <w:r w:rsidR="00D85DF6" w:rsidRPr="00C8377C">
        <w:rPr>
          <w:rFonts w:asciiTheme="minorHAnsi" w:hAnsiTheme="minorHAnsi"/>
          <w:color w:val="auto"/>
          <w:szCs w:val="24"/>
        </w:rPr>
        <w:t>Veterans’ Administration Schedule for Rating Disabilities (VASRD)</w:t>
      </w:r>
      <w:r w:rsidR="00B20624" w:rsidRPr="00C8377C">
        <w:rPr>
          <w:rFonts w:asciiTheme="minorHAnsi" w:hAnsiTheme="minorHAnsi"/>
          <w:color w:val="auto"/>
          <w:szCs w:val="24"/>
        </w:rPr>
        <w:t>.</w:t>
      </w:r>
      <w:r w:rsidR="00BA4104" w:rsidRPr="00C8377C">
        <w:rPr>
          <w:rFonts w:asciiTheme="minorHAnsi" w:hAnsiTheme="minorHAnsi"/>
          <w:color w:val="auto"/>
          <w:szCs w:val="24"/>
        </w:rPr>
        <w:t xml:space="preserve">  </w:t>
      </w:r>
      <w:r w:rsidR="00D60329">
        <w:rPr>
          <w:rFonts w:asciiTheme="minorHAnsi" w:hAnsiTheme="minorHAnsi"/>
          <w:color w:val="auto"/>
          <w:szCs w:val="24"/>
        </w:rPr>
        <w:t xml:space="preserve">The bilateral shoulder and bilateral hand conditions were determined to be not unfitting.  </w:t>
      </w:r>
      <w:r w:rsidR="00B20624" w:rsidRPr="00C8377C">
        <w:rPr>
          <w:rFonts w:asciiTheme="minorHAnsi" w:hAnsiTheme="minorHAnsi"/>
          <w:color w:val="auto"/>
        </w:rPr>
        <w:t xml:space="preserve">The CI </w:t>
      </w:r>
      <w:r w:rsidR="00D60329">
        <w:rPr>
          <w:rFonts w:asciiTheme="minorHAnsi" w:hAnsiTheme="minorHAnsi"/>
          <w:color w:val="auto"/>
        </w:rPr>
        <w:t>waived</w:t>
      </w:r>
      <w:r w:rsidR="000259DF" w:rsidRPr="00C8377C">
        <w:rPr>
          <w:rFonts w:asciiTheme="minorHAnsi" w:hAnsiTheme="minorHAnsi"/>
          <w:color w:val="auto"/>
        </w:rPr>
        <w:t xml:space="preserve"> appeal for a formal PEB</w:t>
      </w:r>
      <w:r w:rsidR="00190E48" w:rsidRPr="00C8377C">
        <w:rPr>
          <w:rFonts w:asciiTheme="minorHAnsi" w:hAnsiTheme="minorHAnsi"/>
          <w:color w:val="auto"/>
        </w:rPr>
        <w:t xml:space="preserve">, </w:t>
      </w:r>
      <w:r w:rsidR="00B20624" w:rsidRPr="00C8377C">
        <w:rPr>
          <w:rFonts w:asciiTheme="minorHAnsi" w:hAnsiTheme="minorHAnsi"/>
          <w:color w:val="auto"/>
        </w:rPr>
        <w:t xml:space="preserve">and was medically separated with a </w:t>
      </w:r>
      <w:r w:rsidR="004622DA" w:rsidRPr="00C8377C">
        <w:rPr>
          <w:rFonts w:asciiTheme="minorHAnsi" w:hAnsiTheme="minorHAnsi"/>
          <w:color w:val="auto"/>
        </w:rPr>
        <w:t>20</w:t>
      </w:r>
      <w:r w:rsidR="00B20624" w:rsidRPr="00C8377C">
        <w:rPr>
          <w:rFonts w:asciiTheme="minorHAnsi" w:hAnsiTheme="minorHAnsi"/>
          <w:color w:val="auto"/>
        </w:rPr>
        <w:t>% disability rating.</w:t>
      </w:r>
    </w:p>
    <w:p w:rsidR="008E0D8F" w:rsidRPr="00C8377C" w:rsidRDefault="008E0D8F" w:rsidP="000259DF">
      <w:pPr>
        <w:pBdr>
          <w:bottom w:val="single" w:sz="12" w:space="1" w:color="auto"/>
        </w:pBdr>
        <w:tabs>
          <w:tab w:val="left" w:pos="288"/>
          <w:tab w:val="left" w:pos="4752"/>
        </w:tabs>
        <w:spacing w:line="240" w:lineRule="exact"/>
        <w:jc w:val="both"/>
        <w:rPr>
          <w:rFonts w:asciiTheme="minorHAnsi" w:hAnsiTheme="minorHAnsi"/>
          <w:color w:val="auto"/>
        </w:rPr>
      </w:pPr>
    </w:p>
    <w:p w:rsidR="00612FB0" w:rsidRPr="00C8377C" w:rsidRDefault="00612FB0" w:rsidP="000259DF">
      <w:pPr>
        <w:tabs>
          <w:tab w:val="left" w:pos="288"/>
          <w:tab w:val="left" w:pos="4752"/>
        </w:tabs>
        <w:spacing w:line="240" w:lineRule="exact"/>
        <w:jc w:val="both"/>
        <w:rPr>
          <w:rFonts w:asciiTheme="minorHAnsi" w:hAnsiTheme="minorHAnsi"/>
          <w:color w:val="auto"/>
          <w:u w:val="single"/>
        </w:rPr>
      </w:pPr>
    </w:p>
    <w:p w:rsidR="000259DF" w:rsidRPr="00C8377C" w:rsidRDefault="002C6E5B" w:rsidP="000259DF">
      <w:pPr>
        <w:tabs>
          <w:tab w:val="left" w:pos="288"/>
          <w:tab w:val="left" w:pos="4752"/>
        </w:tabs>
        <w:spacing w:line="240" w:lineRule="exact"/>
        <w:jc w:val="both"/>
        <w:rPr>
          <w:rFonts w:eastAsiaTheme="minorHAnsi" w:cstheme="minorBidi"/>
          <w:color w:val="auto"/>
          <w:szCs w:val="24"/>
        </w:rPr>
      </w:pPr>
      <w:r w:rsidRPr="00C8377C">
        <w:rPr>
          <w:rFonts w:asciiTheme="minorHAnsi" w:hAnsiTheme="minorHAnsi"/>
          <w:color w:val="auto"/>
          <w:u w:val="single"/>
        </w:rPr>
        <w:t>CI CONTENTION</w:t>
      </w:r>
      <w:r w:rsidRPr="00C8377C">
        <w:rPr>
          <w:rFonts w:asciiTheme="minorHAnsi" w:hAnsiTheme="minorHAnsi"/>
          <w:color w:val="auto"/>
        </w:rPr>
        <w:t>:</w:t>
      </w:r>
      <w:r w:rsidR="004622DA" w:rsidRPr="00C8377C">
        <w:rPr>
          <w:rFonts w:asciiTheme="minorHAnsi" w:hAnsiTheme="minorHAnsi"/>
          <w:color w:val="auto"/>
        </w:rPr>
        <w:t xml:space="preserve">  “The Veteran received no rating for disabling condition at discharge as he disagreed with being separated from the military service; he also felt that his disabling conditions were sufficient to award a minimum of 30% if he were indeed unfit for further service.”  </w:t>
      </w:r>
      <w:r w:rsidR="00ED5284" w:rsidRPr="00C8377C">
        <w:rPr>
          <w:rFonts w:eastAsiaTheme="minorHAnsi" w:cstheme="minorBidi"/>
          <w:color w:val="auto"/>
          <w:szCs w:val="24"/>
        </w:rPr>
        <w:t xml:space="preserve">He elaborates no </w:t>
      </w:r>
      <w:r w:rsidR="000259DF" w:rsidRPr="00C8377C">
        <w:rPr>
          <w:rFonts w:eastAsiaTheme="minorHAnsi" w:cstheme="minorBidi"/>
          <w:color w:val="auto"/>
          <w:szCs w:val="24"/>
        </w:rPr>
        <w:t>other</w:t>
      </w:r>
      <w:r w:rsidR="00ED5284" w:rsidRPr="00C8377C">
        <w:rPr>
          <w:rFonts w:eastAsiaTheme="minorHAnsi" w:cstheme="minorBidi"/>
          <w:color w:val="auto"/>
          <w:szCs w:val="24"/>
        </w:rPr>
        <w:t xml:space="preserve"> contentions regarding rating or coding and mentions no additionally contended conditions.</w:t>
      </w:r>
      <w:r w:rsidR="000259DF" w:rsidRPr="00C8377C">
        <w:rPr>
          <w:color w:val="auto"/>
          <w:szCs w:val="24"/>
        </w:rPr>
        <w:t xml:space="preserve">  All service conditions are reviewed by the Board for their potential contribution to its rating recommendations.</w:t>
      </w:r>
    </w:p>
    <w:p w:rsidR="003E1682" w:rsidRPr="00C8377C" w:rsidRDefault="003E1682" w:rsidP="000259DF">
      <w:pPr>
        <w:pBdr>
          <w:bottom w:val="single" w:sz="12" w:space="1" w:color="auto"/>
        </w:pBdr>
        <w:spacing w:line="240" w:lineRule="exact"/>
        <w:jc w:val="both"/>
        <w:rPr>
          <w:rFonts w:asciiTheme="minorHAnsi" w:hAnsiTheme="minorHAnsi"/>
          <w:color w:val="auto"/>
          <w:u w:val="single"/>
        </w:rPr>
      </w:pPr>
    </w:p>
    <w:p w:rsidR="000024F5" w:rsidRPr="00C8377C" w:rsidRDefault="000024F5" w:rsidP="000259DF">
      <w:pPr>
        <w:spacing w:line="240" w:lineRule="exact"/>
        <w:jc w:val="both"/>
        <w:rPr>
          <w:rFonts w:asciiTheme="minorHAnsi" w:hAnsiTheme="minorHAnsi"/>
          <w:color w:val="auto"/>
          <w:u w:val="single"/>
        </w:rPr>
      </w:pPr>
    </w:p>
    <w:p w:rsidR="002338CA" w:rsidRPr="00C8377C" w:rsidRDefault="007F0AB7" w:rsidP="00510F9C">
      <w:pPr>
        <w:spacing w:line="240" w:lineRule="exact"/>
        <w:rPr>
          <w:rFonts w:asciiTheme="minorHAnsi" w:hAnsiTheme="minorHAnsi"/>
          <w:color w:val="auto"/>
        </w:rPr>
      </w:pPr>
      <w:r w:rsidRPr="00C8377C">
        <w:rPr>
          <w:rFonts w:asciiTheme="minorHAnsi" w:hAnsiTheme="minorHAnsi"/>
          <w:color w:val="auto"/>
          <w:u w:val="single"/>
        </w:rPr>
        <w:t>R</w:t>
      </w:r>
      <w:r w:rsidR="002C6E5B" w:rsidRPr="00C8377C">
        <w:rPr>
          <w:rFonts w:asciiTheme="minorHAnsi" w:hAnsiTheme="minorHAnsi"/>
          <w:color w:val="auto"/>
          <w:u w:val="single"/>
        </w:rPr>
        <w:t>ATING COMPARISON</w:t>
      </w:r>
      <w:r w:rsidR="002C6E5B" w:rsidRPr="00C8377C">
        <w:rPr>
          <w:rFonts w:asciiTheme="minorHAnsi" w:hAnsiTheme="minorHAnsi"/>
          <w:color w:val="auto"/>
        </w:rPr>
        <w:t>:</w:t>
      </w:r>
    </w:p>
    <w:p w:rsidR="009F6292" w:rsidRPr="00C8377C" w:rsidRDefault="009F6292" w:rsidP="00510F9C">
      <w:pPr>
        <w:spacing w:line="240" w:lineRule="exact"/>
        <w:rPr>
          <w:rFonts w:asciiTheme="minorHAnsi" w:hAnsiTheme="minorHAnsi"/>
          <w:color w:val="auto"/>
        </w:rPr>
      </w:pPr>
    </w:p>
    <w:tbl>
      <w:tblPr>
        <w:tblStyle w:val="TableGrid"/>
        <w:tblW w:w="9378" w:type="dxa"/>
        <w:jc w:val="center"/>
        <w:tblInd w:w="574" w:type="dxa"/>
        <w:tblLayout w:type="fixed"/>
        <w:tblLook w:val="04A0"/>
      </w:tblPr>
      <w:tblGrid>
        <w:gridCol w:w="2286"/>
        <w:gridCol w:w="810"/>
        <w:gridCol w:w="810"/>
        <w:gridCol w:w="2592"/>
        <w:gridCol w:w="1080"/>
        <w:gridCol w:w="810"/>
        <w:gridCol w:w="990"/>
      </w:tblGrid>
      <w:tr w:rsidR="002B4E22" w:rsidRPr="00C8377C" w:rsidTr="00C8377C">
        <w:trPr>
          <w:trHeight w:val="233"/>
          <w:jc w:val="center"/>
        </w:trPr>
        <w:tc>
          <w:tcPr>
            <w:tcW w:w="3906" w:type="dxa"/>
            <w:gridSpan w:val="3"/>
            <w:tcBorders>
              <w:right w:val="thinThickThinSmallGap" w:sz="24" w:space="0" w:color="auto"/>
            </w:tcBorders>
            <w:shd w:val="clear" w:color="auto" w:fill="D9D9D9" w:themeFill="background1" w:themeFillShade="D9"/>
            <w:vAlign w:val="center"/>
          </w:tcPr>
          <w:p w:rsidR="002B4E22" w:rsidRPr="00C8377C" w:rsidRDefault="00B731E4" w:rsidP="00C8377C">
            <w:pPr>
              <w:spacing w:line="240" w:lineRule="exact"/>
              <w:contextualSpacing/>
              <w:jc w:val="center"/>
              <w:rPr>
                <w:b/>
                <w:color w:val="auto"/>
                <w:sz w:val="20"/>
                <w:szCs w:val="20"/>
              </w:rPr>
            </w:pPr>
            <w:r w:rsidRPr="00C8377C">
              <w:rPr>
                <w:b/>
                <w:color w:val="auto"/>
                <w:sz w:val="20"/>
                <w:szCs w:val="20"/>
              </w:rPr>
              <w:t xml:space="preserve">Service </w:t>
            </w:r>
            <w:r w:rsidR="00BA4104" w:rsidRPr="00C8377C">
              <w:rPr>
                <w:b/>
                <w:color w:val="auto"/>
                <w:sz w:val="20"/>
                <w:szCs w:val="20"/>
              </w:rPr>
              <w:t>I</w:t>
            </w:r>
            <w:r w:rsidRPr="00C8377C">
              <w:rPr>
                <w:b/>
                <w:color w:val="auto"/>
                <w:sz w:val="20"/>
                <w:szCs w:val="20"/>
              </w:rPr>
              <w:t>PEB – Dated 200</w:t>
            </w:r>
            <w:r w:rsidR="008D7178" w:rsidRPr="00C8377C">
              <w:rPr>
                <w:b/>
                <w:color w:val="auto"/>
                <w:sz w:val="20"/>
                <w:szCs w:val="20"/>
              </w:rPr>
              <w:t>10925</w:t>
            </w:r>
          </w:p>
        </w:tc>
        <w:tc>
          <w:tcPr>
            <w:tcW w:w="5472" w:type="dxa"/>
            <w:gridSpan w:val="4"/>
            <w:tcBorders>
              <w:left w:val="thinThickThinSmallGap" w:sz="24" w:space="0" w:color="auto"/>
            </w:tcBorders>
            <w:shd w:val="clear" w:color="auto" w:fill="D9D9D9" w:themeFill="background1" w:themeFillShade="D9"/>
            <w:vAlign w:val="center"/>
          </w:tcPr>
          <w:p w:rsidR="002B4E22" w:rsidRPr="00C8377C" w:rsidRDefault="002B4E22" w:rsidP="00C8377C">
            <w:pPr>
              <w:spacing w:line="240" w:lineRule="exact"/>
              <w:contextualSpacing/>
              <w:jc w:val="center"/>
              <w:rPr>
                <w:b/>
                <w:color w:val="auto"/>
                <w:sz w:val="20"/>
                <w:szCs w:val="20"/>
              </w:rPr>
            </w:pPr>
            <w:r w:rsidRPr="00C8377C">
              <w:rPr>
                <w:b/>
                <w:color w:val="auto"/>
                <w:sz w:val="20"/>
                <w:szCs w:val="20"/>
              </w:rPr>
              <w:t>VA (</w:t>
            </w:r>
            <w:r w:rsidR="00A234A7" w:rsidRPr="00C8377C">
              <w:rPr>
                <w:b/>
                <w:color w:val="auto"/>
                <w:sz w:val="20"/>
                <w:szCs w:val="20"/>
              </w:rPr>
              <w:t>2</w:t>
            </w:r>
            <w:r w:rsidR="0079154B" w:rsidRPr="00C8377C">
              <w:rPr>
                <w:b/>
                <w:color w:val="auto"/>
                <w:sz w:val="20"/>
                <w:szCs w:val="20"/>
              </w:rPr>
              <w:t xml:space="preserve"> </w:t>
            </w:r>
            <w:r w:rsidRPr="00C8377C">
              <w:rPr>
                <w:b/>
                <w:color w:val="auto"/>
                <w:sz w:val="20"/>
                <w:szCs w:val="20"/>
              </w:rPr>
              <w:t>Mo. Pr</w:t>
            </w:r>
            <w:r w:rsidR="007272F1" w:rsidRPr="00C8377C">
              <w:rPr>
                <w:b/>
                <w:color w:val="auto"/>
                <w:sz w:val="20"/>
                <w:szCs w:val="20"/>
              </w:rPr>
              <w:t>e</w:t>
            </w:r>
            <w:r w:rsidR="009A21C7" w:rsidRPr="00C8377C">
              <w:rPr>
                <w:b/>
                <w:color w:val="auto"/>
                <w:sz w:val="20"/>
                <w:szCs w:val="20"/>
              </w:rPr>
              <w:t>-</w:t>
            </w:r>
            <w:r w:rsidRPr="00C8377C">
              <w:rPr>
                <w:b/>
                <w:color w:val="auto"/>
                <w:sz w:val="20"/>
                <w:szCs w:val="20"/>
              </w:rPr>
              <w:t xml:space="preserve">Separation) – All Effective Date </w:t>
            </w:r>
            <w:r w:rsidR="002D08F3" w:rsidRPr="00C8377C">
              <w:rPr>
                <w:b/>
                <w:color w:val="auto"/>
                <w:sz w:val="20"/>
                <w:szCs w:val="20"/>
              </w:rPr>
              <w:t>200</w:t>
            </w:r>
            <w:r w:rsidR="008D7178" w:rsidRPr="00C8377C">
              <w:rPr>
                <w:b/>
                <w:color w:val="auto"/>
                <w:sz w:val="20"/>
                <w:szCs w:val="20"/>
              </w:rPr>
              <w:t>20106</w:t>
            </w:r>
          </w:p>
        </w:tc>
      </w:tr>
      <w:tr w:rsidR="002B4E22" w:rsidRPr="00C8377C" w:rsidTr="00C8377C">
        <w:trPr>
          <w:trHeight w:val="161"/>
          <w:jc w:val="center"/>
        </w:trPr>
        <w:tc>
          <w:tcPr>
            <w:tcW w:w="2286" w:type="dxa"/>
            <w:tcBorders>
              <w:bottom w:val="single" w:sz="4" w:space="0" w:color="000000" w:themeColor="text1"/>
              <w:right w:val="single" w:sz="4" w:space="0" w:color="auto"/>
            </w:tcBorders>
            <w:shd w:val="clear" w:color="auto" w:fill="D9D9D9" w:themeFill="background1" w:themeFillShade="D9"/>
            <w:vAlign w:val="center"/>
          </w:tcPr>
          <w:p w:rsidR="002B4E22" w:rsidRPr="00C8377C" w:rsidRDefault="002B4E22" w:rsidP="00C8377C">
            <w:pPr>
              <w:spacing w:line="240" w:lineRule="exact"/>
              <w:contextualSpacing/>
              <w:jc w:val="center"/>
              <w:rPr>
                <w:b/>
                <w:color w:val="auto"/>
                <w:sz w:val="20"/>
                <w:szCs w:val="20"/>
              </w:rPr>
            </w:pPr>
            <w:r w:rsidRPr="00C8377C">
              <w:rPr>
                <w:b/>
                <w:color w:val="auto"/>
                <w:sz w:val="20"/>
                <w:szCs w:val="20"/>
              </w:rPr>
              <w:t>Condition</w:t>
            </w:r>
          </w:p>
        </w:tc>
        <w:tc>
          <w:tcPr>
            <w:tcW w:w="810" w:type="dxa"/>
            <w:tcBorders>
              <w:left w:val="single" w:sz="4" w:space="0" w:color="auto"/>
              <w:bottom w:val="single" w:sz="4" w:space="0" w:color="000000" w:themeColor="text1"/>
            </w:tcBorders>
            <w:shd w:val="clear" w:color="auto" w:fill="D9D9D9" w:themeFill="background1" w:themeFillShade="D9"/>
            <w:vAlign w:val="center"/>
          </w:tcPr>
          <w:p w:rsidR="002B4E22" w:rsidRPr="00C8377C" w:rsidRDefault="002B4E22" w:rsidP="00C8377C">
            <w:pPr>
              <w:spacing w:line="240" w:lineRule="exact"/>
              <w:contextualSpacing/>
              <w:jc w:val="center"/>
              <w:rPr>
                <w:b/>
                <w:color w:val="auto"/>
                <w:sz w:val="20"/>
                <w:szCs w:val="20"/>
              </w:rPr>
            </w:pPr>
            <w:r w:rsidRPr="00C8377C">
              <w:rPr>
                <w:b/>
                <w:color w:val="auto"/>
                <w:sz w:val="20"/>
                <w:szCs w:val="20"/>
              </w:rPr>
              <w:t>Code</w:t>
            </w:r>
          </w:p>
        </w:tc>
        <w:tc>
          <w:tcPr>
            <w:tcW w:w="810" w:type="dxa"/>
            <w:tcBorders>
              <w:bottom w:val="single" w:sz="4" w:space="0" w:color="000000" w:themeColor="text1"/>
              <w:right w:val="thinThickThinSmallGap" w:sz="24" w:space="0" w:color="auto"/>
            </w:tcBorders>
            <w:shd w:val="clear" w:color="auto" w:fill="D9D9D9" w:themeFill="background1" w:themeFillShade="D9"/>
            <w:vAlign w:val="center"/>
          </w:tcPr>
          <w:p w:rsidR="002B4E22" w:rsidRPr="00C8377C" w:rsidRDefault="002B4E22" w:rsidP="00C8377C">
            <w:pPr>
              <w:spacing w:line="240" w:lineRule="exact"/>
              <w:contextualSpacing/>
              <w:jc w:val="center"/>
              <w:rPr>
                <w:b/>
                <w:color w:val="auto"/>
                <w:sz w:val="20"/>
                <w:szCs w:val="20"/>
              </w:rPr>
            </w:pPr>
            <w:r w:rsidRPr="00C8377C">
              <w:rPr>
                <w:b/>
                <w:color w:val="auto"/>
                <w:sz w:val="20"/>
                <w:szCs w:val="20"/>
              </w:rPr>
              <w:t>Rating</w:t>
            </w:r>
          </w:p>
        </w:tc>
        <w:tc>
          <w:tcPr>
            <w:tcW w:w="2592" w:type="dxa"/>
            <w:tcBorders>
              <w:left w:val="thinThickThinSmallGap" w:sz="24" w:space="0" w:color="auto"/>
              <w:bottom w:val="single" w:sz="4" w:space="0" w:color="000000" w:themeColor="text1"/>
            </w:tcBorders>
            <w:shd w:val="clear" w:color="auto" w:fill="D9D9D9" w:themeFill="background1" w:themeFillShade="D9"/>
            <w:vAlign w:val="center"/>
          </w:tcPr>
          <w:p w:rsidR="002B4E22" w:rsidRPr="00C8377C" w:rsidRDefault="002B4E22" w:rsidP="00C8377C">
            <w:pPr>
              <w:spacing w:line="240" w:lineRule="exact"/>
              <w:contextualSpacing/>
              <w:jc w:val="center"/>
              <w:rPr>
                <w:b/>
                <w:color w:val="auto"/>
                <w:sz w:val="20"/>
                <w:szCs w:val="20"/>
              </w:rPr>
            </w:pPr>
            <w:r w:rsidRPr="00C8377C">
              <w:rPr>
                <w:b/>
                <w:color w:val="auto"/>
                <w:sz w:val="20"/>
                <w:szCs w:val="20"/>
              </w:rPr>
              <w:t>Condition</w:t>
            </w:r>
          </w:p>
        </w:tc>
        <w:tc>
          <w:tcPr>
            <w:tcW w:w="1080" w:type="dxa"/>
            <w:tcBorders>
              <w:bottom w:val="single" w:sz="4" w:space="0" w:color="000000" w:themeColor="text1"/>
            </w:tcBorders>
            <w:shd w:val="clear" w:color="auto" w:fill="D9D9D9" w:themeFill="background1" w:themeFillShade="D9"/>
            <w:vAlign w:val="center"/>
          </w:tcPr>
          <w:p w:rsidR="002B4E22" w:rsidRPr="00C8377C" w:rsidRDefault="002B4E22" w:rsidP="00C8377C">
            <w:pPr>
              <w:spacing w:line="240" w:lineRule="exact"/>
              <w:contextualSpacing/>
              <w:jc w:val="center"/>
              <w:rPr>
                <w:b/>
                <w:color w:val="auto"/>
                <w:sz w:val="20"/>
                <w:szCs w:val="20"/>
              </w:rPr>
            </w:pPr>
            <w:r w:rsidRPr="00C8377C">
              <w:rPr>
                <w:b/>
                <w:color w:val="auto"/>
                <w:sz w:val="20"/>
                <w:szCs w:val="20"/>
              </w:rPr>
              <w:t>Code</w:t>
            </w:r>
          </w:p>
        </w:tc>
        <w:tc>
          <w:tcPr>
            <w:tcW w:w="810" w:type="dxa"/>
            <w:tcBorders>
              <w:bottom w:val="single" w:sz="4" w:space="0" w:color="000000" w:themeColor="text1"/>
            </w:tcBorders>
            <w:shd w:val="clear" w:color="auto" w:fill="D9D9D9" w:themeFill="background1" w:themeFillShade="D9"/>
            <w:vAlign w:val="center"/>
          </w:tcPr>
          <w:p w:rsidR="002B4E22" w:rsidRPr="00C8377C" w:rsidRDefault="002B4E22" w:rsidP="00C8377C">
            <w:pPr>
              <w:spacing w:line="240" w:lineRule="exact"/>
              <w:contextualSpacing/>
              <w:jc w:val="center"/>
              <w:rPr>
                <w:b/>
                <w:color w:val="auto"/>
                <w:sz w:val="20"/>
                <w:szCs w:val="20"/>
              </w:rPr>
            </w:pPr>
            <w:r w:rsidRPr="00C8377C">
              <w:rPr>
                <w:b/>
                <w:color w:val="auto"/>
                <w:sz w:val="20"/>
                <w:szCs w:val="20"/>
              </w:rPr>
              <w:t>Rating</w:t>
            </w:r>
          </w:p>
        </w:tc>
        <w:tc>
          <w:tcPr>
            <w:tcW w:w="990" w:type="dxa"/>
            <w:tcBorders>
              <w:bottom w:val="single" w:sz="4" w:space="0" w:color="000000" w:themeColor="text1"/>
            </w:tcBorders>
            <w:shd w:val="clear" w:color="auto" w:fill="D9D9D9" w:themeFill="background1" w:themeFillShade="D9"/>
            <w:vAlign w:val="center"/>
          </w:tcPr>
          <w:p w:rsidR="002B4E22" w:rsidRPr="00C8377C" w:rsidRDefault="002B4E22" w:rsidP="00C8377C">
            <w:pPr>
              <w:spacing w:line="240" w:lineRule="exact"/>
              <w:contextualSpacing/>
              <w:jc w:val="center"/>
              <w:rPr>
                <w:b/>
                <w:color w:val="auto"/>
                <w:sz w:val="20"/>
                <w:szCs w:val="20"/>
              </w:rPr>
            </w:pPr>
            <w:r w:rsidRPr="00C8377C">
              <w:rPr>
                <w:b/>
                <w:color w:val="auto"/>
                <w:sz w:val="20"/>
                <w:szCs w:val="20"/>
              </w:rPr>
              <w:t>Exam</w:t>
            </w:r>
          </w:p>
        </w:tc>
      </w:tr>
      <w:tr w:rsidR="00A234A7" w:rsidRPr="00C8377C" w:rsidTr="00C8377C">
        <w:trPr>
          <w:trHeight w:val="66"/>
          <w:jc w:val="center"/>
        </w:trPr>
        <w:tc>
          <w:tcPr>
            <w:tcW w:w="2286" w:type="dxa"/>
            <w:vMerge w:val="restart"/>
            <w:tcBorders>
              <w:right w:val="single" w:sz="4" w:space="0" w:color="auto"/>
            </w:tcBorders>
            <w:shd w:val="clear" w:color="auto" w:fill="FFFFFF" w:themeFill="background1"/>
            <w:vAlign w:val="center"/>
          </w:tcPr>
          <w:p w:rsidR="00A234A7" w:rsidRPr="00C8377C" w:rsidRDefault="00A234A7" w:rsidP="00C8377C">
            <w:pPr>
              <w:spacing w:line="220" w:lineRule="exact"/>
              <w:contextualSpacing/>
              <w:rPr>
                <w:color w:val="auto"/>
                <w:sz w:val="18"/>
                <w:szCs w:val="18"/>
              </w:rPr>
            </w:pPr>
            <w:r w:rsidRPr="00C8377C">
              <w:rPr>
                <w:color w:val="auto"/>
                <w:sz w:val="18"/>
                <w:szCs w:val="18"/>
              </w:rPr>
              <w:t>Mild Bilateral Patellofemoral Arthritis</w:t>
            </w:r>
          </w:p>
        </w:tc>
        <w:tc>
          <w:tcPr>
            <w:tcW w:w="810" w:type="dxa"/>
            <w:vMerge w:val="restart"/>
            <w:tcBorders>
              <w:left w:val="single" w:sz="4" w:space="0" w:color="auto"/>
            </w:tcBorders>
            <w:shd w:val="clear" w:color="auto" w:fill="FFFFFF" w:themeFill="background1"/>
            <w:vAlign w:val="center"/>
          </w:tcPr>
          <w:p w:rsidR="00A234A7" w:rsidRPr="00C8377C" w:rsidRDefault="00A234A7" w:rsidP="00C8377C">
            <w:pPr>
              <w:spacing w:line="220" w:lineRule="exact"/>
              <w:contextualSpacing/>
              <w:jc w:val="center"/>
              <w:rPr>
                <w:color w:val="auto"/>
                <w:sz w:val="18"/>
                <w:szCs w:val="18"/>
              </w:rPr>
            </w:pPr>
            <w:r w:rsidRPr="00C8377C">
              <w:rPr>
                <w:color w:val="auto"/>
                <w:sz w:val="18"/>
                <w:szCs w:val="18"/>
              </w:rPr>
              <w:t>5003</w:t>
            </w:r>
          </w:p>
        </w:tc>
        <w:tc>
          <w:tcPr>
            <w:tcW w:w="810" w:type="dxa"/>
            <w:vMerge w:val="restart"/>
            <w:tcBorders>
              <w:right w:val="thinThickThinSmallGap" w:sz="24" w:space="0" w:color="auto"/>
            </w:tcBorders>
            <w:shd w:val="clear" w:color="auto" w:fill="FFFFFF" w:themeFill="background1"/>
            <w:vAlign w:val="center"/>
          </w:tcPr>
          <w:p w:rsidR="00A234A7" w:rsidRPr="00C8377C" w:rsidRDefault="00A234A7" w:rsidP="00C8377C">
            <w:pPr>
              <w:spacing w:line="220" w:lineRule="exact"/>
              <w:contextualSpacing/>
              <w:jc w:val="center"/>
              <w:rPr>
                <w:color w:val="auto"/>
                <w:sz w:val="18"/>
                <w:szCs w:val="18"/>
              </w:rPr>
            </w:pPr>
            <w:r w:rsidRPr="00C8377C">
              <w:rPr>
                <w:color w:val="auto"/>
                <w:sz w:val="18"/>
                <w:szCs w:val="18"/>
              </w:rPr>
              <w:t>20%</w:t>
            </w:r>
          </w:p>
        </w:tc>
        <w:tc>
          <w:tcPr>
            <w:tcW w:w="2592" w:type="dxa"/>
            <w:tcBorders>
              <w:left w:val="thinThickThinSmallGap" w:sz="24" w:space="0" w:color="auto"/>
            </w:tcBorders>
            <w:shd w:val="clear" w:color="auto" w:fill="FFFFFF" w:themeFill="background1"/>
            <w:vAlign w:val="center"/>
          </w:tcPr>
          <w:p w:rsidR="00A234A7" w:rsidRPr="00C8377C" w:rsidRDefault="00A234A7" w:rsidP="00C8377C">
            <w:pPr>
              <w:spacing w:line="220" w:lineRule="exact"/>
              <w:contextualSpacing/>
              <w:rPr>
                <w:color w:val="auto"/>
                <w:sz w:val="18"/>
                <w:szCs w:val="18"/>
              </w:rPr>
            </w:pPr>
            <w:r w:rsidRPr="00C8377C">
              <w:rPr>
                <w:color w:val="auto"/>
                <w:sz w:val="18"/>
                <w:szCs w:val="18"/>
              </w:rPr>
              <w:t>Mild Patellofemoral Arthritis…L</w:t>
            </w:r>
            <w:r w:rsidR="0072035F" w:rsidRPr="00C8377C">
              <w:rPr>
                <w:color w:val="auto"/>
                <w:sz w:val="18"/>
                <w:szCs w:val="18"/>
              </w:rPr>
              <w:t>.</w:t>
            </w:r>
          </w:p>
        </w:tc>
        <w:tc>
          <w:tcPr>
            <w:tcW w:w="1080" w:type="dxa"/>
            <w:shd w:val="clear" w:color="auto" w:fill="FFFFFF" w:themeFill="background1"/>
            <w:vAlign w:val="center"/>
          </w:tcPr>
          <w:p w:rsidR="00A234A7" w:rsidRPr="00C8377C" w:rsidRDefault="00A234A7" w:rsidP="003D7F2E">
            <w:pPr>
              <w:spacing w:line="220" w:lineRule="exact"/>
              <w:contextualSpacing/>
              <w:jc w:val="center"/>
              <w:rPr>
                <w:color w:val="auto"/>
                <w:sz w:val="18"/>
                <w:szCs w:val="18"/>
              </w:rPr>
            </w:pPr>
            <w:r w:rsidRPr="00C8377C">
              <w:rPr>
                <w:color w:val="auto"/>
                <w:sz w:val="18"/>
                <w:szCs w:val="18"/>
              </w:rPr>
              <w:t>5010</w:t>
            </w:r>
          </w:p>
        </w:tc>
        <w:tc>
          <w:tcPr>
            <w:tcW w:w="810" w:type="dxa"/>
            <w:shd w:val="clear" w:color="auto" w:fill="FFFFFF" w:themeFill="background1"/>
            <w:vAlign w:val="center"/>
          </w:tcPr>
          <w:p w:rsidR="00A234A7" w:rsidRPr="00C8377C" w:rsidRDefault="00A234A7" w:rsidP="00C8377C">
            <w:pPr>
              <w:spacing w:line="220" w:lineRule="exact"/>
              <w:contextualSpacing/>
              <w:jc w:val="center"/>
              <w:rPr>
                <w:color w:val="auto"/>
                <w:sz w:val="18"/>
                <w:szCs w:val="18"/>
              </w:rPr>
            </w:pPr>
            <w:r w:rsidRPr="00C8377C">
              <w:rPr>
                <w:color w:val="auto"/>
                <w:sz w:val="18"/>
                <w:szCs w:val="18"/>
              </w:rPr>
              <w:t>10%</w:t>
            </w:r>
          </w:p>
        </w:tc>
        <w:tc>
          <w:tcPr>
            <w:tcW w:w="990" w:type="dxa"/>
            <w:shd w:val="clear" w:color="auto" w:fill="FFFFFF" w:themeFill="background1"/>
            <w:vAlign w:val="center"/>
          </w:tcPr>
          <w:p w:rsidR="00A234A7" w:rsidRPr="00C8377C" w:rsidRDefault="00A234A7" w:rsidP="00C8377C">
            <w:pPr>
              <w:spacing w:line="220" w:lineRule="exact"/>
              <w:contextualSpacing/>
              <w:jc w:val="center"/>
              <w:rPr>
                <w:color w:val="auto"/>
                <w:sz w:val="18"/>
                <w:szCs w:val="18"/>
              </w:rPr>
            </w:pPr>
            <w:r w:rsidRPr="00C8377C">
              <w:rPr>
                <w:color w:val="auto"/>
                <w:sz w:val="18"/>
                <w:szCs w:val="18"/>
              </w:rPr>
              <w:t>20011012</w:t>
            </w:r>
          </w:p>
        </w:tc>
      </w:tr>
      <w:tr w:rsidR="00A234A7" w:rsidRPr="00C8377C" w:rsidTr="00C8377C">
        <w:trPr>
          <w:trHeight w:val="66"/>
          <w:jc w:val="center"/>
        </w:trPr>
        <w:tc>
          <w:tcPr>
            <w:tcW w:w="2286" w:type="dxa"/>
            <w:vMerge/>
            <w:tcBorders>
              <w:right w:val="single" w:sz="4" w:space="0" w:color="auto"/>
            </w:tcBorders>
            <w:shd w:val="clear" w:color="auto" w:fill="FFFFFF" w:themeFill="background1"/>
            <w:vAlign w:val="center"/>
          </w:tcPr>
          <w:p w:rsidR="00A234A7" w:rsidRPr="00C8377C" w:rsidRDefault="00A234A7" w:rsidP="00C8377C">
            <w:pPr>
              <w:spacing w:line="220" w:lineRule="exact"/>
              <w:contextualSpacing/>
              <w:rPr>
                <w:color w:val="auto"/>
                <w:sz w:val="18"/>
                <w:szCs w:val="18"/>
              </w:rPr>
            </w:pPr>
          </w:p>
        </w:tc>
        <w:tc>
          <w:tcPr>
            <w:tcW w:w="810" w:type="dxa"/>
            <w:vMerge/>
            <w:tcBorders>
              <w:left w:val="single" w:sz="4" w:space="0" w:color="auto"/>
            </w:tcBorders>
            <w:shd w:val="clear" w:color="auto" w:fill="FFFFFF" w:themeFill="background1"/>
            <w:vAlign w:val="center"/>
          </w:tcPr>
          <w:p w:rsidR="00A234A7" w:rsidRPr="00C8377C" w:rsidRDefault="00A234A7" w:rsidP="00C8377C">
            <w:pPr>
              <w:spacing w:line="220" w:lineRule="exact"/>
              <w:contextualSpacing/>
              <w:jc w:val="center"/>
              <w:rPr>
                <w:color w:val="auto"/>
                <w:sz w:val="18"/>
                <w:szCs w:val="18"/>
              </w:rPr>
            </w:pPr>
          </w:p>
        </w:tc>
        <w:tc>
          <w:tcPr>
            <w:tcW w:w="810" w:type="dxa"/>
            <w:vMerge/>
            <w:tcBorders>
              <w:right w:val="thinThickThinSmallGap" w:sz="24" w:space="0" w:color="auto"/>
            </w:tcBorders>
            <w:shd w:val="clear" w:color="auto" w:fill="FFFFFF" w:themeFill="background1"/>
            <w:vAlign w:val="center"/>
          </w:tcPr>
          <w:p w:rsidR="00A234A7" w:rsidRPr="00C8377C" w:rsidRDefault="00A234A7" w:rsidP="00C8377C">
            <w:pPr>
              <w:spacing w:line="220" w:lineRule="exact"/>
              <w:contextualSpacing/>
              <w:jc w:val="center"/>
              <w:rPr>
                <w:color w:val="auto"/>
                <w:sz w:val="18"/>
                <w:szCs w:val="18"/>
              </w:rPr>
            </w:pPr>
          </w:p>
        </w:tc>
        <w:tc>
          <w:tcPr>
            <w:tcW w:w="2592" w:type="dxa"/>
            <w:tcBorders>
              <w:left w:val="thinThickThinSmallGap" w:sz="24" w:space="0" w:color="auto"/>
            </w:tcBorders>
            <w:shd w:val="clear" w:color="auto" w:fill="FFFFFF" w:themeFill="background1"/>
            <w:vAlign w:val="center"/>
          </w:tcPr>
          <w:p w:rsidR="00A234A7" w:rsidRPr="00C8377C" w:rsidRDefault="00A234A7" w:rsidP="00C8377C">
            <w:pPr>
              <w:spacing w:line="220" w:lineRule="exact"/>
              <w:contextualSpacing/>
              <w:rPr>
                <w:color w:val="auto"/>
                <w:sz w:val="18"/>
                <w:szCs w:val="18"/>
              </w:rPr>
            </w:pPr>
            <w:r w:rsidRPr="00C8377C">
              <w:rPr>
                <w:color w:val="auto"/>
                <w:sz w:val="18"/>
                <w:szCs w:val="18"/>
              </w:rPr>
              <w:t xml:space="preserve">Mild Patellofemoral </w:t>
            </w:r>
            <w:r w:rsidR="00F52FE6" w:rsidRPr="00C8377C">
              <w:rPr>
                <w:color w:val="auto"/>
                <w:sz w:val="18"/>
                <w:szCs w:val="18"/>
              </w:rPr>
              <w:t xml:space="preserve">DJD, </w:t>
            </w:r>
            <w:r w:rsidRPr="00C8377C">
              <w:rPr>
                <w:color w:val="auto"/>
                <w:sz w:val="18"/>
                <w:szCs w:val="18"/>
              </w:rPr>
              <w:t>R</w:t>
            </w:r>
            <w:r w:rsidR="0072035F" w:rsidRPr="00C8377C">
              <w:rPr>
                <w:color w:val="auto"/>
                <w:sz w:val="18"/>
                <w:szCs w:val="18"/>
              </w:rPr>
              <w:t>.</w:t>
            </w:r>
          </w:p>
        </w:tc>
        <w:tc>
          <w:tcPr>
            <w:tcW w:w="1080" w:type="dxa"/>
            <w:shd w:val="clear" w:color="auto" w:fill="FFFFFF" w:themeFill="background1"/>
            <w:vAlign w:val="center"/>
          </w:tcPr>
          <w:p w:rsidR="00A234A7" w:rsidRPr="00C8377C" w:rsidRDefault="00A234A7" w:rsidP="003D7F2E">
            <w:pPr>
              <w:spacing w:line="220" w:lineRule="exact"/>
              <w:contextualSpacing/>
              <w:jc w:val="center"/>
              <w:rPr>
                <w:color w:val="auto"/>
                <w:sz w:val="18"/>
                <w:szCs w:val="18"/>
              </w:rPr>
            </w:pPr>
            <w:r w:rsidRPr="00C8377C">
              <w:rPr>
                <w:color w:val="auto"/>
                <w:sz w:val="18"/>
                <w:szCs w:val="18"/>
              </w:rPr>
              <w:t>5010</w:t>
            </w:r>
          </w:p>
        </w:tc>
        <w:tc>
          <w:tcPr>
            <w:tcW w:w="810" w:type="dxa"/>
            <w:shd w:val="clear" w:color="auto" w:fill="FFFFFF" w:themeFill="background1"/>
            <w:vAlign w:val="center"/>
          </w:tcPr>
          <w:p w:rsidR="00A234A7" w:rsidRPr="00C8377C" w:rsidRDefault="00A234A7" w:rsidP="00C8377C">
            <w:pPr>
              <w:spacing w:line="220" w:lineRule="exact"/>
              <w:contextualSpacing/>
              <w:jc w:val="center"/>
              <w:rPr>
                <w:color w:val="auto"/>
                <w:sz w:val="18"/>
                <w:szCs w:val="18"/>
              </w:rPr>
            </w:pPr>
            <w:r w:rsidRPr="00C8377C">
              <w:rPr>
                <w:color w:val="auto"/>
                <w:sz w:val="18"/>
                <w:szCs w:val="18"/>
              </w:rPr>
              <w:t>10%</w:t>
            </w:r>
          </w:p>
        </w:tc>
        <w:tc>
          <w:tcPr>
            <w:tcW w:w="990" w:type="dxa"/>
            <w:shd w:val="clear" w:color="auto" w:fill="FFFFFF" w:themeFill="background1"/>
            <w:vAlign w:val="center"/>
          </w:tcPr>
          <w:p w:rsidR="00A234A7" w:rsidRPr="00C8377C" w:rsidRDefault="00A234A7" w:rsidP="00C8377C">
            <w:pPr>
              <w:spacing w:line="220" w:lineRule="exact"/>
              <w:contextualSpacing/>
              <w:jc w:val="center"/>
              <w:rPr>
                <w:color w:val="auto"/>
                <w:sz w:val="18"/>
                <w:szCs w:val="18"/>
              </w:rPr>
            </w:pPr>
            <w:r w:rsidRPr="00C8377C">
              <w:rPr>
                <w:color w:val="auto"/>
                <w:sz w:val="18"/>
                <w:szCs w:val="18"/>
              </w:rPr>
              <w:t>20011012</w:t>
            </w:r>
          </w:p>
        </w:tc>
      </w:tr>
      <w:tr w:rsidR="005D7A06" w:rsidRPr="00C8377C" w:rsidTr="00C8377C">
        <w:trPr>
          <w:trHeight w:val="71"/>
          <w:jc w:val="center"/>
        </w:trPr>
        <w:tc>
          <w:tcPr>
            <w:tcW w:w="2286" w:type="dxa"/>
            <w:tcBorders>
              <w:right w:val="single" w:sz="4" w:space="0" w:color="auto"/>
            </w:tcBorders>
            <w:shd w:val="clear" w:color="auto" w:fill="FFFFFF" w:themeFill="background1"/>
            <w:vAlign w:val="center"/>
          </w:tcPr>
          <w:p w:rsidR="005D7A06" w:rsidRPr="00C8377C" w:rsidRDefault="005D7A06" w:rsidP="00C8377C">
            <w:pPr>
              <w:spacing w:line="220" w:lineRule="exact"/>
              <w:contextualSpacing/>
              <w:rPr>
                <w:color w:val="auto"/>
                <w:sz w:val="18"/>
                <w:szCs w:val="18"/>
              </w:rPr>
            </w:pPr>
            <w:r w:rsidRPr="00C8377C">
              <w:rPr>
                <w:color w:val="auto"/>
                <w:sz w:val="18"/>
                <w:szCs w:val="18"/>
              </w:rPr>
              <w:t>Bilateral Shoulder Pain</w:t>
            </w:r>
          </w:p>
        </w:tc>
        <w:tc>
          <w:tcPr>
            <w:tcW w:w="1620" w:type="dxa"/>
            <w:gridSpan w:val="2"/>
            <w:tcBorders>
              <w:left w:val="single" w:sz="4" w:space="0" w:color="auto"/>
              <w:right w:val="thinThickThinSmallGap" w:sz="24" w:space="0" w:color="auto"/>
            </w:tcBorders>
            <w:shd w:val="clear" w:color="auto" w:fill="FFFFFF" w:themeFill="background1"/>
            <w:vAlign w:val="center"/>
          </w:tcPr>
          <w:p w:rsidR="005D7A06" w:rsidRPr="00C8377C" w:rsidRDefault="005D7A06" w:rsidP="00C8377C">
            <w:pPr>
              <w:spacing w:line="220" w:lineRule="exact"/>
              <w:contextualSpacing/>
              <w:jc w:val="center"/>
              <w:rPr>
                <w:color w:val="auto"/>
                <w:sz w:val="18"/>
                <w:szCs w:val="18"/>
              </w:rPr>
            </w:pPr>
            <w:r w:rsidRPr="00C8377C">
              <w:rPr>
                <w:color w:val="auto"/>
                <w:sz w:val="18"/>
                <w:szCs w:val="18"/>
              </w:rPr>
              <w:t>Not Unfitting</w:t>
            </w:r>
          </w:p>
        </w:tc>
        <w:tc>
          <w:tcPr>
            <w:tcW w:w="2592" w:type="dxa"/>
            <w:tcBorders>
              <w:left w:val="thinThickThinSmallGap" w:sz="24" w:space="0" w:color="auto"/>
              <w:right w:val="single" w:sz="4" w:space="0" w:color="auto"/>
            </w:tcBorders>
            <w:shd w:val="clear" w:color="auto" w:fill="FFFFFF" w:themeFill="background1"/>
            <w:vAlign w:val="center"/>
          </w:tcPr>
          <w:p w:rsidR="005D7A06" w:rsidRPr="00C8377C" w:rsidRDefault="005D7A06" w:rsidP="00C8377C">
            <w:pPr>
              <w:spacing w:line="220" w:lineRule="exact"/>
              <w:contextualSpacing/>
              <w:rPr>
                <w:color w:val="auto"/>
                <w:sz w:val="18"/>
                <w:szCs w:val="18"/>
              </w:rPr>
            </w:pPr>
            <w:r w:rsidRPr="00C8377C">
              <w:rPr>
                <w:color w:val="auto"/>
                <w:sz w:val="18"/>
                <w:szCs w:val="18"/>
              </w:rPr>
              <w:t xml:space="preserve">Bilateral Shoulder </w:t>
            </w:r>
            <w:r w:rsidR="0006578C" w:rsidRPr="00C8377C">
              <w:rPr>
                <w:color w:val="auto"/>
                <w:sz w:val="18"/>
                <w:szCs w:val="18"/>
              </w:rPr>
              <w:t>Impingement</w:t>
            </w:r>
          </w:p>
        </w:tc>
        <w:tc>
          <w:tcPr>
            <w:tcW w:w="1080" w:type="dxa"/>
            <w:tcBorders>
              <w:left w:val="single" w:sz="4" w:space="0" w:color="auto"/>
            </w:tcBorders>
            <w:shd w:val="clear" w:color="auto" w:fill="FFFFFF" w:themeFill="background1"/>
            <w:vAlign w:val="center"/>
          </w:tcPr>
          <w:p w:rsidR="005D7A06" w:rsidRPr="00C8377C" w:rsidRDefault="005D7A06" w:rsidP="00C8377C">
            <w:pPr>
              <w:spacing w:line="220" w:lineRule="exact"/>
              <w:contextualSpacing/>
              <w:jc w:val="center"/>
              <w:rPr>
                <w:color w:val="auto"/>
                <w:sz w:val="18"/>
                <w:szCs w:val="18"/>
              </w:rPr>
            </w:pPr>
            <w:r w:rsidRPr="00C8377C">
              <w:rPr>
                <w:color w:val="auto"/>
                <w:sz w:val="18"/>
                <w:szCs w:val="18"/>
              </w:rPr>
              <w:t>5019</w:t>
            </w:r>
          </w:p>
        </w:tc>
        <w:tc>
          <w:tcPr>
            <w:tcW w:w="1800" w:type="dxa"/>
            <w:gridSpan w:val="2"/>
            <w:shd w:val="clear" w:color="auto" w:fill="FFFFFF" w:themeFill="background1"/>
            <w:vAlign w:val="center"/>
          </w:tcPr>
          <w:p w:rsidR="005D7A06" w:rsidRPr="00C8377C" w:rsidRDefault="005D7A06" w:rsidP="00C8377C">
            <w:pPr>
              <w:spacing w:line="220" w:lineRule="exact"/>
              <w:contextualSpacing/>
              <w:jc w:val="center"/>
              <w:rPr>
                <w:color w:val="auto"/>
                <w:sz w:val="18"/>
                <w:szCs w:val="18"/>
              </w:rPr>
            </w:pPr>
            <w:r w:rsidRPr="00C8377C">
              <w:rPr>
                <w:color w:val="auto"/>
                <w:sz w:val="18"/>
                <w:szCs w:val="18"/>
              </w:rPr>
              <w:t>NSC</w:t>
            </w:r>
          </w:p>
        </w:tc>
      </w:tr>
      <w:tr w:rsidR="002A521F" w:rsidRPr="00C8377C" w:rsidTr="00C8377C">
        <w:trPr>
          <w:trHeight w:val="66"/>
          <w:jc w:val="center"/>
        </w:trPr>
        <w:tc>
          <w:tcPr>
            <w:tcW w:w="2286" w:type="dxa"/>
            <w:tcBorders>
              <w:right w:val="single" w:sz="4" w:space="0" w:color="auto"/>
            </w:tcBorders>
            <w:shd w:val="clear" w:color="auto" w:fill="FFFFFF" w:themeFill="background1"/>
            <w:vAlign w:val="center"/>
          </w:tcPr>
          <w:p w:rsidR="002A521F" w:rsidRPr="00C8377C" w:rsidRDefault="002A521F" w:rsidP="00C8377C">
            <w:pPr>
              <w:spacing w:line="220" w:lineRule="exact"/>
              <w:contextualSpacing/>
              <w:rPr>
                <w:color w:val="auto"/>
                <w:sz w:val="18"/>
                <w:szCs w:val="18"/>
              </w:rPr>
            </w:pPr>
            <w:r w:rsidRPr="00C8377C">
              <w:rPr>
                <w:color w:val="auto"/>
                <w:sz w:val="18"/>
                <w:szCs w:val="18"/>
              </w:rPr>
              <w:t>Bilateral Hand Pain</w:t>
            </w:r>
          </w:p>
        </w:tc>
        <w:tc>
          <w:tcPr>
            <w:tcW w:w="1620" w:type="dxa"/>
            <w:gridSpan w:val="2"/>
            <w:tcBorders>
              <w:left w:val="single" w:sz="4" w:space="0" w:color="auto"/>
              <w:right w:val="thinThickThinSmallGap" w:sz="24" w:space="0" w:color="auto"/>
            </w:tcBorders>
            <w:shd w:val="clear" w:color="auto" w:fill="FFFFFF" w:themeFill="background1"/>
            <w:vAlign w:val="center"/>
          </w:tcPr>
          <w:p w:rsidR="002A521F" w:rsidRPr="00C8377C" w:rsidRDefault="002A521F" w:rsidP="00C8377C">
            <w:pPr>
              <w:spacing w:line="220" w:lineRule="exact"/>
              <w:contextualSpacing/>
              <w:jc w:val="center"/>
              <w:rPr>
                <w:color w:val="auto"/>
                <w:sz w:val="18"/>
                <w:szCs w:val="18"/>
              </w:rPr>
            </w:pPr>
            <w:r w:rsidRPr="00C8377C">
              <w:rPr>
                <w:color w:val="auto"/>
                <w:sz w:val="18"/>
                <w:szCs w:val="18"/>
              </w:rPr>
              <w:t>Not Unfitting</w:t>
            </w:r>
          </w:p>
        </w:tc>
        <w:tc>
          <w:tcPr>
            <w:tcW w:w="2592" w:type="dxa"/>
            <w:tcBorders>
              <w:left w:val="thinThickThinSmallGap" w:sz="24" w:space="0" w:color="auto"/>
              <w:right w:val="single" w:sz="4" w:space="0" w:color="auto"/>
            </w:tcBorders>
            <w:shd w:val="clear" w:color="auto" w:fill="FFFFFF" w:themeFill="background1"/>
            <w:vAlign w:val="center"/>
          </w:tcPr>
          <w:p w:rsidR="002A521F" w:rsidRPr="00C8377C" w:rsidRDefault="002A521F" w:rsidP="00C8377C">
            <w:pPr>
              <w:spacing w:line="220" w:lineRule="exact"/>
              <w:contextualSpacing/>
              <w:rPr>
                <w:color w:val="auto"/>
                <w:sz w:val="18"/>
                <w:szCs w:val="18"/>
              </w:rPr>
            </w:pPr>
            <w:r w:rsidRPr="00C8377C">
              <w:rPr>
                <w:color w:val="auto"/>
                <w:sz w:val="18"/>
                <w:szCs w:val="18"/>
              </w:rPr>
              <w:t>Bilateral Hand Pain</w:t>
            </w:r>
          </w:p>
        </w:tc>
        <w:tc>
          <w:tcPr>
            <w:tcW w:w="1080" w:type="dxa"/>
            <w:tcBorders>
              <w:left w:val="single" w:sz="4" w:space="0" w:color="auto"/>
              <w:right w:val="single" w:sz="4" w:space="0" w:color="auto"/>
            </w:tcBorders>
            <w:shd w:val="clear" w:color="auto" w:fill="FFFFFF" w:themeFill="background1"/>
            <w:vAlign w:val="center"/>
          </w:tcPr>
          <w:p w:rsidR="002A521F" w:rsidRPr="00C8377C" w:rsidRDefault="002A521F" w:rsidP="00C8377C">
            <w:pPr>
              <w:spacing w:line="220" w:lineRule="exact"/>
              <w:contextualSpacing/>
              <w:jc w:val="center"/>
              <w:rPr>
                <w:color w:val="auto"/>
                <w:sz w:val="18"/>
                <w:szCs w:val="18"/>
              </w:rPr>
            </w:pPr>
            <w:r w:rsidRPr="00C8377C">
              <w:rPr>
                <w:color w:val="auto"/>
                <w:sz w:val="18"/>
                <w:szCs w:val="18"/>
              </w:rPr>
              <w:t>5099-5003</w:t>
            </w:r>
          </w:p>
        </w:tc>
        <w:tc>
          <w:tcPr>
            <w:tcW w:w="1800" w:type="dxa"/>
            <w:gridSpan w:val="2"/>
            <w:tcBorders>
              <w:left w:val="single" w:sz="4" w:space="0" w:color="auto"/>
            </w:tcBorders>
            <w:shd w:val="clear" w:color="auto" w:fill="FFFFFF" w:themeFill="background1"/>
            <w:vAlign w:val="center"/>
          </w:tcPr>
          <w:p w:rsidR="002A521F" w:rsidRPr="00C8377C" w:rsidRDefault="002A521F" w:rsidP="00C8377C">
            <w:pPr>
              <w:spacing w:line="220" w:lineRule="exact"/>
              <w:contextualSpacing/>
              <w:jc w:val="center"/>
              <w:rPr>
                <w:color w:val="auto"/>
                <w:sz w:val="18"/>
                <w:szCs w:val="18"/>
              </w:rPr>
            </w:pPr>
            <w:r w:rsidRPr="00C8377C">
              <w:rPr>
                <w:color w:val="auto"/>
                <w:sz w:val="18"/>
                <w:szCs w:val="18"/>
              </w:rPr>
              <w:t>NSC</w:t>
            </w:r>
          </w:p>
        </w:tc>
      </w:tr>
      <w:tr w:rsidR="002A521F" w:rsidRPr="00C8377C" w:rsidTr="00C8377C">
        <w:trPr>
          <w:trHeight w:val="66"/>
          <w:jc w:val="center"/>
        </w:trPr>
        <w:tc>
          <w:tcPr>
            <w:tcW w:w="3906" w:type="dxa"/>
            <w:gridSpan w:val="3"/>
            <w:vMerge w:val="restart"/>
            <w:tcBorders>
              <w:right w:val="thinThickThinSmallGap" w:sz="24" w:space="0" w:color="auto"/>
            </w:tcBorders>
            <w:shd w:val="clear" w:color="auto" w:fill="FFFFFF" w:themeFill="background1"/>
            <w:vAlign w:val="center"/>
          </w:tcPr>
          <w:p w:rsidR="002A521F" w:rsidRPr="00C8377C" w:rsidRDefault="002A521F" w:rsidP="00C8377C">
            <w:pPr>
              <w:spacing w:line="220" w:lineRule="exact"/>
              <w:contextualSpacing/>
              <w:jc w:val="center"/>
              <w:rPr>
                <w:color w:val="auto"/>
                <w:sz w:val="18"/>
                <w:szCs w:val="18"/>
              </w:rPr>
            </w:pPr>
            <w:r w:rsidRPr="00C8377C">
              <w:rPr>
                <w:color w:val="auto"/>
                <w:sz w:val="18"/>
                <w:szCs w:val="18"/>
              </w:rPr>
              <w:t>No Additional MEB/PEB Entries</w:t>
            </w:r>
          </w:p>
        </w:tc>
        <w:tc>
          <w:tcPr>
            <w:tcW w:w="2592" w:type="dxa"/>
            <w:tcBorders>
              <w:left w:val="thinThickThinSmallGap" w:sz="24" w:space="0" w:color="auto"/>
              <w:right w:val="single" w:sz="4" w:space="0" w:color="auto"/>
            </w:tcBorders>
            <w:shd w:val="clear" w:color="auto" w:fill="FFFFFF" w:themeFill="background1"/>
            <w:vAlign w:val="center"/>
          </w:tcPr>
          <w:p w:rsidR="002A521F" w:rsidRPr="00C8377C" w:rsidRDefault="002A521F" w:rsidP="00C8377C">
            <w:pPr>
              <w:spacing w:line="220" w:lineRule="exact"/>
              <w:contextualSpacing/>
              <w:rPr>
                <w:color w:val="auto"/>
                <w:sz w:val="18"/>
                <w:szCs w:val="18"/>
              </w:rPr>
            </w:pPr>
            <w:r w:rsidRPr="00C8377C">
              <w:rPr>
                <w:color w:val="auto"/>
                <w:sz w:val="18"/>
                <w:szCs w:val="18"/>
              </w:rPr>
              <w:t>Tinnitus</w:t>
            </w:r>
          </w:p>
        </w:tc>
        <w:tc>
          <w:tcPr>
            <w:tcW w:w="1080" w:type="dxa"/>
            <w:tcBorders>
              <w:left w:val="single" w:sz="4" w:space="0" w:color="auto"/>
              <w:right w:val="single" w:sz="4" w:space="0" w:color="auto"/>
            </w:tcBorders>
            <w:shd w:val="clear" w:color="auto" w:fill="FFFFFF" w:themeFill="background1"/>
            <w:vAlign w:val="center"/>
          </w:tcPr>
          <w:p w:rsidR="002A521F" w:rsidRPr="00C8377C" w:rsidRDefault="002A521F" w:rsidP="00C8377C">
            <w:pPr>
              <w:spacing w:line="220" w:lineRule="exact"/>
              <w:contextualSpacing/>
              <w:jc w:val="center"/>
              <w:rPr>
                <w:color w:val="auto"/>
                <w:sz w:val="18"/>
                <w:szCs w:val="18"/>
              </w:rPr>
            </w:pPr>
            <w:r w:rsidRPr="00C8377C">
              <w:rPr>
                <w:color w:val="auto"/>
                <w:sz w:val="18"/>
                <w:szCs w:val="18"/>
              </w:rPr>
              <w:t>6260</w:t>
            </w:r>
          </w:p>
        </w:tc>
        <w:tc>
          <w:tcPr>
            <w:tcW w:w="810" w:type="dxa"/>
            <w:tcBorders>
              <w:left w:val="single" w:sz="4" w:space="0" w:color="auto"/>
            </w:tcBorders>
            <w:shd w:val="clear" w:color="auto" w:fill="FFFFFF" w:themeFill="background1"/>
            <w:vAlign w:val="center"/>
          </w:tcPr>
          <w:p w:rsidR="002A521F" w:rsidRPr="00C8377C" w:rsidRDefault="002A521F" w:rsidP="00C8377C">
            <w:pPr>
              <w:spacing w:line="220" w:lineRule="exact"/>
              <w:contextualSpacing/>
              <w:jc w:val="center"/>
              <w:rPr>
                <w:color w:val="auto"/>
                <w:sz w:val="18"/>
                <w:szCs w:val="18"/>
              </w:rPr>
            </w:pPr>
            <w:r w:rsidRPr="00C8377C">
              <w:rPr>
                <w:color w:val="auto"/>
                <w:sz w:val="18"/>
                <w:szCs w:val="18"/>
              </w:rPr>
              <w:t>10%</w:t>
            </w:r>
          </w:p>
        </w:tc>
        <w:tc>
          <w:tcPr>
            <w:tcW w:w="990" w:type="dxa"/>
            <w:shd w:val="clear" w:color="auto" w:fill="FFFFFF" w:themeFill="background1"/>
            <w:vAlign w:val="center"/>
          </w:tcPr>
          <w:p w:rsidR="002A521F" w:rsidRPr="00C8377C" w:rsidRDefault="002A521F" w:rsidP="00C8377C">
            <w:pPr>
              <w:spacing w:line="220" w:lineRule="exact"/>
              <w:contextualSpacing/>
              <w:jc w:val="center"/>
              <w:rPr>
                <w:color w:val="auto"/>
                <w:sz w:val="18"/>
                <w:szCs w:val="18"/>
              </w:rPr>
            </w:pPr>
            <w:r w:rsidRPr="00C8377C">
              <w:rPr>
                <w:color w:val="auto"/>
                <w:sz w:val="18"/>
                <w:szCs w:val="18"/>
              </w:rPr>
              <w:t>20011012</w:t>
            </w:r>
          </w:p>
        </w:tc>
      </w:tr>
      <w:tr w:rsidR="002A521F" w:rsidRPr="00C8377C" w:rsidTr="00C8377C">
        <w:trPr>
          <w:trHeight w:val="197"/>
          <w:jc w:val="center"/>
        </w:trPr>
        <w:tc>
          <w:tcPr>
            <w:tcW w:w="3906" w:type="dxa"/>
            <w:gridSpan w:val="3"/>
            <w:vMerge/>
            <w:tcBorders>
              <w:right w:val="thinThickThinSmallGap" w:sz="24" w:space="0" w:color="auto"/>
            </w:tcBorders>
            <w:shd w:val="clear" w:color="auto" w:fill="FFFFFF" w:themeFill="background1"/>
            <w:vAlign w:val="center"/>
          </w:tcPr>
          <w:p w:rsidR="002A521F" w:rsidRPr="00C8377C" w:rsidRDefault="002A521F" w:rsidP="00C8377C">
            <w:pPr>
              <w:spacing w:line="220" w:lineRule="exact"/>
              <w:contextualSpacing/>
              <w:jc w:val="center"/>
              <w:rPr>
                <w:color w:val="auto"/>
                <w:sz w:val="18"/>
                <w:szCs w:val="18"/>
              </w:rPr>
            </w:pPr>
          </w:p>
        </w:tc>
        <w:tc>
          <w:tcPr>
            <w:tcW w:w="4482" w:type="dxa"/>
            <w:gridSpan w:val="3"/>
            <w:tcBorders>
              <w:left w:val="thinThickThinSmallGap" w:sz="24" w:space="0" w:color="auto"/>
            </w:tcBorders>
            <w:shd w:val="clear" w:color="auto" w:fill="FFFFFF" w:themeFill="background1"/>
            <w:vAlign w:val="center"/>
          </w:tcPr>
          <w:p w:rsidR="002A521F" w:rsidRPr="00C8377C" w:rsidRDefault="002A521F" w:rsidP="003D7F2E">
            <w:pPr>
              <w:spacing w:line="220" w:lineRule="exact"/>
              <w:contextualSpacing/>
              <w:jc w:val="center"/>
              <w:rPr>
                <w:color w:val="auto"/>
                <w:sz w:val="18"/>
                <w:szCs w:val="18"/>
              </w:rPr>
            </w:pPr>
            <w:r w:rsidRPr="00C8377C">
              <w:rPr>
                <w:rFonts w:cs="Times New Roman"/>
                <w:color w:val="auto"/>
                <w:sz w:val="18"/>
                <w:szCs w:val="18"/>
              </w:rPr>
              <w:t xml:space="preserve">0% x 2/Not Service Connected x </w:t>
            </w:r>
            <w:r w:rsidR="003D7F2E">
              <w:rPr>
                <w:rFonts w:cs="Times New Roman"/>
                <w:color w:val="auto"/>
                <w:sz w:val="18"/>
                <w:szCs w:val="18"/>
              </w:rPr>
              <w:t>2</w:t>
            </w:r>
          </w:p>
        </w:tc>
        <w:tc>
          <w:tcPr>
            <w:tcW w:w="990" w:type="dxa"/>
            <w:shd w:val="clear" w:color="auto" w:fill="FFFFFF" w:themeFill="background1"/>
            <w:vAlign w:val="center"/>
          </w:tcPr>
          <w:p w:rsidR="002A521F" w:rsidRPr="00C8377C" w:rsidRDefault="002A521F" w:rsidP="00C8377C">
            <w:pPr>
              <w:spacing w:line="220" w:lineRule="exact"/>
              <w:contextualSpacing/>
              <w:jc w:val="center"/>
              <w:rPr>
                <w:color w:val="auto"/>
                <w:sz w:val="18"/>
                <w:szCs w:val="18"/>
              </w:rPr>
            </w:pPr>
            <w:r w:rsidRPr="00C8377C">
              <w:rPr>
                <w:color w:val="auto"/>
                <w:sz w:val="18"/>
                <w:szCs w:val="18"/>
              </w:rPr>
              <w:t>20011012</w:t>
            </w:r>
          </w:p>
        </w:tc>
      </w:tr>
      <w:tr w:rsidR="002A521F" w:rsidRPr="00C8377C" w:rsidTr="00C8377C">
        <w:trPr>
          <w:trHeight w:val="242"/>
          <w:jc w:val="center"/>
        </w:trPr>
        <w:tc>
          <w:tcPr>
            <w:tcW w:w="3906" w:type="dxa"/>
            <w:gridSpan w:val="3"/>
            <w:tcBorders>
              <w:right w:val="thinThickThinSmallGap" w:sz="24" w:space="0" w:color="auto"/>
            </w:tcBorders>
            <w:shd w:val="clear" w:color="auto" w:fill="D9D9D9" w:themeFill="background1" w:themeFillShade="D9"/>
          </w:tcPr>
          <w:p w:rsidR="002A521F" w:rsidRPr="00C8377C" w:rsidRDefault="002A521F" w:rsidP="00C8377C">
            <w:pPr>
              <w:spacing w:line="240" w:lineRule="exact"/>
              <w:contextualSpacing/>
              <w:jc w:val="center"/>
              <w:rPr>
                <w:b/>
                <w:color w:val="auto"/>
                <w:sz w:val="20"/>
                <w:szCs w:val="20"/>
              </w:rPr>
            </w:pPr>
            <w:r w:rsidRPr="00C8377C">
              <w:rPr>
                <w:b/>
                <w:color w:val="auto"/>
                <w:sz w:val="20"/>
                <w:szCs w:val="20"/>
              </w:rPr>
              <w:t>Combined:  20%</w:t>
            </w:r>
          </w:p>
        </w:tc>
        <w:tc>
          <w:tcPr>
            <w:tcW w:w="5472" w:type="dxa"/>
            <w:gridSpan w:val="4"/>
            <w:tcBorders>
              <w:left w:val="thinThickThinSmallGap" w:sz="24" w:space="0" w:color="auto"/>
            </w:tcBorders>
            <w:shd w:val="clear" w:color="auto" w:fill="D9D9D9" w:themeFill="background1" w:themeFillShade="D9"/>
          </w:tcPr>
          <w:p w:rsidR="002A521F" w:rsidRPr="00C8377C" w:rsidRDefault="002A521F" w:rsidP="00C8377C">
            <w:pPr>
              <w:spacing w:line="240" w:lineRule="exact"/>
              <w:contextualSpacing/>
              <w:jc w:val="center"/>
              <w:rPr>
                <w:b/>
                <w:color w:val="auto"/>
                <w:sz w:val="20"/>
                <w:szCs w:val="20"/>
              </w:rPr>
            </w:pPr>
            <w:r w:rsidRPr="00C8377C">
              <w:rPr>
                <w:b/>
                <w:color w:val="auto"/>
                <w:sz w:val="20"/>
                <w:szCs w:val="20"/>
              </w:rPr>
              <w:t>Combined:  30%</w:t>
            </w:r>
          </w:p>
        </w:tc>
      </w:tr>
    </w:tbl>
    <w:p w:rsidR="000C5CF2" w:rsidRPr="00C8377C" w:rsidRDefault="000C5CF2" w:rsidP="000C5CF2">
      <w:pPr>
        <w:pBdr>
          <w:bottom w:val="single" w:sz="12" w:space="1" w:color="auto"/>
        </w:pBdr>
        <w:spacing w:line="240" w:lineRule="exact"/>
        <w:rPr>
          <w:rFonts w:asciiTheme="minorHAnsi" w:hAnsiTheme="minorHAnsi"/>
          <w:color w:val="auto"/>
          <w:u w:val="single"/>
        </w:rPr>
      </w:pPr>
    </w:p>
    <w:p w:rsidR="000C5CF2" w:rsidRPr="00C8377C" w:rsidRDefault="000C5CF2" w:rsidP="000C5CF2">
      <w:pPr>
        <w:spacing w:line="240" w:lineRule="exact"/>
        <w:rPr>
          <w:rFonts w:asciiTheme="minorHAnsi" w:hAnsiTheme="minorHAnsi"/>
          <w:color w:val="auto"/>
          <w:u w:val="single"/>
        </w:rPr>
      </w:pPr>
    </w:p>
    <w:p w:rsidR="004C60A3" w:rsidRPr="00C8377C" w:rsidRDefault="002C6E5B" w:rsidP="002D705F">
      <w:pPr>
        <w:spacing w:line="240" w:lineRule="exact"/>
        <w:jc w:val="both"/>
        <w:rPr>
          <w:color w:val="auto"/>
          <w:szCs w:val="24"/>
        </w:rPr>
      </w:pPr>
      <w:r w:rsidRPr="00C8377C">
        <w:rPr>
          <w:color w:val="auto"/>
          <w:szCs w:val="24"/>
          <w:u w:val="single"/>
        </w:rPr>
        <w:t>ANALYSIS SUMMARY</w:t>
      </w:r>
      <w:r w:rsidRPr="00C8377C">
        <w:rPr>
          <w:color w:val="auto"/>
          <w:szCs w:val="24"/>
        </w:rPr>
        <w:t>:</w:t>
      </w:r>
      <w:r w:rsidR="002D705F" w:rsidRPr="00C8377C">
        <w:rPr>
          <w:color w:val="auto"/>
          <w:szCs w:val="24"/>
        </w:rPr>
        <w:t xml:space="preserve">  </w:t>
      </w:r>
      <w:r w:rsidR="002D705F" w:rsidRPr="00C8377C">
        <w:rPr>
          <w:rFonts w:asciiTheme="minorHAnsi" w:hAnsiTheme="minorHAnsi"/>
          <w:color w:val="auto"/>
          <w:szCs w:val="24"/>
        </w:rPr>
        <w:t xml:space="preserve">The </w:t>
      </w:r>
      <w:r w:rsidR="00B06100">
        <w:rPr>
          <w:rFonts w:asciiTheme="minorHAnsi" w:hAnsiTheme="minorHAnsi"/>
          <w:color w:val="auto"/>
          <w:szCs w:val="24"/>
        </w:rPr>
        <w:t>MDES</w:t>
      </w:r>
      <w:r w:rsidR="002D705F" w:rsidRPr="00C8377C">
        <w:rPr>
          <w:rFonts w:asciiTheme="minorHAnsi" w:hAnsiTheme="minorHAnsi"/>
          <w:color w:val="auto"/>
          <w:szCs w:val="24"/>
        </w:rPr>
        <w:t xml:space="preserve"> is responsible for maintaining a fit and vital fighting force.  While the MDES considers all of the service member's medical conditions, compensation can only be offered for those medical conditions that cut  short a service member’s career, and then only to the degree of severity present at the time of final disposition.  However the </w:t>
      </w:r>
      <w:r w:rsidR="002D705F" w:rsidRPr="00C8377C">
        <w:rPr>
          <w:rFonts w:asciiTheme="minorHAnsi" w:hAnsiTheme="minorHAnsi"/>
          <w:color w:val="auto"/>
          <w:szCs w:val="24"/>
        </w:rPr>
        <w:lastRenderedPageBreak/>
        <w:t>Department of Veteran</w:t>
      </w:r>
      <w:r w:rsidR="00AD2AD5">
        <w:rPr>
          <w:rFonts w:asciiTheme="minorHAnsi" w:hAnsiTheme="minorHAnsi"/>
          <w:color w:val="auto"/>
          <w:szCs w:val="24"/>
        </w:rPr>
        <w:t>’s Affairs (</w:t>
      </w:r>
      <w:r w:rsidR="002D705F" w:rsidRPr="00C8377C">
        <w:rPr>
          <w:rFonts w:asciiTheme="minorHAnsi" w:hAnsiTheme="minorHAnsi"/>
          <w:color w:val="auto"/>
          <w:szCs w:val="24"/>
        </w:rPr>
        <w:t xml:space="preserve">VA), operating under a different set of laws (Title 38, United States Code), is empowered to compensate service connected conditions and to periodically re-evaluate said conditions for the purpose of adjusting the veteran’s disability rating should his degree of impairment vary over time.  </w:t>
      </w:r>
    </w:p>
    <w:p w:rsidR="003F2EEE" w:rsidRPr="00C8377C" w:rsidRDefault="003F2EEE" w:rsidP="00510F9C">
      <w:pPr>
        <w:spacing w:line="240" w:lineRule="exact"/>
        <w:rPr>
          <w:rFonts w:asciiTheme="minorHAnsi" w:hAnsiTheme="minorHAnsi"/>
          <w:color w:val="auto"/>
          <w:szCs w:val="24"/>
        </w:rPr>
      </w:pPr>
    </w:p>
    <w:p w:rsidR="00D00F5A" w:rsidRPr="00C8377C" w:rsidRDefault="00F5144C" w:rsidP="00E80C1E">
      <w:pPr>
        <w:autoSpaceDE w:val="0"/>
        <w:autoSpaceDN w:val="0"/>
        <w:adjustRightInd w:val="0"/>
        <w:spacing w:line="240" w:lineRule="exact"/>
        <w:jc w:val="both"/>
        <w:rPr>
          <w:rFonts w:asciiTheme="minorHAnsi" w:eastAsia="HiddenHorzOCR" w:hAnsiTheme="minorHAnsi"/>
          <w:color w:val="auto"/>
          <w:szCs w:val="24"/>
          <w:u w:val="single"/>
        </w:rPr>
      </w:pPr>
      <w:r w:rsidRPr="00C8377C">
        <w:rPr>
          <w:rFonts w:asciiTheme="minorHAnsi" w:hAnsiTheme="minorHAnsi"/>
          <w:color w:val="auto"/>
          <w:szCs w:val="24"/>
          <w:u w:val="single"/>
        </w:rPr>
        <w:t xml:space="preserve">Bilateral </w:t>
      </w:r>
      <w:proofErr w:type="spellStart"/>
      <w:r w:rsidRPr="00C8377C">
        <w:rPr>
          <w:rFonts w:asciiTheme="minorHAnsi" w:hAnsiTheme="minorHAnsi"/>
          <w:color w:val="auto"/>
          <w:szCs w:val="24"/>
          <w:u w:val="single"/>
        </w:rPr>
        <w:t>Patellofemoral</w:t>
      </w:r>
      <w:proofErr w:type="spellEnd"/>
      <w:r w:rsidRPr="00C8377C">
        <w:rPr>
          <w:rFonts w:asciiTheme="minorHAnsi" w:hAnsiTheme="minorHAnsi"/>
          <w:color w:val="auto"/>
          <w:szCs w:val="24"/>
          <w:u w:val="single"/>
        </w:rPr>
        <w:t xml:space="preserve"> Arthritis</w:t>
      </w:r>
      <w:r w:rsidR="00AD2AD5">
        <w:rPr>
          <w:rFonts w:asciiTheme="minorHAnsi" w:hAnsiTheme="minorHAnsi"/>
          <w:color w:val="auto"/>
          <w:szCs w:val="24"/>
        </w:rPr>
        <w:t>:</w:t>
      </w:r>
      <w:r w:rsidR="00E80C1E" w:rsidRPr="00C8377C">
        <w:rPr>
          <w:rFonts w:asciiTheme="minorHAnsi" w:hAnsiTheme="minorHAnsi"/>
          <w:color w:val="auto"/>
          <w:szCs w:val="24"/>
        </w:rPr>
        <w:t xml:space="preserve">  </w:t>
      </w:r>
      <w:r w:rsidR="00900244" w:rsidRPr="00C8377C">
        <w:rPr>
          <w:rFonts w:asciiTheme="minorHAnsi" w:hAnsiTheme="minorHAnsi"/>
          <w:color w:val="auto"/>
          <w:szCs w:val="24"/>
        </w:rPr>
        <w:t xml:space="preserve">There were two knee </w:t>
      </w:r>
      <w:r w:rsidR="00D60329">
        <w:rPr>
          <w:rFonts w:asciiTheme="minorHAnsi" w:hAnsiTheme="minorHAnsi"/>
          <w:color w:val="auto"/>
          <w:szCs w:val="24"/>
        </w:rPr>
        <w:t>evaluations with documentation of ratable criteria</w:t>
      </w:r>
      <w:r w:rsidR="00900244" w:rsidRPr="00C8377C">
        <w:rPr>
          <w:rFonts w:asciiTheme="minorHAnsi" w:hAnsiTheme="minorHAnsi"/>
          <w:color w:val="auto"/>
          <w:szCs w:val="24"/>
        </w:rPr>
        <w:t xml:space="preserve"> in evidence proximate to separation, with one goniometric range-of-motion (ROM) evaluation, which the Board weighed in arriving at its rating recommendation.  Both of these exams are summarized in the chart below.</w:t>
      </w:r>
    </w:p>
    <w:p w:rsidR="007512C4" w:rsidRPr="00C8377C" w:rsidRDefault="007512C4" w:rsidP="007512C4">
      <w:pPr>
        <w:spacing w:line="180" w:lineRule="exact"/>
        <w:rPr>
          <w:rFonts w:asciiTheme="minorHAnsi" w:eastAsiaTheme="minorHAnsi" w:hAnsiTheme="minorHAnsi" w:cstheme="minorBidi"/>
          <w:color w:val="auto"/>
          <w:sz w:val="18"/>
          <w:szCs w:val="18"/>
        </w:rPr>
      </w:pPr>
    </w:p>
    <w:tbl>
      <w:tblPr>
        <w:tblW w:w="89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0"/>
        <w:gridCol w:w="1776"/>
        <w:gridCol w:w="1800"/>
        <w:gridCol w:w="1800"/>
        <w:gridCol w:w="1595"/>
      </w:tblGrid>
      <w:tr w:rsidR="007512C4" w:rsidRPr="00C8377C" w:rsidTr="002174C7">
        <w:trPr>
          <w:jc w:val="center"/>
        </w:trPr>
        <w:tc>
          <w:tcPr>
            <w:tcW w:w="1980" w:type="dxa"/>
            <w:vMerge w:val="restart"/>
            <w:shd w:val="clear" w:color="auto" w:fill="D9D9D9" w:themeFill="background1" w:themeFillShade="D9"/>
          </w:tcPr>
          <w:p w:rsidR="007512C4" w:rsidRPr="00C8377C" w:rsidRDefault="007512C4" w:rsidP="002174C7">
            <w:pPr>
              <w:spacing w:line="240" w:lineRule="exact"/>
              <w:contextualSpacing/>
              <w:jc w:val="center"/>
              <w:rPr>
                <w:rFonts w:eastAsia="Calibri"/>
                <w:color w:val="auto"/>
                <w:sz w:val="20"/>
              </w:rPr>
            </w:pPr>
            <w:r w:rsidRPr="00C8377C">
              <w:rPr>
                <w:rFonts w:eastAsia="Calibri"/>
                <w:color w:val="auto"/>
                <w:sz w:val="20"/>
              </w:rPr>
              <w:t>Goniometric ROM</w:t>
            </w:r>
          </w:p>
          <w:p w:rsidR="007512C4" w:rsidRPr="00C8377C" w:rsidRDefault="007512C4" w:rsidP="002174C7">
            <w:pPr>
              <w:spacing w:line="240" w:lineRule="exact"/>
              <w:contextualSpacing/>
              <w:jc w:val="center"/>
              <w:rPr>
                <w:rFonts w:eastAsia="Calibri"/>
                <w:color w:val="auto"/>
                <w:sz w:val="20"/>
              </w:rPr>
            </w:pPr>
            <w:r w:rsidRPr="00C8377C">
              <w:rPr>
                <w:rFonts w:eastAsia="Calibri"/>
                <w:color w:val="auto"/>
                <w:sz w:val="20"/>
              </w:rPr>
              <w:t>Knees</w:t>
            </w:r>
          </w:p>
        </w:tc>
        <w:tc>
          <w:tcPr>
            <w:tcW w:w="3576" w:type="dxa"/>
            <w:gridSpan w:val="2"/>
            <w:shd w:val="clear" w:color="auto" w:fill="D9D9D9" w:themeFill="background1" w:themeFillShade="D9"/>
            <w:vAlign w:val="center"/>
          </w:tcPr>
          <w:p w:rsidR="007512C4" w:rsidRPr="00C8377C" w:rsidRDefault="007512C4" w:rsidP="00245AAA">
            <w:pPr>
              <w:spacing w:line="240" w:lineRule="exact"/>
              <w:contextualSpacing/>
              <w:jc w:val="center"/>
              <w:rPr>
                <w:rFonts w:eastAsia="Calibri"/>
                <w:color w:val="auto"/>
                <w:sz w:val="20"/>
              </w:rPr>
            </w:pPr>
            <w:r w:rsidRPr="00C8377C">
              <w:rPr>
                <w:rFonts w:asciiTheme="minorHAnsi" w:eastAsia="Calibri" w:hAnsiTheme="minorHAnsi"/>
                <w:color w:val="auto"/>
                <w:sz w:val="20"/>
              </w:rPr>
              <w:t xml:space="preserve">MEB ~ </w:t>
            </w:r>
            <w:r w:rsidR="00245AAA" w:rsidRPr="00C8377C">
              <w:rPr>
                <w:rFonts w:asciiTheme="minorHAnsi" w:eastAsia="Calibri" w:hAnsiTheme="minorHAnsi"/>
                <w:color w:val="auto"/>
                <w:sz w:val="20"/>
              </w:rPr>
              <w:t>5</w:t>
            </w:r>
            <w:r w:rsidRPr="00C8377C">
              <w:rPr>
                <w:rFonts w:asciiTheme="minorHAnsi" w:eastAsia="Calibri" w:hAnsiTheme="minorHAnsi"/>
                <w:color w:val="auto"/>
                <w:sz w:val="20"/>
              </w:rPr>
              <w:t xml:space="preserve"> Mo. Pre-Sep</w:t>
            </w:r>
          </w:p>
        </w:tc>
        <w:tc>
          <w:tcPr>
            <w:tcW w:w="3395" w:type="dxa"/>
            <w:gridSpan w:val="2"/>
            <w:shd w:val="clear" w:color="auto" w:fill="D9D9D9" w:themeFill="background1" w:themeFillShade="D9"/>
            <w:vAlign w:val="center"/>
          </w:tcPr>
          <w:p w:rsidR="007512C4" w:rsidRPr="00C8377C" w:rsidRDefault="007512C4" w:rsidP="002E66F3">
            <w:pPr>
              <w:spacing w:line="240" w:lineRule="exact"/>
              <w:contextualSpacing/>
              <w:jc w:val="center"/>
              <w:rPr>
                <w:rFonts w:eastAsia="Calibri"/>
                <w:color w:val="auto"/>
                <w:sz w:val="20"/>
              </w:rPr>
            </w:pPr>
            <w:r w:rsidRPr="00C8377C">
              <w:rPr>
                <w:rFonts w:asciiTheme="minorHAnsi" w:eastAsia="Calibri" w:hAnsiTheme="minorHAnsi"/>
                <w:color w:val="auto"/>
                <w:sz w:val="20"/>
              </w:rPr>
              <w:t>VA</w:t>
            </w:r>
            <w:r w:rsidRPr="00C8377C">
              <w:rPr>
                <w:rFonts w:asciiTheme="minorHAnsi" w:eastAsiaTheme="minorHAnsi" w:hAnsiTheme="minorHAnsi" w:cstheme="minorBidi"/>
                <w:color w:val="auto"/>
                <w:sz w:val="20"/>
              </w:rPr>
              <w:t xml:space="preserve"> C&amp;P </w:t>
            </w:r>
            <w:r w:rsidRPr="00C8377C">
              <w:rPr>
                <w:rFonts w:asciiTheme="minorHAnsi" w:eastAsia="Calibri" w:hAnsiTheme="minorHAnsi"/>
                <w:color w:val="auto"/>
                <w:sz w:val="20"/>
              </w:rPr>
              <w:t xml:space="preserve">~ </w:t>
            </w:r>
            <w:r w:rsidR="002E66F3" w:rsidRPr="00C8377C">
              <w:rPr>
                <w:rFonts w:asciiTheme="minorHAnsi" w:eastAsia="Calibri" w:hAnsiTheme="minorHAnsi"/>
                <w:color w:val="auto"/>
                <w:sz w:val="20"/>
              </w:rPr>
              <w:t>3</w:t>
            </w:r>
            <w:r w:rsidRPr="00C8377C">
              <w:rPr>
                <w:rFonts w:asciiTheme="minorHAnsi" w:eastAsia="Calibri" w:hAnsiTheme="minorHAnsi"/>
                <w:color w:val="auto"/>
                <w:sz w:val="20"/>
              </w:rPr>
              <w:t xml:space="preserve"> Mo. </w:t>
            </w:r>
            <w:r w:rsidR="002E66F3" w:rsidRPr="00C8377C">
              <w:rPr>
                <w:rFonts w:asciiTheme="minorHAnsi" w:eastAsia="Calibri" w:hAnsiTheme="minorHAnsi"/>
                <w:color w:val="auto"/>
                <w:sz w:val="20"/>
              </w:rPr>
              <w:t>Pre</w:t>
            </w:r>
            <w:r w:rsidRPr="00C8377C">
              <w:rPr>
                <w:rFonts w:asciiTheme="minorHAnsi" w:eastAsia="Calibri" w:hAnsiTheme="minorHAnsi"/>
                <w:color w:val="auto"/>
                <w:sz w:val="20"/>
              </w:rPr>
              <w:t>-Sep</w:t>
            </w:r>
          </w:p>
        </w:tc>
      </w:tr>
      <w:tr w:rsidR="007512C4" w:rsidRPr="00C8377C" w:rsidTr="00C8377C">
        <w:trPr>
          <w:jc w:val="center"/>
        </w:trPr>
        <w:tc>
          <w:tcPr>
            <w:tcW w:w="1980" w:type="dxa"/>
            <w:vMerge/>
            <w:shd w:val="clear" w:color="auto" w:fill="D9D9D9" w:themeFill="background1" w:themeFillShade="D9"/>
          </w:tcPr>
          <w:p w:rsidR="007512C4" w:rsidRPr="00C8377C" w:rsidRDefault="007512C4" w:rsidP="002174C7">
            <w:pPr>
              <w:spacing w:line="240" w:lineRule="exact"/>
              <w:contextualSpacing/>
              <w:jc w:val="center"/>
              <w:rPr>
                <w:rFonts w:eastAsia="Calibri"/>
                <w:color w:val="auto"/>
                <w:sz w:val="20"/>
              </w:rPr>
            </w:pPr>
          </w:p>
        </w:tc>
        <w:tc>
          <w:tcPr>
            <w:tcW w:w="1776" w:type="dxa"/>
            <w:shd w:val="clear" w:color="auto" w:fill="D9D9D9" w:themeFill="background1" w:themeFillShade="D9"/>
            <w:vAlign w:val="center"/>
          </w:tcPr>
          <w:p w:rsidR="007512C4" w:rsidRPr="00C8377C" w:rsidRDefault="007512C4" w:rsidP="002174C7">
            <w:pPr>
              <w:spacing w:line="240" w:lineRule="exact"/>
              <w:contextualSpacing/>
              <w:jc w:val="center"/>
              <w:rPr>
                <w:rFonts w:eastAsia="Calibri"/>
                <w:color w:val="auto"/>
                <w:sz w:val="20"/>
              </w:rPr>
            </w:pPr>
            <w:r w:rsidRPr="00C8377C">
              <w:rPr>
                <w:rFonts w:eastAsia="Calibri"/>
                <w:color w:val="auto"/>
                <w:sz w:val="20"/>
              </w:rPr>
              <w:t>Left</w:t>
            </w:r>
          </w:p>
        </w:tc>
        <w:tc>
          <w:tcPr>
            <w:tcW w:w="1800" w:type="dxa"/>
            <w:shd w:val="clear" w:color="auto" w:fill="D9D9D9" w:themeFill="background1" w:themeFillShade="D9"/>
            <w:vAlign w:val="center"/>
          </w:tcPr>
          <w:p w:rsidR="007512C4" w:rsidRPr="00C8377C" w:rsidRDefault="007512C4" w:rsidP="002174C7">
            <w:pPr>
              <w:spacing w:line="240" w:lineRule="exact"/>
              <w:contextualSpacing/>
              <w:jc w:val="center"/>
              <w:rPr>
                <w:rFonts w:eastAsia="Calibri"/>
                <w:color w:val="auto"/>
                <w:sz w:val="20"/>
              </w:rPr>
            </w:pPr>
            <w:r w:rsidRPr="00C8377C">
              <w:rPr>
                <w:rFonts w:eastAsia="Calibri"/>
                <w:color w:val="auto"/>
                <w:sz w:val="20"/>
              </w:rPr>
              <w:t>Right</w:t>
            </w:r>
          </w:p>
        </w:tc>
        <w:tc>
          <w:tcPr>
            <w:tcW w:w="1800" w:type="dxa"/>
            <w:shd w:val="clear" w:color="auto" w:fill="D9D9D9" w:themeFill="background1" w:themeFillShade="D9"/>
            <w:vAlign w:val="center"/>
          </w:tcPr>
          <w:p w:rsidR="007512C4" w:rsidRPr="00C8377C" w:rsidRDefault="007512C4" w:rsidP="002174C7">
            <w:pPr>
              <w:spacing w:line="240" w:lineRule="exact"/>
              <w:contextualSpacing/>
              <w:jc w:val="center"/>
              <w:rPr>
                <w:rFonts w:eastAsia="Calibri"/>
                <w:color w:val="auto"/>
                <w:sz w:val="20"/>
              </w:rPr>
            </w:pPr>
            <w:r w:rsidRPr="00C8377C">
              <w:rPr>
                <w:rFonts w:eastAsia="Calibri"/>
                <w:color w:val="auto"/>
                <w:sz w:val="20"/>
              </w:rPr>
              <w:t>Left</w:t>
            </w:r>
          </w:p>
        </w:tc>
        <w:tc>
          <w:tcPr>
            <w:tcW w:w="1595" w:type="dxa"/>
            <w:shd w:val="clear" w:color="auto" w:fill="D9D9D9" w:themeFill="background1" w:themeFillShade="D9"/>
          </w:tcPr>
          <w:p w:rsidR="007512C4" w:rsidRPr="00C8377C" w:rsidRDefault="007512C4" w:rsidP="002174C7">
            <w:pPr>
              <w:spacing w:line="240" w:lineRule="exact"/>
              <w:contextualSpacing/>
              <w:jc w:val="center"/>
              <w:rPr>
                <w:rFonts w:eastAsia="Calibri"/>
                <w:color w:val="auto"/>
                <w:sz w:val="20"/>
              </w:rPr>
            </w:pPr>
            <w:r w:rsidRPr="00C8377C">
              <w:rPr>
                <w:rFonts w:eastAsia="Calibri"/>
                <w:color w:val="auto"/>
                <w:sz w:val="20"/>
              </w:rPr>
              <w:t>Right</w:t>
            </w:r>
          </w:p>
        </w:tc>
      </w:tr>
      <w:tr w:rsidR="00D00F5A" w:rsidRPr="00C8377C" w:rsidTr="00D00F5A">
        <w:trPr>
          <w:jc w:val="center"/>
        </w:trPr>
        <w:tc>
          <w:tcPr>
            <w:tcW w:w="1980" w:type="dxa"/>
          </w:tcPr>
          <w:p w:rsidR="00D00F5A" w:rsidRPr="00C8377C" w:rsidRDefault="00C8377C" w:rsidP="002174C7">
            <w:pPr>
              <w:spacing w:line="240" w:lineRule="exact"/>
              <w:contextualSpacing/>
              <w:jc w:val="center"/>
              <w:rPr>
                <w:rFonts w:eastAsia="Calibri"/>
                <w:color w:val="auto"/>
                <w:sz w:val="18"/>
                <w:szCs w:val="18"/>
              </w:rPr>
            </w:pPr>
            <w:r>
              <w:rPr>
                <w:rFonts w:eastAsia="Calibri"/>
                <w:color w:val="auto"/>
                <w:sz w:val="18"/>
                <w:szCs w:val="18"/>
              </w:rPr>
              <w:t>Flexion (140⁰ N</w:t>
            </w:r>
            <w:r w:rsidR="00D00F5A" w:rsidRPr="00C8377C">
              <w:rPr>
                <w:rFonts w:eastAsia="Calibri"/>
                <w:color w:val="auto"/>
                <w:sz w:val="18"/>
                <w:szCs w:val="18"/>
              </w:rPr>
              <w:t>ormal)</w:t>
            </w:r>
          </w:p>
        </w:tc>
        <w:tc>
          <w:tcPr>
            <w:tcW w:w="3576" w:type="dxa"/>
            <w:gridSpan w:val="2"/>
            <w:vMerge w:val="restart"/>
            <w:vAlign w:val="center"/>
          </w:tcPr>
          <w:p w:rsidR="00D00F5A" w:rsidRPr="00C8377C" w:rsidRDefault="00D00F5A" w:rsidP="00D00F5A">
            <w:pPr>
              <w:spacing w:line="240" w:lineRule="exact"/>
              <w:contextualSpacing/>
              <w:jc w:val="center"/>
              <w:rPr>
                <w:rFonts w:eastAsia="Calibri"/>
                <w:color w:val="auto"/>
                <w:sz w:val="18"/>
                <w:szCs w:val="18"/>
              </w:rPr>
            </w:pPr>
            <w:r w:rsidRPr="00C8377C">
              <w:rPr>
                <w:rFonts w:eastAsia="Calibri"/>
                <w:color w:val="auto"/>
                <w:sz w:val="18"/>
                <w:szCs w:val="18"/>
              </w:rPr>
              <w:t>ROM “full and smooth”</w:t>
            </w:r>
          </w:p>
        </w:tc>
        <w:tc>
          <w:tcPr>
            <w:tcW w:w="1800" w:type="dxa"/>
          </w:tcPr>
          <w:p w:rsidR="00D00F5A" w:rsidRPr="00C8377C" w:rsidRDefault="00D00F5A" w:rsidP="00B22397">
            <w:pPr>
              <w:spacing w:line="240" w:lineRule="exact"/>
              <w:contextualSpacing/>
              <w:jc w:val="center"/>
              <w:rPr>
                <w:rFonts w:eastAsia="Calibri"/>
                <w:color w:val="auto"/>
                <w:sz w:val="18"/>
                <w:szCs w:val="18"/>
              </w:rPr>
            </w:pPr>
            <w:r w:rsidRPr="00C8377C">
              <w:rPr>
                <w:rFonts w:eastAsia="Calibri"/>
                <w:color w:val="auto"/>
                <w:sz w:val="18"/>
                <w:szCs w:val="18"/>
              </w:rPr>
              <w:t>1</w:t>
            </w:r>
            <w:r w:rsidR="00B22397" w:rsidRPr="00C8377C">
              <w:rPr>
                <w:rFonts w:eastAsia="Calibri"/>
                <w:color w:val="auto"/>
                <w:sz w:val="18"/>
                <w:szCs w:val="18"/>
              </w:rPr>
              <w:t>3</w:t>
            </w:r>
            <w:r w:rsidRPr="00C8377C">
              <w:rPr>
                <w:rFonts w:eastAsia="Calibri"/>
                <w:color w:val="auto"/>
                <w:sz w:val="18"/>
                <w:szCs w:val="18"/>
              </w:rPr>
              <w:t>0⁰</w:t>
            </w:r>
          </w:p>
        </w:tc>
        <w:tc>
          <w:tcPr>
            <w:tcW w:w="1595" w:type="dxa"/>
          </w:tcPr>
          <w:p w:rsidR="00D00F5A" w:rsidRPr="00C8377C" w:rsidRDefault="00D00F5A" w:rsidP="00B22397">
            <w:pPr>
              <w:spacing w:line="240" w:lineRule="exact"/>
              <w:contextualSpacing/>
              <w:jc w:val="center"/>
              <w:rPr>
                <w:rFonts w:eastAsia="Calibri"/>
                <w:color w:val="auto"/>
                <w:sz w:val="18"/>
                <w:szCs w:val="18"/>
              </w:rPr>
            </w:pPr>
            <w:r w:rsidRPr="00C8377C">
              <w:rPr>
                <w:rFonts w:eastAsia="Calibri"/>
                <w:color w:val="auto"/>
                <w:sz w:val="18"/>
                <w:szCs w:val="18"/>
              </w:rPr>
              <w:t>1</w:t>
            </w:r>
            <w:r w:rsidR="00B22397" w:rsidRPr="00C8377C">
              <w:rPr>
                <w:rFonts w:eastAsia="Calibri"/>
                <w:color w:val="auto"/>
                <w:sz w:val="18"/>
                <w:szCs w:val="18"/>
              </w:rPr>
              <w:t>3</w:t>
            </w:r>
            <w:r w:rsidRPr="00C8377C">
              <w:rPr>
                <w:rFonts w:eastAsia="Calibri"/>
                <w:color w:val="auto"/>
                <w:sz w:val="18"/>
                <w:szCs w:val="18"/>
              </w:rPr>
              <w:t>0⁰</w:t>
            </w:r>
          </w:p>
        </w:tc>
      </w:tr>
      <w:tr w:rsidR="00D00F5A" w:rsidRPr="00C8377C" w:rsidTr="002174C7">
        <w:trPr>
          <w:jc w:val="center"/>
        </w:trPr>
        <w:tc>
          <w:tcPr>
            <w:tcW w:w="1980" w:type="dxa"/>
            <w:tcBorders>
              <w:bottom w:val="single" w:sz="4" w:space="0" w:color="auto"/>
            </w:tcBorders>
          </w:tcPr>
          <w:p w:rsidR="00D00F5A" w:rsidRPr="00C8377C" w:rsidRDefault="00C8377C" w:rsidP="002174C7">
            <w:pPr>
              <w:spacing w:line="240" w:lineRule="exact"/>
              <w:contextualSpacing/>
              <w:jc w:val="center"/>
              <w:rPr>
                <w:rFonts w:eastAsia="Calibri"/>
                <w:color w:val="auto"/>
                <w:sz w:val="18"/>
                <w:szCs w:val="18"/>
              </w:rPr>
            </w:pPr>
            <w:r>
              <w:rPr>
                <w:rFonts w:eastAsia="Calibri"/>
                <w:color w:val="auto"/>
                <w:sz w:val="18"/>
                <w:szCs w:val="18"/>
              </w:rPr>
              <w:t>Extension (0⁰ N</w:t>
            </w:r>
            <w:r w:rsidR="00D00F5A" w:rsidRPr="00C8377C">
              <w:rPr>
                <w:rFonts w:eastAsia="Calibri"/>
                <w:color w:val="auto"/>
                <w:sz w:val="18"/>
                <w:szCs w:val="18"/>
              </w:rPr>
              <w:t>ormal)</w:t>
            </w:r>
          </w:p>
        </w:tc>
        <w:tc>
          <w:tcPr>
            <w:tcW w:w="3576" w:type="dxa"/>
            <w:gridSpan w:val="2"/>
            <w:vMerge/>
            <w:tcBorders>
              <w:bottom w:val="single" w:sz="4" w:space="0" w:color="auto"/>
            </w:tcBorders>
          </w:tcPr>
          <w:p w:rsidR="00D00F5A" w:rsidRPr="00C8377C" w:rsidRDefault="00D00F5A" w:rsidP="002174C7">
            <w:pPr>
              <w:spacing w:line="240" w:lineRule="exact"/>
              <w:contextualSpacing/>
              <w:jc w:val="center"/>
              <w:rPr>
                <w:rFonts w:eastAsia="Calibri"/>
                <w:color w:val="auto"/>
                <w:sz w:val="18"/>
                <w:szCs w:val="18"/>
              </w:rPr>
            </w:pPr>
          </w:p>
        </w:tc>
        <w:tc>
          <w:tcPr>
            <w:tcW w:w="1800" w:type="dxa"/>
            <w:tcBorders>
              <w:bottom w:val="single" w:sz="4" w:space="0" w:color="auto"/>
            </w:tcBorders>
          </w:tcPr>
          <w:p w:rsidR="00D00F5A" w:rsidRPr="00C8377C" w:rsidRDefault="00B22397" w:rsidP="002174C7">
            <w:pPr>
              <w:spacing w:line="240" w:lineRule="exact"/>
              <w:contextualSpacing/>
              <w:jc w:val="center"/>
              <w:rPr>
                <w:rFonts w:eastAsia="Calibri"/>
                <w:color w:val="auto"/>
                <w:sz w:val="18"/>
                <w:szCs w:val="18"/>
              </w:rPr>
            </w:pPr>
            <w:r w:rsidRPr="00C8377C">
              <w:rPr>
                <w:rFonts w:eastAsia="Calibri"/>
                <w:color w:val="auto"/>
                <w:sz w:val="18"/>
                <w:szCs w:val="18"/>
              </w:rPr>
              <w:t>“full”</w:t>
            </w:r>
          </w:p>
        </w:tc>
        <w:tc>
          <w:tcPr>
            <w:tcW w:w="1595" w:type="dxa"/>
            <w:tcBorders>
              <w:bottom w:val="single" w:sz="4" w:space="0" w:color="auto"/>
            </w:tcBorders>
          </w:tcPr>
          <w:p w:rsidR="00D00F5A" w:rsidRPr="00C8377C" w:rsidRDefault="00B22397" w:rsidP="002174C7">
            <w:pPr>
              <w:spacing w:line="240" w:lineRule="exact"/>
              <w:contextualSpacing/>
              <w:jc w:val="center"/>
              <w:rPr>
                <w:rFonts w:eastAsia="Calibri"/>
                <w:color w:val="auto"/>
                <w:sz w:val="18"/>
                <w:szCs w:val="18"/>
              </w:rPr>
            </w:pPr>
            <w:r w:rsidRPr="00C8377C">
              <w:rPr>
                <w:rFonts w:eastAsia="Calibri"/>
                <w:color w:val="auto"/>
                <w:sz w:val="18"/>
                <w:szCs w:val="18"/>
              </w:rPr>
              <w:t>“full”</w:t>
            </w:r>
          </w:p>
        </w:tc>
      </w:tr>
      <w:tr w:rsidR="00B22397" w:rsidRPr="00C8377C" w:rsidTr="0072035F">
        <w:trPr>
          <w:trHeight w:val="791"/>
          <w:jc w:val="center"/>
        </w:trPr>
        <w:tc>
          <w:tcPr>
            <w:tcW w:w="1980" w:type="dxa"/>
          </w:tcPr>
          <w:p w:rsidR="00B22397" w:rsidRPr="00C8377C" w:rsidRDefault="00B22397" w:rsidP="002174C7">
            <w:pPr>
              <w:spacing w:line="240" w:lineRule="exact"/>
              <w:contextualSpacing/>
              <w:jc w:val="center"/>
              <w:rPr>
                <w:rFonts w:eastAsia="Calibri"/>
                <w:color w:val="auto"/>
                <w:sz w:val="18"/>
                <w:szCs w:val="18"/>
              </w:rPr>
            </w:pPr>
            <w:r w:rsidRPr="00C8377C">
              <w:rPr>
                <w:rFonts w:eastAsia="Calibri"/>
                <w:color w:val="auto"/>
                <w:sz w:val="18"/>
                <w:szCs w:val="18"/>
              </w:rPr>
              <w:t>Comments</w:t>
            </w:r>
          </w:p>
        </w:tc>
        <w:tc>
          <w:tcPr>
            <w:tcW w:w="3576" w:type="dxa"/>
            <w:gridSpan w:val="2"/>
          </w:tcPr>
          <w:p w:rsidR="00B22397" w:rsidRPr="00C8377C" w:rsidRDefault="0006578C" w:rsidP="0072035F">
            <w:pPr>
              <w:spacing w:line="180" w:lineRule="exact"/>
              <w:contextualSpacing/>
              <w:rPr>
                <w:rFonts w:eastAsia="Calibri"/>
                <w:color w:val="auto"/>
                <w:sz w:val="18"/>
                <w:szCs w:val="18"/>
              </w:rPr>
            </w:pPr>
            <w:r w:rsidRPr="00C8377C">
              <w:rPr>
                <w:rFonts w:eastAsia="Calibri"/>
                <w:color w:val="auto"/>
                <w:sz w:val="18"/>
                <w:szCs w:val="18"/>
              </w:rPr>
              <w:t>“W</w:t>
            </w:r>
            <w:r w:rsidR="00B22397" w:rsidRPr="00C8377C">
              <w:rPr>
                <w:rFonts w:eastAsia="Calibri"/>
                <w:color w:val="auto"/>
                <w:sz w:val="18"/>
                <w:szCs w:val="18"/>
              </w:rPr>
              <w:t>alks, sits, and stands well</w:t>
            </w:r>
            <w:r w:rsidR="0072035F" w:rsidRPr="00C8377C">
              <w:rPr>
                <w:rFonts w:eastAsia="Calibri"/>
                <w:color w:val="auto"/>
                <w:sz w:val="18"/>
                <w:szCs w:val="18"/>
              </w:rPr>
              <w:t>;</w:t>
            </w:r>
            <w:r w:rsidR="00B22397" w:rsidRPr="00C8377C">
              <w:rPr>
                <w:rFonts w:eastAsia="Calibri"/>
                <w:color w:val="auto"/>
                <w:sz w:val="18"/>
                <w:szCs w:val="18"/>
              </w:rPr>
              <w:t>” TTP; stability “good;” L knee incisions well healed; repeat exams show some swelling, warmth &amp; crepitus on L, but no effusion</w:t>
            </w:r>
            <w:r w:rsidR="003D275F" w:rsidRPr="00C8377C">
              <w:rPr>
                <w:rFonts w:eastAsia="Calibri"/>
                <w:color w:val="auto"/>
                <w:sz w:val="18"/>
                <w:szCs w:val="18"/>
              </w:rPr>
              <w:t xml:space="preserve">; </w:t>
            </w:r>
            <w:proofErr w:type="spellStart"/>
            <w:r w:rsidR="003D275F" w:rsidRPr="00C8377C">
              <w:rPr>
                <w:rFonts w:eastAsia="Calibri"/>
                <w:color w:val="auto"/>
                <w:sz w:val="18"/>
                <w:szCs w:val="18"/>
              </w:rPr>
              <w:t>Hx</w:t>
            </w:r>
            <w:proofErr w:type="spellEnd"/>
            <w:r w:rsidR="003D275F" w:rsidRPr="00C8377C">
              <w:rPr>
                <w:rFonts w:eastAsia="Calibri"/>
                <w:color w:val="auto"/>
                <w:sz w:val="18"/>
                <w:szCs w:val="18"/>
              </w:rPr>
              <w:t xml:space="preserve"> – L locking</w:t>
            </w:r>
          </w:p>
        </w:tc>
        <w:tc>
          <w:tcPr>
            <w:tcW w:w="3395" w:type="dxa"/>
            <w:gridSpan w:val="2"/>
          </w:tcPr>
          <w:p w:rsidR="00B22397" w:rsidRPr="00C8377C" w:rsidRDefault="00B22397" w:rsidP="0072035F">
            <w:pPr>
              <w:spacing w:line="180" w:lineRule="exact"/>
              <w:contextualSpacing/>
              <w:rPr>
                <w:rFonts w:eastAsia="Calibri"/>
                <w:color w:val="auto"/>
                <w:sz w:val="18"/>
                <w:szCs w:val="18"/>
              </w:rPr>
            </w:pPr>
            <w:r w:rsidRPr="00C8377C">
              <w:rPr>
                <w:rFonts w:eastAsia="Calibri"/>
                <w:color w:val="auto"/>
                <w:sz w:val="18"/>
                <w:szCs w:val="18"/>
              </w:rPr>
              <w:t xml:space="preserve">Diffuse </w:t>
            </w:r>
            <w:r w:rsidR="006C196A" w:rsidRPr="00C8377C">
              <w:rPr>
                <w:rFonts w:eastAsia="Calibri"/>
                <w:color w:val="auto"/>
                <w:sz w:val="18"/>
                <w:szCs w:val="18"/>
              </w:rPr>
              <w:t xml:space="preserve">TTP; </w:t>
            </w:r>
            <w:r w:rsidRPr="00C8377C">
              <w:rPr>
                <w:rFonts w:eastAsia="Calibri"/>
                <w:color w:val="auto"/>
                <w:sz w:val="18"/>
                <w:szCs w:val="18"/>
              </w:rPr>
              <w:t>FAROM w</w:t>
            </w:r>
            <w:r w:rsidR="006C196A" w:rsidRPr="00C8377C">
              <w:rPr>
                <w:rFonts w:eastAsia="Calibri"/>
                <w:color w:val="auto"/>
                <w:sz w:val="18"/>
                <w:szCs w:val="18"/>
              </w:rPr>
              <w:t>ith</w:t>
            </w:r>
            <w:r w:rsidRPr="00C8377C">
              <w:rPr>
                <w:rFonts w:eastAsia="Calibri"/>
                <w:color w:val="auto"/>
                <w:sz w:val="18"/>
                <w:szCs w:val="18"/>
              </w:rPr>
              <w:t xml:space="preserve"> no pain</w:t>
            </w:r>
            <w:r w:rsidR="006C196A" w:rsidRPr="00C8377C">
              <w:rPr>
                <w:rFonts w:eastAsia="Calibri"/>
                <w:color w:val="auto"/>
                <w:sz w:val="18"/>
                <w:szCs w:val="18"/>
              </w:rPr>
              <w:t>;</w:t>
            </w:r>
            <w:r w:rsidRPr="00C8377C">
              <w:rPr>
                <w:rFonts w:eastAsia="Calibri"/>
                <w:color w:val="auto"/>
                <w:sz w:val="18"/>
                <w:szCs w:val="18"/>
              </w:rPr>
              <w:t xml:space="preserve"> no ligament laxity</w:t>
            </w:r>
            <w:r w:rsidR="006C196A" w:rsidRPr="00C8377C">
              <w:rPr>
                <w:rFonts w:eastAsia="Calibri"/>
                <w:color w:val="auto"/>
                <w:sz w:val="18"/>
                <w:szCs w:val="18"/>
              </w:rPr>
              <w:t>;</w:t>
            </w:r>
            <w:r w:rsidRPr="00C8377C">
              <w:rPr>
                <w:rFonts w:eastAsia="Calibri"/>
                <w:color w:val="auto"/>
                <w:sz w:val="18"/>
                <w:szCs w:val="18"/>
              </w:rPr>
              <w:t xml:space="preserve"> no effusion</w:t>
            </w:r>
            <w:r w:rsidR="006C196A" w:rsidRPr="00C8377C">
              <w:rPr>
                <w:rFonts w:eastAsia="Calibri"/>
                <w:color w:val="auto"/>
                <w:sz w:val="18"/>
                <w:szCs w:val="18"/>
              </w:rPr>
              <w:t>;</w:t>
            </w:r>
            <w:r w:rsidRPr="00C8377C">
              <w:rPr>
                <w:rFonts w:eastAsia="Calibri"/>
                <w:color w:val="auto"/>
                <w:sz w:val="18"/>
                <w:szCs w:val="18"/>
              </w:rPr>
              <w:t xml:space="preserve"> L knee </w:t>
            </w:r>
            <w:proofErr w:type="spellStart"/>
            <w:r w:rsidRPr="00C8377C">
              <w:rPr>
                <w:rFonts w:eastAsia="Calibri"/>
                <w:color w:val="auto"/>
                <w:sz w:val="18"/>
                <w:szCs w:val="18"/>
              </w:rPr>
              <w:t>surg</w:t>
            </w:r>
            <w:proofErr w:type="spellEnd"/>
            <w:r w:rsidRPr="00C8377C">
              <w:rPr>
                <w:rFonts w:eastAsia="Calibri"/>
                <w:color w:val="auto"/>
                <w:sz w:val="18"/>
                <w:szCs w:val="18"/>
              </w:rPr>
              <w:t xml:space="preserve"> scars barely discernible</w:t>
            </w:r>
            <w:r w:rsidR="00E80C1E" w:rsidRPr="00C8377C">
              <w:rPr>
                <w:rFonts w:eastAsia="Calibri"/>
                <w:color w:val="auto"/>
                <w:sz w:val="18"/>
                <w:szCs w:val="18"/>
              </w:rPr>
              <w:t>; partial deep knee bend due to pain</w:t>
            </w:r>
          </w:p>
        </w:tc>
      </w:tr>
      <w:tr w:rsidR="007512C4" w:rsidRPr="00C8377C" w:rsidTr="00C8377C">
        <w:trPr>
          <w:jc w:val="center"/>
        </w:trPr>
        <w:tc>
          <w:tcPr>
            <w:tcW w:w="1980" w:type="dxa"/>
            <w:tcBorders>
              <w:top w:val="single" w:sz="4" w:space="0" w:color="auto"/>
              <w:left w:val="single" w:sz="4" w:space="0" w:color="auto"/>
              <w:bottom w:val="single" w:sz="4" w:space="0" w:color="auto"/>
              <w:right w:val="single" w:sz="4" w:space="0" w:color="auto"/>
            </w:tcBorders>
          </w:tcPr>
          <w:p w:rsidR="007512C4" w:rsidRPr="00C8377C" w:rsidRDefault="007512C4" w:rsidP="002174C7">
            <w:pPr>
              <w:tabs>
                <w:tab w:val="left" w:pos="288"/>
                <w:tab w:val="left" w:pos="4752"/>
              </w:tabs>
              <w:spacing w:line="240" w:lineRule="exact"/>
              <w:jc w:val="center"/>
              <w:rPr>
                <w:rFonts w:asciiTheme="minorHAnsi" w:eastAsiaTheme="minorHAnsi" w:hAnsiTheme="minorHAnsi"/>
                <w:color w:val="auto"/>
                <w:sz w:val="18"/>
                <w:szCs w:val="18"/>
              </w:rPr>
            </w:pPr>
            <w:r w:rsidRPr="00C8377C">
              <w:rPr>
                <w:rFonts w:asciiTheme="minorHAnsi" w:eastAsiaTheme="minorHAnsi" w:hAnsiTheme="minorHAnsi"/>
                <w:color w:val="auto"/>
                <w:sz w:val="18"/>
                <w:szCs w:val="18"/>
              </w:rPr>
              <w:t>§4.71a Rating</w:t>
            </w:r>
          </w:p>
        </w:tc>
        <w:tc>
          <w:tcPr>
            <w:tcW w:w="1776" w:type="dxa"/>
            <w:tcBorders>
              <w:top w:val="single" w:sz="4" w:space="0" w:color="auto"/>
              <w:left w:val="single" w:sz="4" w:space="0" w:color="auto"/>
              <w:bottom w:val="single" w:sz="4" w:space="0" w:color="auto"/>
              <w:right w:val="single" w:sz="4" w:space="0" w:color="auto"/>
            </w:tcBorders>
          </w:tcPr>
          <w:p w:rsidR="007512C4" w:rsidRPr="00C8377C" w:rsidRDefault="00B22397" w:rsidP="002174C7">
            <w:pPr>
              <w:tabs>
                <w:tab w:val="left" w:pos="288"/>
                <w:tab w:val="left" w:pos="4752"/>
              </w:tabs>
              <w:spacing w:line="240" w:lineRule="exact"/>
              <w:jc w:val="center"/>
              <w:rPr>
                <w:rFonts w:asciiTheme="minorHAnsi" w:eastAsiaTheme="minorHAnsi" w:hAnsiTheme="minorHAnsi"/>
                <w:color w:val="auto"/>
                <w:sz w:val="18"/>
                <w:szCs w:val="18"/>
              </w:rPr>
            </w:pPr>
            <w:r w:rsidRPr="00C8377C">
              <w:rPr>
                <w:rFonts w:asciiTheme="minorHAnsi" w:eastAsiaTheme="minorHAnsi" w:hAnsiTheme="minorHAnsi"/>
                <w:color w:val="auto"/>
                <w:sz w:val="18"/>
                <w:szCs w:val="18"/>
              </w:rPr>
              <w:t>10</w:t>
            </w:r>
            <w:r w:rsidR="007512C4" w:rsidRPr="00C8377C">
              <w:rPr>
                <w:rFonts w:asciiTheme="minorHAnsi" w:eastAsiaTheme="minorHAnsi" w:hAnsiTheme="minorHAnsi"/>
                <w:color w:val="auto"/>
                <w:sz w:val="18"/>
                <w:szCs w:val="18"/>
              </w:rPr>
              <w:t>%</w:t>
            </w:r>
          </w:p>
        </w:tc>
        <w:tc>
          <w:tcPr>
            <w:tcW w:w="1800" w:type="dxa"/>
            <w:tcBorders>
              <w:top w:val="single" w:sz="4" w:space="0" w:color="auto"/>
              <w:left w:val="single" w:sz="4" w:space="0" w:color="auto"/>
              <w:bottom w:val="single" w:sz="4" w:space="0" w:color="auto"/>
              <w:right w:val="single" w:sz="4" w:space="0" w:color="auto"/>
            </w:tcBorders>
          </w:tcPr>
          <w:p w:rsidR="007512C4" w:rsidRPr="00C8377C" w:rsidRDefault="00B22397" w:rsidP="002174C7">
            <w:pPr>
              <w:tabs>
                <w:tab w:val="left" w:pos="288"/>
                <w:tab w:val="left" w:pos="4752"/>
              </w:tabs>
              <w:spacing w:line="240" w:lineRule="exact"/>
              <w:jc w:val="center"/>
              <w:rPr>
                <w:rFonts w:asciiTheme="minorHAnsi" w:eastAsiaTheme="minorHAnsi" w:hAnsiTheme="minorHAnsi"/>
                <w:color w:val="auto"/>
                <w:sz w:val="18"/>
                <w:szCs w:val="18"/>
              </w:rPr>
            </w:pPr>
            <w:r w:rsidRPr="00C8377C">
              <w:rPr>
                <w:rFonts w:asciiTheme="minorHAnsi" w:eastAsia="Calibri" w:hAnsiTheme="minorHAnsi"/>
                <w:color w:val="auto"/>
                <w:sz w:val="18"/>
                <w:szCs w:val="18"/>
              </w:rPr>
              <w:t>10</w:t>
            </w:r>
            <w:r w:rsidR="007512C4" w:rsidRPr="00C8377C">
              <w:rPr>
                <w:rFonts w:asciiTheme="minorHAnsi" w:eastAsia="Calibri" w:hAnsiTheme="minorHAnsi"/>
                <w:color w:val="auto"/>
                <w:sz w:val="18"/>
                <w:szCs w:val="18"/>
              </w:rPr>
              <w:t>%</w:t>
            </w:r>
          </w:p>
        </w:tc>
        <w:tc>
          <w:tcPr>
            <w:tcW w:w="1800" w:type="dxa"/>
            <w:tcBorders>
              <w:top w:val="single" w:sz="4" w:space="0" w:color="auto"/>
              <w:left w:val="single" w:sz="4" w:space="0" w:color="auto"/>
              <w:bottom w:val="single" w:sz="4" w:space="0" w:color="auto"/>
              <w:right w:val="single" w:sz="4" w:space="0" w:color="auto"/>
            </w:tcBorders>
          </w:tcPr>
          <w:p w:rsidR="007512C4" w:rsidRPr="00C8377C" w:rsidRDefault="00B22397" w:rsidP="002174C7">
            <w:pPr>
              <w:tabs>
                <w:tab w:val="left" w:pos="288"/>
                <w:tab w:val="left" w:pos="4752"/>
              </w:tabs>
              <w:spacing w:line="240" w:lineRule="exact"/>
              <w:jc w:val="center"/>
              <w:rPr>
                <w:rFonts w:asciiTheme="minorHAnsi" w:eastAsiaTheme="minorHAnsi" w:hAnsiTheme="minorHAnsi"/>
                <w:color w:val="auto"/>
                <w:sz w:val="18"/>
                <w:szCs w:val="18"/>
              </w:rPr>
            </w:pPr>
            <w:r w:rsidRPr="00C8377C">
              <w:rPr>
                <w:rFonts w:asciiTheme="minorHAnsi" w:eastAsia="Calibri" w:hAnsiTheme="minorHAnsi"/>
                <w:color w:val="auto"/>
                <w:sz w:val="18"/>
                <w:szCs w:val="18"/>
              </w:rPr>
              <w:t>10</w:t>
            </w:r>
            <w:r w:rsidR="007512C4" w:rsidRPr="00C8377C">
              <w:rPr>
                <w:rFonts w:asciiTheme="minorHAnsi" w:eastAsia="Calibri" w:hAnsiTheme="minorHAnsi"/>
                <w:color w:val="auto"/>
                <w:sz w:val="18"/>
                <w:szCs w:val="18"/>
              </w:rPr>
              <w:t>%</w:t>
            </w:r>
          </w:p>
        </w:tc>
        <w:tc>
          <w:tcPr>
            <w:tcW w:w="1595" w:type="dxa"/>
            <w:tcBorders>
              <w:top w:val="single" w:sz="4" w:space="0" w:color="auto"/>
              <w:left w:val="single" w:sz="4" w:space="0" w:color="auto"/>
              <w:bottom w:val="single" w:sz="4" w:space="0" w:color="auto"/>
              <w:right w:val="single" w:sz="4" w:space="0" w:color="auto"/>
            </w:tcBorders>
          </w:tcPr>
          <w:p w:rsidR="007512C4" w:rsidRPr="00C8377C" w:rsidRDefault="00B22397" w:rsidP="002174C7">
            <w:pPr>
              <w:tabs>
                <w:tab w:val="left" w:pos="288"/>
                <w:tab w:val="left" w:pos="4752"/>
              </w:tabs>
              <w:spacing w:line="240" w:lineRule="exact"/>
              <w:jc w:val="center"/>
              <w:rPr>
                <w:rFonts w:asciiTheme="minorHAnsi" w:eastAsiaTheme="minorHAnsi" w:hAnsiTheme="minorHAnsi"/>
                <w:color w:val="auto"/>
                <w:sz w:val="18"/>
                <w:szCs w:val="18"/>
              </w:rPr>
            </w:pPr>
            <w:r w:rsidRPr="00C8377C">
              <w:rPr>
                <w:rFonts w:asciiTheme="minorHAnsi" w:eastAsia="Calibri" w:hAnsiTheme="minorHAnsi"/>
                <w:color w:val="auto"/>
                <w:sz w:val="18"/>
                <w:szCs w:val="18"/>
              </w:rPr>
              <w:t>10</w:t>
            </w:r>
            <w:r w:rsidR="007512C4" w:rsidRPr="00C8377C">
              <w:rPr>
                <w:rFonts w:asciiTheme="minorHAnsi" w:eastAsia="Calibri" w:hAnsiTheme="minorHAnsi"/>
                <w:color w:val="auto"/>
                <w:sz w:val="18"/>
                <w:szCs w:val="18"/>
              </w:rPr>
              <w:t>%</w:t>
            </w:r>
          </w:p>
        </w:tc>
      </w:tr>
    </w:tbl>
    <w:p w:rsidR="002508E0" w:rsidRPr="00C8377C" w:rsidRDefault="002508E0" w:rsidP="002A521F">
      <w:pPr>
        <w:spacing w:line="240" w:lineRule="exact"/>
        <w:jc w:val="both"/>
        <w:rPr>
          <w:rFonts w:asciiTheme="minorHAnsi" w:eastAsia="HiddenHorzOCR" w:hAnsiTheme="minorHAnsi"/>
          <w:color w:val="auto"/>
          <w:szCs w:val="24"/>
          <w:u w:val="single"/>
        </w:rPr>
      </w:pPr>
    </w:p>
    <w:p w:rsidR="005F2ED3" w:rsidRPr="00C8377C" w:rsidRDefault="005F2ED3" w:rsidP="00642777">
      <w:pPr>
        <w:tabs>
          <w:tab w:val="left" w:pos="720"/>
          <w:tab w:val="left" w:pos="1080"/>
          <w:tab w:val="left" w:pos="1440"/>
          <w:tab w:val="left" w:pos="1800"/>
          <w:tab w:val="left" w:pos="2160"/>
          <w:tab w:val="right" w:leader="dot" w:pos="9180"/>
        </w:tabs>
        <w:spacing w:line="240" w:lineRule="exact"/>
        <w:rPr>
          <w:rFonts w:asciiTheme="minorHAnsi" w:hAnsiTheme="minorHAnsi"/>
          <w:color w:val="auto"/>
          <w:szCs w:val="24"/>
          <w:u w:val="single"/>
        </w:rPr>
      </w:pPr>
    </w:p>
    <w:p w:rsidR="005F2ED3" w:rsidRPr="00C8377C" w:rsidRDefault="002174C7" w:rsidP="00900244">
      <w:pPr>
        <w:tabs>
          <w:tab w:val="left" w:pos="720"/>
          <w:tab w:val="left" w:pos="1080"/>
          <w:tab w:val="left" w:pos="1440"/>
          <w:tab w:val="left" w:pos="1800"/>
          <w:tab w:val="left" w:pos="2160"/>
          <w:tab w:val="right" w:leader="dot" w:pos="9180"/>
        </w:tabs>
        <w:spacing w:line="240" w:lineRule="exact"/>
        <w:jc w:val="both"/>
        <w:rPr>
          <w:rFonts w:asciiTheme="minorHAnsi" w:hAnsiTheme="minorHAnsi"/>
          <w:color w:val="auto"/>
          <w:szCs w:val="24"/>
        </w:rPr>
      </w:pPr>
      <w:r w:rsidRPr="00C8377C">
        <w:rPr>
          <w:rFonts w:asciiTheme="minorHAnsi" w:hAnsiTheme="minorHAnsi"/>
          <w:color w:val="auto"/>
          <w:szCs w:val="24"/>
        </w:rPr>
        <w:t xml:space="preserve">The </w:t>
      </w:r>
      <w:r w:rsidR="0091184E">
        <w:rPr>
          <w:rFonts w:asciiTheme="minorHAnsi" w:hAnsiTheme="minorHAnsi"/>
          <w:color w:val="auto"/>
          <w:szCs w:val="24"/>
        </w:rPr>
        <w:t>narrative summary (</w:t>
      </w:r>
      <w:r w:rsidRPr="00C8377C">
        <w:rPr>
          <w:rFonts w:asciiTheme="minorHAnsi" w:hAnsiTheme="minorHAnsi"/>
          <w:color w:val="auto"/>
          <w:szCs w:val="24"/>
        </w:rPr>
        <w:t>NARSUM</w:t>
      </w:r>
      <w:r w:rsidR="0091184E">
        <w:rPr>
          <w:rFonts w:asciiTheme="minorHAnsi" w:hAnsiTheme="minorHAnsi"/>
          <w:color w:val="auto"/>
          <w:szCs w:val="24"/>
        </w:rPr>
        <w:t xml:space="preserve">) </w:t>
      </w:r>
      <w:r w:rsidRPr="00C8377C">
        <w:rPr>
          <w:rFonts w:asciiTheme="minorHAnsi" w:hAnsiTheme="minorHAnsi"/>
          <w:color w:val="auto"/>
          <w:szCs w:val="24"/>
        </w:rPr>
        <w:t xml:space="preserve">noted “full and smooth” knee motion bilaterally, with no mention of painful motion.  </w:t>
      </w:r>
      <w:r w:rsidR="00F754A1" w:rsidRPr="00C8377C">
        <w:rPr>
          <w:color w:val="auto"/>
          <w:szCs w:val="24"/>
        </w:rPr>
        <w:t xml:space="preserve">There was </w:t>
      </w:r>
      <w:r w:rsidR="00F754A1" w:rsidRPr="00C8377C">
        <w:rPr>
          <w:rFonts w:eastAsia="HiddenHorzOCR" w:cs="HiddenHorzOCR"/>
          <w:color w:val="auto"/>
          <w:szCs w:val="24"/>
        </w:rPr>
        <w:t xml:space="preserve">tenderness </w:t>
      </w:r>
      <w:r w:rsidR="00F754A1" w:rsidRPr="00C8377C">
        <w:rPr>
          <w:color w:val="auto"/>
          <w:szCs w:val="24"/>
        </w:rPr>
        <w:t xml:space="preserve">to palpation over the anterior left knee.  The incisions were </w:t>
      </w:r>
      <w:r w:rsidR="00F754A1" w:rsidRPr="00C8377C">
        <w:rPr>
          <w:rFonts w:cs="Arial"/>
          <w:color w:val="auto"/>
          <w:szCs w:val="24"/>
        </w:rPr>
        <w:t xml:space="preserve">well </w:t>
      </w:r>
      <w:r w:rsidR="00F754A1" w:rsidRPr="00C8377C">
        <w:rPr>
          <w:color w:val="auto"/>
          <w:szCs w:val="24"/>
        </w:rPr>
        <w:t xml:space="preserve">healed.  </w:t>
      </w:r>
      <w:r w:rsidR="003D275F" w:rsidRPr="00C8377C">
        <w:rPr>
          <w:color w:val="auto"/>
          <w:szCs w:val="24"/>
        </w:rPr>
        <w:t xml:space="preserve">The examiner noted a history of left knee locking, but did not state frequency.  </w:t>
      </w:r>
      <w:r w:rsidR="00F754A1" w:rsidRPr="00C8377C">
        <w:rPr>
          <w:color w:val="auto"/>
          <w:szCs w:val="24"/>
        </w:rPr>
        <w:t xml:space="preserve">Repeat exams showed some swelling, warmth and crepitus on the left </w:t>
      </w:r>
      <w:r w:rsidR="00F754A1" w:rsidRPr="00C8377C">
        <w:rPr>
          <w:rFonts w:cs="Arial"/>
          <w:color w:val="auto"/>
          <w:szCs w:val="24"/>
        </w:rPr>
        <w:t xml:space="preserve">knee, </w:t>
      </w:r>
      <w:r w:rsidR="00F754A1" w:rsidRPr="00C8377C">
        <w:rPr>
          <w:color w:val="auto"/>
          <w:szCs w:val="24"/>
        </w:rPr>
        <w:t xml:space="preserve">but no effusion.  </w:t>
      </w:r>
      <w:r w:rsidR="00F754A1" w:rsidRPr="00C8377C">
        <w:rPr>
          <w:rFonts w:asciiTheme="minorHAnsi" w:hAnsiTheme="minorHAnsi"/>
          <w:color w:val="auto"/>
          <w:szCs w:val="24"/>
        </w:rPr>
        <w:t>The remainder of the exam was unremarkable.  The CI “</w:t>
      </w:r>
      <w:r w:rsidR="00F754A1" w:rsidRPr="00C8377C">
        <w:rPr>
          <w:color w:val="auto"/>
          <w:szCs w:val="24"/>
        </w:rPr>
        <w:t xml:space="preserve">walked, sat, and stood well.”  There was no redness, swelling, heat, effusion, or instability.  A brief addendum to the NARSUM noted the CI related his pain was more than intermittent and mild, and could reasonably be called “occasional and slight.”  Radiographs showed mild patellofemoral degenerative joint disease of both knees. </w:t>
      </w:r>
      <w:r w:rsidR="0091184E">
        <w:rPr>
          <w:color w:val="auto"/>
          <w:szCs w:val="24"/>
        </w:rPr>
        <w:t xml:space="preserve"> A bone scan reported</w:t>
      </w:r>
      <w:r w:rsidR="00F754A1" w:rsidRPr="00C8377C">
        <w:rPr>
          <w:color w:val="auto"/>
          <w:szCs w:val="24"/>
        </w:rPr>
        <w:t xml:space="preserve"> increased uptake in both knees, consistent with degenerative arthritis.  </w:t>
      </w:r>
      <w:r w:rsidR="0091184E">
        <w:rPr>
          <w:color w:val="auto"/>
          <w:szCs w:val="24"/>
        </w:rPr>
        <w:t>More detailed imaging did not reveal any relevant findings</w:t>
      </w:r>
      <w:r w:rsidR="00F754A1" w:rsidRPr="00C8377C">
        <w:rPr>
          <w:color w:val="auto"/>
          <w:szCs w:val="24"/>
        </w:rPr>
        <w:t xml:space="preserve">.  Rheumatology </w:t>
      </w:r>
      <w:r w:rsidR="00115A3F" w:rsidRPr="00C8377C">
        <w:rPr>
          <w:color w:val="auto"/>
          <w:szCs w:val="24"/>
        </w:rPr>
        <w:t>obtained</w:t>
      </w:r>
      <w:r w:rsidR="00F754A1" w:rsidRPr="00C8377C">
        <w:rPr>
          <w:color w:val="auto"/>
          <w:szCs w:val="24"/>
        </w:rPr>
        <w:t xml:space="preserve"> standing knee </w:t>
      </w:r>
      <w:r w:rsidR="00115A3F" w:rsidRPr="00C8377C">
        <w:rPr>
          <w:color w:val="auto"/>
          <w:szCs w:val="24"/>
        </w:rPr>
        <w:t>radiographs</w:t>
      </w:r>
      <w:r w:rsidR="00F754A1" w:rsidRPr="00C8377C">
        <w:rPr>
          <w:color w:val="auto"/>
          <w:szCs w:val="24"/>
        </w:rPr>
        <w:t xml:space="preserve"> which </w:t>
      </w:r>
      <w:r w:rsidR="0091184E">
        <w:rPr>
          <w:color w:val="auto"/>
          <w:szCs w:val="24"/>
        </w:rPr>
        <w:t>were</w:t>
      </w:r>
      <w:r w:rsidR="00F754A1" w:rsidRPr="00C8377C">
        <w:rPr>
          <w:color w:val="auto"/>
          <w:szCs w:val="24"/>
        </w:rPr>
        <w:t xml:space="preserve"> interpreted</w:t>
      </w:r>
      <w:r w:rsidR="0091184E">
        <w:rPr>
          <w:color w:val="auto"/>
          <w:szCs w:val="24"/>
        </w:rPr>
        <w:t xml:space="preserve"> as normal, and the standard battery of rheumatologic serum assays were normal</w:t>
      </w:r>
      <w:r w:rsidR="00F754A1" w:rsidRPr="00C8377C">
        <w:rPr>
          <w:color w:val="auto"/>
          <w:szCs w:val="24"/>
        </w:rPr>
        <w:t xml:space="preserve">. </w:t>
      </w:r>
      <w:r w:rsidR="00F754A1" w:rsidRPr="00C8377C">
        <w:rPr>
          <w:rFonts w:asciiTheme="minorHAnsi" w:hAnsiTheme="minorHAnsi"/>
          <w:color w:val="auto"/>
          <w:szCs w:val="24"/>
        </w:rPr>
        <w:t xml:space="preserve"> </w:t>
      </w:r>
      <w:r w:rsidR="00115A3F" w:rsidRPr="00C8377C">
        <w:rPr>
          <w:rFonts w:asciiTheme="minorHAnsi" w:hAnsiTheme="minorHAnsi"/>
          <w:color w:val="auto"/>
          <w:szCs w:val="24"/>
        </w:rPr>
        <w:t>Outpatient clinical records proximate to se</w:t>
      </w:r>
      <w:r w:rsidR="00F754A1" w:rsidRPr="00C8377C">
        <w:rPr>
          <w:rFonts w:asciiTheme="minorHAnsi" w:hAnsiTheme="minorHAnsi"/>
          <w:color w:val="auto"/>
          <w:szCs w:val="24"/>
        </w:rPr>
        <w:t xml:space="preserve">paration </w:t>
      </w:r>
      <w:r w:rsidR="00115A3F" w:rsidRPr="00C8377C">
        <w:rPr>
          <w:rFonts w:asciiTheme="minorHAnsi" w:hAnsiTheme="minorHAnsi"/>
          <w:color w:val="auto"/>
          <w:szCs w:val="24"/>
        </w:rPr>
        <w:t>also noted</w:t>
      </w:r>
      <w:r w:rsidR="00F754A1" w:rsidRPr="00C8377C">
        <w:rPr>
          <w:rFonts w:asciiTheme="minorHAnsi" w:hAnsiTheme="minorHAnsi"/>
          <w:color w:val="auto"/>
          <w:szCs w:val="24"/>
        </w:rPr>
        <w:t xml:space="preserve"> full range of motion bilaterally.</w:t>
      </w:r>
      <w:r w:rsidR="00F71C70">
        <w:rPr>
          <w:rFonts w:asciiTheme="minorHAnsi" w:hAnsiTheme="minorHAnsi"/>
          <w:color w:val="auto"/>
          <w:szCs w:val="24"/>
        </w:rPr>
        <w:t xml:space="preserve">  </w:t>
      </w:r>
      <w:r w:rsidRPr="00C8377C">
        <w:rPr>
          <w:rFonts w:asciiTheme="minorHAnsi" w:hAnsiTheme="minorHAnsi"/>
          <w:color w:val="auto"/>
          <w:szCs w:val="24"/>
        </w:rPr>
        <w:t xml:space="preserve">The VA exam, </w:t>
      </w:r>
      <w:r w:rsidR="0091184E">
        <w:rPr>
          <w:rFonts w:asciiTheme="minorHAnsi" w:hAnsiTheme="minorHAnsi"/>
          <w:color w:val="auto"/>
          <w:szCs w:val="24"/>
        </w:rPr>
        <w:t>two</w:t>
      </w:r>
      <w:r w:rsidRPr="00C8377C">
        <w:rPr>
          <w:rFonts w:asciiTheme="minorHAnsi" w:hAnsiTheme="minorHAnsi"/>
          <w:color w:val="auto"/>
          <w:szCs w:val="24"/>
        </w:rPr>
        <w:t xml:space="preserve"> </w:t>
      </w:r>
      <w:r w:rsidR="0091184E">
        <w:rPr>
          <w:rFonts w:asciiTheme="minorHAnsi" w:hAnsiTheme="minorHAnsi"/>
          <w:color w:val="auto"/>
          <w:szCs w:val="24"/>
        </w:rPr>
        <w:t xml:space="preserve">months closer to </w:t>
      </w:r>
      <w:r w:rsidRPr="00C8377C">
        <w:rPr>
          <w:rFonts w:asciiTheme="minorHAnsi" w:hAnsiTheme="minorHAnsi"/>
          <w:color w:val="auto"/>
          <w:szCs w:val="24"/>
        </w:rPr>
        <w:t xml:space="preserve">separation, </w:t>
      </w:r>
      <w:r w:rsidR="0091184E">
        <w:rPr>
          <w:rFonts w:asciiTheme="minorHAnsi" w:hAnsiTheme="minorHAnsi"/>
          <w:color w:val="auto"/>
          <w:szCs w:val="24"/>
        </w:rPr>
        <w:t>provided the goniometric data charted above and noted</w:t>
      </w:r>
      <w:r w:rsidRPr="00C8377C">
        <w:rPr>
          <w:rFonts w:asciiTheme="minorHAnsi" w:hAnsiTheme="minorHAnsi"/>
          <w:color w:val="auto"/>
          <w:szCs w:val="24"/>
        </w:rPr>
        <w:t xml:space="preserve"> the absence of painful motion.  </w:t>
      </w:r>
      <w:r w:rsidR="00E80C1E" w:rsidRPr="00C8377C">
        <w:rPr>
          <w:color w:val="auto"/>
          <w:szCs w:val="24"/>
        </w:rPr>
        <w:t xml:space="preserve">There was diffuse tenderness to palpation bilaterally.  Left knee surgical scars were barely discernible.  The examiner noted absence of ligamentous laxity, deformity and effusion.  </w:t>
      </w:r>
      <w:r w:rsidRPr="00C8377C">
        <w:rPr>
          <w:rFonts w:asciiTheme="minorHAnsi" w:hAnsiTheme="minorHAnsi"/>
          <w:color w:val="auto"/>
          <w:szCs w:val="24"/>
        </w:rPr>
        <w:t>Although remote from separation</w:t>
      </w:r>
      <w:r w:rsidR="0091184E">
        <w:rPr>
          <w:rFonts w:asciiTheme="minorHAnsi" w:hAnsiTheme="minorHAnsi"/>
          <w:color w:val="auto"/>
          <w:szCs w:val="24"/>
        </w:rPr>
        <w:t xml:space="preserve"> (</w:t>
      </w:r>
      <w:r w:rsidR="0091184E" w:rsidRPr="00C8377C">
        <w:rPr>
          <w:rFonts w:asciiTheme="minorHAnsi" w:hAnsiTheme="minorHAnsi"/>
          <w:color w:val="auto"/>
          <w:szCs w:val="24"/>
        </w:rPr>
        <w:t>14 months</w:t>
      </w:r>
      <w:r w:rsidR="0091184E">
        <w:rPr>
          <w:rFonts w:asciiTheme="minorHAnsi" w:hAnsiTheme="minorHAnsi"/>
          <w:color w:val="auto"/>
          <w:szCs w:val="24"/>
        </w:rPr>
        <w:t>)</w:t>
      </w:r>
      <w:r w:rsidRPr="00C8377C">
        <w:rPr>
          <w:rFonts w:asciiTheme="minorHAnsi" w:hAnsiTheme="minorHAnsi"/>
          <w:color w:val="auto"/>
          <w:szCs w:val="24"/>
        </w:rPr>
        <w:t xml:space="preserve">, a second VA exam reported </w:t>
      </w:r>
      <w:r w:rsidR="00900244" w:rsidRPr="00C8377C">
        <w:rPr>
          <w:rFonts w:asciiTheme="minorHAnsi" w:hAnsiTheme="minorHAnsi"/>
          <w:color w:val="auto"/>
          <w:szCs w:val="24"/>
        </w:rPr>
        <w:t>similar (</w:t>
      </w:r>
      <w:r w:rsidR="0072035F" w:rsidRPr="00C8377C">
        <w:rPr>
          <w:rFonts w:asciiTheme="minorHAnsi" w:hAnsiTheme="minorHAnsi"/>
          <w:color w:val="auto"/>
          <w:szCs w:val="24"/>
        </w:rPr>
        <w:t>slightly limited</w:t>
      </w:r>
      <w:r w:rsidR="00900244" w:rsidRPr="00C8377C">
        <w:rPr>
          <w:rFonts w:asciiTheme="minorHAnsi" w:hAnsiTheme="minorHAnsi"/>
          <w:color w:val="auto"/>
          <w:szCs w:val="24"/>
        </w:rPr>
        <w:t>) ROMs, but noted a significant increase in pain.  The CI used a cane and walked with a “left leg limp.”  Radiographs remained normal, and the VA continued their 10% rating based on this exam.</w:t>
      </w:r>
    </w:p>
    <w:p w:rsidR="0025566C" w:rsidRPr="00C8377C" w:rsidRDefault="0025566C" w:rsidP="00900244">
      <w:pPr>
        <w:spacing w:line="240" w:lineRule="exact"/>
        <w:jc w:val="both"/>
        <w:rPr>
          <w:rFonts w:asciiTheme="minorHAnsi" w:hAnsiTheme="minorHAnsi"/>
          <w:color w:val="auto"/>
          <w:szCs w:val="24"/>
        </w:rPr>
      </w:pPr>
    </w:p>
    <w:p w:rsidR="00883AF8" w:rsidRPr="00C8377C" w:rsidRDefault="009A12A0" w:rsidP="00883AF8">
      <w:pPr>
        <w:spacing w:line="240" w:lineRule="exact"/>
        <w:jc w:val="both"/>
        <w:rPr>
          <w:rFonts w:asciiTheme="minorHAnsi" w:hAnsiTheme="minorHAnsi"/>
          <w:color w:val="auto"/>
          <w:szCs w:val="24"/>
        </w:rPr>
      </w:pPr>
      <w:r>
        <w:rPr>
          <w:rFonts w:asciiTheme="minorHAnsi" w:hAnsiTheme="minorHAnsi"/>
          <w:color w:val="auto"/>
          <w:szCs w:val="24"/>
        </w:rPr>
        <w:t xml:space="preserve">The Board deliberated its rating recommendation(s) based on the evidence just elaborated.  Since there was no </w:t>
      </w:r>
      <w:r w:rsidRPr="00C8377C">
        <w:rPr>
          <w:rFonts w:asciiTheme="minorHAnsi" w:hAnsiTheme="minorHAnsi"/>
          <w:color w:val="auto"/>
          <w:szCs w:val="24"/>
        </w:rPr>
        <w:t xml:space="preserve">compensable limitation </w:t>
      </w:r>
      <w:r>
        <w:rPr>
          <w:rFonts w:asciiTheme="minorHAnsi" w:hAnsiTheme="minorHAnsi"/>
          <w:color w:val="auto"/>
          <w:szCs w:val="24"/>
        </w:rPr>
        <w:t xml:space="preserve">of motion </w:t>
      </w:r>
      <w:r w:rsidRPr="00C8377C">
        <w:rPr>
          <w:rFonts w:asciiTheme="minorHAnsi" w:hAnsiTheme="minorHAnsi"/>
          <w:color w:val="auto"/>
          <w:szCs w:val="24"/>
        </w:rPr>
        <w:t xml:space="preserve">(beyond application of §4.59 or §4.40), </w:t>
      </w:r>
      <w:r>
        <w:rPr>
          <w:rFonts w:asciiTheme="minorHAnsi" w:hAnsiTheme="minorHAnsi"/>
          <w:color w:val="auto"/>
          <w:szCs w:val="24"/>
        </w:rPr>
        <w:t>t</w:t>
      </w:r>
      <w:r w:rsidR="0025566C" w:rsidRPr="00C8377C">
        <w:rPr>
          <w:rFonts w:asciiTheme="minorHAnsi" w:hAnsiTheme="minorHAnsi"/>
          <w:color w:val="auto"/>
          <w:szCs w:val="24"/>
        </w:rPr>
        <w:t xml:space="preserve">he Board considered alternative </w:t>
      </w:r>
      <w:r>
        <w:rPr>
          <w:rFonts w:asciiTheme="minorHAnsi" w:hAnsiTheme="minorHAnsi"/>
          <w:color w:val="auto"/>
          <w:szCs w:val="24"/>
        </w:rPr>
        <w:t xml:space="preserve">coding </w:t>
      </w:r>
      <w:r w:rsidR="0025566C" w:rsidRPr="00C8377C">
        <w:rPr>
          <w:rFonts w:asciiTheme="minorHAnsi" w:hAnsiTheme="minorHAnsi"/>
          <w:color w:val="auto"/>
          <w:szCs w:val="24"/>
        </w:rPr>
        <w:t xml:space="preserve">options and the possibility of dual </w:t>
      </w:r>
      <w:r>
        <w:rPr>
          <w:rFonts w:asciiTheme="minorHAnsi" w:hAnsiTheme="minorHAnsi"/>
          <w:color w:val="auto"/>
          <w:szCs w:val="24"/>
        </w:rPr>
        <w:t>rating</w:t>
      </w:r>
      <w:r w:rsidR="0025566C" w:rsidRPr="00C8377C">
        <w:rPr>
          <w:rFonts w:asciiTheme="minorHAnsi" w:hAnsiTheme="minorHAnsi"/>
          <w:color w:val="auto"/>
          <w:szCs w:val="24"/>
        </w:rPr>
        <w:t xml:space="preserve"> for </w:t>
      </w:r>
      <w:r w:rsidR="006C4A40" w:rsidRPr="00C8377C">
        <w:rPr>
          <w:rFonts w:asciiTheme="minorHAnsi" w:hAnsiTheme="minorHAnsi"/>
          <w:color w:val="auto"/>
          <w:szCs w:val="24"/>
        </w:rPr>
        <w:t>each</w:t>
      </w:r>
      <w:r w:rsidR="0025566C" w:rsidRPr="00C8377C">
        <w:rPr>
          <w:rFonts w:asciiTheme="minorHAnsi" w:hAnsiTheme="minorHAnsi"/>
          <w:color w:val="auto"/>
          <w:szCs w:val="24"/>
        </w:rPr>
        <w:t xml:space="preserve"> knee condition.  </w:t>
      </w:r>
      <w:r w:rsidR="006C4A40" w:rsidRPr="00C8377C">
        <w:rPr>
          <w:rFonts w:asciiTheme="minorHAnsi" w:hAnsiTheme="minorHAnsi"/>
          <w:color w:val="auto"/>
          <w:szCs w:val="24"/>
        </w:rPr>
        <w:t xml:space="preserve">Both </w:t>
      </w:r>
      <w:r w:rsidR="0025566C" w:rsidRPr="00C8377C">
        <w:rPr>
          <w:rFonts w:asciiTheme="minorHAnsi" w:hAnsiTheme="minorHAnsi"/>
          <w:color w:val="auto"/>
          <w:szCs w:val="24"/>
        </w:rPr>
        <w:t xml:space="preserve">exams proximate to separation noted </w:t>
      </w:r>
      <w:r w:rsidR="006C4A40" w:rsidRPr="00C8377C">
        <w:rPr>
          <w:rFonts w:asciiTheme="minorHAnsi" w:hAnsiTheme="minorHAnsi"/>
          <w:color w:val="auto"/>
          <w:szCs w:val="24"/>
        </w:rPr>
        <w:t>an absence of ligament</w:t>
      </w:r>
      <w:r w:rsidR="00F71C70">
        <w:rPr>
          <w:rFonts w:asciiTheme="minorHAnsi" w:hAnsiTheme="minorHAnsi"/>
          <w:color w:val="auto"/>
          <w:szCs w:val="24"/>
        </w:rPr>
        <w:t>al laxity; thus,</w:t>
      </w:r>
      <w:r w:rsidR="006C4A40" w:rsidRPr="00C8377C">
        <w:rPr>
          <w:rFonts w:asciiTheme="minorHAnsi" w:hAnsiTheme="minorHAnsi"/>
          <w:color w:val="auto"/>
          <w:szCs w:val="24"/>
        </w:rPr>
        <w:t xml:space="preserve"> </w:t>
      </w:r>
      <w:r w:rsidR="00F71C70">
        <w:rPr>
          <w:rFonts w:asciiTheme="minorHAnsi" w:hAnsiTheme="minorHAnsi"/>
          <w:color w:val="auto"/>
          <w:szCs w:val="24"/>
        </w:rPr>
        <w:t>additional rating under 5257 (</w:t>
      </w:r>
      <w:r w:rsidR="0025566C" w:rsidRPr="00C8377C">
        <w:rPr>
          <w:rFonts w:asciiTheme="minorHAnsi" w:hAnsiTheme="minorHAnsi"/>
          <w:color w:val="auto"/>
          <w:szCs w:val="24"/>
        </w:rPr>
        <w:t>recurrent sub</w:t>
      </w:r>
      <w:r w:rsidR="00F71C70">
        <w:rPr>
          <w:rFonts w:asciiTheme="minorHAnsi" w:hAnsiTheme="minorHAnsi"/>
          <w:color w:val="auto"/>
          <w:szCs w:val="24"/>
        </w:rPr>
        <w:t>luxation or lateral instability)</w:t>
      </w:r>
      <w:r w:rsidR="00B06100">
        <w:rPr>
          <w:rFonts w:asciiTheme="minorHAnsi" w:hAnsiTheme="minorHAnsi"/>
          <w:color w:val="auto"/>
          <w:szCs w:val="24"/>
        </w:rPr>
        <w:t xml:space="preserve"> was not warranted. C</w:t>
      </w:r>
      <w:r w:rsidR="00F71C70" w:rsidRPr="00C8377C">
        <w:rPr>
          <w:rFonts w:asciiTheme="minorHAnsi" w:hAnsiTheme="minorHAnsi"/>
          <w:color w:val="auto"/>
          <w:szCs w:val="24"/>
        </w:rPr>
        <w:t xml:space="preserve">oding under 5258, which requires “frequent episodes of ‘locking,’ pain, and effusion into the joint,” was </w:t>
      </w:r>
      <w:r w:rsidR="00F71C70">
        <w:rPr>
          <w:rFonts w:asciiTheme="minorHAnsi" w:hAnsiTheme="minorHAnsi"/>
          <w:color w:val="auto"/>
          <w:szCs w:val="24"/>
        </w:rPr>
        <w:t xml:space="preserve">also considered.  </w:t>
      </w:r>
      <w:r w:rsidR="003D275F" w:rsidRPr="00C8377C">
        <w:rPr>
          <w:rFonts w:asciiTheme="minorHAnsi" w:hAnsiTheme="minorHAnsi"/>
          <w:color w:val="auto"/>
          <w:szCs w:val="24"/>
        </w:rPr>
        <w:t xml:space="preserve">The NARSUM noted left knee locking (frequency unspecified), </w:t>
      </w:r>
      <w:r w:rsidR="00BC7CD2" w:rsidRPr="00C8377C">
        <w:rPr>
          <w:rFonts w:asciiTheme="minorHAnsi" w:hAnsiTheme="minorHAnsi"/>
          <w:color w:val="auto"/>
          <w:szCs w:val="24"/>
        </w:rPr>
        <w:t xml:space="preserve">and the CI reported in the MEB history </w:t>
      </w:r>
      <w:r w:rsidR="00F71C70">
        <w:rPr>
          <w:rFonts w:asciiTheme="minorHAnsi" w:hAnsiTheme="minorHAnsi"/>
          <w:color w:val="auto"/>
          <w:szCs w:val="24"/>
        </w:rPr>
        <w:t xml:space="preserve">that the </w:t>
      </w:r>
      <w:r w:rsidR="00BC7CD2" w:rsidRPr="00C8377C">
        <w:rPr>
          <w:rFonts w:asciiTheme="minorHAnsi" w:hAnsiTheme="minorHAnsi"/>
          <w:color w:val="auto"/>
          <w:szCs w:val="24"/>
        </w:rPr>
        <w:t>“left knee locks every once in a while.”  T</w:t>
      </w:r>
      <w:r w:rsidR="003D275F" w:rsidRPr="00C8377C">
        <w:rPr>
          <w:rFonts w:asciiTheme="minorHAnsi" w:hAnsiTheme="minorHAnsi"/>
          <w:color w:val="auto"/>
          <w:szCs w:val="24"/>
        </w:rPr>
        <w:t xml:space="preserve">he VA </w:t>
      </w:r>
      <w:r w:rsidR="004905F3" w:rsidRPr="00C8377C">
        <w:rPr>
          <w:rFonts w:asciiTheme="minorHAnsi" w:hAnsiTheme="minorHAnsi"/>
          <w:color w:val="auto"/>
          <w:szCs w:val="24"/>
        </w:rPr>
        <w:t>exam reported pre-surgical locking, giving</w:t>
      </w:r>
      <w:r w:rsidR="00F71C70">
        <w:rPr>
          <w:rFonts w:asciiTheme="minorHAnsi" w:hAnsiTheme="minorHAnsi"/>
          <w:color w:val="auto"/>
          <w:szCs w:val="24"/>
        </w:rPr>
        <w:t xml:space="preserve"> way, and swelling of left knee;</w:t>
      </w:r>
      <w:r w:rsidR="004905F3" w:rsidRPr="00C8377C">
        <w:rPr>
          <w:rFonts w:asciiTheme="minorHAnsi" w:hAnsiTheme="minorHAnsi"/>
          <w:color w:val="auto"/>
          <w:szCs w:val="24"/>
        </w:rPr>
        <w:t xml:space="preserve"> but</w:t>
      </w:r>
      <w:r w:rsidR="00F71C70">
        <w:rPr>
          <w:rFonts w:asciiTheme="minorHAnsi" w:hAnsiTheme="minorHAnsi"/>
          <w:color w:val="auto"/>
          <w:szCs w:val="24"/>
        </w:rPr>
        <w:t>,</w:t>
      </w:r>
      <w:r w:rsidR="004905F3" w:rsidRPr="00C8377C">
        <w:rPr>
          <w:rFonts w:asciiTheme="minorHAnsi" w:hAnsiTheme="minorHAnsi"/>
          <w:color w:val="auto"/>
          <w:szCs w:val="24"/>
        </w:rPr>
        <w:t xml:space="preserve"> specifically denied recent sy</w:t>
      </w:r>
      <w:r w:rsidR="00F71C70">
        <w:rPr>
          <w:rFonts w:asciiTheme="minorHAnsi" w:hAnsiTheme="minorHAnsi"/>
          <w:color w:val="auto"/>
          <w:szCs w:val="24"/>
        </w:rPr>
        <w:t>mptoms of swelling or locking (</w:t>
      </w:r>
      <w:r w:rsidR="004905F3" w:rsidRPr="00C8377C">
        <w:rPr>
          <w:rFonts w:asciiTheme="minorHAnsi" w:hAnsiTheme="minorHAnsi"/>
          <w:color w:val="auto"/>
          <w:szCs w:val="24"/>
        </w:rPr>
        <w:t xml:space="preserve">noting only </w:t>
      </w:r>
      <w:r w:rsidR="00686874" w:rsidRPr="00C8377C">
        <w:rPr>
          <w:rFonts w:asciiTheme="minorHAnsi" w:hAnsiTheme="minorHAnsi"/>
          <w:color w:val="auto"/>
          <w:szCs w:val="24"/>
        </w:rPr>
        <w:t xml:space="preserve">morning stiffness, redness, warmth, and </w:t>
      </w:r>
      <w:r w:rsidR="004905F3" w:rsidRPr="00C8377C">
        <w:rPr>
          <w:rFonts w:asciiTheme="minorHAnsi" w:hAnsiTheme="minorHAnsi"/>
          <w:color w:val="auto"/>
          <w:szCs w:val="24"/>
        </w:rPr>
        <w:t>occasional giving way bilaterally</w:t>
      </w:r>
      <w:r w:rsidR="00F71C70">
        <w:rPr>
          <w:rFonts w:asciiTheme="minorHAnsi" w:hAnsiTheme="minorHAnsi"/>
          <w:color w:val="auto"/>
          <w:szCs w:val="24"/>
        </w:rPr>
        <w:t>)</w:t>
      </w:r>
      <w:r w:rsidR="004905F3" w:rsidRPr="00C8377C">
        <w:rPr>
          <w:rFonts w:asciiTheme="minorHAnsi" w:hAnsiTheme="minorHAnsi"/>
          <w:color w:val="auto"/>
          <w:szCs w:val="24"/>
        </w:rPr>
        <w:t xml:space="preserve">.  </w:t>
      </w:r>
      <w:r w:rsidR="00F71C70">
        <w:rPr>
          <w:rFonts w:asciiTheme="minorHAnsi" w:hAnsiTheme="minorHAnsi"/>
          <w:color w:val="auto"/>
          <w:szCs w:val="24"/>
        </w:rPr>
        <w:t>Effusion was notably absent on</w:t>
      </w:r>
      <w:r w:rsidR="0025566C" w:rsidRPr="00C8377C">
        <w:rPr>
          <w:rFonts w:asciiTheme="minorHAnsi" w:hAnsiTheme="minorHAnsi"/>
          <w:color w:val="auto"/>
          <w:szCs w:val="24"/>
        </w:rPr>
        <w:t xml:space="preserve"> both </w:t>
      </w:r>
      <w:r w:rsidR="00F71C70">
        <w:rPr>
          <w:rFonts w:asciiTheme="minorHAnsi" w:hAnsiTheme="minorHAnsi"/>
          <w:color w:val="auto"/>
          <w:szCs w:val="24"/>
        </w:rPr>
        <w:t>the MEB</w:t>
      </w:r>
      <w:r w:rsidR="0025566C" w:rsidRPr="00C8377C">
        <w:rPr>
          <w:rFonts w:asciiTheme="minorHAnsi" w:hAnsiTheme="minorHAnsi"/>
          <w:color w:val="auto"/>
          <w:szCs w:val="24"/>
        </w:rPr>
        <w:t xml:space="preserve"> and VA exams, and no effusions were documented in tr</w:t>
      </w:r>
      <w:r w:rsidR="006C4A40" w:rsidRPr="00C8377C">
        <w:rPr>
          <w:rFonts w:asciiTheme="minorHAnsi" w:hAnsiTheme="minorHAnsi"/>
          <w:color w:val="auto"/>
          <w:szCs w:val="24"/>
        </w:rPr>
        <w:t xml:space="preserve">eatment notes subsequent to </w:t>
      </w:r>
      <w:r w:rsidR="00F71C70">
        <w:rPr>
          <w:rFonts w:asciiTheme="minorHAnsi" w:hAnsiTheme="minorHAnsi"/>
          <w:color w:val="auto"/>
          <w:szCs w:val="24"/>
        </w:rPr>
        <w:t xml:space="preserve">resolution of a </w:t>
      </w:r>
      <w:r w:rsidR="00F71C70">
        <w:rPr>
          <w:rFonts w:asciiTheme="minorHAnsi" w:hAnsiTheme="minorHAnsi"/>
          <w:color w:val="auto"/>
          <w:szCs w:val="24"/>
        </w:rPr>
        <w:lastRenderedPageBreak/>
        <w:t>mild</w:t>
      </w:r>
      <w:r w:rsidR="00686874" w:rsidRPr="00C8377C">
        <w:rPr>
          <w:rFonts w:asciiTheme="minorHAnsi" w:hAnsiTheme="minorHAnsi"/>
          <w:color w:val="auto"/>
          <w:szCs w:val="24"/>
        </w:rPr>
        <w:t xml:space="preserve"> post-operative </w:t>
      </w:r>
      <w:r w:rsidR="00F71C70">
        <w:rPr>
          <w:rFonts w:asciiTheme="minorHAnsi" w:hAnsiTheme="minorHAnsi"/>
          <w:color w:val="auto"/>
          <w:szCs w:val="24"/>
        </w:rPr>
        <w:t xml:space="preserve">effusion.  </w:t>
      </w:r>
      <w:r w:rsidR="00686874" w:rsidRPr="00C8377C">
        <w:rPr>
          <w:rFonts w:asciiTheme="minorHAnsi" w:hAnsiTheme="minorHAnsi"/>
          <w:color w:val="auto"/>
          <w:szCs w:val="24"/>
        </w:rPr>
        <w:t xml:space="preserve"> </w:t>
      </w:r>
      <w:r w:rsidR="00F71C70">
        <w:rPr>
          <w:rFonts w:asciiTheme="minorHAnsi" w:hAnsiTheme="minorHAnsi"/>
          <w:color w:val="auto"/>
          <w:szCs w:val="24"/>
        </w:rPr>
        <w:t>Thus it was judged that additional rating under 5258 was not supported</w:t>
      </w:r>
      <w:r w:rsidR="0025566C" w:rsidRPr="00C8377C">
        <w:rPr>
          <w:rFonts w:asciiTheme="minorHAnsi" w:hAnsiTheme="minorHAnsi"/>
          <w:color w:val="auto"/>
          <w:szCs w:val="24"/>
        </w:rPr>
        <w:t>.  Thus</w:t>
      </w:r>
      <w:r w:rsidR="00B06100">
        <w:rPr>
          <w:rFonts w:asciiTheme="minorHAnsi" w:hAnsiTheme="minorHAnsi"/>
          <w:color w:val="auto"/>
          <w:szCs w:val="24"/>
        </w:rPr>
        <w:t>,</w:t>
      </w:r>
      <w:r w:rsidR="0025566C" w:rsidRPr="00C8377C">
        <w:rPr>
          <w:rFonts w:asciiTheme="minorHAnsi" w:hAnsiTheme="minorHAnsi"/>
          <w:color w:val="auto"/>
          <w:szCs w:val="24"/>
        </w:rPr>
        <w:t xml:space="preserve"> there is no route to higher than a 10% rating under any other applicable codes </w:t>
      </w:r>
      <w:r w:rsidR="009A21C7" w:rsidRPr="00C8377C">
        <w:rPr>
          <w:rFonts w:asciiTheme="minorHAnsi" w:hAnsiTheme="minorHAnsi"/>
          <w:color w:val="auto"/>
          <w:szCs w:val="24"/>
        </w:rPr>
        <w:t xml:space="preserve">for either knee, </w:t>
      </w:r>
      <w:r w:rsidR="0025566C" w:rsidRPr="00C8377C">
        <w:rPr>
          <w:rFonts w:asciiTheme="minorHAnsi" w:hAnsiTheme="minorHAnsi"/>
          <w:color w:val="auto"/>
          <w:szCs w:val="24"/>
        </w:rPr>
        <w:t>and no criterion for dual coding of the joint impairment</w:t>
      </w:r>
      <w:r w:rsidR="009A21C7" w:rsidRPr="00C8377C">
        <w:rPr>
          <w:rFonts w:asciiTheme="minorHAnsi" w:hAnsiTheme="minorHAnsi"/>
          <w:color w:val="auto"/>
          <w:szCs w:val="24"/>
        </w:rPr>
        <w:t xml:space="preserve"> for either knee</w:t>
      </w:r>
      <w:r w:rsidR="0025566C" w:rsidRPr="00C8377C">
        <w:rPr>
          <w:rFonts w:asciiTheme="minorHAnsi" w:hAnsiTheme="minorHAnsi"/>
          <w:color w:val="auto"/>
          <w:szCs w:val="24"/>
        </w:rPr>
        <w:t xml:space="preserve">.  Rating </w:t>
      </w:r>
      <w:r w:rsidR="00190F22" w:rsidRPr="00C8377C">
        <w:rPr>
          <w:rFonts w:asciiTheme="minorHAnsi" w:hAnsiTheme="minorHAnsi"/>
          <w:color w:val="auto"/>
          <w:szCs w:val="24"/>
        </w:rPr>
        <w:t xml:space="preserve">each knee separately </w:t>
      </w:r>
      <w:r w:rsidR="0025566C" w:rsidRPr="00C8377C">
        <w:rPr>
          <w:rFonts w:asciiTheme="minorHAnsi" w:hAnsiTheme="minorHAnsi"/>
          <w:color w:val="auto"/>
          <w:szCs w:val="24"/>
        </w:rPr>
        <w:t xml:space="preserve">based on range of motion limitations or other impairments </w:t>
      </w:r>
      <w:r w:rsidR="009A21C7" w:rsidRPr="00C8377C">
        <w:rPr>
          <w:rFonts w:asciiTheme="minorHAnsi" w:hAnsiTheme="minorHAnsi"/>
          <w:color w:val="auto"/>
          <w:szCs w:val="24"/>
        </w:rPr>
        <w:t xml:space="preserve">results in a 10% rating for each knee and </w:t>
      </w:r>
      <w:r w:rsidR="0025566C" w:rsidRPr="00C8377C">
        <w:rPr>
          <w:rFonts w:asciiTheme="minorHAnsi" w:hAnsiTheme="minorHAnsi"/>
          <w:color w:val="auto"/>
          <w:szCs w:val="24"/>
        </w:rPr>
        <w:t>does not result in a higher overall rating than the 20% applied by the PEB under the single 5003 (degenerative arthritis) code</w:t>
      </w:r>
      <w:r w:rsidR="009A21C7" w:rsidRPr="00C8377C">
        <w:rPr>
          <w:rFonts w:asciiTheme="minorHAnsi" w:hAnsiTheme="minorHAnsi"/>
          <w:color w:val="auto"/>
          <w:szCs w:val="24"/>
        </w:rPr>
        <w:t>.  A</w:t>
      </w:r>
      <w:r w:rsidR="0072035F" w:rsidRPr="00C8377C">
        <w:rPr>
          <w:rFonts w:asciiTheme="minorHAnsi" w:hAnsiTheme="minorHAnsi"/>
          <w:color w:val="auto"/>
          <w:szCs w:val="24"/>
        </w:rPr>
        <w:t xml:space="preserve">lthough ideal coding would be for a separate 10% </w:t>
      </w:r>
      <w:r w:rsidR="009A21C7" w:rsidRPr="00C8377C">
        <w:rPr>
          <w:rFonts w:asciiTheme="minorHAnsi" w:hAnsiTheme="minorHAnsi"/>
          <w:color w:val="auto"/>
          <w:szCs w:val="24"/>
        </w:rPr>
        <w:t xml:space="preserve">rating </w:t>
      </w:r>
      <w:r w:rsidR="0072035F" w:rsidRPr="00C8377C">
        <w:rPr>
          <w:rFonts w:asciiTheme="minorHAnsi" w:hAnsiTheme="minorHAnsi"/>
          <w:color w:val="auto"/>
          <w:szCs w:val="24"/>
        </w:rPr>
        <w:t>for each knee</w:t>
      </w:r>
      <w:r w:rsidR="009A21C7" w:rsidRPr="00C8377C">
        <w:rPr>
          <w:rFonts w:asciiTheme="minorHAnsi" w:hAnsiTheme="minorHAnsi"/>
          <w:color w:val="auto"/>
          <w:szCs w:val="24"/>
        </w:rPr>
        <w:t>, that schema is not predominate to the PEB coding nor would it provide any benefit to the CI</w:t>
      </w:r>
      <w:r w:rsidR="0025566C" w:rsidRPr="00C8377C">
        <w:rPr>
          <w:rFonts w:asciiTheme="minorHAnsi" w:hAnsiTheme="minorHAnsi"/>
          <w:color w:val="auto"/>
          <w:szCs w:val="24"/>
        </w:rPr>
        <w:t xml:space="preserve">.  </w:t>
      </w:r>
      <w:r w:rsidR="00883AF8" w:rsidRPr="00C8377C">
        <w:rPr>
          <w:rFonts w:asciiTheme="minorHAnsi" w:hAnsiTheme="minorHAnsi"/>
          <w:color w:val="auto"/>
          <w:szCs w:val="24"/>
        </w:rPr>
        <w:t>All evidence considered</w:t>
      </w:r>
      <w:proofErr w:type="gramStart"/>
      <w:r w:rsidR="00883AF8" w:rsidRPr="00C8377C">
        <w:rPr>
          <w:rFonts w:asciiTheme="minorHAnsi" w:hAnsiTheme="minorHAnsi"/>
          <w:color w:val="auto"/>
          <w:szCs w:val="24"/>
        </w:rPr>
        <w:t>,</w:t>
      </w:r>
      <w:proofErr w:type="gramEnd"/>
      <w:r w:rsidR="00883AF8" w:rsidRPr="00C8377C">
        <w:rPr>
          <w:rFonts w:asciiTheme="minorHAnsi" w:hAnsiTheme="minorHAnsi"/>
          <w:color w:val="auto"/>
          <w:szCs w:val="24"/>
        </w:rPr>
        <w:t xml:space="preserve"> there is not reasonable doubt in the CI’s favor supporting a change from the PEB’s </w:t>
      </w:r>
      <w:r>
        <w:rPr>
          <w:rFonts w:asciiTheme="minorHAnsi" w:hAnsiTheme="minorHAnsi"/>
          <w:color w:val="auto"/>
          <w:szCs w:val="24"/>
        </w:rPr>
        <w:t>adjudication</w:t>
      </w:r>
      <w:r w:rsidR="00883AF8" w:rsidRPr="00C8377C">
        <w:rPr>
          <w:rFonts w:asciiTheme="minorHAnsi" w:hAnsiTheme="minorHAnsi"/>
          <w:color w:val="auto"/>
          <w:szCs w:val="24"/>
        </w:rPr>
        <w:t xml:space="preserve"> for the </w:t>
      </w:r>
      <w:r w:rsidR="0025566C" w:rsidRPr="00C8377C">
        <w:rPr>
          <w:rFonts w:asciiTheme="minorHAnsi" w:hAnsiTheme="minorHAnsi"/>
          <w:color w:val="auto"/>
          <w:szCs w:val="24"/>
        </w:rPr>
        <w:t>bilateral knee</w:t>
      </w:r>
      <w:r w:rsidR="00883AF8" w:rsidRPr="00C8377C">
        <w:rPr>
          <w:rFonts w:asciiTheme="minorHAnsi" w:hAnsiTheme="minorHAnsi"/>
          <w:color w:val="auto"/>
          <w:szCs w:val="24"/>
        </w:rPr>
        <w:t xml:space="preserve"> condition.</w:t>
      </w:r>
    </w:p>
    <w:p w:rsidR="00883AF8" w:rsidRPr="00C8377C" w:rsidRDefault="00883AF8" w:rsidP="00883AF8">
      <w:pPr>
        <w:spacing w:line="240" w:lineRule="exact"/>
        <w:jc w:val="both"/>
        <w:rPr>
          <w:rFonts w:asciiTheme="minorHAnsi" w:hAnsiTheme="minorHAnsi"/>
          <w:color w:val="auto"/>
          <w:szCs w:val="24"/>
        </w:rPr>
      </w:pPr>
    </w:p>
    <w:p w:rsidR="006456A6" w:rsidRPr="00C8377C" w:rsidRDefault="004C60A3" w:rsidP="00BC7CD2">
      <w:pPr>
        <w:spacing w:line="240" w:lineRule="exact"/>
        <w:jc w:val="both"/>
        <w:rPr>
          <w:rFonts w:asciiTheme="minorHAnsi" w:eastAsia="HiddenHorzOCR" w:hAnsiTheme="minorHAnsi"/>
          <w:color w:val="auto"/>
          <w:szCs w:val="24"/>
        </w:rPr>
      </w:pPr>
      <w:r w:rsidRPr="00C8377C">
        <w:rPr>
          <w:rFonts w:asciiTheme="minorHAnsi" w:eastAsia="HiddenHorzOCR" w:hAnsiTheme="minorHAnsi"/>
          <w:color w:val="auto"/>
          <w:szCs w:val="24"/>
          <w:u w:val="single"/>
        </w:rPr>
        <w:t>Ot</w:t>
      </w:r>
      <w:r w:rsidR="003604A5" w:rsidRPr="00C8377C">
        <w:rPr>
          <w:rFonts w:asciiTheme="minorHAnsi" w:eastAsia="HiddenHorzOCR" w:hAnsiTheme="minorHAnsi"/>
          <w:color w:val="auto"/>
          <w:szCs w:val="24"/>
          <w:u w:val="single"/>
        </w:rPr>
        <w:t xml:space="preserve">her </w:t>
      </w:r>
      <w:r w:rsidR="000B2FB8" w:rsidRPr="00C8377C">
        <w:rPr>
          <w:rFonts w:asciiTheme="minorHAnsi" w:eastAsia="HiddenHorzOCR" w:hAnsiTheme="minorHAnsi"/>
          <w:color w:val="auto"/>
          <w:szCs w:val="24"/>
          <w:u w:val="single"/>
        </w:rPr>
        <w:t xml:space="preserve">PEB </w:t>
      </w:r>
      <w:r w:rsidR="003604A5" w:rsidRPr="00C8377C">
        <w:rPr>
          <w:rFonts w:asciiTheme="minorHAnsi" w:eastAsia="HiddenHorzOCR" w:hAnsiTheme="minorHAnsi"/>
          <w:color w:val="auto"/>
          <w:szCs w:val="24"/>
          <w:u w:val="single"/>
        </w:rPr>
        <w:t>Conditions</w:t>
      </w:r>
      <w:r w:rsidR="00AD2AD5">
        <w:rPr>
          <w:rFonts w:asciiTheme="minorHAnsi" w:eastAsia="HiddenHorzOCR" w:hAnsiTheme="minorHAnsi"/>
          <w:color w:val="auto"/>
          <w:szCs w:val="24"/>
        </w:rPr>
        <w:t>:</w:t>
      </w:r>
      <w:r w:rsidR="002F2981" w:rsidRPr="00C8377C">
        <w:rPr>
          <w:rFonts w:asciiTheme="minorHAnsi" w:eastAsia="HiddenHorzOCR" w:hAnsiTheme="minorHAnsi"/>
          <w:color w:val="auto"/>
          <w:szCs w:val="24"/>
        </w:rPr>
        <w:t xml:space="preserve"> </w:t>
      </w:r>
      <w:r w:rsidR="0072035F" w:rsidRPr="00C8377C">
        <w:rPr>
          <w:rFonts w:asciiTheme="minorHAnsi" w:eastAsia="HiddenHorzOCR" w:hAnsiTheme="minorHAnsi"/>
          <w:color w:val="auto"/>
          <w:szCs w:val="24"/>
        </w:rPr>
        <w:t xml:space="preserve"> </w:t>
      </w:r>
      <w:r w:rsidR="00EC337D" w:rsidRPr="00C8377C">
        <w:rPr>
          <w:rFonts w:asciiTheme="minorHAnsi" w:eastAsia="HiddenHorzOCR" w:hAnsiTheme="minorHAnsi"/>
          <w:color w:val="auto"/>
          <w:szCs w:val="24"/>
        </w:rPr>
        <w:t xml:space="preserve">The other conditions forwarded by the MEB and adjudicated as not unfitting by the PEB were </w:t>
      </w:r>
      <w:r w:rsidR="002A521F" w:rsidRPr="00C8377C">
        <w:rPr>
          <w:rFonts w:asciiTheme="minorHAnsi" w:eastAsia="HiddenHorzOCR" w:hAnsiTheme="minorHAnsi"/>
          <w:color w:val="auto"/>
          <w:szCs w:val="24"/>
        </w:rPr>
        <w:t>bilateral shoulder</w:t>
      </w:r>
      <w:r w:rsidR="00900244" w:rsidRPr="00C8377C">
        <w:rPr>
          <w:rFonts w:asciiTheme="minorHAnsi" w:eastAsia="HiddenHorzOCR" w:hAnsiTheme="minorHAnsi"/>
          <w:color w:val="auto"/>
          <w:szCs w:val="24"/>
        </w:rPr>
        <w:t xml:space="preserve"> pain</w:t>
      </w:r>
      <w:r w:rsidR="002A521F" w:rsidRPr="00C8377C">
        <w:rPr>
          <w:rFonts w:asciiTheme="minorHAnsi" w:eastAsia="HiddenHorzOCR" w:hAnsiTheme="minorHAnsi"/>
          <w:color w:val="auto"/>
          <w:szCs w:val="24"/>
        </w:rPr>
        <w:t xml:space="preserve"> </w:t>
      </w:r>
      <w:r w:rsidR="00CC29C0" w:rsidRPr="00C8377C">
        <w:rPr>
          <w:rFonts w:asciiTheme="minorHAnsi" w:eastAsia="HiddenHorzOCR" w:hAnsiTheme="minorHAnsi"/>
          <w:color w:val="auto"/>
          <w:szCs w:val="24"/>
        </w:rPr>
        <w:t>(</w:t>
      </w:r>
      <w:r w:rsidR="009A12A0">
        <w:rPr>
          <w:rFonts w:asciiTheme="minorHAnsi" w:eastAsia="HiddenHorzOCR" w:hAnsiTheme="minorHAnsi"/>
          <w:color w:val="auto"/>
          <w:szCs w:val="24"/>
        </w:rPr>
        <w:t xml:space="preserve">with </w:t>
      </w:r>
      <w:r w:rsidR="00CC29C0" w:rsidRPr="00C8377C">
        <w:rPr>
          <w:rFonts w:asciiTheme="minorHAnsi" w:eastAsia="HiddenHorzOCR" w:hAnsiTheme="minorHAnsi"/>
          <w:color w:val="auto"/>
          <w:szCs w:val="24"/>
        </w:rPr>
        <w:t xml:space="preserve">impingement) </w:t>
      </w:r>
      <w:r w:rsidR="002A521F" w:rsidRPr="00C8377C">
        <w:rPr>
          <w:rFonts w:asciiTheme="minorHAnsi" w:eastAsia="HiddenHorzOCR" w:hAnsiTheme="minorHAnsi"/>
          <w:color w:val="auto"/>
          <w:szCs w:val="24"/>
        </w:rPr>
        <w:t xml:space="preserve">and </w:t>
      </w:r>
      <w:r w:rsidR="00900244" w:rsidRPr="00C8377C">
        <w:rPr>
          <w:rFonts w:asciiTheme="minorHAnsi" w:eastAsia="HiddenHorzOCR" w:hAnsiTheme="minorHAnsi"/>
          <w:color w:val="auto"/>
          <w:szCs w:val="24"/>
        </w:rPr>
        <w:t xml:space="preserve">bilateral </w:t>
      </w:r>
      <w:r w:rsidR="002A521F" w:rsidRPr="00C8377C">
        <w:rPr>
          <w:rFonts w:asciiTheme="minorHAnsi" w:eastAsia="HiddenHorzOCR" w:hAnsiTheme="minorHAnsi"/>
          <w:color w:val="auto"/>
          <w:szCs w:val="24"/>
        </w:rPr>
        <w:t>hand pai</w:t>
      </w:r>
      <w:r w:rsidR="00CA6F08" w:rsidRPr="00C8377C">
        <w:rPr>
          <w:rFonts w:asciiTheme="minorHAnsi" w:eastAsia="HiddenHorzOCR" w:hAnsiTheme="minorHAnsi"/>
          <w:color w:val="auto"/>
          <w:szCs w:val="24"/>
        </w:rPr>
        <w:t>n</w:t>
      </w:r>
      <w:r w:rsidR="00EC337D" w:rsidRPr="00C8377C">
        <w:rPr>
          <w:rFonts w:asciiTheme="minorHAnsi" w:eastAsia="HiddenHorzOCR" w:hAnsiTheme="minorHAnsi"/>
          <w:color w:val="auto"/>
          <w:szCs w:val="24"/>
        </w:rPr>
        <w:t xml:space="preserve">.  </w:t>
      </w:r>
      <w:r w:rsidR="009A12A0">
        <w:rPr>
          <w:rFonts w:asciiTheme="minorHAnsi" w:eastAsia="HiddenHorzOCR" w:hAnsiTheme="minorHAnsi"/>
          <w:color w:val="auto"/>
          <w:szCs w:val="24"/>
        </w:rPr>
        <w:t xml:space="preserve">Both of these conditions were recognized, but not service connected, by the VA.  </w:t>
      </w:r>
      <w:r w:rsidR="002A521F" w:rsidRPr="00C8377C">
        <w:rPr>
          <w:rFonts w:asciiTheme="minorHAnsi" w:eastAsia="HiddenHorzOCR" w:hAnsiTheme="minorHAnsi"/>
          <w:color w:val="auto"/>
          <w:szCs w:val="24"/>
        </w:rPr>
        <w:t>The shoulder</w:t>
      </w:r>
      <w:r w:rsidR="00EC337D" w:rsidRPr="00C8377C">
        <w:rPr>
          <w:rFonts w:asciiTheme="minorHAnsi" w:eastAsia="HiddenHorzOCR" w:hAnsiTheme="minorHAnsi"/>
          <w:color w:val="auto"/>
          <w:szCs w:val="24"/>
        </w:rPr>
        <w:t xml:space="preserve"> conditions were</w:t>
      </w:r>
      <w:r w:rsidR="002A521F" w:rsidRPr="00C8377C">
        <w:rPr>
          <w:rFonts w:asciiTheme="minorHAnsi" w:eastAsia="HiddenHorzOCR" w:hAnsiTheme="minorHAnsi"/>
          <w:color w:val="auto"/>
          <w:szCs w:val="24"/>
        </w:rPr>
        <w:t xml:space="preserve"> profiled</w:t>
      </w:r>
      <w:r w:rsidR="005179DD" w:rsidRPr="00C8377C">
        <w:rPr>
          <w:rFonts w:asciiTheme="minorHAnsi" w:eastAsia="HiddenHorzOCR" w:hAnsiTheme="minorHAnsi"/>
          <w:color w:val="auto"/>
          <w:szCs w:val="24"/>
        </w:rPr>
        <w:t xml:space="preserve"> U2 in the permanent profile most proximate to separation.  </w:t>
      </w:r>
      <w:r w:rsidR="00BC7CD2" w:rsidRPr="00C8377C">
        <w:rPr>
          <w:rFonts w:asciiTheme="minorHAnsi" w:eastAsia="HiddenHorzOCR" w:hAnsiTheme="minorHAnsi"/>
          <w:color w:val="auto"/>
          <w:szCs w:val="24"/>
        </w:rPr>
        <w:t>The “2” designator indicates the condition “may require some activity limitations”</w:t>
      </w:r>
      <w:r w:rsidR="009A12A0">
        <w:rPr>
          <w:rFonts w:asciiTheme="minorHAnsi" w:eastAsia="HiddenHorzOCR" w:hAnsiTheme="minorHAnsi"/>
          <w:color w:val="auto"/>
          <w:szCs w:val="24"/>
        </w:rPr>
        <w:t>;</w:t>
      </w:r>
      <w:r w:rsidR="00BC7CD2" w:rsidRPr="00C8377C">
        <w:rPr>
          <w:rFonts w:asciiTheme="minorHAnsi" w:eastAsia="HiddenHorzOCR" w:hAnsiTheme="minorHAnsi"/>
          <w:color w:val="auto"/>
          <w:szCs w:val="24"/>
        </w:rPr>
        <w:t xml:space="preserve"> and</w:t>
      </w:r>
      <w:r w:rsidR="009A12A0">
        <w:rPr>
          <w:rFonts w:asciiTheme="minorHAnsi" w:eastAsia="HiddenHorzOCR" w:hAnsiTheme="minorHAnsi"/>
          <w:color w:val="auto"/>
          <w:szCs w:val="24"/>
        </w:rPr>
        <w:t>,</w:t>
      </w:r>
      <w:r w:rsidR="00BC7CD2" w:rsidRPr="00C8377C">
        <w:rPr>
          <w:rFonts w:asciiTheme="minorHAnsi" w:eastAsia="HiddenHorzOCR" w:hAnsiTheme="minorHAnsi"/>
          <w:color w:val="auto"/>
          <w:szCs w:val="24"/>
        </w:rPr>
        <w:t xml:space="preserve"> for the upper extremities, this means “slightly limited mobility of joints, muscular weakness, or other musculoskeletal defects that do not prevent hand</w:t>
      </w:r>
      <w:r w:rsidR="00156B7E" w:rsidRPr="00C8377C">
        <w:rPr>
          <w:rFonts w:asciiTheme="minorHAnsi" w:eastAsia="HiddenHorzOCR" w:hAnsiTheme="minorHAnsi"/>
          <w:color w:val="auto"/>
          <w:szCs w:val="24"/>
        </w:rPr>
        <w:t>-</w:t>
      </w:r>
      <w:r w:rsidR="00BC7CD2" w:rsidRPr="00C8377C">
        <w:rPr>
          <w:rFonts w:asciiTheme="minorHAnsi" w:eastAsia="HiddenHorzOCR" w:hAnsiTheme="minorHAnsi"/>
          <w:color w:val="auto"/>
          <w:szCs w:val="24"/>
        </w:rPr>
        <w:t>to</w:t>
      </w:r>
      <w:r w:rsidR="00156B7E" w:rsidRPr="00C8377C">
        <w:rPr>
          <w:rFonts w:asciiTheme="minorHAnsi" w:eastAsia="HiddenHorzOCR" w:hAnsiTheme="minorHAnsi"/>
          <w:color w:val="auto"/>
          <w:szCs w:val="24"/>
        </w:rPr>
        <w:t>-</w:t>
      </w:r>
      <w:r w:rsidR="00BC7CD2" w:rsidRPr="00C8377C">
        <w:rPr>
          <w:rFonts w:asciiTheme="minorHAnsi" w:eastAsia="HiddenHorzOCR" w:hAnsiTheme="minorHAnsi"/>
          <w:color w:val="auto"/>
          <w:szCs w:val="24"/>
        </w:rPr>
        <w:t xml:space="preserve">hand fighting and do not disqualify for prolonged effort.”  </w:t>
      </w:r>
      <w:r w:rsidR="00CA6F08" w:rsidRPr="00C8377C">
        <w:rPr>
          <w:rFonts w:asciiTheme="minorHAnsi" w:eastAsia="HiddenHorzOCR" w:hAnsiTheme="minorHAnsi"/>
          <w:color w:val="auto"/>
          <w:szCs w:val="24"/>
        </w:rPr>
        <w:t>T</w:t>
      </w:r>
      <w:r w:rsidR="00EC337D" w:rsidRPr="00C8377C">
        <w:rPr>
          <w:rFonts w:asciiTheme="minorHAnsi" w:eastAsia="HiddenHorzOCR" w:hAnsiTheme="minorHAnsi"/>
          <w:color w:val="auto"/>
          <w:szCs w:val="24"/>
        </w:rPr>
        <w:t xml:space="preserve">he </w:t>
      </w:r>
      <w:r w:rsidR="00B5646A" w:rsidRPr="00C8377C">
        <w:rPr>
          <w:rFonts w:asciiTheme="minorHAnsi" w:eastAsia="HiddenHorzOCR" w:hAnsiTheme="minorHAnsi"/>
          <w:color w:val="auto"/>
          <w:szCs w:val="24"/>
        </w:rPr>
        <w:t>c</w:t>
      </w:r>
      <w:r w:rsidR="00EC337D" w:rsidRPr="00C8377C">
        <w:rPr>
          <w:rFonts w:asciiTheme="minorHAnsi" w:eastAsia="HiddenHorzOCR" w:hAnsiTheme="minorHAnsi"/>
          <w:color w:val="auto"/>
          <w:szCs w:val="24"/>
        </w:rPr>
        <w:t>ommander’s</w:t>
      </w:r>
      <w:r w:rsidR="00774FFD" w:rsidRPr="00C8377C">
        <w:rPr>
          <w:rFonts w:asciiTheme="minorHAnsi" w:eastAsia="HiddenHorzOCR" w:hAnsiTheme="minorHAnsi"/>
          <w:color w:val="auto"/>
          <w:szCs w:val="24"/>
        </w:rPr>
        <w:t xml:space="preserve"> statement</w:t>
      </w:r>
      <w:r w:rsidR="00CA6F08" w:rsidRPr="00C8377C">
        <w:rPr>
          <w:rFonts w:asciiTheme="minorHAnsi" w:eastAsia="HiddenHorzOCR" w:hAnsiTheme="minorHAnsi"/>
          <w:color w:val="auto"/>
          <w:szCs w:val="24"/>
        </w:rPr>
        <w:t xml:space="preserve"> </w:t>
      </w:r>
      <w:r w:rsidR="005179DD" w:rsidRPr="00C8377C">
        <w:rPr>
          <w:rFonts w:asciiTheme="minorHAnsi" w:eastAsia="HiddenHorzOCR" w:hAnsiTheme="minorHAnsi"/>
          <w:color w:val="auto"/>
          <w:szCs w:val="24"/>
        </w:rPr>
        <w:t>identified “arthritis in the knees, shoulders, and hands,” and stated</w:t>
      </w:r>
      <w:r w:rsidR="00CA6F08" w:rsidRPr="00C8377C">
        <w:rPr>
          <w:rFonts w:asciiTheme="minorHAnsi" w:eastAsia="HiddenHorzOCR" w:hAnsiTheme="minorHAnsi"/>
          <w:color w:val="auto"/>
          <w:szCs w:val="24"/>
        </w:rPr>
        <w:t xml:space="preserve"> the CI was “unable to climb on and off tanks or turn wrenches without undergoing tremendous pain</w:t>
      </w:r>
      <w:r w:rsidR="002A521F" w:rsidRPr="00C8377C">
        <w:rPr>
          <w:rFonts w:asciiTheme="minorHAnsi" w:eastAsia="HiddenHorzOCR" w:hAnsiTheme="minorHAnsi"/>
          <w:color w:val="auto"/>
          <w:szCs w:val="24"/>
        </w:rPr>
        <w:t>.</w:t>
      </w:r>
      <w:r w:rsidR="00CA6F08" w:rsidRPr="00C8377C">
        <w:rPr>
          <w:rFonts w:asciiTheme="minorHAnsi" w:eastAsia="HiddenHorzOCR" w:hAnsiTheme="minorHAnsi"/>
          <w:color w:val="auto"/>
          <w:szCs w:val="24"/>
        </w:rPr>
        <w:t>”</w:t>
      </w:r>
      <w:r w:rsidR="002A521F" w:rsidRPr="00C8377C">
        <w:rPr>
          <w:rFonts w:asciiTheme="minorHAnsi" w:eastAsia="HiddenHorzOCR" w:hAnsiTheme="minorHAnsi"/>
          <w:color w:val="auto"/>
          <w:szCs w:val="24"/>
        </w:rPr>
        <w:t xml:space="preserve"> </w:t>
      </w:r>
      <w:r w:rsidR="00900244" w:rsidRPr="00C8377C">
        <w:rPr>
          <w:rFonts w:asciiTheme="minorHAnsi" w:eastAsia="HiddenHorzOCR" w:hAnsiTheme="minorHAnsi"/>
          <w:color w:val="auto"/>
          <w:szCs w:val="24"/>
        </w:rPr>
        <w:t xml:space="preserve"> </w:t>
      </w:r>
      <w:r w:rsidR="006456A6" w:rsidRPr="00C8377C">
        <w:rPr>
          <w:rFonts w:asciiTheme="minorHAnsi" w:eastAsia="HiddenHorzOCR" w:hAnsiTheme="minorHAnsi"/>
          <w:color w:val="auto"/>
          <w:szCs w:val="24"/>
        </w:rPr>
        <w:t>T</w:t>
      </w:r>
      <w:r w:rsidR="00823F56" w:rsidRPr="00C8377C">
        <w:rPr>
          <w:rFonts w:asciiTheme="minorHAnsi" w:eastAsia="HiddenHorzOCR" w:hAnsiTheme="minorHAnsi"/>
          <w:color w:val="auto"/>
          <w:szCs w:val="24"/>
        </w:rPr>
        <w:t xml:space="preserve">he </w:t>
      </w:r>
      <w:r w:rsidR="00E773D9" w:rsidRPr="00C8377C">
        <w:rPr>
          <w:rFonts w:asciiTheme="minorHAnsi" w:eastAsia="HiddenHorzOCR" w:hAnsiTheme="minorHAnsi"/>
          <w:color w:val="auto"/>
          <w:szCs w:val="24"/>
        </w:rPr>
        <w:t>NARSUM</w:t>
      </w:r>
      <w:r w:rsidR="00823F56" w:rsidRPr="00C8377C">
        <w:rPr>
          <w:rFonts w:asciiTheme="minorHAnsi" w:eastAsia="HiddenHorzOCR" w:hAnsiTheme="minorHAnsi"/>
          <w:color w:val="auto"/>
          <w:szCs w:val="24"/>
        </w:rPr>
        <w:t xml:space="preserve"> reported full range of shoulder motion bilaterally.  The VA exam reported </w:t>
      </w:r>
      <w:r w:rsidR="00E773D9" w:rsidRPr="00C8377C">
        <w:rPr>
          <w:rFonts w:asciiTheme="minorHAnsi" w:eastAsia="HiddenHorzOCR" w:hAnsiTheme="minorHAnsi"/>
          <w:color w:val="auto"/>
          <w:szCs w:val="24"/>
        </w:rPr>
        <w:t>“full active range of motion” of the</w:t>
      </w:r>
      <w:r w:rsidR="00823F56" w:rsidRPr="00C8377C">
        <w:rPr>
          <w:rFonts w:asciiTheme="minorHAnsi" w:eastAsia="HiddenHorzOCR" w:hAnsiTheme="minorHAnsi"/>
          <w:color w:val="auto"/>
          <w:szCs w:val="24"/>
        </w:rPr>
        <w:t xml:space="preserve"> shoulder</w:t>
      </w:r>
      <w:r w:rsidR="00E773D9" w:rsidRPr="00C8377C">
        <w:rPr>
          <w:rFonts w:asciiTheme="minorHAnsi" w:eastAsia="HiddenHorzOCR" w:hAnsiTheme="minorHAnsi"/>
          <w:color w:val="auto"/>
          <w:szCs w:val="24"/>
        </w:rPr>
        <w:t>s</w:t>
      </w:r>
      <w:r w:rsidR="00823F56" w:rsidRPr="00C8377C">
        <w:rPr>
          <w:rFonts w:asciiTheme="minorHAnsi" w:eastAsia="HiddenHorzOCR" w:hAnsiTheme="minorHAnsi"/>
          <w:color w:val="auto"/>
          <w:szCs w:val="24"/>
        </w:rPr>
        <w:t xml:space="preserve"> and hand</w:t>
      </w:r>
      <w:r w:rsidR="00E773D9" w:rsidRPr="00C8377C">
        <w:rPr>
          <w:rFonts w:asciiTheme="minorHAnsi" w:eastAsia="HiddenHorzOCR" w:hAnsiTheme="minorHAnsi"/>
          <w:color w:val="auto"/>
          <w:szCs w:val="24"/>
        </w:rPr>
        <w:t xml:space="preserve">s, with no mention of painful motion for the shoulders, and absence of pain noted for the hands.  </w:t>
      </w:r>
      <w:r w:rsidR="00115A3F" w:rsidRPr="00C8377C">
        <w:rPr>
          <w:rFonts w:asciiTheme="minorHAnsi" w:eastAsia="HiddenHorzOCR" w:hAnsiTheme="minorHAnsi"/>
          <w:color w:val="auto"/>
          <w:szCs w:val="24"/>
        </w:rPr>
        <w:t>The only positive findings for the shoulders were “some tightness with forward flexion and abduction” bilaterally, and “mild crepitus” of the right shoulder.  The examiner noted on</w:t>
      </w:r>
      <w:r w:rsidR="009A12A0">
        <w:rPr>
          <w:rFonts w:asciiTheme="minorHAnsi" w:eastAsia="HiddenHorzOCR" w:hAnsiTheme="minorHAnsi"/>
          <w:color w:val="auto"/>
          <w:szCs w:val="24"/>
        </w:rPr>
        <w:t>ly mild tenderness over the meta</w:t>
      </w:r>
      <w:r w:rsidR="00115A3F" w:rsidRPr="00C8377C">
        <w:rPr>
          <w:rFonts w:asciiTheme="minorHAnsi" w:eastAsia="HiddenHorzOCR" w:hAnsiTheme="minorHAnsi"/>
          <w:color w:val="auto"/>
          <w:szCs w:val="24"/>
        </w:rPr>
        <w:t xml:space="preserve">carpals in the hands, and a “barely discernible 8 mm scar over the left ring finger.”  </w:t>
      </w:r>
      <w:r w:rsidR="00E773D9" w:rsidRPr="00C8377C">
        <w:rPr>
          <w:rFonts w:asciiTheme="minorHAnsi" w:eastAsia="HiddenHorzOCR" w:hAnsiTheme="minorHAnsi"/>
          <w:color w:val="auto"/>
          <w:szCs w:val="24"/>
        </w:rPr>
        <w:t>R</w:t>
      </w:r>
      <w:r w:rsidR="00823F56" w:rsidRPr="00C8377C">
        <w:rPr>
          <w:rFonts w:asciiTheme="minorHAnsi" w:eastAsia="HiddenHorzOCR" w:hAnsiTheme="minorHAnsi"/>
          <w:color w:val="auto"/>
          <w:szCs w:val="24"/>
        </w:rPr>
        <w:t xml:space="preserve">adiographs </w:t>
      </w:r>
      <w:r w:rsidR="00E773D9" w:rsidRPr="00C8377C">
        <w:rPr>
          <w:rFonts w:asciiTheme="minorHAnsi" w:eastAsia="HiddenHorzOCR" w:hAnsiTheme="minorHAnsi"/>
          <w:color w:val="auto"/>
          <w:szCs w:val="24"/>
        </w:rPr>
        <w:t xml:space="preserve">of the shoulder and hands were normal </w:t>
      </w:r>
      <w:r w:rsidR="00823F56" w:rsidRPr="00C8377C">
        <w:rPr>
          <w:rFonts w:asciiTheme="minorHAnsi" w:eastAsia="HiddenHorzOCR" w:hAnsiTheme="minorHAnsi"/>
          <w:color w:val="auto"/>
          <w:szCs w:val="24"/>
        </w:rPr>
        <w:t xml:space="preserve">bilaterally, and </w:t>
      </w:r>
      <w:r w:rsidR="00E773D9" w:rsidRPr="00C8377C">
        <w:rPr>
          <w:rFonts w:asciiTheme="minorHAnsi" w:eastAsia="HiddenHorzOCR" w:hAnsiTheme="minorHAnsi"/>
          <w:color w:val="auto"/>
          <w:szCs w:val="24"/>
        </w:rPr>
        <w:t xml:space="preserve">the VA examiner </w:t>
      </w:r>
      <w:r w:rsidR="00823F56" w:rsidRPr="00C8377C">
        <w:rPr>
          <w:rFonts w:asciiTheme="minorHAnsi" w:eastAsia="HiddenHorzOCR" w:hAnsiTheme="minorHAnsi"/>
          <w:color w:val="auto"/>
          <w:szCs w:val="24"/>
        </w:rPr>
        <w:t>concluded that there was “insufficient clinical evidence at present to warrant a diagnosis of any acute o</w:t>
      </w:r>
      <w:r w:rsidR="009A21C7" w:rsidRPr="00C8377C">
        <w:rPr>
          <w:rFonts w:asciiTheme="minorHAnsi" w:eastAsia="HiddenHorzOCR" w:hAnsiTheme="minorHAnsi"/>
          <w:color w:val="auto"/>
          <w:szCs w:val="24"/>
        </w:rPr>
        <w:t>r</w:t>
      </w:r>
      <w:r w:rsidR="00823F56" w:rsidRPr="00C8377C">
        <w:rPr>
          <w:rFonts w:asciiTheme="minorHAnsi" w:eastAsia="HiddenHorzOCR" w:hAnsiTheme="minorHAnsi"/>
          <w:color w:val="auto"/>
          <w:szCs w:val="24"/>
        </w:rPr>
        <w:t xml:space="preserve"> chronic disorder” for both the bilateral shoulder</w:t>
      </w:r>
      <w:r w:rsidR="00115A3F" w:rsidRPr="00C8377C">
        <w:rPr>
          <w:rFonts w:asciiTheme="minorHAnsi" w:eastAsia="HiddenHorzOCR" w:hAnsiTheme="minorHAnsi"/>
          <w:color w:val="auto"/>
          <w:szCs w:val="24"/>
        </w:rPr>
        <w:t>s</w:t>
      </w:r>
      <w:r w:rsidR="00823F56" w:rsidRPr="00C8377C">
        <w:rPr>
          <w:rFonts w:asciiTheme="minorHAnsi" w:eastAsia="HiddenHorzOCR" w:hAnsiTheme="minorHAnsi"/>
          <w:color w:val="auto"/>
          <w:szCs w:val="24"/>
        </w:rPr>
        <w:t xml:space="preserve"> and the bilateral hand conditions.  </w:t>
      </w:r>
    </w:p>
    <w:p w:rsidR="009A12A0" w:rsidRDefault="009A12A0" w:rsidP="009A12A0">
      <w:pPr>
        <w:spacing w:line="240" w:lineRule="exact"/>
        <w:jc w:val="both"/>
        <w:rPr>
          <w:rFonts w:asciiTheme="minorHAnsi" w:eastAsia="HiddenHorzOCR" w:hAnsiTheme="minorHAnsi"/>
          <w:color w:val="auto"/>
          <w:szCs w:val="24"/>
        </w:rPr>
      </w:pPr>
    </w:p>
    <w:p w:rsidR="009A12A0" w:rsidRPr="00C8377C" w:rsidRDefault="009A12A0" w:rsidP="009A12A0">
      <w:pPr>
        <w:spacing w:line="240" w:lineRule="exact"/>
        <w:jc w:val="both"/>
        <w:rPr>
          <w:rFonts w:asciiTheme="minorHAnsi" w:eastAsia="HiddenHorzOCR" w:hAnsiTheme="minorHAnsi"/>
          <w:color w:val="auto"/>
          <w:szCs w:val="24"/>
        </w:rPr>
      </w:pPr>
      <w:r>
        <w:rPr>
          <w:rFonts w:asciiTheme="minorHAnsi" w:eastAsia="HiddenHorzOCR" w:hAnsiTheme="minorHAnsi"/>
          <w:color w:val="auto"/>
          <w:szCs w:val="24"/>
        </w:rPr>
        <w:t>This</w:t>
      </w:r>
      <w:r w:rsidR="0012333C">
        <w:rPr>
          <w:rFonts w:asciiTheme="minorHAnsi" w:eastAsia="HiddenHorzOCR" w:hAnsiTheme="minorHAnsi"/>
          <w:color w:val="auto"/>
          <w:szCs w:val="24"/>
        </w:rPr>
        <w:t xml:space="preserve"> evidence was reviewed by the action o</w:t>
      </w:r>
      <w:r w:rsidRPr="00C8377C">
        <w:rPr>
          <w:rFonts w:asciiTheme="minorHAnsi" w:eastAsia="HiddenHorzOCR" w:hAnsiTheme="minorHAnsi"/>
          <w:color w:val="auto"/>
          <w:szCs w:val="24"/>
        </w:rPr>
        <w:t xml:space="preserve">fficer and considered by the Board.  There was insufficient evidence to </w:t>
      </w:r>
      <w:r w:rsidR="008840E4">
        <w:rPr>
          <w:rFonts w:asciiTheme="minorHAnsi" w:eastAsia="HiddenHorzOCR" w:hAnsiTheme="minorHAnsi"/>
          <w:color w:val="auto"/>
          <w:szCs w:val="24"/>
        </w:rPr>
        <w:t>support a recommendation that</w:t>
      </w:r>
      <w:r w:rsidRPr="00C8377C">
        <w:rPr>
          <w:rFonts w:asciiTheme="minorHAnsi" w:eastAsia="HiddenHorzOCR" w:hAnsiTheme="minorHAnsi"/>
          <w:color w:val="auto"/>
          <w:szCs w:val="24"/>
        </w:rPr>
        <w:t xml:space="preserve"> either the shoulder or hand conditions were separately unfitting.  All evidence considered</w:t>
      </w:r>
      <w:proofErr w:type="gramStart"/>
      <w:r w:rsidRPr="00C8377C">
        <w:rPr>
          <w:rFonts w:asciiTheme="minorHAnsi" w:eastAsia="HiddenHorzOCR" w:hAnsiTheme="minorHAnsi"/>
          <w:color w:val="auto"/>
          <w:szCs w:val="24"/>
        </w:rPr>
        <w:t>,</w:t>
      </w:r>
      <w:proofErr w:type="gramEnd"/>
      <w:r w:rsidRPr="00C8377C">
        <w:rPr>
          <w:rFonts w:asciiTheme="minorHAnsi" w:eastAsia="HiddenHorzOCR" w:hAnsiTheme="minorHAnsi"/>
          <w:color w:val="auto"/>
          <w:szCs w:val="24"/>
        </w:rPr>
        <w:t xml:space="preserve"> there is not reasonable doubt in the CI’s favor supporting recharacterization of the PEB fitness adjudication for any of the stated conditions.</w:t>
      </w:r>
    </w:p>
    <w:p w:rsidR="006456A6" w:rsidRPr="00C8377C" w:rsidRDefault="006456A6" w:rsidP="00BC7CD2">
      <w:pPr>
        <w:spacing w:line="240" w:lineRule="exact"/>
        <w:jc w:val="both"/>
        <w:rPr>
          <w:rFonts w:asciiTheme="minorHAnsi" w:eastAsia="HiddenHorzOCR" w:hAnsiTheme="minorHAnsi"/>
          <w:color w:val="auto"/>
          <w:szCs w:val="24"/>
        </w:rPr>
      </w:pPr>
    </w:p>
    <w:p w:rsidR="006456A6" w:rsidRPr="00C8377C" w:rsidRDefault="006456A6" w:rsidP="00BC7CD2">
      <w:pPr>
        <w:spacing w:line="240" w:lineRule="exact"/>
        <w:jc w:val="both"/>
        <w:rPr>
          <w:rFonts w:asciiTheme="minorHAnsi" w:hAnsiTheme="minorHAnsi"/>
          <w:color w:val="auto"/>
          <w:szCs w:val="24"/>
        </w:rPr>
      </w:pPr>
      <w:r w:rsidRPr="00C8377C">
        <w:rPr>
          <w:rFonts w:asciiTheme="minorHAnsi" w:hAnsiTheme="minorHAnsi"/>
          <w:color w:val="auto"/>
          <w:szCs w:val="24"/>
        </w:rPr>
        <w:t xml:space="preserve">The Board </w:t>
      </w:r>
      <w:r w:rsidR="008840E4">
        <w:rPr>
          <w:rFonts w:asciiTheme="minorHAnsi" w:hAnsiTheme="minorHAnsi"/>
          <w:color w:val="auto"/>
          <w:szCs w:val="24"/>
        </w:rPr>
        <w:t xml:space="preserve">further </w:t>
      </w:r>
      <w:r w:rsidRPr="00C8377C">
        <w:rPr>
          <w:rFonts w:asciiTheme="minorHAnsi" w:hAnsiTheme="minorHAnsi"/>
          <w:color w:val="auto"/>
          <w:szCs w:val="24"/>
        </w:rPr>
        <w:t xml:space="preserve">considered alternate coding of the CI’s multiple painful joints analogously to 5002, arthritis as an active process, but the CI did not have sufficient “symptoms of definite impairment of health objectively supported by examination findings” or of “incapacitating exacerbations occurring 3 or more times a year” to </w:t>
      </w:r>
      <w:r w:rsidR="008840E4">
        <w:rPr>
          <w:rFonts w:asciiTheme="minorHAnsi" w:hAnsiTheme="minorHAnsi"/>
          <w:color w:val="auto"/>
          <w:szCs w:val="24"/>
        </w:rPr>
        <w:t>support</w:t>
      </w:r>
      <w:r w:rsidRPr="00C8377C">
        <w:rPr>
          <w:rFonts w:asciiTheme="minorHAnsi" w:hAnsiTheme="minorHAnsi"/>
          <w:color w:val="auto"/>
          <w:szCs w:val="24"/>
        </w:rPr>
        <w:t xml:space="preserve"> higher than </w:t>
      </w:r>
      <w:r w:rsidR="008840E4">
        <w:rPr>
          <w:rFonts w:asciiTheme="minorHAnsi" w:hAnsiTheme="minorHAnsi"/>
          <w:color w:val="auto"/>
          <w:szCs w:val="24"/>
        </w:rPr>
        <w:t>a</w:t>
      </w:r>
      <w:r w:rsidRPr="00C8377C">
        <w:rPr>
          <w:rFonts w:asciiTheme="minorHAnsi" w:hAnsiTheme="minorHAnsi"/>
          <w:color w:val="auto"/>
          <w:szCs w:val="24"/>
        </w:rPr>
        <w:t xml:space="preserve"> 20% </w:t>
      </w:r>
      <w:r w:rsidR="008840E4">
        <w:rPr>
          <w:rFonts w:asciiTheme="minorHAnsi" w:hAnsiTheme="minorHAnsi"/>
          <w:color w:val="auto"/>
          <w:szCs w:val="24"/>
        </w:rPr>
        <w:t xml:space="preserve">overall </w:t>
      </w:r>
      <w:r w:rsidRPr="00C8377C">
        <w:rPr>
          <w:rFonts w:asciiTheme="minorHAnsi" w:hAnsiTheme="minorHAnsi"/>
          <w:color w:val="auto"/>
          <w:szCs w:val="24"/>
        </w:rPr>
        <w:t>rating</w:t>
      </w:r>
      <w:r w:rsidR="008840E4">
        <w:rPr>
          <w:rFonts w:asciiTheme="minorHAnsi" w:hAnsiTheme="minorHAnsi"/>
          <w:color w:val="auto"/>
          <w:szCs w:val="24"/>
        </w:rPr>
        <w:t>; thus, this approach offers no advantage</w:t>
      </w:r>
      <w:r w:rsidRPr="00C8377C">
        <w:rPr>
          <w:rFonts w:asciiTheme="minorHAnsi" w:hAnsiTheme="minorHAnsi"/>
          <w:color w:val="auto"/>
          <w:szCs w:val="24"/>
        </w:rPr>
        <w:t xml:space="preserve"> </w:t>
      </w:r>
      <w:r w:rsidR="008840E4">
        <w:rPr>
          <w:rFonts w:asciiTheme="minorHAnsi" w:hAnsiTheme="minorHAnsi"/>
          <w:color w:val="auto"/>
          <w:szCs w:val="24"/>
        </w:rPr>
        <w:t>to the combined rating conferred by the PEB</w:t>
      </w:r>
      <w:r w:rsidRPr="00C8377C">
        <w:rPr>
          <w:rFonts w:asciiTheme="minorHAnsi" w:hAnsiTheme="minorHAnsi"/>
          <w:color w:val="auto"/>
          <w:szCs w:val="24"/>
        </w:rPr>
        <w:t xml:space="preserve">.  </w:t>
      </w:r>
    </w:p>
    <w:p w:rsidR="00C94CB6" w:rsidRPr="00C8377C" w:rsidRDefault="00C94CB6" w:rsidP="00510F9C">
      <w:pPr>
        <w:spacing w:line="240" w:lineRule="exact"/>
        <w:rPr>
          <w:rFonts w:asciiTheme="minorHAnsi" w:hAnsiTheme="minorHAnsi"/>
          <w:color w:val="auto"/>
          <w:szCs w:val="24"/>
          <w:u w:val="single"/>
        </w:rPr>
      </w:pPr>
    </w:p>
    <w:p w:rsidR="00EC337D" w:rsidRPr="00C8377C" w:rsidRDefault="00EC337D" w:rsidP="00607A36">
      <w:pPr>
        <w:spacing w:line="240" w:lineRule="exact"/>
        <w:jc w:val="both"/>
        <w:rPr>
          <w:rFonts w:asciiTheme="minorHAnsi" w:hAnsiTheme="minorHAnsi"/>
          <w:color w:val="auto"/>
          <w:szCs w:val="24"/>
        </w:rPr>
      </w:pPr>
      <w:r w:rsidRPr="00C8377C">
        <w:rPr>
          <w:rFonts w:asciiTheme="minorHAnsi" w:hAnsiTheme="minorHAnsi"/>
          <w:color w:val="auto"/>
          <w:szCs w:val="24"/>
          <w:u w:val="single"/>
        </w:rPr>
        <w:t>Remaining Conditions</w:t>
      </w:r>
      <w:r w:rsidR="00AD2AD5">
        <w:rPr>
          <w:rFonts w:asciiTheme="minorHAnsi" w:hAnsiTheme="minorHAnsi"/>
          <w:color w:val="auto"/>
          <w:szCs w:val="24"/>
        </w:rPr>
        <w:t>:</w:t>
      </w:r>
      <w:r w:rsidRPr="00C8377C">
        <w:rPr>
          <w:rFonts w:asciiTheme="minorHAnsi" w:hAnsiTheme="minorHAnsi"/>
          <w:color w:val="auto"/>
          <w:szCs w:val="24"/>
        </w:rPr>
        <w:t xml:space="preserve">  </w:t>
      </w:r>
      <w:r w:rsidR="00A63088" w:rsidRPr="00C8377C">
        <w:rPr>
          <w:rFonts w:asciiTheme="minorHAnsi" w:hAnsiTheme="minorHAnsi"/>
          <w:color w:val="auto"/>
          <w:szCs w:val="24"/>
        </w:rPr>
        <w:t>Other conditions identified in the DES file were</w:t>
      </w:r>
      <w:r w:rsidR="00CC29C0" w:rsidRPr="00C8377C">
        <w:rPr>
          <w:rFonts w:asciiTheme="minorHAnsi" w:hAnsiTheme="minorHAnsi"/>
          <w:color w:val="auto"/>
          <w:szCs w:val="24"/>
        </w:rPr>
        <w:t xml:space="preserve">: </w:t>
      </w:r>
      <w:r w:rsidR="00A63088" w:rsidRPr="00C8377C">
        <w:rPr>
          <w:rFonts w:asciiTheme="minorHAnsi" w:hAnsiTheme="minorHAnsi"/>
          <w:color w:val="auto"/>
          <w:szCs w:val="24"/>
        </w:rPr>
        <w:t xml:space="preserve"> arthritis of the elbow, wrist, foot, and back</w:t>
      </w:r>
      <w:r w:rsidR="00CC29C0" w:rsidRPr="00C8377C">
        <w:rPr>
          <w:rFonts w:asciiTheme="minorHAnsi" w:hAnsiTheme="minorHAnsi"/>
          <w:color w:val="auto"/>
          <w:szCs w:val="24"/>
        </w:rPr>
        <w:t>; reduced range of motion of the elbows, and ophthalmic ulcers during allergy season</w:t>
      </w:r>
      <w:r w:rsidR="00A63088" w:rsidRPr="00C8377C">
        <w:rPr>
          <w:rFonts w:asciiTheme="minorHAnsi" w:hAnsiTheme="minorHAnsi"/>
          <w:color w:val="auto"/>
          <w:szCs w:val="24"/>
        </w:rPr>
        <w:t xml:space="preserve">.  </w:t>
      </w:r>
      <w:r w:rsidRPr="00C8377C">
        <w:rPr>
          <w:rFonts w:asciiTheme="minorHAnsi" w:hAnsiTheme="minorHAnsi"/>
          <w:color w:val="auto"/>
          <w:szCs w:val="24"/>
        </w:rPr>
        <w:t xml:space="preserve">Several additional non-acute conditions or medical complaints were also documented.  None of these conditions were </w:t>
      </w:r>
      <w:r w:rsidR="00C348CC" w:rsidRPr="00C8377C">
        <w:rPr>
          <w:color w:val="auto"/>
          <w:szCs w:val="24"/>
        </w:rPr>
        <w:t>occupationally</w:t>
      </w:r>
      <w:r w:rsidR="00C348CC" w:rsidRPr="00C8377C">
        <w:rPr>
          <w:szCs w:val="24"/>
        </w:rPr>
        <w:t xml:space="preserve"> </w:t>
      </w:r>
      <w:r w:rsidR="00CC29C0" w:rsidRPr="00C8377C">
        <w:rPr>
          <w:color w:val="auto"/>
          <w:szCs w:val="24"/>
        </w:rPr>
        <w:t xml:space="preserve">significant </w:t>
      </w:r>
      <w:r w:rsidRPr="00C8377C">
        <w:rPr>
          <w:rFonts w:asciiTheme="minorHAnsi" w:hAnsiTheme="minorHAnsi"/>
          <w:color w:val="auto"/>
          <w:szCs w:val="24"/>
        </w:rPr>
        <w:t>during the MEB period</w:t>
      </w:r>
      <w:r w:rsidR="008840E4">
        <w:rPr>
          <w:rFonts w:asciiTheme="minorHAnsi" w:hAnsiTheme="minorHAnsi"/>
          <w:color w:val="auto"/>
          <w:szCs w:val="24"/>
        </w:rPr>
        <w:t>;</w:t>
      </w:r>
      <w:r w:rsidRPr="00C8377C">
        <w:rPr>
          <w:rFonts w:asciiTheme="minorHAnsi" w:hAnsiTheme="minorHAnsi"/>
          <w:color w:val="auto"/>
          <w:szCs w:val="24"/>
        </w:rPr>
        <w:t xml:space="preserve"> none carried attached profiles</w:t>
      </w:r>
      <w:r w:rsidR="008840E4">
        <w:rPr>
          <w:rFonts w:asciiTheme="minorHAnsi" w:hAnsiTheme="minorHAnsi"/>
          <w:color w:val="auto"/>
          <w:szCs w:val="24"/>
        </w:rPr>
        <w:t>;</w:t>
      </w:r>
      <w:r w:rsidR="005C62C2" w:rsidRPr="00C8377C">
        <w:rPr>
          <w:rFonts w:asciiTheme="minorHAnsi" w:hAnsiTheme="minorHAnsi"/>
          <w:color w:val="auto"/>
          <w:szCs w:val="24"/>
        </w:rPr>
        <w:t xml:space="preserve"> </w:t>
      </w:r>
      <w:r w:rsidRPr="00C8377C">
        <w:rPr>
          <w:rFonts w:asciiTheme="minorHAnsi" w:hAnsiTheme="minorHAnsi"/>
          <w:color w:val="auto"/>
          <w:szCs w:val="24"/>
        </w:rPr>
        <w:t>and</w:t>
      </w:r>
      <w:r w:rsidR="008840E4">
        <w:rPr>
          <w:rFonts w:asciiTheme="minorHAnsi" w:hAnsiTheme="minorHAnsi"/>
          <w:color w:val="auto"/>
          <w:szCs w:val="24"/>
        </w:rPr>
        <w:t>,</w:t>
      </w:r>
      <w:r w:rsidRPr="00C8377C">
        <w:rPr>
          <w:rFonts w:asciiTheme="minorHAnsi" w:hAnsiTheme="minorHAnsi"/>
          <w:color w:val="auto"/>
          <w:szCs w:val="24"/>
        </w:rPr>
        <w:t xml:space="preserve"> none were implicated in the </w:t>
      </w:r>
      <w:r w:rsidR="00AD2AD5">
        <w:rPr>
          <w:rFonts w:asciiTheme="minorHAnsi" w:hAnsiTheme="minorHAnsi"/>
          <w:color w:val="auto"/>
          <w:szCs w:val="24"/>
        </w:rPr>
        <w:t>c</w:t>
      </w:r>
      <w:r w:rsidRPr="00C8377C">
        <w:rPr>
          <w:rFonts w:asciiTheme="minorHAnsi" w:hAnsiTheme="minorHAnsi"/>
          <w:color w:val="auto"/>
          <w:szCs w:val="24"/>
        </w:rPr>
        <w:t>ommander’s</w:t>
      </w:r>
      <w:r w:rsidR="00774FFD" w:rsidRPr="00C8377C">
        <w:rPr>
          <w:rFonts w:asciiTheme="minorHAnsi" w:hAnsiTheme="minorHAnsi"/>
          <w:color w:val="auto"/>
          <w:szCs w:val="24"/>
        </w:rPr>
        <w:t xml:space="preserve"> statement</w:t>
      </w:r>
      <w:r w:rsidRPr="00C8377C">
        <w:rPr>
          <w:rFonts w:asciiTheme="minorHAnsi" w:hAnsiTheme="minorHAnsi"/>
          <w:color w:val="auto"/>
          <w:szCs w:val="24"/>
        </w:rPr>
        <w:t xml:space="preserve">.  These conditions were reviewed by the </w:t>
      </w:r>
      <w:r w:rsidR="00AD2AD5">
        <w:rPr>
          <w:rFonts w:asciiTheme="minorHAnsi" w:hAnsiTheme="minorHAnsi"/>
          <w:color w:val="auto"/>
          <w:szCs w:val="24"/>
        </w:rPr>
        <w:t>action o</w:t>
      </w:r>
      <w:r w:rsidR="008840E4" w:rsidRPr="00C8377C">
        <w:rPr>
          <w:rFonts w:asciiTheme="minorHAnsi" w:hAnsiTheme="minorHAnsi"/>
          <w:color w:val="auto"/>
          <w:szCs w:val="24"/>
        </w:rPr>
        <w:t xml:space="preserve">fficer </w:t>
      </w:r>
      <w:r w:rsidRPr="00C8377C">
        <w:rPr>
          <w:rFonts w:asciiTheme="minorHAnsi" w:hAnsiTheme="minorHAnsi"/>
          <w:color w:val="auto"/>
          <w:szCs w:val="24"/>
        </w:rPr>
        <w:t>and considered by the Board.  It was determined that none could be argued as unfitting and subject to separation rating.  Additionally</w:t>
      </w:r>
      <w:r w:rsidR="00607A36" w:rsidRPr="00C8377C">
        <w:rPr>
          <w:rFonts w:asciiTheme="minorHAnsi" w:hAnsiTheme="minorHAnsi"/>
          <w:color w:val="auto"/>
          <w:szCs w:val="24"/>
        </w:rPr>
        <w:t>,</w:t>
      </w:r>
      <w:r w:rsidRPr="00C8377C">
        <w:rPr>
          <w:rFonts w:asciiTheme="minorHAnsi" w:hAnsiTheme="minorHAnsi"/>
          <w:color w:val="auto"/>
          <w:szCs w:val="24"/>
        </w:rPr>
        <w:t xml:space="preserve"> </w:t>
      </w:r>
      <w:r w:rsidR="00607A36" w:rsidRPr="00C8377C">
        <w:rPr>
          <w:rFonts w:asciiTheme="minorHAnsi" w:hAnsiTheme="minorHAnsi"/>
          <w:color w:val="auto"/>
          <w:szCs w:val="24"/>
        </w:rPr>
        <w:t xml:space="preserve">tinnitus </w:t>
      </w:r>
      <w:r w:rsidRPr="00C8377C">
        <w:rPr>
          <w:rFonts w:asciiTheme="minorHAnsi" w:hAnsiTheme="minorHAnsi"/>
          <w:color w:val="auto"/>
          <w:szCs w:val="24"/>
        </w:rPr>
        <w:t>w</w:t>
      </w:r>
      <w:r w:rsidR="00607A36" w:rsidRPr="00C8377C">
        <w:rPr>
          <w:rFonts w:asciiTheme="minorHAnsi" w:hAnsiTheme="minorHAnsi"/>
          <w:color w:val="auto"/>
          <w:szCs w:val="24"/>
        </w:rPr>
        <w:t>as</w:t>
      </w:r>
      <w:r w:rsidRPr="00C8377C">
        <w:rPr>
          <w:rFonts w:asciiTheme="minorHAnsi" w:hAnsiTheme="minorHAnsi"/>
          <w:color w:val="auto"/>
          <w:szCs w:val="24"/>
        </w:rPr>
        <w:t xml:space="preserve"> noted in the VA rating decision proxima</w:t>
      </w:r>
      <w:r w:rsidR="00A63088" w:rsidRPr="00C8377C">
        <w:rPr>
          <w:rFonts w:asciiTheme="minorHAnsi" w:hAnsiTheme="minorHAnsi"/>
          <w:color w:val="auto"/>
          <w:szCs w:val="24"/>
        </w:rPr>
        <w:t>te</w:t>
      </w:r>
      <w:r w:rsidRPr="00C8377C">
        <w:rPr>
          <w:rFonts w:asciiTheme="minorHAnsi" w:hAnsiTheme="minorHAnsi"/>
          <w:color w:val="auto"/>
          <w:szCs w:val="24"/>
        </w:rPr>
        <w:t xml:space="preserve"> to separation, but w</w:t>
      </w:r>
      <w:r w:rsidR="00607A36" w:rsidRPr="00C8377C">
        <w:rPr>
          <w:rFonts w:asciiTheme="minorHAnsi" w:hAnsiTheme="minorHAnsi"/>
          <w:color w:val="auto"/>
          <w:szCs w:val="24"/>
        </w:rPr>
        <w:t>as</w:t>
      </w:r>
      <w:r w:rsidRPr="00C8377C">
        <w:rPr>
          <w:rFonts w:asciiTheme="minorHAnsi" w:hAnsiTheme="minorHAnsi"/>
          <w:color w:val="auto"/>
          <w:szCs w:val="24"/>
        </w:rPr>
        <w:t xml:space="preserve"> not documented in the DES file.  The Board does not have the authority under DoDI 6040.44 to render fitness or rating recommendations for any conditions not considered by the DES.</w:t>
      </w:r>
      <w:r w:rsidR="00817572" w:rsidRPr="00C8377C">
        <w:rPr>
          <w:rFonts w:asciiTheme="minorHAnsi" w:hAnsiTheme="minorHAnsi"/>
          <w:color w:val="auto"/>
          <w:szCs w:val="24"/>
        </w:rPr>
        <w:t xml:space="preserve">  The Board, therefore, has no reasonable basis for recommending any additional unfitting conditions for separation rating.</w:t>
      </w:r>
    </w:p>
    <w:p w:rsidR="00F1737C" w:rsidRPr="00C8377C" w:rsidRDefault="00F1737C" w:rsidP="00F1737C">
      <w:pPr>
        <w:spacing w:line="240" w:lineRule="exact"/>
        <w:rPr>
          <w:rFonts w:asciiTheme="minorHAnsi" w:hAnsiTheme="minorHAnsi"/>
          <w:b/>
          <w:color w:val="auto"/>
          <w:szCs w:val="24"/>
          <w:u w:val="single"/>
        </w:rPr>
      </w:pPr>
    </w:p>
    <w:p w:rsidR="00883AF8" w:rsidRPr="008840E4" w:rsidRDefault="00C56FC8" w:rsidP="00883AF8">
      <w:pPr>
        <w:spacing w:line="240" w:lineRule="exact"/>
        <w:jc w:val="both"/>
        <w:rPr>
          <w:rFonts w:eastAsiaTheme="minorHAnsi" w:cstheme="minorBidi"/>
          <w:color w:val="auto"/>
          <w:szCs w:val="24"/>
        </w:rPr>
      </w:pPr>
      <w:r w:rsidRPr="00C8377C">
        <w:rPr>
          <w:rFonts w:asciiTheme="minorHAnsi" w:hAnsiTheme="minorHAnsi"/>
          <w:color w:val="auto"/>
          <w:szCs w:val="24"/>
          <w:u w:val="single"/>
        </w:rPr>
        <w:lastRenderedPageBreak/>
        <w:t>BOARD FINDINGS</w:t>
      </w:r>
      <w:r w:rsidRPr="00C8377C">
        <w:rPr>
          <w:rFonts w:asciiTheme="minorHAnsi" w:hAnsiTheme="minorHAnsi"/>
          <w:color w:val="auto"/>
          <w:szCs w:val="24"/>
        </w:rPr>
        <w:t>:</w:t>
      </w:r>
      <w:r w:rsidRPr="00C8377C">
        <w:rPr>
          <w:rFonts w:asciiTheme="minorHAnsi" w:eastAsiaTheme="minorHAnsi" w:hAnsiTheme="minorHAnsi"/>
          <w:color w:val="auto"/>
          <w:szCs w:val="24"/>
        </w:rPr>
        <w:t xml:space="preserve">  IAW DoDI 6040.44, provisions of DoD or Military Department regulations or guidelines relied upon by the PEB will not be considered by the Board to the extent they were inconsistent with the VASRD in effect at the time of the adjudication.</w:t>
      </w:r>
      <w:r w:rsidR="00E773D9" w:rsidRPr="00C8377C">
        <w:rPr>
          <w:rFonts w:asciiTheme="minorHAnsi" w:hAnsiTheme="minorHAnsi"/>
          <w:b/>
          <w:color w:val="auto"/>
        </w:rPr>
        <w:t xml:space="preserve">  </w:t>
      </w:r>
      <w:r w:rsidR="00883AF8" w:rsidRPr="00C8377C">
        <w:rPr>
          <w:rFonts w:asciiTheme="minorHAnsi" w:eastAsiaTheme="minorHAnsi" w:hAnsiTheme="minorHAnsi"/>
          <w:color w:val="auto"/>
          <w:szCs w:val="24"/>
        </w:rPr>
        <w:t xml:space="preserve">The Board did not surmise from the record or PEB ruling in this case that any prerogatives outside the VASRD were exercised.  </w:t>
      </w:r>
      <w:r w:rsidR="00156B7E" w:rsidRPr="00C8377C">
        <w:rPr>
          <w:rFonts w:asciiTheme="minorHAnsi" w:eastAsiaTheme="minorHAnsi" w:hAnsiTheme="minorHAnsi"/>
          <w:color w:val="auto"/>
          <w:szCs w:val="24"/>
        </w:rPr>
        <w:t xml:space="preserve">In the matter of the bilateral knee condition and </w:t>
      </w:r>
      <w:r w:rsidR="00156B7E" w:rsidRPr="00C8377C">
        <w:rPr>
          <w:rFonts w:asciiTheme="minorHAnsi" w:hAnsiTheme="minorHAnsi"/>
          <w:color w:val="auto"/>
          <w:szCs w:val="24"/>
        </w:rPr>
        <w:t>IAW VASRD §4.71a</w:t>
      </w:r>
      <w:r w:rsidR="00156B7E" w:rsidRPr="00C8377C">
        <w:rPr>
          <w:rFonts w:asciiTheme="minorHAnsi" w:eastAsiaTheme="minorHAnsi" w:hAnsiTheme="minorHAnsi"/>
          <w:color w:val="auto"/>
          <w:szCs w:val="24"/>
        </w:rPr>
        <w:t>, the Board unanimously recommends no change in the PEB adjudication</w:t>
      </w:r>
      <w:r w:rsidR="00156B7E" w:rsidRPr="00C8377C">
        <w:rPr>
          <w:rFonts w:asciiTheme="minorHAnsi" w:hAnsiTheme="minorHAnsi"/>
          <w:color w:val="auto"/>
          <w:szCs w:val="24"/>
        </w:rPr>
        <w:t xml:space="preserve">.  </w:t>
      </w:r>
      <w:r w:rsidR="00883AF8" w:rsidRPr="00C8377C">
        <w:rPr>
          <w:rFonts w:asciiTheme="minorHAnsi" w:hAnsiTheme="minorHAnsi"/>
          <w:color w:val="auto"/>
          <w:szCs w:val="24"/>
        </w:rPr>
        <w:t xml:space="preserve">In the matter of the </w:t>
      </w:r>
      <w:r w:rsidR="00883AF8" w:rsidRPr="00C8377C">
        <w:rPr>
          <w:rFonts w:asciiTheme="minorHAnsi" w:eastAsiaTheme="minorHAnsi" w:hAnsiTheme="minorHAnsi"/>
          <w:color w:val="auto"/>
          <w:szCs w:val="24"/>
        </w:rPr>
        <w:t xml:space="preserve">bilateral shoulder condition and bilateral hand condition, </w:t>
      </w:r>
      <w:r w:rsidR="00883AF8" w:rsidRPr="00C8377C">
        <w:rPr>
          <w:rFonts w:asciiTheme="minorHAnsi" w:hAnsiTheme="minorHAnsi"/>
          <w:color w:val="auto"/>
          <w:szCs w:val="24"/>
        </w:rPr>
        <w:t xml:space="preserve">the </w:t>
      </w:r>
      <w:r w:rsidR="00883AF8" w:rsidRPr="008840E4">
        <w:rPr>
          <w:rFonts w:asciiTheme="minorHAnsi" w:hAnsiTheme="minorHAnsi"/>
          <w:color w:val="auto"/>
          <w:szCs w:val="24"/>
        </w:rPr>
        <w:t>Board unanimously recommends no change from the PEB adjudications as not unfitting.</w:t>
      </w:r>
      <w:r w:rsidR="00156B7E" w:rsidRPr="008840E4">
        <w:rPr>
          <w:rFonts w:asciiTheme="minorHAnsi" w:hAnsiTheme="minorHAnsi"/>
          <w:color w:val="auto"/>
          <w:szCs w:val="24"/>
        </w:rPr>
        <w:t xml:space="preserve">  </w:t>
      </w:r>
      <w:r w:rsidR="008840E4" w:rsidRPr="008840E4">
        <w:rPr>
          <w:rFonts w:eastAsiaTheme="minorHAnsi" w:cstheme="minorBidi"/>
          <w:color w:val="auto"/>
          <w:szCs w:val="24"/>
        </w:rPr>
        <w:t>The Board unanimously agrees that there were no other conditions eligible for Board consideration which could be recommended as additionally unfitting for rating at separation.</w:t>
      </w:r>
    </w:p>
    <w:p w:rsidR="00883AF8" w:rsidRPr="00C8377C" w:rsidRDefault="00883AF8" w:rsidP="00F1737C">
      <w:pPr>
        <w:pBdr>
          <w:bottom w:val="single" w:sz="12" w:space="1" w:color="auto"/>
        </w:pBdr>
        <w:tabs>
          <w:tab w:val="left" w:pos="288"/>
          <w:tab w:val="left" w:pos="4752"/>
        </w:tabs>
        <w:spacing w:line="240" w:lineRule="exact"/>
        <w:jc w:val="both"/>
        <w:rPr>
          <w:rFonts w:asciiTheme="minorHAnsi" w:hAnsiTheme="minorHAnsi"/>
          <w:b/>
          <w:color w:val="auto"/>
          <w:u w:val="single"/>
        </w:rPr>
      </w:pPr>
    </w:p>
    <w:p w:rsidR="000C5CF2" w:rsidRPr="00C8377C" w:rsidRDefault="000C5CF2" w:rsidP="00510F9C">
      <w:pPr>
        <w:spacing w:line="240" w:lineRule="exact"/>
        <w:rPr>
          <w:rFonts w:asciiTheme="minorHAnsi" w:hAnsiTheme="minorHAnsi"/>
          <w:color w:val="auto"/>
          <w:szCs w:val="24"/>
          <w:u w:val="single"/>
        </w:rPr>
      </w:pPr>
    </w:p>
    <w:p w:rsidR="006B4AA2" w:rsidRPr="00C8377C" w:rsidRDefault="00C56FC8" w:rsidP="00156B7E">
      <w:pPr>
        <w:spacing w:line="240" w:lineRule="exact"/>
        <w:rPr>
          <w:rFonts w:asciiTheme="minorHAnsi" w:hAnsiTheme="minorHAnsi"/>
          <w:color w:val="auto"/>
          <w:szCs w:val="24"/>
        </w:rPr>
      </w:pPr>
      <w:r w:rsidRPr="00C8377C">
        <w:rPr>
          <w:rFonts w:asciiTheme="minorHAnsi" w:hAnsiTheme="minorHAnsi"/>
          <w:color w:val="auto"/>
          <w:szCs w:val="24"/>
          <w:u w:val="single"/>
        </w:rPr>
        <w:t>RECOMMENDATION</w:t>
      </w:r>
      <w:r w:rsidRPr="00C8377C">
        <w:rPr>
          <w:rFonts w:asciiTheme="minorHAnsi" w:hAnsiTheme="minorHAnsi"/>
          <w:color w:val="auto"/>
          <w:szCs w:val="24"/>
        </w:rPr>
        <w:t>:</w:t>
      </w:r>
      <w:r w:rsidRPr="00C8377C">
        <w:rPr>
          <w:rFonts w:asciiTheme="minorHAnsi" w:hAnsiTheme="minorHAnsi"/>
          <w:color w:val="000080"/>
          <w:szCs w:val="24"/>
        </w:rPr>
        <w:t xml:space="preserve"> </w:t>
      </w:r>
      <w:r w:rsidR="00156B7E" w:rsidRPr="00C8377C">
        <w:rPr>
          <w:rFonts w:asciiTheme="minorHAnsi" w:hAnsiTheme="minorHAnsi"/>
          <w:color w:val="000080"/>
          <w:szCs w:val="24"/>
        </w:rPr>
        <w:t xml:space="preserve"> </w:t>
      </w:r>
      <w:r w:rsidRPr="00C8377C">
        <w:rPr>
          <w:rFonts w:asciiTheme="minorHAnsi" w:hAnsiTheme="minorHAnsi"/>
          <w:color w:val="auto"/>
          <w:szCs w:val="24"/>
        </w:rPr>
        <w:t>The Board</w:t>
      </w:r>
      <w:r w:rsidR="006A543A" w:rsidRPr="00C8377C">
        <w:rPr>
          <w:rFonts w:asciiTheme="minorHAnsi" w:hAnsiTheme="minorHAnsi"/>
          <w:color w:val="auto"/>
          <w:szCs w:val="24"/>
        </w:rPr>
        <w:t>,</w:t>
      </w:r>
      <w:r w:rsidRPr="00C8377C">
        <w:rPr>
          <w:rFonts w:asciiTheme="minorHAnsi" w:hAnsiTheme="minorHAnsi"/>
          <w:color w:val="auto"/>
          <w:szCs w:val="24"/>
        </w:rPr>
        <w:t xml:space="preserve"> therefore</w:t>
      </w:r>
      <w:r w:rsidR="006A543A" w:rsidRPr="00C8377C">
        <w:rPr>
          <w:rFonts w:asciiTheme="minorHAnsi" w:hAnsiTheme="minorHAnsi"/>
          <w:color w:val="auto"/>
          <w:szCs w:val="24"/>
        </w:rPr>
        <w:t>,</w:t>
      </w:r>
      <w:r w:rsidRPr="00C8377C">
        <w:rPr>
          <w:rFonts w:asciiTheme="minorHAnsi" w:hAnsiTheme="minorHAnsi"/>
          <w:color w:val="auto"/>
          <w:szCs w:val="24"/>
        </w:rPr>
        <w:t xml:space="preserve"> recommends that there be no recharacterization of the CI’s disability and separation determination</w:t>
      </w:r>
      <w:r w:rsidR="008C3FD0" w:rsidRPr="00C8377C">
        <w:rPr>
          <w:rFonts w:asciiTheme="minorHAnsi" w:hAnsiTheme="minorHAnsi"/>
          <w:color w:val="auto"/>
          <w:szCs w:val="24"/>
        </w:rPr>
        <w:t>,</w:t>
      </w:r>
      <w:r w:rsidR="00BD2A49" w:rsidRPr="00C8377C">
        <w:rPr>
          <w:rFonts w:asciiTheme="minorHAnsi" w:hAnsiTheme="minorHAnsi"/>
          <w:color w:val="auto"/>
          <w:szCs w:val="24"/>
        </w:rPr>
        <w:t xml:space="preserve"> as follows:</w:t>
      </w:r>
      <w:r w:rsidR="003604A5" w:rsidRPr="00C8377C">
        <w:rPr>
          <w:rFonts w:asciiTheme="minorHAnsi" w:hAnsiTheme="minorHAnsi"/>
          <w:color w:val="auto"/>
          <w:szCs w:val="24"/>
        </w:rPr>
        <w:t xml:space="preserve"> </w:t>
      </w:r>
    </w:p>
    <w:p w:rsidR="004101B2" w:rsidRPr="00C8377C" w:rsidRDefault="004101B2" w:rsidP="00510F9C">
      <w:pPr>
        <w:tabs>
          <w:tab w:val="left" w:pos="288"/>
          <w:tab w:val="left" w:pos="4752"/>
        </w:tabs>
        <w:spacing w:line="240" w:lineRule="exact"/>
        <w:jc w:val="both"/>
        <w:rPr>
          <w:rFonts w:asciiTheme="minorHAnsi" w:hAnsiTheme="minorHAnsi"/>
          <w:color w:val="aut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0"/>
        <w:gridCol w:w="1710"/>
        <w:gridCol w:w="1170"/>
      </w:tblGrid>
      <w:tr w:rsidR="00A95BBA" w:rsidRPr="00C8377C" w:rsidTr="00103948">
        <w:trPr>
          <w:trHeight w:val="233"/>
          <w:jc w:val="center"/>
        </w:trPr>
        <w:tc>
          <w:tcPr>
            <w:tcW w:w="6480" w:type="dxa"/>
            <w:shd w:val="clear" w:color="auto" w:fill="D9D9D9"/>
            <w:vAlign w:val="center"/>
          </w:tcPr>
          <w:p w:rsidR="00A95BBA" w:rsidRPr="00C8377C" w:rsidRDefault="00A95BBA" w:rsidP="00103948">
            <w:pPr>
              <w:tabs>
                <w:tab w:val="left" w:pos="288"/>
                <w:tab w:val="left" w:pos="4752"/>
              </w:tabs>
              <w:spacing w:line="240" w:lineRule="exact"/>
              <w:jc w:val="center"/>
              <w:rPr>
                <w:rFonts w:asciiTheme="minorHAnsi" w:hAnsiTheme="minorHAnsi"/>
                <w:b/>
                <w:color w:val="auto"/>
                <w:szCs w:val="24"/>
              </w:rPr>
            </w:pPr>
            <w:r w:rsidRPr="00C8377C">
              <w:rPr>
                <w:rFonts w:asciiTheme="minorHAnsi" w:hAnsiTheme="minorHAnsi"/>
                <w:b/>
                <w:color w:val="auto"/>
                <w:szCs w:val="24"/>
              </w:rPr>
              <w:t>UNFITTING CONDITION</w:t>
            </w:r>
          </w:p>
        </w:tc>
        <w:tc>
          <w:tcPr>
            <w:tcW w:w="1710" w:type="dxa"/>
            <w:shd w:val="clear" w:color="auto" w:fill="D9D9D9"/>
            <w:vAlign w:val="center"/>
          </w:tcPr>
          <w:p w:rsidR="00A95BBA" w:rsidRPr="00C8377C" w:rsidRDefault="00A95BBA" w:rsidP="00103948">
            <w:pPr>
              <w:tabs>
                <w:tab w:val="left" w:pos="288"/>
                <w:tab w:val="left" w:pos="4752"/>
              </w:tabs>
              <w:spacing w:line="240" w:lineRule="exact"/>
              <w:jc w:val="center"/>
              <w:rPr>
                <w:rFonts w:asciiTheme="minorHAnsi" w:hAnsiTheme="minorHAnsi"/>
                <w:b/>
                <w:color w:val="auto"/>
                <w:szCs w:val="24"/>
              </w:rPr>
            </w:pPr>
            <w:r w:rsidRPr="00C8377C">
              <w:rPr>
                <w:rFonts w:asciiTheme="minorHAnsi" w:hAnsiTheme="minorHAnsi"/>
                <w:b/>
                <w:color w:val="auto"/>
                <w:szCs w:val="24"/>
              </w:rPr>
              <w:t>VASRD CODE</w:t>
            </w:r>
          </w:p>
        </w:tc>
        <w:tc>
          <w:tcPr>
            <w:tcW w:w="1170" w:type="dxa"/>
            <w:shd w:val="clear" w:color="auto" w:fill="D9D9D9"/>
            <w:vAlign w:val="center"/>
          </w:tcPr>
          <w:p w:rsidR="00A95BBA" w:rsidRPr="00C8377C" w:rsidRDefault="00A95BBA" w:rsidP="00103948">
            <w:pPr>
              <w:tabs>
                <w:tab w:val="left" w:pos="288"/>
                <w:tab w:val="left" w:pos="4752"/>
              </w:tabs>
              <w:spacing w:line="240" w:lineRule="exact"/>
              <w:jc w:val="center"/>
              <w:rPr>
                <w:rFonts w:asciiTheme="minorHAnsi" w:hAnsiTheme="minorHAnsi"/>
                <w:b/>
                <w:color w:val="auto"/>
                <w:szCs w:val="24"/>
              </w:rPr>
            </w:pPr>
            <w:r w:rsidRPr="00C8377C">
              <w:rPr>
                <w:rFonts w:asciiTheme="minorHAnsi" w:hAnsiTheme="minorHAnsi"/>
                <w:b/>
                <w:color w:val="auto"/>
                <w:szCs w:val="24"/>
              </w:rPr>
              <w:t>RATING</w:t>
            </w:r>
          </w:p>
        </w:tc>
      </w:tr>
      <w:tr w:rsidR="00A95BBA" w:rsidRPr="00C8377C" w:rsidTr="00103948">
        <w:trPr>
          <w:jc w:val="center"/>
        </w:trPr>
        <w:tc>
          <w:tcPr>
            <w:tcW w:w="6480" w:type="dxa"/>
            <w:vAlign w:val="center"/>
          </w:tcPr>
          <w:p w:rsidR="00A95BBA" w:rsidRPr="00C8377C" w:rsidRDefault="000C5CF2" w:rsidP="00103948">
            <w:pPr>
              <w:tabs>
                <w:tab w:val="left" w:pos="288"/>
                <w:tab w:val="left" w:pos="4752"/>
              </w:tabs>
              <w:spacing w:line="240" w:lineRule="exact"/>
              <w:rPr>
                <w:rFonts w:asciiTheme="minorHAnsi" w:hAnsiTheme="minorHAnsi"/>
                <w:color w:val="auto"/>
                <w:szCs w:val="24"/>
              </w:rPr>
            </w:pPr>
            <w:r w:rsidRPr="00C8377C">
              <w:rPr>
                <w:rFonts w:asciiTheme="minorHAnsi" w:hAnsiTheme="minorHAnsi"/>
                <w:color w:val="auto"/>
                <w:szCs w:val="24"/>
              </w:rPr>
              <w:t xml:space="preserve">Mild Bilateral Patellofemoral Arthritis </w:t>
            </w:r>
          </w:p>
        </w:tc>
        <w:tc>
          <w:tcPr>
            <w:tcW w:w="1710" w:type="dxa"/>
            <w:vAlign w:val="center"/>
          </w:tcPr>
          <w:p w:rsidR="00A95BBA" w:rsidRPr="00C8377C" w:rsidRDefault="000C5CF2" w:rsidP="00103948">
            <w:pPr>
              <w:tabs>
                <w:tab w:val="left" w:pos="288"/>
                <w:tab w:val="left" w:pos="4752"/>
              </w:tabs>
              <w:spacing w:line="240" w:lineRule="exact"/>
              <w:jc w:val="center"/>
              <w:rPr>
                <w:rFonts w:asciiTheme="minorHAnsi" w:hAnsiTheme="minorHAnsi"/>
                <w:color w:val="auto"/>
                <w:szCs w:val="24"/>
              </w:rPr>
            </w:pPr>
            <w:r w:rsidRPr="00C8377C">
              <w:rPr>
                <w:rFonts w:asciiTheme="minorHAnsi" w:hAnsiTheme="minorHAnsi"/>
                <w:color w:val="auto"/>
                <w:szCs w:val="24"/>
              </w:rPr>
              <w:t>5003</w:t>
            </w:r>
          </w:p>
        </w:tc>
        <w:tc>
          <w:tcPr>
            <w:tcW w:w="1170" w:type="dxa"/>
            <w:vAlign w:val="center"/>
          </w:tcPr>
          <w:p w:rsidR="00A95BBA" w:rsidRPr="00C8377C" w:rsidRDefault="00CF43FD" w:rsidP="00103948">
            <w:pPr>
              <w:tabs>
                <w:tab w:val="left" w:pos="288"/>
                <w:tab w:val="left" w:pos="4752"/>
              </w:tabs>
              <w:spacing w:line="240" w:lineRule="exact"/>
              <w:jc w:val="center"/>
              <w:rPr>
                <w:rFonts w:asciiTheme="minorHAnsi" w:hAnsiTheme="minorHAnsi"/>
                <w:color w:val="auto"/>
                <w:szCs w:val="24"/>
              </w:rPr>
            </w:pPr>
            <w:r w:rsidRPr="00C8377C">
              <w:rPr>
                <w:rFonts w:asciiTheme="minorHAnsi" w:hAnsiTheme="minorHAnsi"/>
                <w:color w:val="auto"/>
                <w:szCs w:val="24"/>
              </w:rPr>
              <w:t>20</w:t>
            </w:r>
            <w:r w:rsidR="00A95BBA" w:rsidRPr="00C8377C">
              <w:rPr>
                <w:rFonts w:asciiTheme="minorHAnsi" w:hAnsiTheme="minorHAnsi"/>
                <w:color w:val="auto"/>
                <w:szCs w:val="24"/>
              </w:rPr>
              <w:t>%</w:t>
            </w:r>
          </w:p>
        </w:tc>
      </w:tr>
      <w:tr w:rsidR="00A95BBA" w:rsidRPr="00C8377C" w:rsidTr="00103948">
        <w:tblPrEx>
          <w:tblLook w:val="0000"/>
        </w:tblPrEx>
        <w:trPr>
          <w:gridBefore w:val="1"/>
          <w:wBefore w:w="6480" w:type="dxa"/>
          <w:trHeight w:val="152"/>
          <w:jc w:val="center"/>
        </w:trPr>
        <w:tc>
          <w:tcPr>
            <w:tcW w:w="1710" w:type="dxa"/>
            <w:tcBorders>
              <w:left w:val="single" w:sz="4" w:space="0" w:color="auto"/>
              <w:bottom w:val="single" w:sz="4" w:space="0" w:color="000000"/>
            </w:tcBorders>
            <w:shd w:val="clear" w:color="auto" w:fill="D9D9D9" w:themeFill="background1" w:themeFillShade="D9"/>
            <w:vAlign w:val="center"/>
          </w:tcPr>
          <w:p w:rsidR="00A95BBA" w:rsidRPr="00C8377C" w:rsidRDefault="00A95BBA" w:rsidP="00103948">
            <w:pPr>
              <w:tabs>
                <w:tab w:val="left" w:pos="288"/>
                <w:tab w:val="left" w:pos="4752"/>
              </w:tabs>
              <w:spacing w:line="240" w:lineRule="exact"/>
              <w:jc w:val="center"/>
              <w:rPr>
                <w:rFonts w:asciiTheme="minorHAnsi" w:hAnsiTheme="minorHAnsi"/>
                <w:b/>
                <w:color w:val="auto"/>
                <w:szCs w:val="24"/>
              </w:rPr>
            </w:pPr>
            <w:r w:rsidRPr="00C8377C">
              <w:rPr>
                <w:rFonts w:asciiTheme="minorHAnsi" w:hAnsiTheme="minorHAnsi"/>
                <w:b/>
                <w:color w:val="auto"/>
                <w:szCs w:val="24"/>
              </w:rPr>
              <w:t>COMBINED</w:t>
            </w:r>
          </w:p>
        </w:tc>
        <w:tc>
          <w:tcPr>
            <w:tcW w:w="1170" w:type="dxa"/>
            <w:tcBorders>
              <w:bottom w:val="single" w:sz="4" w:space="0" w:color="000000"/>
            </w:tcBorders>
            <w:shd w:val="clear" w:color="auto" w:fill="D9D9D9" w:themeFill="background1" w:themeFillShade="D9"/>
            <w:vAlign w:val="center"/>
          </w:tcPr>
          <w:p w:rsidR="00A95BBA" w:rsidRPr="00C8377C" w:rsidRDefault="00CF43FD" w:rsidP="00103948">
            <w:pPr>
              <w:tabs>
                <w:tab w:val="left" w:pos="288"/>
                <w:tab w:val="left" w:pos="4752"/>
              </w:tabs>
              <w:spacing w:line="240" w:lineRule="exact"/>
              <w:jc w:val="center"/>
              <w:rPr>
                <w:rFonts w:asciiTheme="minorHAnsi" w:hAnsiTheme="minorHAnsi"/>
                <w:b/>
                <w:color w:val="auto"/>
                <w:szCs w:val="24"/>
              </w:rPr>
            </w:pPr>
            <w:r w:rsidRPr="00C8377C">
              <w:rPr>
                <w:rFonts w:asciiTheme="minorHAnsi" w:hAnsiTheme="minorHAnsi"/>
                <w:b/>
                <w:color w:val="auto"/>
                <w:szCs w:val="24"/>
              </w:rPr>
              <w:t>2</w:t>
            </w:r>
            <w:r w:rsidR="00A95BBA" w:rsidRPr="00C8377C">
              <w:rPr>
                <w:rFonts w:asciiTheme="minorHAnsi" w:hAnsiTheme="minorHAnsi"/>
                <w:b/>
                <w:color w:val="auto"/>
                <w:szCs w:val="24"/>
              </w:rPr>
              <w:t>0%</w:t>
            </w:r>
          </w:p>
        </w:tc>
      </w:tr>
    </w:tbl>
    <w:p w:rsidR="00A83C15" w:rsidRPr="00C8377C" w:rsidRDefault="00A83C15" w:rsidP="00510F9C">
      <w:pPr>
        <w:tabs>
          <w:tab w:val="left" w:pos="288"/>
          <w:tab w:val="left" w:pos="1710"/>
        </w:tabs>
        <w:spacing w:line="240" w:lineRule="exact"/>
        <w:rPr>
          <w:rFonts w:asciiTheme="minorHAnsi" w:hAnsiTheme="minorHAnsi"/>
          <w:b/>
          <w:caps/>
          <w:color w:val="auto"/>
          <w:u w:val="single"/>
        </w:rPr>
      </w:pPr>
      <w:r w:rsidRPr="00C8377C">
        <w:rPr>
          <w:rFonts w:asciiTheme="minorHAnsi" w:hAnsiTheme="minorHAnsi"/>
          <w:b/>
          <w:color w:val="auto"/>
          <w:u w:val="single"/>
        </w:rPr>
        <w:t>______________________________________________________________________________</w:t>
      </w:r>
    </w:p>
    <w:p w:rsidR="00106AD8" w:rsidRPr="00C8377C" w:rsidRDefault="00106AD8" w:rsidP="00510F9C">
      <w:pPr>
        <w:tabs>
          <w:tab w:val="left" w:pos="288"/>
          <w:tab w:val="left" w:pos="4752"/>
        </w:tabs>
        <w:spacing w:line="240" w:lineRule="exact"/>
        <w:rPr>
          <w:b/>
          <w:color w:val="auto"/>
          <w:szCs w:val="24"/>
        </w:rPr>
      </w:pPr>
    </w:p>
    <w:p w:rsidR="00D91DA6" w:rsidRPr="00C8377C" w:rsidRDefault="00FB1725" w:rsidP="00510F9C">
      <w:pPr>
        <w:tabs>
          <w:tab w:val="left" w:pos="288"/>
          <w:tab w:val="left" w:pos="4752"/>
        </w:tabs>
        <w:spacing w:line="240" w:lineRule="exact"/>
        <w:jc w:val="both"/>
        <w:rPr>
          <w:rFonts w:asciiTheme="minorHAnsi" w:hAnsiTheme="minorHAnsi"/>
          <w:color w:val="auto"/>
        </w:rPr>
      </w:pPr>
      <w:r w:rsidRPr="00C8377C">
        <w:rPr>
          <w:rFonts w:asciiTheme="minorHAnsi" w:hAnsiTheme="minorHAnsi"/>
          <w:color w:val="auto"/>
        </w:rPr>
        <w:t>The following documentary evidence was considered:</w:t>
      </w:r>
    </w:p>
    <w:p w:rsidR="00EB5EFD" w:rsidRPr="00C8377C" w:rsidRDefault="00EB5EFD" w:rsidP="00510F9C">
      <w:pPr>
        <w:tabs>
          <w:tab w:val="left" w:pos="288"/>
          <w:tab w:val="left" w:pos="4752"/>
        </w:tabs>
        <w:spacing w:line="240" w:lineRule="exact"/>
        <w:jc w:val="both"/>
        <w:rPr>
          <w:rFonts w:asciiTheme="minorHAnsi" w:hAnsiTheme="minorHAnsi"/>
          <w:color w:val="auto"/>
        </w:rPr>
      </w:pPr>
    </w:p>
    <w:p w:rsidR="00114F20" w:rsidRPr="00C8377C" w:rsidRDefault="00FB1725" w:rsidP="00510F9C">
      <w:pPr>
        <w:tabs>
          <w:tab w:val="left" w:pos="288"/>
          <w:tab w:val="left" w:pos="4752"/>
        </w:tabs>
        <w:spacing w:line="240" w:lineRule="exact"/>
        <w:jc w:val="both"/>
        <w:rPr>
          <w:rFonts w:asciiTheme="minorHAnsi" w:hAnsiTheme="minorHAnsi"/>
          <w:color w:val="auto"/>
        </w:rPr>
      </w:pPr>
      <w:r w:rsidRPr="00C8377C">
        <w:rPr>
          <w:rFonts w:asciiTheme="minorHAnsi" w:hAnsiTheme="minorHAnsi"/>
          <w:color w:val="auto"/>
        </w:rPr>
        <w:t>Exhibit A.  DD Form 294, dated 20</w:t>
      </w:r>
      <w:r w:rsidR="00F5144C" w:rsidRPr="00C8377C">
        <w:rPr>
          <w:rFonts w:asciiTheme="minorHAnsi" w:hAnsiTheme="minorHAnsi"/>
          <w:color w:val="auto"/>
        </w:rPr>
        <w:t>110223</w:t>
      </w:r>
      <w:r w:rsidR="00AD2AD5">
        <w:rPr>
          <w:rFonts w:asciiTheme="minorHAnsi" w:hAnsiTheme="minorHAnsi"/>
          <w:color w:val="auto"/>
        </w:rPr>
        <w:t>, w/</w:t>
      </w:r>
      <w:proofErr w:type="spellStart"/>
      <w:r w:rsidR="00AD2AD5">
        <w:rPr>
          <w:rFonts w:asciiTheme="minorHAnsi" w:hAnsiTheme="minorHAnsi"/>
          <w:color w:val="auto"/>
        </w:rPr>
        <w:t>atchs</w:t>
      </w:r>
      <w:proofErr w:type="spellEnd"/>
    </w:p>
    <w:p w:rsidR="00114F20" w:rsidRPr="00C8377C" w:rsidRDefault="00FB1725" w:rsidP="00510F9C">
      <w:pPr>
        <w:tabs>
          <w:tab w:val="left" w:pos="288"/>
          <w:tab w:val="left" w:pos="4752"/>
        </w:tabs>
        <w:spacing w:line="240" w:lineRule="exact"/>
        <w:jc w:val="both"/>
        <w:rPr>
          <w:rFonts w:asciiTheme="minorHAnsi" w:hAnsiTheme="minorHAnsi"/>
          <w:color w:val="auto"/>
        </w:rPr>
      </w:pPr>
      <w:r w:rsidRPr="00C8377C">
        <w:rPr>
          <w:rFonts w:asciiTheme="minorHAnsi" w:hAnsiTheme="minorHAnsi"/>
          <w:color w:val="auto"/>
        </w:rPr>
        <w:t>Exhib</w:t>
      </w:r>
      <w:r w:rsidR="00AD2AD5">
        <w:rPr>
          <w:rFonts w:asciiTheme="minorHAnsi" w:hAnsiTheme="minorHAnsi"/>
          <w:color w:val="auto"/>
        </w:rPr>
        <w:t>it B.  Service Treatment Record</w:t>
      </w:r>
    </w:p>
    <w:p w:rsidR="00114F20" w:rsidRPr="00C8377C" w:rsidRDefault="00FB1725" w:rsidP="00510F9C">
      <w:pPr>
        <w:tabs>
          <w:tab w:val="left" w:pos="288"/>
          <w:tab w:val="left" w:pos="4752"/>
        </w:tabs>
        <w:spacing w:line="240" w:lineRule="exact"/>
        <w:jc w:val="both"/>
        <w:rPr>
          <w:rFonts w:asciiTheme="minorHAnsi" w:hAnsiTheme="minorHAnsi"/>
          <w:color w:val="auto"/>
        </w:rPr>
      </w:pPr>
      <w:r w:rsidRPr="00C8377C">
        <w:rPr>
          <w:rFonts w:asciiTheme="minorHAnsi" w:hAnsiTheme="minorHAnsi"/>
          <w:color w:val="auto"/>
        </w:rPr>
        <w:t>Exhibit C.  Department of Vet</w:t>
      </w:r>
      <w:r w:rsidR="00AD2AD5">
        <w:rPr>
          <w:rFonts w:asciiTheme="minorHAnsi" w:hAnsiTheme="minorHAnsi"/>
          <w:color w:val="auto"/>
        </w:rPr>
        <w:t>erans' Affairs Treatment Record</w:t>
      </w:r>
    </w:p>
    <w:p w:rsidR="00D91DA6" w:rsidRPr="00C8377C" w:rsidRDefault="00D91DA6" w:rsidP="00510F9C">
      <w:pPr>
        <w:tabs>
          <w:tab w:val="left" w:pos="288"/>
          <w:tab w:val="left" w:pos="4752"/>
        </w:tabs>
        <w:spacing w:line="240" w:lineRule="exact"/>
        <w:jc w:val="both"/>
        <w:rPr>
          <w:rFonts w:asciiTheme="minorHAnsi" w:hAnsiTheme="minorHAnsi"/>
          <w:color w:val="auto"/>
        </w:rPr>
      </w:pPr>
    </w:p>
    <w:p w:rsidR="00114F20" w:rsidRPr="00C8377C" w:rsidRDefault="00114F20" w:rsidP="00510F9C">
      <w:pPr>
        <w:tabs>
          <w:tab w:val="left" w:pos="288"/>
          <w:tab w:val="left" w:pos="4752"/>
        </w:tabs>
        <w:spacing w:line="240" w:lineRule="exact"/>
        <w:jc w:val="both"/>
        <w:rPr>
          <w:rFonts w:asciiTheme="minorHAnsi" w:hAnsiTheme="minorHAnsi"/>
          <w:color w:val="auto"/>
        </w:rPr>
      </w:pPr>
    </w:p>
    <w:p w:rsidR="00114F20" w:rsidRPr="00C8377C" w:rsidRDefault="00114F20" w:rsidP="00510F9C">
      <w:pPr>
        <w:tabs>
          <w:tab w:val="left" w:pos="288"/>
          <w:tab w:val="left" w:pos="4752"/>
        </w:tabs>
        <w:spacing w:line="240" w:lineRule="exact"/>
        <w:jc w:val="both"/>
        <w:rPr>
          <w:rFonts w:asciiTheme="minorHAnsi" w:hAnsiTheme="minorHAnsi"/>
          <w:color w:val="auto"/>
        </w:rPr>
      </w:pPr>
    </w:p>
    <w:p w:rsidR="00114F20" w:rsidRPr="00C8377C" w:rsidRDefault="00114F20" w:rsidP="00510F9C">
      <w:pPr>
        <w:tabs>
          <w:tab w:val="left" w:pos="288"/>
          <w:tab w:val="left" w:pos="4752"/>
        </w:tabs>
        <w:spacing w:line="240" w:lineRule="exact"/>
        <w:jc w:val="both"/>
        <w:rPr>
          <w:rFonts w:asciiTheme="minorHAnsi" w:hAnsiTheme="minorHAnsi"/>
          <w:color w:val="auto"/>
        </w:rPr>
      </w:pPr>
    </w:p>
    <w:p w:rsidR="007512C4" w:rsidRPr="00C8377C" w:rsidRDefault="007512C4" w:rsidP="007512C4">
      <w:pPr>
        <w:tabs>
          <w:tab w:val="left" w:pos="0"/>
          <w:tab w:val="left" w:pos="4320"/>
        </w:tabs>
        <w:spacing w:line="240" w:lineRule="exact"/>
        <w:jc w:val="both"/>
        <w:rPr>
          <w:rFonts w:asciiTheme="minorHAnsi" w:hAnsiTheme="minorHAnsi"/>
          <w:color w:val="auto"/>
        </w:rPr>
      </w:pPr>
      <w:r w:rsidRPr="00C8377C">
        <w:rPr>
          <w:rFonts w:asciiTheme="minorHAnsi" w:hAnsiTheme="minorHAnsi"/>
          <w:color w:val="auto"/>
        </w:rPr>
        <w:tab/>
      </w:r>
      <w:r w:rsidRPr="00C8377C">
        <w:rPr>
          <w:rFonts w:asciiTheme="minorHAnsi" w:hAnsiTheme="minorHAnsi"/>
          <w:color w:val="auto"/>
        </w:rPr>
        <w:tab/>
      </w:r>
      <w:r w:rsidR="00CA2356">
        <w:rPr>
          <w:rFonts w:asciiTheme="minorHAnsi" w:hAnsiTheme="minorHAnsi"/>
          <w:color w:val="auto"/>
        </w:rPr>
        <w:t>XXXXXXXXXX</w:t>
      </w:r>
      <w:bookmarkStart w:id="0" w:name="_GoBack"/>
      <w:bookmarkEnd w:id="0"/>
    </w:p>
    <w:p w:rsidR="007512C4" w:rsidRPr="00C8377C" w:rsidRDefault="007512C4" w:rsidP="007512C4">
      <w:pPr>
        <w:tabs>
          <w:tab w:val="left" w:pos="0"/>
          <w:tab w:val="left" w:pos="4320"/>
        </w:tabs>
        <w:spacing w:line="240" w:lineRule="exact"/>
        <w:jc w:val="both"/>
        <w:rPr>
          <w:rFonts w:asciiTheme="minorHAnsi" w:hAnsiTheme="minorHAnsi"/>
          <w:color w:val="auto"/>
        </w:rPr>
      </w:pPr>
      <w:r w:rsidRPr="00C8377C">
        <w:rPr>
          <w:rFonts w:asciiTheme="minorHAnsi" w:hAnsiTheme="minorHAnsi"/>
          <w:color w:val="auto"/>
        </w:rPr>
        <w:tab/>
      </w:r>
      <w:r w:rsidRPr="00C8377C">
        <w:rPr>
          <w:rFonts w:asciiTheme="minorHAnsi" w:hAnsiTheme="minorHAnsi"/>
          <w:color w:val="auto"/>
        </w:rPr>
        <w:tab/>
        <w:t>President</w:t>
      </w:r>
    </w:p>
    <w:p w:rsidR="007512C4" w:rsidRPr="00810AC5" w:rsidRDefault="007512C4" w:rsidP="00C8377C">
      <w:pPr>
        <w:tabs>
          <w:tab w:val="left" w:pos="0"/>
          <w:tab w:val="left" w:pos="4320"/>
        </w:tabs>
        <w:spacing w:line="240" w:lineRule="exact"/>
        <w:jc w:val="both"/>
        <w:rPr>
          <w:rFonts w:eastAsia="HiddenHorzOCR"/>
          <w:color w:val="auto"/>
          <w:u w:val="single"/>
        </w:rPr>
      </w:pPr>
      <w:r w:rsidRPr="00C8377C">
        <w:rPr>
          <w:rFonts w:asciiTheme="minorHAnsi" w:hAnsiTheme="minorHAnsi"/>
          <w:color w:val="auto"/>
        </w:rPr>
        <w:tab/>
      </w:r>
      <w:r w:rsidRPr="00C8377C">
        <w:rPr>
          <w:rFonts w:asciiTheme="minorHAnsi" w:hAnsiTheme="minorHAnsi"/>
          <w:color w:val="auto"/>
        </w:rPr>
        <w:tab/>
        <w:t>Physical Disability Board of Review</w:t>
      </w:r>
    </w:p>
    <w:p w:rsidR="007512C4" w:rsidRDefault="007512C4" w:rsidP="007512C4">
      <w:pPr>
        <w:spacing w:line="240" w:lineRule="exact"/>
        <w:jc w:val="both"/>
        <w:rPr>
          <w:rFonts w:asciiTheme="minorHAnsi" w:eastAsia="HiddenHorzOCR" w:hAnsiTheme="minorHAnsi"/>
          <w:color w:val="auto"/>
          <w:szCs w:val="24"/>
          <w:u w:val="single"/>
        </w:rPr>
      </w:pPr>
    </w:p>
    <w:p w:rsidR="004D7ABD" w:rsidRDefault="004D7ABD" w:rsidP="006456A6">
      <w:pPr>
        <w:tabs>
          <w:tab w:val="left" w:pos="720"/>
          <w:tab w:val="left" w:pos="1080"/>
          <w:tab w:val="left" w:pos="1340"/>
          <w:tab w:val="left" w:pos="1620"/>
          <w:tab w:val="right" w:leader="dot" w:pos="9180"/>
        </w:tabs>
        <w:spacing w:line="200" w:lineRule="exact"/>
        <w:ind w:right="-720"/>
        <w:rPr>
          <w:rFonts w:ascii="Janson Text" w:hAnsi="Janson Text"/>
          <w:color w:val="auto"/>
          <w:sz w:val="20"/>
        </w:rPr>
      </w:pPr>
    </w:p>
    <w:p w:rsidR="004D7ABD" w:rsidRDefault="004D7ABD">
      <w:pPr>
        <w:rPr>
          <w:rFonts w:ascii="Janson Text" w:hAnsi="Janson Text"/>
          <w:color w:val="auto"/>
          <w:sz w:val="20"/>
        </w:rPr>
      </w:pPr>
      <w:r>
        <w:rPr>
          <w:rFonts w:ascii="Janson Text" w:hAnsi="Janson Text"/>
          <w:color w:val="auto"/>
          <w:sz w:val="20"/>
        </w:rPr>
        <w:br w:type="page"/>
      </w:r>
    </w:p>
    <w:p w:rsidR="004D7ABD" w:rsidRDefault="004D7ABD" w:rsidP="004D7ABD">
      <w:pPr>
        <w:autoSpaceDE w:val="0"/>
        <w:autoSpaceDN w:val="0"/>
        <w:adjustRightInd w:val="0"/>
        <w:rPr>
          <w:rFonts w:ascii="Arial" w:hAnsi="Arial" w:cs="Arial"/>
          <w:color w:val="auto"/>
          <w:sz w:val="22"/>
          <w:szCs w:val="22"/>
        </w:rPr>
      </w:pPr>
      <w:r>
        <w:rPr>
          <w:rFonts w:ascii="Arial" w:hAnsi="Arial" w:cs="Arial"/>
          <w:color w:val="auto"/>
          <w:sz w:val="22"/>
          <w:szCs w:val="22"/>
        </w:rPr>
        <w:t>SFMR-RB</w:t>
      </w:r>
    </w:p>
    <w:p w:rsidR="004D7ABD" w:rsidRDefault="004D7ABD" w:rsidP="004D7ABD">
      <w:pPr>
        <w:autoSpaceDE w:val="0"/>
        <w:autoSpaceDN w:val="0"/>
        <w:adjustRightInd w:val="0"/>
        <w:rPr>
          <w:rFonts w:ascii="Arial" w:hAnsi="Arial" w:cs="Arial"/>
          <w:color w:val="auto"/>
          <w:sz w:val="20"/>
        </w:rPr>
      </w:pPr>
    </w:p>
    <w:p w:rsidR="004D7ABD" w:rsidRDefault="004D7ABD" w:rsidP="004D7ABD">
      <w:pPr>
        <w:autoSpaceDE w:val="0"/>
        <w:autoSpaceDN w:val="0"/>
        <w:adjustRightInd w:val="0"/>
        <w:rPr>
          <w:rFonts w:ascii="Arial" w:hAnsi="Arial" w:cs="Arial"/>
          <w:color w:val="auto"/>
          <w:sz w:val="20"/>
        </w:rPr>
      </w:pPr>
      <w:r>
        <w:rPr>
          <w:rFonts w:ascii="Arial" w:hAnsi="Arial" w:cs="Arial"/>
          <w:color w:val="auto"/>
          <w:sz w:val="20"/>
        </w:rPr>
        <w:t>DEPARTMENT OF THE ARMY</w:t>
      </w:r>
    </w:p>
    <w:p w:rsidR="004D7ABD" w:rsidRDefault="004D7ABD" w:rsidP="004D7ABD">
      <w:pPr>
        <w:autoSpaceDE w:val="0"/>
        <w:autoSpaceDN w:val="0"/>
        <w:adjustRightInd w:val="0"/>
        <w:rPr>
          <w:rFonts w:ascii="Arial" w:hAnsi="Arial" w:cs="Arial"/>
          <w:color w:val="auto"/>
          <w:sz w:val="14"/>
          <w:szCs w:val="14"/>
        </w:rPr>
      </w:pPr>
      <w:r>
        <w:rPr>
          <w:rFonts w:ascii="Arial" w:hAnsi="Arial" w:cs="Arial"/>
          <w:color w:val="auto"/>
          <w:sz w:val="14"/>
          <w:szCs w:val="14"/>
        </w:rPr>
        <w:t>ARMY REVIEW BOARDS AGENCY</w:t>
      </w:r>
    </w:p>
    <w:p w:rsidR="004D7ABD" w:rsidRDefault="004D7ABD" w:rsidP="004D7ABD">
      <w:pPr>
        <w:autoSpaceDE w:val="0"/>
        <w:autoSpaceDN w:val="0"/>
        <w:adjustRightInd w:val="0"/>
        <w:rPr>
          <w:rFonts w:ascii="Arial" w:hAnsi="Arial" w:cs="Arial"/>
          <w:color w:val="auto"/>
          <w:sz w:val="14"/>
          <w:szCs w:val="14"/>
        </w:rPr>
      </w:pPr>
      <w:r>
        <w:rPr>
          <w:rFonts w:ascii="Arial" w:hAnsi="Arial" w:cs="Arial"/>
          <w:color w:val="auto"/>
          <w:sz w:val="14"/>
          <w:szCs w:val="14"/>
        </w:rPr>
        <w:t>1901 SOUTH BELL STREET 2ND FLOOR</w:t>
      </w:r>
    </w:p>
    <w:p w:rsidR="004D7ABD" w:rsidRDefault="004D7ABD" w:rsidP="004D7ABD">
      <w:pPr>
        <w:autoSpaceDE w:val="0"/>
        <w:autoSpaceDN w:val="0"/>
        <w:adjustRightInd w:val="0"/>
        <w:rPr>
          <w:rFonts w:ascii="Arial" w:hAnsi="Arial" w:cs="Arial"/>
          <w:color w:val="auto"/>
          <w:sz w:val="14"/>
          <w:szCs w:val="14"/>
        </w:rPr>
      </w:pPr>
      <w:r>
        <w:rPr>
          <w:rFonts w:ascii="Arial" w:hAnsi="Arial" w:cs="Arial"/>
          <w:color w:val="auto"/>
          <w:sz w:val="14"/>
          <w:szCs w:val="14"/>
        </w:rPr>
        <w:t>ARLINGTON, VA 22202-4508</w:t>
      </w:r>
    </w:p>
    <w:p w:rsidR="004D7ABD" w:rsidRDefault="004D7ABD" w:rsidP="004D7ABD">
      <w:pPr>
        <w:autoSpaceDE w:val="0"/>
        <w:autoSpaceDN w:val="0"/>
        <w:adjustRightInd w:val="0"/>
        <w:rPr>
          <w:rFonts w:ascii="Arial" w:hAnsi="Arial" w:cs="Arial"/>
          <w:color w:val="auto"/>
          <w:sz w:val="38"/>
          <w:szCs w:val="38"/>
        </w:rPr>
      </w:pPr>
    </w:p>
    <w:p w:rsidR="004D7ABD" w:rsidRDefault="004D7ABD" w:rsidP="004D7ABD">
      <w:pPr>
        <w:autoSpaceDE w:val="0"/>
        <w:autoSpaceDN w:val="0"/>
        <w:adjustRightInd w:val="0"/>
        <w:rPr>
          <w:rFonts w:ascii="Arial" w:hAnsi="Arial" w:cs="Arial"/>
          <w:color w:val="auto"/>
          <w:sz w:val="36"/>
          <w:szCs w:val="36"/>
        </w:rPr>
      </w:pPr>
      <w:r>
        <w:rPr>
          <w:rFonts w:ascii="Arial" w:hAnsi="Arial" w:cs="Arial"/>
          <w:color w:val="auto"/>
          <w:sz w:val="38"/>
          <w:szCs w:val="38"/>
        </w:rPr>
        <w:t xml:space="preserve">17 NOV </w:t>
      </w:r>
      <w:r>
        <w:rPr>
          <w:rFonts w:ascii="Arial" w:hAnsi="Arial" w:cs="Arial"/>
          <w:color w:val="auto"/>
          <w:sz w:val="36"/>
          <w:szCs w:val="36"/>
        </w:rPr>
        <w:t>2011</w:t>
      </w:r>
    </w:p>
    <w:p w:rsidR="004D7ABD" w:rsidRDefault="004D7ABD" w:rsidP="004D7ABD">
      <w:pPr>
        <w:autoSpaceDE w:val="0"/>
        <w:autoSpaceDN w:val="0"/>
        <w:adjustRightInd w:val="0"/>
        <w:rPr>
          <w:rFonts w:ascii="Arial" w:hAnsi="Arial" w:cs="Arial"/>
          <w:color w:val="auto"/>
          <w:sz w:val="22"/>
          <w:szCs w:val="22"/>
        </w:rPr>
      </w:pPr>
    </w:p>
    <w:p w:rsidR="004D7ABD" w:rsidRDefault="004D7ABD" w:rsidP="004D7ABD">
      <w:pPr>
        <w:autoSpaceDE w:val="0"/>
        <w:autoSpaceDN w:val="0"/>
        <w:adjustRightInd w:val="0"/>
        <w:rPr>
          <w:rFonts w:ascii="Arial" w:hAnsi="Arial" w:cs="Arial"/>
          <w:color w:val="auto"/>
          <w:sz w:val="22"/>
          <w:szCs w:val="22"/>
        </w:rPr>
      </w:pPr>
      <w:r>
        <w:rPr>
          <w:rFonts w:ascii="Arial" w:hAnsi="Arial" w:cs="Arial"/>
          <w:color w:val="auto"/>
          <w:sz w:val="22"/>
          <w:szCs w:val="22"/>
        </w:rPr>
        <w:t>MEMORANDUM FOR Commander, US Army Physical Disability Agency</w:t>
      </w:r>
    </w:p>
    <w:p w:rsidR="004D7ABD" w:rsidRDefault="004D7ABD" w:rsidP="004D7ABD">
      <w:pPr>
        <w:autoSpaceDE w:val="0"/>
        <w:autoSpaceDN w:val="0"/>
        <w:adjustRightInd w:val="0"/>
        <w:rPr>
          <w:rFonts w:ascii="Arial" w:hAnsi="Arial" w:cs="Arial"/>
          <w:color w:val="auto"/>
          <w:sz w:val="22"/>
          <w:szCs w:val="22"/>
        </w:rPr>
      </w:pPr>
      <w:r>
        <w:rPr>
          <w:rFonts w:ascii="Arial" w:hAnsi="Arial" w:cs="Arial"/>
          <w:color w:val="auto"/>
          <w:sz w:val="22"/>
          <w:szCs w:val="22"/>
        </w:rPr>
        <w:t xml:space="preserve">(TAPD-ZB </w:t>
      </w:r>
      <w:proofErr w:type="gramStart"/>
      <w:r>
        <w:rPr>
          <w:rFonts w:ascii="Arial" w:hAnsi="Arial" w:cs="Arial"/>
          <w:i/>
          <w:iCs/>
          <w:color w:val="auto"/>
          <w:szCs w:val="24"/>
        </w:rPr>
        <w:t xml:space="preserve">I </w:t>
      </w:r>
      <w:r>
        <w:rPr>
          <w:rFonts w:ascii="Arial" w:hAnsi="Arial" w:cs="Arial"/>
          <w:color w:val="auto"/>
          <w:sz w:val="22"/>
          <w:szCs w:val="22"/>
        </w:rPr>
        <w:t>,</w:t>
      </w:r>
      <w:proofErr w:type="gramEnd"/>
      <w:r>
        <w:rPr>
          <w:rFonts w:ascii="Arial" w:hAnsi="Arial" w:cs="Arial"/>
          <w:color w:val="auto"/>
          <w:sz w:val="22"/>
          <w:szCs w:val="22"/>
        </w:rPr>
        <w:t xml:space="preserve"> 2900 Crystal Drive, Suite 300, Arlington, VA 22202</w:t>
      </w:r>
    </w:p>
    <w:p w:rsidR="004D7ABD" w:rsidRDefault="004D7ABD" w:rsidP="004D7ABD">
      <w:pPr>
        <w:autoSpaceDE w:val="0"/>
        <w:autoSpaceDN w:val="0"/>
        <w:adjustRightInd w:val="0"/>
        <w:rPr>
          <w:rFonts w:ascii="Arial" w:hAnsi="Arial" w:cs="Arial"/>
          <w:color w:val="auto"/>
          <w:sz w:val="22"/>
          <w:szCs w:val="22"/>
        </w:rPr>
      </w:pPr>
    </w:p>
    <w:p w:rsidR="004D7ABD" w:rsidRDefault="004D7ABD" w:rsidP="004D7ABD">
      <w:pPr>
        <w:autoSpaceDE w:val="0"/>
        <w:autoSpaceDN w:val="0"/>
        <w:adjustRightInd w:val="0"/>
        <w:rPr>
          <w:rFonts w:ascii="Arial" w:hAnsi="Arial" w:cs="Arial"/>
          <w:color w:val="auto"/>
          <w:sz w:val="22"/>
          <w:szCs w:val="22"/>
        </w:rPr>
      </w:pPr>
      <w:r>
        <w:rPr>
          <w:rFonts w:ascii="Arial" w:hAnsi="Arial" w:cs="Arial"/>
          <w:color w:val="auto"/>
          <w:sz w:val="22"/>
          <w:szCs w:val="22"/>
        </w:rPr>
        <w:t>SUBJECT: Department of Defense Physical Disability Board of Review Recommendation</w:t>
      </w:r>
    </w:p>
    <w:p w:rsidR="004D7ABD" w:rsidRDefault="004D7ABD" w:rsidP="004D7ABD">
      <w:pPr>
        <w:autoSpaceDE w:val="0"/>
        <w:autoSpaceDN w:val="0"/>
        <w:adjustRightInd w:val="0"/>
        <w:rPr>
          <w:rFonts w:ascii="Arial" w:hAnsi="Arial" w:cs="Arial"/>
          <w:color w:val="auto"/>
          <w:sz w:val="22"/>
          <w:szCs w:val="22"/>
        </w:rPr>
      </w:pPr>
      <w:proofErr w:type="gramStart"/>
      <w:r>
        <w:rPr>
          <w:rFonts w:ascii="Arial" w:hAnsi="Arial" w:cs="Arial"/>
          <w:color w:val="auto"/>
          <w:sz w:val="22"/>
          <w:szCs w:val="22"/>
        </w:rPr>
        <w:t>for</w:t>
      </w:r>
      <w:proofErr w:type="gramEnd"/>
      <w:r>
        <w:rPr>
          <w:rFonts w:ascii="Arial" w:hAnsi="Arial" w:cs="Arial"/>
          <w:color w:val="auto"/>
          <w:sz w:val="22"/>
          <w:szCs w:val="22"/>
        </w:rPr>
        <w:t xml:space="preserve"> AR20110022181 (PD201100108)</w:t>
      </w:r>
    </w:p>
    <w:p w:rsidR="004D7ABD" w:rsidRDefault="004D7ABD" w:rsidP="004D7ABD">
      <w:pPr>
        <w:autoSpaceDE w:val="0"/>
        <w:autoSpaceDN w:val="0"/>
        <w:adjustRightInd w:val="0"/>
        <w:rPr>
          <w:rFonts w:ascii="Arial" w:hAnsi="Arial" w:cs="Arial"/>
          <w:color w:val="auto"/>
          <w:sz w:val="22"/>
          <w:szCs w:val="22"/>
        </w:rPr>
      </w:pPr>
    </w:p>
    <w:p w:rsidR="004D7ABD" w:rsidRDefault="004D7ABD" w:rsidP="004D7ABD">
      <w:pPr>
        <w:autoSpaceDE w:val="0"/>
        <w:autoSpaceDN w:val="0"/>
        <w:adjustRightInd w:val="0"/>
        <w:rPr>
          <w:rFonts w:ascii="Arial" w:hAnsi="Arial" w:cs="Arial"/>
          <w:color w:val="auto"/>
          <w:sz w:val="22"/>
          <w:szCs w:val="22"/>
        </w:rPr>
      </w:pPr>
      <w:r>
        <w:rPr>
          <w:rFonts w:ascii="Arial" w:hAnsi="Arial" w:cs="Arial"/>
          <w:color w:val="auto"/>
          <w:sz w:val="22"/>
          <w:szCs w:val="22"/>
        </w:rPr>
        <w:t>I have reviewed the enclosed Department of Defense Physical Disability Board of</w:t>
      </w:r>
    </w:p>
    <w:p w:rsidR="004D7ABD" w:rsidRDefault="004D7ABD" w:rsidP="004D7ABD">
      <w:pPr>
        <w:autoSpaceDE w:val="0"/>
        <w:autoSpaceDN w:val="0"/>
        <w:adjustRightInd w:val="0"/>
        <w:rPr>
          <w:rFonts w:ascii="Arial" w:hAnsi="Arial" w:cs="Arial"/>
          <w:color w:val="auto"/>
          <w:sz w:val="22"/>
          <w:szCs w:val="22"/>
        </w:rPr>
      </w:pPr>
      <w:r>
        <w:rPr>
          <w:rFonts w:ascii="Arial" w:hAnsi="Arial" w:cs="Arial"/>
          <w:color w:val="auto"/>
          <w:sz w:val="22"/>
          <w:szCs w:val="22"/>
        </w:rPr>
        <w:t>Review (</w:t>
      </w:r>
      <w:proofErr w:type="spellStart"/>
      <w:r>
        <w:rPr>
          <w:rFonts w:ascii="Arial" w:hAnsi="Arial" w:cs="Arial"/>
          <w:color w:val="auto"/>
          <w:sz w:val="22"/>
          <w:szCs w:val="22"/>
        </w:rPr>
        <w:t>DoD</w:t>
      </w:r>
      <w:proofErr w:type="spellEnd"/>
      <w:r>
        <w:rPr>
          <w:rFonts w:ascii="Arial" w:hAnsi="Arial" w:cs="Arial"/>
          <w:color w:val="auto"/>
          <w:sz w:val="22"/>
          <w:szCs w:val="22"/>
        </w:rPr>
        <w:t xml:space="preserve"> PDBR) recommendation and record of proceedings pertaining to the</w:t>
      </w:r>
    </w:p>
    <w:p w:rsidR="004D7ABD" w:rsidRDefault="004D7ABD" w:rsidP="004D7ABD">
      <w:pPr>
        <w:autoSpaceDE w:val="0"/>
        <w:autoSpaceDN w:val="0"/>
        <w:adjustRightInd w:val="0"/>
        <w:rPr>
          <w:rFonts w:ascii="Arial" w:hAnsi="Arial" w:cs="Arial"/>
          <w:color w:val="auto"/>
          <w:sz w:val="22"/>
          <w:szCs w:val="22"/>
        </w:rPr>
      </w:pPr>
      <w:proofErr w:type="gramStart"/>
      <w:r>
        <w:rPr>
          <w:rFonts w:ascii="Arial" w:hAnsi="Arial" w:cs="Arial"/>
          <w:color w:val="auto"/>
          <w:sz w:val="22"/>
          <w:szCs w:val="22"/>
        </w:rPr>
        <w:t>subject</w:t>
      </w:r>
      <w:proofErr w:type="gramEnd"/>
      <w:r>
        <w:rPr>
          <w:rFonts w:ascii="Arial" w:hAnsi="Arial" w:cs="Arial"/>
          <w:color w:val="auto"/>
          <w:sz w:val="22"/>
          <w:szCs w:val="22"/>
        </w:rPr>
        <w:t xml:space="preserve"> individual. Under the authority of Title 10, United States Code, section 1554a,</w:t>
      </w:r>
    </w:p>
    <w:p w:rsidR="004D7ABD" w:rsidRDefault="004D7ABD" w:rsidP="004D7ABD">
      <w:pPr>
        <w:autoSpaceDE w:val="0"/>
        <w:autoSpaceDN w:val="0"/>
        <w:adjustRightInd w:val="0"/>
        <w:rPr>
          <w:rFonts w:ascii="Arial" w:hAnsi="Arial" w:cs="Arial"/>
          <w:color w:val="auto"/>
          <w:sz w:val="22"/>
          <w:szCs w:val="22"/>
        </w:rPr>
      </w:pPr>
      <w:r>
        <w:rPr>
          <w:rFonts w:ascii="Arial" w:hAnsi="Arial" w:cs="Arial"/>
          <w:color w:val="auto"/>
          <w:sz w:val="22"/>
          <w:szCs w:val="22"/>
        </w:rPr>
        <w:t>I accept the Board's recommendation and hereby deny the individual's application.</w:t>
      </w:r>
    </w:p>
    <w:p w:rsidR="004D7ABD" w:rsidRDefault="004D7ABD" w:rsidP="004D7ABD">
      <w:pPr>
        <w:autoSpaceDE w:val="0"/>
        <w:autoSpaceDN w:val="0"/>
        <w:adjustRightInd w:val="0"/>
        <w:rPr>
          <w:rFonts w:ascii="Arial" w:hAnsi="Arial" w:cs="Arial"/>
          <w:color w:val="auto"/>
          <w:sz w:val="22"/>
          <w:szCs w:val="22"/>
        </w:rPr>
      </w:pPr>
      <w:r>
        <w:rPr>
          <w:rFonts w:ascii="Arial" w:hAnsi="Arial" w:cs="Arial"/>
          <w:color w:val="auto"/>
          <w:sz w:val="22"/>
          <w:szCs w:val="22"/>
        </w:rPr>
        <w:t>This decision is final. The individual concerned, counsel (if any), and any Members of</w:t>
      </w:r>
    </w:p>
    <w:p w:rsidR="004D7ABD" w:rsidRDefault="004D7ABD" w:rsidP="004D7ABD">
      <w:pPr>
        <w:autoSpaceDE w:val="0"/>
        <w:autoSpaceDN w:val="0"/>
        <w:adjustRightInd w:val="0"/>
        <w:rPr>
          <w:rFonts w:ascii="Arial" w:hAnsi="Arial" w:cs="Arial"/>
          <w:color w:val="auto"/>
          <w:sz w:val="22"/>
          <w:szCs w:val="22"/>
        </w:rPr>
      </w:pPr>
      <w:r>
        <w:rPr>
          <w:rFonts w:ascii="Arial" w:hAnsi="Arial" w:cs="Arial"/>
          <w:color w:val="auto"/>
          <w:sz w:val="22"/>
          <w:szCs w:val="22"/>
        </w:rPr>
        <w:t>Congress who have shown interest in this application have been notified of this decision</w:t>
      </w:r>
    </w:p>
    <w:p w:rsidR="004D7ABD" w:rsidRDefault="004D7ABD" w:rsidP="004D7ABD">
      <w:pPr>
        <w:autoSpaceDE w:val="0"/>
        <w:autoSpaceDN w:val="0"/>
        <w:adjustRightInd w:val="0"/>
        <w:rPr>
          <w:rFonts w:ascii="Arial" w:hAnsi="Arial" w:cs="Arial"/>
          <w:color w:val="auto"/>
          <w:sz w:val="22"/>
          <w:szCs w:val="22"/>
        </w:rPr>
      </w:pPr>
      <w:proofErr w:type="gramStart"/>
      <w:r>
        <w:rPr>
          <w:rFonts w:ascii="Arial" w:hAnsi="Arial" w:cs="Arial"/>
          <w:color w:val="auto"/>
          <w:sz w:val="22"/>
          <w:szCs w:val="22"/>
        </w:rPr>
        <w:t>by</w:t>
      </w:r>
      <w:proofErr w:type="gramEnd"/>
      <w:r>
        <w:rPr>
          <w:rFonts w:ascii="Arial" w:hAnsi="Arial" w:cs="Arial"/>
          <w:color w:val="auto"/>
          <w:sz w:val="22"/>
          <w:szCs w:val="22"/>
        </w:rPr>
        <w:t xml:space="preserve"> mail.</w:t>
      </w:r>
    </w:p>
    <w:p w:rsidR="004D7ABD" w:rsidRDefault="004D7ABD" w:rsidP="004D7ABD">
      <w:pPr>
        <w:autoSpaceDE w:val="0"/>
        <w:autoSpaceDN w:val="0"/>
        <w:adjustRightInd w:val="0"/>
        <w:rPr>
          <w:rFonts w:ascii="Arial" w:hAnsi="Arial" w:cs="Arial"/>
          <w:color w:val="auto"/>
          <w:sz w:val="22"/>
          <w:szCs w:val="22"/>
        </w:rPr>
      </w:pPr>
    </w:p>
    <w:p w:rsidR="004D7ABD" w:rsidRDefault="004D7ABD" w:rsidP="004D7ABD">
      <w:pPr>
        <w:autoSpaceDE w:val="0"/>
        <w:autoSpaceDN w:val="0"/>
        <w:adjustRightInd w:val="0"/>
        <w:rPr>
          <w:rFonts w:ascii="Arial" w:hAnsi="Arial" w:cs="Arial"/>
          <w:color w:val="auto"/>
          <w:sz w:val="22"/>
          <w:szCs w:val="22"/>
        </w:rPr>
      </w:pPr>
      <w:r>
        <w:rPr>
          <w:rFonts w:ascii="Arial" w:hAnsi="Arial" w:cs="Arial"/>
          <w:color w:val="auto"/>
          <w:sz w:val="22"/>
          <w:szCs w:val="22"/>
        </w:rPr>
        <w:t>BY ORDER OF THE SECRETARY OF THE ARMY:</w:t>
      </w:r>
    </w:p>
    <w:p w:rsidR="004D7ABD" w:rsidRDefault="004D7ABD" w:rsidP="004D7ABD">
      <w:pPr>
        <w:autoSpaceDE w:val="0"/>
        <w:autoSpaceDN w:val="0"/>
        <w:adjustRightInd w:val="0"/>
        <w:rPr>
          <w:rFonts w:ascii="Arial" w:hAnsi="Arial" w:cs="Arial"/>
          <w:color w:val="auto"/>
          <w:sz w:val="22"/>
          <w:szCs w:val="22"/>
        </w:rPr>
      </w:pPr>
    </w:p>
    <w:p w:rsidR="004D7ABD" w:rsidRDefault="004D7ABD" w:rsidP="004D7ABD">
      <w:pPr>
        <w:autoSpaceDE w:val="0"/>
        <w:autoSpaceDN w:val="0"/>
        <w:adjustRightInd w:val="0"/>
        <w:rPr>
          <w:rFonts w:ascii="Arial" w:hAnsi="Arial" w:cs="Arial"/>
          <w:color w:val="auto"/>
          <w:sz w:val="22"/>
          <w:szCs w:val="22"/>
        </w:rPr>
      </w:pPr>
      <w:r>
        <w:rPr>
          <w:rFonts w:ascii="Arial" w:hAnsi="Arial" w:cs="Arial"/>
          <w:color w:val="auto"/>
          <w:sz w:val="22"/>
          <w:szCs w:val="22"/>
        </w:rPr>
        <w:t>Encl</w:t>
      </w:r>
    </w:p>
    <w:p w:rsidR="004D7ABD" w:rsidRDefault="004D7ABD" w:rsidP="004D7ABD">
      <w:pPr>
        <w:autoSpaceDE w:val="0"/>
        <w:autoSpaceDN w:val="0"/>
        <w:adjustRightInd w:val="0"/>
        <w:rPr>
          <w:rFonts w:ascii="Times New Roman" w:hAnsi="Times New Roman"/>
          <w:color w:val="auto"/>
          <w:szCs w:val="24"/>
        </w:rPr>
      </w:pPr>
    </w:p>
    <w:p w:rsidR="004D7ABD" w:rsidRDefault="004D7ABD" w:rsidP="004D7ABD">
      <w:pPr>
        <w:autoSpaceDE w:val="0"/>
        <w:autoSpaceDN w:val="0"/>
        <w:adjustRightInd w:val="0"/>
        <w:rPr>
          <w:rFonts w:ascii="Times New Roman" w:hAnsi="Times New Roman"/>
          <w:color w:val="auto"/>
          <w:szCs w:val="24"/>
        </w:rPr>
      </w:pPr>
      <w:r>
        <w:rPr>
          <w:rFonts w:ascii="Times New Roman" w:hAnsi="Times New Roman"/>
          <w:color w:val="auto"/>
          <w:szCs w:val="24"/>
        </w:rPr>
        <w:t>CF:</w:t>
      </w:r>
    </w:p>
    <w:p w:rsidR="004D7ABD" w:rsidRDefault="004D7ABD" w:rsidP="004D7ABD">
      <w:pPr>
        <w:autoSpaceDE w:val="0"/>
        <w:autoSpaceDN w:val="0"/>
        <w:adjustRightInd w:val="0"/>
        <w:rPr>
          <w:rFonts w:ascii="Arial" w:hAnsi="Arial" w:cs="Arial"/>
          <w:color w:val="auto"/>
          <w:sz w:val="22"/>
          <w:szCs w:val="22"/>
        </w:rPr>
      </w:pPr>
      <w:r>
        <w:rPr>
          <w:rFonts w:ascii="Arial" w:hAnsi="Arial" w:cs="Arial"/>
          <w:color w:val="auto"/>
          <w:sz w:val="22"/>
          <w:szCs w:val="22"/>
        </w:rPr>
        <w:t xml:space="preserve">( ) </w:t>
      </w:r>
      <w:proofErr w:type="spellStart"/>
      <w:proofErr w:type="gramStart"/>
      <w:r>
        <w:rPr>
          <w:rFonts w:ascii="Arial" w:hAnsi="Arial" w:cs="Arial"/>
          <w:color w:val="auto"/>
          <w:sz w:val="22"/>
          <w:szCs w:val="22"/>
        </w:rPr>
        <w:t>DoD</w:t>
      </w:r>
      <w:proofErr w:type="spellEnd"/>
      <w:proofErr w:type="gramEnd"/>
      <w:r>
        <w:rPr>
          <w:rFonts w:ascii="Arial" w:hAnsi="Arial" w:cs="Arial"/>
          <w:color w:val="auto"/>
          <w:sz w:val="22"/>
          <w:szCs w:val="22"/>
        </w:rPr>
        <w:t xml:space="preserve"> PDBR</w:t>
      </w:r>
    </w:p>
    <w:p w:rsidR="004D7ABD" w:rsidRDefault="004D7ABD" w:rsidP="004D7ABD">
      <w:pPr>
        <w:autoSpaceDE w:val="0"/>
        <w:autoSpaceDN w:val="0"/>
        <w:adjustRightInd w:val="0"/>
        <w:rPr>
          <w:rFonts w:ascii="Arial" w:hAnsi="Arial" w:cs="Arial"/>
          <w:color w:val="auto"/>
          <w:sz w:val="22"/>
          <w:szCs w:val="22"/>
        </w:rPr>
      </w:pPr>
      <w:r>
        <w:rPr>
          <w:rFonts w:ascii="Arial" w:hAnsi="Arial" w:cs="Arial"/>
          <w:color w:val="auto"/>
          <w:sz w:val="22"/>
          <w:szCs w:val="22"/>
        </w:rPr>
        <w:t>( ) DVA</w:t>
      </w:r>
    </w:p>
    <w:sectPr w:rsidR="004D7ABD" w:rsidSect="002A5C3C">
      <w:footerReference w:type="default" r:id="rId8"/>
      <w:footnotePr>
        <w:numRestart w:val="eachSect"/>
      </w:footnotePr>
      <w:pgSz w:w="12240" w:h="15840" w:code="1"/>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34B" w:rsidRDefault="004D034B">
      <w:r>
        <w:separator/>
      </w:r>
    </w:p>
  </w:endnote>
  <w:endnote w:type="continuationSeparator" w:id="0">
    <w:p w:rsidR="004D034B" w:rsidRDefault="004D03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Janson Text">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6984766"/>
      <w:docPartObj>
        <w:docPartGallery w:val="Page Numbers (Bottom of Page)"/>
        <w:docPartUnique/>
      </w:docPartObj>
    </w:sdtPr>
    <w:sdtContent>
      <w:p w:rsidR="009A12A0" w:rsidRPr="00684CE6" w:rsidRDefault="00EA47A8" w:rsidP="00F65ED5">
        <w:pPr>
          <w:pStyle w:val="Footer"/>
          <w:jc w:val="right"/>
          <w:rPr>
            <w:color w:val="auto"/>
          </w:rPr>
        </w:pPr>
        <w:r w:rsidRPr="00684CE6">
          <w:rPr>
            <w:color w:val="auto"/>
          </w:rPr>
          <w:fldChar w:fldCharType="begin"/>
        </w:r>
        <w:r w:rsidR="009A12A0" w:rsidRPr="00684CE6">
          <w:rPr>
            <w:color w:val="auto"/>
          </w:rPr>
          <w:instrText xml:space="preserve"> PAGE   \* MERGEFORMAT </w:instrText>
        </w:r>
        <w:r w:rsidRPr="00684CE6">
          <w:rPr>
            <w:color w:val="auto"/>
          </w:rPr>
          <w:fldChar w:fldCharType="separate"/>
        </w:r>
        <w:r w:rsidR="004D7ABD">
          <w:rPr>
            <w:noProof/>
            <w:color w:val="auto"/>
          </w:rPr>
          <w:t>2</w:t>
        </w:r>
        <w:r w:rsidRPr="00684CE6">
          <w:rPr>
            <w:color w:val="auto"/>
          </w:rPr>
          <w:fldChar w:fldCharType="end"/>
        </w:r>
        <w:r w:rsidR="009A12A0" w:rsidRPr="00684CE6">
          <w:rPr>
            <w:color w:val="auto"/>
          </w:rPr>
          <w:t xml:space="preserve">                                                           </w:t>
        </w:r>
        <w:r w:rsidR="009A12A0" w:rsidRPr="00F5144C">
          <w:rPr>
            <w:color w:val="auto"/>
          </w:rPr>
          <w:t>PD</w:t>
        </w:r>
        <w:r w:rsidR="009A12A0">
          <w:rPr>
            <w:color w:val="auto"/>
          </w:rPr>
          <w:t>11</w:t>
        </w:r>
        <w:r w:rsidR="009A12A0" w:rsidRPr="00F5144C">
          <w:rPr>
            <w:color w:val="auto"/>
          </w:rPr>
          <w:t>00</w:t>
        </w:r>
        <w:r w:rsidR="009A12A0">
          <w:rPr>
            <w:color w:val="auto"/>
          </w:rPr>
          <w:t>108</w:t>
        </w:r>
      </w:p>
    </w:sdtContent>
  </w:sdt>
  <w:p w:rsidR="009A12A0" w:rsidRPr="00684CE6" w:rsidRDefault="009A12A0">
    <w:pPr>
      <w:pStyle w:val="Footer"/>
      <w:rPr>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34B" w:rsidRDefault="004D034B">
      <w:r>
        <w:separator/>
      </w:r>
    </w:p>
  </w:footnote>
  <w:footnote w:type="continuationSeparator" w:id="0">
    <w:p w:rsidR="004D034B" w:rsidRDefault="004D03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42CC"/>
    <w:multiLevelType w:val="hybridMultilevel"/>
    <w:tmpl w:val="BFA47516"/>
    <w:lvl w:ilvl="0" w:tplc="7018B964">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E7CCC"/>
    <w:multiLevelType w:val="hybridMultilevel"/>
    <w:tmpl w:val="F26CA91A"/>
    <w:lvl w:ilvl="0" w:tplc="8F7AB93E">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2268AC"/>
    <w:multiLevelType w:val="hybridMultilevel"/>
    <w:tmpl w:val="D526C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F14EEB"/>
    <w:multiLevelType w:val="hybridMultilevel"/>
    <w:tmpl w:val="A5C28332"/>
    <w:lvl w:ilvl="0" w:tplc="7018B96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171C56"/>
    <w:multiLevelType w:val="hybridMultilevel"/>
    <w:tmpl w:val="E8F47BEC"/>
    <w:lvl w:ilvl="0" w:tplc="8426079A">
      <w:numFmt w:val="bullet"/>
      <w:lvlText w:val=""/>
      <w:lvlJc w:val="left"/>
      <w:pPr>
        <w:ind w:left="615" w:hanging="360"/>
      </w:pPr>
      <w:rPr>
        <w:rFonts w:ascii="Wingdings" w:eastAsia="Times New Roman" w:hAnsi="Wingdings"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5">
    <w:nsid w:val="17BA7C44"/>
    <w:multiLevelType w:val="hybridMultilevel"/>
    <w:tmpl w:val="7C126282"/>
    <w:lvl w:ilvl="0" w:tplc="7018B96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5422F0"/>
    <w:multiLevelType w:val="hybridMultilevel"/>
    <w:tmpl w:val="DF66D326"/>
    <w:lvl w:ilvl="0" w:tplc="7018B96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845D80"/>
    <w:multiLevelType w:val="hybridMultilevel"/>
    <w:tmpl w:val="A8927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F538FD"/>
    <w:multiLevelType w:val="hybridMultilevel"/>
    <w:tmpl w:val="6AA8201E"/>
    <w:lvl w:ilvl="0" w:tplc="7018B964">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6A3FF5"/>
    <w:multiLevelType w:val="hybridMultilevel"/>
    <w:tmpl w:val="CDACECDE"/>
    <w:lvl w:ilvl="0" w:tplc="DF86C54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4F193D"/>
    <w:multiLevelType w:val="hybridMultilevel"/>
    <w:tmpl w:val="9C4EF4C6"/>
    <w:lvl w:ilvl="0" w:tplc="3B98A07E">
      <w:numFmt w:val="bullet"/>
      <w:lvlText w:val=""/>
      <w:lvlJc w:val="left"/>
      <w:pPr>
        <w:ind w:left="615" w:hanging="360"/>
      </w:pPr>
      <w:rPr>
        <w:rFonts w:ascii="Wingdings" w:eastAsia="Times New Roman" w:hAnsi="Wingdings"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1">
    <w:nsid w:val="431821A9"/>
    <w:multiLevelType w:val="hybridMultilevel"/>
    <w:tmpl w:val="100E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F06437"/>
    <w:multiLevelType w:val="hybridMultilevel"/>
    <w:tmpl w:val="F88001A6"/>
    <w:lvl w:ilvl="0" w:tplc="5E7A036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856844"/>
    <w:multiLevelType w:val="hybridMultilevel"/>
    <w:tmpl w:val="979A8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E172F4"/>
    <w:multiLevelType w:val="hybridMultilevel"/>
    <w:tmpl w:val="3B98A040"/>
    <w:lvl w:ilvl="0" w:tplc="C5A2619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D637FB"/>
    <w:multiLevelType w:val="hybridMultilevel"/>
    <w:tmpl w:val="E81C20AE"/>
    <w:lvl w:ilvl="0" w:tplc="41C2107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920263"/>
    <w:multiLevelType w:val="hybridMultilevel"/>
    <w:tmpl w:val="5ABA2AD0"/>
    <w:lvl w:ilvl="0" w:tplc="C3D8CF1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94670E"/>
    <w:multiLevelType w:val="hybridMultilevel"/>
    <w:tmpl w:val="7C92692E"/>
    <w:lvl w:ilvl="0" w:tplc="20A6E15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DA16B7"/>
    <w:multiLevelType w:val="hybridMultilevel"/>
    <w:tmpl w:val="3BD2466C"/>
    <w:lvl w:ilvl="0" w:tplc="AABA22A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7"/>
  </w:num>
  <w:num w:numId="4">
    <w:abstractNumId w:val="6"/>
  </w:num>
  <w:num w:numId="5">
    <w:abstractNumId w:val="3"/>
  </w:num>
  <w:num w:numId="6">
    <w:abstractNumId w:val="8"/>
  </w:num>
  <w:num w:numId="7">
    <w:abstractNumId w:val="0"/>
  </w:num>
  <w:num w:numId="8">
    <w:abstractNumId w:val="5"/>
  </w:num>
  <w:num w:numId="9">
    <w:abstractNumId w:val="15"/>
  </w:num>
  <w:num w:numId="10">
    <w:abstractNumId w:val="10"/>
  </w:num>
  <w:num w:numId="11">
    <w:abstractNumId w:val="4"/>
  </w:num>
  <w:num w:numId="12">
    <w:abstractNumId w:val="13"/>
  </w:num>
  <w:num w:numId="13">
    <w:abstractNumId w:val="7"/>
  </w:num>
  <w:num w:numId="14">
    <w:abstractNumId w:val="14"/>
  </w:num>
  <w:num w:numId="15">
    <w:abstractNumId w:val="18"/>
  </w:num>
  <w:num w:numId="16">
    <w:abstractNumId w:val="1"/>
  </w:num>
  <w:num w:numId="17">
    <w:abstractNumId w:val="16"/>
  </w:num>
  <w:num w:numId="18">
    <w:abstractNumId w:val="9"/>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intFractionalCharacterWidth/>
  <w:embedSystemFonts/>
  <w:activeWritingStyle w:appName="MSWord" w:lang="en-US" w:vendorID="8" w:dllVersion="513" w:checkStyle="1"/>
  <w:proofState w:spelling="clean" w:grammar="clean"/>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rsids>
    <w:rsidRoot w:val="001C28D1"/>
    <w:rsid w:val="000024F5"/>
    <w:rsid w:val="000059FA"/>
    <w:rsid w:val="00006186"/>
    <w:rsid w:val="00006F87"/>
    <w:rsid w:val="00007107"/>
    <w:rsid w:val="00010ABA"/>
    <w:rsid w:val="00010B0F"/>
    <w:rsid w:val="00012428"/>
    <w:rsid w:val="00012733"/>
    <w:rsid w:val="00013417"/>
    <w:rsid w:val="000145C2"/>
    <w:rsid w:val="0001473F"/>
    <w:rsid w:val="00014A9E"/>
    <w:rsid w:val="00017730"/>
    <w:rsid w:val="00021361"/>
    <w:rsid w:val="00022CF3"/>
    <w:rsid w:val="00023913"/>
    <w:rsid w:val="00023D43"/>
    <w:rsid w:val="00024DE7"/>
    <w:rsid w:val="000259DF"/>
    <w:rsid w:val="00026092"/>
    <w:rsid w:val="00030776"/>
    <w:rsid w:val="00032E07"/>
    <w:rsid w:val="000332CA"/>
    <w:rsid w:val="0003374E"/>
    <w:rsid w:val="000344D8"/>
    <w:rsid w:val="000344E6"/>
    <w:rsid w:val="00035C3A"/>
    <w:rsid w:val="00036E4B"/>
    <w:rsid w:val="00037929"/>
    <w:rsid w:val="000379D0"/>
    <w:rsid w:val="00040FC4"/>
    <w:rsid w:val="000416F8"/>
    <w:rsid w:val="00042C26"/>
    <w:rsid w:val="00043382"/>
    <w:rsid w:val="00043584"/>
    <w:rsid w:val="00044623"/>
    <w:rsid w:val="000452D7"/>
    <w:rsid w:val="00046BC9"/>
    <w:rsid w:val="00050C76"/>
    <w:rsid w:val="00051622"/>
    <w:rsid w:val="00051A11"/>
    <w:rsid w:val="00052234"/>
    <w:rsid w:val="00053D7C"/>
    <w:rsid w:val="000575C5"/>
    <w:rsid w:val="000577C9"/>
    <w:rsid w:val="00060FFD"/>
    <w:rsid w:val="0006431E"/>
    <w:rsid w:val="000652EA"/>
    <w:rsid w:val="0006578C"/>
    <w:rsid w:val="00065E21"/>
    <w:rsid w:val="000673ED"/>
    <w:rsid w:val="00070DED"/>
    <w:rsid w:val="00072433"/>
    <w:rsid w:val="0007488B"/>
    <w:rsid w:val="00075702"/>
    <w:rsid w:val="00075A0C"/>
    <w:rsid w:val="000775C2"/>
    <w:rsid w:val="000806AD"/>
    <w:rsid w:val="00080BDF"/>
    <w:rsid w:val="00082482"/>
    <w:rsid w:val="00084CF2"/>
    <w:rsid w:val="00085D7B"/>
    <w:rsid w:val="0008708B"/>
    <w:rsid w:val="00092619"/>
    <w:rsid w:val="00092C66"/>
    <w:rsid w:val="000949DD"/>
    <w:rsid w:val="00094E4F"/>
    <w:rsid w:val="000A2BCE"/>
    <w:rsid w:val="000A33C8"/>
    <w:rsid w:val="000A41E3"/>
    <w:rsid w:val="000A4BBA"/>
    <w:rsid w:val="000A5071"/>
    <w:rsid w:val="000B0AD2"/>
    <w:rsid w:val="000B1022"/>
    <w:rsid w:val="000B2FB8"/>
    <w:rsid w:val="000B4C99"/>
    <w:rsid w:val="000B5108"/>
    <w:rsid w:val="000C06F6"/>
    <w:rsid w:val="000C1D34"/>
    <w:rsid w:val="000C2362"/>
    <w:rsid w:val="000C2FA8"/>
    <w:rsid w:val="000C3C13"/>
    <w:rsid w:val="000C4239"/>
    <w:rsid w:val="000C4D5F"/>
    <w:rsid w:val="000C53F9"/>
    <w:rsid w:val="000C5813"/>
    <w:rsid w:val="000C5CF2"/>
    <w:rsid w:val="000C75CF"/>
    <w:rsid w:val="000C7B83"/>
    <w:rsid w:val="000C7DE4"/>
    <w:rsid w:val="000D0AE6"/>
    <w:rsid w:val="000D15E7"/>
    <w:rsid w:val="000D1A24"/>
    <w:rsid w:val="000D1CF4"/>
    <w:rsid w:val="000D1DBC"/>
    <w:rsid w:val="000D21C7"/>
    <w:rsid w:val="000D248A"/>
    <w:rsid w:val="000D2CFD"/>
    <w:rsid w:val="000D35D8"/>
    <w:rsid w:val="000D43F9"/>
    <w:rsid w:val="000D4717"/>
    <w:rsid w:val="000D6457"/>
    <w:rsid w:val="000D7D55"/>
    <w:rsid w:val="000E0993"/>
    <w:rsid w:val="000E2E50"/>
    <w:rsid w:val="000E37E0"/>
    <w:rsid w:val="000E3F20"/>
    <w:rsid w:val="000E4CBF"/>
    <w:rsid w:val="000E5577"/>
    <w:rsid w:val="000E7034"/>
    <w:rsid w:val="000F02BE"/>
    <w:rsid w:val="000F0928"/>
    <w:rsid w:val="000F427B"/>
    <w:rsid w:val="000F43D0"/>
    <w:rsid w:val="000F4F18"/>
    <w:rsid w:val="000F688E"/>
    <w:rsid w:val="000F7181"/>
    <w:rsid w:val="001007CE"/>
    <w:rsid w:val="001008C1"/>
    <w:rsid w:val="001023DB"/>
    <w:rsid w:val="00102B8D"/>
    <w:rsid w:val="00103948"/>
    <w:rsid w:val="00103CCF"/>
    <w:rsid w:val="0010417F"/>
    <w:rsid w:val="001042D2"/>
    <w:rsid w:val="0010530E"/>
    <w:rsid w:val="00105C07"/>
    <w:rsid w:val="00106AD8"/>
    <w:rsid w:val="00107EC5"/>
    <w:rsid w:val="001103CD"/>
    <w:rsid w:val="00113D2A"/>
    <w:rsid w:val="00114F20"/>
    <w:rsid w:val="0011590B"/>
    <w:rsid w:val="00115A3F"/>
    <w:rsid w:val="001211AF"/>
    <w:rsid w:val="001219DF"/>
    <w:rsid w:val="0012220B"/>
    <w:rsid w:val="00122ABE"/>
    <w:rsid w:val="001231DC"/>
    <w:rsid w:val="0012333C"/>
    <w:rsid w:val="0012489B"/>
    <w:rsid w:val="001272AE"/>
    <w:rsid w:val="00130756"/>
    <w:rsid w:val="001315DD"/>
    <w:rsid w:val="0013525F"/>
    <w:rsid w:val="00135385"/>
    <w:rsid w:val="001364D1"/>
    <w:rsid w:val="001374C7"/>
    <w:rsid w:val="001413C8"/>
    <w:rsid w:val="001421FD"/>
    <w:rsid w:val="001425C8"/>
    <w:rsid w:val="00142659"/>
    <w:rsid w:val="00142EBA"/>
    <w:rsid w:val="00143B79"/>
    <w:rsid w:val="00145965"/>
    <w:rsid w:val="00150B8A"/>
    <w:rsid w:val="00150DCB"/>
    <w:rsid w:val="00151912"/>
    <w:rsid w:val="00153740"/>
    <w:rsid w:val="00153D88"/>
    <w:rsid w:val="001541C5"/>
    <w:rsid w:val="0015623F"/>
    <w:rsid w:val="00156585"/>
    <w:rsid w:val="00156B7E"/>
    <w:rsid w:val="00156BA9"/>
    <w:rsid w:val="00160489"/>
    <w:rsid w:val="00161642"/>
    <w:rsid w:val="00161761"/>
    <w:rsid w:val="00166182"/>
    <w:rsid w:val="0017139A"/>
    <w:rsid w:val="001724C8"/>
    <w:rsid w:val="001732C4"/>
    <w:rsid w:val="001745DD"/>
    <w:rsid w:val="00174FDE"/>
    <w:rsid w:val="00174FE3"/>
    <w:rsid w:val="00177659"/>
    <w:rsid w:val="001779E5"/>
    <w:rsid w:val="00180826"/>
    <w:rsid w:val="00181240"/>
    <w:rsid w:val="00182A4C"/>
    <w:rsid w:val="00183F77"/>
    <w:rsid w:val="00183FB3"/>
    <w:rsid w:val="001844D8"/>
    <w:rsid w:val="00185DA8"/>
    <w:rsid w:val="00185ECB"/>
    <w:rsid w:val="001865E0"/>
    <w:rsid w:val="001870F0"/>
    <w:rsid w:val="00190E48"/>
    <w:rsid w:val="00190F22"/>
    <w:rsid w:val="0019273F"/>
    <w:rsid w:val="00193814"/>
    <w:rsid w:val="00193AAB"/>
    <w:rsid w:val="00193AD5"/>
    <w:rsid w:val="00194930"/>
    <w:rsid w:val="00195AAC"/>
    <w:rsid w:val="001A025E"/>
    <w:rsid w:val="001A08CD"/>
    <w:rsid w:val="001A0A1E"/>
    <w:rsid w:val="001A2182"/>
    <w:rsid w:val="001A323E"/>
    <w:rsid w:val="001A5320"/>
    <w:rsid w:val="001A5E62"/>
    <w:rsid w:val="001A6848"/>
    <w:rsid w:val="001A7538"/>
    <w:rsid w:val="001B06FB"/>
    <w:rsid w:val="001B0B1A"/>
    <w:rsid w:val="001B18A2"/>
    <w:rsid w:val="001B4C0B"/>
    <w:rsid w:val="001B4EC2"/>
    <w:rsid w:val="001B5B59"/>
    <w:rsid w:val="001B60E0"/>
    <w:rsid w:val="001B755A"/>
    <w:rsid w:val="001B7C8C"/>
    <w:rsid w:val="001C0688"/>
    <w:rsid w:val="001C181A"/>
    <w:rsid w:val="001C1877"/>
    <w:rsid w:val="001C2053"/>
    <w:rsid w:val="001C252F"/>
    <w:rsid w:val="001C28D1"/>
    <w:rsid w:val="001C3473"/>
    <w:rsid w:val="001C5BDA"/>
    <w:rsid w:val="001C5CFC"/>
    <w:rsid w:val="001C7231"/>
    <w:rsid w:val="001C7418"/>
    <w:rsid w:val="001C7EBE"/>
    <w:rsid w:val="001D0051"/>
    <w:rsid w:val="001D169A"/>
    <w:rsid w:val="001D2224"/>
    <w:rsid w:val="001D31AA"/>
    <w:rsid w:val="001D3DC0"/>
    <w:rsid w:val="001D4F88"/>
    <w:rsid w:val="001D68CF"/>
    <w:rsid w:val="001D6A8C"/>
    <w:rsid w:val="001D7A56"/>
    <w:rsid w:val="001E15C0"/>
    <w:rsid w:val="001E18E0"/>
    <w:rsid w:val="001E18E2"/>
    <w:rsid w:val="001E19D0"/>
    <w:rsid w:val="001E2A30"/>
    <w:rsid w:val="001E2FF1"/>
    <w:rsid w:val="001E41FE"/>
    <w:rsid w:val="001E635C"/>
    <w:rsid w:val="001F0297"/>
    <w:rsid w:val="00200AA0"/>
    <w:rsid w:val="00202325"/>
    <w:rsid w:val="00202736"/>
    <w:rsid w:val="00203652"/>
    <w:rsid w:val="00204562"/>
    <w:rsid w:val="00205B4F"/>
    <w:rsid w:val="002060B6"/>
    <w:rsid w:val="002066B5"/>
    <w:rsid w:val="00211612"/>
    <w:rsid w:val="002119B6"/>
    <w:rsid w:val="00212B40"/>
    <w:rsid w:val="00213BD0"/>
    <w:rsid w:val="00214DBA"/>
    <w:rsid w:val="002151AB"/>
    <w:rsid w:val="0021548C"/>
    <w:rsid w:val="00215C4C"/>
    <w:rsid w:val="00215ED6"/>
    <w:rsid w:val="00216049"/>
    <w:rsid w:val="002163FA"/>
    <w:rsid w:val="002174C7"/>
    <w:rsid w:val="00217606"/>
    <w:rsid w:val="00217C09"/>
    <w:rsid w:val="00220F5C"/>
    <w:rsid w:val="002216BF"/>
    <w:rsid w:val="0022176E"/>
    <w:rsid w:val="00221B9B"/>
    <w:rsid w:val="00222268"/>
    <w:rsid w:val="00225080"/>
    <w:rsid w:val="00225196"/>
    <w:rsid w:val="00225CB4"/>
    <w:rsid w:val="00226B1A"/>
    <w:rsid w:val="00227F0B"/>
    <w:rsid w:val="0023049F"/>
    <w:rsid w:val="002310C3"/>
    <w:rsid w:val="002316F6"/>
    <w:rsid w:val="00232C9B"/>
    <w:rsid w:val="00232E73"/>
    <w:rsid w:val="00232F09"/>
    <w:rsid w:val="002335D5"/>
    <w:rsid w:val="002338CA"/>
    <w:rsid w:val="00233FE5"/>
    <w:rsid w:val="00234B3B"/>
    <w:rsid w:val="00234D98"/>
    <w:rsid w:val="00236018"/>
    <w:rsid w:val="002374C9"/>
    <w:rsid w:val="0024174E"/>
    <w:rsid w:val="00242238"/>
    <w:rsid w:val="0024227D"/>
    <w:rsid w:val="00242D14"/>
    <w:rsid w:val="002432F4"/>
    <w:rsid w:val="00245AAA"/>
    <w:rsid w:val="00246860"/>
    <w:rsid w:val="002468D9"/>
    <w:rsid w:val="00246DFF"/>
    <w:rsid w:val="00246E89"/>
    <w:rsid w:val="0024742F"/>
    <w:rsid w:val="002508E0"/>
    <w:rsid w:val="0025183C"/>
    <w:rsid w:val="00252351"/>
    <w:rsid w:val="002528EC"/>
    <w:rsid w:val="00253EAA"/>
    <w:rsid w:val="00255049"/>
    <w:rsid w:val="0025566C"/>
    <w:rsid w:val="00257AFF"/>
    <w:rsid w:val="00257DE5"/>
    <w:rsid w:val="00260531"/>
    <w:rsid w:val="00260B9A"/>
    <w:rsid w:val="00262EA5"/>
    <w:rsid w:val="0026318D"/>
    <w:rsid w:val="00264148"/>
    <w:rsid w:val="002660AF"/>
    <w:rsid w:val="00270864"/>
    <w:rsid w:val="002712F7"/>
    <w:rsid w:val="0027159C"/>
    <w:rsid w:val="00271FE1"/>
    <w:rsid w:val="002722F2"/>
    <w:rsid w:val="00274549"/>
    <w:rsid w:val="00274E46"/>
    <w:rsid w:val="002752AE"/>
    <w:rsid w:val="002769AF"/>
    <w:rsid w:val="00276C86"/>
    <w:rsid w:val="00276FD0"/>
    <w:rsid w:val="00277217"/>
    <w:rsid w:val="002810A4"/>
    <w:rsid w:val="002810E9"/>
    <w:rsid w:val="00282DB6"/>
    <w:rsid w:val="00284A26"/>
    <w:rsid w:val="00285095"/>
    <w:rsid w:val="00287006"/>
    <w:rsid w:val="00292397"/>
    <w:rsid w:val="00292AB2"/>
    <w:rsid w:val="00293DB6"/>
    <w:rsid w:val="00293FE8"/>
    <w:rsid w:val="00294437"/>
    <w:rsid w:val="00297A45"/>
    <w:rsid w:val="00297E20"/>
    <w:rsid w:val="002A233F"/>
    <w:rsid w:val="002A3237"/>
    <w:rsid w:val="002A4119"/>
    <w:rsid w:val="002A521F"/>
    <w:rsid w:val="002A58B7"/>
    <w:rsid w:val="002A5943"/>
    <w:rsid w:val="002A5C3C"/>
    <w:rsid w:val="002A685E"/>
    <w:rsid w:val="002A72C7"/>
    <w:rsid w:val="002B0204"/>
    <w:rsid w:val="002B03B2"/>
    <w:rsid w:val="002B0749"/>
    <w:rsid w:val="002B2645"/>
    <w:rsid w:val="002B303A"/>
    <w:rsid w:val="002B32E9"/>
    <w:rsid w:val="002B4E22"/>
    <w:rsid w:val="002B574F"/>
    <w:rsid w:val="002B6FA0"/>
    <w:rsid w:val="002C0DEA"/>
    <w:rsid w:val="002C34F6"/>
    <w:rsid w:val="002C3B6D"/>
    <w:rsid w:val="002C5D9D"/>
    <w:rsid w:val="002C5F10"/>
    <w:rsid w:val="002C6E5B"/>
    <w:rsid w:val="002D08F3"/>
    <w:rsid w:val="002D18B4"/>
    <w:rsid w:val="002D231A"/>
    <w:rsid w:val="002D5330"/>
    <w:rsid w:val="002D5F57"/>
    <w:rsid w:val="002D705F"/>
    <w:rsid w:val="002D73D4"/>
    <w:rsid w:val="002D7787"/>
    <w:rsid w:val="002E1877"/>
    <w:rsid w:val="002E1C31"/>
    <w:rsid w:val="002E2E0F"/>
    <w:rsid w:val="002E333A"/>
    <w:rsid w:val="002E3474"/>
    <w:rsid w:val="002E400C"/>
    <w:rsid w:val="002E49C3"/>
    <w:rsid w:val="002E5114"/>
    <w:rsid w:val="002E5988"/>
    <w:rsid w:val="002E65E6"/>
    <w:rsid w:val="002E66F3"/>
    <w:rsid w:val="002E7072"/>
    <w:rsid w:val="002E7570"/>
    <w:rsid w:val="002E764B"/>
    <w:rsid w:val="002F0D6A"/>
    <w:rsid w:val="002F0E28"/>
    <w:rsid w:val="002F287E"/>
    <w:rsid w:val="002F2981"/>
    <w:rsid w:val="002F2D63"/>
    <w:rsid w:val="002F6AD8"/>
    <w:rsid w:val="002F7F81"/>
    <w:rsid w:val="00300A36"/>
    <w:rsid w:val="00301B45"/>
    <w:rsid w:val="00305856"/>
    <w:rsid w:val="0030678B"/>
    <w:rsid w:val="00306D16"/>
    <w:rsid w:val="00307595"/>
    <w:rsid w:val="00310CD7"/>
    <w:rsid w:val="00313D7A"/>
    <w:rsid w:val="0032136A"/>
    <w:rsid w:val="00323A90"/>
    <w:rsid w:val="00323E70"/>
    <w:rsid w:val="003258A7"/>
    <w:rsid w:val="00325BA2"/>
    <w:rsid w:val="003262BD"/>
    <w:rsid w:val="00326B1C"/>
    <w:rsid w:val="00326C08"/>
    <w:rsid w:val="00326F7F"/>
    <w:rsid w:val="00327664"/>
    <w:rsid w:val="00330311"/>
    <w:rsid w:val="00330D55"/>
    <w:rsid w:val="003320E8"/>
    <w:rsid w:val="003328FD"/>
    <w:rsid w:val="00332DE3"/>
    <w:rsid w:val="0033334F"/>
    <w:rsid w:val="00334514"/>
    <w:rsid w:val="0033555E"/>
    <w:rsid w:val="00336805"/>
    <w:rsid w:val="00337351"/>
    <w:rsid w:val="00341A54"/>
    <w:rsid w:val="00344A4F"/>
    <w:rsid w:val="00344D17"/>
    <w:rsid w:val="0034669F"/>
    <w:rsid w:val="00351498"/>
    <w:rsid w:val="00352B22"/>
    <w:rsid w:val="00352CBF"/>
    <w:rsid w:val="00354547"/>
    <w:rsid w:val="003549F5"/>
    <w:rsid w:val="003567DE"/>
    <w:rsid w:val="003574F3"/>
    <w:rsid w:val="00357831"/>
    <w:rsid w:val="003604A5"/>
    <w:rsid w:val="00361CC1"/>
    <w:rsid w:val="0036319E"/>
    <w:rsid w:val="003632A4"/>
    <w:rsid w:val="00363362"/>
    <w:rsid w:val="00365767"/>
    <w:rsid w:val="003659C0"/>
    <w:rsid w:val="003660DF"/>
    <w:rsid w:val="00367D4F"/>
    <w:rsid w:val="00370743"/>
    <w:rsid w:val="00370EF5"/>
    <w:rsid w:val="0037135B"/>
    <w:rsid w:val="00372251"/>
    <w:rsid w:val="00373F64"/>
    <w:rsid w:val="00374EA1"/>
    <w:rsid w:val="0037520D"/>
    <w:rsid w:val="00375724"/>
    <w:rsid w:val="00375809"/>
    <w:rsid w:val="00375CF1"/>
    <w:rsid w:val="00376187"/>
    <w:rsid w:val="0037628C"/>
    <w:rsid w:val="00376B81"/>
    <w:rsid w:val="00376E08"/>
    <w:rsid w:val="00377BD2"/>
    <w:rsid w:val="00380FD4"/>
    <w:rsid w:val="00381E16"/>
    <w:rsid w:val="003821E1"/>
    <w:rsid w:val="003840F6"/>
    <w:rsid w:val="00384866"/>
    <w:rsid w:val="003857D4"/>
    <w:rsid w:val="00385D6F"/>
    <w:rsid w:val="00386D43"/>
    <w:rsid w:val="00387095"/>
    <w:rsid w:val="00387E95"/>
    <w:rsid w:val="00390092"/>
    <w:rsid w:val="00391858"/>
    <w:rsid w:val="00393651"/>
    <w:rsid w:val="00394926"/>
    <w:rsid w:val="00394FF9"/>
    <w:rsid w:val="00395651"/>
    <w:rsid w:val="00395E12"/>
    <w:rsid w:val="003962A8"/>
    <w:rsid w:val="00396779"/>
    <w:rsid w:val="00397DB7"/>
    <w:rsid w:val="003A27B2"/>
    <w:rsid w:val="003A40B4"/>
    <w:rsid w:val="003A41BA"/>
    <w:rsid w:val="003A5491"/>
    <w:rsid w:val="003A5958"/>
    <w:rsid w:val="003A6A99"/>
    <w:rsid w:val="003A6E60"/>
    <w:rsid w:val="003A7FF8"/>
    <w:rsid w:val="003B17AC"/>
    <w:rsid w:val="003B227A"/>
    <w:rsid w:val="003B3A77"/>
    <w:rsid w:val="003B4319"/>
    <w:rsid w:val="003B5854"/>
    <w:rsid w:val="003B6764"/>
    <w:rsid w:val="003B7A8B"/>
    <w:rsid w:val="003C294B"/>
    <w:rsid w:val="003C5046"/>
    <w:rsid w:val="003C5B2D"/>
    <w:rsid w:val="003C6068"/>
    <w:rsid w:val="003C7AEC"/>
    <w:rsid w:val="003D275F"/>
    <w:rsid w:val="003D2BA3"/>
    <w:rsid w:val="003D316B"/>
    <w:rsid w:val="003D3C22"/>
    <w:rsid w:val="003D56A0"/>
    <w:rsid w:val="003D69F5"/>
    <w:rsid w:val="003D7089"/>
    <w:rsid w:val="003D7DDB"/>
    <w:rsid w:val="003D7F2E"/>
    <w:rsid w:val="003E024F"/>
    <w:rsid w:val="003E02C7"/>
    <w:rsid w:val="003E0543"/>
    <w:rsid w:val="003E061D"/>
    <w:rsid w:val="003E0B5A"/>
    <w:rsid w:val="003E1682"/>
    <w:rsid w:val="003E31E3"/>
    <w:rsid w:val="003E3E93"/>
    <w:rsid w:val="003E46D1"/>
    <w:rsid w:val="003E6214"/>
    <w:rsid w:val="003F070E"/>
    <w:rsid w:val="003F1206"/>
    <w:rsid w:val="003F28DB"/>
    <w:rsid w:val="003F2EEE"/>
    <w:rsid w:val="003F58B0"/>
    <w:rsid w:val="003F776F"/>
    <w:rsid w:val="004007E9"/>
    <w:rsid w:val="00400810"/>
    <w:rsid w:val="00401825"/>
    <w:rsid w:val="00401BBC"/>
    <w:rsid w:val="00403BFB"/>
    <w:rsid w:val="004045C5"/>
    <w:rsid w:val="00404B45"/>
    <w:rsid w:val="0040577B"/>
    <w:rsid w:val="00405BCF"/>
    <w:rsid w:val="00406CC5"/>
    <w:rsid w:val="004074A4"/>
    <w:rsid w:val="004101B2"/>
    <w:rsid w:val="004123D7"/>
    <w:rsid w:val="00412658"/>
    <w:rsid w:val="004129DA"/>
    <w:rsid w:val="00415EA4"/>
    <w:rsid w:val="0041604B"/>
    <w:rsid w:val="004172DB"/>
    <w:rsid w:val="00420A1D"/>
    <w:rsid w:val="00421485"/>
    <w:rsid w:val="004216DA"/>
    <w:rsid w:val="00422B75"/>
    <w:rsid w:val="00424612"/>
    <w:rsid w:val="0042528C"/>
    <w:rsid w:val="00425672"/>
    <w:rsid w:val="00425A6A"/>
    <w:rsid w:val="00427F54"/>
    <w:rsid w:val="004316FD"/>
    <w:rsid w:val="00433F36"/>
    <w:rsid w:val="00434860"/>
    <w:rsid w:val="0043503A"/>
    <w:rsid w:val="00437B8A"/>
    <w:rsid w:val="00437D18"/>
    <w:rsid w:val="00437D77"/>
    <w:rsid w:val="004435BE"/>
    <w:rsid w:val="0044384F"/>
    <w:rsid w:val="0044411E"/>
    <w:rsid w:val="00444472"/>
    <w:rsid w:val="00444F80"/>
    <w:rsid w:val="00445599"/>
    <w:rsid w:val="00446018"/>
    <w:rsid w:val="0045027B"/>
    <w:rsid w:val="004504E7"/>
    <w:rsid w:val="00451F9D"/>
    <w:rsid w:val="00453167"/>
    <w:rsid w:val="004543BC"/>
    <w:rsid w:val="0045645D"/>
    <w:rsid w:val="004574C6"/>
    <w:rsid w:val="00457743"/>
    <w:rsid w:val="00457BCF"/>
    <w:rsid w:val="00457DCE"/>
    <w:rsid w:val="00460E3F"/>
    <w:rsid w:val="0046111A"/>
    <w:rsid w:val="004622DA"/>
    <w:rsid w:val="00462F68"/>
    <w:rsid w:val="0046369B"/>
    <w:rsid w:val="004640E9"/>
    <w:rsid w:val="00466CED"/>
    <w:rsid w:val="00466EB5"/>
    <w:rsid w:val="00467592"/>
    <w:rsid w:val="00467690"/>
    <w:rsid w:val="004718E7"/>
    <w:rsid w:val="00472289"/>
    <w:rsid w:val="00472535"/>
    <w:rsid w:val="004761CC"/>
    <w:rsid w:val="004766C9"/>
    <w:rsid w:val="00477D00"/>
    <w:rsid w:val="00480D4A"/>
    <w:rsid w:val="00481DA1"/>
    <w:rsid w:val="00483A2B"/>
    <w:rsid w:val="00484212"/>
    <w:rsid w:val="00484BA9"/>
    <w:rsid w:val="0048599A"/>
    <w:rsid w:val="00486818"/>
    <w:rsid w:val="004905F3"/>
    <w:rsid w:val="0049255F"/>
    <w:rsid w:val="0049445D"/>
    <w:rsid w:val="00495350"/>
    <w:rsid w:val="00495E3C"/>
    <w:rsid w:val="00497156"/>
    <w:rsid w:val="004A0C79"/>
    <w:rsid w:val="004A24D2"/>
    <w:rsid w:val="004A28CF"/>
    <w:rsid w:val="004A3214"/>
    <w:rsid w:val="004A4136"/>
    <w:rsid w:val="004A417B"/>
    <w:rsid w:val="004A4378"/>
    <w:rsid w:val="004A712D"/>
    <w:rsid w:val="004B03F3"/>
    <w:rsid w:val="004B0CC9"/>
    <w:rsid w:val="004B2536"/>
    <w:rsid w:val="004B46D7"/>
    <w:rsid w:val="004B6AF3"/>
    <w:rsid w:val="004B715E"/>
    <w:rsid w:val="004B7169"/>
    <w:rsid w:val="004B79C9"/>
    <w:rsid w:val="004C00DD"/>
    <w:rsid w:val="004C05CF"/>
    <w:rsid w:val="004C0776"/>
    <w:rsid w:val="004C1EF8"/>
    <w:rsid w:val="004C2063"/>
    <w:rsid w:val="004C24C5"/>
    <w:rsid w:val="004C47D5"/>
    <w:rsid w:val="004C4CAF"/>
    <w:rsid w:val="004C5E33"/>
    <w:rsid w:val="004C60A3"/>
    <w:rsid w:val="004C6CDA"/>
    <w:rsid w:val="004D034B"/>
    <w:rsid w:val="004D10D4"/>
    <w:rsid w:val="004D16BD"/>
    <w:rsid w:val="004D2AAB"/>
    <w:rsid w:val="004D6E90"/>
    <w:rsid w:val="004D6F2B"/>
    <w:rsid w:val="004D7ABD"/>
    <w:rsid w:val="004E0248"/>
    <w:rsid w:val="004E21A3"/>
    <w:rsid w:val="004E32EA"/>
    <w:rsid w:val="004E6866"/>
    <w:rsid w:val="004F0C58"/>
    <w:rsid w:val="004F3222"/>
    <w:rsid w:val="004F3639"/>
    <w:rsid w:val="004F3BFA"/>
    <w:rsid w:val="004F4E3C"/>
    <w:rsid w:val="004F5A1A"/>
    <w:rsid w:val="004F661F"/>
    <w:rsid w:val="004F77A3"/>
    <w:rsid w:val="005000AB"/>
    <w:rsid w:val="00500F3C"/>
    <w:rsid w:val="005025EE"/>
    <w:rsid w:val="00503DDF"/>
    <w:rsid w:val="00505524"/>
    <w:rsid w:val="00506688"/>
    <w:rsid w:val="00510588"/>
    <w:rsid w:val="00510F9C"/>
    <w:rsid w:val="0051146C"/>
    <w:rsid w:val="0051220B"/>
    <w:rsid w:val="00512253"/>
    <w:rsid w:val="00512484"/>
    <w:rsid w:val="00514449"/>
    <w:rsid w:val="00515419"/>
    <w:rsid w:val="005157BD"/>
    <w:rsid w:val="005179DD"/>
    <w:rsid w:val="005214A3"/>
    <w:rsid w:val="005222E7"/>
    <w:rsid w:val="00523A8B"/>
    <w:rsid w:val="00523E04"/>
    <w:rsid w:val="00525003"/>
    <w:rsid w:val="0052590B"/>
    <w:rsid w:val="00526591"/>
    <w:rsid w:val="00527178"/>
    <w:rsid w:val="005278CB"/>
    <w:rsid w:val="00534D42"/>
    <w:rsid w:val="005350A5"/>
    <w:rsid w:val="00536379"/>
    <w:rsid w:val="00537238"/>
    <w:rsid w:val="005400C5"/>
    <w:rsid w:val="005404CD"/>
    <w:rsid w:val="00540BE0"/>
    <w:rsid w:val="00540BEF"/>
    <w:rsid w:val="00542C9A"/>
    <w:rsid w:val="005436C2"/>
    <w:rsid w:val="005442D4"/>
    <w:rsid w:val="0054586A"/>
    <w:rsid w:val="0054631F"/>
    <w:rsid w:val="00546C24"/>
    <w:rsid w:val="005471BA"/>
    <w:rsid w:val="00547BE6"/>
    <w:rsid w:val="0055034F"/>
    <w:rsid w:val="0055288D"/>
    <w:rsid w:val="00555259"/>
    <w:rsid w:val="00555C66"/>
    <w:rsid w:val="005569EF"/>
    <w:rsid w:val="00556BDE"/>
    <w:rsid w:val="00560D57"/>
    <w:rsid w:val="00562A94"/>
    <w:rsid w:val="00563FAD"/>
    <w:rsid w:val="005644F6"/>
    <w:rsid w:val="005701C1"/>
    <w:rsid w:val="005703BF"/>
    <w:rsid w:val="00570754"/>
    <w:rsid w:val="005709F7"/>
    <w:rsid w:val="005710A9"/>
    <w:rsid w:val="00571B11"/>
    <w:rsid w:val="00571D1B"/>
    <w:rsid w:val="00571DA3"/>
    <w:rsid w:val="005738F5"/>
    <w:rsid w:val="00573D34"/>
    <w:rsid w:val="00575963"/>
    <w:rsid w:val="00575EBE"/>
    <w:rsid w:val="0058039C"/>
    <w:rsid w:val="00580A63"/>
    <w:rsid w:val="00583379"/>
    <w:rsid w:val="0058417C"/>
    <w:rsid w:val="00586EC6"/>
    <w:rsid w:val="00587DDE"/>
    <w:rsid w:val="00593043"/>
    <w:rsid w:val="00595B60"/>
    <w:rsid w:val="00595BF0"/>
    <w:rsid w:val="00597E16"/>
    <w:rsid w:val="005A0B1D"/>
    <w:rsid w:val="005A1846"/>
    <w:rsid w:val="005A258C"/>
    <w:rsid w:val="005A3560"/>
    <w:rsid w:val="005A464E"/>
    <w:rsid w:val="005A62FC"/>
    <w:rsid w:val="005A6C99"/>
    <w:rsid w:val="005A7D5D"/>
    <w:rsid w:val="005B0040"/>
    <w:rsid w:val="005B011A"/>
    <w:rsid w:val="005B0283"/>
    <w:rsid w:val="005B1ADA"/>
    <w:rsid w:val="005B1D8F"/>
    <w:rsid w:val="005B1E94"/>
    <w:rsid w:val="005B5B3D"/>
    <w:rsid w:val="005B64CF"/>
    <w:rsid w:val="005C0E87"/>
    <w:rsid w:val="005C16F3"/>
    <w:rsid w:val="005C3758"/>
    <w:rsid w:val="005C4D72"/>
    <w:rsid w:val="005C50C1"/>
    <w:rsid w:val="005C62C2"/>
    <w:rsid w:val="005D2306"/>
    <w:rsid w:val="005D4A74"/>
    <w:rsid w:val="005D5E91"/>
    <w:rsid w:val="005D67EF"/>
    <w:rsid w:val="005D7A06"/>
    <w:rsid w:val="005E3064"/>
    <w:rsid w:val="005E6AEE"/>
    <w:rsid w:val="005E72B2"/>
    <w:rsid w:val="005F1115"/>
    <w:rsid w:val="005F1AB6"/>
    <w:rsid w:val="005F27F2"/>
    <w:rsid w:val="005F2B27"/>
    <w:rsid w:val="005F2ED3"/>
    <w:rsid w:val="005F3567"/>
    <w:rsid w:val="005F3AFE"/>
    <w:rsid w:val="005F424D"/>
    <w:rsid w:val="005F55F5"/>
    <w:rsid w:val="005F5EC1"/>
    <w:rsid w:val="005F67A9"/>
    <w:rsid w:val="005F6B6D"/>
    <w:rsid w:val="006008F8"/>
    <w:rsid w:val="00605AAB"/>
    <w:rsid w:val="00606BEB"/>
    <w:rsid w:val="00607A36"/>
    <w:rsid w:val="0061014A"/>
    <w:rsid w:val="0061054B"/>
    <w:rsid w:val="00612FB0"/>
    <w:rsid w:val="0061356D"/>
    <w:rsid w:val="00613E26"/>
    <w:rsid w:val="00615641"/>
    <w:rsid w:val="00616959"/>
    <w:rsid w:val="0062036E"/>
    <w:rsid w:val="006211D0"/>
    <w:rsid w:val="00621595"/>
    <w:rsid w:val="0062359D"/>
    <w:rsid w:val="00623634"/>
    <w:rsid w:val="00624D0C"/>
    <w:rsid w:val="006274B4"/>
    <w:rsid w:val="006307BA"/>
    <w:rsid w:val="006315BA"/>
    <w:rsid w:val="00634C4A"/>
    <w:rsid w:val="0063532E"/>
    <w:rsid w:val="00637063"/>
    <w:rsid w:val="0063737C"/>
    <w:rsid w:val="00637BDC"/>
    <w:rsid w:val="00640622"/>
    <w:rsid w:val="006418C9"/>
    <w:rsid w:val="00642777"/>
    <w:rsid w:val="00642BD6"/>
    <w:rsid w:val="00645046"/>
    <w:rsid w:val="0064527A"/>
    <w:rsid w:val="006456A6"/>
    <w:rsid w:val="006458FD"/>
    <w:rsid w:val="00645EA2"/>
    <w:rsid w:val="00651E6D"/>
    <w:rsid w:val="00653D2D"/>
    <w:rsid w:val="006555E7"/>
    <w:rsid w:val="006560B6"/>
    <w:rsid w:val="006573F2"/>
    <w:rsid w:val="00662AD0"/>
    <w:rsid w:val="00662F08"/>
    <w:rsid w:val="00663589"/>
    <w:rsid w:val="006649CD"/>
    <w:rsid w:val="00665D75"/>
    <w:rsid w:val="006708E3"/>
    <w:rsid w:val="00670DDC"/>
    <w:rsid w:val="00671389"/>
    <w:rsid w:val="00671EB4"/>
    <w:rsid w:val="00673CDC"/>
    <w:rsid w:val="0067443B"/>
    <w:rsid w:val="0067703E"/>
    <w:rsid w:val="006770AA"/>
    <w:rsid w:val="00682486"/>
    <w:rsid w:val="00684CE6"/>
    <w:rsid w:val="00684E2B"/>
    <w:rsid w:val="00686874"/>
    <w:rsid w:val="00687C7E"/>
    <w:rsid w:val="00690569"/>
    <w:rsid w:val="00690FDA"/>
    <w:rsid w:val="00691E61"/>
    <w:rsid w:val="006937C6"/>
    <w:rsid w:val="00693C5E"/>
    <w:rsid w:val="00693CEE"/>
    <w:rsid w:val="00694EEA"/>
    <w:rsid w:val="006955B4"/>
    <w:rsid w:val="00695DEF"/>
    <w:rsid w:val="00696476"/>
    <w:rsid w:val="00696C74"/>
    <w:rsid w:val="006A10FA"/>
    <w:rsid w:val="006A40E6"/>
    <w:rsid w:val="006A516B"/>
    <w:rsid w:val="006A5362"/>
    <w:rsid w:val="006A543A"/>
    <w:rsid w:val="006A5C07"/>
    <w:rsid w:val="006A75FA"/>
    <w:rsid w:val="006B07D5"/>
    <w:rsid w:val="006B1309"/>
    <w:rsid w:val="006B31E6"/>
    <w:rsid w:val="006B3923"/>
    <w:rsid w:val="006B3F3E"/>
    <w:rsid w:val="006B4AA2"/>
    <w:rsid w:val="006B53C4"/>
    <w:rsid w:val="006B586B"/>
    <w:rsid w:val="006B5923"/>
    <w:rsid w:val="006B67D9"/>
    <w:rsid w:val="006B6C14"/>
    <w:rsid w:val="006B715E"/>
    <w:rsid w:val="006C196A"/>
    <w:rsid w:val="006C1D6E"/>
    <w:rsid w:val="006C2EF6"/>
    <w:rsid w:val="006C3A68"/>
    <w:rsid w:val="006C3B08"/>
    <w:rsid w:val="006C4A40"/>
    <w:rsid w:val="006C6AB1"/>
    <w:rsid w:val="006C6E6B"/>
    <w:rsid w:val="006D145F"/>
    <w:rsid w:val="006D2000"/>
    <w:rsid w:val="006D2D39"/>
    <w:rsid w:val="006D2F31"/>
    <w:rsid w:val="006D4250"/>
    <w:rsid w:val="006D4E0E"/>
    <w:rsid w:val="006D5861"/>
    <w:rsid w:val="006D5CE2"/>
    <w:rsid w:val="006D7854"/>
    <w:rsid w:val="006E06D1"/>
    <w:rsid w:val="006E1313"/>
    <w:rsid w:val="006E2DC8"/>
    <w:rsid w:val="006E7356"/>
    <w:rsid w:val="006E77C8"/>
    <w:rsid w:val="006F0F9C"/>
    <w:rsid w:val="006F149D"/>
    <w:rsid w:val="006F1A46"/>
    <w:rsid w:val="006F2B40"/>
    <w:rsid w:val="006F434A"/>
    <w:rsid w:val="006F4F06"/>
    <w:rsid w:val="006F5A4E"/>
    <w:rsid w:val="006F5D37"/>
    <w:rsid w:val="006F6005"/>
    <w:rsid w:val="007005EA"/>
    <w:rsid w:val="00703B6C"/>
    <w:rsid w:val="00703BB0"/>
    <w:rsid w:val="00704519"/>
    <w:rsid w:val="00704C88"/>
    <w:rsid w:val="00704EA1"/>
    <w:rsid w:val="00705C40"/>
    <w:rsid w:val="00706482"/>
    <w:rsid w:val="00706754"/>
    <w:rsid w:val="00706BEF"/>
    <w:rsid w:val="00707ECE"/>
    <w:rsid w:val="00710CE8"/>
    <w:rsid w:val="00711350"/>
    <w:rsid w:val="007116BC"/>
    <w:rsid w:val="00711961"/>
    <w:rsid w:val="00711CA6"/>
    <w:rsid w:val="00715406"/>
    <w:rsid w:val="007165CE"/>
    <w:rsid w:val="00717CEB"/>
    <w:rsid w:val="0072035D"/>
    <w:rsid w:val="0072035F"/>
    <w:rsid w:val="00720968"/>
    <w:rsid w:val="00721705"/>
    <w:rsid w:val="00721B7A"/>
    <w:rsid w:val="00721D12"/>
    <w:rsid w:val="00721F8B"/>
    <w:rsid w:val="007237CE"/>
    <w:rsid w:val="00723973"/>
    <w:rsid w:val="00724688"/>
    <w:rsid w:val="007272F1"/>
    <w:rsid w:val="0073062D"/>
    <w:rsid w:val="0073093B"/>
    <w:rsid w:val="0073254D"/>
    <w:rsid w:val="007340F3"/>
    <w:rsid w:val="00735704"/>
    <w:rsid w:val="00736A49"/>
    <w:rsid w:val="007419A1"/>
    <w:rsid w:val="00743B71"/>
    <w:rsid w:val="00743C2D"/>
    <w:rsid w:val="00743E36"/>
    <w:rsid w:val="00743F05"/>
    <w:rsid w:val="007441C1"/>
    <w:rsid w:val="007446F7"/>
    <w:rsid w:val="00744EBB"/>
    <w:rsid w:val="00745B0A"/>
    <w:rsid w:val="00745DBE"/>
    <w:rsid w:val="007468AC"/>
    <w:rsid w:val="00746AE2"/>
    <w:rsid w:val="00750C82"/>
    <w:rsid w:val="00750E3A"/>
    <w:rsid w:val="007512C4"/>
    <w:rsid w:val="00752035"/>
    <w:rsid w:val="0076100C"/>
    <w:rsid w:val="007612A5"/>
    <w:rsid w:val="00763CAE"/>
    <w:rsid w:val="00763F95"/>
    <w:rsid w:val="007651ED"/>
    <w:rsid w:val="00766C87"/>
    <w:rsid w:val="00771043"/>
    <w:rsid w:val="00773AF7"/>
    <w:rsid w:val="00774FFD"/>
    <w:rsid w:val="00780378"/>
    <w:rsid w:val="0078085E"/>
    <w:rsid w:val="00781BD4"/>
    <w:rsid w:val="00782562"/>
    <w:rsid w:val="007828B4"/>
    <w:rsid w:val="00784832"/>
    <w:rsid w:val="00784EA0"/>
    <w:rsid w:val="00785D77"/>
    <w:rsid w:val="00786111"/>
    <w:rsid w:val="00790963"/>
    <w:rsid w:val="0079154B"/>
    <w:rsid w:val="00791F1E"/>
    <w:rsid w:val="007927BE"/>
    <w:rsid w:val="007935B8"/>
    <w:rsid w:val="00794ADE"/>
    <w:rsid w:val="00794F3D"/>
    <w:rsid w:val="00795CE9"/>
    <w:rsid w:val="00796045"/>
    <w:rsid w:val="007968AC"/>
    <w:rsid w:val="007969AB"/>
    <w:rsid w:val="007973D8"/>
    <w:rsid w:val="00797801"/>
    <w:rsid w:val="007A0B39"/>
    <w:rsid w:val="007A14A4"/>
    <w:rsid w:val="007A168F"/>
    <w:rsid w:val="007A2346"/>
    <w:rsid w:val="007A28E4"/>
    <w:rsid w:val="007A3BB3"/>
    <w:rsid w:val="007A3F91"/>
    <w:rsid w:val="007A5AD1"/>
    <w:rsid w:val="007A5B7B"/>
    <w:rsid w:val="007A65A9"/>
    <w:rsid w:val="007B0128"/>
    <w:rsid w:val="007B0A06"/>
    <w:rsid w:val="007B0B24"/>
    <w:rsid w:val="007B1C83"/>
    <w:rsid w:val="007B4181"/>
    <w:rsid w:val="007B5C5C"/>
    <w:rsid w:val="007B6CE0"/>
    <w:rsid w:val="007B7B37"/>
    <w:rsid w:val="007B7C41"/>
    <w:rsid w:val="007C05C5"/>
    <w:rsid w:val="007C11E9"/>
    <w:rsid w:val="007C433E"/>
    <w:rsid w:val="007C4452"/>
    <w:rsid w:val="007C4B3C"/>
    <w:rsid w:val="007C4DB1"/>
    <w:rsid w:val="007C6046"/>
    <w:rsid w:val="007C6F0C"/>
    <w:rsid w:val="007D0292"/>
    <w:rsid w:val="007D136C"/>
    <w:rsid w:val="007D21AC"/>
    <w:rsid w:val="007D24B0"/>
    <w:rsid w:val="007D3882"/>
    <w:rsid w:val="007D39E4"/>
    <w:rsid w:val="007D3FE7"/>
    <w:rsid w:val="007D568A"/>
    <w:rsid w:val="007D574E"/>
    <w:rsid w:val="007D57C0"/>
    <w:rsid w:val="007D67CB"/>
    <w:rsid w:val="007D6BFE"/>
    <w:rsid w:val="007E2046"/>
    <w:rsid w:val="007E3883"/>
    <w:rsid w:val="007E44BA"/>
    <w:rsid w:val="007E4876"/>
    <w:rsid w:val="007E48CD"/>
    <w:rsid w:val="007E4ACB"/>
    <w:rsid w:val="007E4FBB"/>
    <w:rsid w:val="007E55BF"/>
    <w:rsid w:val="007E59E3"/>
    <w:rsid w:val="007E5E39"/>
    <w:rsid w:val="007E71B1"/>
    <w:rsid w:val="007E7B4E"/>
    <w:rsid w:val="007E7F02"/>
    <w:rsid w:val="007F0292"/>
    <w:rsid w:val="007F0A4B"/>
    <w:rsid w:val="007F0AB7"/>
    <w:rsid w:val="007F0CE2"/>
    <w:rsid w:val="007F0EFF"/>
    <w:rsid w:val="007F1375"/>
    <w:rsid w:val="007F1AFD"/>
    <w:rsid w:val="007F30E4"/>
    <w:rsid w:val="007F6E63"/>
    <w:rsid w:val="0080064F"/>
    <w:rsid w:val="00801B85"/>
    <w:rsid w:val="00803850"/>
    <w:rsid w:val="008039E8"/>
    <w:rsid w:val="00804385"/>
    <w:rsid w:val="00804E0E"/>
    <w:rsid w:val="00805AFD"/>
    <w:rsid w:val="008078D8"/>
    <w:rsid w:val="0080798E"/>
    <w:rsid w:val="00810AC5"/>
    <w:rsid w:val="00811D5B"/>
    <w:rsid w:val="00813C51"/>
    <w:rsid w:val="00816CCB"/>
    <w:rsid w:val="00817572"/>
    <w:rsid w:val="00817713"/>
    <w:rsid w:val="008208C3"/>
    <w:rsid w:val="008220F1"/>
    <w:rsid w:val="0082340B"/>
    <w:rsid w:val="00823D6A"/>
    <w:rsid w:val="00823F56"/>
    <w:rsid w:val="00827B29"/>
    <w:rsid w:val="00827DB6"/>
    <w:rsid w:val="008304B2"/>
    <w:rsid w:val="00830999"/>
    <w:rsid w:val="00830D5E"/>
    <w:rsid w:val="00830F69"/>
    <w:rsid w:val="008324D9"/>
    <w:rsid w:val="00833418"/>
    <w:rsid w:val="0083387F"/>
    <w:rsid w:val="00834458"/>
    <w:rsid w:val="00834AEA"/>
    <w:rsid w:val="00835841"/>
    <w:rsid w:val="00835BF8"/>
    <w:rsid w:val="00835FB7"/>
    <w:rsid w:val="00837465"/>
    <w:rsid w:val="0084002E"/>
    <w:rsid w:val="00840159"/>
    <w:rsid w:val="00840621"/>
    <w:rsid w:val="00841243"/>
    <w:rsid w:val="00841457"/>
    <w:rsid w:val="0084374E"/>
    <w:rsid w:val="00844842"/>
    <w:rsid w:val="00844A53"/>
    <w:rsid w:val="00844B99"/>
    <w:rsid w:val="00844CA6"/>
    <w:rsid w:val="00844DD0"/>
    <w:rsid w:val="008455C8"/>
    <w:rsid w:val="00846407"/>
    <w:rsid w:val="0085006A"/>
    <w:rsid w:val="0085089F"/>
    <w:rsid w:val="0085206E"/>
    <w:rsid w:val="00852273"/>
    <w:rsid w:val="0085293D"/>
    <w:rsid w:val="00852AD4"/>
    <w:rsid w:val="00852BA8"/>
    <w:rsid w:val="00852BF0"/>
    <w:rsid w:val="00853718"/>
    <w:rsid w:val="008541EF"/>
    <w:rsid w:val="00856AC7"/>
    <w:rsid w:val="00856FA4"/>
    <w:rsid w:val="00860E60"/>
    <w:rsid w:val="0086102A"/>
    <w:rsid w:val="0086162B"/>
    <w:rsid w:val="00861710"/>
    <w:rsid w:val="00861D5C"/>
    <w:rsid w:val="00861E7C"/>
    <w:rsid w:val="00865207"/>
    <w:rsid w:val="008656A7"/>
    <w:rsid w:val="00865FA3"/>
    <w:rsid w:val="00866231"/>
    <w:rsid w:val="00871262"/>
    <w:rsid w:val="0087170E"/>
    <w:rsid w:val="00871D4E"/>
    <w:rsid w:val="00871E7B"/>
    <w:rsid w:val="008721BB"/>
    <w:rsid w:val="0087566D"/>
    <w:rsid w:val="00875B50"/>
    <w:rsid w:val="00875B51"/>
    <w:rsid w:val="00875F2D"/>
    <w:rsid w:val="008764DC"/>
    <w:rsid w:val="00876CD3"/>
    <w:rsid w:val="00882CC2"/>
    <w:rsid w:val="0088325A"/>
    <w:rsid w:val="00883930"/>
    <w:rsid w:val="00883AF8"/>
    <w:rsid w:val="008840E4"/>
    <w:rsid w:val="00884535"/>
    <w:rsid w:val="008902BE"/>
    <w:rsid w:val="0089038F"/>
    <w:rsid w:val="00890CDA"/>
    <w:rsid w:val="00891BBA"/>
    <w:rsid w:val="00892079"/>
    <w:rsid w:val="00892B90"/>
    <w:rsid w:val="00896535"/>
    <w:rsid w:val="00896683"/>
    <w:rsid w:val="00896E71"/>
    <w:rsid w:val="0089750B"/>
    <w:rsid w:val="00897589"/>
    <w:rsid w:val="008A0D4F"/>
    <w:rsid w:val="008A39D7"/>
    <w:rsid w:val="008A55DE"/>
    <w:rsid w:val="008A5C34"/>
    <w:rsid w:val="008A63A9"/>
    <w:rsid w:val="008A7073"/>
    <w:rsid w:val="008A79F0"/>
    <w:rsid w:val="008A7F7E"/>
    <w:rsid w:val="008B04DB"/>
    <w:rsid w:val="008B09B4"/>
    <w:rsid w:val="008B1DF4"/>
    <w:rsid w:val="008B27FD"/>
    <w:rsid w:val="008B2FDB"/>
    <w:rsid w:val="008B3AF2"/>
    <w:rsid w:val="008B446D"/>
    <w:rsid w:val="008B515D"/>
    <w:rsid w:val="008B5D31"/>
    <w:rsid w:val="008B6705"/>
    <w:rsid w:val="008C22F3"/>
    <w:rsid w:val="008C3FD0"/>
    <w:rsid w:val="008C4F01"/>
    <w:rsid w:val="008D1484"/>
    <w:rsid w:val="008D29E7"/>
    <w:rsid w:val="008D5104"/>
    <w:rsid w:val="008D7178"/>
    <w:rsid w:val="008D75F4"/>
    <w:rsid w:val="008D795D"/>
    <w:rsid w:val="008D7B07"/>
    <w:rsid w:val="008E0D8F"/>
    <w:rsid w:val="008E0F4E"/>
    <w:rsid w:val="008E1E94"/>
    <w:rsid w:val="008E2D99"/>
    <w:rsid w:val="008E30D4"/>
    <w:rsid w:val="008E38B0"/>
    <w:rsid w:val="008E440E"/>
    <w:rsid w:val="008E4A60"/>
    <w:rsid w:val="008E744D"/>
    <w:rsid w:val="008F1E08"/>
    <w:rsid w:val="008F6FC8"/>
    <w:rsid w:val="00900244"/>
    <w:rsid w:val="0090045D"/>
    <w:rsid w:val="00900D8F"/>
    <w:rsid w:val="009014E3"/>
    <w:rsid w:val="009020ED"/>
    <w:rsid w:val="009026E8"/>
    <w:rsid w:val="00902FDD"/>
    <w:rsid w:val="00904E19"/>
    <w:rsid w:val="00905EEF"/>
    <w:rsid w:val="00906EB7"/>
    <w:rsid w:val="009102BF"/>
    <w:rsid w:val="00911490"/>
    <w:rsid w:val="009115F2"/>
    <w:rsid w:val="0091184E"/>
    <w:rsid w:val="00911B11"/>
    <w:rsid w:val="00914ADB"/>
    <w:rsid w:val="00917182"/>
    <w:rsid w:val="00917BB0"/>
    <w:rsid w:val="00923B25"/>
    <w:rsid w:val="0092402E"/>
    <w:rsid w:val="009259BA"/>
    <w:rsid w:val="00926FCB"/>
    <w:rsid w:val="009303BB"/>
    <w:rsid w:val="0093108A"/>
    <w:rsid w:val="0093311A"/>
    <w:rsid w:val="009346D0"/>
    <w:rsid w:val="009419B4"/>
    <w:rsid w:val="00941A4C"/>
    <w:rsid w:val="00942645"/>
    <w:rsid w:val="009461E6"/>
    <w:rsid w:val="00950A3A"/>
    <w:rsid w:val="0095340A"/>
    <w:rsid w:val="00953AF6"/>
    <w:rsid w:val="0095423E"/>
    <w:rsid w:val="00954581"/>
    <w:rsid w:val="0095466C"/>
    <w:rsid w:val="00954842"/>
    <w:rsid w:val="00954E5B"/>
    <w:rsid w:val="00955316"/>
    <w:rsid w:val="0095553B"/>
    <w:rsid w:val="00955E45"/>
    <w:rsid w:val="009576BC"/>
    <w:rsid w:val="00957899"/>
    <w:rsid w:val="00960357"/>
    <w:rsid w:val="0096168C"/>
    <w:rsid w:val="00961840"/>
    <w:rsid w:val="009625E3"/>
    <w:rsid w:val="00962F2D"/>
    <w:rsid w:val="00963A7A"/>
    <w:rsid w:val="009672CD"/>
    <w:rsid w:val="00972996"/>
    <w:rsid w:val="009732B8"/>
    <w:rsid w:val="00974647"/>
    <w:rsid w:val="0097514A"/>
    <w:rsid w:val="009759C2"/>
    <w:rsid w:val="00975C72"/>
    <w:rsid w:val="00976869"/>
    <w:rsid w:val="00977740"/>
    <w:rsid w:val="00977CB4"/>
    <w:rsid w:val="009809B8"/>
    <w:rsid w:val="00981086"/>
    <w:rsid w:val="009818AF"/>
    <w:rsid w:val="00981B1C"/>
    <w:rsid w:val="0098222D"/>
    <w:rsid w:val="00985099"/>
    <w:rsid w:val="00985D32"/>
    <w:rsid w:val="00986514"/>
    <w:rsid w:val="00986FCC"/>
    <w:rsid w:val="009935C3"/>
    <w:rsid w:val="0099421F"/>
    <w:rsid w:val="00994FC8"/>
    <w:rsid w:val="009A0DE3"/>
    <w:rsid w:val="009A12A0"/>
    <w:rsid w:val="009A1643"/>
    <w:rsid w:val="009A215A"/>
    <w:rsid w:val="009A21C7"/>
    <w:rsid w:val="009A49D3"/>
    <w:rsid w:val="009A4F1B"/>
    <w:rsid w:val="009A66C5"/>
    <w:rsid w:val="009A66E7"/>
    <w:rsid w:val="009A79BA"/>
    <w:rsid w:val="009B14D1"/>
    <w:rsid w:val="009B1534"/>
    <w:rsid w:val="009B4963"/>
    <w:rsid w:val="009B4A3B"/>
    <w:rsid w:val="009B69D3"/>
    <w:rsid w:val="009B7BA7"/>
    <w:rsid w:val="009B7C01"/>
    <w:rsid w:val="009C0938"/>
    <w:rsid w:val="009C0C22"/>
    <w:rsid w:val="009C15D9"/>
    <w:rsid w:val="009C22C8"/>
    <w:rsid w:val="009C3061"/>
    <w:rsid w:val="009C3F82"/>
    <w:rsid w:val="009C582A"/>
    <w:rsid w:val="009C5C56"/>
    <w:rsid w:val="009C72DD"/>
    <w:rsid w:val="009C78FD"/>
    <w:rsid w:val="009C7DF5"/>
    <w:rsid w:val="009D056C"/>
    <w:rsid w:val="009D060F"/>
    <w:rsid w:val="009D1ADE"/>
    <w:rsid w:val="009D3652"/>
    <w:rsid w:val="009D37CA"/>
    <w:rsid w:val="009D4229"/>
    <w:rsid w:val="009D4268"/>
    <w:rsid w:val="009E09D0"/>
    <w:rsid w:val="009E0C91"/>
    <w:rsid w:val="009E1283"/>
    <w:rsid w:val="009E3A7F"/>
    <w:rsid w:val="009E4C9B"/>
    <w:rsid w:val="009E4DFC"/>
    <w:rsid w:val="009E5789"/>
    <w:rsid w:val="009E57B1"/>
    <w:rsid w:val="009E6379"/>
    <w:rsid w:val="009F020F"/>
    <w:rsid w:val="009F3B63"/>
    <w:rsid w:val="009F43E2"/>
    <w:rsid w:val="009F6292"/>
    <w:rsid w:val="009F7809"/>
    <w:rsid w:val="009F7AF5"/>
    <w:rsid w:val="00A006F1"/>
    <w:rsid w:val="00A007A7"/>
    <w:rsid w:val="00A00D14"/>
    <w:rsid w:val="00A01408"/>
    <w:rsid w:val="00A02457"/>
    <w:rsid w:val="00A03190"/>
    <w:rsid w:val="00A0404B"/>
    <w:rsid w:val="00A06B31"/>
    <w:rsid w:val="00A06F66"/>
    <w:rsid w:val="00A0798C"/>
    <w:rsid w:val="00A07BDD"/>
    <w:rsid w:val="00A07F12"/>
    <w:rsid w:val="00A1105B"/>
    <w:rsid w:val="00A1213C"/>
    <w:rsid w:val="00A130E8"/>
    <w:rsid w:val="00A15B6B"/>
    <w:rsid w:val="00A15EB4"/>
    <w:rsid w:val="00A16172"/>
    <w:rsid w:val="00A16876"/>
    <w:rsid w:val="00A17629"/>
    <w:rsid w:val="00A200AA"/>
    <w:rsid w:val="00A20558"/>
    <w:rsid w:val="00A211DD"/>
    <w:rsid w:val="00A2186F"/>
    <w:rsid w:val="00A2270B"/>
    <w:rsid w:val="00A234A7"/>
    <w:rsid w:val="00A23B89"/>
    <w:rsid w:val="00A23FE3"/>
    <w:rsid w:val="00A248C3"/>
    <w:rsid w:val="00A2496E"/>
    <w:rsid w:val="00A2515A"/>
    <w:rsid w:val="00A253E8"/>
    <w:rsid w:val="00A258B7"/>
    <w:rsid w:val="00A25A0C"/>
    <w:rsid w:val="00A25A83"/>
    <w:rsid w:val="00A262B6"/>
    <w:rsid w:val="00A31FE2"/>
    <w:rsid w:val="00A326C1"/>
    <w:rsid w:val="00A32743"/>
    <w:rsid w:val="00A33BA3"/>
    <w:rsid w:val="00A40FFB"/>
    <w:rsid w:val="00A41468"/>
    <w:rsid w:val="00A414A9"/>
    <w:rsid w:val="00A44141"/>
    <w:rsid w:val="00A44CCA"/>
    <w:rsid w:val="00A44D75"/>
    <w:rsid w:val="00A47CF1"/>
    <w:rsid w:val="00A50418"/>
    <w:rsid w:val="00A54A47"/>
    <w:rsid w:val="00A56D26"/>
    <w:rsid w:val="00A571A7"/>
    <w:rsid w:val="00A5749A"/>
    <w:rsid w:val="00A57BA8"/>
    <w:rsid w:val="00A608FB"/>
    <w:rsid w:val="00A60D83"/>
    <w:rsid w:val="00A60F68"/>
    <w:rsid w:val="00A63088"/>
    <w:rsid w:val="00A63DF3"/>
    <w:rsid w:val="00A63E23"/>
    <w:rsid w:val="00A65C78"/>
    <w:rsid w:val="00A660A8"/>
    <w:rsid w:val="00A66A45"/>
    <w:rsid w:val="00A67591"/>
    <w:rsid w:val="00A67CA6"/>
    <w:rsid w:val="00A70E7B"/>
    <w:rsid w:val="00A717EA"/>
    <w:rsid w:val="00A73B84"/>
    <w:rsid w:val="00A7411D"/>
    <w:rsid w:val="00A756C4"/>
    <w:rsid w:val="00A7592B"/>
    <w:rsid w:val="00A76094"/>
    <w:rsid w:val="00A768E2"/>
    <w:rsid w:val="00A82C52"/>
    <w:rsid w:val="00A838E8"/>
    <w:rsid w:val="00A83C15"/>
    <w:rsid w:val="00A84EC4"/>
    <w:rsid w:val="00A86CB6"/>
    <w:rsid w:val="00A90D55"/>
    <w:rsid w:val="00A944D8"/>
    <w:rsid w:val="00A959E7"/>
    <w:rsid w:val="00A95BBA"/>
    <w:rsid w:val="00A961EE"/>
    <w:rsid w:val="00AA04B3"/>
    <w:rsid w:val="00AA1253"/>
    <w:rsid w:val="00AA1ED0"/>
    <w:rsid w:val="00AA1F5B"/>
    <w:rsid w:val="00AA28EF"/>
    <w:rsid w:val="00AA3593"/>
    <w:rsid w:val="00AA38CA"/>
    <w:rsid w:val="00AA493E"/>
    <w:rsid w:val="00AA73AF"/>
    <w:rsid w:val="00AB0A8A"/>
    <w:rsid w:val="00AB1754"/>
    <w:rsid w:val="00AB1AE6"/>
    <w:rsid w:val="00AB1F8D"/>
    <w:rsid w:val="00AB27DD"/>
    <w:rsid w:val="00AB592E"/>
    <w:rsid w:val="00AC37BE"/>
    <w:rsid w:val="00AC439D"/>
    <w:rsid w:val="00AC62CC"/>
    <w:rsid w:val="00AC713F"/>
    <w:rsid w:val="00AC7329"/>
    <w:rsid w:val="00AC7D96"/>
    <w:rsid w:val="00AD00E4"/>
    <w:rsid w:val="00AD067E"/>
    <w:rsid w:val="00AD168B"/>
    <w:rsid w:val="00AD1B4E"/>
    <w:rsid w:val="00AD2801"/>
    <w:rsid w:val="00AD2AD5"/>
    <w:rsid w:val="00AD3496"/>
    <w:rsid w:val="00AD49A1"/>
    <w:rsid w:val="00AD5771"/>
    <w:rsid w:val="00AD6870"/>
    <w:rsid w:val="00AD68C5"/>
    <w:rsid w:val="00AD7F8F"/>
    <w:rsid w:val="00AE0BF9"/>
    <w:rsid w:val="00AE1273"/>
    <w:rsid w:val="00AE18C5"/>
    <w:rsid w:val="00AE2CF4"/>
    <w:rsid w:val="00AE2D29"/>
    <w:rsid w:val="00AE2F15"/>
    <w:rsid w:val="00AE4624"/>
    <w:rsid w:val="00AE4B3E"/>
    <w:rsid w:val="00AE5E14"/>
    <w:rsid w:val="00AE6115"/>
    <w:rsid w:val="00AE625B"/>
    <w:rsid w:val="00AF01B2"/>
    <w:rsid w:val="00AF1103"/>
    <w:rsid w:val="00AF1668"/>
    <w:rsid w:val="00AF28DE"/>
    <w:rsid w:val="00AF4FA5"/>
    <w:rsid w:val="00AF6ECC"/>
    <w:rsid w:val="00B022DC"/>
    <w:rsid w:val="00B04562"/>
    <w:rsid w:val="00B0472F"/>
    <w:rsid w:val="00B06100"/>
    <w:rsid w:val="00B06930"/>
    <w:rsid w:val="00B0773A"/>
    <w:rsid w:val="00B07955"/>
    <w:rsid w:val="00B1176B"/>
    <w:rsid w:val="00B140B8"/>
    <w:rsid w:val="00B14B5C"/>
    <w:rsid w:val="00B14FAA"/>
    <w:rsid w:val="00B15BED"/>
    <w:rsid w:val="00B15D30"/>
    <w:rsid w:val="00B16D18"/>
    <w:rsid w:val="00B177DE"/>
    <w:rsid w:val="00B20624"/>
    <w:rsid w:val="00B22397"/>
    <w:rsid w:val="00B23436"/>
    <w:rsid w:val="00B237F1"/>
    <w:rsid w:val="00B23F10"/>
    <w:rsid w:val="00B24328"/>
    <w:rsid w:val="00B24ED4"/>
    <w:rsid w:val="00B24F33"/>
    <w:rsid w:val="00B26354"/>
    <w:rsid w:val="00B26CA0"/>
    <w:rsid w:val="00B31965"/>
    <w:rsid w:val="00B32179"/>
    <w:rsid w:val="00B32341"/>
    <w:rsid w:val="00B32C2B"/>
    <w:rsid w:val="00B33007"/>
    <w:rsid w:val="00B331A9"/>
    <w:rsid w:val="00B33498"/>
    <w:rsid w:val="00B33598"/>
    <w:rsid w:val="00B34274"/>
    <w:rsid w:val="00B36569"/>
    <w:rsid w:val="00B37345"/>
    <w:rsid w:val="00B37F53"/>
    <w:rsid w:val="00B40A05"/>
    <w:rsid w:val="00B40A0A"/>
    <w:rsid w:val="00B40A3E"/>
    <w:rsid w:val="00B427BB"/>
    <w:rsid w:val="00B43BA2"/>
    <w:rsid w:val="00B448E6"/>
    <w:rsid w:val="00B449EE"/>
    <w:rsid w:val="00B454AE"/>
    <w:rsid w:val="00B50227"/>
    <w:rsid w:val="00B50510"/>
    <w:rsid w:val="00B522CD"/>
    <w:rsid w:val="00B55143"/>
    <w:rsid w:val="00B555C8"/>
    <w:rsid w:val="00B55917"/>
    <w:rsid w:val="00B55FFD"/>
    <w:rsid w:val="00B5646A"/>
    <w:rsid w:val="00B56F3D"/>
    <w:rsid w:val="00B57921"/>
    <w:rsid w:val="00B57E78"/>
    <w:rsid w:val="00B57EB8"/>
    <w:rsid w:val="00B609F6"/>
    <w:rsid w:val="00B60E75"/>
    <w:rsid w:val="00B643A6"/>
    <w:rsid w:val="00B64DD6"/>
    <w:rsid w:val="00B66505"/>
    <w:rsid w:val="00B6710C"/>
    <w:rsid w:val="00B67E84"/>
    <w:rsid w:val="00B72076"/>
    <w:rsid w:val="00B72303"/>
    <w:rsid w:val="00B72C72"/>
    <w:rsid w:val="00B72ED9"/>
    <w:rsid w:val="00B731E4"/>
    <w:rsid w:val="00B751CE"/>
    <w:rsid w:val="00B75663"/>
    <w:rsid w:val="00B75A8B"/>
    <w:rsid w:val="00B75B61"/>
    <w:rsid w:val="00B76796"/>
    <w:rsid w:val="00B771E0"/>
    <w:rsid w:val="00B7793B"/>
    <w:rsid w:val="00B77EE7"/>
    <w:rsid w:val="00B80EDD"/>
    <w:rsid w:val="00B812BD"/>
    <w:rsid w:val="00B81964"/>
    <w:rsid w:val="00B82277"/>
    <w:rsid w:val="00B82C2C"/>
    <w:rsid w:val="00B83F87"/>
    <w:rsid w:val="00B8478F"/>
    <w:rsid w:val="00B91676"/>
    <w:rsid w:val="00B9322B"/>
    <w:rsid w:val="00B955D5"/>
    <w:rsid w:val="00B95833"/>
    <w:rsid w:val="00BA1824"/>
    <w:rsid w:val="00BA2D98"/>
    <w:rsid w:val="00BA2F0C"/>
    <w:rsid w:val="00BA30D1"/>
    <w:rsid w:val="00BA30E1"/>
    <w:rsid w:val="00BA4104"/>
    <w:rsid w:val="00BA4609"/>
    <w:rsid w:val="00BA5BE2"/>
    <w:rsid w:val="00BA7F46"/>
    <w:rsid w:val="00BB0A0A"/>
    <w:rsid w:val="00BB133C"/>
    <w:rsid w:val="00BB1F04"/>
    <w:rsid w:val="00BB2AF4"/>
    <w:rsid w:val="00BB45B5"/>
    <w:rsid w:val="00BB4DDE"/>
    <w:rsid w:val="00BB6064"/>
    <w:rsid w:val="00BB65CE"/>
    <w:rsid w:val="00BB7012"/>
    <w:rsid w:val="00BC09D1"/>
    <w:rsid w:val="00BC1CF3"/>
    <w:rsid w:val="00BC2BE0"/>
    <w:rsid w:val="00BC3573"/>
    <w:rsid w:val="00BC7CD2"/>
    <w:rsid w:val="00BC7F82"/>
    <w:rsid w:val="00BD2A49"/>
    <w:rsid w:val="00BD3683"/>
    <w:rsid w:val="00BD40AB"/>
    <w:rsid w:val="00BD6297"/>
    <w:rsid w:val="00BD6806"/>
    <w:rsid w:val="00BD7433"/>
    <w:rsid w:val="00BD7831"/>
    <w:rsid w:val="00BD7C10"/>
    <w:rsid w:val="00BE046F"/>
    <w:rsid w:val="00BE0DEB"/>
    <w:rsid w:val="00BE2AB8"/>
    <w:rsid w:val="00BE2FC1"/>
    <w:rsid w:val="00BE3142"/>
    <w:rsid w:val="00BE4039"/>
    <w:rsid w:val="00BE6365"/>
    <w:rsid w:val="00BF01B7"/>
    <w:rsid w:val="00BF0B7F"/>
    <w:rsid w:val="00BF2988"/>
    <w:rsid w:val="00BF4720"/>
    <w:rsid w:val="00BF4F49"/>
    <w:rsid w:val="00BF6759"/>
    <w:rsid w:val="00BF70A6"/>
    <w:rsid w:val="00BF7B4F"/>
    <w:rsid w:val="00BF7B63"/>
    <w:rsid w:val="00C0359D"/>
    <w:rsid w:val="00C038EC"/>
    <w:rsid w:val="00C05C6D"/>
    <w:rsid w:val="00C072D7"/>
    <w:rsid w:val="00C104DB"/>
    <w:rsid w:val="00C10F5B"/>
    <w:rsid w:val="00C1122B"/>
    <w:rsid w:val="00C127F2"/>
    <w:rsid w:val="00C13B34"/>
    <w:rsid w:val="00C13F26"/>
    <w:rsid w:val="00C1474E"/>
    <w:rsid w:val="00C14C37"/>
    <w:rsid w:val="00C157AA"/>
    <w:rsid w:val="00C162E1"/>
    <w:rsid w:val="00C16BE4"/>
    <w:rsid w:val="00C16E9F"/>
    <w:rsid w:val="00C1713D"/>
    <w:rsid w:val="00C17523"/>
    <w:rsid w:val="00C177F1"/>
    <w:rsid w:val="00C17EE6"/>
    <w:rsid w:val="00C217F7"/>
    <w:rsid w:val="00C2272E"/>
    <w:rsid w:val="00C22F3A"/>
    <w:rsid w:val="00C23311"/>
    <w:rsid w:val="00C24AD9"/>
    <w:rsid w:val="00C251E8"/>
    <w:rsid w:val="00C25978"/>
    <w:rsid w:val="00C261C6"/>
    <w:rsid w:val="00C26621"/>
    <w:rsid w:val="00C26E7C"/>
    <w:rsid w:val="00C276CD"/>
    <w:rsid w:val="00C27827"/>
    <w:rsid w:val="00C30A97"/>
    <w:rsid w:val="00C31DDC"/>
    <w:rsid w:val="00C3223A"/>
    <w:rsid w:val="00C34168"/>
    <w:rsid w:val="00C34326"/>
    <w:rsid w:val="00C348CC"/>
    <w:rsid w:val="00C34CEB"/>
    <w:rsid w:val="00C36201"/>
    <w:rsid w:val="00C368E8"/>
    <w:rsid w:val="00C36C3D"/>
    <w:rsid w:val="00C372C7"/>
    <w:rsid w:val="00C37379"/>
    <w:rsid w:val="00C42443"/>
    <w:rsid w:val="00C42CBA"/>
    <w:rsid w:val="00C4338C"/>
    <w:rsid w:val="00C43C2B"/>
    <w:rsid w:val="00C45B27"/>
    <w:rsid w:val="00C472C7"/>
    <w:rsid w:val="00C5019E"/>
    <w:rsid w:val="00C51962"/>
    <w:rsid w:val="00C5377C"/>
    <w:rsid w:val="00C53E8A"/>
    <w:rsid w:val="00C54DF3"/>
    <w:rsid w:val="00C560A7"/>
    <w:rsid w:val="00C56FC8"/>
    <w:rsid w:val="00C60F23"/>
    <w:rsid w:val="00C6170B"/>
    <w:rsid w:val="00C62EB2"/>
    <w:rsid w:val="00C64C87"/>
    <w:rsid w:val="00C665FE"/>
    <w:rsid w:val="00C71BEC"/>
    <w:rsid w:val="00C74D3A"/>
    <w:rsid w:val="00C75F3D"/>
    <w:rsid w:val="00C80511"/>
    <w:rsid w:val="00C826F5"/>
    <w:rsid w:val="00C83740"/>
    <w:rsid w:val="00C8377C"/>
    <w:rsid w:val="00C84AD1"/>
    <w:rsid w:val="00C85579"/>
    <w:rsid w:val="00C862F1"/>
    <w:rsid w:val="00C863E5"/>
    <w:rsid w:val="00C87BE6"/>
    <w:rsid w:val="00C87F76"/>
    <w:rsid w:val="00C931FC"/>
    <w:rsid w:val="00C932C5"/>
    <w:rsid w:val="00C94CB6"/>
    <w:rsid w:val="00C95299"/>
    <w:rsid w:val="00C95A72"/>
    <w:rsid w:val="00C9650E"/>
    <w:rsid w:val="00C97000"/>
    <w:rsid w:val="00C975BD"/>
    <w:rsid w:val="00CA068D"/>
    <w:rsid w:val="00CA1228"/>
    <w:rsid w:val="00CA1C73"/>
    <w:rsid w:val="00CA2356"/>
    <w:rsid w:val="00CA282D"/>
    <w:rsid w:val="00CA3F73"/>
    <w:rsid w:val="00CA4670"/>
    <w:rsid w:val="00CA5F89"/>
    <w:rsid w:val="00CA6B1A"/>
    <w:rsid w:val="00CA6F08"/>
    <w:rsid w:val="00CB1B18"/>
    <w:rsid w:val="00CB20DC"/>
    <w:rsid w:val="00CB23DC"/>
    <w:rsid w:val="00CB2487"/>
    <w:rsid w:val="00CB28E2"/>
    <w:rsid w:val="00CB2F20"/>
    <w:rsid w:val="00CB758D"/>
    <w:rsid w:val="00CB7A3E"/>
    <w:rsid w:val="00CB7FF7"/>
    <w:rsid w:val="00CC0D0E"/>
    <w:rsid w:val="00CC1253"/>
    <w:rsid w:val="00CC19B3"/>
    <w:rsid w:val="00CC2044"/>
    <w:rsid w:val="00CC29C0"/>
    <w:rsid w:val="00CC39D2"/>
    <w:rsid w:val="00CC69EC"/>
    <w:rsid w:val="00CC78A2"/>
    <w:rsid w:val="00CC7DF8"/>
    <w:rsid w:val="00CD15BE"/>
    <w:rsid w:val="00CD1EF2"/>
    <w:rsid w:val="00CD32BD"/>
    <w:rsid w:val="00CD34C7"/>
    <w:rsid w:val="00CD5653"/>
    <w:rsid w:val="00CD5E6D"/>
    <w:rsid w:val="00CD63C8"/>
    <w:rsid w:val="00CD76F8"/>
    <w:rsid w:val="00CE02E8"/>
    <w:rsid w:val="00CE069E"/>
    <w:rsid w:val="00CE0DE0"/>
    <w:rsid w:val="00CE3722"/>
    <w:rsid w:val="00CE451B"/>
    <w:rsid w:val="00CF158D"/>
    <w:rsid w:val="00CF2166"/>
    <w:rsid w:val="00CF4340"/>
    <w:rsid w:val="00CF4394"/>
    <w:rsid w:val="00CF43FD"/>
    <w:rsid w:val="00CF48B4"/>
    <w:rsid w:val="00D000A9"/>
    <w:rsid w:val="00D00384"/>
    <w:rsid w:val="00D005DB"/>
    <w:rsid w:val="00D0064E"/>
    <w:rsid w:val="00D00981"/>
    <w:rsid w:val="00D00F5A"/>
    <w:rsid w:val="00D02596"/>
    <w:rsid w:val="00D0280D"/>
    <w:rsid w:val="00D02AEF"/>
    <w:rsid w:val="00D05669"/>
    <w:rsid w:val="00D061EB"/>
    <w:rsid w:val="00D06952"/>
    <w:rsid w:val="00D07A72"/>
    <w:rsid w:val="00D10577"/>
    <w:rsid w:val="00D11605"/>
    <w:rsid w:val="00D12405"/>
    <w:rsid w:val="00D12A4E"/>
    <w:rsid w:val="00D1323B"/>
    <w:rsid w:val="00D13F39"/>
    <w:rsid w:val="00D1404E"/>
    <w:rsid w:val="00D14BAE"/>
    <w:rsid w:val="00D1648B"/>
    <w:rsid w:val="00D16819"/>
    <w:rsid w:val="00D17DD9"/>
    <w:rsid w:val="00D20AC0"/>
    <w:rsid w:val="00D2321B"/>
    <w:rsid w:val="00D23350"/>
    <w:rsid w:val="00D237E7"/>
    <w:rsid w:val="00D23DE4"/>
    <w:rsid w:val="00D25A5C"/>
    <w:rsid w:val="00D26873"/>
    <w:rsid w:val="00D27BDD"/>
    <w:rsid w:val="00D31683"/>
    <w:rsid w:val="00D336C8"/>
    <w:rsid w:val="00D339E8"/>
    <w:rsid w:val="00D3654A"/>
    <w:rsid w:val="00D3662E"/>
    <w:rsid w:val="00D40B1F"/>
    <w:rsid w:val="00D40D75"/>
    <w:rsid w:val="00D43978"/>
    <w:rsid w:val="00D43CBD"/>
    <w:rsid w:val="00D449F0"/>
    <w:rsid w:val="00D462D7"/>
    <w:rsid w:val="00D5062C"/>
    <w:rsid w:val="00D50C8C"/>
    <w:rsid w:val="00D52393"/>
    <w:rsid w:val="00D523E4"/>
    <w:rsid w:val="00D5279D"/>
    <w:rsid w:val="00D52A1B"/>
    <w:rsid w:val="00D52AA7"/>
    <w:rsid w:val="00D52FCC"/>
    <w:rsid w:val="00D53F14"/>
    <w:rsid w:val="00D54BE4"/>
    <w:rsid w:val="00D54DDB"/>
    <w:rsid w:val="00D554BC"/>
    <w:rsid w:val="00D560DC"/>
    <w:rsid w:val="00D56602"/>
    <w:rsid w:val="00D60329"/>
    <w:rsid w:val="00D60483"/>
    <w:rsid w:val="00D61ABB"/>
    <w:rsid w:val="00D62D5C"/>
    <w:rsid w:val="00D63577"/>
    <w:rsid w:val="00D67FD7"/>
    <w:rsid w:val="00D72410"/>
    <w:rsid w:val="00D73D53"/>
    <w:rsid w:val="00D7408A"/>
    <w:rsid w:val="00D74261"/>
    <w:rsid w:val="00D7441B"/>
    <w:rsid w:val="00D75589"/>
    <w:rsid w:val="00D76AB2"/>
    <w:rsid w:val="00D80490"/>
    <w:rsid w:val="00D829AD"/>
    <w:rsid w:val="00D82EE2"/>
    <w:rsid w:val="00D83D1B"/>
    <w:rsid w:val="00D84133"/>
    <w:rsid w:val="00D8545C"/>
    <w:rsid w:val="00D85DF6"/>
    <w:rsid w:val="00D86E57"/>
    <w:rsid w:val="00D87788"/>
    <w:rsid w:val="00D877C8"/>
    <w:rsid w:val="00D91040"/>
    <w:rsid w:val="00D910C2"/>
    <w:rsid w:val="00D9168C"/>
    <w:rsid w:val="00D9189B"/>
    <w:rsid w:val="00D91DA6"/>
    <w:rsid w:val="00D921A0"/>
    <w:rsid w:val="00D93A41"/>
    <w:rsid w:val="00D93B9A"/>
    <w:rsid w:val="00D95984"/>
    <w:rsid w:val="00D95C64"/>
    <w:rsid w:val="00D9706F"/>
    <w:rsid w:val="00D972D4"/>
    <w:rsid w:val="00DA195B"/>
    <w:rsid w:val="00DA27F3"/>
    <w:rsid w:val="00DA2D1E"/>
    <w:rsid w:val="00DA3EC8"/>
    <w:rsid w:val="00DA40C1"/>
    <w:rsid w:val="00DA5564"/>
    <w:rsid w:val="00DA6B55"/>
    <w:rsid w:val="00DA6B97"/>
    <w:rsid w:val="00DA6CEE"/>
    <w:rsid w:val="00DB0015"/>
    <w:rsid w:val="00DB0359"/>
    <w:rsid w:val="00DB0ABB"/>
    <w:rsid w:val="00DB2AAD"/>
    <w:rsid w:val="00DB4260"/>
    <w:rsid w:val="00DB44E2"/>
    <w:rsid w:val="00DB4A6D"/>
    <w:rsid w:val="00DB5941"/>
    <w:rsid w:val="00DB626D"/>
    <w:rsid w:val="00DB6365"/>
    <w:rsid w:val="00DC07B7"/>
    <w:rsid w:val="00DC0BF1"/>
    <w:rsid w:val="00DC17F2"/>
    <w:rsid w:val="00DC41C3"/>
    <w:rsid w:val="00DC4A3C"/>
    <w:rsid w:val="00DC4FA4"/>
    <w:rsid w:val="00DC5B37"/>
    <w:rsid w:val="00DD286D"/>
    <w:rsid w:val="00DD2CAF"/>
    <w:rsid w:val="00DD3593"/>
    <w:rsid w:val="00DD4566"/>
    <w:rsid w:val="00DD64E0"/>
    <w:rsid w:val="00DD7BE0"/>
    <w:rsid w:val="00DE0C67"/>
    <w:rsid w:val="00DE3AAD"/>
    <w:rsid w:val="00DE598A"/>
    <w:rsid w:val="00DE6952"/>
    <w:rsid w:val="00DE7E74"/>
    <w:rsid w:val="00DF071B"/>
    <w:rsid w:val="00DF5C84"/>
    <w:rsid w:val="00DF6EF8"/>
    <w:rsid w:val="00E00A69"/>
    <w:rsid w:val="00E017BC"/>
    <w:rsid w:val="00E017F0"/>
    <w:rsid w:val="00E01A0E"/>
    <w:rsid w:val="00E0346A"/>
    <w:rsid w:val="00E041E4"/>
    <w:rsid w:val="00E04AEE"/>
    <w:rsid w:val="00E10098"/>
    <w:rsid w:val="00E1012B"/>
    <w:rsid w:val="00E103C8"/>
    <w:rsid w:val="00E1085B"/>
    <w:rsid w:val="00E1308B"/>
    <w:rsid w:val="00E14581"/>
    <w:rsid w:val="00E14623"/>
    <w:rsid w:val="00E15539"/>
    <w:rsid w:val="00E16541"/>
    <w:rsid w:val="00E17EC9"/>
    <w:rsid w:val="00E202F4"/>
    <w:rsid w:val="00E207C3"/>
    <w:rsid w:val="00E21386"/>
    <w:rsid w:val="00E242AF"/>
    <w:rsid w:val="00E24849"/>
    <w:rsid w:val="00E2536E"/>
    <w:rsid w:val="00E25B8A"/>
    <w:rsid w:val="00E25EF8"/>
    <w:rsid w:val="00E2632B"/>
    <w:rsid w:val="00E26F75"/>
    <w:rsid w:val="00E27423"/>
    <w:rsid w:val="00E322F7"/>
    <w:rsid w:val="00E3369B"/>
    <w:rsid w:val="00E362D2"/>
    <w:rsid w:val="00E36D76"/>
    <w:rsid w:val="00E40478"/>
    <w:rsid w:val="00E405EA"/>
    <w:rsid w:val="00E408B7"/>
    <w:rsid w:val="00E41637"/>
    <w:rsid w:val="00E42789"/>
    <w:rsid w:val="00E43F59"/>
    <w:rsid w:val="00E464F0"/>
    <w:rsid w:val="00E46EF3"/>
    <w:rsid w:val="00E47370"/>
    <w:rsid w:val="00E473E9"/>
    <w:rsid w:val="00E47B47"/>
    <w:rsid w:val="00E50BEB"/>
    <w:rsid w:val="00E548FA"/>
    <w:rsid w:val="00E57703"/>
    <w:rsid w:val="00E57ED4"/>
    <w:rsid w:val="00E57FED"/>
    <w:rsid w:val="00E6092F"/>
    <w:rsid w:val="00E62049"/>
    <w:rsid w:val="00E629DA"/>
    <w:rsid w:val="00E63B5F"/>
    <w:rsid w:val="00E64374"/>
    <w:rsid w:val="00E6469F"/>
    <w:rsid w:val="00E65D39"/>
    <w:rsid w:val="00E670F8"/>
    <w:rsid w:val="00E6741B"/>
    <w:rsid w:val="00E67FAC"/>
    <w:rsid w:val="00E7200B"/>
    <w:rsid w:val="00E738CB"/>
    <w:rsid w:val="00E73C88"/>
    <w:rsid w:val="00E74437"/>
    <w:rsid w:val="00E7443D"/>
    <w:rsid w:val="00E75ACE"/>
    <w:rsid w:val="00E771AF"/>
    <w:rsid w:val="00E773D9"/>
    <w:rsid w:val="00E80386"/>
    <w:rsid w:val="00E809C3"/>
    <w:rsid w:val="00E80C1E"/>
    <w:rsid w:val="00E81992"/>
    <w:rsid w:val="00E81A1A"/>
    <w:rsid w:val="00E81C3E"/>
    <w:rsid w:val="00E82359"/>
    <w:rsid w:val="00E82B6D"/>
    <w:rsid w:val="00E83187"/>
    <w:rsid w:val="00E831E9"/>
    <w:rsid w:val="00E85F32"/>
    <w:rsid w:val="00E8608F"/>
    <w:rsid w:val="00E86C1D"/>
    <w:rsid w:val="00E876F8"/>
    <w:rsid w:val="00E92E35"/>
    <w:rsid w:val="00E9763D"/>
    <w:rsid w:val="00EA1177"/>
    <w:rsid w:val="00EA118B"/>
    <w:rsid w:val="00EA11B6"/>
    <w:rsid w:val="00EA2181"/>
    <w:rsid w:val="00EA2DD8"/>
    <w:rsid w:val="00EA4475"/>
    <w:rsid w:val="00EA47A8"/>
    <w:rsid w:val="00EA52FE"/>
    <w:rsid w:val="00EA681F"/>
    <w:rsid w:val="00EB04C6"/>
    <w:rsid w:val="00EB06A6"/>
    <w:rsid w:val="00EB3307"/>
    <w:rsid w:val="00EB3823"/>
    <w:rsid w:val="00EB47D8"/>
    <w:rsid w:val="00EB57D3"/>
    <w:rsid w:val="00EB5EFD"/>
    <w:rsid w:val="00EB679F"/>
    <w:rsid w:val="00EB76E4"/>
    <w:rsid w:val="00EC0E65"/>
    <w:rsid w:val="00EC1251"/>
    <w:rsid w:val="00EC2938"/>
    <w:rsid w:val="00EC337D"/>
    <w:rsid w:val="00EC38EF"/>
    <w:rsid w:val="00EC50C9"/>
    <w:rsid w:val="00EC58B4"/>
    <w:rsid w:val="00EC5BB2"/>
    <w:rsid w:val="00EC72B1"/>
    <w:rsid w:val="00ED12F0"/>
    <w:rsid w:val="00ED290C"/>
    <w:rsid w:val="00ED2A6C"/>
    <w:rsid w:val="00ED4773"/>
    <w:rsid w:val="00ED5284"/>
    <w:rsid w:val="00ED664B"/>
    <w:rsid w:val="00ED6A61"/>
    <w:rsid w:val="00ED7DA4"/>
    <w:rsid w:val="00EE03BB"/>
    <w:rsid w:val="00EE0552"/>
    <w:rsid w:val="00EE0B44"/>
    <w:rsid w:val="00EE125D"/>
    <w:rsid w:val="00EE23DE"/>
    <w:rsid w:val="00EE48BB"/>
    <w:rsid w:val="00EE6FE0"/>
    <w:rsid w:val="00EE704A"/>
    <w:rsid w:val="00EE7840"/>
    <w:rsid w:val="00EF2E75"/>
    <w:rsid w:val="00EF4C74"/>
    <w:rsid w:val="00EF5268"/>
    <w:rsid w:val="00EF608E"/>
    <w:rsid w:val="00EF6C4A"/>
    <w:rsid w:val="00F0044B"/>
    <w:rsid w:val="00F02E90"/>
    <w:rsid w:val="00F03525"/>
    <w:rsid w:val="00F0424D"/>
    <w:rsid w:val="00F04957"/>
    <w:rsid w:val="00F05807"/>
    <w:rsid w:val="00F06451"/>
    <w:rsid w:val="00F066F4"/>
    <w:rsid w:val="00F07052"/>
    <w:rsid w:val="00F0706C"/>
    <w:rsid w:val="00F11EBE"/>
    <w:rsid w:val="00F12293"/>
    <w:rsid w:val="00F12BA8"/>
    <w:rsid w:val="00F130D0"/>
    <w:rsid w:val="00F14933"/>
    <w:rsid w:val="00F1516A"/>
    <w:rsid w:val="00F15EE5"/>
    <w:rsid w:val="00F171F9"/>
    <w:rsid w:val="00F1737C"/>
    <w:rsid w:val="00F22A26"/>
    <w:rsid w:val="00F24072"/>
    <w:rsid w:val="00F26432"/>
    <w:rsid w:val="00F3197A"/>
    <w:rsid w:val="00F32139"/>
    <w:rsid w:val="00F33D56"/>
    <w:rsid w:val="00F34E08"/>
    <w:rsid w:val="00F41D91"/>
    <w:rsid w:val="00F41F52"/>
    <w:rsid w:val="00F42363"/>
    <w:rsid w:val="00F427C4"/>
    <w:rsid w:val="00F43D6C"/>
    <w:rsid w:val="00F46964"/>
    <w:rsid w:val="00F46F9A"/>
    <w:rsid w:val="00F470FD"/>
    <w:rsid w:val="00F50F30"/>
    <w:rsid w:val="00F5126A"/>
    <w:rsid w:val="00F5126E"/>
    <w:rsid w:val="00F5144C"/>
    <w:rsid w:val="00F516EF"/>
    <w:rsid w:val="00F51755"/>
    <w:rsid w:val="00F52FE6"/>
    <w:rsid w:val="00F5580D"/>
    <w:rsid w:val="00F56EA1"/>
    <w:rsid w:val="00F606D5"/>
    <w:rsid w:val="00F611B3"/>
    <w:rsid w:val="00F6196E"/>
    <w:rsid w:val="00F624DD"/>
    <w:rsid w:val="00F629C0"/>
    <w:rsid w:val="00F63FC7"/>
    <w:rsid w:val="00F65E1F"/>
    <w:rsid w:val="00F65ED5"/>
    <w:rsid w:val="00F6608B"/>
    <w:rsid w:val="00F6636A"/>
    <w:rsid w:val="00F667C5"/>
    <w:rsid w:val="00F67E31"/>
    <w:rsid w:val="00F718A8"/>
    <w:rsid w:val="00F71C70"/>
    <w:rsid w:val="00F72183"/>
    <w:rsid w:val="00F754A1"/>
    <w:rsid w:val="00F76D01"/>
    <w:rsid w:val="00F80B43"/>
    <w:rsid w:val="00F81C35"/>
    <w:rsid w:val="00F82981"/>
    <w:rsid w:val="00F8311F"/>
    <w:rsid w:val="00F83248"/>
    <w:rsid w:val="00F83376"/>
    <w:rsid w:val="00F853AE"/>
    <w:rsid w:val="00F908D5"/>
    <w:rsid w:val="00F913B9"/>
    <w:rsid w:val="00F93C74"/>
    <w:rsid w:val="00F93DCC"/>
    <w:rsid w:val="00F9435D"/>
    <w:rsid w:val="00F966F9"/>
    <w:rsid w:val="00F96F61"/>
    <w:rsid w:val="00F97740"/>
    <w:rsid w:val="00FA0C8F"/>
    <w:rsid w:val="00FA2DEF"/>
    <w:rsid w:val="00FA2F7B"/>
    <w:rsid w:val="00FA3C97"/>
    <w:rsid w:val="00FA3D30"/>
    <w:rsid w:val="00FA4B49"/>
    <w:rsid w:val="00FA54F8"/>
    <w:rsid w:val="00FA78C8"/>
    <w:rsid w:val="00FA7A2F"/>
    <w:rsid w:val="00FB09FE"/>
    <w:rsid w:val="00FB0E80"/>
    <w:rsid w:val="00FB101D"/>
    <w:rsid w:val="00FB1725"/>
    <w:rsid w:val="00FB2493"/>
    <w:rsid w:val="00FB42B7"/>
    <w:rsid w:val="00FB4484"/>
    <w:rsid w:val="00FB593A"/>
    <w:rsid w:val="00FB6410"/>
    <w:rsid w:val="00FB6E82"/>
    <w:rsid w:val="00FB792E"/>
    <w:rsid w:val="00FB7CF0"/>
    <w:rsid w:val="00FC0042"/>
    <w:rsid w:val="00FC1E67"/>
    <w:rsid w:val="00FC2A13"/>
    <w:rsid w:val="00FC4284"/>
    <w:rsid w:val="00FC4576"/>
    <w:rsid w:val="00FC5FF5"/>
    <w:rsid w:val="00FC6285"/>
    <w:rsid w:val="00FC78FB"/>
    <w:rsid w:val="00FC7DBC"/>
    <w:rsid w:val="00FD076A"/>
    <w:rsid w:val="00FD0AA0"/>
    <w:rsid w:val="00FD1D5A"/>
    <w:rsid w:val="00FD5059"/>
    <w:rsid w:val="00FD554D"/>
    <w:rsid w:val="00FD5BCC"/>
    <w:rsid w:val="00FD62FA"/>
    <w:rsid w:val="00FD7B23"/>
    <w:rsid w:val="00FE2A48"/>
    <w:rsid w:val="00FE5D0A"/>
    <w:rsid w:val="00FE6469"/>
    <w:rsid w:val="00FF05D0"/>
    <w:rsid w:val="00FF06CE"/>
    <w:rsid w:val="00FF0FF7"/>
    <w:rsid w:val="00FF1022"/>
    <w:rsid w:val="00FF10A2"/>
    <w:rsid w:val="00FF1438"/>
    <w:rsid w:val="00FF3A38"/>
    <w:rsid w:val="00FF3C25"/>
    <w:rsid w:val="00FF4129"/>
    <w:rsid w:val="00FF44F7"/>
    <w:rsid w:val="00FF4C90"/>
    <w:rsid w:val="00FF5806"/>
    <w:rsid w:val="00FF61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4C90"/>
    <w:rPr>
      <w:color w:val="0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436C2"/>
    <w:pPr>
      <w:tabs>
        <w:tab w:val="center" w:pos="4320"/>
        <w:tab w:val="right" w:pos="8640"/>
      </w:tabs>
    </w:pPr>
  </w:style>
  <w:style w:type="character" w:styleId="PageNumber">
    <w:name w:val="page number"/>
    <w:basedOn w:val="DefaultParagraphFont"/>
    <w:rsid w:val="005436C2"/>
  </w:style>
  <w:style w:type="paragraph" w:styleId="Header">
    <w:name w:val="header"/>
    <w:basedOn w:val="Normal"/>
    <w:rsid w:val="005436C2"/>
    <w:pPr>
      <w:tabs>
        <w:tab w:val="center" w:pos="4320"/>
        <w:tab w:val="right" w:pos="8640"/>
      </w:tabs>
    </w:pPr>
  </w:style>
  <w:style w:type="paragraph" w:styleId="BodyText">
    <w:name w:val="Body Text"/>
    <w:basedOn w:val="Normal"/>
    <w:rsid w:val="005436C2"/>
    <w:pPr>
      <w:tabs>
        <w:tab w:val="left" w:pos="720"/>
      </w:tabs>
      <w:spacing w:line="240" w:lineRule="exact"/>
      <w:ind w:right="-360"/>
    </w:pPr>
    <w:rPr>
      <w:rFonts w:ascii="Times New Roman" w:hAnsi="Times New Roman"/>
      <w:color w:val="000080"/>
    </w:rPr>
  </w:style>
  <w:style w:type="paragraph" w:styleId="BodyText3">
    <w:name w:val="Body Text 3"/>
    <w:basedOn w:val="Normal"/>
    <w:rsid w:val="005436C2"/>
    <w:pPr>
      <w:tabs>
        <w:tab w:val="left" w:pos="288"/>
        <w:tab w:val="left" w:pos="4752"/>
      </w:tabs>
      <w:spacing w:line="240" w:lineRule="exact"/>
      <w:ind w:right="-360"/>
      <w:jc w:val="both"/>
    </w:pPr>
    <w:rPr>
      <w:color w:val="000080"/>
    </w:rPr>
  </w:style>
  <w:style w:type="paragraph" w:styleId="PlainText">
    <w:name w:val="Plain Text"/>
    <w:basedOn w:val="Normal"/>
    <w:link w:val="PlainTextChar"/>
    <w:uiPriority w:val="99"/>
    <w:unhideWhenUsed/>
    <w:rsid w:val="00D91DA6"/>
    <w:rPr>
      <w:rFonts w:ascii="Consolas" w:eastAsia="Calibri" w:hAnsi="Consolas"/>
      <w:color w:val="auto"/>
      <w:sz w:val="21"/>
      <w:szCs w:val="21"/>
    </w:rPr>
  </w:style>
  <w:style w:type="character" w:customStyle="1" w:styleId="PlainTextChar">
    <w:name w:val="Plain Text Char"/>
    <w:basedOn w:val="DefaultParagraphFont"/>
    <w:link w:val="PlainText"/>
    <w:uiPriority w:val="99"/>
    <w:rsid w:val="00D91DA6"/>
    <w:rPr>
      <w:rFonts w:ascii="Consolas" w:eastAsia="Calibri" w:hAnsi="Consolas" w:cs="Times New Roman"/>
      <w:sz w:val="21"/>
      <w:szCs w:val="21"/>
    </w:rPr>
  </w:style>
  <w:style w:type="character" w:customStyle="1" w:styleId="FooterChar">
    <w:name w:val="Footer Char"/>
    <w:basedOn w:val="DefaultParagraphFont"/>
    <w:link w:val="Footer"/>
    <w:uiPriority w:val="99"/>
    <w:rsid w:val="000379D0"/>
    <w:rPr>
      <w:color w:val="008080"/>
      <w:sz w:val="24"/>
    </w:rPr>
  </w:style>
  <w:style w:type="paragraph" w:styleId="BalloonText">
    <w:name w:val="Balloon Text"/>
    <w:basedOn w:val="Normal"/>
    <w:link w:val="BalloonTextChar"/>
    <w:rsid w:val="000379D0"/>
    <w:rPr>
      <w:rFonts w:ascii="Tahoma" w:hAnsi="Tahoma" w:cs="Tahoma"/>
      <w:sz w:val="16"/>
      <w:szCs w:val="16"/>
    </w:rPr>
  </w:style>
  <w:style w:type="character" w:customStyle="1" w:styleId="BalloonTextChar">
    <w:name w:val="Balloon Text Char"/>
    <w:basedOn w:val="DefaultParagraphFont"/>
    <w:link w:val="BalloonText"/>
    <w:rsid w:val="000379D0"/>
    <w:rPr>
      <w:rFonts w:ascii="Tahoma" w:hAnsi="Tahoma" w:cs="Tahoma"/>
      <w:color w:val="008080"/>
      <w:sz w:val="16"/>
      <w:szCs w:val="16"/>
    </w:rPr>
  </w:style>
  <w:style w:type="table" w:styleId="TableGrid">
    <w:name w:val="Table Grid"/>
    <w:basedOn w:val="TableNormal"/>
    <w:uiPriority w:val="59"/>
    <w:rsid w:val="006F1A46"/>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26591"/>
    <w:pPr>
      <w:spacing w:after="200" w:line="276" w:lineRule="auto"/>
      <w:ind w:left="720"/>
      <w:contextualSpacing/>
    </w:pPr>
    <w:rPr>
      <w:rFonts w:asciiTheme="minorHAnsi" w:eastAsiaTheme="minorHAnsi" w:hAnsiTheme="minorHAnsi" w:cstheme="minorBidi"/>
      <w:color w:val="auto"/>
      <w:sz w:val="22"/>
      <w:szCs w:val="22"/>
    </w:rPr>
  </w:style>
  <w:style w:type="character" w:styleId="LineNumber">
    <w:name w:val="line number"/>
    <w:basedOn w:val="DefaultParagraphFont"/>
    <w:rsid w:val="004766C9"/>
  </w:style>
  <w:style w:type="character" w:styleId="CommentReference">
    <w:name w:val="annotation reference"/>
    <w:basedOn w:val="DefaultParagraphFont"/>
    <w:rsid w:val="0046111A"/>
    <w:rPr>
      <w:sz w:val="16"/>
      <w:szCs w:val="16"/>
    </w:rPr>
  </w:style>
  <w:style w:type="paragraph" w:styleId="CommentText">
    <w:name w:val="annotation text"/>
    <w:basedOn w:val="Normal"/>
    <w:link w:val="CommentTextChar"/>
    <w:rsid w:val="0046111A"/>
    <w:rPr>
      <w:sz w:val="20"/>
    </w:rPr>
  </w:style>
  <w:style w:type="character" w:customStyle="1" w:styleId="CommentTextChar">
    <w:name w:val="Comment Text Char"/>
    <w:basedOn w:val="DefaultParagraphFont"/>
    <w:link w:val="CommentText"/>
    <w:rsid w:val="0046111A"/>
    <w:rPr>
      <w:color w:val="008080"/>
      <w:sz w:val="20"/>
    </w:rPr>
  </w:style>
  <w:style w:type="paragraph" w:styleId="CommentSubject">
    <w:name w:val="annotation subject"/>
    <w:basedOn w:val="CommentText"/>
    <w:next w:val="CommentText"/>
    <w:link w:val="CommentSubjectChar"/>
    <w:rsid w:val="0046111A"/>
    <w:rPr>
      <w:b/>
      <w:bCs/>
    </w:rPr>
  </w:style>
  <w:style w:type="character" w:customStyle="1" w:styleId="CommentSubjectChar">
    <w:name w:val="Comment Subject Char"/>
    <w:basedOn w:val="CommentTextChar"/>
    <w:link w:val="CommentSubject"/>
    <w:rsid w:val="0046111A"/>
    <w:rPr>
      <w:b/>
      <w:bCs/>
      <w:color w:val="008080"/>
      <w:sz w:val="20"/>
    </w:rPr>
  </w:style>
  <w:style w:type="character" w:styleId="Hyperlink">
    <w:name w:val="Hyperlink"/>
    <w:basedOn w:val="DefaultParagraphFont"/>
    <w:rsid w:val="00750E3A"/>
    <w:rPr>
      <w:color w:val="0000FF" w:themeColor="hyperlink"/>
      <w:u w:val="single"/>
    </w:rPr>
  </w:style>
  <w:style w:type="character" w:styleId="FollowedHyperlink">
    <w:name w:val="FollowedHyperlink"/>
    <w:basedOn w:val="DefaultParagraphFont"/>
    <w:rsid w:val="00750E3A"/>
    <w:rPr>
      <w:color w:val="800080" w:themeColor="followedHyperlink"/>
      <w:u w:val="single"/>
    </w:rPr>
  </w:style>
  <w:style w:type="paragraph" w:customStyle="1" w:styleId="Default">
    <w:name w:val="Default"/>
    <w:rsid w:val="00810AC5"/>
    <w:pPr>
      <w:autoSpaceDE w:val="0"/>
      <w:autoSpaceDN w:val="0"/>
      <w:adjustRightInd w:val="0"/>
    </w:pPr>
    <w:rPr>
      <w:rFonts w:ascii="Arial" w:hAnsi="Arial" w:cs="Arial"/>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0779">
      <w:bodyDiv w:val="1"/>
      <w:marLeft w:val="0"/>
      <w:marRight w:val="0"/>
      <w:marTop w:val="0"/>
      <w:marBottom w:val="0"/>
      <w:divBdr>
        <w:top w:val="none" w:sz="0" w:space="0" w:color="auto"/>
        <w:left w:val="none" w:sz="0" w:space="0" w:color="auto"/>
        <w:bottom w:val="none" w:sz="0" w:space="0" w:color="auto"/>
        <w:right w:val="none" w:sz="0" w:space="0" w:color="auto"/>
      </w:divBdr>
    </w:div>
    <w:div w:id="126777868">
      <w:bodyDiv w:val="1"/>
      <w:marLeft w:val="0"/>
      <w:marRight w:val="0"/>
      <w:marTop w:val="0"/>
      <w:marBottom w:val="0"/>
      <w:divBdr>
        <w:top w:val="none" w:sz="0" w:space="0" w:color="auto"/>
        <w:left w:val="none" w:sz="0" w:space="0" w:color="auto"/>
        <w:bottom w:val="none" w:sz="0" w:space="0" w:color="auto"/>
        <w:right w:val="none" w:sz="0" w:space="0" w:color="auto"/>
      </w:divBdr>
    </w:div>
    <w:div w:id="185489995">
      <w:bodyDiv w:val="1"/>
      <w:marLeft w:val="0"/>
      <w:marRight w:val="0"/>
      <w:marTop w:val="0"/>
      <w:marBottom w:val="0"/>
      <w:divBdr>
        <w:top w:val="none" w:sz="0" w:space="0" w:color="auto"/>
        <w:left w:val="none" w:sz="0" w:space="0" w:color="auto"/>
        <w:bottom w:val="none" w:sz="0" w:space="0" w:color="auto"/>
        <w:right w:val="none" w:sz="0" w:space="0" w:color="auto"/>
      </w:divBdr>
    </w:div>
    <w:div w:id="257175439">
      <w:bodyDiv w:val="1"/>
      <w:marLeft w:val="0"/>
      <w:marRight w:val="0"/>
      <w:marTop w:val="0"/>
      <w:marBottom w:val="0"/>
      <w:divBdr>
        <w:top w:val="none" w:sz="0" w:space="0" w:color="auto"/>
        <w:left w:val="none" w:sz="0" w:space="0" w:color="auto"/>
        <w:bottom w:val="none" w:sz="0" w:space="0" w:color="auto"/>
        <w:right w:val="none" w:sz="0" w:space="0" w:color="auto"/>
      </w:divBdr>
    </w:div>
    <w:div w:id="278297590">
      <w:bodyDiv w:val="1"/>
      <w:marLeft w:val="0"/>
      <w:marRight w:val="0"/>
      <w:marTop w:val="0"/>
      <w:marBottom w:val="0"/>
      <w:divBdr>
        <w:top w:val="none" w:sz="0" w:space="0" w:color="auto"/>
        <w:left w:val="none" w:sz="0" w:space="0" w:color="auto"/>
        <w:bottom w:val="none" w:sz="0" w:space="0" w:color="auto"/>
        <w:right w:val="none" w:sz="0" w:space="0" w:color="auto"/>
      </w:divBdr>
    </w:div>
    <w:div w:id="539513790">
      <w:bodyDiv w:val="1"/>
      <w:marLeft w:val="0"/>
      <w:marRight w:val="0"/>
      <w:marTop w:val="0"/>
      <w:marBottom w:val="0"/>
      <w:divBdr>
        <w:top w:val="none" w:sz="0" w:space="0" w:color="auto"/>
        <w:left w:val="none" w:sz="0" w:space="0" w:color="auto"/>
        <w:bottom w:val="none" w:sz="0" w:space="0" w:color="auto"/>
        <w:right w:val="none" w:sz="0" w:space="0" w:color="auto"/>
      </w:divBdr>
    </w:div>
    <w:div w:id="543686778">
      <w:bodyDiv w:val="1"/>
      <w:marLeft w:val="0"/>
      <w:marRight w:val="0"/>
      <w:marTop w:val="0"/>
      <w:marBottom w:val="0"/>
      <w:divBdr>
        <w:top w:val="none" w:sz="0" w:space="0" w:color="auto"/>
        <w:left w:val="none" w:sz="0" w:space="0" w:color="auto"/>
        <w:bottom w:val="none" w:sz="0" w:space="0" w:color="auto"/>
        <w:right w:val="none" w:sz="0" w:space="0" w:color="auto"/>
      </w:divBdr>
    </w:div>
    <w:div w:id="910502918">
      <w:bodyDiv w:val="1"/>
      <w:marLeft w:val="0"/>
      <w:marRight w:val="0"/>
      <w:marTop w:val="0"/>
      <w:marBottom w:val="0"/>
      <w:divBdr>
        <w:top w:val="none" w:sz="0" w:space="0" w:color="auto"/>
        <w:left w:val="none" w:sz="0" w:space="0" w:color="auto"/>
        <w:bottom w:val="none" w:sz="0" w:space="0" w:color="auto"/>
        <w:right w:val="none" w:sz="0" w:space="0" w:color="auto"/>
      </w:divBdr>
    </w:div>
    <w:div w:id="1157644594">
      <w:bodyDiv w:val="1"/>
      <w:marLeft w:val="0"/>
      <w:marRight w:val="0"/>
      <w:marTop w:val="0"/>
      <w:marBottom w:val="0"/>
      <w:divBdr>
        <w:top w:val="none" w:sz="0" w:space="0" w:color="auto"/>
        <w:left w:val="none" w:sz="0" w:space="0" w:color="auto"/>
        <w:bottom w:val="none" w:sz="0" w:space="0" w:color="auto"/>
        <w:right w:val="none" w:sz="0" w:space="0" w:color="auto"/>
      </w:divBdr>
    </w:div>
    <w:div w:id="1175340299">
      <w:bodyDiv w:val="1"/>
      <w:marLeft w:val="0"/>
      <w:marRight w:val="0"/>
      <w:marTop w:val="0"/>
      <w:marBottom w:val="0"/>
      <w:divBdr>
        <w:top w:val="none" w:sz="0" w:space="0" w:color="auto"/>
        <w:left w:val="none" w:sz="0" w:space="0" w:color="auto"/>
        <w:bottom w:val="none" w:sz="0" w:space="0" w:color="auto"/>
        <w:right w:val="none" w:sz="0" w:space="0" w:color="auto"/>
      </w:divBdr>
    </w:div>
    <w:div w:id="1198202320">
      <w:bodyDiv w:val="1"/>
      <w:marLeft w:val="0"/>
      <w:marRight w:val="0"/>
      <w:marTop w:val="0"/>
      <w:marBottom w:val="0"/>
      <w:divBdr>
        <w:top w:val="none" w:sz="0" w:space="0" w:color="auto"/>
        <w:left w:val="none" w:sz="0" w:space="0" w:color="auto"/>
        <w:bottom w:val="none" w:sz="0" w:space="0" w:color="auto"/>
        <w:right w:val="none" w:sz="0" w:space="0" w:color="auto"/>
      </w:divBdr>
    </w:div>
    <w:div w:id="1291279704">
      <w:bodyDiv w:val="1"/>
      <w:marLeft w:val="0"/>
      <w:marRight w:val="0"/>
      <w:marTop w:val="0"/>
      <w:marBottom w:val="0"/>
      <w:divBdr>
        <w:top w:val="none" w:sz="0" w:space="0" w:color="auto"/>
        <w:left w:val="none" w:sz="0" w:space="0" w:color="auto"/>
        <w:bottom w:val="none" w:sz="0" w:space="0" w:color="auto"/>
        <w:right w:val="none" w:sz="0" w:space="0" w:color="auto"/>
      </w:divBdr>
    </w:div>
    <w:div w:id="1343750320">
      <w:bodyDiv w:val="1"/>
      <w:marLeft w:val="0"/>
      <w:marRight w:val="0"/>
      <w:marTop w:val="0"/>
      <w:marBottom w:val="0"/>
      <w:divBdr>
        <w:top w:val="none" w:sz="0" w:space="0" w:color="auto"/>
        <w:left w:val="none" w:sz="0" w:space="0" w:color="auto"/>
        <w:bottom w:val="none" w:sz="0" w:space="0" w:color="auto"/>
        <w:right w:val="none" w:sz="0" w:space="0" w:color="auto"/>
      </w:divBdr>
    </w:div>
    <w:div w:id="1451363989">
      <w:bodyDiv w:val="1"/>
      <w:marLeft w:val="0"/>
      <w:marRight w:val="0"/>
      <w:marTop w:val="0"/>
      <w:marBottom w:val="0"/>
      <w:divBdr>
        <w:top w:val="none" w:sz="0" w:space="0" w:color="auto"/>
        <w:left w:val="none" w:sz="0" w:space="0" w:color="auto"/>
        <w:bottom w:val="none" w:sz="0" w:space="0" w:color="auto"/>
        <w:right w:val="none" w:sz="0" w:space="0" w:color="auto"/>
      </w:divBdr>
    </w:div>
    <w:div w:id="1462067866">
      <w:bodyDiv w:val="1"/>
      <w:marLeft w:val="0"/>
      <w:marRight w:val="0"/>
      <w:marTop w:val="0"/>
      <w:marBottom w:val="0"/>
      <w:divBdr>
        <w:top w:val="none" w:sz="0" w:space="0" w:color="auto"/>
        <w:left w:val="none" w:sz="0" w:space="0" w:color="auto"/>
        <w:bottom w:val="none" w:sz="0" w:space="0" w:color="auto"/>
        <w:right w:val="none" w:sz="0" w:space="0" w:color="auto"/>
      </w:divBdr>
    </w:div>
    <w:div w:id="1468742721">
      <w:bodyDiv w:val="1"/>
      <w:marLeft w:val="0"/>
      <w:marRight w:val="0"/>
      <w:marTop w:val="0"/>
      <w:marBottom w:val="0"/>
      <w:divBdr>
        <w:top w:val="none" w:sz="0" w:space="0" w:color="auto"/>
        <w:left w:val="none" w:sz="0" w:space="0" w:color="auto"/>
        <w:bottom w:val="none" w:sz="0" w:space="0" w:color="auto"/>
        <w:right w:val="none" w:sz="0" w:space="0" w:color="auto"/>
      </w:divBdr>
    </w:div>
    <w:div w:id="1542017003">
      <w:bodyDiv w:val="1"/>
      <w:marLeft w:val="0"/>
      <w:marRight w:val="0"/>
      <w:marTop w:val="0"/>
      <w:marBottom w:val="0"/>
      <w:divBdr>
        <w:top w:val="none" w:sz="0" w:space="0" w:color="auto"/>
        <w:left w:val="none" w:sz="0" w:space="0" w:color="auto"/>
        <w:bottom w:val="none" w:sz="0" w:space="0" w:color="auto"/>
        <w:right w:val="none" w:sz="0" w:space="0" w:color="auto"/>
      </w:divBdr>
    </w:div>
    <w:div w:id="1551305034">
      <w:bodyDiv w:val="1"/>
      <w:marLeft w:val="0"/>
      <w:marRight w:val="0"/>
      <w:marTop w:val="0"/>
      <w:marBottom w:val="0"/>
      <w:divBdr>
        <w:top w:val="none" w:sz="0" w:space="0" w:color="auto"/>
        <w:left w:val="none" w:sz="0" w:space="0" w:color="auto"/>
        <w:bottom w:val="none" w:sz="0" w:space="0" w:color="auto"/>
        <w:right w:val="none" w:sz="0" w:space="0" w:color="auto"/>
      </w:divBdr>
    </w:div>
    <w:div w:id="1568031727">
      <w:bodyDiv w:val="1"/>
      <w:marLeft w:val="0"/>
      <w:marRight w:val="0"/>
      <w:marTop w:val="0"/>
      <w:marBottom w:val="0"/>
      <w:divBdr>
        <w:top w:val="none" w:sz="0" w:space="0" w:color="auto"/>
        <w:left w:val="none" w:sz="0" w:space="0" w:color="auto"/>
        <w:bottom w:val="none" w:sz="0" w:space="0" w:color="auto"/>
        <w:right w:val="none" w:sz="0" w:space="0" w:color="auto"/>
      </w:divBdr>
    </w:div>
    <w:div w:id="1575894432">
      <w:bodyDiv w:val="1"/>
      <w:marLeft w:val="0"/>
      <w:marRight w:val="0"/>
      <w:marTop w:val="0"/>
      <w:marBottom w:val="0"/>
      <w:divBdr>
        <w:top w:val="none" w:sz="0" w:space="0" w:color="auto"/>
        <w:left w:val="none" w:sz="0" w:space="0" w:color="auto"/>
        <w:bottom w:val="none" w:sz="0" w:space="0" w:color="auto"/>
        <w:right w:val="none" w:sz="0" w:space="0" w:color="auto"/>
      </w:divBdr>
    </w:div>
    <w:div w:id="1657488341">
      <w:bodyDiv w:val="1"/>
      <w:marLeft w:val="0"/>
      <w:marRight w:val="0"/>
      <w:marTop w:val="0"/>
      <w:marBottom w:val="0"/>
      <w:divBdr>
        <w:top w:val="none" w:sz="0" w:space="0" w:color="auto"/>
        <w:left w:val="none" w:sz="0" w:space="0" w:color="auto"/>
        <w:bottom w:val="none" w:sz="0" w:space="0" w:color="auto"/>
        <w:right w:val="none" w:sz="0" w:space="0" w:color="auto"/>
      </w:divBdr>
    </w:div>
    <w:div w:id="1756508288">
      <w:bodyDiv w:val="1"/>
      <w:marLeft w:val="0"/>
      <w:marRight w:val="0"/>
      <w:marTop w:val="0"/>
      <w:marBottom w:val="0"/>
      <w:divBdr>
        <w:top w:val="none" w:sz="0" w:space="0" w:color="auto"/>
        <w:left w:val="none" w:sz="0" w:space="0" w:color="auto"/>
        <w:bottom w:val="none" w:sz="0" w:space="0" w:color="auto"/>
        <w:right w:val="none" w:sz="0" w:space="0" w:color="auto"/>
      </w:divBdr>
    </w:div>
    <w:div w:id="1779445607">
      <w:bodyDiv w:val="1"/>
      <w:marLeft w:val="0"/>
      <w:marRight w:val="0"/>
      <w:marTop w:val="0"/>
      <w:marBottom w:val="0"/>
      <w:divBdr>
        <w:top w:val="none" w:sz="0" w:space="0" w:color="auto"/>
        <w:left w:val="none" w:sz="0" w:space="0" w:color="auto"/>
        <w:bottom w:val="none" w:sz="0" w:space="0" w:color="auto"/>
        <w:right w:val="none" w:sz="0" w:space="0" w:color="auto"/>
      </w:divBdr>
    </w:div>
    <w:div w:id="189045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40647-77A1-4C20-8B2C-B6FFA2093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5</Pages>
  <Words>2113</Words>
  <Characters>12096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RECORD OF PROCEEDINGS</vt:lpstr>
    </vt:vector>
  </TitlesOfParts>
  <Company>Pre-installed Company</Company>
  <LinksUpToDate>false</LinksUpToDate>
  <CharactersWithSpaces>14181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PROCEEDINGS</dc:title>
  <dc:creator>JOHN J. D'ORAZIO</dc:creator>
  <cp:lastModifiedBy>alicia.dupree</cp:lastModifiedBy>
  <cp:revision>10</cp:revision>
  <cp:lastPrinted>2011-09-15T13:48:00Z</cp:lastPrinted>
  <dcterms:created xsi:type="dcterms:W3CDTF">2011-11-09T19:16:00Z</dcterms:created>
  <dcterms:modified xsi:type="dcterms:W3CDTF">2012-08-27T20:24:00Z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-1105890195</vt:i4>
  </property>
</Properties>
</file>