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4670" w:rsidRPr="00396779" w:rsidRDefault="00540BEF" w:rsidP="00361420">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RECORD OF PROCEEDINGS</w:t>
      </w:r>
    </w:p>
    <w:p w:rsidR="00540BEF" w:rsidRPr="00396779" w:rsidRDefault="00540BEF" w:rsidP="00361420">
      <w:pPr>
        <w:tabs>
          <w:tab w:val="left" w:pos="288"/>
          <w:tab w:val="left" w:pos="4752"/>
        </w:tabs>
        <w:spacing w:line="240" w:lineRule="exact"/>
        <w:jc w:val="center"/>
        <w:rPr>
          <w:rFonts w:asciiTheme="minorHAnsi" w:hAnsiTheme="minorHAnsi"/>
          <w:color w:val="auto"/>
        </w:rPr>
      </w:pPr>
      <w:r w:rsidRPr="00396779">
        <w:rPr>
          <w:rFonts w:asciiTheme="minorHAnsi" w:hAnsiTheme="minorHAnsi"/>
          <w:color w:val="auto"/>
        </w:rPr>
        <w:t>PHYSICAL DISABILITY BOARD OF REVIEW</w:t>
      </w:r>
    </w:p>
    <w:p w:rsidR="00540BEF" w:rsidRPr="00396779" w:rsidRDefault="00540BEF" w:rsidP="00361420">
      <w:pPr>
        <w:tabs>
          <w:tab w:val="left" w:pos="288"/>
          <w:tab w:val="left" w:pos="4752"/>
        </w:tabs>
        <w:spacing w:line="240" w:lineRule="exact"/>
        <w:jc w:val="both"/>
        <w:rPr>
          <w:rFonts w:asciiTheme="minorHAnsi" w:hAnsiTheme="minorHAnsi"/>
          <w:caps/>
          <w:color w:val="auto"/>
        </w:rPr>
      </w:pPr>
    </w:p>
    <w:p w:rsidR="00E0346A" w:rsidRDefault="00F629C0" w:rsidP="000D3E9D">
      <w:pPr>
        <w:tabs>
          <w:tab w:val="left" w:pos="288"/>
          <w:tab w:val="left" w:pos="4752"/>
          <w:tab w:val="left" w:pos="5130"/>
          <w:tab w:val="left" w:pos="9270"/>
        </w:tabs>
        <w:spacing w:line="240" w:lineRule="exact"/>
        <w:rPr>
          <w:rFonts w:asciiTheme="minorHAnsi" w:hAnsiTheme="minorHAnsi"/>
          <w:caps/>
          <w:color w:val="auto"/>
        </w:rPr>
      </w:pPr>
      <w:r w:rsidRPr="00FD6C41">
        <w:rPr>
          <w:rFonts w:asciiTheme="minorHAnsi" w:hAnsiTheme="minorHAnsi"/>
          <w:caps/>
          <w:color w:val="auto"/>
        </w:rPr>
        <w:t xml:space="preserve">NAME: </w:t>
      </w:r>
      <w:r>
        <w:rPr>
          <w:rFonts w:asciiTheme="minorHAnsi" w:hAnsiTheme="minorHAnsi"/>
          <w:caps/>
          <w:color w:val="auto"/>
        </w:rPr>
        <w:t xml:space="preserve"> </w:t>
      </w:r>
      <w:r w:rsidR="00315EEF">
        <w:rPr>
          <w:rFonts w:asciiTheme="minorHAnsi" w:hAnsiTheme="minorHAnsi"/>
          <w:caps/>
          <w:color w:val="auto"/>
        </w:rPr>
        <w:t xml:space="preserve"> </w:t>
      </w:r>
      <w:r w:rsidR="004216DA">
        <w:rPr>
          <w:rFonts w:asciiTheme="minorHAnsi" w:hAnsiTheme="minorHAnsi"/>
          <w:caps/>
          <w:color w:val="auto"/>
        </w:rPr>
        <w:t xml:space="preserve">            </w:t>
      </w:r>
      <w:r w:rsidR="00332DE3">
        <w:rPr>
          <w:rFonts w:asciiTheme="minorHAnsi" w:hAnsiTheme="minorHAnsi"/>
          <w:caps/>
          <w:color w:val="auto"/>
        </w:rPr>
        <w:t xml:space="preserve"> </w:t>
      </w:r>
      <w:r w:rsidR="004216DA">
        <w:rPr>
          <w:rFonts w:asciiTheme="minorHAnsi" w:hAnsiTheme="minorHAnsi"/>
          <w:caps/>
          <w:color w:val="auto"/>
        </w:rPr>
        <w:t xml:space="preserve">  </w:t>
      </w:r>
      <w:r w:rsidR="00057019">
        <w:rPr>
          <w:rFonts w:asciiTheme="minorHAnsi" w:hAnsiTheme="minorHAnsi"/>
          <w:caps/>
          <w:color w:val="auto"/>
        </w:rPr>
        <w:tab/>
      </w:r>
      <w:r w:rsidR="00057019">
        <w:rPr>
          <w:rFonts w:asciiTheme="minorHAnsi" w:hAnsiTheme="minorHAnsi"/>
          <w:caps/>
          <w:color w:val="auto"/>
        </w:rPr>
        <w:tab/>
      </w:r>
      <w:r w:rsidR="004572CF">
        <w:rPr>
          <w:rFonts w:asciiTheme="minorHAnsi" w:hAnsiTheme="minorHAnsi"/>
          <w:caps/>
          <w:color w:val="auto"/>
        </w:rPr>
        <w:t xml:space="preserve">                      </w:t>
      </w:r>
      <w:r w:rsidR="000D3E9D">
        <w:rPr>
          <w:rFonts w:asciiTheme="minorHAnsi" w:hAnsiTheme="minorHAnsi"/>
          <w:caps/>
          <w:color w:val="auto"/>
        </w:rPr>
        <w:t xml:space="preserve"> </w:t>
      </w:r>
      <w:r w:rsidRPr="00FD6C41">
        <w:rPr>
          <w:rFonts w:asciiTheme="minorHAnsi" w:hAnsiTheme="minorHAnsi"/>
          <w:caps/>
          <w:color w:val="auto"/>
        </w:rPr>
        <w:t>BRANCH OF SERVICE</w:t>
      </w:r>
      <w:r w:rsidRPr="00645DC2">
        <w:rPr>
          <w:rFonts w:asciiTheme="minorHAnsi" w:hAnsiTheme="minorHAnsi"/>
          <w:caps/>
          <w:color w:val="auto"/>
        </w:rPr>
        <w:t xml:space="preserve">: </w:t>
      </w:r>
      <w:r w:rsidR="004C24C5" w:rsidRPr="00645DC2">
        <w:rPr>
          <w:rFonts w:asciiTheme="minorHAnsi" w:hAnsiTheme="minorHAnsi"/>
          <w:caps/>
          <w:color w:val="auto"/>
        </w:rPr>
        <w:t xml:space="preserve"> </w:t>
      </w:r>
      <w:r w:rsidR="00332DE3" w:rsidRPr="00645DC2">
        <w:rPr>
          <w:rFonts w:asciiTheme="minorHAnsi" w:hAnsiTheme="minorHAnsi"/>
          <w:caps/>
          <w:color w:val="auto"/>
        </w:rPr>
        <w:t xml:space="preserve">Army </w:t>
      </w:r>
    </w:p>
    <w:p w:rsidR="00DE3AAD" w:rsidRDefault="00012733" w:rsidP="000D3E9D">
      <w:pPr>
        <w:tabs>
          <w:tab w:val="left" w:pos="288"/>
          <w:tab w:val="left" w:pos="4752"/>
          <w:tab w:val="left" w:pos="5130"/>
          <w:tab w:val="left" w:pos="9270"/>
        </w:tabs>
        <w:spacing w:line="240" w:lineRule="exact"/>
        <w:rPr>
          <w:rFonts w:asciiTheme="minorHAnsi" w:hAnsiTheme="minorHAnsi"/>
          <w:caps/>
          <w:color w:val="auto"/>
        </w:rPr>
      </w:pPr>
      <w:r>
        <w:rPr>
          <w:rFonts w:asciiTheme="minorHAnsi" w:hAnsiTheme="minorHAnsi"/>
          <w:caps/>
          <w:color w:val="auto"/>
        </w:rPr>
        <w:t>C</w:t>
      </w:r>
      <w:r w:rsidR="00DE3AAD" w:rsidRPr="00FD6C41">
        <w:rPr>
          <w:rFonts w:asciiTheme="minorHAnsi" w:hAnsiTheme="minorHAnsi"/>
          <w:caps/>
          <w:color w:val="auto"/>
        </w:rPr>
        <w:t xml:space="preserve">ASE NUMBER: </w:t>
      </w:r>
      <w:r w:rsidR="00DE3AAD">
        <w:rPr>
          <w:rFonts w:asciiTheme="minorHAnsi" w:hAnsiTheme="minorHAnsi"/>
          <w:caps/>
          <w:color w:val="auto"/>
        </w:rPr>
        <w:t xml:space="preserve"> </w:t>
      </w:r>
      <w:r w:rsidR="00DE3AAD" w:rsidRPr="00FD6C41">
        <w:rPr>
          <w:rFonts w:asciiTheme="minorHAnsi" w:hAnsiTheme="minorHAnsi"/>
          <w:caps/>
          <w:color w:val="auto"/>
        </w:rPr>
        <w:t>PD</w:t>
      </w:r>
      <w:r w:rsidR="00106C7D">
        <w:rPr>
          <w:rFonts w:asciiTheme="minorHAnsi" w:hAnsiTheme="minorHAnsi"/>
          <w:caps/>
          <w:color w:val="auto"/>
        </w:rPr>
        <w:t>1100107</w:t>
      </w:r>
      <w:r w:rsidR="00DE3AAD" w:rsidRPr="00DE3AAD">
        <w:rPr>
          <w:rFonts w:asciiTheme="minorHAnsi" w:hAnsiTheme="minorHAnsi"/>
          <w:color w:val="auto"/>
        </w:rPr>
        <w:t xml:space="preserve"> </w:t>
      </w:r>
      <w:r w:rsidR="00DE3AAD">
        <w:rPr>
          <w:rFonts w:asciiTheme="minorHAnsi" w:hAnsiTheme="minorHAnsi"/>
          <w:color w:val="auto"/>
        </w:rPr>
        <w:tab/>
        <w:t xml:space="preserve">       </w:t>
      </w:r>
      <w:r w:rsidR="004572CF">
        <w:rPr>
          <w:rFonts w:asciiTheme="minorHAnsi" w:hAnsiTheme="minorHAnsi"/>
          <w:color w:val="auto"/>
        </w:rPr>
        <w:t xml:space="preserve">                      </w:t>
      </w:r>
      <w:r w:rsidR="000D3E9D">
        <w:rPr>
          <w:rFonts w:asciiTheme="minorHAnsi" w:hAnsiTheme="minorHAnsi"/>
          <w:color w:val="auto"/>
        </w:rPr>
        <w:t xml:space="preserve"> </w:t>
      </w:r>
      <w:r w:rsidR="00DE3AAD" w:rsidRPr="00DE3AAD">
        <w:rPr>
          <w:rFonts w:asciiTheme="minorHAnsi" w:hAnsiTheme="minorHAnsi"/>
          <w:color w:val="auto"/>
        </w:rPr>
        <w:t>SEPARATION DATE:  200</w:t>
      </w:r>
      <w:r w:rsidR="00106C7D">
        <w:rPr>
          <w:rFonts w:asciiTheme="minorHAnsi" w:hAnsiTheme="minorHAnsi"/>
          <w:color w:val="auto"/>
        </w:rPr>
        <w:t>70313</w:t>
      </w:r>
    </w:p>
    <w:p w:rsidR="00915A54" w:rsidRDefault="004F3639" w:rsidP="000D3E9D">
      <w:pPr>
        <w:pBdr>
          <w:bottom w:val="single" w:sz="12" w:space="1" w:color="auto"/>
        </w:pBdr>
        <w:tabs>
          <w:tab w:val="left" w:pos="288"/>
          <w:tab w:val="left" w:pos="3600"/>
          <w:tab w:val="left" w:pos="5130"/>
        </w:tabs>
        <w:spacing w:line="240" w:lineRule="exact"/>
        <w:rPr>
          <w:rFonts w:asciiTheme="minorHAnsi" w:hAnsiTheme="minorHAnsi"/>
          <w:caps/>
          <w:color w:val="auto"/>
        </w:rPr>
      </w:pPr>
      <w:r w:rsidRPr="00FD6C41">
        <w:rPr>
          <w:rFonts w:asciiTheme="minorHAnsi" w:hAnsiTheme="minorHAnsi"/>
          <w:caps/>
          <w:color w:val="auto"/>
        </w:rPr>
        <w:t xml:space="preserve">BOARD DATE: </w:t>
      </w:r>
      <w:r>
        <w:rPr>
          <w:rFonts w:asciiTheme="minorHAnsi" w:hAnsiTheme="minorHAnsi"/>
          <w:caps/>
          <w:color w:val="auto"/>
        </w:rPr>
        <w:t xml:space="preserve"> </w:t>
      </w:r>
      <w:r w:rsidRPr="00655258">
        <w:rPr>
          <w:rFonts w:asciiTheme="minorHAnsi" w:hAnsiTheme="minorHAnsi"/>
          <w:caps/>
          <w:color w:val="auto"/>
        </w:rPr>
        <w:t>201</w:t>
      </w:r>
      <w:r w:rsidR="00B409A8">
        <w:rPr>
          <w:rFonts w:asciiTheme="minorHAnsi" w:hAnsiTheme="minorHAnsi"/>
          <w:caps/>
          <w:color w:val="auto"/>
        </w:rPr>
        <w:t>2</w:t>
      </w:r>
      <w:r w:rsidR="00BF08C4">
        <w:rPr>
          <w:rFonts w:asciiTheme="minorHAnsi" w:hAnsiTheme="minorHAnsi"/>
          <w:caps/>
          <w:color w:val="auto"/>
        </w:rPr>
        <w:t>02</w:t>
      </w:r>
      <w:r w:rsidR="009A138F">
        <w:rPr>
          <w:rFonts w:asciiTheme="minorHAnsi" w:hAnsiTheme="minorHAnsi"/>
          <w:caps/>
          <w:color w:val="auto"/>
        </w:rPr>
        <w:t>15</w:t>
      </w:r>
    </w:p>
    <w:p w:rsidR="00827B29" w:rsidRPr="00784EA0" w:rsidRDefault="00DC5028" w:rsidP="00361420">
      <w:pPr>
        <w:pBdr>
          <w:bottom w:val="single" w:sz="12" w:space="1" w:color="auto"/>
        </w:pBdr>
        <w:tabs>
          <w:tab w:val="left" w:pos="288"/>
          <w:tab w:val="left" w:pos="3600"/>
          <w:tab w:val="left" w:pos="5130"/>
        </w:tabs>
        <w:spacing w:line="240" w:lineRule="exact"/>
        <w:jc w:val="both"/>
        <w:rPr>
          <w:rFonts w:asciiTheme="minorHAnsi" w:hAnsiTheme="minorHAnsi"/>
          <w:caps/>
          <w:color w:val="auto"/>
        </w:rPr>
      </w:pPr>
      <w:r>
        <w:rPr>
          <w:rFonts w:asciiTheme="minorHAnsi" w:hAnsiTheme="minorHAnsi"/>
          <w:caps/>
          <w:color w:val="auto"/>
        </w:rPr>
        <w:tab/>
      </w:r>
    </w:p>
    <w:p w:rsidR="00915A54" w:rsidRDefault="00915A54" w:rsidP="00361420">
      <w:pPr>
        <w:tabs>
          <w:tab w:val="left" w:pos="288"/>
          <w:tab w:val="left" w:pos="4752"/>
        </w:tabs>
        <w:spacing w:line="240" w:lineRule="exact"/>
        <w:jc w:val="both"/>
        <w:rPr>
          <w:rFonts w:asciiTheme="minorHAnsi" w:hAnsiTheme="minorHAnsi"/>
          <w:color w:val="auto"/>
          <w:u w:val="single"/>
        </w:rPr>
      </w:pPr>
    </w:p>
    <w:p w:rsidR="00135E1D" w:rsidRDefault="00FB0E80" w:rsidP="00361420">
      <w:pPr>
        <w:tabs>
          <w:tab w:val="left" w:pos="288"/>
          <w:tab w:val="left" w:pos="4752"/>
        </w:tabs>
        <w:spacing w:line="240" w:lineRule="exact"/>
        <w:jc w:val="both"/>
        <w:rPr>
          <w:rFonts w:asciiTheme="minorHAnsi" w:hAnsiTheme="minorHAnsi"/>
          <w:color w:val="auto"/>
          <w:szCs w:val="24"/>
        </w:rPr>
      </w:pPr>
      <w:r w:rsidRPr="0085006A">
        <w:rPr>
          <w:rFonts w:asciiTheme="minorHAnsi" w:hAnsiTheme="minorHAnsi"/>
          <w:color w:val="auto"/>
          <w:u w:val="single"/>
        </w:rPr>
        <w:t>SUMMARY OF CASE</w:t>
      </w:r>
      <w:r w:rsidRPr="0085006A">
        <w:rPr>
          <w:rFonts w:asciiTheme="minorHAnsi" w:hAnsiTheme="minorHAnsi"/>
          <w:color w:val="auto"/>
        </w:rPr>
        <w:t>:</w:t>
      </w:r>
      <w:r w:rsidRPr="00EC337D">
        <w:rPr>
          <w:rFonts w:asciiTheme="minorHAnsi" w:hAnsiTheme="minorHAnsi"/>
          <w:color w:val="auto"/>
        </w:rPr>
        <w:t xml:space="preserve">  </w:t>
      </w:r>
      <w:r w:rsidR="009759C2" w:rsidRPr="00EC337D">
        <w:rPr>
          <w:rFonts w:asciiTheme="minorHAnsi" w:hAnsiTheme="minorHAnsi"/>
          <w:color w:val="auto"/>
        </w:rPr>
        <w:t>Data extracted from the available evidence of record reflects that this covered individual (CI)</w:t>
      </w:r>
      <w:r w:rsidR="00570754" w:rsidRPr="00EC337D">
        <w:rPr>
          <w:rFonts w:asciiTheme="minorHAnsi" w:hAnsiTheme="minorHAnsi"/>
          <w:color w:val="auto"/>
        </w:rPr>
        <w:t xml:space="preserve"> </w:t>
      </w:r>
      <w:r w:rsidR="002C6E5B" w:rsidRPr="00AD7F8F">
        <w:rPr>
          <w:rFonts w:asciiTheme="minorHAnsi" w:hAnsiTheme="minorHAnsi"/>
          <w:color w:val="auto"/>
          <w:szCs w:val="24"/>
        </w:rPr>
        <w:t xml:space="preserve">was </w:t>
      </w:r>
      <w:r w:rsidR="006C6814" w:rsidRPr="00AD7F8F">
        <w:rPr>
          <w:rFonts w:asciiTheme="minorHAnsi" w:hAnsiTheme="minorHAnsi"/>
          <w:color w:val="auto"/>
          <w:szCs w:val="24"/>
        </w:rPr>
        <w:t>a</w:t>
      </w:r>
      <w:r w:rsidR="00E322F7" w:rsidRPr="00AD7F8F">
        <w:rPr>
          <w:rFonts w:asciiTheme="minorHAnsi" w:hAnsiTheme="minorHAnsi"/>
          <w:color w:val="auto"/>
          <w:szCs w:val="24"/>
        </w:rPr>
        <w:t xml:space="preserve"> </w:t>
      </w:r>
      <w:r w:rsidR="003932FC">
        <w:rPr>
          <w:rFonts w:asciiTheme="minorHAnsi" w:hAnsiTheme="minorHAnsi"/>
          <w:color w:val="auto"/>
          <w:szCs w:val="24"/>
        </w:rPr>
        <w:t xml:space="preserve">mobilized </w:t>
      </w:r>
      <w:r w:rsidR="00F1086B">
        <w:rPr>
          <w:rFonts w:asciiTheme="minorHAnsi" w:hAnsiTheme="minorHAnsi"/>
          <w:color w:val="auto"/>
          <w:szCs w:val="24"/>
        </w:rPr>
        <w:t>National Guard</w:t>
      </w:r>
      <w:r w:rsidR="006D4E0E" w:rsidRPr="00AD7F8F">
        <w:rPr>
          <w:rFonts w:asciiTheme="minorHAnsi" w:hAnsiTheme="minorHAnsi"/>
          <w:color w:val="auto"/>
          <w:szCs w:val="24"/>
        </w:rPr>
        <w:t xml:space="preserve"> </w:t>
      </w:r>
      <w:r w:rsidR="00106C7D">
        <w:rPr>
          <w:rFonts w:asciiTheme="minorHAnsi" w:hAnsiTheme="minorHAnsi"/>
          <w:color w:val="auto"/>
          <w:szCs w:val="24"/>
        </w:rPr>
        <w:t>SPC/E-4</w:t>
      </w:r>
      <w:r w:rsidR="00705C40" w:rsidRPr="00AD7F8F">
        <w:rPr>
          <w:rFonts w:asciiTheme="minorHAnsi" w:hAnsiTheme="minorHAnsi"/>
          <w:color w:val="auto"/>
          <w:szCs w:val="24"/>
        </w:rPr>
        <w:t xml:space="preserve"> (</w:t>
      </w:r>
      <w:r w:rsidR="00106C7D">
        <w:rPr>
          <w:rFonts w:asciiTheme="minorHAnsi" w:hAnsiTheme="minorHAnsi"/>
          <w:color w:val="auto"/>
          <w:szCs w:val="24"/>
        </w:rPr>
        <w:t>25</w:t>
      </w:r>
      <w:r w:rsidR="00376B2E">
        <w:rPr>
          <w:rFonts w:asciiTheme="minorHAnsi" w:hAnsiTheme="minorHAnsi"/>
          <w:color w:val="auto"/>
          <w:szCs w:val="24"/>
        </w:rPr>
        <w:t>U</w:t>
      </w:r>
      <w:r w:rsidR="00135E1D">
        <w:rPr>
          <w:rFonts w:asciiTheme="minorHAnsi" w:hAnsiTheme="minorHAnsi"/>
          <w:color w:val="auto"/>
          <w:szCs w:val="24"/>
        </w:rPr>
        <w:t xml:space="preserve">, </w:t>
      </w:r>
      <w:r w:rsidR="00376B2E">
        <w:rPr>
          <w:rFonts w:asciiTheme="minorHAnsi" w:hAnsiTheme="minorHAnsi"/>
          <w:color w:val="auto"/>
          <w:szCs w:val="24"/>
        </w:rPr>
        <w:t>Signal Support Systems</w:t>
      </w:r>
      <w:r w:rsidR="00E322F7" w:rsidRPr="00AD7F8F">
        <w:rPr>
          <w:rFonts w:asciiTheme="minorHAnsi" w:hAnsiTheme="minorHAnsi"/>
          <w:color w:val="auto"/>
          <w:szCs w:val="24"/>
        </w:rPr>
        <w:t>)</w:t>
      </w:r>
      <w:r w:rsidR="00C75F3D">
        <w:rPr>
          <w:rFonts w:asciiTheme="minorHAnsi" w:hAnsiTheme="minorHAnsi"/>
          <w:color w:val="auto"/>
          <w:szCs w:val="24"/>
        </w:rPr>
        <w:t xml:space="preserve"> </w:t>
      </w:r>
      <w:r w:rsidR="00135E1D">
        <w:rPr>
          <w:rFonts w:asciiTheme="minorHAnsi" w:hAnsiTheme="minorHAnsi"/>
          <w:color w:val="auto"/>
          <w:szCs w:val="24"/>
        </w:rPr>
        <w:t xml:space="preserve">medically separated for </w:t>
      </w:r>
      <w:r w:rsidR="00106C7D">
        <w:rPr>
          <w:rFonts w:asciiTheme="minorHAnsi" w:hAnsiTheme="minorHAnsi"/>
          <w:color w:val="auto"/>
          <w:szCs w:val="24"/>
        </w:rPr>
        <w:t xml:space="preserve">major depressive disorder </w:t>
      </w:r>
      <w:r w:rsidR="00135E1D">
        <w:rPr>
          <w:rFonts w:asciiTheme="minorHAnsi" w:hAnsiTheme="minorHAnsi"/>
          <w:color w:val="auto"/>
          <w:szCs w:val="24"/>
        </w:rPr>
        <w:t>(</w:t>
      </w:r>
      <w:r w:rsidR="00F715B1">
        <w:rPr>
          <w:rFonts w:asciiTheme="minorHAnsi" w:hAnsiTheme="minorHAnsi"/>
          <w:color w:val="auto"/>
          <w:szCs w:val="24"/>
        </w:rPr>
        <w:t>with additional Axis l diagnoses as noted below</w:t>
      </w:r>
      <w:r w:rsidR="00135E1D">
        <w:rPr>
          <w:rFonts w:asciiTheme="minorHAnsi" w:hAnsiTheme="minorHAnsi"/>
          <w:color w:val="auto"/>
          <w:szCs w:val="24"/>
        </w:rPr>
        <w:t>)</w:t>
      </w:r>
      <w:r w:rsidR="00F715B1">
        <w:rPr>
          <w:rFonts w:asciiTheme="minorHAnsi" w:hAnsiTheme="minorHAnsi"/>
          <w:color w:val="auto"/>
          <w:szCs w:val="24"/>
        </w:rPr>
        <w:t xml:space="preserve"> </w:t>
      </w:r>
      <w:r w:rsidR="00106C7D">
        <w:rPr>
          <w:rFonts w:asciiTheme="minorHAnsi" w:hAnsiTheme="minorHAnsi"/>
          <w:color w:val="auto"/>
          <w:szCs w:val="24"/>
        </w:rPr>
        <w:t>and left knee pain.</w:t>
      </w:r>
      <w:r w:rsidR="00F715B1">
        <w:rPr>
          <w:rFonts w:asciiTheme="minorHAnsi" w:hAnsiTheme="minorHAnsi"/>
          <w:color w:val="auto"/>
          <w:szCs w:val="24"/>
        </w:rPr>
        <w:t xml:space="preserve">  </w:t>
      </w:r>
      <w:r w:rsidR="00135E1D" w:rsidRPr="00C472C7">
        <w:rPr>
          <w:rFonts w:asciiTheme="minorHAnsi" w:hAnsiTheme="minorHAnsi"/>
          <w:color w:val="auto"/>
          <w:szCs w:val="24"/>
        </w:rPr>
        <w:t>He</w:t>
      </w:r>
      <w:r w:rsidR="00135E1D">
        <w:rPr>
          <w:rFonts w:asciiTheme="minorHAnsi" w:hAnsiTheme="minorHAnsi"/>
          <w:color w:val="auto"/>
          <w:szCs w:val="24"/>
        </w:rPr>
        <w:t xml:space="preserve"> was treated, but </w:t>
      </w:r>
      <w:r w:rsidR="00135E1D" w:rsidRPr="00C472C7">
        <w:rPr>
          <w:rFonts w:asciiTheme="minorHAnsi" w:hAnsiTheme="minorHAnsi"/>
          <w:color w:val="auto"/>
          <w:szCs w:val="24"/>
        </w:rPr>
        <w:t xml:space="preserve">did not respond adequately to </w:t>
      </w:r>
      <w:r w:rsidR="00135E1D">
        <w:rPr>
          <w:rFonts w:asciiTheme="minorHAnsi" w:hAnsiTheme="minorHAnsi"/>
          <w:color w:val="auto"/>
          <w:szCs w:val="24"/>
        </w:rPr>
        <w:t xml:space="preserve">fully </w:t>
      </w:r>
      <w:r w:rsidR="00135E1D" w:rsidRPr="00C472C7">
        <w:rPr>
          <w:rFonts w:asciiTheme="minorHAnsi" w:hAnsiTheme="minorHAnsi"/>
          <w:color w:val="auto"/>
          <w:szCs w:val="24"/>
        </w:rPr>
        <w:t xml:space="preserve">perform his </w:t>
      </w:r>
      <w:r w:rsidR="00135E1D">
        <w:rPr>
          <w:rFonts w:asciiTheme="minorHAnsi" w:hAnsiTheme="minorHAnsi"/>
          <w:color w:val="auto"/>
          <w:szCs w:val="24"/>
        </w:rPr>
        <w:t>military duties</w:t>
      </w:r>
      <w:r w:rsidR="00135E1D" w:rsidRPr="00F6519C">
        <w:rPr>
          <w:rFonts w:asciiTheme="minorHAnsi" w:hAnsiTheme="minorHAnsi"/>
          <w:color w:val="auto"/>
          <w:szCs w:val="24"/>
        </w:rPr>
        <w:t xml:space="preserve"> </w:t>
      </w:r>
      <w:r w:rsidR="00135E1D">
        <w:rPr>
          <w:rFonts w:asciiTheme="minorHAnsi" w:hAnsiTheme="minorHAnsi"/>
          <w:color w:val="auto"/>
          <w:szCs w:val="24"/>
        </w:rPr>
        <w:t xml:space="preserve">or meet </w:t>
      </w:r>
      <w:r w:rsidR="00135E1D" w:rsidRPr="00C472C7">
        <w:rPr>
          <w:rFonts w:asciiTheme="minorHAnsi" w:hAnsiTheme="minorHAnsi"/>
          <w:color w:val="auto"/>
          <w:szCs w:val="24"/>
        </w:rPr>
        <w:t xml:space="preserve">physical fitness </w:t>
      </w:r>
      <w:r w:rsidR="00135E1D">
        <w:rPr>
          <w:rFonts w:asciiTheme="minorHAnsi" w:hAnsiTheme="minorHAnsi"/>
          <w:color w:val="auto"/>
          <w:szCs w:val="24"/>
        </w:rPr>
        <w:t xml:space="preserve">standards.  </w:t>
      </w:r>
      <w:r w:rsidR="00135E1D" w:rsidRPr="00555C66">
        <w:rPr>
          <w:rFonts w:asciiTheme="minorHAnsi" w:hAnsiTheme="minorHAnsi"/>
          <w:color w:val="auto"/>
          <w:szCs w:val="24"/>
        </w:rPr>
        <w:t xml:space="preserve">He </w:t>
      </w:r>
      <w:r w:rsidR="00135E1D" w:rsidRPr="00F6519C">
        <w:rPr>
          <w:rFonts w:asciiTheme="minorHAnsi" w:hAnsiTheme="minorHAnsi"/>
          <w:color w:val="auto"/>
          <w:szCs w:val="24"/>
        </w:rPr>
        <w:t>underwent a Medical Evaluation Board (MEB).</w:t>
      </w:r>
      <w:r w:rsidR="007265E2">
        <w:rPr>
          <w:rFonts w:asciiTheme="minorHAnsi" w:hAnsiTheme="minorHAnsi"/>
          <w:color w:val="auto"/>
          <w:szCs w:val="24"/>
        </w:rPr>
        <w:t xml:space="preserve">  </w:t>
      </w:r>
      <w:r w:rsidR="00135E1D">
        <w:rPr>
          <w:rFonts w:asciiTheme="minorHAnsi" w:hAnsiTheme="minorHAnsi"/>
          <w:color w:val="auto"/>
          <w:szCs w:val="24"/>
        </w:rPr>
        <w:t>Major depressive disorder</w:t>
      </w:r>
      <w:r w:rsidR="000D3E9D">
        <w:rPr>
          <w:rFonts w:asciiTheme="minorHAnsi" w:hAnsiTheme="minorHAnsi"/>
          <w:color w:val="auto"/>
          <w:szCs w:val="24"/>
        </w:rPr>
        <w:t xml:space="preserve"> (MDD)</w:t>
      </w:r>
      <w:r w:rsidR="00135E1D">
        <w:rPr>
          <w:rFonts w:asciiTheme="minorHAnsi" w:hAnsiTheme="minorHAnsi"/>
          <w:color w:val="auto"/>
          <w:szCs w:val="24"/>
        </w:rPr>
        <w:t>, posttraumatic stress disorder (PTSD), panic disorder, insomnia</w:t>
      </w:r>
      <w:r w:rsidR="000D3E9D">
        <w:rPr>
          <w:rFonts w:asciiTheme="minorHAnsi" w:hAnsiTheme="minorHAnsi"/>
          <w:color w:val="auto"/>
          <w:szCs w:val="24"/>
        </w:rPr>
        <w:t>,</w:t>
      </w:r>
      <w:r w:rsidR="00135E1D">
        <w:rPr>
          <w:rFonts w:asciiTheme="minorHAnsi" w:hAnsiTheme="minorHAnsi"/>
          <w:color w:val="auto"/>
          <w:szCs w:val="24"/>
        </w:rPr>
        <w:t xml:space="preserve"> and left knee pain were </w:t>
      </w:r>
      <w:r w:rsidR="00135E1D" w:rsidRPr="00C472C7">
        <w:rPr>
          <w:rFonts w:asciiTheme="minorHAnsi" w:hAnsiTheme="minorHAnsi"/>
          <w:color w:val="auto"/>
          <w:szCs w:val="24"/>
        </w:rPr>
        <w:t xml:space="preserve">forwarded to the Physical Evaluation Board (PEB) as medically unacceptable IAW </w:t>
      </w:r>
      <w:r w:rsidR="00135E1D" w:rsidRPr="00802924">
        <w:rPr>
          <w:rFonts w:asciiTheme="minorHAnsi" w:hAnsiTheme="minorHAnsi"/>
          <w:color w:val="auto"/>
          <w:szCs w:val="24"/>
        </w:rPr>
        <w:t>AR 40-501.</w:t>
      </w:r>
      <w:r w:rsidR="00135E1D">
        <w:rPr>
          <w:rFonts w:asciiTheme="minorHAnsi" w:hAnsiTheme="minorHAnsi"/>
          <w:color w:val="auto"/>
          <w:szCs w:val="24"/>
        </w:rPr>
        <w:t xml:space="preserve">  Two </w:t>
      </w:r>
      <w:r w:rsidR="00135E1D" w:rsidRPr="00C472C7">
        <w:rPr>
          <w:rFonts w:asciiTheme="minorHAnsi" w:hAnsiTheme="minorHAnsi"/>
          <w:color w:val="auto"/>
          <w:szCs w:val="24"/>
        </w:rPr>
        <w:t xml:space="preserve">other </w:t>
      </w:r>
      <w:r w:rsidR="00135E1D" w:rsidRPr="00992764">
        <w:rPr>
          <w:rFonts w:asciiTheme="minorHAnsi" w:hAnsiTheme="minorHAnsi"/>
          <w:color w:val="auto"/>
          <w:szCs w:val="24"/>
        </w:rPr>
        <w:t>conditions</w:t>
      </w:r>
      <w:r w:rsidR="000D3E9D">
        <w:rPr>
          <w:rFonts w:asciiTheme="minorHAnsi" w:hAnsiTheme="minorHAnsi"/>
          <w:color w:val="auto"/>
          <w:szCs w:val="24"/>
        </w:rPr>
        <w:t xml:space="preserve"> (neck pain </w:t>
      </w:r>
      <w:r w:rsidR="000D3E9D" w:rsidRPr="000D3E9D">
        <w:rPr>
          <w:rFonts w:asciiTheme="minorHAnsi" w:hAnsiTheme="minorHAnsi"/>
          <w:color w:val="auto"/>
          <w:sz w:val="22"/>
          <w:szCs w:val="22"/>
        </w:rPr>
        <w:t>&amp;</w:t>
      </w:r>
      <w:r w:rsidR="000D3E9D">
        <w:rPr>
          <w:rFonts w:asciiTheme="minorHAnsi" w:hAnsiTheme="minorHAnsi"/>
          <w:color w:val="auto"/>
          <w:szCs w:val="24"/>
        </w:rPr>
        <w:t xml:space="preserve"> headaches) </w:t>
      </w:r>
      <w:r w:rsidR="00135E1D" w:rsidRPr="00992764">
        <w:rPr>
          <w:rFonts w:asciiTheme="minorHAnsi" w:hAnsiTheme="minorHAnsi"/>
          <w:color w:val="auto"/>
          <w:szCs w:val="24"/>
        </w:rPr>
        <w:t xml:space="preserve">were </w:t>
      </w:r>
      <w:r w:rsidR="00135E1D">
        <w:rPr>
          <w:rFonts w:asciiTheme="minorHAnsi" w:hAnsiTheme="minorHAnsi"/>
          <w:color w:val="auto"/>
          <w:szCs w:val="24"/>
        </w:rPr>
        <w:t>liste</w:t>
      </w:r>
      <w:r w:rsidR="00135E1D" w:rsidRPr="00992764">
        <w:rPr>
          <w:rFonts w:asciiTheme="minorHAnsi" w:hAnsiTheme="minorHAnsi"/>
          <w:color w:val="auto"/>
          <w:szCs w:val="24"/>
        </w:rPr>
        <w:t xml:space="preserve">d on the </w:t>
      </w:r>
      <w:r w:rsidR="000D3E9D">
        <w:rPr>
          <w:rFonts w:asciiTheme="minorHAnsi" w:hAnsiTheme="minorHAnsi"/>
          <w:color w:val="auto"/>
          <w:szCs w:val="24"/>
        </w:rPr>
        <w:t xml:space="preserve">DA Form 3947 </w:t>
      </w:r>
      <w:r w:rsidR="00135E1D" w:rsidRPr="00992764">
        <w:rPr>
          <w:rFonts w:asciiTheme="minorHAnsi" w:hAnsiTheme="minorHAnsi"/>
          <w:color w:val="auto"/>
          <w:szCs w:val="24"/>
        </w:rPr>
        <w:t>as</w:t>
      </w:r>
      <w:r w:rsidR="00135E1D">
        <w:rPr>
          <w:rFonts w:asciiTheme="minorHAnsi" w:hAnsiTheme="minorHAnsi"/>
          <w:color w:val="auto"/>
          <w:szCs w:val="24"/>
        </w:rPr>
        <w:t xml:space="preserve"> medically acceptable</w:t>
      </w:r>
      <w:r w:rsidR="00135E1D" w:rsidRPr="00992764">
        <w:rPr>
          <w:rFonts w:asciiTheme="minorHAnsi" w:hAnsiTheme="minorHAnsi"/>
          <w:color w:val="auto"/>
          <w:szCs w:val="24"/>
        </w:rPr>
        <w:t>.</w:t>
      </w:r>
      <w:r w:rsidR="00135E1D">
        <w:rPr>
          <w:rFonts w:asciiTheme="minorHAnsi" w:hAnsiTheme="minorHAnsi"/>
          <w:color w:val="auto"/>
          <w:szCs w:val="24"/>
        </w:rPr>
        <w:t xml:space="preserve">  </w:t>
      </w:r>
      <w:r w:rsidR="00915A54">
        <w:rPr>
          <w:rFonts w:asciiTheme="minorHAnsi" w:hAnsiTheme="minorHAnsi"/>
          <w:color w:val="auto"/>
          <w:szCs w:val="24"/>
        </w:rPr>
        <w:t xml:space="preserve">The PEB </w:t>
      </w:r>
      <w:r w:rsidR="00135E1D">
        <w:rPr>
          <w:rFonts w:asciiTheme="minorHAnsi" w:hAnsiTheme="minorHAnsi"/>
          <w:color w:val="auto"/>
          <w:szCs w:val="24"/>
        </w:rPr>
        <w:t xml:space="preserve">found the </w:t>
      </w:r>
      <w:r w:rsidR="000D3E9D">
        <w:rPr>
          <w:rFonts w:asciiTheme="minorHAnsi" w:hAnsiTheme="minorHAnsi"/>
          <w:color w:val="auto"/>
          <w:szCs w:val="24"/>
        </w:rPr>
        <w:t xml:space="preserve">mental condition </w:t>
      </w:r>
      <w:r w:rsidR="00135E1D">
        <w:rPr>
          <w:rFonts w:asciiTheme="minorHAnsi" w:hAnsiTheme="minorHAnsi"/>
          <w:color w:val="auto"/>
          <w:szCs w:val="24"/>
        </w:rPr>
        <w:t>and</w:t>
      </w:r>
      <w:r w:rsidR="000D3E9D">
        <w:rPr>
          <w:rFonts w:asciiTheme="minorHAnsi" w:hAnsiTheme="minorHAnsi"/>
          <w:color w:val="auto"/>
          <w:szCs w:val="24"/>
        </w:rPr>
        <w:t xml:space="preserve"> the</w:t>
      </w:r>
      <w:r w:rsidR="00135E1D">
        <w:rPr>
          <w:rFonts w:asciiTheme="minorHAnsi" w:hAnsiTheme="minorHAnsi"/>
          <w:color w:val="auto"/>
          <w:szCs w:val="24"/>
        </w:rPr>
        <w:t xml:space="preserve"> left knee condition unfitting</w:t>
      </w:r>
      <w:r w:rsidR="00135E1D" w:rsidRPr="00700050">
        <w:rPr>
          <w:rFonts w:asciiTheme="minorHAnsi" w:hAnsiTheme="minorHAnsi"/>
          <w:color w:val="auto"/>
          <w:szCs w:val="24"/>
        </w:rPr>
        <w:t>, rat</w:t>
      </w:r>
      <w:r w:rsidR="000D3E9D">
        <w:rPr>
          <w:rFonts w:asciiTheme="minorHAnsi" w:hAnsiTheme="minorHAnsi"/>
          <w:color w:val="auto"/>
          <w:szCs w:val="24"/>
        </w:rPr>
        <w:t>ing</w:t>
      </w:r>
      <w:r w:rsidR="00135E1D" w:rsidRPr="00700050">
        <w:rPr>
          <w:rFonts w:asciiTheme="minorHAnsi" w:hAnsiTheme="minorHAnsi"/>
          <w:color w:val="auto"/>
          <w:szCs w:val="24"/>
        </w:rPr>
        <w:t xml:space="preserve"> </w:t>
      </w:r>
      <w:r w:rsidR="000D3E9D">
        <w:rPr>
          <w:rFonts w:asciiTheme="minorHAnsi" w:hAnsiTheme="minorHAnsi"/>
          <w:color w:val="auto"/>
          <w:szCs w:val="24"/>
        </w:rPr>
        <w:t xml:space="preserve">them </w:t>
      </w:r>
      <w:r w:rsidR="00135E1D" w:rsidRPr="00700050">
        <w:rPr>
          <w:rFonts w:asciiTheme="minorHAnsi" w:hAnsiTheme="minorHAnsi"/>
          <w:color w:val="auto"/>
          <w:szCs w:val="24"/>
        </w:rPr>
        <w:t>10% and 0% respectively</w:t>
      </w:r>
      <w:r w:rsidR="00135E1D">
        <w:rPr>
          <w:rFonts w:asciiTheme="minorHAnsi" w:hAnsiTheme="minorHAnsi"/>
          <w:color w:val="auto"/>
          <w:szCs w:val="24"/>
        </w:rPr>
        <w:t>.</w:t>
      </w:r>
      <w:r w:rsidR="00915A54">
        <w:rPr>
          <w:rFonts w:asciiTheme="minorHAnsi" w:hAnsiTheme="minorHAnsi"/>
          <w:color w:val="auto"/>
          <w:szCs w:val="24"/>
        </w:rPr>
        <w:t xml:space="preserve">  The </w:t>
      </w:r>
      <w:r w:rsidR="00915A54" w:rsidRPr="00700050">
        <w:rPr>
          <w:rFonts w:asciiTheme="minorHAnsi" w:hAnsiTheme="minorHAnsi"/>
          <w:color w:val="auto"/>
          <w:szCs w:val="24"/>
        </w:rPr>
        <w:t>CI ma</w:t>
      </w:r>
      <w:r w:rsidR="00915A54">
        <w:rPr>
          <w:rFonts w:asciiTheme="minorHAnsi" w:hAnsiTheme="minorHAnsi"/>
          <w:color w:val="auto"/>
          <w:szCs w:val="24"/>
        </w:rPr>
        <w:t>de no appeals, and was thus</w:t>
      </w:r>
      <w:r w:rsidR="00915A54" w:rsidRPr="00700050">
        <w:rPr>
          <w:rFonts w:asciiTheme="minorHAnsi" w:hAnsiTheme="minorHAnsi"/>
          <w:color w:val="auto"/>
          <w:szCs w:val="24"/>
        </w:rPr>
        <w:t xml:space="preserve"> separated with a 10% </w:t>
      </w:r>
      <w:r w:rsidR="000D3E9D">
        <w:rPr>
          <w:rFonts w:asciiTheme="minorHAnsi" w:hAnsiTheme="minorHAnsi"/>
          <w:color w:val="auto"/>
          <w:szCs w:val="24"/>
        </w:rPr>
        <w:t>combined disability rating</w:t>
      </w:r>
      <w:r w:rsidR="00915A54" w:rsidRPr="00C472C7">
        <w:rPr>
          <w:rFonts w:asciiTheme="minorHAnsi" w:hAnsiTheme="minorHAnsi"/>
          <w:color w:val="auto"/>
        </w:rPr>
        <w:t>.</w:t>
      </w:r>
    </w:p>
    <w:p w:rsidR="008E0D8F" w:rsidRDefault="008E0D8F" w:rsidP="00361420">
      <w:pPr>
        <w:pBdr>
          <w:bottom w:val="single" w:sz="12" w:space="1" w:color="auto"/>
        </w:pBdr>
        <w:tabs>
          <w:tab w:val="left" w:pos="288"/>
          <w:tab w:val="left" w:pos="4752"/>
        </w:tabs>
        <w:spacing w:line="240" w:lineRule="exact"/>
        <w:jc w:val="both"/>
        <w:rPr>
          <w:rFonts w:asciiTheme="minorHAnsi" w:hAnsiTheme="minorHAnsi"/>
          <w:color w:val="auto"/>
        </w:rPr>
      </w:pPr>
    </w:p>
    <w:p w:rsidR="00DE598A" w:rsidRDefault="00DE598A" w:rsidP="00361420">
      <w:pPr>
        <w:tabs>
          <w:tab w:val="left" w:pos="288"/>
          <w:tab w:val="left" w:pos="4752"/>
        </w:tabs>
        <w:spacing w:line="240" w:lineRule="exact"/>
        <w:jc w:val="both"/>
        <w:rPr>
          <w:rFonts w:asciiTheme="minorHAnsi" w:hAnsiTheme="minorHAnsi"/>
          <w:color w:val="auto"/>
          <w:u w:val="single"/>
        </w:rPr>
      </w:pPr>
    </w:p>
    <w:p w:rsidR="00ED5284" w:rsidRPr="005C4D72" w:rsidRDefault="002C6E5B" w:rsidP="00361420">
      <w:pPr>
        <w:tabs>
          <w:tab w:val="left" w:pos="288"/>
          <w:tab w:val="left" w:pos="4752"/>
        </w:tabs>
        <w:spacing w:line="240" w:lineRule="exact"/>
        <w:jc w:val="both"/>
        <w:rPr>
          <w:rFonts w:eastAsiaTheme="minorHAnsi" w:cstheme="minorBidi"/>
          <w:color w:val="auto"/>
          <w:szCs w:val="24"/>
        </w:rPr>
      </w:pPr>
      <w:r w:rsidRPr="00326C08">
        <w:rPr>
          <w:rFonts w:asciiTheme="minorHAnsi" w:hAnsiTheme="minorHAnsi"/>
          <w:color w:val="auto"/>
          <w:u w:val="single"/>
        </w:rPr>
        <w:t>CI</w:t>
      </w:r>
      <w:r w:rsidR="000D3E9D">
        <w:rPr>
          <w:rFonts w:asciiTheme="minorHAnsi" w:hAnsiTheme="minorHAnsi"/>
          <w:color w:val="auto"/>
          <w:u w:val="single"/>
        </w:rPr>
        <w:t>’s</w:t>
      </w:r>
      <w:r w:rsidRPr="00326C08">
        <w:rPr>
          <w:rFonts w:asciiTheme="minorHAnsi" w:hAnsiTheme="minorHAnsi"/>
          <w:color w:val="auto"/>
          <w:u w:val="single"/>
        </w:rPr>
        <w:t xml:space="preserve"> CONTENTION</w:t>
      </w:r>
      <w:r w:rsidRPr="00326C08">
        <w:rPr>
          <w:rFonts w:asciiTheme="minorHAnsi" w:hAnsiTheme="minorHAnsi"/>
          <w:color w:val="auto"/>
        </w:rPr>
        <w:t>:</w:t>
      </w:r>
      <w:r w:rsidR="00057019">
        <w:rPr>
          <w:rFonts w:asciiTheme="minorHAnsi" w:hAnsiTheme="minorHAnsi"/>
          <w:color w:val="auto"/>
        </w:rPr>
        <w:t xml:space="preserve">  </w:t>
      </w:r>
      <w:r w:rsidR="000D3E9D">
        <w:rPr>
          <w:rFonts w:asciiTheme="minorHAnsi" w:hAnsiTheme="minorHAnsi"/>
          <w:color w:val="auto"/>
        </w:rPr>
        <w:t>The CI makes no contention in Block 3 of DD Form 294</w:t>
      </w:r>
      <w:r w:rsidR="00ED5284" w:rsidRPr="005C4D72">
        <w:rPr>
          <w:rFonts w:eastAsiaTheme="minorHAnsi" w:cstheme="minorBidi"/>
          <w:color w:val="auto"/>
          <w:szCs w:val="24"/>
        </w:rPr>
        <w:t>.</w:t>
      </w:r>
    </w:p>
    <w:p w:rsidR="003E1682" w:rsidRDefault="003E1682" w:rsidP="00361420">
      <w:pPr>
        <w:pBdr>
          <w:bottom w:val="single" w:sz="12" w:space="1" w:color="auto"/>
        </w:pBdr>
        <w:spacing w:line="240" w:lineRule="exact"/>
        <w:rPr>
          <w:rFonts w:asciiTheme="minorHAnsi" w:hAnsiTheme="minorHAnsi"/>
          <w:color w:val="auto"/>
          <w:u w:val="single"/>
        </w:rPr>
      </w:pPr>
    </w:p>
    <w:p w:rsidR="00D2288F" w:rsidRDefault="00D2288F" w:rsidP="00361420">
      <w:pPr>
        <w:spacing w:line="240" w:lineRule="exact"/>
        <w:rPr>
          <w:rFonts w:asciiTheme="minorHAnsi" w:hAnsiTheme="minorHAnsi"/>
          <w:color w:val="auto"/>
          <w:u w:val="single"/>
        </w:rPr>
      </w:pPr>
    </w:p>
    <w:p w:rsidR="002338CA" w:rsidRDefault="007F0AB7" w:rsidP="00361420">
      <w:pPr>
        <w:spacing w:line="240" w:lineRule="exact"/>
        <w:rPr>
          <w:rFonts w:asciiTheme="minorHAnsi" w:hAnsiTheme="minorHAnsi"/>
          <w:color w:val="auto"/>
        </w:rPr>
      </w:pPr>
      <w:r>
        <w:rPr>
          <w:rFonts w:asciiTheme="minorHAnsi" w:hAnsiTheme="minorHAnsi"/>
          <w:color w:val="auto"/>
          <w:u w:val="single"/>
        </w:rPr>
        <w:t>R</w:t>
      </w:r>
      <w:r w:rsidR="002C6E5B" w:rsidRPr="00326C08">
        <w:rPr>
          <w:rFonts w:asciiTheme="minorHAnsi" w:hAnsiTheme="minorHAnsi"/>
          <w:color w:val="auto"/>
          <w:u w:val="single"/>
        </w:rPr>
        <w:t>ATING COMPARISON</w:t>
      </w:r>
      <w:r w:rsidR="002C6E5B" w:rsidRPr="00326C08">
        <w:rPr>
          <w:rFonts w:asciiTheme="minorHAnsi" w:hAnsiTheme="minorHAnsi"/>
          <w:color w:val="auto"/>
        </w:rPr>
        <w:t>:</w:t>
      </w:r>
    </w:p>
    <w:p w:rsidR="00857813" w:rsidRDefault="00857813" w:rsidP="00361420">
      <w:pPr>
        <w:spacing w:line="240" w:lineRule="exact"/>
        <w:rPr>
          <w:rFonts w:asciiTheme="minorHAnsi" w:hAnsiTheme="minorHAnsi"/>
          <w:color w:val="auto"/>
        </w:rPr>
      </w:pPr>
    </w:p>
    <w:tbl>
      <w:tblPr>
        <w:tblStyle w:val="TableGrid"/>
        <w:tblW w:w="9126" w:type="dxa"/>
        <w:jc w:val="center"/>
        <w:tblInd w:w="72" w:type="dxa"/>
        <w:tblLayout w:type="fixed"/>
        <w:tblLook w:val="04A0"/>
      </w:tblPr>
      <w:tblGrid>
        <w:gridCol w:w="2196"/>
        <w:gridCol w:w="1080"/>
        <w:gridCol w:w="806"/>
        <w:gridCol w:w="2535"/>
        <w:gridCol w:w="709"/>
        <w:gridCol w:w="810"/>
        <w:gridCol w:w="990"/>
      </w:tblGrid>
      <w:tr w:rsidR="002B4E22" w:rsidRPr="002A4119" w:rsidTr="00A26B24">
        <w:trPr>
          <w:trHeight w:val="350"/>
          <w:jc w:val="center"/>
        </w:trPr>
        <w:tc>
          <w:tcPr>
            <w:tcW w:w="4082" w:type="dxa"/>
            <w:gridSpan w:val="3"/>
            <w:tcBorders>
              <w:right w:val="thinThickThinSmallGap" w:sz="24" w:space="0" w:color="auto"/>
            </w:tcBorders>
            <w:shd w:val="clear" w:color="auto" w:fill="D9D9D9" w:themeFill="background1" w:themeFillShade="D9"/>
            <w:vAlign w:val="center"/>
          </w:tcPr>
          <w:p w:rsidR="002B4E22" w:rsidRPr="00B06930" w:rsidRDefault="00861B5B" w:rsidP="00861B5B">
            <w:pPr>
              <w:spacing w:line="240" w:lineRule="exact"/>
              <w:contextualSpacing/>
              <w:jc w:val="center"/>
              <w:rPr>
                <w:b/>
                <w:color w:val="auto"/>
                <w:sz w:val="20"/>
                <w:szCs w:val="20"/>
              </w:rPr>
            </w:pPr>
            <w:r>
              <w:rPr>
                <w:b/>
                <w:color w:val="auto"/>
                <w:sz w:val="20"/>
                <w:szCs w:val="20"/>
              </w:rPr>
              <w:t>Army</w:t>
            </w:r>
            <w:r w:rsidR="00B731E4" w:rsidRPr="00B06930">
              <w:rPr>
                <w:b/>
                <w:color w:val="auto"/>
                <w:sz w:val="20"/>
                <w:szCs w:val="20"/>
              </w:rPr>
              <w:t xml:space="preserve"> PEB – </w:t>
            </w:r>
            <w:r>
              <w:rPr>
                <w:b/>
                <w:color w:val="auto"/>
                <w:sz w:val="20"/>
                <w:szCs w:val="20"/>
              </w:rPr>
              <w:t>d</w:t>
            </w:r>
            <w:r w:rsidR="00B731E4" w:rsidRPr="00B06930">
              <w:rPr>
                <w:b/>
                <w:color w:val="auto"/>
                <w:sz w:val="20"/>
                <w:szCs w:val="20"/>
              </w:rPr>
              <w:t>ated 200</w:t>
            </w:r>
            <w:r w:rsidR="00376B2E">
              <w:rPr>
                <w:b/>
                <w:color w:val="auto"/>
                <w:sz w:val="20"/>
                <w:szCs w:val="20"/>
              </w:rPr>
              <w:t>70130</w:t>
            </w:r>
          </w:p>
        </w:tc>
        <w:tc>
          <w:tcPr>
            <w:tcW w:w="5044" w:type="dxa"/>
            <w:gridSpan w:val="4"/>
            <w:tcBorders>
              <w:left w:val="thinThickThinSmallGap" w:sz="24" w:space="0" w:color="auto"/>
            </w:tcBorders>
            <w:shd w:val="clear" w:color="auto" w:fill="D9D9D9" w:themeFill="background1" w:themeFillShade="D9"/>
            <w:vAlign w:val="center"/>
          </w:tcPr>
          <w:p w:rsidR="002B4E22" w:rsidRPr="00B06930" w:rsidRDefault="002B4E22" w:rsidP="00861B5B">
            <w:pPr>
              <w:spacing w:line="240" w:lineRule="exact"/>
              <w:contextualSpacing/>
              <w:jc w:val="center"/>
              <w:rPr>
                <w:b/>
                <w:color w:val="auto"/>
                <w:sz w:val="20"/>
                <w:szCs w:val="20"/>
              </w:rPr>
            </w:pPr>
            <w:r w:rsidRPr="00B06930">
              <w:rPr>
                <w:b/>
                <w:color w:val="auto"/>
                <w:sz w:val="20"/>
                <w:szCs w:val="20"/>
              </w:rPr>
              <w:t>VA (</w:t>
            </w:r>
            <w:r w:rsidR="00645DC2">
              <w:rPr>
                <w:b/>
                <w:color w:val="auto"/>
                <w:sz w:val="20"/>
                <w:szCs w:val="20"/>
              </w:rPr>
              <w:t>3</w:t>
            </w:r>
            <w:r w:rsidR="0079154B" w:rsidRPr="00B06930">
              <w:rPr>
                <w:b/>
                <w:color w:val="auto"/>
                <w:sz w:val="20"/>
                <w:szCs w:val="20"/>
              </w:rPr>
              <w:t xml:space="preserve"> </w:t>
            </w:r>
            <w:r w:rsidR="00861B5B">
              <w:rPr>
                <w:b/>
                <w:color w:val="auto"/>
                <w:sz w:val="20"/>
                <w:szCs w:val="20"/>
              </w:rPr>
              <w:t>m</w:t>
            </w:r>
            <w:r w:rsidRPr="00B06930">
              <w:rPr>
                <w:b/>
                <w:color w:val="auto"/>
                <w:sz w:val="20"/>
                <w:szCs w:val="20"/>
              </w:rPr>
              <w:t>o</w:t>
            </w:r>
            <w:r w:rsidR="00645DC2">
              <w:rPr>
                <w:b/>
                <w:color w:val="auto"/>
                <w:sz w:val="20"/>
                <w:szCs w:val="20"/>
              </w:rPr>
              <w:t>s</w:t>
            </w:r>
            <w:r w:rsidRPr="00645DC2">
              <w:rPr>
                <w:b/>
                <w:color w:val="auto"/>
                <w:sz w:val="20"/>
                <w:szCs w:val="20"/>
              </w:rPr>
              <w:t>. After</w:t>
            </w:r>
            <w:r w:rsidRPr="00B06930">
              <w:rPr>
                <w:b/>
                <w:color w:val="auto"/>
                <w:sz w:val="20"/>
                <w:szCs w:val="20"/>
              </w:rPr>
              <w:t xml:space="preserve"> Separation) – All Effective </w:t>
            </w:r>
            <w:r w:rsidR="00376B2E" w:rsidRPr="00376B2E">
              <w:rPr>
                <w:b/>
                <w:color w:val="auto"/>
                <w:sz w:val="20"/>
                <w:szCs w:val="20"/>
              </w:rPr>
              <w:t>2007031</w:t>
            </w:r>
            <w:r w:rsidR="00376B2E">
              <w:rPr>
                <w:b/>
                <w:color w:val="auto"/>
                <w:sz w:val="20"/>
                <w:szCs w:val="20"/>
              </w:rPr>
              <w:t>4</w:t>
            </w:r>
          </w:p>
        </w:tc>
      </w:tr>
      <w:tr w:rsidR="002B4E22" w:rsidRPr="002A4119" w:rsidTr="00A26B24">
        <w:trPr>
          <w:trHeight w:val="278"/>
          <w:jc w:val="center"/>
        </w:trPr>
        <w:tc>
          <w:tcPr>
            <w:tcW w:w="2196" w:type="dxa"/>
            <w:tcBorders>
              <w:bottom w:val="single" w:sz="4" w:space="0" w:color="000000" w:themeColor="text1"/>
              <w:right w:val="single" w:sz="4" w:space="0" w:color="auto"/>
            </w:tcBorders>
            <w:shd w:val="clear" w:color="auto" w:fill="D9D9D9" w:themeFill="background1" w:themeFillShade="D9"/>
            <w:vAlign w:val="center"/>
          </w:tcPr>
          <w:p w:rsidR="002B4E22" w:rsidRPr="00B06930" w:rsidRDefault="002B4E22" w:rsidP="00361420">
            <w:pPr>
              <w:spacing w:line="240" w:lineRule="exact"/>
              <w:contextualSpacing/>
              <w:jc w:val="center"/>
              <w:rPr>
                <w:b/>
                <w:color w:val="auto"/>
                <w:sz w:val="20"/>
                <w:szCs w:val="20"/>
              </w:rPr>
            </w:pPr>
            <w:r w:rsidRPr="00B06930">
              <w:rPr>
                <w:b/>
                <w:color w:val="auto"/>
                <w:sz w:val="20"/>
                <w:szCs w:val="20"/>
              </w:rPr>
              <w:t>Condition</w:t>
            </w:r>
          </w:p>
        </w:tc>
        <w:tc>
          <w:tcPr>
            <w:tcW w:w="1080" w:type="dxa"/>
            <w:tcBorders>
              <w:left w:val="single" w:sz="4" w:space="0" w:color="auto"/>
              <w:bottom w:val="single" w:sz="4" w:space="0" w:color="000000" w:themeColor="text1"/>
            </w:tcBorders>
            <w:shd w:val="clear" w:color="auto" w:fill="D9D9D9" w:themeFill="background1" w:themeFillShade="D9"/>
            <w:vAlign w:val="center"/>
          </w:tcPr>
          <w:p w:rsidR="002B4E22" w:rsidRPr="00B06930" w:rsidRDefault="002B4E22" w:rsidP="00361420">
            <w:pPr>
              <w:spacing w:line="240" w:lineRule="exact"/>
              <w:contextualSpacing/>
              <w:jc w:val="center"/>
              <w:rPr>
                <w:b/>
                <w:color w:val="auto"/>
                <w:sz w:val="20"/>
                <w:szCs w:val="20"/>
              </w:rPr>
            </w:pPr>
            <w:r w:rsidRPr="00B06930">
              <w:rPr>
                <w:b/>
                <w:color w:val="auto"/>
                <w:sz w:val="20"/>
                <w:szCs w:val="20"/>
              </w:rPr>
              <w:t>Code</w:t>
            </w:r>
          </w:p>
        </w:tc>
        <w:tc>
          <w:tcPr>
            <w:tcW w:w="806" w:type="dxa"/>
            <w:tcBorders>
              <w:bottom w:val="single" w:sz="4" w:space="0" w:color="000000" w:themeColor="text1"/>
              <w:right w:val="thinThickThinSmallGap" w:sz="24" w:space="0" w:color="auto"/>
            </w:tcBorders>
            <w:shd w:val="clear" w:color="auto" w:fill="D9D9D9" w:themeFill="background1" w:themeFillShade="D9"/>
            <w:vAlign w:val="center"/>
          </w:tcPr>
          <w:p w:rsidR="002B4E22" w:rsidRPr="00B06930" w:rsidRDefault="002B4E22" w:rsidP="00361420">
            <w:pPr>
              <w:spacing w:line="240" w:lineRule="exact"/>
              <w:contextualSpacing/>
              <w:jc w:val="center"/>
              <w:rPr>
                <w:b/>
                <w:color w:val="auto"/>
                <w:sz w:val="20"/>
                <w:szCs w:val="20"/>
              </w:rPr>
            </w:pPr>
            <w:r w:rsidRPr="00B06930">
              <w:rPr>
                <w:b/>
                <w:color w:val="auto"/>
                <w:sz w:val="20"/>
                <w:szCs w:val="20"/>
              </w:rPr>
              <w:t>Rating</w:t>
            </w:r>
          </w:p>
        </w:tc>
        <w:tc>
          <w:tcPr>
            <w:tcW w:w="2535" w:type="dxa"/>
            <w:tcBorders>
              <w:left w:val="thinThickThinSmallGap" w:sz="24" w:space="0" w:color="auto"/>
              <w:bottom w:val="single" w:sz="4" w:space="0" w:color="000000" w:themeColor="text1"/>
            </w:tcBorders>
            <w:shd w:val="clear" w:color="auto" w:fill="D9D9D9" w:themeFill="background1" w:themeFillShade="D9"/>
            <w:vAlign w:val="center"/>
          </w:tcPr>
          <w:p w:rsidR="002B4E22" w:rsidRPr="00B06930" w:rsidRDefault="002B4E22" w:rsidP="00361420">
            <w:pPr>
              <w:spacing w:line="240" w:lineRule="exact"/>
              <w:contextualSpacing/>
              <w:jc w:val="center"/>
              <w:rPr>
                <w:b/>
                <w:color w:val="auto"/>
                <w:sz w:val="20"/>
                <w:szCs w:val="20"/>
              </w:rPr>
            </w:pPr>
            <w:r w:rsidRPr="00B06930">
              <w:rPr>
                <w:b/>
                <w:color w:val="auto"/>
                <w:sz w:val="20"/>
                <w:szCs w:val="20"/>
              </w:rPr>
              <w:t>Condition</w:t>
            </w:r>
          </w:p>
        </w:tc>
        <w:tc>
          <w:tcPr>
            <w:tcW w:w="709" w:type="dxa"/>
            <w:tcBorders>
              <w:bottom w:val="single" w:sz="4" w:space="0" w:color="000000" w:themeColor="text1"/>
            </w:tcBorders>
            <w:shd w:val="clear" w:color="auto" w:fill="D9D9D9" w:themeFill="background1" w:themeFillShade="D9"/>
            <w:vAlign w:val="center"/>
          </w:tcPr>
          <w:p w:rsidR="002B4E22" w:rsidRPr="00B06930" w:rsidRDefault="002B4E22" w:rsidP="00361420">
            <w:pPr>
              <w:spacing w:line="240" w:lineRule="exact"/>
              <w:contextualSpacing/>
              <w:jc w:val="center"/>
              <w:rPr>
                <w:b/>
                <w:color w:val="auto"/>
                <w:sz w:val="20"/>
                <w:szCs w:val="20"/>
              </w:rPr>
            </w:pPr>
            <w:r w:rsidRPr="00B06930">
              <w:rPr>
                <w:b/>
                <w:color w:val="auto"/>
                <w:sz w:val="20"/>
                <w:szCs w:val="20"/>
              </w:rPr>
              <w:t>Code</w:t>
            </w:r>
          </w:p>
        </w:tc>
        <w:tc>
          <w:tcPr>
            <w:tcW w:w="810" w:type="dxa"/>
            <w:tcBorders>
              <w:bottom w:val="single" w:sz="4" w:space="0" w:color="000000" w:themeColor="text1"/>
            </w:tcBorders>
            <w:shd w:val="clear" w:color="auto" w:fill="D9D9D9" w:themeFill="background1" w:themeFillShade="D9"/>
            <w:vAlign w:val="center"/>
          </w:tcPr>
          <w:p w:rsidR="002B4E22" w:rsidRPr="00B06930" w:rsidRDefault="002B4E22" w:rsidP="00361420">
            <w:pPr>
              <w:spacing w:line="240" w:lineRule="exact"/>
              <w:contextualSpacing/>
              <w:jc w:val="center"/>
              <w:rPr>
                <w:b/>
                <w:color w:val="auto"/>
                <w:sz w:val="20"/>
                <w:szCs w:val="20"/>
              </w:rPr>
            </w:pPr>
            <w:r w:rsidRPr="00B06930">
              <w:rPr>
                <w:b/>
                <w:color w:val="auto"/>
                <w:sz w:val="20"/>
                <w:szCs w:val="20"/>
              </w:rPr>
              <w:t>Rating</w:t>
            </w:r>
          </w:p>
        </w:tc>
        <w:tc>
          <w:tcPr>
            <w:tcW w:w="990" w:type="dxa"/>
            <w:tcBorders>
              <w:bottom w:val="single" w:sz="4" w:space="0" w:color="000000" w:themeColor="text1"/>
            </w:tcBorders>
            <w:shd w:val="clear" w:color="auto" w:fill="D9D9D9" w:themeFill="background1" w:themeFillShade="D9"/>
            <w:vAlign w:val="center"/>
          </w:tcPr>
          <w:p w:rsidR="002B4E22" w:rsidRPr="00B06930" w:rsidRDefault="002B4E22" w:rsidP="00361420">
            <w:pPr>
              <w:spacing w:line="240" w:lineRule="exact"/>
              <w:contextualSpacing/>
              <w:jc w:val="center"/>
              <w:rPr>
                <w:b/>
                <w:color w:val="auto"/>
                <w:sz w:val="20"/>
                <w:szCs w:val="20"/>
              </w:rPr>
            </w:pPr>
            <w:r w:rsidRPr="00B06930">
              <w:rPr>
                <w:b/>
                <w:color w:val="auto"/>
                <w:sz w:val="20"/>
                <w:szCs w:val="20"/>
              </w:rPr>
              <w:t>Exam</w:t>
            </w:r>
          </w:p>
        </w:tc>
      </w:tr>
      <w:tr w:rsidR="00F715B1" w:rsidRPr="002A4119" w:rsidTr="00A26B24">
        <w:trPr>
          <w:trHeight w:val="199"/>
          <w:jc w:val="center"/>
        </w:trPr>
        <w:tc>
          <w:tcPr>
            <w:tcW w:w="2196" w:type="dxa"/>
            <w:tcBorders>
              <w:bottom w:val="single" w:sz="4" w:space="0" w:color="auto"/>
              <w:right w:val="single" w:sz="4" w:space="0" w:color="auto"/>
            </w:tcBorders>
            <w:shd w:val="clear" w:color="auto" w:fill="FFFFFF" w:themeFill="background1"/>
            <w:vAlign w:val="center"/>
          </w:tcPr>
          <w:p w:rsidR="00F715B1" w:rsidRPr="00376B2E" w:rsidRDefault="00F715B1" w:rsidP="00361420">
            <w:pPr>
              <w:spacing w:line="240" w:lineRule="exact"/>
              <w:contextualSpacing/>
              <w:rPr>
                <w:color w:val="auto"/>
                <w:sz w:val="18"/>
                <w:szCs w:val="18"/>
              </w:rPr>
            </w:pPr>
            <w:r>
              <w:rPr>
                <w:color w:val="auto"/>
                <w:sz w:val="18"/>
                <w:szCs w:val="18"/>
              </w:rPr>
              <w:t>Major Depressive Disorder</w:t>
            </w:r>
          </w:p>
        </w:tc>
        <w:tc>
          <w:tcPr>
            <w:tcW w:w="1080" w:type="dxa"/>
            <w:tcBorders>
              <w:left w:val="single" w:sz="4" w:space="0" w:color="auto"/>
              <w:bottom w:val="nil"/>
              <w:right w:val="single" w:sz="4" w:space="0" w:color="auto"/>
            </w:tcBorders>
            <w:shd w:val="clear" w:color="auto" w:fill="FFFFFF" w:themeFill="background1"/>
            <w:vAlign w:val="center"/>
          </w:tcPr>
          <w:p w:rsidR="00F715B1" w:rsidRPr="00376B2E" w:rsidRDefault="00F715B1" w:rsidP="00361420">
            <w:pPr>
              <w:spacing w:line="240" w:lineRule="exact"/>
              <w:contextualSpacing/>
              <w:jc w:val="center"/>
              <w:rPr>
                <w:color w:val="auto"/>
                <w:sz w:val="18"/>
                <w:szCs w:val="18"/>
              </w:rPr>
            </w:pPr>
            <w:r>
              <w:rPr>
                <w:color w:val="auto"/>
                <w:sz w:val="18"/>
                <w:szCs w:val="18"/>
              </w:rPr>
              <w:t>9434</w:t>
            </w:r>
          </w:p>
        </w:tc>
        <w:tc>
          <w:tcPr>
            <w:tcW w:w="806" w:type="dxa"/>
            <w:tcBorders>
              <w:left w:val="single" w:sz="4" w:space="0" w:color="auto"/>
              <w:bottom w:val="nil"/>
              <w:right w:val="thinThickThinSmallGap" w:sz="24" w:space="0" w:color="auto"/>
            </w:tcBorders>
            <w:shd w:val="clear" w:color="auto" w:fill="FFFFFF" w:themeFill="background1"/>
            <w:vAlign w:val="center"/>
          </w:tcPr>
          <w:p w:rsidR="00F715B1" w:rsidRPr="00376B2E" w:rsidRDefault="00F715B1" w:rsidP="00361420">
            <w:pPr>
              <w:spacing w:line="240" w:lineRule="exact"/>
              <w:contextualSpacing/>
              <w:jc w:val="center"/>
              <w:rPr>
                <w:color w:val="auto"/>
                <w:sz w:val="18"/>
                <w:szCs w:val="18"/>
              </w:rPr>
            </w:pPr>
            <w:r>
              <w:rPr>
                <w:color w:val="auto"/>
                <w:sz w:val="18"/>
                <w:szCs w:val="18"/>
              </w:rPr>
              <w:t>10%</w:t>
            </w:r>
          </w:p>
        </w:tc>
        <w:tc>
          <w:tcPr>
            <w:tcW w:w="2535" w:type="dxa"/>
            <w:vMerge w:val="restart"/>
            <w:tcBorders>
              <w:left w:val="thinThickThinSmallGap" w:sz="24" w:space="0" w:color="auto"/>
            </w:tcBorders>
            <w:shd w:val="clear" w:color="auto" w:fill="FFFFFF" w:themeFill="background1"/>
            <w:vAlign w:val="center"/>
          </w:tcPr>
          <w:p w:rsidR="00F715B1" w:rsidRPr="00376B2E" w:rsidRDefault="00F715B1" w:rsidP="00361420">
            <w:pPr>
              <w:spacing w:line="240" w:lineRule="exact"/>
              <w:contextualSpacing/>
              <w:rPr>
                <w:color w:val="auto"/>
                <w:sz w:val="18"/>
                <w:szCs w:val="18"/>
              </w:rPr>
            </w:pPr>
            <w:r>
              <w:rPr>
                <w:color w:val="auto"/>
                <w:sz w:val="18"/>
                <w:szCs w:val="18"/>
              </w:rPr>
              <w:t>Adjustment Disorder</w:t>
            </w:r>
            <w:r w:rsidR="00A26B24">
              <w:rPr>
                <w:color w:val="auto"/>
                <w:sz w:val="18"/>
                <w:szCs w:val="18"/>
              </w:rPr>
              <w:t>,</w:t>
            </w:r>
            <w:r>
              <w:rPr>
                <w:color w:val="auto"/>
                <w:sz w:val="18"/>
                <w:szCs w:val="18"/>
              </w:rPr>
              <w:t xml:space="preserve"> with Mixed Anxiety and Depression </w:t>
            </w:r>
          </w:p>
        </w:tc>
        <w:tc>
          <w:tcPr>
            <w:tcW w:w="709" w:type="dxa"/>
            <w:vMerge w:val="restart"/>
            <w:shd w:val="clear" w:color="auto" w:fill="FFFFFF" w:themeFill="background1"/>
            <w:vAlign w:val="center"/>
          </w:tcPr>
          <w:p w:rsidR="00F715B1" w:rsidRPr="00376B2E" w:rsidRDefault="00F715B1" w:rsidP="00361420">
            <w:pPr>
              <w:spacing w:line="240" w:lineRule="exact"/>
              <w:contextualSpacing/>
              <w:jc w:val="center"/>
              <w:rPr>
                <w:color w:val="auto"/>
                <w:sz w:val="18"/>
                <w:szCs w:val="18"/>
              </w:rPr>
            </w:pPr>
            <w:r>
              <w:rPr>
                <w:color w:val="auto"/>
                <w:sz w:val="18"/>
                <w:szCs w:val="18"/>
              </w:rPr>
              <w:t>9440</w:t>
            </w:r>
          </w:p>
        </w:tc>
        <w:tc>
          <w:tcPr>
            <w:tcW w:w="810" w:type="dxa"/>
            <w:vMerge w:val="restart"/>
            <w:tcBorders>
              <w:right w:val="single" w:sz="4" w:space="0" w:color="auto"/>
            </w:tcBorders>
            <w:shd w:val="clear" w:color="auto" w:fill="FFFFFF" w:themeFill="background1"/>
            <w:vAlign w:val="center"/>
          </w:tcPr>
          <w:p w:rsidR="00F715B1" w:rsidRPr="00376B2E" w:rsidRDefault="00F715B1" w:rsidP="00361420">
            <w:pPr>
              <w:spacing w:line="240" w:lineRule="exact"/>
              <w:contextualSpacing/>
              <w:jc w:val="center"/>
              <w:rPr>
                <w:color w:val="auto"/>
                <w:sz w:val="18"/>
                <w:szCs w:val="18"/>
              </w:rPr>
            </w:pPr>
            <w:r>
              <w:rPr>
                <w:color w:val="auto"/>
                <w:sz w:val="18"/>
                <w:szCs w:val="18"/>
              </w:rPr>
              <w:t>10%</w:t>
            </w:r>
          </w:p>
        </w:tc>
        <w:tc>
          <w:tcPr>
            <w:tcW w:w="990" w:type="dxa"/>
            <w:vMerge w:val="restart"/>
            <w:tcBorders>
              <w:left w:val="single" w:sz="4" w:space="0" w:color="auto"/>
            </w:tcBorders>
            <w:shd w:val="clear" w:color="auto" w:fill="FFFFFF" w:themeFill="background1"/>
            <w:vAlign w:val="center"/>
          </w:tcPr>
          <w:p w:rsidR="00F715B1" w:rsidRPr="00376B2E" w:rsidRDefault="009F0F24" w:rsidP="00361420">
            <w:pPr>
              <w:spacing w:line="240" w:lineRule="exact"/>
              <w:contextualSpacing/>
              <w:jc w:val="center"/>
              <w:rPr>
                <w:color w:val="auto"/>
                <w:sz w:val="18"/>
                <w:szCs w:val="18"/>
              </w:rPr>
            </w:pPr>
            <w:r>
              <w:rPr>
                <w:color w:val="auto"/>
                <w:sz w:val="18"/>
                <w:szCs w:val="18"/>
              </w:rPr>
              <w:t>20070628</w:t>
            </w:r>
          </w:p>
        </w:tc>
      </w:tr>
      <w:tr w:rsidR="00F715B1" w:rsidRPr="002A4119" w:rsidTr="00A26B24">
        <w:trPr>
          <w:trHeight w:val="116"/>
          <w:jc w:val="center"/>
        </w:trPr>
        <w:tc>
          <w:tcPr>
            <w:tcW w:w="2196" w:type="dxa"/>
            <w:tcBorders>
              <w:top w:val="single" w:sz="4" w:space="0" w:color="auto"/>
              <w:bottom w:val="single" w:sz="4" w:space="0" w:color="auto"/>
              <w:right w:val="single" w:sz="4" w:space="0" w:color="auto"/>
            </w:tcBorders>
            <w:shd w:val="clear" w:color="auto" w:fill="FFFFFF" w:themeFill="background1"/>
            <w:vAlign w:val="center"/>
          </w:tcPr>
          <w:p w:rsidR="00F715B1" w:rsidRDefault="00F715B1" w:rsidP="00361420">
            <w:pPr>
              <w:spacing w:line="240" w:lineRule="exact"/>
              <w:contextualSpacing/>
              <w:rPr>
                <w:color w:val="auto"/>
                <w:sz w:val="18"/>
                <w:szCs w:val="18"/>
              </w:rPr>
            </w:pPr>
            <w:r>
              <w:rPr>
                <w:color w:val="auto"/>
                <w:sz w:val="18"/>
                <w:szCs w:val="18"/>
              </w:rPr>
              <w:t>PTSD</w:t>
            </w:r>
          </w:p>
        </w:tc>
        <w:tc>
          <w:tcPr>
            <w:tcW w:w="1080" w:type="dxa"/>
            <w:vMerge w:val="restart"/>
            <w:tcBorders>
              <w:top w:val="nil"/>
              <w:left w:val="single" w:sz="4" w:space="0" w:color="auto"/>
              <w:right w:val="single" w:sz="4" w:space="0" w:color="auto"/>
            </w:tcBorders>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806" w:type="dxa"/>
            <w:vMerge w:val="restart"/>
            <w:tcBorders>
              <w:top w:val="nil"/>
              <w:left w:val="single" w:sz="4" w:space="0" w:color="auto"/>
              <w:right w:val="thinThickThinSmallGap" w:sz="24" w:space="0" w:color="auto"/>
            </w:tcBorders>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2535" w:type="dxa"/>
            <w:vMerge/>
            <w:tcBorders>
              <w:left w:val="thinThickThinSmallGap" w:sz="24" w:space="0" w:color="auto"/>
            </w:tcBorders>
            <w:shd w:val="clear" w:color="auto" w:fill="FFFFFF" w:themeFill="background1"/>
            <w:vAlign w:val="center"/>
          </w:tcPr>
          <w:p w:rsidR="00F715B1" w:rsidRDefault="00F715B1" w:rsidP="00361420">
            <w:pPr>
              <w:spacing w:line="240" w:lineRule="exact"/>
              <w:contextualSpacing/>
              <w:rPr>
                <w:color w:val="auto"/>
                <w:sz w:val="18"/>
                <w:szCs w:val="18"/>
              </w:rPr>
            </w:pPr>
          </w:p>
        </w:tc>
        <w:tc>
          <w:tcPr>
            <w:tcW w:w="709" w:type="dxa"/>
            <w:vMerge/>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810" w:type="dxa"/>
            <w:vMerge/>
            <w:tcBorders>
              <w:right w:val="single" w:sz="4" w:space="0" w:color="auto"/>
            </w:tcBorders>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990" w:type="dxa"/>
            <w:vMerge/>
            <w:tcBorders>
              <w:left w:val="single" w:sz="4" w:space="0" w:color="auto"/>
            </w:tcBorders>
            <w:shd w:val="clear" w:color="auto" w:fill="FFFFFF" w:themeFill="background1"/>
            <w:vAlign w:val="center"/>
          </w:tcPr>
          <w:p w:rsidR="00F715B1" w:rsidRPr="00376B2E" w:rsidRDefault="00F715B1" w:rsidP="00361420">
            <w:pPr>
              <w:spacing w:line="240" w:lineRule="exact"/>
              <w:contextualSpacing/>
              <w:jc w:val="center"/>
              <w:rPr>
                <w:color w:val="auto"/>
                <w:sz w:val="18"/>
                <w:szCs w:val="18"/>
              </w:rPr>
            </w:pPr>
          </w:p>
        </w:tc>
      </w:tr>
      <w:tr w:rsidR="00F715B1" w:rsidRPr="002A4119" w:rsidTr="00A26B24">
        <w:trPr>
          <w:trHeight w:val="161"/>
          <w:jc w:val="center"/>
        </w:trPr>
        <w:tc>
          <w:tcPr>
            <w:tcW w:w="2196" w:type="dxa"/>
            <w:tcBorders>
              <w:top w:val="single" w:sz="4" w:space="0" w:color="auto"/>
              <w:bottom w:val="single" w:sz="4" w:space="0" w:color="auto"/>
              <w:right w:val="single" w:sz="4" w:space="0" w:color="auto"/>
            </w:tcBorders>
            <w:shd w:val="clear" w:color="auto" w:fill="FFFFFF" w:themeFill="background1"/>
            <w:vAlign w:val="center"/>
          </w:tcPr>
          <w:p w:rsidR="00F715B1" w:rsidRDefault="00F715B1" w:rsidP="00361420">
            <w:pPr>
              <w:spacing w:line="240" w:lineRule="exact"/>
              <w:contextualSpacing/>
              <w:rPr>
                <w:color w:val="auto"/>
                <w:sz w:val="18"/>
                <w:szCs w:val="18"/>
              </w:rPr>
            </w:pPr>
            <w:r>
              <w:rPr>
                <w:color w:val="auto"/>
                <w:sz w:val="18"/>
                <w:szCs w:val="18"/>
              </w:rPr>
              <w:t>Panic Disorder</w:t>
            </w:r>
          </w:p>
        </w:tc>
        <w:tc>
          <w:tcPr>
            <w:tcW w:w="1080" w:type="dxa"/>
            <w:vMerge/>
            <w:tcBorders>
              <w:top w:val="nil"/>
              <w:left w:val="single" w:sz="4" w:space="0" w:color="auto"/>
              <w:right w:val="single" w:sz="4" w:space="0" w:color="auto"/>
            </w:tcBorders>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806" w:type="dxa"/>
            <w:vMerge/>
            <w:tcBorders>
              <w:top w:val="nil"/>
              <w:left w:val="single" w:sz="4" w:space="0" w:color="auto"/>
              <w:right w:val="thinThickThinSmallGap" w:sz="24" w:space="0" w:color="auto"/>
            </w:tcBorders>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2535" w:type="dxa"/>
            <w:vMerge/>
            <w:tcBorders>
              <w:left w:val="thinThickThinSmallGap" w:sz="24" w:space="0" w:color="auto"/>
            </w:tcBorders>
            <w:shd w:val="clear" w:color="auto" w:fill="FFFFFF" w:themeFill="background1"/>
            <w:vAlign w:val="center"/>
          </w:tcPr>
          <w:p w:rsidR="00F715B1" w:rsidRDefault="00F715B1" w:rsidP="00361420">
            <w:pPr>
              <w:spacing w:line="240" w:lineRule="exact"/>
              <w:contextualSpacing/>
              <w:rPr>
                <w:color w:val="auto"/>
                <w:sz w:val="18"/>
                <w:szCs w:val="18"/>
              </w:rPr>
            </w:pPr>
          </w:p>
        </w:tc>
        <w:tc>
          <w:tcPr>
            <w:tcW w:w="709" w:type="dxa"/>
            <w:vMerge/>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810" w:type="dxa"/>
            <w:vMerge/>
            <w:tcBorders>
              <w:right w:val="single" w:sz="4" w:space="0" w:color="auto"/>
            </w:tcBorders>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990" w:type="dxa"/>
            <w:vMerge/>
            <w:tcBorders>
              <w:left w:val="single" w:sz="4" w:space="0" w:color="auto"/>
            </w:tcBorders>
            <w:shd w:val="clear" w:color="auto" w:fill="FFFFFF" w:themeFill="background1"/>
            <w:vAlign w:val="center"/>
          </w:tcPr>
          <w:p w:rsidR="00F715B1" w:rsidRPr="00376B2E" w:rsidRDefault="00F715B1" w:rsidP="00361420">
            <w:pPr>
              <w:spacing w:line="240" w:lineRule="exact"/>
              <w:contextualSpacing/>
              <w:jc w:val="center"/>
              <w:rPr>
                <w:color w:val="auto"/>
                <w:sz w:val="18"/>
                <w:szCs w:val="18"/>
              </w:rPr>
            </w:pPr>
          </w:p>
        </w:tc>
      </w:tr>
      <w:tr w:rsidR="00F715B1" w:rsidRPr="002A4119" w:rsidTr="00A26B24">
        <w:trPr>
          <w:trHeight w:val="215"/>
          <w:jc w:val="center"/>
        </w:trPr>
        <w:tc>
          <w:tcPr>
            <w:tcW w:w="2196" w:type="dxa"/>
            <w:tcBorders>
              <w:top w:val="single" w:sz="4" w:space="0" w:color="auto"/>
              <w:right w:val="single" w:sz="4" w:space="0" w:color="auto"/>
            </w:tcBorders>
            <w:shd w:val="clear" w:color="auto" w:fill="FFFFFF" w:themeFill="background1"/>
            <w:vAlign w:val="center"/>
          </w:tcPr>
          <w:p w:rsidR="00F715B1" w:rsidRDefault="00F715B1" w:rsidP="00361420">
            <w:pPr>
              <w:spacing w:line="240" w:lineRule="exact"/>
              <w:contextualSpacing/>
              <w:rPr>
                <w:color w:val="auto"/>
                <w:sz w:val="18"/>
                <w:szCs w:val="18"/>
              </w:rPr>
            </w:pPr>
            <w:r>
              <w:rPr>
                <w:color w:val="auto"/>
                <w:sz w:val="18"/>
                <w:szCs w:val="18"/>
              </w:rPr>
              <w:t>Insomnia</w:t>
            </w:r>
          </w:p>
        </w:tc>
        <w:tc>
          <w:tcPr>
            <w:tcW w:w="1080" w:type="dxa"/>
            <w:vMerge/>
            <w:tcBorders>
              <w:top w:val="nil"/>
              <w:left w:val="single" w:sz="4" w:space="0" w:color="auto"/>
              <w:right w:val="single" w:sz="4" w:space="0" w:color="auto"/>
            </w:tcBorders>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806" w:type="dxa"/>
            <w:vMerge/>
            <w:tcBorders>
              <w:top w:val="nil"/>
              <w:left w:val="single" w:sz="4" w:space="0" w:color="auto"/>
              <w:right w:val="thinThickThinSmallGap" w:sz="24" w:space="0" w:color="auto"/>
            </w:tcBorders>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2535" w:type="dxa"/>
            <w:vMerge/>
            <w:tcBorders>
              <w:left w:val="thinThickThinSmallGap" w:sz="24" w:space="0" w:color="auto"/>
            </w:tcBorders>
            <w:shd w:val="clear" w:color="auto" w:fill="FFFFFF" w:themeFill="background1"/>
            <w:vAlign w:val="center"/>
          </w:tcPr>
          <w:p w:rsidR="00F715B1" w:rsidRDefault="00F715B1" w:rsidP="00361420">
            <w:pPr>
              <w:spacing w:line="240" w:lineRule="exact"/>
              <w:contextualSpacing/>
              <w:rPr>
                <w:color w:val="auto"/>
                <w:sz w:val="18"/>
                <w:szCs w:val="18"/>
              </w:rPr>
            </w:pPr>
          </w:p>
        </w:tc>
        <w:tc>
          <w:tcPr>
            <w:tcW w:w="709" w:type="dxa"/>
            <w:vMerge/>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810" w:type="dxa"/>
            <w:vMerge/>
            <w:tcBorders>
              <w:right w:val="single" w:sz="4" w:space="0" w:color="auto"/>
            </w:tcBorders>
            <w:shd w:val="clear" w:color="auto" w:fill="FFFFFF" w:themeFill="background1"/>
            <w:vAlign w:val="center"/>
          </w:tcPr>
          <w:p w:rsidR="00F715B1" w:rsidRDefault="00F715B1" w:rsidP="00361420">
            <w:pPr>
              <w:spacing w:line="240" w:lineRule="exact"/>
              <w:contextualSpacing/>
              <w:jc w:val="center"/>
              <w:rPr>
                <w:color w:val="auto"/>
                <w:sz w:val="18"/>
                <w:szCs w:val="18"/>
              </w:rPr>
            </w:pPr>
          </w:p>
        </w:tc>
        <w:tc>
          <w:tcPr>
            <w:tcW w:w="990" w:type="dxa"/>
            <w:vMerge/>
            <w:tcBorders>
              <w:left w:val="single" w:sz="4" w:space="0" w:color="auto"/>
            </w:tcBorders>
            <w:shd w:val="clear" w:color="auto" w:fill="FFFFFF" w:themeFill="background1"/>
            <w:vAlign w:val="center"/>
          </w:tcPr>
          <w:p w:rsidR="00F715B1" w:rsidRPr="00376B2E" w:rsidRDefault="00F715B1" w:rsidP="00361420">
            <w:pPr>
              <w:spacing w:line="240" w:lineRule="exact"/>
              <w:contextualSpacing/>
              <w:jc w:val="center"/>
              <w:rPr>
                <w:color w:val="auto"/>
                <w:sz w:val="18"/>
                <w:szCs w:val="18"/>
              </w:rPr>
            </w:pPr>
          </w:p>
        </w:tc>
      </w:tr>
      <w:tr w:rsidR="00D030B4" w:rsidRPr="002A4119" w:rsidTr="00A26B24">
        <w:trPr>
          <w:trHeight w:val="287"/>
          <w:jc w:val="center"/>
        </w:trPr>
        <w:tc>
          <w:tcPr>
            <w:tcW w:w="2196" w:type="dxa"/>
            <w:tcBorders>
              <w:right w:val="single" w:sz="4" w:space="0" w:color="auto"/>
            </w:tcBorders>
            <w:shd w:val="clear" w:color="auto" w:fill="FFFFFF" w:themeFill="background1"/>
            <w:vAlign w:val="center"/>
          </w:tcPr>
          <w:p w:rsidR="00D030B4" w:rsidRPr="00376B2E" w:rsidRDefault="00D030B4" w:rsidP="00361420">
            <w:pPr>
              <w:spacing w:line="240" w:lineRule="exact"/>
              <w:contextualSpacing/>
              <w:rPr>
                <w:color w:val="auto"/>
                <w:sz w:val="18"/>
                <w:szCs w:val="18"/>
              </w:rPr>
            </w:pPr>
            <w:r>
              <w:rPr>
                <w:color w:val="auto"/>
                <w:sz w:val="18"/>
                <w:szCs w:val="18"/>
              </w:rPr>
              <w:t>Chronic Left Knee Pain</w:t>
            </w:r>
          </w:p>
        </w:tc>
        <w:tc>
          <w:tcPr>
            <w:tcW w:w="1080" w:type="dxa"/>
            <w:tcBorders>
              <w:left w:val="single" w:sz="4" w:space="0" w:color="auto"/>
            </w:tcBorders>
            <w:shd w:val="clear" w:color="auto" w:fill="FFFFFF" w:themeFill="background1"/>
            <w:vAlign w:val="center"/>
          </w:tcPr>
          <w:p w:rsidR="00D030B4" w:rsidRPr="00376B2E" w:rsidRDefault="00D030B4" w:rsidP="00361420">
            <w:pPr>
              <w:spacing w:line="240" w:lineRule="exact"/>
              <w:contextualSpacing/>
              <w:jc w:val="center"/>
              <w:rPr>
                <w:color w:val="auto"/>
                <w:sz w:val="18"/>
                <w:szCs w:val="18"/>
              </w:rPr>
            </w:pPr>
            <w:r>
              <w:rPr>
                <w:color w:val="auto"/>
                <w:sz w:val="18"/>
                <w:szCs w:val="18"/>
              </w:rPr>
              <w:t>5099-5003</w:t>
            </w:r>
          </w:p>
        </w:tc>
        <w:tc>
          <w:tcPr>
            <w:tcW w:w="806" w:type="dxa"/>
            <w:tcBorders>
              <w:right w:val="thinThickThinSmallGap" w:sz="24" w:space="0" w:color="auto"/>
            </w:tcBorders>
            <w:shd w:val="clear" w:color="auto" w:fill="FFFFFF" w:themeFill="background1"/>
            <w:vAlign w:val="center"/>
          </w:tcPr>
          <w:p w:rsidR="00D030B4" w:rsidRPr="00376B2E" w:rsidRDefault="00D030B4" w:rsidP="00361420">
            <w:pPr>
              <w:spacing w:line="240" w:lineRule="exact"/>
              <w:contextualSpacing/>
              <w:jc w:val="center"/>
              <w:rPr>
                <w:color w:val="auto"/>
                <w:sz w:val="18"/>
                <w:szCs w:val="18"/>
              </w:rPr>
            </w:pPr>
            <w:r>
              <w:rPr>
                <w:color w:val="auto"/>
                <w:sz w:val="18"/>
                <w:szCs w:val="18"/>
              </w:rPr>
              <w:t>0%</w:t>
            </w:r>
          </w:p>
        </w:tc>
        <w:tc>
          <w:tcPr>
            <w:tcW w:w="2535" w:type="dxa"/>
            <w:tcBorders>
              <w:left w:val="thinThickThinSmallGap" w:sz="24" w:space="0" w:color="auto"/>
              <w:right w:val="single" w:sz="4" w:space="0" w:color="auto"/>
            </w:tcBorders>
            <w:shd w:val="clear" w:color="auto" w:fill="FFFFFF" w:themeFill="background1"/>
            <w:vAlign w:val="center"/>
          </w:tcPr>
          <w:p w:rsidR="00D030B4" w:rsidRPr="00376B2E" w:rsidRDefault="00D030B4" w:rsidP="00361420">
            <w:pPr>
              <w:spacing w:line="240" w:lineRule="exact"/>
              <w:contextualSpacing/>
              <w:rPr>
                <w:color w:val="auto"/>
                <w:sz w:val="18"/>
                <w:szCs w:val="18"/>
              </w:rPr>
            </w:pPr>
            <w:r>
              <w:rPr>
                <w:color w:val="auto"/>
                <w:sz w:val="18"/>
                <w:szCs w:val="18"/>
              </w:rPr>
              <w:t>Left Knee ACL Tear</w:t>
            </w:r>
          </w:p>
        </w:tc>
        <w:tc>
          <w:tcPr>
            <w:tcW w:w="709" w:type="dxa"/>
            <w:tcBorders>
              <w:left w:val="single" w:sz="4" w:space="0" w:color="auto"/>
              <w:right w:val="single" w:sz="4" w:space="0" w:color="auto"/>
            </w:tcBorders>
            <w:shd w:val="clear" w:color="auto" w:fill="FFFFFF" w:themeFill="background1"/>
            <w:vAlign w:val="center"/>
          </w:tcPr>
          <w:p w:rsidR="00D030B4" w:rsidRPr="00376B2E" w:rsidRDefault="00D030B4" w:rsidP="00361420">
            <w:pPr>
              <w:spacing w:line="240" w:lineRule="exact"/>
              <w:contextualSpacing/>
              <w:jc w:val="center"/>
              <w:rPr>
                <w:color w:val="auto"/>
                <w:sz w:val="18"/>
                <w:szCs w:val="18"/>
              </w:rPr>
            </w:pPr>
            <w:r>
              <w:rPr>
                <w:color w:val="auto"/>
                <w:sz w:val="18"/>
                <w:szCs w:val="18"/>
              </w:rPr>
              <w:t>5257</w:t>
            </w:r>
          </w:p>
        </w:tc>
        <w:tc>
          <w:tcPr>
            <w:tcW w:w="810" w:type="dxa"/>
            <w:tcBorders>
              <w:left w:val="single" w:sz="4" w:space="0" w:color="auto"/>
              <w:right w:val="single" w:sz="4" w:space="0" w:color="auto"/>
            </w:tcBorders>
            <w:shd w:val="clear" w:color="auto" w:fill="FFFFFF" w:themeFill="background1"/>
            <w:vAlign w:val="center"/>
          </w:tcPr>
          <w:p w:rsidR="00D030B4" w:rsidRPr="00376B2E" w:rsidRDefault="00D030B4" w:rsidP="00361420">
            <w:pPr>
              <w:spacing w:line="240" w:lineRule="exact"/>
              <w:contextualSpacing/>
              <w:jc w:val="center"/>
              <w:rPr>
                <w:color w:val="auto"/>
                <w:sz w:val="18"/>
                <w:szCs w:val="18"/>
              </w:rPr>
            </w:pPr>
            <w:r>
              <w:rPr>
                <w:color w:val="auto"/>
                <w:sz w:val="18"/>
                <w:szCs w:val="18"/>
              </w:rPr>
              <w:t>0%</w:t>
            </w:r>
          </w:p>
        </w:tc>
        <w:tc>
          <w:tcPr>
            <w:tcW w:w="990" w:type="dxa"/>
            <w:tcBorders>
              <w:left w:val="single" w:sz="4" w:space="0" w:color="auto"/>
            </w:tcBorders>
            <w:shd w:val="clear" w:color="auto" w:fill="FFFFFF" w:themeFill="background1"/>
            <w:vAlign w:val="center"/>
          </w:tcPr>
          <w:p w:rsidR="00D030B4" w:rsidRPr="00376B2E" w:rsidRDefault="009F0F24" w:rsidP="00361420">
            <w:pPr>
              <w:spacing w:line="240" w:lineRule="exact"/>
              <w:contextualSpacing/>
              <w:jc w:val="center"/>
              <w:rPr>
                <w:color w:val="auto"/>
                <w:sz w:val="18"/>
                <w:szCs w:val="18"/>
              </w:rPr>
            </w:pPr>
            <w:r>
              <w:rPr>
                <w:color w:val="auto"/>
                <w:sz w:val="18"/>
                <w:szCs w:val="18"/>
              </w:rPr>
              <w:t>20070723</w:t>
            </w:r>
          </w:p>
        </w:tc>
      </w:tr>
      <w:tr w:rsidR="00D030B4" w:rsidRPr="002A4119" w:rsidTr="00A26B24">
        <w:trPr>
          <w:trHeight w:val="287"/>
          <w:jc w:val="center"/>
        </w:trPr>
        <w:tc>
          <w:tcPr>
            <w:tcW w:w="2196" w:type="dxa"/>
            <w:tcBorders>
              <w:bottom w:val="single" w:sz="4" w:space="0" w:color="auto"/>
              <w:right w:val="single" w:sz="4" w:space="0" w:color="auto"/>
            </w:tcBorders>
            <w:shd w:val="clear" w:color="auto" w:fill="FFFFFF" w:themeFill="background1"/>
            <w:vAlign w:val="center"/>
          </w:tcPr>
          <w:p w:rsidR="00D030B4" w:rsidRPr="00376B2E" w:rsidRDefault="00D030B4" w:rsidP="00361420">
            <w:pPr>
              <w:spacing w:line="240" w:lineRule="exact"/>
              <w:contextualSpacing/>
              <w:rPr>
                <w:color w:val="auto"/>
                <w:sz w:val="18"/>
                <w:szCs w:val="18"/>
              </w:rPr>
            </w:pPr>
            <w:r>
              <w:rPr>
                <w:color w:val="auto"/>
                <w:sz w:val="18"/>
                <w:szCs w:val="18"/>
              </w:rPr>
              <w:t>Neck Pain</w:t>
            </w:r>
          </w:p>
        </w:tc>
        <w:tc>
          <w:tcPr>
            <w:tcW w:w="1886" w:type="dxa"/>
            <w:gridSpan w:val="2"/>
            <w:tcBorders>
              <w:left w:val="single" w:sz="4" w:space="0" w:color="auto"/>
              <w:bottom w:val="single" w:sz="4" w:space="0" w:color="auto"/>
              <w:right w:val="thinThickThinSmallGap" w:sz="24" w:space="0" w:color="auto"/>
            </w:tcBorders>
            <w:shd w:val="clear" w:color="auto" w:fill="FFFFFF" w:themeFill="background1"/>
            <w:vAlign w:val="center"/>
          </w:tcPr>
          <w:p w:rsidR="00D030B4" w:rsidRPr="00376B2E" w:rsidRDefault="00D030B4" w:rsidP="00361420">
            <w:pPr>
              <w:spacing w:line="240" w:lineRule="exact"/>
              <w:contextualSpacing/>
              <w:jc w:val="center"/>
              <w:rPr>
                <w:color w:val="auto"/>
                <w:sz w:val="18"/>
                <w:szCs w:val="18"/>
              </w:rPr>
            </w:pPr>
            <w:r>
              <w:rPr>
                <w:color w:val="auto"/>
                <w:sz w:val="18"/>
                <w:szCs w:val="18"/>
              </w:rPr>
              <w:t>Not Unfitting</w:t>
            </w:r>
          </w:p>
        </w:tc>
        <w:tc>
          <w:tcPr>
            <w:tcW w:w="2535" w:type="dxa"/>
            <w:tcBorders>
              <w:left w:val="thinThickThinSmallGap" w:sz="24" w:space="0" w:color="auto"/>
            </w:tcBorders>
            <w:shd w:val="clear" w:color="auto" w:fill="FFFFFF" w:themeFill="background1"/>
            <w:vAlign w:val="center"/>
          </w:tcPr>
          <w:p w:rsidR="00D030B4" w:rsidRPr="00376B2E" w:rsidRDefault="00D030B4" w:rsidP="00361420">
            <w:pPr>
              <w:spacing w:line="240" w:lineRule="exact"/>
              <w:contextualSpacing/>
              <w:rPr>
                <w:color w:val="auto"/>
                <w:sz w:val="18"/>
                <w:szCs w:val="18"/>
              </w:rPr>
            </w:pPr>
            <w:r>
              <w:rPr>
                <w:color w:val="auto"/>
                <w:sz w:val="18"/>
                <w:szCs w:val="18"/>
              </w:rPr>
              <w:t>Cervical Spine Strain</w:t>
            </w:r>
          </w:p>
        </w:tc>
        <w:tc>
          <w:tcPr>
            <w:tcW w:w="709" w:type="dxa"/>
            <w:shd w:val="clear" w:color="auto" w:fill="FFFFFF" w:themeFill="background1"/>
            <w:vAlign w:val="center"/>
          </w:tcPr>
          <w:p w:rsidR="00D030B4" w:rsidRPr="00376B2E" w:rsidRDefault="00D030B4" w:rsidP="00361420">
            <w:pPr>
              <w:spacing w:line="240" w:lineRule="exact"/>
              <w:contextualSpacing/>
              <w:jc w:val="center"/>
              <w:rPr>
                <w:color w:val="auto"/>
                <w:sz w:val="18"/>
                <w:szCs w:val="18"/>
              </w:rPr>
            </w:pPr>
            <w:r>
              <w:rPr>
                <w:color w:val="auto"/>
                <w:sz w:val="18"/>
                <w:szCs w:val="18"/>
              </w:rPr>
              <w:t>5237</w:t>
            </w:r>
          </w:p>
        </w:tc>
        <w:tc>
          <w:tcPr>
            <w:tcW w:w="810" w:type="dxa"/>
            <w:shd w:val="clear" w:color="auto" w:fill="FFFFFF" w:themeFill="background1"/>
            <w:vAlign w:val="center"/>
          </w:tcPr>
          <w:p w:rsidR="00D030B4" w:rsidRPr="00376B2E" w:rsidRDefault="00D030B4" w:rsidP="00361420">
            <w:pPr>
              <w:spacing w:line="240" w:lineRule="exact"/>
              <w:contextualSpacing/>
              <w:jc w:val="center"/>
              <w:rPr>
                <w:color w:val="auto"/>
                <w:sz w:val="18"/>
                <w:szCs w:val="18"/>
              </w:rPr>
            </w:pPr>
            <w:r>
              <w:rPr>
                <w:color w:val="auto"/>
                <w:sz w:val="18"/>
                <w:szCs w:val="18"/>
              </w:rPr>
              <w:t>10%</w:t>
            </w:r>
          </w:p>
        </w:tc>
        <w:tc>
          <w:tcPr>
            <w:tcW w:w="990" w:type="dxa"/>
            <w:shd w:val="clear" w:color="auto" w:fill="FFFFFF" w:themeFill="background1"/>
            <w:vAlign w:val="center"/>
          </w:tcPr>
          <w:p w:rsidR="00D030B4" w:rsidRPr="00376B2E" w:rsidRDefault="009F0F24" w:rsidP="00361420">
            <w:pPr>
              <w:spacing w:line="240" w:lineRule="exact"/>
              <w:contextualSpacing/>
              <w:jc w:val="center"/>
              <w:rPr>
                <w:color w:val="auto"/>
                <w:sz w:val="18"/>
                <w:szCs w:val="18"/>
              </w:rPr>
            </w:pPr>
            <w:r>
              <w:rPr>
                <w:color w:val="auto"/>
                <w:sz w:val="18"/>
                <w:szCs w:val="18"/>
              </w:rPr>
              <w:t>20070723</w:t>
            </w:r>
          </w:p>
        </w:tc>
      </w:tr>
      <w:tr w:rsidR="00D030B4" w:rsidRPr="002A4119" w:rsidTr="00A26B24">
        <w:trPr>
          <w:trHeight w:val="287"/>
          <w:jc w:val="center"/>
        </w:trPr>
        <w:tc>
          <w:tcPr>
            <w:tcW w:w="2196" w:type="dxa"/>
            <w:tcBorders>
              <w:bottom w:val="single" w:sz="4" w:space="0" w:color="auto"/>
              <w:right w:val="single" w:sz="4" w:space="0" w:color="auto"/>
            </w:tcBorders>
            <w:shd w:val="clear" w:color="auto" w:fill="FFFFFF" w:themeFill="background1"/>
            <w:vAlign w:val="center"/>
          </w:tcPr>
          <w:p w:rsidR="00D030B4" w:rsidRDefault="00D030B4" w:rsidP="00361420">
            <w:pPr>
              <w:spacing w:line="240" w:lineRule="exact"/>
              <w:contextualSpacing/>
              <w:rPr>
                <w:color w:val="auto"/>
                <w:sz w:val="18"/>
                <w:szCs w:val="18"/>
              </w:rPr>
            </w:pPr>
            <w:r>
              <w:rPr>
                <w:color w:val="auto"/>
                <w:sz w:val="18"/>
                <w:szCs w:val="18"/>
              </w:rPr>
              <w:t>Headaches</w:t>
            </w:r>
          </w:p>
        </w:tc>
        <w:tc>
          <w:tcPr>
            <w:tcW w:w="1886" w:type="dxa"/>
            <w:gridSpan w:val="2"/>
            <w:tcBorders>
              <w:left w:val="single" w:sz="4" w:space="0" w:color="auto"/>
              <w:bottom w:val="single" w:sz="4" w:space="0" w:color="auto"/>
              <w:right w:val="thinThickThinSmallGap" w:sz="24" w:space="0" w:color="auto"/>
            </w:tcBorders>
            <w:shd w:val="clear" w:color="auto" w:fill="FFFFFF" w:themeFill="background1"/>
            <w:vAlign w:val="center"/>
          </w:tcPr>
          <w:p w:rsidR="00D030B4" w:rsidRPr="00376B2E" w:rsidRDefault="00D030B4" w:rsidP="00361420">
            <w:pPr>
              <w:spacing w:line="240" w:lineRule="exact"/>
              <w:contextualSpacing/>
              <w:jc w:val="center"/>
              <w:rPr>
                <w:color w:val="auto"/>
                <w:sz w:val="18"/>
                <w:szCs w:val="18"/>
              </w:rPr>
            </w:pPr>
            <w:r>
              <w:rPr>
                <w:color w:val="auto"/>
                <w:sz w:val="18"/>
                <w:szCs w:val="18"/>
              </w:rPr>
              <w:t>Not Unfitting</w:t>
            </w:r>
          </w:p>
        </w:tc>
        <w:tc>
          <w:tcPr>
            <w:tcW w:w="5044" w:type="dxa"/>
            <w:gridSpan w:val="4"/>
            <w:tcBorders>
              <w:left w:val="thinThickThinSmallGap" w:sz="24" w:space="0" w:color="auto"/>
            </w:tcBorders>
            <w:shd w:val="clear" w:color="auto" w:fill="FFFFFF" w:themeFill="background1"/>
            <w:vAlign w:val="center"/>
          </w:tcPr>
          <w:p w:rsidR="00D030B4" w:rsidRPr="00376B2E" w:rsidRDefault="00645DC2" w:rsidP="00861B5B">
            <w:pPr>
              <w:spacing w:line="240" w:lineRule="exact"/>
              <w:contextualSpacing/>
              <w:jc w:val="center"/>
              <w:rPr>
                <w:color w:val="auto"/>
                <w:sz w:val="18"/>
                <w:szCs w:val="18"/>
              </w:rPr>
            </w:pPr>
            <w:r>
              <w:rPr>
                <w:color w:val="auto"/>
                <w:sz w:val="18"/>
                <w:szCs w:val="18"/>
              </w:rPr>
              <w:t xml:space="preserve">No </w:t>
            </w:r>
            <w:r w:rsidR="00861B5B">
              <w:rPr>
                <w:color w:val="auto"/>
                <w:sz w:val="18"/>
                <w:szCs w:val="18"/>
              </w:rPr>
              <w:t xml:space="preserve">Separate </w:t>
            </w:r>
            <w:r>
              <w:rPr>
                <w:color w:val="auto"/>
                <w:sz w:val="18"/>
                <w:szCs w:val="18"/>
              </w:rPr>
              <w:t>VA Entry</w:t>
            </w:r>
            <w:r w:rsidR="00861B5B">
              <w:rPr>
                <w:color w:val="auto"/>
                <w:sz w:val="18"/>
                <w:szCs w:val="18"/>
              </w:rPr>
              <w:t xml:space="preserve"> for Headaches</w:t>
            </w:r>
            <w:r>
              <w:rPr>
                <w:color w:val="auto"/>
                <w:sz w:val="18"/>
                <w:szCs w:val="18"/>
              </w:rPr>
              <w:t xml:space="preserve"> (Assoc</w:t>
            </w:r>
            <w:r w:rsidR="00861B5B">
              <w:rPr>
                <w:color w:val="auto"/>
                <w:sz w:val="18"/>
                <w:szCs w:val="18"/>
              </w:rPr>
              <w:t>.</w:t>
            </w:r>
            <w:r>
              <w:rPr>
                <w:color w:val="auto"/>
                <w:sz w:val="18"/>
                <w:szCs w:val="18"/>
              </w:rPr>
              <w:t xml:space="preserve"> with Cervical Strain)</w:t>
            </w:r>
          </w:p>
        </w:tc>
      </w:tr>
      <w:tr w:rsidR="00856FB9" w:rsidRPr="002A4119" w:rsidTr="00A26B24">
        <w:trPr>
          <w:trHeight w:val="260"/>
          <w:jc w:val="center"/>
        </w:trPr>
        <w:tc>
          <w:tcPr>
            <w:tcW w:w="4082" w:type="dxa"/>
            <w:gridSpan w:val="3"/>
            <w:tcBorders>
              <w:top w:val="single" w:sz="4" w:space="0" w:color="auto"/>
              <w:right w:val="thinThickThinSmallGap" w:sz="24" w:space="0" w:color="auto"/>
            </w:tcBorders>
            <w:shd w:val="clear" w:color="auto" w:fill="FFFFFF" w:themeFill="background1"/>
          </w:tcPr>
          <w:p w:rsidR="00856FB9" w:rsidRPr="0086102A" w:rsidRDefault="00D030B4" w:rsidP="00361420">
            <w:pPr>
              <w:spacing w:line="240" w:lineRule="exact"/>
              <w:contextualSpacing/>
              <w:jc w:val="center"/>
              <w:rPr>
                <w:color w:val="auto"/>
                <w:sz w:val="18"/>
                <w:szCs w:val="18"/>
              </w:rPr>
            </w:pPr>
            <w:r w:rsidRPr="0086102A">
              <w:rPr>
                <w:color w:val="auto"/>
                <w:sz w:val="18"/>
                <w:szCs w:val="18"/>
              </w:rPr>
              <w:t>↓No Additional MEB</w:t>
            </w:r>
            <w:r>
              <w:rPr>
                <w:color w:val="auto"/>
                <w:sz w:val="18"/>
                <w:szCs w:val="18"/>
              </w:rPr>
              <w:t>/PEB</w:t>
            </w:r>
            <w:r w:rsidRPr="0086102A">
              <w:rPr>
                <w:color w:val="auto"/>
                <w:sz w:val="18"/>
                <w:szCs w:val="18"/>
              </w:rPr>
              <w:t xml:space="preserve"> Entries↓</w:t>
            </w:r>
          </w:p>
        </w:tc>
        <w:tc>
          <w:tcPr>
            <w:tcW w:w="4054" w:type="dxa"/>
            <w:gridSpan w:val="3"/>
            <w:tcBorders>
              <w:left w:val="thinThickThinSmallGap" w:sz="24" w:space="0" w:color="auto"/>
            </w:tcBorders>
            <w:shd w:val="clear" w:color="auto" w:fill="FFFFFF" w:themeFill="background1"/>
            <w:vAlign w:val="center"/>
          </w:tcPr>
          <w:p w:rsidR="00856FB9" w:rsidRPr="0086102A" w:rsidRDefault="00856FB9" w:rsidP="00361420">
            <w:pPr>
              <w:spacing w:line="240" w:lineRule="exact"/>
              <w:contextualSpacing/>
              <w:jc w:val="center"/>
              <w:rPr>
                <w:color w:val="auto"/>
                <w:sz w:val="18"/>
                <w:szCs w:val="18"/>
              </w:rPr>
            </w:pPr>
            <w:r w:rsidRPr="0086102A">
              <w:rPr>
                <w:rFonts w:cs="Times New Roman"/>
                <w:color w:val="auto"/>
                <w:sz w:val="18"/>
                <w:szCs w:val="18"/>
              </w:rPr>
              <w:t xml:space="preserve">0%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 xml:space="preserve">3 </w:t>
            </w:r>
            <w:r w:rsidRPr="0086102A">
              <w:rPr>
                <w:rFonts w:cs="Times New Roman"/>
                <w:color w:val="auto"/>
                <w:sz w:val="18"/>
                <w:szCs w:val="18"/>
              </w:rPr>
              <w:t>/</w:t>
            </w:r>
            <w:r>
              <w:rPr>
                <w:rFonts w:cs="Times New Roman"/>
                <w:color w:val="auto"/>
                <w:sz w:val="18"/>
                <w:szCs w:val="18"/>
              </w:rPr>
              <w:t xml:space="preserve"> </w:t>
            </w:r>
            <w:r w:rsidRPr="0086102A">
              <w:rPr>
                <w:rFonts w:cs="Times New Roman"/>
                <w:color w:val="auto"/>
                <w:sz w:val="18"/>
                <w:szCs w:val="18"/>
              </w:rPr>
              <w:t xml:space="preserve">Not Service Connected </w:t>
            </w:r>
            <w:r>
              <w:rPr>
                <w:rFonts w:cs="Times New Roman"/>
                <w:color w:val="auto"/>
                <w:sz w:val="18"/>
                <w:szCs w:val="18"/>
              </w:rPr>
              <w:t>x</w:t>
            </w:r>
            <w:r w:rsidRPr="0086102A">
              <w:rPr>
                <w:rFonts w:cs="Times New Roman"/>
                <w:color w:val="auto"/>
                <w:sz w:val="18"/>
                <w:szCs w:val="18"/>
              </w:rPr>
              <w:t xml:space="preserve"> </w:t>
            </w:r>
            <w:r>
              <w:rPr>
                <w:rFonts w:cs="Times New Roman"/>
                <w:color w:val="auto"/>
                <w:sz w:val="18"/>
                <w:szCs w:val="18"/>
              </w:rPr>
              <w:t>0</w:t>
            </w:r>
          </w:p>
        </w:tc>
        <w:tc>
          <w:tcPr>
            <w:tcW w:w="990" w:type="dxa"/>
            <w:shd w:val="clear" w:color="auto" w:fill="FFFFFF" w:themeFill="background1"/>
            <w:vAlign w:val="center"/>
          </w:tcPr>
          <w:p w:rsidR="00856FB9" w:rsidRPr="0086102A" w:rsidRDefault="00856FB9" w:rsidP="00361420">
            <w:pPr>
              <w:spacing w:line="240" w:lineRule="exact"/>
              <w:contextualSpacing/>
              <w:jc w:val="center"/>
              <w:rPr>
                <w:color w:val="auto"/>
                <w:sz w:val="18"/>
                <w:szCs w:val="18"/>
                <w:highlight w:val="yellow"/>
              </w:rPr>
            </w:pPr>
          </w:p>
        </w:tc>
      </w:tr>
      <w:tr w:rsidR="007A65A9" w:rsidRPr="002A4119" w:rsidTr="00A26B24">
        <w:trPr>
          <w:trHeight w:val="242"/>
          <w:jc w:val="center"/>
        </w:trPr>
        <w:tc>
          <w:tcPr>
            <w:tcW w:w="4082" w:type="dxa"/>
            <w:gridSpan w:val="3"/>
            <w:tcBorders>
              <w:right w:val="thinThickThinSmallGap" w:sz="24" w:space="0" w:color="auto"/>
            </w:tcBorders>
            <w:shd w:val="clear" w:color="auto" w:fill="D9D9D9" w:themeFill="background1" w:themeFillShade="D9"/>
            <w:vAlign w:val="center"/>
          </w:tcPr>
          <w:p w:rsidR="007A65A9" w:rsidRPr="00B06930" w:rsidRDefault="007A65A9" w:rsidP="00361420">
            <w:pPr>
              <w:spacing w:line="240" w:lineRule="exact"/>
              <w:contextualSpacing/>
              <w:jc w:val="center"/>
              <w:rPr>
                <w:b/>
                <w:color w:val="auto"/>
                <w:sz w:val="20"/>
                <w:szCs w:val="20"/>
              </w:rPr>
            </w:pPr>
            <w:r w:rsidRPr="00B06930">
              <w:rPr>
                <w:b/>
                <w:color w:val="auto"/>
                <w:sz w:val="20"/>
                <w:szCs w:val="20"/>
              </w:rPr>
              <w:t xml:space="preserve">Combined: </w:t>
            </w:r>
            <w:r w:rsidR="006458FD">
              <w:rPr>
                <w:b/>
                <w:color w:val="auto"/>
                <w:sz w:val="20"/>
                <w:szCs w:val="20"/>
              </w:rPr>
              <w:t xml:space="preserve"> </w:t>
            </w:r>
            <w:r w:rsidR="00856FB9">
              <w:rPr>
                <w:b/>
                <w:color w:val="auto"/>
                <w:sz w:val="20"/>
                <w:szCs w:val="20"/>
              </w:rPr>
              <w:t>1</w:t>
            </w:r>
            <w:r w:rsidR="00664296">
              <w:rPr>
                <w:b/>
                <w:color w:val="auto"/>
                <w:sz w:val="20"/>
                <w:szCs w:val="20"/>
              </w:rPr>
              <w:t>0</w:t>
            </w:r>
            <w:r w:rsidRPr="00B06930">
              <w:rPr>
                <w:b/>
                <w:color w:val="auto"/>
                <w:sz w:val="20"/>
                <w:szCs w:val="20"/>
              </w:rPr>
              <w:t>%</w:t>
            </w:r>
          </w:p>
        </w:tc>
        <w:tc>
          <w:tcPr>
            <w:tcW w:w="5044" w:type="dxa"/>
            <w:gridSpan w:val="4"/>
            <w:tcBorders>
              <w:left w:val="thinThickThinSmallGap" w:sz="24" w:space="0" w:color="auto"/>
            </w:tcBorders>
            <w:shd w:val="clear" w:color="auto" w:fill="D9D9D9" w:themeFill="background1" w:themeFillShade="D9"/>
            <w:vAlign w:val="center"/>
          </w:tcPr>
          <w:p w:rsidR="007A65A9" w:rsidRPr="00B06930" w:rsidRDefault="007A65A9" w:rsidP="00361420">
            <w:pPr>
              <w:spacing w:line="240" w:lineRule="exact"/>
              <w:contextualSpacing/>
              <w:jc w:val="center"/>
              <w:rPr>
                <w:b/>
                <w:color w:val="auto"/>
                <w:sz w:val="20"/>
                <w:szCs w:val="20"/>
              </w:rPr>
            </w:pPr>
            <w:r w:rsidRPr="00B06930">
              <w:rPr>
                <w:b/>
                <w:color w:val="auto"/>
                <w:sz w:val="20"/>
                <w:szCs w:val="20"/>
              </w:rPr>
              <w:t xml:space="preserve">Combined:  </w:t>
            </w:r>
            <w:r w:rsidR="00856FB9">
              <w:rPr>
                <w:b/>
                <w:color w:val="auto"/>
                <w:sz w:val="20"/>
                <w:szCs w:val="20"/>
              </w:rPr>
              <w:t>2</w:t>
            </w:r>
            <w:r w:rsidR="006F0F9C">
              <w:rPr>
                <w:b/>
                <w:color w:val="auto"/>
                <w:sz w:val="20"/>
                <w:szCs w:val="20"/>
              </w:rPr>
              <w:t>0</w:t>
            </w:r>
            <w:r w:rsidRPr="00B06930">
              <w:rPr>
                <w:b/>
                <w:color w:val="auto"/>
                <w:sz w:val="20"/>
                <w:szCs w:val="20"/>
              </w:rPr>
              <w:t>%</w:t>
            </w:r>
          </w:p>
        </w:tc>
      </w:tr>
    </w:tbl>
    <w:p w:rsidR="00437D18" w:rsidRDefault="00437D18" w:rsidP="00361420">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861B5B" w:rsidRPr="00EC6AFA" w:rsidRDefault="00861B5B" w:rsidP="00361420">
      <w:pPr>
        <w:pBdr>
          <w:bottom w:val="single" w:sz="12" w:space="1" w:color="auto"/>
        </w:pBdr>
        <w:tabs>
          <w:tab w:val="left" w:pos="288"/>
          <w:tab w:val="left" w:pos="4752"/>
        </w:tabs>
        <w:spacing w:line="240" w:lineRule="exact"/>
        <w:jc w:val="both"/>
        <w:rPr>
          <w:rFonts w:asciiTheme="minorHAnsi" w:hAnsiTheme="minorHAnsi"/>
          <w:color w:val="auto"/>
          <w:sz w:val="18"/>
          <w:szCs w:val="18"/>
        </w:rPr>
      </w:pPr>
    </w:p>
    <w:p w:rsidR="00EC6AFA" w:rsidRDefault="00EC6AFA" w:rsidP="00361420">
      <w:pPr>
        <w:spacing w:line="240" w:lineRule="exact"/>
        <w:rPr>
          <w:rFonts w:asciiTheme="minorHAnsi" w:hAnsiTheme="minorHAnsi"/>
          <w:color w:val="auto"/>
          <w:szCs w:val="24"/>
          <w:u w:val="single"/>
        </w:rPr>
      </w:pPr>
    </w:p>
    <w:p w:rsidR="009F0F24" w:rsidRPr="00EC6AFA" w:rsidRDefault="002C6E5B" w:rsidP="00361420">
      <w:pPr>
        <w:spacing w:line="240" w:lineRule="exact"/>
        <w:rPr>
          <w:rFonts w:asciiTheme="minorHAnsi" w:hAnsiTheme="minorHAnsi"/>
          <w:b/>
          <w:color w:val="FF0000"/>
          <w:szCs w:val="24"/>
        </w:rPr>
      </w:pPr>
      <w:r w:rsidRPr="00396779">
        <w:rPr>
          <w:rFonts w:asciiTheme="minorHAnsi" w:hAnsiTheme="minorHAnsi"/>
          <w:color w:val="auto"/>
          <w:szCs w:val="24"/>
          <w:u w:val="single"/>
        </w:rPr>
        <w:t>ANALYSIS SUMMARY</w:t>
      </w:r>
      <w:r w:rsidR="00EC6AFA">
        <w:rPr>
          <w:rFonts w:asciiTheme="minorHAnsi" w:hAnsiTheme="minorHAnsi"/>
          <w:color w:val="auto"/>
          <w:szCs w:val="24"/>
        </w:rPr>
        <w:t>:</w:t>
      </w:r>
    </w:p>
    <w:p w:rsidR="008C5EB5" w:rsidRDefault="008C5EB5" w:rsidP="00361420">
      <w:pPr>
        <w:spacing w:line="240" w:lineRule="exact"/>
        <w:rPr>
          <w:rFonts w:asciiTheme="minorHAnsi" w:hAnsiTheme="minorHAnsi"/>
          <w:color w:val="auto"/>
          <w:szCs w:val="24"/>
        </w:rPr>
      </w:pPr>
    </w:p>
    <w:p w:rsidR="00664296" w:rsidRDefault="009F0F24" w:rsidP="00361420">
      <w:pPr>
        <w:tabs>
          <w:tab w:val="left" w:pos="288"/>
          <w:tab w:val="left" w:pos="4752"/>
        </w:tabs>
        <w:spacing w:line="240" w:lineRule="exact"/>
        <w:jc w:val="both"/>
        <w:rPr>
          <w:rFonts w:asciiTheme="minorHAnsi" w:hAnsiTheme="minorHAnsi"/>
          <w:color w:val="auto"/>
          <w:szCs w:val="24"/>
        </w:rPr>
      </w:pPr>
      <w:r>
        <w:rPr>
          <w:rFonts w:asciiTheme="minorHAnsi" w:hAnsiTheme="minorHAnsi"/>
          <w:color w:val="auto"/>
          <w:szCs w:val="24"/>
          <w:u w:val="single"/>
        </w:rPr>
        <w:t>M</w:t>
      </w:r>
      <w:r w:rsidR="00EF4C79">
        <w:rPr>
          <w:rFonts w:asciiTheme="minorHAnsi" w:hAnsiTheme="minorHAnsi"/>
          <w:color w:val="auto"/>
          <w:szCs w:val="24"/>
          <w:u w:val="single"/>
        </w:rPr>
        <w:t>ental</w:t>
      </w:r>
      <w:r>
        <w:rPr>
          <w:rFonts w:asciiTheme="minorHAnsi" w:hAnsiTheme="minorHAnsi"/>
          <w:color w:val="auto"/>
          <w:szCs w:val="24"/>
          <w:u w:val="single"/>
        </w:rPr>
        <w:t xml:space="preserve"> </w:t>
      </w:r>
      <w:r w:rsidR="00664296" w:rsidRPr="00664296">
        <w:rPr>
          <w:rFonts w:asciiTheme="minorHAnsi" w:hAnsiTheme="minorHAnsi"/>
          <w:color w:val="auto"/>
          <w:szCs w:val="24"/>
          <w:u w:val="single"/>
        </w:rPr>
        <w:t>Condition</w:t>
      </w:r>
      <w:r w:rsidR="00664296" w:rsidRPr="00664296">
        <w:rPr>
          <w:rFonts w:asciiTheme="minorHAnsi" w:hAnsiTheme="minorHAnsi"/>
          <w:color w:val="auto"/>
          <w:szCs w:val="24"/>
        </w:rPr>
        <w:t xml:space="preserve">.  </w:t>
      </w:r>
      <w:r w:rsidR="007265E2">
        <w:rPr>
          <w:rFonts w:asciiTheme="minorHAnsi" w:hAnsiTheme="minorHAnsi"/>
          <w:color w:val="auto"/>
          <w:szCs w:val="24"/>
        </w:rPr>
        <w:t xml:space="preserve">The CI was deployed to </w:t>
      </w:r>
      <w:r w:rsidR="006C6814">
        <w:rPr>
          <w:rFonts w:asciiTheme="minorHAnsi" w:hAnsiTheme="minorHAnsi"/>
          <w:color w:val="auto"/>
          <w:szCs w:val="24"/>
        </w:rPr>
        <w:t>Kuwait</w:t>
      </w:r>
      <w:r w:rsidR="00CF289E">
        <w:rPr>
          <w:rFonts w:asciiTheme="minorHAnsi" w:hAnsiTheme="minorHAnsi"/>
          <w:color w:val="auto"/>
          <w:szCs w:val="24"/>
        </w:rPr>
        <w:t xml:space="preserve"> in 2005.  He was</w:t>
      </w:r>
      <w:r w:rsidR="006C6814">
        <w:rPr>
          <w:rFonts w:asciiTheme="minorHAnsi" w:hAnsiTheme="minorHAnsi"/>
          <w:color w:val="auto"/>
          <w:szCs w:val="24"/>
        </w:rPr>
        <w:t xml:space="preserve"> shot at while on patrol</w:t>
      </w:r>
      <w:r w:rsidR="00CF289E">
        <w:rPr>
          <w:rFonts w:asciiTheme="minorHAnsi" w:hAnsiTheme="minorHAnsi"/>
          <w:color w:val="auto"/>
          <w:szCs w:val="24"/>
        </w:rPr>
        <w:t>,</w:t>
      </w:r>
      <w:r w:rsidR="006C6814">
        <w:rPr>
          <w:rFonts w:asciiTheme="minorHAnsi" w:hAnsiTheme="minorHAnsi"/>
          <w:color w:val="auto"/>
          <w:szCs w:val="24"/>
        </w:rPr>
        <w:t xml:space="preserve"> and</w:t>
      </w:r>
      <w:r w:rsidR="00CF289E">
        <w:rPr>
          <w:rFonts w:asciiTheme="minorHAnsi" w:hAnsiTheme="minorHAnsi"/>
          <w:color w:val="auto"/>
          <w:szCs w:val="24"/>
        </w:rPr>
        <w:t xml:space="preserve"> he</w:t>
      </w:r>
      <w:r w:rsidR="006C6814">
        <w:rPr>
          <w:rFonts w:asciiTheme="minorHAnsi" w:hAnsiTheme="minorHAnsi"/>
          <w:color w:val="auto"/>
          <w:szCs w:val="24"/>
        </w:rPr>
        <w:t xml:space="preserve"> witnessed </w:t>
      </w:r>
      <w:r w:rsidR="00CF289E">
        <w:rPr>
          <w:rFonts w:asciiTheme="minorHAnsi" w:hAnsiTheme="minorHAnsi"/>
          <w:color w:val="auto"/>
          <w:szCs w:val="24"/>
        </w:rPr>
        <w:t>the</w:t>
      </w:r>
      <w:r w:rsidR="006C6814">
        <w:rPr>
          <w:rFonts w:asciiTheme="minorHAnsi" w:hAnsiTheme="minorHAnsi"/>
          <w:color w:val="auto"/>
          <w:szCs w:val="24"/>
        </w:rPr>
        <w:t xml:space="preserve"> de</w:t>
      </w:r>
      <w:r w:rsidR="00EE1E00">
        <w:rPr>
          <w:rFonts w:asciiTheme="minorHAnsi" w:hAnsiTheme="minorHAnsi"/>
          <w:color w:val="auto"/>
          <w:szCs w:val="24"/>
        </w:rPr>
        <w:t>capitation of a civilian</w:t>
      </w:r>
      <w:r w:rsidR="003D656A">
        <w:rPr>
          <w:rFonts w:asciiTheme="minorHAnsi" w:hAnsiTheme="minorHAnsi"/>
          <w:color w:val="auto"/>
          <w:szCs w:val="24"/>
        </w:rPr>
        <w:t>.  Upon</w:t>
      </w:r>
      <w:r w:rsidR="006C6814">
        <w:rPr>
          <w:rFonts w:asciiTheme="minorHAnsi" w:hAnsiTheme="minorHAnsi"/>
          <w:color w:val="auto"/>
          <w:szCs w:val="24"/>
        </w:rPr>
        <w:t xml:space="preserve"> re</w:t>
      </w:r>
      <w:r w:rsidR="00CF289E">
        <w:rPr>
          <w:rFonts w:asciiTheme="minorHAnsi" w:hAnsiTheme="minorHAnsi"/>
          <w:color w:val="auto"/>
          <w:szCs w:val="24"/>
        </w:rPr>
        <w:t xml:space="preserve">turn to the US, he discovered that his wife was seeing </w:t>
      </w:r>
      <w:r w:rsidR="006C6814">
        <w:rPr>
          <w:rFonts w:asciiTheme="minorHAnsi" w:hAnsiTheme="minorHAnsi"/>
          <w:color w:val="auto"/>
          <w:szCs w:val="24"/>
        </w:rPr>
        <w:t>another man</w:t>
      </w:r>
      <w:r w:rsidR="00CF289E">
        <w:rPr>
          <w:rFonts w:asciiTheme="minorHAnsi" w:hAnsiTheme="minorHAnsi"/>
          <w:color w:val="auto"/>
          <w:szCs w:val="24"/>
        </w:rPr>
        <w:t>,</w:t>
      </w:r>
      <w:r w:rsidR="006C6814">
        <w:rPr>
          <w:rFonts w:asciiTheme="minorHAnsi" w:hAnsiTheme="minorHAnsi"/>
          <w:color w:val="auto"/>
          <w:szCs w:val="24"/>
        </w:rPr>
        <w:t xml:space="preserve"> and </w:t>
      </w:r>
      <w:r w:rsidR="00CF289E">
        <w:rPr>
          <w:rFonts w:asciiTheme="minorHAnsi" w:hAnsiTheme="minorHAnsi"/>
          <w:color w:val="auto"/>
          <w:szCs w:val="24"/>
        </w:rPr>
        <w:t>t</w:t>
      </w:r>
      <w:r w:rsidR="006C6814">
        <w:rPr>
          <w:rFonts w:asciiTheme="minorHAnsi" w:hAnsiTheme="minorHAnsi"/>
          <w:color w:val="auto"/>
          <w:szCs w:val="24"/>
        </w:rPr>
        <w:t xml:space="preserve">he </w:t>
      </w:r>
      <w:r w:rsidR="00CF289E">
        <w:rPr>
          <w:rFonts w:asciiTheme="minorHAnsi" w:hAnsiTheme="minorHAnsi"/>
          <w:color w:val="auto"/>
          <w:szCs w:val="24"/>
        </w:rPr>
        <w:t xml:space="preserve">CI </w:t>
      </w:r>
      <w:r w:rsidR="00397D0F">
        <w:rPr>
          <w:rFonts w:asciiTheme="minorHAnsi" w:hAnsiTheme="minorHAnsi"/>
          <w:color w:val="auto"/>
          <w:szCs w:val="24"/>
        </w:rPr>
        <w:t>fought</w:t>
      </w:r>
      <w:r w:rsidR="006C6814">
        <w:rPr>
          <w:rFonts w:asciiTheme="minorHAnsi" w:hAnsiTheme="minorHAnsi"/>
          <w:color w:val="auto"/>
          <w:szCs w:val="24"/>
        </w:rPr>
        <w:t xml:space="preserve"> for visitation rights to see his children.</w:t>
      </w:r>
      <w:r w:rsidR="00CF289E">
        <w:rPr>
          <w:rFonts w:asciiTheme="minorHAnsi" w:hAnsiTheme="minorHAnsi"/>
          <w:color w:val="auto"/>
          <w:szCs w:val="24"/>
        </w:rPr>
        <w:t xml:space="preserve">  He then went </w:t>
      </w:r>
      <w:r w:rsidR="00274F1E">
        <w:rPr>
          <w:rFonts w:asciiTheme="minorHAnsi" w:hAnsiTheme="minorHAnsi"/>
          <w:color w:val="auto"/>
          <w:szCs w:val="24"/>
        </w:rPr>
        <w:t xml:space="preserve">through a </w:t>
      </w:r>
      <w:r w:rsidR="00CF289E">
        <w:rPr>
          <w:rFonts w:asciiTheme="minorHAnsi" w:hAnsiTheme="minorHAnsi"/>
          <w:color w:val="auto"/>
          <w:szCs w:val="24"/>
        </w:rPr>
        <w:t xml:space="preserve">very </w:t>
      </w:r>
      <w:r w:rsidR="00274F1E">
        <w:rPr>
          <w:rFonts w:asciiTheme="minorHAnsi" w:hAnsiTheme="minorHAnsi"/>
          <w:color w:val="auto"/>
          <w:szCs w:val="24"/>
        </w:rPr>
        <w:t>difficult divorce</w:t>
      </w:r>
      <w:r w:rsidR="00CF289E">
        <w:rPr>
          <w:rFonts w:asciiTheme="minorHAnsi" w:hAnsiTheme="minorHAnsi"/>
          <w:color w:val="auto"/>
          <w:szCs w:val="24"/>
        </w:rPr>
        <w:t xml:space="preserve">.  The CI </w:t>
      </w:r>
      <w:r w:rsidR="00C7704D">
        <w:rPr>
          <w:rFonts w:asciiTheme="minorHAnsi" w:hAnsiTheme="minorHAnsi"/>
          <w:color w:val="auto"/>
          <w:szCs w:val="24"/>
        </w:rPr>
        <w:t xml:space="preserve">began </w:t>
      </w:r>
      <w:r w:rsidR="00016AE3">
        <w:rPr>
          <w:rFonts w:asciiTheme="minorHAnsi" w:hAnsiTheme="minorHAnsi"/>
          <w:color w:val="auto"/>
          <w:szCs w:val="24"/>
        </w:rPr>
        <w:t>to have</w:t>
      </w:r>
      <w:r w:rsidR="00CF289E">
        <w:rPr>
          <w:rFonts w:asciiTheme="minorHAnsi" w:hAnsiTheme="minorHAnsi"/>
          <w:color w:val="auto"/>
          <w:szCs w:val="24"/>
        </w:rPr>
        <w:t xml:space="preserve"> </w:t>
      </w:r>
      <w:r w:rsidR="00397D0F">
        <w:rPr>
          <w:rFonts w:asciiTheme="minorHAnsi" w:hAnsiTheme="minorHAnsi"/>
          <w:color w:val="auto"/>
          <w:szCs w:val="24"/>
        </w:rPr>
        <w:t xml:space="preserve">flashbacks, nightmares, insomnia, anger, </w:t>
      </w:r>
      <w:r w:rsidR="006C6814">
        <w:rPr>
          <w:rFonts w:asciiTheme="minorHAnsi" w:hAnsiTheme="minorHAnsi"/>
          <w:color w:val="auto"/>
          <w:szCs w:val="24"/>
        </w:rPr>
        <w:t>hypervigilance,</w:t>
      </w:r>
      <w:r w:rsidR="00CF289E" w:rsidRPr="00CF289E">
        <w:rPr>
          <w:rFonts w:asciiTheme="minorHAnsi" w:hAnsiTheme="minorHAnsi"/>
          <w:color w:val="auto"/>
          <w:szCs w:val="24"/>
        </w:rPr>
        <w:t xml:space="preserve"> </w:t>
      </w:r>
      <w:r w:rsidR="00CF289E">
        <w:rPr>
          <w:rFonts w:asciiTheme="minorHAnsi" w:hAnsiTheme="minorHAnsi"/>
          <w:color w:val="auto"/>
          <w:szCs w:val="24"/>
        </w:rPr>
        <w:t>crowd avoidance,</w:t>
      </w:r>
      <w:r w:rsidR="00397D0F">
        <w:rPr>
          <w:rFonts w:asciiTheme="minorHAnsi" w:hAnsiTheme="minorHAnsi"/>
          <w:color w:val="auto"/>
          <w:szCs w:val="24"/>
        </w:rPr>
        <w:t xml:space="preserve"> </w:t>
      </w:r>
      <w:r w:rsidR="00274F1E">
        <w:rPr>
          <w:rFonts w:asciiTheme="minorHAnsi" w:hAnsiTheme="minorHAnsi"/>
          <w:color w:val="auto"/>
          <w:szCs w:val="24"/>
        </w:rPr>
        <w:t>anxiety</w:t>
      </w:r>
      <w:r w:rsidR="006C6814">
        <w:rPr>
          <w:rFonts w:asciiTheme="minorHAnsi" w:hAnsiTheme="minorHAnsi"/>
          <w:color w:val="auto"/>
          <w:szCs w:val="24"/>
        </w:rPr>
        <w:t xml:space="preserve"> and depression.</w:t>
      </w:r>
      <w:r w:rsidR="00397D0F">
        <w:rPr>
          <w:rFonts w:asciiTheme="minorHAnsi" w:hAnsiTheme="minorHAnsi"/>
          <w:color w:val="auto"/>
          <w:szCs w:val="24"/>
        </w:rPr>
        <w:t xml:space="preserve">  It appears that he was not </w:t>
      </w:r>
      <w:r w:rsidR="0092444C">
        <w:rPr>
          <w:rFonts w:asciiTheme="minorHAnsi" w:hAnsiTheme="minorHAnsi"/>
          <w:color w:val="auto"/>
          <w:szCs w:val="24"/>
        </w:rPr>
        <w:t>evaluated or treated for these symptoms prior to the MEB</w:t>
      </w:r>
      <w:r w:rsidR="004D1226">
        <w:rPr>
          <w:rFonts w:asciiTheme="minorHAnsi" w:hAnsiTheme="minorHAnsi"/>
          <w:color w:val="auto"/>
          <w:szCs w:val="24"/>
        </w:rPr>
        <w:t>/PEB</w:t>
      </w:r>
      <w:r w:rsidR="003C531D">
        <w:rPr>
          <w:rFonts w:asciiTheme="minorHAnsi" w:hAnsiTheme="minorHAnsi"/>
          <w:color w:val="auto"/>
          <w:szCs w:val="24"/>
        </w:rPr>
        <w:t xml:space="preserve"> process</w:t>
      </w:r>
      <w:r w:rsidR="0092444C">
        <w:rPr>
          <w:rFonts w:asciiTheme="minorHAnsi" w:hAnsiTheme="minorHAnsi"/>
          <w:color w:val="auto"/>
          <w:szCs w:val="24"/>
        </w:rPr>
        <w:t>.</w:t>
      </w:r>
      <w:r w:rsidR="00CF289E">
        <w:rPr>
          <w:rFonts w:asciiTheme="minorHAnsi" w:hAnsiTheme="minorHAnsi"/>
          <w:color w:val="auto"/>
          <w:szCs w:val="24"/>
        </w:rPr>
        <w:t xml:space="preserve">  </w:t>
      </w:r>
      <w:r w:rsidR="004D1226">
        <w:rPr>
          <w:rFonts w:asciiTheme="minorHAnsi" w:hAnsiTheme="minorHAnsi"/>
          <w:color w:val="auto"/>
          <w:szCs w:val="24"/>
        </w:rPr>
        <w:t xml:space="preserve">On </w:t>
      </w:r>
      <w:r w:rsidR="000711C8">
        <w:rPr>
          <w:rFonts w:asciiTheme="minorHAnsi" w:hAnsiTheme="minorHAnsi"/>
          <w:color w:val="auto"/>
          <w:szCs w:val="24"/>
        </w:rPr>
        <w:t xml:space="preserve">                               </w:t>
      </w:r>
      <w:r w:rsidR="004D1226">
        <w:rPr>
          <w:rFonts w:asciiTheme="minorHAnsi" w:hAnsiTheme="minorHAnsi"/>
          <w:color w:val="auto"/>
          <w:szCs w:val="24"/>
        </w:rPr>
        <w:t xml:space="preserve">30 November 2006, </w:t>
      </w:r>
      <w:r w:rsidR="00A338C9">
        <w:rPr>
          <w:rFonts w:asciiTheme="minorHAnsi" w:hAnsiTheme="minorHAnsi"/>
          <w:color w:val="auto"/>
          <w:szCs w:val="24"/>
        </w:rPr>
        <w:t xml:space="preserve">15 weeks prior to separation, </w:t>
      </w:r>
      <w:r w:rsidR="004D1226">
        <w:rPr>
          <w:rFonts w:asciiTheme="minorHAnsi" w:hAnsiTheme="minorHAnsi"/>
          <w:color w:val="auto"/>
          <w:szCs w:val="24"/>
        </w:rPr>
        <w:t>he was seen by a psychiatrist (Dr. G.) at the Soldiers</w:t>
      </w:r>
      <w:r w:rsidR="00A338C9">
        <w:rPr>
          <w:rFonts w:asciiTheme="minorHAnsi" w:hAnsiTheme="minorHAnsi"/>
          <w:color w:val="auto"/>
          <w:szCs w:val="24"/>
        </w:rPr>
        <w:t>’</w:t>
      </w:r>
      <w:r w:rsidR="004D1226">
        <w:rPr>
          <w:rFonts w:asciiTheme="minorHAnsi" w:hAnsiTheme="minorHAnsi"/>
          <w:color w:val="auto"/>
          <w:szCs w:val="24"/>
        </w:rPr>
        <w:t xml:space="preserve"> Assistance Center</w:t>
      </w:r>
      <w:r w:rsidR="004C0A39">
        <w:rPr>
          <w:rFonts w:asciiTheme="minorHAnsi" w:hAnsiTheme="minorHAnsi"/>
          <w:color w:val="auto"/>
          <w:szCs w:val="24"/>
        </w:rPr>
        <w:t>, Tripler Army Medical Center, Hawaii</w:t>
      </w:r>
      <w:r w:rsidR="004D1226">
        <w:rPr>
          <w:rFonts w:asciiTheme="minorHAnsi" w:hAnsiTheme="minorHAnsi"/>
          <w:color w:val="auto"/>
          <w:szCs w:val="24"/>
        </w:rPr>
        <w:t>.</w:t>
      </w:r>
      <w:r w:rsidR="00A338C9">
        <w:rPr>
          <w:rFonts w:asciiTheme="minorHAnsi" w:hAnsiTheme="minorHAnsi"/>
          <w:color w:val="auto"/>
          <w:szCs w:val="24"/>
        </w:rPr>
        <w:t xml:space="preserve">  On mental status exam (MSE), there were no </w:t>
      </w:r>
      <w:r w:rsidR="00274F1E">
        <w:rPr>
          <w:rFonts w:asciiTheme="minorHAnsi" w:hAnsiTheme="minorHAnsi"/>
          <w:color w:val="auto"/>
          <w:szCs w:val="24"/>
        </w:rPr>
        <w:t>delusions</w:t>
      </w:r>
      <w:r w:rsidR="00A338C9">
        <w:rPr>
          <w:rFonts w:asciiTheme="minorHAnsi" w:hAnsiTheme="minorHAnsi"/>
          <w:color w:val="auto"/>
          <w:szCs w:val="24"/>
        </w:rPr>
        <w:t xml:space="preserve"> or </w:t>
      </w:r>
      <w:r w:rsidR="00274F1E">
        <w:rPr>
          <w:rFonts w:asciiTheme="minorHAnsi" w:hAnsiTheme="minorHAnsi"/>
          <w:color w:val="auto"/>
          <w:szCs w:val="24"/>
        </w:rPr>
        <w:t xml:space="preserve">suicidal ideation.  </w:t>
      </w:r>
      <w:r w:rsidR="00EE1E00">
        <w:rPr>
          <w:rFonts w:asciiTheme="minorHAnsi" w:hAnsiTheme="minorHAnsi"/>
          <w:color w:val="auto"/>
          <w:szCs w:val="24"/>
        </w:rPr>
        <w:t>His affect was anxious</w:t>
      </w:r>
      <w:r w:rsidR="008B293C">
        <w:rPr>
          <w:rFonts w:asciiTheme="minorHAnsi" w:hAnsiTheme="minorHAnsi"/>
          <w:color w:val="auto"/>
          <w:szCs w:val="24"/>
        </w:rPr>
        <w:t>,</w:t>
      </w:r>
      <w:r w:rsidR="00EE1E00">
        <w:rPr>
          <w:rFonts w:asciiTheme="minorHAnsi" w:hAnsiTheme="minorHAnsi"/>
          <w:color w:val="auto"/>
          <w:szCs w:val="24"/>
        </w:rPr>
        <w:t xml:space="preserve"> and he had some </w:t>
      </w:r>
      <w:r w:rsidR="00EE1E00">
        <w:rPr>
          <w:rFonts w:asciiTheme="minorHAnsi" w:hAnsiTheme="minorHAnsi"/>
          <w:color w:val="auto"/>
          <w:szCs w:val="24"/>
        </w:rPr>
        <w:lastRenderedPageBreak/>
        <w:t>paranoi</w:t>
      </w:r>
      <w:r w:rsidR="008B293C">
        <w:rPr>
          <w:rFonts w:asciiTheme="minorHAnsi" w:hAnsiTheme="minorHAnsi"/>
          <w:color w:val="auto"/>
          <w:szCs w:val="24"/>
        </w:rPr>
        <w:t>a</w:t>
      </w:r>
      <w:r w:rsidR="00EE1E00">
        <w:rPr>
          <w:rFonts w:asciiTheme="minorHAnsi" w:hAnsiTheme="minorHAnsi"/>
          <w:color w:val="auto"/>
          <w:szCs w:val="24"/>
        </w:rPr>
        <w:t xml:space="preserve"> about others trying to hurt him.  </w:t>
      </w:r>
      <w:r w:rsidR="004D1226">
        <w:rPr>
          <w:rFonts w:asciiTheme="minorHAnsi" w:hAnsiTheme="minorHAnsi"/>
          <w:color w:val="auto"/>
          <w:szCs w:val="24"/>
        </w:rPr>
        <w:t xml:space="preserve">The CI was diagnosed with </w:t>
      </w:r>
      <w:r w:rsidR="00397D0F">
        <w:rPr>
          <w:rFonts w:asciiTheme="minorHAnsi" w:hAnsiTheme="minorHAnsi"/>
          <w:color w:val="auto"/>
          <w:szCs w:val="24"/>
        </w:rPr>
        <w:t>c</w:t>
      </w:r>
      <w:r w:rsidR="004D1226">
        <w:rPr>
          <w:rFonts w:asciiTheme="minorHAnsi" w:hAnsiTheme="minorHAnsi"/>
          <w:color w:val="auto"/>
          <w:szCs w:val="24"/>
        </w:rPr>
        <w:t>hronic PTSD (moderate severity), MDD (recurrent, moderate), panic disorder</w:t>
      </w:r>
      <w:r w:rsidR="00016AE3">
        <w:rPr>
          <w:rFonts w:asciiTheme="minorHAnsi" w:hAnsiTheme="minorHAnsi"/>
          <w:color w:val="auto"/>
          <w:szCs w:val="24"/>
        </w:rPr>
        <w:t xml:space="preserve">, </w:t>
      </w:r>
      <w:r w:rsidR="00332D6E">
        <w:rPr>
          <w:rFonts w:asciiTheme="minorHAnsi" w:hAnsiTheme="minorHAnsi"/>
          <w:color w:val="auto"/>
          <w:szCs w:val="24"/>
        </w:rPr>
        <w:t>and a</w:t>
      </w:r>
      <w:r w:rsidR="004D1226">
        <w:rPr>
          <w:rFonts w:asciiTheme="minorHAnsi" w:hAnsiTheme="minorHAnsi"/>
          <w:color w:val="auto"/>
          <w:szCs w:val="24"/>
        </w:rPr>
        <w:t>goraphobia</w:t>
      </w:r>
      <w:r w:rsidR="008B293C">
        <w:rPr>
          <w:rFonts w:asciiTheme="minorHAnsi" w:hAnsiTheme="minorHAnsi"/>
          <w:color w:val="auto"/>
          <w:szCs w:val="24"/>
        </w:rPr>
        <w:t xml:space="preserve">.  </w:t>
      </w:r>
      <w:r w:rsidR="00332D6E">
        <w:rPr>
          <w:rFonts w:asciiTheme="minorHAnsi" w:hAnsiTheme="minorHAnsi"/>
          <w:color w:val="auto"/>
          <w:szCs w:val="24"/>
        </w:rPr>
        <w:t>H</w:t>
      </w:r>
      <w:r w:rsidR="005747CE">
        <w:rPr>
          <w:rFonts w:asciiTheme="minorHAnsi" w:hAnsiTheme="minorHAnsi"/>
          <w:color w:val="auto"/>
          <w:szCs w:val="24"/>
        </w:rPr>
        <w:t xml:space="preserve">is </w:t>
      </w:r>
      <w:r w:rsidR="00EE1E00">
        <w:rPr>
          <w:rFonts w:asciiTheme="minorHAnsi" w:hAnsiTheme="minorHAnsi"/>
          <w:color w:val="auto"/>
          <w:szCs w:val="24"/>
        </w:rPr>
        <w:t>mental condit</w:t>
      </w:r>
      <w:r w:rsidR="008B293C">
        <w:rPr>
          <w:rFonts w:asciiTheme="minorHAnsi" w:hAnsiTheme="minorHAnsi"/>
          <w:color w:val="auto"/>
          <w:szCs w:val="24"/>
        </w:rPr>
        <w:t xml:space="preserve">ion was </w:t>
      </w:r>
      <w:r w:rsidR="005747CE">
        <w:rPr>
          <w:rFonts w:asciiTheme="minorHAnsi" w:hAnsiTheme="minorHAnsi"/>
          <w:color w:val="auto"/>
          <w:szCs w:val="24"/>
        </w:rPr>
        <w:t xml:space="preserve">rated as </w:t>
      </w:r>
      <w:r w:rsidR="00B91C29">
        <w:rPr>
          <w:rFonts w:asciiTheme="minorHAnsi" w:hAnsiTheme="minorHAnsi"/>
          <w:color w:val="auto"/>
          <w:szCs w:val="24"/>
        </w:rPr>
        <w:t>“</w:t>
      </w:r>
      <w:r w:rsidR="00EE1E00">
        <w:rPr>
          <w:rFonts w:asciiTheme="minorHAnsi" w:hAnsiTheme="minorHAnsi"/>
          <w:color w:val="auto"/>
          <w:szCs w:val="24"/>
        </w:rPr>
        <w:t>moderate</w:t>
      </w:r>
      <w:r w:rsidR="00B91C29">
        <w:rPr>
          <w:rFonts w:asciiTheme="minorHAnsi" w:hAnsiTheme="minorHAnsi"/>
          <w:color w:val="auto"/>
          <w:szCs w:val="24"/>
        </w:rPr>
        <w:t>”</w:t>
      </w:r>
      <w:r w:rsidR="00332D6E">
        <w:rPr>
          <w:rFonts w:asciiTheme="minorHAnsi" w:hAnsiTheme="minorHAnsi"/>
          <w:color w:val="auto"/>
          <w:szCs w:val="24"/>
        </w:rPr>
        <w:t xml:space="preserve"> in severity.</w:t>
      </w:r>
      <w:r w:rsidR="00EE1E00">
        <w:rPr>
          <w:rFonts w:asciiTheme="minorHAnsi" w:hAnsiTheme="minorHAnsi"/>
          <w:color w:val="auto"/>
          <w:szCs w:val="24"/>
        </w:rPr>
        <w:t xml:space="preserve">  </w:t>
      </w:r>
      <w:r w:rsidR="008B293C">
        <w:rPr>
          <w:rFonts w:asciiTheme="minorHAnsi" w:hAnsiTheme="minorHAnsi"/>
          <w:color w:val="auto"/>
          <w:szCs w:val="24"/>
        </w:rPr>
        <w:t xml:space="preserve">Psychotherapy was recommended, and he </w:t>
      </w:r>
      <w:r w:rsidR="00016AE3">
        <w:rPr>
          <w:rFonts w:asciiTheme="minorHAnsi" w:hAnsiTheme="minorHAnsi"/>
          <w:color w:val="auto"/>
          <w:szCs w:val="24"/>
        </w:rPr>
        <w:t xml:space="preserve">was started on </w:t>
      </w:r>
      <w:r w:rsidR="0092444C">
        <w:rPr>
          <w:rFonts w:asciiTheme="minorHAnsi" w:hAnsiTheme="minorHAnsi"/>
          <w:color w:val="auto"/>
          <w:szCs w:val="24"/>
        </w:rPr>
        <w:t>medication</w:t>
      </w:r>
      <w:r w:rsidR="008B293C">
        <w:rPr>
          <w:rFonts w:asciiTheme="minorHAnsi" w:hAnsiTheme="minorHAnsi"/>
          <w:color w:val="auto"/>
          <w:szCs w:val="24"/>
        </w:rPr>
        <w:t>.</w:t>
      </w:r>
    </w:p>
    <w:p w:rsidR="009A138F" w:rsidRDefault="009A138F" w:rsidP="00361420">
      <w:pPr>
        <w:tabs>
          <w:tab w:val="left" w:pos="288"/>
          <w:tab w:val="left" w:pos="4752"/>
        </w:tabs>
        <w:spacing w:line="240" w:lineRule="exact"/>
        <w:jc w:val="both"/>
        <w:rPr>
          <w:rFonts w:asciiTheme="minorHAnsi" w:hAnsiTheme="minorHAnsi"/>
          <w:color w:val="auto"/>
          <w:szCs w:val="24"/>
        </w:rPr>
      </w:pPr>
    </w:p>
    <w:p w:rsidR="00666CEC" w:rsidRPr="00881AEC" w:rsidRDefault="00881AEC" w:rsidP="00361420">
      <w:pPr>
        <w:tabs>
          <w:tab w:val="left" w:pos="288"/>
          <w:tab w:val="left" w:pos="4752"/>
        </w:tabs>
        <w:spacing w:line="240" w:lineRule="exact"/>
        <w:jc w:val="both"/>
        <w:rPr>
          <w:color w:val="auto"/>
          <w:szCs w:val="24"/>
        </w:rPr>
      </w:pPr>
      <w:r>
        <w:rPr>
          <w:color w:val="auto"/>
          <w:szCs w:val="24"/>
        </w:rPr>
        <w:t xml:space="preserve">In </w:t>
      </w:r>
      <w:r w:rsidR="009A138F">
        <w:rPr>
          <w:color w:val="auto"/>
          <w:szCs w:val="24"/>
        </w:rPr>
        <w:t>January 2007</w:t>
      </w:r>
      <w:r>
        <w:rPr>
          <w:color w:val="auto"/>
          <w:szCs w:val="24"/>
        </w:rPr>
        <w:t>, the</w:t>
      </w:r>
      <w:r w:rsidR="009A138F">
        <w:rPr>
          <w:color w:val="auto"/>
          <w:szCs w:val="24"/>
        </w:rPr>
        <w:t xml:space="preserve"> Army PEB </w:t>
      </w:r>
      <w:r w:rsidR="00B91C29">
        <w:rPr>
          <w:color w:val="auto"/>
          <w:szCs w:val="24"/>
        </w:rPr>
        <w:t>found him unfit due to “</w:t>
      </w:r>
      <w:r w:rsidR="000711C8">
        <w:rPr>
          <w:color w:val="auto"/>
          <w:szCs w:val="24"/>
        </w:rPr>
        <w:t>MDD</w:t>
      </w:r>
      <w:r w:rsidR="00B91C29">
        <w:rPr>
          <w:color w:val="auto"/>
          <w:szCs w:val="24"/>
        </w:rPr>
        <w:t xml:space="preserve"> with onset during the post deployment period</w:t>
      </w:r>
      <w:proofErr w:type="gramStart"/>
      <w:r w:rsidR="00DB2D6D">
        <w:rPr>
          <w:color w:val="auto"/>
          <w:szCs w:val="24"/>
        </w:rPr>
        <w:t>...</w:t>
      </w:r>
      <w:r w:rsidR="00B91C29">
        <w:rPr>
          <w:color w:val="auto"/>
          <w:szCs w:val="24"/>
        </w:rPr>
        <w:t>following</w:t>
      </w:r>
      <w:proofErr w:type="gramEnd"/>
      <w:r w:rsidR="00B91C29">
        <w:rPr>
          <w:color w:val="auto"/>
          <w:szCs w:val="24"/>
        </w:rPr>
        <w:t xml:space="preserve"> a divorce.”  The DA Form 199 goes on to say, “The </w:t>
      </w:r>
      <w:r w:rsidR="000711C8">
        <w:rPr>
          <w:color w:val="auto"/>
          <w:szCs w:val="24"/>
        </w:rPr>
        <w:t>s</w:t>
      </w:r>
      <w:r w:rsidR="00B91C29">
        <w:rPr>
          <w:color w:val="auto"/>
          <w:szCs w:val="24"/>
        </w:rPr>
        <w:t xml:space="preserve">oldier also has </w:t>
      </w:r>
      <w:r w:rsidR="000711C8">
        <w:rPr>
          <w:color w:val="auto"/>
          <w:szCs w:val="24"/>
        </w:rPr>
        <w:t>a</w:t>
      </w:r>
      <w:r w:rsidR="00B91C29">
        <w:rPr>
          <w:color w:val="auto"/>
          <w:szCs w:val="24"/>
        </w:rPr>
        <w:t xml:space="preserve">xis I diagnoses of </w:t>
      </w:r>
      <w:r w:rsidR="000711C8">
        <w:rPr>
          <w:color w:val="auto"/>
          <w:szCs w:val="24"/>
        </w:rPr>
        <w:t>PTSD</w:t>
      </w:r>
      <w:r w:rsidR="00B91C29">
        <w:rPr>
          <w:color w:val="auto"/>
          <w:szCs w:val="24"/>
        </w:rPr>
        <w:t xml:space="preserve"> (unverified stressors), panic disorder, and primary insomnia which cannot be separately rated due to overlap of symptoms but are considered in the overall rating.”  The PEB </w:t>
      </w:r>
      <w:r w:rsidR="009A138F">
        <w:rPr>
          <w:color w:val="auto"/>
          <w:szCs w:val="24"/>
        </w:rPr>
        <w:t xml:space="preserve">decision in this case preceded the promulgation of the NDAA 2008 mandate for DoD </w:t>
      </w:r>
      <w:r w:rsidR="00B91C29">
        <w:rPr>
          <w:color w:val="auto"/>
          <w:szCs w:val="24"/>
        </w:rPr>
        <w:t xml:space="preserve">adherence to VASRD §4.129.  </w:t>
      </w:r>
      <w:r w:rsidR="009A138F">
        <w:rPr>
          <w:rFonts w:cs="Courier New"/>
          <w:color w:val="auto"/>
          <w:szCs w:val="24"/>
        </w:rPr>
        <w:t xml:space="preserve">IAW VASRD §4.129, when a mental disorder that develops in service as a result of a highly stressful event is severe enough to bring about the </w:t>
      </w:r>
      <w:r w:rsidR="004C0A39">
        <w:rPr>
          <w:rFonts w:cs="Courier New"/>
          <w:color w:val="auto"/>
          <w:szCs w:val="24"/>
        </w:rPr>
        <w:t>CI</w:t>
      </w:r>
      <w:r w:rsidR="009A138F">
        <w:rPr>
          <w:rFonts w:cs="Courier New"/>
          <w:color w:val="auto"/>
          <w:szCs w:val="24"/>
        </w:rPr>
        <w:t>’s release from active military service, the rating agency sh</w:t>
      </w:r>
      <w:r w:rsidR="004C0A39">
        <w:rPr>
          <w:rFonts w:cs="Courier New"/>
          <w:color w:val="auto"/>
          <w:szCs w:val="24"/>
        </w:rPr>
        <w:t>ould</w:t>
      </w:r>
      <w:r w:rsidR="009A138F">
        <w:rPr>
          <w:rFonts w:cs="Courier New"/>
          <w:color w:val="auto"/>
          <w:szCs w:val="24"/>
        </w:rPr>
        <w:t xml:space="preserve"> assign an evaluation of not less than 50 percent</w:t>
      </w:r>
      <w:r w:rsidR="00582261">
        <w:rPr>
          <w:rFonts w:cs="Courier New"/>
          <w:color w:val="auto"/>
          <w:szCs w:val="24"/>
        </w:rPr>
        <w:t xml:space="preserve"> for a period of at</w:t>
      </w:r>
      <w:r w:rsidR="001E2399">
        <w:rPr>
          <w:rFonts w:cs="Courier New"/>
          <w:color w:val="auto"/>
          <w:szCs w:val="24"/>
        </w:rPr>
        <w:t xml:space="preserve"> </w:t>
      </w:r>
      <w:r w:rsidR="00582261">
        <w:rPr>
          <w:rFonts w:cs="Courier New"/>
          <w:color w:val="auto"/>
          <w:szCs w:val="24"/>
        </w:rPr>
        <w:t>least six months</w:t>
      </w:r>
      <w:r w:rsidR="009A138F">
        <w:rPr>
          <w:rFonts w:cs="Courier New"/>
          <w:color w:val="auto"/>
          <w:szCs w:val="24"/>
        </w:rPr>
        <w:t xml:space="preserve">.  </w:t>
      </w:r>
      <w:r w:rsidR="004C0A39">
        <w:rPr>
          <w:rFonts w:cs="Courier New"/>
          <w:color w:val="auto"/>
          <w:szCs w:val="24"/>
        </w:rPr>
        <w:t>The CI</w:t>
      </w:r>
      <w:r>
        <w:rPr>
          <w:rFonts w:cs="Courier New"/>
          <w:color w:val="auto"/>
          <w:szCs w:val="24"/>
        </w:rPr>
        <w:t xml:space="preserve"> was exposed to combat while deployed, but his primary</w:t>
      </w:r>
      <w:r w:rsidR="004C0A39">
        <w:rPr>
          <w:rFonts w:cs="Courier New"/>
          <w:color w:val="auto"/>
          <w:szCs w:val="24"/>
        </w:rPr>
        <w:t xml:space="preserve"> stressful event was discovering that his wife was unfaithful, and then going through a highly stressful divorce.  </w:t>
      </w:r>
      <w:r w:rsidR="00397D0F">
        <w:rPr>
          <w:rFonts w:cs="Courier New"/>
          <w:color w:val="auto"/>
          <w:szCs w:val="24"/>
        </w:rPr>
        <w:t>Based on his psychological condition at the time of separation, t</w:t>
      </w:r>
      <w:r w:rsidR="009A138F">
        <w:rPr>
          <w:rFonts w:cs="Courier New"/>
          <w:color w:val="auto"/>
          <w:szCs w:val="24"/>
        </w:rPr>
        <w:t xml:space="preserve">he Board unanimously recommends </w:t>
      </w:r>
      <w:r w:rsidR="00582261">
        <w:rPr>
          <w:rFonts w:cs="Courier New"/>
          <w:color w:val="auto"/>
          <w:szCs w:val="24"/>
        </w:rPr>
        <w:t>retroactive placement on the Temporary Disability Ret</w:t>
      </w:r>
      <w:r w:rsidR="001E2399">
        <w:rPr>
          <w:rFonts w:cs="Courier New"/>
          <w:color w:val="auto"/>
          <w:szCs w:val="24"/>
        </w:rPr>
        <w:t>ired</w:t>
      </w:r>
      <w:r w:rsidR="00582261">
        <w:rPr>
          <w:rFonts w:cs="Courier New"/>
          <w:color w:val="auto"/>
          <w:szCs w:val="24"/>
        </w:rPr>
        <w:t xml:space="preserve"> List (TDRL) for a period of six months with </w:t>
      </w:r>
      <w:r w:rsidR="009A138F">
        <w:rPr>
          <w:rFonts w:cs="Courier New"/>
          <w:color w:val="auto"/>
          <w:szCs w:val="24"/>
        </w:rPr>
        <w:t xml:space="preserve">an initial 50% rating for </w:t>
      </w:r>
      <w:r w:rsidR="004C0A39">
        <w:rPr>
          <w:rFonts w:cs="Courier New"/>
          <w:color w:val="auto"/>
          <w:szCs w:val="24"/>
        </w:rPr>
        <w:t>the mental condition</w:t>
      </w:r>
      <w:r w:rsidR="009A138F">
        <w:rPr>
          <w:rFonts w:cs="Courier New"/>
          <w:color w:val="auto"/>
          <w:szCs w:val="24"/>
        </w:rPr>
        <w:t xml:space="preserve"> in compliance with VASRD §4.129.  The permanent rating should be based on the CI’s level of fu</w:t>
      </w:r>
      <w:r w:rsidR="00684C67">
        <w:rPr>
          <w:rFonts w:cs="Courier New"/>
          <w:color w:val="auto"/>
          <w:szCs w:val="24"/>
        </w:rPr>
        <w:t xml:space="preserve">nctioning six months </w:t>
      </w:r>
      <w:r w:rsidR="009A138F">
        <w:rPr>
          <w:rFonts w:cs="Courier New"/>
          <w:color w:val="auto"/>
          <w:szCs w:val="24"/>
        </w:rPr>
        <w:t xml:space="preserve">following separation.  A full, comprehensive psychological evaluation was not performed right at the six month point (13 September 2007), so the Board must use the best evidence available. </w:t>
      </w:r>
      <w:r w:rsidR="009A138F">
        <w:rPr>
          <w:color w:val="auto"/>
          <w:szCs w:val="24"/>
        </w:rPr>
        <w:t xml:space="preserve"> T</w:t>
      </w:r>
      <w:r w:rsidR="004C0A39">
        <w:rPr>
          <w:color w:val="auto"/>
          <w:szCs w:val="24"/>
        </w:rPr>
        <w:t xml:space="preserve">he best source of comprehensive evidence upon which to base the permanent rating recommendation in this case is the </w:t>
      </w:r>
      <w:r w:rsidR="000711C8">
        <w:rPr>
          <w:color w:val="auto"/>
          <w:szCs w:val="24"/>
        </w:rPr>
        <w:t>Department of Veterans’ Affairs (D</w:t>
      </w:r>
      <w:r w:rsidR="009A138F">
        <w:rPr>
          <w:color w:val="auto"/>
          <w:szCs w:val="24"/>
        </w:rPr>
        <w:t>VA</w:t>
      </w:r>
      <w:r w:rsidR="000711C8">
        <w:rPr>
          <w:color w:val="auto"/>
          <w:szCs w:val="24"/>
        </w:rPr>
        <w:t>)</w:t>
      </w:r>
      <w:r w:rsidR="009A138F">
        <w:rPr>
          <w:color w:val="auto"/>
          <w:szCs w:val="24"/>
        </w:rPr>
        <w:t xml:space="preserve"> </w:t>
      </w:r>
      <w:r w:rsidR="009A138F">
        <w:rPr>
          <w:rFonts w:asciiTheme="minorHAnsi" w:hAnsiTheme="minorHAnsi"/>
          <w:color w:val="auto"/>
          <w:szCs w:val="24"/>
        </w:rPr>
        <w:t xml:space="preserve">psychiatric </w:t>
      </w:r>
      <w:r w:rsidR="000711C8">
        <w:rPr>
          <w:rFonts w:asciiTheme="minorHAnsi" w:hAnsiTheme="minorHAnsi"/>
          <w:color w:val="auto"/>
          <w:szCs w:val="24"/>
        </w:rPr>
        <w:t>C</w:t>
      </w:r>
      <w:r w:rsidR="009A138F">
        <w:rPr>
          <w:rFonts w:asciiTheme="minorHAnsi" w:hAnsiTheme="minorHAnsi"/>
          <w:color w:val="auto"/>
          <w:szCs w:val="24"/>
        </w:rPr>
        <w:t xml:space="preserve">ompensation and </w:t>
      </w:r>
      <w:r w:rsidR="000711C8">
        <w:rPr>
          <w:rFonts w:asciiTheme="minorHAnsi" w:hAnsiTheme="minorHAnsi"/>
          <w:color w:val="auto"/>
          <w:szCs w:val="24"/>
        </w:rPr>
        <w:t>P</w:t>
      </w:r>
      <w:r w:rsidR="009A138F">
        <w:rPr>
          <w:rFonts w:asciiTheme="minorHAnsi" w:hAnsiTheme="minorHAnsi"/>
          <w:color w:val="auto"/>
          <w:szCs w:val="24"/>
        </w:rPr>
        <w:t>ension (C&amp;P) exam</w:t>
      </w:r>
      <w:r w:rsidR="009A138F">
        <w:rPr>
          <w:color w:val="auto"/>
          <w:szCs w:val="24"/>
        </w:rPr>
        <w:t xml:space="preserve"> on 28 June 2007</w:t>
      </w:r>
      <w:r w:rsidR="004C0A39">
        <w:rPr>
          <w:color w:val="auto"/>
          <w:szCs w:val="24"/>
        </w:rPr>
        <w:t>.</w:t>
      </w:r>
      <w:r>
        <w:rPr>
          <w:color w:val="auto"/>
          <w:szCs w:val="24"/>
        </w:rPr>
        <w:t xml:space="preserve">  </w:t>
      </w:r>
      <w:r w:rsidR="004C0A39">
        <w:rPr>
          <w:color w:val="auto"/>
          <w:szCs w:val="24"/>
        </w:rPr>
        <w:t xml:space="preserve">At that exam, </w:t>
      </w:r>
      <w:r w:rsidR="003D656A">
        <w:rPr>
          <w:rFonts w:asciiTheme="minorHAnsi" w:hAnsiTheme="minorHAnsi"/>
          <w:color w:val="auto"/>
          <w:szCs w:val="24"/>
        </w:rPr>
        <w:t xml:space="preserve">the CI </w:t>
      </w:r>
      <w:r w:rsidR="00684C67">
        <w:rPr>
          <w:rFonts w:asciiTheme="minorHAnsi" w:hAnsiTheme="minorHAnsi"/>
          <w:color w:val="auto"/>
          <w:szCs w:val="24"/>
        </w:rPr>
        <w:t xml:space="preserve">reported </w:t>
      </w:r>
      <w:r w:rsidR="00DB2D6D">
        <w:rPr>
          <w:rFonts w:asciiTheme="minorHAnsi" w:hAnsiTheme="minorHAnsi"/>
          <w:color w:val="auto"/>
          <w:szCs w:val="24"/>
        </w:rPr>
        <w:t xml:space="preserve">that he was having </w:t>
      </w:r>
      <w:r w:rsidR="003D656A">
        <w:rPr>
          <w:rFonts w:asciiTheme="minorHAnsi" w:hAnsiTheme="minorHAnsi"/>
          <w:color w:val="auto"/>
          <w:szCs w:val="24"/>
        </w:rPr>
        <w:t>anxiety attacks</w:t>
      </w:r>
      <w:r w:rsidR="00684C67">
        <w:rPr>
          <w:rFonts w:asciiTheme="minorHAnsi" w:hAnsiTheme="minorHAnsi"/>
          <w:color w:val="auto"/>
          <w:szCs w:val="24"/>
        </w:rPr>
        <w:t xml:space="preserve"> about </w:t>
      </w:r>
      <w:r w:rsidR="00016AE3">
        <w:rPr>
          <w:rFonts w:asciiTheme="minorHAnsi" w:hAnsiTheme="minorHAnsi"/>
          <w:color w:val="auto"/>
          <w:szCs w:val="24"/>
        </w:rPr>
        <w:t>2-3</w:t>
      </w:r>
      <w:r w:rsidR="003D656A">
        <w:rPr>
          <w:rFonts w:asciiTheme="minorHAnsi" w:hAnsiTheme="minorHAnsi"/>
          <w:color w:val="auto"/>
          <w:szCs w:val="24"/>
        </w:rPr>
        <w:t xml:space="preserve"> </w:t>
      </w:r>
      <w:r w:rsidR="00684C67">
        <w:rPr>
          <w:rFonts w:asciiTheme="minorHAnsi" w:hAnsiTheme="minorHAnsi"/>
          <w:color w:val="auto"/>
          <w:szCs w:val="24"/>
        </w:rPr>
        <w:t xml:space="preserve">times </w:t>
      </w:r>
      <w:r w:rsidR="003D656A">
        <w:rPr>
          <w:rFonts w:asciiTheme="minorHAnsi" w:hAnsiTheme="minorHAnsi"/>
          <w:color w:val="auto"/>
          <w:szCs w:val="24"/>
        </w:rPr>
        <w:t xml:space="preserve">per month.  </w:t>
      </w:r>
      <w:r w:rsidR="00016AE3">
        <w:rPr>
          <w:rFonts w:asciiTheme="minorHAnsi" w:hAnsiTheme="minorHAnsi"/>
          <w:color w:val="auto"/>
          <w:szCs w:val="24"/>
        </w:rPr>
        <w:t>T</w:t>
      </w:r>
      <w:r w:rsidR="00684C67">
        <w:rPr>
          <w:rFonts w:asciiTheme="minorHAnsi" w:hAnsiTheme="minorHAnsi"/>
          <w:color w:val="auto"/>
          <w:szCs w:val="24"/>
        </w:rPr>
        <w:t xml:space="preserve">he </w:t>
      </w:r>
      <w:r w:rsidR="003D656A">
        <w:rPr>
          <w:rFonts w:asciiTheme="minorHAnsi" w:hAnsiTheme="minorHAnsi"/>
          <w:color w:val="auto"/>
          <w:szCs w:val="24"/>
        </w:rPr>
        <w:t>medication had been help</w:t>
      </w:r>
      <w:r w:rsidR="00684C67">
        <w:rPr>
          <w:rFonts w:asciiTheme="minorHAnsi" w:hAnsiTheme="minorHAnsi"/>
          <w:color w:val="auto"/>
          <w:szCs w:val="24"/>
        </w:rPr>
        <w:t xml:space="preserve">ing him, </w:t>
      </w:r>
      <w:r w:rsidR="003D656A">
        <w:rPr>
          <w:rFonts w:asciiTheme="minorHAnsi" w:hAnsiTheme="minorHAnsi"/>
          <w:color w:val="auto"/>
          <w:szCs w:val="24"/>
        </w:rPr>
        <w:t xml:space="preserve">but he stopped </w:t>
      </w:r>
      <w:r w:rsidR="00684C67">
        <w:rPr>
          <w:rFonts w:asciiTheme="minorHAnsi" w:hAnsiTheme="minorHAnsi"/>
          <w:color w:val="auto"/>
          <w:szCs w:val="24"/>
        </w:rPr>
        <w:t xml:space="preserve">taking </w:t>
      </w:r>
      <w:r>
        <w:rPr>
          <w:rFonts w:asciiTheme="minorHAnsi" w:hAnsiTheme="minorHAnsi"/>
          <w:color w:val="auto"/>
          <w:szCs w:val="24"/>
        </w:rPr>
        <w:t>it</w:t>
      </w:r>
      <w:r w:rsidR="003D656A">
        <w:rPr>
          <w:rFonts w:asciiTheme="minorHAnsi" w:hAnsiTheme="minorHAnsi"/>
          <w:color w:val="auto"/>
          <w:szCs w:val="24"/>
        </w:rPr>
        <w:t xml:space="preserve"> after </w:t>
      </w:r>
      <w:r w:rsidR="007220FA">
        <w:rPr>
          <w:rFonts w:asciiTheme="minorHAnsi" w:hAnsiTheme="minorHAnsi"/>
          <w:color w:val="auto"/>
          <w:szCs w:val="24"/>
        </w:rPr>
        <w:t>leaving the Army</w:t>
      </w:r>
      <w:r w:rsidR="003D656A">
        <w:rPr>
          <w:rFonts w:asciiTheme="minorHAnsi" w:hAnsiTheme="minorHAnsi"/>
          <w:color w:val="auto"/>
          <w:szCs w:val="24"/>
        </w:rPr>
        <w:t>.  He denied symptoms of depression or PTSD</w:t>
      </w:r>
      <w:r w:rsidR="00684C67">
        <w:rPr>
          <w:rFonts w:asciiTheme="minorHAnsi" w:hAnsiTheme="minorHAnsi"/>
          <w:color w:val="auto"/>
          <w:szCs w:val="24"/>
        </w:rPr>
        <w:t>.</w:t>
      </w:r>
      <w:r w:rsidR="00DB2D6D">
        <w:rPr>
          <w:rFonts w:asciiTheme="minorHAnsi" w:hAnsiTheme="minorHAnsi"/>
          <w:color w:val="auto"/>
          <w:szCs w:val="24"/>
        </w:rPr>
        <w:t xml:space="preserve"> </w:t>
      </w:r>
      <w:r w:rsidR="003D656A">
        <w:rPr>
          <w:rFonts w:asciiTheme="minorHAnsi" w:hAnsiTheme="minorHAnsi"/>
          <w:color w:val="auto"/>
          <w:szCs w:val="24"/>
        </w:rPr>
        <w:t xml:space="preserve"> </w:t>
      </w:r>
      <w:r w:rsidR="00684C67">
        <w:rPr>
          <w:rFonts w:asciiTheme="minorHAnsi" w:hAnsiTheme="minorHAnsi"/>
          <w:color w:val="auto"/>
          <w:szCs w:val="24"/>
        </w:rPr>
        <w:t xml:space="preserve">He </w:t>
      </w:r>
      <w:r w:rsidR="003D656A">
        <w:rPr>
          <w:rFonts w:asciiTheme="minorHAnsi" w:hAnsiTheme="minorHAnsi"/>
          <w:color w:val="auto"/>
          <w:szCs w:val="24"/>
        </w:rPr>
        <w:t xml:space="preserve">reported not missing any work over the </w:t>
      </w:r>
      <w:r w:rsidR="00684C67">
        <w:rPr>
          <w:rFonts w:asciiTheme="minorHAnsi" w:hAnsiTheme="minorHAnsi"/>
          <w:color w:val="auto"/>
          <w:szCs w:val="24"/>
        </w:rPr>
        <w:t>previous</w:t>
      </w:r>
      <w:r w:rsidR="003D656A">
        <w:rPr>
          <w:rFonts w:asciiTheme="minorHAnsi" w:hAnsiTheme="minorHAnsi"/>
          <w:color w:val="auto"/>
          <w:szCs w:val="24"/>
        </w:rPr>
        <w:t xml:space="preserve"> year due to mental health </w:t>
      </w:r>
      <w:r w:rsidR="00684C67">
        <w:rPr>
          <w:rFonts w:asciiTheme="minorHAnsi" w:hAnsiTheme="minorHAnsi"/>
          <w:color w:val="auto"/>
          <w:szCs w:val="24"/>
        </w:rPr>
        <w:t xml:space="preserve">(MH) issues.  </w:t>
      </w:r>
      <w:r w:rsidR="007220FA">
        <w:rPr>
          <w:rFonts w:asciiTheme="minorHAnsi" w:hAnsiTheme="minorHAnsi"/>
          <w:color w:val="auto"/>
          <w:szCs w:val="24"/>
        </w:rPr>
        <w:t xml:space="preserve">The examiner </w:t>
      </w:r>
      <w:r w:rsidR="00684C67">
        <w:rPr>
          <w:rFonts w:asciiTheme="minorHAnsi" w:hAnsiTheme="minorHAnsi"/>
          <w:color w:val="auto"/>
          <w:szCs w:val="24"/>
        </w:rPr>
        <w:t>felt</w:t>
      </w:r>
      <w:r w:rsidR="007220FA">
        <w:rPr>
          <w:rFonts w:asciiTheme="minorHAnsi" w:hAnsiTheme="minorHAnsi"/>
          <w:color w:val="auto"/>
          <w:szCs w:val="24"/>
        </w:rPr>
        <w:t xml:space="preserve"> that the CI had experienced adjustment problems after re</w:t>
      </w:r>
      <w:r w:rsidR="00684C67">
        <w:rPr>
          <w:rFonts w:asciiTheme="minorHAnsi" w:hAnsiTheme="minorHAnsi"/>
          <w:color w:val="auto"/>
          <w:szCs w:val="24"/>
        </w:rPr>
        <w:t xml:space="preserve">turning </w:t>
      </w:r>
      <w:r w:rsidR="007220FA">
        <w:rPr>
          <w:rFonts w:asciiTheme="minorHAnsi" w:hAnsiTheme="minorHAnsi"/>
          <w:color w:val="auto"/>
          <w:szCs w:val="24"/>
        </w:rPr>
        <w:t xml:space="preserve">home </w:t>
      </w:r>
      <w:r w:rsidR="00684C67">
        <w:rPr>
          <w:rFonts w:asciiTheme="minorHAnsi" w:hAnsiTheme="minorHAnsi"/>
          <w:color w:val="auto"/>
          <w:szCs w:val="24"/>
        </w:rPr>
        <w:t xml:space="preserve">from Kuwait, </w:t>
      </w:r>
      <w:r w:rsidR="007220FA">
        <w:rPr>
          <w:rFonts w:asciiTheme="minorHAnsi" w:hAnsiTheme="minorHAnsi"/>
          <w:color w:val="auto"/>
          <w:szCs w:val="24"/>
        </w:rPr>
        <w:t>but had fully recovered except for his anxiety.  The examiner opined that the CI’s anxiety would contin</w:t>
      </w:r>
      <w:r w:rsidR="00016AE3">
        <w:rPr>
          <w:rFonts w:asciiTheme="minorHAnsi" w:hAnsiTheme="minorHAnsi"/>
          <w:color w:val="auto"/>
          <w:szCs w:val="24"/>
        </w:rPr>
        <w:t>ue to diminish as he settled in</w:t>
      </w:r>
      <w:r w:rsidR="007220FA">
        <w:rPr>
          <w:rFonts w:asciiTheme="minorHAnsi" w:hAnsiTheme="minorHAnsi"/>
          <w:color w:val="auto"/>
          <w:szCs w:val="24"/>
        </w:rPr>
        <w:t xml:space="preserve">to his new life and his employment stabilized.  The </w:t>
      </w:r>
      <w:r w:rsidR="00684C67">
        <w:rPr>
          <w:rFonts w:asciiTheme="minorHAnsi" w:hAnsiTheme="minorHAnsi"/>
          <w:color w:val="auto"/>
          <w:szCs w:val="24"/>
        </w:rPr>
        <w:t xml:space="preserve">diagnosis was </w:t>
      </w:r>
      <w:r w:rsidR="007220FA">
        <w:rPr>
          <w:rFonts w:asciiTheme="minorHAnsi" w:hAnsiTheme="minorHAnsi"/>
          <w:color w:val="auto"/>
          <w:szCs w:val="24"/>
        </w:rPr>
        <w:t>adjustment d</w:t>
      </w:r>
      <w:r w:rsidR="00666CEC" w:rsidRPr="00666CEC">
        <w:rPr>
          <w:rFonts w:asciiTheme="minorHAnsi" w:hAnsiTheme="minorHAnsi"/>
          <w:color w:val="auto"/>
          <w:szCs w:val="24"/>
        </w:rPr>
        <w:t>isorder</w:t>
      </w:r>
      <w:r w:rsidR="007220FA">
        <w:rPr>
          <w:rFonts w:asciiTheme="minorHAnsi" w:hAnsiTheme="minorHAnsi"/>
          <w:color w:val="auto"/>
          <w:szCs w:val="24"/>
        </w:rPr>
        <w:t xml:space="preserve"> </w:t>
      </w:r>
      <w:r w:rsidR="00684C67">
        <w:rPr>
          <w:rFonts w:asciiTheme="minorHAnsi" w:hAnsiTheme="minorHAnsi"/>
          <w:color w:val="auto"/>
          <w:szCs w:val="24"/>
        </w:rPr>
        <w:t xml:space="preserve">with </w:t>
      </w:r>
      <w:r w:rsidR="00666CEC" w:rsidRPr="00666CEC">
        <w:rPr>
          <w:rFonts w:asciiTheme="minorHAnsi" w:hAnsiTheme="minorHAnsi"/>
          <w:color w:val="auto"/>
          <w:szCs w:val="24"/>
        </w:rPr>
        <w:t>mixed anxiety and depression</w:t>
      </w:r>
      <w:r w:rsidR="007220FA">
        <w:rPr>
          <w:rFonts w:asciiTheme="minorHAnsi" w:hAnsiTheme="minorHAnsi"/>
          <w:color w:val="auto"/>
          <w:szCs w:val="24"/>
        </w:rPr>
        <w:t>,</w:t>
      </w:r>
      <w:r w:rsidR="00666CEC" w:rsidRPr="00666CEC">
        <w:rPr>
          <w:rFonts w:asciiTheme="minorHAnsi" w:hAnsiTheme="minorHAnsi"/>
          <w:color w:val="auto"/>
          <w:szCs w:val="24"/>
        </w:rPr>
        <w:t xml:space="preserve"> in p</w:t>
      </w:r>
      <w:r>
        <w:rPr>
          <w:rFonts w:asciiTheme="minorHAnsi" w:hAnsiTheme="minorHAnsi"/>
          <w:color w:val="auto"/>
          <w:szCs w:val="24"/>
        </w:rPr>
        <w:t xml:space="preserve">artial remission.  </w:t>
      </w:r>
      <w:r w:rsidR="00684C67">
        <w:rPr>
          <w:rFonts w:asciiTheme="minorHAnsi" w:hAnsiTheme="minorHAnsi"/>
          <w:color w:val="auto"/>
          <w:szCs w:val="24"/>
        </w:rPr>
        <w:t xml:space="preserve">The </w:t>
      </w:r>
      <w:r w:rsidR="005747CE">
        <w:rPr>
          <w:rFonts w:asciiTheme="minorHAnsi" w:hAnsiTheme="minorHAnsi"/>
          <w:color w:val="auto"/>
          <w:szCs w:val="24"/>
        </w:rPr>
        <w:t>Global Assessment of Functioning (</w:t>
      </w:r>
      <w:r w:rsidR="007220FA">
        <w:rPr>
          <w:rFonts w:asciiTheme="minorHAnsi" w:hAnsiTheme="minorHAnsi"/>
          <w:color w:val="auto"/>
          <w:szCs w:val="24"/>
        </w:rPr>
        <w:t>GAF</w:t>
      </w:r>
      <w:r w:rsidR="005747CE">
        <w:rPr>
          <w:rFonts w:asciiTheme="minorHAnsi" w:hAnsiTheme="minorHAnsi"/>
          <w:color w:val="auto"/>
          <w:szCs w:val="24"/>
        </w:rPr>
        <w:t>)</w:t>
      </w:r>
      <w:r w:rsidR="007220FA">
        <w:rPr>
          <w:rFonts w:asciiTheme="minorHAnsi" w:hAnsiTheme="minorHAnsi"/>
          <w:color w:val="auto"/>
          <w:szCs w:val="24"/>
        </w:rPr>
        <w:t xml:space="preserve"> </w:t>
      </w:r>
      <w:r>
        <w:rPr>
          <w:rFonts w:asciiTheme="minorHAnsi" w:hAnsiTheme="minorHAnsi"/>
          <w:color w:val="auto"/>
          <w:szCs w:val="24"/>
        </w:rPr>
        <w:t xml:space="preserve">score </w:t>
      </w:r>
      <w:r w:rsidR="007220FA">
        <w:rPr>
          <w:rFonts w:asciiTheme="minorHAnsi" w:hAnsiTheme="minorHAnsi"/>
          <w:color w:val="auto"/>
          <w:szCs w:val="24"/>
        </w:rPr>
        <w:t>was 72</w:t>
      </w:r>
      <w:r w:rsidR="00684C67">
        <w:rPr>
          <w:rFonts w:asciiTheme="minorHAnsi" w:hAnsiTheme="minorHAnsi"/>
          <w:color w:val="auto"/>
          <w:szCs w:val="24"/>
        </w:rPr>
        <w:t>,</w:t>
      </w:r>
      <w:r w:rsidR="007220FA">
        <w:rPr>
          <w:rFonts w:asciiTheme="minorHAnsi" w:hAnsiTheme="minorHAnsi"/>
          <w:color w:val="auto"/>
          <w:szCs w:val="24"/>
        </w:rPr>
        <w:t xml:space="preserve"> and the examiner reported </w:t>
      </w:r>
      <w:r w:rsidR="007220FA" w:rsidRPr="003932FC">
        <w:rPr>
          <w:rFonts w:asciiTheme="minorHAnsi" w:hAnsiTheme="minorHAnsi"/>
          <w:color w:val="auto"/>
          <w:szCs w:val="24"/>
        </w:rPr>
        <w:t>no</w:t>
      </w:r>
      <w:r w:rsidR="007220FA">
        <w:rPr>
          <w:rFonts w:asciiTheme="minorHAnsi" w:hAnsiTheme="minorHAnsi"/>
          <w:color w:val="auto"/>
          <w:szCs w:val="24"/>
        </w:rPr>
        <w:t xml:space="preserve"> social or occupational impairment.</w:t>
      </w:r>
    </w:p>
    <w:p w:rsidR="00666CEC" w:rsidRDefault="00666CEC" w:rsidP="00FE13FB">
      <w:pPr>
        <w:tabs>
          <w:tab w:val="left" w:pos="720"/>
          <w:tab w:val="left" w:pos="1080"/>
          <w:tab w:val="left" w:pos="1440"/>
          <w:tab w:val="left" w:pos="1800"/>
          <w:tab w:val="left" w:pos="2160"/>
          <w:tab w:val="right" w:leader="dot" w:pos="9180"/>
        </w:tabs>
        <w:spacing w:line="240" w:lineRule="exact"/>
        <w:jc w:val="both"/>
        <w:rPr>
          <w:rFonts w:asciiTheme="minorHAnsi" w:hAnsiTheme="minorHAnsi"/>
          <w:color w:val="auto"/>
          <w:sz w:val="20"/>
          <w:u w:val="single"/>
        </w:rPr>
      </w:pPr>
    </w:p>
    <w:p w:rsidR="006437D4" w:rsidRPr="003A770B" w:rsidRDefault="00FE13FB" w:rsidP="0045661E">
      <w:pPr>
        <w:autoSpaceDE w:val="0"/>
        <w:autoSpaceDN w:val="0"/>
        <w:adjustRightInd w:val="0"/>
        <w:spacing w:line="240" w:lineRule="exact"/>
        <w:jc w:val="both"/>
        <w:rPr>
          <w:rFonts w:eastAsia="HiddenHorzOCR" w:cs="HiddenHorzOCR"/>
          <w:color w:val="auto"/>
          <w:szCs w:val="24"/>
        </w:rPr>
      </w:pPr>
      <w:r>
        <w:rPr>
          <w:rFonts w:cs="Arial"/>
          <w:bCs/>
          <w:color w:val="auto"/>
          <w:szCs w:val="24"/>
        </w:rPr>
        <w:t>The Board direct</w:t>
      </w:r>
      <w:r w:rsidR="00881AEC">
        <w:rPr>
          <w:rFonts w:cs="Arial"/>
          <w:bCs/>
          <w:color w:val="auto"/>
          <w:szCs w:val="24"/>
        </w:rPr>
        <w:t>ed</w:t>
      </w:r>
      <w:r>
        <w:rPr>
          <w:rFonts w:cs="Arial"/>
          <w:bCs/>
          <w:color w:val="auto"/>
          <w:szCs w:val="24"/>
        </w:rPr>
        <w:t xml:space="preserve"> its attention to its rating recommendations based on the evidence just described.  A</w:t>
      </w:r>
      <w:r w:rsidR="00016AE3">
        <w:rPr>
          <w:rFonts w:cs="Arial"/>
          <w:bCs/>
          <w:color w:val="auto"/>
          <w:szCs w:val="24"/>
        </w:rPr>
        <w:t>s noted above, a</w:t>
      </w:r>
      <w:r>
        <w:rPr>
          <w:rFonts w:cs="Arial"/>
          <w:bCs/>
          <w:color w:val="auto"/>
          <w:szCs w:val="24"/>
        </w:rPr>
        <w:t>ll members agreed that the §4.130 criteria for a rati</w:t>
      </w:r>
      <w:r w:rsidR="00881AEC">
        <w:rPr>
          <w:rFonts w:cs="Arial"/>
          <w:bCs/>
          <w:color w:val="auto"/>
          <w:szCs w:val="24"/>
        </w:rPr>
        <w:t>ng higher than 5</w:t>
      </w:r>
      <w:r>
        <w:rPr>
          <w:rFonts w:cs="Arial"/>
          <w:bCs/>
          <w:color w:val="auto"/>
          <w:szCs w:val="24"/>
        </w:rPr>
        <w:t>0% were not met at the time of separation, an</w:t>
      </w:r>
      <w:r w:rsidR="0045661E">
        <w:rPr>
          <w:rFonts w:cs="Arial"/>
          <w:bCs/>
          <w:color w:val="auto"/>
          <w:szCs w:val="24"/>
        </w:rPr>
        <w:t>d therefore the minimum 50% temporary disability retirement list (TDRL)</w:t>
      </w:r>
      <w:r>
        <w:rPr>
          <w:rFonts w:cs="Arial"/>
          <w:bCs/>
          <w:color w:val="auto"/>
          <w:szCs w:val="24"/>
        </w:rPr>
        <w:t xml:space="preserve"> rating is applicable.  In regards to the permanent rating recommendation, </w:t>
      </w:r>
      <w:r>
        <w:rPr>
          <w:rFonts w:asciiTheme="minorHAnsi" w:hAnsiTheme="minorHAnsi"/>
          <w:color w:val="auto"/>
          <w:szCs w:val="24"/>
        </w:rPr>
        <w:t xml:space="preserve">the </w:t>
      </w:r>
      <w:r w:rsidR="00881AEC">
        <w:rPr>
          <w:rFonts w:asciiTheme="minorHAnsi" w:hAnsiTheme="minorHAnsi"/>
          <w:color w:val="auto"/>
          <w:szCs w:val="24"/>
        </w:rPr>
        <w:t xml:space="preserve">June 2007 </w:t>
      </w:r>
      <w:r>
        <w:rPr>
          <w:rFonts w:asciiTheme="minorHAnsi" w:hAnsiTheme="minorHAnsi"/>
          <w:color w:val="auto"/>
          <w:szCs w:val="24"/>
        </w:rPr>
        <w:t xml:space="preserve">VA psychiatric C&amp;P exam, as elaborated above, is the source of evidence which </w:t>
      </w:r>
      <w:r w:rsidR="00881AEC">
        <w:rPr>
          <w:rFonts w:asciiTheme="minorHAnsi" w:hAnsiTheme="minorHAnsi"/>
          <w:color w:val="auto"/>
          <w:szCs w:val="24"/>
        </w:rPr>
        <w:t xml:space="preserve">has </w:t>
      </w:r>
      <w:r>
        <w:rPr>
          <w:rFonts w:asciiTheme="minorHAnsi" w:hAnsiTheme="minorHAnsi"/>
          <w:color w:val="auto"/>
          <w:szCs w:val="24"/>
        </w:rPr>
        <w:t xml:space="preserve">greatest probative value.  </w:t>
      </w:r>
      <w:r>
        <w:rPr>
          <w:rFonts w:asciiTheme="minorHAnsi" w:hAnsiTheme="minorHAnsi" w:cs="Courier New"/>
          <w:color w:val="auto"/>
          <w:szCs w:val="24"/>
        </w:rPr>
        <w:t>The Board determined that the CI appeared t</w:t>
      </w:r>
      <w:r w:rsidR="0045661E">
        <w:rPr>
          <w:rFonts w:asciiTheme="minorHAnsi" w:hAnsiTheme="minorHAnsi" w:cs="Courier New"/>
          <w:color w:val="auto"/>
          <w:szCs w:val="24"/>
        </w:rPr>
        <w:t>o</w:t>
      </w:r>
      <w:r>
        <w:rPr>
          <w:rFonts w:asciiTheme="minorHAnsi" w:hAnsiTheme="minorHAnsi" w:cs="Courier New"/>
          <w:color w:val="auto"/>
          <w:szCs w:val="24"/>
        </w:rPr>
        <w:t xml:space="preserve"> be in </w:t>
      </w:r>
      <w:r w:rsidR="00881AEC">
        <w:rPr>
          <w:rFonts w:asciiTheme="minorHAnsi" w:hAnsiTheme="minorHAnsi" w:cs="Courier New"/>
          <w:color w:val="auto"/>
          <w:szCs w:val="24"/>
        </w:rPr>
        <w:t xml:space="preserve">partial </w:t>
      </w:r>
      <w:r>
        <w:rPr>
          <w:rFonts w:asciiTheme="minorHAnsi" w:hAnsiTheme="minorHAnsi" w:cs="Courier New"/>
          <w:color w:val="auto"/>
          <w:szCs w:val="24"/>
        </w:rPr>
        <w:t>remission a</w:t>
      </w:r>
      <w:r w:rsidR="0045661E">
        <w:rPr>
          <w:rFonts w:asciiTheme="minorHAnsi" w:hAnsiTheme="minorHAnsi" w:cs="Courier New"/>
          <w:color w:val="auto"/>
          <w:szCs w:val="24"/>
        </w:rPr>
        <w:t>t the</w:t>
      </w:r>
      <w:r w:rsidR="009146D0">
        <w:rPr>
          <w:rFonts w:asciiTheme="minorHAnsi" w:hAnsiTheme="minorHAnsi" w:cs="Courier New"/>
          <w:color w:val="auto"/>
          <w:szCs w:val="24"/>
        </w:rPr>
        <w:t xml:space="preserve"> time of the</w:t>
      </w:r>
      <w:r w:rsidR="0045661E">
        <w:rPr>
          <w:rFonts w:asciiTheme="minorHAnsi" w:hAnsiTheme="minorHAnsi" w:cs="Courier New"/>
          <w:color w:val="auto"/>
          <w:szCs w:val="24"/>
        </w:rPr>
        <w:t xml:space="preserve"> C&amp;P exam</w:t>
      </w:r>
      <w:r>
        <w:rPr>
          <w:rFonts w:asciiTheme="minorHAnsi" w:hAnsiTheme="minorHAnsi" w:cs="Courier New"/>
          <w:color w:val="auto"/>
          <w:szCs w:val="24"/>
        </w:rPr>
        <w:t>.</w:t>
      </w:r>
      <w:r w:rsidR="00881AEC">
        <w:rPr>
          <w:rFonts w:asciiTheme="minorHAnsi" w:hAnsiTheme="minorHAnsi" w:cs="Courier New"/>
          <w:color w:val="auto"/>
          <w:szCs w:val="24"/>
        </w:rPr>
        <w:t xml:space="preserve">  H</w:t>
      </w:r>
      <w:r w:rsidR="0045661E">
        <w:rPr>
          <w:rFonts w:asciiTheme="minorHAnsi" w:hAnsiTheme="minorHAnsi" w:cs="Courier New"/>
          <w:color w:val="auto"/>
          <w:szCs w:val="24"/>
        </w:rPr>
        <w:t xml:space="preserve">e still </w:t>
      </w:r>
      <w:r w:rsidR="00881AEC">
        <w:rPr>
          <w:rFonts w:asciiTheme="minorHAnsi" w:hAnsiTheme="minorHAnsi" w:cs="Courier New"/>
          <w:color w:val="auto"/>
          <w:szCs w:val="24"/>
        </w:rPr>
        <w:t>was having</w:t>
      </w:r>
      <w:r w:rsidR="0045661E">
        <w:rPr>
          <w:rFonts w:asciiTheme="minorHAnsi" w:hAnsiTheme="minorHAnsi" w:cs="Courier New"/>
          <w:color w:val="auto"/>
          <w:szCs w:val="24"/>
        </w:rPr>
        <w:t xml:space="preserve"> occasional anxiety attacks, </w:t>
      </w:r>
      <w:r w:rsidR="00881AEC">
        <w:rPr>
          <w:rFonts w:asciiTheme="minorHAnsi" w:hAnsiTheme="minorHAnsi" w:cs="Courier New"/>
          <w:color w:val="auto"/>
          <w:szCs w:val="24"/>
        </w:rPr>
        <w:t xml:space="preserve">but </w:t>
      </w:r>
      <w:r>
        <w:rPr>
          <w:rFonts w:asciiTheme="minorHAnsi" w:hAnsiTheme="minorHAnsi" w:cs="Courier New"/>
          <w:color w:val="auto"/>
          <w:szCs w:val="24"/>
        </w:rPr>
        <w:t xml:space="preserve">had </w:t>
      </w:r>
      <w:r w:rsidR="0045661E">
        <w:rPr>
          <w:rFonts w:asciiTheme="minorHAnsi" w:hAnsiTheme="minorHAnsi" w:cs="Courier New"/>
          <w:color w:val="auto"/>
          <w:szCs w:val="24"/>
        </w:rPr>
        <w:t xml:space="preserve">not missed </w:t>
      </w:r>
      <w:r w:rsidR="00881AEC">
        <w:rPr>
          <w:rFonts w:asciiTheme="minorHAnsi" w:hAnsiTheme="minorHAnsi" w:cs="Courier New"/>
          <w:color w:val="auto"/>
          <w:szCs w:val="24"/>
        </w:rPr>
        <w:t xml:space="preserve">any </w:t>
      </w:r>
      <w:r w:rsidR="0045661E">
        <w:rPr>
          <w:rFonts w:asciiTheme="minorHAnsi" w:hAnsiTheme="minorHAnsi" w:cs="Courier New"/>
          <w:color w:val="auto"/>
          <w:szCs w:val="24"/>
        </w:rPr>
        <w:t>work</w:t>
      </w:r>
      <w:r w:rsidR="001F453D">
        <w:rPr>
          <w:rFonts w:asciiTheme="minorHAnsi" w:hAnsiTheme="minorHAnsi" w:cs="Courier New"/>
          <w:color w:val="auto"/>
          <w:szCs w:val="24"/>
        </w:rPr>
        <w:t>.  H</w:t>
      </w:r>
      <w:r w:rsidR="00881AEC">
        <w:rPr>
          <w:rFonts w:asciiTheme="minorHAnsi" w:hAnsiTheme="minorHAnsi" w:cs="Courier New"/>
          <w:color w:val="auto"/>
          <w:szCs w:val="24"/>
        </w:rPr>
        <w:t xml:space="preserve">is </w:t>
      </w:r>
      <w:r w:rsidR="0045661E">
        <w:rPr>
          <w:rFonts w:asciiTheme="minorHAnsi" w:hAnsiTheme="minorHAnsi" w:cs="Courier New"/>
          <w:color w:val="auto"/>
          <w:szCs w:val="24"/>
        </w:rPr>
        <w:t xml:space="preserve">GAF </w:t>
      </w:r>
      <w:r w:rsidR="00881AEC">
        <w:rPr>
          <w:rFonts w:asciiTheme="minorHAnsi" w:hAnsiTheme="minorHAnsi" w:cs="Courier New"/>
          <w:color w:val="auto"/>
          <w:szCs w:val="24"/>
        </w:rPr>
        <w:t>was</w:t>
      </w:r>
      <w:r w:rsidR="0045661E">
        <w:rPr>
          <w:rFonts w:asciiTheme="minorHAnsi" w:hAnsiTheme="minorHAnsi" w:cs="Courier New"/>
          <w:color w:val="auto"/>
          <w:szCs w:val="24"/>
        </w:rPr>
        <w:t xml:space="preserve"> 72.</w:t>
      </w:r>
      <w:r w:rsidR="001F453D">
        <w:rPr>
          <w:rFonts w:asciiTheme="minorHAnsi" w:hAnsiTheme="minorHAnsi" w:cs="Courier New"/>
          <w:color w:val="auto"/>
          <w:szCs w:val="24"/>
        </w:rPr>
        <w:t xml:space="preserve">  </w:t>
      </w:r>
      <w:r w:rsidR="002A3AF7">
        <w:rPr>
          <w:rFonts w:cs="Arial"/>
          <w:color w:val="auto"/>
          <w:szCs w:val="24"/>
        </w:rPr>
        <w:t xml:space="preserve">After due deliberation, </w:t>
      </w:r>
      <w:r w:rsidR="002A3AF7">
        <w:rPr>
          <w:rFonts w:eastAsia="HiddenHorzOCR" w:cs="HiddenHorzOCR"/>
          <w:color w:val="auto"/>
          <w:szCs w:val="24"/>
        </w:rPr>
        <w:t>all Board members agreed that based on the evidence, 10% was an appropriate permanent rating recommendation.  The Board determined that the CI’s symptoms would decrease his efficiency and ability to perform certain tasks, during periods of significant stress.  C</w:t>
      </w:r>
      <w:r w:rsidR="002A3AF7">
        <w:rPr>
          <w:rFonts w:asciiTheme="minorHAnsi" w:hAnsiTheme="minorHAnsi"/>
          <w:color w:val="auto"/>
          <w:szCs w:val="24"/>
        </w:rPr>
        <w:t>onsidering all the</w:t>
      </w:r>
      <w:r w:rsidR="00DB467E">
        <w:rPr>
          <w:rFonts w:asciiTheme="minorHAnsi" w:hAnsiTheme="minorHAnsi"/>
          <w:color w:val="auto"/>
          <w:szCs w:val="24"/>
        </w:rPr>
        <w:t xml:space="preserve"> evidence</w:t>
      </w:r>
      <w:r w:rsidR="002A3AF7">
        <w:rPr>
          <w:rFonts w:asciiTheme="minorHAnsi" w:hAnsiTheme="minorHAnsi"/>
          <w:color w:val="auto"/>
          <w:szCs w:val="24"/>
        </w:rPr>
        <w:t xml:space="preserve">, the Board unanimously recommends a permanent </w:t>
      </w:r>
      <w:r w:rsidR="003A770B">
        <w:rPr>
          <w:rFonts w:asciiTheme="minorHAnsi" w:hAnsiTheme="minorHAnsi" w:cs="Courier New"/>
          <w:color w:val="auto"/>
          <w:szCs w:val="24"/>
        </w:rPr>
        <w:t xml:space="preserve">disability </w:t>
      </w:r>
      <w:r w:rsidR="002A3AF7">
        <w:rPr>
          <w:rFonts w:asciiTheme="minorHAnsi" w:hAnsiTheme="minorHAnsi"/>
          <w:color w:val="auto"/>
          <w:szCs w:val="24"/>
        </w:rPr>
        <w:t>rating of 10% for the mental condition</w:t>
      </w:r>
      <w:r w:rsidR="001F453D">
        <w:rPr>
          <w:rFonts w:asciiTheme="minorHAnsi" w:hAnsiTheme="minorHAnsi"/>
          <w:color w:val="auto"/>
          <w:szCs w:val="24"/>
        </w:rPr>
        <w:t xml:space="preserve"> (MDD, PTSD, </w:t>
      </w:r>
      <w:r w:rsidR="003B3685">
        <w:rPr>
          <w:rFonts w:asciiTheme="minorHAnsi" w:hAnsiTheme="minorHAnsi"/>
          <w:color w:val="auto"/>
          <w:szCs w:val="24"/>
        </w:rPr>
        <w:t>p</w:t>
      </w:r>
      <w:r w:rsidR="001F453D">
        <w:rPr>
          <w:rFonts w:asciiTheme="minorHAnsi" w:hAnsiTheme="minorHAnsi"/>
          <w:color w:val="auto"/>
          <w:szCs w:val="24"/>
        </w:rPr>
        <w:t>anic disorder</w:t>
      </w:r>
      <w:r w:rsidR="003B3685">
        <w:rPr>
          <w:rFonts w:asciiTheme="minorHAnsi" w:hAnsiTheme="minorHAnsi"/>
          <w:color w:val="auto"/>
          <w:szCs w:val="24"/>
        </w:rPr>
        <w:t>, a</w:t>
      </w:r>
      <w:r w:rsidR="009059F0">
        <w:rPr>
          <w:rFonts w:asciiTheme="minorHAnsi" w:hAnsiTheme="minorHAnsi"/>
          <w:color w:val="auto"/>
          <w:szCs w:val="24"/>
        </w:rPr>
        <w:t>goraphobia, a</w:t>
      </w:r>
      <w:r w:rsidR="003B3685">
        <w:rPr>
          <w:rFonts w:asciiTheme="minorHAnsi" w:hAnsiTheme="minorHAnsi"/>
          <w:color w:val="auto"/>
          <w:szCs w:val="24"/>
        </w:rPr>
        <w:t>nd insomnia</w:t>
      </w:r>
      <w:r w:rsidR="001F453D">
        <w:rPr>
          <w:rFonts w:asciiTheme="minorHAnsi" w:hAnsiTheme="minorHAnsi"/>
          <w:color w:val="auto"/>
          <w:szCs w:val="24"/>
        </w:rPr>
        <w:t>)</w:t>
      </w:r>
      <w:r w:rsidR="002A3AF7">
        <w:rPr>
          <w:rFonts w:asciiTheme="minorHAnsi" w:hAnsiTheme="minorHAnsi"/>
          <w:color w:val="auto"/>
          <w:szCs w:val="24"/>
        </w:rPr>
        <w:t>.  IAW</w:t>
      </w:r>
      <w:r w:rsidR="002A3AF7" w:rsidRPr="006662B0">
        <w:rPr>
          <w:rFonts w:asciiTheme="minorHAnsi" w:hAnsiTheme="minorHAnsi"/>
          <w:color w:val="auto"/>
          <w:szCs w:val="24"/>
        </w:rPr>
        <w:t xml:space="preserve"> </w:t>
      </w:r>
      <w:r w:rsidR="002A3AF7" w:rsidRPr="00D00F16">
        <w:rPr>
          <w:rFonts w:asciiTheme="minorHAnsi" w:hAnsiTheme="minorHAnsi"/>
          <w:color w:val="auto"/>
          <w:szCs w:val="24"/>
        </w:rPr>
        <w:t>VASRD §4.1</w:t>
      </w:r>
      <w:r w:rsidR="002A3AF7">
        <w:rPr>
          <w:rFonts w:asciiTheme="minorHAnsi" w:hAnsiTheme="minorHAnsi"/>
          <w:color w:val="auto"/>
          <w:szCs w:val="24"/>
        </w:rPr>
        <w:t xml:space="preserve">30, it is appropriately coded 9434-9411 and meets criteria for the 10% rating level.  </w:t>
      </w:r>
      <w:r w:rsidR="002A3AF7">
        <w:rPr>
          <w:rFonts w:cs="Arial"/>
          <w:color w:val="auto"/>
          <w:szCs w:val="24"/>
        </w:rPr>
        <w:t xml:space="preserve"> </w:t>
      </w:r>
      <w:r>
        <w:rPr>
          <w:rFonts w:asciiTheme="minorHAnsi" w:hAnsiTheme="minorHAnsi"/>
          <w:color w:val="auto"/>
          <w:szCs w:val="24"/>
        </w:rPr>
        <w:t xml:space="preserve"> </w:t>
      </w:r>
      <w:r w:rsidR="0045661E">
        <w:rPr>
          <w:rFonts w:asciiTheme="minorHAnsi" w:hAnsiTheme="minorHAnsi"/>
          <w:color w:val="auto"/>
          <w:szCs w:val="24"/>
        </w:rPr>
        <w:t xml:space="preserve"> </w:t>
      </w:r>
    </w:p>
    <w:p w:rsidR="0045661E" w:rsidRPr="0045661E" w:rsidRDefault="0045661E" w:rsidP="0045661E">
      <w:pPr>
        <w:autoSpaceDE w:val="0"/>
        <w:autoSpaceDN w:val="0"/>
        <w:adjustRightInd w:val="0"/>
        <w:spacing w:line="240" w:lineRule="exact"/>
        <w:jc w:val="both"/>
        <w:rPr>
          <w:rFonts w:asciiTheme="minorHAnsi" w:hAnsiTheme="minorHAnsi"/>
          <w:color w:val="auto"/>
          <w:szCs w:val="24"/>
        </w:rPr>
      </w:pPr>
    </w:p>
    <w:p w:rsidR="00164C15" w:rsidRDefault="009F0F24" w:rsidP="00361420">
      <w:pPr>
        <w:spacing w:line="240" w:lineRule="exact"/>
        <w:jc w:val="both"/>
        <w:rPr>
          <w:rFonts w:asciiTheme="minorHAnsi" w:hAnsiTheme="minorHAnsi"/>
          <w:color w:val="auto"/>
          <w:szCs w:val="24"/>
        </w:rPr>
      </w:pPr>
      <w:r w:rsidRPr="009F0F24">
        <w:rPr>
          <w:rFonts w:asciiTheme="minorHAnsi" w:hAnsiTheme="minorHAnsi"/>
          <w:color w:val="auto"/>
          <w:szCs w:val="24"/>
          <w:u w:val="single"/>
        </w:rPr>
        <w:t>Left Knee Pain</w:t>
      </w:r>
      <w:r w:rsidRPr="009F0F24">
        <w:rPr>
          <w:rFonts w:asciiTheme="minorHAnsi" w:hAnsiTheme="minorHAnsi"/>
          <w:color w:val="auto"/>
          <w:szCs w:val="24"/>
        </w:rPr>
        <w:t>.</w:t>
      </w:r>
      <w:r w:rsidR="00D310FB">
        <w:rPr>
          <w:rFonts w:asciiTheme="minorHAnsi" w:hAnsiTheme="minorHAnsi"/>
          <w:color w:val="auto"/>
          <w:szCs w:val="24"/>
        </w:rPr>
        <w:t xml:space="preserve">  The CI injured his left knee in January 200</w:t>
      </w:r>
      <w:r w:rsidR="00164C15">
        <w:rPr>
          <w:rFonts w:asciiTheme="minorHAnsi" w:hAnsiTheme="minorHAnsi"/>
          <w:color w:val="auto"/>
          <w:szCs w:val="24"/>
        </w:rPr>
        <w:t>6</w:t>
      </w:r>
      <w:r w:rsidR="00DB2D6D">
        <w:rPr>
          <w:rFonts w:asciiTheme="minorHAnsi" w:hAnsiTheme="minorHAnsi"/>
          <w:color w:val="auto"/>
          <w:szCs w:val="24"/>
        </w:rPr>
        <w:t xml:space="preserve">.  </w:t>
      </w:r>
      <w:r w:rsidR="00164C15">
        <w:rPr>
          <w:rFonts w:asciiTheme="minorHAnsi" w:hAnsiTheme="minorHAnsi"/>
          <w:color w:val="auto"/>
          <w:szCs w:val="24"/>
        </w:rPr>
        <w:t xml:space="preserve">He jumped off a truck and his </w:t>
      </w:r>
      <w:r w:rsidR="000B012C">
        <w:rPr>
          <w:rFonts w:asciiTheme="minorHAnsi" w:hAnsiTheme="minorHAnsi"/>
          <w:color w:val="auto"/>
          <w:szCs w:val="24"/>
        </w:rPr>
        <w:t xml:space="preserve">left </w:t>
      </w:r>
      <w:r w:rsidR="00164C15">
        <w:rPr>
          <w:rFonts w:asciiTheme="minorHAnsi" w:hAnsiTheme="minorHAnsi"/>
          <w:color w:val="auto"/>
          <w:szCs w:val="24"/>
        </w:rPr>
        <w:t>knee buckled laterally.  He was first sent to physical therapy (PT)</w:t>
      </w:r>
      <w:r w:rsidR="00DB2D6D">
        <w:rPr>
          <w:rFonts w:asciiTheme="minorHAnsi" w:hAnsiTheme="minorHAnsi"/>
          <w:color w:val="auto"/>
          <w:szCs w:val="24"/>
        </w:rPr>
        <w:t>,</w:t>
      </w:r>
      <w:r w:rsidR="00164C15">
        <w:rPr>
          <w:rFonts w:asciiTheme="minorHAnsi" w:hAnsiTheme="minorHAnsi"/>
          <w:color w:val="auto"/>
          <w:szCs w:val="24"/>
        </w:rPr>
        <w:t xml:space="preserve"> but due to persistent pain </w:t>
      </w:r>
      <w:r w:rsidR="00DB2D6D">
        <w:rPr>
          <w:rFonts w:asciiTheme="minorHAnsi" w:hAnsiTheme="minorHAnsi"/>
          <w:color w:val="auto"/>
          <w:szCs w:val="24"/>
        </w:rPr>
        <w:t xml:space="preserve">he </w:t>
      </w:r>
      <w:r w:rsidR="00164C15">
        <w:rPr>
          <w:rFonts w:asciiTheme="minorHAnsi" w:hAnsiTheme="minorHAnsi"/>
          <w:color w:val="auto"/>
          <w:szCs w:val="24"/>
        </w:rPr>
        <w:t>w</w:t>
      </w:r>
      <w:r w:rsidR="00C43D20">
        <w:rPr>
          <w:rFonts w:asciiTheme="minorHAnsi" w:hAnsiTheme="minorHAnsi"/>
          <w:color w:val="auto"/>
          <w:szCs w:val="24"/>
        </w:rPr>
        <w:t xml:space="preserve">as referred to orthopedics.  Magnetic </w:t>
      </w:r>
      <w:r w:rsidR="008F6963">
        <w:rPr>
          <w:rFonts w:asciiTheme="minorHAnsi" w:hAnsiTheme="minorHAnsi"/>
          <w:color w:val="auto"/>
          <w:szCs w:val="24"/>
        </w:rPr>
        <w:t>r</w:t>
      </w:r>
      <w:r w:rsidR="00C43D20">
        <w:rPr>
          <w:rFonts w:asciiTheme="minorHAnsi" w:hAnsiTheme="minorHAnsi"/>
          <w:color w:val="auto"/>
          <w:szCs w:val="24"/>
        </w:rPr>
        <w:t xml:space="preserve">esonance </w:t>
      </w:r>
      <w:r w:rsidR="008F6963">
        <w:rPr>
          <w:rFonts w:asciiTheme="minorHAnsi" w:hAnsiTheme="minorHAnsi"/>
          <w:color w:val="auto"/>
          <w:szCs w:val="24"/>
        </w:rPr>
        <w:t>i</w:t>
      </w:r>
      <w:r w:rsidR="00C43D20">
        <w:rPr>
          <w:rFonts w:asciiTheme="minorHAnsi" w:hAnsiTheme="minorHAnsi"/>
          <w:color w:val="auto"/>
          <w:szCs w:val="24"/>
        </w:rPr>
        <w:t>maging</w:t>
      </w:r>
      <w:r w:rsidR="00164C15">
        <w:rPr>
          <w:rFonts w:asciiTheme="minorHAnsi" w:hAnsiTheme="minorHAnsi"/>
          <w:color w:val="auto"/>
          <w:szCs w:val="24"/>
        </w:rPr>
        <w:t xml:space="preserve"> </w:t>
      </w:r>
      <w:r w:rsidR="00DB2D6D">
        <w:rPr>
          <w:rFonts w:asciiTheme="minorHAnsi" w:hAnsiTheme="minorHAnsi"/>
          <w:color w:val="auto"/>
          <w:szCs w:val="24"/>
        </w:rPr>
        <w:t xml:space="preserve">(MRI) </w:t>
      </w:r>
      <w:r w:rsidR="00713426">
        <w:rPr>
          <w:rFonts w:asciiTheme="minorHAnsi" w:hAnsiTheme="minorHAnsi"/>
          <w:color w:val="auto"/>
          <w:szCs w:val="24"/>
        </w:rPr>
        <w:t>in February 2006 revealed a</w:t>
      </w:r>
      <w:r w:rsidR="00DB2D6D">
        <w:rPr>
          <w:rFonts w:asciiTheme="minorHAnsi" w:hAnsiTheme="minorHAnsi"/>
          <w:color w:val="auto"/>
          <w:szCs w:val="24"/>
        </w:rPr>
        <w:t xml:space="preserve">n </w:t>
      </w:r>
      <w:r w:rsidR="00164C15">
        <w:rPr>
          <w:rFonts w:asciiTheme="minorHAnsi" w:hAnsiTheme="minorHAnsi"/>
          <w:color w:val="auto"/>
          <w:szCs w:val="24"/>
        </w:rPr>
        <w:t>anterior cruciate ligament (ACL) tear</w:t>
      </w:r>
      <w:r w:rsidR="00DB2D6D">
        <w:rPr>
          <w:rFonts w:asciiTheme="minorHAnsi" w:hAnsiTheme="minorHAnsi"/>
          <w:color w:val="auto"/>
          <w:szCs w:val="24"/>
        </w:rPr>
        <w:t>,</w:t>
      </w:r>
      <w:r w:rsidR="00164C15">
        <w:rPr>
          <w:rFonts w:asciiTheme="minorHAnsi" w:hAnsiTheme="minorHAnsi"/>
          <w:color w:val="auto"/>
          <w:szCs w:val="24"/>
        </w:rPr>
        <w:t xml:space="preserve"> and a non</w:t>
      </w:r>
      <w:r w:rsidR="00DB2D6D">
        <w:rPr>
          <w:rFonts w:asciiTheme="minorHAnsi" w:hAnsiTheme="minorHAnsi"/>
          <w:color w:val="auto"/>
          <w:szCs w:val="24"/>
        </w:rPr>
        <w:t>-</w:t>
      </w:r>
      <w:r w:rsidR="00164C15">
        <w:rPr>
          <w:rFonts w:asciiTheme="minorHAnsi" w:hAnsiTheme="minorHAnsi"/>
          <w:color w:val="auto"/>
          <w:szCs w:val="24"/>
        </w:rPr>
        <w:t xml:space="preserve">displaced tibial plateau fracture.  It was decided to let the fracture </w:t>
      </w:r>
      <w:r w:rsidR="00C43D20">
        <w:rPr>
          <w:rFonts w:asciiTheme="minorHAnsi" w:hAnsiTheme="minorHAnsi"/>
          <w:color w:val="auto"/>
          <w:szCs w:val="24"/>
        </w:rPr>
        <w:t xml:space="preserve">heal before repairing the ACL.  </w:t>
      </w:r>
      <w:r w:rsidR="00164C15">
        <w:rPr>
          <w:rFonts w:asciiTheme="minorHAnsi" w:hAnsiTheme="minorHAnsi"/>
          <w:color w:val="auto"/>
          <w:szCs w:val="24"/>
        </w:rPr>
        <w:t xml:space="preserve">The CI had ACL reconstruction done in </w:t>
      </w:r>
      <w:r w:rsidR="00164C15">
        <w:rPr>
          <w:rFonts w:asciiTheme="minorHAnsi" w:hAnsiTheme="minorHAnsi"/>
          <w:color w:val="auto"/>
          <w:szCs w:val="24"/>
        </w:rPr>
        <w:lastRenderedPageBreak/>
        <w:t>June 2006</w:t>
      </w:r>
      <w:r w:rsidR="0035484D">
        <w:rPr>
          <w:rFonts w:asciiTheme="minorHAnsi" w:hAnsiTheme="minorHAnsi"/>
          <w:color w:val="auto"/>
          <w:szCs w:val="24"/>
        </w:rPr>
        <w:t>.  T</w:t>
      </w:r>
      <w:r w:rsidR="00164C15">
        <w:rPr>
          <w:rFonts w:asciiTheme="minorHAnsi" w:hAnsiTheme="minorHAnsi"/>
          <w:color w:val="auto"/>
          <w:szCs w:val="24"/>
        </w:rPr>
        <w:t xml:space="preserve">he knee stability improved, </w:t>
      </w:r>
      <w:r w:rsidR="0035484D">
        <w:rPr>
          <w:rFonts w:asciiTheme="minorHAnsi" w:hAnsiTheme="minorHAnsi"/>
          <w:color w:val="auto"/>
          <w:szCs w:val="24"/>
        </w:rPr>
        <w:t xml:space="preserve">but </w:t>
      </w:r>
      <w:r w:rsidR="00164C15">
        <w:rPr>
          <w:rFonts w:asciiTheme="minorHAnsi" w:hAnsiTheme="minorHAnsi"/>
          <w:color w:val="auto"/>
          <w:szCs w:val="24"/>
        </w:rPr>
        <w:t>the pain persisted</w:t>
      </w:r>
      <w:r w:rsidR="000B012C">
        <w:rPr>
          <w:rFonts w:asciiTheme="minorHAnsi" w:hAnsiTheme="minorHAnsi"/>
          <w:color w:val="auto"/>
          <w:szCs w:val="24"/>
        </w:rPr>
        <w:t xml:space="preserve">, and </w:t>
      </w:r>
      <w:r w:rsidR="00164C15">
        <w:rPr>
          <w:rFonts w:asciiTheme="minorHAnsi" w:hAnsiTheme="minorHAnsi"/>
          <w:color w:val="auto"/>
          <w:szCs w:val="24"/>
        </w:rPr>
        <w:t xml:space="preserve">an MEB was initiated.  </w:t>
      </w:r>
      <w:r w:rsidR="00DF7676">
        <w:rPr>
          <w:rFonts w:asciiTheme="minorHAnsi" w:hAnsiTheme="minorHAnsi"/>
          <w:color w:val="auto"/>
          <w:szCs w:val="24"/>
        </w:rPr>
        <w:t xml:space="preserve">At his </w:t>
      </w:r>
      <w:r w:rsidR="000B012C">
        <w:rPr>
          <w:rFonts w:asciiTheme="minorHAnsi" w:hAnsiTheme="minorHAnsi"/>
          <w:color w:val="auto"/>
          <w:szCs w:val="24"/>
        </w:rPr>
        <w:t>November 2006</w:t>
      </w:r>
      <w:r w:rsidR="00DF7676">
        <w:rPr>
          <w:rFonts w:asciiTheme="minorHAnsi" w:hAnsiTheme="minorHAnsi"/>
          <w:color w:val="auto"/>
          <w:szCs w:val="24"/>
        </w:rPr>
        <w:t xml:space="preserve"> MEB exam,</w:t>
      </w:r>
      <w:r w:rsidR="000B012C">
        <w:rPr>
          <w:rFonts w:asciiTheme="minorHAnsi" w:hAnsiTheme="minorHAnsi"/>
          <w:color w:val="auto"/>
          <w:szCs w:val="24"/>
        </w:rPr>
        <w:t xml:space="preserve"> 15 weeks</w:t>
      </w:r>
      <w:r w:rsidR="00DF7676">
        <w:rPr>
          <w:rFonts w:asciiTheme="minorHAnsi" w:hAnsiTheme="minorHAnsi"/>
          <w:color w:val="auto"/>
          <w:szCs w:val="24"/>
        </w:rPr>
        <w:t xml:space="preserve"> prior to separation, the CI </w:t>
      </w:r>
      <w:r w:rsidR="00E264A1">
        <w:rPr>
          <w:rFonts w:asciiTheme="minorHAnsi" w:hAnsiTheme="minorHAnsi"/>
          <w:color w:val="auto"/>
          <w:szCs w:val="24"/>
        </w:rPr>
        <w:t xml:space="preserve">reported </w:t>
      </w:r>
      <w:r w:rsidR="000B012C">
        <w:rPr>
          <w:rFonts w:asciiTheme="minorHAnsi" w:hAnsiTheme="minorHAnsi"/>
          <w:color w:val="auto"/>
          <w:szCs w:val="24"/>
        </w:rPr>
        <w:t>knee pain</w:t>
      </w:r>
      <w:r w:rsidR="00E264A1">
        <w:rPr>
          <w:rFonts w:asciiTheme="minorHAnsi" w:hAnsiTheme="minorHAnsi"/>
          <w:color w:val="auto"/>
          <w:szCs w:val="24"/>
        </w:rPr>
        <w:t xml:space="preserve"> with stiffness and occas</w:t>
      </w:r>
      <w:r w:rsidR="00713426">
        <w:rPr>
          <w:rFonts w:asciiTheme="minorHAnsi" w:hAnsiTheme="minorHAnsi"/>
          <w:color w:val="auto"/>
          <w:szCs w:val="24"/>
        </w:rPr>
        <w:t xml:space="preserve">ional swelling.  The pain </w:t>
      </w:r>
      <w:r w:rsidR="000B012C">
        <w:rPr>
          <w:rFonts w:asciiTheme="minorHAnsi" w:hAnsiTheme="minorHAnsi"/>
          <w:color w:val="auto"/>
          <w:szCs w:val="24"/>
        </w:rPr>
        <w:t>was worse with</w:t>
      </w:r>
      <w:r w:rsidR="00E264A1">
        <w:rPr>
          <w:rFonts w:asciiTheme="minorHAnsi" w:hAnsiTheme="minorHAnsi"/>
          <w:color w:val="auto"/>
          <w:szCs w:val="24"/>
        </w:rPr>
        <w:t xml:space="preserve"> walking, </w:t>
      </w:r>
      <w:r w:rsidR="000B012C">
        <w:rPr>
          <w:rFonts w:asciiTheme="minorHAnsi" w:hAnsiTheme="minorHAnsi"/>
          <w:color w:val="auto"/>
          <w:szCs w:val="24"/>
        </w:rPr>
        <w:t>sitting, or prolonged standing</w:t>
      </w:r>
      <w:r w:rsidR="00E264A1">
        <w:rPr>
          <w:rFonts w:asciiTheme="minorHAnsi" w:hAnsiTheme="minorHAnsi"/>
          <w:color w:val="auto"/>
          <w:szCs w:val="24"/>
        </w:rPr>
        <w:t>.  He denied instability or giving way</w:t>
      </w:r>
      <w:r w:rsidR="000B012C">
        <w:rPr>
          <w:rFonts w:asciiTheme="minorHAnsi" w:hAnsiTheme="minorHAnsi"/>
          <w:color w:val="auto"/>
          <w:szCs w:val="24"/>
        </w:rPr>
        <w:t>,</w:t>
      </w:r>
      <w:r w:rsidR="00E264A1">
        <w:rPr>
          <w:rFonts w:asciiTheme="minorHAnsi" w:hAnsiTheme="minorHAnsi"/>
          <w:color w:val="auto"/>
          <w:szCs w:val="24"/>
        </w:rPr>
        <w:t xml:space="preserve"> but reported that it did “lock up” once.  On exam the CI </w:t>
      </w:r>
      <w:r w:rsidR="00DF7676">
        <w:rPr>
          <w:rFonts w:asciiTheme="minorHAnsi" w:hAnsiTheme="minorHAnsi"/>
          <w:color w:val="auto"/>
          <w:szCs w:val="24"/>
        </w:rPr>
        <w:t>had a normal gait</w:t>
      </w:r>
      <w:r w:rsidR="000B012C">
        <w:rPr>
          <w:rFonts w:asciiTheme="minorHAnsi" w:hAnsiTheme="minorHAnsi"/>
          <w:color w:val="auto"/>
          <w:szCs w:val="24"/>
        </w:rPr>
        <w:t>,</w:t>
      </w:r>
      <w:r w:rsidR="00DF7676">
        <w:rPr>
          <w:rFonts w:asciiTheme="minorHAnsi" w:hAnsiTheme="minorHAnsi"/>
          <w:color w:val="auto"/>
          <w:szCs w:val="24"/>
        </w:rPr>
        <w:t xml:space="preserve"> and </w:t>
      </w:r>
      <w:r w:rsidR="00241733">
        <w:rPr>
          <w:rFonts w:asciiTheme="minorHAnsi" w:hAnsiTheme="minorHAnsi"/>
          <w:color w:val="auto"/>
          <w:szCs w:val="24"/>
        </w:rPr>
        <w:t xml:space="preserve">no medial or lateral instability.  He had a positive Lachman’s, positive medial McMurray’s and a five millimeter anterior Drawer test.  Neurological exam was normal and he had no muscle atrophy.  </w:t>
      </w:r>
      <w:r w:rsidR="00AC2167">
        <w:rPr>
          <w:rFonts w:asciiTheme="minorHAnsi" w:hAnsiTheme="minorHAnsi"/>
          <w:color w:val="auto"/>
          <w:szCs w:val="24"/>
        </w:rPr>
        <w:t>R</w:t>
      </w:r>
      <w:r w:rsidR="008F6963">
        <w:rPr>
          <w:rFonts w:asciiTheme="minorHAnsi" w:hAnsiTheme="minorHAnsi"/>
          <w:color w:val="auto"/>
          <w:szCs w:val="24"/>
        </w:rPr>
        <w:t>ange-of-</w:t>
      </w:r>
      <w:r w:rsidR="00241733">
        <w:rPr>
          <w:rFonts w:asciiTheme="minorHAnsi" w:hAnsiTheme="minorHAnsi"/>
          <w:color w:val="auto"/>
          <w:szCs w:val="24"/>
        </w:rPr>
        <w:t xml:space="preserve">motion (ROM) </w:t>
      </w:r>
      <w:r w:rsidR="00AC2167">
        <w:rPr>
          <w:rFonts w:asciiTheme="minorHAnsi" w:hAnsiTheme="minorHAnsi"/>
          <w:color w:val="auto"/>
          <w:szCs w:val="24"/>
        </w:rPr>
        <w:t>is shown in the chart below</w:t>
      </w:r>
      <w:r w:rsidR="00241733">
        <w:rPr>
          <w:rFonts w:asciiTheme="minorHAnsi" w:hAnsiTheme="minorHAnsi"/>
          <w:color w:val="auto"/>
          <w:szCs w:val="24"/>
        </w:rPr>
        <w:t xml:space="preserve">.  </w:t>
      </w:r>
    </w:p>
    <w:p w:rsidR="0045661E" w:rsidRDefault="0045661E" w:rsidP="00361420">
      <w:pPr>
        <w:spacing w:line="240" w:lineRule="exact"/>
        <w:jc w:val="both"/>
        <w:rPr>
          <w:rFonts w:asciiTheme="minorHAnsi" w:hAnsiTheme="minorHAnsi"/>
          <w:color w:val="auto"/>
          <w:szCs w:val="24"/>
        </w:rPr>
      </w:pPr>
    </w:p>
    <w:p w:rsidR="009A43B7" w:rsidRDefault="00DB467E" w:rsidP="00361420">
      <w:pPr>
        <w:tabs>
          <w:tab w:val="left" w:pos="288"/>
          <w:tab w:val="left" w:pos="4752"/>
        </w:tabs>
        <w:spacing w:line="240" w:lineRule="exact"/>
        <w:jc w:val="both"/>
        <w:rPr>
          <w:rFonts w:asciiTheme="minorHAnsi" w:hAnsiTheme="minorHAnsi"/>
          <w:color w:val="auto"/>
          <w:szCs w:val="24"/>
        </w:rPr>
      </w:pPr>
      <w:r>
        <w:rPr>
          <w:color w:val="auto"/>
          <w:szCs w:val="24"/>
        </w:rPr>
        <w:t xml:space="preserve">At the </w:t>
      </w:r>
      <w:r w:rsidR="003B3685">
        <w:rPr>
          <w:color w:val="auto"/>
          <w:szCs w:val="24"/>
        </w:rPr>
        <w:t>July 2007</w:t>
      </w:r>
      <w:r w:rsidR="009C1B38">
        <w:rPr>
          <w:color w:val="auto"/>
          <w:szCs w:val="24"/>
        </w:rPr>
        <w:t xml:space="preserve"> </w:t>
      </w:r>
      <w:r w:rsidR="009C1B38">
        <w:rPr>
          <w:rFonts w:asciiTheme="minorHAnsi" w:hAnsiTheme="minorHAnsi"/>
          <w:color w:val="auto"/>
          <w:szCs w:val="24"/>
        </w:rPr>
        <w:t xml:space="preserve">general </w:t>
      </w:r>
      <w:r>
        <w:rPr>
          <w:rFonts w:asciiTheme="minorHAnsi" w:hAnsiTheme="minorHAnsi"/>
          <w:color w:val="auto"/>
          <w:szCs w:val="24"/>
        </w:rPr>
        <w:t xml:space="preserve">medical </w:t>
      </w:r>
      <w:r w:rsidR="009C1B38">
        <w:rPr>
          <w:rFonts w:asciiTheme="minorHAnsi" w:hAnsiTheme="minorHAnsi"/>
          <w:color w:val="auto"/>
          <w:szCs w:val="24"/>
        </w:rPr>
        <w:t>C&amp;P exam</w:t>
      </w:r>
      <w:r w:rsidR="003B3685">
        <w:rPr>
          <w:rFonts w:asciiTheme="minorHAnsi" w:hAnsiTheme="minorHAnsi"/>
          <w:color w:val="auto"/>
          <w:szCs w:val="24"/>
        </w:rPr>
        <w:t xml:space="preserve">, </w:t>
      </w:r>
      <w:r w:rsidR="00D07C2E">
        <w:rPr>
          <w:rFonts w:asciiTheme="minorHAnsi" w:hAnsiTheme="minorHAnsi"/>
          <w:color w:val="auto"/>
          <w:szCs w:val="24"/>
        </w:rPr>
        <w:t>the</w:t>
      </w:r>
      <w:r w:rsidR="00241733">
        <w:rPr>
          <w:rFonts w:asciiTheme="minorHAnsi" w:hAnsiTheme="minorHAnsi"/>
          <w:color w:val="auto"/>
          <w:szCs w:val="24"/>
        </w:rPr>
        <w:t xml:space="preserve"> CI </w:t>
      </w:r>
      <w:r>
        <w:rPr>
          <w:rFonts w:asciiTheme="minorHAnsi" w:hAnsiTheme="minorHAnsi"/>
          <w:color w:val="auto"/>
          <w:szCs w:val="24"/>
        </w:rPr>
        <w:t>reported</w:t>
      </w:r>
      <w:r w:rsidR="00241733">
        <w:rPr>
          <w:rFonts w:asciiTheme="minorHAnsi" w:hAnsiTheme="minorHAnsi"/>
          <w:color w:val="auto"/>
          <w:szCs w:val="24"/>
        </w:rPr>
        <w:t xml:space="preserve"> occasional flare-ups of left knee pain that occurred after squatting, </w:t>
      </w:r>
      <w:r w:rsidR="00B072DF">
        <w:rPr>
          <w:rFonts w:asciiTheme="minorHAnsi" w:hAnsiTheme="minorHAnsi"/>
          <w:color w:val="auto"/>
          <w:szCs w:val="24"/>
        </w:rPr>
        <w:t xml:space="preserve">prolonged standing, or </w:t>
      </w:r>
      <w:r w:rsidR="00241733">
        <w:rPr>
          <w:rFonts w:asciiTheme="minorHAnsi" w:hAnsiTheme="minorHAnsi"/>
          <w:color w:val="auto"/>
          <w:szCs w:val="24"/>
        </w:rPr>
        <w:t>walking more than a quarter mile.  The pain resolve</w:t>
      </w:r>
      <w:r w:rsidR="00B072DF">
        <w:rPr>
          <w:rFonts w:asciiTheme="minorHAnsi" w:hAnsiTheme="minorHAnsi"/>
          <w:color w:val="auto"/>
          <w:szCs w:val="24"/>
        </w:rPr>
        <w:t>d</w:t>
      </w:r>
      <w:r w:rsidR="00241733">
        <w:rPr>
          <w:rFonts w:asciiTheme="minorHAnsi" w:hAnsiTheme="minorHAnsi"/>
          <w:color w:val="auto"/>
          <w:szCs w:val="24"/>
        </w:rPr>
        <w:t xml:space="preserve"> with rest</w:t>
      </w:r>
      <w:r>
        <w:rPr>
          <w:rFonts w:asciiTheme="minorHAnsi" w:hAnsiTheme="minorHAnsi"/>
          <w:color w:val="auto"/>
          <w:szCs w:val="24"/>
        </w:rPr>
        <w:t>,</w:t>
      </w:r>
      <w:r w:rsidR="00241733">
        <w:rPr>
          <w:rFonts w:asciiTheme="minorHAnsi" w:hAnsiTheme="minorHAnsi"/>
          <w:color w:val="auto"/>
          <w:szCs w:val="24"/>
        </w:rPr>
        <w:t xml:space="preserve"> and occasionally he would apply ice.  He denied weakness, </w:t>
      </w:r>
      <w:r w:rsidR="00B072DF">
        <w:rPr>
          <w:rFonts w:asciiTheme="minorHAnsi" w:hAnsiTheme="minorHAnsi"/>
          <w:color w:val="auto"/>
          <w:szCs w:val="24"/>
        </w:rPr>
        <w:t xml:space="preserve">giving way, </w:t>
      </w:r>
      <w:r w:rsidR="00241733">
        <w:rPr>
          <w:rFonts w:asciiTheme="minorHAnsi" w:hAnsiTheme="minorHAnsi"/>
          <w:color w:val="auto"/>
          <w:szCs w:val="24"/>
        </w:rPr>
        <w:t>instability</w:t>
      </w:r>
      <w:r w:rsidR="009A43B7">
        <w:rPr>
          <w:rFonts w:asciiTheme="minorHAnsi" w:hAnsiTheme="minorHAnsi"/>
          <w:color w:val="auto"/>
          <w:szCs w:val="24"/>
        </w:rPr>
        <w:t>, or locking.  On exam</w:t>
      </w:r>
      <w:r>
        <w:rPr>
          <w:rFonts w:asciiTheme="minorHAnsi" w:hAnsiTheme="minorHAnsi"/>
          <w:color w:val="auto"/>
          <w:szCs w:val="24"/>
        </w:rPr>
        <w:t xml:space="preserve">, </w:t>
      </w:r>
      <w:r w:rsidR="009A43B7">
        <w:rPr>
          <w:rFonts w:asciiTheme="minorHAnsi" w:hAnsiTheme="minorHAnsi"/>
          <w:color w:val="auto"/>
          <w:szCs w:val="24"/>
        </w:rPr>
        <w:t xml:space="preserve">he had </w:t>
      </w:r>
      <w:r w:rsidR="00023D13">
        <w:rPr>
          <w:rFonts w:asciiTheme="minorHAnsi" w:hAnsiTheme="minorHAnsi"/>
          <w:color w:val="auto"/>
          <w:szCs w:val="24"/>
        </w:rPr>
        <w:t xml:space="preserve">a </w:t>
      </w:r>
      <w:r w:rsidR="009A43B7">
        <w:rPr>
          <w:rFonts w:asciiTheme="minorHAnsi" w:hAnsiTheme="minorHAnsi"/>
          <w:color w:val="auto"/>
          <w:szCs w:val="24"/>
        </w:rPr>
        <w:t>normal gait and no instability.  Lachman’s, McMurr</w:t>
      </w:r>
      <w:r>
        <w:rPr>
          <w:rFonts w:asciiTheme="minorHAnsi" w:hAnsiTheme="minorHAnsi"/>
          <w:color w:val="auto"/>
          <w:szCs w:val="24"/>
        </w:rPr>
        <w:t>a</w:t>
      </w:r>
      <w:r w:rsidR="009A43B7">
        <w:rPr>
          <w:rFonts w:asciiTheme="minorHAnsi" w:hAnsiTheme="minorHAnsi"/>
          <w:color w:val="auto"/>
          <w:szCs w:val="24"/>
        </w:rPr>
        <w:t xml:space="preserve">y’s and anterior/posterior </w:t>
      </w:r>
      <w:r w:rsidR="00CE4DEE">
        <w:rPr>
          <w:rFonts w:asciiTheme="minorHAnsi" w:hAnsiTheme="minorHAnsi"/>
          <w:color w:val="auto"/>
          <w:szCs w:val="24"/>
        </w:rPr>
        <w:t xml:space="preserve">drawer </w:t>
      </w:r>
      <w:r w:rsidR="009A43B7">
        <w:rPr>
          <w:rFonts w:asciiTheme="minorHAnsi" w:hAnsiTheme="minorHAnsi"/>
          <w:color w:val="auto"/>
          <w:szCs w:val="24"/>
        </w:rPr>
        <w:t xml:space="preserve">tests were all normal.  He had a negative patellar grind and no joint line tenderness.  </w:t>
      </w:r>
      <w:r w:rsidR="00B072DF">
        <w:rPr>
          <w:rFonts w:asciiTheme="minorHAnsi" w:hAnsiTheme="minorHAnsi"/>
          <w:color w:val="auto"/>
          <w:szCs w:val="24"/>
        </w:rPr>
        <w:t>His t</w:t>
      </w:r>
      <w:r w:rsidR="009A43B7">
        <w:rPr>
          <w:rFonts w:asciiTheme="minorHAnsi" w:hAnsiTheme="minorHAnsi"/>
          <w:color w:val="auto"/>
          <w:szCs w:val="24"/>
        </w:rPr>
        <w:t>wo</w:t>
      </w:r>
      <w:r w:rsidR="009A43B7" w:rsidRPr="00664296">
        <w:rPr>
          <w:rFonts w:asciiTheme="minorHAnsi" w:hAnsiTheme="minorHAnsi"/>
          <w:color w:val="auto"/>
          <w:szCs w:val="24"/>
        </w:rPr>
        <w:t xml:space="preserve"> </w:t>
      </w:r>
      <w:r w:rsidR="0014150B">
        <w:rPr>
          <w:rFonts w:asciiTheme="minorHAnsi" w:hAnsiTheme="minorHAnsi"/>
          <w:color w:val="auto"/>
          <w:szCs w:val="24"/>
        </w:rPr>
        <w:t>goniometric ROM</w:t>
      </w:r>
      <w:r w:rsidR="009A43B7" w:rsidRPr="003408EB">
        <w:rPr>
          <w:rFonts w:asciiTheme="minorHAnsi" w:hAnsiTheme="minorHAnsi"/>
          <w:color w:val="auto"/>
          <w:szCs w:val="24"/>
        </w:rPr>
        <w:t xml:space="preserve"> e</w:t>
      </w:r>
      <w:r w:rsidR="00B072DF">
        <w:rPr>
          <w:rFonts w:asciiTheme="minorHAnsi" w:hAnsiTheme="minorHAnsi"/>
          <w:color w:val="auto"/>
          <w:szCs w:val="24"/>
        </w:rPr>
        <w:t>xams</w:t>
      </w:r>
      <w:r w:rsidR="009A43B7" w:rsidRPr="003408EB">
        <w:rPr>
          <w:rFonts w:asciiTheme="minorHAnsi" w:hAnsiTheme="minorHAnsi"/>
          <w:color w:val="auto"/>
          <w:szCs w:val="24"/>
        </w:rPr>
        <w:t xml:space="preserve"> </w:t>
      </w:r>
      <w:r w:rsidR="00CE4DEE">
        <w:rPr>
          <w:rFonts w:asciiTheme="minorHAnsi" w:hAnsiTheme="minorHAnsi"/>
          <w:color w:val="auto"/>
          <w:szCs w:val="24"/>
        </w:rPr>
        <w:t xml:space="preserve">are </w:t>
      </w:r>
      <w:r w:rsidR="009A43B7" w:rsidRPr="003408EB">
        <w:rPr>
          <w:rFonts w:asciiTheme="minorHAnsi" w:hAnsiTheme="minorHAnsi"/>
          <w:color w:val="auto"/>
          <w:szCs w:val="24"/>
        </w:rPr>
        <w:t>summarized be</w:t>
      </w:r>
      <w:r w:rsidR="009A43B7" w:rsidRPr="00664296">
        <w:rPr>
          <w:rFonts w:asciiTheme="minorHAnsi" w:hAnsiTheme="minorHAnsi"/>
          <w:color w:val="auto"/>
          <w:szCs w:val="24"/>
        </w:rPr>
        <w:t>low.</w:t>
      </w:r>
    </w:p>
    <w:p w:rsidR="009A43B7" w:rsidRPr="00C34CEB" w:rsidRDefault="009A43B7" w:rsidP="00361420">
      <w:pPr>
        <w:spacing w:line="240" w:lineRule="exact"/>
        <w:rPr>
          <w:rFonts w:asciiTheme="minorHAnsi" w:eastAsiaTheme="minorHAnsi" w:hAnsiTheme="minorHAnsi" w:cstheme="minorBidi"/>
          <w:color w:val="auto"/>
          <w:sz w:val="18"/>
          <w:szCs w:val="18"/>
        </w:rPr>
      </w:pPr>
    </w:p>
    <w:tbl>
      <w:tblPr>
        <w:tblW w:w="7652" w:type="dxa"/>
        <w:jc w:val="center"/>
        <w:tblInd w:w="-4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09"/>
        <w:gridCol w:w="2451"/>
        <w:gridCol w:w="2792"/>
      </w:tblGrid>
      <w:tr w:rsidR="009A43B7" w:rsidRPr="00C34CEB" w:rsidTr="00CE4DEE">
        <w:trPr>
          <w:jc w:val="center"/>
        </w:trPr>
        <w:tc>
          <w:tcPr>
            <w:tcW w:w="2409" w:type="dxa"/>
            <w:shd w:val="clear" w:color="auto" w:fill="D9D9D9" w:themeFill="background1" w:themeFillShade="D9"/>
            <w:vAlign w:val="center"/>
          </w:tcPr>
          <w:p w:rsidR="009A43B7" w:rsidRPr="009A43B7" w:rsidRDefault="009A43B7" w:rsidP="00361420">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 xml:space="preserve">Goniometric ROM </w:t>
            </w:r>
          </w:p>
          <w:p w:rsidR="009A43B7" w:rsidRPr="009A43B7" w:rsidRDefault="009A43B7" w:rsidP="00361420">
            <w:pPr>
              <w:spacing w:line="240" w:lineRule="exact"/>
              <w:contextualSpacing/>
              <w:jc w:val="center"/>
              <w:rPr>
                <w:rFonts w:asciiTheme="minorHAnsi" w:eastAsia="Calibri" w:hAnsiTheme="minorHAnsi"/>
                <w:color w:val="auto"/>
                <w:sz w:val="22"/>
                <w:szCs w:val="22"/>
              </w:rPr>
            </w:pPr>
            <w:r w:rsidRPr="009A43B7">
              <w:rPr>
                <w:rFonts w:asciiTheme="minorHAnsi" w:eastAsia="Calibri" w:hAnsiTheme="minorHAnsi"/>
                <w:color w:val="auto"/>
                <w:sz w:val="22"/>
                <w:szCs w:val="22"/>
              </w:rPr>
              <w:t>Left Knee</w:t>
            </w:r>
          </w:p>
        </w:tc>
        <w:tc>
          <w:tcPr>
            <w:tcW w:w="2451" w:type="dxa"/>
            <w:shd w:val="clear" w:color="auto" w:fill="D9D9D9" w:themeFill="background1" w:themeFillShade="D9"/>
            <w:vAlign w:val="center"/>
          </w:tcPr>
          <w:p w:rsidR="009A43B7" w:rsidRPr="009A43B7" w:rsidRDefault="009A43B7" w:rsidP="00CE4DEE">
            <w:pPr>
              <w:spacing w:line="240" w:lineRule="exact"/>
              <w:contextualSpacing/>
              <w:jc w:val="center"/>
              <w:rPr>
                <w:rFonts w:asciiTheme="minorHAnsi" w:eastAsia="Calibri" w:hAnsiTheme="minorHAnsi"/>
                <w:color w:val="auto"/>
                <w:sz w:val="22"/>
                <w:szCs w:val="22"/>
              </w:rPr>
            </w:pPr>
            <w:r w:rsidRPr="009A43B7">
              <w:rPr>
                <w:rFonts w:asciiTheme="minorHAnsi" w:eastAsia="Calibri" w:hAnsiTheme="minorHAnsi"/>
                <w:color w:val="auto"/>
                <w:sz w:val="22"/>
                <w:szCs w:val="22"/>
              </w:rPr>
              <w:t>MEB</w:t>
            </w:r>
            <w:r w:rsidR="00CE4DEE">
              <w:rPr>
                <w:rFonts w:asciiTheme="minorHAnsi" w:eastAsia="Calibri" w:hAnsiTheme="minorHAnsi"/>
                <w:color w:val="auto"/>
                <w:sz w:val="22"/>
                <w:szCs w:val="22"/>
              </w:rPr>
              <w:t xml:space="preserve"> – 15 weeks </w:t>
            </w:r>
            <w:r w:rsidRPr="009A43B7">
              <w:rPr>
                <w:rFonts w:asciiTheme="minorHAnsi" w:eastAsia="Calibri" w:hAnsiTheme="minorHAnsi"/>
                <w:color w:val="auto"/>
                <w:sz w:val="22"/>
                <w:szCs w:val="22"/>
              </w:rPr>
              <w:t>Pre-Sep</w:t>
            </w:r>
            <w:r>
              <w:rPr>
                <w:rFonts w:asciiTheme="minorHAnsi" w:eastAsia="Calibri" w:hAnsiTheme="minorHAnsi"/>
                <w:color w:val="auto"/>
                <w:sz w:val="22"/>
                <w:szCs w:val="22"/>
              </w:rPr>
              <w:t xml:space="preserve"> </w:t>
            </w:r>
            <w:r w:rsidR="00CE4DEE">
              <w:rPr>
                <w:rFonts w:asciiTheme="minorHAnsi" w:eastAsia="Calibri" w:hAnsiTheme="minorHAnsi"/>
                <w:color w:val="auto"/>
                <w:sz w:val="22"/>
                <w:szCs w:val="22"/>
              </w:rPr>
              <w:t>(</w:t>
            </w:r>
            <w:r>
              <w:rPr>
                <w:rFonts w:asciiTheme="minorHAnsi" w:eastAsia="Calibri" w:hAnsiTheme="minorHAnsi"/>
                <w:color w:val="auto"/>
                <w:sz w:val="22"/>
                <w:szCs w:val="22"/>
              </w:rPr>
              <w:t>20061128</w:t>
            </w:r>
            <w:r w:rsidR="00CE4DEE">
              <w:rPr>
                <w:rFonts w:asciiTheme="minorHAnsi" w:eastAsia="Calibri" w:hAnsiTheme="minorHAnsi"/>
                <w:color w:val="auto"/>
                <w:sz w:val="22"/>
                <w:szCs w:val="22"/>
              </w:rPr>
              <w:t>)</w:t>
            </w:r>
          </w:p>
        </w:tc>
        <w:tc>
          <w:tcPr>
            <w:tcW w:w="2792" w:type="dxa"/>
            <w:shd w:val="clear" w:color="auto" w:fill="D9D9D9" w:themeFill="background1" w:themeFillShade="D9"/>
            <w:vAlign w:val="center"/>
          </w:tcPr>
          <w:p w:rsidR="009A43B7" w:rsidRDefault="009A43B7" w:rsidP="00DB467E">
            <w:pPr>
              <w:spacing w:line="240" w:lineRule="exact"/>
              <w:contextualSpacing/>
              <w:jc w:val="center"/>
              <w:rPr>
                <w:rFonts w:asciiTheme="minorHAnsi" w:eastAsia="Calibri" w:hAnsiTheme="minorHAnsi"/>
                <w:color w:val="auto"/>
                <w:sz w:val="22"/>
                <w:szCs w:val="22"/>
              </w:rPr>
            </w:pPr>
            <w:r w:rsidRPr="009A43B7">
              <w:rPr>
                <w:rFonts w:asciiTheme="minorHAnsi" w:eastAsia="Calibri" w:hAnsiTheme="minorHAnsi"/>
                <w:color w:val="auto"/>
                <w:sz w:val="22"/>
                <w:szCs w:val="22"/>
              </w:rPr>
              <w:t>VA</w:t>
            </w:r>
            <w:r w:rsidRPr="009A43B7">
              <w:rPr>
                <w:rFonts w:asciiTheme="minorHAnsi" w:eastAsiaTheme="minorHAnsi" w:hAnsiTheme="minorHAnsi" w:cstheme="minorBidi"/>
                <w:color w:val="auto"/>
                <w:sz w:val="22"/>
                <w:szCs w:val="22"/>
              </w:rPr>
              <w:t xml:space="preserve"> C&amp;P</w:t>
            </w:r>
            <w:r w:rsidR="00CE4DEE">
              <w:rPr>
                <w:rFonts w:asciiTheme="minorHAnsi" w:eastAsiaTheme="minorHAnsi" w:hAnsiTheme="minorHAnsi" w:cstheme="minorBidi"/>
                <w:color w:val="auto"/>
                <w:sz w:val="22"/>
                <w:szCs w:val="22"/>
              </w:rPr>
              <w:t xml:space="preserve"> – 19 weeks Post</w:t>
            </w:r>
            <w:r w:rsidRPr="009A43B7">
              <w:rPr>
                <w:rFonts w:asciiTheme="minorHAnsi" w:eastAsia="Calibri" w:hAnsiTheme="minorHAnsi"/>
                <w:color w:val="auto"/>
                <w:sz w:val="22"/>
                <w:szCs w:val="22"/>
              </w:rPr>
              <w:t>-Sep</w:t>
            </w:r>
          </w:p>
          <w:p w:rsidR="009A43B7" w:rsidRPr="009A43B7" w:rsidRDefault="00CE4DEE" w:rsidP="00DB467E">
            <w:pPr>
              <w:spacing w:line="240" w:lineRule="exact"/>
              <w:contextualSpacing/>
              <w:jc w:val="center"/>
              <w:rPr>
                <w:rFonts w:asciiTheme="minorHAnsi" w:eastAsiaTheme="minorHAnsi" w:hAnsiTheme="minorHAnsi" w:cstheme="minorBidi"/>
                <w:color w:val="auto"/>
                <w:sz w:val="22"/>
                <w:szCs w:val="22"/>
              </w:rPr>
            </w:pPr>
            <w:r>
              <w:rPr>
                <w:rFonts w:asciiTheme="minorHAnsi" w:eastAsia="Calibri" w:hAnsiTheme="minorHAnsi"/>
                <w:color w:val="auto"/>
                <w:sz w:val="22"/>
                <w:szCs w:val="22"/>
              </w:rPr>
              <w:t>(</w:t>
            </w:r>
            <w:r w:rsidR="009A43B7">
              <w:rPr>
                <w:rFonts w:asciiTheme="minorHAnsi" w:eastAsia="Calibri" w:hAnsiTheme="minorHAnsi"/>
                <w:color w:val="auto"/>
                <w:sz w:val="22"/>
                <w:szCs w:val="22"/>
              </w:rPr>
              <w:t>20070723</w:t>
            </w:r>
            <w:r>
              <w:rPr>
                <w:rFonts w:asciiTheme="minorHAnsi" w:eastAsia="Calibri" w:hAnsiTheme="minorHAnsi"/>
                <w:color w:val="auto"/>
                <w:sz w:val="22"/>
                <w:szCs w:val="22"/>
              </w:rPr>
              <w:t>)</w:t>
            </w:r>
          </w:p>
        </w:tc>
      </w:tr>
      <w:tr w:rsidR="009A43B7" w:rsidRPr="00C34CEB" w:rsidTr="00CE4DEE">
        <w:trPr>
          <w:jc w:val="center"/>
        </w:trPr>
        <w:tc>
          <w:tcPr>
            <w:tcW w:w="2409" w:type="dxa"/>
            <w:vAlign w:val="center"/>
          </w:tcPr>
          <w:p w:rsidR="009A43B7" w:rsidRPr="009A43B7" w:rsidRDefault="009A43B7" w:rsidP="00361420">
            <w:pPr>
              <w:spacing w:line="240" w:lineRule="exact"/>
              <w:contextualSpacing/>
              <w:jc w:val="center"/>
              <w:rPr>
                <w:rFonts w:asciiTheme="minorHAnsi" w:eastAsia="Calibri" w:hAnsiTheme="minorHAnsi"/>
                <w:color w:val="auto"/>
                <w:sz w:val="22"/>
                <w:szCs w:val="22"/>
              </w:rPr>
            </w:pPr>
            <w:r w:rsidRPr="009A43B7">
              <w:rPr>
                <w:rFonts w:asciiTheme="minorHAnsi" w:eastAsia="Calibri" w:hAnsiTheme="minorHAnsi"/>
                <w:color w:val="auto"/>
                <w:sz w:val="22"/>
                <w:szCs w:val="22"/>
              </w:rPr>
              <w:t xml:space="preserve">Flexion (140⁰ </w:t>
            </w:r>
            <w:r w:rsidR="00CE4DEE">
              <w:rPr>
                <w:rFonts w:asciiTheme="minorHAnsi" w:eastAsia="Calibri" w:hAnsiTheme="minorHAnsi"/>
                <w:color w:val="auto"/>
                <w:sz w:val="22"/>
                <w:szCs w:val="22"/>
              </w:rPr>
              <w:t xml:space="preserve">is </w:t>
            </w:r>
            <w:r w:rsidRPr="009A43B7">
              <w:rPr>
                <w:rFonts w:asciiTheme="minorHAnsi" w:eastAsia="Calibri" w:hAnsiTheme="minorHAnsi"/>
                <w:color w:val="auto"/>
                <w:sz w:val="22"/>
                <w:szCs w:val="22"/>
              </w:rPr>
              <w:t>normal)</w:t>
            </w:r>
          </w:p>
        </w:tc>
        <w:tc>
          <w:tcPr>
            <w:tcW w:w="2451" w:type="dxa"/>
            <w:vAlign w:val="center"/>
          </w:tcPr>
          <w:p w:rsidR="009A43B7" w:rsidRPr="009A43B7" w:rsidRDefault="009A43B7" w:rsidP="00DB467E">
            <w:pPr>
              <w:spacing w:line="240" w:lineRule="exact"/>
              <w:contextualSpacing/>
              <w:jc w:val="center"/>
              <w:rPr>
                <w:rFonts w:asciiTheme="minorHAnsi" w:eastAsia="Calibri" w:hAnsiTheme="minorHAnsi"/>
                <w:color w:val="auto"/>
                <w:sz w:val="22"/>
                <w:szCs w:val="22"/>
              </w:rPr>
            </w:pPr>
            <w:r w:rsidRPr="009A43B7">
              <w:rPr>
                <w:rFonts w:asciiTheme="minorHAnsi" w:eastAsia="Calibri" w:hAnsiTheme="minorHAnsi"/>
                <w:color w:val="auto"/>
                <w:sz w:val="22"/>
                <w:szCs w:val="22"/>
              </w:rPr>
              <w:t>105⁰</w:t>
            </w:r>
          </w:p>
        </w:tc>
        <w:tc>
          <w:tcPr>
            <w:tcW w:w="2792" w:type="dxa"/>
            <w:vAlign w:val="center"/>
          </w:tcPr>
          <w:p w:rsidR="009A43B7" w:rsidRPr="009A43B7" w:rsidRDefault="009A43B7" w:rsidP="00DB467E">
            <w:pPr>
              <w:spacing w:line="240" w:lineRule="exact"/>
              <w:contextualSpacing/>
              <w:jc w:val="center"/>
              <w:rPr>
                <w:rFonts w:asciiTheme="minorHAnsi" w:eastAsia="Calibri" w:hAnsiTheme="minorHAnsi"/>
                <w:color w:val="auto"/>
                <w:sz w:val="22"/>
                <w:szCs w:val="22"/>
              </w:rPr>
            </w:pPr>
            <w:r w:rsidRPr="009A43B7">
              <w:rPr>
                <w:rFonts w:asciiTheme="minorHAnsi" w:eastAsia="Calibri" w:hAnsiTheme="minorHAnsi"/>
                <w:color w:val="auto"/>
                <w:sz w:val="22"/>
                <w:szCs w:val="22"/>
              </w:rPr>
              <w:t>120⁰</w:t>
            </w:r>
          </w:p>
        </w:tc>
      </w:tr>
      <w:tr w:rsidR="009A43B7" w:rsidRPr="00C34CEB" w:rsidTr="00CE4DEE">
        <w:trPr>
          <w:jc w:val="center"/>
        </w:trPr>
        <w:tc>
          <w:tcPr>
            <w:tcW w:w="2409" w:type="dxa"/>
            <w:tcBorders>
              <w:bottom w:val="single" w:sz="4" w:space="0" w:color="auto"/>
            </w:tcBorders>
            <w:vAlign w:val="center"/>
          </w:tcPr>
          <w:p w:rsidR="009A43B7" w:rsidRPr="009A43B7" w:rsidRDefault="009A43B7" w:rsidP="00361420">
            <w:pPr>
              <w:spacing w:line="240" w:lineRule="exact"/>
              <w:contextualSpacing/>
              <w:jc w:val="center"/>
              <w:rPr>
                <w:rFonts w:asciiTheme="minorHAnsi" w:eastAsia="Calibri" w:hAnsiTheme="minorHAnsi"/>
                <w:color w:val="auto"/>
                <w:sz w:val="22"/>
                <w:szCs w:val="22"/>
              </w:rPr>
            </w:pPr>
            <w:r w:rsidRPr="009A43B7">
              <w:rPr>
                <w:rFonts w:asciiTheme="minorHAnsi" w:eastAsia="Calibri" w:hAnsiTheme="minorHAnsi"/>
                <w:color w:val="auto"/>
                <w:sz w:val="22"/>
                <w:szCs w:val="22"/>
              </w:rPr>
              <w:t xml:space="preserve">Extension (0⁰ </w:t>
            </w:r>
            <w:r w:rsidR="00CE4DEE">
              <w:rPr>
                <w:rFonts w:asciiTheme="minorHAnsi" w:eastAsia="Calibri" w:hAnsiTheme="minorHAnsi"/>
                <w:color w:val="auto"/>
                <w:sz w:val="22"/>
                <w:szCs w:val="22"/>
              </w:rPr>
              <w:t xml:space="preserve">is </w:t>
            </w:r>
            <w:r w:rsidRPr="009A43B7">
              <w:rPr>
                <w:rFonts w:asciiTheme="minorHAnsi" w:eastAsia="Calibri" w:hAnsiTheme="minorHAnsi"/>
                <w:color w:val="auto"/>
                <w:sz w:val="22"/>
                <w:szCs w:val="22"/>
              </w:rPr>
              <w:t>normal)</w:t>
            </w:r>
          </w:p>
        </w:tc>
        <w:tc>
          <w:tcPr>
            <w:tcW w:w="2451" w:type="dxa"/>
            <w:tcBorders>
              <w:bottom w:val="single" w:sz="4" w:space="0" w:color="auto"/>
            </w:tcBorders>
            <w:vAlign w:val="center"/>
          </w:tcPr>
          <w:p w:rsidR="009A43B7" w:rsidRPr="009A43B7" w:rsidRDefault="009A43B7" w:rsidP="00DB467E">
            <w:pPr>
              <w:spacing w:line="240" w:lineRule="exact"/>
              <w:contextualSpacing/>
              <w:jc w:val="center"/>
              <w:rPr>
                <w:rFonts w:asciiTheme="minorHAnsi" w:eastAsia="Calibri" w:hAnsiTheme="minorHAnsi"/>
                <w:color w:val="auto"/>
                <w:sz w:val="22"/>
                <w:szCs w:val="22"/>
              </w:rPr>
            </w:pPr>
            <w:r w:rsidRPr="009A43B7">
              <w:rPr>
                <w:rFonts w:asciiTheme="minorHAnsi" w:eastAsia="Calibri" w:hAnsiTheme="minorHAnsi"/>
                <w:color w:val="auto"/>
                <w:sz w:val="22"/>
                <w:szCs w:val="22"/>
              </w:rPr>
              <w:t>2⁰</w:t>
            </w:r>
          </w:p>
        </w:tc>
        <w:tc>
          <w:tcPr>
            <w:tcW w:w="2792" w:type="dxa"/>
            <w:tcBorders>
              <w:bottom w:val="single" w:sz="4" w:space="0" w:color="auto"/>
            </w:tcBorders>
            <w:vAlign w:val="center"/>
          </w:tcPr>
          <w:p w:rsidR="009A43B7" w:rsidRPr="009A43B7" w:rsidRDefault="009A43B7" w:rsidP="00DB467E">
            <w:pPr>
              <w:spacing w:line="240" w:lineRule="exact"/>
              <w:contextualSpacing/>
              <w:jc w:val="center"/>
              <w:rPr>
                <w:rFonts w:asciiTheme="minorHAnsi" w:eastAsia="Calibri" w:hAnsiTheme="minorHAnsi"/>
                <w:color w:val="auto"/>
                <w:sz w:val="22"/>
                <w:szCs w:val="22"/>
              </w:rPr>
            </w:pPr>
            <w:r>
              <w:rPr>
                <w:rFonts w:asciiTheme="minorHAnsi" w:eastAsia="Calibri" w:hAnsiTheme="minorHAnsi"/>
                <w:color w:val="auto"/>
                <w:sz w:val="22"/>
                <w:szCs w:val="22"/>
              </w:rPr>
              <w:t>0</w:t>
            </w:r>
            <w:r w:rsidRPr="009A43B7">
              <w:rPr>
                <w:rFonts w:asciiTheme="minorHAnsi" w:eastAsia="Calibri" w:hAnsiTheme="minorHAnsi"/>
                <w:color w:val="auto"/>
                <w:sz w:val="22"/>
                <w:szCs w:val="22"/>
              </w:rPr>
              <w:t>⁰</w:t>
            </w:r>
          </w:p>
        </w:tc>
      </w:tr>
      <w:tr w:rsidR="009A43B7" w:rsidRPr="00C34CEB" w:rsidTr="00CE4DEE">
        <w:trPr>
          <w:jc w:val="center"/>
        </w:trPr>
        <w:tc>
          <w:tcPr>
            <w:tcW w:w="2409" w:type="dxa"/>
            <w:tcBorders>
              <w:top w:val="single" w:sz="4" w:space="0" w:color="auto"/>
              <w:left w:val="single" w:sz="4" w:space="0" w:color="auto"/>
              <w:bottom w:val="single" w:sz="4" w:space="0" w:color="auto"/>
              <w:right w:val="single" w:sz="4" w:space="0" w:color="auto"/>
            </w:tcBorders>
            <w:vAlign w:val="center"/>
          </w:tcPr>
          <w:p w:rsidR="009A43B7" w:rsidRPr="009A43B7" w:rsidRDefault="009A43B7" w:rsidP="00361420">
            <w:pPr>
              <w:tabs>
                <w:tab w:val="left" w:pos="288"/>
                <w:tab w:val="left" w:pos="4752"/>
              </w:tabs>
              <w:spacing w:line="240" w:lineRule="exact"/>
              <w:jc w:val="center"/>
              <w:rPr>
                <w:rFonts w:asciiTheme="minorHAnsi" w:eastAsiaTheme="minorHAnsi" w:hAnsiTheme="minorHAnsi"/>
                <w:color w:val="auto"/>
                <w:sz w:val="22"/>
                <w:szCs w:val="22"/>
              </w:rPr>
            </w:pPr>
            <w:r w:rsidRPr="009A43B7">
              <w:rPr>
                <w:rFonts w:asciiTheme="minorHAnsi" w:eastAsiaTheme="minorHAnsi" w:hAnsiTheme="minorHAnsi"/>
                <w:color w:val="auto"/>
                <w:sz w:val="22"/>
                <w:szCs w:val="22"/>
              </w:rPr>
              <w:t>Comment</w:t>
            </w:r>
          </w:p>
        </w:tc>
        <w:tc>
          <w:tcPr>
            <w:tcW w:w="2451" w:type="dxa"/>
            <w:tcBorders>
              <w:top w:val="single" w:sz="4" w:space="0" w:color="auto"/>
              <w:left w:val="single" w:sz="4" w:space="0" w:color="auto"/>
              <w:bottom w:val="single" w:sz="4" w:space="0" w:color="auto"/>
              <w:right w:val="single" w:sz="4" w:space="0" w:color="auto"/>
            </w:tcBorders>
            <w:vAlign w:val="center"/>
          </w:tcPr>
          <w:p w:rsidR="009A43B7" w:rsidRPr="009A43B7" w:rsidRDefault="009A43B7" w:rsidP="00DB467E">
            <w:pPr>
              <w:tabs>
                <w:tab w:val="left" w:pos="288"/>
                <w:tab w:val="left" w:pos="4752"/>
              </w:tabs>
              <w:spacing w:line="240" w:lineRule="exact"/>
              <w:jc w:val="center"/>
              <w:rPr>
                <w:rFonts w:asciiTheme="minorHAnsi" w:eastAsiaTheme="minorHAnsi" w:hAnsiTheme="minorHAnsi"/>
                <w:color w:val="auto"/>
                <w:sz w:val="22"/>
                <w:szCs w:val="22"/>
              </w:rPr>
            </w:pPr>
            <w:r w:rsidRPr="009A43B7">
              <w:rPr>
                <w:rFonts w:asciiTheme="minorHAnsi" w:eastAsia="Calibri" w:hAnsiTheme="minorHAnsi"/>
                <w:color w:val="auto"/>
                <w:sz w:val="22"/>
                <w:szCs w:val="22"/>
              </w:rPr>
              <w:t>ROMs limited by pain</w:t>
            </w:r>
          </w:p>
        </w:tc>
        <w:tc>
          <w:tcPr>
            <w:tcW w:w="2792" w:type="dxa"/>
            <w:tcBorders>
              <w:top w:val="single" w:sz="4" w:space="0" w:color="auto"/>
              <w:left w:val="single" w:sz="4" w:space="0" w:color="auto"/>
              <w:bottom w:val="single" w:sz="4" w:space="0" w:color="auto"/>
              <w:right w:val="single" w:sz="4" w:space="0" w:color="auto"/>
            </w:tcBorders>
            <w:vAlign w:val="center"/>
          </w:tcPr>
          <w:p w:rsidR="009A43B7" w:rsidRPr="009A43B7" w:rsidRDefault="009A43B7" w:rsidP="00DB467E">
            <w:pPr>
              <w:tabs>
                <w:tab w:val="left" w:pos="288"/>
                <w:tab w:val="left" w:pos="4752"/>
              </w:tabs>
              <w:spacing w:line="240" w:lineRule="exact"/>
              <w:jc w:val="center"/>
              <w:rPr>
                <w:rFonts w:asciiTheme="minorHAnsi" w:eastAsiaTheme="minorHAnsi" w:hAnsiTheme="minorHAnsi"/>
                <w:color w:val="auto"/>
                <w:sz w:val="22"/>
                <w:szCs w:val="22"/>
              </w:rPr>
            </w:pPr>
            <w:r w:rsidRPr="009A43B7">
              <w:rPr>
                <w:rFonts w:asciiTheme="minorHAnsi" w:eastAsiaTheme="minorHAnsi" w:hAnsiTheme="minorHAnsi"/>
                <w:color w:val="auto"/>
                <w:sz w:val="22"/>
                <w:szCs w:val="22"/>
              </w:rPr>
              <w:t>No mention of pain</w:t>
            </w:r>
          </w:p>
        </w:tc>
      </w:tr>
      <w:tr w:rsidR="00702E09" w:rsidRPr="00C34CEB" w:rsidTr="00CE4DEE">
        <w:trPr>
          <w:jc w:val="center"/>
        </w:trPr>
        <w:tc>
          <w:tcPr>
            <w:tcW w:w="2409" w:type="dxa"/>
            <w:tcBorders>
              <w:top w:val="single" w:sz="4" w:space="0" w:color="auto"/>
              <w:left w:val="single" w:sz="4" w:space="0" w:color="auto"/>
              <w:bottom w:val="single" w:sz="4" w:space="0" w:color="auto"/>
              <w:right w:val="single" w:sz="4" w:space="0" w:color="auto"/>
            </w:tcBorders>
            <w:vAlign w:val="center"/>
          </w:tcPr>
          <w:p w:rsidR="00702E09" w:rsidRPr="009A43B7" w:rsidRDefault="00702E09" w:rsidP="00361420">
            <w:pPr>
              <w:tabs>
                <w:tab w:val="left" w:pos="288"/>
                <w:tab w:val="left" w:pos="4752"/>
              </w:tabs>
              <w:spacing w:line="240" w:lineRule="exact"/>
              <w:jc w:val="center"/>
              <w:rPr>
                <w:rFonts w:asciiTheme="minorHAnsi" w:eastAsiaTheme="minorHAnsi" w:hAnsiTheme="minorHAnsi"/>
                <w:color w:val="auto"/>
                <w:sz w:val="22"/>
                <w:szCs w:val="22"/>
              </w:rPr>
            </w:pPr>
            <w:r>
              <w:rPr>
                <w:rFonts w:eastAsia="Calibri"/>
                <w:color w:val="auto"/>
                <w:sz w:val="22"/>
                <w:szCs w:val="22"/>
              </w:rPr>
              <w:t>§4.71a Rating</w:t>
            </w:r>
          </w:p>
        </w:tc>
        <w:tc>
          <w:tcPr>
            <w:tcW w:w="2451" w:type="dxa"/>
            <w:tcBorders>
              <w:top w:val="single" w:sz="4" w:space="0" w:color="auto"/>
              <w:left w:val="single" w:sz="4" w:space="0" w:color="auto"/>
              <w:bottom w:val="single" w:sz="4" w:space="0" w:color="auto"/>
              <w:right w:val="single" w:sz="4" w:space="0" w:color="auto"/>
            </w:tcBorders>
            <w:vAlign w:val="center"/>
          </w:tcPr>
          <w:p w:rsidR="00702E09" w:rsidRPr="009A43B7" w:rsidRDefault="00702E09" w:rsidP="00DB467E">
            <w:pPr>
              <w:tabs>
                <w:tab w:val="left" w:pos="288"/>
                <w:tab w:val="left" w:pos="4752"/>
              </w:tabs>
              <w:spacing w:line="240" w:lineRule="exact"/>
              <w:jc w:val="center"/>
              <w:rPr>
                <w:rFonts w:asciiTheme="minorHAnsi" w:eastAsia="Calibri" w:hAnsiTheme="minorHAnsi"/>
                <w:color w:val="auto"/>
                <w:sz w:val="22"/>
                <w:szCs w:val="22"/>
              </w:rPr>
            </w:pPr>
            <w:r>
              <w:rPr>
                <w:rFonts w:eastAsia="Calibri"/>
                <w:color w:val="auto"/>
                <w:sz w:val="22"/>
                <w:szCs w:val="22"/>
              </w:rPr>
              <w:t>1</w:t>
            </w:r>
            <w:r w:rsidRPr="001B6211">
              <w:rPr>
                <w:rFonts w:eastAsia="Calibri"/>
                <w:color w:val="auto"/>
                <w:sz w:val="22"/>
                <w:szCs w:val="22"/>
              </w:rPr>
              <w:t>0%</w:t>
            </w:r>
            <w:r>
              <w:rPr>
                <w:rFonts w:eastAsia="Calibri"/>
                <w:color w:val="auto"/>
                <w:sz w:val="22"/>
                <w:szCs w:val="22"/>
              </w:rPr>
              <w:t>*</w:t>
            </w:r>
          </w:p>
        </w:tc>
        <w:tc>
          <w:tcPr>
            <w:tcW w:w="2792" w:type="dxa"/>
            <w:tcBorders>
              <w:top w:val="single" w:sz="4" w:space="0" w:color="auto"/>
              <w:left w:val="single" w:sz="4" w:space="0" w:color="auto"/>
              <w:bottom w:val="single" w:sz="4" w:space="0" w:color="auto"/>
              <w:right w:val="single" w:sz="4" w:space="0" w:color="auto"/>
            </w:tcBorders>
            <w:vAlign w:val="center"/>
          </w:tcPr>
          <w:p w:rsidR="00702E09" w:rsidRPr="009A43B7" w:rsidRDefault="00702E09" w:rsidP="00DB467E">
            <w:pPr>
              <w:tabs>
                <w:tab w:val="left" w:pos="288"/>
                <w:tab w:val="left" w:pos="4752"/>
              </w:tabs>
              <w:spacing w:line="240" w:lineRule="exact"/>
              <w:jc w:val="center"/>
              <w:rPr>
                <w:rFonts w:asciiTheme="minorHAnsi" w:eastAsiaTheme="minorHAnsi" w:hAnsiTheme="minorHAnsi"/>
                <w:color w:val="auto"/>
                <w:sz w:val="22"/>
                <w:szCs w:val="22"/>
              </w:rPr>
            </w:pPr>
            <w:r w:rsidRPr="001B6211">
              <w:rPr>
                <w:rFonts w:eastAsia="Calibri"/>
                <w:color w:val="auto"/>
                <w:sz w:val="22"/>
                <w:szCs w:val="22"/>
              </w:rPr>
              <w:t>0%</w:t>
            </w:r>
          </w:p>
        </w:tc>
      </w:tr>
    </w:tbl>
    <w:p w:rsidR="00702E09" w:rsidRDefault="00702E09" w:rsidP="00702E09">
      <w:pPr>
        <w:spacing w:line="240" w:lineRule="exact"/>
        <w:ind w:left="720"/>
        <w:rPr>
          <w:color w:val="auto"/>
          <w:szCs w:val="24"/>
          <w:highlight w:val="yellow"/>
        </w:rPr>
      </w:pPr>
      <w:r w:rsidRPr="009E61F4">
        <w:rPr>
          <w:color w:val="auto"/>
          <w:sz w:val="16"/>
          <w:szCs w:val="16"/>
        </w:rPr>
        <w:t xml:space="preserve">*10% based on </w:t>
      </w:r>
      <w:r w:rsidRPr="009E61F4">
        <w:rPr>
          <w:rFonts w:eastAsia="Calibri"/>
          <w:color w:val="auto"/>
          <w:sz w:val="16"/>
          <w:szCs w:val="16"/>
        </w:rPr>
        <w:t>§4.40 (Functional loss), §4.45 (The joints), and §4.59 (Painful motion)</w:t>
      </w:r>
    </w:p>
    <w:p w:rsidR="00241733" w:rsidRDefault="00241733" w:rsidP="00361420">
      <w:pPr>
        <w:spacing w:line="240" w:lineRule="exact"/>
        <w:rPr>
          <w:rFonts w:asciiTheme="minorHAnsi" w:hAnsiTheme="minorHAnsi"/>
          <w:color w:val="auto"/>
          <w:szCs w:val="24"/>
        </w:rPr>
      </w:pPr>
    </w:p>
    <w:p w:rsidR="00C14417" w:rsidRPr="001B6211" w:rsidRDefault="00702E09" w:rsidP="00361420">
      <w:pPr>
        <w:spacing w:line="240" w:lineRule="exact"/>
        <w:jc w:val="both"/>
        <w:rPr>
          <w:color w:val="auto"/>
          <w:szCs w:val="24"/>
        </w:rPr>
      </w:pPr>
      <w:r w:rsidRPr="0065109B">
        <w:rPr>
          <w:color w:val="auto"/>
          <w:szCs w:val="24"/>
        </w:rPr>
        <w:t xml:space="preserve">The </w:t>
      </w:r>
      <w:r>
        <w:rPr>
          <w:color w:val="auto"/>
          <w:szCs w:val="24"/>
        </w:rPr>
        <w:t xml:space="preserve">Board </w:t>
      </w:r>
      <w:r w:rsidRPr="0065109B">
        <w:rPr>
          <w:color w:val="auto"/>
          <w:szCs w:val="24"/>
        </w:rPr>
        <w:t xml:space="preserve">carefully reviewed all </w:t>
      </w:r>
      <w:r>
        <w:rPr>
          <w:color w:val="auto"/>
          <w:szCs w:val="24"/>
        </w:rPr>
        <w:t xml:space="preserve">evidentiary information available.  The </w:t>
      </w:r>
      <w:r w:rsidRPr="001B6211">
        <w:rPr>
          <w:color w:val="auto"/>
          <w:szCs w:val="24"/>
        </w:rPr>
        <w:t>PEB</w:t>
      </w:r>
      <w:r>
        <w:rPr>
          <w:color w:val="auto"/>
          <w:szCs w:val="24"/>
        </w:rPr>
        <w:t xml:space="preserve"> and the VA chose different coding options for the left knee condition, but both had assigned a rating of 0%.  The left knee</w:t>
      </w:r>
      <w:r w:rsidRPr="0065109B">
        <w:rPr>
          <w:color w:val="auto"/>
          <w:szCs w:val="24"/>
        </w:rPr>
        <w:t xml:space="preserve"> limitation of motion was essentially non-compensable based on V</w:t>
      </w:r>
      <w:r>
        <w:rPr>
          <w:color w:val="auto"/>
          <w:szCs w:val="24"/>
        </w:rPr>
        <w:t>ASRD</w:t>
      </w:r>
      <w:r w:rsidRPr="0065109B">
        <w:rPr>
          <w:color w:val="auto"/>
          <w:szCs w:val="24"/>
        </w:rPr>
        <w:t xml:space="preserve"> </w:t>
      </w:r>
      <w:r w:rsidRPr="0065109B">
        <w:rPr>
          <w:rFonts w:eastAsia="Calibri"/>
          <w:color w:val="auto"/>
          <w:szCs w:val="24"/>
        </w:rPr>
        <w:t xml:space="preserve">§4.71a </w:t>
      </w:r>
      <w:r>
        <w:rPr>
          <w:rFonts w:eastAsia="Calibri"/>
          <w:color w:val="auto"/>
          <w:szCs w:val="24"/>
        </w:rPr>
        <w:t>knee and leg ROM codes</w:t>
      </w:r>
      <w:r w:rsidRPr="0065109B">
        <w:rPr>
          <w:rFonts w:eastAsia="Calibri"/>
          <w:color w:val="auto"/>
          <w:szCs w:val="24"/>
        </w:rPr>
        <w:t xml:space="preserve"> (52</w:t>
      </w:r>
      <w:r>
        <w:rPr>
          <w:rFonts w:eastAsia="Calibri"/>
          <w:color w:val="auto"/>
          <w:szCs w:val="24"/>
        </w:rPr>
        <w:t>60 and 5261</w:t>
      </w:r>
      <w:r w:rsidRPr="0065109B">
        <w:rPr>
          <w:rFonts w:eastAsia="Calibri"/>
          <w:color w:val="auto"/>
          <w:szCs w:val="24"/>
        </w:rPr>
        <w:t>).  However, IAW VASRD §4.40, §4.45, and §4.59</w:t>
      </w:r>
      <w:r>
        <w:rPr>
          <w:rFonts w:eastAsia="Calibri"/>
          <w:color w:val="auto"/>
          <w:szCs w:val="24"/>
        </w:rPr>
        <w:t>;</w:t>
      </w:r>
      <w:r w:rsidRPr="0065109B">
        <w:rPr>
          <w:color w:val="auto"/>
          <w:szCs w:val="24"/>
        </w:rPr>
        <w:t xml:space="preserve"> a 10% rating is warranted when there is satisfactory evidence of functional limitation due to painful motion of a major joint</w:t>
      </w:r>
      <w:r>
        <w:rPr>
          <w:color w:val="auto"/>
          <w:szCs w:val="24"/>
        </w:rPr>
        <w:t xml:space="preserve">.  The CI clearly had pain with motion, as reported in his history and during the November 2006 MEB exam, and therefore qualifies for a 10% rating.  The Board then directed its attention to the issue of </w:t>
      </w:r>
      <w:r w:rsidR="00023D13">
        <w:rPr>
          <w:color w:val="auto"/>
          <w:szCs w:val="24"/>
        </w:rPr>
        <w:t>joint</w:t>
      </w:r>
      <w:r>
        <w:rPr>
          <w:color w:val="auto"/>
          <w:szCs w:val="24"/>
        </w:rPr>
        <w:t xml:space="preserve"> instability.  Review of the treatment record shows that at the November 2006 MEB exam, there was evidence of </w:t>
      </w:r>
      <w:r w:rsidR="000F4A49">
        <w:rPr>
          <w:color w:val="auto"/>
          <w:szCs w:val="24"/>
        </w:rPr>
        <w:t xml:space="preserve">possible ligamentous laxity.  However, the CI denied a history of instability or giving way.  Eight months later, at his July 2007 C&amp;P exam, the </w:t>
      </w:r>
      <w:r w:rsidR="00023D13">
        <w:rPr>
          <w:color w:val="auto"/>
          <w:szCs w:val="24"/>
        </w:rPr>
        <w:t xml:space="preserve">VA </w:t>
      </w:r>
      <w:r w:rsidR="000F4A49">
        <w:rPr>
          <w:color w:val="auto"/>
          <w:szCs w:val="24"/>
        </w:rPr>
        <w:t xml:space="preserve">examiner found no objective signs of ligamentous laxity.  </w:t>
      </w:r>
      <w:r w:rsidR="000F4A49">
        <w:rPr>
          <w:rFonts w:asciiTheme="minorHAnsi" w:hAnsiTheme="minorHAnsi"/>
          <w:color w:val="auto"/>
          <w:szCs w:val="24"/>
        </w:rPr>
        <w:t xml:space="preserve">Lachman’s, McMurray’s and anterior/posterior drawer tests were all normal.  </w:t>
      </w:r>
      <w:r>
        <w:rPr>
          <w:color w:val="auto"/>
          <w:szCs w:val="24"/>
        </w:rPr>
        <w:t>The Board determined that th</w:t>
      </w:r>
      <w:r w:rsidR="000F4A49">
        <w:rPr>
          <w:color w:val="auto"/>
          <w:szCs w:val="24"/>
        </w:rPr>
        <w:t>ere</w:t>
      </w:r>
      <w:r>
        <w:rPr>
          <w:color w:val="auto"/>
          <w:szCs w:val="24"/>
        </w:rPr>
        <w:t xml:space="preserve"> was </w:t>
      </w:r>
      <w:r w:rsidR="00142964">
        <w:rPr>
          <w:color w:val="auto"/>
          <w:szCs w:val="24"/>
        </w:rPr>
        <w:t>in</w:t>
      </w:r>
      <w:r>
        <w:rPr>
          <w:color w:val="auto"/>
          <w:szCs w:val="24"/>
        </w:rPr>
        <w:t xml:space="preserve">sufficient evidence of </w:t>
      </w:r>
      <w:r w:rsidR="00142964">
        <w:rPr>
          <w:color w:val="auto"/>
          <w:szCs w:val="24"/>
        </w:rPr>
        <w:t xml:space="preserve">significant, unfitting </w:t>
      </w:r>
      <w:r>
        <w:rPr>
          <w:color w:val="auto"/>
          <w:szCs w:val="24"/>
        </w:rPr>
        <w:t>joint instability</w:t>
      </w:r>
      <w:r w:rsidR="00142964">
        <w:rPr>
          <w:color w:val="auto"/>
          <w:szCs w:val="24"/>
        </w:rPr>
        <w:t xml:space="preserve">.  The laxity detected at the MEB exam was more likely than not a residual from the ACL reconstruction surgery.  It did not constitute a disabling, unfitting joint condition, </w:t>
      </w:r>
      <w:r>
        <w:rPr>
          <w:color w:val="auto"/>
          <w:szCs w:val="24"/>
        </w:rPr>
        <w:t xml:space="preserve">and therefore does not justify a separate rating.  </w:t>
      </w:r>
      <w:r w:rsidRPr="00BA034D">
        <w:rPr>
          <w:rFonts w:eastAsia="Calibri"/>
          <w:color w:val="auto"/>
          <w:szCs w:val="24"/>
        </w:rPr>
        <w:t xml:space="preserve">After due deliberation, </w:t>
      </w:r>
      <w:r>
        <w:rPr>
          <w:rFonts w:eastAsia="Calibri"/>
          <w:color w:val="auto"/>
          <w:szCs w:val="24"/>
        </w:rPr>
        <w:t xml:space="preserve">and mindful of VASRD </w:t>
      </w:r>
      <w:r w:rsidRPr="0065109B">
        <w:rPr>
          <w:rFonts w:eastAsia="Calibri"/>
          <w:color w:val="auto"/>
          <w:szCs w:val="24"/>
        </w:rPr>
        <w:t>§4.</w:t>
      </w:r>
      <w:r>
        <w:rPr>
          <w:rFonts w:eastAsia="Calibri"/>
          <w:color w:val="auto"/>
          <w:szCs w:val="24"/>
        </w:rPr>
        <w:t xml:space="preserve">3 (Reasonable doubt), the Board unanimously recommends a </w:t>
      </w:r>
      <w:r w:rsidRPr="00BA034D">
        <w:rPr>
          <w:rFonts w:eastAsia="Calibri"/>
          <w:color w:val="auto"/>
          <w:szCs w:val="24"/>
        </w:rPr>
        <w:t>rating of 1</w:t>
      </w:r>
      <w:r>
        <w:rPr>
          <w:rFonts w:eastAsia="Calibri"/>
          <w:color w:val="auto"/>
          <w:szCs w:val="24"/>
        </w:rPr>
        <w:t xml:space="preserve">0% for the </w:t>
      </w:r>
      <w:r w:rsidR="00142964">
        <w:rPr>
          <w:rFonts w:eastAsia="Calibri"/>
          <w:color w:val="auto"/>
          <w:szCs w:val="24"/>
        </w:rPr>
        <w:t>left</w:t>
      </w:r>
      <w:r>
        <w:rPr>
          <w:rFonts w:eastAsia="Calibri"/>
          <w:color w:val="auto"/>
          <w:szCs w:val="24"/>
        </w:rPr>
        <w:t xml:space="preserve"> knee</w:t>
      </w:r>
      <w:r w:rsidR="00142964">
        <w:rPr>
          <w:rFonts w:eastAsia="Calibri"/>
          <w:color w:val="auto"/>
          <w:szCs w:val="24"/>
        </w:rPr>
        <w:t xml:space="preserve"> at separation from service</w:t>
      </w:r>
      <w:r>
        <w:rPr>
          <w:rFonts w:eastAsia="Calibri"/>
          <w:color w:val="auto"/>
          <w:szCs w:val="24"/>
        </w:rPr>
        <w:t>.</w:t>
      </w:r>
      <w:r w:rsidR="00142964">
        <w:rPr>
          <w:rFonts w:eastAsia="Calibri"/>
          <w:color w:val="auto"/>
          <w:szCs w:val="24"/>
        </w:rPr>
        <w:t xml:space="preserve"> The Board also unanimously recommends </w:t>
      </w:r>
      <w:r w:rsidR="00142964" w:rsidRPr="00BA034D">
        <w:rPr>
          <w:rFonts w:eastAsia="Calibri"/>
          <w:color w:val="auto"/>
          <w:szCs w:val="24"/>
        </w:rPr>
        <w:t>1</w:t>
      </w:r>
      <w:r w:rsidR="00142964">
        <w:rPr>
          <w:rFonts w:eastAsia="Calibri"/>
          <w:color w:val="auto"/>
          <w:szCs w:val="24"/>
        </w:rPr>
        <w:t xml:space="preserve">0% for the left knee at six months following </w:t>
      </w:r>
      <w:r w:rsidR="00023D13">
        <w:rPr>
          <w:rFonts w:eastAsia="Calibri"/>
          <w:color w:val="auto"/>
          <w:szCs w:val="24"/>
        </w:rPr>
        <w:t>s</w:t>
      </w:r>
      <w:r w:rsidR="00142964">
        <w:rPr>
          <w:rFonts w:eastAsia="Calibri"/>
          <w:color w:val="auto"/>
          <w:szCs w:val="24"/>
        </w:rPr>
        <w:t xml:space="preserve">eparation.  </w:t>
      </w:r>
    </w:p>
    <w:p w:rsidR="00664296" w:rsidRPr="004743AB" w:rsidRDefault="00664296" w:rsidP="00361420">
      <w:pPr>
        <w:spacing w:line="240" w:lineRule="exact"/>
        <w:rPr>
          <w:rFonts w:asciiTheme="minorHAnsi" w:hAnsiTheme="minorHAnsi"/>
          <w:color w:val="auto"/>
          <w:szCs w:val="24"/>
        </w:rPr>
      </w:pPr>
    </w:p>
    <w:p w:rsidR="00D91F0C" w:rsidRPr="00D91F0C" w:rsidRDefault="00664296" w:rsidP="00361420">
      <w:pPr>
        <w:spacing w:line="240" w:lineRule="exact"/>
        <w:jc w:val="both"/>
        <w:rPr>
          <w:rFonts w:asciiTheme="minorHAnsi" w:eastAsia="HiddenHorzOCR" w:hAnsiTheme="minorHAnsi"/>
          <w:color w:val="auto"/>
          <w:szCs w:val="24"/>
        </w:rPr>
      </w:pPr>
      <w:r w:rsidRPr="00664296">
        <w:rPr>
          <w:rFonts w:asciiTheme="minorHAnsi" w:eastAsia="HiddenHorzOCR" w:hAnsiTheme="minorHAnsi"/>
          <w:color w:val="auto"/>
          <w:szCs w:val="24"/>
          <w:u w:val="single"/>
        </w:rPr>
        <w:t>Other PEB Conditions</w:t>
      </w:r>
      <w:r w:rsidRPr="00664296">
        <w:rPr>
          <w:rFonts w:asciiTheme="minorHAnsi" w:eastAsia="HiddenHorzOCR" w:hAnsiTheme="minorHAnsi"/>
          <w:color w:val="auto"/>
          <w:szCs w:val="24"/>
        </w:rPr>
        <w:t>.</w:t>
      </w:r>
      <w:r w:rsidR="00D91F0C">
        <w:rPr>
          <w:rFonts w:asciiTheme="minorHAnsi" w:eastAsia="HiddenHorzOCR" w:hAnsiTheme="minorHAnsi"/>
          <w:color w:val="auto"/>
          <w:szCs w:val="24"/>
        </w:rPr>
        <w:t xml:space="preserve">  </w:t>
      </w:r>
      <w:r w:rsidR="00AC2167">
        <w:rPr>
          <w:rFonts w:asciiTheme="minorHAnsi" w:eastAsia="HiddenHorzOCR" w:hAnsiTheme="minorHAnsi"/>
          <w:color w:val="auto"/>
          <w:szCs w:val="24"/>
        </w:rPr>
        <w:t>N</w:t>
      </w:r>
      <w:r w:rsidR="00D91F0C" w:rsidRPr="00D91F0C">
        <w:rPr>
          <w:rFonts w:asciiTheme="minorHAnsi" w:eastAsia="HiddenHorzOCR" w:hAnsiTheme="minorHAnsi"/>
          <w:color w:val="auto"/>
          <w:szCs w:val="24"/>
        </w:rPr>
        <w:t>eck pain and headaches</w:t>
      </w:r>
      <w:r w:rsidR="00AC2167">
        <w:rPr>
          <w:rFonts w:asciiTheme="minorHAnsi" w:eastAsia="HiddenHorzOCR" w:hAnsiTheme="minorHAnsi"/>
          <w:color w:val="auto"/>
          <w:szCs w:val="24"/>
        </w:rPr>
        <w:t xml:space="preserve"> were </w:t>
      </w:r>
      <w:r w:rsidR="00AC2167" w:rsidRPr="00D91F0C">
        <w:rPr>
          <w:rFonts w:asciiTheme="minorHAnsi" w:eastAsia="HiddenHorzOCR" w:hAnsiTheme="minorHAnsi"/>
          <w:color w:val="auto"/>
          <w:szCs w:val="24"/>
        </w:rPr>
        <w:t xml:space="preserve">adjudicated </w:t>
      </w:r>
      <w:r w:rsidR="00AC2167">
        <w:rPr>
          <w:rFonts w:asciiTheme="minorHAnsi" w:eastAsia="HiddenHorzOCR" w:hAnsiTheme="minorHAnsi"/>
          <w:color w:val="auto"/>
          <w:szCs w:val="24"/>
        </w:rPr>
        <w:t>by the PEB as not unfitting</w:t>
      </w:r>
      <w:r w:rsidR="00D91F0C" w:rsidRPr="00D91F0C">
        <w:rPr>
          <w:rFonts w:asciiTheme="minorHAnsi" w:eastAsia="HiddenHorzOCR" w:hAnsiTheme="minorHAnsi"/>
          <w:color w:val="auto"/>
          <w:szCs w:val="24"/>
        </w:rPr>
        <w:t>.  Neither of these conditions were profiled, impl</w:t>
      </w:r>
      <w:r w:rsidR="00233625">
        <w:rPr>
          <w:rFonts w:asciiTheme="minorHAnsi" w:eastAsia="HiddenHorzOCR" w:hAnsiTheme="minorHAnsi"/>
          <w:color w:val="auto"/>
          <w:szCs w:val="24"/>
        </w:rPr>
        <w:t>icated in the commander’s statement</w:t>
      </w:r>
      <w:r w:rsidR="00D91F0C" w:rsidRPr="00D91F0C">
        <w:rPr>
          <w:rFonts w:asciiTheme="minorHAnsi" w:eastAsia="HiddenHorzOCR" w:hAnsiTheme="minorHAnsi"/>
          <w:color w:val="auto"/>
          <w:szCs w:val="24"/>
        </w:rPr>
        <w:t xml:space="preserve"> or noted as failing retention standards.  Both were reviewed by the action officer and considered by the Board.  There was no indication from the record that either of these conditions significantly interfered with satisfactory performance of </w:t>
      </w:r>
      <w:r w:rsidR="00023D13">
        <w:rPr>
          <w:rFonts w:asciiTheme="minorHAnsi" w:eastAsia="HiddenHorzOCR" w:hAnsiTheme="minorHAnsi"/>
          <w:color w:val="auto"/>
          <w:szCs w:val="24"/>
        </w:rPr>
        <w:t>military duties</w:t>
      </w:r>
      <w:r w:rsidR="00D91F0C" w:rsidRPr="00D91F0C">
        <w:rPr>
          <w:rFonts w:asciiTheme="minorHAnsi" w:eastAsia="HiddenHorzOCR" w:hAnsiTheme="minorHAnsi"/>
          <w:color w:val="auto"/>
          <w:szCs w:val="24"/>
        </w:rPr>
        <w:t>.  All evidence considered, there is not reasonable doubt in the CI’s favor supporting re</w:t>
      </w:r>
      <w:r w:rsidR="00023D13">
        <w:rPr>
          <w:rFonts w:asciiTheme="minorHAnsi" w:eastAsia="HiddenHorzOCR" w:hAnsiTheme="minorHAnsi"/>
          <w:color w:val="auto"/>
          <w:szCs w:val="24"/>
        </w:rPr>
        <w:t>versal</w:t>
      </w:r>
      <w:r w:rsidR="00D91F0C" w:rsidRPr="00D91F0C">
        <w:rPr>
          <w:rFonts w:asciiTheme="minorHAnsi" w:eastAsia="HiddenHorzOCR" w:hAnsiTheme="minorHAnsi"/>
          <w:color w:val="auto"/>
          <w:szCs w:val="24"/>
        </w:rPr>
        <w:t xml:space="preserve"> of the PEB fitness adjudication for either of the stated conditions.</w:t>
      </w:r>
    </w:p>
    <w:p w:rsidR="00664296" w:rsidRDefault="00664296" w:rsidP="00361420">
      <w:pPr>
        <w:spacing w:line="240" w:lineRule="exact"/>
        <w:rPr>
          <w:rFonts w:asciiTheme="minorHAnsi" w:hAnsiTheme="minorHAnsi"/>
          <w:color w:val="auto"/>
          <w:szCs w:val="24"/>
          <w:u w:val="single"/>
        </w:rPr>
      </w:pPr>
    </w:p>
    <w:p w:rsidR="00664296" w:rsidRPr="00664296" w:rsidRDefault="00664296" w:rsidP="00361420">
      <w:pPr>
        <w:spacing w:line="240" w:lineRule="exact"/>
        <w:jc w:val="both"/>
        <w:rPr>
          <w:rFonts w:asciiTheme="minorHAnsi" w:hAnsiTheme="minorHAnsi"/>
          <w:color w:val="auto"/>
          <w:szCs w:val="24"/>
        </w:rPr>
      </w:pPr>
      <w:r w:rsidRPr="00F8462A">
        <w:rPr>
          <w:rFonts w:asciiTheme="minorHAnsi" w:hAnsiTheme="minorHAnsi"/>
          <w:color w:val="auto"/>
          <w:szCs w:val="24"/>
          <w:u w:val="single"/>
        </w:rPr>
        <w:t>Remaining Conditions</w:t>
      </w:r>
      <w:r w:rsidRPr="00F8462A">
        <w:rPr>
          <w:rFonts w:asciiTheme="minorHAnsi" w:hAnsiTheme="minorHAnsi"/>
          <w:color w:val="auto"/>
          <w:szCs w:val="24"/>
        </w:rPr>
        <w:t xml:space="preserve">.  </w:t>
      </w:r>
      <w:r w:rsidR="00B072DF">
        <w:rPr>
          <w:rFonts w:asciiTheme="minorHAnsi" w:hAnsiTheme="minorHAnsi"/>
          <w:color w:val="auto"/>
          <w:szCs w:val="24"/>
        </w:rPr>
        <w:t>T</w:t>
      </w:r>
      <w:r w:rsidR="00233625">
        <w:rPr>
          <w:rFonts w:asciiTheme="minorHAnsi" w:hAnsiTheme="minorHAnsi"/>
          <w:color w:val="auto"/>
          <w:szCs w:val="24"/>
        </w:rPr>
        <w:t>ibial stress fractures,</w:t>
      </w:r>
      <w:r w:rsidRPr="00F8462A">
        <w:rPr>
          <w:rFonts w:asciiTheme="minorHAnsi" w:hAnsiTheme="minorHAnsi"/>
          <w:color w:val="auto"/>
          <w:szCs w:val="24"/>
        </w:rPr>
        <w:t xml:space="preserve"> </w:t>
      </w:r>
      <w:r w:rsidR="00D91F0C" w:rsidRPr="00F8462A">
        <w:rPr>
          <w:rFonts w:asciiTheme="minorHAnsi" w:hAnsiTheme="minorHAnsi"/>
          <w:color w:val="auto"/>
          <w:szCs w:val="24"/>
        </w:rPr>
        <w:t>pilonidal cyst</w:t>
      </w:r>
      <w:r w:rsidR="00B072DF">
        <w:rPr>
          <w:rFonts w:asciiTheme="minorHAnsi" w:hAnsiTheme="minorHAnsi"/>
          <w:color w:val="auto"/>
          <w:szCs w:val="24"/>
        </w:rPr>
        <w:t xml:space="preserve">, </w:t>
      </w:r>
      <w:r w:rsidR="00D91F0C" w:rsidRPr="00F8462A">
        <w:rPr>
          <w:rFonts w:asciiTheme="minorHAnsi" w:hAnsiTheme="minorHAnsi"/>
          <w:color w:val="auto"/>
          <w:szCs w:val="24"/>
        </w:rPr>
        <w:t>axillary abscess</w:t>
      </w:r>
      <w:r w:rsidR="00B072DF">
        <w:rPr>
          <w:rFonts w:asciiTheme="minorHAnsi" w:hAnsiTheme="minorHAnsi"/>
          <w:color w:val="auto"/>
          <w:szCs w:val="24"/>
        </w:rPr>
        <w:t>, and s</w:t>
      </w:r>
      <w:r w:rsidRPr="00F8462A">
        <w:rPr>
          <w:rFonts w:asciiTheme="minorHAnsi" w:hAnsiTheme="minorHAnsi"/>
          <w:color w:val="auto"/>
          <w:szCs w:val="24"/>
        </w:rPr>
        <w:t>everal</w:t>
      </w:r>
      <w:r w:rsidR="00B072DF">
        <w:rPr>
          <w:rFonts w:asciiTheme="minorHAnsi" w:hAnsiTheme="minorHAnsi"/>
          <w:color w:val="auto"/>
          <w:szCs w:val="24"/>
        </w:rPr>
        <w:t xml:space="preserve"> other </w:t>
      </w:r>
      <w:r w:rsidRPr="00F8462A">
        <w:rPr>
          <w:rFonts w:asciiTheme="minorHAnsi" w:hAnsiTheme="minorHAnsi"/>
          <w:color w:val="auto"/>
          <w:szCs w:val="24"/>
        </w:rPr>
        <w:t xml:space="preserve">conditions were also </w:t>
      </w:r>
      <w:r w:rsidR="00B072DF">
        <w:rPr>
          <w:rFonts w:asciiTheme="minorHAnsi" w:hAnsiTheme="minorHAnsi"/>
          <w:color w:val="auto"/>
          <w:szCs w:val="24"/>
        </w:rPr>
        <w:t>noted in the D</w:t>
      </w:r>
      <w:r w:rsidR="009059F0">
        <w:rPr>
          <w:rFonts w:asciiTheme="minorHAnsi" w:hAnsiTheme="minorHAnsi"/>
          <w:color w:val="auto"/>
          <w:szCs w:val="24"/>
        </w:rPr>
        <w:t>isability Evaluation System (D</w:t>
      </w:r>
      <w:r w:rsidR="00B072DF">
        <w:rPr>
          <w:rFonts w:asciiTheme="minorHAnsi" w:hAnsiTheme="minorHAnsi"/>
          <w:color w:val="auto"/>
          <w:szCs w:val="24"/>
        </w:rPr>
        <w:t>ES</w:t>
      </w:r>
      <w:r w:rsidR="009059F0">
        <w:rPr>
          <w:rFonts w:asciiTheme="minorHAnsi" w:hAnsiTheme="minorHAnsi"/>
          <w:color w:val="auto"/>
          <w:szCs w:val="24"/>
        </w:rPr>
        <w:t>)</w:t>
      </w:r>
      <w:r w:rsidR="00B072DF">
        <w:rPr>
          <w:rFonts w:asciiTheme="minorHAnsi" w:hAnsiTheme="minorHAnsi"/>
          <w:color w:val="auto"/>
          <w:szCs w:val="24"/>
        </w:rPr>
        <w:t xml:space="preserve"> file.  </w:t>
      </w:r>
      <w:r w:rsidRPr="00F8462A">
        <w:rPr>
          <w:rFonts w:asciiTheme="minorHAnsi" w:hAnsiTheme="minorHAnsi"/>
          <w:color w:val="auto"/>
          <w:szCs w:val="24"/>
        </w:rPr>
        <w:t xml:space="preserve">None of these conditions were clinically </w:t>
      </w:r>
      <w:r w:rsidR="00023D13">
        <w:rPr>
          <w:rFonts w:asciiTheme="minorHAnsi" w:hAnsiTheme="minorHAnsi"/>
          <w:color w:val="auto"/>
          <w:szCs w:val="24"/>
        </w:rPr>
        <w:t>significant</w:t>
      </w:r>
      <w:r w:rsidRPr="00F8462A">
        <w:rPr>
          <w:rFonts w:asciiTheme="minorHAnsi" w:hAnsiTheme="minorHAnsi"/>
          <w:color w:val="auto"/>
          <w:szCs w:val="24"/>
        </w:rPr>
        <w:t xml:space="preserve"> during the MEB</w:t>
      </w:r>
      <w:r w:rsidR="00023D13">
        <w:rPr>
          <w:rFonts w:asciiTheme="minorHAnsi" w:hAnsiTheme="minorHAnsi"/>
          <w:color w:val="auto"/>
          <w:szCs w:val="24"/>
        </w:rPr>
        <w:t>/PEB</w:t>
      </w:r>
      <w:r w:rsidRPr="00F8462A">
        <w:rPr>
          <w:rFonts w:asciiTheme="minorHAnsi" w:hAnsiTheme="minorHAnsi"/>
          <w:color w:val="auto"/>
          <w:szCs w:val="24"/>
        </w:rPr>
        <w:t xml:space="preserve"> period, none carried profiles</w:t>
      </w:r>
      <w:r w:rsidR="00F8462A" w:rsidRPr="00F8462A">
        <w:rPr>
          <w:rFonts w:asciiTheme="minorHAnsi" w:hAnsiTheme="minorHAnsi"/>
          <w:color w:val="auto"/>
          <w:szCs w:val="24"/>
        </w:rPr>
        <w:t xml:space="preserve"> and </w:t>
      </w:r>
      <w:r w:rsidRPr="00F8462A">
        <w:rPr>
          <w:rFonts w:asciiTheme="minorHAnsi" w:hAnsiTheme="minorHAnsi"/>
          <w:color w:val="auto"/>
          <w:szCs w:val="24"/>
        </w:rPr>
        <w:t xml:space="preserve">none </w:t>
      </w:r>
      <w:r w:rsidRPr="00F8462A">
        <w:rPr>
          <w:rFonts w:asciiTheme="minorHAnsi" w:hAnsiTheme="minorHAnsi"/>
          <w:color w:val="auto"/>
          <w:szCs w:val="24"/>
        </w:rPr>
        <w:lastRenderedPageBreak/>
        <w:t>were implicat</w:t>
      </w:r>
      <w:r w:rsidR="00713426">
        <w:rPr>
          <w:rFonts w:asciiTheme="minorHAnsi" w:hAnsiTheme="minorHAnsi"/>
          <w:color w:val="auto"/>
          <w:szCs w:val="24"/>
        </w:rPr>
        <w:t xml:space="preserve">ed in the </w:t>
      </w:r>
      <w:r w:rsidR="00233625">
        <w:rPr>
          <w:rFonts w:asciiTheme="minorHAnsi" w:hAnsiTheme="minorHAnsi"/>
          <w:color w:val="auto"/>
          <w:szCs w:val="24"/>
        </w:rPr>
        <w:t>commander’s statement</w:t>
      </w:r>
      <w:r w:rsidRPr="00F8462A">
        <w:rPr>
          <w:rFonts w:asciiTheme="minorHAnsi" w:hAnsiTheme="minorHAnsi"/>
          <w:color w:val="auto"/>
          <w:szCs w:val="24"/>
        </w:rPr>
        <w:t>.  These</w:t>
      </w:r>
      <w:r w:rsidRPr="00664296">
        <w:rPr>
          <w:rFonts w:asciiTheme="minorHAnsi" w:hAnsiTheme="minorHAnsi"/>
          <w:color w:val="auto"/>
          <w:szCs w:val="24"/>
        </w:rPr>
        <w:t xml:space="preserve"> conditions were reviewed by the action officer and considered by the Board.  It was determined that none could be argued as unfitting and subject to s</w:t>
      </w:r>
      <w:r w:rsidR="00F8462A">
        <w:rPr>
          <w:rFonts w:asciiTheme="minorHAnsi" w:hAnsiTheme="minorHAnsi"/>
          <w:color w:val="auto"/>
          <w:szCs w:val="24"/>
        </w:rPr>
        <w:t xml:space="preserve">eparation rating.  Additionally, </w:t>
      </w:r>
      <w:r w:rsidRPr="00664296">
        <w:rPr>
          <w:rFonts w:asciiTheme="minorHAnsi" w:hAnsiTheme="minorHAnsi"/>
          <w:color w:val="auto"/>
          <w:szCs w:val="24"/>
        </w:rPr>
        <w:t>several other conditions were noted in the VA rating decision proximal to separation, but were not documented in the DES file.  The Board does not have the authority to render fitness or rating recommendations for any conditions not considered by the DES.  The Board, therefore, has no reasonable basis for recommending any additional unfitting conditions for separation rating.</w:t>
      </w:r>
    </w:p>
    <w:p w:rsidR="00F1737C" w:rsidRPr="00391858" w:rsidRDefault="00F1737C" w:rsidP="00361420">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361420">
      <w:pPr>
        <w:spacing w:line="240" w:lineRule="exact"/>
        <w:jc w:val="both"/>
        <w:rPr>
          <w:rFonts w:asciiTheme="minorHAnsi" w:eastAsiaTheme="minorHAnsi" w:hAnsiTheme="minorHAnsi"/>
          <w:color w:val="auto"/>
          <w:sz w:val="20"/>
        </w:rPr>
      </w:pPr>
    </w:p>
    <w:p w:rsidR="001A4991" w:rsidRPr="00FF6BF6" w:rsidRDefault="00C56FC8" w:rsidP="001A4991">
      <w:pPr>
        <w:spacing w:line="240" w:lineRule="exact"/>
        <w:jc w:val="both"/>
        <w:rPr>
          <w:rFonts w:asciiTheme="minorHAnsi" w:eastAsiaTheme="minorHAnsi" w:hAnsiTheme="minorHAnsi"/>
          <w:color w:val="auto"/>
          <w:szCs w:val="24"/>
        </w:rPr>
      </w:pPr>
      <w:r w:rsidRPr="00016DA6">
        <w:rPr>
          <w:rFonts w:asciiTheme="minorHAnsi" w:hAnsiTheme="minorHAnsi"/>
          <w:color w:val="auto"/>
          <w:szCs w:val="24"/>
          <w:u w:val="single"/>
        </w:rPr>
        <w:t>BOARD FINDINGS</w:t>
      </w:r>
      <w:r w:rsidRPr="00016DA6">
        <w:rPr>
          <w:rFonts w:asciiTheme="minorHAnsi" w:hAnsiTheme="minorHAnsi"/>
          <w:color w:val="auto"/>
          <w:szCs w:val="24"/>
        </w:rPr>
        <w:t>:</w:t>
      </w:r>
      <w:r w:rsidRPr="00016DA6">
        <w:rPr>
          <w:rFonts w:asciiTheme="minorHAnsi" w:eastAsiaTheme="minorHAnsi" w:hAnsiTheme="minorHAnsi"/>
          <w:color w:val="auto"/>
          <w:szCs w:val="24"/>
        </w:rPr>
        <w:t xml:space="preserve">  IAW DoDI 6040.44, provisions of DoD or Military Department regulations or guidelines relied upon by the PEB will not be considered by the Board to the extent they were inconsistent with the VASRD in effect at the time of the adjudication.</w:t>
      </w:r>
      <w:r w:rsidR="00FF6BF6">
        <w:rPr>
          <w:rFonts w:asciiTheme="minorHAnsi" w:eastAsiaTheme="minorHAnsi" w:hAnsiTheme="minorHAnsi"/>
          <w:b/>
          <w:color w:val="auto"/>
          <w:szCs w:val="24"/>
        </w:rPr>
        <w:t xml:space="preserve">  </w:t>
      </w:r>
      <w:r w:rsidR="00CE7F05">
        <w:rPr>
          <w:rFonts w:asciiTheme="minorHAnsi" w:eastAsiaTheme="minorHAnsi" w:hAnsiTheme="minorHAnsi"/>
          <w:color w:val="auto"/>
          <w:szCs w:val="24"/>
        </w:rPr>
        <w:t>In the matter of the mental c</w:t>
      </w:r>
      <w:r w:rsidR="001A4991">
        <w:rPr>
          <w:rFonts w:asciiTheme="minorHAnsi" w:eastAsiaTheme="minorHAnsi" w:hAnsiTheme="minorHAnsi"/>
          <w:color w:val="auto"/>
          <w:szCs w:val="24"/>
        </w:rPr>
        <w:t>ondi</w:t>
      </w:r>
      <w:r w:rsidR="001220CC">
        <w:rPr>
          <w:rFonts w:asciiTheme="minorHAnsi" w:eastAsiaTheme="minorHAnsi" w:hAnsiTheme="minorHAnsi"/>
          <w:color w:val="auto"/>
          <w:szCs w:val="24"/>
        </w:rPr>
        <w:t>tion</w:t>
      </w:r>
      <w:r w:rsidR="0014150B">
        <w:rPr>
          <w:rFonts w:asciiTheme="minorHAnsi" w:eastAsiaTheme="minorHAnsi" w:hAnsiTheme="minorHAnsi"/>
          <w:color w:val="auto"/>
          <w:szCs w:val="24"/>
        </w:rPr>
        <w:t xml:space="preserve">, the Board </w:t>
      </w:r>
      <w:r w:rsidR="001A4991">
        <w:rPr>
          <w:rFonts w:asciiTheme="minorHAnsi" w:eastAsiaTheme="minorHAnsi" w:hAnsiTheme="minorHAnsi"/>
          <w:color w:val="auto"/>
          <w:szCs w:val="24"/>
        </w:rPr>
        <w:t>unanimously recommends an initial TDRL rating of 50% in retroactive compliance with VASRD</w:t>
      </w:r>
      <w:r w:rsidR="001A4991">
        <w:rPr>
          <w:rFonts w:asciiTheme="minorHAnsi" w:hAnsiTheme="minorHAnsi"/>
          <w:color w:val="auto"/>
          <w:szCs w:val="24"/>
        </w:rPr>
        <w:t xml:space="preserve"> §4.129.  The </w:t>
      </w:r>
      <w:r w:rsidR="0014150B">
        <w:rPr>
          <w:rFonts w:asciiTheme="minorHAnsi" w:eastAsiaTheme="minorHAnsi" w:hAnsiTheme="minorHAnsi"/>
          <w:color w:val="auto"/>
          <w:szCs w:val="24"/>
        </w:rPr>
        <w:t>Board</w:t>
      </w:r>
      <w:r w:rsidR="001A4991">
        <w:rPr>
          <w:rFonts w:asciiTheme="minorHAnsi" w:eastAsiaTheme="minorHAnsi" w:hAnsiTheme="minorHAnsi"/>
          <w:color w:val="auto"/>
          <w:szCs w:val="24"/>
        </w:rPr>
        <w:t xml:space="preserve"> unanimously recommends a permanent rating of 10% at six months following separation, IAW VASRD</w:t>
      </w:r>
      <w:r w:rsidR="001A4991">
        <w:rPr>
          <w:rFonts w:asciiTheme="minorHAnsi" w:hAnsiTheme="minorHAnsi"/>
          <w:color w:val="auto"/>
          <w:szCs w:val="24"/>
        </w:rPr>
        <w:t xml:space="preserve"> §4.130.</w:t>
      </w:r>
    </w:p>
    <w:p w:rsidR="001A4991" w:rsidRDefault="001A4991" w:rsidP="00361420">
      <w:pPr>
        <w:spacing w:line="240" w:lineRule="exact"/>
        <w:jc w:val="both"/>
        <w:rPr>
          <w:rFonts w:asciiTheme="minorHAnsi" w:eastAsiaTheme="minorHAnsi" w:hAnsiTheme="minorHAnsi"/>
          <w:color w:val="auto"/>
          <w:szCs w:val="24"/>
        </w:rPr>
      </w:pPr>
    </w:p>
    <w:p w:rsidR="00811CB9" w:rsidRDefault="00016DA6" w:rsidP="00811CB9">
      <w:pPr>
        <w:spacing w:line="240" w:lineRule="exact"/>
        <w:jc w:val="both"/>
        <w:rPr>
          <w:rFonts w:asciiTheme="minorHAnsi" w:eastAsiaTheme="minorHAnsi" w:hAnsiTheme="minorHAnsi"/>
          <w:color w:val="FF0000"/>
          <w:szCs w:val="24"/>
        </w:rPr>
      </w:pPr>
      <w:r>
        <w:rPr>
          <w:rFonts w:asciiTheme="minorHAnsi" w:eastAsiaTheme="minorHAnsi" w:hAnsiTheme="minorHAnsi"/>
          <w:color w:val="auto"/>
          <w:szCs w:val="24"/>
        </w:rPr>
        <w:t xml:space="preserve">In </w:t>
      </w:r>
      <w:r w:rsidR="00811CB9">
        <w:rPr>
          <w:rFonts w:asciiTheme="minorHAnsi" w:eastAsiaTheme="minorHAnsi" w:hAnsiTheme="minorHAnsi"/>
          <w:color w:val="auto"/>
          <w:szCs w:val="24"/>
        </w:rPr>
        <w:t>the matter of the left knee condition</w:t>
      </w:r>
      <w:r>
        <w:rPr>
          <w:rFonts w:asciiTheme="minorHAnsi" w:eastAsiaTheme="minorHAnsi" w:hAnsiTheme="minorHAnsi"/>
          <w:color w:val="auto"/>
          <w:szCs w:val="24"/>
        </w:rPr>
        <w:t xml:space="preserve"> and IAW VASRD </w:t>
      </w:r>
      <w:r w:rsidR="00FF6BF6" w:rsidRPr="0065109B">
        <w:rPr>
          <w:rFonts w:eastAsia="Calibri"/>
          <w:color w:val="auto"/>
          <w:szCs w:val="24"/>
        </w:rPr>
        <w:t>§4.40, §4.45, §4.59</w:t>
      </w:r>
      <w:r w:rsidR="00FF6BF6">
        <w:rPr>
          <w:rFonts w:eastAsia="Calibri"/>
          <w:color w:val="auto"/>
          <w:szCs w:val="24"/>
        </w:rPr>
        <w:t xml:space="preserve">, and </w:t>
      </w:r>
      <w:r w:rsidRPr="001B3161">
        <w:rPr>
          <w:color w:val="auto"/>
          <w:szCs w:val="24"/>
        </w:rPr>
        <w:t>§4.71a</w:t>
      </w:r>
      <w:r>
        <w:rPr>
          <w:color w:val="auto"/>
          <w:szCs w:val="24"/>
        </w:rPr>
        <w:t>,</w:t>
      </w:r>
      <w:r>
        <w:rPr>
          <w:rFonts w:eastAsia="Calibri"/>
          <w:color w:val="auto"/>
          <w:szCs w:val="24"/>
        </w:rPr>
        <w:t xml:space="preserve"> the Board unanimously</w:t>
      </w:r>
      <w:r w:rsidRPr="001B3161">
        <w:rPr>
          <w:rFonts w:eastAsia="Calibri"/>
          <w:color w:val="auto"/>
          <w:szCs w:val="24"/>
        </w:rPr>
        <w:t xml:space="preserve"> recommends </w:t>
      </w:r>
      <w:r w:rsidR="00A65A39">
        <w:rPr>
          <w:rFonts w:eastAsia="Calibri"/>
          <w:color w:val="auto"/>
          <w:szCs w:val="24"/>
        </w:rPr>
        <w:t>a</w:t>
      </w:r>
      <w:r w:rsidR="0014150B">
        <w:rPr>
          <w:rFonts w:eastAsia="Calibri"/>
          <w:color w:val="auto"/>
          <w:szCs w:val="24"/>
        </w:rPr>
        <w:t>n initial TDRL</w:t>
      </w:r>
      <w:r w:rsidR="00811CB9">
        <w:rPr>
          <w:rFonts w:eastAsia="Calibri"/>
          <w:color w:val="auto"/>
          <w:szCs w:val="24"/>
        </w:rPr>
        <w:t xml:space="preserve"> </w:t>
      </w:r>
      <w:r w:rsidR="0014150B">
        <w:rPr>
          <w:rFonts w:eastAsia="Calibri"/>
          <w:color w:val="auto"/>
          <w:szCs w:val="24"/>
        </w:rPr>
        <w:t>rating of 1</w:t>
      </w:r>
      <w:r w:rsidR="00811CB9">
        <w:rPr>
          <w:rFonts w:eastAsia="Calibri"/>
          <w:color w:val="auto"/>
          <w:szCs w:val="24"/>
        </w:rPr>
        <w:t>0</w:t>
      </w:r>
      <w:r w:rsidR="00A65A39">
        <w:rPr>
          <w:rFonts w:eastAsia="Calibri"/>
          <w:color w:val="auto"/>
          <w:szCs w:val="24"/>
        </w:rPr>
        <w:t>%</w:t>
      </w:r>
      <w:r>
        <w:rPr>
          <w:color w:val="auto"/>
          <w:szCs w:val="24"/>
        </w:rPr>
        <w:t>.</w:t>
      </w:r>
      <w:r w:rsidR="00811CB9">
        <w:rPr>
          <w:color w:val="auto"/>
          <w:szCs w:val="24"/>
        </w:rPr>
        <w:t xml:space="preserve">  </w:t>
      </w:r>
      <w:r w:rsidR="00811CB9">
        <w:rPr>
          <w:rFonts w:asciiTheme="minorHAnsi" w:hAnsiTheme="minorHAnsi"/>
          <w:color w:val="auto"/>
          <w:szCs w:val="24"/>
        </w:rPr>
        <w:t xml:space="preserve">The </w:t>
      </w:r>
      <w:r w:rsidR="00811CB9">
        <w:rPr>
          <w:rFonts w:asciiTheme="minorHAnsi" w:eastAsiaTheme="minorHAnsi" w:hAnsiTheme="minorHAnsi"/>
          <w:color w:val="auto"/>
          <w:szCs w:val="24"/>
        </w:rPr>
        <w:t>Board unanimously recommends a permanent rating of 10% at six mont</w:t>
      </w:r>
      <w:r w:rsidR="00FF6BF6">
        <w:rPr>
          <w:rFonts w:asciiTheme="minorHAnsi" w:eastAsiaTheme="minorHAnsi" w:hAnsiTheme="minorHAnsi"/>
          <w:color w:val="auto"/>
          <w:szCs w:val="24"/>
        </w:rPr>
        <w:t>hs following separation</w:t>
      </w:r>
      <w:r w:rsidR="00811CB9">
        <w:rPr>
          <w:rFonts w:asciiTheme="minorHAnsi" w:hAnsiTheme="minorHAnsi"/>
          <w:color w:val="auto"/>
          <w:szCs w:val="24"/>
        </w:rPr>
        <w:t>.</w:t>
      </w:r>
    </w:p>
    <w:p w:rsidR="00811CB9" w:rsidRDefault="00811CB9" w:rsidP="00361420">
      <w:pPr>
        <w:spacing w:line="240" w:lineRule="exact"/>
        <w:jc w:val="both"/>
        <w:rPr>
          <w:color w:val="auto"/>
          <w:szCs w:val="24"/>
        </w:rPr>
      </w:pPr>
    </w:p>
    <w:p w:rsidR="00C56FC8" w:rsidRPr="00C75829" w:rsidRDefault="00C75829" w:rsidP="00361420">
      <w:pPr>
        <w:spacing w:line="240" w:lineRule="exact"/>
        <w:jc w:val="both"/>
        <w:rPr>
          <w:rFonts w:asciiTheme="minorHAnsi" w:eastAsiaTheme="minorHAnsi" w:hAnsiTheme="minorHAnsi"/>
          <w:color w:val="auto"/>
          <w:szCs w:val="24"/>
        </w:rPr>
      </w:pPr>
      <w:r>
        <w:rPr>
          <w:color w:val="auto"/>
          <w:szCs w:val="24"/>
        </w:rPr>
        <w:t xml:space="preserve">In the matter of the neck pain, headaches, </w:t>
      </w:r>
      <w:r w:rsidR="00FF6BF6">
        <w:rPr>
          <w:color w:val="auto"/>
          <w:szCs w:val="24"/>
        </w:rPr>
        <w:t>t</w:t>
      </w:r>
      <w:r w:rsidR="00FF6BF6">
        <w:rPr>
          <w:rFonts w:asciiTheme="minorHAnsi" w:hAnsiTheme="minorHAnsi"/>
          <w:color w:val="auto"/>
          <w:szCs w:val="24"/>
        </w:rPr>
        <w:t>ibial stress fractures,</w:t>
      </w:r>
      <w:r w:rsidR="00FF6BF6" w:rsidRPr="00F8462A">
        <w:rPr>
          <w:rFonts w:asciiTheme="minorHAnsi" w:hAnsiTheme="minorHAnsi"/>
          <w:color w:val="auto"/>
          <w:szCs w:val="24"/>
        </w:rPr>
        <w:t xml:space="preserve"> pilonidal cyst</w:t>
      </w:r>
      <w:r w:rsidR="00FF6BF6">
        <w:rPr>
          <w:rFonts w:asciiTheme="minorHAnsi" w:hAnsiTheme="minorHAnsi"/>
          <w:color w:val="auto"/>
          <w:szCs w:val="24"/>
        </w:rPr>
        <w:t xml:space="preserve">, </w:t>
      </w:r>
      <w:r w:rsidR="00FF6BF6" w:rsidRPr="00F8462A">
        <w:rPr>
          <w:rFonts w:asciiTheme="minorHAnsi" w:hAnsiTheme="minorHAnsi"/>
          <w:color w:val="auto"/>
          <w:szCs w:val="24"/>
        </w:rPr>
        <w:t>axillary abscess</w:t>
      </w:r>
      <w:r w:rsidR="00FF6BF6">
        <w:rPr>
          <w:rFonts w:asciiTheme="minorHAnsi" w:hAnsiTheme="minorHAnsi"/>
          <w:color w:val="auto"/>
          <w:szCs w:val="24"/>
        </w:rPr>
        <w:t>,</w:t>
      </w:r>
      <w:r w:rsidR="00FF6BF6">
        <w:rPr>
          <w:color w:val="auto"/>
          <w:szCs w:val="24"/>
        </w:rPr>
        <w:t xml:space="preserve"> </w:t>
      </w:r>
      <w:r>
        <w:rPr>
          <w:color w:val="auto"/>
          <w:szCs w:val="24"/>
        </w:rPr>
        <w:t>or any other</w:t>
      </w:r>
      <w:r w:rsidRPr="00AE3316">
        <w:rPr>
          <w:color w:val="auto"/>
          <w:szCs w:val="24"/>
        </w:rPr>
        <w:t xml:space="preserve"> conditions</w:t>
      </w:r>
      <w:r>
        <w:rPr>
          <w:color w:val="auto"/>
          <w:szCs w:val="24"/>
        </w:rPr>
        <w:t xml:space="preserve"> eligible for consideration</w:t>
      </w:r>
      <w:r w:rsidRPr="00AE3316">
        <w:rPr>
          <w:color w:val="auto"/>
          <w:szCs w:val="24"/>
        </w:rPr>
        <w:t xml:space="preserve">; the Board </w:t>
      </w:r>
      <w:r w:rsidRPr="001236EC">
        <w:rPr>
          <w:color w:val="auto"/>
          <w:szCs w:val="24"/>
        </w:rPr>
        <w:t xml:space="preserve">unanimously </w:t>
      </w:r>
      <w:r w:rsidRPr="00AE3316">
        <w:rPr>
          <w:color w:val="auto"/>
          <w:szCs w:val="24"/>
        </w:rPr>
        <w:t>agrees that it cannot</w:t>
      </w:r>
      <w:r w:rsidRPr="00AE3316">
        <w:rPr>
          <w:color w:val="000080"/>
          <w:szCs w:val="24"/>
        </w:rPr>
        <w:t xml:space="preserve"> </w:t>
      </w:r>
      <w:r w:rsidRPr="00AE3316">
        <w:rPr>
          <w:color w:val="auto"/>
          <w:szCs w:val="24"/>
        </w:rPr>
        <w:t>recommend a</w:t>
      </w:r>
      <w:r>
        <w:rPr>
          <w:color w:val="auto"/>
          <w:szCs w:val="24"/>
        </w:rPr>
        <w:t>ny</w:t>
      </w:r>
      <w:r w:rsidRPr="00AE3316">
        <w:rPr>
          <w:color w:val="auto"/>
          <w:szCs w:val="24"/>
        </w:rPr>
        <w:t xml:space="preserve"> finding</w:t>
      </w:r>
      <w:r>
        <w:rPr>
          <w:color w:val="auto"/>
          <w:szCs w:val="24"/>
        </w:rPr>
        <w:t>s</w:t>
      </w:r>
      <w:r w:rsidRPr="00AE3316">
        <w:rPr>
          <w:color w:val="auto"/>
          <w:szCs w:val="24"/>
        </w:rPr>
        <w:t xml:space="preserve"> of unfit for additional rating at separation.</w:t>
      </w:r>
    </w:p>
    <w:p w:rsidR="00C174C1" w:rsidRDefault="00C174C1" w:rsidP="00361420">
      <w:pPr>
        <w:pBdr>
          <w:bottom w:val="single" w:sz="12" w:space="1" w:color="auto"/>
        </w:pBdr>
        <w:tabs>
          <w:tab w:val="left" w:pos="288"/>
          <w:tab w:val="left" w:pos="4752"/>
        </w:tabs>
        <w:spacing w:line="240" w:lineRule="exact"/>
        <w:jc w:val="both"/>
        <w:rPr>
          <w:rFonts w:asciiTheme="minorHAnsi" w:hAnsiTheme="minorHAnsi"/>
          <w:b/>
          <w:color w:val="auto"/>
          <w:u w:val="single"/>
        </w:rPr>
      </w:pPr>
    </w:p>
    <w:p w:rsidR="00C174C1" w:rsidRDefault="00C174C1" w:rsidP="00361420">
      <w:pPr>
        <w:spacing w:line="240" w:lineRule="exact"/>
        <w:jc w:val="both"/>
        <w:rPr>
          <w:rFonts w:asciiTheme="minorHAnsi" w:eastAsiaTheme="minorHAnsi" w:hAnsiTheme="minorHAnsi"/>
          <w:b/>
          <w:color w:val="auto"/>
          <w:szCs w:val="24"/>
        </w:rPr>
      </w:pPr>
    </w:p>
    <w:p w:rsidR="00C56FC8" w:rsidRPr="00C75829" w:rsidRDefault="00C56FC8" w:rsidP="00B072DF">
      <w:pPr>
        <w:spacing w:line="240" w:lineRule="exact"/>
        <w:jc w:val="both"/>
        <w:rPr>
          <w:rFonts w:asciiTheme="minorHAnsi" w:hAnsiTheme="minorHAnsi"/>
          <w:color w:val="auto"/>
        </w:rPr>
      </w:pPr>
      <w:r w:rsidRPr="00C75829">
        <w:rPr>
          <w:rFonts w:asciiTheme="minorHAnsi" w:hAnsiTheme="minorHAnsi"/>
          <w:color w:val="auto"/>
          <w:szCs w:val="24"/>
          <w:u w:val="single"/>
        </w:rPr>
        <w:t>RECOMMENDATION</w:t>
      </w:r>
      <w:r w:rsidRPr="0068440D">
        <w:rPr>
          <w:rFonts w:asciiTheme="minorHAnsi" w:hAnsiTheme="minorHAnsi"/>
          <w:b/>
          <w:color w:val="auto"/>
          <w:szCs w:val="24"/>
        </w:rPr>
        <w:t>:</w:t>
      </w:r>
      <w:r w:rsidR="00C75829">
        <w:rPr>
          <w:rFonts w:asciiTheme="minorHAnsi" w:hAnsiTheme="minorHAnsi"/>
          <w:b/>
          <w:color w:val="auto"/>
          <w:szCs w:val="24"/>
        </w:rPr>
        <w:t xml:space="preserve">  </w:t>
      </w:r>
      <w:r w:rsidR="00811CB9">
        <w:rPr>
          <w:rFonts w:asciiTheme="minorHAnsi" w:hAnsiTheme="minorHAnsi" w:cs="Courier New"/>
          <w:color w:val="auto"/>
          <w:szCs w:val="24"/>
        </w:rPr>
        <w:t xml:space="preserve">The Board recommends that the CI’s prior separation be recharacterized to reflect that, rather than discharge with severance pay, the CI was placed on the TDRL at 60% for a period of 6 months (IAW </w:t>
      </w:r>
      <w:r w:rsidR="00FF6BF6">
        <w:rPr>
          <w:rFonts w:asciiTheme="minorHAnsi" w:hAnsiTheme="minorHAnsi" w:cs="Courier New"/>
          <w:color w:val="auto"/>
          <w:szCs w:val="24"/>
        </w:rPr>
        <w:t xml:space="preserve">VASRD </w:t>
      </w:r>
      <w:r w:rsidR="00811CB9">
        <w:rPr>
          <w:rFonts w:asciiTheme="minorHAnsi" w:hAnsiTheme="minorHAnsi" w:cs="Courier New"/>
          <w:color w:val="auto"/>
          <w:szCs w:val="24"/>
        </w:rPr>
        <w:t xml:space="preserve">§4.129) and then separated with severance pay by reason of physical disability with a final 20% rating as indicated below.  </w:t>
      </w:r>
    </w:p>
    <w:p w:rsidR="006B4AA2" w:rsidRPr="0068440D" w:rsidRDefault="006B4AA2" w:rsidP="00361420">
      <w:pPr>
        <w:spacing w:line="240" w:lineRule="exact"/>
        <w:jc w:val="both"/>
        <w:rPr>
          <w:rFonts w:asciiTheme="minorHAnsi" w:hAnsiTheme="minorHAnsi"/>
          <w:b/>
          <w:color w:val="auto"/>
          <w:szCs w:val="24"/>
        </w:rPr>
      </w:pPr>
    </w:p>
    <w:tbl>
      <w:tblPr>
        <w:tblW w:w="9652" w:type="dxa"/>
        <w:jc w:val="center"/>
        <w:tblInd w:w="8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567"/>
        <w:gridCol w:w="2070"/>
        <w:gridCol w:w="1170"/>
        <w:gridCol w:w="1845"/>
      </w:tblGrid>
      <w:tr w:rsidR="001A4991" w:rsidRPr="00AF01B2" w:rsidTr="001A4991">
        <w:trPr>
          <w:trHeight w:val="233"/>
          <w:jc w:val="center"/>
        </w:trPr>
        <w:tc>
          <w:tcPr>
            <w:tcW w:w="4567" w:type="dxa"/>
            <w:shd w:val="clear" w:color="auto" w:fill="D9D9D9"/>
            <w:vAlign w:val="center"/>
          </w:tcPr>
          <w:p w:rsidR="001A4991" w:rsidRPr="00AF01B2" w:rsidRDefault="001A4991" w:rsidP="00361420">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UNFITTING CONDITION</w:t>
            </w:r>
          </w:p>
        </w:tc>
        <w:tc>
          <w:tcPr>
            <w:tcW w:w="2070" w:type="dxa"/>
            <w:shd w:val="clear" w:color="auto" w:fill="D9D9D9"/>
            <w:vAlign w:val="center"/>
          </w:tcPr>
          <w:p w:rsidR="001A4991" w:rsidRPr="00AF01B2" w:rsidRDefault="001A4991" w:rsidP="00361420">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VASRD CODE</w:t>
            </w:r>
          </w:p>
        </w:tc>
        <w:tc>
          <w:tcPr>
            <w:tcW w:w="1170" w:type="dxa"/>
            <w:shd w:val="clear" w:color="auto" w:fill="D9D9D9"/>
          </w:tcPr>
          <w:p w:rsidR="001A4991" w:rsidRPr="00AF01B2" w:rsidRDefault="001A4991" w:rsidP="0036142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TDRL RATING</w:t>
            </w:r>
          </w:p>
        </w:tc>
        <w:tc>
          <w:tcPr>
            <w:tcW w:w="1845" w:type="dxa"/>
            <w:shd w:val="clear" w:color="auto" w:fill="D9D9D9"/>
            <w:vAlign w:val="center"/>
          </w:tcPr>
          <w:p w:rsidR="001A4991" w:rsidRDefault="001A4991" w:rsidP="0036142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PERMANENT</w:t>
            </w:r>
          </w:p>
          <w:p w:rsidR="001A4991" w:rsidRPr="00AF01B2" w:rsidRDefault="001A4991" w:rsidP="00361420">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RATING</w:t>
            </w:r>
          </w:p>
        </w:tc>
      </w:tr>
      <w:tr w:rsidR="001A4991" w:rsidRPr="00AF01B2" w:rsidTr="001A4991">
        <w:trPr>
          <w:jc w:val="center"/>
        </w:trPr>
        <w:tc>
          <w:tcPr>
            <w:tcW w:w="4567" w:type="dxa"/>
            <w:vAlign w:val="center"/>
          </w:tcPr>
          <w:p w:rsidR="001A4991" w:rsidRPr="00AF01B2" w:rsidRDefault="001A4991" w:rsidP="00FF6BF6">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Major Depressive Disorder</w:t>
            </w:r>
            <w:r w:rsidR="00FF6BF6">
              <w:rPr>
                <w:rFonts w:asciiTheme="minorHAnsi" w:hAnsiTheme="minorHAnsi"/>
                <w:color w:val="auto"/>
                <w:szCs w:val="24"/>
              </w:rPr>
              <w:t xml:space="preserve"> and </w:t>
            </w:r>
            <w:r w:rsidR="001220CC">
              <w:rPr>
                <w:rFonts w:asciiTheme="minorHAnsi" w:hAnsiTheme="minorHAnsi"/>
                <w:color w:val="auto"/>
                <w:szCs w:val="24"/>
              </w:rPr>
              <w:t>PTSD</w:t>
            </w:r>
          </w:p>
        </w:tc>
        <w:tc>
          <w:tcPr>
            <w:tcW w:w="2070" w:type="dxa"/>
            <w:vAlign w:val="center"/>
          </w:tcPr>
          <w:p w:rsidR="001A4991" w:rsidRPr="00AF01B2" w:rsidRDefault="001A4991" w:rsidP="0036142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9434</w:t>
            </w:r>
            <w:r w:rsidR="001220CC">
              <w:rPr>
                <w:rFonts w:asciiTheme="minorHAnsi" w:hAnsiTheme="minorHAnsi"/>
                <w:color w:val="auto"/>
                <w:szCs w:val="24"/>
              </w:rPr>
              <w:t>-9411</w:t>
            </w:r>
          </w:p>
        </w:tc>
        <w:tc>
          <w:tcPr>
            <w:tcW w:w="1170" w:type="dxa"/>
          </w:tcPr>
          <w:p w:rsidR="001A4991" w:rsidRDefault="001A4991" w:rsidP="0036142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50%</w:t>
            </w:r>
          </w:p>
        </w:tc>
        <w:tc>
          <w:tcPr>
            <w:tcW w:w="1845" w:type="dxa"/>
            <w:vAlign w:val="center"/>
          </w:tcPr>
          <w:p w:rsidR="001A4991" w:rsidRPr="00AF01B2" w:rsidRDefault="001A4991" w:rsidP="0036142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r w:rsidRPr="00AF01B2">
              <w:rPr>
                <w:rFonts w:asciiTheme="minorHAnsi" w:hAnsiTheme="minorHAnsi"/>
                <w:color w:val="auto"/>
                <w:szCs w:val="24"/>
              </w:rPr>
              <w:t>%</w:t>
            </w:r>
          </w:p>
        </w:tc>
      </w:tr>
      <w:tr w:rsidR="001A4991" w:rsidRPr="00AF01B2" w:rsidTr="001A4991">
        <w:trPr>
          <w:jc w:val="center"/>
        </w:trPr>
        <w:tc>
          <w:tcPr>
            <w:tcW w:w="4567" w:type="dxa"/>
            <w:vAlign w:val="center"/>
          </w:tcPr>
          <w:p w:rsidR="001A4991" w:rsidRDefault="001A4991" w:rsidP="00361420">
            <w:pPr>
              <w:tabs>
                <w:tab w:val="left" w:pos="288"/>
                <w:tab w:val="left" w:pos="4752"/>
              </w:tabs>
              <w:spacing w:line="240" w:lineRule="exact"/>
              <w:rPr>
                <w:rFonts w:asciiTheme="minorHAnsi" w:hAnsiTheme="minorHAnsi"/>
                <w:color w:val="auto"/>
                <w:szCs w:val="24"/>
              </w:rPr>
            </w:pPr>
            <w:r>
              <w:rPr>
                <w:rFonts w:asciiTheme="minorHAnsi" w:hAnsiTheme="minorHAnsi"/>
                <w:color w:val="auto"/>
                <w:szCs w:val="24"/>
              </w:rPr>
              <w:t>Chronic Left Knee Pain</w:t>
            </w:r>
          </w:p>
        </w:tc>
        <w:tc>
          <w:tcPr>
            <w:tcW w:w="2070" w:type="dxa"/>
            <w:vAlign w:val="center"/>
          </w:tcPr>
          <w:p w:rsidR="001A4991" w:rsidRDefault="001A4991" w:rsidP="001220CC">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5</w:t>
            </w:r>
            <w:r w:rsidR="001220CC">
              <w:rPr>
                <w:rFonts w:asciiTheme="minorHAnsi" w:hAnsiTheme="minorHAnsi"/>
                <w:color w:val="auto"/>
                <w:szCs w:val="24"/>
              </w:rPr>
              <w:t>0</w:t>
            </w:r>
            <w:r>
              <w:rPr>
                <w:rFonts w:asciiTheme="minorHAnsi" w:hAnsiTheme="minorHAnsi"/>
                <w:color w:val="auto"/>
                <w:szCs w:val="24"/>
              </w:rPr>
              <w:t>99-50</w:t>
            </w:r>
            <w:r w:rsidR="001220CC">
              <w:rPr>
                <w:rFonts w:asciiTheme="minorHAnsi" w:hAnsiTheme="minorHAnsi"/>
                <w:color w:val="auto"/>
                <w:szCs w:val="24"/>
              </w:rPr>
              <w:t>10</w:t>
            </w:r>
          </w:p>
        </w:tc>
        <w:tc>
          <w:tcPr>
            <w:tcW w:w="1170" w:type="dxa"/>
          </w:tcPr>
          <w:p w:rsidR="001A4991" w:rsidRDefault="001A4991" w:rsidP="0036142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c>
          <w:tcPr>
            <w:tcW w:w="1845" w:type="dxa"/>
            <w:vAlign w:val="center"/>
          </w:tcPr>
          <w:p w:rsidR="001A4991" w:rsidRDefault="001A4991" w:rsidP="00361420">
            <w:pPr>
              <w:tabs>
                <w:tab w:val="left" w:pos="288"/>
                <w:tab w:val="left" w:pos="4752"/>
              </w:tabs>
              <w:spacing w:line="240" w:lineRule="exact"/>
              <w:jc w:val="center"/>
              <w:rPr>
                <w:rFonts w:asciiTheme="minorHAnsi" w:hAnsiTheme="minorHAnsi"/>
                <w:color w:val="auto"/>
                <w:szCs w:val="24"/>
              </w:rPr>
            </w:pPr>
            <w:r>
              <w:rPr>
                <w:rFonts w:asciiTheme="minorHAnsi" w:hAnsiTheme="minorHAnsi"/>
                <w:color w:val="auto"/>
                <w:szCs w:val="24"/>
              </w:rPr>
              <w:t>10%</w:t>
            </w:r>
          </w:p>
        </w:tc>
      </w:tr>
      <w:tr w:rsidR="001A4991" w:rsidRPr="00AF01B2" w:rsidTr="001A4991">
        <w:tblPrEx>
          <w:tblLook w:val="0000"/>
        </w:tblPrEx>
        <w:trPr>
          <w:gridBefore w:val="1"/>
          <w:wBefore w:w="4567" w:type="dxa"/>
          <w:trHeight w:val="152"/>
          <w:jc w:val="center"/>
        </w:trPr>
        <w:tc>
          <w:tcPr>
            <w:tcW w:w="2070" w:type="dxa"/>
            <w:tcBorders>
              <w:left w:val="single" w:sz="4" w:space="0" w:color="auto"/>
              <w:bottom w:val="single" w:sz="4" w:space="0" w:color="000000"/>
            </w:tcBorders>
            <w:shd w:val="clear" w:color="auto" w:fill="D9D9D9" w:themeFill="background1" w:themeFillShade="D9"/>
            <w:vAlign w:val="center"/>
          </w:tcPr>
          <w:p w:rsidR="001A4991" w:rsidRPr="00AF01B2" w:rsidRDefault="001A4991" w:rsidP="00361420">
            <w:pPr>
              <w:tabs>
                <w:tab w:val="left" w:pos="288"/>
                <w:tab w:val="left" w:pos="4752"/>
              </w:tabs>
              <w:spacing w:line="240" w:lineRule="exact"/>
              <w:jc w:val="center"/>
              <w:rPr>
                <w:rFonts w:asciiTheme="minorHAnsi" w:hAnsiTheme="minorHAnsi"/>
                <w:b/>
                <w:color w:val="auto"/>
                <w:szCs w:val="24"/>
              </w:rPr>
            </w:pPr>
            <w:r w:rsidRPr="00AF01B2">
              <w:rPr>
                <w:rFonts w:asciiTheme="minorHAnsi" w:hAnsiTheme="minorHAnsi"/>
                <w:b/>
                <w:color w:val="auto"/>
                <w:szCs w:val="24"/>
              </w:rPr>
              <w:t>COMBINED</w:t>
            </w:r>
          </w:p>
        </w:tc>
        <w:tc>
          <w:tcPr>
            <w:tcW w:w="1170" w:type="dxa"/>
            <w:tcBorders>
              <w:bottom w:val="single" w:sz="4" w:space="0" w:color="000000"/>
            </w:tcBorders>
            <w:shd w:val="clear" w:color="auto" w:fill="D9D9D9" w:themeFill="background1" w:themeFillShade="D9"/>
          </w:tcPr>
          <w:p w:rsidR="001A4991" w:rsidRDefault="00811CB9" w:rsidP="0036142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60%</w:t>
            </w:r>
          </w:p>
        </w:tc>
        <w:tc>
          <w:tcPr>
            <w:tcW w:w="1845" w:type="dxa"/>
            <w:tcBorders>
              <w:bottom w:val="single" w:sz="4" w:space="0" w:color="000000"/>
            </w:tcBorders>
            <w:shd w:val="clear" w:color="auto" w:fill="D9D9D9" w:themeFill="background1" w:themeFillShade="D9"/>
            <w:vAlign w:val="center"/>
          </w:tcPr>
          <w:p w:rsidR="001A4991" w:rsidRPr="00AF01B2" w:rsidRDefault="001A4991" w:rsidP="00361420">
            <w:pPr>
              <w:tabs>
                <w:tab w:val="left" w:pos="288"/>
                <w:tab w:val="left" w:pos="4752"/>
              </w:tabs>
              <w:spacing w:line="240" w:lineRule="exact"/>
              <w:jc w:val="center"/>
              <w:rPr>
                <w:rFonts w:asciiTheme="minorHAnsi" w:hAnsiTheme="minorHAnsi"/>
                <w:b/>
                <w:color w:val="auto"/>
                <w:szCs w:val="24"/>
              </w:rPr>
            </w:pPr>
            <w:r>
              <w:rPr>
                <w:rFonts w:asciiTheme="minorHAnsi" w:hAnsiTheme="minorHAnsi"/>
                <w:b/>
                <w:color w:val="auto"/>
                <w:szCs w:val="24"/>
              </w:rPr>
              <w:t>20</w:t>
            </w:r>
            <w:r w:rsidRPr="00AF01B2">
              <w:rPr>
                <w:rFonts w:asciiTheme="minorHAnsi" w:hAnsiTheme="minorHAnsi"/>
                <w:b/>
                <w:color w:val="auto"/>
                <w:szCs w:val="24"/>
              </w:rPr>
              <w:t>%</w:t>
            </w:r>
          </w:p>
        </w:tc>
      </w:tr>
    </w:tbl>
    <w:p w:rsidR="00C75829" w:rsidRDefault="00C75829" w:rsidP="00361420">
      <w:pPr>
        <w:pBdr>
          <w:bottom w:val="single" w:sz="12" w:space="1" w:color="auto"/>
        </w:pBdr>
        <w:tabs>
          <w:tab w:val="left" w:pos="288"/>
          <w:tab w:val="left" w:pos="1710"/>
        </w:tabs>
        <w:spacing w:line="240" w:lineRule="exact"/>
        <w:rPr>
          <w:rFonts w:asciiTheme="minorHAnsi" w:hAnsiTheme="minorHAnsi"/>
          <w:color w:val="auto"/>
        </w:rPr>
      </w:pPr>
    </w:p>
    <w:p w:rsidR="00106AD8" w:rsidRPr="00391858" w:rsidRDefault="00106AD8" w:rsidP="00361420">
      <w:pPr>
        <w:tabs>
          <w:tab w:val="left" w:pos="288"/>
          <w:tab w:val="left" w:pos="4752"/>
        </w:tabs>
        <w:spacing w:line="240" w:lineRule="exact"/>
        <w:rPr>
          <w:b/>
          <w:color w:val="auto"/>
          <w:szCs w:val="24"/>
        </w:rPr>
      </w:pPr>
    </w:p>
    <w:p w:rsidR="00D91DA6" w:rsidRPr="00006186" w:rsidRDefault="00FB1725" w:rsidP="00361420">
      <w:pPr>
        <w:tabs>
          <w:tab w:val="left" w:pos="288"/>
          <w:tab w:val="left" w:pos="4752"/>
        </w:tabs>
        <w:spacing w:line="240" w:lineRule="exact"/>
        <w:jc w:val="both"/>
        <w:rPr>
          <w:rFonts w:asciiTheme="minorHAnsi" w:hAnsiTheme="minorHAnsi"/>
          <w:color w:val="auto"/>
        </w:rPr>
      </w:pPr>
      <w:r>
        <w:rPr>
          <w:rFonts w:asciiTheme="minorHAnsi" w:hAnsiTheme="minorHAnsi"/>
          <w:color w:val="auto"/>
        </w:rPr>
        <w:t>The following documentary evidence was considered:</w:t>
      </w:r>
    </w:p>
    <w:p w:rsidR="00EB5EFD" w:rsidRPr="00006186" w:rsidRDefault="00EB5EFD" w:rsidP="00361420">
      <w:pPr>
        <w:tabs>
          <w:tab w:val="left" w:pos="288"/>
          <w:tab w:val="left" w:pos="4752"/>
        </w:tabs>
        <w:spacing w:line="240" w:lineRule="exact"/>
        <w:jc w:val="both"/>
        <w:rPr>
          <w:rFonts w:asciiTheme="minorHAnsi" w:hAnsiTheme="minorHAnsi"/>
          <w:color w:val="auto"/>
        </w:rPr>
      </w:pPr>
    </w:p>
    <w:p w:rsidR="00114F20" w:rsidRPr="00006186" w:rsidRDefault="00FB1725" w:rsidP="00361420">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A.  DD Form 294, dated 20</w:t>
      </w:r>
      <w:r w:rsidR="00106C7D">
        <w:rPr>
          <w:rFonts w:asciiTheme="minorHAnsi" w:hAnsiTheme="minorHAnsi"/>
          <w:color w:val="auto"/>
        </w:rPr>
        <w:t>110126</w:t>
      </w:r>
      <w:r w:rsidR="008F6963">
        <w:rPr>
          <w:rFonts w:asciiTheme="minorHAnsi" w:hAnsiTheme="minorHAnsi"/>
          <w:color w:val="auto"/>
        </w:rPr>
        <w:t>, w/</w:t>
      </w:r>
      <w:proofErr w:type="spellStart"/>
      <w:r w:rsidR="008F6963">
        <w:rPr>
          <w:rFonts w:asciiTheme="minorHAnsi" w:hAnsiTheme="minorHAnsi"/>
          <w:color w:val="auto"/>
        </w:rPr>
        <w:t>atchs</w:t>
      </w:r>
      <w:proofErr w:type="spellEnd"/>
    </w:p>
    <w:p w:rsidR="00114F20" w:rsidRPr="00006186" w:rsidRDefault="00FB1725" w:rsidP="00361420">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w:t>
      </w:r>
      <w:r w:rsidR="008F6963">
        <w:rPr>
          <w:rFonts w:asciiTheme="minorHAnsi" w:hAnsiTheme="minorHAnsi"/>
          <w:color w:val="auto"/>
        </w:rPr>
        <w:t>it B.  Service Treatment Record</w:t>
      </w:r>
    </w:p>
    <w:p w:rsidR="00114F20" w:rsidRPr="00006186" w:rsidRDefault="00FB1725" w:rsidP="00361420">
      <w:pPr>
        <w:tabs>
          <w:tab w:val="left" w:pos="288"/>
          <w:tab w:val="left" w:pos="4752"/>
        </w:tabs>
        <w:spacing w:line="240" w:lineRule="exact"/>
        <w:jc w:val="both"/>
        <w:rPr>
          <w:rFonts w:asciiTheme="minorHAnsi" w:hAnsiTheme="minorHAnsi"/>
          <w:color w:val="auto"/>
        </w:rPr>
      </w:pPr>
      <w:r>
        <w:rPr>
          <w:rFonts w:asciiTheme="minorHAnsi" w:hAnsiTheme="minorHAnsi"/>
          <w:color w:val="auto"/>
        </w:rPr>
        <w:t>Exhibit C.  Dep</w:t>
      </w:r>
      <w:r w:rsidR="008F6963">
        <w:rPr>
          <w:rFonts w:asciiTheme="minorHAnsi" w:hAnsiTheme="minorHAnsi"/>
          <w:color w:val="auto"/>
        </w:rPr>
        <w:t>artment of Veterans' Affairs Treatment Record</w:t>
      </w:r>
    </w:p>
    <w:p w:rsidR="00D91DA6" w:rsidRPr="00006186" w:rsidRDefault="00D91DA6" w:rsidP="00361420">
      <w:pPr>
        <w:tabs>
          <w:tab w:val="left" w:pos="288"/>
          <w:tab w:val="left" w:pos="4752"/>
        </w:tabs>
        <w:spacing w:line="240" w:lineRule="exact"/>
        <w:jc w:val="both"/>
        <w:rPr>
          <w:rFonts w:asciiTheme="minorHAnsi" w:hAnsiTheme="minorHAnsi"/>
          <w:color w:val="auto"/>
        </w:rPr>
      </w:pPr>
    </w:p>
    <w:p w:rsidR="00114F20" w:rsidRPr="00006186" w:rsidRDefault="00114F20" w:rsidP="00361420">
      <w:pPr>
        <w:tabs>
          <w:tab w:val="left" w:pos="288"/>
          <w:tab w:val="left" w:pos="4752"/>
        </w:tabs>
        <w:spacing w:line="240" w:lineRule="exact"/>
        <w:jc w:val="both"/>
        <w:rPr>
          <w:rFonts w:asciiTheme="minorHAnsi" w:hAnsiTheme="minorHAnsi"/>
          <w:color w:val="auto"/>
        </w:rPr>
      </w:pPr>
    </w:p>
    <w:p w:rsidR="00114F20" w:rsidRPr="00006186" w:rsidRDefault="00114F20" w:rsidP="00361420">
      <w:pPr>
        <w:tabs>
          <w:tab w:val="left" w:pos="288"/>
          <w:tab w:val="left" w:pos="4752"/>
        </w:tabs>
        <w:spacing w:line="240" w:lineRule="exact"/>
        <w:jc w:val="both"/>
        <w:rPr>
          <w:rFonts w:asciiTheme="minorHAnsi" w:hAnsiTheme="minorHAnsi"/>
          <w:color w:val="auto"/>
        </w:rPr>
      </w:pPr>
    </w:p>
    <w:p w:rsidR="00114F20" w:rsidRPr="00006186" w:rsidRDefault="00114F20" w:rsidP="00361420">
      <w:pPr>
        <w:tabs>
          <w:tab w:val="left" w:pos="288"/>
          <w:tab w:val="left" w:pos="4752"/>
        </w:tabs>
        <w:spacing w:line="240" w:lineRule="exact"/>
        <w:jc w:val="both"/>
        <w:rPr>
          <w:rFonts w:asciiTheme="minorHAnsi" w:hAnsiTheme="minorHAnsi"/>
          <w:color w:val="auto"/>
        </w:rPr>
      </w:pPr>
    </w:p>
    <w:p w:rsidR="00D91DA6" w:rsidRPr="00006186" w:rsidRDefault="001A0BC6" w:rsidP="00361420">
      <w:pPr>
        <w:tabs>
          <w:tab w:val="left" w:pos="0"/>
          <w:tab w:val="left" w:pos="4320"/>
        </w:tabs>
        <w:spacing w:line="240" w:lineRule="exact"/>
        <w:jc w:val="both"/>
        <w:rPr>
          <w:rFonts w:asciiTheme="minorHAnsi" w:hAnsiTheme="minorHAnsi"/>
          <w:color w:val="auto"/>
        </w:rPr>
      </w:pPr>
      <w:r>
        <w:rPr>
          <w:rFonts w:asciiTheme="minorHAnsi" w:hAnsiTheme="minorHAnsi"/>
          <w:color w:val="auto"/>
        </w:rPr>
        <w:t xml:space="preserve">                             </w:t>
      </w:r>
      <w:r w:rsidR="00FB1725">
        <w:rPr>
          <w:rFonts w:asciiTheme="minorHAnsi" w:hAnsiTheme="minorHAnsi"/>
          <w:color w:val="auto"/>
        </w:rPr>
        <w:tab/>
      </w:r>
      <w:r>
        <w:rPr>
          <w:rFonts w:asciiTheme="minorHAnsi" w:hAnsiTheme="minorHAnsi"/>
          <w:color w:val="auto"/>
        </w:rPr>
        <w:t xml:space="preserve">      </w:t>
      </w:r>
      <w:r w:rsidR="00315EEF">
        <w:rPr>
          <w:rFonts w:asciiTheme="minorHAnsi" w:hAnsiTheme="minorHAnsi"/>
          <w:color w:val="auto"/>
        </w:rPr>
        <w:t xml:space="preserve"> </w:t>
      </w:r>
    </w:p>
    <w:p w:rsidR="00FB26E6" w:rsidRDefault="001A0BC6" w:rsidP="00361420">
      <w:pPr>
        <w:tabs>
          <w:tab w:val="left" w:pos="0"/>
          <w:tab w:val="left" w:pos="4320"/>
        </w:tabs>
        <w:spacing w:line="240" w:lineRule="exact"/>
        <w:rPr>
          <w:rFonts w:asciiTheme="minorHAnsi" w:hAnsiTheme="minorHAnsi"/>
          <w:color w:val="auto"/>
        </w:rPr>
      </w:pPr>
      <w:r>
        <w:rPr>
          <w:rFonts w:asciiTheme="minorHAnsi" w:hAnsiTheme="minorHAnsi"/>
          <w:color w:val="auto"/>
        </w:rPr>
        <w:t xml:space="preserve">                             </w:t>
      </w:r>
      <w:r>
        <w:rPr>
          <w:rFonts w:asciiTheme="minorHAnsi" w:hAnsiTheme="minorHAnsi"/>
          <w:color w:val="auto"/>
        </w:rPr>
        <w:tab/>
        <w:t xml:space="preserve">         President</w:t>
      </w:r>
    </w:p>
    <w:p w:rsidR="00315EEF" w:rsidRDefault="00FB26E6" w:rsidP="00023D13">
      <w:pPr>
        <w:tabs>
          <w:tab w:val="left" w:pos="0"/>
          <w:tab w:val="left" w:pos="4320"/>
        </w:tabs>
        <w:spacing w:line="240" w:lineRule="exact"/>
        <w:rPr>
          <w:rFonts w:asciiTheme="minorHAnsi" w:hAnsiTheme="minorHAnsi"/>
          <w:color w:val="auto"/>
        </w:rPr>
      </w:pPr>
      <w:r>
        <w:rPr>
          <w:rFonts w:asciiTheme="minorHAnsi" w:hAnsiTheme="minorHAnsi"/>
          <w:color w:val="auto"/>
        </w:rPr>
        <w:tab/>
        <w:t xml:space="preserve">        </w:t>
      </w:r>
      <w:r w:rsidR="001A0BC6">
        <w:rPr>
          <w:rFonts w:asciiTheme="minorHAnsi" w:hAnsiTheme="minorHAnsi"/>
          <w:color w:val="auto"/>
        </w:rPr>
        <w:t xml:space="preserve"> Physical Disability Board of Review</w:t>
      </w:r>
    </w:p>
    <w:p w:rsidR="00315EEF" w:rsidRDefault="00315EEF">
      <w:pPr>
        <w:rPr>
          <w:rFonts w:asciiTheme="minorHAnsi" w:hAnsiTheme="minorHAnsi"/>
          <w:color w:val="auto"/>
        </w:rPr>
      </w:pPr>
      <w:r>
        <w:rPr>
          <w:rFonts w:asciiTheme="minorHAnsi" w:hAnsiTheme="minorHAnsi"/>
          <w:color w:val="auto"/>
        </w:rPr>
        <w:br w:type="page"/>
      </w:r>
    </w:p>
    <w:p w:rsidR="00315EEF" w:rsidRPr="00FF16DA" w:rsidRDefault="00315EEF" w:rsidP="00315EEF">
      <w:pPr>
        <w:pStyle w:val="Header"/>
        <w:tabs>
          <w:tab w:val="clear" w:pos="4320"/>
          <w:tab w:val="clear" w:pos="8640"/>
        </w:tabs>
      </w:pPr>
      <w:r w:rsidRPr="00FF16DA">
        <w:lastRenderedPageBreak/>
        <w:t>SFMR-RB</w:t>
      </w:r>
      <w:r w:rsidRPr="00FF16DA">
        <w:tab/>
      </w:r>
      <w:r w:rsidRPr="00FF16DA">
        <w:tab/>
      </w:r>
      <w:r w:rsidRPr="00FF16DA">
        <w:tab/>
      </w:r>
      <w:r w:rsidRPr="00FF16DA">
        <w:tab/>
      </w:r>
      <w:r w:rsidRPr="00FF16DA">
        <w:tab/>
      </w:r>
      <w:r w:rsidRPr="00FF16DA">
        <w:tab/>
      </w:r>
      <w:r w:rsidRPr="00FF16DA">
        <w:tab/>
      </w:r>
      <w:r w:rsidRPr="00FF16DA">
        <w:tab/>
      </w:r>
      <w:r w:rsidRPr="00FF16DA">
        <w:tab/>
      </w:r>
    </w:p>
    <w:p w:rsidR="00315EEF" w:rsidRPr="00FF16DA" w:rsidRDefault="00315EEF" w:rsidP="00315EEF">
      <w:pPr>
        <w:pStyle w:val="Header"/>
        <w:tabs>
          <w:tab w:val="clear" w:pos="4320"/>
          <w:tab w:val="clear" w:pos="8640"/>
        </w:tabs>
      </w:pPr>
    </w:p>
    <w:p w:rsidR="00315EEF" w:rsidRPr="00FF16DA" w:rsidRDefault="00315EEF" w:rsidP="00315EEF"/>
    <w:p w:rsidR="00315EEF" w:rsidRPr="00FF16DA" w:rsidRDefault="00315EEF" w:rsidP="00315EEF">
      <w:r w:rsidRPr="00FF16DA">
        <w:t xml:space="preserve">MEMORANDUM FOR Commander, US Army Physical Disability Agency </w:t>
      </w:r>
    </w:p>
    <w:p w:rsidR="00315EEF" w:rsidRPr="00FF16DA" w:rsidRDefault="00315EEF" w:rsidP="00315EEF">
      <w:r>
        <w:t xml:space="preserve"> </w:t>
      </w:r>
    </w:p>
    <w:p w:rsidR="00315EEF" w:rsidRPr="00FF16DA" w:rsidRDefault="00315EEF" w:rsidP="00315EEF">
      <w:pPr>
        <w:ind w:right="-180"/>
      </w:pPr>
      <w:r w:rsidRPr="00FF16DA">
        <w:t xml:space="preserve">SUBJECT:  Department of Defense Physical Disability Board of Review Recommendation </w:t>
      </w:r>
    </w:p>
    <w:p w:rsidR="00315EEF" w:rsidRPr="00FF16DA" w:rsidRDefault="00315EEF" w:rsidP="00315EEF"/>
    <w:p w:rsidR="00315EEF" w:rsidRPr="00FF16DA" w:rsidRDefault="00315EEF" w:rsidP="00315EEF">
      <w:r w:rsidRPr="00FF16DA">
        <w:t>1.  Under the authority of Title 10, United States Code, section 1554(a), I approve the enclosed recommendation of the Department of Defense Physical Disability Board of Review (</w:t>
      </w:r>
      <w:proofErr w:type="spellStart"/>
      <w:r w:rsidRPr="00FF16DA">
        <w:t>DoD</w:t>
      </w:r>
      <w:proofErr w:type="spellEnd"/>
      <w:r w:rsidRPr="00FF16DA">
        <w:t xml:space="preserve"> PDBR) pertaining to the individual named in the subject line above to  constructively place the individual on the Temporary Disability Retired List (TDRL) at </w:t>
      </w:r>
      <w:r>
        <w:t>60</w:t>
      </w:r>
      <w:r w:rsidRPr="00FF16DA">
        <w:t xml:space="preserve">% disability for six months effective the date of the individual’s original medical separation for disability with severance pay and then following this six month period </w:t>
      </w:r>
      <w:r>
        <w:t xml:space="preserve">no </w:t>
      </w:r>
      <w:proofErr w:type="spellStart"/>
      <w:r>
        <w:t>recharacterization</w:t>
      </w:r>
      <w:proofErr w:type="spellEnd"/>
      <w:r>
        <w:t xml:space="preserve"> of the individual’s separation with modification of the permanent disability rating from 10% to 20%</w:t>
      </w:r>
      <w:r w:rsidRPr="00FF16DA">
        <w:t>.</w:t>
      </w:r>
    </w:p>
    <w:p w:rsidR="00315EEF" w:rsidRPr="00FF16DA" w:rsidRDefault="00315EEF" w:rsidP="00315EEF"/>
    <w:p w:rsidR="00315EEF" w:rsidRDefault="00315EEF" w:rsidP="00315EEF">
      <w:r w:rsidRPr="00FF16DA">
        <w:t xml:space="preserve">2.  I direct that all the Department of the Army records of the individual concerned be corrected accordingly no later than </w:t>
      </w:r>
      <w:bookmarkStart w:id="0" w:name="OLE_LINK9"/>
      <w:bookmarkStart w:id="1" w:name="OLE_LINK10"/>
      <w:r w:rsidRPr="00FF16DA">
        <w:t>120 day</w:t>
      </w:r>
      <w:r>
        <w:t>s from the date of this memorandum as follows:</w:t>
      </w:r>
      <w:bookmarkEnd w:id="0"/>
      <w:bookmarkEnd w:id="1"/>
    </w:p>
    <w:p w:rsidR="00315EEF" w:rsidRDefault="00315EEF" w:rsidP="00315EEF"/>
    <w:p w:rsidR="00315EEF" w:rsidRDefault="00315EEF" w:rsidP="00315EEF">
      <w:r>
        <w:tab/>
      </w:r>
      <w:proofErr w:type="gramStart"/>
      <w:r>
        <w:t>a.  P</w:t>
      </w:r>
      <w:r w:rsidRPr="00FF16DA">
        <w:t>roviding</w:t>
      </w:r>
      <w:proofErr w:type="gramEnd"/>
      <w:r w:rsidRPr="00FF16DA">
        <w:t xml:space="preserve"> a correction to the individual’s separation document showing that the individual was separated by reason of temporary disability effective the date of the original medical separation for disability with severance pay</w:t>
      </w:r>
      <w:r>
        <w:t>.</w:t>
      </w:r>
    </w:p>
    <w:p w:rsidR="00315EEF" w:rsidRDefault="00315EEF" w:rsidP="00315EEF"/>
    <w:p w:rsidR="00315EEF" w:rsidRDefault="00315EEF" w:rsidP="00315EEF">
      <w:r>
        <w:tab/>
      </w:r>
      <w:proofErr w:type="gramStart"/>
      <w:r>
        <w:t>b.  Providing</w:t>
      </w:r>
      <w:proofErr w:type="gramEnd"/>
      <w:r>
        <w:t xml:space="preserve"> orders showing that the individual was separated with a permanent combined rating of 20% effective the day following the six month TDRL period with no </w:t>
      </w:r>
      <w:proofErr w:type="spellStart"/>
      <w:r>
        <w:t>recharacterization</w:t>
      </w:r>
      <w:proofErr w:type="spellEnd"/>
      <w:r>
        <w:t xml:space="preserve"> of the individual’s separation.</w:t>
      </w:r>
    </w:p>
    <w:p w:rsidR="00315EEF" w:rsidRDefault="00315EEF" w:rsidP="00315EEF"/>
    <w:p w:rsidR="00315EEF" w:rsidRDefault="00315EEF" w:rsidP="00315EEF">
      <w:r>
        <w:tab/>
      </w:r>
      <w:proofErr w:type="gramStart"/>
      <w:r>
        <w:t>c.  A</w:t>
      </w:r>
      <w:r w:rsidRPr="00FF16DA">
        <w:t>djusting</w:t>
      </w:r>
      <w:proofErr w:type="gramEnd"/>
      <w:r w:rsidRPr="00FF16DA">
        <w:t xml:space="preserve"> pay and allowances accordingly.  Pay and allowance adjustment will provide </w:t>
      </w:r>
      <w:r>
        <w:t>60</w:t>
      </w:r>
      <w:r w:rsidRPr="00FF16DA">
        <w:t xml:space="preserve">% retired pay for </w:t>
      </w:r>
      <w:r>
        <w:t xml:space="preserve">the constructive temporary disability retired </w:t>
      </w:r>
      <w:r w:rsidRPr="00FF16DA">
        <w:t>six month</w:t>
      </w:r>
      <w:r>
        <w:t xml:space="preserve"> period </w:t>
      </w:r>
      <w:r w:rsidRPr="00FF16DA">
        <w:t>effective the date of the individual’s original medical separation</w:t>
      </w:r>
      <w:r>
        <w:t xml:space="preserve"> and adjusting severance pay as necessary to account for the additional TDRL time in service.</w:t>
      </w:r>
      <w:bookmarkStart w:id="2" w:name="OLE_LINK1"/>
      <w:bookmarkStart w:id="3" w:name="OLE_LINK2"/>
    </w:p>
    <w:p w:rsidR="00315EEF" w:rsidRDefault="00315EEF" w:rsidP="00315EEF"/>
    <w:p w:rsidR="00315EEF" w:rsidRPr="00FF16DA" w:rsidRDefault="00315EEF" w:rsidP="00315EEF">
      <w:r w:rsidRPr="00FF16DA">
        <w:t>3.  I request that a copy of the corrections and any related correspondence be provided to the individual concerned, counsel (if any), any Members of Congress who have shown interest, and to the Army Review Boards Agency with a copy of this memorandum without enclosures.</w:t>
      </w:r>
    </w:p>
    <w:bookmarkEnd w:id="2"/>
    <w:bookmarkEnd w:id="3"/>
    <w:p w:rsidR="00315EEF" w:rsidRPr="00FF16DA" w:rsidRDefault="00315EEF" w:rsidP="00315EEF"/>
    <w:p w:rsidR="00315EEF" w:rsidRPr="00FF16DA" w:rsidRDefault="00315EEF" w:rsidP="00315EEF">
      <w:r w:rsidRPr="00FF16DA">
        <w:t>BY ORDER OF THE SECRETARY OF THE ARMY:</w:t>
      </w:r>
    </w:p>
    <w:p w:rsidR="00315EEF" w:rsidRPr="00FF16DA" w:rsidRDefault="00315EEF" w:rsidP="00315EEF"/>
    <w:p w:rsidR="00315EEF" w:rsidRPr="00FF16DA" w:rsidRDefault="00315EEF" w:rsidP="00315EEF"/>
    <w:p w:rsidR="00315EEF" w:rsidRPr="00FF16DA" w:rsidRDefault="00315EEF" w:rsidP="00315EEF">
      <w:pPr>
        <w:pStyle w:val="Header"/>
        <w:tabs>
          <w:tab w:val="clear" w:pos="4320"/>
          <w:tab w:val="clear" w:pos="8640"/>
        </w:tabs>
      </w:pPr>
    </w:p>
    <w:p w:rsidR="00315EEF" w:rsidRDefault="00315EEF" w:rsidP="00315EEF">
      <w:bookmarkStart w:id="4" w:name="OLE_LINK3"/>
      <w:bookmarkStart w:id="5" w:name="OLE_LINK4"/>
    </w:p>
    <w:p w:rsidR="00315EEF" w:rsidRPr="00FF16DA" w:rsidRDefault="00315EEF" w:rsidP="00315EEF">
      <w:r w:rsidRPr="00FF16DA">
        <w:t>Encl</w:t>
      </w:r>
      <w:r w:rsidRPr="00FF16DA">
        <w:tab/>
      </w:r>
      <w:r w:rsidRPr="00FF16DA">
        <w:tab/>
      </w:r>
      <w:r w:rsidRPr="00FF16DA">
        <w:tab/>
      </w:r>
      <w:r w:rsidRPr="00FF16DA">
        <w:tab/>
      </w:r>
      <w:r w:rsidRPr="00FF16DA">
        <w:tab/>
      </w:r>
    </w:p>
    <w:p w:rsidR="00315EEF" w:rsidRPr="00FF16DA" w:rsidRDefault="00315EEF" w:rsidP="00315EEF">
      <w:r w:rsidRPr="00FF16DA">
        <w:tab/>
      </w:r>
      <w:r w:rsidRPr="00FF16DA">
        <w:tab/>
      </w:r>
      <w:r w:rsidRPr="00FF16DA">
        <w:tab/>
      </w:r>
      <w:r w:rsidRPr="00FF16DA">
        <w:tab/>
      </w:r>
      <w:r w:rsidRPr="00FF16DA">
        <w:tab/>
      </w:r>
      <w:r w:rsidRPr="00FF16DA">
        <w:tab/>
        <w:t xml:space="preserve">     Deputy Assistant Secretary</w:t>
      </w:r>
    </w:p>
    <w:p w:rsidR="00315EEF" w:rsidRPr="00FF16DA" w:rsidRDefault="00315EEF" w:rsidP="00315EEF">
      <w:r w:rsidRPr="00FF16DA">
        <w:tab/>
      </w:r>
      <w:r w:rsidRPr="00FF16DA">
        <w:tab/>
      </w:r>
      <w:r w:rsidRPr="00FF16DA">
        <w:tab/>
      </w:r>
      <w:r w:rsidRPr="00FF16DA">
        <w:tab/>
      </w:r>
      <w:r w:rsidRPr="00FF16DA">
        <w:tab/>
      </w:r>
      <w:r w:rsidRPr="00FF16DA">
        <w:tab/>
        <w:t xml:space="preserve">         (Army Review Boards)</w:t>
      </w:r>
      <w:bookmarkEnd w:id="4"/>
      <w:bookmarkEnd w:id="5"/>
    </w:p>
    <w:p w:rsidR="00C75829" w:rsidRDefault="00C75829" w:rsidP="00023D13">
      <w:pPr>
        <w:tabs>
          <w:tab w:val="left" w:pos="0"/>
          <w:tab w:val="left" w:pos="4320"/>
        </w:tabs>
        <w:spacing w:line="240" w:lineRule="exact"/>
        <w:rPr>
          <w:rFonts w:asciiTheme="minorHAnsi" w:hAnsiTheme="minorHAnsi"/>
          <w:color w:val="auto"/>
        </w:rPr>
      </w:pPr>
    </w:p>
    <w:sectPr w:rsidR="00C75829" w:rsidSect="002A5C3C">
      <w:footerReference w:type="default" r:id="rId8"/>
      <w:footnotePr>
        <w:numRestart w:val="eachSect"/>
      </w:footnotePr>
      <w:pgSz w:w="12240" w:h="15840" w:code="1"/>
      <w:pgMar w:top="1440" w:right="1440" w:bottom="1440" w:left="1440"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7C10" w:rsidRDefault="00257C10">
      <w:r>
        <w:separator/>
      </w:r>
    </w:p>
  </w:endnote>
  <w:endnote w:type="continuationSeparator" w:id="0">
    <w:p w:rsidR="00257C10" w:rsidRDefault="00257C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6984766"/>
      <w:docPartObj>
        <w:docPartGallery w:val="Page Numbers (Bottom of Page)"/>
        <w:docPartUnique/>
      </w:docPartObj>
    </w:sdtPr>
    <w:sdtContent>
      <w:p w:rsidR="00023D13" w:rsidRPr="00684CE6" w:rsidRDefault="005442A7" w:rsidP="00F65ED5">
        <w:pPr>
          <w:pStyle w:val="Footer"/>
          <w:jc w:val="right"/>
          <w:rPr>
            <w:color w:val="auto"/>
          </w:rPr>
        </w:pPr>
        <w:r w:rsidRPr="00684CE6">
          <w:rPr>
            <w:color w:val="auto"/>
          </w:rPr>
          <w:fldChar w:fldCharType="begin"/>
        </w:r>
        <w:r w:rsidR="00023D13" w:rsidRPr="00684CE6">
          <w:rPr>
            <w:color w:val="auto"/>
          </w:rPr>
          <w:instrText xml:space="preserve"> PAGE   \* MERGEFORMAT </w:instrText>
        </w:r>
        <w:r w:rsidRPr="00684CE6">
          <w:rPr>
            <w:color w:val="auto"/>
          </w:rPr>
          <w:fldChar w:fldCharType="separate"/>
        </w:r>
        <w:r w:rsidR="00315EEF">
          <w:rPr>
            <w:noProof/>
            <w:color w:val="auto"/>
          </w:rPr>
          <w:t>5</w:t>
        </w:r>
        <w:r w:rsidRPr="00684CE6">
          <w:rPr>
            <w:color w:val="auto"/>
          </w:rPr>
          <w:fldChar w:fldCharType="end"/>
        </w:r>
        <w:r w:rsidR="00023D13" w:rsidRPr="00684CE6">
          <w:rPr>
            <w:color w:val="auto"/>
          </w:rPr>
          <w:t xml:space="preserve">                                                           PD</w:t>
        </w:r>
        <w:r w:rsidR="00023D13">
          <w:rPr>
            <w:color w:val="auto"/>
          </w:rPr>
          <w:t>1100107</w:t>
        </w:r>
      </w:p>
    </w:sdtContent>
  </w:sdt>
  <w:p w:rsidR="00023D13" w:rsidRPr="00684CE6" w:rsidRDefault="00023D13">
    <w:pPr>
      <w:pStyle w:val="Footer"/>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7C10" w:rsidRDefault="00257C10">
      <w:r>
        <w:separator/>
      </w:r>
    </w:p>
  </w:footnote>
  <w:footnote w:type="continuationSeparator" w:id="0">
    <w:p w:rsidR="00257C10" w:rsidRDefault="00257C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042CC"/>
    <w:multiLevelType w:val="hybridMultilevel"/>
    <w:tmpl w:val="BFA47516"/>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0E7CCC"/>
    <w:multiLevelType w:val="hybridMultilevel"/>
    <w:tmpl w:val="F26CA91A"/>
    <w:lvl w:ilvl="0" w:tplc="8F7AB93E">
      <w:numFmt w:val="bullet"/>
      <w:lvlText w:val="-"/>
      <w:lvlJc w:val="left"/>
      <w:pPr>
        <w:ind w:left="360" w:hanging="360"/>
      </w:pPr>
      <w:rPr>
        <w:rFonts w:ascii="Calibri" w:eastAsia="Times New Roman"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E2268AC"/>
    <w:multiLevelType w:val="hybridMultilevel"/>
    <w:tmpl w:val="D526C8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14EEB"/>
    <w:multiLevelType w:val="hybridMultilevel"/>
    <w:tmpl w:val="A5C2833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3171C56"/>
    <w:multiLevelType w:val="hybridMultilevel"/>
    <w:tmpl w:val="E8F47BEC"/>
    <w:lvl w:ilvl="0" w:tplc="8426079A">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5">
    <w:nsid w:val="17BA7C44"/>
    <w:multiLevelType w:val="hybridMultilevel"/>
    <w:tmpl w:val="7C126282"/>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D5422F0"/>
    <w:multiLevelType w:val="hybridMultilevel"/>
    <w:tmpl w:val="DF66D326"/>
    <w:lvl w:ilvl="0" w:tplc="7018B964">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45D80"/>
    <w:multiLevelType w:val="hybridMultilevel"/>
    <w:tmpl w:val="A8927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EF538FD"/>
    <w:multiLevelType w:val="hybridMultilevel"/>
    <w:tmpl w:val="6AA8201E"/>
    <w:lvl w:ilvl="0" w:tplc="7018B964">
      <w:numFmt w:val="bullet"/>
      <w:lvlText w:val="-"/>
      <w:lvlJc w:val="left"/>
      <w:pPr>
        <w:ind w:left="720" w:hanging="360"/>
      </w:pPr>
      <w:rPr>
        <w:rFonts w:ascii="Calibri" w:eastAsia="Times New Roman" w:hAnsi="Calibri"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6A3FF5"/>
    <w:multiLevelType w:val="hybridMultilevel"/>
    <w:tmpl w:val="CDACECDE"/>
    <w:lvl w:ilvl="0" w:tplc="DF86C548">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4F193D"/>
    <w:multiLevelType w:val="hybridMultilevel"/>
    <w:tmpl w:val="9C4EF4C6"/>
    <w:lvl w:ilvl="0" w:tplc="3B98A07E">
      <w:numFmt w:val="bullet"/>
      <w:lvlText w:val=""/>
      <w:lvlJc w:val="left"/>
      <w:pPr>
        <w:ind w:left="615" w:hanging="360"/>
      </w:pPr>
      <w:rPr>
        <w:rFonts w:ascii="Wingdings" w:eastAsia="Times New Roman" w:hAnsi="Wingdings"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11">
    <w:nsid w:val="431821A9"/>
    <w:multiLevelType w:val="hybridMultilevel"/>
    <w:tmpl w:val="100E3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CF06437"/>
    <w:multiLevelType w:val="hybridMultilevel"/>
    <w:tmpl w:val="F88001A6"/>
    <w:lvl w:ilvl="0" w:tplc="5E7A036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F856844"/>
    <w:multiLevelType w:val="hybridMultilevel"/>
    <w:tmpl w:val="979A8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E172F4"/>
    <w:multiLevelType w:val="hybridMultilevel"/>
    <w:tmpl w:val="3B98A040"/>
    <w:lvl w:ilvl="0" w:tplc="C5A2619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D637FB"/>
    <w:multiLevelType w:val="hybridMultilevel"/>
    <w:tmpl w:val="E81C20AE"/>
    <w:lvl w:ilvl="0" w:tplc="41C2107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8920263"/>
    <w:multiLevelType w:val="hybridMultilevel"/>
    <w:tmpl w:val="5ABA2AD0"/>
    <w:lvl w:ilvl="0" w:tplc="C3D8CF1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694670E"/>
    <w:multiLevelType w:val="hybridMultilevel"/>
    <w:tmpl w:val="7C92692E"/>
    <w:lvl w:ilvl="0" w:tplc="20A6E150">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DA16B7"/>
    <w:multiLevelType w:val="hybridMultilevel"/>
    <w:tmpl w:val="3BD2466C"/>
    <w:lvl w:ilvl="0" w:tplc="AABA22AA">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7"/>
  </w:num>
  <w:num w:numId="4">
    <w:abstractNumId w:val="6"/>
  </w:num>
  <w:num w:numId="5">
    <w:abstractNumId w:val="3"/>
  </w:num>
  <w:num w:numId="6">
    <w:abstractNumId w:val="8"/>
  </w:num>
  <w:num w:numId="7">
    <w:abstractNumId w:val="0"/>
  </w:num>
  <w:num w:numId="8">
    <w:abstractNumId w:val="5"/>
  </w:num>
  <w:num w:numId="9">
    <w:abstractNumId w:val="15"/>
  </w:num>
  <w:num w:numId="10">
    <w:abstractNumId w:val="10"/>
  </w:num>
  <w:num w:numId="11">
    <w:abstractNumId w:val="4"/>
  </w:num>
  <w:num w:numId="12">
    <w:abstractNumId w:val="13"/>
  </w:num>
  <w:num w:numId="13">
    <w:abstractNumId w:val="7"/>
  </w:num>
  <w:num w:numId="14">
    <w:abstractNumId w:val="14"/>
  </w:num>
  <w:num w:numId="15">
    <w:abstractNumId w:val="18"/>
  </w:num>
  <w:num w:numId="16">
    <w:abstractNumId w:val="1"/>
  </w:num>
  <w:num w:numId="17">
    <w:abstractNumId w:val="16"/>
  </w:num>
  <w:num w:numId="18">
    <w:abstractNumId w:val="9"/>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intFractionalCharacterWidth/>
  <w:embedSystemFonts/>
  <w:activeWritingStyle w:appName="MSWord" w:lang="en-US" w:vendorID="8" w:dllVersion="513" w:checkStyle="1"/>
  <w:proofState w:spelling="clean" w:grammar="clean"/>
  <w:stylePaneFormatFilter w:val="3F0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313346"/>
  </w:hdrShapeDefaults>
  <w:footnotePr>
    <w:numRestart w:val="eachSect"/>
    <w:footnote w:id="-1"/>
    <w:footnote w:id="0"/>
  </w:footnotePr>
  <w:endnotePr>
    <w:endnote w:id="-1"/>
    <w:endnote w:id="0"/>
  </w:endnotePr>
  <w:compat/>
  <w:rsids>
    <w:rsidRoot w:val="001C28D1"/>
    <w:rsid w:val="000024F5"/>
    <w:rsid w:val="000059FA"/>
    <w:rsid w:val="00006186"/>
    <w:rsid w:val="00006F87"/>
    <w:rsid w:val="00007107"/>
    <w:rsid w:val="00010ABA"/>
    <w:rsid w:val="00010B0F"/>
    <w:rsid w:val="00012428"/>
    <w:rsid w:val="00012733"/>
    <w:rsid w:val="00013417"/>
    <w:rsid w:val="000145C2"/>
    <w:rsid w:val="0001473F"/>
    <w:rsid w:val="00014A9E"/>
    <w:rsid w:val="00016AE3"/>
    <w:rsid w:val="00016DA6"/>
    <w:rsid w:val="00021361"/>
    <w:rsid w:val="00022CF3"/>
    <w:rsid w:val="00023913"/>
    <w:rsid w:val="00023D13"/>
    <w:rsid w:val="00023D43"/>
    <w:rsid w:val="000243CE"/>
    <w:rsid w:val="00024DE7"/>
    <w:rsid w:val="00026092"/>
    <w:rsid w:val="00030776"/>
    <w:rsid w:val="00032E07"/>
    <w:rsid w:val="000332CA"/>
    <w:rsid w:val="0003374E"/>
    <w:rsid w:val="000344D8"/>
    <w:rsid w:val="000344E6"/>
    <w:rsid w:val="00035C3A"/>
    <w:rsid w:val="00036E4B"/>
    <w:rsid w:val="00037929"/>
    <w:rsid w:val="000379D0"/>
    <w:rsid w:val="00040FC4"/>
    <w:rsid w:val="000416F8"/>
    <w:rsid w:val="00042C26"/>
    <w:rsid w:val="00043382"/>
    <w:rsid w:val="00044623"/>
    <w:rsid w:val="000452D7"/>
    <w:rsid w:val="00050B59"/>
    <w:rsid w:val="00051459"/>
    <w:rsid w:val="00051622"/>
    <w:rsid w:val="00051A11"/>
    <w:rsid w:val="00052234"/>
    <w:rsid w:val="00053D7C"/>
    <w:rsid w:val="00057019"/>
    <w:rsid w:val="000575C5"/>
    <w:rsid w:val="000577C9"/>
    <w:rsid w:val="00060FFD"/>
    <w:rsid w:val="0006431E"/>
    <w:rsid w:val="000652EA"/>
    <w:rsid w:val="00065E21"/>
    <w:rsid w:val="000673ED"/>
    <w:rsid w:val="00070DED"/>
    <w:rsid w:val="000711C8"/>
    <w:rsid w:val="0007174B"/>
    <w:rsid w:val="000721CA"/>
    <w:rsid w:val="00072433"/>
    <w:rsid w:val="0007488B"/>
    <w:rsid w:val="00075702"/>
    <w:rsid w:val="00075A0C"/>
    <w:rsid w:val="000775C2"/>
    <w:rsid w:val="000806AD"/>
    <w:rsid w:val="00080BDF"/>
    <w:rsid w:val="00082482"/>
    <w:rsid w:val="00084CF2"/>
    <w:rsid w:val="00085D7B"/>
    <w:rsid w:val="0008708B"/>
    <w:rsid w:val="00092619"/>
    <w:rsid w:val="00092C66"/>
    <w:rsid w:val="000933EC"/>
    <w:rsid w:val="000949DD"/>
    <w:rsid w:val="00094E4F"/>
    <w:rsid w:val="000A2BCE"/>
    <w:rsid w:val="000A33C8"/>
    <w:rsid w:val="000A41E3"/>
    <w:rsid w:val="000A4BBA"/>
    <w:rsid w:val="000A5071"/>
    <w:rsid w:val="000A6CFB"/>
    <w:rsid w:val="000B012C"/>
    <w:rsid w:val="000B0AD2"/>
    <w:rsid w:val="000B1022"/>
    <w:rsid w:val="000B2FB8"/>
    <w:rsid w:val="000B4C99"/>
    <w:rsid w:val="000B6F3C"/>
    <w:rsid w:val="000C06F6"/>
    <w:rsid w:val="000C1D34"/>
    <w:rsid w:val="000C2362"/>
    <w:rsid w:val="000C2FA8"/>
    <w:rsid w:val="000C3C13"/>
    <w:rsid w:val="000C4D5F"/>
    <w:rsid w:val="000C53F9"/>
    <w:rsid w:val="000C5813"/>
    <w:rsid w:val="000C75CF"/>
    <w:rsid w:val="000C7B83"/>
    <w:rsid w:val="000C7DE4"/>
    <w:rsid w:val="000D08F6"/>
    <w:rsid w:val="000D0AE6"/>
    <w:rsid w:val="000D15E7"/>
    <w:rsid w:val="000D1A24"/>
    <w:rsid w:val="000D1CF4"/>
    <w:rsid w:val="000D1DBC"/>
    <w:rsid w:val="000D21C7"/>
    <w:rsid w:val="000D248A"/>
    <w:rsid w:val="000D2CFD"/>
    <w:rsid w:val="000D35D8"/>
    <w:rsid w:val="000D3E9D"/>
    <w:rsid w:val="000D43F9"/>
    <w:rsid w:val="000D4717"/>
    <w:rsid w:val="000D6457"/>
    <w:rsid w:val="000D7D55"/>
    <w:rsid w:val="000E0993"/>
    <w:rsid w:val="000E2E50"/>
    <w:rsid w:val="000E37E0"/>
    <w:rsid w:val="000E3F20"/>
    <w:rsid w:val="000E4741"/>
    <w:rsid w:val="000E4CBF"/>
    <w:rsid w:val="000E5577"/>
    <w:rsid w:val="000E7034"/>
    <w:rsid w:val="000F02BE"/>
    <w:rsid w:val="000F0928"/>
    <w:rsid w:val="000F2E2B"/>
    <w:rsid w:val="000F427B"/>
    <w:rsid w:val="000F43D0"/>
    <w:rsid w:val="000F4A49"/>
    <w:rsid w:val="000F4F18"/>
    <w:rsid w:val="000F688E"/>
    <w:rsid w:val="000F7181"/>
    <w:rsid w:val="001007CE"/>
    <w:rsid w:val="001008C1"/>
    <w:rsid w:val="001023DB"/>
    <w:rsid w:val="00102B8D"/>
    <w:rsid w:val="00102D63"/>
    <w:rsid w:val="00103948"/>
    <w:rsid w:val="00103CCF"/>
    <w:rsid w:val="0010417F"/>
    <w:rsid w:val="001042D2"/>
    <w:rsid w:val="0010530E"/>
    <w:rsid w:val="00105C07"/>
    <w:rsid w:val="00106AD8"/>
    <w:rsid w:val="00106C7D"/>
    <w:rsid w:val="00107EC5"/>
    <w:rsid w:val="001103CD"/>
    <w:rsid w:val="00113D2A"/>
    <w:rsid w:val="00114F20"/>
    <w:rsid w:val="0011590B"/>
    <w:rsid w:val="001211AF"/>
    <w:rsid w:val="001219DF"/>
    <w:rsid w:val="001220CC"/>
    <w:rsid w:val="0012220B"/>
    <w:rsid w:val="00122ABE"/>
    <w:rsid w:val="001231DC"/>
    <w:rsid w:val="0012489B"/>
    <w:rsid w:val="001272AE"/>
    <w:rsid w:val="00130756"/>
    <w:rsid w:val="001315DD"/>
    <w:rsid w:val="0013525F"/>
    <w:rsid w:val="00135385"/>
    <w:rsid w:val="00135E1D"/>
    <w:rsid w:val="001364D1"/>
    <w:rsid w:val="001374C7"/>
    <w:rsid w:val="0014150B"/>
    <w:rsid w:val="001421FD"/>
    <w:rsid w:val="001425C8"/>
    <w:rsid w:val="00142964"/>
    <w:rsid w:val="00142EBA"/>
    <w:rsid w:val="00143B79"/>
    <w:rsid w:val="00145965"/>
    <w:rsid w:val="00150B8A"/>
    <w:rsid w:val="00150DCB"/>
    <w:rsid w:val="00151912"/>
    <w:rsid w:val="00153740"/>
    <w:rsid w:val="00153D88"/>
    <w:rsid w:val="001541C5"/>
    <w:rsid w:val="0015623F"/>
    <w:rsid w:val="00156585"/>
    <w:rsid w:val="00156BA9"/>
    <w:rsid w:val="00161642"/>
    <w:rsid w:val="00161761"/>
    <w:rsid w:val="00164C15"/>
    <w:rsid w:val="00166182"/>
    <w:rsid w:val="0017139A"/>
    <w:rsid w:val="001724C8"/>
    <w:rsid w:val="001732C4"/>
    <w:rsid w:val="001745DD"/>
    <w:rsid w:val="00174FDE"/>
    <w:rsid w:val="00174FE3"/>
    <w:rsid w:val="00177659"/>
    <w:rsid w:val="001779E5"/>
    <w:rsid w:val="00180826"/>
    <w:rsid w:val="00181240"/>
    <w:rsid w:val="001824FB"/>
    <w:rsid w:val="00182A4C"/>
    <w:rsid w:val="00183F77"/>
    <w:rsid w:val="00183FB3"/>
    <w:rsid w:val="001844D8"/>
    <w:rsid w:val="00185DA8"/>
    <w:rsid w:val="00185ECB"/>
    <w:rsid w:val="001865E0"/>
    <w:rsid w:val="001870F0"/>
    <w:rsid w:val="00190E48"/>
    <w:rsid w:val="0019273F"/>
    <w:rsid w:val="00193814"/>
    <w:rsid w:val="00193AAB"/>
    <w:rsid w:val="00193AD5"/>
    <w:rsid w:val="00194930"/>
    <w:rsid w:val="00195AAC"/>
    <w:rsid w:val="001A025E"/>
    <w:rsid w:val="001A08CD"/>
    <w:rsid w:val="001A0A1E"/>
    <w:rsid w:val="001A0BC6"/>
    <w:rsid w:val="001A2182"/>
    <w:rsid w:val="001A323E"/>
    <w:rsid w:val="001A4991"/>
    <w:rsid w:val="001A5320"/>
    <w:rsid w:val="001A5E62"/>
    <w:rsid w:val="001A6848"/>
    <w:rsid w:val="001A7538"/>
    <w:rsid w:val="001B06FB"/>
    <w:rsid w:val="001B0B1A"/>
    <w:rsid w:val="001B4C0B"/>
    <w:rsid w:val="001B4EC2"/>
    <w:rsid w:val="001B5B59"/>
    <w:rsid w:val="001B60E0"/>
    <w:rsid w:val="001B755A"/>
    <w:rsid w:val="001B7C8C"/>
    <w:rsid w:val="001C0688"/>
    <w:rsid w:val="001C181A"/>
    <w:rsid w:val="001C1877"/>
    <w:rsid w:val="001C2053"/>
    <w:rsid w:val="001C252F"/>
    <w:rsid w:val="001C28D1"/>
    <w:rsid w:val="001C3473"/>
    <w:rsid w:val="001C5BDA"/>
    <w:rsid w:val="001C5CFC"/>
    <w:rsid w:val="001C7231"/>
    <w:rsid w:val="001C7418"/>
    <w:rsid w:val="001C7EBE"/>
    <w:rsid w:val="001D0051"/>
    <w:rsid w:val="001D169A"/>
    <w:rsid w:val="001D2224"/>
    <w:rsid w:val="001D31AA"/>
    <w:rsid w:val="001D3A5F"/>
    <w:rsid w:val="001D3DC0"/>
    <w:rsid w:val="001D4F88"/>
    <w:rsid w:val="001D68CF"/>
    <w:rsid w:val="001D6A8C"/>
    <w:rsid w:val="001D6E67"/>
    <w:rsid w:val="001D7A56"/>
    <w:rsid w:val="001E15C0"/>
    <w:rsid w:val="001E18E0"/>
    <w:rsid w:val="001E18E2"/>
    <w:rsid w:val="001E19D0"/>
    <w:rsid w:val="001E2399"/>
    <w:rsid w:val="001E2A30"/>
    <w:rsid w:val="001E2FF1"/>
    <w:rsid w:val="001E41FE"/>
    <w:rsid w:val="001E635C"/>
    <w:rsid w:val="001E6AA0"/>
    <w:rsid w:val="001F0297"/>
    <w:rsid w:val="001F453D"/>
    <w:rsid w:val="00200AA0"/>
    <w:rsid w:val="00202325"/>
    <w:rsid w:val="00202736"/>
    <w:rsid w:val="00203335"/>
    <w:rsid w:val="00203652"/>
    <w:rsid w:val="00204562"/>
    <w:rsid w:val="00205B4F"/>
    <w:rsid w:val="002060B6"/>
    <w:rsid w:val="002066B5"/>
    <w:rsid w:val="00211612"/>
    <w:rsid w:val="002119B6"/>
    <w:rsid w:val="00211BA3"/>
    <w:rsid w:val="00212B40"/>
    <w:rsid w:val="00213BD0"/>
    <w:rsid w:val="00214DBA"/>
    <w:rsid w:val="002151AB"/>
    <w:rsid w:val="0021548C"/>
    <w:rsid w:val="00215C4C"/>
    <w:rsid w:val="00215ED6"/>
    <w:rsid w:val="00216049"/>
    <w:rsid w:val="002163FA"/>
    <w:rsid w:val="00217606"/>
    <w:rsid w:val="00217C09"/>
    <w:rsid w:val="00220F5C"/>
    <w:rsid w:val="002216BF"/>
    <w:rsid w:val="00221B9B"/>
    <w:rsid w:val="00222268"/>
    <w:rsid w:val="00225080"/>
    <w:rsid w:val="00225196"/>
    <w:rsid w:val="00225CB4"/>
    <w:rsid w:val="00226B1A"/>
    <w:rsid w:val="00226B26"/>
    <w:rsid w:val="00227F0B"/>
    <w:rsid w:val="0023049F"/>
    <w:rsid w:val="002310C3"/>
    <w:rsid w:val="002316F6"/>
    <w:rsid w:val="00232C9B"/>
    <w:rsid w:val="00232E73"/>
    <w:rsid w:val="00232F09"/>
    <w:rsid w:val="002335D5"/>
    <w:rsid w:val="00233625"/>
    <w:rsid w:val="002338CA"/>
    <w:rsid w:val="00233FE5"/>
    <w:rsid w:val="00234B3B"/>
    <w:rsid w:val="00234D98"/>
    <w:rsid w:val="00236018"/>
    <w:rsid w:val="002374C9"/>
    <w:rsid w:val="00241733"/>
    <w:rsid w:val="0024174E"/>
    <w:rsid w:val="00242238"/>
    <w:rsid w:val="0024227D"/>
    <w:rsid w:val="00242D14"/>
    <w:rsid w:val="002432F4"/>
    <w:rsid w:val="00246860"/>
    <w:rsid w:val="002468D9"/>
    <w:rsid w:val="00246DFF"/>
    <w:rsid w:val="00246E89"/>
    <w:rsid w:val="0025183C"/>
    <w:rsid w:val="00252351"/>
    <w:rsid w:val="002528EC"/>
    <w:rsid w:val="00252BFF"/>
    <w:rsid w:val="00253EAA"/>
    <w:rsid w:val="00255049"/>
    <w:rsid w:val="00257AFF"/>
    <w:rsid w:val="00257C10"/>
    <w:rsid w:val="00257DE5"/>
    <w:rsid w:val="00260531"/>
    <w:rsid w:val="00260B9A"/>
    <w:rsid w:val="00261B0B"/>
    <w:rsid w:val="00262EA5"/>
    <w:rsid w:val="0026318D"/>
    <w:rsid w:val="00264148"/>
    <w:rsid w:val="00264603"/>
    <w:rsid w:val="002660AF"/>
    <w:rsid w:val="00270864"/>
    <w:rsid w:val="002712F7"/>
    <w:rsid w:val="0027159C"/>
    <w:rsid w:val="002722F2"/>
    <w:rsid w:val="00274549"/>
    <w:rsid w:val="00274E46"/>
    <w:rsid w:val="00274F1E"/>
    <w:rsid w:val="002752AE"/>
    <w:rsid w:val="002769AF"/>
    <w:rsid w:val="00276C86"/>
    <w:rsid w:val="00276FD0"/>
    <w:rsid w:val="00277217"/>
    <w:rsid w:val="002803F1"/>
    <w:rsid w:val="002810A4"/>
    <w:rsid w:val="00282DB6"/>
    <w:rsid w:val="00284A26"/>
    <w:rsid w:val="00285095"/>
    <w:rsid w:val="00287006"/>
    <w:rsid w:val="00292397"/>
    <w:rsid w:val="00292AB2"/>
    <w:rsid w:val="00293DB6"/>
    <w:rsid w:val="00293FE8"/>
    <w:rsid w:val="00294437"/>
    <w:rsid w:val="002966FB"/>
    <w:rsid w:val="00297A45"/>
    <w:rsid w:val="00297E20"/>
    <w:rsid w:val="002A233F"/>
    <w:rsid w:val="002A3237"/>
    <w:rsid w:val="002A3AF7"/>
    <w:rsid w:val="002A4119"/>
    <w:rsid w:val="002A58B7"/>
    <w:rsid w:val="002A5943"/>
    <w:rsid w:val="002A5C3C"/>
    <w:rsid w:val="002A685E"/>
    <w:rsid w:val="002A72C7"/>
    <w:rsid w:val="002A7340"/>
    <w:rsid w:val="002B0204"/>
    <w:rsid w:val="002B03B2"/>
    <w:rsid w:val="002B0749"/>
    <w:rsid w:val="002B2645"/>
    <w:rsid w:val="002B303A"/>
    <w:rsid w:val="002B32E9"/>
    <w:rsid w:val="002B417F"/>
    <w:rsid w:val="002B4E22"/>
    <w:rsid w:val="002B6891"/>
    <w:rsid w:val="002B6FA0"/>
    <w:rsid w:val="002B7645"/>
    <w:rsid w:val="002C0DEA"/>
    <w:rsid w:val="002C34F6"/>
    <w:rsid w:val="002C3B6D"/>
    <w:rsid w:val="002C492D"/>
    <w:rsid w:val="002C5D9D"/>
    <w:rsid w:val="002C5F10"/>
    <w:rsid w:val="002C6E5B"/>
    <w:rsid w:val="002D08F3"/>
    <w:rsid w:val="002D18B4"/>
    <w:rsid w:val="002D231A"/>
    <w:rsid w:val="002D5330"/>
    <w:rsid w:val="002D5F57"/>
    <w:rsid w:val="002D6106"/>
    <w:rsid w:val="002D73D4"/>
    <w:rsid w:val="002D7787"/>
    <w:rsid w:val="002E1877"/>
    <w:rsid w:val="002E1C31"/>
    <w:rsid w:val="002E2E0F"/>
    <w:rsid w:val="002E333A"/>
    <w:rsid w:val="002E3474"/>
    <w:rsid w:val="002E400C"/>
    <w:rsid w:val="002E49C3"/>
    <w:rsid w:val="002E5114"/>
    <w:rsid w:val="002E5988"/>
    <w:rsid w:val="002E65E6"/>
    <w:rsid w:val="002E7072"/>
    <w:rsid w:val="002E7570"/>
    <w:rsid w:val="002E764B"/>
    <w:rsid w:val="002F0D6A"/>
    <w:rsid w:val="002F0E28"/>
    <w:rsid w:val="002F287E"/>
    <w:rsid w:val="002F2981"/>
    <w:rsid w:val="002F2D63"/>
    <w:rsid w:val="002F6AD8"/>
    <w:rsid w:val="002F7F81"/>
    <w:rsid w:val="00300A36"/>
    <w:rsid w:val="00301B45"/>
    <w:rsid w:val="00305856"/>
    <w:rsid w:val="0030678B"/>
    <w:rsid w:val="00306D16"/>
    <w:rsid w:val="00307595"/>
    <w:rsid w:val="00310117"/>
    <w:rsid w:val="00310CD7"/>
    <w:rsid w:val="00311C30"/>
    <w:rsid w:val="00313D7A"/>
    <w:rsid w:val="00315958"/>
    <w:rsid w:val="00315EEF"/>
    <w:rsid w:val="0032136A"/>
    <w:rsid w:val="00323A90"/>
    <w:rsid w:val="00323E70"/>
    <w:rsid w:val="003252BE"/>
    <w:rsid w:val="003258A7"/>
    <w:rsid w:val="00325BA2"/>
    <w:rsid w:val="003262BD"/>
    <w:rsid w:val="00326B1C"/>
    <w:rsid w:val="00326C08"/>
    <w:rsid w:val="00326F7F"/>
    <w:rsid w:val="00330311"/>
    <w:rsid w:val="00330D55"/>
    <w:rsid w:val="003320E8"/>
    <w:rsid w:val="003328FD"/>
    <w:rsid w:val="00332D6E"/>
    <w:rsid w:val="00332DE3"/>
    <w:rsid w:val="0033334F"/>
    <w:rsid w:val="00334514"/>
    <w:rsid w:val="0033555E"/>
    <w:rsid w:val="00336805"/>
    <w:rsid w:val="00337351"/>
    <w:rsid w:val="003408EB"/>
    <w:rsid w:val="00341A54"/>
    <w:rsid w:val="00344A4F"/>
    <w:rsid w:val="00344D17"/>
    <w:rsid w:val="0034669F"/>
    <w:rsid w:val="00350428"/>
    <w:rsid w:val="00351498"/>
    <w:rsid w:val="00352B22"/>
    <w:rsid w:val="00352CBF"/>
    <w:rsid w:val="00354547"/>
    <w:rsid w:val="0035484D"/>
    <w:rsid w:val="003549F5"/>
    <w:rsid w:val="003567DE"/>
    <w:rsid w:val="003574F3"/>
    <w:rsid w:val="00357831"/>
    <w:rsid w:val="003604A5"/>
    <w:rsid w:val="00361420"/>
    <w:rsid w:val="0036319E"/>
    <w:rsid w:val="003632A4"/>
    <w:rsid w:val="00363362"/>
    <w:rsid w:val="00365767"/>
    <w:rsid w:val="003659C0"/>
    <w:rsid w:val="003660DF"/>
    <w:rsid w:val="00367D4F"/>
    <w:rsid w:val="00370743"/>
    <w:rsid w:val="00370EF5"/>
    <w:rsid w:val="0037135B"/>
    <w:rsid w:val="00372251"/>
    <w:rsid w:val="00373F64"/>
    <w:rsid w:val="00374EA1"/>
    <w:rsid w:val="0037520D"/>
    <w:rsid w:val="00375724"/>
    <w:rsid w:val="00375809"/>
    <w:rsid w:val="0037597F"/>
    <w:rsid w:val="00375CF1"/>
    <w:rsid w:val="0037628C"/>
    <w:rsid w:val="00376B2E"/>
    <w:rsid w:val="00376B81"/>
    <w:rsid w:val="00376E08"/>
    <w:rsid w:val="00377BD2"/>
    <w:rsid w:val="00380FD4"/>
    <w:rsid w:val="00381C8D"/>
    <w:rsid w:val="00381E16"/>
    <w:rsid w:val="003821E1"/>
    <w:rsid w:val="003840F6"/>
    <w:rsid w:val="00384866"/>
    <w:rsid w:val="003857D4"/>
    <w:rsid w:val="00385D6F"/>
    <w:rsid w:val="00386D43"/>
    <w:rsid w:val="00387095"/>
    <w:rsid w:val="00387E95"/>
    <w:rsid w:val="00390092"/>
    <w:rsid w:val="00391858"/>
    <w:rsid w:val="003932FC"/>
    <w:rsid w:val="00393651"/>
    <w:rsid w:val="00394926"/>
    <w:rsid w:val="00394FF9"/>
    <w:rsid w:val="00395651"/>
    <w:rsid w:val="00395E12"/>
    <w:rsid w:val="003962A8"/>
    <w:rsid w:val="00396779"/>
    <w:rsid w:val="00397D0F"/>
    <w:rsid w:val="00397DB7"/>
    <w:rsid w:val="003A27B2"/>
    <w:rsid w:val="003A40B4"/>
    <w:rsid w:val="003A41BA"/>
    <w:rsid w:val="003A5491"/>
    <w:rsid w:val="003A5958"/>
    <w:rsid w:val="003A6A99"/>
    <w:rsid w:val="003A6E60"/>
    <w:rsid w:val="003A770B"/>
    <w:rsid w:val="003A7FF8"/>
    <w:rsid w:val="003B17AC"/>
    <w:rsid w:val="003B227A"/>
    <w:rsid w:val="003B3685"/>
    <w:rsid w:val="003B3A77"/>
    <w:rsid w:val="003B4319"/>
    <w:rsid w:val="003B5854"/>
    <w:rsid w:val="003B65C1"/>
    <w:rsid w:val="003B6764"/>
    <w:rsid w:val="003B7A8B"/>
    <w:rsid w:val="003C294B"/>
    <w:rsid w:val="003C2A65"/>
    <w:rsid w:val="003C5046"/>
    <w:rsid w:val="003C531D"/>
    <w:rsid w:val="003C6068"/>
    <w:rsid w:val="003C7AEC"/>
    <w:rsid w:val="003D2BA3"/>
    <w:rsid w:val="003D316B"/>
    <w:rsid w:val="003D3C22"/>
    <w:rsid w:val="003D56A0"/>
    <w:rsid w:val="003D656A"/>
    <w:rsid w:val="003D69F5"/>
    <w:rsid w:val="003D7089"/>
    <w:rsid w:val="003D70E8"/>
    <w:rsid w:val="003D71F2"/>
    <w:rsid w:val="003D7DDB"/>
    <w:rsid w:val="003E024F"/>
    <w:rsid w:val="003E02C7"/>
    <w:rsid w:val="003E0543"/>
    <w:rsid w:val="003E061D"/>
    <w:rsid w:val="003E0B5A"/>
    <w:rsid w:val="003E1682"/>
    <w:rsid w:val="003E31E3"/>
    <w:rsid w:val="003E3E93"/>
    <w:rsid w:val="003E46D1"/>
    <w:rsid w:val="003E6214"/>
    <w:rsid w:val="003F070E"/>
    <w:rsid w:val="003F1206"/>
    <w:rsid w:val="003F28DB"/>
    <w:rsid w:val="003F2EEE"/>
    <w:rsid w:val="003F58B0"/>
    <w:rsid w:val="003F776F"/>
    <w:rsid w:val="004007E9"/>
    <w:rsid w:val="00400810"/>
    <w:rsid w:val="00401825"/>
    <w:rsid w:val="00401BBC"/>
    <w:rsid w:val="00403BFB"/>
    <w:rsid w:val="00404B45"/>
    <w:rsid w:val="00405BCF"/>
    <w:rsid w:val="00406CC5"/>
    <w:rsid w:val="004074A4"/>
    <w:rsid w:val="004101B2"/>
    <w:rsid w:val="004123D7"/>
    <w:rsid w:val="00412658"/>
    <w:rsid w:val="004129DA"/>
    <w:rsid w:val="00415EA4"/>
    <w:rsid w:val="0041604B"/>
    <w:rsid w:val="004172DB"/>
    <w:rsid w:val="00420A1D"/>
    <w:rsid w:val="00421485"/>
    <w:rsid w:val="004216DA"/>
    <w:rsid w:val="00422B75"/>
    <w:rsid w:val="00423250"/>
    <w:rsid w:val="00424612"/>
    <w:rsid w:val="0042528C"/>
    <w:rsid w:val="00425672"/>
    <w:rsid w:val="00425A6A"/>
    <w:rsid w:val="00427F54"/>
    <w:rsid w:val="004316FD"/>
    <w:rsid w:val="00433F36"/>
    <w:rsid w:val="00434860"/>
    <w:rsid w:val="0043503A"/>
    <w:rsid w:val="00437B8A"/>
    <w:rsid w:val="00437D18"/>
    <w:rsid w:val="00437D77"/>
    <w:rsid w:val="004435BE"/>
    <w:rsid w:val="0044384F"/>
    <w:rsid w:val="0044411E"/>
    <w:rsid w:val="00444472"/>
    <w:rsid w:val="00444F80"/>
    <w:rsid w:val="00445599"/>
    <w:rsid w:val="00446018"/>
    <w:rsid w:val="0045027B"/>
    <w:rsid w:val="004504E7"/>
    <w:rsid w:val="00451F9D"/>
    <w:rsid w:val="00453167"/>
    <w:rsid w:val="004543BC"/>
    <w:rsid w:val="0045645D"/>
    <w:rsid w:val="0045661E"/>
    <w:rsid w:val="004572CF"/>
    <w:rsid w:val="004574C6"/>
    <w:rsid w:val="00457743"/>
    <w:rsid w:val="00457BCF"/>
    <w:rsid w:val="00457DCE"/>
    <w:rsid w:val="00460E3F"/>
    <w:rsid w:val="0046111A"/>
    <w:rsid w:val="00462F68"/>
    <w:rsid w:val="0046369B"/>
    <w:rsid w:val="0046391E"/>
    <w:rsid w:val="004640E9"/>
    <w:rsid w:val="00466CED"/>
    <w:rsid w:val="00466EB5"/>
    <w:rsid w:val="00467592"/>
    <w:rsid w:val="00467690"/>
    <w:rsid w:val="0046797A"/>
    <w:rsid w:val="004718E7"/>
    <w:rsid w:val="004719E3"/>
    <w:rsid w:val="00472289"/>
    <w:rsid w:val="00472535"/>
    <w:rsid w:val="004743AB"/>
    <w:rsid w:val="004761CC"/>
    <w:rsid w:val="004766C9"/>
    <w:rsid w:val="00480D4A"/>
    <w:rsid w:val="00481DA1"/>
    <w:rsid w:val="004827F3"/>
    <w:rsid w:val="00483A2B"/>
    <w:rsid w:val="00484212"/>
    <w:rsid w:val="00484BA9"/>
    <w:rsid w:val="0048599A"/>
    <w:rsid w:val="00486818"/>
    <w:rsid w:val="00487EE2"/>
    <w:rsid w:val="0049255F"/>
    <w:rsid w:val="0049445D"/>
    <w:rsid w:val="00495350"/>
    <w:rsid w:val="00495E3C"/>
    <w:rsid w:val="00497156"/>
    <w:rsid w:val="004A0C79"/>
    <w:rsid w:val="004A24D2"/>
    <w:rsid w:val="004A3214"/>
    <w:rsid w:val="004A4136"/>
    <w:rsid w:val="004A417B"/>
    <w:rsid w:val="004A4378"/>
    <w:rsid w:val="004A712D"/>
    <w:rsid w:val="004B03F3"/>
    <w:rsid w:val="004B0CC9"/>
    <w:rsid w:val="004B2536"/>
    <w:rsid w:val="004B46D7"/>
    <w:rsid w:val="004B6AF3"/>
    <w:rsid w:val="004B715E"/>
    <w:rsid w:val="004B7169"/>
    <w:rsid w:val="004B79C9"/>
    <w:rsid w:val="004C00DD"/>
    <w:rsid w:val="004C05CF"/>
    <w:rsid w:val="004C0776"/>
    <w:rsid w:val="004C0A39"/>
    <w:rsid w:val="004C1EF8"/>
    <w:rsid w:val="004C2063"/>
    <w:rsid w:val="004C21A6"/>
    <w:rsid w:val="004C24C5"/>
    <w:rsid w:val="004C47D5"/>
    <w:rsid w:val="004C4CAF"/>
    <w:rsid w:val="004C5E33"/>
    <w:rsid w:val="004C60A3"/>
    <w:rsid w:val="004C6CDA"/>
    <w:rsid w:val="004D10D4"/>
    <w:rsid w:val="004D1226"/>
    <w:rsid w:val="004D16BD"/>
    <w:rsid w:val="004D2AAB"/>
    <w:rsid w:val="004D634C"/>
    <w:rsid w:val="004D6E90"/>
    <w:rsid w:val="004D6F2B"/>
    <w:rsid w:val="004E0248"/>
    <w:rsid w:val="004E21A3"/>
    <w:rsid w:val="004E32EA"/>
    <w:rsid w:val="004E6866"/>
    <w:rsid w:val="004F0C58"/>
    <w:rsid w:val="004F3222"/>
    <w:rsid w:val="004F3639"/>
    <w:rsid w:val="004F3BFA"/>
    <w:rsid w:val="004F4E3C"/>
    <w:rsid w:val="004F5A1A"/>
    <w:rsid w:val="004F77A3"/>
    <w:rsid w:val="005000AB"/>
    <w:rsid w:val="00500F3C"/>
    <w:rsid w:val="005025EE"/>
    <w:rsid w:val="005034B4"/>
    <w:rsid w:val="00503DDF"/>
    <w:rsid w:val="00505524"/>
    <w:rsid w:val="00506688"/>
    <w:rsid w:val="00510588"/>
    <w:rsid w:val="00510F9C"/>
    <w:rsid w:val="0051146C"/>
    <w:rsid w:val="0051220B"/>
    <w:rsid w:val="00512253"/>
    <w:rsid w:val="00512484"/>
    <w:rsid w:val="00514449"/>
    <w:rsid w:val="00515419"/>
    <w:rsid w:val="005157BD"/>
    <w:rsid w:val="005214A3"/>
    <w:rsid w:val="005222E7"/>
    <w:rsid w:val="00523A8B"/>
    <w:rsid w:val="00523E04"/>
    <w:rsid w:val="00525003"/>
    <w:rsid w:val="0052590B"/>
    <w:rsid w:val="00526591"/>
    <w:rsid w:val="00527178"/>
    <w:rsid w:val="005278CB"/>
    <w:rsid w:val="00534D42"/>
    <w:rsid w:val="005350A5"/>
    <w:rsid w:val="00536379"/>
    <w:rsid w:val="00537238"/>
    <w:rsid w:val="005400C5"/>
    <w:rsid w:val="005404CD"/>
    <w:rsid w:val="00540BE0"/>
    <w:rsid w:val="00540BEF"/>
    <w:rsid w:val="00542C9A"/>
    <w:rsid w:val="005436C2"/>
    <w:rsid w:val="005442A7"/>
    <w:rsid w:val="005442D4"/>
    <w:rsid w:val="0054586A"/>
    <w:rsid w:val="0054631F"/>
    <w:rsid w:val="00546C24"/>
    <w:rsid w:val="005471BA"/>
    <w:rsid w:val="00547BE6"/>
    <w:rsid w:val="0055034F"/>
    <w:rsid w:val="0055288D"/>
    <w:rsid w:val="00555259"/>
    <w:rsid w:val="00555303"/>
    <w:rsid w:val="00555C66"/>
    <w:rsid w:val="005569EF"/>
    <w:rsid w:val="00556BDE"/>
    <w:rsid w:val="00560D57"/>
    <w:rsid w:val="00562A94"/>
    <w:rsid w:val="00563AB8"/>
    <w:rsid w:val="00563FAD"/>
    <w:rsid w:val="00564333"/>
    <w:rsid w:val="005701C1"/>
    <w:rsid w:val="005703BF"/>
    <w:rsid w:val="00570754"/>
    <w:rsid w:val="005709F7"/>
    <w:rsid w:val="005710A9"/>
    <w:rsid w:val="00571B11"/>
    <w:rsid w:val="00571D1B"/>
    <w:rsid w:val="00571DA3"/>
    <w:rsid w:val="005738F5"/>
    <w:rsid w:val="00573D34"/>
    <w:rsid w:val="005747CE"/>
    <w:rsid w:val="00575963"/>
    <w:rsid w:val="00575EBE"/>
    <w:rsid w:val="00577D0E"/>
    <w:rsid w:val="0058039C"/>
    <w:rsid w:val="00580A63"/>
    <w:rsid w:val="00582261"/>
    <w:rsid w:val="00583379"/>
    <w:rsid w:val="0058417C"/>
    <w:rsid w:val="00586EC6"/>
    <w:rsid w:val="00587DDE"/>
    <w:rsid w:val="00593043"/>
    <w:rsid w:val="00595B60"/>
    <w:rsid w:val="00595BF0"/>
    <w:rsid w:val="00597E16"/>
    <w:rsid w:val="005A0B1D"/>
    <w:rsid w:val="005A1846"/>
    <w:rsid w:val="005A258C"/>
    <w:rsid w:val="005A2A9D"/>
    <w:rsid w:val="005A2FDD"/>
    <w:rsid w:val="005A3560"/>
    <w:rsid w:val="005A464E"/>
    <w:rsid w:val="005A62FC"/>
    <w:rsid w:val="005A6C99"/>
    <w:rsid w:val="005A7D5D"/>
    <w:rsid w:val="005A7E64"/>
    <w:rsid w:val="005B0040"/>
    <w:rsid w:val="005B011A"/>
    <w:rsid w:val="005B0283"/>
    <w:rsid w:val="005B1ADA"/>
    <w:rsid w:val="005B1D8F"/>
    <w:rsid w:val="005B1E94"/>
    <w:rsid w:val="005B5B3D"/>
    <w:rsid w:val="005B6443"/>
    <w:rsid w:val="005B64CF"/>
    <w:rsid w:val="005C0E87"/>
    <w:rsid w:val="005C16F3"/>
    <w:rsid w:val="005C26A6"/>
    <w:rsid w:val="005C3758"/>
    <w:rsid w:val="005C4D72"/>
    <w:rsid w:val="005C50C1"/>
    <w:rsid w:val="005C62C2"/>
    <w:rsid w:val="005C6CE7"/>
    <w:rsid w:val="005D2306"/>
    <w:rsid w:val="005D4A74"/>
    <w:rsid w:val="005D5E91"/>
    <w:rsid w:val="005D67EF"/>
    <w:rsid w:val="005E3064"/>
    <w:rsid w:val="005E6AEE"/>
    <w:rsid w:val="005E72B2"/>
    <w:rsid w:val="005F1115"/>
    <w:rsid w:val="005F1AB6"/>
    <w:rsid w:val="005F27F2"/>
    <w:rsid w:val="005F2B27"/>
    <w:rsid w:val="005F3567"/>
    <w:rsid w:val="005F394E"/>
    <w:rsid w:val="005F3AFE"/>
    <w:rsid w:val="005F424D"/>
    <w:rsid w:val="005F55F5"/>
    <w:rsid w:val="005F5EC1"/>
    <w:rsid w:val="005F67A9"/>
    <w:rsid w:val="005F6B6D"/>
    <w:rsid w:val="006008F8"/>
    <w:rsid w:val="00605AAB"/>
    <w:rsid w:val="00606BEB"/>
    <w:rsid w:val="0061014A"/>
    <w:rsid w:val="0061054B"/>
    <w:rsid w:val="00612FB0"/>
    <w:rsid w:val="0061356D"/>
    <w:rsid w:val="00613E26"/>
    <w:rsid w:val="00615641"/>
    <w:rsid w:val="00616959"/>
    <w:rsid w:val="0062036E"/>
    <w:rsid w:val="006211D0"/>
    <w:rsid w:val="00621595"/>
    <w:rsid w:val="0062359D"/>
    <w:rsid w:val="00623634"/>
    <w:rsid w:val="00624D0C"/>
    <w:rsid w:val="006274B4"/>
    <w:rsid w:val="006307BA"/>
    <w:rsid w:val="006315BA"/>
    <w:rsid w:val="00634C4A"/>
    <w:rsid w:val="0063532E"/>
    <w:rsid w:val="00637063"/>
    <w:rsid w:val="0063737C"/>
    <w:rsid w:val="00637BDC"/>
    <w:rsid w:val="0064058A"/>
    <w:rsid w:val="00640622"/>
    <w:rsid w:val="006412E4"/>
    <w:rsid w:val="006418C9"/>
    <w:rsid w:val="00642BD6"/>
    <w:rsid w:val="006437D4"/>
    <w:rsid w:val="00645046"/>
    <w:rsid w:val="0064527A"/>
    <w:rsid w:val="006458FD"/>
    <w:rsid w:val="00645DC2"/>
    <w:rsid w:val="00645EA2"/>
    <w:rsid w:val="00651E6D"/>
    <w:rsid w:val="00653D2D"/>
    <w:rsid w:val="006555E7"/>
    <w:rsid w:val="006560B6"/>
    <w:rsid w:val="006573F2"/>
    <w:rsid w:val="0066247D"/>
    <w:rsid w:val="00662AD0"/>
    <w:rsid w:val="00662F08"/>
    <w:rsid w:val="00663589"/>
    <w:rsid w:val="00664296"/>
    <w:rsid w:val="006649CD"/>
    <w:rsid w:val="00665D75"/>
    <w:rsid w:val="00666CEC"/>
    <w:rsid w:val="006708E3"/>
    <w:rsid w:val="00670DDC"/>
    <w:rsid w:val="00671255"/>
    <w:rsid w:val="00671389"/>
    <w:rsid w:val="00671EB4"/>
    <w:rsid w:val="00673CDC"/>
    <w:rsid w:val="0067443B"/>
    <w:rsid w:val="00674CF5"/>
    <w:rsid w:val="006770AA"/>
    <w:rsid w:val="00682486"/>
    <w:rsid w:val="00683EB8"/>
    <w:rsid w:val="0068440D"/>
    <w:rsid w:val="00684C67"/>
    <w:rsid w:val="00684CE6"/>
    <w:rsid w:val="00684E2B"/>
    <w:rsid w:val="00687C7E"/>
    <w:rsid w:val="00690569"/>
    <w:rsid w:val="00690FDA"/>
    <w:rsid w:val="00691E61"/>
    <w:rsid w:val="00692656"/>
    <w:rsid w:val="006937C6"/>
    <w:rsid w:val="00693C5E"/>
    <w:rsid w:val="00693CEE"/>
    <w:rsid w:val="00694EEA"/>
    <w:rsid w:val="006955B4"/>
    <w:rsid w:val="00695DEF"/>
    <w:rsid w:val="00696476"/>
    <w:rsid w:val="00696C74"/>
    <w:rsid w:val="006A10FA"/>
    <w:rsid w:val="006A1919"/>
    <w:rsid w:val="006A40E6"/>
    <w:rsid w:val="006A516B"/>
    <w:rsid w:val="006A5362"/>
    <w:rsid w:val="006A543A"/>
    <w:rsid w:val="006A5C07"/>
    <w:rsid w:val="006A75FA"/>
    <w:rsid w:val="006B07D5"/>
    <w:rsid w:val="006B1309"/>
    <w:rsid w:val="006B31E6"/>
    <w:rsid w:val="006B3923"/>
    <w:rsid w:val="006B3F3E"/>
    <w:rsid w:val="006B4AA2"/>
    <w:rsid w:val="006B53C4"/>
    <w:rsid w:val="006B586B"/>
    <w:rsid w:val="006B5923"/>
    <w:rsid w:val="006B67D9"/>
    <w:rsid w:val="006B6C14"/>
    <w:rsid w:val="006B715E"/>
    <w:rsid w:val="006C1D6E"/>
    <w:rsid w:val="006C2EF6"/>
    <w:rsid w:val="006C3A68"/>
    <w:rsid w:val="006C3B08"/>
    <w:rsid w:val="006C4B9D"/>
    <w:rsid w:val="006C6814"/>
    <w:rsid w:val="006C6AB1"/>
    <w:rsid w:val="006C6E6B"/>
    <w:rsid w:val="006C79DF"/>
    <w:rsid w:val="006D145F"/>
    <w:rsid w:val="006D1D34"/>
    <w:rsid w:val="006D2000"/>
    <w:rsid w:val="006D2D39"/>
    <w:rsid w:val="006D2F31"/>
    <w:rsid w:val="006D4250"/>
    <w:rsid w:val="006D4E0E"/>
    <w:rsid w:val="006D5861"/>
    <w:rsid w:val="006D58B9"/>
    <w:rsid w:val="006D5CE2"/>
    <w:rsid w:val="006D7854"/>
    <w:rsid w:val="006E06D1"/>
    <w:rsid w:val="006E1313"/>
    <w:rsid w:val="006E2DC8"/>
    <w:rsid w:val="006E7356"/>
    <w:rsid w:val="006E77C8"/>
    <w:rsid w:val="006F0F9C"/>
    <w:rsid w:val="006F149D"/>
    <w:rsid w:val="006F1A46"/>
    <w:rsid w:val="006F4F06"/>
    <w:rsid w:val="006F5A4E"/>
    <w:rsid w:val="006F5D37"/>
    <w:rsid w:val="006F6005"/>
    <w:rsid w:val="00700050"/>
    <w:rsid w:val="007005EA"/>
    <w:rsid w:val="00702E09"/>
    <w:rsid w:val="00703B6C"/>
    <w:rsid w:val="00703BB0"/>
    <w:rsid w:val="00704519"/>
    <w:rsid w:val="00704C88"/>
    <w:rsid w:val="00704EA1"/>
    <w:rsid w:val="00705C40"/>
    <w:rsid w:val="00706482"/>
    <w:rsid w:val="00706754"/>
    <w:rsid w:val="00706BEF"/>
    <w:rsid w:val="00707ECE"/>
    <w:rsid w:val="00710CE8"/>
    <w:rsid w:val="00711350"/>
    <w:rsid w:val="007116BC"/>
    <w:rsid w:val="00711961"/>
    <w:rsid w:val="00711CA6"/>
    <w:rsid w:val="00713426"/>
    <w:rsid w:val="007165CE"/>
    <w:rsid w:val="00717CEB"/>
    <w:rsid w:val="0072035D"/>
    <w:rsid w:val="00720968"/>
    <w:rsid w:val="00721705"/>
    <w:rsid w:val="00721B7A"/>
    <w:rsid w:val="00721D12"/>
    <w:rsid w:val="00721F8B"/>
    <w:rsid w:val="007220FA"/>
    <w:rsid w:val="007237CE"/>
    <w:rsid w:val="00724688"/>
    <w:rsid w:val="007265E2"/>
    <w:rsid w:val="007272F1"/>
    <w:rsid w:val="0073062D"/>
    <w:rsid w:val="0073084D"/>
    <w:rsid w:val="0073093B"/>
    <w:rsid w:val="0073254D"/>
    <w:rsid w:val="00732D5E"/>
    <w:rsid w:val="007340F3"/>
    <w:rsid w:val="00735704"/>
    <w:rsid w:val="00736A49"/>
    <w:rsid w:val="007419A1"/>
    <w:rsid w:val="00743B71"/>
    <w:rsid w:val="00743C2D"/>
    <w:rsid w:val="00743E36"/>
    <w:rsid w:val="00743F05"/>
    <w:rsid w:val="007441C1"/>
    <w:rsid w:val="007446F7"/>
    <w:rsid w:val="00744EBB"/>
    <w:rsid w:val="00745B0A"/>
    <w:rsid w:val="00745DBE"/>
    <w:rsid w:val="007468AC"/>
    <w:rsid w:val="00746AE2"/>
    <w:rsid w:val="00750C82"/>
    <w:rsid w:val="00750E3A"/>
    <w:rsid w:val="00752035"/>
    <w:rsid w:val="00755056"/>
    <w:rsid w:val="0076100C"/>
    <w:rsid w:val="007612A5"/>
    <w:rsid w:val="00763CAE"/>
    <w:rsid w:val="00763F95"/>
    <w:rsid w:val="007651ED"/>
    <w:rsid w:val="00766C87"/>
    <w:rsid w:val="00771043"/>
    <w:rsid w:val="00773AF7"/>
    <w:rsid w:val="00774FFD"/>
    <w:rsid w:val="00776CB0"/>
    <w:rsid w:val="00780378"/>
    <w:rsid w:val="0078085E"/>
    <w:rsid w:val="007815D6"/>
    <w:rsid w:val="00781BD4"/>
    <w:rsid w:val="00782562"/>
    <w:rsid w:val="007828B4"/>
    <w:rsid w:val="00784832"/>
    <w:rsid w:val="00784EA0"/>
    <w:rsid w:val="00785D77"/>
    <w:rsid w:val="00786111"/>
    <w:rsid w:val="00790963"/>
    <w:rsid w:val="0079154B"/>
    <w:rsid w:val="00791F1E"/>
    <w:rsid w:val="007927BE"/>
    <w:rsid w:val="007935B8"/>
    <w:rsid w:val="00793DA7"/>
    <w:rsid w:val="00794ADE"/>
    <w:rsid w:val="00794F3D"/>
    <w:rsid w:val="00795CE9"/>
    <w:rsid w:val="00796045"/>
    <w:rsid w:val="007968AC"/>
    <w:rsid w:val="007969AB"/>
    <w:rsid w:val="007973D8"/>
    <w:rsid w:val="00797801"/>
    <w:rsid w:val="007A0B39"/>
    <w:rsid w:val="007A14A4"/>
    <w:rsid w:val="007A168F"/>
    <w:rsid w:val="007A2346"/>
    <w:rsid w:val="007A28E4"/>
    <w:rsid w:val="007A3BB3"/>
    <w:rsid w:val="007A3F91"/>
    <w:rsid w:val="007A5AD1"/>
    <w:rsid w:val="007A5B7B"/>
    <w:rsid w:val="007A65A9"/>
    <w:rsid w:val="007B0128"/>
    <w:rsid w:val="007B0A06"/>
    <w:rsid w:val="007B0B24"/>
    <w:rsid w:val="007B1C83"/>
    <w:rsid w:val="007B4181"/>
    <w:rsid w:val="007B5C5C"/>
    <w:rsid w:val="007B6AE1"/>
    <w:rsid w:val="007B6CE0"/>
    <w:rsid w:val="007B7B37"/>
    <w:rsid w:val="007B7C41"/>
    <w:rsid w:val="007C05C5"/>
    <w:rsid w:val="007C11E9"/>
    <w:rsid w:val="007C433E"/>
    <w:rsid w:val="007C4452"/>
    <w:rsid w:val="007C4B3C"/>
    <w:rsid w:val="007C4DB1"/>
    <w:rsid w:val="007C6046"/>
    <w:rsid w:val="007C6F0C"/>
    <w:rsid w:val="007D0292"/>
    <w:rsid w:val="007D136C"/>
    <w:rsid w:val="007D21AC"/>
    <w:rsid w:val="007D24B0"/>
    <w:rsid w:val="007D3337"/>
    <w:rsid w:val="007D3882"/>
    <w:rsid w:val="007D39E4"/>
    <w:rsid w:val="007D3FE7"/>
    <w:rsid w:val="007D568A"/>
    <w:rsid w:val="007D574E"/>
    <w:rsid w:val="007D57C0"/>
    <w:rsid w:val="007D67CB"/>
    <w:rsid w:val="007D6BFE"/>
    <w:rsid w:val="007E2046"/>
    <w:rsid w:val="007E3883"/>
    <w:rsid w:val="007E4876"/>
    <w:rsid w:val="007E48CD"/>
    <w:rsid w:val="007E4ACB"/>
    <w:rsid w:val="007E4FBB"/>
    <w:rsid w:val="007E55BF"/>
    <w:rsid w:val="007E59E3"/>
    <w:rsid w:val="007E5E39"/>
    <w:rsid w:val="007E71B1"/>
    <w:rsid w:val="007E7B4E"/>
    <w:rsid w:val="007E7F02"/>
    <w:rsid w:val="007F0292"/>
    <w:rsid w:val="007F0AB7"/>
    <w:rsid w:val="007F0CE2"/>
    <w:rsid w:val="007F0EFF"/>
    <w:rsid w:val="007F1375"/>
    <w:rsid w:val="007F1AFD"/>
    <w:rsid w:val="007F30E4"/>
    <w:rsid w:val="007F6B83"/>
    <w:rsid w:val="0080064F"/>
    <w:rsid w:val="00801B85"/>
    <w:rsid w:val="00803765"/>
    <w:rsid w:val="00803850"/>
    <w:rsid w:val="008039E8"/>
    <w:rsid w:val="00804385"/>
    <w:rsid w:val="00804E0E"/>
    <w:rsid w:val="00805AFD"/>
    <w:rsid w:val="008078D8"/>
    <w:rsid w:val="0080798E"/>
    <w:rsid w:val="00811CB9"/>
    <w:rsid w:val="00811D5B"/>
    <w:rsid w:val="00813C51"/>
    <w:rsid w:val="00814AB7"/>
    <w:rsid w:val="00816171"/>
    <w:rsid w:val="00816CCB"/>
    <w:rsid w:val="00817572"/>
    <w:rsid w:val="00817713"/>
    <w:rsid w:val="008208C3"/>
    <w:rsid w:val="008220F1"/>
    <w:rsid w:val="0082340B"/>
    <w:rsid w:val="00823D6A"/>
    <w:rsid w:val="00827B29"/>
    <w:rsid w:val="00827DB6"/>
    <w:rsid w:val="008304B2"/>
    <w:rsid w:val="00830999"/>
    <w:rsid w:val="00830D5E"/>
    <w:rsid w:val="00830F69"/>
    <w:rsid w:val="008324D9"/>
    <w:rsid w:val="00833418"/>
    <w:rsid w:val="0083387F"/>
    <w:rsid w:val="00834458"/>
    <w:rsid w:val="00834AEA"/>
    <w:rsid w:val="00835841"/>
    <w:rsid w:val="00835BF8"/>
    <w:rsid w:val="00835FB7"/>
    <w:rsid w:val="00837465"/>
    <w:rsid w:val="0084002E"/>
    <w:rsid w:val="00840159"/>
    <w:rsid w:val="00840621"/>
    <w:rsid w:val="00841243"/>
    <w:rsid w:val="00841457"/>
    <w:rsid w:val="0084374E"/>
    <w:rsid w:val="00844842"/>
    <w:rsid w:val="00844A53"/>
    <w:rsid w:val="00844B99"/>
    <w:rsid w:val="00844DD0"/>
    <w:rsid w:val="008455C8"/>
    <w:rsid w:val="00846407"/>
    <w:rsid w:val="0085006A"/>
    <w:rsid w:val="0085089F"/>
    <w:rsid w:val="0085206E"/>
    <w:rsid w:val="00852273"/>
    <w:rsid w:val="0085293D"/>
    <w:rsid w:val="00852AD4"/>
    <w:rsid w:val="00852BA8"/>
    <w:rsid w:val="00852BF0"/>
    <w:rsid w:val="00853718"/>
    <w:rsid w:val="008541EF"/>
    <w:rsid w:val="00856AC7"/>
    <w:rsid w:val="00856FA4"/>
    <w:rsid w:val="00856FB9"/>
    <w:rsid w:val="00857813"/>
    <w:rsid w:val="00860E60"/>
    <w:rsid w:val="0086102A"/>
    <w:rsid w:val="0086162B"/>
    <w:rsid w:val="00861710"/>
    <w:rsid w:val="00861B5B"/>
    <w:rsid w:val="00861D5C"/>
    <w:rsid w:val="00861E7C"/>
    <w:rsid w:val="00865207"/>
    <w:rsid w:val="008652DC"/>
    <w:rsid w:val="008656A7"/>
    <w:rsid w:val="00865BE6"/>
    <w:rsid w:val="00865FA3"/>
    <w:rsid w:val="00866231"/>
    <w:rsid w:val="00871262"/>
    <w:rsid w:val="0087170E"/>
    <w:rsid w:val="00871D4E"/>
    <w:rsid w:val="00871E7B"/>
    <w:rsid w:val="008721BB"/>
    <w:rsid w:val="0087566D"/>
    <w:rsid w:val="00875B50"/>
    <w:rsid w:val="00875B51"/>
    <w:rsid w:val="00875F2D"/>
    <w:rsid w:val="008764DC"/>
    <w:rsid w:val="00881AEC"/>
    <w:rsid w:val="00882CC2"/>
    <w:rsid w:val="0088325A"/>
    <w:rsid w:val="00883930"/>
    <w:rsid w:val="00884535"/>
    <w:rsid w:val="008902BE"/>
    <w:rsid w:val="0089038F"/>
    <w:rsid w:val="00890CDA"/>
    <w:rsid w:val="008913A2"/>
    <w:rsid w:val="00891BBA"/>
    <w:rsid w:val="00892079"/>
    <w:rsid w:val="00892B90"/>
    <w:rsid w:val="008947CD"/>
    <w:rsid w:val="00896535"/>
    <w:rsid w:val="00896683"/>
    <w:rsid w:val="00896E71"/>
    <w:rsid w:val="0089750B"/>
    <w:rsid w:val="00897589"/>
    <w:rsid w:val="008A0D4F"/>
    <w:rsid w:val="008A2D08"/>
    <w:rsid w:val="008A39D7"/>
    <w:rsid w:val="008A55DE"/>
    <w:rsid w:val="008A5C34"/>
    <w:rsid w:val="008A63A9"/>
    <w:rsid w:val="008A7073"/>
    <w:rsid w:val="008A79F0"/>
    <w:rsid w:val="008A7F7E"/>
    <w:rsid w:val="008B04DB"/>
    <w:rsid w:val="008B084C"/>
    <w:rsid w:val="008B09B4"/>
    <w:rsid w:val="008B1DF4"/>
    <w:rsid w:val="008B27FD"/>
    <w:rsid w:val="008B293C"/>
    <w:rsid w:val="008B2FDB"/>
    <w:rsid w:val="008B3AF2"/>
    <w:rsid w:val="008B446D"/>
    <w:rsid w:val="008B515D"/>
    <w:rsid w:val="008B5D31"/>
    <w:rsid w:val="008B64FD"/>
    <w:rsid w:val="008B6705"/>
    <w:rsid w:val="008B79F0"/>
    <w:rsid w:val="008C22F3"/>
    <w:rsid w:val="008C3FD0"/>
    <w:rsid w:val="008C4F01"/>
    <w:rsid w:val="008C5EB5"/>
    <w:rsid w:val="008D1484"/>
    <w:rsid w:val="008D29E7"/>
    <w:rsid w:val="008D3325"/>
    <w:rsid w:val="008D5104"/>
    <w:rsid w:val="008D75F4"/>
    <w:rsid w:val="008D795D"/>
    <w:rsid w:val="008D7B07"/>
    <w:rsid w:val="008E0D8F"/>
    <w:rsid w:val="008E0F4E"/>
    <w:rsid w:val="008E1E94"/>
    <w:rsid w:val="008E2D99"/>
    <w:rsid w:val="008E30D4"/>
    <w:rsid w:val="008E38B0"/>
    <w:rsid w:val="008E4A60"/>
    <w:rsid w:val="008E744D"/>
    <w:rsid w:val="008F1E08"/>
    <w:rsid w:val="008F6963"/>
    <w:rsid w:val="008F6FC8"/>
    <w:rsid w:val="0090045D"/>
    <w:rsid w:val="00900D8F"/>
    <w:rsid w:val="009014E3"/>
    <w:rsid w:val="00901520"/>
    <w:rsid w:val="009020ED"/>
    <w:rsid w:val="009026E8"/>
    <w:rsid w:val="00902FDD"/>
    <w:rsid w:val="009059F0"/>
    <w:rsid w:val="00905EEF"/>
    <w:rsid w:val="00906EB7"/>
    <w:rsid w:val="009102BF"/>
    <w:rsid w:val="00911490"/>
    <w:rsid w:val="009115F2"/>
    <w:rsid w:val="00911B11"/>
    <w:rsid w:val="009146D0"/>
    <w:rsid w:val="00914813"/>
    <w:rsid w:val="00914ADB"/>
    <w:rsid w:val="00915A54"/>
    <w:rsid w:val="00917182"/>
    <w:rsid w:val="00923B25"/>
    <w:rsid w:val="0092402E"/>
    <w:rsid w:val="0092444C"/>
    <w:rsid w:val="009259BA"/>
    <w:rsid w:val="00926FCB"/>
    <w:rsid w:val="009303BB"/>
    <w:rsid w:val="0093108A"/>
    <w:rsid w:val="0093311A"/>
    <w:rsid w:val="009346D0"/>
    <w:rsid w:val="00935398"/>
    <w:rsid w:val="0094090D"/>
    <w:rsid w:val="009419B4"/>
    <w:rsid w:val="00941A4C"/>
    <w:rsid w:val="00942645"/>
    <w:rsid w:val="009461E6"/>
    <w:rsid w:val="00950A3A"/>
    <w:rsid w:val="0095340A"/>
    <w:rsid w:val="00953AF6"/>
    <w:rsid w:val="0095423E"/>
    <w:rsid w:val="00954581"/>
    <w:rsid w:val="0095466C"/>
    <w:rsid w:val="00954E5B"/>
    <w:rsid w:val="00955316"/>
    <w:rsid w:val="00955E45"/>
    <w:rsid w:val="009576BC"/>
    <w:rsid w:val="00957899"/>
    <w:rsid w:val="00960357"/>
    <w:rsid w:val="0096168C"/>
    <w:rsid w:val="00961840"/>
    <w:rsid w:val="009625E3"/>
    <w:rsid w:val="00962F2D"/>
    <w:rsid w:val="00963A7A"/>
    <w:rsid w:val="009672CD"/>
    <w:rsid w:val="00972996"/>
    <w:rsid w:val="009732B8"/>
    <w:rsid w:val="0097408C"/>
    <w:rsid w:val="00974647"/>
    <w:rsid w:val="0097514A"/>
    <w:rsid w:val="009759C2"/>
    <w:rsid w:val="00975C72"/>
    <w:rsid w:val="00976869"/>
    <w:rsid w:val="00977740"/>
    <w:rsid w:val="00977CB4"/>
    <w:rsid w:val="009809B8"/>
    <w:rsid w:val="00981086"/>
    <w:rsid w:val="009817E7"/>
    <w:rsid w:val="009818AF"/>
    <w:rsid w:val="00981B1C"/>
    <w:rsid w:val="0098222D"/>
    <w:rsid w:val="00985099"/>
    <w:rsid w:val="00985D32"/>
    <w:rsid w:val="00986514"/>
    <w:rsid w:val="00986D2A"/>
    <w:rsid w:val="00986FCC"/>
    <w:rsid w:val="009935C3"/>
    <w:rsid w:val="0099421F"/>
    <w:rsid w:val="00994FC8"/>
    <w:rsid w:val="009960DF"/>
    <w:rsid w:val="009A0DE3"/>
    <w:rsid w:val="009A1304"/>
    <w:rsid w:val="009A138F"/>
    <w:rsid w:val="009A1643"/>
    <w:rsid w:val="009A215A"/>
    <w:rsid w:val="009A43B7"/>
    <w:rsid w:val="009A49D3"/>
    <w:rsid w:val="009A4F1B"/>
    <w:rsid w:val="009A66C5"/>
    <w:rsid w:val="009A66E7"/>
    <w:rsid w:val="009A79BA"/>
    <w:rsid w:val="009B14D1"/>
    <w:rsid w:val="009B1534"/>
    <w:rsid w:val="009B4963"/>
    <w:rsid w:val="009B4A3B"/>
    <w:rsid w:val="009B69D3"/>
    <w:rsid w:val="009B7BA7"/>
    <w:rsid w:val="009B7C01"/>
    <w:rsid w:val="009C0938"/>
    <w:rsid w:val="009C0C22"/>
    <w:rsid w:val="009C15D9"/>
    <w:rsid w:val="009C1B38"/>
    <w:rsid w:val="009C22C8"/>
    <w:rsid w:val="009C3F82"/>
    <w:rsid w:val="009C582A"/>
    <w:rsid w:val="009C5C56"/>
    <w:rsid w:val="009C72DD"/>
    <w:rsid w:val="009C78FD"/>
    <w:rsid w:val="009C7DF5"/>
    <w:rsid w:val="009D056C"/>
    <w:rsid w:val="009D060F"/>
    <w:rsid w:val="009D1ADE"/>
    <w:rsid w:val="009D3652"/>
    <w:rsid w:val="009D37CA"/>
    <w:rsid w:val="009D4229"/>
    <w:rsid w:val="009D4268"/>
    <w:rsid w:val="009D7F5D"/>
    <w:rsid w:val="009E0915"/>
    <w:rsid w:val="009E09D0"/>
    <w:rsid w:val="009E1283"/>
    <w:rsid w:val="009E3A7F"/>
    <w:rsid w:val="009E4C9B"/>
    <w:rsid w:val="009E4DFC"/>
    <w:rsid w:val="009E5789"/>
    <w:rsid w:val="009E57B1"/>
    <w:rsid w:val="009E6379"/>
    <w:rsid w:val="009F020F"/>
    <w:rsid w:val="009F0F24"/>
    <w:rsid w:val="009F3B63"/>
    <w:rsid w:val="009F43E2"/>
    <w:rsid w:val="009F6292"/>
    <w:rsid w:val="009F7809"/>
    <w:rsid w:val="009F7AF5"/>
    <w:rsid w:val="00A006F1"/>
    <w:rsid w:val="00A007A7"/>
    <w:rsid w:val="00A00D14"/>
    <w:rsid w:val="00A01408"/>
    <w:rsid w:val="00A02457"/>
    <w:rsid w:val="00A03190"/>
    <w:rsid w:val="00A0404B"/>
    <w:rsid w:val="00A06F66"/>
    <w:rsid w:val="00A0798C"/>
    <w:rsid w:val="00A07BDD"/>
    <w:rsid w:val="00A07F12"/>
    <w:rsid w:val="00A1105B"/>
    <w:rsid w:val="00A1213C"/>
    <w:rsid w:val="00A130E8"/>
    <w:rsid w:val="00A15B6B"/>
    <w:rsid w:val="00A15EB4"/>
    <w:rsid w:val="00A16172"/>
    <w:rsid w:val="00A16876"/>
    <w:rsid w:val="00A200AA"/>
    <w:rsid w:val="00A20558"/>
    <w:rsid w:val="00A211DD"/>
    <w:rsid w:val="00A2186F"/>
    <w:rsid w:val="00A2270B"/>
    <w:rsid w:val="00A23B89"/>
    <w:rsid w:val="00A23FE3"/>
    <w:rsid w:val="00A248C3"/>
    <w:rsid w:val="00A2496E"/>
    <w:rsid w:val="00A2515A"/>
    <w:rsid w:val="00A253E8"/>
    <w:rsid w:val="00A258B7"/>
    <w:rsid w:val="00A25A0C"/>
    <w:rsid w:val="00A25A83"/>
    <w:rsid w:val="00A262B6"/>
    <w:rsid w:val="00A26B24"/>
    <w:rsid w:val="00A30DB4"/>
    <w:rsid w:val="00A31FE2"/>
    <w:rsid w:val="00A32743"/>
    <w:rsid w:val="00A338C9"/>
    <w:rsid w:val="00A40FFB"/>
    <w:rsid w:val="00A41468"/>
    <w:rsid w:val="00A414A9"/>
    <w:rsid w:val="00A44141"/>
    <w:rsid w:val="00A44CCA"/>
    <w:rsid w:val="00A44D75"/>
    <w:rsid w:val="00A47CF1"/>
    <w:rsid w:val="00A50418"/>
    <w:rsid w:val="00A54A47"/>
    <w:rsid w:val="00A56D26"/>
    <w:rsid w:val="00A571A7"/>
    <w:rsid w:val="00A5749A"/>
    <w:rsid w:val="00A57BA8"/>
    <w:rsid w:val="00A608FB"/>
    <w:rsid w:val="00A60D83"/>
    <w:rsid w:val="00A60F68"/>
    <w:rsid w:val="00A63DF3"/>
    <w:rsid w:val="00A65A39"/>
    <w:rsid w:val="00A65C78"/>
    <w:rsid w:val="00A65EBD"/>
    <w:rsid w:val="00A660A8"/>
    <w:rsid w:val="00A66A45"/>
    <w:rsid w:val="00A67591"/>
    <w:rsid w:val="00A67CA6"/>
    <w:rsid w:val="00A70E7B"/>
    <w:rsid w:val="00A717EA"/>
    <w:rsid w:val="00A73B84"/>
    <w:rsid w:val="00A7411D"/>
    <w:rsid w:val="00A756C4"/>
    <w:rsid w:val="00A7592B"/>
    <w:rsid w:val="00A76094"/>
    <w:rsid w:val="00A768E2"/>
    <w:rsid w:val="00A82C52"/>
    <w:rsid w:val="00A838E8"/>
    <w:rsid w:val="00A83C15"/>
    <w:rsid w:val="00A84EC4"/>
    <w:rsid w:val="00A86CB6"/>
    <w:rsid w:val="00A8729F"/>
    <w:rsid w:val="00A90D55"/>
    <w:rsid w:val="00A944D8"/>
    <w:rsid w:val="00A959E7"/>
    <w:rsid w:val="00A95BBA"/>
    <w:rsid w:val="00A961EE"/>
    <w:rsid w:val="00AA04B3"/>
    <w:rsid w:val="00AA1253"/>
    <w:rsid w:val="00AA1ED0"/>
    <w:rsid w:val="00AA1F5B"/>
    <w:rsid w:val="00AA28EF"/>
    <w:rsid w:val="00AA3593"/>
    <w:rsid w:val="00AA38CA"/>
    <w:rsid w:val="00AA493E"/>
    <w:rsid w:val="00AA71CB"/>
    <w:rsid w:val="00AA73AF"/>
    <w:rsid w:val="00AB0A8A"/>
    <w:rsid w:val="00AB1754"/>
    <w:rsid w:val="00AB1F8D"/>
    <w:rsid w:val="00AB27DD"/>
    <w:rsid w:val="00AB592E"/>
    <w:rsid w:val="00AC0120"/>
    <w:rsid w:val="00AC2167"/>
    <w:rsid w:val="00AC37BE"/>
    <w:rsid w:val="00AC439D"/>
    <w:rsid w:val="00AC62CC"/>
    <w:rsid w:val="00AC713F"/>
    <w:rsid w:val="00AC7329"/>
    <w:rsid w:val="00AC7D96"/>
    <w:rsid w:val="00AD00E4"/>
    <w:rsid w:val="00AD067E"/>
    <w:rsid w:val="00AD168B"/>
    <w:rsid w:val="00AD1B4E"/>
    <w:rsid w:val="00AD2801"/>
    <w:rsid w:val="00AD3496"/>
    <w:rsid w:val="00AD49A1"/>
    <w:rsid w:val="00AD5771"/>
    <w:rsid w:val="00AD6870"/>
    <w:rsid w:val="00AD68C5"/>
    <w:rsid w:val="00AD7F8F"/>
    <w:rsid w:val="00AE0BF9"/>
    <w:rsid w:val="00AE1273"/>
    <w:rsid w:val="00AE18C5"/>
    <w:rsid w:val="00AE2CF4"/>
    <w:rsid w:val="00AE2D29"/>
    <w:rsid w:val="00AE2F0D"/>
    <w:rsid w:val="00AE2F15"/>
    <w:rsid w:val="00AE33C0"/>
    <w:rsid w:val="00AE4624"/>
    <w:rsid w:val="00AE4B3E"/>
    <w:rsid w:val="00AE5E14"/>
    <w:rsid w:val="00AE6115"/>
    <w:rsid w:val="00AE625B"/>
    <w:rsid w:val="00AF01B2"/>
    <w:rsid w:val="00AF1103"/>
    <w:rsid w:val="00AF1668"/>
    <w:rsid w:val="00AF28DE"/>
    <w:rsid w:val="00AF4FA5"/>
    <w:rsid w:val="00AF6ECC"/>
    <w:rsid w:val="00B022DC"/>
    <w:rsid w:val="00B04562"/>
    <w:rsid w:val="00B0472F"/>
    <w:rsid w:val="00B06930"/>
    <w:rsid w:val="00B072DF"/>
    <w:rsid w:val="00B0773A"/>
    <w:rsid w:val="00B07955"/>
    <w:rsid w:val="00B1176B"/>
    <w:rsid w:val="00B11884"/>
    <w:rsid w:val="00B140B8"/>
    <w:rsid w:val="00B14FAA"/>
    <w:rsid w:val="00B15BED"/>
    <w:rsid w:val="00B15D30"/>
    <w:rsid w:val="00B16D18"/>
    <w:rsid w:val="00B177DE"/>
    <w:rsid w:val="00B20624"/>
    <w:rsid w:val="00B23436"/>
    <w:rsid w:val="00B237F1"/>
    <w:rsid w:val="00B23F10"/>
    <w:rsid w:val="00B24328"/>
    <w:rsid w:val="00B24ED4"/>
    <w:rsid w:val="00B24F33"/>
    <w:rsid w:val="00B26354"/>
    <w:rsid w:val="00B26CA0"/>
    <w:rsid w:val="00B31965"/>
    <w:rsid w:val="00B32179"/>
    <w:rsid w:val="00B32341"/>
    <w:rsid w:val="00B32C2B"/>
    <w:rsid w:val="00B33007"/>
    <w:rsid w:val="00B331A9"/>
    <w:rsid w:val="00B33498"/>
    <w:rsid w:val="00B33598"/>
    <w:rsid w:val="00B36569"/>
    <w:rsid w:val="00B37345"/>
    <w:rsid w:val="00B37F53"/>
    <w:rsid w:val="00B409A8"/>
    <w:rsid w:val="00B40A05"/>
    <w:rsid w:val="00B40A3E"/>
    <w:rsid w:val="00B4134D"/>
    <w:rsid w:val="00B427BB"/>
    <w:rsid w:val="00B43BA2"/>
    <w:rsid w:val="00B449EE"/>
    <w:rsid w:val="00B454AE"/>
    <w:rsid w:val="00B50227"/>
    <w:rsid w:val="00B50510"/>
    <w:rsid w:val="00B51AB2"/>
    <w:rsid w:val="00B522CD"/>
    <w:rsid w:val="00B55143"/>
    <w:rsid w:val="00B555C8"/>
    <w:rsid w:val="00B55917"/>
    <w:rsid w:val="00B5646A"/>
    <w:rsid w:val="00B56F3D"/>
    <w:rsid w:val="00B57921"/>
    <w:rsid w:val="00B57E78"/>
    <w:rsid w:val="00B57EB8"/>
    <w:rsid w:val="00B609F6"/>
    <w:rsid w:val="00B60E75"/>
    <w:rsid w:val="00B6159D"/>
    <w:rsid w:val="00B643A6"/>
    <w:rsid w:val="00B64DD6"/>
    <w:rsid w:val="00B66505"/>
    <w:rsid w:val="00B6710C"/>
    <w:rsid w:val="00B67E84"/>
    <w:rsid w:val="00B7157B"/>
    <w:rsid w:val="00B72076"/>
    <w:rsid w:val="00B72303"/>
    <w:rsid w:val="00B72C72"/>
    <w:rsid w:val="00B72D9A"/>
    <w:rsid w:val="00B72ED9"/>
    <w:rsid w:val="00B731E4"/>
    <w:rsid w:val="00B751CE"/>
    <w:rsid w:val="00B75A8B"/>
    <w:rsid w:val="00B75B61"/>
    <w:rsid w:val="00B76796"/>
    <w:rsid w:val="00B771E0"/>
    <w:rsid w:val="00B7793B"/>
    <w:rsid w:val="00B77EE7"/>
    <w:rsid w:val="00B80EDD"/>
    <w:rsid w:val="00B812BD"/>
    <w:rsid w:val="00B81964"/>
    <w:rsid w:val="00B82277"/>
    <w:rsid w:val="00B83F87"/>
    <w:rsid w:val="00B8478F"/>
    <w:rsid w:val="00B91676"/>
    <w:rsid w:val="00B91C29"/>
    <w:rsid w:val="00B9322B"/>
    <w:rsid w:val="00B955D5"/>
    <w:rsid w:val="00B95833"/>
    <w:rsid w:val="00B979CE"/>
    <w:rsid w:val="00BA1824"/>
    <w:rsid w:val="00BA2D98"/>
    <w:rsid w:val="00BA2F0C"/>
    <w:rsid w:val="00BA30D1"/>
    <w:rsid w:val="00BA30E1"/>
    <w:rsid w:val="00BA4609"/>
    <w:rsid w:val="00BA5BE2"/>
    <w:rsid w:val="00BA7F46"/>
    <w:rsid w:val="00BB0A0A"/>
    <w:rsid w:val="00BB133C"/>
    <w:rsid w:val="00BB1F04"/>
    <w:rsid w:val="00BB32E9"/>
    <w:rsid w:val="00BB45B5"/>
    <w:rsid w:val="00BB4DDE"/>
    <w:rsid w:val="00BB6064"/>
    <w:rsid w:val="00BB65CE"/>
    <w:rsid w:val="00BB7012"/>
    <w:rsid w:val="00BC09D1"/>
    <w:rsid w:val="00BC1CF3"/>
    <w:rsid w:val="00BC2BE0"/>
    <w:rsid w:val="00BC3573"/>
    <w:rsid w:val="00BC7F82"/>
    <w:rsid w:val="00BD2A49"/>
    <w:rsid w:val="00BD3683"/>
    <w:rsid w:val="00BD40AB"/>
    <w:rsid w:val="00BD6297"/>
    <w:rsid w:val="00BD6806"/>
    <w:rsid w:val="00BD7433"/>
    <w:rsid w:val="00BD7831"/>
    <w:rsid w:val="00BD7C10"/>
    <w:rsid w:val="00BE046F"/>
    <w:rsid w:val="00BE0DEB"/>
    <w:rsid w:val="00BE2AB8"/>
    <w:rsid w:val="00BE2FC1"/>
    <w:rsid w:val="00BE3142"/>
    <w:rsid w:val="00BE4039"/>
    <w:rsid w:val="00BE6365"/>
    <w:rsid w:val="00BF01B7"/>
    <w:rsid w:val="00BF08C4"/>
    <w:rsid w:val="00BF0B7F"/>
    <w:rsid w:val="00BF2988"/>
    <w:rsid w:val="00BF4720"/>
    <w:rsid w:val="00BF4F49"/>
    <w:rsid w:val="00BF6759"/>
    <w:rsid w:val="00BF70A6"/>
    <w:rsid w:val="00BF7B4F"/>
    <w:rsid w:val="00BF7B63"/>
    <w:rsid w:val="00C0359D"/>
    <w:rsid w:val="00C038EC"/>
    <w:rsid w:val="00C05C6D"/>
    <w:rsid w:val="00C072D7"/>
    <w:rsid w:val="00C104DB"/>
    <w:rsid w:val="00C10F5B"/>
    <w:rsid w:val="00C1122B"/>
    <w:rsid w:val="00C127F2"/>
    <w:rsid w:val="00C13B34"/>
    <w:rsid w:val="00C13F26"/>
    <w:rsid w:val="00C14417"/>
    <w:rsid w:val="00C1474E"/>
    <w:rsid w:val="00C14C37"/>
    <w:rsid w:val="00C157AA"/>
    <w:rsid w:val="00C162E1"/>
    <w:rsid w:val="00C16BE4"/>
    <w:rsid w:val="00C16E9F"/>
    <w:rsid w:val="00C1713D"/>
    <w:rsid w:val="00C174C1"/>
    <w:rsid w:val="00C17523"/>
    <w:rsid w:val="00C177F1"/>
    <w:rsid w:val="00C17EE6"/>
    <w:rsid w:val="00C217F7"/>
    <w:rsid w:val="00C2272E"/>
    <w:rsid w:val="00C22F3A"/>
    <w:rsid w:val="00C23311"/>
    <w:rsid w:val="00C24AD9"/>
    <w:rsid w:val="00C25978"/>
    <w:rsid w:val="00C261C6"/>
    <w:rsid w:val="00C26621"/>
    <w:rsid w:val="00C26E7C"/>
    <w:rsid w:val="00C276CD"/>
    <w:rsid w:val="00C27827"/>
    <w:rsid w:val="00C30A97"/>
    <w:rsid w:val="00C31DDC"/>
    <w:rsid w:val="00C3223A"/>
    <w:rsid w:val="00C34168"/>
    <w:rsid w:val="00C34326"/>
    <w:rsid w:val="00C34CEB"/>
    <w:rsid w:val="00C36201"/>
    <w:rsid w:val="00C368E8"/>
    <w:rsid w:val="00C36C3D"/>
    <w:rsid w:val="00C372C7"/>
    <w:rsid w:val="00C42443"/>
    <w:rsid w:val="00C42CBA"/>
    <w:rsid w:val="00C4338C"/>
    <w:rsid w:val="00C43C2B"/>
    <w:rsid w:val="00C43D20"/>
    <w:rsid w:val="00C45B27"/>
    <w:rsid w:val="00C46824"/>
    <w:rsid w:val="00C472C7"/>
    <w:rsid w:val="00C5019E"/>
    <w:rsid w:val="00C51962"/>
    <w:rsid w:val="00C5377C"/>
    <w:rsid w:val="00C53E8A"/>
    <w:rsid w:val="00C54DF3"/>
    <w:rsid w:val="00C560A7"/>
    <w:rsid w:val="00C56FC8"/>
    <w:rsid w:val="00C60F23"/>
    <w:rsid w:val="00C6170B"/>
    <w:rsid w:val="00C62EB2"/>
    <w:rsid w:val="00C64C7C"/>
    <w:rsid w:val="00C64C87"/>
    <w:rsid w:val="00C665FE"/>
    <w:rsid w:val="00C71BEC"/>
    <w:rsid w:val="00C74D3A"/>
    <w:rsid w:val="00C75829"/>
    <w:rsid w:val="00C75F3D"/>
    <w:rsid w:val="00C76D85"/>
    <w:rsid w:val="00C7704D"/>
    <w:rsid w:val="00C7789E"/>
    <w:rsid w:val="00C80511"/>
    <w:rsid w:val="00C826F5"/>
    <w:rsid w:val="00C83740"/>
    <w:rsid w:val="00C84AD1"/>
    <w:rsid w:val="00C85579"/>
    <w:rsid w:val="00C862F1"/>
    <w:rsid w:val="00C863E5"/>
    <w:rsid w:val="00C87BE6"/>
    <w:rsid w:val="00C87F76"/>
    <w:rsid w:val="00C931FC"/>
    <w:rsid w:val="00C932C5"/>
    <w:rsid w:val="00C94CB6"/>
    <w:rsid w:val="00C95299"/>
    <w:rsid w:val="00C95A72"/>
    <w:rsid w:val="00C9650E"/>
    <w:rsid w:val="00C97000"/>
    <w:rsid w:val="00C975BD"/>
    <w:rsid w:val="00CA068D"/>
    <w:rsid w:val="00CA1228"/>
    <w:rsid w:val="00CA1636"/>
    <w:rsid w:val="00CA1C73"/>
    <w:rsid w:val="00CA282D"/>
    <w:rsid w:val="00CA3F73"/>
    <w:rsid w:val="00CA4670"/>
    <w:rsid w:val="00CA5006"/>
    <w:rsid w:val="00CA5F89"/>
    <w:rsid w:val="00CA6B1A"/>
    <w:rsid w:val="00CB1B18"/>
    <w:rsid w:val="00CB20DC"/>
    <w:rsid w:val="00CB23DC"/>
    <w:rsid w:val="00CB2487"/>
    <w:rsid w:val="00CB28E2"/>
    <w:rsid w:val="00CB2F20"/>
    <w:rsid w:val="00CB376B"/>
    <w:rsid w:val="00CB758D"/>
    <w:rsid w:val="00CB7A3E"/>
    <w:rsid w:val="00CB7FF7"/>
    <w:rsid w:val="00CC0D0E"/>
    <w:rsid w:val="00CC1253"/>
    <w:rsid w:val="00CC19B3"/>
    <w:rsid w:val="00CC2044"/>
    <w:rsid w:val="00CC39D2"/>
    <w:rsid w:val="00CC69EC"/>
    <w:rsid w:val="00CC78A2"/>
    <w:rsid w:val="00CC7DF8"/>
    <w:rsid w:val="00CD15BE"/>
    <w:rsid w:val="00CD1EF2"/>
    <w:rsid w:val="00CD32BD"/>
    <w:rsid w:val="00CD34C7"/>
    <w:rsid w:val="00CD5653"/>
    <w:rsid w:val="00CD5E6D"/>
    <w:rsid w:val="00CD63C8"/>
    <w:rsid w:val="00CD76F8"/>
    <w:rsid w:val="00CE02E8"/>
    <w:rsid w:val="00CE069E"/>
    <w:rsid w:val="00CE0DE0"/>
    <w:rsid w:val="00CE3722"/>
    <w:rsid w:val="00CE4DEE"/>
    <w:rsid w:val="00CE65A7"/>
    <w:rsid w:val="00CE7F05"/>
    <w:rsid w:val="00CF158D"/>
    <w:rsid w:val="00CF1E9A"/>
    <w:rsid w:val="00CF2166"/>
    <w:rsid w:val="00CF289E"/>
    <w:rsid w:val="00CF4340"/>
    <w:rsid w:val="00CF4394"/>
    <w:rsid w:val="00CF48B4"/>
    <w:rsid w:val="00CF7E63"/>
    <w:rsid w:val="00D000A9"/>
    <w:rsid w:val="00D00384"/>
    <w:rsid w:val="00D0057E"/>
    <w:rsid w:val="00D005DB"/>
    <w:rsid w:val="00D0064E"/>
    <w:rsid w:val="00D00981"/>
    <w:rsid w:val="00D00EC1"/>
    <w:rsid w:val="00D0228E"/>
    <w:rsid w:val="00D02596"/>
    <w:rsid w:val="00D0280D"/>
    <w:rsid w:val="00D02AEF"/>
    <w:rsid w:val="00D030B4"/>
    <w:rsid w:val="00D0441F"/>
    <w:rsid w:val="00D05669"/>
    <w:rsid w:val="00D061EB"/>
    <w:rsid w:val="00D06952"/>
    <w:rsid w:val="00D07A72"/>
    <w:rsid w:val="00D07C2E"/>
    <w:rsid w:val="00D10577"/>
    <w:rsid w:val="00D12405"/>
    <w:rsid w:val="00D1295C"/>
    <w:rsid w:val="00D12A4E"/>
    <w:rsid w:val="00D1323B"/>
    <w:rsid w:val="00D14BAE"/>
    <w:rsid w:val="00D1648B"/>
    <w:rsid w:val="00D16819"/>
    <w:rsid w:val="00D17DD9"/>
    <w:rsid w:val="00D20AC0"/>
    <w:rsid w:val="00D2288F"/>
    <w:rsid w:val="00D2321B"/>
    <w:rsid w:val="00D23350"/>
    <w:rsid w:val="00D237E7"/>
    <w:rsid w:val="00D23DE4"/>
    <w:rsid w:val="00D25A5C"/>
    <w:rsid w:val="00D26873"/>
    <w:rsid w:val="00D277F0"/>
    <w:rsid w:val="00D310FB"/>
    <w:rsid w:val="00D31683"/>
    <w:rsid w:val="00D336C8"/>
    <w:rsid w:val="00D339E8"/>
    <w:rsid w:val="00D3654A"/>
    <w:rsid w:val="00D3662E"/>
    <w:rsid w:val="00D40B1F"/>
    <w:rsid w:val="00D40D75"/>
    <w:rsid w:val="00D43978"/>
    <w:rsid w:val="00D43CBD"/>
    <w:rsid w:val="00D449F0"/>
    <w:rsid w:val="00D462D7"/>
    <w:rsid w:val="00D5062C"/>
    <w:rsid w:val="00D50C8C"/>
    <w:rsid w:val="00D52393"/>
    <w:rsid w:val="00D523E4"/>
    <w:rsid w:val="00D5279D"/>
    <w:rsid w:val="00D52A1B"/>
    <w:rsid w:val="00D52AA7"/>
    <w:rsid w:val="00D52FCC"/>
    <w:rsid w:val="00D53F14"/>
    <w:rsid w:val="00D54BE4"/>
    <w:rsid w:val="00D54DDB"/>
    <w:rsid w:val="00D554BC"/>
    <w:rsid w:val="00D560DC"/>
    <w:rsid w:val="00D56602"/>
    <w:rsid w:val="00D60483"/>
    <w:rsid w:val="00D60B1B"/>
    <w:rsid w:val="00D60B82"/>
    <w:rsid w:val="00D61208"/>
    <w:rsid w:val="00D61ABB"/>
    <w:rsid w:val="00D62D5C"/>
    <w:rsid w:val="00D63577"/>
    <w:rsid w:val="00D67FD7"/>
    <w:rsid w:val="00D72410"/>
    <w:rsid w:val="00D73D53"/>
    <w:rsid w:val="00D7408A"/>
    <w:rsid w:val="00D74261"/>
    <w:rsid w:val="00D7441B"/>
    <w:rsid w:val="00D75589"/>
    <w:rsid w:val="00D76AB2"/>
    <w:rsid w:val="00D80490"/>
    <w:rsid w:val="00D829AD"/>
    <w:rsid w:val="00D82EE2"/>
    <w:rsid w:val="00D83D1B"/>
    <w:rsid w:val="00D84061"/>
    <w:rsid w:val="00D84133"/>
    <w:rsid w:val="00D8545C"/>
    <w:rsid w:val="00D86E57"/>
    <w:rsid w:val="00D87788"/>
    <w:rsid w:val="00D877C8"/>
    <w:rsid w:val="00D91040"/>
    <w:rsid w:val="00D910C2"/>
    <w:rsid w:val="00D9168C"/>
    <w:rsid w:val="00D9189B"/>
    <w:rsid w:val="00D91DA6"/>
    <w:rsid w:val="00D91F0C"/>
    <w:rsid w:val="00D921A0"/>
    <w:rsid w:val="00D93A41"/>
    <w:rsid w:val="00D93B9A"/>
    <w:rsid w:val="00D95984"/>
    <w:rsid w:val="00D95C64"/>
    <w:rsid w:val="00D9706F"/>
    <w:rsid w:val="00D972D4"/>
    <w:rsid w:val="00DA195B"/>
    <w:rsid w:val="00DA27F3"/>
    <w:rsid w:val="00DA2D1E"/>
    <w:rsid w:val="00DA3EC8"/>
    <w:rsid w:val="00DA40C1"/>
    <w:rsid w:val="00DA5564"/>
    <w:rsid w:val="00DA6B55"/>
    <w:rsid w:val="00DA6B97"/>
    <w:rsid w:val="00DA6CEE"/>
    <w:rsid w:val="00DB0015"/>
    <w:rsid w:val="00DB0359"/>
    <w:rsid w:val="00DB0ABB"/>
    <w:rsid w:val="00DB2AAD"/>
    <w:rsid w:val="00DB2D6D"/>
    <w:rsid w:val="00DB44E2"/>
    <w:rsid w:val="00DB467E"/>
    <w:rsid w:val="00DB4A6D"/>
    <w:rsid w:val="00DB5941"/>
    <w:rsid w:val="00DB626D"/>
    <w:rsid w:val="00DB6365"/>
    <w:rsid w:val="00DC07B7"/>
    <w:rsid w:val="00DC0BF1"/>
    <w:rsid w:val="00DC17F2"/>
    <w:rsid w:val="00DC41C3"/>
    <w:rsid w:val="00DC4A3C"/>
    <w:rsid w:val="00DC4FA4"/>
    <w:rsid w:val="00DC5028"/>
    <w:rsid w:val="00DC5B37"/>
    <w:rsid w:val="00DD286D"/>
    <w:rsid w:val="00DD2CAF"/>
    <w:rsid w:val="00DD3593"/>
    <w:rsid w:val="00DD64E0"/>
    <w:rsid w:val="00DD7BE0"/>
    <w:rsid w:val="00DE0C67"/>
    <w:rsid w:val="00DE3AAD"/>
    <w:rsid w:val="00DE598A"/>
    <w:rsid w:val="00DE6952"/>
    <w:rsid w:val="00DE7E74"/>
    <w:rsid w:val="00DF071B"/>
    <w:rsid w:val="00DF4F29"/>
    <w:rsid w:val="00DF5C84"/>
    <w:rsid w:val="00DF60B3"/>
    <w:rsid w:val="00DF6EF8"/>
    <w:rsid w:val="00DF7676"/>
    <w:rsid w:val="00E00A69"/>
    <w:rsid w:val="00E017BC"/>
    <w:rsid w:val="00E017F0"/>
    <w:rsid w:val="00E01A0E"/>
    <w:rsid w:val="00E0346A"/>
    <w:rsid w:val="00E041E4"/>
    <w:rsid w:val="00E04AEE"/>
    <w:rsid w:val="00E1012B"/>
    <w:rsid w:val="00E103C8"/>
    <w:rsid w:val="00E1085B"/>
    <w:rsid w:val="00E1308B"/>
    <w:rsid w:val="00E14581"/>
    <w:rsid w:val="00E14623"/>
    <w:rsid w:val="00E15539"/>
    <w:rsid w:val="00E16541"/>
    <w:rsid w:val="00E17EC9"/>
    <w:rsid w:val="00E202F4"/>
    <w:rsid w:val="00E207C3"/>
    <w:rsid w:val="00E21386"/>
    <w:rsid w:val="00E242AF"/>
    <w:rsid w:val="00E24849"/>
    <w:rsid w:val="00E2536E"/>
    <w:rsid w:val="00E25B8A"/>
    <w:rsid w:val="00E25EF8"/>
    <w:rsid w:val="00E2632B"/>
    <w:rsid w:val="00E264A1"/>
    <w:rsid w:val="00E26F75"/>
    <w:rsid w:val="00E27423"/>
    <w:rsid w:val="00E322F7"/>
    <w:rsid w:val="00E3369B"/>
    <w:rsid w:val="00E362D2"/>
    <w:rsid w:val="00E36D76"/>
    <w:rsid w:val="00E40478"/>
    <w:rsid w:val="00E405EA"/>
    <w:rsid w:val="00E408B7"/>
    <w:rsid w:val="00E41637"/>
    <w:rsid w:val="00E42789"/>
    <w:rsid w:val="00E43F59"/>
    <w:rsid w:val="00E464F0"/>
    <w:rsid w:val="00E46EF3"/>
    <w:rsid w:val="00E47370"/>
    <w:rsid w:val="00E473E9"/>
    <w:rsid w:val="00E47B47"/>
    <w:rsid w:val="00E50BEB"/>
    <w:rsid w:val="00E548FA"/>
    <w:rsid w:val="00E57703"/>
    <w:rsid w:val="00E57ED4"/>
    <w:rsid w:val="00E57FED"/>
    <w:rsid w:val="00E6092F"/>
    <w:rsid w:val="00E60BD0"/>
    <w:rsid w:val="00E62049"/>
    <w:rsid w:val="00E629DA"/>
    <w:rsid w:val="00E63D8C"/>
    <w:rsid w:val="00E64374"/>
    <w:rsid w:val="00E6469F"/>
    <w:rsid w:val="00E65D39"/>
    <w:rsid w:val="00E670F8"/>
    <w:rsid w:val="00E67150"/>
    <w:rsid w:val="00E6733C"/>
    <w:rsid w:val="00E6741B"/>
    <w:rsid w:val="00E67FAC"/>
    <w:rsid w:val="00E7200B"/>
    <w:rsid w:val="00E738CB"/>
    <w:rsid w:val="00E73C88"/>
    <w:rsid w:val="00E74437"/>
    <w:rsid w:val="00E7443D"/>
    <w:rsid w:val="00E75270"/>
    <w:rsid w:val="00E75ACE"/>
    <w:rsid w:val="00E771AF"/>
    <w:rsid w:val="00E80386"/>
    <w:rsid w:val="00E809C3"/>
    <w:rsid w:val="00E81A1A"/>
    <w:rsid w:val="00E81C3E"/>
    <w:rsid w:val="00E82359"/>
    <w:rsid w:val="00E82B6D"/>
    <w:rsid w:val="00E83187"/>
    <w:rsid w:val="00E831E9"/>
    <w:rsid w:val="00E8608F"/>
    <w:rsid w:val="00E86C1D"/>
    <w:rsid w:val="00E91EEF"/>
    <w:rsid w:val="00E96A03"/>
    <w:rsid w:val="00E9763D"/>
    <w:rsid w:val="00EA1177"/>
    <w:rsid w:val="00EA118B"/>
    <w:rsid w:val="00EA11B6"/>
    <w:rsid w:val="00EA2181"/>
    <w:rsid w:val="00EA2DD8"/>
    <w:rsid w:val="00EA4475"/>
    <w:rsid w:val="00EA52FE"/>
    <w:rsid w:val="00EA681F"/>
    <w:rsid w:val="00EB04C6"/>
    <w:rsid w:val="00EB06A6"/>
    <w:rsid w:val="00EB1392"/>
    <w:rsid w:val="00EB3307"/>
    <w:rsid w:val="00EB3823"/>
    <w:rsid w:val="00EB47D8"/>
    <w:rsid w:val="00EB57D3"/>
    <w:rsid w:val="00EB5EFD"/>
    <w:rsid w:val="00EB679F"/>
    <w:rsid w:val="00EB76E4"/>
    <w:rsid w:val="00EC0E65"/>
    <w:rsid w:val="00EC1251"/>
    <w:rsid w:val="00EC2938"/>
    <w:rsid w:val="00EC337D"/>
    <w:rsid w:val="00EC38EF"/>
    <w:rsid w:val="00EC47F7"/>
    <w:rsid w:val="00EC50C9"/>
    <w:rsid w:val="00EC58B4"/>
    <w:rsid w:val="00EC5BB2"/>
    <w:rsid w:val="00EC6AFA"/>
    <w:rsid w:val="00ED12F0"/>
    <w:rsid w:val="00ED290C"/>
    <w:rsid w:val="00ED2A6C"/>
    <w:rsid w:val="00ED4773"/>
    <w:rsid w:val="00ED5284"/>
    <w:rsid w:val="00ED664B"/>
    <w:rsid w:val="00ED6A61"/>
    <w:rsid w:val="00ED7DA4"/>
    <w:rsid w:val="00EE03BB"/>
    <w:rsid w:val="00EE0552"/>
    <w:rsid w:val="00EE0B44"/>
    <w:rsid w:val="00EE125D"/>
    <w:rsid w:val="00EE1E00"/>
    <w:rsid w:val="00EE23DE"/>
    <w:rsid w:val="00EE48BB"/>
    <w:rsid w:val="00EE55E8"/>
    <w:rsid w:val="00EE6FE0"/>
    <w:rsid w:val="00EE704A"/>
    <w:rsid w:val="00EE7840"/>
    <w:rsid w:val="00EF2E75"/>
    <w:rsid w:val="00EF4C74"/>
    <w:rsid w:val="00EF4C79"/>
    <w:rsid w:val="00EF5268"/>
    <w:rsid w:val="00EF608E"/>
    <w:rsid w:val="00EF6C4A"/>
    <w:rsid w:val="00F00326"/>
    <w:rsid w:val="00F0044B"/>
    <w:rsid w:val="00F03525"/>
    <w:rsid w:val="00F0424D"/>
    <w:rsid w:val="00F04957"/>
    <w:rsid w:val="00F04997"/>
    <w:rsid w:val="00F05807"/>
    <w:rsid w:val="00F0628B"/>
    <w:rsid w:val="00F06451"/>
    <w:rsid w:val="00F07052"/>
    <w:rsid w:val="00F0706C"/>
    <w:rsid w:val="00F1086B"/>
    <w:rsid w:val="00F11EBE"/>
    <w:rsid w:val="00F12293"/>
    <w:rsid w:val="00F12BA8"/>
    <w:rsid w:val="00F130D0"/>
    <w:rsid w:val="00F14933"/>
    <w:rsid w:val="00F1516A"/>
    <w:rsid w:val="00F15EE5"/>
    <w:rsid w:val="00F171F9"/>
    <w:rsid w:val="00F1737C"/>
    <w:rsid w:val="00F22A26"/>
    <w:rsid w:val="00F24072"/>
    <w:rsid w:val="00F26432"/>
    <w:rsid w:val="00F3197A"/>
    <w:rsid w:val="00F32139"/>
    <w:rsid w:val="00F33D56"/>
    <w:rsid w:val="00F34E08"/>
    <w:rsid w:val="00F41D91"/>
    <w:rsid w:val="00F41F52"/>
    <w:rsid w:val="00F42363"/>
    <w:rsid w:val="00F427C4"/>
    <w:rsid w:val="00F43D6C"/>
    <w:rsid w:val="00F46964"/>
    <w:rsid w:val="00F46F9A"/>
    <w:rsid w:val="00F470FD"/>
    <w:rsid w:val="00F50F30"/>
    <w:rsid w:val="00F51072"/>
    <w:rsid w:val="00F5126A"/>
    <w:rsid w:val="00F5126E"/>
    <w:rsid w:val="00F516EF"/>
    <w:rsid w:val="00F51755"/>
    <w:rsid w:val="00F5580D"/>
    <w:rsid w:val="00F56EA1"/>
    <w:rsid w:val="00F606D5"/>
    <w:rsid w:val="00F611B3"/>
    <w:rsid w:val="00F6196E"/>
    <w:rsid w:val="00F624DD"/>
    <w:rsid w:val="00F628C7"/>
    <w:rsid w:val="00F629C0"/>
    <w:rsid w:val="00F63FC7"/>
    <w:rsid w:val="00F65E1F"/>
    <w:rsid w:val="00F65ED5"/>
    <w:rsid w:val="00F6608B"/>
    <w:rsid w:val="00F6636A"/>
    <w:rsid w:val="00F667C5"/>
    <w:rsid w:val="00F67E31"/>
    <w:rsid w:val="00F715B1"/>
    <w:rsid w:val="00F718A8"/>
    <w:rsid w:val="00F72183"/>
    <w:rsid w:val="00F76D01"/>
    <w:rsid w:val="00F80B43"/>
    <w:rsid w:val="00F81C35"/>
    <w:rsid w:val="00F82981"/>
    <w:rsid w:val="00F8311F"/>
    <w:rsid w:val="00F83248"/>
    <w:rsid w:val="00F83376"/>
    <w:rsid w:val="00F8462A"/>
    <w:rsid w:val="00F853AE"/>
    <w:rsid w:val="00F908D5"/>
    <w:rsid w:val="00F913B9"/>
    <w:rsid w:val="00F93C74"/>
    <w:rsid w:val="00F93DCC"/>
    <w:rsid w:val="00F9435D"/>
    <w:rsid w:val="00F966F9"/>
    <w:rsid w:val="00F96F61"/>
    <w:rsid w:val="00F97740"/>
    <w:rsid w:val="00FA0C8F"/>
    <w:rsid w:val="00FA2DEF"/>
    <w:rsid w:val="00FA2F7B"/>
    <w:rsid w:val="00FA330A"/>
    <w:rsid w:val="00FA3C97"/>
    <w:rsid w:val="00FA3D30"/>
    <w:rsid w:val="00FA4B49"/>
    <w:rsid w:val="00FA54F8"/>
    <w:rsid w:val="00FA78C8"/>
    <w:rsid w:val="00FA7A2F"/>
    <w:rsid w:val="00FB09FE"/>
    <w:rsid w:val="00FB0E80"/>
    <w:rsid w:val="00FB101D"/>
    <w:rsid w:val="00FB1725"/>
    <w:rsid w:val="00FB2493"/>
    <w:rsid w:val="00FB26E6"/>
    <w:rsid w:val="00FB42B7"/>
    <w:rsid w:val="00FB4484"/>
    <w:rsid w:val="00FB593A"/>
    <w:rsid w:val="00FB6410"/>
    <w:rsid w:val="00FB680F"/>
    <w:rsid w:val="00FB6E82"/>
    <w:rsid w:val="00FB766C"/>
    <w:rsid w:val="00FB792E"/>
    <w:rsid w:val="00FB7CF0"/>
    <w:rsid w:val="00FC0042"/>
    <w:rsid w:val="00FC1E67"/>
    <w:rsid w:val="00FC2A13"/>
    <w:rsid w:val="00FC2B56"/>
    <w:rsid w:val="00FC4284"/>
    <w:rsid w:val="00FC4576"/>
    <w:rsid w:val="00FC5FF5"/>
    <w:rsid w:val="00FC6285"/>
    <w:rsid w:val="00FC78FB"/>
    <w:rsid w:val="00FC7DBC"/>
    <w:rsid w:val="00FD031B"/>
    <w:rsid w:val="00FD076A"/>
    <w:rsid w:val="00FD08DE"/>
    <w:rsid w:val="00FD0AA0"/>
    <w:rsid w:val="00FD1D5A"/>
    <w:rsid w:val="00FD5059"/>
    <w:rsid w:val="00FD554D"/>
    <w:rsid w:val="00FD5BCC"/>
    <w:rsid w:val="00FD7B23"/>
    <w:rsid w:val="00FE13FB"/>
    <w:rsid w:val="00FE2A48"/>
    <w:rsid w:val="00FE5D0A"/>
    <w:rsid w:val="00FE6469"/>
    <w:rsid w:val="00FF05D0"/>
    <w:rsid w:val="00FF06CE"/>
    <w:rsid w:val="00FF0FF7"/>
    <w:rsid w:val="00FF1022"/>
    <w:rsid w:val="00FF10A2"/>
    <w:rsid w:val="00FF1438"/>
    <w:rsid w:val="00FF3A38"/>
    <w:rsid w:val="00FF3C25"/>
    <w:rsid w:val="00FF4101"/>
    <w:rsid w:val="00FF4129"/>
    <w:rsid w:val="00FF437A"/>
    <w:rsid w:val="00FF44F7"/>
    <w:rsid w:val="00FF4C90"/>
    <w:rsid w:val="00FF5806"/>
    <w:rsid w:val="00FF61BD"/>
    <w:rsid w:val="00FF6BF6"/>
    <w:rsid w:val="00FF77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3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F4C90"/>
    <w:rPr>
      <w:color w:val="008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436C2"/>
    <w:pPr>
      <w:tabs>
        <w:tab w:val="center" w:pos="4320"/>
        <w:tab w:val="right" w:pos="8640"/>
      </w:tabs>
    </w:pPr>
  </w:style>
  <w:style w:type="character" w:styleId="PageNumber">
    <w:name w:val="page number"/>
    <w:basedOn w:val="DefaultParagraphFont"/>
    <w:rsid w:val="005436C2"/>
  </w:style>
  <w:style w:type="paragraph" w:styleId="Header">
    <w:name w:val="header"/>
    <w:basedOn w:val="Normal"/>
    <w:link w:val="HeaderChar"/>
    <w:uiPriority w:val="99"/>
    <w:rsid w:val="005436C2"/>
    <w:pPr>
      <w:tabs>
        <w:tab w:val="center" w:pos="4320"/>
        <w:tab w:val="right" w:pos="8640"/>
      </w:tabs>
    </w:pPr>
  </w:style>
  <w:style w:type="paragraph" w:styleId="BodyText">
    <w:name w:val="Body Text"/>
    <w:basedOn w:val="Normal"/>
    <w:rsid w:val="005436C2"/>
    <w:pPr>
      <w:tabs>
        <w:tab w:val="left" w:pos="720"/>
      </w:tabs>
      <w:spacing w:line="240" w:lineRule="exact"/>
      <w:ind w:right="-360"/>
    </w:pPr>
    <w:rPr>
      <w:rFonts w:ascii="Times New Roman" w:hAnsi="Times New Roman"/>
      <w:color w:val="000080"/>
    </w:rPr>
  </w:style>
  <w:style w:type="paragraph" w:styleId="BodyText3">
    <w:name w:val="Body Text 3"/>
    <w:basedOn w:val="Normal"/>
    <w:rsid w:val="005436C2"/>
    <w:pPr>
      <w:tabs>
        <w:tab w:val="left" w:pos="288"/>
        <w:tab w:val="left" w:pos="4752"/>
      </w:tabs>
      <w:spacing w:line="240" w:lineRule="exact"/>
      <w:ind w:right="-360"/>
      <w:jc w:val="both"/>
    </w:pPr>
    <w:rPr>
      <w:color w:val="000080"/>
    </w:rPr>
  </w:style>
  <w:style w:type="paragraph" w:styleId="PlainText">
    <w:name w:val="Plain Text"/>
    <w:basedOn w:val="Normal"/>
    <w:link w:val="PlainTextChar"/>
    <w:uiPriority w:val="99"/>
    <w:unhideWhenUsed/>
    <w:rsid w:val="00D91DA6"/>
    <w:rPr>
      <w:rFonts w:ascii="Consolas" w:eastAsia="Calibri" w:hAnsi="Consolas"/>
      <w:color w:val="auto"/>
      <w:sz w:val="21"/>
      <w:szCs w:val="21"/>
    </w:rPr>
  </w:style>
  <w:style w:type="character" w:customStyle="1" w:styleId="PlainTextChar">
    <w:name w:val="Plain Text Char"/>
    <w:basedOn w:val="DefaultParagraphFont"/>
    <w:link w:val="PlainText"/>
    <w:uiPriority w:val="99"/>
    <w:rsid w:val="00D91DA6"/>
    <w:rPr>
      <w:rFonts w:ascii="Consolas" w:eastAsia="Calibri" w:hAnsi="Consolas" w:cs="Times New Roman"/>
      <w:sz w:val="21"/>
      <w:szCs w:val="21"/>
    </w:rPr>
  </w:style>
  <w:style w:type="character" w:customStyle="1" w:styleId="FooterChar">
    <w:name w:val="Footer Char"/>
    <w:basedOn w:val="DefaultParagraphFont"/>
    <w:link w:val="Footer"/>
    <w:uiPriority w:val="99"/>
    <w:rsid w:val="000379D0"/>
    <w:rPr>
      <w:color w:val="008080"/>
      <w:sz w:val="24"/>
    </w:rPr>
  </w:style>
  <w:style w:type="paragraph" w:styleId="BalloonText">
    <w:name w:val="Balloon Text"/>
    <w:basedOn w:val="Normal"/>
    <w:link w:val="BalloonTextChar"/>
    <w:rsid w:val="000379D0"/>
    <w:rPr>
      <w:rFonts w:ascii="Tahoma" w:hAnsi="Tahoma" w:cs="Tahoma"/>
      <w:sz w:val="16"/>
      <w:szCs w:val="16"/>
    </w:rPr>
  </w:style>
  <w:style w:type="character" w:customStyle="1" w:styleId="BalloonTextChar">
    <w:name w:val="Balloon Text Char"/>
    <w:basedOn w:val="DefaultParagraphFont"/>
    <w:link w:val="BalloonText"/>
    <w:rsid w:val="000379D0"/>
    <w:rPr>
      <w:rFonts w:ascii="Tahoma" w:hAnsi="Tahoma" w:cs="Tahoma"/>
      <w:color w:val="008080"/>
      <w:sz w:val="16"/>
      <w:szCs w:val="16"/>
    </w:rPr>
  </w:style>
  <w:style w:type="table" w:styleId="TableGrid">
    <w:name w:val="Table Grid"/>
    <w:basedOn w:val="TableNormal"/>
    <w:uiPriority w:val="59"/>
    <w:rsid w:val="006F1A46"/>
    <w:rPr>
      <w:rFonts w:asciiTheme="minorHAnsi" w:eastAsia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526591"/>
    <w:pPr>
      <w:spacing w:after="200" w:line="276" w:lineRule="auto"/>
      <w:ind w:left="720"/>
      <w:contextualSpacing/>
    </w:pPr>
    <w:rPr>
      <w:rFonts w:asciiTheme="minorHAnsi" w:eastAsiaTheme="minorHAnsi" w:hAnsiTheme="minorHAnsi" w:cstheme="minorBidi"/>
      <w:color w:val="auto"/>
      <w:sz w:val="22"/>
      <w:szCs w:val="22"/>
    </w:rPr>
  </w:style>
  <w:style w:type="character" w:styleId="LineNumber">
    <w:name w:val="line number"/>
    <w:basedOn w:val="DefaultParagraphFont"/>
    <w:rsid w:val="004766C9"/>
  </w:style>
  <w:style w:type="character" w:styleId="CommentReference">
    <w:name w:val="annotation reference"/>
    <w:basedOn w:val="DefaultParagraphFont"/>
    <w:rsid w:val="0046111A"/>
    <w:rPr>
      <w:sz w:val="16"/>
      <w:szCs w:val="16"/>
    </w:rPr>
  </w:style>
  <w:style w:type="paragraph" w:styleId="CommentText">
    <w:name w:val="annotation text"/>
    <w:basedOn w:val="Normal"/>
    <w:link w:val="CommentTextChar"/>
    <w:rsid w:val="0046111A"/>
    <w:rPr>
      <w:sz w:val="20"/>
    </w:rPr>
  </w:style>
  <w:style w:type="character" w:customStyle="1" w:styleId="CommentTextChar">
    <w:name w:val="Comment Text Char"/>
    <w:basedOn w:val="DefaultParagraphFont"/>
    <w:link w:val="CommentText"/>
    <w:rsid w:val="0046111A"/>
    <w:rPr>
      <w:color w:val="008080"/>
      <w:sz w:val="20"/>
    </w:rPr>
  </w:style>
  <w:style w:type="paragraph" w:styleId="CommentSubject">
    <w:name w:val="annotation subject"/>
    <w:basedOn w:val="CommentText"/>
    <w:next w:val="CommentText"/>
    <w:link w:val="CommentSubjectChar"/>
    <w:rsid w:val="0046111A"/>
    <w:rPr>
      <w:b/>
      <w:bCs/>
    </w:rPr>
  </w:style>
  <w:style w:type="character" w:customStyle="1" w:styleId="CommentSubjectChar">
    <w:name w:val="Comment Subject Char"/>
    <w:basedOn w:val="CommentTextChar"/>
    <w:link w:val="CommentSubject"/>
    <w:rsid w:val="0046111A"/>
    <w:rPr>
      <w:b/>
      <w:bCs/>
    </w:rPr>
  </w:style>
  <w:style w:type="character" w:styleId="Hyperlink">
    <w:name w:val="Hyperlink"/>
    <w:basedOn w:val="DefaultParagraphFont"/>
    <w:rsid w:val="00750E3A"/>
    <w:rPr>
      <w:color w:val="0000FF" w:themeColor="hyperlink"/>
      <w:u w:val="single"/>
    </w:rPr>
  </w:style>
  <w:style w:type="character" w:styleId="FollowedHyperlink">
    <w:name w:val="FollowedHyperlink"/>
    <w:basedOn w:val="DefaultParagraphFont"/>
    <w:rsid w:val="00750E3A"/>
    <w:rPr>
      <w:color w:val="800080" w:themeColor="followedHyperlink"/>
      <w:u w:val="single"/>
    </w:rPr>
  </w:style>
  <w:style w:type="character" w:customStyle="1" w:styleId="HeaderChar">
    <w:name w:val="Header Char"/>
    <w:basedOn w:val="DefaultParagraphFont"/>
    <w:link w:val="Header"/>
    <w:uiPriority w:val="99"/>
    <w:locked/>
    <w:rsid w:val="00315EEF"/>
    <w:rPr>
      <w:color w:val="008080"/>
    </w:rPr>
  </w:style>
</w:styles>
</file>

<file path=word/webSettings.xml><?xml version="1.0" encoding="utf-8"?>
<w:webSettings xmlns:r="http://schemas.openxmlformats.org/officeDocument/2006/relationships" xmlns:w="http://schemas.openxmlformats.org/wordprocessingml/2006/main">
  <w:divs>
    <w:div w:id="1590779">
      <w:bodyDiv w:val="1"/>
      <w:marLeft w:val="0"/>
      <w:marRight w:val="0"/>
      <w:marTop w:val="0"/>
      <w:marBottom w:val="0"/>
      <w:divBdr>
        <w:top w:val="none" w:sz="0" w:space="0" w:color="auto"/>
        <w:left w:val="none" w:sz="0" w:space="0" w:color="auto"/>
        <w:bottom w:val="none" w:sz="0" w:space="0" w:color="auto"/>
        <w:right w:val="none" w:sz="0" w:space="0" w:color="auto"/>
      </w:divBdr>
    </w:div>
    <w:div w:id="15470104">
      <w:bodyDiv w:val="1"/>
      <w:marLeft w:val="0"/>
      <w:marRight w:val="0"/>
      <w:marTop w:val="0"/>
      <w:marBottom w:val="0"/>
      <w:divBdr>
        <w:top w:val="none" w:sz="0" w:space="0" w:color="auto"/>
        <w:left w:val="none" w:sz="0" w:space="0" w:color="auto"/>
        <w:bottom w:val="none" w:sz="0" w:space="0" w:color="auto"/>
        <w:right w:val="none" w:sz="0" w:space="0" w:color="auto"/>
      </w:divBdr>
    </w:div>
    <w:div w:id="185489995">
      <w:bodyDiv w:val="1"/>
      <w:marLeft w:val="0"/>
      <w:marRight w:val="0"/>
      <w:marTop w:val="0"/>
      <w:marBottom w:val="0"/>
      <w:divBdr>
        <w:top w:val="none" w:sz="0" w:space="0" w:color="auto"/>
        <w:left w:val="none" w:sz="0" w:space="0" w:color="auto"/>
        <w:bottom w:val="none" w:sz="0" w:space="0" w:color="auto"/>
        <w:right w:val="none" w:sz="0" w:space="0" w:color="auto"/>
      </w:divBdr>
    </w:div>
    <w:div w:id="257175439">
      <w:bodyDiv w:val="1"/>
      <w:marLeft w:val="0"/>
      <w:marRight w:val="0"/>
      <w:marTop w:val="0"/>
      <w:marBottom w:val="0"/>
      <w:divBdr>
        <w:top w:val="none" w:sz="0" w:space="0" w:color="auto"/>
        <w:left w:val="none" w:sz="0" w:space="0" w:color="auto"/>
        <w:bottom w:val="none" w:sz="0" w:space="0" w:color="auto"/>
        <w:right w:val="none" w:sz="0" w:space="0" w:color="auto"/>
      </w:divBdr>
    </w:div>
    <w:div w:id="278297590">
      <w:bodyDiv w:val="1"/>
      <w:marLeft w:val="0"/>
      <w:marRight w:val="0"/>
      <w:marTop w:val="0"/>
      <w:marBottom w:val="0"/>
      <w:divBdr>
        <w:top w:val="none" w:sz="0" w:space="0" w:color="auto"/>
        <w:left w:val="none" w:sz="0" w:space="0" w:color="auto"/>
        <w:bottom w:val="none" w:sz="0" w:space="0" w:color="auto"/>
        <w:right w:val="none" w:sz="0" w:space="0" w:color="auto"/>
      </w:divBdr>
    </w:div>
    <w:div w:id="539513790">
      <w:bodyDiv w:val="1"/>
      <w:marLeft w:val="0"/>
      <w:marRight w:val="0"/>
      <w:marTop w:val="0"/>
      <w:marBottom w:val="0"/>
      <w:divBdr>
        <w:top w:val="none" w:sz="0" w:space="0" w:color="auto"/>
        <w:left w:val="none" w:sz="0" w:space="0" w:color="auto"/>
        <w:bottom w:val="none" w:sz="0" w:space="0" w:color="auto"/>
        <w:right w:val="none" w:sz="0" w:space="0" w:color="auto"/>
      </w:divBdr>
    </w:div>
    <w:div w:id="543686778">
      <w:bodyDiv w:val="1"/>
      <w:marLeft w:val="0"/>
      <w:marRight w:val="0"/>
      <w:marTop w:val="0"/>
      <w:marBottom w:val="0"/>
      <w:divBdr>
        <w:top w:val="none" w:sz="0" w:space="0" w:color="auto"/>
        <w:left w:val="none" w:sz="0" w:space="0" w:color="auto"/>
        <w:bottom w:val="none" w:sz="0" w:space="0" w:color="auto"/>
        <w:right w:val="none" w:sz="0" w:space="0" w:color="auto"/>
      </w:divBdr>
    </w:div>
    <w:div w:id="593821942">
      <w:bodyDiv w:val="1"/>
      <w:marLeft w:val="0"/>
      <w:marRight w:val="0"/>
      <w:marTop w:val="0"/>
      <w:marBottom w:val="0"/>
      <w:divBdr>
        <w:top w:val="none" w:sz="0" w:space="0" w:color="auto"/>
        <w:left w:val="none" w:sz="0" w:space="0" w:color="auto"/>
        <w:bottom w:val="none" w:sz="0" w:space="0" w:color="auto"/>
        <w:right w:val="none" w:sz="0" w:space="0" w:color="auto"/>
      </w:divBdr>
    </w:div>
    <w:div w:id="819730591">
      <w:bodyDiv w:val="1"/>
      <w:marLeft w:val="0"/>
      <w:marRight w:val="0"/>
      <w:marTop w:val="0"/>
      <w:marBottom w:val="0"/>
      <w:divBdr>
        <w:top w:val="none" w:sz="0" w:space="0" w:color="auto"/>
        <w:left w:val="none" w:sz="0" w:space="0" w:color="auto"/>
        <w:bottom w:val="none" w:sz="0" w:space="0" w:color="auto"/>
        <w:right w:val="none" w:sz="0" w:space="0" w:color="auto"/>
      </w:divBdr>
    </w:div>
    <w:div w:id="888033592">
      <w:bodyDiv w:val="1"/>
      <w:marLeft w:val="0"/>
      <w:marRight w:val="0"/>
      <w:marTop w:val="0"/>
      <w:marBottom w:val="0"/>
      <w:divBdr>
        <w:top w:val="none" w:sz="0" w:space="0" w:color="auto"/>
        <w:left w:val="none" w:sz="0" w:space="0" w:color="auto"/>
        <w:bottom w:val="none" w:sz="0" w:space="0" w:color="auto"/>
        <w:right w:val="none" w:sz="0" w:space="0" w:color="auto"/>
      </w:divBdr>
    </w:div>
    <w:div w:id="910502918">
      <w:bodyDiv w:val="1"/>
      <w:marLeft w:val="0"/>
      <w:marRight w:val="0"/>
      <w:marTop w:val="0"/>
      <w:marBottom w:val="0"/>
      <w:divBdr>
        <w:top w:val="none" w:sz="0" w:space="0" w:color="auto"/>
        <w:left w:val="none" w:sz="0" w:space="0" w:color="auto"/>
        <w:bottom w:val="none" w:sz="0" w:space="0" w:color="auto"/>
        <w:right w:val="none" w:sz="0" w:space="0" w:color="auto"/>
      </w:divBdr>
    </w:div>
    <w:div w:id="1040016148">
      <w:bodyDiv w:val="1"/>
      <w:marLeft w:val="0"/>
      <w:marRight w:val="0"/>
      <w:marTop w:val="0"/>
      <w:marBottom w:val="0"/>
      <w:divBdr>
        <w:top w:val="none" w:sz="0" w:space="0" w:color="auto"/>
        <w:left w:val="none" w:sz="0" w:space="0" w:color="auto"/>
        <w:bottom w:val="none" w:sz="0" w:space="0" w:color="auto"/>
        <w:right w:val="none" w:sz="0" w:space="0" w:color="auto"/>
      </w:divBdr>
    </w:div>
    <w:div w:id="1083331340">
      <w:bodyDiv w:val="1"/>
      <w:marLeft w:val="0"/>
      <w:marRight w:val="0"/>
      <w:marTop w:val="0"/>
      <w:marBottom w:val="0"/>
      <w:divBdr>
        <w:top w:val="none" w:sz="0" w:space="0" w:color="auto"/>
        <w:left w:val="none" w:sz="0" w:space="0" w:color="auto"/>
        <w:bottom w:val="none" w:sz="0" w:space="0" w:color="auto"/>
        <w:right w:val="none" w:sz="0" w:space="0" w:color="auto"/>
      </w:divBdr>
    </w:div>
    <w:div w:id="1157644594">
      <w:bodyDiv w:val="1"/>
      <w:marLeft w:val="0"/>
      <w:marRight w:val="0"/>
      <w:marTop w:val="0"/>
      <w:marBottom w:val="0"/>
      <w:divBdr>
        <w:top w:val="none" w:sz="0" w:space="0" w:color="auto"/>
        <w:left w:val="none" w:sz="0" w:space="0" w:color="auto"/>
        <w:bottom w:val="none" w:sz="0" w:space="0" w:color="auto"/>
        <w:right w:val="none" w:sz="0" w:space="0" w:color="auto"/>
      </w:divBdr>
    </w:div>
    <w:div w:id="1175340299">
      <w:bodyDiv w:val="1"/>
      <w:marLeft w:val="0"/>
      <w:marRight w:val="0"/>
      <w:marTop w:val="0"/>
      <w:marBottom w:val="0"/>
      <w:divBdr>
        <w:top w:val="none" w:sz="0" w:space="0" w:color="auto"/>
        <w:left w:val="none" w:sz="0" w:space="0" w:color="auto"/>
        <w:bottom w:val="none" w:sz="0" w:space="0" w:color="auto"/>
        <w:right w:val="none" w:sz="0" w:space="0" w:color="auto"/>
      </w:divBdr>
    </w:div>
    <w:div w:id="1198202320">
      <w:bodyDiv w:val="1"/>
      <w:marLeft w:val="0"/>
      <w:marRight w:val="0"/>
      <w:marTop w:val="0"/>
      <w:marBottom w:val="0"/>
      <w:divBdr>
        <w:top w:val="none" w:sz="0" w:space="0" w:color="auto"/>
        <w:left w:val="none" w:sz="0" w:space="0" w:color="auto"/>
        <w:bottom w:val="none" w:sz="0" w:space="0" w:color="auto"/>
        <w:right w:val="none" w:sz="0" w:space="0" w:color="auto"/>
      </w:divBdr>
    </w:div>
    <w:div w:id="1291279704">
      <w:bodyDiv w:val="1"/>
      <w:marLeft w:val="0"/>
      <w:marRight w:val="0"/>
      <w:marTop w:val="0"/>
      <w:marBottom w:val="0"/>
      <w:divBdr>
        <w:top w:val="none" w:sz="0" w:space="0" w:color="auto"/>
        <w:left w:val="none" w:sz="0" w:space="0" w:color="auto"/>
        <w:bottom w:val="none" w:sz="0" w:space="0" w:color="auto"/>
        <w:right w:val="none" w:sz="0" w:space="0" w:color="auto"/>
      </w:divBdr>
    </w:div>
    <w:div w:id="1343750320">
      <w:bodyDiv w:val="1"/>
      <w:marLeft w:val="0"/>
      <w:marRight w:val="0"/>
      <w:marTop w:val="0"/>
      <w:marBottom w:val="0"/>
      <w:divBdr>
        <w:top w:val="none" w:sz="0" w:space="0" w:color="auto"/>
        <w:left w:val="none" w:sz="0" w:space="0" w:color="auto"/>
        <w:bottom w:val="none" w:sz="0" w:space="0" w:color="auto"/>
        <w:right w:val="none" w:sz="0" w:space="0" w:color="auto"/>
      </w:divBdr>
    </w:div>
    <w:div w:id="1439180129">
      <w:bodyDiv w:val="1"/>
      <w:marLeft w:val="0"/>
      <w:marRight w:val="0"/>
      <w:marTop w:val="0"/>
      <w:marBottom w:val="0"/>
      <w:divBdr>
        <w:top w:val="none" w:sz="0" w:space="0" w:color="auto"/>
        <w:left w:val="none" w:sz="0" w:space="0" w:color="auto"/>
        <w:bottom w:val="none" w:sz="0" w:space="0" w:color="auto"/>
        <w:right w:val="none" w:sz="0" w:space="0" w:color="auto"/>
      </w:divBdr>
    </w:div>
    <w:div w:id="1451363989">
      <w:bodyDiv w:val="1"/>
      <w:marLeft w:val="0"/>
      <w:marRight w:val="0"/>
      <w:marTop w:val="0"/>
      <w:marBottom w:val="0"/>
      <w:divBdr>
        <w:top w:val="none" w:sz="0" w:space="0" w:color="auto"/>
        <w:left w:val="none" w:sz="0" w:space="0" w:color="auto"/>
        <w:bottom w:val="none" w:sz="0" w:space="0" w:color="auto"/>
        <w:right w:val="none" w:sz="0" w:space="0" w:color="auto"/>
      </w:divBdr>
    </w:div>
    <w:div w:id="1462067866">
      <w:bodyDiv w:val="1"/>
      <w:marLeft w:val="0"/>
      <w:marRight w:val="0"/>
      <w:marTop w:val="0"/>
      <w:marBottom w:val="0"/>
      <w:divBdr>
        <w:top w:val="none" w:sz="0" w:space="0" w:color="auto"/>
        <w:left w:val="none" w:sz="0" w:space="0" w:color="auto"/>
        <w:bottom w:val="none" w:sz="0" w:space="0" w:color="auto"/>
        <w:right w:val="none" w:sz="0" w:space="0" w:color="auto"/>
      </w:divBdr>
    </w:div>
    <w:div w:id="1468742721">
      <w:bodyDiv w:val="1"/>
      <w:marLeft w:val="0"/>
      <w:marRight w:val="0"/>
      <w:marTop w:val="0"/>
      <w:marBottom w:val="0"/>
      <w:divBdr>
        <w:top w:val="none" w:sz="0" w:space="0" w:color="auto"/>
        <w:left w:val="none" w:sz="0" w:space="0" w:color="auto"/>
        <w:bottom w:val="none" w:sz="0" w:space="0" w:color="auto"/>
        <w:right w:val="none" w:sz="0" w:space="0" w:color="auto"/>
      </w:divBdr>
    </w:div>
    <w:div w:id="1542017003">
      <w:bodyDiv w:val="1"/>
      <w:marLeft w:val="0"/>
      <w:marRight w:val="0"/>
      <w:marTop w:val="0"/>
      <w:marBottom w:val="0"/>
      <w:divBdr>
        <w:top w:val="none" w:sz="0" w:space="0" w:color="auto"/>
        <w:left w:val="none" w:sz="0" w:space="0" w:color="auto"/>
        <w:bottom w:val="none" w:sz="0" w:space="0" w:color="auto"/>
        <w:right w:val="none" w:sz="0" w:space="0" w:color="auto"/>
      </w:divBdr>
    </w:div>
    <w:div w:id="1551305034">
      <w:bodyDiv w:val="1"/>
      <w:marLeft w:val="0"/>
      <w:marRight w:val="0"/>
      <w:marTop w:val="0"/>
      <w:marBottom w:val="0"/>
      <w:divBdr>
        <w:top w:val="none" w:sz="0" w:space="0" w:color="auto"/>
        <w:left w:val="none" w:sz="0" w:space="0" w:color="auto"/>
        <w:bottom w:val="none" w:sz="0" w:space="0" w:color="auto"/>
        <w:right w:val="none" w:sz="0" w:space="0" w:color="auto"/>
      </w:divBdr>
    </w:div>
    <w:div w:id="1568031727">
      <w:bodyDiv w:val="1"/>
      <w:marLeft w:val="0"/>
      <w:marRight w:val="0"/>
      <w:marTop w:val="0"/>
      <w:marBottom w:val="0"/>
      <w:divBdr>
        <w:top w:val="none" w:sz="0" w:space="0" w:color="auto"/>
        <w:left w:val="none" w:sz="0" w:space="0" w:color="auto"/>
        <w:bottom w:val="none" w:sz="0" w:space="0" w:color="auto"/>
        <w:right w:val="none" w:sz="0" w:space="0" w:color="auto"/>
      </w:divBdr>
    </w:div>
    <w:div w:id="1575894432">
      <w:bodyDiv w:val="1"/>
      <w:marLeft w:val="0"/>
      <w:marRight w:val="0"/>
      <w:marTop w:val="0"/>
      <w:marBottom w:val="0"/>
      <w:divBdr>
        <w:top w:val="none" w:sz="0" w:space="0" w:color="auto"/>
        <w:left w:val="none" w:sz="0" w:space="0" w:color="auto"/>
        <w:bottom w:val="none" w:sz="0" w:space="0" w:color="auto"/>
        <w:right w:val="none" w:sz="0" w:space="0" w:color="auto"/>
      </w:divBdr>
    </w:div>
    <w:div w:id="1657488341">
      <w:bodyDiv w:val="1"/>
      <w:marLeft w:val="0"/>
      <w:marRight w:val="0"/>
      <w:marTop w:val="0"/>
      <w:marBottom w:val="0"/>
      <w:divBdr>
        <w:top w:val="none" w:sz="0" w:space="0" w:color="auto"/>
        <w:left w:val="none" w:sz="0" w:space="0" w:color="auto"/>
        <w:bottom w:val="none" w:sz="0" w:space="0" w:color="auto"/>
        <w:right w:val="none" w:sz="0" w:space="0" w:color="auto"/>
      </w:divBdr>
    </w:div>
    <w:div w:id="1756508288">
      <w:bodyDiv w:val="1"/>
      <w:marLeft w:val="0"/>
      <w:marRight w:val="0"/>
      <w:marTop w:val="0"/>
      <w:marBottom w:val="0"/>
      <w:divBdr>
        <w:top w:val="none" w:sz="0" w:space="0" w:color="auto"/>
        <w:left w:val="none" w:sz="0" w:space="0" w:color="auto"/>
        <w:bottom w:val="none" w:sz="0" w:space="0" w:color="auto"/>
        <w:right w:val="none" w:sz="0" w:space="0" w:color="auto"/>
      </w:divBdr>
    </w:div>
    <w:div w:id="1779445607">
      <w:bodyDiv w:val="1"/>
      <w:marLeft w:val="0"/>
      <w:marRight w:val="0"/>
      <w:marTop w:val="0"/>
      <w:marBottom w:val="0"/>
      <w:divBdr>
        <w:top w:val="none" w:sz="0" w:space="0" w:color="auto"/>
        <w:left w:val="none" w:sz="0" w:space="0" w:color="auto"/>
        <w:bottom w:val="none" w:sz="0" w:space="0" w:color="auto"/>
        <w:right w:val="none" w:sz="0" w:space="0" w:color="auto"/>
      </w:divBdr>
    </w:div>
    <w:div w:id="1890452156">
      <w:bodyDiv w:val="1"/>
      <w:marLeft w:val="0"/>
      <w:marRight w:val="0"/>
      <w:marTop w:val="0"/>
      <w:marBottom w:val="0"/>
      <w:divBdr>
        <w:top w:val="none" w:sz="0" w:space="0" w:color="auto"/>
        <w:left w:val="none" w:sz="0" w:space="0" w:color="auto"/>
        <w:bottom w:val="none" w:sz="0" w:space="0" w:color="auto"/>
        <w:right w:val="none" w:sz="0" w:space="0" w:color="auto"/>
      </w:divBdr>
    </w:div>
    <w:div w:id="207462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F86F5-4D1E-481B-B780-1F621EBBF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RECORD OF PROCEEDINGS</vt:lpstr>
    </vt:vector>
  </TitlesOfParts>
  <Company>Pre-installed Company</Company>
  <LinksUpToDate>false</LinksUpToDate>
  <CharactersWithSpaces>16156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 OF PROCEEDINGS</dc:title>
  <dc:creator>JOHN J. D'ORAZIO</dc:creator>
  <cp:lastModifiedBy>julie.raveau</cp:lastModifiedBy>
  <cp:revision>11</cp:revision>
  <cp:lastPrinted>2012-03-05T18:43:00Z</cp:lastPrinted>
  <dcterms:created xsi:type="dcterms:W3CDTF">2012-03-03T16:16:00Z</dcterms:created>
  <dcterms:modified xsi:type="dcterms:W3CDTF">2012-03-15T11:22:00Z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-1105890195</vt:i4>
  </property>
</Properties>
</file>